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65310">
      <w:pPr>
        <w:pStyle w:val="12"/>
        <w:jc w:val="both"/>
        <w:rPr>
          <w:rFonts w:hint="eastAsia" w:ascii="宋体" w:hAnsi="宋体" w:eastAsia="宋体" w:cs="宋体"/>
          <w:b/>
          <w:color w:val="auto"/>
          <w:spacing w:val="-2"/>
          <w:sz w:val="90"/>
          <w:szCs w:val="90"/>
          <w:highlight w:val="none"/>
          <w14:shadow w14:blurRad="50800" w14:dist="38100" w14:dir="10800000" w14:sx="100000" w14:sy="100000" w14:kx="0" w14:ky="0" w14:algn="r">
            <w14:srgbClr w14:val="000000">
              <w14:alpha w14:val="60000"/>
            </w14:srgbClr>
          </w14:shadow>
        </w:rPr>
      </w:pPr>
      <w:r>
        <w:rPr>
          <w:color w:val="auto"/>
        </w:rPr>
        <w:drawing>
          <wp:anchor distT="0" distB="0" distL="114300" distR="114300" simplePos="0" relativeHeight="251663360" behindDoc="1" locked="0" layoutInCell="1" allowOverlap="1">
            <wp:simplePos x="0" y="0"/>
            <wp:positionH relativeFrom="column">
              <wp:posOffset>666750</wp:posOffset>
            </wp:positionH>
            <wp:positionV relativeFrom="paragraph">
              <wp:posOffset>-102870</wp:posOffset>
            </wp:positionV>
            <wp:extent cx="4290060" cy="3082290"/>
            <wp:effectExtent l="0" t="0" r="34290" b="41910"/>
            <wp:wrapTight wrapText="bothSides">
              <wp:wrapPolygon>
                <wp:start x="0" y="0"/>
                <wp:lineTo x="0" y="21493"/>
                <wp:lineTo x="21485" y="21493"/>
                <wp:lineTo x="21485" y="0"/>
                <wp:lineTo x="0" y="0"/>
              </wp:wrapPolygon>
            </wp:wrapTight>
            <wp:docPr id="9" name="图片 9" descr="QQ_1721700190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QQ_1721700190371"/>
                    <pic:cNvPicPr>
                      <a:picLocks noChangeAspect="1"/>
                    </pic:cNvPicPr>
                  </pic:nvPicPr>
                  <pic:blipFill>
                    <a:blip r:embed="rId13"/>
                    <a:stretch>
                      <a:fillRect/>
                    </a:stretch>
                  </pic:blipFill>
                  <pic:spPr>
                    <a:xfrm>
                      <a:off x="1673860" y="1049020"/>
                      <a:ext cx="4290060" cy="3082290"/>
                    </a:xfrm>
                    <a:prstGeom prst="rect">
                      <a:avLst/>
                    </a:prstGeom>
                    <a:noFill/>
                    <a:ln>
                      <a:noFill/>
                    </a:ln>
                  </pic:spPr>
                </pic:pic>
              </a:graphicData>
            </a:graphic>
          </wp:anchor>
        </w:drawing>
      </w:r>
    </w:p>
    <w:p w14:paraId="4F318249">
      <w:pPr>
        <w:pStyle w:val="12"/>
        <w:jc w:val="both"/>
        <w:rPr>
          <w:rFonts w:hint="eastAsia" w:ascii="宋体" w:hAnsi="宋体" w:eastAsia="宋体" w:cs="宋体"/>
          <w:b/>
          <w:color w:val="auto"/>
          <w:spacing w:val="-2"/>
          <w:sz w:val="90"/>
          <w:szCs w:val="90"/>
          <w:highlight w:val="none"/>
          <w14:shadow w14:blurRad="50800" w14:dist="38100" w14:dir="10800000" w14:sx="100000" w14:sy="100000" w14:kx="0" w14:ky="0" w14:algn="r">
            <w14:srgbClr w14:val="000000">
              <w14:alpha w14:val="60000"/>
            </w14:srgbClr>
          </w14:shadow>
        </w:rPr>
      </w:pPr>
    </w:p>
    <w:p w14:paraId="123C26DF">
      <w:pPr>
        <w:pStyle w:val="12"/>
        <w:jc w:val="both"/>
        <w:rPr>
          <w:rFonts w:hint="eastAsia" w:ascii="宋体" w:hAnsi="宋体" w:eastAsia="宋体" w:cs="宋体"/>
          <w:b/>
          <w:color w:val="auto"/>
          <w:spacing w:val="-2"/>
          <w:sz w:val="90"/>
          <w:szCs w:val="90"/>
          <w:highlight w:val="none"/>
          <w14:shadow w14:blurRad="50800" w14:dist="38100" w14:dir="10800000" w14:sx="100000" w14:sy="100000" w14:kx="0" w14:ky="0" w14:algn="r">
            <w14:srgbClr w14:val="000000">
              <w14:alpha w14:val="60000"/>
            </w14:srgbClr>
          </w14:shadow>
        </w:rPr>
      </w:pPr>
      <w:bookmarkStart w:id="1250" w:name="_GoBack"/>
      <w:bookmarkEnd w:id="1250"/>
    </w:p>
    <w:p w14:paraId="204AB16E">
      <w:pPr>
        <w:pStyle w:val="12"/>
        <w:jc w:val="center"/>
        <w:rPr>
          <w:rFonts w:hint="eastAsia" w:ascii="宋体" w:hAnsi="宋体" w:eastAsia="宋体" w:cs="宋体"/>
          <w:b/>
          <w:color w:val="auto"/>
          <w:spacing w:val="-2"/>
          <w:sz w:val="90"/>
          <w:szCs w:val="90"/>
          <w:highlight w:val="none"/>
          <w14:shadow w14:blurRad="50800" w14:dist="38100" w14:dir="10800000" w14:sx="100000" w14:sy="100000" w14:kx="0" w14:ky="0" w14:algn="r">
            <w14:srgbClr w14:val="000000">
              <w14:alpha w14:val="60000"/>
            </w14:srgbClr>
          </w14:shadow>
        </w:rPr>
      </w:pPr>
    </w:p>
    <w:p w14:paraId="2A20FAEF">
      <w:pPr>
        <w:pStyle w:val="12"/>
        <w:jc w:val="center"/>
        <w:rPr>
          <w:rFonts w:hint="eastAsia" w:ascii="宋体" w:hAnsi="宋体" w:eastAsia="宋体" w:cs="宋体"/>
          <w:b/>
          <w:color w:val="auto"/>
          <w:spacing w:val="-2"/>
          <w:sz w:val="90"/>
          <w:szCs w:val="90"/>
          <w:highlight w:val="none"/>
          <w14:shadow w14:blurRad="50800" w14:dist="38100" w14:dir="10800000" w14:sx="100000" w14:sy="100000" w14:kx="0" w14:ky="0" w14:algn="r">
            <w14:srgbClr w14:val="000000">
              <w14:alpha w14:val="60000"/>
            </w14:srgbClr>
          </w14:shadow>
        </w:rPr>
      </w:pPr>
      <w:r>
        <w:rPr>
          <w:rFonts w:hint="eastAsia" w:ascii="宋体" w:hAnsi="宋体" w:eastAsia="宋体" w:cs="宋体"/>
          <w:b/>
          <w:color w:val="auto"/>
          <w:spacing w:val="-2"/>
          <w:sz w:val="90"/>
          <w:szCs w:val="90"/>
          <w:highlight w:val="none"/>
          <w14:shadow w14:blurRad="50800" w14:dist="38100" w14:dir="10800000" w14:sx="100000" w14:sy="100000" w14:kx="0" w14:ky="0" w14:algn="r">
            <w14:srgbClr w14:val="000000">
              <w14:alpha w14:val="60000"/>
            </w14:srgbClr>
          </w14:shadow>
        </w:rPr>
        <w:t>竞争性磋商文件</w:t>
      </w:r>
    </w:p>
    <w:p w14:paraId="4A7AD050">
      <w:pPr>
        <w:jc w:val="center"/>
        <w:rPr>
          <w:rFonts w:hint="eastAsia" w:ascii="宋体" w:hAnsi="宋体" w:eastAsia="宋体" w:cs="宋体"/>
          <w:b/>
          <w:color w:val="auto"/>
          <w:sz w:val="24"/>
          <w:szCs w:val="24"/>
          <w:highlight w:val="none"/>
        </w:rPr>
      </w:pPr>
      <w:r>
        <w:rPr>
          <w:rFonts w:hint="eastAsia" w:ascii="宋体" w:hAnsi="宋体"/>
          <w:b/>
          <w:bCs/>
          <w:color w:val="auto"/>
          <w:sz w:val="28"/>
          <w:szCs w:val="28"/>
          <w:highlight w:val="none"/>
        </w:rPr>
        <w:t>（全流程电子化评标）</w:t>
      </w:r>
    </w:p>
    <w:p w14:paraId="6D390DF8">
      <w:pPr>
        <w:spacing w:line="480" w:lineRule="auto"/>
        <w:ind w:firstLine="602" w:firstLineChars="200"/>
        <w:rPr>
          <w:rFonts w:hint="eastAsia" w:ascii="宋体" w:hAnsi="宋体" w:eastAsia="宋体" w:cs="宋体"/>
          <w:b/>
          <w:bCs/>
          <w:color w:val="auto"/>
          <w:sz w:val="30"/>
          <w:szCs w:val="30"/>
          <w:highlight w:val="none"/>
        </w:rPr>
      </w:pPr>
    </w:p>
    <w:p w14:paraId="2B742EAA">
      <w:pPr>
        <w:spacing w:line="480" w:lineRule="auto"/>
        <w:ind w:firstLine="602" w:firstLineChars="200"/>
        <w:rPr>
          <w:rFonts w:hint="eastAsia" w:ascii="宋体" w:hAnsi="宋体" w:eastAsia="宋体" w:cs="宋体"/>
          <w:b/>
          <w:bCs/>
          <w:color w:val="auto"/>
          <w:sz w:val="30"/>
          <w:szCs w:val="30"/>
          <w:highlight w:val="none"/>
        </w:rPr>
      </w:pPr>
    </w:p>
    <w:p w14:paraId="0BB65541">
      <w:pPr>
        <w:spacing w:line="480" w:lineRule="auto"/>
        <w:ind w:firstLine="602" w:firstLineChars="200"/>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项目名称：</w:t>
      </w:r>
      <w:r>
        <w:rPr>
          <w:rFonts w:hint="eastAsia" w:ascii="宋体" w:hAnsi="宋体" w:cs="宋体"/>
          <w:b/>
          <w:bCs/>
          <w:color w:val="auto"/>
          <w:sz w:val="30"/>
          <w:szCs w:val="30"/>
          <w:highlight w:val="none"/>
          <w:lang w:eastAsia="zh-CN"/>
        </w:rPr>
        <w:t>港口区福利院配套项目</w:t>
      </w:r>
    </w:p>
    <w:p w14:paraId="36D28228">
      <w:pPr>
        <w:spacing w:line="480" w:lineRule="auto"/>
        <w:ind w:firstLine="602" w:firstLineChars="200"/>
        <w:rPr>
          <w:rFonts w:hint="eastAsia" w:ascii="宋体" w:hAnsi="宋体" w:eastAsia="宋体" w:cs="宋体"/>
          <w:b/>
          <w:bCs/>
          <w:color w:val="auto"/>
          <w:sz w:val="36"/>
          <w:szCs w:val="36"/>
          <w:highlight w:val="none"/>
        </w:rPr>
      </w:pPr>
      <w:r>
        <w:rPr>
          <w:rFonts w:hint="eastAsia" w:ascii="宋体" w:hAnsi="宋体" w:eastAsia="宋体" w:cs="宋体"/>
          <w:b/>
          <w:bCs/>
          <w:color w:val="auto"/>
          <w:sz w:val="30"/>
          <w:szCs w:val="30"/>
          <w:highlight w:val="none"/>
        </w:rPr>
        <w:t>项目编号：</w:t>
      </w:r>
      <w:r>
        <w:rPr>
          <w:rFonts w:hint="eastAsia" w:ascii="宋体" w:hAnsi="宋体" w:cs="宋体"/>
          <w:b/>
          <w:bCs/>
          <w:color w:val="auto"/>
          <w:sz w:val="30"/>
          <w:szCs w:val="30"/>
          <w:highlight w:val="none"/>
          <w:lang w:eastAsia="zh-CN"/>
        </w:rPr>
        <w:t>FCZC2025-C2-020053-GXXH</w:t>
      </w:r>
    </w:p>
    <w:p w14:paraId="43003DF6">
      <w:pPr>
        <w:spacing w:line="360" w:lineRule="auto"/>
        <w:ind w:left="638" w:leftChars="304" w:firstLine="643" w:firstLineChars="200"/>
        <w:rPr>
          <w:rFonts w:hint="eastAsia" w:ascii="宋体" w:hAnsi="宋体" w:eastAsia="宋体" w:cs="宋体"/>
          <w:b/>
          <w:bCs/>
          <w:color w:val="auto"/>
          <w:sz w:val="32"/>
          <w:szCs w:val="32"/>
          <w:highlight w:val="none"/>
        </w:rPr>
      </w:pPr>
    </w:p>
    <w:p w14:paraId="63556A59">
      <w:pPr>
        <w:spacing w:line="360" w:lineRule="auto"/>
        <w:rPr>
          <w:rFonts w:hint="eastAsia" w:ascii="宋体" w:hAnsi="宋体" w:eastAsia="宋体" w:cs="宋体"/>
          <w:b/>
          <w:bCs/>
          <w:color w:val="auto"/>
          <w:sz w:val="32"/>
          <w:szCs w:val="32"/>
          <w:highlight w:val="none"/>
        </w:rPr>
      </w:pPr>
    </w:p>
    <w:p w14:paraId="1DD77BBF">
      <w:pPr>
        <w:spacing w:line="360" w:lineRule="auto"/>
        <w:ind w:firstLine="643" w:firstLineChars="200"/>
        <w:jc w:val="both"/>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采  购  人：</w:t>
      </w:r>
      <w:r>
        <w:rPr>
          <w:rFonts w:hint="eastAsia" w:ascii="宋体" w:hAnsi="宋体" w:cs="宋体"/>
          <w:b/>
          <w:color w:val="auto"/>
          <w:sz w:val="32"/>
          <w:szCs w:val="32"/>
          <w:highlight w:val="none"/>
          <w:lang w:val="en-US" w:eastAsia="zh-CN"/>
        </w:rPr>
        <w:t>防城港市港口区民政局</w:t>
      </w:r>
    </w:p>
    <w:p w14:paraId="39CA23BD">
      <w:pPr>
        <w:spacing w:line="360" w:lineRule="auto"/>
        <w:ind w:firstLine="643" w:firstLineChars="200"/>
        <w:jc w:val="both"/>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采购代理机构：</w:t>
      </w:r>
      <w:r>
        <w:rPr>
          <w:rFonts w:hint="eastAsia" w:ascii="宋体" w:hAnsi="宋体" w:cs="宋体"/>
          <w:b/>
          <w:bCs/>
          <w:color w:val="auto"/>
          <w:sz w:val="32"/>
          <w:szCs w:val="32"/>
          <w:highlight w:val="none"/>
          <w:lang w:eastAsia="zh-CN"/>
        </w:rPr>
        <w:t>广西协弘项目管理有限公司</w:t>
      </w:r>
    </w:p>
    <w:p w14:paraId="38EBCF4D">
      <w:pPr>
        <w:pStyle w:val="12"/>
        <w:ind w:firstLine="643" w:firstLineChars="200"/>
        <w:jc w:val="center"/>
        <w:rPr>
          <w:rFonts w:hint="eastAsia" w:ascii="宋体" w:hAnsi="宋体" w:cs="宋体"/>
          <w:b/>
          <w:bCs/>
          <w:color w:val="auto"/>
          <w:sz w:val="32"/>
          <w:szCs w:val="32"/>
          <w:highlight w:val="none"/>
          <w:lang w:val="en-US" w:eastAsia="zh-CN"/>
        </w:rPr>
      </w:pPr>
    </w:p>
    <w:p w14:paraId="172E6008">
      <w:pPr>
        <w:pStyle w:val="12"/>
        <w:ind w:firstLine="643" w:firstLineChars="200"/>
        <w:jc w:val="center"/>
        <w:rPr>
          <w:rFonts w:hint="eastAsia" w:ascii="宋体" w:hAnsi="宋体" w:eastAsia="宋体" w:cs="宋体"/>
          <w:b/>
          <w:bCs/>
          <w:color w:val="auto"/>
          <w:sz w:val="72"/>
          <w:szCs w:val="72"/>
          <w:highlight w:val="none"/>
          <w:lang w:eastAsia="zh-CN"/>
        </w:rPr>
      </w:pPr>
      <w:r>
        <w:rPr>
          <w:rFonts w:hint="eastAsia" w:hAnsi="宋体" w:cs="宋体"/>
          <w:b/>
          <w:bCs/>
          <w:color w:val="auto"/>
          <w:sz w:val="32"/>
          <w:szCs w:val="32"/>
          <w:highlight w:val="none"/>
          <w:lang w:val="en-US" w:eastAsia="zh-CN"/>
        </w:rPr>
        <w:t>2025年11月</w:t>
      </w:r>
    </w:p>
    <w:p w14:paraId="085AD9CD">
      <w:pPr>
        <w:pStyle w:val="17"/>
        <w:shd w:val="clear" w:color="auto" w:fill="FFFFFF"/>
        <w:tabs>
          <w:tab w:val="right" w:leader="dot" w:pos="9298"/>
        </w:tabs>
        <w:jc w:val="center"/>
        <w:rPr>
          <w:rFonts w:hint="eastAsia" w:ascii="宋体" w:hAnsi="宋体" w:eastAsia="宋体" w:cs="宋体"/>
          <w:b/>
          <w:bCs/>
          <w:color w:val="auto"/>
          <w:sz w:val="44"/>
          <w:szCs w:val="44"/>
          <w:highlight w:val="none"/>
        </w:rPr>
        <w:sectPr>
          <w:pgSz w:w="11907" w:h="16840"/>
          <w:pgMar w:top="1440" w:right="1440" w:bottom="1440" w:left="1797" w:header="851" w:footer="851" w:gutter="0"/>
          <w:pgNumType w:fmt="decimal" w:start="1"/>
          <w:cols w:space="720" w:num="1"/>
          <w:docGrid w:linePitch="312" w:charSpace="0"/>
        </w:sectPr>
      </w:pPr>
    </w:p>
    <w:p w14:paraId="2B163017">
      <w:pPr>
        <w:pStyle w:val="17"/>
        <w:shd w:val="clear" w:color="auto" w:fill="FFFFFF"/>
        <w:tabs>
          <w:tab w:val="right" w:leader="dot" w:pos="9298"/>
        </w:tabs>
        <w:ind w:firstLine="883" w:firstLineChars="200"/>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目录</w:t>
      </w:r>
    </w:p>
    <w:p w14:paraId="5C996376">
      <w:pPr>
        <w:pStyle w:val="17"/>
        <w:tabs>
          <w:tab w:val="right" w:leader="dot" w:pos="8670"/>
        </w:tabs>
        <w:spacing w:line="360" w:lineRule="auto"/>
        <w:ind w:firstLine="640" w:firstLineChars="200"/>
        <w:rPr>
          <w:rFonts w:hint="eastAsia" w:ascii="宋体" w:hAnsi="宋体" w:eastAsia="宋体" w:cs="宋体"/>
          <w:color w:val="auto"/>
          <w:sz w:val="32"/>
          <w:szCs w:val="32"/>
          <w:highlight w:val="none"/>
        </w:rPr>
      </w:pPr>
    </w:p>
    <w:p w14:paraId="381B5A04">
      <w:pPr>
        <w:pStyle w:val="17"/>
        <w:tabs>
          <w:tab w:val="right" w:leader="dot" w:pos="8670"/>
        </w:tabs>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TOC \o "1-1" \h \u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_Toc26559 </w:instrText>
      </w:r>
      <w:r>
        <w:rPr>
          <w:rFonts w:hint="eastAsia" w:ascii="宋体" w:hAnsi="宋体" w:eastAsia="宋体" w:cs="宋体"/>
          <w:color w:val="auto"/>
          <w:sz w:val="32"/>
          <w:szCs w:val="32"/>
          <w:highlight w:val="none"/>
        </w:rPr>
        <w:fldChar w:fldCharType="separate"/>
      </w:r>
      <w:r>
        <w:rPr>
          <w:rFonts w:hint="eastAsia" w:ascii="宋体" w:hAnsi="宋体" w:eastAsia="宋体" w:cs="宋体"/>
          <w:bCs/>
          <w:color w:val="auto"/>
          <w:sz w:val="32"/>
          <w:szCs w:val="32"/>
          <w:highlight w:val="none"/>
        </w:rPr>
        <w:t>第一章 竞争性</w:t>
      </w:r>
      <w:r>
        <w:rPr>
          <w:rFonts w:hint="eastAsia" w:ascii="宋体" w:hAnsi="宋体" w:eastAsia="宋体" w:cs="宋体"/>
          <w:bCs/>
          <w:color w:val="auto"/>
          <w:sz w:val="32"/>
          <w:szCs w:val="32"/>
          <w:highlight w:val="none"/>
          <w:lang w:eastAsia="zh-CN"/>
        </w:rPr>
        <w:t>磋商</w:t>
      </w:r>
      <w:r>
        <w:rPr>
          <w:rFonts w:hint="eastAsia" w:ascii="宋体" w:hAnsi="宋体" w:eastAsia="宋体" w:cs="宋体"/>
          <w:bCs/>
          <w:color w:val="auto"/>
          <w:sz w:val="32"/>
          <w:szCs w:val="32"/>
          <w:highlight w:val="none"/>
        </w:rPr>
        <w:t>公告</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_Toc26559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2</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54AEB74F">
      <w:pPr>
        <w:pStyle w:val="17"/>
        <w:tabs>
          <w:tab w:val="right" w:leader="dot" w:pos="8670"/>
        </w:tabs>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_Toc22437 </w:instrText>
      </w:r>
      <w:r>
        <w:rPr>
          <w:rFonts w:hint="eastAsia" w:ascii="宋体" w:hAnsi="宋体" w:eastAsia="宋体" w:cs="宋体"/>
          <w:color w:val="auto"/>
          <w:sz w:val="32"/>
          <w:szCs w:val="32"/>
          <w:highlight w:val="none"/>
        </w:rPr>
        <w:fldChar w:fldCharType="separate"/>
      </w:r>
      <w:r>
        <w:rPr>
          <w:rFonts w:hint="eastAsia" w:ascii="宋体" w:hAnsi="宋体" w:eastAsia="宋体" w:cs="宋体"/>
          <w:bCs/>
          <w:color w:val="auto"/>
          <w:sz w:val="32"/>
          <w:szCs w:val="32"/>
          <w:highlight w:val="none"/>
          <w:lang w:eastAsia="zh-CN"/>
        </w:rPr>
        <w:t>第二章</w:t>
      </w:r>
      <w:r>
        <w:rPr>
          <w:rFonts w:hint="eastAsia" w:ascii="宋体" w:hAnsi="宋体" w:eastAsia="宋体" w:cs="宋体"/>
          <w:bCs/>
          <w:color w:val="auto"/>
          <w:sz w:val="32"/>
          <w:szCs w:val="32"/>
          <w:highlight w:val="none"/>
          <w:lang w:val="en-US" w:eastAsia="zh-CN"/>
        </w:rPr>
        <w:t xml:space="preserve"> </w:t>
      </w:r>
      <w:r>
        <w:rPr>
          <w:rFonts w:hint="eastAsia" w:ascii="宋体" w:hAnsi="宋体" w:eastAsia="宋体" w:cs="宋体"/>
          <w:bCs/>
          <w:color w:val="auto"/>
          <w:sz w:val="32"/>
          <w:szCs w:val="32"/>
          <w:highlight w:val="none"/>
        </w:rPr>
        <w:t>供应商须知</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_Toc22437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6</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7CBF2652">
      <w:pPr>
        <w:pStyle w:val="17"/>
        <w:tabs>
          <w:tab w:val="right" w:leader="dot" w:pos="8670"/>
        </w:tabs>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_Toc12510 </w:instrText>
      </w:r>
      <w:r>
        <w:rPr>
          <w:rFonts w:hint="eastAsia" w:ascii="宋体" w:hAnsi="宋体" w:eastAsia="宋体" w:cs="宋体"/>
          <w:color w:val="auto"/>
          <w:sz w:val="32"/>
          <w:szCs w:val="32"/>
          <w:highlight w:val="none"/>
        </w:rPr>
        <w:fldChar w:fldCharType="separate"/>
      </w:r>
      <w:bookmarkStart w:id="0" w:name="OLE_LINK7"/>
      <w:r>
        <w:rPr>
          <w:rFonts w:hint="eastAsia" w:ascii="宋体" w:hAnsi="宋体" w:eastAsia="宋体" w:cs="宋体"/>
          <w:bCs/>
          <w:color w:val="auto"/>
          <w:sz w:val="32"/>
          <w:szCs w:val="32"/>
          <w:highlight w:val="none"/>
        </w:rPr>
        <w:t>第三章 项目需求和说明</w:t>
      </w:r>
      <w:bookmarkEnd w:id="0"/>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_Toc12510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23</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128F2B46">
      <w:pPr>
        <w:pStyle w:val="17"/>
        <w:tabs>
          <w:tab w:val="right" w:leader="dot" w:pos="8670"/>
        </w:tabs>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_Toc16101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第四章 合同条款及格式</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_Toc16101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26</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0D21F01B">
      <w:pPr>
        <w:pStyle w:val="17"/>
        <w:tabs>
          <w:tab w:val="right" w:leader="dot" w:pos="8670"/>
        </w:tabs>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_Toc13291 </w:instrText>
      </w:r>
      <w:r>
        <w:rPr>
          <w:rFonts w:hint="eastAsia" w:ascii="宋体" w:hAnsi="宋体" w:eastAsia="宋体" w:cs="宋体"/>
          <w:color w:val="auto"/>
          <w:sz w:val="32"/>
          <w:szCs w:val="32"/>
          <w:highlight w:val="none"/>
        </w:rPr>
        <w:fldChar w:fldCharType="separate"/>
      </w:r>
      <w:r>
        <w:rPr>
          <w:rFonts w:hint="eastAsia" w:ascii="宋体" w:hAnsi="宋体" w:eastAsia="宋体" w:cs="宋体"/>
          <w:bCs/>
          <w:color w:val="auto"/>
          <w:sz w:val="32"/>
          <w:szCs w:val="32"/>
          <w:highlight w:val="none"/>
        </w:rPr>
        <w:t>第五章 响应文件格式</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_Toc13291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88</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1562856E">
      <w:pPr>
        <w:pStyle w:val="17"/>
        <w:tabs>
          <w:tab w:val="right" w:leader="dot" w:pos="8670"/>
        </w:tabs>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_Toc2422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第六章 工程量清单</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_Toc2422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107</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3FC24214">
      <w:pPr>
        <w:pStyle w:val="17"/>
        <w:tabs>
          <w:tab w:val="right" w:leader="dot" w:pos="8670"/>
        </w:tabs>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_Toc2377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第七章 图纸</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另附</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_Toc2377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107</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3B637104">
      <w:pPr>
        <w:pStyle w:val="17"/>
        <w:tabs>
          <w:tab w:val="right" w:leader="dot" w:pos="8670"/>
        </w:tabs>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_Toc29181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eastAsia="zh-CN"/>
        </w:rPr>
        <w:t>八</w:t>
      </w:r>
      <w:r>
        <w:rPr>
          <w:rFonts w:hint="eastAsia" w:ascii="宋体" w:hAnsi="宋体" w:eastAsia="宋体" w:cs="宋体"/>
          <w:color w:val="auto"/>
          <w:sz w:val="32"/>
          <w:szCs w:val="32"/>
          <w:highlight w:val="none"/>
        </w:rPr>
        <w:t>章 评定标准</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_Toc29181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108</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13C40248">
      <w:pPr>
        <w:pStyle w:val="17"/>
        <w:tabs>
          <w:tab w:val="right" w:leader="dot" w:pos="8670"/>
        </w:tabs>
        <w:spacing w:line="360" w:lineRule="auto"/>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_Toc25850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val="en-US" w:eastAsia="zh-CN"/>
        </w:rPr>
        <w:t>九</w:t>
      </w:r>
      <w:r>
        <w:rPr>
          <w:rFonts w:hint="eastAsia" w:ascii="宋体" w:hAnsi="宋体" w:eastAsia="宋体" w:cs="宋体"/>
          <w:color w:val="auto"/>
          <w:sz w:val="32"/>
          <w:szCs w:val="32"/>
          <w:highlight w:val="none"/>
        </w:rPr>
        <w:t>章 质疑、投诉材料格式</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_Toc25850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118</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63994DC3">
      <w:pPr>
        <w:shd w:val="clear" w:color="auto" w:fill="FFFFFF"/>
        <w:tabs>
          <w:tab w:val="left" w:pos="5221"/>
        </w:tabs>
        <w:spacing w:line="360" w:lineRule="auto"/>
        <w:ind w:firstLine="640" w:firstLineChars="200"/>
        <w:rPr>
          <w:rFonts w:hint="eastAsia" w:ascii="宋体" w:hAnsi="宋体" w:eastAsia="宋体" w:cs="宋体"/>
          <w:b/>
          <w:bCs/>
          <w:color w:val="auto"/>
          <w:sz w:val="28"/>
          <w:szCs w:val="28"/>
          <w:highlight w:val="none"/>
        </w:rPr>
      </w:pP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28"/>
          <w:szCs w:val="28"/>
          <w:highlight w:val="none"/>
        </w:rPr>
        <w:tab/>
      </w:r>
    </w:p>
    <w:p w14:paraId="632BD7E1">
      <w:pPr>
        <w:shd w:val="clear" w:color="auto" w:fill="FFFFFF"/>
        <w:spacing w:line="600" w:lineRule="exact"/>
        <w:jc w:val="center"/>
        <w:outlineLvl w:val="0"/>
        <w:rPr>
          <w:rFonts w:hint="eastAsia" w:ascii="宋体" w:hAnsi="宋体" w:eastAsia="宋体" w:cs="宋体"/>
          <w:b/>
          <w:bCs/>
          <w:color w:val="auto"/>
          <w:sz w:val="36"/>
          <w:szCs w:val="36"/>
          <w:highlight w:val="none"/>
        </w:rPr>
        <w:sectPr>
          <w:footerReference r:id="rId3" w:type="default"/>
          <w:pgSz w:w="11907" w:h="16840"/>
          <w:pgMar w:top="1440" w:right="1440" w:bottom="1440" w:left="1797" w:header="851" w:footer="851" w:gutter="0"/>
          <w:pgNumType w:fmt="decimal" w:start="1"/>
          <w:cols w:space="720" w:num="1"/>
          <w:docGrid w:linePitch="312" w:charSpace="0"/>
        </w:sectPr>
      </w:pPr>
      <w:bookmarkStart w:id="1" w:name="_Toc13257"/>
    </w:p>
    <w:bookmarkEnd w:id="1"/>
    <w:p w14:paraId="549965E2">
      <w:pPr>
        <w:numPr>
          <w:ilvl w:val="0"/>
          <w:numId w:val="2"/>
        </w:numPr>
        <w:shd w:val="clear" w:color="auto" w:fill="FFFFFF"/>
        <w:spacing w:line="600" w:lineRule="exact"/>
        <w:ind w:firstLine="723" w:firstLineChars="200"/>
        <w:jc w:val="center"/>
        <w:outlineLvl w:val="0"/>
        <w:rPr>
          <w:rFonts w:hint="eastAsia" w:ascii="宋体" w:hAnsi="宋体" w:eastAsia="宋体" w:cs="宋体"/>
          <w:b/>
          <w:bCs/>
          <w:color w:val="auto"/>
          <w:sz w:val="36"/>
          <w:szCs w:val="36"/>
          <w:highlight w:val="none"/>
        </w:rPr>
      </w:pPr>
      <w:bookmarkStart w:id="2" w:name="_Toc26559"/>
      <w:r>
        <w:rPr>
          <w:rFonts w:hint="eastAsia" w:ascii="宋体" w:hAnsi="宋体" w:eastAsia="宋体" w:cs="宋体"/>
          <w:b/>
          <w:bCs/>
          <w:color w:val="auto"/>
          <w:sz w:val="36"/>
          <w:szCs w:val="36"/>
          <w:highlight w:val="none"/>
        </w:rPr>
        <w:t>竞争性</w:t>
      </w:r>
      <w:r>
        <w:rPr>
          <w:rFonts w:hint="eastAsia" w:ascii="宋体" w:hAnsi="宋体" w:eastAsia="宋体" w:cs="宋体"/>
          <w:b/>
          <w:bCs/>
          <w:color w:val="auto"/>
          <w:sz w:val="36"/>
          <w:szCs w:val="36"/>
          <w:highlight w:val="none"/>
          <w:lang w:eastAsia="zh-CN"/>
        </w:rPr>
        <w:t>磋商</w:t>
      </w:r>
      <w:r>
        <w:rPr>
          <w:rFonts w:hint="eastAsia" w:ascii="宋体" w:hAnsi="宋体" w:eastAsia="宋体" w:cs="宋体"/>
          <w:b/>
          <w:bCs/>
          <w:color w:val="auto"/>
          <w:sz w:val="36"/>
          <w:szCs w:val="36"/>
          <w:highlight w:val="none"/>
        </w:rPr>
        <w:t>公告</w:t>
      </w:r>
      <w:bookmarkEnd w:id="2"/>
    </w:p>
    <w:p w14:paraId="45BF1CA9">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3" w:name="_Toc424307741"/>
      <w:r>
        <w:rPr>
          <w:rFonts w:hint="eastAsia" w:ascii="宋体" w:hAnsi="宋体" w:eastAsia="宋体" w:cs="宋体"/>
          <w:color w:val="auto"/>
          <w:sz w:val="21"/>
          <w:szCs w:val="21"/>
          <w:highlight w:val="none"/>
        </w:rPr>
        <w:t>项目概况：</w:t>
      </w:r>
    </w:p>
    <w:p w14:paraId="69B1EA92">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eastAsia="zh-CN"/>
        </w:rPr>
        <w:t>港口区福利院配套项目</w:t>
      </w:r>
      <w:r>
        <w:rPr>
          <w:rFonts w:hint="eastAsia" w:ascii="宋体" w:hAnsi="宋体" w:eastAsia="宋体" w:cs="宋体"/>
          <w:color w:val="auto"/>
          <w:sz w:val="21"/>
          <w:szCs w:val="21"/>
          <w:highlight w:val="none"/>
          <w:lang w:eastAsia="zh-CN"/>
        </w:rPr>
        <w:t>采购项目</w:t>
      </w:r>
      <w:r>
        <w:rPr>
          <w:rFonts w:hint="eastAsia" w:ascii="宋体" w:hAnsi="宋体" w:eastAsia="宋体" w:cs="宋体"/>
          <w:color w:val="auto"/>
          <w:sz w:val="21"/>
          <w:szCs w:val="21"/>
          <w:highlight w:val="none"/>
        </w:rPr>
        <w:t>的潜在供应商应在</w:t>
      </w:r>
      <w:r>
        <w:rPr>
          <w:rFonts w:hint="eastAsia" w:ascii="宋体" w:hAnsi="宋体"/>
          <w:color w:val="auto"/>
          <w:szCs w:val="21"/>
          <w:highlight w:val="none"/>
          <w:u w:val="single"/>
          <w:lang w:eastAsia="zh-CN"/>
        </w:rPr>
        <w:t>广西政府采购云平台</w:t>
      </w:r>
      <w:r>
        <w:rPr>
          <w:rFonts w:hint="eastAsia" w:ascii="宋体" w:hAnsi="宋体" w:eastAsia="宋体" w:cs="宋体"/>
          <w:color w:val="auto"/>
          <w:sz w:val="21"/>
          <w:szCs w:val="21"/>
          <w:highlight w:val="none"/>
        </w:rPr>
        <w:t>获</w:t>
      </w:r>
      <w:r>
        <w:rPr>
          <w:rFonts w:hint="eastAsia" w:ascii="宋体" w:hAnsi="宋体" w:cs="宋体"/>
          <w:color w:val="auto"/>
          <w:sz w:val="21"/>
          <w:szCs w:val="21"/>
          <w:highlight w:val="none"/>
          <w:lang w:val="en-US" w:eastAsia="zh-CN"/>
        </w:rPr>
        <w:t>取采购</w:t>
      </w:r>
      <w:r>
        <w:rPr>
          <w:rFonts w:hint="eastAsia" w:ascii="宋体" w:hAnsi="宋体" w:eastAsia="宋体" w:cs="宋体"/>
          <w:color w:val="auto"/>
          <w:sz w:val="21"/>
          <w:szCs w:val="21"/>
          <w:highlight w:val="none"/>
        </w:rPr>
        <w:t>文件，并于</w:t>
      </w:r>
      <w:r>
        <w:rPr>
          <w:rFonts w:hint="eastAsia" w:ascii="宋体" w:hAnsi="宋体" w:cs="宋体"/>
          <w:color w:val="auto"/>
          <w:kern w:val="0"/>
          <w:szCs w:val="21"/>
          <w:highlight w:val="none"/>
          <w:u w:val="single"/>
          <w:lang w:val="en-US" w:eastAsia="zh-CN"/>
        </w:rPr>
        <w:t>2025年11月17日9点30分</w:t>
      </w:r>
      <w:r>
        <w:rPr>
          <w:rFonts w:hint="eastAsia" w:ascii="宋体" w:hAnsi="宋体" w:cs="宋体"/>
          <w:color w:val="auto"/>
          <w:kern w:val="0"/>
          <w:szCs w:val="21"/>
          <w:highlight w:val="none"/>
          <w:u w:val="single"/>
          <w:lang w:eastAsia="zh-CN"/>
        </w:rPr>
        <w:t>（北京时间）</w:t>
      </w:r>
      <w:r>
        <w:rPr>
          <w:rFonts w:hint="eastAsia" w:ascii="宋体" w:hAnsi="宋体" w:eastAsia="宋体" w:cs="宋体"/>
          <w:bCs/>
          <w:color w:val="auto"/>
          <w:sz w:val="21"/>
          <w:szCs w:val="21"/>
          <w:highlight w:val="none"/>
        </w:rPr>
        <w:t>前</w:t>
      </w:r>
      <w:r>
        <w:rPr>
          <w:rFonts w:hint="eastAsia" w:ascii="宋体" w:hAnsi="宋体" w:cs="宋体"/>
          <w:bCs/>
          <w:color w:val="auto"/>
          <w:sz w:val="21"/>
          <w:szCs w:val="21"/>
          <w:highlight w:val="none"/>
          <w:lang w:val="en-US" w:eastAsia="zh-CN"/>
        </w:rPr>
        <w:t>提</w:t>
      </w:r>
      <w:r>
        <w:rPr>
          <w:rFonts w:hint="eastAsia" w:ascii="宋体" w:hAnsi="宋体" w:eastAsia="宋体" w:cs="宋体"/>
          <w:bCs/>
          <w:color w:val="auto"/>
          <w:sz w:val="21"/>
          <w:szCs w:val="21"/>
          <w:highlight w:val="none"/>
        </w:rPr>
        <w:t>交响应文件</w:t>
      </w:r>
      <w:r>
        <w:rPr>
          <w:rFonts w:hint="eastAsia" w:ascii="宋体" w:hAnsi="宋体" w:eastAsia="宋体" w:cs="宋体"/>
          <w:color w:val="auto"/>
          <w:sz w:val="21"/>
          <w:szCs w:val="21"/>
          <w:highlight w:val="none"/>
        </w:rPr>
        <w:t>。</w:t>
      </w:r>
    </w:p>
    <w:p w14:paraId="434A1E6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bookmarkStart w:id="4" w:name="_Toc35393621"/>
      <w:bookmarkStart w:id="5" w:name="_Toc28359079"/>
      <w:bookmarkStart w:id="6" w:name="_Toc35393790"/>
      <w:bookmarkStart w:id="7" w:name="_Toc28359002"/>
      <w:bookmarkStart w:id="8" w:name="_Hlk24379207"/>
      <w:r>
        <w:rPr>
          <w:rFonts w:hint="eastAsia" w:ascii="宋体" w:hAnsi="宋体" w:eastAsia="宋体" w:cs="宋体"/>
          <w:b/>
          <w:bCs/>
          <w:color w:val="auto"/>
          <w:sz w:val="21"/>
          <w:szCs w:val="21"/>
          <w:highlight w:val="none"/>
        </w:rPr>
        <w:t>一、项目基本情况</w:t>
      </w:r>
      <w:bookmarkEnd w:id="4"/>
      <w:bookmarkEnd w:id="5"/>
      <w:bookmarkEnd w:id="6"/>
      <w:bookmarkEnd w:id="7"/>
    </w:p>
    <w:p w14:paraId="194CDA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FCZC2025-C2-020053-GXXH</w:t>
      </w:r>
    </w:p>
    <w:p w14:paraId="7E109D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color="auto"/>
        </w:rPr>
      </w:pPr>
      <w:r>
        <w:rPr>
          <w:rFonts w:hint="eastAsia" w:ascii="宋体" w:hAnsi="宋体" w:eastAsia="宋体" w:cs="宋体"/>
          <w:color w:val="auto"/>
          <w:sz w:val="21"/>
          <w:szCs w:val="21"/>
          <w:highlight w:val="none"/>
          <w:u w:val="none" w:color="auto"/>
        </w:rPr>
        <w:t>项目名称：</w:t>
      </w:r>
      <w:bookmarkEnd w:id="8"/>
      <w:r>
        <w:rPr>
          <w:rFonts w:hint="eastAsia" w:ascii="宋体" w:hAnsi="宋体" w:cs="宋体"/>
          <w:color w:val="auto"/>
          <w:sz w:val="21"/>
          <w:szCs w:val="21"/>
          <w:highlight w:val="none"/>
          <w:u w:val="none"/>
          <w:lang w:val="en-US" w:eastAsia="zh-CN"/>
        </w:rPr>
        <w:t>港口区福利院配套项目</w:t>
      </w:r>
    </w:p>
    <w:p w14:paraId="355F96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color="auto"/>
          <w:lang w:eastAsia="zh-CN"/>
        </w:rPr>
      </w:pPr>
      <w:r>
        <w:rPr>
          <w:rFonts w:hint="eastAsia" w:ascii="宋体" w:hAnsi="宋体" w:eastAsia="宋体" w:cs="宋体"/>
          <w:color w:val="auto"/>
          <w:sz w:val="21"/>
          <w:szCs w:val="21"/>
          <w:highlight w:val="none"/>
          <w:u w:val="none" w:color="auto"/>
        </w:rPr>
        <w:t>采购方式：</w:t>
      </w:r>
      <w:r>
        <w:rPr>
          <w:rFonts w:hint="eastAsia" w:ascii="宋体" w:hAnsi="宋体" w:eastAsia="宋体" w:cs="宋体"/>
          <w:color w:val="auto"/>
          <w:sz w:val="21"/>
          <w:szCs w:val="21"/>
          <w:highlight w:val="none"/>
          <w:u w:val="none" w:color="auto"/>
          <w:lang w:eastAsia="zh-CN"/>
        </w:rPr>
        <w:t>□</w:t>
      </w:r>
      <w:r>
        <w:rPr>
          <w:rFonts w:hint="eastAsia" w:ascii="宋体" w:hAnsi="宋体" w:eastAsia="宋体" w:cs="宋体"/>
          <w:color w:val="auto"/>
          <w:sz w:val="21"/>
          <w:szCs w:val="21"/>
          <w:highlight w:val="none"/>
          <w:u w:val="none" w:color="auto"/>
        </w:rPr>
        <w:t xml:space="preserve"> 竞争性</w:t>
      </w:r>
      <w:r>
        <w:rPr>
          <w:rFonts w:hint="eastAsia" w:ascii="宋体" w:hAnsi="宋体" w:cs="宋体"/>
          <w:color w:val="auto"/>
          <w:sz w:val="21"/>
          <w:szCs w:val="21"/>
          <w:highlight w:val="none"/>
          <w:u w:val="none" w:color="auto"/>
          <w:lang w:val="en-US" w:eastAsia="zh-CN"/>
        </w:rPr>
        <w:t>谈判</w:t>
      </w:r>
      <w:r>
        <w:rPr>
          <w:rFonts w:hint="eastAsia" w:ascii="宋体" w:hAnsi="宋体" w:eastAsia="宋体" w:cs="宋体"/>
          <w:color w:val="auto"/>
          <w:sz w:val="21"/>
          <w:szCs w:val="21"/>
          <w:highlight w:val="none"/>
          <w:u w:val="none" w:color="auto"/>
        </w:rPr>
        <w:t xml:space="preserve"> </w:t>
      </w:r>
      <w:r>
        <w:rPr>
          <w:rFonts w:hint="eastAsia" w:ascii="宋体" w:hAnsi="宋体" w:cs="宋体"/>
          <w:color w:val="auto"/>
          <w:sz w:val="21"/>
          <w:szCs w:val="21"/>
          <w:highlight w:val="none"/>
          <w:u w:val="none" w:color="auto"/>
          <w:lang w:eastAsia="zh-CN"/>
        </w:rPr>
        <w:t>☑</w:t>
      </w:r>
      <w:r>
        <w:rPr>
          <w:rFonts w:hint="eastAsia" w:ascii="宋体" w:hAnsi="宋体" w:eastAsia="宋体" w:cs="宋体"/>
          <w:color w:val="auto"/>
          <w:sz w:val="21"/>
          <w:szCs w:val="21"/>
          <w:highlight w:val="none"/>
          <w:u w:val="none" w:color="auto"/>
        </w:rPr>
        <w:t>竞争性磋商 □询价</w:t>
      </w:r>
    </w:p>
    <w:p w14:paraId="22EE5416">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rPr>
        <w:t>预算金额：</w:t>
      </w:r>
      <w:r>
        <w:rPr>
          <w:rFonts w:hint="eastAsia" w:ascii="宋体" w:hAnsi="宋体" w:eastAsia="宋体" w:cs="宋体"/>
          <w:color w:val="auto"/>
          <w:sz w:val="21"/>
          <w:szCs w:val="21"/>
          <w:highlight w:val="none"/>
          <w:u w:val="none" w:color="auto"/>
          <w:lang w:eastAsia="zh-CN"/>
        </w:rPr>
        <w:t>人民币</w:t>
      </w:r>
      <w:r>
        <w:rPr>
          <w:rFonts w:hint="eastAsia" w:ascii="宋体" w:hAnsi="宋体" w:cs="宋体"/>
          <w:color w:val="auto"/>
          <w:sz w:val="21"/>
          <w:szCs w:val="21"/>
          <w:highlight w:val="none"/>
          <w:u w:val="none" w:color="auto"/>
          <w:lang w:val="en-US" w:eastAsia="zh-CN"/>
        </w:rPr>
        <w:t>壹佰伍拾叁万捌仟伍佰陆拾捌元陆角贰分</w:t>
      </w:r>
      <w:r>
        <w:rPr>
          <w:rFonts w:hint="eastAsia" w:ascii="宋体" w:hAnsi="宋体" w:eastAsia="宋体" w:cs="宋体"/>
          <w:color w:val="auto"/>
          <w:sz w:val="21"/>
          <w:szCs w:val="21"/>
          <w:highlight w:val="none"/>
          <w:u w:val="none" w:color="auto"/>
          <w:lang w:val="en-US" w:eastAsia="zh-CN"/>
        </w:rPr>
        <w:t>（¥1538565.62）</w:t>
      </w:r>
    </w:p>
    <w:p w14:paraId="164CFAD1">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rPr>
        <w:t>最高限价</w:t>
      </w:r>
      <w:r>
        <w:rPr>
          <w:rFonts w:hint="eastAsia" w:ascii="宋体" w:hAnsi="宋体" w:eastAsia="宋体" w:cs="宋体"/>
          <w:color w:val="auto"/>
          <w:sz w:val="21"/>
          <w:szCs w:val="21"/>
          <w:highlight w:val="none"/>
          <w:u w:val="none" w:color="auto"/>
          <w:lang w:eastAsia="zh-CN"/>
        </w:rPr>
        <w:t>：</w:t>
      </w:r>
      <w:r>
        <w:rPr>
          <w:rFonts w:hint="eastAsia" w:ascii="宋体" w:hAnsi="宋体" w:cs="宋体"/>
          <w:color w:val="auto"/>
          <w:sz w:val="21"/>
          <w:szCs w:val="21"/>
          <w:highlight w:val="none"/>
          <w:u w:val="none" w:color="auto"/>
          <w:lang w:eastAsia="zh-CN"/>
        </w:rPr>
        <w:t>人民币壹佰伍拾叁万捌仟伍佰陆拾捌元陆角贰分（¥1538565.62）</w:t>
      </w:r>
    </w:p>
    <w:p w14:paraId="72966B1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u w:val="none" w:color="auto"/>
        </w:rPr>
      </w:pPr>
      <w:r>
        <w:rPr>
          <w:rFonts w:hint="eastAsia" w:ascii="宋体" w:hAnsi="宋体" w:eastAsia="宋体" w:cs="宋体"/>
          <w:color w:val="auto"/>
          <w:sz w:val="21"/>
          <w:szCs w:val="21"/>
          <w:highlight w:val="none"/>
          <w:u w:val="none" w:color="auto"/>
        </w:rPr>
        <w:t>采购需求：</w:t>
      </w:r>
    </w:p>
    <w:tbl>
      <w:tblPr>
        <w:tblStyle w:val="22"/>
        <w:tblW w:w="89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9"/>
        <w:gridCol w:w="1715"/>
        <w:gridCol w:w="1035"/>
        <w:gridCol w:w="5496"/>
      </w:tblGrid>
      <w:tr w14:paraId="797F2F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14:paraId="5DD4D7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highlight w:val="none"/>
              </w:rPr>
            </w:pPr>
            <w:r>
              <w:rPr>
                <w:rFonts w:hint="eastAsia"/>
                <w:color w:val="auto"/>
                <w:highlight w:val="none"/>
              </w:rPr>
              <w:t>序号</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2576EB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highlight w:val="none"/>
              </w:rPr>
            </w:pPr>
            <w:r>
              <w:rPr>
                <w:rFonts w:hint="eastAsia"/>
                <w:color w:val="auto"/>
                <w:highlight w:val="none"/>
              </w:rPr>
              <w:t>标的名称</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81186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highlight w:val="none"/>
              </w:rPr>
            </w:pPr>
            <w:r>
              <w:rPr>
                <w:rFonts w:hint="eastAsia"/>
                <w:color w:val="auto"/>
                <w:highlight w:val="none"/>
              </w:rPr>
              <w:t>数量及单位</w:t>
            </w:r>
          </w:p>
        </w:tc>
        <w:tc>
          <w:tcPr>
            <w:tcW w:w="5496" w:type="dxa"/>
            <w:tcBorders>
              <w:top w:val="single" w:color="auto" w:sz="4" w:space="0"/>
              <w:left w:val="single" w:color="auto" w:sz="4" w:space="0"/>
              <w:bottom w:val="single" w:color="auto" w:sz="4" w:space="0"/>
              <w:right w:val="single" w:color="auto" w:sz="4" w:space="0"/>
            </w:tcBorders>
            <w:noWrap w:val="0"/>
            <w:vAlign w:val="center"/>
          </w:tcPr>
          <w:p w14:paraId="5A8371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highlight w:val="none"/>
              </w:rPr>
            </w:pPr>
            <w:r>
              <w:rPr>
                <w:rFonts w:hint="eastAsia"/>
                <w:color w:val="auto"/>
                <w:highlight w:val="none"/>
              </w:rPr>
              <w:t>简要技术需求</w:t>
            </w:r>
          </w:p>
        </w:tc>
      </w:tr>
      <w:tr w14:paraId="110CC6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14:paraId="210669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olor w:val="auto"/>
                <w:szCs w:val="21"/>
                <w:highlight w:val="none"/>
              </w:rPr>
            </w:pPr>
            <w:r>
              <w:rPr>
                <w:rFonts w:hint="eastAsia" w:ascii="宋体" w:hAnsi="宋体"/>
                <w:color w:val="auto"/>
                <w:szCs w:val="21"/>
                <w:highlight w:val="none"/>
              </w:rPr>
              <w:t>01</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64CE4F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olor w:val="auto"/>
                <w:szCs w:val="21"/>
                <w:highlight w:val="none"/>
              </w:rPr>
            </w:pPr>
            <w:r>
              <w:rPr>
                <w:rFonts w:hint="eastAsia" w:ascii="宋体" w:hAnsi="宋体" w:cs="宋体"/>
                <w:color w:val="auto"/>
                <w:sz w:val="21"/>
                <w:szCs w:val="21"/>
                <w:highlight w:val="none"/>
                <w:u w:val="none"/>
                <w:lang w:val="en-US" w:eastAsia="zh-CN"/>
              </w:rPr>
              <w:t>港口区福利院配套项目</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82CA1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1项</w:t>
            </w:r>
          </w:p>
        </w:tc>
        <w:tc>
          <w:tcPr>
            <w:tcW w:w="5496" w:type="dxa"/>
            <w:tcBorders>
              <w:top w:val="single" w:color="auto" w:sz="4" w:space="0"/>
              <w:left w:val="single" w:color="auto" w:sz="4" w:space="0"/>
              <w:bottom w:val="single" w:color="auto" w:sz="4" w:space="0"/>
              <w:right w:val="single" w:color="auto" w:sz="4" w:space="0"/>
            </w:tcBorders>
            <w:noWrap w:val="0"/>
            <w:vAlign w:val="center"/>
          </w:tcPr>
          <w:p w14:paraId="4B6CDAC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u w:val="none" w:color="auto"/>
                <w:lang w:eastAsia="zh-CN"/>
              </w:rPr>
            </w:pPr>
            <w:r>
              <w:rPr>
                <w:rFonts w:hint="eastAsia" w:ascii="宋体" w:hAnsi="宋体" w:eastAsia="宋体" w:cs="宋体"/>
                <w:color w:val="auto"/>
                <w:sz w:val="21"/>
                <w:szCs w:val="21"/>
                <w:highlight w:val="none"/>
                <w:u w:val="none"/>
                <w:lang w:val="en-US" w:eastAsia="zh-CN"/>
              </w:rPr>
              <w:t xml:space="preserve">    本工程建设地点位于防城港市港口区福利院内，为港口区福利院附属工程，主要建设总平硬化铺设、围墙、绿化、总平电气及总平给排水等工程。</w:t>
            </w:r>
          </w:p>
        </w:tc>
      </w:tr>
    </w:tbl>
    <w:p w14:paraId="09FB6C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合同履行期限：</w:t>
      </w:r>
      <w:r>
        <w:rPr>
          <w:rFonts w:hint="eastAsia" w:ascii="宋体" w:hAnsi="宋体" w:cs="宋体"/>
          <w:color w:val="auto"/>
          <w:sz w:val="21"/>
          <w:szCs w:val="21"/>
          <w:highlight w:val="none"/>
          <w:lang w:val="en-US" w:eastAsia="zh-CN"/>
        </w:rPr>
        <w:t>工期要求</w:t>
      </w:r>
      <w:r>
        <w:rPr>
          <w:rFonts w:hint="eastAsia" w:ascii="宋体" w:hAnsi="宋体" w:cs="宋体"/>
          <w:b/>
          <w:bCs/>
          <w:color w:val="auto"/>
          <w:sz w:val="21"/>
          <w:szCs w:val="21"/>
          <w:highlight w:val="none"/>
          <w:u w:val="single"/>
          <w:lang w:val="en-US" w:eastAsia="zh-CN"/>
        </w:rPr>
        <w:t>90日历天</w:t>
      </w:r>
      <w:r>
        <w:rPr>
          <w:rFonts w:hint="eastAsia" w:ascii="宋体" w:hAnsi="宋体" w:eastAsia="宋体" w:cs="宋体"/>
          <w:b/>
          <w:bCs/>
          <w:color w:val="auto"/>
          <w:sz w:val="21"/>
          <w:szCs w:val="21"/>
          <w:highlight w:val="none"/>
        </w:rPr>
        <w:t>。</w:t>
      </w:r>
    </w:p>
    <w:p w14:paraId="62FC93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不</w:t>
      </w:r>
      <w:r>
        <w:rPr>
          <w:rFonts w:hint="eastAsia" w:ascii="宋体" w:hAnsi="宋体" w:eastAsia="宋体" w:cs="宋体"/>
          <w:color w:val="auto"/>
          <w:sz w:val="21"/>
          <w:szCs w:val="21"/>
          <w:highlight w:val="none"/>
        </w:rPr>
        <w:t>接受联合体。</w:t>
      </w:r>
    </w:p>
    <w:p w14:paraId="6DB22D9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二、申请人的资格要求：</w:t>
      </w:r>
    </w:p>
    <w:p w14:paraId="361472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7A294B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2.落实政府采购政策需满足的资格要求：</w:t>
      </w:r>
      <w:r>
        <w:rPr>
          <w:rFonts w:hint="eastAsia" w:ascii="宋体" w:hAnsi="宋体" w:cs="宋体"/>
          <w:b/>
          <w:bCs/>
          <w:color w:val="auto"/>
          <w:sz w:val="21"/>
          <w:szCs w:val="21"/>
          <w:highlight w:val="none"/>
          <w:lang w:eastAsia="zh-CN"/>
        </w:rPr>
        <w:t>本项目为专门面向中小企业采购的项目</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供应商应为</w:t>
      </w:r>
      <w:r>
        <w:rPr>
          <w:rFonts w:hint="eastAsia" w:ascii="宋体" w:hAnsi="宋体" w:cs="宋体"/>
          <w:b/>
          <w:bCs/>
          <w:color w:val="auto"/>
          <w:sz w:val="21"/>
          <w:szCs w:val="21"/>
          <w:highlight w:val="none"/>
          <w:lang w:val="en-US" w:eastAsia="zh-CN"/>
        </w:rPr>
        <w:t>中</w:t>
      </w:r>
      <w:r>
        <w:rPr>
          <w:rFonts w:hint="eastAsia" w:ascii="宋体" w:hAnsi="宋体" w:eastAsia="宋体" w:cs="宋体"/>
          <w:b/>
          <w:bCs/>
          <w:color w:val="auto"/>
          <w:sz w:val="21"/>
          <w:szCs w:val="21"/>
          <w:highlight w:val="none"/>
        </w:rPr>
        <w:t>小微企业或监狱企业或残疾人福利性单位</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kern w:val="0"/>
          <w:szCs w:val="21"/>
          <w:highlight w:val="none"/>
          <w:lang w:val="en-US" w:eastAsia="zh-CN"/>
        </w:rPr>
        <w:t>。供应商必须提供中小企业声明函或者残疾人福利性单位声明函或者供应商属于监狱企业的需提供由省级以上监狱管理局、戒毒管理局（含新疆生产建设兵团）出具的属于监狱企业的证明文件</w:t>
      </w:r>
      <w:r>
        <w:rPr>
          <w:rFonts w:hint="eastAsia" w:ascii="宋体" w:hAnsi="宋体" w:cs="宋体"/>
          <w:color w:val="auto"/>
          <w:kern w:val="0"/>
          <w:szCs w:val="21"/>
          <w:highlight w:val="none"/>
          <w:lang w:val="en-US" w:eastAsia="zh-CN"/>
        </w:rPr>
        <w:t>；</w:t>
      </w:r>
    </w:p>
    <w:p w14:paraId="348DBB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3.本项目的特定资格要求：</w:t>
      </w:r>
    </w:p>
    <w:p w14:paraId="3C1F2F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本项目供应商企业资质要求具备</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市政公用工程施工总承包</w:t>
      </w:r>
      <w:r>
        <w:rPr>
          <w:rFonts w:hint="eastAsia" w:ascii="宋体" w:hAnsi="宋体" w:cs="宋体"/>
          <w:b/>
          <w:bCs/>
          <w:color w:val="auto"/>
          <w:szCs w:val="21"/>
          <w:highlight w:val="none"/>
        </w:rPr>
        <w:t>”三级以上（含三级）资质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并</w:t>
      </w:r>
      <w:r>
        <w:rPr>
          <w:rFonts w:hint="eastAsia" w:ascii="宋体" w:hAnsi="宋体" w:eastAsia="宋体" w:cs="宋体"/>
          <w:color w:val="auto"/>
          <w:szCs w:val="21"/>
          <w:highlight w:val="none"/>
        </w:rPr>
        <w:t>具有有效的</w:t>
      </w:r>
      <w:bookmarkStart w:id="9" w:name="OLE_LINK4"/>
      <w:r>
        <w:rPr>
          <w:rFonts w:hint="eastAsia" w:ascii="宋体" w:hAnsi="宋体" w:eastAsia="宋体" w:cs="宋体"/>
          <w:color w:val="auto"/>
          <w:szCs w:val="21"/>
          <w:highlight w:val="none"/>
          <w:lang w:val="en-US" w:eastAsia="zh-CN"/>
        </w:rPr>
        <w:t>企业</w:t>
      </w:r>
      <w:r>
        <w:rPr>
          <w:rFonts w:hint="eastAsia" w:ascii="宋体" w:hAnsi="宋体" w:eastAsia="宋体" w:cs="宋体"/>
          <w:color w:val="auto"/>
          <w:szCs w:val="21"/>
          <w:highlight w:val="none"/>
        </w:rPr>
        <w:t>安全生产许可证</w:t>
      </w:r>
      <w:bookmarkEnd w:id="9"/>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且</w:t>
      </w:r>
      <w:r>
        <w:rPr>
          <w:rFonts w:hint="eastAsia" w:ascii="宋体" w:hAnsi="宋体" w:eastAsia="宋体" w:cs="宋体"/>
          <w:color w:val="auto"/>
          <w:szCs w:val="21"/>
          <w:highlight w:val="none"/>
        </w:rPr>
        <w:t>在人员、设备、资金等方面具有相应的施工能力</w:t>
      </w:r>
      <w:r>
        <w:rPr>
          <w:rFonts w:hint="eastAsia" w:ascii="宋体" w:hAnsi="宋体" w:eastAsia="宋体" w:cs="宋体"/>
          <w:color w:val="auto"/>
          <w:szCs w:val="21"/>
          <w:highlight w:val="none"/>
          <w:lang w:val="en-US" w:eastAsia="zh-CN"/>
        </w:rPr>
        <w:t>；</w:t>
      </w:r>
    </w:p>
    <w:p w14:paraId="6A49A8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szCs w:val="21"/>
          <w:highlight w:val="none"/>
        </w:rPr>
        <w:t>拟派项目经理资格要求具备</w:t>
      </w:r>
      <w:r>
        <w:rPr>
          <w:rFonts w:hint="eastAsia" w:ascii="宋体" w:hAnsi="宋体" w:cs="宋体"/>
          <w:b/>
          <w:bCs/>
          <w:color w:val="auto"/>
          <w:szCs w:val="21"/>
          <w:highlight w:val="none"/>
          <w:lang w:val="en-US" w:eastAsia="zh-CN"/>
        </w:rPr>
        <w:t>市政公用工程</w:t>
      </w:r>
      <w:r>
        <w:rPr>
          <w:rFonts w:hint="eastAsia" w:ascii="宋体" w:hAnsi="宋体" w:eastAsia="宋体" w:cs="宋体"/>
          <w:color w:val="auto"/>
          <w:sz w:val="21"/>
          <w:szCs w:val="21"/>
          <w:highlight w:val="none"/>
          <w:lang w:val="zh-CN" w:eastAsia="zh-CN" w:bidi="zh-CN"/>
        </w:rPr>
        <w:t>专业贰级以上（含贰级）</w:t>
      </w:r>
      <w:r>
        <w:rPr>
          <w:rFonts w:hint="eastAsia" w:ascii="宋体" w:hAnsi="宋体" w:eastAsia="宋体" w:cs="宋体"/>
          <w:color w:val="auto"/>
          <w:szCs w:val="21"/>
          <w:highlight w:val="none"/>
        </w:rPr>
        <w:t>注册建造师证书，并持有效的安全生产考核合格证书（B证），为</w:t>
      </w:r>
      <w:r>
        <w:rPr>
          <w:rFonts w:hint="eastAsia"/>
          <w:color w:val="auto"/>
          <w:lang w:val="en-US" w:eastAsia="zh-CN"/>
        </w:rPr>
        <w:t>供应商</w:t>
      </w:r>
      <w:bookmarkStart w:id="10" w:name="OLE_LINK36"/>
      <w:r>
        <w:rPr>
          <w:rFonts w:hint="eastAsia" w:ascii="宋体" w:hAnsi="宋体" w:eastAsia="宋体" w:cs="宋体"/>
          <w:color w:val="auto"/>
          <w:szCs w:val="21"/>
          <w:highlight w:val="none"/>
        </w:rPr>
        <w:t>本单位的在岗人</w:t>
      </w:r>
      <w:bookmarkEnd w:id="10"/>
      <w:r>
        <w:rPr>
          <w:rFonts w:hint="eastAsia" w:ascii="宋体" w:hAnsi="宋体" w:eastAsia="宋体" w:cs="宋体"/>
          <w:color w:val="auto"/>
          <w:szCs w:val="21"/>
          <w:highlight w:val="none"/>
        </w:rPr>
        <w:t>员，且未担任其他在建项目或已中标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未开工项目或已列为项目第一</w:t>
      </w:r>
      <w:r>
        <w:rPr>
          <w:rFonts w:hint="eastAsia" w:ascii="宋体" w:hAnsi="宋体" w:cs="宋体"/>
          <w:color w:val="auto"/>
          <w:szCs w:val="21"/>
          <w:highlight w:val="none"/>
          <w:lang w:val="en-US" w:eastAsia="zh-CN"/>
        </w:rPr>
        <w:t>中标（成交）</w:t>
      </w:r>
      <w:r>
        <w:rPr>
          <w:rFonts w:hint="eastAsia" w:ascii="宋体" w:hAnsi="宋体" w:eastAsia="宋体" w:cs="宋体"/>
          <w:color w:val="auto"/>
          <w:szCs w:val="21"/>
          <w:highlight w:val="none"/>
        </w:rPr>
        <w:t>候选人项目的项目经理</w:t>
      </w:r>
      <w:r>
        <w:rPr>
          <w:rFonts w:hint="eastAsia" w:ascii="宋体" w:hAnsi="宋体" w:eastAsia="宋体" w:cs="宋体"/>
          <w:color w:val="auto"/>
          <w:szCs w:val="21"/>
          <w:highlight w:val="none"/>
          <w:lang w:eastAsia="zh-CN"/>
        </w:rPr>
        <w:t>。</w:t>
      </w:r>
    </w:p>
    <w:p w14:paraId="1309D66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三、获取采购文件</w:t>
      </w:r>
    </w:p>
    <w:p w14:paraId="4D58EA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时间：</w:t>
      </w:r>
      <w:r>
        <w:rPr>
          <w:rFonts w:hint="eastAsia" w:ascii="宋体" w:hAnsi="宋体" w:cs="宋体"/>
          <w:color w:val="auto"/>
          <w:kern w:val="0"/>
          <w:szCs w:val="21"/>
          <w:highlight w:val="none"/>
          <w:u w:val="none"/>
          <w:lang w:val="en-US" w:eastAsia="zh-CN"/>
        </w:rPr>
        <w:t>2025年11月4日至2025年11月11日，</w:t>
      </w:r>
      <w:r>
        <w:rPr>
          <w:rFonts w:hint="eastAsia" w:ascii="宋体" w:hAnsi="宋体" w:eastAsia="宋体" w:cs="宋体"/>
          <w:bCs/>
          <w:color w:val="auto"/>
          <w:kern w:val="0"/>
          <w:szCs w:val="21"/>
          <w:highlight w:val="none"/>
        </w:rPr>
        <w:t>每天上午</w:t>
      </w:r>
      <w:r>
        <w:rPr>
          <w:rFonts w:hint="eastAsia" w:ascii="宋体" w:hAnsi="宋体" w:cs="宋体"/>
          <w:color w:val="auto"/>
          <w:szCs w:val="21"/>
          <w:highlight w:val="none"/>
          <w:lang w:val="en-US" w:eastAsia="zh-CN"/>
        </w:rPr>
        <w:t>00</w:t>
      </w:r>
      <w:r>
        <w:rPr>
          <w:rFonts w:hint="eastAsia" w:ascii="宋体" w:hAnsi="宋体" w:eastAsia="宋体" w:cs="宋体"/>
          <w:color w:val="auto"/>
          <w:szCs w:val="21"/>
          <w:highlight w:val="none"/>
        </w:rPr>
        <w:t>：00</w:t>
      </w:r>
      <w:r>
        <w:rPr>
          <w:rFonts w:hint="eastAsia" w:ascii="宋体" w:hAnsi="宋体" w:cs="宋体"/>
          <w:color w:val="auto"/>
          <w:szCs w:val="21"/>
          <w:highlight w:val="none"/>
        </w:rPr>
        <w:t>至</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59</w:t>
      </w:r>
      <w:r>
        <w:rPr>
          <w:rFonts w:hint="eastAsia" w:ascii="宋体" w:hAnsi="宋体" w:eastAsia="宋体" w:cs="宋体"/>
          <w:bCs/>
          <w:color w:val="auto"/>
          <w:kern w:val="0"/>
          <w:szCs w:val="21"/>
          <w:highlight w:val="none"/>
        </w:rPr>
        <w:t>，</w:t>
      </w:r>
      <w:r>
        <w:rPr>
          <w:rFonts w:hint="eastAsia" w:ascii="宋体" w:hAnsi="宋体" w:cs="宋体"/>
          <w:color w:val="auto"/>
          <w:szCs w:val="21"/>
          <w:highlight w:val="none"/>
        </w:rPr>
        <w:t>下午</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：00</w:t>
      </w:r>
      <w:r>
        <w:rPr>
          <w:rFonts w:hint="eastAsia" w:ascii="宋体" w:hAnsi="宋体" w:cs="宋体"/>
          <w:color w:val="auto"/>
          <w:szCs w:val="21"/>
          <w:highlight w:val="none"/>
        </w:rPr>
        <w:t>至</w:t>
      </w:r>
      <w:r>
        <w:rPr>
          <w:rFonts w:hint="eastAsia" w:ascii="宋体" w:hAnsi="宋体" w:cs="宋体"/>
          <w:color w:val="auto"/>
          <w:szCs w:val="21"/>
          <w:highlight w:val="none"/>
          <w:lang w:val="en-US" w:eastAsia="zh-CN"/>
        </w:rPr>
        <w:t>23</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59</w:t>
      </w:r>
      <w:r>
        <w:rPr>
          <w:rFonts w:hint="eastAsia" w:ascii="宋体" w:hAnsi="宋体" w:eastAsia="宋体" w:cs="宋体"/>
          <w:bCs/>
          <w:color w:val="auto"/>
          <w:kern w:val="0"/>
          <w:szCs w:val="21"/>
          <w:highlight w:val="none"/>
        </w:rPr>
        <w:t>（北京时间，法定节假日除外）</w:t>
      </w:r>
      <w:r>
        <w:rPr>
          <w:rFonts w:hint="eastAsia" w:ascii="宋体" w:hAnsi="宋体" w:eastAsia="宋体" w:cs="宋体"/>
          <w:color w:val="auto"/>
          <w:kern w:val="0"/>
          <w:sz w:val="21"/>
          <w:szCs w:val="21"/>
          <w:highlight w:val="none"/>
          <w:lang w:eastAsia="zh-CN"/>
        </w:rPr>
        <w:t>；</w:t>
      </w:r>
    </w:p>
    <w:p w14:paraId="3D92D2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地点：</w:t>
      </w:r>
      <w:r>
        <w:rPr>
          <w:rFonts w:hint="eastAsia" w:ascii="宋体" w:hAnsi="宋体"/>
          <w:color w:val="auto"/>
          <w:szCs w:val="21"/>
          <w:highlight w:val="none"/>
          <w:u w:val="none"/>
          <w:lang w:eastAsia="zh-CN"/>
        </w:rPr>
        <w:t>广西政府采购云平台</w:t>
      </w:r>
      <w:r>
        <w:rPr>
          <w:rFonts w:hint="eastAsia" w:ascii="宋体" w:hAnsi="宋体" w:eastAsia="宋体" w:cs="宋体"/>
          <w:color w:val="auto"/>
          <w:kern w:val="0"/>
          <w:sz w:val="21"/>
          <w:szCs w:val="21"/>
          <w:highlight w:val="none"/>
        </w:rPr>
        <w:t>；</w:t>
      </w:r>
    </w:p>
    <w:p w14:paraId="6F107C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方式：网上下载。本项目不发放纸质采购文件，</w:t>
      </w:r>
      <w:r>
        <w:rPr>
          <w:rFonts w:hint="eastAsia" w:ascii="宋体" w:hAnsi="宋体" w:eastAsia="宋体" w:cs="宋体"/>
          <w:color w:val="auto"/>
          <w:kern w:val="0"/>
          <w:szCs w:val="21"/>
          <w:highlight w:val="none"/>
          <w:lang w:eastAsia="zh-CN"/>
        </w:rPr>
        <w:t>潜在</w:t>
      </w:r>
      <w:r>
        <w:rPr>
          <w:rFonts w:hint="eastAsia" w:ascii="宋体" w:hAnsi="宋体" w:eastAsia="宋体" w:cs="宋体"/>
          <w:color w:val="auto"/>
          <w:kern w:val="0"/>
          <w:szCs w:val="21"/>
          <w:highlight w:val="none"/>
        </w:rPr>
        <w:t>供应商可自行在</w:t>
      </w:r>
      <w:r>
        <w:rPr>
          <w:rFonts w:hint="eastAsia" w:ascii="宋体" w:hAnsi="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rPr>
        <w:t>下载采购文件（操作路径：登录</w:t>
      </w:r>
      <w:r>
        <w:rPr>
          <w:rFonts w:hint="eastAsia" w:ascii="宋体" w:hAnsi="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rPr>
        <w:t>-项目采购-获取采购文件-找到本项目-点击“申请获取采购文件”），电子响应文件制作需要基于</w:t>
      </w:r>
      <w:r>
        <w:rPr>
          <w:rFonts w:hint="eastAsia" w:ascii="宋体" w:hAnsi="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rPr>
        <w:t>获取的采购文件编制。</w:t>
      </w:r>
    </w:p>
    <w:p w14:paraId="3C54F3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售价：人民币0元。 </w:t>
      </w:r>
    </w:p>
    <w:p w14:paraId="76B6CEE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四、响应文件提交：</w:t>
      </w:r>
    </w:p>
    <w:p w14:paraId="530770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首次响应文件提交截止时间</w:t>
      </w:r>
      <w:r>
        <w:rPr>
          <w:rFonts w:hint="eastAsia" w:ascii="宋体" w:hAnsi="宋体" w:cs="宋体"/>
          <w:color w:val="auto"/>
          <w:kern w:val="0"/>
          <w:szCs w:val="21"/>
          <w:highlight w:val="none"/>
          <w:u w:val="single"/>
          <w:lang w:val="en-US" w:eastAsia="zh-CN"/>
        </w:rPr>
        <w:t>：2025年11月17日9点30分（</w:t>
      </w:r>
      <w:r>
        <w:rPr>
          <w:rFonts w:hint="eastAsia" w:ascii="宋体" w:hAnsi="宋体" w:eastAsia="宋体" w:cs="宋体"/>
          <w:bCs/>
          <w:color w:val="auto"/>
          <w:sz w:val="21"/>
          <w:szCs w:val="21"/>
          <w:highlight w:val="none"/>
        </w:rPr>
        <w:t>北京时间）</w:t>
      </w:r>
      <w:r>
        <w:rPr>
          <w:rFonts w:hint="eastAsia" w:ascii="宋体" w:hAnsi="宋体" w:eastAsia="宋体" w:cs="宋体"/>
          <w:bCs/>
          <w:color w:val="auto"/>
          <w:sz w:val="21"/>
          <w:szCs w:val="21"/>
          <w:highlight w:val="none"/>
          <w:lang w:eastAsia="zh-CN"/>
        </w:rPr>
        <w:t>；</w:t>
      </w:r>
    </w:p>
    <w:p w14:paraId="54F8DD7E">
      <w:pPr>
        <w:keepNext w:val="0"/>
        <w:keepLines w:val="0"/>
        <w:pageBreakBefore w:val="0"/>
        <w:widowControl w:val="0"/>
        <w:kinsoku/>
        <w:wordWrap/>
        <w:overflowPunct/>
        <w:topLinePunct w:val="0"/>
        <w:autoSpaceDE/>
        <w:autoSpaceDN/>
        <w:bidi w:val="0"/>
        <w:adjustRightInd/>
        <w:snapToGrid/>
        <w:spacing w:line="360" w:lineRule="auto"/>
        <w:ind w:right="15" w:rightChars="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首次响应文件提交地点：</w:t>
      </w:r>
      <w:r>
        <w:rPr>
          <w:rFonts w:hint="eastAsia" w:ascii="宋体" w:hAnsi="宋体" w:eastAsia="宋体" w:cs="宋体"/>
          <w:color w:val="auto"/>
          <w:sz w:val="21"/>
          <w:szCs w:val="21"/>
          <w:highlight w:val="none"/>
          <w:u w:val="single"/>
        </w:rPr>
        <w:t>通过</w:t>
      </w:r>
      <w:r>
        <w:rPr>
          <w:rFonts w:hint="eastAsia" w:ascii="宋体" w:hAnsi="宋体" w:cs="宋体"/>
          <w:color w:val="auto"/>
          <w:sz w:val="21"/>
          <w:szCs w:val="21"/>
          <w:highlight w:val="none"/>
          <w:u w:val="single"/>
          <w:lang w:val="en-US" w:eastAsia="zh-CN"/>
        </w:rPr>
        <w:t>广西政府采购云平台</w:t>
      </w:r>
      <w:r>
        <w:rPr>
          <w:rFonts w:hint="eastAsia" w:ascii="宋体" w:hAnsi="宋体" w:eastAsia="宋体" w:cs="宋体"/>
          <w:color w:val="auto"/>
          <w:sz w:val="21"/>
          <w:szCs w:val="21"/>
          <w:highlight w:val="none"/>
          <w:u w:val="single"/>
        </w:rPr>
        <w:t>在线提交</w:t>
      </w:r>
      <w:r>
        <w:rPr>
          <w:rFonts w:hint="eastAsia" w:ascii="宋体" w:hAnsi="宋体" w:eastAsia="宋体" w:cs="宋体"/>
          <w:color w:val="auto"/>
          <w:sz w:val="21"/>
          <w:szCs w:val="21"/>
          <w:highlight w:val="none"/>
        </w:rPr>
        <w:t>。</w:t>
      </w:r>
    </w:p>
    <w:p w14:paraId="6FB9BC8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bookmarkStart w:id="11" w:name="_Toc28359016"/>
      <w:bookmarkStart w:id="12" w:name="_Toc28359093"/>
      <w:bookmarkStart w:id="13" w:name="_Toc35393633"/>
      <w:bookmarkStart w:id="14" w:name="_Toc35393802"/>
      <w:r>
        <w:rPr>
          <w:rFonts w:hint="eastAsia" w:ascii="宋体" w:hAnsi="宋体" w:eastAsia="宋体" w:cs="宋体"/>
          <w:b/>
          <w:bCs/>
          <w:color w:val="auto"/>
          <w:sz w:val="21"/>
          <w:szCs w:val="21"/>
          <w:highlight w:val="none"/>
        </w:rPr>
        <w:t>五、开启</w:t>
      </w:r>
      <w:bookmarkEnd w:id="11"/>
      <w:bookmarkEnd w:id="12"/>
      <w:bookmarkEnd w:id="13"/>
      <w:bookmarkEnd w:id="14"/>
    </w:p>
    <w:p w14:paraId="20F4A0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Cs/>
          <w:color w:val="auto"/>
          <w:szCs w:val="21"/>
          <w:highlight w:val="none"/>
          <w:u w:val="single"/>
          <w:lang w:eastAsia="zh-CN"/>
        </w:rPr>
      </w:pPr>
      <w:bookmarkStart w:id="15" w:name="_Toc28359017"/>
      <w:bookmarkStart w:id="16" w:name="_Toc35393803"/>
      <w:bookmarkStart w:id="17" w:name="_Toc28359094"/>
      <w:bookmarkStart w:id="18" w:name="_Toc35393634"/>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hint="eastAsia" w:ascii="宋体" w:hAnsi="宋体" w:cs="宋体"/>
          <w:color w:val="auto"/>
          <w:kern w:val="0"/>
          <w:szCs w:val="21"/>
          <w:highlight w:val="none"/>
          <w:u w:val="single"/>
          <w:lang w:val="en-US" w:eastAsia="zh-CN"/>
        </w:rPr>
        <w:t>2025年11月17日9点30分</w:t>
      </w:r>
      <w:r>
        <w:rPr>
          <w:rFonts w:hint="eastAsia" w:ascii="宋体" w:hAnsi="宋体" w:eastAsia="宋体" w:cs="宋体"/>
          <w:color w:val="auto"/>
          <w:kern w:val="0"/>
          <w:sz w:val="21"/>
          <w:szCs w:val="21"/>
          <w:highlight w:val="none"/>
          <w:u w:val="single"/>
        </w:rPr>
        <w:t>（北京时间）</w:t>
      </w:r>
      <w:r>
        <w:rPr>
          <w:rFonts w:hint="eastAsia" w:ascii="宋体" w:hAnsi="宋体"/>
          <w:color w:val="auto"/>
          <w:szCs w:val="21"/>
          <w:highlight w:val="none"/>
          <w:lang w:eastAsia="zh-CN"/>
        </w:rPr>
        <w:t>；</w:t>
      </w:r>
    </w:p>
    <w:p w14:paraId="208462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Cs/>
          <w:color w:val="auto"/>
          <w:szCs w:val="21"/>
          <w:highlight w:val="none"/>
          <w:u w:val="single"/>
          <w:lang w:eastAsia="zh-CN"/>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地点：广西壮族自治区防城港市开标室</w:t>
      </w:r>
      <w:r>
        <w:rPr>
          <w:rFonts w:hint="eastAsia" w:ascii="宋体" w:hAnsi="宋体"/>
          <w:color w:val="auto"/>
          <w:szCs w:val="21"/>
          <w:highlight w:val="none"/>
          <w:lang w:val="en-US" w:eastAsia="zh-CN"/>
        </w:rPr>
        <w:t>2</w:t>
      </w:r>
      <w:r>
        <w:rPr>
          <w:rFonts w:hint="eastAsia" w:ascii="宋体" w:hAnsi="宋体"/>
          <w:color w:val="auto"/>
          <w:szCs w:val="21"/>
          <w:highlight w:val="none"/>
        </w:rPr>
        <w:t>政府采购开标室</w:t>
      </w:r>
      <w:r>
        <w:rPr>
          <w:rFonts w:hint="eastAsia" w:ascii="宋体" w:hAnsi="宋体"/>
          <w:color w:val="auto"/>
          <w:szCs w:val="21"/>
          <w:highlight w:val="none"/>
          <w:lang w:val="en-US" w:eastAsia="zh-CN"/>
        </w:rPr>
        <w:t>2</w:t>
      </w:r>
    </w:p>
    <w:p w14:paraId="53EC563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六、公告期限</w:t>
      </w:r>
      <w:bookmarkEnd w:id="15"/>
      <w:bookmarkEnd w:id="16"/>
      <w:bookmarkEnd w:id="17"/>
      <w:bookmarkEnd w:id="18"/>
    </w:p>
    <w:p w14:paraId="4FAEA4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个工作日。</w:t>
      </w:r>
    </w:p>
    <w:p w14:paraId="1B1F833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bookmarkStart w:id="19" w:name="_Toc35393635"/>
      <w:bookmarkStart w:id="20" w:name="_Toc35393804"/>
      <w:r>
        <w:rPr>
          <w:rFonts w:hint="eastAsia" w:ascii="宋体" w:hAnsi="宋体" w:eastAsia="宋体" w:cs="宋体"/>
          <w:b/>
          <w:bCs/>
          <w:color w:val="auto"/>
          <w:sz w:val="21"/>
          <w:szCs w:val="21"/>
          <w:highlight w:val="none"/>
        </w:rPr>
        <w:t>七、其他补充事宜</w:t>
      </w:r>
      <w:bookmarkEnd w:id="19"/>
      <w:bookmarkEnd w:id="20"/>
    </w:p>
    <w:p w14:paraId="346932D7">
      <w:pPr>
        <w:spacing w:line="360" w:lineRule="auto"/>
        <w:ind w:firstLine="420" w:firstLineChars="200"/>
        <w:rPr>
          <w:rFonts w:hint="eastAsia" w:ascii="宋体" w:hAnsi="宋体" w:eastAsia="宋体" w:cs="宋体"/>
          <w:color w:val="auto"/>
          <w:kern w:val="0"/>
          <w:szCs w:val="21"/>
          <w:highlight w:val="none"/>
        </w:rPr>
      </w:pPr>
      <w:bookmarkStart w:id="21" w:name="_Toc35393636"/>
      <w:bookmarkStart w:id="22" w:name="_Toc35393805"/>
      <w:bookmarkStart w:id="23" w:name="_Toc28359018"/>
      <w:bookmarkStart w:id="24" w:name="_Toc28359095"/>
      <w:r>
        <w:rPr>
          <w:rFonts w:hint="eastAsia" w:ascii="宋体" w:hAnsi="宋体" w:eastAsia="宋体" w:cs="宋体"/>
          <w:color w:val="auto"/>
          <w:kern w:val="0"/>
          <w:szCs w:val="21"/>
          <w:highlight w:val="none"/>
        </w:rPr>
        <w:t>1.磋商保证金：</w:t>
      </w:r>
      <w:r>
        <w:rPr>
          <w:rFonts w:hint="eastAsia" w:ascii="宋体" w:hAnsi="宋体" w:eastAsia="宋体" w:cs="宋体"/>
          <w:b/>
          <w:bCs/>
          <w:color w:val="auto"/>
          <w:szCs w:val="21"/>
          <w:highlight w:val="none"/>
          <w:lang w:eastAsia="zh-CN"/>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lang w:eastAsia="zh-CN"/>
        </w:rPr>
        <w:t>磋商保证金</w:t>
      </w:r>
      <w:r>
        <w:rPr>
          <w:rFonts w:hint="eastAsia" w:ascii="宋体" w:hAnsi="宋体" w:eastAsia="宋体" w:cs="宋体"/>
          <w:b/>
          <w:bCs/>
          <w:color w:val="auto"/>
          <w:szCs w:val="21"/>
          <w:highlight w:val="none"/>
          <w:lang w:val="en-US" w:eastAsia="zh-CN"/>
        </w:rPr>
        <w:t>。</w:t>
      </w:r>
    </w:p>
    <w:p w14:paraId="3E716C74">
      <w:pPr>
        <w:spacing w:line="360" w:lineRule="auto"/>
        <w:ind w:firstLine="420" w:firstLineChars="200"/>
        <w:rPr>
          <w:rFonts w:hint="eastAsia" w:ascii="宋体" w:hAnsi="宋体" w:eastAsia="宋体" w:cs="宋体"/>
          <w:color w:val="auto"/>
          <w:kern w:val="0"/>
          <w:szCs w:val="21"/>
          <w:highlight w:val="none"/>
          <w:lang w:eastAsia="zh-CN"/>
        </w:rPr>
      </w:pPr>
      <w:bookmarkStart w:id="25" w:name="_Hlk37429585"/>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bookmarkStart w:id="26" w:name="_Hlk37429595"/>
      <w:r>
        <w:rPr>
          <w:rFonts w:hint="eastAsia" w:ascii="宋体" w:hAnsi="宋体" w:eastAsia="宋体" w:cs="宋体"/>
          <w:color w:val="auto"/>
          <w:kern w:val="0"/>
          <w:szCs w:val="21"/>
          <w:highlight w:val="none"/>
        </w:rPr>
        <w:t>网上查询地址</w:t>
      </w:r>
      <w:r>
        <w:rPr>
          <w:rFonts w:hint="eastAsia" w:ascii="宋体" w:hAnsi="宋体" w:eastAsia="宋体" w:cs="宋体"/>
          <w:color w:val="auto"/>
          <w:kern w:val="0"/>
          <w:szCs w:val="21"/>
          <w:highlight w:val="none"/>
          <w:lang w:eastAsia="zh-CN"/>
        </w:rPr>
        <w:t>：</w:t>
      </w:r>
    </w:p>
    <w:bookmarkEnd w:id="25"/>
    <w:bookmarkEnd w:id="26"/>
    <w:p w14:paraId="1EF4F9B5">
      <w:pPr>
        <w:spacing w:line="360" w:lineRule="auto"/>
        <w:ind w:firstLine="420" w:firstLineChars="200"/>
        <w:rPr>
          <w:rFonts w:hint="eastAsia" w:ascii="宋体" w:hAnsi="宋体" w:eastAsia="宋体" w:cs="宋体"/>
          <w:color w:val="auto"/>
          <w:kern w:val="0"/>
          <w:szCs w:val="21"/>
          <w:highlight w:val="none"/>
        </w:rPr>
      </w:pPr>
      <w:bookmarkStart w:id="27" w:name="_Hlk37429674"/>
      <w:r>
        <w:rPr>
          <w:rFonts w:hint="eastAsia" w:ascii="宋体" w:hAnsi="宋体" w:eastAsia="宋体" w:cs="宋体"/>
          <w:color w:val="auto"/>
          <w:kern w:val="0"/>
          <w:szCs w:val="21"/>
          <w:highlight w:val="none"/>
        </w:rPr>
        <w:t>中国政府采购网、广西壮族自治区政府采购网、广西防城港港口区人民政府门户网站、全国公共资源交易平台（广西•防城港）。</w:t>
      </w:r>
    </w:p>
    <w:p w14:paraId="1AB9E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本项目需要落实的政府采购政策</w:t>
      </w:r>
    </w:p>
    <w:p w14:paraId="1F2CB9AE">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513E532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14:paraId="7654D3E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14:paraId="2EC33463">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14:paraId="6C01045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（5）政府采购支持监狱企业发展。</w:t>
      </w:r>
      <w:bookmarkEnd w:id="27"/>
    </w:p>
    <w:p w14:paraId="109385F7">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BC0F77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.对在“信用中国”网站、中国政府采购网被列入失信被执行人、</w:t>
      </w:r>
      <w:r>
        <w:rPr>
          <w:rFonts w:hint="eastAsia" w:ascii="宋体" w:hAnsi="宋体" w:eastAsia="宋体" w:cs="宋体"/>
          <w:color w:val="auto"/>
          <w:szCs w:val="21"/>
          <w:highlight w:val="none"/>
          <w:lang w:eastAsia="zh-CN"/>
        </w:rPr>
        <w:t>重大税收违法</w:t>
      </w:r>
      <w:bookmarkStart w:id="28" w:name="OLE_LINK8"/>
      <w:r>
        <w:rPr>
          <w:rFonts w:hint="eastAsia" w:ascii="宋体" w:hAnsi="宋体" w:eastAsia="宋体" w:cs="宋体"/>
          <w:color w:val="auto"/>
          <w:szCs w:val="21"/>
          <w:highlight w:val="none"/>
          <w:lang w:eastAsia="zh-CN"/>
        </w:rPr>
        <w:t>失信主体</w:t>
      </w:r>
      <w:bookmarkEnd w:id="28"/>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、政府采购严重违法失信行为记录名单及其他不符合《中华人民共和国政府采购法》第二十二条规定条件的供应商，不得参与政府采购活动。</w:t>
      </w:r>
    </w:p>
    <w:p w14:paraId="27B19DCF">
      <w:pPr>
        <w:spacing w:line="360" w:lineRule="auto"/>
        <w:ind w:firstLine="422" w:firstLineChars="200"/>
        <w:rPr>
          <w:rFonts w:hint="eastAsia" w:ascii="宋体" w:hAnsi="宋体" w:eastAsia="宋体" w:cs="宋体"/>
          <w:color w:val="auto"/>
          <w:kern w:val="0"/>
          <w:szCs w:val="21"/>
          <w:highlight w:val="none"/>
          <w:lang w:val="en-US" w:eastAsia="zh-CN"/>
        </w:rPr>
      </w:pPr>
      <w:r>
        <w:rPr>
          <w:rFonts w:hint="eastAsia" w:ascii="宋体" w:hAnsi="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lang w:val="en-US" w:eastAsia="zh-CN"/>
        </w:rPr>
        <w:t>.</w:t>
      </w:r>
      <w:r>
        <w:rPr>
          <w:rFonts w:hint="eastAsia" w:ascii="宋体" w:hAnsi="宋体" w:eastAsia="宋体" w:cs="宋体"/>
          <w:b/>
          <w:bCs/>
          <w:color w:val="auto"/>
          <w:szCs w:val="21"/>
          <w:highlight w:val="none"/>
        </w:rPr>
        <w:t>在线</w:t>
      </w:r>
      <w:r>
        <w:rPr>
          <w:rFonts w:hint="eastAsia" w:ascii="宋体" w:hAnsi="宋体" w:eastAsia="宋体" w:cs="宋体"/>
          <w:b/>
          <w:bCs/>
          <w:color w:val="auto"/>
          <w:szCs w:val="21"/>
          <w:highlight w:val="none"/>
          <w:lang w:eastAsia="zh-CN"/>
        </w:rPr>
        <w:t>竞</w:t>
      </w:r>
      <w:r>
        <w:rPr>
          <w:rFonts w:hint="eastAsia" w:ascii="宋体" w:hAnsi="宋体" w:eastAsia="宋体" w:cs="宋体"/>
          <w:b/>
          <w:bCs/>
          <w:color w:val="auto"/>
          <w:szCs w:val="21"/>
          <w:highlight w:val="none"/>
        </w:rPr>
        <w:t>标</w:t>
      </w:r>
      <w:r>
        <w:rPr>
          <w:rFonts w:hint="eastAsia" w:ascii="宋体" w:hAnsi="宋体" w:eastAsia="宋体" w:cs="宋体"/>
          <w:b/>
          <w:bCs/>
          <w:color w:val="auto"/>
          <w:szCs w:val="21"/>
          <w:highlight w:val="none"/>
          <w:lang w:eastAsia="zh-CN"/>
        </w:rPr>
        <w:t>的有关</w:t>
      </w:r>
      <w:r>
        <w:rPr>
          <w:rFonts w:hint="eastAsia" w:ascii="宋体" w:hAnsi="宋体" w:eastAsia="宋体" w:cs="宋体"/>
          <w:b/>
          <w:bCs/>
          <w:color w:val="auto"/>
          <w:szCs w:val="21"/>
          <w:highlight w:val="none"/>
        </w:rPr>
        <w:t>说明</w:t>
      </w:r>
      <w:r>
        <w:rPr>
          <w:rFonts w:hint="eastAsia" w:ascii="宋体" w:hAnsi="宋体" w:eastAsia="宋体" w:cs="宋体"/>
          <w:b/>
          <w:bCs/>
          <w:color w:val="auto"/>
          <w:kern w:val="0"/>
          <w:szCs w:val="21"/>
          <w:highlight w:val="none"/>
          <w:lang w:eastAsia="zh-CN"/>
        </w:rPr>
        <w:t>：</w:t>
      </w:r>
    </w:p>
    <w:p w14:paraId="0932304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（1）响应文件提交方式：本项目为全流程电子化项目，通过</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实行在线电子响应，供应商应先安装</w:t>
      </w:r>
      <w:r>
        <w:rPr>
          <w:rFonts w:hint="eastAsia" w:ascii="宋体" w:hAnsi="宋体" w:cs="宋体"/>
          <w:b w:val="0"/>
          <w:bCs w:val="0"/>
          <w:color w:val="auto"/>
          <w:sz w:val="21"/>
          <w:szCs w:val="21"/>
          <w:highlight w:val="none"/>
          <w:lang w:val="en-US" w:eastAsia="zh-CN"/>
        </w:rPr>
        <w:t>广西政府采购云平台新版客户端</w:t>
      </w:r>
      <w:r>
        <w:rPr>
          <w:rFonts w:hint="eastAsia" w:ascii="宋体" w:hAnsi="宋体" w:cs="宋体"/>
          <w:color w:val="auto"/>
          <w:szCs w:val="21"/>
          <w:highlight w:val="none"/>
        </w:rPr>
        <w:t>（新版</w:t>
      </w:r>
      <w:r>
        <w:rPr>
          <w:rFonts w:hint="eastAsia" w:ascii="宋体" w:hAnsi="宋体" w:eastAsia="宋体" w:cs="宋体"/>
          <w:i w:val="0"/>
          <w:caps w:val="0"/>
          <w:color w:val="auto"/>
          <w:spacing w:val="0"/>
          <w:sz w:val="21"/>
          <w:szCs w:val="21"/>
          <w:highlight w:val="none"/>
        </w:rPr>
        <w:t>客户端下载路径：广西政府采购网—办事服务—下载专区</w:t>
      </w:r>
      <w:r>
        <w:rPr>
          <w:rFonts w:hint="eastAsia" w:ascii="宋体" w:hAnsi="宋体" w:cs="宋体"/>
          <w:color w:val="auto"/>
          <w:szCs w:val="21"/>
          <w:highlight w:val="none"/>
        </w:rPr>
        <w:t>）</w:t>
      </w:r>
      <w:r>
        <w:rPr>
          <w:rFonts w:hint="eastAsia" w:ascii="宋体" w:hAnsi="宋体" w:eastAsia="宋体" w:cs="宋体"/>
          <w:color w:val="auto"/>
          <w:szCs w:val="21"/>
          <w:highlight w:val="none"/>
        </w:rPr>
        <w:t>，并按照本项目采购文件和</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的要求编制、加密后在</w:t>
      </w:r>
      <w:r>
        <w:rPr>
          <w:rFonts w:hint="eastAsia" w:ascii="宋体" w:hAnsi="宋体" w:eastAsia="宋体" w:cs="宋体"/>
          <w:color w:val="auto"/>
          <w:szCs w:val="21"/>
          <w:highlight w:val="none"/>
          <w:lang w:eastAsia="zh-CN"/>
        </w:rPr>
        <w:t>响应文件提交</w:t>
      </w:r>
      <w:r>
        <w:rPr>
          <w:rFonts w:hint="eastAsia" w:ascii="宋体" w:hAnsi="宋体" w:eastAsia="宋体" w:cs="宋体"/>
          <w:color w:val="auto"/>
          <w:szCs w:val="21"/>
          <w:highlight w:val="none"/>
        </w:rPr>
        <w:t>截止时间前通过网络上传至</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供应商在</w:t>
      </w:r>
      <w:r>
        <w:rPr>
          <w:rFonts w:hint="eastAsia" w:ascii="宋体" w:hAnsi="宋体" w:eastAsia="宋体" w:cs="宋体"/>
          <w:b/>
          <w:bCs w:val="0"/>
          <w:color w:val="auto"/>
          <w:sz w:val="21"/>
          <w:szCs w:val="21"/>
          <w:highlight w:val="none"/>
          <w:lang w:val="en-US" w:eastAsia="zh-CN"/>
        </w:rPr>
        <w:t>广西政府采购云平台</w:t>
      </w:r>
      <w:r>
        <w:rPr>
          <w:rFonts w:hint="eastAsia" w:ascii="宋体" w:hAnsi="宋体" w:eastAsia="宋体" w:cs="宋体"/>
          <w:b/>
          <w:color w:val="auto"/>
          <w:szCs w:val="21"/>
          <w:highlight w:val="none"/>
        </w:rPr>
        <w:t>提交电子版响应文件时，请填写参加远程开标活动经办人联系方式</w:t>
      </w:r>
      <w:r>
        <w:rPr>
          <w:rFonts w:hint="eastAsia" w:ascii="宋体" w:hAnsi="宋体" w:eastAsia="宋体" w:cs="宋体"/>
          <w:color w:val="auto"/>
          <w:szCs w:val="21"/>
          <w:highlight w:val="none"/>
        </w:rPr>
        <w:t>。</w:t>
      </w:r>
    </w:p>
    <w:p w14:paraId="48EAC48E">
      <w:pPr>
        <w:widowControl/>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（2）未进行网上注册并办理数字证书（CA认证）的供应商将无法参与本项目政府采购活动，潜在供应商应当在首次响应文件提交截止时间前，完成电子交易平台上的CA数字证书办理及响应文件的提交。        </w:t>
      </w:r>
    </w:p>
    <w:p w14:paraId="22611598">
      <w:pPr>
        <w:widowControl/>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（3）为确保网上操作合法、有效和安全，请供应商确保在电子响应过程中能够对相关数据电文进行加密和使用电子签章，妥善保管CA数字证书并使用有效的CA数字证书参与整个采购活动。</w:t>
      </w:r>
    </w:p>
    <w:p w14:paraId="49C5E9A0">
      <w:pPr>
        <w:spacing w:line="360" w:lineRule="auto"/>
        <w:ind w:firstLine="422" w:firstLineChars="200"/>
        <w:rPr>
          <w:rFonts w:hint="eastAsia" w:ascii="宋体" w:hAnsi="宋体" w:eastAsia="宋体" w:cs="宋体"/>
          <w:b/>
          <w:bCs w:val="0"/>
          <w:color w:val="auto"/>
          <w:szCs w:val="21"/>
          <w:highlight w:val="none"/>
          <w:u w:val="single"/>
        </w:rPr>
      </w:pPr>
      <w:r>
        <w:rPr>
          <w:rFonts w:hint="eastAsia" w:ascii="宋体" w:hAnsi="宋体" w:eastAsia="宋体" w:cs="宋体"/>
          <w:b/>
          <w:bCs w:val="0"/>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w:t>
      </w:r>
      <w:r>
        <w:rPr>
          <w:rFonts w:hint="eastAsia" w:ascii="宋体" w:hAnsi="宋体" w:eastAsia="宋体" w:cs="宋体"/>
          <w:b/>
          <w:color w:val="auto"/>
          <w:szCs w:val="21"/>
          <w:highlight w:val="none"/>
          <w:lang w:eastAsia="zh-CN"/>
        </w:rPr>
        <w:t>响应文件提交</w:t>
      </w:r>
      <w:r>
        <w:rPr>
          <w:rFonts w:hint="eastAsia" w:ascii="宋体" w:hAnsi="宋体" w:eastAsia="宋体" w:cs="宋体"/>
          <w:b/>
          <w:bCs w:val="0"/>
          <w:color w:val="auto"/>
          <w:szCs w:val="21"/>
          <w:highlight w:val="none"/>
          <w:u w:val="single"/>
        </w:rPr>
        <w:t>截止时间前未完成上传、递交的，视为撤回响应文件。响应文件提交截止时间以后上传递交的响应文件的，</w:t>
      </w:r>
      <w:bookmarkStart w:id="29" w:name="OLE_LINK9"/>
      <w:r>
        <w:rPr>
          <w:rFonts w:hint="eastAsia" w:ascii="宋体" w:hAnsi="宋体" w:eastAsia="宋体" w:cs="宋体"/>
          <w:b/>
          <w:bCs w:val="0"/>
          <w:color w:val="auto"/>
          <w:sz w:val="21"/>
          <w:szCs w:val="21"/>
          <w:highlight w:val="none"/>
          <w:u w:val="single"/>
          <w:lang w:val="en-US" w:eastAsia="zh-CN"/>
        </w:rPr>
        <w:t>广西</w:t>
      </w:r>
      <w:bookmarkEnd w:id="29"/>
      <w:r>
        <w:rPr>
          <w:rFonts w:hint="eastAsia" w:ascii="宋体" w:hAnsi="宋体" w:eastAsia="宋体" w:cs="宋体"/>
          <w:b/>
          <w:bCs w:val="0"/>
          <w:color w:val="auto"/>
          <w:sz w:val="21"/>
          <w:szCs w:val="21"/>
          <w:highlight w:val="none"/>
          <w:u w:val="single"/>
          <w:lang w:val="en-US" w:eastAsia="zh-CN"/>
        </w:rPr>
        <w:t>政府采购云平台</w:t>
      </w:r>
      <w:r>
        <w:rPr>
          <w:rFonts w:hint="eastAsia" w:ascii="宋体" w:hAnsi="宋体" w:eastAsia="宋体" w:cs="宋体"/>
          <w:b/>
          <w:bCs w:val="0"/>
          <w:color w:val="auto"/>
          <w:szCs w:val="21"/>
          <w:highlight w:val="none"/>
          <w:u w:val="single"/>
        </w:rPr>
        <w:t>将予以拒收。</w:t>
      </w:r>
    </w:p>
    <w:p w14:paraId="0B73BDF5">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CA证书在线解密：首次响应文件开启时，需要供应商携带制作响应文件时用来加密的有效数字证书（CA认证）登录</w:t>
      </w:r>
      <w:r>
        <w:rPr>
          <w:rFonts w:hint="eastAsia" w:ascii="宋体" w:hAnsi="宋体" w:eastAsia="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rPr>
        <w:t>电子开标大厅现场按规定时间对加密的响应文件进行解密。</w:t>
      </w:r>
    </w:p>
    <w:p w14:paraId="57920D71">
      <w:pPr>
        <w:snapToGrid w:val="0"/>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供应商需要在具备有摄像头及语音功能且互联网网络状况良好的电脑登录</w:t>
      </w:r>
      <w:r>
        <w:rPr>
          <w:rFonts w:hint="eastAsia" w:ascii="宋体" w:hAnsi="宋体" w:eastAsia="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rPr>
        <w:t>远程开标大厅参与本次磋商，否则后果自负。</w:t>
      </w:r>
    </w:p>
    <w:p w14:paraId="13A1DF69">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若对项目采购电子交易系统操作有疑问，可登录</w:t>
      </w:r>
      <w:r>
        <w:rPr>
          <w:rFonts w:hint="eastAsia" w:ascii="宋体" w:hAnsi="宋体" w:eastAsia="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rPr>
        <w:t>，点击右侧咨询小采，获取采小蜜智能服务管家帮助，或拨打</w:t>
      </w:r>
      <w:r>
        <w:rPr>
          <w:rFonts w:hint="eastAsia" w:ascii="宋体" w:hAnsi="宋体" w:eastAsia="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rPr>
        <w:t>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rPr>
        <w:t>获取热线服务帮助。</w:t>
      </w:r>
    </w:p>
    <w:p w14:paraId="4A680FA9">
      <w:pPr>
        <w:spacing w:line="360" w:lineRule="auto"/>
        <w:ind w:firstLine="420" w:firstLineChars="200"/>
        <w:rPr>
          <w:rFonts w:hint="eastAsia" w:ascii="宋体" w:hAnsi="宋体"/>
          <w:color w:val="auto"/>
          <w:kern w:val="0"/>
          <w:szCs w:val="21"/>
        </w:rPr>
      </w:pPr>
      <w:r>
        <w:rPr>
          <w:rFonts w:hint="eastAsia" w:ascii="宋体" w:hAnsi="宋体" w:cs="宋体"/>
          <w:color w:val="auto"/>
          <w:kern w:val="0"/>
          <w:szCs w:val="21"/>
          <w:highlight w:val="none"/>
          <w:lang w:val="en-US" w:eastAsia="zh-CN"/>
        </w:rPr>
        <w:t>8.</w:t>
      </w:r>
      <w:r>
        <w:rPr>
          <w:rFonts w:hint="eastAsia" w:ascii="宋体" w:hAnsi="宋体"/>
          <w:color w:val="auto"/>
          <w:kern w:val="0"/>
          <w:szCs w:val="21"/>
        </w:rPr>
        <w:t>监督部门</w:t>
      </w:r>
    </w:p>
    <w:p w14:paraId="0D2092E2">
      <w:pPr>
        <w:spacing w:line="360" w:lineRule="auto"/>
        <w:ind w:firstLine="420" w:firstLineChars="200"/>
        <w:rPr>
          <w:rFonts w:hint="eastAsia" w:ascii="宋体" w:hAnsi="宋体"/>
          <w:color w:val="auto"/>
          <w:kern w:val="0"/>
          <w:szCs w:val="21"/>
        </w:rPr>
      </w:pPr>
      <w:r>
        <w:rPr>
          <w:rFonts w:hint="eastAsia" w:ascii="宋体" w:hAnsi="宋体"/>
          <w:color w:val="auto"/>
          <w:kern w:val="0"/>
          <w:szCs w:val="21"/>
        </w:rPr>
        <w:t>名 称：</w:t>
      </w:r>
      <w:bookmarkStart w:id="30" w:name="OLE_LINK15"/>
      <w:r>
        <w:rPr>
          <w:rFonts w:hint="eastAsia" w:ascii="宋体" w:hAnsi="宋体"/>
          <w:color w:val="auto"/>
          <w:kern w:val="0"/>
          <w:szCs w:val="21"/>
        </w:rPr>
        <w:t>防城港市港口区政府采购管理办公室</w:t>
      </w:r>
      <w:bookmarkEnd w:id="30"/>
    </w:p>
    <w:p w14:paraId="13B312FF">
      <w:pPr>
        <w:snapToGrid/>
        <w:spacing w:line="360" w:lineRule="auto"/>
        <w:ind w:firstLine="420" w:firstLineChars="200"/>
        <w:rPr>
          <w:rFonts w:hint="eastAsia" w:ascii="宋体" w:hAnsi="宋体"/>
          <w:color w:val="auto"/>
          <w:kern w:val="0"/>
          <w:szCs w:val="21"/>
        </w:rPr>
      </w:pPr>
      <w:r>
        <w:rPr>
          <w:rFonts w:hint="eastAsia" w:ascii="宋体" w:hAnsi="宋体"/>
          <w:color w:val="auto"/>
          <w:kern w:val="0"/>
          <w:szCs w:val="21"/>
        </w:rPr>
        <w:t>电 话：0770-6106362</w:t>
      </w:r>
    </w:p>
    <w:p w14:paraId="29CDB727">
      <w:pPr>
        <w:snapToGrid/>
        <w:spacing w:line="360" w:lineRule="auto"/>
        <w:ind w:firstLine="420" w:firstLineChars="200"/>
        <w:rPr>
          <w:rFonts w:hint="default" w:ascii="宋体" w:hAnsi="宋体"/>
          <w:color w:val="auto"/>
          <w:kern w:val="0"/>
          <w:szCs w:val="21"/>
          <w:lang w:val="en-US" w:eastAsia="zh-CN"/>
        </w:rPr>
      </w:pPr>
      <w:r>
        <w:rPr>
          <w:rFonts w:hint="eastAsia" w:ascii="宋体" w:hAnsi="宋体" w:eastAsia="宋体" w:cs="宋体"/>
          <w:color w:val="auto"/>
          <w:kern w:val="0"/>
          <w:szCs w:val="21"/>
          <w:highlight w:val="none"/>
          <w:lang w:val="en-US" w:eastAsia="zh-CN"/>
        </w:rPr>
        <w:t>9</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本项目采用远程异地评标，评标主场设在防城港市公共资源交易中心，评标副场设在</w:t>
      </w:r>
      <w:r>
        <w:rPr>
          <w:rFonts w:hint="eastAsia" w:ascii="宋体" w:hAnsi="宋体" w:cs="宋体"/>
          <w:color w:val="auto"/>
          <w:kern w:val="0"/>
          <w:szCs w:val="21"/>
          <w:highlight w:val="none"/>
          <w:lang w:val="en-US" w:eastAsia="zh-CN"/>
        </w:rPr>
        <w:t>百色靖西市</w:t>
      </w:r>
      <w:r>
        <w:rPr>
          <w:rFonts w:hint="eastAsia" w:ascii="宋体" w:hAnsi="宋体" w:eastAsia="宋体" w:cs="宋体"/>
          <w:color w:val="auto"/>
          <w:kern w:val="0"/>
          <w:szCs w:val="21"/>
          <w:highlight w:val="none"/>
          <w:lang w:val="en-US" w:eastAsia="zh-CN"/>
        </w:rPr>
        <w:t>公共资源交易中心。 </w:t>
      </w:r>
    </w:p>
    <w:p w14:paraId="63D207B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八、凡对本次采购提出询问，请按以下方式联系。</w:t>
      </w:r>
      <w:bookmarkEnd w:id="21"/>
      <w:bookmarkEnd w:id="22"/>
      <w:bookmarkEnd w:id="23"/>
      <w:bookmarkEnd w:id="24"/>
    </w:p>
    <w:p w14:paraId="6EC5C8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1.采购人信息</w:t>
      </w:r>
    </w:p>
    <w:p w14:paraId="185D269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    称：</w:t>
      </w:r>
      <w:r>
        <w:rPr>
          <w:rFonts w:hint="eastAsia" w:ascii="宋体" w:hAnsi="宋体" w:cs="宋体"/>
          <w:color w:val="auto"/>
          <w:kern w:val="0"/>
          <w:sz w:val="21"/>
          <w:szCs w:val="21"/>
          <w:highlight w:val="none"/>
          <w:lang w:eastAsia="zh-CN"/>
        </w:rPr>
        <w:t>防城港市港口区民政局</w:t>
      </w:r>
      <w:r>
        <w:rPr>
          <w:rFonts w:hint="eastAsia" w:ascii="宋体" w:hAnsi="宋体" w:eastAsia="宋体" w:cs="宋体"/>
          <w:color w:val="auto"/>
          <w:sz w:val="21"/>
          <w:szCs w:val="21"/>
          <w:highlight w:val="none"/>
          <w:lang w:eastAsia="zh-CN"/>
        </w:rPr>
        <w:t>　</w:t>
      </w:r>
    </w:p>
    <w:p w14:paraId="4D14E72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地    址：防城港市港口区渔洲坪建政路136号</w:t>
      </w:r>
      <w:r>
        <w:rPr>
          <w:rFonts w:hint="eastAsia" w:ascii="宋体" w:hAnsi="宋体"/>
          <w:color w:val="auto"/>
          <w:szCs w:val="21"/>
          <w:lang w:val="en-US" w:eastAsia="zh-CN"/>
        </w:rPr>
        <w:t xml:space="preserve">  </w:t>
      </w:r>
    </w:p>
    <w:p w14:paraId="78C4250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联系方式：</w:t>
      </w:r>
      <w:r>
        <w:rPr>
          <w:rFonts w:hint="eastAsia" w:ascii="宋体" w:hAnsi="宋体" w:cs="宋体"/>
          <w:color w:val="auto"/>
          <w:sz w:val="21"/>
          <w:szCs w:val="21"/>
          <w:highlight w:val="none"/>
          <w:lang w:val="en-US" w:eastAsia="zh-CN"/>
        </w:rPr>
        <w:t>李翠洁；0770-2861826</w:t>
      </w:r>
      <w:r>
        <w:rPr>
          <w:rFonts w:hint="eastAsia" w:ascii="宋体" w:hAnsi="宋体"/>
          <w:color w:val="auto"/>
          <w:szCs w:val="21"/>
          <w:lang w:val="en-US" w:eastAsia="zh-CN"/>
        </w:rPr>
        <w:t>；</w:t>
      </w:r>
    </w:p>
    <w:p w14:paraId="2A18235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bookmarkStart w:id="31" w:name="_Toc28359020"/>
      <w:bookmarkStart w:id="32" w:name="_Toc35393807"/>
      <w:bookmarkStart w:id="33" w:name="_Toc35393638"/>
      <w:bookmarkStart w:id="34" w:name="_Toc28359097"/>
      <w:r>
        <w:rPr>
          <w:rFonts w:hint="eastAsia" w:ascii="宋体" w:hAnsi="宋体" w:eastAsia="宋体" w:cs="宋体"/>
          <w:color w:val="auto"/>
          <w:sz w:val="21"/>
          <w:szCs w:val="21"/>
          <w:highlight w:val="none"/>
        </w:rPr>
        <w:t>2.采购代理机构信息</w:t>
      </w:r>
      <w:bookmarkEnd w:id="31"/>
      <w:bookmarkEnd w:id="32"/>
      <w:bookmarkEnd w:id="33"/>
      <w:bookmarkEnd w:id="34"/>
    </w:p>
    <w:p w14:paraId="323D914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cs="宋体"/>
          <w:color w:val="auto"/>
          <w:sz w:val="21"/>
          <w:szCs w:val="21"/>
          <w:highlight w:val="none"/>
          <w:lang w:eastAsia="zh-CN"/>
        </w:rPr>
        <w:t>广西协弘项目管理有限公司</w:t>
      </w:r>
    </w:p>
    <w:p w14:paraId="5E54D60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w:t>
      </w:r>
      <w:r>
        <w:rPr>
          <w:rFonts w:hint="eastAsia" w:ascii="宋体" w:hAnsi="宋体" w:cs="宋体"/>
          <w:color w:val="auto"/>
          <w:sz w:val="21"/>
          <w:szCs w:val="21"/>
          <w:highlight w:val="none"/>
          <w:lang w:val="en-US" w:eastAsia="zh-CN"/>
        </w:rPr>
        <w:t>防城港市港口区珍珠路桂海东盟9栋605室</w:t>
      </w:r>
    </w:p>
    <w:p w14:paraId="64A672E9">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联系方式：</w:t>
      </w:r>
      <w:r>
        <w:rPr>
          <w:rFonts w:hint="eastAsia" w:ascii="宋体" w:hAnsi="宋体" w:cs="宋体"/>
          <w:color w:val="auto"/>
          <w:kern w:val="0"/>
          <w:szCs w:val="21"/>
          <w:lang w:val="en-US" w:eastAsia="zh-CN"/>
        </w:rPr>
        <w:t>冯静瑜</w:t>
      </w:r>
      <w:r>
        <w:rPr>
          <w:rFonts w:hint="eastAsia" w:ascii="宋体" w:hAnsi="宋体"/>
          <w:color w:val="auto"/>
          <w:szCs w:val="21"/>
        </w:rPr>
        <w:t>；</w:t>
      </w:r>
      <w:r>
        <w:rPr>
          <w:rFonts w:hint="eastAsia" w:ascii="宋体" w:hAnsi="宋体" w:cs="宋体"/>
          <w:color w:val="auto"/>
          <w:kern w:val="0"/>
          <w:szCs w:val="21"/>
          <w:lang w:eastAsia="zh-CN"/>
        </w:rPr>
        <w:t>0770-2894616</w:t>
      </w:r>
    </w:p>
    <w:p w14:paraId="7CF6200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bookmarkStart w:id="35" w:name="_Toc35393639"/>
      <w:bookmarkStart w:id="36" w:name="_Toc35393808"/>
      <w:bookmarkStart w:id="37" w:name="_Toc28359021"/>
      <w:bookmarkStart w:id="38" w:name="_Toc28359098"/>
      <w:r>
        <w:rPr>
          <w:rFonts w:hint="eastAsia" w:ascii="宋体" w:hAnsi="宋体" w:eastAsia="宋体" w:cs="宋体"/>
          <w:color w:val="auto"/>
          <w:sz w:val="21"/>
          <w:szCs w:val="21"/>
          <w:highlight w:val="none"/>
        </w:rPr>
        <w:t>3.项目联系方式</w:t>
      </w:r>
      <w:bookmarkEnd w:id="35"/>
      <w:bookmarkEnd w:id="36"/>
      <w:bookmarkEnd w:id="37"/>
      <w:bookmarkEnd w:id="38"/>
    </w:p>
    <w:p w14:paraId="7811AFA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项目联系人：</w:t>
      </w:r>
      <w:r>
        <w:rPr>
          <w:rFonts w:hint="eastAsia" w:ascii="宋体" w:hAnsi="宋体" w:cs="宋体"/>
          <w:color w:val="auto"/>
          <w:kern w:val="0"/>
          <w:szCs w:val="21"/>
          <w:lang w:val="en-US" w:eastAsia="zh-CN"/>
        </w:rPr>
        <w:t>冯静瑜</w:t>
      </w:r>
    </w:p>
    <w:p w14:paraId="2212CDB6">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rPr>
        <w:t>电　　话：</w:t>
      </w:r>
      <w:r>
        <w:rPr>
          <w:rFonts w:hint="eastAsia" w:ascii="宋体" w:hAnsi="宋体" w:cs="宋体"/>
          <w:color w:val="auto"/>
          <w:kern w:val="0"/>
          <w:szCs w:val="21"/>
          <w:lang w:eastAsia="zh-CN"/>
        </w:rPr>
        <w:t>0770-2894616</w:t>
      </w:r>
    </w:p>
    <w:p w14:paraId="3E51921F">
      <w:pPr>
        <w:spacing w:line="360" w:lineRule="auto"/>
        <w:ind w:firstLine="420" w:firstLineChars="20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p>
    <w:p w14:paraId="4B7FF7CA">
      <w:pPr>
        <w:spacing w:line="360" w:lineRule="auto"/>
        <w:ind w:firstLine="420" w:firstLineChars="200"/>
        <w:jc w:val="center"/>
        <w:rPr>
          <w:rFonts w:hint="eastAsia" w:ascii="宋体" w:hAnsi="宋体" w:cs="宋体"/>
          <w:color w:val="auto"/>
          <w:sz w:val="21"/>
          <w:szCs w:val="21"/>
          <w:highlight w:val="none"/>
          <w:lang w:val="en-US" w:eastAsia="zh-CN"/>
        </w:rPr>
      </w:pPr>
    </w:p>
    <w:p w14:paraId="37829B69">
      <w:pPr>
        <w:pStyle w:val="67"/>
        <w:spacing w:line="440" w:lineRule="exact"/>
        <w:ind w:firstLine="420" w:firstLineChars="200"/>
        <w:jc w:val="right"/>
        <w:rPr>
          <w:rFonts w:hint="eastAsia"/>
          <w:color w:val="auto"/>
          <w:sz w:val="21"/>
          <w:szCs w:val="21"/>
        </w:rPr>
      </w:pPr>
      <w:r>
        <w:rPr>
          <w:rFonts w:hint="eastAsia" w:ascii="宋体" w:hAnsi="宋体" w:cs="宋体"/>
          <w:color w:val="auto"/>
          <w:sz w:val="21"/>
          <w:szCs w:val="21"/>
          <w:highlight w:val="none"/>
          <w:lang w:val="en-US" w:eastAsia="zh-CN"/>
        </w:rPr>
        <w:t xml:space="preserve">                                              </w:t>
      </w:r>
      <w:r>
        <w:rPr>
          <w:rFonts w:hint="eastAsia"/>
          <w:color w:val="auto"/>
          <w:sz w:val="21"/>
          <w:szCs w:val="21"/>
        </w:rPr>
        <w:t>采购人：</w:t>
      </w:r>
      <w:r>
        <w:rPr>
          <w:rFonts w:hint="eastAsia"/>
          <w:color w:val="auto"/>
          <w:sz w:val="21"/>
          <w:szCs w:val="21"/>
          <w:lang w:eastAsia="zh-CN"/>
        </w:rPr>
        <w:t>防城港市港口区民政局</w:t>
      </w:r>
    </w:p>
    <w:p w14:paraId="4301975F">
      <w:pPr>
        <w:pStyle w:val="67"/>
        <w:spacing w:line="440" w:lineRule="exact"/>
        <w:ind w:firstLine="420" w:firstLineChars="200"/>
        <w:jc w:val="right"/>
        <w:rPr>
          <w:rFonts w:hint="eastAsia" w:eastAsia="宋体"/>
          <w:color w:val="auto"/>
          <w:sz w:val="21"/>
          <w:szCs w:val="21"/>
          <w:lang w:eastAsia="zh-CN"/>
        </w:rPr>
      </w:pPr>
      <w:r>
        <w:rPr>
          <w:rFonts w:hint="eastAsia"/>
          <w:color w:val="auto"/>
          <w:sz w:val="21"/>
          <w:szCs w:val="21"/>
          <w:lang w:val="en-US" w:eastAsia="zh-CN"/>
        </w:rPr>
        <w:t>采购代理机构：</w:t>
      </w:r>
      <w:r>
        <w:rPr>
          <w:rFonts w:hint="eastAsia"/>
          <w:color w:val="auto"/>
          <w:sz w:val="21"/>
          <w:szCs w:val="21"/>
          <w:lang w:eastAsia="zh-CN"/>
        </w:rPr>
        <w:t>广西协弘项目管理有限公司</w:t>
      </w:r>
    </w:p>
    <w:p w14:paraId="58DE3D36">
      <w:pPr>
        <w:pStyle w:val="67"/>
        <w:spacing w:line="440" w:lineRule="exact"/>
        <w:ind w:firstLine="420" w:firstLineChars="200"/>
        <w:jc w:val="righ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2025年</w:t>
      </w:r>
      <w:r>
        <w:rPr>
          <w:rFonts w:hint="eastAsia" w:asciiTheme="minorEastAsia" w:hAnsiTheme="minorEastAsia" w:eastAsiaTheme="minorEastAsia" w:cstheme="minorEastAsia"/>
          <w:color w:val="auto"/>
          <w:sz w:val="21"/>
          <w:szCs w:val="21"/>
          <w:lang w:val="en-US" w:eastAsia="zh-CN"/>
        </w:rPr>
        <w:t>11</w:t>
      </w:r>
      <w:r>
        <w:rPr>
          <w:rFonts w:hint="eastAsia" w:asciiTheme="minorEastAsia" w:hAnsiTheme="minorEastAsia" w:eastAsiaTheme="minorEastAsia" w:cstheme="minorEastAsia"/>
          <w:color w:val="auto"/>
          <w:sz w:val="21"/>
          <w:szCs w:val="21"/>
          <w:lang w:eastAsia="zh-CN"/>
        </w:rPr>
        <w:t>月</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日</w:t>
      </w:r>
    </w:p>
    <w:p w14:paraId="4139B0A8">
      <w:pPr>
        <w:pStyle w:val="32"/>
        <w:widowControl w:val="0"/>
        <w:spacing w:after="0" w:afterLines="0" w:line="360" w:lineRule="auto"/>
        <w:ind w:firstLine="420" w:firstLineChars="200"/>
        <w:jc w:val="center"/>
        <w:rPr>
          <w:rFonts w:hint="eastAsia" w:ascii="宋体" w:hAnsi="宋体" w:eastAsia="宋体" w:cs="宋体"/>
          <w:color w:val="auto"/>
          <w:sz w:val="21"/>
          <w:szCs w:val="21"/>
          <w:highlight w:val="none"/>
        </w:rPr>
      </w:pPr>
    </w:p>
    <w:p w14:paraId="6150C455">
      <w:pPr>
        <w:spacing w:line="360" w:lineRule="auto"/>
        <w:ind w:firstLine="420" w:firstLineChars="200"/>
        <w:jc w:val="right"/>
        <w:rPr>
          <w:rFonts w:hint="eastAsia" w:ascii="宋体" w:hAnsi="宋体" w:eastAsia="宋体" w:cs="宋体"/>
          <w:b/>
          <w:color w:val="auto"/>
          <w:sz w:val="32"/>
          <w:szCs w:val="32"/>
          <w:highlight w:val="none"/>
        </w:rPr>
      </w:pPr>
      <w:r>
        <w:rPr>
          <w:rFonts w:hint="eastAsia" w:ascii="宋体" w:hAnsi="宋体" w:eastAsia="宋体" w:cs="宋体"/>
          <w:color w:val="auto"/>
          <w:highlight w:val="none"/>
        </w:rPr>
        <w:br w:type="page"/>
      </w:r>
    </w:p>
    <w:p w14:paraId="1668D6BC">
      <w:pPr>
        <w:shd w:val="clear" w:color="auto" w:fill="FFFFFF"/>
        <w:spacing w:line="600" w:lineRule="exact"/>
        <w:ind w:firstLine="723" w:firstLineChars="200"/>
        <w:jc w:val="center"/>
        <w:outlineLvl w:val="0"/>
        <w:rPr>
          <w:rFonts w:hint="eastAsia" w:ascii="宋体" w:hAnsi="宋体" w:eastAsia="宋体" w:cs="宋体"/>
          <w:b/>
          <w:bCs/>
          <w:color w:val="auto"/>
          <w:sz w:val="36"/>
          <w:szCs w:val="36"/>
          <w:highlight w:val="none"/>
        </w:rPr>
      </w:pPr>
      <w:bookmarkStart w:id="39" w:name="_Toc22437"/>
      <w:r>
        <w:rPr>
          <w:rFonts w:hint="eastAsia" w:ascii="宋体" w:hAnsi="宋体" w:eastAsia="宋体" w:cs="宋体"/>
          <w:b/>
          <w:bCs/>
          <w:color w:val="auto"/>
          <w:sz w:val="36"/>
          <w:szCs w:val="36"/>
          <w:highlight w:val="none"/>
          <w:lang w:eastAsia="zh-CN"/>
        </w:rPr>
        <w:t>第二章</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供应商须知</w:t>
      </w:r>
      <w:bookmarkEnd w:id="3"/>
      <w:bookmarkEnd w:id="39"/>
      <w:bookmarkStart w:id="40" w:name="_Toc424307475"/>
      <w:bookmarkStart w:id="41" w:name="_Toc424307742"/>
    </w:p>
    <w:p w14:paraId="54423147">
      <w:pPr>
        <w:keepNext w:val="0"/>
        <w:keepLines w:val="0"/>
        <w:pageBreakBefore w:val="0"/>
        <w:widowControl w:val="0"/>
        <w:kinsoku/>
        <w:wordWrap/>
        <w:overflowPunct/>
        <w:topLinePunct w:val="0"/>
        <w:bidi w:val="0"/>
        <w:spacing w:line="420" w:lineRule="exact"/>
        <w:ind w:firstLine="482" w:firstLineChars="200"/>
        <w:jc w:val="center"/>
        <w:textAlignment w:val="auto"/>
        <w:outlineLvl w:val="0"/>
        <w:rPr>
          <w:rFonts w:hint="eastAsia" w:ascii="宋体" w:hAnsi="宋体" w:eastAsia="宋体" w:cs="宋体"/>
          <w:b/>
          <w:bCs/>
          <w:color w:val="auto"/>
          <w:sz w:val="24"/>
          <w:highlight w:val="none"/>
        </w:rPr>
      </w:pPr>
      <w:bookmarkStart w:id="42" w:name="_Toc15423"/>
      <w:bookmarkStart w:id="43" w:name="_Toc14902"/>
      <w:r>
        <w:rPr>
          <w:rFonts w:hint="eastAsia" w:ascii="宋体" w:hAnsi="宋体" w:eastAsia="宋体" w:cs="宋体"/>
          <w:b/>
          <w:bCs/>
          <w:color w:val="auto"/>
          <w:sz w:val="24"/>
          <w:highlight w:val="none"/>
        </w:rPr>
        <w:t>供应商须知前附表</w:t>
      </w:r>
      <w:bookmarkEnd w:id="40"/>
      <w:bookmarkEnd w:id="41"/>
      <w:bookmarkEnd w:id="42"/>
      <w:bookmarkEnd w:id="43"/>
      <w:bookmarkStart w:id="44" w:name="_Toc26924"/>
      <w:bookmarkStart w:id="45" w:name="_Toc30070"/>
      <w:bookmarkStart w:id="46" w:name="_Toc424307744"/>
      <w:bookmarkStart w:id="47" w:name="_Toc18886"/>
      <w:bookmarkStart w:id="48" w:name="_Toc12869"/>
    </w:p>
    <w:tbl>
      <w:tblPr>
        <w:tblStyle w:val="22"/>
        <w:tblW w:w="9612"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8595"/>
      </w:tblGrid>
      <w:tr w14:paraId="278E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1017" w:type="dxa"/>
            <w:noWrap w:val="0"/>
            <w:vAlign w:val="center"/>
          </w:tcPr>
          <w:p w14:paraId="42BC083C">
            <w:pPr>
              <w:keepNext w:val="0"/>
              <w:keepLines w:val="0"/>
              <w:pageBreakBefore w:val="0"/>
              <w:widowControl w:val="0"/>
              <w:kinsoku/>
              <w:wordWrap/>
              <w:overflowPunct/>
              <w:topLinePunct w:val="0"/>
              <w:bidi w:val="0"/>
              <w:spacing w:line="42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8595" w:type="dxa"/>
            <w:noWrap w:val="0"/>
            <w:vAlign w:val="center"/>
          </w:tcPr>
          <w:p w14:paraId="01B7CAE5">
            <w:pPr>
              <w:keepNext w:val="0"/>
              <w:keepLines w:val="0"/>
              <w:pageBreakBefore w:val="0"/>
              <w:widowControl w:val="0"/>
              <w:kinsoku/>
              <w:wordWrap/>
              <w:overflowPunct/>
              <w:topLinePunct w:val="0"/>
              <w:bidi w:val="0"/>
              <w:spacing w:line="42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内     容</w:t>
            </w:r>
          </w:p>
        </w:tc>
      </w:tr>
      <w:tr w14:paraId="6DEE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17" w:type="dxa"/>
            <w:noWrap w:val="0"/>
            <w:vAlign w:val="center"/>
          </w:tcPr>
          <w:p w14:paraId="2C07A82C">
            <w:pPr>
              <w:keepNext w:val="0"/>
              <w:keepLines w:val="0"/>
              <w:pageBreakBefore w:val="0"/>
              <w:widowControl w:val="0"/>
              <w:kinsoku/>
              <w:wordWrap/>
              <w:overflowPunct/>
              <w:topLinePunct w:val="0"/>
              <w:bidi w:val="0"/>
              <w:spacing w:line="42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8595" w:type="dxa"/>
            <w:noWrap w:val="0"/>
            <w:vAlign w:val="center"/>
          </w:tcPr>
          <w:p w14:paraId="30B4F935">
            <w:pPr>
              <w:keepNext w:val="0"/>
              <w:keepLines w:val="0"/>
              <w:pageBreakBefore w:val="0"/>
              <w:widowControl w:val="0"/>
              <w:kinsoku/>
              <w:wordWrap/>
              <w:overflowPunct/>
              <w:topLinePunct w:val="0"/>
              <w:bidi w:val="0"/>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项目名称：</w:t>
            </w:r>
            <w:r>
              <w:rPr>
                <w:rFonts w:hint="eastAsia" w:ascii="宋体" w:hAnsi="宋体" w:cs="宋体"/>
                <w:color w:val="auto"/>
                <w:highlight w:val="none"/>
                <w:lang w:eastAsia="zh-CN"/>
              </w:rPr>
              <w:t>港口区福利院配套项目</w:t>
            </w:r>
          </w:p>
          <w:p w14:paraId="778F43D9">
            <w:pPr>
              <w:keepNext w:val="0"/>
              <w:keepLines w:val="0"/>
              <w:pageBreakBefore w:val="0"/>
              <w:widowControl w:val="0"/>
              <w:kinsoku/>
              <w:wordWrap/>
              <w:overflowPunct/>
              <w:topLinePunct w:val="0"/>
              <w:bidi w:val="0"/>
              <w:spacing w:line="42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highlight w:val="none"/>
              </w:rPr>
              <w:t>项目编号：</w:t>
            </w:r>
            <w:r>
              <w:rPr>
                <w:rFonts w:hint="eastAsia" w:ascii="宋体" w:hAnsi="宋体" w:cs="宋体"/>
                <w:color w:val="auto"/>
                <w:highlight w:val="none"/>
                <w:lang w:eastAsia="zh-CN"/>
              </w:rPr>
              <w:t>FCZC2025-C2-020053-GXXH</w:t>
            </w:r>
          </w:p>
        </w:tc>
      </w:tr>
      <w:tr w14:paraId="18B9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017" w:type="dxa"/>
            <w:noWrap w:val="0"/>
            <w:vAlign w:val="center"/>
          </w:tcPr>
          <w:p w14:paraId="2ED3F0B2">
            <w:pPr>
              <w:keepNext w:val="0"/>
              <w:keepLines w:val="0"/>
              <w:pageBreakBefore w:val="0"/>
              <w:widowControl w:val="0"/>
              <w:kinsoku/>
              <w:wordWrap/>
              <w:overflowPunct/>
              <w:topLinePunct w:val="0"/>
              <w:bidi w:val="0"/>
              <w:spacing w:line="420" w:lineRule="exact"/>
              <w:jc w:val="center"/>
              <w:textAlignment w:val="auto"/>
              <w:rPr>
                <w:rFonts w:hint="eastAsia" w:ascii="宋体" w:hAnsi="宋体" w:eastAsia="宋体" w:cs="宋体"/>
                <w:color w:val="auto"/>
                <w:szCs w:val="21"/>
                <w:highlight w:val="none"/>
                <w:lang w:eastAsia="zh-CN"/>
              </w:rPr>
            </w:pPr>
          </w:p>
        </w:tc>
        <w:tc>
          <w:tcPr>
            <w:tcW w:w="8595" w:type="dxa"/>
            <w:noWrap w:val="0"/>
            <w:vAlign w:val="center"/>
          </w:tcPr>
          <w:p w14:paraId="5B854B1B">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供应商资格要求：</w:t>
            </w:r>
          </w:p>
          <w:p w14:paraId="0D1F82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35BEA5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2.落实政府采购政策需满足的资格要求：</w:t>
            </w:r>
            <w:r>
              <w:rPr>
                <w:rFonts w:hint="eastAsia" w:ascii="宋体" w:hAnsi="宋体" w:cs="宋体"/>
                <w:b/>
                <w:bCs/>
                <w:color w:val="auto"/>
                <w:sz w:val="21"/>
                <w:szCs w:val="21"/>
                <w:highlight w:val="none"/>
                <w:lang w:eastAsia="zh-CN"/>
              </w:rPr>
              <w:t>本项目为专门面向中小企业采购的项目</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供应商应为</w:t>
            </w:r>
            <w:r>
              <w:rPr>
                <w:rFonts w:hint="eastAsia" w:ascii="宋体" w:hAnsi="宋体" w:cs="宋体"/>
                <w:b/>
                <w:bCs/>
                <w:color w:val="auto"/>
                <w:sz w:val="21"/>
                <w:szCs w:val="21"/>
                <w:highlight w:val="none"/>
                <w:lang w:val="en-US" w:eastAsia="zh-CN"/>
              </w:rPr>
              <w:t>中</w:t>
            </w:r>
            <w:r>
              <w:rPr>
                <w:rFonts w:hint="eastAsia" w:ascii="宋体" w:hAnsi="宋体" w:eastAsia="宋体" w:cs="宋体"/>
                <w:b/>
                <w:bCs/>
                <w:color w:val="auto"/>
                <w:sz w:val="21"/>
                <w:szCs w:val="21"/>
                <w:highlight w:val="none"/>
              </w:rPr>
              <w:t>小微企业或监狱企业或残疾人福利性单位</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kern w:val="0"/>
                <w:szCs w:val="21"/>
                <w:highlight w:val="none"/>
                <w:lang w:val="en-US" w:eastAsia="zh-CN"/>
              </w:rPr>
              <w:t>。供应商必须提供中小企业声明函或者残疾人福利性单位声明函或者供应商属于监狱企业的需提供由省级以上监狱管理局、戒毒管理局（含新疆生产建设兵团）出具的属于监狱企业的证明文件</w:t>
            </w:r>
            <w:r>
              <w:rPr>
                <w:rFonts w:hint="eastAsia" w:ascii="宋体" w:hAnsi="宋体" w:cs="宋体"/>
                <w:color w:val="auto"/>
                <w:kern w:val="0"/>
                <w:szCs w:val="21"/>
                <w:highlight w:val="none"/>
                <w:lang w:val="en-US" w:eastAsia="zh-CN"/>
              </w:rPr>
              <w:t>；</w:t>
            </w:r>
          </w:p>
          <w:p w14:paraId="778CB9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3.本项目的特定资格要求：</w:t>
            </w:r>
          </w:p>
          <w:p w14:paraId="7BC044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本项目供应商企业资质要求具备</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市政公用工程施工总承包</w:t>
            </w:r>
            <w:r>
              <w:rPr>
                <w:rFonts w:hint="eastAsia" w:ascii="宋体" w:hAnsi="宋体" w:cs="宋体"/>
                <w:b/>
                <w:bCs/>
                <w:color w:val="auto"/>
                <w:szCs w:val="21"/>
                <w:highlight w:val="none"/>
              </w:rPr>
              <w:t>”三级以上（含三级）资质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并</w:t>
            </w:r>
            <w:r>
              <w:rPr>
                <w:rFonts w:hint="eastAsia" w:ascii="宋体" w:hAnsi="宋体" w:eastAsia="宋体" w:cs="宋体"/>
                <w:color w:val="auto"/>
                <w:szCs w:val="21"/>
                <w:highlight w:val="none"/>
              </w:rPr>
              <w:t>具有有效的</w:t>
            </w:r>
            <w:r>
              <w:rPr>
                <w:rFonts w:hint="eastAsia" w:ascii="宋体" w:hAnsi="宋体" w:eastAsia="宋体" w:cs="宋体"/>
                <w:color w:val="auto"/>
                <w:szCs w:val="21"/>
                <w:highlight w:val="none"/>
                <w:lang w:val="en-US" w:eastAsia="zh-CN"/>
              </w:rPr>
              <w:t>企业</w:t>
            </w:r>
            <w:r>
              <w:rPr>
                <w:rFonts w:hint="eastAsia" w:ascii="宋体" w:hAnsi="宋体" w:eastAsia="宋体" w:cs="宋体"/>
                <w:color w:val="auto"/>
                <w:szCs w:val="21"/>
                <w:highlight w:val="none"/>
              </w:rPr>
              <w:t>安全生产许可证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且</w:t>
            </w:r>
            <w:r>
              <w:rPr>
                <w:rFonts w:hint="eastAsia" w:ascii="宋体" w:hAnsi="宋体" w:eastAsia="宋体" w:cs="宋体"/>
                <w:color w:val="auto"/>
                <w:szCs w:val="21"/>
                <w:highlight w:val="none"/>
              </w:rPr>
              <w:t>在人员、设备、资金等方面具有相应的施工能力</w:t>
            </w:r>
            <w:r>
              <w:rPr>
                <w:rFonts w:hint="eastAsia" w:ascii="宋体" w:hAnsi="宋体" w:eastAsia="宋体" w:cs="宋体"/>
                <w:color w:val="auto"/>
                <w:szCs w:val="21"/>
                <w:highlight w:val="none"/>
                <w:lang w:val="en-US" w:eastAsia="zh-CN"/>
              </w:rPr>
              <w:t>；</w:t>
            </w:r>
          </w:p>
          <w:p w14:paraId="465947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szCs w:val="21"/>
                <w:highlight w:val="none"/>
              </w:rPr>
              <w:t>拟派项目经理资格要求具备</w:t>
            </w:r>
            <w:r>
              <w:rPr>
                <w:rFonts w:hint="eastAsia" w:ascii="宋体" w:hAnsi="宋体" w:cs="宋体"/>
                <w:b/>
                <w:bCs/>
                <w:color w:val="auto"/>
                <w:szCs w:val="21"/>
                <w:highlight w:val="none"/>
                <w:lang w:val="en-US" w:eastAsia="zh-CN"/>
              </w:rPr>
              <w:t>市政公用工程</w:t>
            </w:r>
            <w:r>
              <w:rPr>
                <w:rFonts w:hint="eastAsia" w:ascii="宋体" w:hAnsi="宋体" w:eastAsia="宋体" w:cs="宋体"/>
                <w:color w:val="auto"/>
                <w:sz w:val="21"/>
                <w:szCs w:val="21"/>
                <w:highlight w:val="none"/>
                <w:lang w:val="zh-CN" w:eastAsia="zh-CN" w:bidi="zh-CN"/>
              </w:rPr>
              <w:t>专业贰级以上（含贰级）</w:t>
            </w:r>
            <w:r>
              <w:rPr>
                <w:rFonts w:hint="eastAsia" w:ascii="宋体" w:hAnsi="宋体" w:eastAsia="宋体" w:cs="宋体"/>
                <w:color w:val="auto"/>
                <w:szCs w:val="21"/>
                <w:highlight w:val="none"/>
              </w:rPr>
              <w:t>注册建造师证书，并持有效的安全生产考核合格证书（B证），为</w:t>
            </w:r>
            <w:r>
              <w:rPr>
                <w:rFonts w:hint="eastAsia"/>
                <w:color w:val="auto"/>
                <w:lang w:val="en-US" w:eastAsia="zh-CN"/>
              </w:rPr>
              <w:t>供应商</w:t>
            </w:r>
            <w:r>
              <w:rPr>
                <w:rFonts w:hint="eastAsia" w:ascii="宋体" w:hAnsi="宋体" w:eastAsia="宋体" w:cs="宋体"/>
                <w:color w:val="auto"/>
                <w:szCs w:val="21"/>
                <w:highlight w:val="none"/>
              </w:rPr>
              <w:t>本单位的在岗人员，且未担任其他在建项目或已中标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未开工项目或已列为项目第一</w:t>
            </w:r>
            <w:r>
              <w:rPr>
                <w:rFonts w:hint="eastAsia" w:ascii="宋体" w:hAnsi="宋体" w:cs="宋体"/>
                <w:color w:val="auto"/>
                <w:szCs w:val="21"/>
                <w:highlight w:val="none"/>
                <w:lang w:val="en-US" w:eastAsia="zh-CN"/>
              </w:rPr>
              <w:t>中标（成交）</w:t>
            </w:r>
            <w:r>
              <w:rPr>
                <w:rFonts w:hint="eastAsia" w:ascii="宋体" w:hAnsi="宋体" w:eastAsia="宋体" w:cs="宋体"/>
                <w:color w:val="auto"/>
                <w:szCs w:val="21"/>
                <w:highlight w:val="none"/>
              </w:rPr>
              <w:t>候选人项目的项目经理</w:t>
            </w:r>
            <w:r>
              <w:rPr>
                <w:rFonts w:hint="eastAsia" w:ascii="宋体" w:hAnsi="宋体" w:eastAsia="宋体" w:cs="宋体"/>
                <w:color w:val="auto"/>
                <w:szCs w:val="21"/>
                <w:highlight w:val="none"/>
                <w:lang w:eastAsia="zh-CN"/>
              </w:rPr>
              <w:t>。</w:t>
            </w:r>
          </w:p>
        </w:tc>
      </w:tr>
      <w:tr w14:paraId="6FECF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017" w:type="dxa"/>
            <w:noWrap w:val="0"/>
            <w:vAlign w:val="center"/>
          </w:tcPr>
          <w:p w14:paraId="3BDA182C">
            <w:pPr>
              <w:keepNext w:val="0"/>
              <w:keepLines w:val="0"/>
              <w:pageBreakBefore w:val="0"/>
              <w:widowControl w:val="0"/>
              <w:kinsoku/>
              <w:wordWrap/>
              <w:overflowPunct/>
              <w:topLinePunct w:val="0"/>
              <w:bidi w:val="0"/>
              <w:spacing w:line="42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8595" w:type="dxa"/>
            <w:noWrap w:val="0"/>
            <w:vAlign w:val="center"/>
          </w:tcPr>
          <w:p w14:paraId="6120844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Cs w:val="21"/>
                <w:highlight w:val="none"/>
              </w:rPr>
              <w:t>是否接受联合体竞标</w:t>
            </w:r>
            <w:r>
              <w:rPr>
                <w:rFonts w:hint="eastAsia" w:ascii="宋体" w:hAnsi="宋体" w:eastAsia="宋体" w:cs="宋体"/>
                <w:color w:val="auto"/>
                <w:szCs w:val="21"/>
                <w:highlight w:val="none"/>
                <w:lang w:eastAsia="zh-CN"/>
              </w:rPr>
              <w:t>：</w:t>
            </w:r>
            <w:bookmarkStart w:id="49" w:name="PO_3000001868_PM007"/>
            <w:r>
              <w:rPr>
                <w:rFonts w:hint="eastAsia" w:ascii="宋体" w:hAnsi="宋体" w:eastAsia="宋体" w:cs="宋体"/>
                <w:color w:val="auto"/>
                <w:szCs w:val="21"/>
                <w:highlight w:val="none"/>
              </w:rPr>
              <w:t>详见竞争性磋商公告</w:t>
            </w:r>
            <w:bookmarkEnd w:id="49"/>
            <w:r>
              <w:rPr>
                <w:rFonts w:hint="eastAsia" w:ascii="宋体" w:hAnsi="宋体" w:eastAsia="宋体" w:cs="宋体"/>
                <w:color w:val="auto"/>
                <w:szCs w:val="21"/>
                <w:highlight w:val="none"/>
                <w:lang w:eastAsia="zh-CN"/>
              </w:rPr>
              <w:t>。</w:t>
            </w:r>
          </w:p>
        </w:tc>
      </w:tr>
      <w:tr w14:paraId="5D4D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017" w:type="dxa"/>
            <w:noWrap w:val="0"/>
            <w:vAlign w:val="center"/>
          </w:tcPr>
          <w:p w14:paraId="0C230DE1">
            <w:pPr>
              <w:keepNext w:val="0"/>
              <w:keepLines w:val="0"/>
              <w:pageBreakBefore w:val="0"/>
              <w:widowControl w:val="0"/>
              <w:kinsoku/>
              <w:wordWrap/>
              <w:overflowPunct/>
              <w:topLinePunct w:val="0"/>
              <w:bidi w:val="0"/>
              <w:spacing w:line="42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8595" w:type="dxa"/>
            <w:noWrap w:val="0"/>
            <w:vAlign w:val="center"/>
          </w:tcPr>
          <w:p w14:paraId="2616ECFE">
            <w:pPr>
              <w:pStyle w:val="9"/>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是否允许分包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不允许分包</w:t>
            </w:r>
            <w:r>
              <w:rPr>
                <w:rFonts w:hint="eastAsia" w:ascii="宋体" w:hAnsi="宋体" w:eastAsia="宋体" w:cs="宋体"/>
                <w:color w:val="auto"/>
                <w:szCs w:val="21"/>
                <w:highlight w:val="none"/>
                <w:lang w:eastAsia="zh-CN"/>
              </w:rPr>
              <w:t>。</w:t>
            </w:r>
          </w:p>
        </w:tc>
      </w:tr>
      <w:tr w14:paraId="6F38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017" w:type="dxa"/>
            <w:noWrap w:val="0"/>
            <w:vAlign w:val="center"/>
          </w:tcPr>
          <w:p w14:paraId="6C6A144C">
            <w:pPr>
              <w:keepNext w:val="0"/>
              <w:keepLines w:val="0"/>
              <w:pageBreakBefore w:val="0"/>
              <w:widowControl w:val="0"/>
              <w:kinsoku/>
              <w:wordWrap/>
              <w:overflowPunct/>
              <w:topLinePunct w:val="0"/>
              <w:bidi w:val="0"/>
              <w:spacing w:line="420" w:lineRule="exact"/>
              <w:jc w:val="center"/>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8595" w:type="dxa"/>
            <w:noWrap w:val="0"/>
            <w:vAlign w:val="center"/>
          </w:tcPr>
          <w:p w14:paraId="7D071AEB">
            <w:pPr>
              <w:pStyle w:val="9"/>
              <w:ind w:firstLine="420" w:firstLineChars="200"/>
              <w:rPr>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.响应文件电子版要求：</w:t>
            </w:r>
            <w:r>
              <w:rPr>
                <w:rFonts w:hint="eastAsia"/>
                <w:color w:val="auto"/>
                <w:highlight w:val="none"/>
              </w:rPr>
              <w:t>按照本竞争性磋商文件“第五章 响应文件格式”编写，第五章未附格式的，由供应商自行拟定。</w:t>
            </w:r>
          </w:p>
          <w:p w14:paraId="5C1F0D88">
            <w:pPr>
              <w:keepNext w:val="0"/>
              <w:keepLines w:val="0"/>
              <w:pageBreakBefore w:val="0"/>
              <w:widowControl w:val="0"/>
              <w:kinsoku/>
              <w:wordWrap/>
              <w:overflowPunct/>
              <w:topLinePunct w:val="0"/>
              <w:bidi w:val="0"/>
              <w:adjustRightInd/>
              <w:snapToGrid w:val="0"/>
              <w:spacing w:line="398"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.响应文件电子版密封方式：电子响应文件通过平台有效CA加密后在“</w:t>
            </w:r>
            <w:r>
              <w:rPr>
                <w:rFonts w:hint="eastAsia" w:ascii="宋体" w:hAnsi="宋体" w:cs="宋体"/>
                <w:color w:val="auto"/>
                <w:highlight w:val="none"/>
                <w:lang w:val="en-US" w:eastAsia="zh-CN"/>
              </w:rPr>
              <w:t>广西政府采购云</w:t>
            </w:r>
            <w:r>
              <w:rPr>
                <w:rFonts w:hint="eastAsia" w:ascii="宋体" w:hAnsi="宋体" w:eastAsia="宋体" w:cs="宋体"/>
                <w:color w:val="auto"/>
                <w:highlight w:val="none"/>
              </w:rPr>
              <w:t>”平台投送。</w:t>
            </w:r>
          </w:p>
        </w:tc>
      </w:tr>
      <w:tr w14:paraId="74BE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017" w:type="dxa"/>
            <w:noWrap w:val="0"/>
            <w:vAlign w:val="center"/>
          </w:tcPr>
          <w:p w14:paraId="16E1A15F">
            <w:pPr>
              <w:keepNext w:val="0"/>
              <w:keepLines w:val="0"/>
              <w:pageBreakBefore w:val="0"/>
              <w:widowControl w:val="0"/>
              <w:kinsoku/>
              <w:wordWrap/>
              <w:overflowPunct/>
              <w:topLinePunct w:val="0"/>
              <w:bidi w:val="0"/>
              <w:spacing w:line="42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8595" w:type="dxa"/>
            <w:noWrap w:val="0"/>
            <w:vAlign w:val="center"/>
          </w:tcPr>
          <w:p w14:paraId="33B89CBC">
            <w:pPr>
              <w:keepNext w:val="0"/>
              <w:keepLines w:val="0"/>
              <w:pageBreakBefore w:val="0"/>
              <w:widowControl w:val="0"/>
              <w:kinsoku/>
              <w:wordWrap/>
              <w:overflowPunct/>
              <w:topLinePunct w:val="0"/>
              <w:bidi w:val="0"/>
              <w:adjustRightInd/>
              <w:snapToGrid w:val="0"/>
              <w:spacing w:line="398" w:lineRule="exact"/>
              <w:jc w:val="left"/>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报价</w:t>
            </w:r>
            <w:r>
              <w:rPr>
                <w:rFonts w:hint="eastAsia" w:ascii="宋体" w:hAnsi="宋体" w:eastAsia="宋体" w:cs="宋体"/>
                <w:color w:val="auto"/>
                <w:highlight w:val="none"/>
                <w:lang w:eastAsia="zh-CN"/>
              </w:rPr>
              <w:t>：供应商须根据采购人提供的</w:t>
            </w:r>
            <w:r>
              <w:rPr>
                <w:rFonts w:hint="eastAsia" w:ascii="宋体" w:hAnsi="宋体" w:eastAsia="宋体" w:cs="宋体"/>
                <w:color w:val="auto"/>
                <w:highlight w:val="none"/>
                <w:lang w:val="en-US" w:eastAsia="zh-CN"/>
              </w:rPr>
              <w:t>工程</w:t>
            </w:r>
            <w:r>
              <w:rPr>
                <w:rFonts w:hint="eastAsia" w:ascii="宋体" w:hAnsi="宋体" w:eastAsia="宋体" w:cs="宋体"/>
                <w:color w:val="auto"/>
                <w:highlight w:val="none"/>
                <w:lang w:eastAsia="zh-CN"/>
              </w:rPr>
              <w:t>清单及图纸编制完整的</w:t>
            </w:r>
            <w:bookmarkStart w:id="50" w:name="OLE_LINK23"/>
            <w:r>
              <w:rPr>
                <w:rFonts w:hint="eastAsia" w:ascii="宋体" w:hAnsi="宋体" w:eastAsia="宋体" w:cs="宋体"/>
                <w:color w:val="auto"/>
                <w:highlight w:val="none"/>
              </w:rPr>
              <w:t>工程量清单</w:t>
            </w:r>
            <w:r>
              <w:rPr>
                <w:rFonts w:hint="eastAsia" w:ascii="宋体" w:hAnsi="宋体" w:eastAsia="宋体" w:cs="宋体"/>
                <w:color w:val="auto"/>
                <w:highlight w:val="none"/>
                <w:lang w:eastAsia="zh-CN"/>
              </w:rPr>
              <w:t>报价文件</w:t>
            </w:r>
            <w:bookmarkEnd w:id="50"/>
            <w:r>
              <w:rPr>
                <w:rFonts w:hint="eastAsia" w:ascii="宋体" w:hAnsi="宋体" w:cs="宋体"/>
                <w:color w:val="auto"/>
                <w:highlight w:val="none"/>
                <w:lang w:eastAsia="zh-CN"/>
              </w:rPr>
              <w:t>。</w:t>
            </w:r>
          </w:p>
        </w:tc>
      </w:tr>
      <w:tr w14:paraId="2713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017" w:type="dxa"/>
            <w:noWrap w:val="0"/>
            <w:vAlign w:val="center"/>
          </w:tcPr>
          <w:p w14:paraId="5A6F5F6E">
            <w:pPr>
              <w:keepNext w:val="0"/>
              <w:keepLines w:val="0"/>
              <w:pageBreakBefore w:val="0"/>
              <w:widowControl w:val="0"/>
              <w:kinsoku/>
              <w:wordWrap/>
              <w:overflowPunct/>
              <w:topLinePunct w:val="0"/>
              <w:bidi w:val="0"/>
              <w:spacing w:line="4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.1</w:t>
            </w:r>
          </w:p>
        </w:tc>
        <w:tc>
          <w:tcPr>
            <w:tcW w:w="8595" w:type="dxa"/>
            <w:noWrap w:val="0"/>
            <w:vAlign w:val="center"/>
          </w:tcPr>
          <w:p w14:paraId="5847EAED">
            <w:pPr>
              <w:keepNext w:val="0"/>
              <w:keepLines w:val="0"/>
              <w:pageBreakBefore w:val="0"/>
              <w:widowControl w:val="0"/>
              <w:shd w:val="clear" w:color="auto" w:fill="FFFFFF"/>
              <w:kinsoku/>
              <w:wordWrap/>
              <w:overflowPunct/>
              <w:topLinePunct w:val="0"/>
              <w:bidi w:val="0"/>
              <w:spacing w:line="4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竞标</w:t>
            </w:r>
            <w:r>
              <w:rPr>
                <w:rFonts w:hint="eastAsia" w:ascii="宋体" w:hAnsi="宋体" w:eastAsia="宋体" w:cs="宋体"/>
                <w:color w:val="auto"/>
                <w:szCs w:val="21"/>
                <w:highlight w:val="none"/>
              </w:rPr>
              <w:t>有效期：</w:t>
            </w:r>
            <w:r>
              <w:rPr>
                <w:rFonts w:hint="eastAsia" w:ascii="宋体" w:hAnsi="宋体" w:eastAsia="宋体" w:cs="宋体"/>
                <w:color w:val="auto"/>
                <w:spacing w:val="2"/>
                <w:highlight w:val="none"/>
              </w:rPr>
              <w:t>自首次响应文件提交截止时间起至政府采购合同签订之日止。</w:t>
            </w:r>
          </w:p>
        </w:tc>
      </w:tr>
      <w:tr w14:paraId="53B8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017" w:type="dxa"/>
            <w:noWrap w:val="0"/>
            <w:vAlign w:val="center"/>
          </w:tcPr>
          <w:p w14:paraId="604CED57">
            <w:pPr>
              <w:keepNext w:val="0"/>
              <w:keepLines w:val="0"/>
              <w:pageBreakBefore w:val="0"/>
              <w:widowControl w:val="0"/>
              <w:kinsoku/>
              <w:wordWrap/>
              <w:overflowPunct/>
              <w:topLinePunct w:val="0"/>
              <w:bidi w:val="0"/>
              <w:spacing w:line="42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.1</w:t>
            </w:r>
          </w:p>
        </w:tc>
        <w:tc>
          <w:tcPr>
            <w:tcW w:w="8595" w:type="dxa"/>
            <w:noWrap w:val="0"/>
            <w:vAlign w:val="center"/>
          </w:tcPr>
          <w:p w14:paraId="696EAB6C">
            <w:pPr>
              <w:spacing w:line="360" w:lineRule="auto"/>
              <w:ind w:firstLine="422"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Cs w:val="21"/>
                <w:highlight w:val="none"/>
                <w:lang w:eastAsia="zh-CN"/>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lang w:eastAsia="zh-CN"/>
              </w:rPr>
              <w:t>磋商保证金。</w:t>
            </w:r>
          </w:p>
        </w:tc>
      </w:tr>
      <w:tr w14:paraId="02231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7" w:type="dxa"/>
            <w:noWrap w:val="0"/>
            <w:vAlign w:val="center"/>
          </w:tcPr>
          <w:p w14:paraId="49375B86">
            <w:pPr>
              <w:keepNext w:val="0"/>
              <w:keepLines w:val="0"/>
              <w:pageBreakBefore w:val="0"/>
              <w:widowControl w:val="0"/>
              <w:kinsoku/>
              <w:wordWrap/>
              <w:overflowPunct/>
              <w:topLinePunct w:val="0"/>
              <w:bidi w:val="0"/>
              <w:spacing w:line="420" w:lineRule="exact"/>
              <w:jc w:val="center"/>
              <w:textAlignment w:val="auto"/>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18</w:t>
            </w:r>
          </w:p>
        </w:tc>
        <w:tc>
          <w:tcPr>
            <w:tcW w:w="8595" w:type="dxa"/>
            <w:noWrap w:val="0"/>
            <w:vAlign w:val="center"/>
          </w:tcPr>
          <w:p w14:paraId="1EB819AC">
            <w:pPr>
              <w:keepNext w:val="0"/>
              <w:keepLines w:val="0"/>
              <w:pageBreakBefore w:val="0"/>
              <w:widowControl w:val="0"/>
              <w:kinsoku/>
              <w:wordWrap/>
              <w:overflowPunct/>
              <w:topLinePunct w:val="0"/>
              <w:bidi w:val="0"/>
              <w:adjustRightInd/>
              <w:snapToGrid w:val="0"/>
              <w:spacing w:line="398" w:lineRule="exact"/>
              <w:ind w:firstLine="420" w:firstLineChars="20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首次响应文件提交截止时间：详见竞争性磋商公告。</w:t>
            </w:r>
          </w:p>
          <w:p w14:paraId="6AC62AA9">
            <w:pPr>
              <w:keepNext w:val="0"/>
              <w:keepLines w:val="0"/>
              <w:pageBreakBefore w:val="0"/>
              <w:widowControl w:val="0"/>
              <w:kinsoku/>
              <w:wordWrap/>
              <w:overflowPunct/>
              <w:topLinePunct w:val="0"/>
              <w:bidi w:val="0"/>
              <w:adjustRightInd/>
              <w:snapToGrid w:val="0"/>
              <w:spacing w:line="398" w:lineRule="exact"/>
              <w:ind w:firstLine="420" w:firstLineChars="20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首次响应文件提交地点：详见竞争性磋商公告。</w:t>
            </w:r>
          </w:p>
          <w:p w14:paraId="29B1419D">
            <w:pPr>
              <w:keepNext w:val="0"/>
              <w:keepLines w:val="0"/>
              <w:pageBreakBefore w:val="0"/>
              <w:widowControl w:val="0"/>
              <w:kinsoku/>
              <w:wordWrap/>
              <w:overflowPunct/>
              <w:topLinePunct w:val="0"/>
              <w:bidi w:val="0"/>
              <w:adjustRightInd/>
              <w:snapToGrid w:val="0"/>
              <w:spacing w:line="398" w:lineRule="exact"/>
              <w:ind w:firstLine="420" w:firstLineChars="20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首次响应文件</w:t>
            </w:r>
            <w:r>
              <w:rPr>
                <w:rFonts w:hint="eastAsia" w:ascii="Times New Roman" w:hAnsi="Times New Roman" w:eastAsia="宋体" w:cs="Times New Roman"/>
                <w:color w:val="auto"/>
                <w:highlight w:val="none"/>
                <w:lang w:eastAsia="zh-CN"/>
              </w:rPr>
              <w:t>开启</w:t>
            </w:r>
            <w:r>
              <w:rPr>
                <w:rFonts w:hint="eastAsia" w:ascii="Times New Roman" w:hAnsi="Times New Roman" w:eastAsia="宋体" w:cs="Times New Roman"/>
                <w:color w:val="auto"/>
                <w:highlight w:val="none"/>
              </w:rPr>
              <w:t>时间</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详见竞争性磋商公告</w:t>
            </w:r>
            <w:r>
              <w:rPr>
                <w:rFonts w:hint="eastAsia" w:ascii="Times New Roman" w:hAnsi="Times New Roman" w:eastAsia="宋体" w:cs="Times New Roman"/>
                <w:color w:val="auto"/>
                <w:highlight w:val="none"/>
                <w:lang w:eastAsia="zh-CN"/>
              </w:rPr>
              <w:t>。</w:t>
            </w:r>
          </w:p>
          <w:p w14:paraId="64D1926A">
            <w:pPr>
              <w:keepNext w:val="0"/>
              <w:keepLines w:val="0"/>
              <w:pageBreakBefore w:val="0"/>
              <w:widowControl w:val="0"/>
              <w:kinsoku/>
              <w:wordWrap/>
              <w:overflowPunct/>
              <w:topLinePunct w:val="0"/>
              <w:bidi w:val="0"/>
              <w:adjustRightInd/>
              <w:snapToGrid w:val="0"/>
              <w:spacing w:line="398" w:lineRule="exact"/>
              <w:ind w:firstLine="420" w:firstLineChars="200"/>
              <w:jc w:val="left"/>
              <w:rPr>
                <w:rFonts w:hint="eastAsia" w:ascii="宋体" w:hAnsi="宋体" w:eastAsia="宋体" w:cs="宋体"/>
                <w:color w:val="auto"/>
                <w:szCs w:val="21"/>
                <w:highlight w:val="none"/>
                <w:lang w:eastAsia="zh-CN"/>
              </w:rPr>
            </w:pPr>
            <w:r>
              <w:rPr>
                <w:rFonts w:hint="eastAsia" w:ascii="Times New Roman" w:hAnsi="Times New Roman" w:eastAsia="宋体" w:cs="Times New Roman"/>
                <w:color w:val="auto"/>
                <w:highlight w:val="none"/>
              </w:rPr>
              <w:t>备份响应文件</w:t>
            </w:r>
            <w:r>
              <w:rPr>
                <w:rFonts w:hint="eastAsia" w:ascii="Times New Roman" w:hAnsi="Times New Roman" w:eastAsia="宋体" w:cs="Times New Roman"/>
                <w:color w:val="auto"/>
                <w:highlight w:val="none"/>
                <w:lang w:eastAsia="zh-CN"/>
              </w:rPr>
              <w:t>：</w:t>
            </w:r>
            <w:r>
              <w:rPr>
                <w:rFonts w:hint="eastAsia" w:ascii="宋体" w:hAnsi="宋体" w:eastAsia="宋体" w:cs="宋体"/>
                <w:color w:val="auto"/>
                <w:szCs w:val="21"/>
                <w:highlight w:val="none"/>
              </w:rPr>
              <w:t>本项目不接受备份响应文件</w:t>
            </w:r>
            <w:r>
              <w:rPr>
                <w:rFonts w:hint="eastAsia" w:ascii="宋体" w:hAnsi="宋体" w:eastAsia="宋体" w:cs="宋体"/>
                <w:color w:val="auto"/>
                <w:szCs w:val="21"/>
                <w:highlight w:val="none"/>
                <w:lang w:eastAsia="zh-CN"/>
              </w:rPr>
              <w:t>。</w:t>
            </w:r>
          </w:p>
        </w:tc>
      </w:tr>
      <w:tr w14:paraId="5874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7" w:type="dxa"/>
            <w:noWrap w:val="0"/>
            <w:vAlign w:val="center"/>
          </w:tcPr>
          <w:p w14:paraId="10BCF389">
            <w:pPr>
              <w:keepNext w:val="0"/>
              <w:keepLines w:val="0"/>
              <w:pageBreakBefore w:val="0"/>
              <w:widowControl w:val="0"/>
              <w:kinsoku/>
              <w:wordWrap/>
              <w:overflowPunct/>
              <w:topLinePunct w:val="0"/>
              <w:bidi w:val="0"/>
              <w:adjustRightInd/>
              <w:spacing w:line="398"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21</w:t>
            </w:r>
          </w:p>
        </w:tc>
        <w:tc>
          <w:tcPr>
            <w:tcW w:w="8595" w:type="dxa"/>
            <w:noWrap w:val="0"/>
            <w:vAlign w:val="center"/>
          </w:tcPr>
          <w:p w14:paraId="4EA8A7A6">
            <w:pPr>
              <w:keepNext w:val="0"/>
              <w:keepLines w:val="0"/>
              <w:pageBreakBefore w:val="0"/>
              <w:widowControl w:val="0"/>
              <w:kinsoku/>
              <w:wordWrap/>
              <w:overflowPunct/>
              <w:topLinePunct w:val="0"/>
              <w:bidi w:val="0"/>
              <w:adjustRightInd/>
              <w:snapToGrid w:val="0"/>
              <w:spacing w:line="398" w:lineRule="exact"/>
              <w:jc w:val="left"/>
              <w:rPr>
                <w:rFonts w:hint="eastAsia" w:ascii="宋体" w:hAnsi="宋体" w:eastAsia="宋体" w:cs="宋体"/>
                <w:color w:val="auto"/>
                <w:kern w:val="2"/>
                <w:sz w:val="21"/>
                <w:szCs w:val="21"/>
                <w:highlight w:val="none"/>
                <w:u w:val="single"/>
                <w:lang w:val="en-US" w:eastAsia="zh-CN" w:bidi="ar-SA"/>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w:t>
            </w:r>
          </w:p>
        </w:tc>
      </w:tr>
      <w:tr w14:paraId="633F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trPr>
        <w:tc>
          <w:tcPr>
            <w:tcW w:w="1017" w:type="dxa"/>
            <w:noWrap w:val="0"/>
            <w:vAlign w:val="center"/>
          </w:tcPr>
          <w:p w14:paraId="1A0B5923">
            <w:pPr>
              <w:keepNext w:val="0"/>
              <w:keepLines w:val="0"/>
              <w:pageBreakBefore w:val="0"/>
              <w:widowControl w:val="0"/>
              <w:kinsoku/>
              <w:wordWrap/>
              <w:overflowPunct/>
              <w:topLinePunct w:val="0"/>
              <w:bidi w:val="0"/>
              <w:spacing w:line="42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23.3</w:t>
            </w:r>
          </w:p>
        </w:tc>
        <w:tc>
          <w:tcPr>
            <w:tcW w:w="8595" w:type="dxa"/>
            <w:noWrap w:val="0"/>
            <w:vAlign w:val="center"/>
          </w:tcPr>
          <w:p w14:paraId="23664D18">
            <w:pPr>
              <w:pStyle w:val="9"/>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□按照提交首次响应文件的顺序，通知磋商时，若某供应商不在通知现场时，该供应商排序到最后磋商，按照签到的顺序由其下一位供应商先参与磋商。</w:t>
            </w:r>
          </w:p>
          <w:p w14:paraId="6A02197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随机排序。</w:t>
            </w:r>
          </w:p>
          <w:p w14:paraId="2A9ECD1A">
            <w:pPr>
              <w:pStyle w:val="9"/>
              <w:spacing w:line="360" w:lineRule="auto"/>
              <w:ind w:firstLine="422" w:firstLineChars="200"/>
              <w:rPr>
                <w:rFonts w:hint="eastAsia" w:ascii="宋体" w:hAnsi="宋体" w:eastAsia="宋体" w:cs="宋体"/>
                <w:color w:val="auto"/>
                <w:highlight w:val="none"/>
                <w:lang w:eastAsia="zh-CN"/>
              </w:rPr>
            </w:pPr>
            <w:r>
              <w:rPr>
                <w:rFonts w:hint="eastAsia" w:ascii="宋体" w:hAnsi="宋体" w:eastAsia="宋体" w:cs="宋体"/>
                <w:b/>
                <w:color w:val="auto"/>
                <w:szCs w:val="21"/>
                <w:highlight w:val="none"/>
              </w:rPr>
              <w:t>参与磋商前，磋商小组</w:t>
            </w:r>
            <w:r>
              <w:rPr>
                <w:rFonts w:hint="eastAsia" w:ascii="宋体" w:hAnsi="宋体" w:eastAsia="宋体" w:cs="宋体"/>
                <w:b/>
                <w:color w:val="auto"/>
                <w:szCs w:val="21"/>
                <w:highlight w:val="none"/>
                <w:lang w:eastAsia="zh-CN"/>
              </w:rPr>
              <w:t>如有要求，</w:t>
            </w:r>
            <w:r>
              <w:rPr>
                <w:rFonts w:hint="eastAsia" w:ascii="宋体" w:hAnsi="宋体" w:eastAsia="宋体" w:cs="宋体"/>
                <w:b/>
                <w:color w:val="auto"/>
                <w:szCs w:val="21"/>
                <w:highlight w:val="none"/>
              </w:rPr>
              <w:t>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764A2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17" w:type="dxa"/>
            <w:noWrap w:val="0"/>
            <w:vAlign w:val="center"/>
          </w:tcPr>
          <w:p w14:paraId="798284F0">
            <w:pPr>
              <w:keepNext w:val="0"/>
              <w:keepLines w:val="0"/>
              <w:pageBreakBefore w:val="0"/>
              <w:widowControl w:val="0"/>
              <w:kinsoku/>
              <w:wordWrap/>
              <w:overflowPunct/>
              <w:topLinePunct w:val="0"/>
              <w:bidi w:val="0"/>
              <w:adjustRightInd/>
              <w:spacing w:line="398"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27</w:t>
            </w:r>
          </w:p>
        </w:tc>
        <w:tc>
          <w:tcPr>
            <w:tcW w:w="8595" w:type="dxa"/>
            <w:noWrap w:val="0"/>
            <w:vAlign w:val="center"/>
          </w:tcPr>
          <w:p w14:paraId="67FC7E2B">
            <w:pPr>
              <w:pStyle w:val="9"/>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签订合同携带的材料：</w:t>
            </w:r>
          </w:p>
          <w:p w14:paraId="66745B10">
            <w:pPr>
              <w:pStyle w:val="9"/>
              <w:spacing w:line="360" w:lineRule="auto"/>
              <w:ind w:firstLine="420" w:firstLineChars="200"/>
              <w:rPr>
                <w:rFonts w:hint="eastAsia" w:ascii="宋体" w:hAnsi="宋体" w:eastAsia="宋体" w:cs="宋体"/>
                <w:color w:val="auto"/>
                <w:szCs w:val="21"/>
                <w:highlight w:val="none"/>
                <w:lang w:eastAsia="zh-CN"/>
              </w:rPr>
            </w:pPr>
            <w:bookmarkStart w:id="51" w:name="OLE_LINK27"/>
            <w:r>
              <w:rPr>
                <w:rFonts w:hint="eastAsia" w:ascii="宋体" w:hAnsi="宋体" w:eastAsia="宋体" w:cs="宋体"/>
                <w:color w:val="auto"/>
                <w:szCs w:val="21"/>
                <w:highlight w:val="none"/>
              </w:rPr>
              <w:t>法定代表人</w:t>
            </w:r>
            <w:bookmarkEnd w:id="51"/>
            <w:r>
              <w:rPr>
                <w:rFonts w:hint="eastAsia"/>
                <w:color w:val="auto"/>
                <w:highlight w:val="none"/>
                <w:lang w:val="en-US" w:eastAsia="zh-CN"/>
              </w:rPr>
              <w:t>签订合同时</w:t>
            </w:r>
            <w:r>
              <w:rPr>
                <w:rFonts w:hint="eastAsia" w:ascii="宋体" w:hAnsi="宋体" w:eastAsia="宋体" w:cs="宋体"/>
                <w:color w:val="auto"/>
                <w:szCs w:val="21"/>
                <w:highlight w:val="none"/>
              </w:rPr>
              <w:t>，须携带法定代表人身份证明原件及身份证原件等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证明材料</w:t>
            </w:r>
            <w:r>
              <w:rPr>
                <w:rFonts w:hint="eastAsia" w:ascii="宋体" w:hAnsi="宋体" w:eastAsia="宋体" w:cs="宋体"/>
                <w:color w:val="auto"/>
                <w:szCs w:val="21"/>
                <w:highlight w:val="none"/>
                <w:lang w:eastAsia="zh-CN"/>
              </w:rPr>
              <w:t>。</w:t>
            </w:r>
          </w:p>
        </w:tc>
      </w:tr>
      <w:tr w14:paraId="68E4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17" w:type="dxa"/>
            <w:noWrap w:val="0"/>
            <w:vAlign w:val="center"/>
          </w:tcPr>
          <w:p w14:paraId="7586A07D">
            <w:pPr>
              <w:keepNext w:val="0"/>
              <w:keepLines w:val="0"/>
              <w:pageBreakBefore w:val="0"/>
              <w:widowControl w:val="0"/>
              <w:kinsoku/>
              <w:wordWrap/>
              <w:overflowPunct/>
              <w:topLinePunct w:val="0"/>
              <w:bidi w:val="0"/>
              <w:adjustRightInd/>
              <w:spacing w:line="398"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26</w:t>
            </w:r>
          </w:p>
        </w:tc>
        <w:tc>
          <w:tcPr>
            <w:tcW w:w="8595" w:type="dxa"/>
            <w:noWrap w:val="0"/>
            <w:vAlign w:val="center"/>
          </w:tcPr>
          <w:p w14:paraId="491B64C3">
            <w:pPr>
              <w:pStyle w:val="9"/>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履约保证金</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本项目不需要缴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履约保证金。</w:t>
            </w:r>
          </w:p>
        </w:tc>
      </w:tr>
      <w:tr w14:paraId="3EC0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17" w:type="dxa"/>
            <w:vMerge w:val="restart"/>
            <w:noWrap w:val="0"/>
            <w:vAlign w:val="center"/>
          </w:tcPr>
          <w:p w14:paraId="3283C723">
            <w:pPr>
              <w:keepNext w:val="0"/>
              <w:keepLines w:val="0"/>
              <w:pageBreakBefore w:val="0"/>
              <w:widowControl w:val="0"/>
              <w:kinsoku/>
              <w:wordWrap/>
              <w:overflowPunct/>
              <w:topLinePunct w:val="0"/>
              <w:bidi w:val="0"/>
              <w:adjustRightInd/>
              <w:spacing w:line="398"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29</w:t>
            </w:r>
          </w:p>
        </w:tc>
        <w:tc>
          <w:tcPr>
            <w:tcW w:w="8595" w:type="dxa"/>
            <w:noWrap w:val="0"/>
            <w:vAlign w:val="center"/>
          </w:tcPr>
          <w:p w14:paraId="3527E24E">
            <w:pPr>
              <w:keepNext w:val="0"/>
              <w:keepLines w:val="0"/>
              <w:pageBreakBefore w:val="0"/>
              <w:widowControl w:val="0"/>
              <w:kinsoku/>
              <w:wordWrap/>
              <w:overflowPunct/>
              <w:topLinePunct w:val="0"/>
              <w:bidi w:val="0"/>
              <w:adjustRightInd/>
              <w:snapToGrid w:val="0"/>
              <w:spacing w:line="398" w:lineRule="exact"/>
              <w:jc w:val="left"/>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rPr>
              <w:t>接收质疑函方式</w:t>
            </w:r>
            <w:r>
              <w:rPr>
                <w:rFonts w:hint="eastAsia" w:ascii="宋体" w:hAnsi="宋体" w:eastAsia="宋体" w:cs="宋体"/>
                <w:b/>
                <w:bCs/>
                <w:color w:val="auto"/>
                <w:szCs w:val="21"/>
                <w:highlight w:val="none"/>
                <w:lang w:eastAsia="zh-CN"/>
              </w:rPr>
              <w:t>：</w:t>
            </w:r>
            <w:r>
              <w:rPr>
                <w:rFonts w:hint="eastAsia" w:ascii="宋体" w:hAnsi="宋体" w:eastAsia="宋体" w:cs="宋体"/>
                <w:color w:val="auto"/>
                <w:szCs w:val="21"/>
                <w:highlight w:val="none"/>
              </w:rPr>
              <w:t>以书面形式</w:t>
            </w:r>
          </w:p>
        </w:tc>
      </w:tr>
      <w:tr w14:paraId="2C9E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17" w:type="dxa"/>
            <w:vMerge w:val="continue"/>
            <w:noWrap w:val="0"/>
            <w:vAlign w:val="center"/>
          </w:tcPr>
          <w:p w14:paraId="382E8A49">
            <w:pPr>
              <w:keepNext w:val="0"/>
              <w:keepLines w:val="0"/>
              <w:pageBreakBefore w:val="0"/>
              <w:widowControl w:val="0"/>
              <w:kinsoku/>
              <w:wordWrap/>
              <w:overflowPunct/>
              <w:topLinePunct w:val="0"/>
              <w:bidi w:val="0"/>
              <w:adjustRightInd/>
              <w:spacing w:line="398" w:lineRule="exact"/>
              <w:jc w:val="center"/>
              <w:rPr>
                <w:rFonts w:hint="eastAsia" w:ascii="宋体" w:hAnsi="宋体" w:cs="宋体"/>
                <w:color w:val="auto"/>
                <w:szCs w:val="21"/>
                <w:highlight w:val="none"/>
                <w:lang w:val="en-US" w:eastAsia="zh-CN"/>
              </w:rPr>
            </w:pPr>
          </w:p>
        </w:tc>
        <w:tc>
          <w:tcPr>
            <w:tcW w:w="8595" w:type="dxa"/>
            <w:noWrap w:val="0"/>
            <w:vAlign w:val="center"/>
          </w:tcPr>
          <w:p w14:paraId="23DB742F">
            <w:pPr>
              <w:spacing w:line="380" w:lineRule="exact"/>
              <w:ind w:firstLine="422" w:firstLineChars="200"/>
              <w:jc w:val="both"/>
              <w:rPr>
                <w:rFonts w:hint="eastAsia" w:ascii="Times New Roman" w:hAnsi="Times New Roman" w:eastAsia="宋体" w:cs="Times New Roman"/>
                <w:b/>
                <w:bCs/>
                <w:color w:val="auto"/>
                <w:highlight w:val="none"/>
                <w:lang w:eastAsia="zh-CN"/>
              </w:rPr>
            </w:pPr>
            <w:r>
              <w:rPr>
                <w:rFonts w:hint="eastAsia"/>
                <w:b/>
                <w:bCs/>
                <w:color w:val="auto"/>
                <w:highlight w:val="none"/>
              </w:rPr>
              <w:t>质</w:t>
            </w:r>
            <w:r>
              <w:rPr>
                <w:rFonts w:hint="eastAsia" w:ascii="Times New Roman" w:hAnsi="Times New Roman" w:eastAsia="宋体" w:cs="Times New Roman"/>
                <w:b/>
                <w:bCs/>
                <w:color w:val="auto"/>
                <w:highlight w:val="none"/>
              </w:rPr>
              <w:t>疑联系部门及联系方式</w:t>
            </w:r>
            <w:r>
              <w:rPr>
                <w:rFonts w:hint="eastAsia" w:ascii="Times New Roman" w:hAnsi="Times New Roman" w:eastAsia="宋体" w:cs="Times New Roman"/>
                <w:b/>
                <w:bCs/>
                <w:color w:val="auto"/>
                <w:highlight w:val="none"/>
                <w:lang w:eastAsia="zh-CN"/>
              </w:rPr>
              <w:t>：</w:t>
            </w:r>
          </w:p>
          <w:p w14:paraId="53A2C9A0">
            <w:pPr>
              <w:spacing w:line="380" w:lineRule="exact"/>
              <w:ind w:firstLine="420" w:firstLineChars="200"/>
              <w:jc w:val="both"/>
              <w:rPr>
                <w:rFonts w:hint="eastAsia" w:ascii="宋体" w:hAnsi="宋体" w:eastAsia="宋体" w:cs="宋体"/>
                <w:color w:val="auto"/>
                <w:highlight w:val="none"/>
                <w:lang w:eastAsia="zh-CN"/>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名称：</w:t>
            </w:r>
            <w:r>
              <w:rPr>
                <w:rFonts w:hint="eastAsia" w:ascii="宋体" w:hAnsi="宋体" w:cs="宋体"/>
                <w:color w:val="auto"/>
                <w:kern w:val="0"/>
                <w:sz w:val="21"/>
                <w:szCs w:val="21"/>
                <w:highlight w:val="none"/>
                <w:lang w:val="en-US" w:eastAsia="zh-CN"/>
              </w:rPr>
              <w:t>防城港市港口区民政局</w:t>
            </w:r>
          </w:p>
          <w:p w14:paraId="22DBD2A8">
            <w:pPr>
              <w:spacing w:line="380" w:lineRule="exact"/>
              <w:ind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地    址：防城港市港口区渔洲坪建政路136号</w:t>
            </w:r>
            <w:r>
              <w:rPr>
                <w:rFonts w:hint="eastAsia" w:ascii="宋体" w:hAnsi="宋体" w:eastAsia="宋体" w:cs="宋体"/>
                <w:color w:val="auto"/>
                <w:highlight w:val="none"/>
                <w:lang w:val="en-US" w:eastAsia="zh-CN"/>
              </w:rPr>
              <w:t xml:space="preserve">  </w:t>
            </w:r>
          </w:p>
          <w:p w14:paraId="40FC4F29">
            <w:pPr>
              <w:spacing w:line="380" w:lineRule="exact"/>
              <w:ind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联系方式：李翠洁；0770-2861826；</w:t>
            </w:r>
          </w:p>
          <w:p w14:paraId="5FC426E5">
            <w:pPr>
              <w:spacing w:line="380" w:lineRule="exact"/>
              <w:ind w:firstLine="420" w:firstLineChars="200"/>
              <w:jc w:val="both"/>
              <w:rPr>
                <w:rFonts w:hint="eastAsia" w:ascii="宋体" w:hAnsi="宋体" w:eastAsia="宋体" w:cs="宋体"/>
                <w:color w:val="auto"/>
                <w:highlight w:val="none"/>
                <w:lang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名称：</w:t>
            </w:r>
            <w:r>
              <w:rPr>
                <w:rFonts w:hint="eastAsia" w:ascii="宋体" w:hAnsi="宋体" w:cs="宋体"/>
                <w:color w:val="auto"/>
                <w:kern w:val="2"/>
                <w:sz w:val="21"/>
                <w:szCs w:val="21"/>
                <w:highlight w:val="none"/>
                <w:lang w:val="en-US" w:eastAsia="zh-CN"/>
              </w:rPr>
              <w:t>广西协弘项目管理有限公司</w:t>
            </w:r>
          </w:p>
          <w:p w14:paraId="557F78CD">
            <w:pPr>
              <w:spacing w:line="380" w:lineRule="exact"/>
              <w:ind w:firstLine="420" w:firstLineChars="200"/>
              <w:jc w:val="both"/>
              <w:rPr>
                <w:rFonts w:hint="eastAsia" w:ascii="宋体" w:hAnsi="宋体" w:eastAsia="宋体" w:cs="宋体"/>
                <w:color w:val="auto"/>
                <w:highlight w:val="none"/>
                <w:lang w:eastAsia="zh-CN"/>
              </w:rPr>
            </w:pPr>
            <w:r>
              <w:rPr>
                <w:rFonts w:hint="eastAsia" w:ascii="宋体" w:hAnsi="宋体" w:eastAsia="宋体" w:cs="宋体"/>
                <w:color w:val="auto"/>
                <w:highlight w:val="none"/>
              </w:rPr>
              <w:t>联系电话：</w:t>
            </w:r>
            <w:r>
              <w:rPr>
                <w:rFonts w:hint="eastAsia" w:ascii="宋体" w:hAnsi="宋体" w:cs="宋体"/>
                <w:color w:val="auto"/>
                <w:highlight w:val="none"/>
                <w:lang w:val="en-US" w:eastAsia="zh-CN"/>
              </w:rPr>
              <w:t>冯静瑜</w:t>
            </w:r>
            <w:r>
              <w:rPr>
                <w:rFonts w:hint="eastAsia" w:ascii="宋体" w:hAnsi="宋体" w:eastAsia="宋体" w:cs="宋体"/>
                <w:color w:val="auto"/>
                <w:highlight w:val="none"/>
              </w:rPr>
              <w:t>；</w:t>
            </w:r>
            <w:r>
              <w:rPr>
                <w:rFonts w:hint="eastAsia" w:ascii="宋体" w:hAnsi="宋体" w:cs="宋体"/>
                <w:color w:val="auto"/>
                <w:highlight w:val="none"/>
                <w:lang w:eastAsia="zh-CN"/>
              </w:rPr>
              <w:t>0770-2894616</w:t>
            </w:r>
          </w:p>
          <w:p w14:paraId="132AAC7C">
            <w:pPr>
              <w:spacing w:line="380" w:lineRule="exact"/>
              <w:ind w:firstLine="420" w:firstLineChars="200"/>
              <w:jc w:val="both"/>
              <w:rPr>
                <w:rFonts w:hint="eastAsia" w:ascii="宋体" w:hAnsi="宋体" w:eastAsia="宋体" w:cs="宋体"/>
                <w:color w:val="auto"/>
                <w:szCs w:val="21"/>
                <w:highlight w:val="none"/>
                <w:lang w:eastAsia="zh-CN"/>
              </w:rPr>
            </w:pPr>
            <w:r>
              <w:rPr>
                <w:rFonts w:hint="eastAsia" w:ascii="宋体" w:hAnsi="宋体" w:eastAsia="宋体" w:cs="宋体"/>
                <w:color w:val="auto"/>
                <w:highlight w:val="none"/>
              </w:rPr>
              <w:t>通讯地址：</w:t>
            </w:r>
            <w:r>
              <w:rPr>
                <w:rFonts w:hint="eastAsia" w:ascii="宋体" w:hAnsi="宋体" w:cs="Times New Roman"/>
                <w:color w:val="auto"/>
                <w:kern w:val="2"/>
                <w:sz w:val="21"/>
                <w:szCs w:val="21"/>
                <w:lang w:val="en-US" w:eastAsia="zh-CN" w:bidi="ar-SA"/>
              </w:rPr>
              <w:t>防城港市港口区珍珠路桂海东盟9栋605室</w:t>
            </w:r>
          </w:p>
        </w:tc>
      </w:tr>
      <w:tr w14:paraId="6B8B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17" w:type="dxa"/>
            <w:vMerge w:val="continue"/>
            <w:noWrap w:val="0"/>
            <w:vAlign w:val="center"/>
          </w:tcPr>
          <w:p w14:paraId="291448FB">
            <w:pPr>
              <w:keepNext w:val="0"/>
              <w:keepLines w:val="0"/>
              <w:pageBreakBefore w:val="0"/>
              <w:widowControl w:val="0"/>
              <w:kinsoku/>
              <w:wordWrap/>
              <w:overflowPunct/>
              <w:topLinePunct w:val="0"/>
              <w:bidi w:val="0"/>
              <w:adjustRightInd/>
              <w:spacing w:line="398" w:lineRule="exact"/>
              <w:jc w:val="center"/>
              <w:rPr>
                <w:rFonts w:hint="eastAsia" w:ascii="宋体" w:hAnsi="宋体" w:cs="宋体"/>
                <w:color w:val="auto"/>
                <w:szCs w:val="21"/>
                <w:highlight w:val="none"/>
                <w:lang w:val="en-US" w:eastAsia="zh-CN"/>
              </w:rPr>
            </w:pPr>
          </w:p>
        </w:tc>
        <w:tc>
          <w:tcPr>
            <w:tcW w:w="8595" w:type="dxa"/>
            <w:noWrap w:val="0"/>
            <w:vAlign w:val="center"/>
          </w:tcPr>
          <w:p w14:paraId="5CA2E1E8">
            <w:pPr>
              <w:spacing w:line="380" w:lineRule="exact"/>
              <w:jc w:val="both"/>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现场提交质疑办理业务时间</w:t>
            </w:r>
            <w:r>
              <w:rPr>
                <w:rFonts w:hint="eastAsia" w:ascii="宋体" w:hAnsi="宋体" w:eastAsia="宋体" w:cs="宋体"/>
                <w:b/>
                <w:bCs/>
                <w:color w:val="auto"/>
                <w:highlight w:val="none"/>
                <w:lang w:eastAsia="zh-CN"/>
              </w:rPr>
              <w:t>：</w:t>
            </w:r>
            <w:r>
              <w:rPr>
                <w:rFonts w:hint="eastAsia" w:ascii="宋体" w:hAnsi="宋体" w:eastAsia="宋体" w:cs="宋体"/>
                <w:color w:val="auto"/>
                <w:highlight w:val="none"/>
              </w:rPr>
              <w:t>质疑期内每个工作日</w:t>
            </w:r>
            <w:r>
              <w:rPr>
                <w:rFonts w:hint="eastAsia" w:ascii="宋体" w:hAnsi="宋体" w:eastAsia="宋体" w:cs="宋体"/>
                <w:color w:val="auto"/>
                <w:sz w:val="21"/>
                <w:highlight w:val="none"/>
                <w:lang w:val="en-US" w:eastAsia="zh-CN"/>
              </w:rPr>
              <w:t>（北京时间）</w:t>
            </w:r>
            <w:r>
              <w:rPr>
                <w:rFonts w:hint="eastAsia" w:ascii="宋体" w:hAnsi="宋体" w:eastAsia="宋体" w:cs="宋体"/>
                <w:color w:val="auto"/>
                <w:highlight w:val="none"/>
              </w:rPr>
              <w:t>上午</w:t>
            </w:r>
            <w:r>
              <w:rPr>
                <w:rFonts w:hint="eastAsia" w:ascii="宋体" w:hAnsi="宋体" w:eastAsia="宋体" w:cs="宋体"/>
                <w:color w:val="auto"/>
                <w:highlight w:val="none"/>
                <w:u w:val="single"/>
                <w:lang w:val="en-US"/>
              </w:rPr>
              <w:t>8</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lang w:val="en-US"/>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rPr>
              <w:t>00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下午</w:t>
            </w:r>
            <w:r>
              <w:rPr>
                <w:rFonts w:hint="eastAsia" w:ascii="宋体" w:hAnsi="宋体" w:cs="宋体"/>
                <w:color w:val="auto"/>
                <w:highlight w:val="none"/>
                <w:u w:val="single"/>
                <w:lang w:val="en-US" w:eastAsia="zh-CN"/>
              </w:rPr>
              <w:t>3</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cs="宋体"/>
                <w:color w:val="auto"/>
                <w:highlight w:val="none"/>
                <w:u w:val="single"/>
                <w:lang w:val="en-US" w:eastAsia="zh-CN"/>
              </w:rPr>
              <w:t>6</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tc>
      </w:tr>
      <w:tr w14:paraId="2733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17" w:type="dxa"/>
            <w:vMerge w:val="continue"/>
            <w:noWrap w:val="0"/>
            <w:vAlign w:val="center"/>
          </w:tcPr>
          <w:p w14:paraId="43D1B14E">
            <w:pPr>
              <w:keepNext w:val="0"/>
              <w:keepLines w:val="0"/>
              <w:pageBreakBefore w:val="0"/>
              <w:widowControl w:val="0"/>
              <w:kinsoku/>
              <w:wordWrap/>
              <w:overflowPunct/>
              <w:topLinePunct w:val="0"/>
              <w:bidi w:val="0"/>
              <w:adjustRightInd/>
              <w:spacing w:line="398" w:lineRule="exact"/>
              <w:jc w:val="center"/>
              <w:rPr>
                <w:rFonts w:hint="eastAsia" w:ascii="宋体" w:hAnsi="宋体" w:cs="宋体"/>
                <w:color w:val="auto"/>
                <w:szCs w:val="21"/>
                <w:highlight w:val="none"/>
                <w:lang w:val="en-US" w:eastAsia="zh-CN"/>
              </w:rPr>
            </w:pPr>
          </w:p>
        </w:tc>
        <w:tc>
          <w:tcPr>
            <w:tcW w:w="8595" w:type="dxa"/>
            <w:noWrap w:val="0"/>
            <w:vAlign w:val="center"/>
          </w:tcPr>
          <w:p w14:paraId="416ABFDA">
            <w:pPr>
              <w:spacing w:line="380" w:lineRule="exact"/>
              <w:ind w:firstLine="422" w:firstLineChars="200"/>
              <w:jc w:val="both"/>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受理投诉方式</w:t>
            </w:r>
            <w:r>
              <w:rPr>
                <w:rFonts w:hint="eastAsia" w:ascii="宋体" w:hAnsi="宋体" w:eastAsia="宋体" w:cs="宋体"/>
                <w:b/>
                <w:bCs/>
                <w:color w:val="auto"/>
                <w:highlight w:val="none"/>
                <w:lang w:eastAsia="zh-CN"/>
              </w:rPr>
              <w:t>：</w:t>
            </w:r>
          </w:p>
          <w:p w14:paraId="79AEA2FE">
            <w:pPr>
              <w:spacing w:line="380" w:lineRule="exact"/>
              <w:ind w:firstLine="420" w:firstLineChars="20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1.受理方式：纸质方式受理，投诉书正、副本（经过质疑的事项才可投诉）。</w:t>
            </w:r>
          </w:p>
          <w:p w14:paraId="4E72FB6C">
            <w:pPr>
              <w:spacing w:line="380" w:lineRule="exact"/>
              <w:ind w:firstLine="420" w:firstLineChars="20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2.通讯方式</w:t>
            </w:r>
          </w:p>
          <w:p w14:paraId="5F4C2DC4">
            <w:pPr>
              <w:spacing w:line="380" w:lineRule="exact"/>
              <w:ind w:firstLine="420" w:firstLineChars="200"/>
              <w:jc w:val="both"/>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名称：</w:t>
            </w:r>
            <w:r>
              <w:rPr>
                <w:rFonts w:hint="eastAsia" w:ascii="宋体" w:hAnsi="宋体"/>
                <w:color w:val="auto"/>
                <w:kern w:val="0"/>
                <w:szCs w:val="21"/>
              </w:rPr>
              <w:t>防城港市港口区政府采购管理办公室</w:t>
            </w:r>
          </w:p>
          <w:p w14:paraId="34EF18B8">
            <w:pPr>
              <w:spacing w:line="380" w:lineRule="exact"/>
              <w:ind w:firstLine="420" w:firstLineChars="200"/>
              <w:jc w:val="both"/>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地址：</w:t>
            </w:r>
            <w:r>
              <w:rPr>
                <w:rFonts w:hint="eastAsia" w:ascii="宋体" w:hAnsi="宋体"/>
                <w:color w:val="auto"/>
                <w:szCs w:val="21"/>
              </w:rPr>
              <w:t>广西防城港市港口区</w:t>
            </w:r>
            <w:r>
              <w:rPr>
                <w:rFonts w:hint="eastAsia" w:ascii="宋体" w:hAnsi="宋体"/>
                <w:color w:val="auto"/>
                <w:szCs w:val="21"/>
                <w:lang w:val="en-US" w:eastAsia="zh-CN"/>
              </w:rPr>
              <w:t>渔洲坪建政路</w:t>
            </w:r>
          </w:p>
          <w:p w14:paraId="75C39955">
            <w:pPr>
              <w:spacing w:line="380" w:lineRule="exact"/>
              <w:ind w:firstLine="420" w:firstLineChars="200"/>
              <w:jc w:val="both"/>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联系电话：0770-6106362</w:t>
            </w:r>
          </w:p>
        </w:tc>
      </w:tr>
      <w:tr w14:paraId="51381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17" w:type="dxa"/>
            <w:noWrap w:val="0"/>
            <w:vAlign w:val="center"/>
          </w:tcPr>
          <w:p w14:paraId="6A1D7F3C">
            <w:pPr>
              <w:keepNext w:val="0"/>
              <w:keepLines w:val="0"/>
              <w:pageBreakBefore w:val="0"/>
              <w:widowControl w:val="0"/>
              <w:kinsoku/>
              <w:wordWrap/>
              <w:overflowPunct/>
              <w:topLinePunct w:val="0"/>
              <w:bidi w:val="0"/>
              <w:spacing w:line="42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31.1</w:t>
            </w:r>
          </w:p>
        </w:tc>
        <w:tc>
          <w:tcPr>
            <w:tcW w:w="8595" w:type="dxa"/>
            <w:noWrap w:val="0"/>
            <w:vAlign w:val="center"/>
          </w:tcPr>
          <w:p w14:paraId="4C10A442">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rPr>
              <w:t>.采购代理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费支付方式：本项目</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代理服务费由成交供应商在签订合同前</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以银行转账、电汇等方式</w:t>
            </w:r>
            <w:r>
              <w:rPr>
                <w:rFonts w:hint="eastAsia" w:ascii="宋体" w:hAnsi="宋体" w:eastAsia="宋体" w:cs="宋体"/>
                <w:color w:val="auto"/>
                <w:kern w:val="0"/>
                <w:szCs w:val="21"/>
                <w:highlight w:val="none"/>
              </w:rPr>
              <w:t>一次性向采购代理机构支付。</w:t>
            </w:r>
          </w:p>
          <w:p w14:paraId="4F94432A">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费收取标准：以</w:t>
            </w:r>
            <w:r>
              <w:rPr>
                <w:rFonts w:hint="eastAsia" w:ascii="宋体" w:hAnsi="宋体" w:eastAsia="宋体" w:cs="宋体"/>
                <w:color w:val="auto"/>
                <w:kern w:val="0"/>
                <w:szCs w:val="21"/>
                <w:highlight w:val="none"/>
                <w:lang w:eastAsia="zh-CN"/>
              </w:rPr>
              <w:t>项目</w:t>
            </w:r>
            <w:r>
              <w:rPr>
                <w:rFonts w:hint="eastAsia" w:ascii="宋体" w:hAnsi="宋体" w:eastAsia="宋体" w:cs="宋体"/>
                <w:color w:val="auto"/>
                <w:kern w:val="0"/>
                <w:szCs w:val="21"/>
                <w:highlight w:val="none"/>
              </w:rPr>
              <w:t>成交</w:t>
            </w:r>
            <w:r>
              <w:rPr>
                <w:rFonts w:hint="eastAsia" w:ascii="宋体" w:hAnsi="宋体" w:eastAsia="宋体" w:cs="宋体"/>
                <w:color w:val="auto"/>
                <w:kern w:val="0"/>
                <w:szCs w:val="21"/>
                <w:highlight w:val="none"/>
                <w:lang w:eastAsia="zh-CN"/>
              </w:rPr>
              <w:t>总</w:t>
            </w:r>
            <w:r>
              <w:rPr>
                <w:rFonts w:hint="eastAsia" w:ascii="宋体" w:hAnsi="宋体" w:eastAsia="宋体" w:cs="宋体"/>
                <w:color w:val="auto"/>
                <w:kern w:val="0"/>
                <w:szCs w:val="21"/>
                <w:highlight w:val="none"/>
              </w:rPr>
              <w:t>金额为计费额，按</w:t>
            </w:r>
            <w:r>
              <w:rPr>
                <w:rFonts w:hint="eastAsia" w:ascii="宋体" w:hAnsi="宋体" w:eastAsia="宋体" w:cs="宋体"/>
                <w:color w:val="auto"/>
                <w:kern w:val="0"/>
                <w:szCs w:val="21"/>
                <w:highlight w:val="none"/>
                <w:lang w:val="en-US" w:eastAsia="zh-CN"/>
              </w:rPr>
              <w:t>本须知正文第3</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val="en-US" w:eastAsia="zh-CN"/>
              </w:rPr>
              <w:t>.2条规定的收费计算标准</w:t>
            </w:r>
            <w:r>
              <w:rPr>
                <w:rFonts w:hint="eastAsia" w:ascii="宋体" w:hAnsi="宋体" w:eastAsia="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u w:val="single"/>
                <w:lang w:val="en-US" w:eastAsia="zh-CN"/>
              </w:rPr>
              <w:t>工程</w:t>
            </w:r>
            <w:r>
              <w:rPr>
                <w:rFonts w:hint="eastAsia" w:ascii="宋体" w:hAnsi="宋体" w:eastAsia="宋体" w:cs="宋体"/>
                <w:b/>
                <w:bCs/>
                <w:color w:val="auto"/>
                <w:kern w:val="0"/>
                <w:szCs w:val="21"/>
                <w:highlight w:val="none"/>
                <w:u w:val="single"/>
              </w:rPr>
              <w:t>类</w:t>
            </w:r>
            <w:r>
              <w:rPr>
                <w:rFonts w:hint="eastAsia" w:ascii="宋体" w:hAnsi="宋体" w:eastAsia="宋体" w:cs="宋体"/>
                <w:b/>
                <w:bCs/>
                <w:color w:val="auto"/>
                <w:kern w:val="0"/>
                <w:szCs w:val="21"/>
                <w:highlight w:val="none"/>
                <w:lang w:val="en-US" w:eastAsia="zh-CN"/>
              </w:rPr>
              <w:t>）</w:t>
            </w:r>
            <w:r>
              <w:rPr>
                <w:rFonts w:hint="eastAsia" w:ascii="宋体" w:hAnsi="宋体" w:eastAsia="宋体" w:cs="宋体"/>
                <w:color w:val="auto"/>
                <w:kern w:val="0"/>
                <w:szCs w:val="21"/>
                <w:highlight w:val="none"/>
              </w:rPr>
              <w:t>采用差额定率累进法计算出收费基准价格，采购代理</w:t>
            </w:r>
            <w:r>
              <w:rPr>
                <w:rFonts w:hint="eastAsia" w:ascii="宋体" w:hAnsi="宋体" w:eastAsia="宋体" w:cs="宋体"/>
                <w:color w:val="auto"/>
                <w:kern w:val="0"/>
                <w:szCs w:val="21"/>
                <w:highlight w:val="none"/>
                <w:lang w:eastAsia="zh-CN"/>
              </w:rPr>
              <w:t>机构</w:t>
            </w:r>
            <w:r>
              <w:rPr>
                <w:rFonts w:hint="eastAsia" w:ascii="宋体" w:hAnsi="宋体" w:eastAsia="宋体" w:cs="宋体"/>
                <w:color w:val="auto"/>
                <w:kern w:val="0"/>
                <w:szCs w:val="21"/>
                <w:highlight w:val="none"/>
              </w:rPr>
              <w:t>收费以收费基准价格收取。</w:t>
            </w:r>
          </w:p>
          <w:p w14:paraId="28D49DF5">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 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费收取银行账户</w:t>
            </w:r>
            <w:r>
              <w:rPr>
                <w:rFonts w:hint="eastAsia" w:ascii="宋体" w:hAnsi="宋体" w:eastAsia="宋体" w:cs="宋体"/>
                <w:color w:val="auto"/>
                <w:kern w:val="0"/>
                <w:szCs w:val="21"/>
                <w:highlight w:val="none"/>
                <w:lang w:eastAsia="zh-CN"/>
              </w:rPr>
              <w:t>的信息</w:t>
            </w:r>
          </w:p>
          <w:p w14:paraId="44C8B786">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开户名称：</w:t>
            </w:r>
            <w:r>
              <w:rPr>
                <w:rFonts w:hint="eastAsia" w:ascii="宋体" w:hAnsi="宋体" w:eastAsia="宋体" w:cs="宋体"/>
                <w:color w:val="auto"/>
                <w:kern w:val="0"/>
                <w:szCs w:val="21"/>
                <w:highlight w:val="none"/>
                <w:lang w:val="en-US" w:eastAsia="zh-CN"/>
              </w:rPr>
              <w:t>广西协弘项目管理有限公司</w:t>
            </w:r>
          </w:p>
          <w:p w14:paraId="06F6A99D">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开户银行：中国建设银行股份有限公司防城港桃花湾广场支行</w:t>
            </w:r>
          </w:p>
          <w:p w14:paraId="25625A6E">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账号</w:t>
            </w:r>
            <w:r>
              <w:rPr>
                <w:rFonts w:hint="eastAsia" w:ascii="宋体" w:hAnsi="宋体" w:eastAsia="宋体" w:cs="宋体"/>
                <w:color w:val="auto"/>
                <w:kern w:val="0"/>
                <w:szCs w:val="21"/>
                <w:highlight w:val="none"/>
              </w:rPr>
              <w:t>：4505 0165 9542 0000 1367</w:t>
            </w:r>
          </w:p>
        </w:tc>
      </w:tr>
      <w:tr w14:paraId="0545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17" w:type="dxa"/>
            <w:noWrap w:val="0"/>
            <w:vAlign w:val="center"/>
          </w:tcPr>
          <w:p w14:paraId="03144076">
            <w:pPr>
              <w:keepNext w:val="0"/>
              <w:keepLines w:val="0"/>
              <w:pageBreakBefore w:val="0"/>
              <w:widowControl w:val="0"/>
              <w:kinsoku/>
              <w:wordWrap/>
              <w:overflowPunct/>
              <w:topLinePunct w:val="0"/>
              <w:bidi w:val="0"/>
              <w:adjustRightInd/>
              <w:spacing w:line="398"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32.1</w:t>
            </w:r>
          </w:p>
        </w:tc>
        <w:tc>
          <w:tcPr>
            <w:tcW w:w="8595" w:type="dxa"/>
            <w:noWrap w:val="0"/>
            <w:vAlign w:val="center"/>
          </w:tcPr>
          <w:p w14:paraId="14A74E8F">
            <w:pPr>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解释：</w:t>
            </w:r>
            <w:r>
              <w:rPr>
                <w:rFonts w:hint="eastAsia" w:ascii="宋体" w:hAnsi="宋体" w:eastAsia="宋体" w:cs="宋体"/>
                <w:color w:val="auto"/>
                <w:kern w:val="0"/>
                <w:szCs w:val="21"/>
                <w:highlight w:val="none"/>
              </w:rPr>
              <w:t>构成本</w:t>
            </w:r>
            <w:r>
              <w:rPr>
                <w:rFonts w:hint="eastAsia" w:ascii="宋体" w:hAnsi="宋体" w:eastAsia="宋体" w:cs="宋体"/>
                <w:color w:val="auto"/>
                <w:kern w:val="0"/>
                <w:szCs w:val="21"/>
                <w:highlight w:val="none"/>
                <w:lang w:eastAsia="zh-CN"/>
              </w:rPr>
              <w:t>竞争性</w:t>
            </w:r>
            <w:r>
              <w:rPr>
                <w:rFonts w:hint="eastAsia" w:ascii="宋体" w:hAnsi="宋体" w:eastAsia="宋体" w:cs="宋体"/>
                <w:color w:val="auto"/>
                <w:kern w:val="0"/>
                <w:szCs w:val="21"/>
                <w:highlight w:val="none"/>
              </w:rPr>
              <w:t>磋商文件的各个组成文件应互为解释，互为说明；除</w:t>
            </w:r>
            <w:r>
              <w:rPr>
                <w:rFonts w:hint="eastAsia" w:ascii="宋体" w:hAnsi="宋体" w:eastAsia="宋体" w:cs="宋体"/>
                <w:color w:val="auto"/>
                <w:kern w:val="0"/>
                <w:szCs w:val="21"/>
                <w:highlight w:val="none"/>
                <w:lang w:eastAsia="zh-CN"/>
              </w:rPr>
              <w:t>竞争性</w:t>
            </w:r>
            <w:r>
              <w:rPr>
                <w:rFonts w:hint="eastAsia" w:ascii="宋体" w:hAnsi="宋体" w:eastAsia="宋体" w:cs="宋体"/>
                <w:color w:val="auto"/>
                <w:kern w:val="0"/>
                <w:szCs w:val="21"/>
                <w:highlight w:val="none"/>
              </w:rPr>
              <w:t>磋商文件中有特别规定外，仅适用于竞标阶段的规定，按更正公告（澄清公告）、竞争性磋商公告、采购需求、供应商须知、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kern w:val="0"/>
                <w:szCs w:val="21"/>
                <w:highlight w:val="none"/>
              </w:rPr>
              <w:t>由采购人或者采购代理机构负责解释。</w:t>
            </w:r>
          </w:p>
          <w:p w14:paraId="6AAD7F3F">
            <w:pPr>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法律责任：</w:t>
            </w:r>
          </w:p>
          <w:p w14:paraId="6B56A52E">
            <w:pPr>
              <w:pStyle w:val="12"/>
              <w:keepNext w:val="0"/>
              <w:keepLines w:val="0"/>
              <w:pageBreakBefore w:val="0"/>
              <w:widowControl w:val="0"/>
              <w:kinsoku/>
              <w:wordWrap/>
              <w:overflowPunct/>
              <w:topLinePunct w:val="0"/>
              <w:bidi w:val="0"/>
              <w:adjustRightInd/>
              <w:snapToGrid w:val="0"/>
              <w:spacing w:line="398"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rPr>
              <w:t>本采购文件根据《中华人民共和国政府采购法》、《中华人民共和国民法典》</w:t>
            </w:r>
            <w:r>
              <w:rPr>
                <w:rFonts w:hint="eastAsia" w:hAnsi="宋体" w:cs="宋体"/>
                <w:color w:val="auto"/>
                <w:kern w:val="0"/>
                <w:szCs w:val="21"/>
                <w:highlight w:val="none"/>
                <w:lang w:eastAsia="zh-CN"/>
              </w:rPr>
              <w:t>、</w:t>
            </w:r>
            <w:r>
              <w:rPr>
                <w:rFonts w:hint="eastAsia" w:ascii="宋体" w:hAnsi="宋体" w:eastAsia="宋体" w:cs="宋体"/>
                <w:color w:val="auto"/>
                <w:kern w:val="0"/>
                <w:szCs w:val="21"/>
                <w:highlight w:val="none"/>
              </w:rPr>
              <w:t>《中华人民共和国政府采购法实施条例》、《政府采购竞争性磋商采购方式管理暂行办法》等有关法律、法规编制，参与本项目的各政府采购当事人依法享有上述法律法规所赋予的权利与义务。</w:t>
            </w:r>
          </w:p>
        </w:tc>
      </w:tr>
      <w:tr w14:paraId="02A4D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17" w:type="dxa"/>
            <w:noWrap w:val="0"/>
            <w:vAlign w:val="center"/>
          </w:tcPr>
          <w:p w14:paraId="692234F5">
            <w:pPr>
              <w:keepNext w:val="0"/>
              <w:keepLines w:val="0"/>
              <w:pageBreakBefore w:val="0"/>
              <w:widowControl w:val="0"/>
              <w:kinsoku/>
              <w:wordWrap/>
              <w:overflowPunct/>
              <w:topLinePunct w:val="0"/>
              <w:bidi w:val="0"/>
              <w:adjustRightInd/>
              <w:spacing w:line="398"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32</w:t>
            </w:r>
            <w:r>
              <w:rPr>
                <w:rFonts w:ascii="宋体" w:hAnsi="宋体" w:cs="宋体"/>
                <w:color w:val="auto"/>
                <w:szCs w:val="21"/>
                <w:highlight w:val="none"/>
              </w:rPr>
              <w:t>.</w:t>
            </w:r>
            <w:r>
              <w:rPr>
                <w:rFonts w:hint="eastAsia" w:ascii="宋体" w:hAnsi="宋体" w:cs="宋体"/>
                <w:color w:val="auto"/>
                <w:szCs w:val="21"/>
                <w:highlight w:val="none"/>
                <w:lang w:val="en-US" w:eastAsia="zh-CN"/>
              </w:rPr>
              <w:t>2</w:t>
            </w:r>
          </w:p>
        </w:tc>
        <w:tc>
          <w:tcPr>
            <w:tcW w:w="8595" w:type="dxa"/>
            <w:noWrap w:val="0"/>
            <w:vAlign w:val="center"/>
          </w:tcPr>
          <w:p w14:paraId="0112AA54">
            <w:pPr>
              <w:pStyle w:val="9"/>
              <w:spacing w:line="360" w:lineRule="auto"/>
              <w:ind w:firstLine="422" w:firstLineChars="200"/>
              <w:rPr>
                <w:rFonts w:hint="eastAsia" w:ascii="宋体" w:hAnsi="宋体" w:eastAsia="宋体" w:cs="宋体"/>
                <w:b/>
                <w:bCs/>
                <w:color w:val="auto"/>
                <w:kern w:val="2"/>
                <w:szCs w:val="21"/>
                <w:highlight w:val="none"/>
                <w:lang w:val="en-US" w:eastAsia="zh-CN"/>
              </w:rPr>
            </w:pPr>
            <w:r>
              <w:rPr>
                <w:rFonts w:hint="eastAsia" w:ascii="宋体" w:hAnsi="宋体" w:eastAsia="宋体" w:cs="宋体"/>
                <w:b/>
                <w:bCs/>
                <w:color w:val="auto"/>
                <w:kern w:val="2"/>
                <w:szCs w:val="21"/>
                <w:highlight w:val="none"/>
                <w:lang w:val="en-US" w:eastAsia="zh-CN"/>
              </w:rPr>
              <w:t>其他：</w:t>
            </w:r>
          </w:p>
          <w:p w14:paraId="0254140E">
            <w:pPr>
              <w:pStyle w:val="9"/>
              <w:spacing w:line="360" w:lineRule="auto"/>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1.本</w:t>
            </w:r>
            <w:r>
              <w:rPr>
                <w:rFonts w:hint="eastAsia" w:ascii="宋体" w:hAnsi="宋体" w:eastAsia="宋体" w:cs="宋体"/>
                <w:color w:val="auto"/>
                <w:kern w:val="2"/>
                <w:szCs w:val="21"/>
                <w:highlight w:val="none"/>
                <w:lang w:eastAsia="zh-CN"/>
              </w:rPr>
              <w:t>竞争性磋商文件</w:t>
            </w:r>
            <w:r>
              <w:rPr>
                <w:rFonts w:hint="eastAsia" w:ascii="宋体" w:hAnsi="宋体" w:eastAsia="宋体" w:cs="宋体"/>
                <w:color w:val="auto"/>
                <w:kern w:val="2"/>
                <w:szCs w:val="21"/>
                <w:highlight w:val="none"/>
              </w:rPr>
              <w:t>中描述</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的“公章”是指根据我国对公章的管理规定，用</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法定主体行为名称制作的</w:t>
            </w:r>
            <w:r>
              <w:rPr>
                <w:rFonts w:hint="eastAsia" w:ascii="宋体" w:hAnsi="宋体" w:eastAsia="宋体" w:cs="宋体"/>
                <w:color w:val="auto"/>
                <w:kern w:val="2"/>
                <w:szCs w:val="21"/>
                <w:highlight w:val="none"/>
                <w:lang w:eastAsia="zh-CN"/>
              </w:rPr>
              <w:t>实物</w:t>
            </w:r>
            <w:r>
              <w:rPr>
                <w:rFonts w:hint="eastAsia" w:ascii="宋体" w:hAnsi="宋体" w:eastAsia="宋体" w:cs="宋体"/>
                <w:color w:val="auto"/>
                <w:kern w:val="2"/>
                <w:szCs w:val="21"/>
                <w:highlight w:val="none"/>
              </w:rPr>
              <w:t>印章</w:t>
            </w:r>
            <w:r>
              <w:rPr>
                <w:rFonts w:hint="eastAsia" w:ascii="宋体" w:hAnsi="宋体" w:eastAsia="宋体" w:cs="宋体"/>
                <w:color w:val="auto"/>
                <w:kern w:val="2"/>
                <w:szCs w:val="21"/>
                <w:highlight w:val="none"/>
                <w:lang w:eastAsia="zh-CN"/>
              </w:rPr>
              <w:t>或供应商</w:t>
            </w:r>
            <w:r>
              <w:rPr>
                <w:rFonts w:hint="eastAsia" w:ascii="宋体" w:hAnsi="宋体" w:eastAsia="宋体" w:cs="宋体"/>
                <w:color w:val="auto"/>
                <w:kern w:val="2"/>
                <w:szCs w:val="21"/>
                <w:highlight w:val="none"/>
              </w:rPr>
              <w:t>通过指定电子化政府采购平台办理数字证书（CA认证）获得的以法定主体行为名称制作的电子印章。除本</w:t>
            </w:r>
            <w:r>
              <w:rPr>
                <w:rFonts w:hint="eastAsia" w:ascii="宋体" w:hAnsi="宋体" w:eastAsia="宋体" w:cs="宋体"/>
                <w:color w:val="auto"/>
                <w:kern w:val="2"/>
                <w:szCs w:val="21"/>
                <w:highlight w:val="none"/>
                <w:lang w:eastAsia="zh-CN"/>
              </w:rPr>
              <w:t>竞争性磋商文件</w:t>
            </w:r>
            <w:r>
              <w:rPr>
                <w:rFonts w:hint="eastAsia" w:ascii="宋体" w:hAnsi="宋体" w:eastAsia="宋体" w:cs="宋体"/>
                <w:color w:val="auto"/>
                <w:kern w:val="2"/>
                <w:szCs w:val="21"/>
                <w:highlight w:val="none"/>
              </w:rPr>
              <w:t>有特殊规定外，</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的财务章、部门章、分公司章、工会章、合同章、投标专用章、业务专用章及银行的转账章、现金收讫章、现金付讫章等其他形式印章均不能代替公章。</w:t>
            </w:r>
          </w:p>
          <w:p w14:paraId="0A18F003">
            <w:pPr>
              <w:pStyle w:val="9"/>
              <w:spacing w:line="360" w:lineRule="auto"/>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2.本</w:t>
            </w:r>
            <w:r>
              <w:rPr>
                <w:rFonts w:hint="eastAsia" w:ascii="宋体" w:hAnsi="宋体" w:eastAsia="宋体" w:cs="宋体"/>
                <w:color w:val="auto"/>
                <w:kern w:val="2"/>
                <w:szCs w:val="21"/>
                <w:highlight w:val="none"/>
                <w:lang w:eastAsia="zh-CN"/>
              </w:rPr>
              <w:t>竞争性磋商文件</w:t>
            </w:r>
            <w:r>
              <w:rPr>
                <w:rFonts w:hint="eastAsia" w:ascii="宋体" w:hAnsi="宋体" w:eastAsia="宋体" w:cs="宋体"/>
                <w:color w:val="auto"/>
                <w:kern w:val="2"/>
                <w:szCs w:val="21"/>
                <w:highlight w:val="none"/>
              </w:rPr>
              <w:t>中描述</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的“签字”是指</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通过指定电子化政府采购平台办理数字证书（CA认证）获得的以</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法定代表人或者委托代理人姓名制作的电子印章或手写签字。</w:t>
            </w:r>
          </w:p>
          <w:p w14:paraId="24E3311D">
            <w:pPr>
              <w:pStyle w:val="9"/>
              <w:tabs>
                <w:tab w:val="center" w:pos="4153"/>
                <w:tab w:val="right" w:pos="8306"/>
              </w:tabs>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Cs w:val="21"/>
                <w:highlight w:val="none"/>
                <w:lang w:val="en-US" w:eastAsia="zh-CN"/>
              </w:rPr>
              <w:t>3.本竞争性磋商文件所称的“电子签章”“电子签名”，是指经</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2"/>
                <w:szCs w:val="21"/>
                <w:highlight w:val="none"/>
                <w:lang w:val="en-US" w:eastAsia="zh-CN"/>
              </w:rPr>
              <w:t>认可的CA认证的电子签名数据为表现形式的印章，可用于签署电子响应文件，电子印章与实物印章具有同等法律效力，不因其采用电子化表现形式而否定其法律效力。</w:t>
            </w:r>
          </w:p>
          <w:p w14:paraId="1310CAF2">
            <w:pPr>
              <w:pStyle w:val="9"/>
              <w:spacing w:line="360" w:lineRule="auto"/>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4</w:t>
            </w:r>
            <w:r>
              <w:rPr>
                <w:rFonts w:hint="eastAsia" w:ascii="宋体" w:hAnsi="宋体" w:eastAsia="宋体" w:cs="宋体"/>
                <w:color w:val="auto"/>
                <w:kern w:val="2"/>
                <w:szCs w:val="21"/>
                <w:highlight w:val="none"/>
              </w:rPr>
              <w:t>.</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为其他组织或者自然人时，本</w:t>
            </w:r>
            <w:r>
              <w:rPr>
                <w:rFonts w:hint="eastAsia" w:ascii="宋体" w:hAnsi="宋体" w:eastAsia="宋体" w:cs="宋体"/>
                <w:color w:val="auto"/>
                <w:kern w:val="2"/>
                <w:szCs w:val="21"/>
                <w:highlight w:val="none"/>
                <w:lang w:eastAsia="zh-CN"/>
              </w:rPr>
              <w:t>竞争性磋商文件</w:t>
            </w:r>
            <w:r>
              <w:rPr>
                <w:rFonts w:hint="eastAsia" w:ascii="宋体" w:hAnsi="宋体" w:eastAsia="宋体" w:cs="宋体"/>
                <w:color w:val="auto"/>
                <w:kern w:val="2"/>
                <w:szCs w:val="21"/>
                <w:highlight w:val="none"/>
              </w:rPr>
              <w:t>规定的法定代表人指负责人或者自然人。本</w:t>
            </w:r>
            <w:r>
              <w:rPr>
                <w:rFonts w:hint="eastAsia" w:ascii="宋体" w:hAnsi="宋体" w:eastAsia="宋体" w:cs="宋体"/>
                <w:color w:val="auto"/>
                <w:kern w:val="2"/>
                <w:szCs w:val="21"/>
                <w:highlight w:val="none"/>
                <w:lang w:eastAsia="zh-CN"/>
              </w:rPr>
              <w:t>竞争性磋商文件</w:t>
            </w:r>
            <w:r>
              <w:rPr>
                <w:rFonts w:hint="eastAsia" w:ascii="宋体" w:hAnsi="宋体" w:eastAsia="宋体" w:cs="宋体"/>
                <w:color w:val="auto"/>
                <w:kern w:val="2"/>
                <w:szCs w:val="21"/>
                <w:highlight w:val="none"/>
              </w:rPr>
              <w:t>所称负责人是指参加</w:t>
            </w:r>
            <w:r>
              <w:rPr>
                <w:rFonts w:hint="eastAsia" w:ascii="宋体" w:hAnsi="宋体" w:eastAsia="宋体" w:cs="宋体"/>
                <w:color w:val="auto"/>
                <w:kern w:val="2"/>
                <w:szCs w:val="21"/>
                <w:highlight w:val="none"/>
                <w:lang w:eastAsia="zh-CN"/>
              </w:rPr>
              <w:t>竞</w:t>
            </w:r>
            <w:r>
              <w:rPr>
                <w:rFonts w:hint="eastAsia" w:ascii="宋体" w:hAnsi="宋体" w:eastAsia="宋体" w:cs="宋体"/>
                <w:color w:val="auto"/>
                <w:kern w:val="2"/>
                <w:szCs w:val="21"/>
                <w:highlight w:val="none"/>
              </w:rPr>
              <w:t>标的其他组织营业执照上的负责人，本</w:t>
            </w:r>
            <w:r>
              <w:rPr>
                <w:rFonts w:hint="eastAsia" w:ascii="宋体" w:hAnsi="宋体" w:eastAsia="宋体" w:cs="宋体"/>
                <w:color w:val="auto"/>
                <w:kern w:val="2"/>
                <w:szCs w:val="21"/>
                <w:highlight w:val="none"/>
                <w:lang w:eastAsia="zh-CN"/>
              </w:rPr>
              <w:t>竞争性磋商文件</w:t>
            </w:r>
            <w:r>
              <w:rPr>
                <w:rFonts w:hint="eastAsia" w:ascii="宋体" w:hAnsi="宋体" w:eastAsia="宋体" w:cs="宋体"/>
                <w:color w:val="auto"/>
                <w:kern w:val="2"/>
                <w:szCs w:val="21"/>
                <w:highlight w:val="none"/>
              </w:rPr>
              <w:t>所称自然人指参与</w:t>
            </w:r>
            <w:r>
              <w:rPr>
                <w:rFonts w:hint="eastAsia" w:ascii="宋体" w:hAnsi="宋体" w:eastAsia="宋体" w:cs="宋体"/>
                <w:color w:val="auto"/>
                <w:kern w:val="2"/>
                <w:szCs w:val="21"/>
                <w:highlight w:val="none"/>
                <w:lang w:eastAsia="zh-CN"/>
              </w:rPr>
              <w:t>竞</w:t>
            </w:r>
            <w:r>
              <w:rPr>
                <w:rFonts w:hint="eastAsia" w:ascii="宋体" w:hAnsi="宋体" w:eastAsia="宋体" w:cs="宋体"/>
                <w:color w:val="auto"/>
                <w:kern w:val="2"/>
                <w:szCs w:val="21"/>
                <w:highlight w:val="none"/>
              </w:rPr>
              <w:t>标的自然人本人。</w:t>
            </w:r>
          </w:p>
          <w:p w14:paraId="68C04616">
            <w:pPr>
              <w:pStyle w:val="9"/>
              <w:spacing w:line="360" w:lineRule="auto"/>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5</w:t>
            </w:r>
            <w:r>
              <w:rPr>
                <w:rFonts w:hint="eastAsia" w:ascii="宋体" w:hAnsi="宋体" w:eastAsia="宋体" w:cs="宋体"/>
                <w:color w:val="auto"/>
                <w:kern w:val="2"/>
                <w:szCs w:val="21"/>
                <w:highlight w:val="none"/>
              </w:rPr>
              <w:t>.自然人</w:t>
            </w:r>
            <w:r>
              <w:rPr>
                <w:rFonts w:hint="eastAsia" w:ascii="宋体" w:hAnsi="宋体" w:eastAsia="宋体" w:cs="宋体"/>
                <w:color w:val="auto"/>
                <w:kern w:val="2"/>
                <w:szCs w:val="21"/>
                <w:highlight w:val="none"/>
                <w:lang w:eastAsia="zh-CN"/>
              </w:rPr>
              <w:t>竞</w:t>
            </w:r>
            <w:r>
              <w:rPr>
                <w:rFonts w:hint="eastAsia" w:ascii="宋体" w:hAnsi="宋体" w:eastAsia="宋体" w:cs="宋体"/>
                <w:color w:val="auto"/>
                <w:kern w:val="2"/>
                <w:szCs w:val="21"/>
                <w:highlight w:val="none"/>
              </w:rPr>
              <w:t>标的，</w:t>
            </w:r>
            <w:r>
              <w:rPr>
                <w:rFonts w:hint="eastAsia" w:ascii="宋体" w:hAnsi="宋体" w:eastAsia="宋体" w:cs="宋体"/>
                <w:color w:val="auto"/>
                <w:kern w:val="2"/>
                <w:szCs w:val="21"/>
                <w:highlight w:val="none"/>
                <w:lang w:eastAsia="zh-CN"/>
              </w:rPr>
              <w:t>竞争性磋商文件</w:t>
            </w:r>
            <w:r>
              <w:rPr>
                <w:rFonts w:hint="eastAsia" w:ascii="宋体" w:hAnsi="宋体" w:eastAsia="宋体" w:cs="宋体"/>
                <w:color w:val="auto"/>
                <w:kern w:val="2"/>
                <w:szCs w:val="21"/>
                <w:highlight w:val="none"/>
              </w:rPr>
              <w:t>规定盖公章处由自然人摁手指指印。</w:t>
            </w:r>
          </w:p>
          <w:p w14:paraId="10892F36">
            <w:pPr>
              <w:pStyle w:val="12"/>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Cs w:val="21"/>
                <w:highlight w:val="none"/>
                <w:lang w:val="en-US" w:eastAsia="zh-CN"/>
              </w:rPr>
              <w:t>6.</w:t>
            </w:r>
            <w:r>
              <w:rPr>
                <w:rFonts w:hint="eastAsia" w:ascii="宋体" w:hAnsi="宋体" w:eastAsia="宋体" w:cs="宋体"/>
                <w:color w:val="auto"/>
                <w:kern w:val="2"/>
                <w:szCs w:val="21"/>
                <w:highlight w:val="none"/>
              </w:rPr>
              <w:t>本</w:t>
            </w:r>
            <w:r>
              <w:rPr>
                <w:rFonts w:hint="eastAsia" w:ascii="宋体" w:hAnsi="宋体" w:eastAsia="宋体" w:cs="宋体"/>
                <w:color w:val="auto"/>
                <w:kern w:val="2"/>
                <w:szCs w:val="21"/>
                <w:highlight w:val="none"/>
                <w:lang w:eastAsia="zh-CN"/>
              </w:rPr>
              <w:t>竞争性磋商文件</w:t>
            </w:r>
            <w:r>
              <w:rPr>
                <w:rFonts w:hint="eastAsia" w:ascii="宋体" w:hAnsi="宋体" w:eastAsia="宋体" w:cs="宋体"/>
                <w:color w:val="auto"/>
                <w:kern w:val="2"/>
                <w:szCs w:val="21"/>
                <w:highlight w:val="none"/>
              </w:rPr>
              <w:t>所称的“以上”“以下”“以内”“届满”，包括本数；所称的“不满”“超过”“以外”，不包括本数。</w:t>
            </w:r>
          </w:p>
        </w:tc>
      </w:tr>
    </w:tbl>
    <w:p w14:paraId="643C6FE4">
      <w:pPr>
        <w:rPr>
          <w:rFonts w:hint="eastAsia" w:ascii="宋体" w:hAnsi="宋体" w:eastAsia="宋体" w:cs="宋体"/>
          <w:b/>
          <w:bCs w:val="0"/>
          <w:color w:val="auto"/>
          <w:sz w:val="36"/>
          <w:szCs w:val="36"/>
          <w:highlight w:val="none"/>
        </w:rPr>
      </w:pPr>
      <w:bookmarkStart w:id="52" w:name="_Toc22651"/>
      <w:bookmarkStart w:id="53" w:name="_Toc24118"/>
      <w:r>
        <w:rPr>
          <w:rFonts w:hint="eastAsia" w:ascii="宋体" w:hAnsi="宋体" w:eastAsia="宋体" w:cs="宋体"/>
          <w:b/>
          <w:bCs w:val="0"/>
          <w:color w:val="auto"/>
          <w:sz w:val="36"/>
          <w:szCs w:val="36"/>
          <w:highlight w:val="none"/>
        </w:rPr>
        <w:br w:type="page"/>
      </w:r>
    </w:p>
    <w:p w14:paraId="2D7AC214">
      <w:pPr>
        <w:pStyle w:val="20"/>
        <w:shd w:val="clear" w:color="auto" w:fill="FFFFFF"/>
        <w:spacing w:before="0" w:after="0" w:line="600" w:lineRule="exact"/>
        <w:ind w:firstLine="723" w:firstLineChars="200"/>
        <w:jc w:val="center"/>
        <w:outlineLvl w:val="9"/>
        <w:rPr>
          <w:rFonts w:hint="eastAsia" w:ascii="宋体" w:hAnsi="宋体" w:eastAsia="宋体" w:cs="宋体"/>
          <w:b/>
          <w:bCs w:val="0"/>
          <w:color w:val="auto"/>
          <w:spacing w:val="2"/>
          <w:highlight w:val="none"/>
        </w:rPr>
      </w:pPr>
      <w:r>
        <w:rPr>
          <w:rFonts w:hint="eastAsia" w:ascii="宋体" w:hAnsi="宋体" w:eastAsia="宋体" w:cs="宋体"/>
          <w:b/>
          <w:bCs w:val="0"/>
          <w:color w:val="auto"/>
          <w:sz w:val="36"/>
          <w:szCs w:val="36"/>
          <w:highlight w:val="none"/>
        </w:rPr>
        <w:t>供应商须知</w:t>
      </w:r>
      <w:bookmarkEnd w:id="44"/>
      <w:bookmarkEnd w:id="45"/>
      <w:bookmarkEnd w:id="46"/>
      <w:bookmarkEnd w:id="47"/>
      <w:bookmarkEnd w:id="48"/>
      <w:bookmarkEnd w:id="52"/>
      <w:bookmarkEnd w:id="53"/>
    </w:p>
    <w:p w14:paraId="2C43AE8B">
      <w:pPr>
        <w:keepNext w:val="0"/>
        <w:keepLines w:val="0"/>
        <w:pageBreakBefore w:val="0"/>
        <w:shd w:val="clear" w:color="auto" w:fill="FFFFFF"/>
        <w:kinsoku/>
        <w:wordWrap/>
        <w:overflowPunct/>
        <w:topLinePunct w:val="0"/>
        <w:autoSpaceDE/>
        <w:autoSpaceDN/>
        <w:bidi w:val="0"/>
        <w:spacing w:line="452" w:lineRule="exact"/>
        <w:ind w:firstLine="430" w:firstLineChars="200"/>
        <w:textAlignment w:val="auto"/>
        <w:rPr>
          <w:rFonts w:hint="eastAsia" w:ascii="宋体" w:hAnsi="宋体" w:eastAsia="宋体" w:cs="宋体"/>
          <w:b/>
          <w:bCs/>
          <w:color w:val="auto"/>
          <w:spacing w:val="2"/>
          <w:highlight w:val="none"/>
        </w:rPr>
      </w:pPr>
      <w:bookmarkStart w:id="54" w:name="_Toc424307479"/>
      <w:bookmarkStart w:id="55" w:name="_Toc424307746"/>
      <w:r>
        <w:rPr>
          <w:rFonts w:hint="eastAsia" w:ascii="宋体" w:hAnsi="宋体" w:eastAsia="宋体" w:cs="宋体"/>
          <w:b/>
          <w:bCs/>
          <w:color w:val="auto"/>
          <w:spacing w:val="2"/>
          <w:highlight w:val="none"/>
        </w:rPr>
        <w:t>一、总  则</w:t>
      </w:r>
    </w:p>
    <w:p w14:paraId="32811726">
      <w:pPr>
        <w:keepNext w:val="0"/>
        <w:keepLines w:val="0"/>
        <w:pageBreakBefore w:val="0"/>
        <w:kinsoku/>
        <w:wordWrap/>
        <w:overflowPunct/>
        <w:topLinePunct w:val="0"/>
        <w:autoSpaceDE/>
        <w:autoSpaceDN/>
        <w:bidi w:val="0"/>
        <w:spacing w:line="452" w:lineRule="exact"/>
        <w:ind w:right="97" w:rightChars="46" w:firstLine="422" w:firstLineChars="200"/>
        <w:textAlignment w:val="auto"/>
        <w:rPr>
          <w:rFonts w:hint="eastAsia" w:ascii="宋体" w:hAnsi="宋体" w:cs="宋体"/>
          <w:b/>
          <w:bCs/>
          <w:color w:val="auto"/>
          <w:highlight w:val="none"/>
        </w:rPr>
      </w:pPr>
      <w:r>
        <w:rPr>
          <w:rFonts w:hint="eastAsia" w:ascii="宋体" w:hAnsi="宋体" w:cs="宋体"/>
          <w:b/>
          <w:bCs/>
          <w:color w:val="auto"/>
          <w:highlight w:val="none"/>
        </w:rPr>
        <w:t>1.项目名称、项目编号：</w:t>
      </w:r>
    </w:p>
    <w:p w14:paraId="26F09336">
      <w:pPr>
        <w:keepNext w:val="0"/>
        <w:keepLines w:val="0"/>
        <w:pageBreakBefore w:val="0"/>
        <w:kinsoku/>
        <w:wordWrap/>
        <w:overflowPunct/>
        <w:topLinePunct w:val="0"/>
        <w:autoSpaceDE/>
        <w:autoSpaceDN/>
        <w:bidi w:val="0"/>
        <w:spacing w:line="452" w:lineRule="exact"/>
        <w:ind w:right="97" w:rightChars="46" w:firstLine="420" w:firstLineChars="200"/>
        <w:textAlignment w:val="auto"/>
        <w:rPr>
          <w:rFonts w:hint="eastAsia" w:ascii="宋体" w:hAnsi="宋体" w:eastAsia="宋体" w:cs="宋体"/>
          <w:color w:val="auto"/>
          <w:highlight w:val="none"/>
          <w:lang w:eastAsia="zh-CN"/>
        </w:rPr>
      </w:pPr>
      <w:r>
        <w:rPr>
          <w:rFonts w:hint="eastAsia" w:ascii="宋体" w:hAnsi="宋体" w:cs="宋体"/>
          <w:b w:val="0"/>
          <w:bCs w:val="0"/>
          <w:color w:val="auto"/>
          <w:highlight w:val="none"/>
          <w:lang w:val="en-US" w:eastAsia="zh-CN"/>
        </w:rPr>
        <w:t>详见前附表第1项所述。</w:t>
      </w:r>
      <w:r>
        <w:rPr>
          <w:rFonts w:hint="eastAsia" w:ascii="宋体" w:hAnsi="宋体" w:cs="宋体"/>
          <w:b w:val="0"/>
          <w:bCs w:val="0"/>
          <w:color w:val="auto"/>
          <w:highlight w:val="none"/>
        </w:rPr>
        <w:t xml:space="preserve"> </w:t>
      </w:r>
      <w:bookmarkStart w:id="56" w:name="_Toc115703391"/>
    </w:p>
    <w:p w14:paraId="7492A902">
      <w:pPr>
        <w:keepNext w:val="0"/>
        <w:keepLines w:val="0"/>
        <w:pageBreakBefore w:val="0"/>
        <w:kinsoku/>
        <w:wordWrap/>
        <w:overflowPunct/>
        <w:topLinePunct w:val="0"/>
        <w:autoSpaceDE/>
        <w:autoSpaceDN/>
        <w:bidi w:val="0"/>
        <w:spacing w:line="452" w:lineRule="exact"/>
        <w:ind w:right="97" w:rightChars="46" w:firstLine="422" w:firstLineChars="200"/>
        <w:textAlignment w:val="auto"/>
        <w:rPr>
          <w:rFonts w:hint="eastAsia" w:ascii="宋体" w:hAnsi="宋体" w:cs="宋体"/>
          <w:b/>
          <w:bCs/>
          <w:color w:val="auto"/>
          <w:highlight w:val="none"/>
        </w:rPr>
      </w:pPr>
      <w:bookmarkStart w:id="57" w:name="_Toc128731525"/>
      <w:r>
        <w:rPr>
          <w:rFonts w:hint="eastAsia" w:ascii="宋体" w:hAnsi="宋体" w:cs="宋体"/>
          <w:b/>
          <w:bCs/>
          <w:color w:val="auto"/>
          <w:highlight w:val="none"/>
        </w:rPr>
        <w:t>2.供应商资格要求：</w:t>
      </w:r>
      <w:bookmarkEnd w:id="56"/>
      <w:bookmarkEnd w:id="57"/>
    </w:p>
    <w:p w14:paraId="264B5A38">
      <w:pPr>
        <w:keepNext w:val="0"/>
        <w:keepLines w:val="0"/>
        <w:pageBreakBefore w:val="0"/>
        <w:kinsoku/>
        <w:wordWrap/>
        <w:overflowPunct/>
        <w:topLinePunct w:val="0"/>
        <w:autoSpaceDE/>
        <w:autoSpaceDN/>
        <w:bidi w:val="0"/>
        <w:spacing w:line="452"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rPr>
        <w:t>供应商资格要求见前附表第</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项所述</w:t>
      </w:r>
      <w:r>
        <w:rPr>
          <w:rFonts w:hint="eastAsia" w:ascii="宋体" w:hAnsi="宋体" w:eastAsia="宋体" w:cs="宋体"/>
          <w:color w:val="auto"/>
          <w:highlight w:val="none"/>
          <w:lang w:eastAsia="zh-CN"/>
        </w:rPr>
        <w:t>。</w:t>
      </w:r>
    </w:p>
    <w:p w14:paraId="2FCABE25">
      <w:pPr>
        <w:keepNext w:val="0"/>
        <w:keepLines w:val="0"/>
        <w:pageBreakBefore w:val="0"/>
        <w:shd w:val="clear" w:color="auto" w:fill="FFFFFF"/>
        <w:kinsoku/>
        <w:wordWrap/>
        <w:overflowPunct/>
        <w:topLinePunct w:val="0"/>
        <w:autoSpaceDE/>
        <w:autoSpaceDN/>
        <w:bidi w:val="0"/>
        <w:spacing w:line="452" w:lineRule="exact"/>
        <w:ind w:firstLine="430" w:firstLineChars="200"/>
        <w:textAlignment w:val="auto"/>
        <w:rPr>
          <w:rFonts w:hint="eastAsia" w:ascii="宋体" w:hAnsi="宋体" w:eastAsia="宋体" w:cs="宋体"/>
          <w:b/>
          <w:bCs/>
          <w:color w:val="auto"/>
          <w:spacing w:val="2"/>
          <w:highlight w:val="none"/>
        </w:rPr>
      </w:pPr>
      <w:r>
        <w:rPr>
          <w:rFonts w:hint="eastAsia" w:ascii="宋体" w:hAnsi="宋体" w:cs="宋体"/>
          <w:b/>
          <w:bCs/>
          <w:color w:val="auto"/>
          <w:spacing w:val="2"/>
          <w:highlight w:val="none"/>
          <w:lang w:val="en-US" w:eastAsia="zh-CN"/>
        </w:rPr>
        <w:t>3</w:t>
      </w:r>
      <w:r>
        <w:rPr>
          <w:rFonts w:hint="eastAsia" w:ascii="宋体" w:hAnsi="宋体" w:eastAsia="宋体" w:cs="宋体"/>
          <w:b/>
          <w:bCs/>
          <w:color w:val="auto"/>
          <w:spacing w:val="2"/>
          <w:highlight w:val="none"/>
        </w:rPr>
        <w:t>.</w:t>
      </w:r>
      <w:r>
        <w:rPr>
          <w:rFonts w:hint="eastAsia" w:ascii="宋体" w:hAnsi="宋体" w:eastAsia="宋体" w:cs="宋体"/>
          <w:b/>
          <w:bCs/>
          <w:color w:val="auto"/>
          <w:spacing w:val="2"/>
          <w:highlight w:val="none"/>
          <w:lang w:eastAsia="zh-CN"/>
        </w:rPr>
        <w:t>磋商</w:t>
      </w:r>
      <w:r>
        <w:rPr>
          <w:rFonts w:hint="eastAsia" w:ascii="宋体" w:hAnsi="宋体" w:eastAsia="宋体" w:cs="宋体"/>
          <w:b/>
          <w:bCs/>
          <w:color w:val="auto"/>
          <w:spacing w:val="2"/>
          <w:highlight w:val="none"/>
        </w:rPr>
        <w:t>费用</w:t>
      </w:r>
    </w:p>
    <w:p w14:paraId="57E3EADB">
      <w:pPr>
        <w:keepNext w:val="0"/>
        <w:keepLines w:val="0"/>
        <w:pageBreakBefore w:val="0"/>
        <w:widowControl/>
        <w:shd w:val="clear" w:color="auto" w:fill="FFFFFF"/>
        <w:kinsoku/>
        <w:wordWrap/>
        <w:overflowPunct/>
        <w:topLinePunct w:val="0"/>
        <w:autoSpaceDE/>
        <w:autoSpaceDN/>
        <w:bidi w:val="0"/>
        <w:snapToGrid w:val="0"/>
        <w:spacing w:line="452" w:lineRule="exact"/>
        <w:ind w:firstLine="420" w:firstLineChars="200"/>
        <w:jc w:val="both"/>
        <w:textAlignment w:val="auto"/>
        <w:rPr>
          <w:rFonts w:hint="eastAsia" w:ascii="宋体" w:hAnsi="宋体" w:eastAsia="宋体" w:cs="宋体"/>
          <w:color w:val="auto"/>
          <w:highlight w:val="none"/>
        </w:rPr>
      </w:pPr>
      <w:r>
        <w:rPr>
          <w:rFonts w:hint="eastAsia" w:ascii="宋体" w:hAnsi="宋体" w:cs="宋体"/>
          <w:color w:val="auto"/>
          <w:szCs w:val="21"/>
          <w:highlight w:val="none"/>
        </w:rPr>
        <w:t>供应商应承担参与本次采购活动有关的所有费用</w:t>
      </w:r>
      <w:r>
        <w:rPr>
          <w:rFonts w:hint="eastAsia" w:ascii="宋体" w:hAnsi="宋体" w:eastAsia="宋体" w:cs="宋体"/>
          <w:color w:val="auto"/>
          <w:sz w:val="21"/>
          <w:szCs w:val="21"/>
          <w:highlight w:val="none"/>
        </w:rPr>
        <w:t>。不管</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结果如何，采购代理机构对上述费用不负任何责任</w:t>
      </w:r>
      <w:r>
        <w:rPr>
          <w:rFonts w:hint="eastAsia" w:ascii="宋体" w:hAnsi="宋体" w:eastAsia="宋体" w:cs="宋体"/>
          <w:color w:val="auto"/>
          <w:sz w:val="21"/>
          <w:szCs w:val="21"/>
          <w:highlight w:val="none"/>
          <w:lang w:eastAsia="zh-CN"/>
        </w:rPr>
        <w:t>。</w:t>
      </w:r>
    </w:p>
    <w:p w14:paraId="39513FAD">
      <w:pPr>
        <w:pStyle w:val="12"/>
        <w:keepNext w:val="0"/>
        <w:keepLines w:val="0"/>
        <w:pageBreakBefore w:val="0"/>
        <w:shd w:val="clear" w:color="auto" w:fill="FFFFFF"/>
        <w:kinsoku/>
        <w:wordWrap/>
        <w:overflowPunct/>
        <w:topLinePunct w:val="0"/>
        <w:autoSpaceDE/>
        <w:autoSpaceDN/>
        <w:bidi w:val="0"/>
        <w:spacing w:line="440" w:lineRule="exact"/>
        <w:ind w:firstLine="422" w:firstLineChars="200"/>
        <w:textAlignment w:val="auto"/>
        <w:rPr>
          <w:rFonts w:hint="eastAsia" w:ascii="宋体" w:hAnsi="宋体" w:eastAsia="宋体" w:cs="宋体"/>
          <w:b/>
          <w:color w:val="auto"/>
          <w:highlight w:val="none"/>
          <w:lang w:eastAsia="zh-CN"/>
        </w:rPr>
      </w:pPr>
      <w:r>
        <w:rPr>
          <w:rFonts w:hint="eastAsia" w:ascii="宋体" w:hAnsi="宋体" w:eastAsia="宋体" w:cs="宋体"/>
          <w:b/>
          <w:color w:val="auto"/>
          <w:highlight w:val="none"/>
          <w:lang w:val="en-US" w:eastAsia="zh-CN"/>
        </w:rPr>
        <w:t>4</w:t>
      </w:r>
      <w:r>
        <w:rPr>
          <w:rFonts w:hint="eastAsia" w:ascii="宋体" w:hAnsi="宋体" w:eastAsia="宋体" w:cs="宋体"/>
          <w:b/>
          <w:color w:val="auto"/>
          <w:highlight w:val="none"/>
          <w:lang w:eastAsia="zh-CN"/>
        </w:rPr>
        <w:t>.联合体竞标</w:t>
      </w:r>
    </w:p>
    <w:p w14:paraId="27B47BB8">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.1本项目是否接受联合体竞标，详见“供应商须知前附表”。</w:t>
      </w:r>
    </w:p>
    <w:p w14:paraId="54A14BCA">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.2如接受联合体竞标，联合体竞标要求详见“供应商须知前附表”。</w:t>
      </w:r>
    </w:p>
    <w:p w14:paraId="1172C1FB">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3根据《政府采购促进中小企业发展管理办法》（财库[2020]46号）第九条及《广西壮族自治区财政厅关于贯彻落实政府采购支持中小企业发展政策的通知》（桂财采〔2022〕31号）规定，接受大中型企业与小微企业组成联合体的采购项目，对于联合协议约定小微企业的合同份额占到合同总金额 30%以上的，采购人、采购代理机构应当对联合体的报价给予 </w:t>
      </w:r>
      <w:r>
        <w:rPr>
          <w:rFonts w:hint="eastAsia" w:ascii="宋体" w:hAnsi="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eastAsia="宋体" w:cs="宋体"/>
          <w:color w:val="auto"/>
          <w:highlight w:val="none"/>
          <w:lang w:eastAsia="zh-CN"/>
        </w:rPr>
        <w:t>%的扣除，用扣除后的价格参加评审。组成联合体的小微企业与联合体内其他企业、分包企业之间存在直接控股、管理关系的，不享受价格扣除优惠政策。</w:t>
      </w:r>
    </w:p>
    <w:p w14:paraId="2A2FC07C">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lang w:val="en-US" w:eastAsia="zh-CN"/>
        </w:rPr>
        <w:t>5</w:t>
      </w:r>
      <w:r>
        <w:rPr>
          <w:rFonts w:hint="eastAsia" w:ascii="黑体" w:hAnsi="黑体" w:eastAsia="黑体" w:cs="宋体"/>
          <w:b/>
          <w:bCs/>
          <w:color w:val="auto"/>
          <w:sz w:val="24"/>
          <w:highlight w:val="none"/>
        </w:rPr>
        <w:t xml:space="preserve">.转包与分包             </w:t>
      </w:r>
    </w:p>
    <w:p w14:paraId="70351548">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.1本项目不允许转包。</w:t>
      </w:r>
    </w:p>
    <w:p w14:paraId="26E567CD">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本项目是否允许分包详见“供应商须知前附表”，本项目不允许违法分包。</w:t>
      </w:r>
    </w:p>
    <w:p w14:paraId="0B1677CB">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根据《政府采购促进中小企业发展管理办法》（财库[2020]46号）第九条及《广西壮族自治区财政厅关于贯彻落实政府采购支持中小企业发展政策的通知》（桂财采〔2022〕31号）规定，允许大中型企业向一家或者多家小微企业分包的采购项目，对于分包意向协议约定小微企业的合同份额占到合同总金额 30%以上的，采购人、采购代理机构应当对大中型企业的报价给予</w:t>
      </w:r>
      <w:r>
        <w:rPr>
          <w:rFonts w:hint="eastAsia" w:ascii="宋体" w:hAnsi="宋体" w:cs="宋体"/>
          <w:color w:val="auto"/>
          <w:highlight w:val="none"/>
          <w:lang w:val="en-US" w:eastAsia="zh-CN"/>
        </w:rPr>
        <w:t>1</w:t>
      </w:r>
      <w:r>
        <w:rPr>
          <w:rFonts w:hint="eastAsia" w:ascii="宋体" w:hAnsi="宋体" w:eastAsia="宋体" w:cs="宋体"/>
          <w:color w:val="auto"/>
          <w:highlight w:val="none"/>
          <w:lang w:eastAsia="zh-CN"/>
        </w:rPr>
        <w:t>%-</w:t>
      </w:r>
      <w:bookmarkStart w:id="58" w:name="OLE_LINK3"/>
      <w:r>
        <w:rPr>
          <w:rFonts w:hint="eastAsia" w:ascii="宋体" w:hAnsi="宋体" w:cs="宋体"/>
          <w:color w:val="auto"/>
          <w:highlight w:val="none"/>
          <w:lang w:val="en-US" w:eastAsia="zh-CN"/>
        </w:rPr>
        <w:t>2</w:t>
      </w:r>
      <w:r>
        <w:rPr>
          <w:rFonts w:hint="eastAsia" w:ascii="宋体" w:hAnsi="宋体" w:eastAsia="宋体" w:cs="宋体"/>
          <w:color w:val="auto"/>
          <w:highlight w:val="none"/>
          <w:lang w:eastAsia="zh-CN"/>
        </w:rPr>
        <w:t>%</w:t>
      </w:r>
      <w:bookmarkEnd w:id="58"/>
      <w:r>
        <w:rPr>
          <w:rFonts w:hint="eastAsia" w:ascii="宋体" w:hAnsi="宋体" w:eastAsia="宋体" w:cs="宋体"/>
          <w:color w:val="auto"/>
          <w:highlight w:val="none"/>
          <w:lang w:eastAsia="zh-CN"/>
        </w:rPr>
        <w:t>的扣除，用扣除后的价格参加评审。接受分包的小微企业与分包企业之间存在直接控股、管理关系的，不享受价格扣除优惠政策。</w:t>
      </w:r>
    </w:p>
    <w:p w14:paraId="37C9D968">
      <w:pPr>
        <w:keepNext w:val="0"/>
        <w:keepLines w:val="0"/>
        <w:pageBreakBefore w:val="0"/>
        <w:shd w:val="clear" w:color="auto" w:fill="FFFFFF"/>
        <w:kinsoku/>
        <w:wordWrap/>
        <w:overflowPunct/>
        <w:topLinePunct w:val="0"/>
        <w:autoSpaceDE/>
        <w:autoSpaceDN/>
        <w:bidi w:val="0"/>
        <w:spacing w:line="440" w:lineRule="exact"/>
        <w:ind w:firstLine="430" w:firstLineChars="200"/>
        <w:textAlignment w:val="auto"/>
        <w:rPr>
          <w:rFonts w:hint="eastAsia" w:ascii="宋体" w:hAnsi="宋体" w:eastAsia="宋体" w:cs="宋体"/>
          <w:b/>
          <w:bCs/>
          <w:color w:val="auto"/>
          <w:spacing w:val="2"/>
          <w:highlight w:val="none"/>
        </w:rPr>
      </w:pPr>
      <w:r>
        <w:rPr>
          <w:rFonts w:hint="eastAsia" w:ascii="宋体" w:hAnsi="宋体" w:eastAsia="宋体" w:cs="宋体"/>
          <w:b/>
          <w:bCs/>
          <w:color w:val="auto"/>
          <w:spacing w:val="2"/>
          <w:highlight w:val="none"/>
        </w:rPr>
        <w:t>二、竞争性</w:t>
      </w:r>
      <w:r>
        <w:rPr>
          <w:rFonts w:hint="eastAsia" w:ascii="宋体" w:hAnsi="宋体" w:eastAsia="宋体" w:cs="宋体"/>
          <w:b/>
          <w:bCs/>
          <w:color w:val="auto"/>
          <w:spacing w:val="2"/>
          <w:highlight w:val="none"/>
          <w:lang w:eastAsia="zh-CN"/>
        </w:rPr>
        <w:t>磋商</w:t>
      </w:r>
      <w:r>
        <w:rPr>
          <w:rFonts w:hint="eastAsia" w:ascii="宋体" w:hAnsi="宋体" w:eastAsia="宋体" w:cs="宋体"/>
          <w:b/>
          <w:bCs/>
          <w:color w:val="auto"/>
          <w:spacing w:val="2"/>
          <w:highlight w:val="none"/>
        </w:rPr>
        <w:t>文件</w:t>
      </w:r>
      <w:bookmarkEnd w:id="54"/>
      <w:bookmarkEnd w:id="55"/>
    </w:p>
    <w:p w14:paraId="321A60E1">
      <w:pPr>
        <w:keepNext w:val="0"/>
        <w:keepLines w:val="0"/>
        <w:pageBreakBefore w:val="0"/>
        <w:shd w:val="clear" w:color="auto" w:fill="FFFFFF"/>
        <w:kinsoku/>
        <w:wordWrap/>
        <w:overflowPunct/>
        <w:topLinePunct w:val="0"/>
        <w:autoSpaceDE/>
        <w:autoSpaceDN/>
        <w:bidi w:val="0"/>
        <w:spacing w:line="440" w:lineRule="exact"/>
        <w:ind w:firstLine="430" w:firstLineChars="200"/>
        <w:textAlignment w:val="auto"/>
        <w:rPr>
          <w:rFonts w:hint="eastAsia" w:ascii="宋体" w:hAnsi="宋体" w:eastAsia="宋体" w:cs="宋体"/>
          <w:b/>
          <w:bCs/>
          <w:color w:val="auto"/>
          <w:spacing w:val="2"/>
          <w:highlight w:val="none"/>
        </w:rPr>
      </w:pPr>
      <w:r>
        <w:rPr>
          <w:rFonts w:hint="eastAsia" w:ascii="宋体" w:hAnsi="宋体" w:cs="宋体"/>
          <w:b/>
          <w:bCs/>
          <w:color w:val="auto"/>
          <w:spacing w:val="2"/>
          <w:highlight w:val="none"/>
          <w:lang w:val="en-US" w:eastAsia="zh-CN"/>
        </w:rPr>
        <w:t>6</w:t>
      </w:r>
      <w:r>
        <w:rPr>
          <w:rFonts w:hint="eastAsia" w:ascii="宋体" w:hAnsi="宋体" w:eastAsia="宋体" w:cs="宋体"/>
          <w:b/>
          <w:bCs/>
          <w:color w:val="auto"/>
          <w:spacing w:val="2"/>
          <w:highlight w:val="none"/>
          <w:lang w:val="en-US" w:eastAsia="zh-CN"/>
        </w:rPr>
        <w:t>.</w:t>
      </w:r>
      <w:r>
        <w:rPr>
          <w:rFonts w:hint="eastAsia" w:ascii="宋体" w:hAnsi="宋体" w:eastAsia="宋体" w:cs="宋体"/>
          <w:b/>
          <w:bCs/>
          <w:color w:val="auto"/>
          <w:spacing w:val="2"/>
          <w:highlight w:val="none"/>
        </w:rPr>
        <w:t>竞争性</w:t>
      </w:r>
      <w:r>
        <w:rPr>
          <w:rFonts w:hint="eastAsia" w:ascii="宋体" w:hAnsi="宋体" w:eastAsia="宋体" w:cs="宋体"/>
          <w:b/>
          <w:bCs/>
          <w:color w:val="auto"/>
          <w:spacing w:val="2"/>
          <w:highlight w:val="none"/>
          <w:lang w:eastAsia="zh-CN"/>
        </w:rPr>
        <w:t>磋商</w:t>
      </w:r>
      <w:r>
        <w:rPr>
          <w:rFonts w:hint="eastAsia" w:ascii="宋体" w:hAnsi="宋体" w:eastAsia="宋体" w:cs="宋体"/>
          <w:b/>
          <w:bCs/>
          <w:color w:val="auto"/>
          <w:spacing w:val="2"/>
          <w:highlight w:val="none"/>
        </w:rPr>
        <w:t>文件的</w:t>
      </w:r>
      <w:r>
        <w:rPr>
          <w:rFonts w:hint="eastAsia" w:ascii="宋体" w:hAnsi="宋体" w:cs="宋体"/>
          <w:b/>
          <w:bCs/>
          <w:color w:val="auto"/>
          <w:spacing w:val="2"/>
          <w:highlight w:val="none"/>
          <w:lang w:val="en-US" w:eastAsia="zh-CN"/>
        </w:rPr>
        <w:t>构</w:t>
      </w:r>
      <w:r>
        <w:rPr>
          <w:rFonts w:hint="eastAsia" w:ascii="宋体" w:hAnsi="宋体" w:eastAsia="宋体" w:cs="宋体"/>
          <w:b/>
          <w:bCs/>
          <w:color w:val="auto"/>
          <w:spacing w:val="2"/>
          <w:highlight w:val="none"/>
        </w:rPr>
        <w:t>成</w:t>
      </w:r>
    </w:p>
    <w:p w14:paraId="7C8CE829">
      <w:pPr>
        <w:keepNext w:val="0"/>
        <w:keepLines w:val="0"/>
        <w:pageBreakBefore w:val="0"/>
        <w:shd w:val="clear" w:color="auto" w:fill="FFFFFF"/>
        <w:kinsoku/>
        <w:wordWrap/>
        <w:overflowPunct/>
        <w:topLinePunct w:val="0"/>
        <w:autoSpaceDE/>
        <w:autoSpaceDN/>
        <w:bidi w:val="0"/>
        <w:spacing w:line="440" w:lineRule="exact"/>
        <w:ind w:firstLine="428" w:firstLineChars="200"/>
        <w:textAlignment w:val="auto"/>
        <w:rPr>
          <w:rFonts w:hint="eastAsia" w:ascii="宋体" w:hAnsi="宋体" w:eastAsia="宋体" w:cs="宋体"/>
          <w:bCs/>
          <w:color w:val="auto"/>
          <w:spacing w:val="2"/>
          <w:highlight w:val="none"/>
        </w:rPr>
      </w:pPr>
      <w:r>
        <w:rPr>
          <w:rFonts w:hint="eastAsia" w:ascii="宋体" w:hAnsi="宋体" w:cs="宋体"/>
          <w:bCs/>
          <w:color w:val="auto"/>
          <w:spacing w:val="2"/>
          <w:highlight w:val="none"/>
          <w:lang w:val="en-US" w:eastAsia="zh-CN"/>
        </w:rPr>
        <w:t>6</w:t>
      </w:r>
      <w:r>
        <w:rPr>
          <w:rFonts w:hint="eastAsia" w:ascii="宋体" w:hAnsi="宋体" w:eastAsia="宋体" w:cs="宋体"/>
          <w:bCs/>
          <w:color w:val="auto"/>
          <w:spacing w:val="2"/>
          <w:highlight w:val="none"/>
        </w:rPr>
        <w:t>.1竞争性</w:t>
      </w:r>
      <w:r>
        <w:rPr>
          <w:rFonts w:hint="eastAsia" w:ascii="宋体" w:hAnsi="宋体" w:eastAsia="宋体" w:cs="宋体"/>
          <w:bCs/>
          <w:color w:val="auto"/>
          <w:spacing w:val="2"/>
          <w:highlight w:val="none"/>
          <w:lang w:eastAsia="zh-CN"/>
        </w:rPr>
        <w:t>磋商</w:t>
      </w:r>
      <w:r>
        <w:rPr>
          <w:rFonts w:hint="eastAsia" w:ascii="宋体" w:hAnsi="宋体" w:eastAsia="宋体" w:cs="宋体"/>
          <w:bCs/>
          <w:color w:val="auto"/>
          <w:spacing w:val="2"/>
          <w:highlight w:val="none"/>
        </w:rPr>
        <w:t>文件包括下列内容</w:t>
      </w:r>
      <w:r>
        <w:rPr>
          <w:rFonts w:hint="eastAsia" w:ascii="宋体" w:hAnsi="宋体" w:eastAsia="宋体" w:cs="宋体"/>
          <w:color w:val="auto"/>
          <w:spacing w:val="2"/>
          <w:highlight w:val="none"/>
        </w:rPr>
        <w:t>：</w:t>
      </w:r>
    </w:p>
    <w:p w14:paraId="05011C48">
      <w:pPr>
        <w:pStyle w:val="12"/>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第一章  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公告</w:t>
      </w:r>
    </w:p>
    <w:p w14:paraId="1E642950">
      <w:pPr>
        <w:pStyle w:val="12"/>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第二章  供应商须知  </w:t>
      </w:r>
    </w:p>
    <w:p w14:paraId="067BCAA3">
      <w:pPr>
        <w:pStyle w:val="12"/>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第三章  项目需求和说明</w:t>
      </w:r>
    </w:p>
    <w:p w14:paraId="73216FBB">
      <w:pPr>
        <w:pStyle w:val="12"/>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第四章  合同书（格式）</w:t>
      </w:r>
    </w:p>
    <w:p w14:paraId="07965CBA">
      <w:pPr>
        <w:pStyle w:val="12"/>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第五章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响应文件（格式） </w:t>
      </w:r>
    </w:p>
    <w:p w14:paraId="261B99F9">
      <w:pPr>
        <w:pStyle w:val="12"/>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第六章  工程量清单 </w:t>
      </w:r>
    </w:p>
    <w:p w14:paraId="682BDA63">
      <w:pPr>
        <w:pStyle w:val="12"/>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第七章  图纸（</w:t>
      </w:r>
      <w:r>
        <w:rPr>
          <w:rFonts w:hint="eastAsia" w:hAnsi="宋体" w:cs="宋体"/>
          <w:color w:val="auto"/>
          <w:highlight w:val="none"/>
          <w:lang w:val="en-US" w:eastAsia="zh-CN"/>
        </w:rPr>
        <w:t>另附</w:t>
      </w:r>
      <w:r>
        <w:rPr>
          <w:rFonts w:hint="eastAsia" w:ascii="宋体" w:hAnsi="宋体" w:eastAsia="宋体" w:cs="宋体"/>
          <w:color w:val="auto"/>
          <w:highlight w:val="none"/>
        </w:rPr>
        <w:t>）</w:t>
      </w:r>
    </w:p>
    <w:p w14:paraId="5F6BD8E0">
      <w:pPr>
        <w:pStyle w:val="12"/>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第八章  评定标准          </w:t>
      </w:r>
    </w:p>
    <w:p w14:paraId="138D10C7">
      <w:pPr>
        <w:pStyle w:val="12"/>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九</w:t>
      </w:r>
      <w:r>
        <w:rPr>
          <w:rFonts w:hint="eastAsia" w:ascii="宋体" w:hAnsi="宋体" w:eastAsia="宋体" w:cs="宋体"/>
          <w:color w:val="auto"/>
          <w:highlight w:val="none"/>
        </w:rPr>
        <w:t>章 质疑、投诉材料格式</w:t>
      </w:r>
    </w:p>
    <w:p w14:paraId="540F4D19">
      <w:pPr>
        <w:keepNext w:val="0"/>
        <w:keepLines w:val="0"/>
        <w:pageBreakBefore w:val="0"/>
        <w:shd w:val="clear" w:color="auto" w:fill="FFFFFF"/>
        <w:kinsoku/>
        <w:wordWrap/>
        <w:overflowPunct/>
        <w:topLinePunct w:val="0"/>
        <w:autoSpaceDE/>
        <w:autoSpaceDN/>
        <w:bidi w:val="0"/>
        <w:spacing w:line="440" w:lineRule="exact"/>
        <w:ind w:firstLine="428" w:firstLineChars="200"/>
        <w:textAlignment w:val="auto"/>
        <w:rPr>
          <w:rFonts w:hint="eastAsia" w:ascii="宋体" w:hAnsi="宋体" w:eastAsia="宋体" w:cs="宋体"/>
          <w:color w:val="auto"/>
          <w:spacing w:val="2"/>
          <w:highlight w:val="none"/>
        </w:rPr>
      </w:pPr>
      <w:r>
        <w:rPr>
          <w:rFonts w:hint="eastAsia" w:ascii="宋体" w:hAnsi="宋体" w:cs="宋体"/>
          <w:color w:val="auto"/>
          <w:spacing w:val="2"/>
          <w:highlight w:val="none"/>
          <w:lang w:val="en-US" w:eastAsia="zh-CN"/>
        </w:rPr>
        <w:t>6</w:t>
      </w:r>
      <w:r>
        <w:rPr>
          <w:rFonts w:hint="eastAsia" w:ascii="宋体" w:hAnsi="宋体" w:eastAsia="宋体" w:cs="宋体"/>
          <w:color w:val="auto"/>
          <w:spacing w:val="2"/>
          <w:highlight w:val="none"/>
        </w:rPr>
        <w:t>.2 供应商应认真审阅竞争性</w:t>
      </w:r>
      <w:r>
        <w:rPr>
          <w:rFonts w:hint="eastAsia" w:ascii="宋体" w:hAnsi="宋体" w:eastAsia="宋体" w:cs="宋体"/>
          <w:color w:val="auto"/>
          <w:spacing w:val="2"/>
          <w:highlight w:val="none"/>
          <w:lang w:eastAsia="zh-CN"/>
        </w:rPr>
        <w:t>磋商</w:t>
      </w:r>
      <w:r>
        <w:rPr>
          <w:rFonts w:hint="eastAsia" w:ascii="宋体" w:hAnsi="宋体" w:eastAsia="宋体" w:cs="宋体"/>
          <w:color w:val="auto"/>
          <w:spacing w:val="2"/>
          <w:highlight w:val="none"/>
        </w:rPr>
        <w:t>文件中所有的</w:t>
      </w:r>
      <w:r>
        <w:rPr>
          <w:rFonts w:hint="eastAsia" w:ascii="宋体" w:hAnsi="宋体" w:eastAsia="宋体" w:cs="宋体"/>
          <w:color w:val="auto"/>
          <w:spacing w:val="2"/>
          <w:highlight w:val="none"/>
          <w:lang w:eastAsia="zh-CN"/>
        </w:rPr>
        <w:t>磋商</w:t>
      </w:r>
      <w:r>
        <w:rPr>
          <w:rFonts w:hint="eastAsia" w:ascii="宋体" w:hAnsi="宋体" w:eastAsia="宋体" w:cs="宋体"/>
          <w:color w:val="auto"/>
          <w:spacing w:val="2"/>
          <w:highlight w:val="none"/>
        </w:rPr>
        <w:t>须知、合同条件、规定格式、技术规范或技术要求及工程量清单及图纸相关资料。如果供应商编制的响应文件不能符合竞争性</w:t>
      </w:r>
      <w:r>
        <w:rPr>
          <w:rFonts w:hint="eastAsia" w:ascii="宋体" w:hAnsi="宋体" w:eastAsia="宋体" w:cs="宋体"/>
          <w:color w:val="auto"/>
          <w:spacing w:val="2"/>
          <w:highlight w:val="none"/>
          <w:lang w:eastAsia="zh-CN"/>
        </w:rPr>
        <w:t>磋商</w:t>
      </w:r>
      <w:r>
        <w:rPr>
          <w:rFonts w:hint="eastAsia" w:ascii="宋体" w:hAnsi="宋体" w:eastAsia="宋体" w:cs="宋体"/>
          <w:color w:val="auto"/>
          <w:spacing w:val="2"/>
          <w:highlight w:val="none"/>
        </w:rPr>
        <w:t>文件的要求，责任由供应商自负。实质上不响应竞争性</w:t>
      </w:r>
      <w:r>
        <w:rPr>
          <w:rFonts w:hint="eastAsia" w:ascii="宋体" w:hAnsi="宋体" w:eastAsia="宋体" w:cs="宋体"/>
          <w:color w:val="auto"/>
          <w:spacing w:val="2"/>
          <w:highlight w:val="none"/>
          <w:lang w:eastAsia="zh-CN"/>
        </w:rPr>
        <w:t>磋商</w:t>
      </w:r>
      <w:r>
        <w:rPr>
          <w:rFonts w:hint="eastAsia" w:ascii="宋体" w:hAnsi="宋体" w:eastAsia="宋体" w:cs="宋体"/>
          <w:color w:val="auto"/>
          <w:spacing w:val="2"/>
          <w:highlight w:val="none"/>
        </w:rPr>
        <w:t>文件要求的响应文件将被采购代理机构拒绝。</w:t>
      </w:r>
    </w:p>
    <w:p w14:paraId="337557F5">
      <w:pPr>
        <w:keepNext w:val="0"/>
        <w:keepLines w:val="0"/>
        <w:pageBreakBefore w:val="0"/>
        <w:shd w:val="clear" w:color="auto" w:fill="FFFFFF"/>
        <w:kinsoku/>
        <w:wordWrap/>
        <w:overflowPunct/>
        <w:topLinePunct w:val="0"/>
        <w:autoSpaceDE/>
        <w:autoSpaceDN/>
        <w:bidi w:val="0"/>
        <w:spacing w:line="440" w:lineRule="exact"/>
        <w:ind w:firstLine="430" w:firstLineChars="200"/>
        <w:textAlignment w:val="auto"/>
        <w:rPr>
          <w:rFonts w:hint="eastAsia" w:ascii="宋体" w:hAnsi="宋体" w:eastAsia="宋体" w:cs="宋体"/>
          <w:b/>
          <w:bCs/>
          <w:color w:val="auto"/>
          <w:spacing w:val="2"/>
          <w:highlight w:val="none"/>
        </w:rPr>
      </w:pPr>
      <w:r>
        <w:rPr>
          <w:rFonts w:hint="eastAsia" w:ascii="宋体" w:hAnsi="宋体" w:cs="宋体"/>
          <w:b/>
          <w:bCs/>
          <w:color w:val="auto"/>
          <w:spacing w:val="2"/>
          <w:highlight w:val="none"/>
          <w:lang w:val="en-US" w:eastAsia="zh-CN"/>
        </w:rPr>
        <w:t>7</w:t>
      </w:r>
      <w:r>
        <w:rPr>
          <w:rFonts w:hint="eastAsia" w:ascii="宋体" w:hAnsi="宋体" w:eastAsia="宋体" w:cs="宋体"/>
          <w:b/>
          <w:bCs/>
          <w:color w:val="auto"/>
          <w:spacing w:val="2"/>
          <w:highlight w:val="none"/>
        </w:rPr>
        <w:t>.竞争性</w:t>
      </w:r>
      <w:r>
        <w:rPr>
          <w:rFonts w:hint="eastAsia" w:ascii="宋体" w:hAnsi="宋体" w:eastAsia="宋体" w:cs="宋体"/>
          <w:b/>
          <w:bCs/>
          <w:color w:val="auto"/>
          <w:spacing w:val="2"/>
          <w:highlight w:val="none"/>
          <w:lang w:eastAsia="zh-CN"/>
        </w:rPr>
        <w:t>磋商</w:t>
      </w:r>
      <w:r>
        <w:rPr>
          <w:rFonts w:hint="eastAsia" w:ascii="宋体" w:hAnsi="宋体" w:eastAsia="宋体" w:cs="宋体"/>
          <w:b/>
          <w:bCs/>
          <w:color w:val="auto"/>
          <w:spacing w:val="2"/>
          <w:highlight w:val="none"/>
        </w:rPr>
        <w:t>文件的解释</w:t>
      </w:r>
      <w:r>
        <w:rPr>
          <w:rFonts w:hint="eastAsia" w:ascii="宋体" w:hAnsi="宋体" w:eastAsia="宋体" w:cs="宋体"/>
          <w:b/>
          <w:color w:val="auto"/>
          <w:highlight w:val="none"/>
        </w:rPr>
        <w:t>、澄清和修改</w:t>
      </w:r>
    </w:p>
    <w:p w14:paraId="53D6794B">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.1已获取磋商文件的潜在供应商，若有问题需要澄清，应于应标截止时间前，以书面形式向采购代理机构提出，采购代理机构与采购人研究后，对认为有必要回答的问题，按照本章</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.3的内容处理。</w:t>
      </w:r>
    </w:p>
    <w:p w14:paraId="21D4D12B">
      <w:pPr>
        <w:keepNext w:val="0"/>
        <w:keepLines w:val="0"/>
        <w:pageBreakBefore w:val="0"/>
        <w:kinsoku/>
        <w:wordWrap/>
        <w:overflowPunct/>
        <w:topLinePunct w:val="0"/>
        <w:autoSpaceDE/>
        <w:autoSpaceDN/>
        <w:bidi w:val="0"/>
        <w:spacing w:line="44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rPr>
        <w:t>.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02098920">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w:t>
      </w:r>
      <w:r>
        <w:rPr>
          <w:rFonts w:hint="eastAsia" w:ascii="宋体" w:hAnsi="宋体" w:eastAsia="宋体" w:cs="宋体"/>
          <w:color w:val="auto"/>
          <w:szCs w:val="21"/>
          <w:highlight w:val="none"/>
          <w:lang w:eastAsia="zh-CN"/>
        </w:rPr>
        <w:t>时间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澄清或者</w:t>
      </w:r>
      <w:r>
        <w:rPr>
          <w:rFonts w:hint="eastAsia" w:ascii="宋体" w:hAnsi="宋体" w:eastAsia="宋体" w:cs="宋体"/>
          <w:color w:val="auto"/>
          <w:szCs w:val="21"/>
          <w:highlight w:val="none"/>
          <w:lang w:val="en-US" w:eastAsia="zh-CN"/>
        </w:rPr>
        <w:t>更正公告</w:t>
      </w:r>
      <w:r>
        <w:rPr>
          <w:rFonts w:hint="eastAsia" w:ascii="宋体" w:hAnsi="宋体" w:eastAsia="宋体" w:cs="宋体"/>
          <w:color w:val="auto"/>
          <w:szCs w:val="21"/>
          <w:highlight w:val="none"/>
          <w:lang w:eastAsia="zh-CN"/>
        </w:rPr>
        <w:t>在竞争性磋商公告发布媒体上发布</w:t>
      </w:r>
      <w:r>
        <w:rPr>
          <w:rFonts w:hint="eastAsia" w:ascii="宋体" w:hAnsi="宋体" w:eastAsia="宋体" w:cs="宋体"/>
          <w:color w:val="auto"/>
          <w:szCs w:val="21"/>
          <w:highlight w:val="none"/>
        </w:rPr>
        <w:t>，一经发布，视作已以书面形式通知所有获取竞争性磋商文件的潜在供应商，不再另行通知，所有潜在供应商应密切关注竞争性磋商公告发布媒体，因未能及时获知，由此产生的后果均应自行承担。</w:t>
      </w:r>
    </w:p>
    <w:p w14:paraId="4AF23728">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28DE3FAE">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.5  采购人和采购代理机构可以视采购具体情况，变更提交首次响应文件截止时间和</w:t>
      </w:r>
      <w:r>
        <w:rPr>
          <w:rFonts w:hint="eastAsia" w:ascii="宋体" w:hAnsi="宋体" w:cs="宋体"/>
          <w:color w:val="auto"/>
          <w:highlight w:val="none"/>
          <w:lang w:val="en-US" w:eastAsia="zh-CN"/>
        </w:rPr>
        <w:t>磋商</w:t>
      </w:r>
      <w:r>
        <w:rPr>
          <w:rFonts w:hint="eastAsia" w:ascii="宋体" w:hAnsi="宋体" w:eastAsia="宋体" w:cs="宋体"/>
          <w:color w:val="auto"/>
          <w:highlight w:val="none"/>
        </w:rPr>
        <w:t>时间，将变更时间将在</w:t>
      </w:r>
      <w:r>
        <w:rPr>
          <w:rFonts w:hint="eastAsia" w:ascii="宋体" w:hAnsi="宋体" w:eastAsia="宋体" w:cs="宋体"/>
          <w:color w:val="auto"/>
          <w:highlight w:val="none"/>
          <w:lang w:eastAsia="zh-CN"/>
        </w:rPr>
        <w:t>竞争性磋商</w:t>
      </w:r>
      <w:r>
        <w:rPr>
          <w:rFonts w:hint="eastAsia" w:ascii="宋体" w:hAnsi="宋体" w:eastAsia="宋体" w:cs="宋体"/>
          <w:color w:val="auto"/>
          <w:highlight w:val="none"/>
        </w:rPr>
        <w:t>公告中“七、其他补充事宜</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.网上查询地址”规定的政府采购信息发布媒体上发布更正公告。</w:t>
      </w:r>
    </w:p>
    <w:p w14:paraId="5009539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w:t>
      </w:r>
      <w:r>
        <w:rPr>
          <w:rFonts w:hint="eastAsia" w:ascii="宋体" w:hAnsi="宋体" w:eastAsia="宋体" w:cs="宋体"/>
          <w:b/>
          <w:color w:val="auto"/>
          <w:kern w:val="0"/>
          <w:sz w:val="21"/>
          <w:szCs w:val="21"/>
          <w:highlight w:val="none"/>
          <w:lang w:eastAsia="zh-CN"/>
        </w:rPr>
        <w:t>按无效</w:t>
      </w:r>
      <w:r>
        <w:rPr>
          <w:rFonts w:hint="eastAsia" w:ascii="宋体" w:hAnsi="宋体" w:eastAsia="宋体" w:cs="宋体"/>
          <w:b/>
          <w:color w:val="auto"/>
          <w:kern w:val="0"/>
          <w:sz w:val="21"/>
          <w:szCs w:val="21"/>
          <w:highlight w:val="none"/>
        </w:rPr>
        <w:t>处理。</w:t>
      </w:r>
    </w:p>
    <w:p w14:paraId="69C20EFE">
      <w:pPr>
        <w:keepNext w:val="0"/>
        <w:keepLines w:val="0"/>
        <w:pageBreakBefore w:val="0"/>
        <w:shd w:val="clear" w:color="auto" w:fill="FFFFFF"/>
        <w:kinsoku/>
        <w:wordWrap/>
        <w:overflowPunct/>
        <w:topLinePunct w:val="0"/>
        <w:autoSpaceDE/>
        <w:autoSpaceDN/>
        <w:bidi w:val="0"/>
        <w:spacing w:line="44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三、响应文件的编制</w:t>
      </w:r>
    </w:p>
    <w:p w14:paraId="6E1616F2">
      <w:pPr>
        <w:keepNext w:val="0"/>
        <w:keepLines w:val="0"/>
        <w:pageBreakBefore w:val="0"/>
        <w:shd w:val="clear" w:color="auto" w:fill="FFFFFF"/>
        <w:kinsoku/>
        <w:wordWrap/>
        <w:overflowPunct/>
        <w:topLinePunct w:val="0"/>
        <w:autoSpaceDE/>
        <w:autoSpaceDN/>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rPr>
        <w:t>.响应文件编制基本要求</w:t>
      </w:r>
    </w:p>
    <w:p w14:paraId="6B5A973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r>
        <w:rPr>
          <w:rFonts w:hint="eastAsia" w:ascii="宋体" w:hAnsi="宋体" w:eastAsia="宋体" w:cs="宋体"/>
          <w:color w:val="auto"/>
          <w:szCs w:val="21"/>
          <w:highlight w:val="none"/>
        </w:rPr>
        <w:t>。</w:t>
      </w:r>
    </w:p>
    <w:p w14:paraId="5268BBBB">
      <w:pPr>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供应商提交的响应文件以及供应商与</w:t>
      </w:r>
      <w:r>
        <w:rPr>
          <w:rFonts w:hint="eastAsia" w:ascii="宋体" w:hAnsi="宋体" w:eastAsia="宋体" w:cs="宋体"/>
          <w:color w:val="auto"/>
          <w:highlight w:val="none"/>
        </w:rPr>
        <w:t>采购代理机构</w:t>
      </w:r>
      <w:r>
        <w:rPr>
          <w:rFonts w:hint="eastAsia" w:ascii="宋体" w:hAnsi="宋体" w:eastAsia="宋体" w:cs="宋体"/>
          <w:color w:val="auto"/>
          <w:szCs w:val="21"/>
          <w:highlight w:val="none"/>
        </w:rPr>
        <w:t>和采购人就有关</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的所有来往函电均应使用中文。供应商提交的支持文件和印刷的文献可以使用别的语言，但其相应内容必须附有中文翻译文本，在解释响应文件时以翻译文本为主。</w:t>
      </w:r>
    </w:p>
    <w:p w14:paraId="6BD558C2">
      <w:pPr>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供应商应认真阅读、并充分理解本文件的全部内容（包括所有的</w:t>
      </w:r>
      <w:r>
        <w:rPr>
          <w:rFonts w:hint="eastAsia" w:ascii="宋体" w:hAnsi="宋体" w:eastAsia="宋体" w:cs="宋体"/>
          <w:color w:val="auto"/>
          <w:highlight w:val="none"/>
        </w:rPr>
        <w:t>澄清、</w:t>
      </w:r>
      <w:r>
        <w:rPr>
          <w:rFonts w:hint="eastAsia" w:ascii="宋体" w:hAnsi="宋体" w:eastAsia="宋体" w:cs="宋体"/>
          <w:color w:val="auto"/>
          <w:szCs w:val="21"/>
          <w:highlight w:val="none"/>
        </w:rPr>
        <w:t>更改、补充、答疑等内容），承诺并履行本文件中各项条款规定及要求。</w:t>
      </w:r>
    </w:p>
    <w:p w14:paraId="19767B87">
      <w:pPr>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响应文件必须按本文件的全部内容，包括所有的</w:t>
      </w:r>
      <w:r>
        <w:rPr>
          <w:rFonts w:hint="eastAsia" w:ascii="宋体" w:hAnsi="宋体" w:eastAsia="宋体" w:cs="宋体"/>
          <w:color w:val="auto"/>
          <w:highlight w:val="none"/>
        </w:rPr>
        <w:t>澄清、</w:t>
      </w:r>
      <w:r>
        <w:rPr>
          <w:rFonts w:hint="eastAsia" w:ascii="宋体" w:hAnsi="宋体" w:eastAsia="宋体" w:cs="宋体"/>
          <w:color w:val="auto"/>
          <w:szCs w:val="21"/>
          <w:highlight w:val="none"/>
        </w:rPr>
        <w:t>更改、补充、答疑等内容及附件进行编制。</w:t>
      </w:r>
    </w:p>
    <w:p w14:paraId="1183FBC5">
      <w:pPr>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如因供应商只填写和提供了本文件要求的部分内容和附件，而给</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小组评审造成困难，其可能导致的结果和责任由供应商自行承担。</w:t>
      </w:r>
    </w:p>
    <w:p w14:paraId="5C88C0A5">
      <w:pPr>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响应文件的组成：响应文件应分为资格审查文件、</w:t>
      </w:r>
      <w:r>
        <w:rPr>
          <w:rFonts w:hint="eastAsia" w:ascii="宋体" w:hAnsi="宋体" w:cs="宋体"/>
          <w:color w:val="auto"/>
          <w:szCs w:val="21"/>
          <w:highlight w:val="none"/>
          <w:lang w:val="en-US" w:eastAsia="zh-CN"/>
        </w:rPr>
        <w:t>报价</w:t>
      </w:r>
      <w:r>
        <w:rPr>
          <w:rFonts w:hint="eastAsia" w:ascii="宋体" w:hAnsi="宋体" w:cs="宋体"/>
          <w:color w:val="auto"/>
          <w:szCs w:val="21"/>
          <w:highlight w:val="none"/>
        </w:rPr>
        <w:t>文件</w:t>
      </w:r>
      <w:r>
        <w:rPr>
          <w:rFonts w:hint="eastAsia" w:ascii="宋体" w:hAnsi="宋体" w:eastAsia="宋体" w:cs="宋体"/>
          <w:color w:val="auto"/>
          <w:szCs w:val="21"/>
          <w:highlight w:val="none"/>
        </w:rPr>
        <w:t>和</w:t>
      </w:r>
      <w:r>
        <w:rPr>
          <w:rFonts w:hint="eastAsia" w:ascii="宋体" w:hAnsi="宋体" w:cs="宋体"/>
          <w:color w:val="auto"/>
          <w:szCs w:val="21"/>
          <w:highlight w:val="none"/>
        </w:rPr>
        <w:t>商务</w:t>
      </w:r>
      <w:r>
        <w:rPr>
          <w:rFonts w:hint="eastAsia" w:ascii="宋体" w:hAnsi="宋体" w:cs="宋体"/>
          <w:color w:val="auto"/>
          <w:szCs w:val="21"/>
          <w:highlight w:val="none"/>
          <w:lang w:val="en-US" w:eastAsia="zh-CN"/>
        </w:rPr>
        <w:t>技术标</w:t>
      </w:r>
      <w:r>
        <w:rPr>
          <w:rFonts w:hint="eastAsia" w:ascii="宋体" w:hAnsi="宋体" w:cs="宋体"/>
          <w:color w:val="auto"/>
          <w:szCs w:val="21"/>
          <w:highlight w:val="none"/>
        </w:rPr>
        <w:t>文件</w:t>
      </w:r>
      <w:r>
        <w:rPr>
          <w:rFonts w:hint="eastAsia" w:ascii="宋体" w:hAnsi="宋体" w:eastAsia="宋体" w:cs="宋体"/>
          <w:color w:val="auto"/>
          <w:szCs w:val="21"/>
          <w:highlight w:val="none"/>
        </w:rPr>
        <w:t>三个部分组成。</w:t>
      </w:r>
    </w:p>
    <w:p w14:paraId="4DE41354">
      <w:pPr>
        <w:keepNext w:val="0"/>
        <w:keepLines w:val="0"/>
        <w:pageBreakBefore w:val="0"/>
        <w:shd w:val="clear" w:color="auto" w:fill="FFFFFF"/>
        <w:kinsoku/>
        <w:wordWrap/>
        <w:overflowPunct/>
        <w:topLinePunct w:val="0"/>
        <w:autoSpaceDE/>
        <w:autoSpaceDN/>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highlight w:val="none"/>
          <w:lang w:val="en-US" w:eastAsia="zh-CN"/>
        </w:rPr>
        <w:t>8</w:t>
      </w:r>
      <w:r>
        <w:rPr>
          <w:rFonts w:hint="eastAsia" w:ascii="宋体" w:hAnsi="宋体" w:eastAsia="宋体" w:cs="宋体"/>
          <w:b/>
          <w:bCs/>
          <w:color w:val="auto"/>
          <w:highlight w:val="none"/>
        </w:rPr>
        <w:t>.</w:t>
      </w:r>
      <w:r>
        <w:rPr>
          <w:rFonts w:hint="eastAsia" w:ascii="宋体" w:hAnsi="宋体" w:cs="宋体"/>
          <w:b/>
          <w:bCs/>
          <w:color w:val="auto"/>
          <w:highlight w:val="none"/>
          <w:lang w:val="en-US" w:eastAsia="zh-CN"/>
        </w:rPr>
        <w:t>7</w:t>
      </w:r>
      <w:r>
        <w:rPr>
          <w:rFonts w:hint="eastAsia" w:ascii="宋体" w:hAnsi="宋体" w:eastAsia="宋体" w:cs="宋体"/>
          <w:b/>
          <w:bCs/>
          <w:color w:val="auto"/>
          <w:highlight w:val="none"/>
        </w:rPr>
        <w:t>.1</w:t>
      </w:r>
      <w:r>
        <w:rPr>
          <w:rFonts w:hint="eastAsia" w:ascii="宋体" w:hAnsi="宋体" w:eastAsia="宋体" w:cs="宋体"/>
          <w:b/>
          <w:bCs/>
          <w:color w:val="auto"/>
          <w:szCs w:val="21"/>
          <w:highlight w:val="none"/>
        </w:rPr>
        <w:t>资格审查文件</w:t>
      </w:r>
    </w:p>
    <w:p w14:paraId="06516C06">
      <w:pPr>
        <w:keepNext w:val="0"/>
        <w:keepLines w:val="0"/>
        <w:pageBreakBefore w:val="0"/>
        <w:widowControl w:val="0"/>
        <w:shd w:val="clear" w:color="auto" w:fill="FFFFFF"/>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有效营业执照、资质证书、</w:t>
      </w:r>
      <w:bookmarkStart w:id="59" w:name="OLE_LINK10"/>
      <w:r>
        <w:rPr>
          <w:rFonts w:hint="eastAsia" w:ascii="宋体" w:hAnsi="宋体" w:eastAsia="宋体" w:cs="宋体"/>
          <w:bCs/>
          <w:color w:val="auto"/>
          <w:szCs w:val="21"/>
          <w:highlight w:val="none"/>
        </w:rPr>
        <w:t>企业安全生产许可证</w:t>
      </w:r>
      <w:bookmarkEnd w:id="59"/>
      <w:r>
        <w:rPr>
          <w:rFonts w:hint="eastAsia" w:ascii="宋体" w:hAnsi="宋体" w:eastAsia="宋体" w:cs="宋体"/>
          <w:bCs/>
          <w:color w:val="auto"/>
          <w:szCs w:val="21"/>
          <w:highlight w:val="none"/>
        </w:rPr>
        <w:t>复印件</w:t>
      </w:r>
      <w:r>
        <w:rPr>
          <w:rFonts w:hint="eastAsia" w:ascii="宋体" w:hAnsi="宋体" w:eastAsia="宋体" w:cs="宋体"/>
          <w:b/>
          <w:bCs/>
          <w:color w:val="auto"/>
          <w:szCs w:val="21"/>
          <w:highlight w:val="none"/>
        </w:rPr>
        <w:t>（</w:t>
      </w:r>
      <w:r>
        <w:rPr>
          <w:rFonts w:hint="eastAsia" w:ascii="宋体" w:hAnsi="宋体" w:cs="宋体"/>
          <w:b/>
          <w:color w:val="auto"/>
          <w:szCs w:val="21"/>
          <w:highlight w:val="none"/>
          <w:lang w:val="en-US" w:eastAsia="zh-CN"/>
        </w:rPr>
        <w:t>必须提供并加盖</w:t>
      </w:r>
      <w:r>
        <w:rPr>
          <w:rFonts w:hint="eastAsia" w:ascii="宋体" w:hAnsi="宋体" w:cs="宋体"/>
          <w:b/>
          <w:color w:val="auto"/>
          <w:szCs w:val="21"/>
          <w:highlight w:val="none"/>
        </w:rPr>
        <w:t>供应商</w:t>
      </w:r>
      <w:r>
        <w:rPr>
          <w:rFonts w:hint="eastAsia" w:ascii="宋体" w:hAnsi="宋体" w:cs="宋体"/>
          <w:b/>
          <w:color w:val="auto"/>
          <w:szCs w:val="21"/>
          <w:highlight w:val="none"/>
          <w:lang w:val="en-US" w:eastAsia="zh-CN"/>
        </w:rPr>
        <w:t>公</w:t>
      </w:r>
      <w:r>
        <w:rPr>
          <w:rFonts w:hint="eastAsia" w:ascii="宋体" w:hAnsi="宋体" w:cs="宋体"/>
          <w:b/>
          <w:color w:val="auto"/>
          <w:szCs w:val="21"/>
          <w:highlight w:val="none"/>
          <w:lang w:eastAsia="zh-CN"/>
        </w:rPr>
        <w:t>章</w:t>
      </w:r>
      <w:r>
        <w:rPr>
          <w:rFonts w:hint="eastAsia" w:ascii="宋体" w:hAnsi="宋体" w:cs="宋体"/>
          <w:b/>
          <w:color w:val="auto"/>
          <w:szCs w:val="21"/>
          <w:highlight w:val="none"/>
          <w:lang w:val="en-US" w:eastAsia="zh-CN"/>
        </w:rPr>
        <w:t>，否则响应文件按无效响应处理</w:t>
      </w:r>
      <w:r>
        <w:rPr>
          <w:rFonts w:hint="eastAsia" w:ascii="宋体" w:hAnsi="宋体" w:eastAsia="宋体" w:cs="宋体"/>
          <w:b/>
          <w:bCs/>
          <w:color w:val="auto"/>
          <w:szCs w:val="21"/>
          <w:highlight w:val="none"/>
        </w:rPr>
        <w:t>）；</w:t>
      </w:r>
    </w:p>
    <w:p w14:paraId="6D11BE7B">
      <w:pPr>
        <w:pStyle w:val="9"/>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lang w:val="en-US" w:eastAsia="zh-CN" w:bidi="ar-SA"/>
        </w:rPr>
        <w:t>（</w:t>
      </w:r>
      <w:r>
        <w:rPr>
          <w:rFonts w:hint="eastAsia" w:ascii="宋体" w:hAnsi="宋体" w:cs="宋体"/>
          <w:color w:val="auto"/>
          <w:kern w:val="2"/>
          <w:sz w:val="21"/>
          <w:szCs w:val="24"/>
          <w:highlight w:val="none"/>
          <w:lang w:val="en-US" w:eastAsia="zh-CN" w:bidi="ar-SA"/>
        </w:rPr>
        <w:t>2</w:t>
      </w:r>
      <w:r>
        <w:rPr>
          <w:rFonts w:hint="eastAsia" w:ascii="宋体" w:hAnsi="宋体" w:eastAsia="宋体" w:cs="宋体"/>
          <w:color w:val="auto"/>
          <w:kern w:val="2"/>
          <w:sz w:val="21"/>
          <w:szCs w:val="24"/>
          <w:highlight w:val="none"/>
          <w:lang w:val="en-US" w:eastAsia="zh-CN" w:bidi="ar-SA"/>
        </w:rPr>
        <w:t>）项目经理资格：拟投入本项目的项目经理</w:t>
      </w:r>
      <w:r>
        <w:rPr>
          <w:rFonts w:hint="eastAsia"/>
          <w:color w:val="auto"/>
          <w:lang w:val="en-US" w:eastAsia="zh-CN"/>
        </w:rPr>
        <w:t>的有效</w:t>
      </w:r>
      <w:r>
        <w:rPr>
          <w:rFonts w:hint="eastAsia" w:ascii="宋体" w:hAnsi="宋体" w:eastAsia="宋体" w:cs="宋体"/>
          <w:color w:val="auto"/>
          <w:kern w:val="2"/>
          <w:sz w:val="21"/>
          <w:szCs w:val="24"/>
          <w:highlight w:val="none"/>
          <w:lang w:val="en-US" w:eastAsia="zh-CN" w:bidi="ar-SA"/>
        </w:rPr>
        <w:t>第二代身份证正反面复印件、</w:t>
      </w:r>
      <w:bookmarkStart w:id="60" w:name="OLE_LINK12"/>
      <w:r>
        <w:rPr>
          <w:rFonts w:hint="eastAsia" w:ascii="宋体" w:hAnsi="宋体" w:eastAsia="宋体" w:cs="宋体"/>
          <w:color w:val="auto"/>
          <w:kern w:val="2"/>
          <w:sz w:val="21"/>
          <w:szCs w:val="24"/>
          <w:highlight w:val="none"/>
          <w:lang w:val="en-US" w:eastAsia="zh-CN" w:bidi="ar-SA"/>
        </w:rPr>
        <w:t>注册建造师</w:t>
      </w:r>
      <w:bookmarkEnd w:id="60"/>
      <w:r>
        <w:rPr>
          <w:rFonts w:hint="eastAsia" w:ascii="宋体" w:hAnsi="宋体" w:eastAsia="宋体" w:cs="宋体"/>
          <w:color w:val="auto"/>
          <w:kern w:val="2"/>
          <w:sz w:val="21"/>
          <w:szCs w:val="24"/>
          <w:highlight w:val="none"/>
          <w:lang w:val="en-US" w:eastAsia="zh-CN" w:bidi="ar-SA"/>
        </w:rPr>
        <w:t>证书复印件及安全生产考核合格证（B证）证件复印件</w:t>
      </w:r>
      <w:r>
        <w:rPr>
          <w:rFonts w:hint="eastAsia" w:ascii="宋体" w:hAnsi="宋体" w:eastAsia="宋体" w:cs="宋体"/>
          <w:b/>
          <w:bCs/>
          <w:color w:val="auto"/>
          <w:szCs w:val="21"/>
          <w:highlight w:val="none"/>
        </w:rPr>
        <w:t>（</w:t>
      </w:r>
      <w:r>
        <w:rPr>
          <w:rFonts w:hint="eastAsia" w:ascii="宋体" w:hAnsi="宋体" w:cs="宋体"/>
          <w:b/>
          <w:color w:val="auto"/>
          <w:szCs w:val="21"/>
          <w:highlight w:val="none"/>
          <w:lang w:val="en-US" w:eastAsia="zh-CN"/>
        </w:rPr>
        <w:t>必须提供并加盖</w:t>
      </w:r>
      <w:r>
        <w:rPr>
          <w:rFonts w:hint="eastAsia" w:ascii="宋体" w:hAnsi="宋体" w:cs="宋体"/>
          <w:b/>
          <w:color w:val="auto"/>
          <w:szCs w:val="21"/>
          <w:highlight w:val="none"/>
        </w:rPr>
        <w:t>供应商</w:t>
      </w:r>
      <w:r>
        <w:rPr>
          <w:rFonts w:hint="eastAsia" w:ascii="宋体" w:hAnsi="宋体" w:cs="宋体"/>
          <w:b/>
          <w:color w:val="auto"/>
          <w:szCs w:val="21"/>
          <w:highlight w:val="none"/>
          <w:lang w:val="en-US" w:eastAsia="zh-CN"/>
        </w:rPr>
        <w:t>公</w:t>
      </w:r>
      <w:r>
        <w:rPr>
          <w:rFonts w:hint="eastAsia" w:ascii="宋体" w:hAnsi="宋体" w:cs="宋体"/>
          <w:b/>
          <w:color w:val="auto"/>
          <w:szCs w:val="21"/>
          <w:highlight w:val="none"/>
          <w:lang w:eastAsia="zh-CN"/>
        </w:rPr>
        <w:t>章</w:t>
      </w:r>
      <w:r>
        <w:rPr>
          <w:rFonts w:hint="eastAsia" w:ascii="宋体" w:hAnsi="宋体" w:cs="宋体"/>
          <w:b/>
          <w:color w:val="auto"/>
          <w:szCs w:val="21"/>
          <w:highlight w:val="none"/>
          <w:lang w:val="en-US" w:eastAsia="zh-CN"/>
        </w:rPr>
        <w:t>，否则响应文件按无效响应处理</w:t>
      </w:r>
      <w:r>
        <w:rPr>
          <w:rFonts w:hint="eastAsia" w:ascii="宋体" w:hAnsi="宋体" w:eastAsia="宋体" w:cs="宋体"/>
          <w:b/>
          <w:bCs/>
          <w:color w:val="auto"/>
          <w:szCs w:val="21"/>
          <w:highlight w:val="none"/>
        </w:rPr>
        <w:t>）；</w:t>
      </w:r>
    </w:p>
    <w:p w14:paraId="597337B5">
      <w:pPr>
        <w:keepNext w:val="0"/>
        <w:keepLines w:val="0"/>
        <w:pageBreakBefore w:val="0"/>
        <w:widowControl w:val="0"/>
        <w:shd w:val="clear" w:color="auto" w:fill="FFFFFF"/>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highlight w:val="none"/>
          <w:shd w:val="clear" w:color="auto" w:fill="FFFFFF"/>
        </w:rPr>
      </w:pPr>
      <w:r>
        <w:rPr>
          <w:rFonts w:hint="eastAsia" w:ascii="宋体" w:hAnsi="宋体" w:eastAsia="宋体" w:cs="宋体"/>
          <w:b w:val="0"/>
          <w:bCs w:val="0"/>
          <w:color w:val="auto"/>
          <w:highlight w:val="none"/>
          <w:lang w:val="en-US" w:eastAsia="zh-CN"/>
        </w:rPr>
        <w:t>（</w:t>
      </w:r>
      <w:r>
        <w:rPr>
          <w:rFonts w:hint="eastAsia" w:ascii="宋体" w:hAnsi="宋体" w:cs="宋体"/>
          <w:b w:val="0"/>
          <w:bCs w:val="0"/>
          <w:color w:val="auto"/>
          <w:highlight w:val="none"/>
          <w:lang w:val="en-US" w:eastAsia="zh-CN"/>
        </w:rPr>
        <w:t>3</w:t>
      </w:r>
      <w:r>
        <w:rPr>
          <w:rFonts w:hint="eastAsia" w:ascii="宋体" w:hAnsi="宋体" w:eastAsia="宋体" w:cs="宋体"/>
          <w:b w:val="0"/>
          <w:bCs w:val="0"/>
          <w:color w:val="auto"/>
          <w:highlight w:val="none"/>
          <w:lang w:val="en-US" w:eastAsia="zh-CN"/>
        </w:rPr>
        <w:t>）</w:t>
      </w:r>
      <w:bookmarkStart w:id="61" w:name="OLE_LINK19"/>
      <w:r>
        <w:rPr>
          <w:rFonts w:hint="eastAsia" w:ascii="宋体" w:hAnsi="宋体" w:eastAsia="宋体" w:cs="宋体"/>
          <w:b w:val="0"/>
          <w:bCs w:val="0"/>
          <w:color w:val="auto"/>
          <w:highlight w:val="none"/>
        </w:rPr>
        <w:t>项目经理无在建承诺书</w:t>
      </w:r>
      <w:bookmarkEnd w:id="61"/>
      <w:r>
        <w:rPr>
          <w:rFonts w:hint="eastAsia" w:ascii="宋体" w:hAnsi="宋体" w:eastAsia="宋体" w:cs="宋体"/>
          <w:b w:val="0"/>
          <w:bCs w:val="0"/>
          <w:color w:val="auto"/>
          <w:highlight w:val="none"/>
        </w:rPr>
        <w:t>原件</w:t>
      </w:r>
      <w:r>
        <w:rPr>
          <w:rFonts w:hint="eastAsia" w:ascii="宋体" w:hAnsi="宋体" w:eastAsia="宋体" w:cs="宋体"/>
          <w:b/>
          <w:bCs/>
          <w:color w:val="auto"/>
          <w:highlight w:val="none"/>
        </w:rPr>
        <w:t>（格式见第</w:t>
      </w:r>
      <w:r>
        <w:rPr>
          <w:rFonts w:hint="eastAsia" w:ascii="宋体" w:hAnsi="宋体" w:eastAsia="宋体" w:cs="宋体"/>
          <w:b/>
          <w:bCs/>
          <w:color w:val="auto"/>
          <w:highlight w:val="none"/>
          <w:lang w:eastAsia="zh-CN"/>
        </w:rPr>
        <w:t>五</w:t>
      </w:r>
      <w:r>
        <w:rPr>
          <w:rFonts w:hint="eastAsia" w:ascii="宋体" w:hAnsi="宋体" w:eastAsia="宋体" w:cs="宋体"/>
          <w:b/>
          <w:bCs/>
          <w:color w:val="auto"/>
          <w:highlight w:val="none"/>
        </w:rPr>
        <w:t>章</w:t>
      </w:r>
      <w:r>
        <w:rPr>
          <w:rFonts w:hint="eastAsia" w:ascii="宋体" w:hAnsi="宋体" w:eastAsia="宋体" w:cs="宋体"/>
          <w:b/>
          <w:bCs/>
          <w:color w:val="auto"/>
          <w:highlight w:val="none"/>
          <w:lang w:eastAsia="zh-CN"/>
        </w:rPr>
        <w:t>）</w:t>
      </w:r>
      <w:r>
        <w:rPr>
          <w:rFonts w:hint="eastAsia" w:ascii="宋体" w:hAnsi="宋体" w:eastAsia="宋体" w:cs="宋体"/>
          <w:b/>
          <w:bCs/>
          <w:color w:val="auto"/>
          <w:kern w:val="0"/>
          <w:sz w:val="24"/>
          <w:highlight w:val="none"/>
        </w:rPr>
        <w:t>（</w:t>
      </w:r>
      <w:r>
        <w:rPr>
          <w:rFonts w:hint="eastAsia" w:ascii="宋体" w:hAnsi="宋体" w:cs="宋体"/>
          <w:b/>
          <w:color w:val="auto"/>
          <w:szCs w:val="21"/>
          <w:highlight w:val="none"/>
          <w:lang w:val="en-US" w:eastAsia="zh-CN"/>
        </w:rPr>
        <w:t>必须提供并加盖</w:t>
      </w:r>
      <w:r>
        <w:rPr>
          <w:rFonts w:hint="eastAsia" w:ascii="宋体" w:hAnsi="宋体" w:cs="宋体"/>
          <w:b/>
          <w:color w:val="auto"/>
          <w:szCs w:val="21"/>
          <w:highlight w:val="none"/>
        </w:rPr>
        <w:t>供应商</w:t>
      </w:r>
      <w:r>
        <w:rPr>
          <w:rFonts w:hint="eastAsia" w:ascii="宋体" w:hAnsi="宋体" w:cs="宋体"/>
          <w:b/>
          <w:color w:val="auto"/>
          <w:szCs w:val="21"/>
          <w:highlight w:val="none"/>
          <w:lang w:val="en-US" w:eastAsia="zh-CN"/>
        </w:rPr>
        <w:t>公</w:t>
      </w:r>
      <w:r>
        <w:rPr>
          <w:rFonts w:hint="eastAsia" w:ascii="宋体" w:hAnsi="宋体" w:cs="宋体"/>
          <w:b/>
          <w:color w:val="auto"/>
          <w:szCs w:val="21"/>
          <w:highlight w:val="none"/>
          <w:lang w:eastAsia="zh-CN"/>
        </w:rPr>
        <w:t>章</w:t>
      </w:r>
      <w:r>
        <w:rPr>
          <w:rFonts w:hint="eastAsia" w:ascii="宋体" w:hAnsi="宋体" w:cs="宋体"/>
          <w:b/>
          <w:color w:val="auto"/>
          <w:szCs w:val="21"/>
          <w:highlight w:val="none"/>
          <w:lang w:val="en-US" w:eastAsia="zh-CN"/>
        </w:rPr>
        <w:t>，否则响应文件按无效响应处理</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p>
    <w:p w14:paraId="26A7722C">
      <w:pPr>
        <w:keepNext w:val="0"/>
        <w:keepLines w:val="0"/>
        <w:pageBreakBefore w:val="0"/>
        <w:widowControl w:val="0"/>
        <w:numPr>
          <w:ilvl w:val="0"/>
          <w:numId w:val="0"/>
        </w:numPr>
        <w:shd w:val="clear" w:color="auto" w:fill="FFFFFF"/>
        <w:tabs>
          <w:tab w:val="left" w:pos="826"/>
        </w:tabs>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b/>
          <w:bCs/>
          <w:color w:val="auto"/>
          <w:highlight w:val="none"/>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）防城港市政府采购供应商信用承诺函（格式后附）；</w:t>
      </w:r>
      <w:r>
        <w:rPr>
          <w:rFonts w:hint="eastAsia" w:ascii="宋体" w:hAnsi="宋体" w:eastAsia="宋体" w:cs="宋体"/>
          <w:b/>
          <w:bCs/>
          <w:color w:val="auto"/>
          <w:highlight w:val="none"/>
          <w:lang w:val="en-US" w:eastAsia="zh-CN"/>
        </w:rPr>
        <w:t>（必须提供，否则响应文件作无效响应处理）</w:t>
      </w:r>
      <w:r>
        <w:rPr>
          <w:rFonts w:hint="eastAsia" w:ascii="宋体" w:hAnsi="宋体" w:eastAsia="宋体" w:cs="宋体"/>
          <w:b/>
          <w:bCs/>
          <w:color w:val="auto"/>
          <w:highlight w:val="none"/>
        </w:rPr>
        <w:t>；</w:t>
      </w:r>
    </w:p>
    <w:p w14:paraId="450375E3">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u w:val="none"/>
          <w:lang w:val="en-US" w:eastAsia="zh-CN"/>
        </w:rPr>
        <w:t>本项目为专门面向中小企业采购的项目。</w:t>
      </w:r>
      <w:r>
        <w:rPr>
          <w:rFonts w:hint="eastAsia" w:ascii="宋体" w:hAnsi="宋体" w:eastAsia="宋体" w:cs="宋体"/>
          <w:color w:val="auto"/>
          <w:szCs w:val="21"/>
          <w:highlight w:val="none"/>
          <w:lang w:val="en-US" w:eastAsia="zh-CN"/>
        </w:rPr>
        <w:t>供应商必须</w:t>
      </w:r>
      <w:r>
        <w:rPr>
          <w:rFonts w:hint="eastAsia" w:ascii="宋体" w:hAnsi="宋体" w:eastAsia="宋体" w:cs="宋体"/>
          <w:color w:val="auto"/>
          <w:szCs w:val="21"/>
          <w:highlight w:val="none"/>
          <w:lang w:eastAsia="zh-CN"/>
        </w:rPr>
        <w:t>提供中小企业声明函或者残疾人福利性单位声明函（格式后附）或者供应商属于监狱企业的需提供由省级以上监狱管理局、戒毒管理局（含新疆生产建设兵团）出具的属于监狱企业的证明文件</w:t>
      </w:r>
      <w:r>
        <w:rPr>
          <w:rFonts w:hint="eastAsia" w:ascii="宋体" w:hAnsi="宋体" w:cs="宋体"/>
          <w:color w:val="auto"/>
          <w:szCs w:val="21"/>
          <w:highlight w:val="none"/>
          <w:lang w:val="en-US" w:eastAsia="zh-CN"/>
        </w:rPr>
        <w:t>复印件</w:t>
      </w:r>
      <w:r>
        <w:rPr>
          <w:rFonts w:hint="eastAsia" w:ascii="宋体" w:hAnsi="宋体" w:eastAsia="宋体" w:cs="宋体"/>
          <w:b/>
          <w:bCs/>
          <w:color w:val="auto"/>
          <w:highlight w:val="none"/>
        </w:rPr>
        <w:t>（格式见第</w:t>
      </w:r>
      <w:r>
        <w:rPr>
          <w:rFonts w:hint="eastAsia" w:ascii="宋体" w:hAnsi="宋体" w:eastAsia="宋体" w:cs="宋体"/>
          <w:b/>
          <w:bCs/>
          <w:color w:val="auto"/>
          <w:highlight w:val="none"/>
          <w:lang w:eastAsia="zh-CN"/>
        </w:rPr>
        <w:t>五</w:t>
      </w:r>
      <w:r>
        <w:rPr>
          <w:rFonts w:hint="eastAsia" w:ascii="宋体" w:hAnsi="宋体" w:eastAsia="宋体" w:cs="宋体"/>
          <w:b/>
          <w:bCs/>
          <w:color w:val="auto"/>
          <w:highlight w:val="none"/>
        </w:rPr>
        <w:t>章</w:t>
      </w:r>
      <w:r>
        <w:rPr>
          <w:rFonts w:hint="eastAsia" w:ascii="宋体" w:hAnsi="宋体" w:eastAsia="宋体" w:cs="宋体"/>
          <w:b/>
          <w:bCs/>
          <w:color w:val="auto"/>
          <w:highlight w:val="none"/>
          <w:lang w:eastAsia="zh-CN"/>
        </w:rPr>
        <w:t>）</w:t>
      </w:r>
      <w:r>
        <w:rPr>
          <w:rFonts w:hint="eastAsia" w:ascii="宋体" w:hAnsi="宋体" w:eastAsia="宋体" w:cs="宋体"/>
          <w:b/>
          <w:bCs/>
          <w:color w:val="auto"/>
          <w:szCs w:val="21"/>
          <w:highlight w:val="none"/>
          <w:lang w:eastAsia="zh-CN"/>
        </w:rPr>
        <w:t>（</w:t>
      </w:r>
      <w:r>
        <w:rPr>
          <w:rFonts w:hint="eastAsia" w:ascii="宋体" w:hAnsi="宋体" w:cs="宋体"/>
          <w:b/>
          <w:color w:val="auto"/>
          <w:szCs w:val="21"/>
          <w:highlight w:val="none"/>
          <w:lang w:val="en-US" w:eastAsia="zh-CN"/>
        </w:rPr>
        <w:t>必须提供并加盖</w:t>
      </w:r>
      <w:r>
        <w:rPr>
          <w:rFonts w:hint="eastAsia" w:ascii="宋体" w:hAnsi="宋体" w:cs="宋体"/>
          <w:b/>
          <w:color w:val="auto"/>
          <w:szCs w:val="21"/>
          <w:highlight w:val="none"/>
        </w:rPr>
        <w:t>供应商</w:t>
      </w:r>
      <w:r>
        <w:rPr>
          <w:rFonts w:hint="eastAsia" w:ascii="宋体" w:hAnsi="宋体" w:cs="宋体"/>
          <w:b/>
          <w:color w:val="auto"/>
          <w:szCs w:val="21"/>
          <w:highlight w:val="none"/>
          <w:lang w:val="en-US" w:eastAsia="zh-CN"/>
        </w:rPr>
        <w:t>公</w:t>
      </w:r>
      <w:r>
        <w:rPr>
          <w:rFonts w:hint="eastAsia" w:ascii="宋体" w:hAnsi="宋体" w:cs="宋体"/>
          <w:b/>
          <w:color w:val="auto"/>
          <w:szCs w:val="21"/>
          <w:highlight w:val="none"/>
          <w:lang w:eastAsia="zh-CN"/>
        </w:rPr>
        <w:t>章</w:t>
      </w:r>
      <w:r>
        <w:rPr>
          <w:rFonts w:hint="eastAsia" w:ascii="宋体" w:hAnsi="宋体" w:cs="宋体"/>
          <w:b/>
          <w:color w:val="auto"/>
          <w:szCs w:val="21"/>
          <w:highlight w:val="none"/>
          <w:lang w:val="en-US" w:eastAsia="zh-CN"/>
        </w:rPr>
        <w:t>，否则响应文件按无效响应处理</w:t>
      </w:r>
      <w:r>
        <w:rPr>
          <w:rFonts w:hint="eastAsia" w:ascii="宋体" w:hAnsi="宋体" w:eastAsia="宋体" w:cs="宋体"/>
          <w:b/>
          <w:bCs/>
          <w:color w:val="auto"/>
          <w:szCs w:val="21"/>
          <w:highlight w:val="none"/>
          <w:lang w:eastAsia="zh-CN"/>
        </w:rPr>
        <w:t>）</w:t>
      </w:r>
      <w:r>
        <w:rPr>
          <w:rFonts w:hint="eastAsia" w:ascii="宋体" w:hAnsi="宋体" w:cs="宋体"/>
          <w:color w:val="auto"/>
          <w:szCs w:val="21"/>
          <w:highlight w:val="none"/>
          <w:lang w:eastAsia="zh-CN"/>
        </w:rPr>
        <w:t>；</w:t>
      </w:r>
    </w:p>
    <w:p w14:paraId="6DF9F57C">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color w:val="auto"/>
          <w:highlight w:val="none"/>
          <w:lang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rPr>
        <w:t>除</w:t>
      </w:r>
      <w:r>
        <w:rPr>
          <w:rFonts w:hint="eastAsia" w:ascii="宋体" w:hAnsi="宋体" w:cs="宋体"/>
          <w:color w:val="auto"/>
          <w:szCs w:val="21"/>
          <w:highlight w:val="none"/>
          <w:lang w:val="en-US" w:eastAsia="zh-CN"/>
        </w:rPr>
        <w:t>竞争性</w:t>
      </w:r>
      <w:r>
        <w:rPr>
          <w:rFonts w:hint="eastAsia" w:ascii="宋体" w:hAnsi="宋体" w:cs="宋体"/>
          <w:color w:val="auto"/>
          <w:szCs w:val="21"/>
          <w:highlight w:val="none"/>
        </w:rPr>
        <w:t>磋商文件规定必须提供以外，供应商认为需要提供的</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证明材料</w:t>
      </w:r>
      <w:r>
        <w:rPr>
          <w:rFonts w:hint="eastAsia" w:ascii="宋体" w:hAnsi="宋体" w:cs="宋体"/>
          <w:color w:val="auto"/>
          <w:szCs w:val="21"/>
          <w:highlight w:val="none"/>
          <w:lang w:eastAsia="zh-CN"/>
        </w:rPr>
        <w:t>。</w:t>
      </w:r>
    </w:p>
    <w:p w14:paraId="1A3753F1">
      <w:pPr>
        <w:keepNext w:val="0"/>
        <w:keepLines w:val="0"/>
        <w:pageBreakBefore w:val="0"/>
        <w:shd w:val="clear" w:color="auto" w:fill="FFFFFF"/>
        <w:kinsoku/>
        <w:wordWrap/>
        <w:overflowPunct/>
        <w:topLinePunct w:val="0"/>
        <w:autoSpaceDE/>
        <w:autoSpaceDN/>
        <w:bidi w:val="0"/>
        <w:spacing w:line="452" w:lineRule="exact"/>
        <w:ind w:firstLine="422" w:firstLineChars="200"/>
        <w:textAlignment w:val="auto"/>
        <w:rPr>
          <w:rFonts w:hint="eastAsia" w:ascii="宋体" w:hAnsi="宋体" w:eastAsia="宋体" w:cs="宋体"/>
          <w:b/>
          <w:bCs/>
          <w:color w:val="auto"/>
          <w:highlight w:val="none"/>
        </w:rPr>
      </w:pPr>
      <w:r>
        <w:rPr>
          <w:rFonts w:hint="eastAsia" w:ascii="宋体" w:hAnsi="宋体" w:cs="宋体"/>
          <w:b/>
          <w:bCs/>
          <w:color w:val="auto"/>
          <w:highlight w:val="none"/>
          <w:lang w:val="en-US" w:eastAsia="zh-CN"/>
        </w:rPr>
        <w:t>8</w:t>
      </w:r>
      <w:r>
        <w:rPr>
          <w:rFonts w:hint="eastAsia" w:ascii="宋体" w:hAnsi="宋体" w:eastAsia="宋体" w:cs="宋体"/>
          <w:b/>
          <w:bCs/>
          <w:color w:val="auto"/>
          <w:highlight w:val="none"/>
        </w:rPr>
        <w:t>.</w:t>
      </w:r>
      <w:r>
        <w:rPr>
          <w:rFonts w:hint="eastAsia" w:ascii="宋体" w:hAnsi="宋体" w:cs="宋体"/>
          <w:b/>
          <w:bCs/>
          <w:color w:val="auto"/>
          <w:highlight w:val="none"/>
          <w:lang w:val="en-US" w:eastAsia="zh-CN"/>
        </w:rPr>
        <w:t>7</w:t>
      </w:r>
      <w:r>
        <w:rPr>
          <w:rFonts w:hint="eastAsia" w:ascii="宋体" w:hAnsi="宋体" w:eastAsia="宋体" w:cs="宋体"/>
          <w:b/>
          <w:bCs/>
          <w:color w:val="auto"/>
          <w:highlight w:val="none"/>
        </w:rPr>
        <w:t>.2</w:t>
      </w:r>
      <w:r>
        <w:rPr>
          <w:rFonts w:hint="eastAsia" w:ascii="宋体" w:hAnsi="宋体" w:cs="宋体"/>
          <w:b/>
          <w:bCs/>
          <w:color w:val="auto"/>
          <w:szCs w:val="21"/>
          <w:highlight w:val="none"/>
          <w:lang w:val="en-US" w:eastAsia="zh-CN"/>
        </w:rPr>
        <w:t>报价</w:t>
      </w:r>
      <w:r>
        <w:rPr>
          <w:rFonts w:hint="eastAsia" w:ascii="宋体" w:hAnsi="宋体" w:eastAsia="宋体" w:cs="宋体"/>
          <w:b/>
          <w:bCs/>
          <w:color w:val="auto"/>
          <w:szCs w:val="21"/>
          <w:highlight w:val="none"/>
        </w:rPr>
        <w:t>文件</w:t>
      </w:r>
    </w:p>
    <w:p w14:paraId="1E3E48FA">
      <w:pPr>
        <w:keepNext w:val="0"/>
        <w:keepLines w:val="0"/>
        <w:pageBreakBefore w:val="0"/>
        <w:kinsoku/>
        <w:wordWrap/>
        <w:overflowPunct/>
        <w:topLinePunct w:val="0"/>
        <w:autoSpaceDE/>
        <w:autoSpaceDN/>
        <w:bidi w:val="0"/>
        <w:spacing w:line="452"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1</w:t>
      </w:r>
      <w:r>
        <w:rPr>
          <w:rFonts w:hint="eastAsia" w:ascii="宋体" w:hAnsi="宋体" w:eastAsia="宋体" w:cs="宋体"/>
          <w:color w:val="auto"/>
          <w:highlight w:val="none"/>
        </w:rPr>
        <w:t>）磋商函</w:t>
      </w:r>
      <w:r>
        <w:rPr>
          <w:rFonts w:hint="eastAsia" w:ascii="宋体" w:hAnsi="宋体" w:eastAsia="宋体" w:cs="宋体"/>
          <w:b/>
          <w:bCs/>
          <w:color w:val="auto"/>
          <w:highlight w:val="none"/>
        </w:rPr>
        <w:t>（格式见第</w:t>
      </w:r>
      <w:r>
        <w:rPr>
          <w:rFonts w:hint="eastAsia" w:ascii="宋体" w:hAnsi="宋体" w:eastAsia="宋体" w:cs="宋体"/>
          <w:b/>
          <w:bCs/>
          <w:color w:val="auto"/>
          <w:highlight w:val="none"/>
          <w:lang w:eastAsia="zh-CN"/>
        </w:rPr>
        <w:t>五</w:t>
      </w:r>
      <w:r>
        <w:rPr>
          <w:rFonts w:hint="eastAsia" w:ascii="宋体" w:hAnsi="宋体" w:eastAsia="宋体" w:cs="宋体"/>
          <w:b/>
          <w:bCs/>
          <w:color w:val="auto"/>
          <w:highlight w:val="none"/>
        </w:rPr>
        <w:t>章</w:t>
      </w:r>
      <w:r>
        <w:rPr>
          <w:rFonts w:hint="eastAsia" w:ascii="宋体" w:hAnsi="宋体" w:eastAsia="宋体" w:cs="宋体"/>
          <w:b/>
          <w:bCs/>
          <w:color w:val="auto"/>
          <w:highlight w:val="none"/>
          <w:lang w:eastAsia="zh-CN"/>
        </w:rPr>
        <w:t>）</w:t>
      </w:r>
      <w:r>
        <w:rPr>
          <w:rFonts w:hint="eastAsia" w:ascii="宋体" w:hAnsi="宋体" w:eastAsia="宋体" w:cs="宋体"/>
          <w:b/>
          <w:bCs/>
          <w:color w:val="auto"/>
          <w:kern w:val="0"/>
          <w:sz w:val="24"/>
          <w:highlight w:val="none"/>
        </w:rPr>
        <w:t>（</w:t>
      </w:r>
      <w:r>
        <w:rPr>
          <w:rFonts w:hint="eastAsia" w:ascii="宋体" w:hAnsi="宋体" w:cs="宋体"/>
          <w:b/>
          <w:color w:val="auto"/>
          <w:szCs w:val="21"/>
          <w:highlight w:val="none"/>
          <w:lang w:val="en-US" w:eastAsia="zh-CN"/>
        </w:rPr>
        <w:t>必须提供并加盖</w:t>
      </w:r>
      <w:r>
        <w:rPr>
          <w:rFonts w:hint="eastAsia" w:ascii="宋体" w:hAnsi="宋体" w:cs="宋体"/>
          <w:b/>
          <w:color w:val="auto"/>
          <w:szCs w:val="21"/>
          <w:highlight w:val="none"/>
        </w:rPr>
        <w:t>供应商</w:t>
      </w:r>
      <w:r>
        <w:rPr>
          <w:rFonts w:hint="eastAsia" w:ascii="宋体" w:hAnsi="宋体" w:cs="宋体"/>
          <w:b/>
          <w:color w:val="auto"/>
          <w:szCs w:val="21"/>
          <w:highlight w:val="none"/>
          <w:lang w:val="en-US" w:eastAsia="zh-CN"/>
        </w:rPr>
        <w:t>公</w:t>
      </w:r>
      <w:r>
        <w:rPr>
          <w:rFonts w:hint="eastAsia" w:ascii="宋体" w:hAnsi="宋体" w:cs="宋体"/>
          <w:b/>
          <w:color w:val="auto"/>
          <w:szCs w:val="21"/>
          <w:highlight w:val="none"/>
          <w:lang w:eastAsia="zh-CN"/>
        </w:rPr>
        <w:t>章</w:t>
      </w:r>
      <w:r>
        <w:rPr>
          <w:rFonts w:hint="eastAsia" w:ascii="宋体" w:hAnsi="宋体" w:cs="宋体"/>
          <w:b/>
          <w:color w:val="auto"/>
          <w:szCs w:val="21"/>
          <w:highlight w:val="none"/>
          <w:lang w:val="en-US" w:eastAsia="zh-CN"/>
        </w:rPr>
        <w:t>，否则响应文件按无效响应处理</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p>
    <w:p w14:paraId="725354E8">
      <w:pPr>
        <w:keepNext w:val="0"/>
        <w:keepLines w:val="0"/>
        <w:pageBreakBefore w:val="0"/>
        <w:shd w:val="clear" w:color="auto" w:fill="FFFFFF"/>
        <w:kinsoku/>
        <w:wordWrap/>
        <w:overflowPunct/>
        <w:topLinePunct w:val="0"/>
        <w:autoSpaceDE/>
        <w:autoSpaceDN/>
        <w:bidi w:val="0"/>
        <w:spacing w:line="452" w:lineRule="exact"/>
        <w:ind w:firstLine="420" w:firstLineChars="200"/>
        <w:textAlignment w:val="auto"/>
        <w:rPr>
          <w:rFonts w:hint="eastAsia" w:ascii="宋体" w:hAnsi="宋体" w:eastAsia="宋体" w:cs="宋体"/>
          <w:b/>
          <w:bCs/>
          <w:color w:val="auto"/>
          <w:highlight w:val="none"/>
          <w:lang w:eastAsia="zh-CN"/>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2</w:t>
      </w:r>
      <w:r>
        <w:rPr>
          <w:rFonts w:hint="eastAsia" w:ascii="宋体" w:hAnsi="宋体" w:eastAsia="宋体" w:cs="宋体"/>
          <w:color w:val="auto"/>
          <w:highlight w:val="none"/>
        </w:rPr>
        <w:t>）</w:t>
      </w:r>
      <w:bookmarkStart w:id="62" w:name="OLE_LINK20"/>
      <w:r>
        <w:rPr>
          <w:rFonts w:hint="eastAsia" w:ascii="宋体" w:hAnsi="宋体" w:eastAsia="宋体" w:cs="宋体"/>
          <w:color w:val="auto"/>
          <w:highlight w:val="none"/>
        </w:rPr>
        <w:t>已标价工程量清单</w:t>
      </w:r>
      <w:bookmarkEnd w:id="62"/>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部分</w:t>
      </w:r>
      <w:r>
        <w:rPr>
          <w:rFonts w:hint="eastAsia" w:ascii="宋体" w:hAnsi="宋体" w:eastAsia="宋体" w:cs="宋体"/>
          <w:b/>
          <w:bCs/>
          <w:color w:val="auto"/>
          <w:highlight w:val="none"/>
        </w:rPr>
        <w:t>格式见第</w:t>
      </w:r>
      <w:r>
        <w:rPr>
          <w:rFonts w:hint="eastAsia" w:ascii="宋体" w:hAnsi="宋体" w:eastAsia="宋体" w:cs="宋体"/>
          <w:b/>
          <w:bCs/>
          <w:color w:val="auto"/>
          <w:highlight w:val="none"/>
          <w:lang w:eastAsia="zh-CN"/>
        </w:rPr>
        <w:t>五</w:t>
      </w:r>
      <w:r>
        <w:rPr>
          <w:rFonts w:hint="eastAsia" w:ascii="宋体" w:hAnsi="宋体" w:eastAsia="宋体" w:cs="宋体"/>
          <w:b/>
          <w:bCs/>
          <w:color w:val="auto"/>
          <w:highlight w:val="none"/>
        </w:rPr>
        <w:t>章</w:t>
      </w:r>
      <w:r>
        <w:rPr>
          <w:rFonts w:hint="eastAsia" w:ascii="宋体" w:hAnsi="宋体" w:eastAsia="宋体" w:cs="宋体"/>
          <w:b/>
          <w:bCs/>
          <w:color w:val="auto"/>
          <w:highlight w:val="none"/>
          <w:lang w:eastAsia="zh-CN"/>
        </w:rPr>
        <w:t>）</w:t>
      </w:r>
      <w:r>
        <w:rPr>
          <w:rFonts w:hint="eastAsia" w:ascii="宋体" w:hAnsi="宋体" w:eastAsia="宋体" w:cs="宋体"/>
          <w:b/>
          <w:bCs/>
          <w:color w:val="auto"/>
          <w:kern w:val="0"/>
          <w:sz w:val="24"/>
          <w:highlight w:val="none"/>
        </w:rPr>
        <w:t>（</w:t>
      </w:r>
      <w:r>
        <w:rPr>
          <w:rFonts w:hint="eastAsia" w:ascii="宋体" w:hAnsi="宋体" w:cs="宋体"/>
          <w:b/>
          <w:color w:val="auto"/>
          <w:szCs w:val="21"/>
          <w:highlight w:val="none"/>
          <w:lang w:val="en-US" w:eastAsia="zh-CN"/>
        </w:rPr>
        <w:t>必须提供并加盖</w:t>
      </w:r>
      <w:r>
        <w:rPr>
          <w:rFonts w:hint="eastAsia" w:ascii="宋体" w:hAnsi="宋体" w:cs="宋体"/>
          <w:b/>
          <w:color w:val="auto"/>
          <w:szCs w:val="21"/>
          <w:highlight w:val="none"/>
        </w:rPr>
        <w:t>供应商</w:t>
      </w:r>
      <w:r>
        <w:rPr>
          <w:rFonts w:hint="eastAsia" w:ascii="宋体" w:hAnsi="宋体" w:cs="宋体"/>
          <w:b/>
          <w:color w:val="auto"/>
          <w:szCs w:val="21"/>
          <w:highlight w:val="none"/>
          <w:lang w:val="en-US" w:eastAsia="zh-CN"/>
        </w:rPr>
        <w:t>公</w:t>
      </w:r>
      <w:r>
        <w:rPr>
          <w:rFonts w:hint="eastAsia" w:ascii="宋体" w:hAnsi="宋体" w:cs="宋体"/>
          <w:b/>
          <w:color w:val="auto"/>
          <w:szCs w:val="21"/>
          <w:highlight w:val="none"/>
          <w:lang w:eastAsia="zh-CN"/>
        </w:rPr>
        <w:t>章</w:t>
      </w:r>
      <w:r>
        <w:rPr>
          <w:rFonts w:hint="eastAsia" w:ascii="宋体" w:hAnsi="宋体" w:cs="宋体"/>
          <w:b/>
          <w:color w:val="auto"/>
          <w:szCs w:val="21"/>
          <w:highlight w:val="none"/>
          <w:lang w:val="en-US" w:eastAsia="zh-CN"/>
        </w:rPr>
        <w:t>，否则响应文件按无效响应处理</w:t>
      </w:r>
      <w:r>
        <w:rPr>
          <w:rFonts w:hint="eastAsia" w:ascii="宋体" w:hAnsi="宋体" w:eastAsia="宋体" w:cs="宋体"/>
          <w:b/>
          <w:bCs/>
          <w:color w:val="auto"/>
          <w:szCs w:val="21"/>
          <w:highlight w:val="none"/>
        </w:rPr>
        <w:t>）</w:t>
      </w:r>
      <w:r>
        <w:rPr>
          <w:rFonts w:hint="eastAsia" w:ascii="宋体" w:hAnsi="宋体" w:cs="宋体"/>
          <w:b/>
          <w:bCs/>
          <w:color w:val="auto"/>
          <w:highlight w:val="none"/>
          <w:lang w:eastAsia="zh-CN"/>
        </w:rPr>
        <w:t>；</w:t>
      </w:r>
    </w:p>
    <w:p w14:paraId="5609081F">
      <w:pPr>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竞</w:t>
      </w:r>
      <w:r>
        <w:rPr>
          <w:rFonts w:hint="eastAsia" w:ascii="宋体" w:hAnsi="宋体" w:eastAsia="宋体" w:cs="宋体"/>
          <w:color w:val="auto"/>
          <w:highlight w:val="none"/>
        </w:rPr>
        <w:t>标报价表</w:t>
      </w:r>
      <w:r>
        <w:rPr>
          <w:rFonts w:hint="eastAsia" w:ascii="宋体" w:hAnsi="宋体" w:eastAsia="宋体" w:cs="宋体"/>
          <w:b/>
          <w:bCs/>
          <w:color w:val="auto"/>
          <w:highlight w:val="none"/>
        </w:rPr>
        <w:t>（格式见第</w:t>
      </w:r>
      <w:r>
        <w:rPr>
          <w:rFonts w:hint="eastAsia" w:ascii="宋体" w:hAnsi="宋体" w:eastAsia="宋体" w:cs="宋体"/>
          <w:b/>
          <w:bCs/>
          <w:color w:val="auto"/>
          <w:highlight w:val="none"/>
          <w:lang w:eastAsia="zh-CN"/>
        </w:rPr>
        <w:t>五</w:t>
      </w:r>
      <w:r>
        <w:rPr>
          <w:rFonts w:hint="eastAsia" w:ascii="宋体" w:hAnsi="宋体" w:eastAsia="宋体" w:cs="宋体"/>
          <w:b/>
          <w:bCs/>
          <w:color w:val="auto"/>
          <w:highlight w:val="none"/>
        </w:rPr>
        <w:t>章</w:t>
      </w:r>
      <w:r>
        <w:rPr>
          <w:rFonts w:hint="eastAsia" w:ascii="宋体" w:hAnsi="宋体" w:eastAsia="宋体" w:cs="宋体"/>
          <w:b/>
          <w:bCs/>
          <w:color w:val="auto"/>
          <w:highlight w:val="none"/>
          <w:lang w:eastAsia="zh-CN"/>
        </w:rPr>
        <w:t>）</w:t>
      </w:r>
      <w:r>
        <w:rPr>
          <w:rFonts w:hint="eastAsia" w:ascii="宋体" w:hAnsi="宋体" w:eastAsia="宋体" w:cs="宋体"/>
          <w:b/>
          <w:bCs/>
          <w:color w:val="auto"/>
          <w:kern w:val="0"/>
          <w:sz w:val="24"/>
          <w:highlight w:val="none"/>
        </w:rPr>
        <w:t>（</w:t>
      </w:r>
      <w:r>
        <w:rPr>
          <w:rFonts w:hint="eastAsia" w:ascii="宋体" w:hAnsi="宋体" w:cs="宋体"/>
          <w:b/>
          <w:color w:val="auto"/>
          <w:szCs w:val="21"/>
          <w:highlight w:val="none"/>
          <w:lang w:val="en-US" w:eastAsia="zh-CN"/>
        </w:rPr>
        <w:t>必须提供并加盖</w:t>
      </w:r>
      <w:r>
        <w:rPr>
          <w:rFonts w:hint="eastAsia" w:ascii="宋体" w:hAnsi="宋体" w:cs="宋体"/>
          <w:b/>
          <w:color w:val="auto"/>
          <w:szCs w:val="21"/>
          <w:highlight w:val="none"/>
        </w:rPr>
        <w:t>供应商</w:t>
      </w:r>
      <w:r>
        <w:rPr>
          <w:rFonts w:hint="eastAsia" w:ascii="宋体" w:hAnsi="宋体" w:cs="宋体"/>
          <w:b/>
          <w:color w:val="auto"/>
          <w:szCs w:val="21"/>
          <w:highlight w:val="none"/>
          <w:lang w:val="en-US" w:eastAsia="zh-CN"/>
        </w:rPr>
        <w:t>公</w:t>
      </w:r>
      <w:r>
        <w:rPr>
          <w:rFonts w:hint="eastAsia" w:ascii="宋体" w:hAnsi="宋体" w:cs="宋体"/>
          <w:b/>
          <w:color w:val="auto"/>
          <w:szCs w:val="21"/>
          <w:highlight w:val="none"/>
          <w:lang w:eastAsia="zh-CN"/>
        </w:rPr>
        <w:t>章</w:t>
      </w:r>
      <w:r>
        <w:rPr>
          <w:rFonts w:hint="eastAsia" w:ascii="宋体" w:hAnsi="宋体" w:cs="宋体"/>
          <w:b/>
          <w:color w:val="auto"/>
          <w:szCs w:val="21"/>
          <w:highlight w:val="none"/>
          <w:lang w:val="en-US" w:eastAsia="zh-CN"/>
        </w:rPr>
        <w:t>，否则响应文件按无效响应处理</w:t>
      </w:r>
      <w:r>
        <w:rPr>
          <w:rFonts w:hint="eastAsia" w:ascii="宋体" w:hAnsi="宋体" w:eastAsia="宋体" w:cs="宋体"/>
          <w:b/>
          <w:bCs/>
          <w:color w:val="auto"/>
          <w:szCs w:val="21"/>
          <w:highlight w:val="none"/>
        </w:rPr>
        <w:t>）</w:t>
      </w:r>
      <w:r>
        <w:rPr>
          <w:rFonts w:hint="eastAsia" w:ascii="宋体" w:hAnsi="宋体" w:cs="宋体"/>
          <w:b/>
          <w:bCs/>
          <w:color w:val="auto"/>
          <w:highlight w:val="none"/>
          <w:lang w:eastAsia="zh-CN"/>
        </w:rPr>
        <w:t>；</w:t>
      </w:r>
    </w:p>
    <w:p w14:paraId="1F7B6EBB">
      <w:pPr>
        <w:keepNext w:val="0"/>
        <w:keepLines w:val="0"/>
        <w:pageBreakBefore w:val="0"/>
        <w:widowControl w:val="0"/>
        <w:kinsoku/>
        <w:wordWrap/>
        <w:overflowPunct/>
        <w:topLinePunct w:val="0"/>
        <w:autoSpaceDE/>
        <w:autoSpaceDN/>
        <w:bidi w:val="0"/>
        <w:adjustRightInd/>
        <w:spacing w:line="452" w:lineRule="exact"/>
        <w:ind w:firstLine="420" w:firstLineChars="200"/>
        <w:textAlignment w:val="auto"/>
        <w:rPr>
          <w:rFonts w:hint="eastAsia"/>
          <w:color w:val="auto"/>
          <w:highlight w:val="none"/>
          <w:lang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rPr>
        <w:t>除</w:t>
      </w:r>
      <w:r>
        <w:rPr>
          <w:rFonts w:hint="eastAsia" w:ascii="宋体" w:hAnsi="宋体" w:cs="宋体"/>
          <w:color w:val="auto"/>
          <w:szCs w:val="21"/>
          <w:highlight w:val="none"/>
          <w:lang w:val="en-US" w:eastAsia="zh-CN"/>
        </w:rPr>
        <w:t>竞争性</w:t>
      </w:r>
      <w:r>
        <w:rPr>
          <w:rFonts w:hint="eastAsia" w:ascii="宋体" w:hAnsi="宋体" w:cs="宋体"/>
          <w:color w:val="auto"/>
          <w:szCs w:val="21"/>
          <w:highlight w:val="none"/>
        </w:rPr>
        <w:t>磋商文件规定必须提供以外，供应商认为需要提供的</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证明材料</w:t>
      </w:r>
      <w:r>
        <w:rPr>
          <w:rFonts w:hint="eastAsia" w:ascii="宋体" w:hAnsi="宋体" w:cs="宋体"/>
          <w:color w:val="auto"/>
          <w:szCs w:val="21"/>
          <w:highlight w:val="none"/>
          <w:lang w:eastAsia="zh-CN"/>
        </w:rPr>
        <w:t>。</w:t>
      </w:r>
    </w:p>
    <w:p w14:paraId="7F52998F">
      <w:pPr>
        <w:keepNext w:val="0"/>
        <w:keepLines w:val="0"/>
        <w:pageBreakBefore w:val="0"/>
        <w:shd w:val="clear" w:color="auto" w:fill="FFFFFF"/>
        <w:kinsoku/>
        <w:wordWrap/>
        <w:overflowPunct/>
        <w:topLinePunct w:val="0"/>
        <w:autoSpaceDE/>
        <w:autoSpaceDN/>
        <w:bidi w:val="0"/>
        <w:spacing w:line="452" w:lineRule="exact"/>
        <w:ind w:firstLine="422" w:firstLineChars="200"/>
        <w:textAlignment w:val="auto"/>
        <w:rPr>
          <w:rFonts w:hint="eastAsia" w:ascii="宋体" w:hAnsi="宋体" w:eastAsia="宋体" w:cs="宋体"/>
          <w:b/>
          <w:bCs/>
          <w:color w:val="auto"/>
          <w:highlight w:val="none"/>
        </w:rPr>
      </w:pPr>
      <w:r>
        <w:rPr>
          <w:rFonts w:hint="eastAsia" w:ascii="宋体" w:hAnsi="宋体" w:cs="宋体"/>
          <w:b/>
          <w:bCs/>
          <w:color w:val="auto"/>
          <w:highlight w:val="none"/>
          <w:lang w:val="en-US" w:eastAsia="zh-CN"/>
        </w:rPr>
        <w:t>8</w:t>
      </w:r>
      <w:r>
        <w:rPr>
          <w:rFonts w:hint="eastAsia" w:ascii="宋体" w:hAnsi="宋体" w:eastAsia="宋体" w:cs="宋体"/>
          <w:b/>
          <w:bCs/>
          <w:color w:val="auto"/>
          <w:highlight w:val="none"/>
        </w:rPr>
        <w:t>.</w:t>
      </w:r>
      <w:r>
        <w:rPr>
          <w:rFonts w:hint="eastAsia" w:ascii="宋体" w:hAnsi="宋体" w:cs="宋体"/>
          <w:b/>
          <w:bCs/>
          <w:color w:val="auto"/>
          <w:highlight w:val="none"/>
          <w:lang w:val="en-US" w:eastAsia="zh-CN"/>
        </w:rPr>
        <w:t>7</w:t>
      </w:r>
      <w:r>
        <w:rPr>
          <w:rFonts w:hint="eastAsia" w:ascii="宋体" w:hAnsi="宋体" w:eastAsia="宋体" w:cs="宋体"/>
          <w:b/>
          <w:bCs/>
          <w:color w:val="auto"/>
          <w:highlight w:val="none"/>
        </w:rPr>
        <w:t>.3</w:t>
      </w:r>
      <w:r>
        <w:rPr>
          <w:rFonts w:hint="eastAsia" w:ascii="宋体" w:hAnsi="宋体" w:cs="宋体"/>
          <w:b/>
          <w:bCs/>
          <w:color w:val="auto"/>
          <w:highlight w:val="none"/>
          <w:lang w:val="en-US" w:eastAsia="zh-CN"/>
        </w:rPr>
        <w:t>商务</w:t>
      </w:r>
      <w:r>
        <w:rPr>
          <w:rFonts w:hint="eastAsia" w:ascii="宋体" w:hAnsi="宋体" w:eastAsia="宋体" w:cs="宋体"/>
          <w:b/>
          <w:bCs/>
          <w:color w:val="auto"/>
          <w:highlight w:val="none"/>
        </w:rPr>
        <w:t>技术标文件</w:t>
      </w:r>
    </w:p>
    <w:p w14:paraId="69804ECF">
      <w:pPr>
        <w:keepNext w:val="0"/>
        <w:keepLines w:val="0"/>
        <w:pageBreakBefore w:val="0"/>
        <w:widowControl w:val="0"/>
        <w:numPr>
          <w:ilvl w:val="0"/>
          <w:numId w:val="0"/>
        </w:numPr>
        <w:shd w:val="clear" w:color="auto" w:fill="FFFFFF"/>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法定代表人身份证明书及法定代表人有效身份证正反面复印件</w:t>
      </w:r>
      <w:r>
        <w:rPr>
          <w:rFonts w:hint="eastAsia" w:ascii="宋体" w:hAnsi="宋体" w:eastAsia="宋体" w:cs="宋体"/>
          <w:b/>
          <w:bCs/>
          <w:color w:val="auto"/>
          <w:highlight w:val="none"/>
        </w:rPr>
        <w:t>（格式见第</w:t>
      </w:r>
      <w:r>
        <w:rPr>
          <w:rFonts w:hint="eastAsia" w:ascii="宋体" w:hAnsi="宋体" w:eastAsia="宋体" w:cs="宋体"/>
          <w:b/>
          <w:bCs/>
          <w:color w:val="auto"/>
          <w:highlight w:val="none"/>
          <w:lang w:eastAsia="zh-CN"/>
        </w:rPr>
        <w:t>五</w:t>
      </w:r>
      <w:r>
        <w:rPr>
          <w:rFonts w:hint="eastAsia" w:ascii="宋体" w:hAnsi="宋体" w:eastAsia="宋体" w:cs="宋体"/>
          <w:b/>
          <w:bCs/>
          <w:color w:val="auto"/>
          <w:highlight w:val="none"/>
        </w:rPr>
        <w:t>章</w:t>
      </w:r>
      <w:r>
        <w:rPr>
          <w:rFonts w:hint="eastAsia" w:ascii="宋体" w:hAnsi="宋体" w:eastAsia="宋体" w:cs="宋体"/>
          <w:b/>
          <w:bCs/>
          <w:color w:val="auto"/>
          <w:highlight w:val="none"/>
          <w:lang w:eastAsia="zh-CN"/>
        </w:rPr>
        <w:t>）</w:t>
      </w:r>
      <w:r>
        <w:rPr>
          <w:rFonts w:hint="eastAsia" w:ascii="宋体" w:hAnsi="宋体" w:eastAsia="宋体" w:cs="宋体"/>
          <w:b/>
          <w:bCs/>
          <w:color w:val="auto"/>
          <w:szCs w:val="21"/>
          <w:highlight w:val="none"/>
        </w:rPr>
        <w:t>（</w:t>
      </w:r>
      <w:r>
        <w:rPr>
          <w:rFonts w:hint="eastAsia" w:ascii="宋体" w:hAnsi="宋体" w:cs="宋体"/>
          <w:b/>
          <w:color w:val="auto"/>
          <w:szCs w:val="21"/>
          <w:highlight w:val="none"/>
          <w:lang w:val="en-US" w:eastAsia="zh-CN"/>
        </w:rPr>
        <w:t>必须提供并加盖</w:t>
      </w:r>
      <w:r>
        <w:rPr>
          <w:rFonts w:hint="eastAsia" w:ascii="宋体" w:hAnsi="宋体" w:cs="宋体"/>
          <w:b/>
          <w:color w:val="auto"/>
          <w:szCs w:val="21"/>
          <w:highlight w:val="none"/>
        </w:rPr>
        <w:t>供应商</w:t>
      </w:r>
      <w:r>
        <w:rPr>
          <w:rFonts w:hint="eastAsia" w:ascii="宋体" w:hAnsi="宋体" w:cs="宋体"/>
          <w:b/>
          <w:color w:val="auto"/>
          <w:szCs w:val="21"/>
          <w:highlight w:val="none"/>
          <w:lang w:val="en-US" w:eastAsia="zh-CN"/>
        </w:rPr>
        <w:t>公</w:t>
      </w:r>
      <w:r>
        <w:rPr>
          <w:rFonts w:hint="eastAsia" w:ascii="宋体" w:hAnsi="宋体" w:cs="宋体"/>
          <w:b/>
          <w:color w:val="auto"/>
          <w:szCs w:val="21"/>
          <w:highlight w:val="none"/>
          <w:lang w:eastAsia="zh-CN"/>
        </w:rPr>
        <w:t>章</w:t>
      </w:r>
      <w:r>
        <w:rPr>
          <w:rFonts w:hint="eastAsia" w:ascii="宋体" w:hAnsi="宋体" w:cs="宋体"/>
          <w:b/>
          <w:color w:val="auto"/>
          <w:szCs w:val="21"/>
          <w:highlight w:val="none"/>
          <w:lang w:val="en-US" w:eastAsia="zh-CN"/>
        </w:rPr>
        <w:t>，否则响应文件按无效响应处理</w:t>
      </w:r>
      <w:r>
        <w:rPr>
          <w:rFonts w:hint="eastAsia" w:ascii="宋体" w:hAnsi="宋体" w:eastAsia="宋体" w:cs="宋体"/>
          <w:b/>
          <w:bCs/>
          <w:color w:val="auto"/>
          <w:szCs w:val="21"/>
          <w:highlight w:val="none"/>
        </w:rPr>
        <w:t>）；</w:t>
      </w:r>
    </w:p>
    <w:p w14:paraId="1AF566BB">
      <w:pPr>
        <w:keepNext w:val="0"/>
        <w:keepLines w:val="0"/>
        <w:pageBreakBefore w:val="0"/>
        <w:widowControl w:val="0"/>
        <w:numPr>
          <w:ilvl w:val="0"/>
          <w:numId w:val="0"/>
        </w:numPr>
        <w:shd w:val="clear" w:color="auto" w:fill="FFFFFF"/>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授</w:t>
      </w:r>
      <w:bookmarkStart w:id="63" w:name="OLE_LINK11"/>
      <w:r>
        <w:rPr>
          <w:rFonts w:hint="eastAsia" w:ascii="宋体" w:hAnsi="宋体" w:eastAsia="宋体" w:cs="宋体"/>
          <w:color w:val="auto"/>
          <w:highlight w:val="none"/>
        </w:rPr>
        <w:t>权委托书及代理人有效身份证</w:t>
      </w:r>
      <w:bookmarkEnd w:id="63"/>
      <w:r>
        <w:rPr>
          <w:rFonts w:hint="eastAsia" w:ascii="宋体" w:hAnsi="宋体" w:eastAsia="宋体" w:cs="宋体"/>
          <w:color w:val="auto"/>
          <w:highlight w:val="none"/>
        </w:rPr>
        <w:t>正反面复印件（如有委托）</w:t>
      </w:r>
      <w:r>
        <w:rPr>
          <w:rFonts w:hint="eastAsia" w:ascii="宋体" w:hAnsi="宋体" w:eastAsia="宋体" w:cs="宋体"/>
          <w:b/>
          <w:bCs/>
          <w:color w:val="auto"/>
          <w:highlight w:val="none"/>
        </w:rPr>
        <w:t>（格式见第</w:t>
      </w:r>
      <w:r>
        <w:rPr>
          <w:rFonts w:hint="eastAsia" w:ascii="宋体" w:hAnsi="宋体" w:eastAsia="宋体" w:cs="宋体"/>
          <w:b/>
          <w:bCs/>
          <w:color w:val="auto"/>
          <w:highlight w:val="none"/>
          <w:lang w:eastAsia="zh-CN"/>
        </w:rPr>
        <w:t>五</w:t>
      </w:r>
      <w:r>
        <w:rPr>
          <w:rFonts w:hint="eastAsia" w:ascii="宋体" w:hAnsi="宋体" w:eastAsia="宋体" w:cs="宋体"/>
          <w:b/>
          <w:bCs/>
          <w:color w:val="auto"/>
          <w:highlight w:val="none"/>
        </w:rPr>
        <w:t>章</w:t>
      </w:r>
      <w:r>
        <w:rPr>
          <w:rFonts w:hint="eastAsia" w:ascii="宋体" w:hAnsi="宋体" w:eastAsia="宋体" w:cs="宋体"/>
          <w:b/>
          <w:bCs/>
          <w:color w:val="auto"/>
          <w:highlight w:val="none"/>
          <w:lang w:eastAsia="zh-CN"/>
        </w:rPr>
        <w:t>）</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委托时</w:t>
      </w:r>
      <w:r>
        <w:rPr>
          <w:rFonts w:hint="eastAsia" w:ascii="宋体" w:hAnsi="宋体" w:cs="宋体"/>
          <w:b/>
          <w:color w:val="auto"/>
          <w:szCs w:val="21"/>
          <w:highlight w:val="none"/>
          <w:lang w:val="en-US" w:eastAsia="zh-CN"/>
        </w:rPr>
        <w:t>必须提供，授权委托书</w:t>
      </w:r>
      <w:r>
        <w:rPr>
          <w:rFonts w:hint="eastAsia" w:ascii="宋体" w:hAnsi="宋体" w:cs="宋体"/>
          <w:b/>
          <w:color w:val="auto"/>
          <w:szCs w:val="21"/>
          <w:highlight w:val="none"/>
        </w:rPr>
        <w:t>由法定代表人及</w:t>
      </w:r>
      <w:r>
        <w:rPr>
          <w:rFonts w:hint="eastAsia" w:ascii="宋体" w:hAnsi="宋体" w:cs="宋体"/>
          <w:b/>
          <w:color w:val="auto"/>
          <w:szCs w:val="21"/>
          <w:highlight w:val="none"/>
          <w:lang w:eastAsia="zh-CN"/>
        </w:rPr>
        <w:t>其</w:t>
      </w:r>
      <w:r>
        <w:rPr>
          <w:rFonts w:hint="eastAsia" w:ascii="宋体" w:hAnsi="宋体" w:cs="宋体"/>
          <w:b/>
          <w:color w:val="auto"/>
          <w:szCs w:val="21"/>
          <w:highlight w:val="none"/>
        </w:rPr>
        <w:t>委托代理人签字，并加盖供应商</w:t>
      </w:r>
      <w:r>
        <w:rPr>
          <w:rFonts w:hint="eastAsia" w:ascii="宋体" w:hAnsi="宋体" w:cs="宋体"/>
          <w:b/>
          <w:color w:val="auto"/>
          <w:szCs w:val="21"/>
          <w:highlight w:val="none"/>
          <w:lang w:val="en-US" w:eastAsia="zh-CN"/>
        </w:rPr>
        <w:t>公</w:t>
      </w:r>
      <w:r>
        <w:rPr>
          <w:rFonts w:hint="eastAsia" w:ascii="宋体" w:hAnsi="宋体" w:cs="宋体"/>
          <w:b/>
          <w:color w:val="auto"/>
          <w:szCs w:val="21"/>
          <w:highlight w:val="none"/>
          <w:lang w:eastAsia="zh-CN"/>
        </w:rPr>
        <w:t>章，</w:t>
      </w:r>
      <w:r>
        <w:rPr>
          <w:rFonts w:hint="eastAsia" w:ascii="宋体" w:hAnsi="宋体" w:cs="宋体"/>
          <w:b/>
          <w:color w:val="auto"/>
          <w:szCs w:val="21"/>
          <w:highlight w:val="none"/>
          <w:lang w:val="en-US" w:eastAsia="zh-CN"/>
        </w:rPr>
        <w:t>否则响应文件按无效响应处理</w:t>
      </w:r>
      <w:r>
        <w:rPr>
          <w:rFonts w:hint="eastAsia" w:ascii="宋体" w:hAnsi="宋体" w:eastAsia="宋体" w:cs="宋体"/>
          <w:b/>
          <w:bCs/>
          <w:color w:val="auto"/>
          <w:szCs w:val="21"/>
          <w:highlight w:val="none"/>
        </w:rPr>
        <w:t>）；</w:t>
      </w:r>
    </w:p>
    <w:p w14:paraId="0A80671F">
      <w:pPr>
        <w:keepNext w:val="0"/>
        <w:keepLines w:val="0"/>
        <w:pageBreakBefore w:val="0"/>
        <w:widowControl w:val="0"/>
        <w:kinsoku/>
        <w:wordWrap/>
        <w:overflowPunct/>
        <w:topLinePunct w:val="0"/>
        <w:autoSpaceDE/>
        <w:autoSpaceDN/>
        <w:bidi w:val="0"/>
        <w:adjustRightInd/>
        <w:spacing w:line="452"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w:t>
      </w:r>
      <w:r>
        <w:rPr>
          <w:rFonts w:hint="eastAsia" w:ascii="宋体" w:hAnsi="宋体" w:eastAsia="宋体" w:cs="宋体"/>
          <w:color w:val="auto"/>
          <w:szCs w:val="21"/>
          <w:highlight w:val="none"/>
          <w:lang w:eastAsia="zh-CN"/>
        </w:rPr>
        <w:t>农民工工资保障承诺书</w:t>
      </w:r>
      <w:r>
        <w:rPr>
          <w:rFonts w:hint="eastAsia" w:ascii="宋体" w:hAnsi="宋体" w:eastAsia="宋体" w:cs="宋体"/>
          <w:b/>
          <w:bCs/>
          <w:color w:val="auto"/>
          <w:szCs w:val="21"/>
          <w:highlight w:val="none"/>
          <w:lang w:eastAsia="zh-CN"/>
        </w:rPr>
        <w:t>（</w:t>
      </w:r>
      <w:r>
        <w:rPr>
          <w:rFonts w:hint="eastAsia" w:ascii="宋体" w:hAnsi="宋体" w:cs="宋体"/>
          <w:b/>
          <w:bCs/>
          <w:color w:val="auto"/>
          <w:szCs w:val="21"/>
          <w:highlight w:val="none"/>
          <w:lang w:val="en-US" w:eastAsia="zh-CN"/>
        </w:rPr>
        <w:t>格式自拟，</w:t>
      </w:r>
      <w:r>
        <w:rPr>
          <w:rFonts w:hint="eastAsia" w:ascii="宋体" w:hAnsi="宋体" w:cs="宋体"/>
          <w:b/>
          <w:color w:val="auto"/>
          <w:szCs w:val="21"/>
          <w:highlight w:val="none"/>
          <w:lang w:val="en-US" w:eastAsia="zh-CN"/>
        </w:rPr>
        <w:t>必须提供并加盖</w:t>
      </w:r>
      <w:r>
        <w:rPr>
          <w:rFonts w:hint="eastAsia" w:ascii="宋体" w:hAnsi="宋体" w:cs="宋体"/>
          <w:b/>
          <w:color w:val="auto"/>
          <w:szCs w:val="21"/>
          <w:highlight w:val="none"/>
        </w:rPr>
        <w:t>供应商</w:t>
      </w:r>
      <w:r>
        <w:rPr>
          <w:rFonts w:hint="eastAsia" w:ascii="宋体" w:hAnsi="宋体" w:cs="宋体"/>
          <w:b/>
          <w:color w:val="auto"/>
          <w:szCs w:val="21"/>
          <w:highlight w:val="none"/>
          <w:lang w:val="en-US" w:eastAsia="zh-CN"/>
        </w:rPr>
        <w:t>公</w:t>
      </w:r>
      <w:r>
        <w:rPr>
          <w:rFonts w:hint="eastAsia" w:ascii="宋体" w:hAnsi="宋体" w:cs="宋体"/>
          <w:b/>
          <w:color w:val="auto"/>
          <w:szCs w:val="21"/>
          <w:highlight w:val="none"/>
          <w:lang w:eastAsia="zh-CN"/>
        </w:rPr>
        <w:t>章</w:t>
      </w:r>
      <w:r>
        <w:rPr>
          <w:rFonts w:hint="eastAsia" w:ascii="宋体" w:hAnsi="宋体" w:cs="宋体"/>
          <w:b/>
          <w:color w:val="auto"/>
          <w:szCs w:val="21"/>
          <w:highlight w:val="none"/>
          <w:lang w:val="en-US" w:eastAsia="zh-CN"/>
        </w:rPr>
        <w:t>，否则响应文件按无效响应处理</w:t>
      </w:r>
      <w:r>
        <w:rPr>
          <w:rFonts w:hint="eastAsia" w:ascii="宋体" w:hAnsi="宋体" w:eastAsia="宋体" w:cs="宋体"/>
          <w:b/>
          <w:bCs/>
          <w:color w:val="auto"/>
          <w:szCs w:val="21"/>
          <w:highlight w:val="none"/>
          <w:lang w:eastAsia="zh-CN"/>
        </w:rPr>
        <w:t>）</w:t>
      </w:r>
      <w:r>
        <w:rPr>
          <w:rFonts w:hint="eastAsia" w:ascii="宋体" w:hAnsi="宋体" w:eastAsia="宋体" w:cs="宋体"/>
          <w:color w:val="auto"/>
          <w:szCs w:val="21"/>
          <w:highlight w:val="none"/>
          <w:lang w:eastAsia="zh-CN"/>
        </w:rPr>
        <w:t>；</w:t>
      </w:r>
    </w:p>
    <w:p w14:paraId="3D1F70D1">
      <w:pPr>
        <w:keepNext w:val="0"/>
        <w:keepLines w:val="0"/>
        <w:pageBreakBefore w:val="0"/>
        <w:kinsoku/>
        <w:wordWrap/>
        <w:overflowPunct/>
        <w:topLinePunct w:val="0"/>
        <w:autoSpaceDE/>
        <w:autoSpaceDN/>
        <w:bidi w:val="0"/>
        <w:spacing w:line="452"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4</w:t>
      </w:r>
      <w:r>
        <w:rPr>
          <w:rFonts w:hint="eastAsia" w:ascii="宋体" w:hAnsi="宋体" w:eastAsia="宋体" w:cs="宋体"/>
          <w:color w:val="auto"/>
          <w:highlight w:val="none"/>
        </w:rPr>
        <w:t>）磋商函附录</w:t>
      </w:r>
      <w:r>
        <w:rPr>
          <w:rFonts w:hint="eastAsia" w:ascii="宋体" w:hAnsi="宋体" w:eastAsia="宋体" w:cs="宋体"/>
          <w:b/>
          <w:bCs/>
          <w:color w:val="auto"/>
          <w:highlight w:val="none"/>
        </w:rPr>
        <w:t>（格式见第</w:t>
      </w:r>
      <w:r>
        <w:rPr>
          <w:rFonts w:hint="eastAsia" w:ascii="宋体" w:hAnsi="宋体" w:eastAsia="宋体" w:cs="宋体"/>
          <w:b/>
          <w:bCs/>
          <w:color w:val="auto"/>
          <w:highlight w:val="none"/>
          <w:lang w:eastAsia="zh-CN"/>
        </w:rPr>
        <w:t>五</w:t>
      </w:r>
      <w:r>
        <w:rPr>
          <w:rFonts w:hint="eastAsia" w:ascii="宋体" w:hAnsi="宋体" w:eastAsia="宋体" w:cs="宋体"/>
          <w:b/>
          <w:bCs/>
          <w:color w:val="auto"/>
          <w:highlight w:val="none"/>
        </w:rPr>
        <w:t>章</w:t>
      </w:r>
      <w:r>
        <w:rPr>
          <w:rFonts w:hint="eastAsia" w:ascii="宋体" w:hAnsi="宋体" w:eastAsia="宋体" w:cs="宋体"/>
          <w:b/>
          <w:bCs/>
          <w:color w:val="auto"/>
          <w:highlight w:val="none"/>
          <w:lang w:eastAsia="zh-CN"/>
        </w:rPr>
        <w:t>）</w:t>
      </w:r>
      <w:r>
        <w:rPr>
          <w:rFonts w:hint="eastAsia" w:ascii="宋体" w:hAnsi="宋体" w:eastAsia="宋体" w:cs="宋体"/>
          <w:b/>
          <w:bCs/>
          <w:color w:val="auto"/>
          <w:kern w:val="0"/>
          <w:sz w:val="24"/>
          <w:highlight w:val="none"/>
        </w:rPr>
        <w:t>（</w:t>
      </w:r>
      <w:r>
        <w:rPr>
          <w:rFonts w:hint="eastAsia" w:ascii="宋体" w:hAnsi="宋体" w:cs="宋体"/>
          <w:b/>
          <w:color w:val="auto"/>
          <w:szCs w:val="21"/>
          <w:highlight w:val="none"/>
          <w:lang w:val="en-US" w:eastAsia="zh-CN"/>
        </w:rPr>
        <w:t>必须提供并加盖</w:t>
      </w:r>
      <w:r>
        <w:rPr>
          <w:rFonts w:hint="eastAsia" w:ascii="宋体" w:hAnsi="宋体" w:cs="宋体"/>
          <w:b/>
          <w:color w:val="auto"/>
          <w:szCs w:val="21"/>
          <w:highlight w:val="none"/>
        </w:rPr>
        <w:t>供应商</w:t>
      </w:r>
      <w:r>
        <w:rPr>
          <w:rFonts w:hint="eastAsia" w:ascii="宋体" w:hAnsi="宋体" w:cs="宋体"/>
          <w:b/>
          <w:color w:val="auto"/>
          <w:szCs w:val="21"/>
          <w:highlight w:val="none"/>
          <w:lang w:val="en-US" w:eastAsia="zh-CN"/>
        </w:rPr>
        <w:t>公</w:t>
      </w:r>
      <w:r>
        <w:rPr>
          <w:rFonts w:hint="eastAsia" w:ascii="宋体" w:hAnsi="宋体" w:cs="宋体"/>
          <w:b/>
          <w:color w:val="auto"/>
          <w:szCs w:val="21"/>
          <w:highlight w:val="none"/>
          <w:lang w:eastAsia="zh-CN"/>
        </w:rPr>
        <w:t>章</w:t>
      </w:r>
      <w:r>
        <w:rPr>
          <w:rFonts w:hint="eastAsia" w:ascii="宋体" w:hAnsi="宋体" w:cs="宋体"/>
          <w:b/>
          <w:color w:val="auto"/>
          <w:szCs w:val="21"/>
          <w:highlight w:val="none"/>
          <w:lang w:val="en-US" w:eastAsia="zh-CN"/>
        </w:rPr>
        <w:t>，否则响应文件按无效响应处理</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p>
    <w:p w14:paraId="75C82635">
      <w:pPr>
        <w:keepNext w:val="0"/>
        <w:keepLines w:val="0"/>
        <w:pageBreakBefore w:val="0"/>
        <w:kinsoku/>
        <w:wordWrap/>
        <w:overflowPunct/>
        <w:topLinePunct w:val="0"/>
        <w:autoSpaceDE/>
        <w:autoSpaceDN/>
        <w:bidi w:val="0"/>
        <w:spacing w:line="452"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5</w:t>
      </w:r>
      <w:r>
        <w:rPr>
          <w:rFonts w:hint="eastAsia" w:ascii="宋体" w:hAnsi="宋体" w:eastAsia="宋体" w:cs="宋体"/>
          <w:color w:val="auto"/>
          <w:highlight w:val="none"/>
        </w:rPr>
        <w:t>）施工组织设计</w:t>
      </w:r>
      <w:r>
        <w:rPr>
          <w:rFonts w:hint="eastAsia" w:ascii="宋体" w:hAnsi="宋体" w:eastAsia="宋体" w:cs="宋体"/>
          <w:b/>
          <w:bCs/>
          <w:color w:val="auto"/>
          <w:highlight w:val="none"/>
        </w:rPr>
        <w:t>（</w:t>
      </w:r>
      <w:r>
        <w:rPr>
          <w:rFonts w:hint="eastAsia" w:ascii="宋体" w:hAnsi="宋体" w:cs="宋体"/>
          <w:b/>
          <w:bCs/>
          <w:color w:val="auto"/>
          <w:highlight w:val="none"/>
          <w:lang w:val="en-US" w:eastAsia="zh-CN"/>
        </w:rPr>
        <w:t>部分</w:t>
      </w:r>
      <w:r>
        <w:rPr>
          <w:rFonts w:hint="eastAsia" w:ascii="宋体" w:hAnsi="宋体" w:eastAsia="宋体" w:cs="宋体"/>
          <w:b/>
          <w:bCs/>
          <w:color w:val="auto"/>
          <w:highlight w:val="none"/>
        </w:rPr>
        <w:t>格式见第</w:t>
      </w:r>
      <w:r>
        <w:rPr>
          <w:rFonts w:hint="eastAsia" w:ascii="宋体" w:hAnsi="宋体" w:eastAsia="宋体" w:cs="宋体"/>
          <w:b/>
          <w:bCs/>
          <w:color w:val="auto"/>
          <w:highlight w:val="none"/>
          <w:lang w:eastAsia="zh-CN"/>
        </w:rPr>
        <w:t>五</w:t>
      </w:r>
      <w:r>
        <w:rPr>
          <w:rFonts w:hint="eastAsia" w:ascii="宋体" w:hAnsi="宋体" w:eastAsia="宋体" w:cs="宋体"/>
          <w:b/>
          <w:bCs/>
          <w:color w:val="auto"/>
          <w:highlight w:val="none"/>
        </w:rPr>
        <w:t>章</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w:t>
      </w:r>
      <w:r>
        <w:rPr>
          <w:rFonts w:hint="eastAsia" w:ascii="宋体" w:hAnsi="宋体" w:cs="宋体"/>
          <w:b/>
          <w:color w:val="auto"/>
          <w:szCs w:val="21"/>
          <w:highlight w:val="none"/>
          <w:lang w:val="en-US" w:eastAsia="zh-CN"/>
        </w:rPr>
        <w:t>必须提供并加盖</w:t>
      </w:r>
      <w:r>
        <w:rPr>
          <w:rFonts w:hint="eastAsia" w:ascii="宋体" w:hAnsi="宋体" w:cs="宋体"/>
          <w:b/>
          <w:color w:val="auto"/>
          <w:szCs w:val="21"/>
          <w:highlight w:val="none"/>
        </w:rPr>
        <w:t>供应商</w:t>
      </w:r>
      <w:r>
        <w:rPr>
          <w:rFonts w:hint="eastAsia" w:ascii="宋体" w:hAnsi="宋体" w:cs="宋体"/>
          <w:b/>
          <w:color w:val="auto"/>
          <w:szCs w:val="21"/>
          <w:highlight w:val="none"/>
          <w:lang w:val="en-US" w:eastAsia="zh-CN"/>
        </w:rPr>
        <w:t>公</w:t>
      </w:r>
      <w:r>
        <w:rPr>
          <w:rFonts w:hint="eastAsia" w:ascii="宋体" w:hAnsi="宋体" w:cs="宋体"/>
          <w:b/>
          <w:color w:val="auto"/>
          <w:szCs w:val="21"/>
          <w:highlight w:val="none"/>
          <w:lang w:eastAsia="zh-CN"/>
        </w:rPr>
        <w:t>章</w:t>
      </w:r>
      <w:r>
        <w:rPr>
          <w:rFonts w:hint="eastAsia" w:ascii="宋体" w:hAnsi="宋体" w:cs="宋体"/>
          <w:b/>
          <w:color w:val="auto"/>
          <w:szCs w:val="21"/>
          <w:highlight w:val="none"/>
          <w:lang w:val="en-US" w:eastAsia="zh-CN"/>
        </w:rPr>
        <w:t>，否则响应文件按无效响应处理</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w:t>
      </w:r>
    </w:p>
    <w:p w14:paraId="4396DD97">
      <w:pPr>
        <w:keepNext w:val="0"/>
        <w:keepLines w:val="0"/>
        <w:pageBreakBefore w:val="0"/>
        <w:kinsoku/>
        <w:wordWrap/>
        <w:overflowPunct/>
        <w:topLinePunct w:val="0"/>
        <w:autoSpaceDE/>
        <w:autoSpaceDN/>
        <w:bidi w:val="0"/>
        <w:spacing w:line="452"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6</w:t>
      </w:r>
      <w:r>
        <w:rPr>
          <w:rFonts w:hint="eastAsia" w:ascii="宋体" w:hAnsi="宋体" w:eastAsia="宋体" w:cs="宋体"/>
          <w:color w:val="auto"/>
          <w:highlight w:val="none"/>
        </w:rPr>
        <w:t>）项目管理机构及人员配备</w:t>
      </w:r>
      <w:r>
        <w:rPr>
          <w:rFonts w:hint="eastAsia" w:ascii="宋体" w:hAnsi="宋体" w:eastAsia="宋体" w:cs="宋体"/>
          <w:b/>
          <w:bCs/>
          <w:color w:val="auto"/>
          <w:highlight w:val="none"/>
        </w:rPr>
        <w:t>（</w:t>
      </w:r>
      <w:r>
        <w:rPr>
          <w:rFonts w:hint="eastAsia" w:ascii="宋体" w:hAnsi="宋体" w:cs="宋体"/>
          <w:b/>
          <w:bCs/>
          <w:color w:val="auto"/>
          <w:highlight w:val="none"/>
          <w:lang w:val="en-US" w:eastAsia="zh-CN"/>
        </w:rPr>
        <w:t>部分</w:t>
      </w:r>
      <w:r>
        <w:rPr>
          <w:rFonts w:hint="eastAsia" w:ascii="宋体" w:hAnsi="宋体" w:eastAsia="宋体" w:cs="宋体"/>
          <w:b/>
          <w:bCs/>
          <w:color w:val="auto"/>
          <w:highlight w:val="none"/>
        </w:rPr>
        <w:t>格式见第</w:t>
      </w:r>
      <w:r>
        <w:rPr>
          <w:rFonts w:hint="eastAsia" w:ascii="宋体" w:hAnsi="宋体" w:eastAsia="宋体" w:cs="宋体"/>
          <w:b/>
          <w:bCs/>
          <w:color w:val="auto"/>
          <w:highlight w:val="none"/>
          <w:lang w:eastAsia="zh-CN"/>
        </w:rPr>
        <w:t>五</w:t>
      </w:r>
      <w:r>
        <w:rPr>
          <w:rFonts w:hint="eastAsia" w:ascii="宋体" w:hAnsi="宋体" w:eastAsia="宋体" w:cs="宋体"/>
          <w:b/>
          <w:bCs/>
          <w:color w:val="auto"/>
          <w:highlight w:val="none"/>
        </w:rPr>
        <w:t>章</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w:t>
      </w:r>
      <w:r>
        <w:rPr>
          <w:rFonts w:hint="eastAsia" w:ascii="宋体" w:hAnsi="宋体" w:cs="宋体"/>
          <w:b/>
          <w:color w:val="auto"/>
          <w:szCs w:val="21"/>
          <w:highlight w:val="none"/>
          <w:lang w:val="en-US" w:eastAsia="zh-CN"/>
        </w:rPr>
        <w:t>必须提供并加盖</w:t>
      </w:r>
      <w:r>
        <w:rPr>
          <w:rFonts w:hint="eastAsia" w:ascii="宋体" w:hAnsi="宋体" w:cs="宋体"/>
          <w:b/>
          <w:color w:val="auto"/>
          <w:szCs w:val="21"/>
          <w:highlight w:val="none"/>
        </w:rPr>
        <w:t>供应商</w:t>
      </w:r>
      <w:r>
        <w:rPr>
          <w:rFonts w:hint="eastAsia" w:ascii="宋体" w:hAnsi="宋体" w:cs="宋体"/>
          <w:b/>
          <w:color w:val="auto"/>
          <w:szCs w:val="21"/>
          <w:highlight w:val="none"/>
          <w:lang w:val="en-US" w:eastAsia="zh-CN"/>
        </w:rPr>
        <w:t>公</w:t>
      </w:r>
      <w:r>
        <w:rPr>
          <w:rFonts w:hint="eastAsia" w:ascii="宋体" w:hAnsi="宋体" w:cs="宋体"/>
          <w:b/>
          <w:color w:val="auto"/>
          <w:szCs w:val="21"/>
          <w:highlight w:val="none"/>
          <w:lang w:eastAsia="zh-CN"/>
        </w:rPr>
        <w:t>章</w:t>
      </w:r>
      <w:r>
        <w:rPr>
          <w:rFonts w:hint="eastAsia" w:ascii="宋体" w:hAnsi="宋体" w:cs="宋体"/>
          <w:b/>
          <w:color w:val="auto"/>
          <w:szCs w:val="21"/>
          <w:highlight w:val="none"/>
          <w:lang w:val="en-US" w:eastAsia="zh-CN"/>
        </w:rPr>
        <w:t>，否则响应文件按无效响应处理</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w:t>
      </w:r>
    </w:p>
    <w:p w14:paraId="43A0A40B">
      <w:pPr>
        <w:keepNext w:val="0"/>
        <w:keepLines w:val="0"/>
        <w:pageBreakBefore w:val="0"/>
        <w:widowControl w:val="0"/>
        <w:shd w:val="clear" w:color="auto" w:fill="auto"/>
        <w:kinsoku/>
        <w:wordWrap/>
        <w:overflowPunct/>
        <w:topLinePunct w:val="0"/>
        <w:autoSpaceDE/>
        <w:autoSpaceDN/>
        <w:bidi w:val="0"/>
        <w:adjustRightInd/>
        <w:spacing w:line="452" w:lineRule="exact"/>
        <w:ind w:firstLine="420" w:firstLineChars="200"/>
        <w:textAlignment w:val="auto"/>
        <w:rPr>
          <w:rFonts w:hint="eastAsia"/>
          <w:color w:val="auto"/>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w:t>
      </w:r>
      <w:r>
        <w:rPr>
          <w:rFonts w:hint="eastAsia" w:ascii="宋体" w:hAnsi="宋体" w:cs="宋体"/>
          <w:color w:val="auto"/>
          <w:szCs w:val="21"/>
          <w:highlight w:val="none"/>
        </w:rPr>
        <w:t>除</w:t>
      </w:r>
      <w:r>
        <w:rPr>
          <w:rFonts w:hint="eastAsia" w:ascii="宋体" w:hAnsi="宋体" w:cs="宋体"/>
          <w:color w:val="auto"/>
          <w:szCs w:val="21"/>
          <w:highlight w:val="none"/>
          <w:lang w:val="en-US" w:eastAsia="zh-CN"/>
        </w:rPr>
        <w:t>竞争性磋商</w:t>
      </w:r>
      <w:r>
        <w:rPr>
          <w:rFonts w:hint="eastAsia" w:ascii="宋体" w:hAnsi="宋体" w:cs="宋体"/>
          <w:color w:val="auto"/>
          <w:szCs w:val="21"/>
          <w:highlight w:val="none"/>
        </w:rPr>
        <w:t>文件文件规定必须提供以外，供应商认为需要提供的</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证明材料</w:t>
      </w:r>
      <w:r>
        <w:rPr>
          <w:rFonts w:hint="eastAsia" w:ascii="宋体" w:hAnsi="宋体" w:cs="宋体"/>
          <w:color w:val="auto"/>
          <w:szCs w:val="21"/>
          <w:highlight w:val="none"/>
          <w:lang w:eastAsia="zh-CN"/>
        </w:rPr>
        <w:t>。</w:t>
      </w:r>
    </w:p>
    <w:p w14:paraId="0A181EB5">
      <w:pPr>
        <w:pStyle w:val="12"/>
        <w:keepNext w:val="0"/>
        <w:keepLines w:val="0"/>
        <w:pageBreakBefore w:val="0"/>
        <w:shd w:val="clear" w:color="auto" w:fill="FFFFFF"/>
        <w:kinsoku/>
        <w:wordWrap/>
        <w:overflowPunct/>
        <w:topLinePunct w:val="0"/>
        <w:autoSpaceDE/>
        <w:autoSpaceDN/>
        <w:bidi w:val="0"/>
        <w:adjustRightInd w:val="0"/>
        <w:snapToGrid w:val="0"/>
        <w:spacing w:line="440" w:lineRule="exact"/>
        <w:ind w:firstLine="422" w:firstLineChars="200"/>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特别说明：</w:t>
      </w:r>
    </w:p>
    <w:p w14:paraId="01AB4155">
      <w:pPr>
        <w:pageBreakBefore w:val="0"/>
        <w:shd w:val="clear" w:color="auto" w:fill="FFFFFF"/>
        <w:kinsoku/>
        <w:wordWrap/>
        <w:overflowPunct/>
        <w:topLinePunct w:val="0"/>
        <w:autoSpaceDE/>
        <w:autoSpaceDN/>
        <w:bidi w:val="0"/>
        <w:spacing w:line="452" w:lineRule="exact"/>
        <w:ind w:firstLine="422" w:firstLineChars="200"/>
        <w:textAlignment w:val="auto"/>
        <w:rPr>
          <w:rFonts w:hint="eastAsia" w:ascii="宋体" w:hAnsi="宋体" w:cs="宋体"/>
          <w:b/>
          <w:bCs/>
          <w:color w:val="auto"/>
          <w:highlight w:val="none"/>
          <w:lang w:eastAsia="zh-CN"/>
        </w:rPr>
      </w:pPr>
      <w:r>
        <w:rPr>
          <w:rFonts w:hint="eastAsia" w:ascii="宋体" w:hAnsi="宋体" w:cs="宋体"/>
          <w:b/>
          <w:color w:val="auto"/>
          <w:szCs w:val="21"/>
          <w:highlight w:val="none"/>
          <w:lang w:val="en-US" w:eastAsia="zh-CN"/>
        </w:rPr>
        <w:t>（1）</w:t>
      </w:r>
      <w:r>
        <w:rPr>
          <w:rFonts w:hint="eastAsia" w:ascii="宋体" w:hAnsi="宋体" w:cs="宋体"/>
          <w:b/>
          <w:bCs/>
          <w:color w:val="auto"/>
          <w:highlight w:val="none"/>
          <w:lang w:eastAsia="zh-CN"/>
        </w:rPr>
        <w:t>以上标明“必须提供”的材料属于复印件的扫描件的，必须加盖供应商</w:t>
      </w:r>
      <w:r>
        <w:rPr>
          <w:rFonts w:hint="eastAsia" w:ascii="宋体" w:hAnsi="宋体" w:cs="宋体"/>
          <w:b/>
          <w:color w:val="auto"/>
          <w:szCs w:val="21"/>
          <w:highlight w:val="none"/>
          <w:lang w:eastAsia="zh-CN"/>
        </w:rPr>
        <w:t>电子印章</w:t>
      </w:r>
      <w:r>
        <w:rPr>
          <w:rFonts w:hint="eastAsia" w:ascii="宋体" w:hAnsi="宋体" w:cs="宋体"/>
          <w:b/>
          <w:color w:val="auto"/>
          <w:szCs w:val="21"/>
          <w:highlight w:val="none"/>
          <w:lang w:val="en-US" w:eastAsia="zh-CN"/>
        </w:rPr>
        <w:t>，否则响应文件按无效响应处理</w:t>
      </w:r>
      <w:r>
        <w:rPr>
          <w:rFonts w:hint="eastAsia" w:ascii="宋体" w:hAnsi="宋体" w:cs="宋体"/>
          <w:b/>
          <w:bCs/>
          <w:color w:val="auto"/>
          <w:highlight w:val="none"/>
          <w:lang w:eastAsia="zh-CN"/>
        </w:rPr>
        <w:t>。</w:t>
      </w:r>
    </w:p>
    <w:p w14:paraId="3D7873A5">
      <w:pPr>
        <w:keepNext w:val="0"/>
        <w:keepLines w:val="0"/>
        <w:pageBreakBefore w:val="0"/>
        <w:shd w:val="clear" w:color="auto" w:fill="FFFFFF"/>
        <w:kinsoku/>
        <w:wordWrap/>
        <w:overflowPunct/>
        <w:topLinePunct w:val="0"/>
        <w:autoSpaceDE/>
        <w:autoSpaceDN/>
        <w:bidi w:val="0"/>
        <w:spacing w:line="440" w:lineRule="exact"/>
        <w:ind w:firstLine="422" w:firstLineChars="200"/>
        <w:textAlignment w:val="auto"/>
        <w:rPr>
          <w:rFonts w:hint="eastAsia" w:ascii="宋体" w:hAnsi="宋体" w:eastAsia="宋体" w:cs="宋体"/>
          <w:b/>
          <w:bCs/>
          <w:color w:val="auto"/>
          <w:highlight w:val="none"/>
        </w:rPr>
      </w:pPr>
      <w:r>
        <w:rPr>
          <w:rFonts w:hint="eastAsia" w:ascii="宋体" w:hAnsi="宋体" w:cs="宋体"/>
          <w:b/>
          <w:bCs/>
          <w:color w:val="auto"/>
          <w:highlight w:val="none"/>
          <w:lang w:eastAsia="zh-CN"/>
        </w:rPr>
        <w:t>（</w:t>
      </w:r>
      <w:r>
        <w:rPr>
          <w:rFonts w:hint="eastAsia" w:ascii="宋体" w:hAnsi="宋体" w:cs="宋体"/>
          <w:b/>
          <w:bCs/>
          <w:color w:val="auto"/>
          <w:highlight w:val="none"/>
          <w:lang w:val="en-US" w:eastAsia="zh-CN"/>
        </w:rPr>
        <w:t>2</w:t>
      </w:r>
      <w:r>
        <w:rPr>
          <w:rFonts w:hint="eastAsia" w:ascii="宋体" w:hAnsi="宋体" w:cs="宋体"/>
          <w:b/>
          <w:bCs/>
          <w:color w:val="auto"/>
          <w:highlight w:val="none"/>
          <w:lang w:eastAsia="zh-CN"/>
        </w:rPr>
        <w:t>）</w:t>
      </w:r>
      <w:r>
        <w:rPr>
          <w:rFonts w:hint="eastAsia" w:ascii="宋体" w:hAnsi="宋体" w:eastAsia="宋体" w:cs="宋体"/>
          <w:b/>
          <w:bCs/>
          <w:color w:val="auto"/>
          <w:highlight w:val="none"/>
        </w:rPr>
        <w:t>供应商必须使用竞争性</w:t>
      </w:r>
      <w:r>
        <w:rPr>
          <w:rFonts w:hint="eastAsia" w:ascii="宋体" w:hAnsi="宋体" w:eastAsia="宋体" w:cs="宋体"/>
          <w:b/>
          <w:bCs/>
          <w:color w:val="auto"/>
          <w:highlight w:val="none"/>
          <w:lang w:eastAsia="zh-CN"/>
        </w:rPr>
        <w:t>磋商</w:t>
      </w:r>
      <w:r>
        <w:rPr>
          <w:rFonts w:hint="eastAsia" w:ascii="宋体" w:hAnsi="宋体" w:eastAsia="宋体" w:cs="宋体"/>
          <w:b/>
          <w:bCs/>
          <w:color w:val="auto"/>
          <w:highlight w:val="none"/>
        </w:rPr>
        <w:t>文件第</w:t>
      </w:r>
      <w:r>
        <w:rPr>
          <w:rFonts w:hint="eastAsia" w:ascii="宋体" w:hAnsi="宋体" w:eastAsia="宋体" w:cs="宋体"/>
          <w:b/>
          <w:bCs/>
          <w:color w:val="auto"/>
          <w:highlight w:val="none"/>
          <w:lang w:eastAsia="zh-CN"/>
        </w:rPr>
        <w:t>五章</w:t>
      </w:r>
      <w:r>
        <w:rPr>
          <w:rFonts w:hint="eastAsia" w:ascii="宋体" w:hAnsi="宋体" w:eastAsia="宋体" w:cs="宋体"/>
          <w:b/>
          <w:bCs/>
          <w:color w:val="auto"/>
          <w:highlight w:val="none"/>
        </w:rPr>
        <w:t>提供的响应文件格式和顺序另行编制响应文件，但表格可以按同样格式扩展。</w:t>
      </w:r>
    </w:p>
    <w:p w14:paraId="740EF04C">
      <w:pPr>
        <w:keepNext w:val="0"/>
        <w:keepLines w:val="0"/>
        <w:pageBreakBefore w:val="0"/>
        <w:shd w:val="clear" w:color="auto" w:fill="FFFFFF"/>
        <w:kinsoku/>
        <w:wordWrap/>
        <w:overflowPunct/>
        <w:topLinePunct w:val="0"/>
        <w:autoSpaceDE/>
        <w:autoSpaceDN/>
        <w:bidi w:val="0"/>
        <w:spacing w:line="440" w:lineRule="exact"/>
        <w:ind w:firstLine="422" w:firstLineChars="200"/>
        <w:textAlignment w:val="auto"/>
        <w:rPr>
          <w:rFonts w:hint="eastAsia" w:ascii="宋体" w:hAnsi="宋体" w:eastAsia="宋体" w:cs="宋体"/>
          <w:b/>
          <w:bCs/>
          <w:color w:val="auto"/>
          <w:highlight w:val="none"/>
        </w:rPr>
      </w:pPr>
      <w:r>
        <w:rPr>
          <w:rFonts w:hint="eastAsia" w:ascii="宋体" w:hAnsi="宋体" w:cs="宋体"/>
          <w:b/>
          <w:bCs/>
          <w:color w:val="auto"/>
          <w:highlight w:val="none"/>
          <w:lang w:val="en-US" w:eastAsia="zh-CN"/>
        </w:rPr>
        <w:t>（3）</w:t>
      </w:r>
      <w:r>
        <w:rPr>
          <w:rFonts w:hint="eastAsia" w:ascii="宋体" w:hAnsi="宋体" w:eastAsia="宋体" w:cs="宋体"/>
          <w:b/>
          <w:bCs/>
          <w:color w:val="auto"/>
          <w:highlight w:val="none"/>
          <w:lang w:eastAsia="zh-CN"/>
        </w:rPr>
        <w:t>磋商</w:t>
      </w:r>
      <w:r>
        <w:rPr>
          <w:rFonts w:hint="eastAsia" w:ascii="宋体" w:hAnsi="宋体" w:eastAsia="宋体" w:cs="宋体"/>
          <w:b/>
          <w:bCs/>
          <w:color w:val="auto"/>
          <w:highlight w:val="none"/>
        </w:rPr>
        <w:t>文件要求“必须提供”的证明等材料，供应商必须全部提供，缺一不可，否则</w:t>
      </w:r>
      <w:r>
        <w:rPr>
          <w:rFonts w:hint="eastAsia" w:ascii="宋体" w:hAnsi="宋体" w:eastAsia="宋体" w:cs="宋体"/>
          <w:b/>
          <w:bCs/>
          <w:color w:val="auto"/>
          <w:highlight w:val="none"/>
          <w:lang w:eastAsia="zh-CN"/>
        </w:rPr>
        <w:t>磋商</w:t>
      </w:r>
      <w:r>
        <w:rPr>
          <w:rFonts w:hint="eastAsia" w:ascii="宋体" w:hAnsi="宋体" w:eastAsia="宋体" w:cs="宋体"/>
          <w:b/>
          <w:bCs/>
          <w:color w:val="auto"/>
          <w:highlight w:val="none"/>
        </w:rPr>
        <w:t>无效。</w:t>
      </w:r>
    </w:p>
    <w:p w14:paraId="6953C17C">
      <w:pPr>
        <w:keepNext w:val="0"/>
        <w:keepLines w:val="0"/>
        <w:pageBreakBefore w:val="0"/>
        <w:shd w:val="clear" w:color="auto" w:fill="FFFFFF"/>
        <w:kinsoku/>
        <w:wordWrap/>
        <w:overflowPunct/>
        <w:topLinePunct w:val="0"/>
        <w:autoSpaceDE/>
        <w:autoSpaceDN/>
        <w:bidi w:val="0"/>
        <w:spacing w:line="440" w:lineRule="exact"/>
        <w:ind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9.</w:t>
      </w:r>
      <w:r>
        <w:rPr>
          <w:rFonts w:hint="eastAsia" w:ascii="宋体" w:hAnsi="宋体" w:eastAsia="宋体" w:cs="宋体"/>
          <w:b/>
          <w:bCs/>
          <w:color w:val="auto"/>
          <w:szCs w:val="21"/>
          <w:highlight w:val="none"/>
        </w:rPr>
        <w:t>响应文件电子版</w:t>
      </w:r>
      <w:r>
        <w:rPr>
          <w:rFonts w:hint="eastAsia" w:ascii="宋体" w:hAnsi="宋体" w:cs="宋体"/>
          <w:b/>
          <w:bCs/>
          <w:color w:val="auto"/>
          <w:szCs w:val="21"/>
          <w:highlight w:val="none"/>
          <w:lang w:val="en-US" w:eastAsia="zh-CN"/>
        </w:rPr>
        <w:t>要求</w:t>
      </w:r>
    </w:p>
    <w:p w14:paraId="3A76BD1E">
      <w:pPr>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lang w:val="en-US" w:eastAsia="zh-CN"/>
        </w:rPr>
        <w:t>9.1</w:t>
      </w:r>
      <w:r>
        <w:rPr>
          <w:rFonts w:hint="eastAsia" w:ascii="宋体" w:hAnsi="宋体" w:eastAsia="宋体" w:cs="宋体"/>
          <w:color w:val="auto"/>
          <w:szCs w:val="21"/>
          <w:highlight w:val="none"/>
        </w:rPr>
        <w:t>详见供应商须知前附表</w:t>
      </w:r>
      <w:r>
        <w:rPr>
          <w:rFonts w:hint="eastAsia" w:ascii="宋体" w:hAnsi="宋体" w:cs="宋体"/>
          <w:color w:val="auto"/>
          <w:szCs w:val="21"/>
          <w:highlight w:val="none"/>
          <w:lang w:eastAsia="zh-CN"/>
        </w:rPr>
        <w:t>。</w:t>
      </w:r>
    </w:p>
    <w:p w14:paraId="3CB832C6">
      <w:pPr>
        <w:keepNext w:val="0"/>
        <w:keepLines w:val="0"/>
        <w:pageBreakBefore w:val="0"/>
        <w:shd w:val="clear" w:color="auto" w:fill="FFFFFF"/>
        <w:kinsoku/>
        <w:wordWrap/>
        <w:overflowPunct/>
        <w:topLinePunct w:val="0"/>
        <w:autoSpaceDE/>
        <w:autoSpaceDN/>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10</w:t>
      </w:r>
      <w:r>
        <w:rPr>
          <w:rFonts w:hint="eastAsia" w:ascii="宋体" w:hAnsi="宋体" w:eastAsia="宋体" w:cs="宋体"/>
          <w:b/>
          <w:bCs/>
          <w:color w:val="auto"/>
          <w:szCs w:val="21"/>
          <w:highlight w:val="none"/>
        </w:rPr>
        <w:t>. 计量单位</w:t>
      </w:r>
    </w:p>
    <w:p w14:paraId="30ACC736">
      <w:pPr>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.1除技术要求中另有规定外，本文件所要求使用的计量单位均应采用国家法定计量单位。</w:t>
      </w:r>
    </w:p>
    <w:p w14:paraId="0C295C1A">
      <w:pPr>
        <w:keepNext w:val="0"/>
        <w:keepLines w:val="0"/>
        <w:pageBreakBefore w:val="0"/>
        <w:shd w:val="clear" w:color="auto" w:fill="FFFFFF"/>
        <w:kinsoku/>
        <w:wordWrap/>
        <w:overflowPunct/>
        <w:topLinePunct w:val="0"/>
        <w:autoSpaceDE/>
        <w:autoSpaceDN/>
        <w:bidi w:val="0"/>
        <w:spacing w:line="440" w:lineRule="exact"/>
        <w:ind w:firstLine="430" w:firstLineChars="200"/>
        <w:textAlignment w:val="auto"/>
        <w:rPr>
          <w:rFonts w:hint="eastAsia" w:ascii="宋体" w:hAnsi="宋体" w:eastAsia="宋体" w:cs="宋体"/>
          <w:b/>
          <w:bCs/>
          <w:color w:val="auto"/>
          <w:spacing w:val="2"/>
          <w:highlight w:val="none"/>
        </w:rPr>
      </w:pPr>
      <w:bookmarkStart w:id="64" w:name="_Toc424307747"/>
      <w:bookmarkStart w:id="65" w:name="_Toc424307480"/>
      <w:r>
        <w:rPr>
          <w:rFonts w:hint="eastAsia" w:ascii="宋体" w:hAnsi="宋体" w:eastAsia="宋体" w:cs="宋体"/>
          <w:b/>
          <w:bCs/>
          <w:color w:val="auto"/>
          <w:spacing w:val="2"/>
          <w:highlight w:val="none"/>
        </w:rPr>
        <w:t>四、</w:t>
      </w:r>
      <w:r>
        <w:rPr>
          <w:rFonts w:hint="eastAsia" w:ascii="宋体" w:hAnsi="宋体" w:eastAsia="宋体" w:cs="宋体"/>
          <w:b/>
          <w:bCs/>
          <w:color w:val="auto"/>
          <w:spacing w:val="2"/>
          <w:highlight w:val="none"/>
          <w:lang w:eastAsia="zh-CN"/>
        </w:rPr>
        <w:t>磋商</w:t>
      </w:r>
      <w:r>
        <w:rPr>
          <w:rFonts w:hint="eastAsia" w:ascii="宋体" w:hAnsi="宋体" w:eastAsia="宋体" w:cs="宋体"/>
          <w:b/>
          <w:bCs/>
          <w:color w:val="auto"/>
          <w:spacing w:val="2"/>
          <w:highlight w:val="none"/>
        </w:rPr>
        <w:t>报价说明</w:t>
      </w:r>
      <w:bookmarkEnd w:id="64"/>
      <w:bookmarkEnd w:id="65"/>
    </w:p>
    <w:p w14:paraId="7D5402FB">
      <w:pPr>
        <w:keepNext w:val="0"/>
        <w:keepLines w:val="0"/>
        <w:pageBreakBefore w:val="0"/>
        <w:shd w:val="clear" w:color="auto" w:fill="FFFFFF"/>
        <w:kinsoku/>
        <w:wordWrap/>
        <w:overflowPunct/>
        <w:topLinePunct w:val="0"/>
        <w:autoSpaceDE/>
        <w:autoSpaceDN/>
        <w:bidi w:val="0"/>
        <w:spacing w:line="440" w:lineRule="exact"/>
        <w:ind w:firstLine="430" w:firstLineChars="200"/>
        <w:textAlignment w:val="auto"/>
        <w:rPr>
          <w:rFonts w:hint="eastAsia" w:ascii="宋体" w:hAnsi="宋体" w:eastAsia="宋体" w:cs="宋体"/>
          <w:b/>
          <w:bCs/>
          <w:color w:val="auto"/>
          <w:spacing w:val="2"/>
          <w:highlight w:val="none"/>
        </w:rPr>
      </w:pPr>
      <w:r>
        <w:rPr>
          <w:rFonts w:hint="eastAsia" w:ascii="宋体" w:hAnsi="宋体" w:cs="宋体"/>
          <w:b/>
          <w:bCs/>
          <w:color w:val="auto"/>
          <w:spacing w:val="2"/>
          <w:highlight w:val="none"/>
          <w:lang w:val="en-US" w:eastAsia="zh-CN"/>
        </w:rPr>
        <w:t>11</w:t>
      </w:r>
      <w:r>
        <w:rPr>
          <w:rFonts w:hint="eastAsia" w:ascii="宋体" w:hAnsi="宋体" w:eastAsia="宋体" w:cs="宋体"/>
          <w:b/>
          <w:bCs/>
          <w:color w:val="auto"/>
          <w:spacing w:val="2"/>
          <w:highlight w:val="none"/>
        </w:rPr>
        <w:t>.</w:t>
      </w:r>
      <w:r>
        <w:rPr>
          <w:rFonts w:hint="eastAsia" w:ascii="宋体" w:hAnsi="宋体" w:eastAsia="宋体" w:cs="宋体"/>
          <w:b/>
          <w:bCs/>
          <w:color w:val="auto"/>
          <w:spacing w:val="2"/>
          <w:highlight w:val="none"/>
          <w:lang w:eastAsia="zh-CN"/>
        </w:rPr>
        <w:t>磋商</w:t>
      </w:r>
      <w:r>
        <w:rPr>
          <w:rFonts w:hint="eastAsia" w:ascii="宋体" w:hAnsi="宋体" w:eastAsia="宋体" w:cs="宋体"/>
          <w:b/>
          <w:bCs/>
          <w:color w:val="auto"/>
          <w:spacing w:val="2"/>
          <w:highlight w:val="none"/>
        </w:rPr>
        <w:t>价格</w:t>
      </w:r>
    </w:p>
    <w:p w14:paraId="47B303E0">
      <w:pPr>
        <w:keepNext w:val="0"/>
        <w:keepLines w:val="0"/>
        <w:pageBreakBefore w:val="0"/>
        <w:shd w:val="clear" w:color="auto" w:fill="FFFFFF"/>
        <w:kinsoku/>
        <w:wordWrap/>
        <w:overflowPunct/>
        <w:topLinePunct w:val="0"/>
        <w:autoSpaceDE/>
        <w:autoSpaceDN/>
        <w:bidi w:val="0"/>
        <w:spacing w:line="440" w:lineRule="exact"/>
        <w:ind w:firstLine="428" w:firstLineChars="200"/>
        <w:textAlignment w:val="auto"/>
        <w:rPr>
          <w:rFonts w:hint="eastAsia" w:ascii="宋体" w:hAnsi="宋体" w:eastAsia="宋体" w:cs="宋体"/>
          <w:color w:val="auto"/>
          <w:highlight w:val="none"/>
        </w:rPr>
      </w:pPr>
      <w:r>
        <w:rPr>
          <w:rFonts w:hint="eastAsia" w:ascii="宋体" w:hAnsi="宋体" w:cs="宋体"/>
          <w:color w:val="auto"/>
          <w:spacing w:val="2"/>
          <w:highlight w:val="none"/>
          <w:lang w:val="en-US" w:eastAsia="zh-CN"/>
        </w:rPr>
        <w:t>11</w:t>
      </w:r>
      <w:r>
        <w:rPr>
          <w:rFonts w:hint="eastAsia" w:ascii="宋体" w:hAnsi="宋体" w:eastAsia="宋体" w:cs="宋体"/>
          <w:color w:val="auto"/>
          <w:spacing w:val="2"/>
          <w:highlight w:val="none"/>
        </w:rPr>
        <w:t>.1</w:t>
      </w:r>
      <w:r>
        <w:rPr>
          <w:rFonts w:hint="eastAsia" w:ascii="宋体" w:hAnsi="宋体" w:eastAsia="宋体" w:cs="宋体"/>
          <w:color w:val="auto"/>
          <w:highlight w:val="none"/>
        </w:rPr>
        <w:t xml:space="preserve"> 本工程</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报价采用工程量清单报价。</w:t>
      </w:r>
    </w:p>
    <w:p w14:paraId="7DC3258C">
      <w:pPr>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11</w:t>
      </w:r>
      <w:r>
        <w:rPr>
          <w:rFonts w:hint="eastAsia" w:ascii="宋体" w:hAnsi="宋体" w:eastAsia="宋体" w:cs="宋体"/>
          <w:color w:val="auto"/>
          <w:highlight w:val="none"/>
        </w:rPr>
        <w:t>.1.1本工程</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价格是固定综合单价，按实际工程量结算。</w:t>
      </w:r>
    </w:p>
    <w:p w14:paraId="027A5564">
      <w:pPr>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highlight w:val="none"/>
          <w:lang w:val="en-US" w:eastAsia="zh-CN"/>
        </w:rPr>
        <w:t>11</w:t>
      </w:r>
      <w:r>
        <w:rPr>
          <w:rFonts w:hint="eastAsia" w:ascii="宋体" w:hAnsi="宋体" w:eastAsia="宋体" w:cs="宋体"/>
          <w:color w:val="auto"/>
          <w:highlight w:val="none"/>
        </w:rPr>
        <w:t xml:space="preserve">.1.2 </w:t>
      </w:r>
      <w:r>
        <w:rPr>
          <w:rFonts w:hint="eastAsia" w:ascii="宋体" w:hAnsi="宋体" w:eastAsia="宋体" w:cs="宋体"/>
          <w:color w:val="auto"/>
          <w:highlight w:val="none"/>
          <w:lang w:val="en-US" w:eastAsia="zh-CN"/>
        </w:rPr>
        <w:t>供应商</w:t>
      </w:r>
      <w:r>
        <w:rPr>
          <w:rFonts w:hint="eastAsia" w:ascii="宋体" w:hAnsi="宋体" w:eastAsia="宋体" w:cs="宋体"/>
          <w:color w:val="auto"/>
          <w:szCs w:val="21"/>
          <w:highlight w:val="none"/>
        </w:rPr>
        <w:t>应认真填写工程量清单中所列的所有各细目的单价和总额价，填写工程量清单时应注意：</w:t>
      </w:r>
    </w:p>
    <w:p w14:paraId="4806A325">
      <w:pPr>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（1）有工程数量的应报单价和总额。</w:t>
      </w:r>
    </w:p>
    <w:p w14:paraId="23563ACF">
      <w:pPr>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（2）无工程数量的项目不报价。</w:t>
      </w:r>
    </w:p>
    <w:p w14:paraId="153D137A">
      <w:pPr>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时，采购</w:t>
      </w:r>
      <w:r>
        <w:rPr>
          <w:rFonts w:hint="eastAsia" w:ascii="宋体" w:hAnsi="宋体" w:cs="宋体"/>
          <w:color w:val="auto"/>
          <w:szCs w:val="21"/>
          <w:highlight w:val="none"/>
          <w:lang w:val="en-US" w:eastAsia="zh-CN"/>
        </w:rPr>
        <w:t>人</w:t>
      </w:r>
      <w:r>
        <w:rPr>
          <w:rFonts w:hint="eastAsia" w:ascii="宋体" w:hAnsi="宋体" w:eastAsia="宋体" w:cs="宋体"/>
          <w:color w:val="auto"/>
          <w:szCs w:val="21"/>
          <w:highlight w:val="none"/>
        </w:rPr>
        <w:t>要求报价的细目，供应商没有填入单价或总额价的细目，其费用应视为已分配在工程量清单的其它单价或总额价中，</w:t>
      </w:r>
      <w:r>
        <w:rPr>
          <w:rFonts w:hint="eastAsia" w:ascii="宋体" w:hAnsi="宋体" w:eastAsia="宋体" w:cs="宋体"/>
          <w:color w:val="auto"/>
          <w:szCs w:val="21"/>
          <w:highlight w:val="none"/>
          <w:lang w:val="en-US" w:eastAsia="zh-CN"/>
        </w:rPr>
        <w:t>成交供应商</w:t>
      </w:r>
      <w:r>
        <w:rPr>
          <w:rFonts w:hint="eastAsia" w:ascii="宋体" w:hAnsi="宋体" w:eastAsia="宋体" w:cs="宋体"/>
          <w:color w:val="auto"/>
          <w:szCs w:val="21"/>
          <w:highlight w:val="none"/>
        </w:rPr>
        <w:t>必须按监理工程师的指令完成工程量清单中未填入单价或总额价的工程细目，但不能得到支付与结算。</w:t>
      </w:r>
    </w:p>
    <w:p w14:paraId="3BC2A30A">
      <w:pPr>
        <w:keepNext w:val="0"/>
        <w:keepLines w:val="0"/>
        <w:pageBreakBefore w:val="0"/>
        <w:shd w:val="clear" w:color="auto" w:fill="FFFFFF"/>
        <w:kinsoku/>
        <w:wordWrap/>
        <w:overflowPunct/>
        <w:topLinePunct w:val="0"/>
        <w:autoSpaceDE/>
        <w:autoSpaceDN/>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11</w:t>
      </w:r>
      <w:r>
        <w:rPr>
          <w:rFonts w:hint="eastAsia" w:ascii="宋体" w:hAnsi="宋体" w:eastAsia="宋体" w:cs="宋体"/>
          <w:b/>
          <w:bCs/>
          <w:color w:val="auto"/>
          <w:szCs w:val="21"/>
          <w:highlight w:val="none"/>
        </w:rPr>
        <w:t>.1.3采购</w:t>
      </w:r>
      <w:r>
        <w:rPr>
          <w:rFonts w:hint="eastAsia" w:ascii="宋体" w:hAnsi="宋体" w:cs="宋体"/>
          <w:b/>
          <w:bCs/>
          <w:color w:val="auto"/>
          <w:szCs w:val="21"/>
          <w:highlight w:val="none"/>
          <w:lang w:val="en-US" w:eastAsia="zh-CN"/>
        </w:rPr>
        <w:t>人</w:t>
      </w:r>
      <w:r>
        <w:rPr>
          <w:rFonts w:hint="eastAsia" w:ascii="宋体" w:hAnsi="宋体" w:eastAsia="宋体" w:cs="宋体"/>
          <w:b/>
          <w:bCs/>
          <w:color w:val="auto"/>
          <w:szCs w:val="21"/>
          <w:highlight w:val="none"/>
        </w:rPr>
        <w:t>所提供的工程量清单及相关资料，应认为已包括完成本工程的所有项目。凡工程量清单及相关资料所示工程所必不可少的附属工程、相关工程、衔接与后续工程所需的费用，供应商应计入相关项目的报价中。</w:t>
      </w:r>
    </w:p>
    <w:p w14:paraId="1BA2D313">
      <w:pPr>
        <w:keepNext w:val="0"/>
        <w:keepLines w:val="0"/>
        <w:pageBreakBefore w:val="0"/>
        <w:shd w:val="clear" w:color="auto" w:fill="FFFFFF"/>
        <w:kinsoku/>
        <w:wordWrap/>
        <w:overflowPunct/>
        <w:topLinePunct w:val="0"/>
        <w:autoSpaceDE/>
        <w:autoSpaceDN/>
        <w:bidi w:val="0"/>
        <w:spacing w:line="440" w:lineRule="exact"/>
        <w:ind w:firstLine="422" w:firstLineChars="200"/>
        <w:textAlignment w:val="auto"/>
        <w:rPr>
          <w:rFonts w:hint="eastAsia" w:ascii="宋体" w:hAnsi="宋体" w:eastAsia="宋体" w:cs="宋体"/>
          <w:b/>
          <w:bCs/>
          <w:color w:val="auto"/>
          <w:highlight w:val="none"/>
        </w:rPr>
      </w:pPr>
      <w:r>
        <w:rPr>
          <w:rFonts w:hint="eastAsia" w:ascii="宋体" w:hAnsi="宋体" w:cs="宋体"/>
          <w:b/>
          <w:bCs/>
          <w:color w:val="auto"/>
          <w:szCs w:val="21"/>
          <w:highlight w:val="none"/>
          <w:lang w:val="en-US" w:eastAsia="zh-CN"/>
        </w:rPr>
        <w:t>11</w:t>
      </w:r>
      <w:r>
        <w:rPr>
          <w:rFonts w:hint="eastAsia" w:ascii="宋体" w:hAnsi="宋体" w:eastAsia="宋体" w:cs="宋体"/>
          <w:b/>
          <w:bCs/>
          <w:color w:val="auto"/>
          <w:highlight w:val="none"/>
        </w:rPr>
        <w:t>.1.</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 xml:space="preserve"> 除非合同中另有规定，具有标价的工程量清单中所报单价和合价，以及报价汇总表中的价格应包括施工设备、劳务、管理、材料、安装、维护、保险、利润、税金、政策性文件规定及合同包含的应有风险、责任等各项应有费用，经</w:t>
      </w:r>
      <w:r>
        <w:rPr>
          <w:rFonts w:hint="eastAsia" w:ascii="宋体" w:hAnsi="宋体" w:eastAsia="宋体" w:cs="宋体"/>
          <w:b/>
          <w:bCs/>
          <w:color w:val="auto"/>
          <w:highlight w:val="none"/>
          <w:lang w:eastAsia="zh-CN"/>
        </w:rPr>
        <w:t>磋商</w:t>
      </w:r>
      <w:r>
        <w:rPr>
          <w:rFonts w:hint="eastAsia" w:ascii="宋体" w:hAnsi="宋体" w:eastAsia="宋体" w:cs="宋体"/>
          <w:b/>
          <w:bCs/>
          <w:color w:val="auto"/>
          <w:highlight w:val="none"/>
        </w:rPr>
        <w:t>小组审核严重不平衡的报价将不予接受。</w:t>
      </w:r>
    </w:p>
    <w:p w14:paraId="046E182B">
      <w:pPr>
        <w:keepNext w:val="0"/>
        <w:keepLines w:val="0"/>
        <w:pageBreakBefore w:val="0"/>
        <w:shd w:val="clear" w:color="auto" w:fill="FFFFFF"/>
        <w:kinsoku/>
        <w:wordWrap/>
        <w:overflowPunct/>
        <w:topLinePunct w:val="0"/>
        <w:autoSpaceDE/>
        <w:autoSpaceDN/>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11</w:t>
      </w:r>
      <w:r>
        <w:rPr>
          <w:rFonts w:hint="eastAsia" w:ascii="宋体" w:hAnsi="宋体" w:eastAsia="宋体" w:cs="宋体"/>
          <w:b/>
          <w:bCs/>
          <w:color w:val="auto"/>
          <w:szCs w:val="21"/>
          <w:highlight w:val="none"/>
        </w:rPr>
        <w:t>.1.</w:t>
      </w:r>
      <w:r>
        <w:rPr>
          <w:rFonts w:hint="eastAsia" w:ascii="宋体" w:hAnsi="宋体" w:eastAsia="宋体" w:cs="宋体"/>
          <w:b/>
          <w:bCs/>
          <w:color w:val="auto"/>
          <w:szCs w:val="21"/>
          <w:highlight w:val="none"/>
          <w:lang w:val="en-US" w:eastAsia="zh-CN"/>
        </w:rPr>
        <w:t>5供应商须根据</w:t>
      </w:r>
      <w:bookmarkStart w:id="66" w:name="OLE_LINK16"/>
      <w:r>
        <w:rPr>
          <w:rFonts w:hint="eastAsia" w:ascii="宋体" w:hAnsi="宋体" w:eastAsia="宋体" w:cs="宋体"/>
          <w:b/>
          <w:bCs/>
          <w:color w:val="auto"/>
          <w:szCs w:val="21"/>
          <w:highlight w:val="none"/>
          <w:lang w:val="en-US" w:eastAsia="zh-CN"/>
        </w:rPr>
        <w:t>采购人提供的工程</w:t>
      </w:r>
      <w:bookmarkEnd w:id="66"/>
      <w:r>
        <w:rPr>
          <w:rFonts w:hint="eastAsia" w:ascii="宋体" w:hAnsi="宋体" w:eastAsia="宋体" w:cs="宋体"/>
          <w:b/>
          <w:bCs/>
          <w:color w:val="auto"/>
          <w:szCs w:val="21"/>
          <w:highlight w:val="none"/>
          <w:lang w:val="en-US" w:eastAsia="zh-CN"/>
        </w:rPr>
        <w:t>清单及图纸编制完整的</w:t>
      </w:r>
      <w:r>
        <w:rPr>
          <w:rFonts w:hint="eastAsia" w:ascii="宋体" w:hAnsi="宋体" w:cs="宋体"/>
          <w:b/>
          <w:bCs/>
          <w:color w:val="auto"/>
          <w:szCs w:val="21"/>
          <w:highlight w:val="none"/>
          <w:lang w:val="en-US" w:eastAsia="zh-CN"/>
        </w:rPr>
        <w:t>工程量</w:t>
      </w:r>
      <w:r>
        <w:rPr>
          <w:rFonts w:hint="eastAsia" w:ascii="宋体" w:hAnsi="宋体" w:eastAsia="宋体" w:cs="宋体"/>
          <w:b/>
          <w:bCs/>
          <w:color w:val="auto"/>
          <w:szCs w:val="21"/>
          <w:highlight w:val="none"/>
          <w:lang w:val="en-US" w:eastAsia="zh-CN"/>
        </w:rPr>
        <w:t>清单报价文件</w:t>
      </w:r>
      <w:r>
        <w:rPr>
          <w:rFonts w:hint="eastAsia" w:ascii="宋体" w:hAnsi="宋体" w:eastAsia="宋体" w:cs="宋体"/>
          <w:b/>
          <w:bCs/>
          <w:color w:val="auto"/>
          <w:szCs w:val="21"/>
          <w:highlight w:val="none"/>
        </w:rPr>
        <w:t>。供应商对自己所填写的</w:t>
      </w:r>
      <w:r>
        <w:rPr>
          <w:rFonts w:hint="eastAsia" w:ascii="宋体" w:hAnsi="宋体" w:eastAsia="宋体" w:cs="宋体"/>
          <w:b/>
          <w:bCs/>
          <w:color w:val="auto"/>
          <w:highlight w:val="none"/>
        </w:rPr>
        <w:t>项目编码、项目名称及项目特征描述、计量单位、工程量</w:t>
      </w:r>
      <w:r>
        <w:rPr>
          <w:rFonts w:hint="eastAsia" w:ascii="宋体" w:hAnsi="宋体" w:eastAsia="宋体" w:cs="宋体"/>
          <w:b/>
          <w:bCs/>
          <w:color w:val="auto"/>
          <w:szCs w:val="21"/>
          <w:highlight w:val="none"/>
        </w:rPr>
        <w:t>，供应商填写的</w:t>
      </w:r>
      <w:r>
        <w:rPr>
          <w:rFonts w:hint="eastAsia" w:ascii="宋体" w:hAnsi="宋体" w:eastAsia="宋体" w:cs="宋体"/>
          <w:b/>
          <w:bCs/>
          <w:color w:val="auto"/>
          <w:highlight w:val="none"/>
        </w:rPr>
        <w:t>项目编码、</w:t>
      </w:r>
      <w:r>
        <w:rPr>
          <w:rFonts w:hint="eastAsia" w:ascii="宋体" w:hAnsi="宋体" w:cs="宋体"/>
          <w:b/>
          <w:bCs/>
          <w:color w:val="auto"/>
          <w:highlight w:val="none"/>
          <w:lang w:val="en-US" w:eastAsia="zh-CN"/>
        </w:rPr>
        <w:t>项</w:t>
      </w:r>
      <w:r>
        <w:rPr>
          <w:rFonts w:hint="eastAsia" w:ascii="宋体" w:hAnsi="宋体" w:eastAsia="宋体" w:cs="宋体"/>
          <w:b/>
          <w:bCs/>
          <w:color w:val="auto"/>
          <w:highlight w:val="none"/>
        </w:rPr>
        <w:t>目名称及项目特征描述、计量单位、工程量</w:t>
      </w:r>
      <w:r>
        <w:rPr>
          <w:rFonts w:hint="eastAsia" w:ascii="宋体" w:hAnsi="宋体" w:eastAsia="宋体" w:cs="宋体"/>
          <w:b/>
          <w:bCs/>
          <w:color w:val="auto"/>
          <w:szCs w:val="21"/>
          <w:highlight w:val="none"/>
        </w:rPr>
        <w:t>必须与采购人提供的一致。评标中，如</w:t>
      </w:r>
      <w:r>
        <w:rPr>
          <w:rFonts w:hint="eastAsia" w:ascii="宋体" w:hAnsi="宋体" w:eastAsia="宋体" w:cs="宋体"/>
          <w:b/>
          <w:bCs/>
          <w:color w:val="auto"/>
          <w:szCs w:val="21"/>
          <w:highlight w:val="none"/>
          <w:lang w:eastAsia="zh-CN"/>
        </w:rPr>
        <w:t>磋商</w:t>
      </w:r>
      <w:r>
        <w:rPr>
          <w:rFonts w:hint="eastAsia" w:ascii="宋体" w:hAnsi="宋体" w:eastAsia="宋体" w:cs="宋体"/>
          <w:b/>
          <w:bCs/>
          <w:color w:val="auto"/>
          <w:szCs w:val="21"/>
          <w:highlight w:val="none"/>
        </w:rPr>
        <w:t>报价文件</w:t>
      </w:r>
      <w:r>
        <w:rPr>
          <w:rFonts w:hint="eastAsia" w:ascii="宋体" w:hAnsi="宋体" w:eastAsia="宋体" w:cs="宋体"/>
          <w:b/>
          <w:bCs/>
          <w:color w:val="auto"/>
          <w:highlight w:val="none"/>
        </w:rPr>
        <w:t>项目编码、项目名称及项目特征描述、计量单位、工程量</w:t>
      </w:r>
      <w:r>
        <w:rPr>
          <w:rFonts w:hint="eastAsia" w:ascii="宋体" w:hAnsi="宋体" w:eastAsia="宋体" w:cs="宋体"/>
          <w:b/>
          <w:bCs/>
          <w:color w:val="auto"/>
          <w:szCs w:val="21"/>
          <w:highlight w:val="none"/>
        </w:rPr>
        <w:t>与采购人提供不一致的，作</w:t>
      </w:r>
      <w:r>
        <w:rPr>
          <w:rFonts w:hint="eastAsia" w:ascii="宋体" w:hAnsi="宋体" w:eastAsia="宋体" w:cs="宋体"/>
          <w:b/>
          <w:bCs/>
          <w:color w:val="auto"/>
          <w:szCs w:val="21"/>
          <w:highlight w:val="none"/>
          <w:lang w:eastAsia="zh-CN"/>
        </w:rPr>
        <w:t>磋商</w:t>
      </w:r>
      <w:r>
        <w:rPr>
          <w:rFonts w:hint="eastAsia" w:ascii="宋体" w:hAnsi="宋体" w:eastAsia="宋体" w:cs="宋体"/>
          <w:b/>
          <w:bCs/>
          <w:color w:val="auto"/>
          <w:szCs w:val="21"/>
          <w:highlight w:val="none"/>
        </w:rPr>
        <w:t>无效处理。</w:t>
      </w:r>
      <w:r>
        <w:rPr>
          <w:rFonts w:hint="eastAsia" w:ascii="宋体" w:hAnsi="宋体" w:eastAsia="宋体" w:cs="宋体"/>
          <w:b/>
          <w:bCs/>
          <w:color w:val="auto"/>
          <w:szCs w:val="21"/>
          <w:highlight w:val="none"/>
          <w:lang w:eastAsia="zh-CN"/>
        </w:rPr>
        <w:t>磋商</w:t>
      </w:r>
      <w:r>
        <w:rPr>
          <w:rFonts w:hint="eastAsia" w:ascii="宋体" w:hAnsi="宋体" w:eastAsia="宋体" w:cs="宋体"/>
          <w:b/>
          <w:bCs/>
          <w:color w:val="auto"/>
          <w:szCs w:val="21"/>
          <w:highlight w:val="none"/>
        </w:rPr>
        <w:t>报价总价应当与分</w:t>
      </w:r>
      <w:r>
        <w:rPr>
          <w:rFonts w:hint="eastAsia" w:ascii="宋体" w:hAnsi="宋体" w:cs="宋体"/>
          <w:b/>
          <w:bCs/>
          <w:color w:val="auto"/>
          <w:szCs w:val="21"/>
          <w:highlight w:val="none"/>
          <w:lang w:val="en-US" w:eastAsia="zh-CN"/>
        </w:rPr>
        <w:t>类</w:t>
      </w:r>
      <w:r>
        <w:rPr>
          <w:rFonts w:hint="eastAsia" w:ascii="宋体" w:hAnsi="宋体" w:eastAsia="宋体" w:cs="宋体"/>
          <w:b/>
          <w:bCs/>
          <w:color w:val="auto"/>
          <w:szCs w:val="21"/>
          <w:highlight w:val="none"/>
        </w:rPr>
        <w:t>分项工程和单价措施费</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如有</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、其他项目费和规费</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如有</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、增值税</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如有</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的合计金额一致，不一致的作</w:t>
      </w:r>
      <w:r>
        <w:rPr>
          <w:rFonts w:hint="eastAsia" w:ascii="宋体" w:hAnsi="宋体" w:eastAsia="宋体" w:cs="宋体"/>
          <w:b/>
          <w:bCs/>
          <w:color w:val="auto"/>
          <w:szCs w:val="21"/>
          <w:highlight w:val="none"/>
          <w:lang w:eastAsia="zh-CN"/>
        </w:rPr>
        <w:t>磋商</w:t>
      </w:r>
      <w:r>
        <w:rPr>
          <w:rFonts w:hint="eastAsia" w:ascii="宋体" w:hAnsi="宋体" w:eastAsia="宋体" w:cs="宋体"/>
          <w:b/>
          <w:bCs/>
          <w:color w:val="auto"/>
          <w:szCs w:val="21"/>
          <w:highlight w:val="none"/>
        </w:rPr>
        <w:t>无效处理。</w:t>
      </w:r>
    </w:p>
    <w:p w14:paraId="5922CCA0">
      <w:pPr>
        <w:keepNext w:val="0"/>
        <w:keepLines w:val="0"/>
        <w:pageBreakBefore w:val="0"/>
        <w:shd w:val="clear" w:color="auto" w:fill="FFFFFF"/>
        <w:kinsoku/>
        <w:wordWrap/>
        <w:overflowPunct/>
        <w:topLinePunct w:val="0"/>
        <w:autoSpaceDE/>
        <w:autoSpaceDN/>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11</w:t>
      </w:r>
      <w:r>
        <w:rPr>
          <w:rFonts w:hint="eastAsia" w:ascii="宋体" w:hAnsi="宋体" w:eastAsia="宋体" w:cs="宋体"/>
          <w:b/>
          <w:bCs/>
          <w:color w:val="auto"/>
          <w:szCs w:val="21"/>
          <w:highlight w:val="none"/>
        </w:rPr>
        <w:t>.1.</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设有暂定价或暂定金额的，</w:t>
      </w:r>
      <w:r>
        <w:rPr>
          <w:rFonts w:hint="eastAsia" w:ascii="宋体" w:hAnsi="宋体" w:eastAsia="宋体" w:cs="宋体"/>
          <w:b/>
          <w:bCs/>
          <w:color w:val="auto"/>
          <w:szCs w:val="21"/>
          <w:highlight w:val="none"/>
          <w:lang w:eastAsia="zh-CN"/>
        </w:rPr>
        <w:t>磋商</w:t>
      </w:r>
      <w:r>
        <w:rPr>
          <w:rFonts w:hint="eastAsia" w:ascii="宋体" w:hAnsi="宋体" w:eastAsia="宋体" w:cs="宋体"/>
          <w:b/>
          <w:bCs/>
          <w:color w:val="auto"/>
          <w:szCs w:val="21"/>
          <w:highlight w:val="none"/>
        </w:rPr>
        <w:t>时要按采购人工程量清单给出的暂定价或暂定金额计入</w:t>
      </w:r>
      <w:r>
        <w:rPr>
          <w:rFonts w:hint="eastAsia" w:ascii="宋体" w:hAnsi="宋体" w:eastAsia="宋体" w:cs="宋体"/>
          <w:b/>
          <w:bCs/>
          <w:color w:val="auto"/>
          <w:szCs w:val="21"/>
          <w:highlight w:val="none"/>
          <w:lang w:eastAsia="zh-CN"/>
        </w:rPr>
        <w:t>磋商</w:t>
      </w:r>
      <w:r>
        <w:rPr>
          <w:rFonts w:hint="eastAsia" w:ascii="宋体" w:hAnsi="宋体" w:eastAsia="宋体" w:cs="宋体"/>
          <w:b/>
          <w:bCs/>
          <w:color w:val="auto"/>
          <w:szCs w:val="21"/>
          <w:highlight w:val="none"/>
        </w:rPr>
        <w:t>报价中，否则作</w:t>
      </w:r>
      <w:r>
        <w:rPr>
          <w:rFonts w:hint="eastAsia" w:ascii="宋体" w:hAnsi="宋体" w:eastAsia="宋体" w:cs="宋体"/>
          <w:b/>
          <w:bCs/>
          <w:color w:val="auto"/>
          <w:szCs w:val="21"/>
          <w:highlight w:val="none"/>
          <w:lang w:eastAsia="zh-CN"/>
        </w:rPr>
        <w:t>磋商</w:t>
      </w:r>
      <w:r>
        <w:rPr>
          <w:rFonts w:hint="eastAsia" w:ascii="宋体" w:hAnsi="宋体" w:eastAsia="宋体" w:cs="宋体"/>
          <w:b/>
          <w:bCs/>
          <w:color w:val="auto"/>
          <w:szCs w:val="21"/>
          <w:highlight w:val="none"/>
        </w:rPr>
        <w:t>无效处理。</w:t>
      </w:r>
    </w:p>
    <w:p w14:paraId="454E9D78">
      <w:pPr>
        <w:keepNext w:val="0"/>
        <w:keepLines w:val="0"/>
        <w:pageBreakBefore w:val="0"/>
        <w:shd w:val="clear" w:color="auto" w:fill="FFFFFF"/>
        <w:kinsoku/>
        <w:wordWrap/>
        <w:overflowPunct/>
        <w:topLinePunct w:val="0"/>
        <w:autoSpaceDE/>
        <w:autoSpaceDN/>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11</w:t>
      </w:r>
      <w:r>
        <w:rPr>
          <w:rFonts w:hint="eastAsia" w:ascii="宋体" w:hAnsi="宋体" w:eastAsia="宋体" w:cs="宋体"/>
          <w:b/>
          <w:bCs/>
          <w:color w:val="auto"/>
          <w:szCs w:val="21"/>
          <w:highlight w:val="none"/>
        </w:rPr>
        <w:t>.1.</w:t>
      </w:r>
      <w:r>
        <w:rPr>
          <w:rFonts w:hint="eastAsia" w:ascii="宋体" w:hAnsi="宋体" w:eastAsia="宋体" w:cs="宋体"/>
          <w:b/>
          <w:bCs/>
          <w:color w:val="auto"/>
          <w:szCs w:val="21"/>
          <w:highlight w:val="none"/>
          <w:lang w:val="en-US" w:eastAsia="zh-CN"/>
        </w:rPr>
        <w:t>7</w:t>
      </w:r>
      <w:r>
        <w:rPr>
          <w:rFonts w:hint="eastAsia" w:ascii="宋体" w:hAnsi="宋体" w:eastAsia="宋体" w:cs="宋体"/>
          <w:b/>
          <w:bCs/>
          <w:color w:val="auto"/>
          <w:szCs w:val="21"/>
          <w:highlight w:val="none"/>
        </w:rPr>
        <w:t>本项目</w:t>
      </w:r>
      <w:r>
        <w:rPr>
          <w:rFonts w:hint="eastAsia" w:ascii="宋体" w:hAnsi="宋体" w:eastAsia="宋体" w:cs="宋体"/>
          <w:b/>
          <w:bCs/>
          <w:color w:val="auto"/>
          <w:szCs w:val="21"/>
          <w:highlight w:val="none"/>
          <w:lang w:eastAsia="zh-CN"/>
        </w:rPr>
        <w:t>磋商</w:t>
      </w:r>
      <w:r>
        <w:rPr>
          <w:rFonts w:hint="eastAsia" w:ascii="宋体" w:hAnsi="宋体" w:eastAsia="宋体" w:cs="宋体"/>
          <w:b/>
          <w:bCs/>
          <w:color w:val="auto"/>
          <w:szCs w:val="21"/>
          <w:highlight w:val="none"/>
        </w:rPr>
        <w:t>采用多次报价方式，作</w:t>
      </w:r>
      <w:r>
        <w:rPr>
          <w:rFonts w:hint="eastAsia" w:ascii="宋体" w:hAnsi="宋体" w:eastAsia="宋体" w:cs="宋体"/>
          <w:b/>
          <w:bCs/>
          <w:color w:val="auto"/>
          <w:szCs w:val="21"/>
          <w:highlight w:val="none"/>
          <w:lang w:eastAsia="zh-CN"/>
        </w:rPr>
        <w:t>磋商</w:t>
      </w:r>
      <w:r>
        <w:rPr>
          <w:rFonts w:hint="eastAsia" w:ascii="宋体" w:hAnsi="宋体" w:eastAsia="宋体" w:cs="宋体"/>
          <w:b/>
          <w:bCs/>
          <w:color w:val="auto"/>
          <w:szCs w:val="21"/>
          <w:highlight w:val="none"/>
        </w:rPr>
        <w:t>报价时采购人将书面告知各供应商，供应商的</w:t>
      </w:r>
      <w:r>
        <w:rPr>
          <w:rFonts w:hint="eastAsia" w:ascii="宋体" w:hAnsi="宋体" w:eastAsia="宋体" w:cs="宋体"/>
          <w:b/>
          <w:bCs/>
          <w:color w:val="auto"/>
          <w:szCs w:val="21"/>
          <w:highlight w:val="none"/>
          <w:lang w:eastAsia="zh-CN"/>
        </w:rPr>
        <w:t>磋商</w:t>
      </w:r>
      <w:r>
        <w:rPr>
          <w:rFonts w:hint="eastAsia" w:ascii="宋体" w:hAnsi="宋体" w:eastAsia="宋体" w:cs="宋体"/>
          <w:b/>
          <w:bCs/>
          <w:color w:val="auto"/>
          <w:szCs w:val="21"/>
          <w:highlight w:val="none"/>
        </w:rPr>
        <w:t>报价文件必须按工程量清单报价文件的要求及格式编制</w:t>
      </w:r>
      <w:r>
        <w:rPr>
          <w:rFonts w:hint="eastAsia" w:ascii="宋体" w:hAnsi="宋体" w:cs="宋体"/>
          <w:b/>
          <w:bCs/>
          <w:color w:val="auto"/>
          <w:szCs w:val="21"/>
          <w:highlight w:val="none"/>
          <w:lang w:val="en-US" w:eastAsia="zh-CN"/>
        </w:rPr>
        <w:t>并加盖供应商电子印章及相关编制人员（如有要求）签字或盖章（此处所指“签字或盖章”为手写签字或盖章后扫描上传）</w:t>
      </w:r>
      <w:r>
        <w:rPr>
          <w:rFonts w:hint="eastAsia" w:ascii="宋体" w:hAnsi="宋体" w:eastAsia="宋体" w:cs="宋体"/>
          <w:b/>
          <w:bCs/>
          <w:color w:val="auto"/>
          <w:szCs w:val="21"/>
          <w:highlight w:val="none"/>
        </w:rPr>
        <w:t>，不得以总价下浮的方式做</w:t>
      </w:r>
      <w:r>
        <w:rPr>
          <w:rFonts w:hint="eastAsia" w:ascii="宋体" w:hAnsi="宋体" w:eastAsia="宋体" w:cs="宋体"/>
          <w:b/>
          <w:bCs/>
          <w:color w:val="auto"/>
          <w:szCs w:val="21"/>
          <w:highlight w:val="none"/>
          <w:lang w:eastAsia="zh-CN"/>
        </w:rPr>
        <w:t>最后</w:t>
      </w:r>
      <w:r>
        <w:rPr>
          <w:rFonts w:hint="eastAsia" w:ascii="宋体" w:hAnsi="宋体" w:eastAsia="宋体" w:cs="宋体"/>
          <w:b/>
          <w:bCs/>
          <w:color w:val="auto"/>
          <w:szCs w:val="21"/>
          <w:highlight w:val="none"/>
        </w:rPr>
        <w:t>报价，否则，作无效</w:t>
      </w:r>
      <w:r>
        <w:rPr>
          <w:rFonts w:hint="eastAsia" w:ascii="宋体" w:hAnsi="宋体" w:cs="宋体"/>
          <w:b/>
          <w:bCs/>
          <w:color w:val="auto"/>
          <w:szCs w:val="21"/>
          <w:highlight w:val="none"/>
          <w:lang w:val="en-US" w:eastAsia="zh-CN"/>
        </w:rPr>
        <w:t>磋商</w:t>
      </w:r>
      <w:r>
        <w:rPr>
          <w:rFonts w:hint="eastAsia" w:ascii="宋体" w:hAnsi="宋体" w:eastAsia="宋体" w:cs="宋体"/>
          <w:b/>
          <w:bCs/>
          <w:color w:val="auto"/>
          <w:szCs w:val="21"/>
          <w:highlight w:val="none"/>
        </w:rPr>
        <w:t>处理，供应商须提前做好相关准备并按时递交</w:t>
      </w:r>
      <w:r>
        <w:rPr>
          <w:rFonts w:hint="eastAsia" w:ascii="宋体" w:hAnsi="宋体" w:eastAsia="宋体" w:cs="宋体"/>
          <w:b/>
          <w:bCs/>
          <w:color w:val="auto"/>
          <w:szCs w:val="21"/>
          <w:highlight w:val="none"/>
          <w:lang w:eastAsia="zh-CN"/>
        </w:rPr>
        <w:t>最后</w:t>
      </w:r>
      <w:r>
        <w:rPr>
          <w:rFonts w:hint="eastAsia" w:ascii="宋体" w:hAnsi="宋体" w:eastAsia="宋体" w:cs="宋体"/>
          <w:b/>
          <w:bCs/>
          <w:color w:val="auto"/>
          <w:szCs w:val="21"/>
          <w:highlight w:val="none"/>
        </w:rPr>
        <w:t>报价文件</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以附件的方式上传</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最后</w:t>
      </w:r>
      <w:r>
        <w:rPr>
          <w:rFonts w:hint="eastAsia" w:ascii="宋体" w:hAnsi="宋体" w:eastAsia="宋体" w:cs="宋体"/>
          <w:b/>
          <w:bCs/>
          <w:color w:val="auto"/>
          <w:szCs w:val="21"/>
          <w:highlight w:val="none"/>
        </w:rPr>
        <w:t>报价高于采购预算控制价的响应文件将被拒绝。</w:t>
      </w:r>
    </w:p>
    <w:p w14:paraId="31099242">
      <w:pPr>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highlight w:val="none"/>
          <w:lang w:val="en-US" w:eastAsia="zh-CN"/>
        </w:rPr>
        <w:t>11</w:t>
      </w:r>
      <w:r>
        <w:rPr>
          <w:rFonts w:hint="eastAsia" w:ascii="宋体" w:hAnsi="宋体" w:eastAsia="宋体" w:cs="宋体"/>
          <w:color w:val="auto"/>
          <w:szCs w:val="21"/>
          <w:highlight w:val="none"/>
        </w:rPr>
        <w:t>.2工程计价说明详见第三章</w:t>
      </w:r>
      <w:r>
        <w:rPr>
          <w:rFonts w:hint="eastAsia" w:ascii="宋体" w:hAnsi="宋体" w:eastAsia="宋体" w:cs="宋体"/>
          <w:color w:val="auto"/>
          <w:highlight w:val="none"/>
        </w:rPr>
        <w:t>项目需求和说明中的</w:t>
      </w:r>
      <w:r>
        <w:rPr>
          <w:rFonts w:hint="eastAsia" w:ascii="宋体" w:hAnsi="宋体" w:eastAsia="宋体" w:cs="宋体"/>
          <w:color w:val="auto"/>
          <w:szCs w:val="21"/>
          <w:highlight w:val="none"/>
        </w:rPr>
        <w:t>“工程量清单”。</w:t>
      </w:r>
    </w:p>
    <w:p w14:paraId="5CE6489C">
      <w:pPr>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highlight w:val="none"/>
          <w:lang w:val="en-US" w:eastAsia="zh-CN"/>
        </w:rPr>
        <w:t>11</w:t>
      </w:r>
      <w:r>
        <w:rPr>
          <w:rFonts w:hint="eastAsia" w:ascii="宋体" w:hAnsi="宋体" w:eastAsia="宋体" w:cs="宋体"/>
          <w:color w:val="auto"/>
          <w:highlight w:val="none"/>
        </w:rPr>
        <w:t>.2.1</w:t>
      </w:r>
      <w:r>
        <w:rPr>
          <w:rFonts w:hint="eastAsia" w:ascii="宋体" w:hAnsi="宋体" w:eastAsia="宋体" w:cs="宋体"/>
          <w:color w:val="auto"/>
          <w:szCs w:val="21"/>
          <w:highlight w:val="none"/>
        </w:rPr>
        <w:t>采购人不提供建筑废渣的倾倒地点，建筑废渣的运距由供应商按所能承受能力自行考虑，建筑废渣的运费以综合单价形式包干。结算时不对运距进行费用签证。</w:t>
      </w:r>
    </w:p>
    <w:p w14:paraId="0B5E5A47">
      <w:pPr>
        <w:keepNext w:val="0"/>
        <w:keepLines w:val="0"/>
        <w:pageBreakBefore w:val="0"/>
        <w:shd w:val="clear" w:color="auto" w:fill="FFFFFF"/>
        <w:kinsoku/>
        <w:wordWrap/>
        <w:overflowPunct/>
        <w:topLinePunct w:val="0"/>
        <w:autoSpaceDE/>
        <w:autoSpaceDN/>
        <w:bidi w:val="0"/>
        <w:spacing w:line="440" w:lineRule="exact"/>
        <w:ind w:firstLine="428" w:firstLineChars="200"/>
        <w:textAlignment w:val="auto"/>
        <w:rPr>
          <w:rFonts w:hint="eastAsia" w:ascii="宋体" w:hAnsi="宋体" w:eastAsia="宋体" w:cs="宋体"/>
          <w:color w:val="auto"/>
          <w:spacing w:val="2"/>
          <w:highlight w:val="none"/>
        </w:rPr>
      </w:pPr>
      <w:r>
        <w:rPr>
          <w:rFonts w:hint="eastAsia" w:ascii="宋体" w:hAnsi="宋体" w:cs="宋体"/>
          <w:color w:val="auto"/>
          <w:spacing w:val="2"/>
          <w:highlight w:val="none"/>
          <w:lang w:val="en-US" w:eastAsia="zh-CN"/>
        </w:rPr>
        <w:t>11</w:t>
      </w:r>
      <w:r>
        <w:rPr>
          <w:rFonts w:hint="eastAsia" w:ascii="宋体" w:hAnsi="宋体" w:eastAsia="宋体" w:cs="宋体"/>
          <w:color w:val="auto"/>
          <w:spacing w:val="2"/>
          <w:highlight w:val="none"/>
        </w:rPr>
        <w:t>.2.2</w:t>
      </w:r>
      <w:r>
        <w:rPr>
          <w:rFonts w:hint="eastAsia" w:ascii="宋体" w:hAnsi="宋体" w:eastAsia="宋体" w:cs="宋体"/>
          <w:color w:val="auto"/>
          <w:szCs w:val="21"/>
          <w:highlight w:val="none"/>
        </w:rPr>
        <w:t>本工程施工期间的水电费由</w:t>
      </w:r>
      <w:r>
        <w:rPr>
          <w:rFonts w:hint="eastAsia" w:ascii="宋体" w:hAnsi="宋体" w:eastAsia="宋体" w:cs="宋体"/>
          <w:color w:val="auto"/>
          <w:szCs w:val="21"/>
          <w:highlight w:val="none"/>
          <w:lang w:val="en-US" w:eastAsia="zh-CN"/>
        </w:rPr>
        <w:t>成交供应商</w:t>
      </w:r>
      <w:r>
        <w:rPr>
          <w:rFonts w:hint="eastAsia" w:ascii="宋体" w:hAnsi="宋体" w:eastAsia="宋体" w:cs="宋体"/>
          <w:color w:val="auto"/>
          <w:szCs w:val="21"/>
          <w:highlight w:val="none"/>
        </w:rPr>
        <w:t>承担。</w:t>
      </w:r>
    </w:p>
    <w:p w14:paraId="48E5E390">
      <w:pPr>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11</w:t>
      </w:r>
      <w:r>
        <w:rPr>
          <w:rFonts w:hint="eastAsia" w:ascii="宋体" w:hAnsi="宋体" w:eastAsia="宋体" w:cs="宋体"/>
          <w:color w:val="auto"/>
          <w:highlight w:val="none"/>
        </w:rPr>
        <w:t xml:space="preserve">.3 </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货币</w:t>
      </w:r>
    </w:p>
    <w:p w14:paraId="2C5DF505">
      <w:pPr>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响应文件报价中的单价和合价全部采用人民币表示。</w:t>
      </w:r>
    </w:p>
    <w:p w14:paraId="77BC6EA9">
      <w:pPr>
        <w:keepNext w:val="0"/>
        <w:keepLines w:val="0"/>
        <w:pageBreakBefore w:val="0"/>
        <w:shd w:val="clear" w:color="auto" w:fill="FFFFFF"/>
        <w:kinsoku/>
        <w:wordWrap/>
        <w:overflowPunct/>
        <w:topLinePunct w:val="0"/>
        <w:autoSpaceDE/>
        <w:autoSpaceDN/>
        <w:bidi w:val="0"/>
        <w:spacing w:line="440" w:lineRule="exact"/>
        <w:ind w:firstLine="430" w:firstLineChars="200"/>
        <w:textAlignment w:val="auto"/>
        <w:rPr>
          <w:rFonts w:hint="eastAsia" w:ascii="宋体" w:hAnsi="宋体" w:eastAsia="宋体" w:cs="宋体"/>
          <w:b/>
          <w:bCs/>
          <w:color w:val="auto"/>
          <w:spacing w:val="2"/>
          <w:highlight w:val="none"/>
        </w:rPr>
      </w:pPr>
      <w:bookmarkStart w:id="67" w:name="_Toc424307481"/>
      <w:bookmarkStart w:id="68" w:name="_Toc424307748"/>
      <w:r>
        <w:rPr>
          <w:rFonts w:hint="eastAsia" w:ascii="宋体" w:hAnsi="宋体" w:eastAsia="宋体" w:cs="宋体"/>
          <w:b/>
          <w:bCs/>
          <w:color w:val="auto"/>
          <w:spacing w:val="2"/>
          <w:highlight w:val="none"/>
        </w:rPr>
        <w:t>五、响应文件的编制</w:t>
      </w:r>
      <w:bookmarkEnd w:id="67"/>
      <w:bookmarkEnd w:id="68"/>
    </w:p>
    <w:p w14:paraId="3733B347">
      <w:pPr>
        <w:keepNext w:val="0"/>
        <w:keepLines w:val="0"/>
        <w:pageBreakBefore w:val="0"/>
        <w:shd w:val="clear" w:color="auto" w:fill="FFFFFF"/>
        <w:kinsoku/>
        <w:wordWrap/>
        <w:overflowPunct/>
        <w:topLinePunct w:val="0"/>
        <w:autoSpaceDE/>
        <w:autoSpaceDN/>
        <w:bidi w:val="0"/>
        <w:spacing w:line="440" w:lineRule="exact"/>
        <w:ind w:firstLine="430" w:firstLineChars="200"/>
        <w:textAlignment w:val="auto"/>
        <w:rPr>
          <w:rFonts w:hint="eastAsia" w:ascii="宋体" w:hAnsi="宋体" w:eastAsia="宋体" w:cs="宋体"/>
          <w:b/>
          <w:bCs/>
          <w:color w:val="auto"/>
          <w:spacing w:val="2"/>
          <w:highlight w:val="none"/>
        </w:rPr>
      </w:pPr>
      <w:r>
        <w:rPr>
          <w:rFonts w:hint="eastAsia" w:ascii="宋体" w:hAnsi="宋体" w:cs="宋体"/>
          <w:b/>
          <w:bCs/>
          <w:color w:val="auto"/>
          <w:spacing w:val="2"/>
          <w:highlight w:val="none"/>
          <w:lang w:val="en-US" w:eastAsia="zh-CN"/>
        </w:rPr>
        <w:t>12</w:t>
      </w:r>
      <w:r>
        <w:rPr>
          <w:rFonts w:hint="eastAsia" w:ascii="宋体" w:hAnsi="宋体" w:eastAsia="宋体" w:cs="宋体"/>
          <w:b/>
          <w:bCs/>
          <w:color w:val="auto"/>
          <w:spacing w:val="2"/>
          <w:highlight w:val="none"/>
        </w:rPr>
        <w:t>.响应文件的语言</w:t>
      </w:r>
    </w:p>
    <w:p w14:paraId="7AC04DF9">
      <w:pPr>
        <w:keepNext w:val="0"/>
        <w:keepLines w:val="0"/>
        <w:pageBreakBefore w:val="0"/>
        <w:widowControl w:val="0"/>
        <w:kinsoku/>
        <w:wordWrap/>
        <w:overflowPunct/>
        <w:topLinePunct w:val="0"/>
        <w:autoSpaceDE/>
        <w:autoSpaceDN/>
        <w:bidi w:val="0"/>
        <w:adjustRightInd/>
        <w:snapToGrid/>
        <w:spacing w:line="440" w:lineRule="exact"/>
        <w:ind w:firstLine="428" w:firstLineChars="200"/>
        <w:textAlignment w:val="auto"/>
        <w:rPr>
          <w:rFonts w:hint="eastAsia" w:ascii="宋体" w:hAnsi="宋体" w:eastAsia="宋体" w:cs="宋体"/>
          <w:color w:val="auto"/>
          <w:spacing w:val="2"/>
          <w:highlight w:val="none"/>
        </w:rPr>
      </w:pPr>
      <w:r>
        <w:rPr>
          <w:rFonts w:hint="eastAsia" w:ascii="宋体" w:hAnsi="宋体" w:cs="宋体"/>
          <w:color w:val="auto"/>
          <w:spacing w:val="2"/>
          <w:highlight w:val="none"/>
          <w:lang w:val="en-US" w:eastAsia="zh-CN"/>
        </w:rPr>
        <w:t>12</w:t>
      </w:r>
      <w:r>
        <w:rPr>
          <w:rFonts w:hint="eastAsia" w:ascii="宋体" w:hAnsi="宋体" w:eastAsia="宋体" w:cs="宋体"/>
          <w:color w:val="auto"/>
          <w:spacing w:val="2"/>
          <w:highlight w:val="none"/>
        </w:rPr>
        <w:t>.1“</w:t>
      </w:r>
      <w:r>
        <w:rPr>
          <w:rFonts w:hint="eastAsia" w:ascii="宋体" w:hAnsi="宋体" w:eastAsia="宋体" w:cs="宋体"/>
          <w:color w:val="auto"/>
          <w:szCs w:val="21"/>
          <w:highlight w:val="none"/>
        </w:rPr>
        <w:t>响应文件”是指：</w:t>
      </w:r>
      <w:r>
        <w:rPr>
          <w:rFonts w:hint="eastAsia" w:ascii="宋体" w:hAnsi="宋体" w:cs="宋体"/>
          <w:color w:val="auto"/>
          <w:spacing w:val="-6"/>
          <w:szCs w:val="21"/>
          <w:highlight w:val="none"/>
        </w:rPr>
        <w:t>供应商根据本磋商文件要求，编制包含资格证明、报价</w:t>
      </w:r>
      <w:r>
        <w:rPr>
          <w:rFonts w:hint="eastAsia" w:ascii="宋体" w:hAnsi="宋体" w:cs="宋体"/>
          <w:color w:val="auto"/>
          <w:spacing w:val="-6"/>
          <w:szCs w:val="21"/>
          <w:highlight w:val="none"/>
          <w:lang w:eastAsia="zh-CN"/>
        </w:rPr>
        <w:t>、</w:t>
      </w:r>
      <w:r>
        <w:rPr>
          <w:rFonts w:hint="eastAsia" w:ascii="宋体" w:hAnsi="宋体" w:cs="宋体"/>
          <w:color w:val="auto"/>
          <w:spacing w:val="-6"/>
          <w:szCs w:val="21"/>
          <w:highlight w:val="none"/>
          <w:lang w:val="en-US" w:eastAsia="zh-CN"/>
        </w:rPr>
        <w:t>商务</w:t>
      </w:r>
      <w:r>
        <w:rPr>
          <w:rFonts w:hint="eastAsia" w:ascii="宋体" w:hAnsi="宋体" w:cs="宋体"/>
          <w:color w:val="auto"/>
          <w:spacing w:val="-6"/>
          <w:szCs w:val="21"/>
          <w:highlight w:val="none"/>
        </w:rPr>
        <w:t>技术等所有内容的文件。</w:t>
      </w:r>
    </w:p>
    <w:p w14:paraId="23CDC612">
      <w:pPr>
        <w:keepNext w:val="0"/>
        <w:keepLines w:val="0"/>
        <w:pageBreakBefore w:val="0"/>
        <w:kinsoku/>
        <w:wordWrap/>
        <w:overflowPunct/>
        <w:topLinePunct w:val="0"/>
        <w:autoSpaceDE/>
        <w:autoSpaceDN/>
        <w:bidi w:val="0"/>
        <w:spacing w:line="440" w:lineRule="exact"/>
        <w:ind w:firstLine="428" w:firstLineChars="200"/>
        <w:textAlignment w:val="auto"/>
        <w:rPr>
          <w:rFonts w:hint="eastAsia" w:ascii="宋体" w:hAnsi="宋体" w:eastAsia="宋体" w:cs="宋体"/>
          <w:color w:val="auto"/>
          <w:szCs w:val="21"/>
          <w:highlight w:val="none"/>
        </w:rPr>
      </w:pPr>
      <w:r>
        <w:rPr>
          <w:rFonts w:hint="eastAsia" w:ascii="宋体" w:hAnsi="宋体" w:cs="宋体"/>
          <w:color w:val="auto"/>
          <w:spacing w:val="2"/>
          <w:highlight w:val="none"/>
          <w:lang w:val="en-US" w:eastAsia="zh-CN"/>
        </w:rPr>
        <w:t>12</w:t>
      </w:r>
      <w:r>
        <w:rPr>
          <w:rFonts w:hint="eastAsia" w:ascii="宋体" w:hAnsi="宋体" w:eastAsia="宋体" w:cs="宋体"/>
          <w:color w:val="auto"/>
          <w:spacing w:val="2"/>
          <w:highlight w:val="none"/>
        </w:rPr>
        <w:t>.2</w:t>
      </w:r>
      <w:r>
        <w:rPr>
          <w:rFonts w:hint="eastAsia" w:ascii="宋体" w:hAnsi="宋体" w:eastAsia="宋体" w:cs="宋体"/>
          <w:color w:val="auto"/>
          <w:spacing w:val="-2"/>
          <w:highlight w:val="none"/>
        </w:rPr>
        <w:t>响应文件及供应商与采购人之间往来的与</w:t>
      </w:r>
      <w:r>
        <w:rPr>
          <w:rFonts w:hint="eastAsia" w:ascii="宋体" w:hAnsi="宋体" w:eastAsia="宋体" w:cs="宋体"/>
          <w:color w:val="auto"/>
          <w:spacing w:val="-2"/>
          <w:highlight w:val="none"/>
          <w:lang w:eastAsia="zh-CN"/>
        </w:rPr>
        <w:t>磋商</w:t>
      </w:r>
      <w:r>
        <w:rPr>
          <w:rFonts w:hint="eastAsia" w:ascii="宋体" w:hAnsi="宋体" w:eastAsia="宋体" w:cs="宋体"/>
          <w:color w:val="auto"/>
          <w:spacing w:val="-2"/>
          <w:highlight w:val="none"/>
        </w:rPr>
        <w:t>有关的通知、函件和文件均应使用</w:t>
      </w:r>
      <w:r>
        <w:rPr>
          <w:rFonts w:hint="eastAsia" w:ascii="宋体" w:hAnsi="宋体" w:eastAsia="宋体" w:cs="宋体"/>
          <w:bCs/>
          <w:color w:val="auto"/>
          <w:spacing w:val="-2"/>
          <w:highlight w:val="none"/>
        </w:rPr>
        <w:t>中</w:t>
      </w:r>
      <w:r>
        <w:rPr>
          <w:rFonts w:hint="eastAsia" w:ascii="宋体" w:hAnsi="宋体" w:eastAsia="宋体" w:cs="宋体"/>
          <w:color w:val="auto"/>
          <w:spacing w:val="-2"/>
          <w:highlight w:val="none"/>
        </w:rPr>
        <w:t>文</w:t>
      </w:r>
      <w:r>
        <w:rPr>
          <w:rFonts w:hint="eastAsia" w:ascii="宋体" w:hAnsi="宋体" w:eastAsia="宋体" w:cs="宋体"/>
          <w:color w:val="auto"/>
          <w:szCs w:val="21"/>
          <w:highlight w:val="none"/>
        </w:rPr>
        <w:t>。</w:t>
      </w:r>
    </w:p>
    <w:p w14:paraId="0774FE1C">
      <w:pPr>
        <w:keepNext w:val="0"/>
        <w:keepLines w:val="0"/>
        <w:pageBreakBefore w:val="0"/>
        <w:shd w:val="clear" w:color="auto" w:fill="FFFFFF"/>
        <w:kinsoku/>
        <w:wordWrap/>
        <w:overflowPunct/>
        <w:topLinePunct w:val="0"/>
        <w:autoSpaceDE/>
        <w:autoSpaceDN/>
        <w:bidi w:val="0"/>
        <w:spacing w:line="440" w:lineRule="exact"/>
        <w:ind w:firstLine="430" w:firstLineChars="200"/>
        <w:textAlignment w:val="auto"/>
        <w:rPr>
          <w:rFonts w:hint="eastAsia" w:ascii="宋体" w:hAnsi="宋体" w:eastAsia="宋体" w:cs="宋体"/>
          <w:b/>
          <w:bCs/>
          <w:color w:val="auto"/>
          <w:spacing w:val="2"/>
          <w:highlight w:val="none"/>
        </w:rPr>
      </w:pPr>
      <w:r>
        <w:rPr>
          <w:rFonts w:hint="eastAsia" w:ascii="宋体" w:hAnsi="宋体" w:eastAsia="宋体" w:cs="宋体"/>
          <w:b/>
          <w:bCs/>
          <w:color w:val="auto"/>
          <w:spacing w:val="2"/>
          <w:highlight w:val="none"/>
        </w:rPr>
        <w:t>1</w:t>
      </w:r>
      <w:r>
        <w:rPr>
          <w:rFonts w:hint="eastAsia" w:ascii="宋体" w:hAnsi="宋体" w:cs="宋体"/>
          <w:b/>
          <w:bCs/>
          <w:color w:val="auto"/>
          <w:spacing w:val="2"/>
          <w:highlight w:val="none"/>
          <w:lang w:val="en-US" w:eastAsia="zh-CN"/>
        </w:rPr>
        <w:t>3</w:t>
      </w:r>
      <w:r>
        <w:rPr>
          <w:rFonts w:hint="eastAsia" w:ascii="宋体" w:hAnsi="宋体" w:cs="宋体"/>
          <w:b/>
          <w:bCs/>
          <w:color w:val="auto"/>
          <w:spacing w:val="2"/>
          <w:highlight w:val="none"/>
          <w:lang w:eastAsia="zh-CN"/>
        </w:rPr>
        <w:t>竞标有效期</w:t>
      </w:r>
    </w:p>
    <w:p w14:paraId="5884D220">
      <w:pPr>
        <w:keepNext w:val="0"/>
        <w:keepLines w:val="0"/>
        <w:pageBreakBefore w:val="0"/>
        <w:shd w:val="clear" w:color="auto" w:fill="FFFFFF"/>
        <w:kinsoku/>
        <w:wordWrap/>
        <w:overflowPunct/>
        <w:topLinePunct w:val="0"/>
        <w:autoSpaceDE/>
        <w:autoSpaceDN/>
        <w:bidi w:val="0"/>
        <w:spacing w:line="440" w:lineRule="exact"/>
        <w:ind w:firstLine="428" w:firstLineChars="200"/>
        <w:textAlignment w:val="auto"/>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1</w:t>
      </w:r>
      <w:r>
        <w:rPr>
          <w:rFonts w:hint="eastAsia" w:ascii="宋体" w:hAnsi="宋体" w:cs="宋体"/>
          <w:color w:val="auto"/>
          <w:spacing w:val="2"/>
          <w:highlight w:val="none"/>
          <w:lang w:val="en-US" w:eastAsia="zh-CN"/>
        </w:rPr>
        <w:t>3</w:t>
      </w:r>
      <w:r>
        <w:rPr>
          <w:rFonts w:hint="eastAsia" w:ascii="宋体" w:hAnsi="宋体" w:eastAsia="宋体" w:cs="宋体"/>
          <w:color w:val="auto"/>
          <w:spacing w:val="2"/>
          <w:highlight w:val="none"/>
        </w:rPr>
        <w:t xml:space="preserve">.1 </w:t>
      </w:r>
      <w:bookmarkStart w:id="69" w:name="OLE_LINK18"/>
      <w:r>
        <w:rPr>
          <w:rFonts w:hint="eastAsia" w:ascii="宋体" w:hAnsi="宋体" w:cs="宋体"/>
          <w:color w:val="auto"/>
          <w:spacing w:val="2"/>
          <w:highlight w:val="none"/>
          <w:lang w:eastAsia="zh-CN"/>
        </w:rPr>
        <w:t>竞标有效期</w:t>
      </w:r>
      <w:bookmarkEnd w:id="69"/>
      <w:r>
        <w:rPr>
          <w:rFonts w:hint="eastAsia" w:ascii="宋体" w:hAnsi="宋体" w:eastAsia="宋体" w:cs="宋体"/>
          <w:color w:val="auto"/>
          <w:spacing w:val="2"/>
          <w:highlight w:val="none"/>
        </w:rPr>
        <w:t>：自首次响应文件提交截止时间起至政府采购合同签订之日止。</w:t>
      </w:r>
    </w:p>
    <w:p w14:paraId="19333595">
      <w:pPr>
        <w:keepNext w:val="0"/>
        <w:keepLines w:val="0"/>
        <w:pageBreakBefore w:val="0"/>
        <w:shd w:val="clear" w:color="auto" w:fill="FFFFFF"/>
        <w:kinsoku/>
        <w:wordWrap/>
        <w:overflowPunct/>
        <w:topLinePunct w:val="0"/>
        <w:autoSpaceDE/>
        <w:autoSpaceDN/>
        <w:bidi w:val="0"/>
        <w:spacing w:line="440" w:lineRule="exact"/>
        <w:ind w:firstLine="428" w:firstLineChars="200"/>
        <w:textAlignment w:val="auto"/>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1</w:t>
      </w:r>
      <w:r>
        <w:rPr>
          <w:rFonts w:hint="eastAsia" w:ascii="宋体" w:hAnsi="宋体" w:cs="宋体"/>
          <w:color w:val="auto"/>
          <w:spacing w:val="2"/>
          <w:highlight w:val="none"/>
          <w:lang w:val="en-US" w:eastAsia="zh-CN"/>
        </w:rPr>
        <w:t>3</w:t>
      </w:r>
      <w:r>
        <w:rPr>
          <w:rFonts w:hint="eastAsia" w:ascii="宋体" w:hAnsi="宋体" w:eastAsia="宋体" w:cs="宋体"/>
          <w:color w:val="auto"/>
          <w:spacing w:val="2"/>
          <w:highlight w:val="none"/>
        </w:rPr>
        <w:t>.2在原定</w:t>
      </w:r>
      <w:r>
        <w:rPr>
          <w:rFonts w:hint="eastAsia" w:ascii="宋体" w:hAnsi="宋体" w:cs="宋体"/>
          <w:color w:val="auto"/>
          <w:spacing w:val="2"/>
          <w:highlight w:val="none"/>
          <w:lang w:eastAsia="zh-CN"/>
        </w:rPr>
        <w:t>竞标有效期</w:t>
      </w:r>
      <w:r>
        <w:rPr>
          <w:rFonts w:hint="eastAsia" w:ascii="宋体" w:hAnsi="宋体" w:eastAsia="宋体" w:cs="宋体"/>
          <w:color w:val="auto"/>
          <w:spacing w:val="2"/>
          <w:highlight w:val="none"/>
        </w:rPr>
        <w:t>满之前，如果出现特殊情况，采购人可以书面形式向供应商提出延长</w:t>
      </w:r>
      <w:r>
        <w:rPr>
          <w:rFonts w:hint="eastAsia" w:ascii="宋体" w:hAnsi="宋体" w:cs="宋体"/>
          <w:color w:val="auto"/>
          <w:spacing w:val="2"/>
          <w:highlight w:val="none"/>
          <w:lang w:eastAsia="zh-CN"/>
        </w:rPr>
        <w:t>竞标有效期</w:t>
      </w:r>
      <w:r>
        <w:rPr>
          <w:rFonts w:hint="eastAsia" w:ascii="宋体" w:hAnsi="宋体" w:eastAsia="宋体" w:cs="宋体"/>
          <w:color w:val="auto"/>
          <w:spacing w:val="2"/>
          <w:highlight w:val="none"/>
        </w:rPr>
        <w:t>的要求。供应商须以书面形式予以答复。同意延长</w:t>
      </w:r>
      <w:r>
        <w:rPr>
          <w:rFonts w:hint="eastAsia" w:ascii="宋体" w:hAnsi="宋体" w:cs="宋体"/>
          <w:color w:val="auto"/>
          <w:spacing w:val="2"/>
          <w:highlight w:val="none"/>
          <w:lang w:eastAsia="zh-CN"/>
        </w:rPr>
        <w:t>竞标有效期</w:t>
      </w:r>
      <w:r>
        <w:rPr>
          <w:rFonts w:hint="eastAsia" w:ascii="宋体" w:hAnsi="宋体" w:eastAsia="宋体" w:cs="宋体"/>
          <w:color w:val="auto"/>
          <w:spacing w:val="2"/>
          <w:highlight w:val="none"/>
        </w:rPr>
        <w:t>的供应商不允许修改其响应文件，在延长期内本须知的规定仍然适用。</w:t>
      </w:r>
    </w:p>
    <w:p w14:paraId="4A4E6DA7">
      <w:pPr>
        <w:keepNext w:val="0"/>
        <w:keepLines w:val="0"/>
        <w:pageBreakBefore w:val="0"/>
        <w:shd w:val="clear" w:color="auto" w:fill="FFFFFF"/>
        <w:kinsoku/>
        <w:wordWrap/>
        <w:overflowPunct/>
        <w:topLinePunct w:val="0"/>
        <w:autoSpaceDE/>
        <w:autoSpaceDN/>
        <w:bidi w:val="0"/>
        <w:spacing w:line="440" w:lineRule="exact"/>
        <w:ind w:firstLine="430" w:firstLineChars="200"/>
        <w:textAlignment w:val="auto"/>
        <w:rPr>
          <w:rFonts w:hint="eastAsia" w:ascii="宋体" w:hAnsi="宋体" w:eastAsia="宋体" w:cs="宋体"/>
          <w:b/>
          <w:bCs/>
          <w:color w:val="auto"/>
          <w:spacing w:val="2"/>
          <w:highlight w:val="none"/>
        </w:rPr>
      </w:pPr>
      <w:r>
        <w:rPr>
          <w:rFonts w:hint="eastAsia" w:ascii="宋体" w:hAnsi="宋体" w:eastAsia="宋体" w:cs="宋体"/>
          <w:b/>
          <w:bCs/>
          <w:color w:val="auto"/>
          <w:spacing w:val="2"/>
          <w:highlight w:val="none"/>
        </w:rPr>
        <w:t>1</w:t>
      </w:r>
      <w:r>
        <w:rPr>
          <w:rFonts w:hint="eastAsia" w:ascii="宋体" w:hAnsi="宋体" w:cs="宋体"/>
          <w:b/>
          <w:bCs/>
          <w:color w:val="auto"/>
          <w:spacing w:val="2"/>
          <w:highlight w:val="none"/>
          <w:lang w:val="en-US" w:eastAsia="zh-CN"/>
        </w:rPr>
        <w:t>4</w:t>
      </w:r>
      <w:r>
        <w:rPr>
          <w:rFonts w:hint="eastAsia" w:ascii="宋体" w:hAnsi="宋体" w:eastAsia="宋体" w:cs="宋体"/>
          <w:b/>
          <w:bCs/>
          <w:color w:val="auto"/>
          <w:spacing w:val="2"/>
          <w:highlight w:val="none"/>
        </w:rPr>
        <w:t>.</w:t>
      </w:r>
      <w:r>
        <w:rPr>
          <w:rFonts w:hint="eastAsia" w:ascii="宋体" w:hAnsi="宋体" w:eastAsia="宋体" w:cs="宋体"/>
          <w:b/>
          <w:color w:val="auto"/>
          <w:highlight w:val="none"/>
          <w:lang w:eastAsia="zh-CN"/>
        </w:rPr>
        <w:t>磋商</w:t>
      </w:r>
      <w:r>
        <w:rPr>
          <w:rFonts w:hint="eastAsia" w:ascii="宋体" w:hAnsi="宋体" w:eastAsia="宋体" w:cs="宋体"/>
          <w:b/>
          <w:color w:val="auto"/>
          <w:highlight w:val="none"/>
        </w:rPr>
        <w:t>保证金</w:t>
      </w:r>
    </w:p>
    <w:p w14:paraId="1CA96072">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本项目不收取磋商保证金</w:t>
      </w:r>
      <w:r>
        <w:rPr>
          <w:rFonts w:hint="eastAsia" w:ascii="宋体" w:hAnsi="宋体" w:eastAsia="宋体" w:cs="宋体"/>
          <w:color w:val="auto"/>
          <w:sz w:val="21"/>
          <w:szCs w:val="21"/>
          <w:highlight w:val="none"/>
        </w:rPr>
        <w:t>。</w:t>
      </w:r>
    </w:p>
    <w:p w14:paraId="51EBF4DF">
      <w:pPr>
        <w:keepNext w:val="0"/>
        <w:keepLines w:val="0"/>
        <w:pageBreakBefore w:val="0"/>
        <w:shd w:val="clear" w:color="auto" w:fill="FFFFFF"/>
        <w:kinsoku/>
        <w:wordWrap/>
        <w:overflowPunct/>
        <w:topLinePunct w:val="0"/>
        <w:autoSpaceDE/>
        <w:autoSpaceDN/>
        <w:bidi w:val="0"/>
        <w:spacing w:line="440" w:lineRule="exact"/>
        <w:ind w:firstLine="430" w:firstLineChars="200"/>
        <w:textAlignment w:val="auto"/>
        <w:rPr>
          <w:rFonts w:hint="eastAsia" w:ascii="宋体" w:hAnsi="宋体" w:eastAsia="宋体" w:cs="宋体"/>
          <w:b/>
          <w:bCs/>
          <w:color w:val="auto"/>
          <w:spacing w:val="2"/>
          <w:highlight w:val="none"/>
        </w:rPr>
      </w:pPr>
      <w:r>
        <w:rPr>
          <w:rFonts w:hint="eastAsia" w:ascii="宋体" w:hAnsi="宋体" w:eastAsia="宋体" w:cs="宋体"/>
          <w:b/>
          <w:bCs/>
          <w:color w:val="auto"/>
          <w:spacing w:val="2"/>
          <w:highlight w:val="none"/>
        </w:rPr>
        <w:t>1</w:t>
      </w:r>
      <w:r>
        <w:rPr>
          <w:rFonts w:hint="eastAsia" w:ascii="宋体" w:hAnsi="宋体" w:cs="宋体"/>
          <w:b/>
          <w:bCs/>
          <w:color w:val="auto"/>
          <w:spacing w:val="2"/>
          <w:highlight w:val="none"/>
          <w:lang w:val="en-US" w:eastAsia="zh-CN"/>
        </w:rPr>
        <w:t>5</w:t>
      </w:r>
      <w:r>
        <w:rPr>
          <w:rFonts w:hint="eastAsia" w:ascii="宋体" w:hAnsi="宋体" w:eastAsia="宋体" w:cs="宋体"/>
          <w:b/>
          <w:bCs/>
          <w:color w:val="auto"/>
          <w:spacing w:val="2"/>
          <w:highlight w:val="none"/>
        </w:rPr>
        <w:t>.踏勘现场和</w:t>
      </w:r>
      <w:r>
        <w:rPr>
          <w:rFonts w:hint="eastAsia" w:ascii="宋体" w:hAnsi="宋体" w:eastAsia="宋体" w:cs="宋体"/>
          <w:b/>
          <w:bCs/>
          <w:color w:val="auto"/>
          <w:spacing w:val="2"/>
          <w:highlight w:val="none"/>
          <w:lang w:eastAsia="zh-CN"/>
        </w:rPr>
        <w:t>磋商</w:t>
      </w:r>
      <w:r>
        <w:rPr>
          <w:rFonts w:hint="eastAsia" w:ascii="宋体" w:hAnsi="宋体" w:eastAsia="宋体" w:cs="宋体"/>
          <w:b/>
          <w:bCs/>
          <w:color w:val="auto"/>
          <w:spacing w:val="2"/>
          <w:highlight w:val="none"/>
        </w:rPr>
        <w:t>答疑</w:t>
      </w:r>
    </w:p>
    <w:p w14:paraId="680F9A0D">
      <w:pPr>
        <w:keepNext w:val="0"/>
        <w:keepLines w:val="0"/>
        <w:pageBreakBefore w:val="0"/>
        <w:shd w:val="clear" w:color="auto" w:fill="FFFFFF"/>
        <w:kinsoku/>
        <w:wordWrap/>
        <w:overflowPunct/>
        <w:topLinePunct w:val="0"/>
        <w:autoSpaceDE/>
        <w:autoSpaceDN/>
        <w:bidi w:val="0"/>
        <w:spacing w:line="440" w:lineRule="exact"/>
        <w:ind w:firstLine="428" w:firstLineChars="200"/>
        <w:textAlignment w:val="auto"/>
        <w:rPr>
          <w:rFonts w:hint="eastAsia" w:ascii="宋体" w:hAnsi="宋体" w:eastAsia="宋体" w:cs="宋体"/>
          <w:b w:val="0"/>
          <w:bCs w:val="0"/>
          <w:color w:val="auto"/>
          <w:spacing w:val="2"/>
          <w:highlight w:val="none"/>
        </w:rPr>
      </w:pPr>
      <w:r>
        <w:rPr>
          <w:rFonts w:hint="eastAsia" w:ascii="宋体" w:hAnsi="宋体" w:eastAsia="宋体" w:cs="宋体"/>
          <w:b w:val="0"/>
          <w:bCs w:val="0"/>
          <w:color w:val="auto"/>
          <w:spacing w:val="2"/>
          <w:highlight w:val="none"/>
        </w:rPr>
        <w:t>1</w:t>
      </w:r>
      <w:r>
        <w:rPr>
          <w:rFonts w:hint="eastAsia" w:ascii="宋体" w:hAnsi="宋体" w:cs="宋体"/>
          <w:b w:val="0"/>
          <w:bCs w:val="0"/>
          <w:color w:val="auto"/>
          <w:spacing w:val="2"/>
          <w:highlight w:val="none"/>
          <w:lang w:val="en-US" w:eastAsia="zh-CN"/>
        </w:rPr>
        <w:t>5</w:t>
      </w:r>
      <w:r>
        <w:rPr>
          <w:rFonts w:hint="eastAsia" w:ascii="宋体" w:hAnsi="宋体" w:eastAsia="宋体" w:cs="宋体"/>
          <w:b w:val="0"/>
          <w:bCs w:val="0"/>
          <w:color w:val="auto"/>
          <w:spacing w:val="2"/>
          <w:highlight w:val="none"/>
        </w:rPr>
        <w:t>.1 采购人向供应商提供的有关施工现场的资料和数据，是采购人现有的能使供应商利用的资料。采购人对供应商由此而作出的推论、理解和结论概不负责。</w:t>
      </w:r>
    </w:p>
    <w:p w14:paraId="1E327DA1">
      <w:pPr>
        <w:keepNext w:val="0"/>
        <w:keepLines w:val="0"/>
        <w:pageBreakBefore w:val="0"/>
        <w:shd w:val="clear" w:color="auto" w:fill="FFFFFF"/>
        <w:kinsoku/>
        <w:wordWrap/>
        <w:overflowPunct/>
        <w:topLinePunct w:val="0"/>
        <w:autoSpaceDE/>
        <w:autoSpaceDN/>
        <w:bidi w:val="0"/>
        <w:spacing w:line="440" w:lineRule="exact"/>
        <w:ind w:firstLine="428" w:firstLineChars="200"/>
        <w:textAlignment w:val="auto"/>
        <w:rPr>
          <w:rFonts w:hint="eastAsia" w:ascii="宋体" w:hAnsi="宋体" w:eastAsia="宋体" w:cs="宋体"/>
          <w:b w:val="0"/>
          <w:bCs w:val="0"/>
          <w:color w:val="auto"/>
          <w:spacing w:val="2"/>
          <w:highlight w:val="none"/>
        </w:rPr>
      </w:pPr>
      <w:r>
        <w:rPr>
          <w:rFonts w:hint="eastAsia" w:ascii="宋体" w:hAnsi="宋体" w:eastAsia="宋体" w:cs="宋体"/>
          <w:b w:val="0"/>
          <w:bCs w:val="0"/>
          <w:color w:val="auto"/>
          <w:spacing w:val="2"/>
          <w:highlight w:val="none"/>
        </w:rPr>
        <w:t>1</w:t>
      </w:r>
      <w:r>
        <w:rPr>
          <w:rFonts w:hint="eastAsia" w:ascii="宋体" w:hAnsi="宋体" w:cs="宋体"/>
          <w:b w:val="0"/>
          <w:bCs w:val="0"/>
          <w:color w:val="auto"/>
          <w:spacing w:val="2"/>
          <w:highlight w:val="none"/>
          <w:lang w:val="en-US" w:eastAsia="zh-CN"/>
        </w:rPr>
        <w:t>5</w:t>
      </w:r>
      <w:r>
        <w:rPr>
          <w:rFonts w:hint="eastAsia" w:ascii="宋体" w:hAnsi="宋体" w:eastAsia="宋体" w:cs="宋体"/>
          <w:b w:val="0"/>
          <w:bCs w:val="0"/>
          <w:color w:val="auto"/>
          <w:spacing w:val="2"/>
          <w:highlight w:val="none"/>
        </w:rPr>
        <w:t>.2 供应商提出的与</w:t>
      </w:r>
      <w:r>
        <w:rPr>
          <w:rFonts w:hint="eastAsia" w:ascii="宋体" w:hAnsi="宋体" w:eastAsia="宋体" w:cs="宋体"/>
          <w:b w:val="0"/>
          <w:bCs w:val="0"/>
          <w:color w:val="auto"/>
          <w:spacing w:val="2"/>
          <w:highlight w:val="none"/>
          <w:lang w:eastAsia="zh-CN"/>
        </w:rPr>
        <w:t>磋商</w:t>
      </w:r>
      <w:r>
        <w:rPr>
          <w:rFonts w:hint="eastAsia" w:ascii="宋体" w:hAnsi="宋体" w:eastAsia="宋体" w:cs="宋体"/>
          <w:b w:val="0"/>
          <w:bCs w:val="0"/>
          <w:color w:val="auto"/>
          <w:spacing w:val="2"/>
          <w:highlight w:val="none"/>
        </w:rPr>
        <w:t>有关的任何问题须在收到竞争性</w:t>
      </w:r>
      <w:r>
        <w:rPr>
          <w:rFonts w:hint="eastAsia" w:ascii="宋体" w:hAnsi="宋体" w:eastAsia="宋体" w:cs="宋体"/>
          <w:b w:val="0"/>
          <w:bCs w:val="0"/>
          <w:color w:val="auto"/>
          <w:spacing w:val="2"/>
          <w:highlight w:val="none"/>
          <w:lang w:eastAsia="zh-CN"/>
        </w:rPr>
        <w:t>磋商</w:t>
      </w:r>
      <w:r>
        <w:rPr>
          <w:rFonts w:hint="eastAsia" w:ascii="宋体" w:hAnsi="宋体" w:eastAsia="宋体" w:cs="宋体"/>
          <w:b w:val="0"/>
          <w:bCs w:val="0"/>
          <w:color w:val="auto"/>
          <w:spacing w:val="2"/>
          <w:highlight w:val="none"/>
        </w:rPr>
        <w:t>文件和工程量清单及相关资料后2天内，以书面形式送达采购代理机构，采购代理机构将通过“补遗文件”的形式予以答复。</w:t>
      </w:r>
    </w:p>
    <w:p w14:paraId="5B248C6B">
      <w:pPr>
        <w:keepNext w:val="0"/>
        <w:keepLines w:val="0"/>
        <w:pageBreakBefore w:val="0"/>
        <w:shd w:val="clear" w:color="auto" w:fill="FFFFFF"/>
        <w:kinsoku/>
        <w:wordWrap/>
        <w:overflowPunct/>
        <w:topLinePunct w:val="0"/>
        <w:autoSpaceDE/>
        <w:autoSpaceDN/>
        <w:bidi w:val="0"/>
        <w:spacing w:line="440" w:lineRule="exact"/>
        <w:ind w:firstLine="428" w:firstLineChars="200"/>
        <w:textAlignment w:val="auto"/>
        <w:rPr>
          <w:rFonts w:hint="eastAsia" w:ascii="宋体" w:hAnsi="宋体" w:eastAsia="宋体" w:cs="宋体"/>
          <w:b w:val="0"/>
          <w:bCs w:val="0"/>
          <w:color w:val="auto"/>
          <w:spacing w:val="2"/>
          <w:highlight w:val="none"/>
        </w:rPr>
      </w:pPr>
      <w:r>
        <w:rPr>
          <w:rFonts w:hint="eastAsia" w:ascii="宋体" w:hAnsi="宋体" w:eastAsia="宋体" w:cs="宋体"/>
          <w:b w:val="0"/>
          <w:bCs w:val="0"/>
          <w:color w:val="auto"/>
          <w:spacing w:val="2"/>
          <w:highlight w:val="none"/>
        </w:rPr>
        <w:t>1</w:t>
      </w:r>
      <w:r>
        <w:rPr>
          <w:rFonts w:hint="eastAsia" w:ascii="宋体" w:hAnsi="宋体" w:cs="宋体"/>
          <w:b w:val="0"/>
          <w:bCs w:val="0"/>
          <w:color w:val="auto"/>
          <w:spacing w:val="2"/>
          <w:highlight w:val="none"/>
          <w:lang w:val="en-US" w:eastAsia="zh-CN"/>
        </w:rPr>
        <w:t>5</w:t>
      </w:r>
      <w:r>
        <w:rPr>
          <w:rFonts w:hint="eastAsia" w:ascii="宋体" w:hAnsi="宋体" w:eastAsia="宋体" w:cs="宋体"/>
          <w:b w:val="0"/>
          <w:bCs w:val="0"/>
          <w:color w:val="auto"/>
          <w:spacing w:val="2"/>
          <w:highlight w:val="none"/>
        </w:rPr>
        <w:t>.3 采购补遗文件包括所有问题和答复，将迅速提供给所有获得竞争性</w:t>
      </w:r>
      <w:r>
        <w:rPr>
          <w:rFonts w:hint="eastAsia" w:ascii="宋体" w:hAnsi="宋体" w:eastAsia="宋体" w:cs="宋体"/>
          <w:b w:val="0"/>
          <w:bCs w:val="0"/>
          <w:color w:val="auto"/>
          <w:spacing w:val="2"/>
          <w:highlight w:val="none"/>
          <w:lang w:eastAsia="zh-CN"/>
        </w:rPr>
        <w:t>磋商</w:t>
      </w:r>
      <w:r>
        <w:rPr>
          <w:rFonts w:hint="eastAsia" w:ascii="宋体" w:hAnsi="宋体" w:eastAsia="宋体" w:cs="宋体"/>
          <w:b w:val="0"/>
          <w:bCs w:val="0"/>
          <w:color w:val="auto"/>
          <w:spacing w:val="2"/>
          <w:highlight w:val="none"/>
        </w:rPr>
        <w:t>文件的供应商。供应商须在前附表所列的时间和地点领取采购补遗文件。</w:t>
      </w:r>
    </w:p>
    <w:p w14:paraId="2A672E0C">
      <w:pPr>
        <w:keepNext w:val="0"/>
        <w:keepLines w:val="0"/>
        <w:pageBreakBefore w:val="0"/>
        <w:shd w:val="clear" w:color="auto" w:fill="FFFFFF"/>
        <w:kinsoku/>
        <w:wordWrap/>
        <w:overflowPunct/>
        <w:topLinePunct w:val="0"/>
        <w:autoSpaceDE/>
        <w:autoSpaceDN/>
        <w:bidi w:val="0"/>
        <w:spacing w:line="440" w:lineRule="exact"/>
        <w:ind w:firstLine="430" w:firstLineChars="200"/>
        <w:textAlignment w:val="auto"/>
        <w:rPr>
          <w:rFonts w:hint="eastAsia" w:ascii="宋体" w:hAnsi="宋体" w:eastAsia="宋体" w:cs="宋体"/>
          <w:b/>
          <w:bCs/>
          <w:color w:val="auto"/>
          <w:spacing w:val="2"/>
          <w:highlight w:val="none"/>
        </w:rPr>
      </w:pPr>
      <w:r>
        <w:rPr>
          <w:rFonts w:hint="eastAsia" w:ascii="宋体" w:hAnsi="宋体" w:eastAsia="宋体" w:cs="宋体"/>
          <w:b/>
          <w:bCs/>
          <w:color w:val="auto"/>
          <w:spacing w:val="2"/>
          <w:highlight w:val="none"/>
        </w:rPr>
        <w:t>1</w:t>
      </w:r>
      <w:r>
        <w:rPr>
          <w:rFonts w:hint="eastAsia" w:ascii="宋体" w:hAnsi="宋体" w:cs="宋体"/>
          <w:b/>
          <w:bCs/>
          <w:color w:val="auto"/>
          <w:spacing w:val="2"/>
          <w:highlight w:val="none"/>
          <w:lang w:val="en-US" w:eastAsia="zh-CN"/>
        </w:rPr>
        <w:t>6</w:t>
      </w:r>
      <w:r>
        <w:rPr>
          <w:rFonts w:hint="eastAsia" w:ascii="宋体" w:hAnsi="宋体" w:eastAsia="宋体" w:cs="宋体"/>
          <w:b/>
          <w:bCs/>
          <w:color w:val="auto"/>
          <w:spacing w:val="2"/>
          <w:highlight w:val="none"/>
        </w:rPr>
        <w:t>.</w:t>
      </w:r>
      <w:r>
        <w:rPr>
          <w:rFonts w:hint="eastAsia" w:ascii="宋体" w:hAnsi="宋体" w:eastAsia="宋体" w:cs="宋体"/>
          <w:b/>
          <w:bCs/>
          <w:color w:val="auto"/>
          <w:spacing w:val="2"/>
          <w:highlight w:val="none"/>
          <w:lang w:val="en-US" w:eastAsia="zh-CN"/>
        </w:rPr>
        <w:t>电子</w:t>
      </w:r>
      <w:r>
        <w:rPr>
          <w:rFonts w:hint="eastAsia" w:ascii="宋体" w:hAnsi="宋体" w:eastAsia="宋体" w:cs="宋体"/>
          <w:b/>
          <w:bCs/>
          <w:color w:val="auto"/>
          <w:spacing w:val="2"/>
          <w:highlight w:val="none"/>
        </w:rPr>
        <w:t>响应文件编制的要求</w:t>
      </w:r>
    </w:p>
    <w:p w14:paraId="0331757D">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648F645">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.2本磋商只接受电子版响应文件，要求见本章“</w:t>
      </w:r>
      <w:r>
        <w:rPr>
          <w:rFonts w:hint="eastAsia" w:ascii="宋体" w:hAnsi="宋体" w:eastAsia="宋体" w:cs="宋体"/>
          <w:color w:val="auto"/>
          <w:szCs w:val="21"/>
          <w:highlight w:val="none"/>
          <w:lang w:val="en-US" w:eastAsia="zh-CN"/>
        </w:rPr>
        <w:t>9.1</w:t>
      </w:r>
      <w:r>
        <w:rPr>
          <w:rFonts w:hint="eastAsia" w:ascii="宋体" w:hAnsi="宋体" w:eastAsia="宋体" w:cs="宋体"/>
          <w:color w:val="auto"/>
          <w:szCs w:val="21"/>
          <w:highlight w:val="none"/>
        </w:rPr>
        <w:t>响应文件电子版要求”。</w:t>
      </w:r>
    </w:p>
    <w:p w14:paraId="4E0AB075">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bookmarkStart w:id="70" w:name="_Hlk65832699"/>
      <w:r>
        <w:rPr>
          <w:rFonts w:hint="eastAsia" w:ascii="宋体" w:hAnsi="宋体" w:eastAsia="宋体" w:cs="宋体"/>
          <w:color w:val="auto"/>
          <w:szCs w:val="21"/>
          <w:highlight w:val="none"/>
        </w:rPr>
        <w:t>3响应文件须由供应商</w:t>
      </w:r>
      <w:r>
        <w:rPr>
          <w:rFonts w:hint="eastAsia" w:ascii="宋体" w:hAnsi="宋体" w:eastAsia="宋体" w:cs="宋体"/>
          <w:color w:val="auto"/>
          <w:szCs w:val="21"/>
          <w:highlight w:val="none"/>
          <w:lang w:eastAsia="zh-CN"/>
        </w:rPr>
        <w:t>按</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进行签署、盖章</w:t>
      </w:r>
      <w:bookmarkEnd w:id="70"/>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否则其响应文件按无效响应处理</w:t>
      </w:r>
      <w:r>
        <w:rPr>
          <w:rFonts w:hint="eastAsia" w:ascii="宋体" w:hAnsi="宋体" w:eastAsia="宋体" w:cs="宋体"/>
          <w:color w:val="auto"/>
          <w:szCs w:val="21"/>
          <w:highlight w:val="none"/>
        </w:rPr>
        <w:t>。</w:t>
      </w:r>
    </w:p>
    <w:p w14:paraId="745BFD33">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.4响应文件中标注的供应商名称应与营业执照（事业单位法人证书、执业许可证、自然人身份证）及</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公章一致，</w:t>
      </w:r>
      <w:r>
        <w:rPr>
          <w:rFonts w:hint="eastAsia" w:ascii="宋体" w:hAnsi="宋体" w:eastAsia="宋体" w:cs="宋体"/>
          <w:b/>
          <w:bCs/>
          <w:color w:val="auto"/>
          <w:szCs w:val="21"/>
          <w:highlight w:val="none"/>
        </w:rPr>
        <w:t>否则其响应文件按无效响应处理。</w:t>
      </w:r>
    </w:p>
    <w:p w14:paraId="2642CCCE">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pacing w:val="2"/>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.5响应文件应避免涂改、行间插字或者删除</w:t>
      </w:r>
      <w:r>
        <w:rPr>
          <w:rFonts w:hint="eastAsia" w:ascii="宋体" w:hAnsi="宋体" w:eastAsia="宋体" w:cs="宋体"/>
          <w:b w:val="0"/>
          <w:bCs w:val="0"/>
          <w:color w:val="auto"/>
          <w:spacing w:val="2"/>
          <w:highlight w:val="none"/>
        </w:rPr>
        <w:t>。</w:t>
      </w:r>
    </w:p>
    <w:p w14:paraId="79D209F9">
      <w:pPr>
        <w:keepNext w:val="0"/>
        <w:keepLines w:val="0"/>
        <w:pageBreakBefore w:val="0"/>
        <w:shd w:val="clear" w:color="auto" w:fill="FFFFFF"/>
        <w:kinsoku/>
        <w:wordWrap/>
        <w:overflowPunct/>
        <w:topLinePunct w:val="0"/>
        <w:autoSpaceDE/>
        <w:autoSpaceDN/>
        <w:bidi w:val="0"/>
        <w:spacing w:line="440" w:lineRule="exact"/>
        <w:ind w:firstLine="430" w:firstLineChars="200"/>
        <w:textAlignment w:val="auto"/>
        <w:rPr>
          <w:rFonts w:hint="eastAsia" w:ascii="宋体" w:hAnsi="宋体" w:eastAsia="宋体" w:cs="宋体"/>
          <w:b/>
          <w:bCs/>
          <w:color w:val="auto"/>
          <w:spacing w:val="2"/>
          <w:highlight w:val="none"/>
        </w:rPr>
      </w:pPr>
      <w:bookmarkStart w:id="71" w:name="_Toc424307749"/>
      <w:bookmarkStart w:id="72" w:name="_Toc424307482"/>
      <w:r>
        <w:rPr>
          <w:rFonts w:hint="eastAsia" w:ascii="宋体" w:hAnsi="宋体" w:eastAsia="宋体" w:cs="宋体"/>
          <w:b/>
          <w:bCs/>
          <w:color w:val="auto"/>
          <w:spacing w:val="2"/>
          <w:highlight w:val="none"/>
        </w:rPr>
        <w:t>1</w:t>
      </w:r>
      <w:r>
        <w:rPr>
          <w:rFonts w:hint="eastAsia" w:ascii="宋体" w:hAnsi="宋体" w:cs="宋体"/>
          <w:b/>
          <w:bCs/>
          <w:color w:val="auto"/>
          <w:spacing w:val="2"/>
          <w:highlight w:val="none"/>
          <w:lang w:val="en-US" w:eastAsia="zh-CN"/>
        </w:rPr>
        <w:t>7</w:t>
      </w:r>
      <w:r>
        <w:rPr>
          <w:rFonts w:hint="eastAsia" w:ascii="宋体" w:hAnsi="宋体" w:eastAsia="宋体" w:cs="宋体"/>
          <w:b/>
          <w:bCs/>
          <w:color w:val="auto"/>
          <w:spacing w:val="2"/>
          <w:highlight w:val="none"/>
        </w:rPr>
        <w:t>.响应文件的</w:t>
      </w:r>
      <w:r>
        <w:rPr>
          <w:rFonts w:hint="eastAsia" w:ascii="宋体" w:hAnsi="宋体" w:cs="宋体"/>
          <w:b/>
          <w:bCs/>
          <w:color w:val="auto"/>
          <w:spacing w:val="2"/>
          <w:highlight w:val="none"/>
          <w:lang w:val="en-US" w:eastAsia="zh-CN"/>
        </w:rPr>
        <w:t>加密</w:t>
      </w:r>
      <w:r>
        <w:rPr>
          <w:rFonts w:hint="eastAsia" w:ascii="宋体" w:hAnsi="宋体" w:eastAsia="宋体" w:cs="宋体"/>
          <w:b/>
          <w:bCs/>
          <w:color w:val="auto"/>
          <w:spacing w:val="2"/>
          <w:highlight w:val="none"/>
        </w:rPr>
        <w:t>和标记</w:t>
      </w:r>
    </w:p>
    <w:p w14:paraId="2F195338">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lang w:val="zh-CN"/>
        </w:rPr>
        <w:t>.1供应商进行电子交易应安装客户端软件—“</w:t>
      </w:r>
      <w:r>
        <w:rPr>
          <w:rFonts w:hint="eastAsia" w:ascii="宋体" w:hAnsi="宋体" w:cs="宋体"/>
          <w:color w:val="auto"/>
          <w:kern w:val="0"/>
          <w:szCs w:val="21"/>
          <w:highlight w:val="none"/>
          <w:lang w:val="zh-CN"/>
        </w:rPr>
        <w:t>广西政府采购云平台新版客户端</w:t>
      </w:r>
      <w:r>
        <w:rPr>
          <w:rFonts w:hint="eastAsia" w:ascii="宋体" w:hAnsi="宋体" w:eastAsia="宋体" w:cs="宋体"/>
          <w:color w:val="auto"/>
          <w:kern w:val="0"/>
          <w:szCs w:val="21"/>
          <w:highlight w:val="none"/>
          <w:lang w:val="zh-CN"/>
        </w:rPr>
        <w:t>”，并按照磋商文件和电子交易平台的要求编制并加密响应文件。供应商未按规定加密的响应文件，电子交易平台将拒收并提示。</w:t>
      </w:r>
    </w:p>
    <w:p w14:paraId="0E67159A">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lang w:val="zh-CN"/>
        </w:rPr>
        <w:t>.2使用“</w:t>
      </w:r>
      <w:r>
        <w:rPr>
          <w:rFonts w:hint="eastAsia" w:ascii="宋体" w:hAnsi="宋体" w:cs="宋体"/>
          <w:color w:val="auto"/>
          <w:kern w:val="0"/>
          <w:szCs w:val="21"/>
          <w:highlight w:val="none"/>
          <w:lang w:val="zh-CN"/>
        </w:rPr>
        <w:t>广西政府采购云平台新版客户端</w:t>
      </w:r>
      <w:r>
        <w:rPr>
          <w:rFonts w:hint="eastAsia" w:ascii="宋体" w:hAnsi="宋体" w:eastAsia="宋体" w:cs="宋体"/>
          <w:color w:val="auto"/>
          <w:kern w:val="0"/>
          <w:szCs w:val="21"/>
          <w:highlight w:val="none"/>
          <w:lang w:val="zh-CN"/>
        </w:rPr>
        <w:t>”需要提前申领CA数字证书。</w:t>
      </w:r>
    </w:p>
    <w:p w14:paraId="55CC601D">
      <w:pPr>
        <w:pStyle w:val="12"/>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Ansi="宋体" w:cs="仿宋_GB2312"/>
          <w:color w:val="auto"/>
          <w:sz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.3为确保网上操作合法、有效和安全，供应商应当在响应文件提交截止时间前完成在“</w:t>
      </w:r>
      <w:r>
        <w:rPr>
          <w:rFonts w:hint="eastAsia" w:hAnsi="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”的身份认证，确保在电子交易过程中能够对相关数据电文进行加密和使用电子签名</w:t>
      </w:r>
      <w:r>
        <w:rPr>
          <w:rFonts w:hint="eastAsia" w:hAnsi="宋体" w:cs="仿宋_GB2312"/>
          <w:color w:val="auto"/>
          <w:sz w:val="21"/>
          <w:highlight w:val="none"/>
        </w:rPr>
        <w:t>。</w:t>
      </w:r>
    </w:p>
    <w:bookmarkEnd w:id="71"/>
    <w:bookmarkEnd w:id="72"/>
    <w:p w14:paraId="6930B303">
      <w:pPr>
        <w:keepNext w:val="0"/>
        <w:keepLines w:val="0"/>
        <w:pageBreakBefore w:val="0"/>
        <w:shd w:val="clear" w:color="auto" w:fill="FFFFFF"/>
        <w:kinsoku/>
        <w:wordWrap/>
        <w:overflowPunct/>
        <w:topLinePunct w:val="0"/>
        <w:autoSpaceDE/>
        <w:autoSpaceDN/>
        <w:bidi w:val="0"/>
        <w:spacing w:line="440" w:lineRule="exact"/>
        <w:ind w:firstLine="430" w:firstLineChars="200"/>
        <w:textAlignment w:val="auto"/>
        <w:rPr>
          <w:rFonts w:hint="eastAsia" w:ascii="宋体" w:hAnsi="宋体" w:eastAsia="宋体" w:cs="宋体"/>
          <w:b/>
          <w:bCs/>
          <w:color w:val="auto"/>
          <w:spacing w:val="2"/>
          <w:highlight w:val="none"/>
        </w:rPr>
      </w:pPr>
      <w:r>
        <w:rPr>
          <w:rFonts w:hint="eastAsia" w:ascii="宋体" w:hAnsi="宋体" w:eastAsia="宋体" w:cs="宋体"/>
          <w:b/>
          <w:bCs/>
          <w:color w:val="auto"/>
          <w:spacing w:val="2"/>
          <w:highlight w:val="none"/>
          <w:lang w:val="en-US" w:eastAsia="zh-CN"/>
        </w:rPr>
        <w:t>1</w:t>
      </w:r>
      <w:r>
        <w:rPr>
          <w:rFonts w:hint="eastAsia" w:ascii="宋体" w:hAnsi="宋体" w:cs="宋体"/>
          <w:b/>
          <w:bCs/>
          <w:color w:val="auto"/>
          <w:spacing w:val="2"/>
          <w:highlight w:val="none"/>
          <w:lang w:val="en-US" w:eastAsia="zh-CN"/>
        </w:rPr>
        <w:t>8</w:t>
      </w:r>
      <w:r>
        <w:rPr>
          <w:rFonts w:hint="eastAsia" w:ascii="宋体" w:hAnsi="宋体" w:eastAsia="宋体" w:cs="宋体"/>
          <w:b/>
          <w:bCs/>
          <w:color w:val="auto"/>
          <w:spacing w:val="2"/>
          <w:highlight w:val="none"/>
        </w:rPr>
        <w:t>.响应文件的提交</w:t>
      </w:r>
    </w:p>
    <w:p w14:paraId="61825B86">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rPr>
        <w:t>.1供应商必须在“供应商须知前附表”规定的时间和地点提交响应文件。</w:t>
      </w:r>
    </w:p>
    <w:p w14:paraId="4BA9C359">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rPr>
        <w:t>.2 在响应文件提交截止时间以后，不能补充、修改响应文件。</w:t>
      </w:r>
    </w:p>
    <w:p w14:paraId="5C612C8F">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rPr>
        <w:t>.3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6D7262D5">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rPr>
        <w:t>.4 电子交易平台收到响应文件，将妥善保存并即时向供应商发出确认回执通知。在响应文件提交截止时间前，除供应商补充、修改或者撤回响应文件外，任何单位和个人不得解密或提取响应文件。</w:t>
      </w:r>
    </w:p>
    <w:p w14:paraId="0D15B104">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rPr>
        <w:t>.5 采购机构不可视情况延长提交响应文件的截止时间。</w:t>
      </w:r>
    </w:p>
    <w:p w14:paraId="61858E9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rPr>
        <w:t>.6备份响应文件。</w:t>
      </w:r>
      <w:r>
        <w:rPr>
          <w:rFonts w:hint="eastAsia" w:ascii="宋体" w:hAnsi="宋体" w:eastAsia="宋体" w:cs="宋体"/>
          <w:bCs/>
          <w:color w:val="auto"/>
          <w:szCs w:val="21"/>
          <w:highlight w:val="none"/>
        </w:rPr>
        <w:t>详见“供应商须知前附表”。</w:t>
      </w:r>
    </w:p>
    <w:p w14:paraId="308EAD52">
      <w:pPr>
        <w:keepNext w:val="0"/>
        <w:keepLines w:val="0"/>
        <w:pageBreakBefore w:val="0"/>
        <w:shd w:val="clear" w:color="auto" w:fill="FFFFFF"/>
        <w:kinsoku/>
        <w:wordWrap/>
        <w:overflowPunct/>
        <w:topLinePunct w:val="0"/>
        <w:autoSpaceDE/>
        <w:autoSpaceDN/>
        <w:bidi w:val="0"/>
        <w:spacing w:line="440" w:lineRule="exact"/>
        <w:ind w:firstLine="430" w:firstLineChars="200"/>
        <w:textAlignment w:val="auto"/>
        <w:rPr>
          <w:rFonts w:hint="eastAsia" w:ascii="宋体" w:hAnsi="宋体" w:eastAsia="宋体" w:cs="宋体"/>
          <w:b/>
          <w:bCs/>
          <w:color w:val="auto"/>
          <w:spacing w:val="2"/>
          <w:highlight w:val="none"/>
        </w:rPr>
      </w:pPr>
      <w:r>
        <w:rPr>
          <w:rFonts w:hint="eastAsia" w:ascii="宋体" w:hAnsi="宋体" w:eastAsia="宋体" w:cs="宋体"/>
          <w:b/>
          <w:bCs/>
          <w:color w:val="auto"/>
          <w:spacing w:val="2"/>
          <w:highlight w:val="none"/>
          <w:lang w:val="en-US" w:eastAsia="zh-CN"/>
        </w:rPr>
        <w:t>19.</w:t>
      </w:r>
      <w:r>
        <w:rPr>
          <w:rFonts w:hint="eastAsia" w:ascii="宋体" w:hAnsi="宋体" w:eastAsia="宋体" w:cs="宋体"/>
          <w:b/>
          <w:bCs/>
          <w:color w:val="auto"/>
          <w:spacing w:val="2"/>
          <w:highlight w:val="none"/>
        </w:rPr>
        <w:t xml:space="preserve"> 首次响应文件的补充、修改与撤回</w:t>
      </w:r>
    </w:p>
    <w:p w14:paraId="32AAB4AD">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cs="宋体"/>
          <w:color w:val="auto"/>
          <w:szCs w:val="21"/>
          <w:highlight w:val="none"/>
        </w:rPr>
      </w:pPr>
      <w:r>
        <w:rPr>
          <w:rFonts w:hint="eastAsia" w:cs="宋体"/>
          <w:color w:val="auto"/>
          <w:szCs w:val="21"/>
          <w:highlight w:val="none"/>
        </w:rPr>
        <w:t>详见</w:t>
      </w:r>
      <w:r>
        <w:rPr>
          <w:rFonts w:hint="eastAsia" w:cs="宋体"/>
          <w:color w:val="auto"/>
          <w:szCs w:val="21"/>
          <w:highlight w:val="none"/>
          <w:lang w:val="en-US" w:eastAsia="zh-CN"/>
        </w:rPr>
        <w:t>竞争性磋商公告</w:t>
      </w:r>
      <w:r>
        <w:rPr>
          <w:rFonts w:hint="eastAsia" w:cs="宋体"/>
          <w:color w:val="auto"/>
          <w:szCs w:val="21"/>
          <w:highlight w:val="none"/>
        </w:rPr>
        <w:t>。</w:t>
      </w:r>
    </w:p>
    <w:p w14:paraId="2C9D931E">
      <w:pPr>
        <w:keepNext w:val="0"/>
        <w:keepLines w:val="0"/>
        <w:pageBreakBefore w:val="0"/>
        <w:shd w:val="clear" w:color="auto" w:fill="FFFFFF"/>
        <w:kinsoku/>
        <w:wordWrap/>
        <w:overflowPunct/>
        <w:topLinePunct w:val="0"/>
        <w:autoSpaceDE/>
        <w:autoSpaceDN/>
        <w:bidi w:val="0"/>
        <w:spacing w:line="440" w:lineRule="exact"/>
        <w:ind w:firstLine="430" w:firstLineChars="200"/>
        <w:textAlignment w:val="auto"/>
        <w:rPr>
          <w:rFonts w:hint="eastAsia" w:ascii="宋体" w:hAnsi="宋体" w:eastAsia="宋体" w:cs="宋体"/>
          <w:b/>
          <w:bCs/>
          <w:color w:val="auto"/>
          <w:spacing w:val="2"/>
          <w:highlight w:val="none"/>
        </w:rPr>
      </w:pPr>
      <w:r>
        <w:rPr>
          <w:rFonts w:hint="eastAsia" w:ascii="宋体" w:hAnsi="宋体" w:eastAsia="宋体" w:cs="宋体"/>
          <w:b/>
          <w:bCs/>
          <w:color w:val="auto"/>
          <w:spacing w:val="2"/>
          <w:highlight w:val="none"/>
        </w:rPr>
        <w:t>2</w:t>
      </w:r>
      <w:r>
        <w:rPr>
          <w:rFonts w:hint="eastAsia" w:ascii="宋体" w:hAnsi="宋体" w:cs="宋体"/>
          <w:b/>
          <w:bCs/>
          <w:color w:val="auto"/>
          <w:spacing w:val="2"/>
          <w:highlight w:val="none"/>
          <w:lang w:val="en-US" w:eastAsia="zh-CN"/>
        </w:rPr>
        <w:t>0</w:t>
      </w:r>
      <w:r>
        <w:rPr>
          <w:rFonts w:hint="eastAsia" w:ascii="宋体" w:hAnsi="宋体" w:eastAsia="宋体" w:cs="宋体"/>
          <w:b/>
          <w:bCs/>
          <w:color w:val="auto"/>
          <w:spacing w:val="2"/>
          <w:highlight w:val="none"/>
        </w:rPr>
        <w:t>. 截止时间后的撤回</w:t>
      </w:r>
    </w:p>
    <w:p w14:paraId="073A73E5">
      <w:pPr>
        <w:keepNext w:val="0"/>
        <w:keepLines w:val="0"/>
        <w:pageBreakBefore w:val="0"/>
        <w:shd w:val="clear" w:color="auto" w:fill="FFFFFF"/>
        <w:kinsoku/>
        <w:wordWrap/>
        <w:overflowPunct/>
        <w:topLinePunct w:val="0"/>
        <w:autoSpaceDE/>
        <w:autoSpaceDN/>
        <w:bidi w:val="0"/>
        <w:spacing w:line="440" w:lineRule="exact"/>
        <w:ind w:firstLine="428" w:firstLineChars="200"/>
        <w:textAlignment w:val="auto"/>
        <w:rPr>
          <w:rFonts w:hint="eastAsia" w:ascii="宋体" w:hAnsi="宋体" w:cs="宋体"/>
          <w:b w:val="0"/>
          <w:bCs w:val="0"/>
          <w:color w:val="auto"/>
          <w:spacing w:val="2"/>
          <w:highlight w:val="none"/>
          <w:lang w:val="en-US" w:eastAsia="zh-CN"/>
        </w:rPr>
      </w:pPr>
      <w:r>
        <w:rPr>
          <w:rFonts w:hint="eastAsia" w:ascii="宋体" w:hAnsi="宋体" w:cs="宋体"/>
          <w:b w:val="0"/>
          <w:bCs w:val="0"/>
          <w:color w:val="auto"/>
          <w:spacing w:val="2"/>
          <w:highlight w:val="none"/>
          <w:lang w:val="en-US" w:eastAsia="zh-CN"/>
        </w:rPr>
        <w:t>供应商在首次响应文件提交截止时间后向采购人、采购代理机构书面申请撤回电子响应文件的，将不予退还其磋商保证金（如有）。</w:t>
      </w:r>
    </w:p>
    <w:p w14:paraId="17D34360">
      <w:pPr>
        <w:keepNext w:val="0"/>
        <w:keepLines w:val="0"/>
        <w:pageBreakBefore w:val="0"/>
        <w:shd w:val="clear" w:color="auto" w:fill="FFFFFF"/>
        <w:kinsoku/>
        <w:wordWrap/>
        <w:overflowPunct/>
        <w:topLinePunct w:val="0"/>
        <w:autoSpaceDE/>
        <w:autoSpaceDN/>
        <w:bidi w:val="0"/>
        <w:spacing w:line="440" w:lineRule="exact"/>
        <w:ind w:firstLine="430" w:firstLineChars="200"/>
        <w:textAlignment w:val="auto"/>
        <w:rPr>
          <w:rFonts w:hint="eastAsia" w:ascii="宋体" w:hAnsi="宋体" w:eastAsia="宋体" w:cs="宋体"/>
          <w:b/>
          <w:bCs/>
          <w:color w:val="auto"/>
          <w:spacing w:val="2"/>
          <w:highlight w:val="none"/>
        </w:rPr>
      </w:pPr>
      <w:r>
        <w:rPr>
          <w:rFonts w:hint="eastAsia" w:ascii="宋体" w:hAnsi="宋体" w:cs="宋体"/>
          <w:b/>
          <w:bCs/>
          <w:color w:val="auto"/>
          <w:spacing w:val="2"/>
          <w:highlight w:val="none"/>
          <w:lang w:val="en-US" w:eastAsia="zh-CN"/>
        </w:rPr>
        <w:t>六</w:t>
      </w:r>
      <w:r>
        <w:rPr>
          <w:rFonts w:hint="eastAsia" w:ascii="宋体" w:hAnsi="宋体" w:eastAsia="宋体" w:cs="宋体"/>
          <w:b/>
          <w:bCs/>
          <w:color w:val="auto"/>
          <w:spacing w:val="2"/>
          <w:highlight w:val="none"/>
          <w:lang w:eastAsia="zh-CN"/>
        </w:rPr>
        <w:t>、磋商</w:t>
      </w:r>
    </w:p>
    <w:p w14:paraId="0FD7F20A">
      <w:pPr>
        <w:keepNext w:val="0"/>
        <w:keepLines w:val="0"/>
        <w:pageBreakBefore w:val="0"/>
        <w:shd w:val="clear" w:color="auto" w:fill="FFFFFF"/>
        <w:kinsoku/>
        <w:wordWrap/>
        <w:overflowPunct/>
        <w:topLinePunct w:val="0"/>
        <w:autoSpaceDE/>
        <w:autoSpaceDN/>
        <w:bidi w:val="0"/>
        <w:spacing w:line="440" w:lineRule="exact"/>
        <w:ind w:firstLine="430" w:firstLineChars="200"/>
        <w:textAlignment w:val="auto"/>
        <w:rPr>
          <w:rFonts w:hint="eastAsia" w:ascii="宋体" w:hAnsi="宋体" w:eastAsia="宋体" w:cs="宋体"/>
          <w:b/>
          <w:bCs/>
          <w:color w:val="auto"/>
          <w:spacing w:val="2"/>
          <w:highlight w:val="none"/>
        </w:rPr>
      </w:pPr>
      <w:r>
        <w:rPr>
          <w:rFonts w:hint="eastAsia" w:ascii="宋体" w:hAnsi="宋体" w:cs="宋体"/>
          <w:b/>
          <w:bCs/>
          <w:color w:val="auto"/>
          <w:spacing w:val="2"/>
          <w:highlight w:val="none"/>
          <w:lang w:val="en-US" w:eastAsia="zh-CN"/>
        </w:rPr>
        <w:t>21</w:t>
      </w:r>
      <w:r>
        <w:rPr>
          <w:rFonts w:hint="eastAsia" w:ascii="宋体" w:hAnsi="宋体" w:eastAsia="宋体" w:cs="宋体"/>
          <w:b/>
          <w:bCs/>
          <w:color w:val="auto"/>
          <w:spacing w:val="2"/>
          <w:highlight w:val="none"/>
        </w:rPr>
        <w:t>.磋商小组成立</w:t>
      </w:r>
    </w:p>
    <w:p w14:paraId="6FCEDC5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.1磋商小组由采购人代表和评审专家共3人</w:t>
      </w:r>
      <w:r>
        <w:rPr>
          <w:rFonts w:hint="eastAsia"/>
          <w:color w:val="auto"/>
          <w:lang w:val="en-US" w:eastAsia="zh-CN"/>
        </w:rPr>
        <w:t>及</w:t>
      </w:r>
      <w:r>
        <w:rPr>
          <w:rFonts w:hint="eastAsia" w:ascii="宋体" w:hAnsi="宋体" w:cs="宋体"/>
          <w:color w:val="auto"/>
          <w:szCs w:val="21"/>
          <w:highlight w:val="none"/>
        </w:rPr>
        <w:t>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41E645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7379339E">
      <w:pPr>
        <w:keepNext w:val="0"/>
        <w:keepLines w:val="0"/>
        <w:pageBreakBefore w:val="0"/>
        <w:shd w:val="clear" w:color="auto" w:fill="FFFFFF"/>
        <w:kinsoku/>
        <w:wordWrap/>
        <w:overflowPunct/>
        <w:topLinePunct w:val="0"/>
        <w:autoSpaceDE/>
        <w:autoSpaceDN/>
        <w:bidi w:val="0"/>
        <w:spacing w:line="440" w:lineRule="exact"/>
        <w:ind w:firstLine="430" w:firstLineChars="200"/>
        <w:textAlignment w:val="auto"/>
        <w:rPr>
          <w:rFonts w:hint="eastAsia" w:ascii="宋体" w:hAnsi="宋体" w:eastAsia="宋体" w:cs="宋体"/>
          <w:b/>
          <w:bCs/>
          <w:color w:val="auto"/>
          <w:spacing w:val="2"/>
          <w:highlight w:val="none"/>
        </w:rPr>
      </w:pPr>
      <w:r>
        <w:rPr>
          <w:rFonts w:hint="eastAsia" w:ascii="宋体" w:hAnsi="宋体" w:cs="宋体"/>
          <w:b/>
          <w:bCs/>
          <w:color w:val="auto"/>
          <w:spacing w:val="2"/>
          <w:highlight w:val="none"/>
          <w:lang w:val="en-US" w:eastAsia="zh-CN"/>
        </w:rPr>
        <w:t>22</w:t>
      </w:r>
      <w:r>
        <w:rPr>
          <w:rFonts w:hint="eastAsia" w:ascii="宋体" w:hAnsi="宋体" w:eastAsia="宋体" w:cs="宋体"/>
          <w:b/>
          <w:bCs/>
          <w:color w:val="auto"/>
          <w:spacing w:val="2"/>
          <w:highlight w:val="none"/>
        </w:rPr>
        <w:t>.首次响应文件的开启</w:t>
      </w:r>
    </w:p>
    <w:p w14:paraId="0DC1B4F3">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.1首次响应文件由磋商小组或者采购代理机构在“供应商须知前附表”规定的时间开启。</w:t>
      </w:r>
    </w:p>
    <w:p w14:paraId="51120538">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bCs/>
          <w:color w:val="auto"/>
          <w:kern w:val="0"/>
          <w:szCs w:val="21"/>
          <w:highlight w:val="none"/>
        </w:rPr>
        <w:t>响应文件解密</w:t>
      </w:r>
    </w:p>
    <w:p w14:paraId="41B9AE25">
      <w:pPr>
        <w:keepNext w:val="0"/>
        <w:keepLines w:val="0"/>
        <w:pageBreakBefore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采购代理机构将在“供应商须知前附表”规定的时</w:t>
      </w:r>
      <w:r>
        <w:rPr>
          <w:rFonts w:hint="eastAsia" w:ascii="宋体" w:hAnsi="宋体" w:eastAsia="宋体" w:cs="宋体"/>
          <w:color w:val="auto"/>
          <w:kern w:val="0"/>
          <w:szCs w:val="21"/>
          <w:highlight w:val="none"/>
        </w:rPr>
        <w:t>间通过电子交易平台组织响应文件开启，采购机构依托电子交易平台发起开始解密指令，供应商的法定代表人或其委托代理人</w:t>
      </w:r>
      <w:r>
        <w:rPr>
          <w:rFonts w:hint="eastAsia" w:ascii="宋体" w:hAnsi="宋体" w:eastAsia="宋体" w:cs="宋体"/>
          <w:b/>
          <w:color w:val="auto"/>
          <w:kern w:val="0"/>
          <w:szCs w:val="21"/>
          <w:highlight w:val="none"/>
        </w:rPr>
        <w:t>须携带加密时所用的CA锁按平台提示和采购文件的规定登录到“</w:t>
      </w:r>
      <w:r>
        <w:rPr>
          <w:rFonts w:hint="eastAsia" w:ascii="宋体" w:hAnsi="宋体" w:eastAsia="宋体" w:cs="宋体"/>
          <w:b/>
          <w:color w:val="auto"/>
          <w:kern w:val="0"/>
          <w:szCs w:val="21"/>
          <w:highlight w:val="none"/>
          <w:lang w:val="en-US" w:eastAsia="zh-CN"/>
        </w:rPr>
        <w:t>广西政府采购云平台</w:t>
      </w:r>
      <w:r>
        <w:rPr>
          <w:rFonts w:hint="eastAsia" w:ascii="宋体" w:hAnsi="宋体" w:eastAsia="宋体" w:cs="宋体"/>
          <w:b/>
          <w:color w:val="auto"/>
          <w:kern w:val="0"/>
          <w:szCs w:val="21"/>
          <w:highlight w:val="none"/>
        </w:rPr>
        <w:t>”电子开标大厅签到并在规定的时间内完成对电子响应文件在线解密</w:t>
      </w:r>
      <w:r>
        <w:rPr>
          <w:rFonts w:hint="eastAsia" w:ascii="宋体" w:hAnsi="宋体" w:eastAsia="宋体" w:cs="宋体"/>
          <w:color w:val="auto"/>
          <w:kern w:val="0"/>
          <w:szCs w:val="21"/>
          <w:highlight w:val="none"/>
        </w:rPr>
        <w:t>。</w:t>
      </w:r>
      <w:r>
        <w:rPr>
          <w:rFonts w:hint="eastAsia" w:ascii="宋体" w:hAnsi="宋体" w:eastAsia="宋体" w:cs="宋体"/>
          <w:color w:val="auto"/>
          <w:kern w:val="1"/>
          <w:szCs w:val="21"/>
          <w:highlight w:val="none"/>
          <w:lang w:eastAsia="zh-CN"/>
        </w:rPr>
        <w:t>响应</w:t>
      </w:r>
      <w:r>
        <w:rPr>
          <w:rFonts w:hint="eastAsia" w:ascii="宋体" w:hAnsi="宋体" w:eastAsia="宋体" w:cs="宋体"/>
          <w:color w:val="auto"/>
          <w:kern w:val="1"/>
          <w:szCs w:val="21"/>
          <w:highlight w:val="none"/>
        </w:rPr>
        <w:t>文件未按时解密的</w:t>
      </w:r>
      <w:r>
        <w:rPr>
          <w:rFonts w:hint="eastAsia" w:ascii="宋体" w:hAnsi="宋体" w:eastAsia="宋体" w:cs="宋体"/>
          <w:color w:val="auto"/>
          <w:kern w:val="0"/>
          <w:szCs w:val="21"/>
          <w:highlight w:val="none"/>
        </w:rPr>
        <w:t>，</w:t>
      </w:r>
      <w:r>
        <w:rPr>
          <w:rFonts w:hint="eastAsia" w:ascii="宋体" w:hAnsi="宋体" w:eastAsia="宋体" w:cs="宋体"/>
          <w:b/>
          <w:color w:val="auto"/>
          <w:kern w:val="0"/>
          <w:szCs w:val="21"/>
          <w:highlight w:val="none"/>
        </w:rPr>
        <w:t>视为响应文件无效。</w:t>
      </w:r>
      <w:r>
        <w:rPr>
          <w:rFonts w:hint="eastAsia" w:ascii="宋体" w:hAnsi="宋体" w:eastAsia="宋体" w:cs="宋体"/>
          <w:color w:val="auto"/>
          <w:kern w:val="0"/>
          <w:szCs w:val="21"/>
          <w:highlight w:val="none"/>
        </w:rPr>
        <w:t>（解密</w:t>
      </w:r>
      <w:r>
        <w:rPr>
          <w:rFonts w:hint="eastAsia" w:ascii="宋体" w:hAnsi="宋体" w:eastAsia="宋体" w:cs="宋体"/>
          <w:bCs/>
          <w:color w:val="auto"/>
          <w:kern w:val="0"/>
          <w:szCs w:val="21"/>
          <w:highlight w:val="none"/>
        </w:rPr>
        <w:t>异常情况处理：详见本章</w:t>
      </w:r>
      <w:r>
        <w:rPr>
          <w:rFonts w:hint="eastAsia" w:ascii="宋体" w:hAnsi="宋体" w:eastAsia="宋体" w:cs="宋体"/>
          <w:color w:val="auto"/>
          <w:kern w:val="0"/>
          <w:szCs w:val="21"/>
          <w:highlight w:val="none"/>
        </w:rPr>
        <w:t>2</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电子交易活动的中止。）</w:t>
      </w:r>
    </w:p>
    <w:p w14:paraId="260C644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w:t>
      </w:r>
      <w:r>
        <w:rPr>
          <w:rFonts w:hint="eastAsia" w:ascii="宋体" w:hAnsi="宋体" w:eastAsia="宋体" w:cs="宋体"/>
          <w:bCs/>
          <w:color w:val="auto"/>
          <w:kern w:val="0"/>
          <w:szCs w:val="21"/>
          <w:highlight w:val="none"/>
        </w:rPr>
        <w:t>供应商成功解密响应文件，但未在“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bCs/>
          <w:color w:val="auto"/>
          <w:kern w:val="0"/>
          <w:szCs w:val="21"/>
          <w:highlight w:val="none"/>
        </w:rPr>
        <w:t>”电子开标大厅参加</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的，视同认可</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过程和结果，</w:t>
      </w:r>
      <w:r>
        <w:rPr>
          <w:rFonts w:hint="eastAsia" w:ascii="宋体" w:hAnsi="宋体" w:eastAsia="宋体" w:cs="宋体"/>
          <w:color w:val="auto"/>
          <w:kern w:val="0"/>
          <w:szCs w:val="21"/>
          <w:highlight w:val="none"/>
        </w:rPr>
        <w:t>由此产生的后果由供应商自行负责。 参与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的供应商不足3家的，不得</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w:t>
      </w:r>
    </w:p>
    <w:p w14:paraId="04AFBDD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lang w:val="en-US" w:eastAsia="zh-CN"/>
        </w:rPr>
        <w:t>23</w:t>
      </w:r>
      <w:r>
        <w:rPr>
          <w:rFonts w:hint="eastAsia" w:ascii="黑体" w:hAnsi="黑体" w:eastAsia="黑体" w:cs="宋体"/>
          <w:b/>
          <w:bCs/>
          <w:color w:val="auto"/>
          <w:sz w:val="24"/>
          <w:highlight w:val="none"/>
        </w:rPr>
        <w:t>.评审程序、评审方法和评审标准</w:t>
      </w:r>
    </w:p>
    <w:p w14:paraId="27B9744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w:t>
      </w:r>
      <w:r>
        <w:rPr>
          <w:rFonts w:hint="eastAsia" w:ascii="宋体" w:hAnsi="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.1磋商小组按照“第</w:t>
      </w:r>
      <w:r>
        <w:rPr>
          <w:rFonts w:hint="eastAsia" w:ascii="宋体" w:hAnsi="宋体" w:eastAsia="宋体" w:cs="宋体"/>
          <w:bCs/>
          <w:color w:val="auto"/>
          <w:kern w:val="0"/>
          <w:szCs w:val="21"/>
          <w:highlight w:val="none"/>
          <w:lang w:val="en-US" w:eastAsia="zh-CN"/>
        </w:rPr>
        <w:t>八</w:t>
      </w:r>
      <w:r>
        <w:rPr>
          <w:rFonts w:hint="eastAsia" w:ascii="宋体" w:hAnsi="宋体" w:eastAsia="宋体" w:cs="宋体"/>
          <w:bCs/>
          <w:color w:val="auto"/>
          <w:kern w:val="0"/>
          <w:szCs w:val="21"/>
          <w:highlight w:val="none"/>
        </w:rPr>
        <w:t>章 评</w:t>
      </w:r>
      <w:r>
        <w:rPr>
          <w:rFonts w:hint="eastAsia" w:ascii="宋体" w:hAnsi="宋体" w:eastAsia="宋体" w:cs="宋体"/>
          <w:bCs/>
          <w:color w:val="auto"/>
          <w:kern w:val="0"/>
          <w:szCs w:val="21"/>
          <w:highlight w:val="none"/>
          <w:lang w:val="en-US" w:eastAsia="zh-CN"/>
        </w:rPr>
        <w:t>定</w:t>
      </w:r>
      <w:r>
        <w:rPr>
          <w:rFonts w:hint="eastAsia" w:ascii="宋体" w:hAnsi="宋体" w:eastAsia="宋体" w:cs="宋体"/>
          <w:bCs/>
          <w:color w:val="auto"/>
          <w:kern w:val="0"/>
          <w:szCs w:val="21"/>
          <w:highlight w:val="none"/>
        </w:rPr>
        <w:t>标准”规定的方法、评审因素、标准和程序对响应文件进行评审。</w:t>
      </w:r>
    </w:p>
    <w:p w14:paraId="7F455DE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w:t>
      </w:r>
      <w:r>
        <w:rPr>
          <w:rFonts w:hint="eastAsia" w:ascii="宋体" w:hAnsi="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.2磋商文件内容违反国家有关强制性规定的，磋商小组应当停止评审并向采购人或者采购代理机构说明情况，并在评审报告中书面体现。</w:t>
      </w:r>
    </w:p>
    <w:p w14:paraId="19DCB53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磋商顺序详见“供应商须知前附表”。</w:t>
      </w:r>
    </w:p>
    <w:p w14:paraId="7E972B7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w:t>
      </w:r>
      <w:r>
        <w:rPr>
          <w:rFonts w:hint="eastAsia" w:ascii="宋体" w:hAnsi="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val="en-US" w:eastAsia="zh-CN"/>
        </w:rPr>
        <w:t>4</w:t>
      </w:r>
      <w:r>
        <w:rPr>
          <w:rFonts w:hint="eastAsia" w:ascii="宋体" w:hAnsi="宋体" w:eastAsia="宋体" w:cs="宋体"/>
          <w:bCs/>
          <w:color w:val="auto"/>
          <w:kern w:val="0"/>
          <w:szCs w:val="21"/>
          <w:highlight w:val="none"/>
        </w:rPr>
        <w:t>电子交易活动的中止。采购过程中出现以下情形，导致电子交易平台无法正常运行，或者无法保证电子交易的公平、公正和安全时，采购机构可中止电子交易活动：</w:t>
      </w:r>
    </w:p>
    <w:p w14:paraId="7008559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（1）电子交易平台发生故障而无法登录访问的； </w:t>
      </w:r>
    </w:p>
    <w:p w14:paraId="60D92F3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（2）电子交易平台应用或数据库出现错误，不能进行正常操作的；</w:t>
      </w:r>
    </w:p>
    <w:p w14:paraId="13CB550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（3）电子交易平台发现严重安全漏洞，有潜在泄密危险的；</w:t>
      </w:r>
    </w:p>
    <w:p w14:paraId="34D1F1E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（4）病毒发作导致不能进行正常操作的； </w:t>
      </w:r>
    </w:p>
    <w:p w14:paraId="5899B0D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val="en-US" w:eastAsia="zh-CN"/>
        </w:rPr>
        <w:t>5</w:t>
      </w:r>
      <w:r>
        <w:rPr>
          <w:rFonts w:hint="eastAsia" w:ascii="宋体" w:hAnsi="宋体" w:eastAsia="宋体" w:cs="宋体"/>
          <w:bCs/>
          <w:color w:val="auto"/>
          <w:kern w:val="0"/>
          <w:szCs w:val="21"/>
          <w:highlight w:val="none"/>
        </w:rPr>
        <w:t>）其他无法保证电子交易的公平、公正和安全的情况。</w:t>
      </w:r>
    </w:p>
    <w:p w14:paraId="6FCDF4B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w:t>
      </w:r>
      <w:r>
        <w:rPr>
          <w:rFonts w:hint="eastAsia" w:ascii="宋体" w:hAnsi="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val="en-US" w:eastAsia="zh-CN"/>
        </w:rPr>
        <w:t>5</w:t>
      </w:r>
      <w:r>
        <w:rPr>
          <w:rFonts w:hint="eastAsia" w:ascii="宋体" w:hAnsi="宋体" w:eastAsia="宋体" w:cs="宋体"/>
          <w:bCs/>
          <w:color w:val="auto"/>
          <w:kern w:val="0"/>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1899F35">
      <w:pPr>
        <w:keepNext w:val="0"/>
        <w:keepLines w:val="0"/>
        <w:pageBreakBefore w:val="0"/>
        <w:shd w:val="clear" w:color="auto" w:fill="FFFFFF"/>
        <w:kinsoku/>
        <w:wordWrap/>
        <w:overflowPunct/>
        <w:topLinePunct w:val="0"/>
        <w:autoSpaceDE/>
        <w:autoSpaceDN/>
        <w:bidi w:val="0"/>
        <w:spacing w:line="440" w:lineRule="exact"/>
        <w:ind w:firstLine="430" w:firstLineChars="200"/>
        <w:textAlignment w:val="auto"/>
        <w:rPr>
          <w:rFonts w:hint="eastAsia" w:ascii="宋体" w:hAnsi="宋体" w:eastAsia="宋体" w:cs="宋体"/>
          <w:b/>
          <w:bCs w:val="0"/>
          <w:color w:val="auto"/>
          <w:spacing w:val="2"/>
          <w:highlight w:val="none"/>
        </w:rPr>
      </w:pPr>
      <w:r>
        <w:rPr>
          <w:rFonts w:hint="eastAsia" w:ascii="宋体" w:hAnsi="宋体" w:cs="宋体"/>
          <w:b/>
          <w:bCs w:val="0"/>
          <w:color w:val="auto"/>
          <w:spacing w:val="2"/>
          <w:highlight w:val="none"/>
          <w:lang w:val="en-US" w:eastAsia="zh-CN"/>
        </w:rPr>
        <w:t>七</w:t>
      </w:r>
      <w:r>
        <w:rPr>
          <w:rFonts w:hint="eastAsia" w:ascii="宋体" w:hAnsi="宋体" w:eastAsia="宋体" w:cs="宋体"/>
          <w:b/>
          <w:bCs w:val="0"/>
          <w:color w:val="auto"/>
          <w:spacing w:val="2"/>
          <w:highlight w:val="none"/>
          <w:lang w:eastAsia="zh-CN"/>
        </w:rPr>
        <w:t>、</w:t>
      </w:r>
      <w:r>
        <w:rPr>
          <w:rFonts w:hint="eastAsia" w:ascii="宋体" w:hAnsi="宋体" w:cs="宋体"/>
          <w:b/>
          <w:bCs w:val="0"/>
          <w:color w:val="auto"/>
          <w:spacing w:val="2"/>
          <w:highlight w:val="none"/>
          <w:lang w:val="en-US" w:eastAsia="zh-CN"/>
        </w:rPr>
        <w:t>特别说明</w:t>
      </w:r>
    </w:p>
    <w:p w14:paraId="5BAC3A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olor w:val="auto"/>
          <w:szCs w:val="21"/>
          <w:highlight w:val="none"/>
        </w:rPr>
        <w:t>如果本磋商文件要求供应商提供资格、信誉、荣誉、业绩与企业认证等材料的，则供应商所提供的以上材料必须为</w:t>
      </w:r>
      <w:r>
        <w:rPr>
          <w:rFonts w:hint="eastAsia" w:ascii="宋体" w:hAnsi="宋体"/>
          <w:color w:val="auto"/>
          <w:szCs w:val="21"/>
          <w:highlight w:val="none"/>
          <w:lang w:val="en-US" w:eastAsia="zh-CN"/>
        </w:rPr>
        <w:t>该</w:t>
      </w:r>
      <w:r>
        <w:rPr>
          <w:rFonts w:hint="eastAsia" w:ascii="宋体" w:hAnsi="宋体"/>
          <w:color w:val="auto"/>
          <w:szCs w:val="21"/>
          <w:highlight w:val="none"/>
        </w:rPr>
        <w:t>供应商所拥有</w:t>
      </w:r>
      <w:r>
        <w:rPr>
          <w:rFonts w:hint="eastAsia" w:ascii="宋体" w:hAnsi="宋体" w:cs="宋体"/>
          <w:color w:val="auto"/>
          <w:szCs w:val="21"/>
          <w:highlight w:val="none"/>
        </w:rPr>
        <w:t>。</w:t>
      </w:r>
    </w:p>
    <w:p w14:paraId="04923A0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55ED7A5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3B44E3C9">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24</w:t>
      </w:r>
      <w:r>
        <w:rPr>
          <w:rFonts w:hint="eastAsia" w:ascii="宋体" w:hAnsi="宋体" w:cs="宋体"/>
          <w:b/>
          <w:bCs/>
          <w:color w:val="auto"/>
          <w:szCs w:val="21"/>
          <w:highlight w:val="none"/>
        </w:rPr>
        <w:t>.</w:t>
      </w:r>
      <w:r>
        <w:rPr>
          <w:rFonts w:ascii="宋体" w:hAnsi="宋体" w:cs="宋体"/>
          <w:b/>
          <w:bCs/>
          <w:color w:val="auto"/>
          <w:szCs w:val="21"/>
          <w:highlight w:val="none"/>
        </w:rPr>
        <w:t>4</w:t>
      </w:r>
      <w:r>
        <w:rPr>
          <w:rFonts w:hint="eastAsia" w:ascii="宋体" w:hAnsi="宋体" w:cs="宋体"/>
          <w:b/>
          <w:bCs/>
          <w:color w:val="auto"/>
          <w:szCs w:val="21"/>
          <w:highlight w:val="none"/>
        </w:rPr>
        <w:t>在政府采购活动中，采购人员及相关人员与供应商有下列利害关系之一的，应当回避：</w:t>
      </w:r>
    </w:p>
    <w:p w14:paraId="1BCADEA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3A4197C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35A2BBF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30E31A0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4A1DDD4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（5）与供应商有</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可能影响政府采购活动公平、公正进行的关系。</w:t>
      </w:r>
    </w:p>
    <w:p w14:paraId="1C3013C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供应商有利害关系的，可以向采购人或者采购代理机构书面提出回避申请，并说明理由。采购人或者采购代理机构应当及时询问被申请回避人员，有利害关系的被申请回避人员应当回避。</w:t>
      </w:r>
    </w:p>
    <w:p w14:paraId="34411B1A">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24</w:t>
      </w:r>
      <w:r>
        <w:rPr>
          <w:rFonts w:hint="eastAsia" w:ascii="宋体" w:hAnsi="宋体" w:cs="宋体"/>
          <w:b/>
          <w:bCs/>
          <w:color w:val="auto"/>
          <w:szCs w:val="21"/>
          <w:highlight w:val="none"/>
        </w:rPr>
        <w:t>.</w:t>
      </w:r>
      <w:r>
        <w:rPr>
          <w:rFonts w:ascii="宋体" w:hAnsi="宋体" w:cs="宋体"/>
          <w:b/>
          <w:bCs/>
          <w:color w:val="auto"/>
          <w:szCs w:val="21"/>
          <w:highlight w:val="none"/>
        </w:rPr>
        <w:t>5</w:t>
      </w:r>
      <w:r>
        <w:rPr>
          <w:rFonts w:hint="eastAsia" w:ascii="宋体" w:hAnsi="宋体" w:cs="宋体"/>
          <w:b/>
          <w:bCs/>
          <w:color w:val="auto"/>
          <w:szCs w:val="21"/>
          <w:highlight w:val="none"/>
        </w:rPr>
        <w:t>有下列情形之一的视为供应商相互串通竞标，响应文件将被视为无效：</w:t>
      </w:r>
    </w:p>
    <w:p w14:paraId="7874CE9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（1）不同供应商的响应文件由同一单位或者个人编制；或者不同供应商报名的IP地址一致的；</w:t>
      </w:r>
    </w:p>
    <w:p w14:paraId="314A15A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3241EFC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w:t>
      </w:r>
      <w:r>
        <w:rPr>
          <w:rFonts w:hint="eastAsia" w:ascii="宋体" w:hAnsi="宋体" w:eastAsia="宋体" w:cs="宋体"/>
          <w:color w:val="auto"/>
          <w:szCs w:val="21"/>
          <w:highlight w:val="none"/>
          <w:lang w:eastAsia="zh-CN"/>
        </w:rPr>
        <w:t>或者联系人员</w:t>
      </w:r>
      <w:r>
        <w:rPr>
          <w:rFonts w:hint="eastAsia" w:ascii="宋体" w:hAnsi="宋体" w:eastAsia="宋体" w:cs="宋体"/>
          <w:color w:val="auto"/>
          <w:szCs w:val="21"/>
          <w:highlight w:val="none"/>
        </w:rPr>
        <w:t>为同一个人；</w:t>
      </w:r>
    </w:p>
    <w:p w14:paraId="3F202AA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78BC9F2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（5）不同供应商的电子资料相互</w:t>
      </w:r>
      <w:r>
        <w:rPr>
          <w:rFonts w:hint="eastAsia" w:ascii="宋体" w:hAnsi="宋体" w:eastAsia="宋体" w:cs="宋体"/>
          <w:color w:val="auto"/>
          <w:szCs w:val="21"/>
          <w:highlight w:val="none"/>
          <w:lang w:eastAsia="zh-CN"/>
        </w:rPr>
        <w:t>混淆</w:t>
      </w:r>
      <w:r>
        <w:rPr>
          <w:rFonts w:hint="eastAsia" w:ascii="宋体" w:hAnsi="宋体" w:eastAsia="宋体" w:cs="宋体"/>
          <w:color w:val="auto"/>
          <w:szCs w:val="21"/>
          <w:highlight w:val="none"/>
        </w:rPr>
        <w:t>；</w:t>
      </w:r>
    </w:p>
    <w:p w14:paraId="4C8458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w:t>
      </w:r>
      <w:r>
        <w:rPr>
          <w:rFonts w:hint="eastAsia" w:ascii="宋体" w:hAnsi="宋体" w:cs="宋体"/>
          <w:color w:val="auto"/>
          <w:szCs w:val="21"/>
          <w:highlight w:val="none"/>
          <w:lang w:eastAsia="zh-CN"/>
        </w:rPr>
        <w:t>磋商保证金</w:t>
      </w:r>
      <w:r>
        <w:rPr>
          <w:rFonts w:hint="eastAsia" w:ascii="宋体" w:hAnsi="宋体" w:eastAsia="宋体" w:cs="宋体"/>
          <w:color w:val="auto"/>
          <w:szCs w:val="21"/>
          <w:highlight w:val="none"/>
        </w:rPr>
        <w:t>从同一单位或者个人账户转出。</w:t>
      </w:r>
    </w:p>
    <w:p w14:paraId="03938DA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）供应商之间协商</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报价等响应文件的实质性内容；</w:t>
      </w:r>
    </w:p>
    <w:p w14:paraId="4FC90901">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8</w:t>
      </w:r>
      <w:r>
        <w:rPr>
          <w:rFonts w:hint="eastAsia" w:ascii="宋体" w:hAnsi="宋体" w:eastAsia="宋体" w:cs="宋体"/>
          <w:color w:val="auto"/>
          <w:highlight w:val="none"/>
        </w:rPr>
        <w:t>）供应商之间约定成交人；</w:t>
      </w:r>
    </w:p>
    <w:p w14:paraId="678E6F04">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9</w:t>
      </w:r>
      <w:r>
        <w:rPr>
          <w:rFonts w:hint="eastAsia" w:ascii="宋体" w:hAnsi="宋体" w:eastAsia="宋体" w:cs="宋体"/>
          <w:color w:val="auto"/>
          <w:highlight w:val="none"/>
        </w:rPr>
        <w:t>）供应商之间约定部分供应商放弃</w:t>
      </w:r>
      <w:r>
        <w:rPr>
          <w:rFonts w:hint="eastAsia" w:ascii="宋体" w:hAnsi="宋体" w:eastAsia="宋体" w:cs="宋体"/>
          <w:color w:val="auto"/>
          <w:szCs w:val="21"/>
          <w:highlight w:val="none"/>
        </w:rPr>
        <w:t>竞标</w:t>
      </w:r>
      <w:r>
        <w:rPr>
          <w:rFonts w:hint="eastAsia" w:ascii="宋体" w:hAnsi="宋体" w:eastAsia="宋体" w:cs="宋体"/>
          <w:color w:val="auto"/>
          <w:highlight w:val="none"/>
        </w:rPr>
        <w:t>或者成交；</w:t>
      </w:r>
    </w:p>
    <w:p w14:paraId="59805333">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10</w:t>
      </w:r>
      <w:r>
        <w:rPr>
          <w:rFonts w:hint="eastAsia" w:ascii="宋体" w:hAnsi="宋体" w:eastAsia="宋体" w:cs="宋体"/>
          <w:color w:val="auto"/>
          <w:highlight w:val="none"/>
        </w:rPr>
        <w:t>）属于同一集团、协会、商会等组织成员的供应商按照该组织要求协同</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w:t>
      </w:r>
    </w:p>
    <w:p w14:paraId="225C4FCB">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11</w:t>
      </w:r>
      <w:r>
        <w:rPr>
          <w:rFonts w:hint="eastAsia" w:ascii="宋体" w:hAnsi="宋体" w:eastAsia="宋体" w:cs="宋体"/>
          <w:color w:val="auto"/>
          <w:highlight w:val="none"/>
        </w:rPr>
        <w:t>）供应商之间为谋取成交或者排斥特定供应商而采取的其他联合行动；</w:t>
      </w:r>
    </w:p>
    <w:p w14:paraId="7B83E634">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12</w:t>
      </w:r>
      <w:r>
        <w:rPr>
          <w:rFonts w:hint="eastAsia" w:ascii="宋体" w:hAnsi="宋体" w:eastAsia="宋体" w:cs="宋体"/>
          <w:color w:val="auto"/>
          <w:highlight w:val="none"/>
        </w:rPr>
        <w:t>）不同供应商委托同一个人或注册在同一家企业的注册人员或同一家企业为其</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提供</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咨询、报价、商务技术咨询（工程本身要求采用专有技术的除外）等服务；</w:t>
      </w:r>
    </w:p>
    <w:p w14:paraId="2C92745B">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13</w:t>
      </w:r>
      <w:r>
        <w:rPr>
          <w:rFonts w:hint="eastAsia" w:ascii="宋体" w:hAnsi="宋体" w:eastAsia="宋体" w:cs="宋体"/>
          <w:color w:val="auto"/>
          <w:highlight w:val="none"/>
        </w:rPr>
        <w:t>）不同供应商的响应文件载明的项目管理成员为同一人；</w:t>
      </w:r>
    </w:p>
    <w:p w14:paraId="45103982">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14</w:t>
      </w:r>
      <w:r>
        <w:rPr>
          <w:rFonts w:hint="eastAsia" w:ascii="宋体" w:hAnsi="宋体" w:eastAsia="宋体" w:cs="宋体"/>
          <w:color w:val="auto"/>
          <w:highlight w:val="none"/>
        </w:rPr>
        <w:t>）不同供应商的技术文件内容异常一致或者实质性相同的，或者</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报价呈规律性差异；</w:t>
      </w:r>
    </w:p>
    <w:p w14:paraId="41F3C6B7">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15</w:t>
      </w:r>
      <w:r>
        <w:rPr>
          <w:rFonts w:hint="eastAsia" w:ascii="宋体" w:hAnsi="宋体" w:eastAsia="宋体" w:cs="宋体"/>
          <w:color w:val="auto"/>
          <w:highlight w:val="none"/>
        </w:rPr>
        <w:t>）不同供应商的法定代表人、委托代理人、项目</w:t>
      </w:r>
      <w:r>
        <w:rPr>
          <w:rFonts w:hint="eastAsia" w:ascii="宋体" w:hAnsi="宋体" w:eastAsia="宋体" w:cs="宋体"/>
          <w:color w:val="auto"/>
          <w:highlight w:val="none"/>
          <w:lang w:eastAsia="zh-CN"/>
        </w:rPr>
        <w:t>经理</w:t>
      </w:r>
      <w:r>
        <w:rPr>
          <w:rFonts w:hint="eastAsia" w:ascii="宋体" w:hAnsi="宋体" w:eastAsia="宋体" w:cs="宋体"/>
          <w:color w:val="auto"/>
          <w:highlight w:val="none"/>
        </w:rPr>
        <w:t>等人员有在同一个单位缴纳社会保险；</w:t>
      </w:r>
    </w:p>
    <w:p w14:paraId="2F961D28">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6</w:t>
      </w:r>
      <w:r>
        <w:rPr>
          <w:rFonts w:hint="eastAsia" w:ascii="宋体" w:hAnsi="宋体" w:eastAsia="宋体" w:cs="宋体"/>
          <w:color w:val="auto"/>
          <w:highlight w:val="none"/>
        </w:rPr>
        <w:t>）供应商之间相互约定给予未成交的供应商费用补偿；</w:t>
      </w:r>
    </w:p>
    <w:p w14:paraId="06BFC828">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b/>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7</w:t>
      </w:r>
      <w:r>
        <w:rPr>
          <w:rFonts w:hint="eastAsia" w:ascii="宋体" w:hAnsi="宋体" w:eastAsia="宋体" w:cs="宋体"/>
          <w:color w:val="auto"/>
          <w:highlight w:val="none"/>
        </w:rPr>
        <w:t>）不同供应商编制的响应文件存在两处以上错误一致。</w:t>
      </w:r>
    </w:p>
    <w:p w14:paraId="3DC17C70">
      <w:pPr>
        <w:pStyle w:val="12"/>
        <w:keepNext w:val="0"/>
        <w:keepLines w:val="0"/>
        <w:pageBreakBefore w:val="0"/>
        <w:shd w:val="clear" w:color="auto" w:fill="FFFFFF"/>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b/>
          <w:bCs w:val="0"/>
          <w:color w:val="auto"/>
          <w:highlight w:val="none"/>
        </w:rPr>
      </w:pPr>
      <w:r>
        <w:rPr>
          <w:rFonts w:hint="eastAsia" w:hAnsi="宋体" w:cs="宋体"/>
          <w:b/>
          <w:bCs w:val="0"/>
          <w:color w:val="auto"/>
          <w:highlight w:val="none"/>
          <w:lang w:val="en-US" w:eastAsia="zh-CN"/>
        </w:rPr>
        <w:t>24.6</w:t>
      </w:r>
      <w:r>
        <w:rPr>
          <w:rFonts w:hint="eastAsia" w:ascii="宋体" w:hAnsi="宋体" w:eastAsia="宋体" w:cs="宋体"/>
          <w:b/>
          <w:bCs w:val="0"/>
          <w:color w:val="auto"/>
          <w:highlight w:val="none"/>
        </w:rPr>
        <w:t>供应商不得存在下列情形之一，否则响应文件将被视为无效。</w:t>
      </w:r>
    </w:p>
    <w:p w14:paraId="04E91D34">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b w:val="0"/>
          <w:bCs/>
          <w:color w:val="auto"/>
          <w:highlight w:val="none"/>
          <w:lang w:eastAsia="zh-CN"/>
        </w:rPr>
        <w:t>（</w:t>
      </w:r>
      <w:r>
        <w:rPr>
          <w:rFonts w:hint="eastAsia" w:ascii="宋体" w:hAnsi="宋体" w:eastAsia="宋体" w:cs="宋体"/>
          <w:b w:val="0"/>
          <w:bCs/>
          <w:color w:val="auto"/>
          <w:highlight w:val="none"/>
          <w:lang w:val="en-US" w:eastAsia="zh-CN"/>
        </w:rPr>
        <w:t>1</w:t>
      </w:r>
      <w:r>
        <w:rPr>
          <w:rFonts w:hint="eastAsia" w:ascii="宋体" w:hAnsi="宋体" w:eastAsia="宋体" w:cs="宋体"/>
          <w:b w:val="0"/>
          <w:bCs/>
          <w:color w:val="auto"/>
          <w:highlight w:val="none"/>
          <w:lang w:eastAsia="zh-CN"/>
        </w:rPr>
        <w:t>）</w:t>
      </w:r>
      <w:r>
        <w:rPr>
          <w:rFonts w:hint="eastAsia" w:ascii="宋体" w:hAnsi="宋体" w:eastAsia="宋体" w:cs="宋体"/>
          <w:b w:val="0"/>
          <w:bCs/>
          <w:color w:val="auto"/>
          <w:highlight w:val="none"/>
        </w:rPr>
        <w:t>与采购人存</w:t>
      </w:r>
      <w:r>
        <w:rPr>
          <w:rFonts w:hint="eastAsia" w:ascii="宋体" w:hAnsi="宋体" w:eastAsia="宋体" w:cs="宋体"/>
          <w:color w:val="auto"/>
          <w:highlight w:val="none"/>
        </w:rPr>
        <w:t>在利害关系可能影响</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公正性的法人、其他组织；</w:t>
      </w:r>
    </w:p>
    <w:p w14:paraId="73979EE8">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为本项目前期准备提供设计或咨询服务的，但设计施工总承包的除外；</w:t>
      </w:r>
    </w:p>
    <w:p w14:paraId="38A8FB77">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为本项目的监理人；</w:t>
      </w:r>
    </w:p>
    <w:p w14:paraId="2135036E">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为本项目的代建人；</w:t>
      </w:r>
    </w:p>
    <w:p w14:paraId="335C330E">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为本项目提供招标代理服务的；</w:t>
      </w:r>
    </w:p>
    <w:p w14:paraId="508354AC">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与本项目的监理人或代建人或</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代理机构同为一个法定代表人的；</w:t>
      </w:r>
    </w:p>
    <w:p w14:paraId="3B9B3B6B">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与本项目的监理人或代建人或</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代理机构相互控股或参股的；</w:t>
      </w:r>
    </w:p>
    <w:p w14:paraId="5B166A95">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与本项目的监理人或代建人或</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代理机构相互任职或工作的；</w:t>
      </w:r>
    </w:p>
    <w:p w14:paraId="76D1C227">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被责令停业的；</w:t>
      </w:r>
    </w:p>
    <w:p w14:paraId="3A4FD031">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吊销或暂扣营业执照、安全生产许可证期间；</w:t>
      </w:r>
    </w:p>
    <w:p w14:paraId="5F929A8B">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在本行政区域被暂停或取消投标资格的；</w:t>
      </w:r>
    </w:p>
    <w:p w14:paraId="1FFC3C6E">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财产被接管或基本账户被冻结的；</w:t>
      </w:r>
    </w:p>
    <w:p w14:paraId="42755427">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有骗取中标（成交）或严重违约或工程质量安全问题，在本行政区域正处在停业整顿或暂停投标期间的。</w:t>
      </w:r>
    </w:p>
    <w:p w14:paraId="31604BF4">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b/>
          <w:color w:val="auto"/>
          <w:highlight w:val="none"/>
        </w:rPr>
      </w:pPr>
      <w:r>
        <w:rPr>
          <w:rFonts w:hint="eastAsia" w:ascii="宋体" w:hAnsi="宋体" w:eastAsia="宋体" w:cs="宋体"/>
          <w:color w:val="auto"/>
          <w:highlight w:val="none"/>
        </w:rPr>
        <w:t>注：代建人是指政府通过招标方式对公益</w:t>
      </w:r>
      <w:r>
        <w:rPr>
          <w:rFonts w:hint="eastAsia" w:ascii="宋体" w:hAnsi="宋体" w:cs="宋体"/>
          <w:color w:val="auto"/>
          <w:highlight w:val="none"/>
          <w:lang w:val="en-US" w:eastAsia="zh-CN"/>
        </w:rPr>
        <w:t>性</w:t>
      </w:r>
      <w:r>
        <w:rPr>
          <w:rFonts w:hint="eastAsia" w:ascii="宋体" w:hAnsi="宋体" w:eastAsia="宋体" w:cs="宋体"/>
          <w:color w:val="auto"/>
          <w:highlight w:val="none"/>
        </w:rPr>
        <w:t>、非经营性政府投资且经发改委批复同意实施代建的项目选择的社会专业化的项目管理企业，代建人须经过政府采购平台招标中标，并在建设行政主管部门备案，其代建内容包含代为项目业主履行项目施工招标、投资管理、建设实施及竣工验收后移交给使用单位等工作。PPP项目的社会资本方及工程总承包项目的总承包方作为代建人的不在此范畴。</w:t>
      </w:r>
    </w:p>
    <w:p w14:paraId="6E0A1986">
      <w:pPr>
        <w:keepNext w:val="0"/>
        <w:keepLines w:val="0"/>
        <w:pageBreakBefore w:val="0"/>
        <w:shd w:val="clear" w:color="auto" w:fill="FFFFFF"/>
        <w:kinsoku/>
        <w:wordWrap/>
        <w:overflowPunct/>
        <w:topLinePunct w:val="0"/>
        <w:autoSpaceDE/>
        <w:autoSpaceDN/>
        <w:bidi w:val="0"/>
        <w:spacing w:line="440" w:lineRule="exact"/>
        <w:ind w:firstLine="430" w:firstLineChars="200"/>
        <w:textAlignment w:val="auto"/>
        <w:rPr>
          <w:rFonts w:hint="eastAsia" w:ascii="宋体" w:hAnsi="宋体" w:eastAsia="宋体" w:cs="宋体"/>
          <w:b/>
          <w:bCs w:val="0"/>
          <w:color w:val="auto"/>
          <w:spacing w:val="2"/>
          <w:highlight w:val="none"/>
        </w:rPr>
      </w:pPr>
      <w:r>
        <w:rPr>
          <w:rFonts w:hint="eastAsia" w:ascii="宋体" w:hAnsi="宋体" w:cs="宋体"/>
          <w:b/>
          <w:bCs w:val="0"/>
          <w:color w:val="auto"/>
          <w:spacing w:val="2"/>
          <w:highlight w:val="none"/>
          <w:lang w:val="en-US" w:eastAsia="zh-CN"/>
        </w:rPr>
        <w:t>24.7终止</w:t>
      </w:r>
      <w:r>
        <w:rPr>
          <w:rFonts w:hint="eastAsia" w:ascii="宋体" w:hAnsi="宋体" w:eastAsia="宋体" w:cs="宋体"/>
          <w:b/>
          <w:bCs w:val="0"/>
          <w:color w:val="auto"/>
          <w:spacing w:val="2"/>
          <w:highlight w:val="none"/>
        </w:rPr>
        <w:t>条款</w:t>
      </w:r>
    </w:p>
    <w:p w14:paraId="18044386">
      <w:pPr>
        <w:pStyle w:val="12"/>
        <w:keepNext w:val="0"/>
        <w:keepLines w:val="0"/>
        <w:pageBreakBefore w:val="0"/>
        <w:shd w:val="clear" w:color="auto" w:fill="FFFFFF"/>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lang w:eastAsia="zh-CN"/>
        </w:rPr>
        <w:t>磋商</w:t>
      </w:r>
      <w:r>
        <w:rPr>
          <w:rFonts w:hint="eastAsia" w:ascii="宋体" w:hAnsi="宋体" w:eastAsia="宋体" w:cs="宋体"/>
          <w:b/>
          <w:bCs w:val="0"/>
          <w:color w:val="auto"/>
          <w:highlight w:val="none"/>
        </w:rPr>
        <w:t>采购项目出现下列情形之一的，</w:t>
      </w:r>
      <w:r>
        <w:rPr>
          <w:rFonts w:hint="eastAsia" w:ascii="宋体" w:hAnsi="宋体" w:eastAsia="宋体" w:cs="宋体"/>
          <w:b/>
          <w:bCs w:val="0"/>
          <w:color w:val="auto"/>
          <w:highlight w:val="none"/>
          <w:lang w:eastAsia="zh-CN"/>
        </w:rPr>
        <w:t>磋商</w:t>
      </w:r>
      <w:r>
        <w:rPr>
          <w:rFonts w:hint="eastAsia" w:ascii="宋体" w:hAnsi="宋体" w:eastAsia="宋体" w:cs="宋体"/>
          <w:b/>
          <w:bCs w:val="0"/>
          <w:color w:val="auto"/>
          <w:highlight w:val="none"/>
        </w:rPr>
        <w:t>予以废止：</w:t>
      </w:r>
    </w:p>
    <w:p w14:paraId="7B58341F">
      <w:pPr>
        <w:keepNext w:val="0"/>
        <w:keepLines w:val="0"/>
        <w:pageBreakBefore w:val="0"/>
        <w:shd w:val="clear" w:color="auto" w:fill="FFFFFF"/>
        <w:kinsoku/>
        <w:wordWrap/>
        <w:overflowPunct/>
        <w:topLinePunct w:val="0"/>
        <w:autoSpaceDE/>
        <w:autoSpaceDN/>
        <w:bidi w:val="0"/>
        <w:adjustRightInd w:val="0"/>
        <w:snapToGrid w:val="0"/>
        <w:spacing w:line="440" w:lineRule="exact"/>
        <w:ind w:firstLine="428" w:firstLineChars="200"/>
        <w:jc w:val="left"/>
        <w:textAlignment w:val="auto"/>
        <w:rPr>
          <w:rFonts w:hint="eastAsia" w:ascii="宋体" w:hAnsi="宋体" w:eastAsia="宋体" w:cs="宋体"/>
          <w:b w:val="0"/>
          <w:bCs/>
          <w:color w:val="auto"/>
          <w:highlight w:val="none"/>
        </w:rPr>
      </w:pPr>
      <w:r>
        <w:rPr>
          <w:rFonts w:hint="eastAsia" w:ascii="宋体" w:hAnsi="宋体" w:eastAsia="宋体" w:cs="宋体"/>
          <w:b w:val="0"/>
          <w:bCs/>
          <w:color w:val="auto"/>
          <w:spacing w:val="2"/>
          <w:highlight w:val="none"/>
        </w:rPr>
        <w:t>（1）</w:t>
      </w:r>
      <w:r>
        <w:rPr>
          <w:rFonts w:hint="eastAsia" w:ascii="宋体" w:hAnsi="宋体" w:eastAsia="宋体" w:cs="宋体"/>
          <w:b w:val="0"/>
          <w:bCs/>
          <w:color w:val="auto"/>
          <w:highlight w:val="none"/>
        </w:rPr>
        <w:t>出现影响采购公正的违法、违规行为的；</w:t>
      </w:r>
    </w:p>
    <w:p w14:paraId="0954CEA5">
      <w:pPr>
        <w:pStyle w:val="12"/>
        <w:keepNext w:val="0"/>
        <w:keepLines w:val="0"/>
        <w:pageBreakBefore w:val="0"/>
        <w:shd w:val="clear" w:color="auto" w:fill="FFFFFF"/>
        <w:kinsoku/>
        <w:wordWrap/>
        <w:overflowPunct/>
        <w:topLinePunct w:val="0"/>
        <w:autoSpaceDE/>
        <w:autoSpaceDN/>
        <w:bidi w:val="0"/>
        <w:adjustRightInd w:val="0"/>
        <w:snapToGrid w:val="0"/>
        <w:spacing w:line="440" w:lineRule="exact"/>
        <w:ind w:firstLine="428"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spacing w:val="2"/>
          <w:highlight w:val="none"/>
        </w:rPr>
        <w:t>（2）</w:t>
      </w:r>
      <w:r>
        <w:rPr>
          <w:rFonts w:hint="eastAsia" w:ascii="宋体" w:hAnsi="宋体" w:eastAsia="宋体" w:cs="宋体"/>
          <w:b w:val="0"/>
          <w:bCs/>
          <w:color w:val="auto"/>
          <w:highlight w:val="none"/>
        </w:rPr>
        <w:t>供应商的</w:t>
      </w:r>
      <w:r>
        <w:rPr>
          <w:rFonts w:hint="eastAsia" w:ascii="宋体" w:hAnsi="宋体" w:eastAsia="宋体" w:cs="宋体"/>
          <w:b w:val="0"/>
          <w:bCs/>
          <w:color w:val="auto"/>
          <w:highlight w:val="none"/>
          <w:lang w:eastAsia="zh-CN"/>
        </w:rPr>
        <w:t>磋商</w:t>
      </w:r>
      <w:r>
        <w:rPr>
          <w:rFonts w:hint="eastAsia" w:ascii="宋体" w:hAnsi="宋体" w:eastAsia="宋体" w:cs="宋体"/>
          <w:b w:val="0"/>
          <w:bCs/>
          <w:color w:val="auto"/>
          <w:highlight w:val="none"/>
        </w:rPr>
        <w:t>报价均超过了采购预算，采购人不能支付的；</w:t>
      </w:r>
    </w:p>
    <w:p w14:paraId="5BAA0F26">
      <w:pPr>
        <w:pStyle w:val="12"/>
        <w:keepNext w:val="0"/>
        <w:keepLines w:val="0"/>
        <w:pageBreakBefore w:val="0"/>
        <w:shd w:val="clear" w:color="auto" w:fill="FFFFFF"/>
        <w:kinsoku/>
        <w:wordWrap/>
        <w:overflowPunct/>
        <w:topLinePunct w:val="0"/>
        <w:autoSpaceDE/>
        <w:autoSpaceDN/>
        <w:bidi w:val="0"/>
        <w:spacing w:line="440" w:lineRule="exact"/>
        <w:ind w:firstLine="428"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spacing w:val="2"/>
          <w:highlight w:val="none"/>
        </w:rPr>
        <w:t>（3）</w:t>
      </w:r>
      <w:r>
        <w:rPr>
          <w:rFonts w:hint="eastAsia" w:ascii="宋体" w:hAnsi="宋体" w:eastAsia="宋体" w:cs="宋体"/>
          <w:b w:val="0"/>
          <w:bCs/>
          <w:color w:val="auto"/>
          <w:highlight w:val="none"/>
        </w:rPr>
        <w:t>因重大变故，采购任务取消的。</w:t>
      </w:r>
    </w:p>
    <w:p w14:paraId="738A3162">
      <w:pPr>
        <w:pStyle w:val="11"/>
        <w:keepNext w:val="0"/>
        <w:keepLines w:val="0"/>
        <w:pageBreakBefore w:val="0"/>
        <w:shd w:val="clear" w:color="auto" w:fill="FFFFFF"/>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lang w:eastAsia="zh-CN"/>
        </w:rPr>
        <w:t>、确定成交供应商及结果公告</w:t>
      </w:r>
    </w:p>
    <w:p w14:paraId="3A9DB51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3FCA092">
      <w:pPr>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.2</w:t>
      </w:r>
      <w:r>
        <w:rPr>
          <w:rFonts w:hint="eastAsia" w:ascii="宋体" w:hAnsi="宋体" w:eastAsia="宋体" w:cs="宋体"/>
          <w:color w:val="auto"/>
          <w:szCs w:val="21"/>
          <w:highlight w:val="none"/>
        </w:rPr>
        <w:t>成交通知及成交结果公告。采购代理机构应当在成交供应商确定后2个工作日内，在省级以上财政部门指定的媒体上公告成交结果，同时向成交供应商发出成交通知书。</w:t>
      </w:r>
    </w:p>
    <w:p w14:paraId="7A7B9CDF">
      <w:pPr>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.3采购人或者采购代理机构发出成交通知书前，应当对成交供应商信用进行查询核实，对列入失信被执行人、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、政府采购严重违法失信行为记录名单及其他不符合《中华人民共和国政府采购法》第二十二条规定条件的供应商，取消其成交资格，并</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确定排名第二的成交候选人为成交供应商。排名第二的成交候选人因上述规定的同样原因被取消成交资格的，采购人可以</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确定排名第三的成交候选人为成交供应商，以此类推。以上信息查询记录及相关证据与</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文件一并保存。成交供应商享受《政府采购促进中小企业发展管理办法》（财库〔2020〕46号）规定的中小企业扶持政策的，采购人、采购代理机构应当随成交结果公开成交供应商的《中小企业声明函》。</w:t>
      </w:r>
    </w:p>
    <w:p w14:paraId="301FF303">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41E95CA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.5排名第一的成交候选人放弃成交，</w:t>
      </w:r>
      <w:r>
        <w:rPr>
          <w:rFonts w:hint="eastAsia" w:ascii="宋体" w:hAnsi="宋体" w:eastAsia="宋体" w:cs="宋体"/>
          <w:b w:val="0"/>
          <w:bCs/>
          <w:color w:val="auto"/>
          <w:sz w:val="21"/>
          <w:szCs w:val="21"/>
          <w:highlight w:val="none"/>
        </w:rPr>
        <w:t>采购人可以按照评审报告推荐的</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b w:val="0"/>
          <w:bCs/>
          <w:color w:val="auto"/>
          <w:sz w:val="21"/>
          <w:szCs w:val="21"/>
          <w:highlight w:val="none"/>
        </w:rPr>
        <w:t>候选人名单排序，</w:t>
      </w:r>
      <w:r>
        <w:rPr>
          <w:rFonts w:hint="eastAsia" w:ascii="宋体" w:hAnsi="宋体" w:eastAsia="宋体" w:cs="宋体"/>
          <w:b w:val="0"/>
          <w:bCs/>
          <w:color w:val="auto"/>
          <w:sz w:val="21"/>
          <w:szCs w:val="21"/>
          <w:highlight w:val="none"/>
          <w:lang w:eastAsia="zh-CN"/>
        </w:rPr>
        <w:t>依法</w:t>
      </w:r>
      <w:r>
        <w:rPr>
          <w:rFonts w:hint="eastAsia" w:ascii="宋体" w:hAnsi="宋体" w:eastAsia="宋体" w:cs="宋体"/>
          <w:b w:val="0"/>
          <w:bCs/>
          <w:color w:val="auto"/>
          <w:sz w:val="21"/>
          <w:szCs w:val="21"/>
          <w:highlight w:val="none"/>
        </w:rPr>
        <w:t>确定下一候选人为</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color w:val="auto"/>
          <w:szCs w:val="21"/>
          <w:highlight w:val="none"/>
        </w:rPr>
        <w:t>供应商</w:t>
      </w:r>
      <w:r>
        <w:rPr>
          <w:rFonts w:hint="eastAsia" w:ascii="宋体" w:hAnsi="宋体" w:eastAsia="宋体" w:cs="宋体"/>
          <w:b w:val="0"/>
          <w:bCs/>
          <w:color w:val="auto"/>
          <w:sz w:val="21"/>
          <w:szCs w:val="21"/>
          <w:highlight w:val="none"/>
        </w:rPr>
        <w:t>，也可以重新开展政府采购活动</w:t>
      </w:r>
      <w:r>
        <w:rPr>
          <w:rFonts w:hint="eastAsia" w:ascii="宋体" w:hAnsi="宋体" w:eastAsia="宋体" w:cs="宋体"/>
          <w:color w:val="auto"/>
          <w:szCs w:val="21"/>
          <w:highlight w:val="none"/>
        </w:rPr>
        <w:t>。</w:t>
      </w:r>
    </w:p>
    <w:p w14:paraId="7E6F8B19">
      <w:pPr>
        <w:pStyle w:val="11"/>
        <w:keepNext w:val="0"/>
        <w:keepLines w:val="0"/>
        <w:pageBreakBefore w:val="0"/>
        <w:shd w:val="clear" w:color="auto" w:fill="FFFFFF"/>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九</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履约保证金及</w:t>
      </w:r>
      <w:r>
        <w:rPr>
          <w:rFonts w:hint="eastAsia" w:ascii="宋体" w:hAnsi="宋体" w:eastAsia="宋体" w:cs="宋体"/>
          <w:b/>
          <w:color w:val="auto"/>
          <w:sz w:val="21"/>
          <w:szCs w:val="21"/>
          <w:highlight w:val="none"/>
        </w:rPr>
        <w:t>合同</w:t>
      </w:r>
    </w:p>
    <w:p w14:paraId="74916148">
      <w:pPr>
        <w:keepNext w:val="0"/>
        <w:keepLines w:val="0"/>
        <w:pageBreakBefore w:val="0"/>
        <w:shd w:val="clear" w:color="auto" w:fill="FFFFFF"/>
        <w:kinsoku/>
        <w:wordWrap/>
        <w:overflowPunct/>
        <w:topLinePunct w:val="0"/>
        <w:autoSpaceDE/>
        <w:autoSpaceDN/>
        <w:bidi w:val="0"/>
        <w:spacing w:line="440" w:lineRule="exact"/>
        <w:ind w:firstLine="422" w:firstLineChars="200"/>
        <w:textAlignment w:val="auto"/>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2</w:t>
      </w:r>
      <w:r>
        <w:rPr>
          <w:rFonts w:hint="eastAsia" w:ascii="宋体" w:hAnsi="宋体" w:cs="宋体"/>
          <w:b/>
          <w:color w:val="auto"/>
          <w:szCs w:val="21"/>
          <w:highlight w:val="none"/>
          <w:lang w:val="en-US" w:eastAsia="zh-CN"/>
        </w:rPr>
        <w:t>6.</w:t>
      </w:r>
      <w:r>
        <w:rPr>
          <w:rFonts w:hint="eastAsia" w:ascii="宋体" w:hAnsi="宋体" w:eastAsia="宋体" w:cs="宋体"/>
          <w:b/>
          <w:color w:val="auto"/>
          <w:spacing w:val="4"/>
          <w:szCs w:val="21"/>
          <w:highlight w:val="none"/>
        </w:rPr>
        <w:t>履约保证金</w:t>
      </w:r>
    </w:p>
    <w:p w14:paraId="5880881D">
      <w:pPr>
        <w:keepNext w:val="0"/>
        <w:keepLines w:val="0"/>
        <w:pageBreakBefore w:val="0"/>
        <w:shd w:val="clear" w:color="auto" w:fill="FFFFFF"/>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本项目不收取履约保证金</w:t>
      </w:r>
      <w:r>
        <w:rPr>
          <w:rFonts w:hint="eastAsia" w:ascii="宋体" w:hAnsi="宋体" w:eastAsia="宋体" w:cs="宋体"/>
          <w:color w:val="auto"/>
          <w:szCs w:val="21"/>
          <w:highlight w:val="none"/>
        </w:rPr>
        <w:t>。</w:t>
      </w:r>
    </w:p>
    <w:p w14:paraId="7CE14EC0">
      <w:pPr>
        <w:keepNext w:val="0"/>
        <w:keepLines w:val="0"/>
        <w:pageBreakBefore w:val="0"/>
        <w:shd w:val="clear" w:color="auto" w:fill="FFFFFF"/>
        <w:kinsoku/>
        <w:wordWrap/>
        <w:overflowPunct/>
        <w:topLinePunct w:val="0"/>
        <w:autoSpaceDE/>
        <w:autoSpaceDN/>
        <w:bidi w:val="0"/>
        <w:adjustRightInd w:val="0"/>
        <w:snapToGrid w:val="0"/>
        <w:spacing w:line="440" w:lineRule="exact"/>
        <w:ind w:left="105" w:leftChars="50" w:firstLine="422" w:firstLineChars="200"/>
        <w:textAlignment w:val="auto"/>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27.合同签订</w:t>
      </w:r>
    </w:p>
    <w:p w14:paraId="11F8E3DB">
      <w:pPr>
        <w:pStyle w:val="45"/>
        <w:keepNext w:val="0"/>
        <w:keepLines w:val="0"/>
        <w:pageBreakBefore w:val="0"/>
        <w:kinsoku/>
        <w:wordWrap/>
        <w:overflowPunct/>
        <w:topLinePunct w:val="0"/>
        <w:autoSpaceDE/>
        <w:autoSpaceDN/>
        <w:bidi w:val="0"/>
        <w:snapToGrid w:val="0"/>
        <w:spacing w:before="0" w:line="44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.1采购人与成交供应商应当在成交通知书规定的时间内，按照磋商文件确定的合同文本以及采购标的、服务技术、采购金额、采购数量、技术和服务要求</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u w:val="none" w:color="auto"/>
          <w:lang w:eastAsia="zh-CN"/>
        </w:rPr>
        <w:t>施工图纸、工程量清单及相关说明</w:t>
      </w:r>
      <w:r>
        <w:rPr>
          <w:rFonts w:hint="eastAsia" w:ascii="宋体" w:hAnsi="宋体" w:eastAsia="宋体" w:cs="宋体"/>
          <w:color w:val="auto"/>
          <w:sz w:val="21"/>
          <w:szCs w:val="21"/>
          <w:highlight w:val="none"/>
        </w:rPr>
        <w:t>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3DAD3EB3">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.2采购人不得向成交供应商提出超出磋商文件以外的任何要求作为签订合同的条件，不得与成交供应商订立背离磋商文件确定的合同文本以及采购标的、服务技术、采购金额、采购数量、技术和服务要求</w:t>
      </w:r>
      <w:r>
        <w:rPr>
          <w:rFonts w:hint="eastAsia" w:ascii="宋体" w:hAnsi="宋体" w:eastAsia="宋体" w:cs="宋体"/>
          <w:color w:val="auto"/>
          <w:szCs w:val="21"/>
          <w:highlight w:val="none"/>
          <w:lang w:eastAsia="zh-CN"/>
        </w:rPr>
        <w:t>、</w:t>
      </w:r>
      <w:r>
        <w:rPr>
          <w:rFonts w:hint="eastAsia" w:ascii="宋体" w:hAnsi="宋体" w:cs="宋体"/>
          <w:color w:val="auto"/>
          <w:sz w:val="21"/>
          <w:szCs w:val="21"/>
          <w:highlight w:val="none"/>
          <w:u w:val="none" w:color="auto"/>
          <w:lang w:eastAsia="zh-CN"/>
        </w:rPr>
        <w:t>施工图纸、工程量清单及相关说明</w:t>
      </w:r>
      <w:r>
        <w:rPr>
          <w:rFonts w:hint="eastAsia" w:ascii="宋体" w:hAnsi="宋体" w:eastAsia="宋体" w:cs="宋体"/>
          <w:color w:val="auto"/>
          <w:szCs w:val="21"/>
          <w:highlight w:val="none"/>
        </w:rPr>
        <w:t>等实质性内容的协议。</w:t>
      </w:r>
    </w:p>
    <w:p w14:paraId="71CC1ED2">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.3成交供应商拒绝签订政府采购合同的，采购人可以按照评审报告推荐的成交候选人名单排序，</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确定下一候选人为成交供应商，也可以重新开展采购活动。拒绝签订政府采购合同的成交供应商不得参加对该项目重新开展的采购活动。</w:t>
      </w:r>
    </w:p>
    <w:p w14:paraId="6C3A4B2C">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.4如签订合同并生效后，供应商无故拒绝或延期，除按照合同条款处理外，列入不良行为记录，并给予通报。</w:t>
      </w:r>
    </w:p>
    <w:p w14:paraId="003C2C2F">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采购合同由采购人与成交供应商根据磋商文件、响应文件等内容签订，成交供应商应当在签订合同时向采购人出示相关证明材料，具体内容详见 “供应商须知前附表”，经采购人核验合格后方可签订合同</w:t>
      </w:r>
      <w:r>
        <w:rPr>
          <w:rFonts w:hint="eastAsia" w:ascii="宋体" w:hAnsi="宋体" w:eastAsia="宋体" w:cs="宋体"/>
          <w:color w:val="auto"/>
          <w:szCs w:val="21"/>
          <w:highlight w:val="none"/>
          <w:lang w:eastAsia="zh-CN"/>
        </w:rPr>
        <w:t>。</w:t>
      </w:r>
    </w:p>
    <w:p w14:paraId="460BB406">
      <w:pPr>
        <w:keepNext w:val="0"/>
        <w:keepLines w:val="0"/>
        <w:pageBreakBefore w:val="0"/>
        <w:shd w:val="clear" w:color="auto" w:fill="FFFFFF"/>
        <w:kinsoku/>
        <w:wordWrap/>
        <w:overflowPunct/>
        <w:topLinePunct w:val="0"/>
        <w:autoSpaceDE/>
        <w:autoSpaceDN/>
        <w:bidi w:val="0"/>
        <w:adjustRightInd w:val="0"/>
        <w:snapToGrid w:val="0"/>
        <w:spacing w:line="440" w:lineRule="exact"/>
        <w:ind w:left="105" w:leftChars="50" w:firstLine="422" w:firstLineChars="200"/>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28.政府采购合同公告</w:t>
      </w:r>
    </w:p>
    <w:p w14:paraId="07F3457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eastAsia="黑体"/>
          <w:color w:val="auto"/>
          <w:highlight w:val="none"/>
          <w:lang w:val="en-US" w:eastAsia="zh-CN"/>
        </w:rPr>
      </w:pPr>
      <w:r>
        <w:rPr>
          <w:rFonts w:hint="eastAsia" w:ascii="宋体" w:hAnsi="宋体" w:cs="宋体"/>
          <w:color w:val="auto"/>
          <w:szCs w:val="21"/>
          <w:highlight w:val="none"/>
        </w:rPr>
        <w:t>采购人应当自政府采购合同签订之日起2个工作日内，将政府采购合同在省级以上人民政府财政部门指定的媒体上公告，但政府采购合同中涉及国家秘密、商业秘密的内容除外。</w:t>
      </w:r>
    </w:p>
    <w:p w14:paraId="74B9EAA3">
      <w:pPr>
        <w:pStyle w:val="11"/>
        <w:keepNext w:val="0"/>
        <w:keepLines w:val="0"/>
        <w:pageBreakBefore w:val="0"/>
        <w:numPr>
          <w:ilvl w:val="0"/>
          <w:numId w:val="0"/>
        </w:numPr>
        <w:shd w:val="clear" w:color="auto" w:fill="FFFFFF"/>
        <w:kinsoku/>
        <w:wordWrap/>
        <w:overflowPunct/>
        <w:topLinePunct w:val="0"/>
        <w:autoSpaceDE/>
        <w:autoSpaceDN/>
        <w:bidi w:val="0"/>
        <w:adjustRightInd w:val="0"/>
        <w:snapToGrid w:val="0"/>
        <w:spacing w:line="440" w:lineRule="exact"/>
        <w:ind w:left="420" w:leftChars="0"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十、询问、质疑和投诉</w:t>
      </w:r>
    </w:p>
    <w:p w14:paraId="3A72C55A">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29</w:t>
      </w:r>
      <w:r>
        <w:rPr>
          <w:rFonts w:hint="eastAsia" w:ascii="宋体" w:hAnsi="宋体" w:eastAsia="宋体" w:cs="宋体"/>
          <w:color w:val="auto"/>
          <w:highlight w:val="none"/>
        </w:rPr>
        <w:t>.1供应商对政府采购活动事项有疑问的，可以向采购人</w:t>
      </w:r>
      <w:r>
        <w:rPr>
          <w:rFonts w:hint="eastAsia" w:ascii="宋体" w:hAnsi="宋体" w:eastAsia="宋体" w:cs="宋体"/>
          <w:color w:val="auto"/>
          <w:highlight w:val="none"/>
          <w:lang w:eastAsia="zh-CN"/>
        </w:rPr>
        <w:t>或者</w:t>
      </w:r>
      <w:r>
        <w:rPr>
          <w:rFonts w:hint="eastAsia" w:ascii="宋体" w:hAnsi="宋体" w:eastAsia="宋体" w:cs="宋体"/>
          <w:color w:val="auto"/>
          <w:highlight w:val="none"/>
        </w:rPr>
        <w:t>采购代理机构提出询问，采购人或者采购代理机构应当在3个工作日内对供应商依法提出的询问作出答复。</w:t>
      </w:r>
    </w:p>
    <w:p w14:paraId="3E114C96">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b/>
          <w:color w:val="auto"/>
          <w:szCs w:val="21"/>
          <w:highlight w:val="none"/>
        </w:rPr>
      </w:pPr>
      <w:r>
        <w:rPr>
          <w:rFonts w:hint="eastAsia" w:ascii="宋体" w:hAnsi="宋体" w:cs="宋体"/>
          <w:color w:val="auto"/>
          <w:highlight w:val="none"/>
          <w:lang w:val="en-US" w:eastAsia="zh-CN"/>
        </w:rPr>
        <w:t>29</w:t>
      </w:r>
      <w:r>
        <w:rPr>
          <w:rFonts w:hint="eastAsia" w:ascii="宋体" w:hAnsi="宋体" w:eastAsia="宋体" w:cs="宋体"/>
          <w:color w:val="auto"/>
          <w:highlight w:val="none"/>
        </w:rPr>
        <w:t>.2供应商认为磋商文件、采购过程或者成交结果使自己的合法权益受到损害的，应当在知道或者应知其权益受到损害之日起7个工作日内，以书面形式向采购人</w:t>
      </w:r>
      <w:r>
        <w:rPr>
          <w:rFonts w:hint="eastAsia" w:ascii="宋体" w:hAnsi="宋体" w:eastAsia="宋体" w:cs="宋体"/>
          <w:color w:val="auto"/>
          <w:highlight w:val="none"/>
          <w:lang w:eastAsia="zh-CN"/>
        </w:rPr>
        <w:t>或者</w:t>
      </w:r>
      <w:r>
        <w:rPr>
          <w:rFonts w:hint="eastAsia" w:ascii="宋体" w:hAnsi="宋体" w:eastAsia="宋体" w:cs="宋体"/>
          <w:color w:val="auto"/>
          <w:highlight w:val="none"/>
        </w:rPr>
        <w:t>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442AAB4F">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10678FBD">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auto"/>
          <w:highlight w:val="none"/>
          <w:lang w:eastAsia="zh-CN"/>
        </w:rPr>
        <w:t>者采购</w:t>
      </w:r>
      <w:r>
        <w:rPr>
          <w:rFonts w:hint="eastAsia" w:ascii="宋体" w:hAnsi="宋体" w:eastAsia="宋体" w:cs="宋体"/>
          <w:bCs/>
          <w:color w:val="auto"/>
          <w:highlight w:val="none"/>
        </w:rPr>
        <w:t>代理机构提出，由采购人或</w:t>
      </w:r>
      <w:r>
        <w:rPr>
          <w:rFonts w:hint="eastAsia" w:ascii="宋体" w:hAnsi="宋体" w:eastAsia="宋体" w:cs="宋体"/>
          <w:bCs/>
          <w:color w:val="auto"/>
          <w:highlight w:val="none"/>
          <w:lang w:eastAsia="zh-CN"/>
        </w:rPr>
        <w:t>者采购</w:t>
      </w:r>
      <w:r>
        <w:rPr>
          <w:rFonts w:hint="eastAsia" w:ascii="宋体" w:hAnsi="宋体" w:eastAsia="宋体" w:cs="宋体"/>
          <w:bCs/>
          <w:color w:val="auto"/>
          <w:highlight w:val="none"/>
        </w:rPr>
        <w:t>代理机构受理并负责答复；对采购过程中采购执行程序的质疑由采购代理机构受理并负责答复。</w:t>
      </w:r>
    </w:p>
    <w:p w14:paraId="1861664A">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532010DA">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29</w:t>
      </w:r>
      <w:r>
        <w:rPr>
          <w:rFonts w:hint="eastAsia" w:ascii="宋体" w:hAnsi="宋体" w:eastAsia="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6D8D7ED8">
      <w:pPr>
        <w:keepNext w:val="0"/>
        <w:keepLines w:val="0"/>
        <w:pageBreakBefore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cs="宋体"/>
          <w:b/>
          <w:bCs/>
          <w:color w:val="auto"/>
          <w:highlight w:val="none"/>
          <w:lang w:val="en-US" w:eastAsia="zh-CN"/>
        </w:rPr>
        <w:t>29</w:t>
      </w:r>
      <w:r>
        <w:rPr>
          <w:rFonts w:hint="eastAsia" w:ascii="宋体" w:hAnsi="宋体" w:eastAsia="宋体" w:cs="宋体"/>
          <w:b/>
          <w:bCs/>
          <w:color w:val="auto"/>
          <w:highlight w:val="none"/>
        </w:rPr>
        <w:t>.4 供应商提出质疑应当提交质疑函和必要的证明材料，针对同一采购程序环节的质疑必须在法定质疑期内一次性提出。质疑函应当包括下列内容（质疑函格式后附）：</w:t>
      </w:r>
    </w:p>
    <w:p w14:paraId="6BFDB672">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4A219EDA">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3754C64">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18B435B1">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259CAA5E">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23BA0118">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50273B6E">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B8EA04C">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29</w:t>
      </w:r>
      <w:r>
        <w:rPr>
          <w:rFonts w:hint="eastAsia" w:ascii="宋体" w:hAnsi="宋体" w:eastAsia="宋体" w:cs="宋体"/>
          <w:color w:val="auto"/>
          <w:highlight w:val="none"/>
        </w:rPr>
        <w:t>.5采购人、采购代理机构认为供应商质疑不成立，或者成立但未对成交结果构成影响的，继续开展采购活动；认为供应商质疑成立且影响或者可能影响成交结果的，按照下列情况处理：</w:t>
      </w:r>
    </w:p>
    <w:p w14:paraId="7840E64D">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283E7C73">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08C461E4">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65257E1A">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default" w:ascii="宋体" w:hAnsi="宋体" w:eastAsia="宋体" w:cs="宋体"/>
          <w:b/>
          <w:color w:val="auto"/>
          <w:sz w:val="21"/>
          <w:szCs w:val="21"/>
          <w:highlight w:val="none"/>
          <w:lang w:val="en-US" w:eastAsia="zh-CN"/>
        </w:rPr>
      </w:pPr>
      <w:r>
        <w:rPr>
          <w:rFonts w:hint="eastAsia" w:ascii="宋体" w:hAnsi="宋体" w:cs="宋体"/>
          <w:b/>
          <w:bCs/>
          <w:color w:val="auto"/>
          <w:highlight w:val="none"/>
          <w:lang w:val="en-US" w:eastAsia="zh-CN"/>
        </w:rPr>
        <w:t>29</w:t>
      </w:r>
      <w:r>
        <w:rPr>
          <w:rFonts w:hint="eastAsia" w:ascii="宋体" w:hAnsi="宋体" w:eastAsia="宋体" w:cs="宋体"/>
          <w:b/>
          <w:bCs/>
          <w:color w:val="auto"/>
          <w:highlight w:val="none"/>
        </w:rPr>
        <w:t>.6投诉的权利。质疑供应商对采购人</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rPr>
        <w:t>采购代理机构的答复不满意，或者采购人</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rPr>
        <w:t>采购代理机构未在规定时间内作出答复的，可以在答复期满后15个工作日内向《政府采购质疑和投诉办法》（财政部令第94号）第六条规定的财政部门提起投诉（投诉书格式后附），受理投诉方式见“供应商须知前附表”</w:t>
      </w:r>
      <w:r>
        <w:rPr>
          <w:rFonts w:hint="eastAsia" w:ascii="宋体" w:hAnsi="宋体" w:cs="宋体"/>
          <w:color w:val="auto"/>
          <w:highlight w:val="none"/>
        </w:rPr>
        <w:t>。</w:t>
      </w:r>
    </w:p>
    <w:p w14:paraId="6D76388F">
      <w:pPr>
        <w:pStyle w:val="11"/>
        <w:keepNext w:val="0"/>
        <w:keepLines w:val="0"/>
        <w:pageBreakBefore w:val="0"/>
        <w:shd w:val="clear" w:color="auto" w:fill="FFFFFF"/>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十一、</w:t>
      </w:r>
      <w:r>
        <w:rPr>
          <w:rFonts w:hint="eastAsia" w:ascii="宋体" w:hAnsi="宋体" w:eastAsia="宋体" w:cs="宋体"/>
          <w:b/>
          <w:color w:val="auto"/>
          <w:sz w:val="21"/>
          <w:szCs w:val="21"/>
          <w:highlight w:val="none"/>
        </w:rPr>
        <w:t>适用法律</w:t>
      </w:r>
    </w:p>
    <w:p w14:paraId="5EB477F3">
      <w:pPr>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b/>
          <w:color w:val="auto"/>
          <w:highlight w:val="none"/>
        </w:rPr>
      </w:pPr>
      <w:r>
        <w:rPr>
          <w:rFonts w:hint="eastAsia" w:ascii="宋体" w:hAnsi="宋体" w:cs="宋体"/>
          <w:b/>
          <w:bCs/>
          <w:color w:val="auto"/>
          <w:szCs w:val="21"/>
          <w:highlight w:val="none"/>
          <w:lang w:val="en-US" w:eastAsia="zh-CN"/>
        </w:rPr>
        <w:t>30</w:t>
      </w:r>
      <w:r>
        <w:rPr>
          <w:rFonts w:hint="eastAsia" w:ascii="宋体" w:hAnsi="宋体" w:eastAsia="宋体" w:cs="宋体"/>
          <w:b/>
          <w:bCs/>
          <w:color w:val="auto"/>
          <w:szCs w:val="21"/>
          <w:highlight w:val="none"/>
        </w:rPr>
        <w:t>.</w:t>
      </w:r>
      <w:r>
        <w:rPr>
          <w:rFonts w:hint="eastAsia" w:ascii="宋体" w:hAnsi="宋体" w:eastAsia="宋体" w:cs="宋体"/>
          <w:b/>
          <w:color w:val="auto"/>
          <w:highlight w:val="none"/>
        </w:rPr>
        <w:t>采购当事人的一切活动均适用于《中华人民共和国政府采购法》、《中华人民共和国政府采购法实施条例》、财政部《政府采购非招标采购方式管理办法》</w:t>
      </w:r>
      <w:r>
        <w:rPr>
          <w:rFonts w:hint="eastAsia" w:ascii="宋体" w:hAnsi="宋体" w:cs="宋体"/>
          <w:b/>
          <w:color w:val="auto"/>
          <w:highlight w:val="none"/>
          <w:lang w:eastAsia="zh-CN"/>
        </w:rPr>
        <w:t>、《政府采购竞争性磋商采购方式管理暂行办法》</w:t>
      </w:r>
      <w:r>
        <w:rPr>
          <w:rFonts w:hint="eastAsia" w:ascii="宋体" w:hAnsi="宋体" w:eastAsia="宋体" w:cs="宋体"/>
          <w:b/>
          <w:color w:val="auto"/>
          <w:highlight w:val="none"/>
        </w:rPr>
        <w:t>及相关规定。最终</w:t>
      </w:r>
      <w:r>
        <w:rPr>
          <w:rFonts w:hint="eastAsia" w:ascii="宋体" w:hAnsi="宋体" w:eastAsia="宋体" w:cs="宋体"/>
          <w:b/>
          <w:color w:val="auto"/>
          <w:highlight w:val="none"/>
          <w:lang w:eastAsia="zh-CN"/>
        </w:rPr>
        <w:t>磋商</w:t>
      </w:r>
      <w:r>
        <w:rPr>
          <w:rFonts w:hint="eastAsia" w:ascii="宋体" w:hAnsi="宋体" w:eastAsia="宋体" w:cs="宋体"/>
          <w:b/>
          <w:color w:val="auto"/>
          <w:highlight w:val="none"/>
        </w:rPr>
        <w:t>结束后，</w:t>
      </w:r>
      <w:r>
        <w:rPr>
          <w:rFonts w:hint="eastAsia" w:ascii="宋体" w:hAnsi="宋体" w:eastAsia="宋体" w:cs="宋体"/>
          <w:b/>
          <w:color w:val="auto"/>
          <w:highlight w:val="none"/>
          <w:lang w:eastAsia="zh-CN"/>
        </w:rPr>
        <w:t>磋商</w:t>
      </w:r>
      <w:r>
        <w:rPr>
          <w:rFonts w:hint="eastAsia" w:ascii="宋体" w:hAnsi="宋体" w:eastAsia="宋体" w:cs="宋体"/>
          <w:b/>
          <w:color w:val="auto"/>
          <w:highlight w:val="none"/>
        </w:rPr>
        <w:t>小组不得再与供应商进行任何形式的商谈。</w:t>
      </w:r>
    </w:p>
    <w:p w14:paraId="6D0C1344">
      <w:pPr>
        <w:pStyle w:val="11"/>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、其他事项</w:t>
      </w:r>
    </w:p>
    <w:p w14:paraId="2E768CBF">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 xml:space="preserve">.1 </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代理服务</w:t>
      </w:r>
      <w:r>
        <w:rPr>
          <w:rFonts w:hint="eastAsia" w:ascii="宋体" w:hAnsi="宋体" w:eastAsia="宋体" w:cs="宋体"/>
          <w:color w:val="auto"/>
          <w:szCs w:val="21"/>
          <w:highlight w:val="none"/>
          <w:lang w:eastAsia="zh-CN"/>
        </w:rPr>
        <w:t>费</w:t>
      </w:r>
      <w:r>
        <w:rPr>
          <w:rFonts w:hint="eastAsia" w:ascii="宋体" w:hAnsi="宋体" w:eastAsia="宋体" w:cs="宋体"/>
          <w:color w:val="auto"/>
          <w:szCs w:val="21"/>
          <w:highlight w:val="none"/>
        </w:rPr>
        <w:t>收费标准及缴费账户详见“供应商须知前附表”，供应商为联合体的，可以由联合体中的一方或者多方共同缴纳采购代理服务费。</w:t>
      </w:r>
    </w:p>
    <w:p w14:paraId="21448B40">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代理服务费收费计算标准</w:t>
      </w:r>
      <w:r>
        <w:rPr>
          <w:rFonts w:hint="eastAsia" w:ascii="宋体" w:hAnsi="宋体" w:eastAsia="宋体" w:cs="宋体"/>
          <w:color w:val="auto"/>
          <w:szCs w:val="21"/>
          <w:highlight w:val="none"/>
          <w:lang w:eastAsia="zh-CN"/>
        </w:rPr>
        <w:t>：</w:t>
      </w:r>
    </w:p>
    <w:p w14:paraId="6CFAC173">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lang w:val="en-US" w:eastAsia="zh-CN"/>
        </w:rPr>
      </w:pPr>
    </w:p>
    <w:tbl>
      <w:tblPr>
        <w:tblStyle w:val="22"/>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3AFD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3472" w:type="dxa"/>
            <w:tcBorders>
              <w:tl2br w:val="single" w:color="auto" w:sz="4" w:space="0"/>
            </w:tcBorders>
            <w:noWrap w:val="0"/>
            <w:vAlign w:val="top"/>
          </w:tcPr>
          <w:p w14:paraId="2AC118C8">
            <w:pPr>
              <w:keepNext w:val="0"/>
              <w:keepLines w:val="0"/>
              <w:pageBreakBefore w:val="0"/>
              <w:widowControl w:val="0"/>
              <w:kinsoku/>
              <w:wordWrap/>
              <w:overflowPunct/>
              <w:topLinePunct w:val="0"/>
              <w:autoSpaceDE/>
              <w:autoSpaceDN/>
              <w:bidi w:val="0"/>
              <w:spacing w:line="440" w:lineRule="exact"/>
              <w:ind w:firstLine="2730" w:firstLineChars="1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费率</w:t>
            </w:r>
          </w:p>
          <w:p w14:paraId="3C1472B6">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659" w:type="dxa"/>
            <w:noWrap w:val="0"/>
            <w:vAlign w:val="center"/>
          </w:tcPr>
          <w:p w14:paraId="091B68AA">
            <w:pPr>
              <w:keepNext w:val="0"/>
              <w:keepLines w:val="0"/>
              <w:pageBreakBefore w:val="0"/>
              <w:widowControl w:val="0"/>
              <w:kinsoku/>
              <w:wordWrap/>
              <w:overflowPunct/>
              <w:topLinePunct w:val="0"/>
              <w:autoSpaceDE/>
              <w:autoSpaceDN/>
              <w:bidi w:val="0"/>
              <w:spacing w:line="440" w:lineRule="exact"/>
              <w:ind w:firstLine="105" w:firstLineChars="5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532" w:type="dxa"/>
            <w:noWrap w:val="0"/>
            <w:vAlign w:val="center"/>
          </w:tcPr>
          <w:p w14:paraId="0520917E">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546" w:type="dxa"/>
            <w:noWrap w:val="0"/>
            <w:vAlign w:val="center"/>
          </w:tcPr>
          <w:p w14:paraId="7D6042B3">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14:paraId="025A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EA30558">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3FB8F225">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1.5%                </w:t>
            </w:r>
          </w:p>
        </w:tc>
        <w:tc>
          <w:tcPr>
            <w:tcW w:w="1532" w:type="dxa"/>
            <w:noWrap w:val="0"/>
            <w:vAlign w:val="top"/>
          </w:tcPr>
          <w:p w14:paraId="20142060">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546" w:type="dxa"/>
            <w:noWrap w:val="0"/>
            <w:vAlign w:val="top"/>
          </w:tcPr>
          <w:p w14:paraId="135AADE9">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552D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4A448DA">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14:paraId="1B53D66C">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532" w:type="dxa"/>
            <w:noWrap w:val="0"/>
            <w:vAlign w:val="top"/>
          </w:tcPr>
          <w:p w14:paraId="081C001A">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546" w:type="dxa"/>
            <w:noWrap w:val="0"/>
            <w:vAlign w:val="top"/>
          </w:tcPr>
          <w:p w14:paraId="3291BC43">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211B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BFDA4FE">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14:paraId="19F539E2">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0.8%                </w:t>
            </w:r>
          </w:p>
        </w:tc>
        <w:tc>
          <w:tcPr>
            <w:tcW w:w="1532" w:type="dxa"/>
            <w:noWrap w:val="0"/>
            <w:vAlign w:val="top"/>
          </w:tcPr>
          <w:p w14:paraId="51F8108A">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546" w:type="dxa"/>
            <w:noWrap w:val="0"/>
            <w:vAlign w:val="top"/>
          </w:tcPr>
          <w:p w14:paraId="4310E2AE">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6893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C60FAFA">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14:paraId="2E7FC49D">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532" w:type="dxa"/>
            <w:noWrap w:val="0"/>
            <w:vAlign w:val="top"/>
          </w:tcPr>
          <w:p w14:paraId="0591BAEC">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546" w:type="dxa"/>
            <w:noWrap w:val="0"/>
            <w:vAlign w:val="top"/>
          </w:tcPr>
          <w:p w14:paraId="49C5A358">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5EE3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35FA6918">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2543CB90">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532" w:type="dxa"/>
            <w:noWrap w:val="0"/>
            <w:vAlign w:val="top"/>
          </w:tcPr>
          <w:p w14:paraId="70BDFEB1">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546" w:type="dxa"/>
            <w:noWrap w:val="0"/>
            <w:vAlign w:val="top"/>
          </w:tcPr>
          <w:p w14:paraId="72790AC2">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7F82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9EC7281">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14:paraId="1B985316">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32" w:type="dxa"/>
            <w:noWrap w:val="0"/>
            <w:vAlign w:val="top"/>
          </w:tcPr>
          <w:p w14:paraId="24853895">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46" w:type="dxa"/>
            <w:noWrap w:val="0"/>
            <w:vAlign w:val="top"/>
          </w:tcPr>
          <w:p w14:paraId="45D7C3D8">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r>
      <w:tr w14:paraId="7D1B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05FA1ADC">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14:paraId="6F27830D">
            <w:pPr>
              <w:keepNext w:val="0"/>
              <w:keepLines w:val="0"/>
              <w:pageBreakBefore w:val="0"/>
              <w:widowControl w:val="0"/>
              <w:kinsoku/>
              <w:wordWrap/>
              <w:overflowPunct/>
              <w:topLinePunct w:val="0"/>
              <w:autoSpaceDE/>
              <w:autoSpaceDN/>
              <w:bidi w:val="0"/>
              <w:spacing w:line="440" w:lineRule="exact"/>
              <w:ind w:firstLine="105" w:firstLine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532" w:type="dxa"/>
            <w:noWrap w:val="0"/>
            <w:vAlign w:val="top"/>
          </w:tcPr>
          <w:p w14:paraId="372D6E36">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546" w:type="dxa"/>
            <w:noWrap w:val="0"/>
            <w:vAlign w:val="top"/>
          </w:tcPr>
          <w:p w14:paraId="07395C6C">
            <w:pPr>
              <w:keepNext w:val="0"/>
              <w:keepLines w:val="0"/>
              <w:pageBreakBefore w:val="0"/>
              <w:widowControl w:val="0"/>
              <w:kinsoku/>
              <w:wordWrap/>
              <w:overflowPunct/>
              <w:topLinePunct w:val="0"/>
              <w:autoSpaceDE/>
              <w:autoSpaceDN/>
              <w:bidi w:val="0"/>
              <w:spacing w:line="440" w:lineRule="exact"/>
              <w:ind w:firstLine="105" w:firstLine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2BBC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38ABD216">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14:paraId="0F728A15">
            <w:pPr>
              <w:keepNext w:val="0"/>
              <w:keepLines w:val="0"/>
              <w:pageBreakBefore w:val="0"/>
              <w:widowControl w:val="0"/>
              <w:kinsoku/>
              <w:wordWrap/>
              <w:overflowPunct/>
              <w:topLinePunct w:val="0"/>
              <w:autoSpaceDE/>
              <w:autoSpaceDN/>
              <w:bidi w:val="0"/>
              <w:spacing w:line="440" w:lineRule="exact"/>
              <w:ind w:firstLine="105" w:firstLine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32" w:type="dxa"/>
            <w:noWrap w:val="0"/>
            <w:vAlign w:val="top"/>
          </w:tcPr>
          <w:p w14:paraId="6F6F2E79">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46" w:type="dxa"/>
            <w:noWrap w:val="0"/>
            <w:vAlign w:val="top"/>
          </w:tcPr>
          <w:p w14:paraId="3FD707BC">
            <w:pPr>
              <w:keepNext w:val="0"/>
              <w:keepLines w:val="0"/>
              <w:pageBreakBefore w:val="0"/>
              <w:widowControl w:val="0"/>
              <w:kinsoku/>
              <w:wordWrap/>
              <w:overflowPunct/>
              <w:topLinePunct w:val="0"/>
              <w:autoSpaceDE/>
              <w:autoSpaceDN/>
              <w:bidi w:val="0"/>
              <w:spacing w:line="440" w:lineRule="exact"/>
              <w:ind w:firstLine="105" w:firstLine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7980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6ED70A65">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14:paraId="7C600EE9">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532" w:type="dxa"/>
            <w:noWrap w:val="0"/>
            <w:vAlign w:val="top"/>
          </w:tcPr>
          <w:p w14:paraId="0C60C677">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546" w:type="dxa"/>
            <w:noWrap w:val="0"/>
            <w:vAlign w:val="top"/>
          </w:tcPr>
          <w:p w14:paraId="20A8C25A">
            <w:pPr>
              <w:keepNext w:val="0"/>
              <w:keepLines w:val="0"/>
              <w:pageBreakBefore w:val="0"/>
              <w:widowControl w:val="0"/>
              <w:kinsoku/>
              <w:wordWrap/>
              <w:overflowPunct/>
              <w:topLinePunct w:val="0"/>
              <w:autoSpaceDE/>
              <w:autoSpaceDN/>
              <w:bidi w:val="0"/>
              <w:spacing w:line="440" w:lineRule="exact"/>
              <w:ind w:firstLine="105" w:firstLine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65894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635F0626">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w:t>
            </w:r>
            <w:r>
              <w:rPr>
                <w:rFonts w:hint="eastAsia" w:ascii="宋体" w:hAnsi="宋体" w:cs="宋体"/>
                <w:color w:val="auto"/>
                <w:szCs w:val="21"/>
                <w:highlight w:val="none"/>
                <w:lang w:val="en-US" w:eastAsia="zh-CN"/>
              </w:rPr>
              <w:t>元</w:t>
            </w:r>
            <w:r>
              <w:rPr>
                <w:rFonts w:hint="eastAsia" w:ascii="宋体" w:hAnsi="宋体" w:eastAsia="宋体" w:cs="宋体"/>
                <w:color w:val="auto"/>
                <w:szCs w:val="21"/>
                <w:highlight w:val="none"/>
              </w:rPr>
              <w:t>以上</w:t>
            </w:r>
          </w:p>
        </w:tc>
        <w:tc>
          <w:tcPr>
            <w:tcW w:w="1659" w:type="dxa"/>
            <w:noWrap w:val="0"/>
            <w:vAlign w:val="top"/>
          </w:tcPr>
          <w:p w14:paraId="6C98614B">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532" w:type="dxa"/>
            <w:noWrap w:val="0"/>
            <w:vAlign w:val="top"/>
          </w:tcPr>
          <w:p w14:paraId="400E1CEE">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546" w:type="dxa"/>
            <w:noWrap w:val="0"/>
            <w:vAlign w:val="top"/>
          </w:tcPr>
          <w:p w14:paraId="650F57E0">
            <w:pPr>
              <w:keepNext w:val="0"/>
              <w:keepLines w:val="0"/>
              <w:pageBreakBefore w:val="0"/>
              <w:widowControl w:val="0"/>
              <w:kinsoku/>
              <w:wordWrap/>
              <w:overflowPunct/>
              <w:topLinePunct w:val="0"/>
              <w:autoSpaceDE/>
              <w:autoSpaceDN/>
              <w:bidi w:val="0"/>
              <w:spacing w:line="440" w:lineRule="exact"/>
              <w:ind w:firstLine="105" w:firstLine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744B528A">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注： </w:t>
      </w:r>
    </w:p>
    <w:p w14:paraId="084B563B">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（1）按本表费率计算的收费为采购代理的收费基准价格；</w:t>
      </w:r>
    </w:p>
    <w:p w14:paraId="3627EF7A">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（2）采购代理收费按差额定率累进法计算。</w:t>
      </w:r>
    </w:p>
    <w:p w14:paraId="36244EBF">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例如：某</w:t>
      </w:r>
      <w:r>
        <w:rPr>
          <w:rFonts w:hint="eastAsia" w:ascii="宋体" w:hAnsi="宋体" w:eastAsia="宋体" w:cs="宋体"/>
          <w:color w:val="auto"/>
          <w:highlight w:val="none"/>
          <w:lang w:eastAsia="zh-CN"/>
        </w:rPr>
        <w:t>工程</w:t>
      </w:r>
      <w:r>
        <w:rPr>
          <w:rFonts w:hint="eastAsia" w:ascii="宋体" w:hAnsi="宋体" w:eastAsia="宋体" w:cs="宋体"/>
          <w:color w:val="auto"/>
          <w:highlight w:val="none"/>
        </w:rPr>
        <w:t>采购代理业务成交金额或者暂定价为</w:t>
      </w:r>
      <w:r>
        <w:rPr>
          <w:rFonts w:hint="eastAsia" w:ascii="宋体" w:hAnsi="宋体" w:cs="宋体"/>
          <w:color w:val="auto"/>
          <w:highlight w:val="none"/>
          <w:lang w:val="en-US" w:eastAsia="zh-CN"/>
        </w:rPr>
        <w:t>80</w:t>
      </w:r>
      <w:r>
        <w:rPr>
          <w:rFonts w:hint="eastAsia" w:ascii="宋体" w:hAnsi="宋体" w:eastAsia="宋体" w:cs="宋体"/>
          <w:color w:val="auto"/>
          <w:highlight w:val="none"/>
        </w:rPr>
        <w:t>万元，计算采购代理收费额如下：</w:t>
      </w:r>
    </w:p>
    <w:p w14:paraId="0EBA53BC">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80</w:t>
      </w:r>
      <w:r>
        <w:rPr>
          <w:rFonts w:hint="eastAsia" w:ascii="宋体" w:hAnsi="宋体" w:eastAsia="宋体" w:cs="宋体"/>
          <w:color w:val="auto"/>
          <w:highlight w:val="none"/>
        </w:rPr>
        <w:t>万元 ×</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cs="宋体"/>
          <w:color w:val="auto"/>
          <w:highlight w:val="none"/>
          <w:lang w:val="en-US" w:eastAsia="zh-CN"/>
        </w:rPr>
        <w:t>0.8</w:t>
      </w:r>
      <w:r>
        <w:rPr>
          <w:rFonts w:hint="eastAsia" w:ascii="宋体" w:hAnsi="宋体" w:eastAsia="宋体" w:cs="宋体"/>
          <w:color w:val="auto"/>
          <w:highlight w:val="none"/>
        </w:rPr>
        <w:t>万元</w:t>
      </w:r>
    </w:p>
    <w:p w14:paraId="1F976637">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合计收费＝</w:t>
      </w:r>
      <w:r>
        <w:rPr>
          <w:rFonts w:hint="eastAsia" w:ascii="宋体" w:hAnsi="宋体" w:cs="宋体"/>
          <w:color w:val="auto"/>
          <w:highlight w:val="none"/>
          <w:lang w:val="en-US" w:eastAsia="zh-CN"/>
        </w:rPr>
        <w:t>0.8</w:t>
      </w:r>
      <w:r>
        <w:rPr>
          <w:rFonts w:hint="eastAsia" w:ascii="宋体" w:hAnsi="宋体" w:eastAsia="宋体" w:cs="宋体"/>
          <w:color w:val="auto"/>
          <w:highlight w:val="none"/>
        </w:rPr>
        <w:t>（万元）</w:t>
      </w:r>
    </w:p>
    <w:p w14:paraId="4828904B">
      <w:pPr>
        <w:pStyle w:val="11"/>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十三、</w:t>
      </w:r>
      <w:r>
        <w:rPr>
          <w:rFonts w:hint="eastAsia" w:ascii="宋体" w:hAnsi="宋体" w:eastAsia="宋体" w:cs="宋体"/>
          <w:b/>
          <w:color w:val="auto"/>
          <w:sz w:val="21"/>
          <w:szCs w:val="21"/>
          <w:highlight w:val="none"/>
        </w:rPr>
        <w:t>需要补充的</w:t>
      </w:r>
      <w:r>
        <w:rPr>
          <w:rFonts w:hint="eastAsia" w:ascii="宋体" w:hAnsi="宋体" w:eastAsia="宋体" w:cs="宋体"/>
          <w:b/>
          <w:color w:val="auto"/>
          <w:sz w:val="21"/>
          <w:szCs w:val="21"/>
          <w:highlight w:val="none"/>
          <w:lang w:eastAsia="zh-CN"/>
        </w:rPr>
        <w:t>其他</w:t>
      </w:r>
      <w:r>
        <w:rPr>
          <w:rFonts w:hint="eastAsia" w:ascii="宋体" w:hAnsi="宋体" w:eastAsia="宋体" w:cs="宋体"/>
          <w:b/>
          <w:color w:val="auto"/>
          <w:sz w:val="21"/>
          <w:szCs w:val="21"/>
          <w:highlight w:val="none"/>
        </w:rPr>
        <w:t>内容</w:t>
      </w:r>
    </w:p>
    <w:p w14:paraId="0D3F4FF7">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cs="宋体"/>
          <w:color w:val="auto"/>
          <w:highlight w:val="none"/>
          <w:lang w:val="en-US" w:eastAsia="zh-CN"/>
        </w:rPr>
        <w:t>2</w:t>
      </w:r>
      <w:r>
        <w:rPr>
          <w:rFonts w:hint="eastAsia" w:ascii="宋体" w:hAnsi="宋体" w:eastAsia="宋体" w:cs="宋体"/>
          <w:color w:val="auto"/>
          <w:highlight w:val="none"/>
        </w:rPr>
        <w:t>.1本磋商文件解释规则详见“供应商须知前附表”。</w:t>
      </w:r>
    </w:p>
    <w:p w14:paraId="00C72230">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cs="宋体"/>
          <w:color w:val="auto"/>
          <w:highlight w:val="none"/>
          <w:lang w:val="en-US" w:eastAsia="zh-CN"/>
        </w:rPr>
        <w:t>2</w:t>
      </w:r>
      <w:r>
        <w:rPr>
          <w:rFonts w:hint="eastAsia" w:ascii="宋体" w:hAnsi="宋体" w:eastAsia="宋体" w:cs="宋体"/>
          <w:color w:val="auto"/>
          <w:highlight w:val="none"/>
        </w:rPr>
        <w:t xml:space="preserve">.2 </w:t>
      </w:r>
      <w:bookmarkStart w:id="73" w:name="OLE_LINK57"/>
      <w:r>
        <w:rPr>
          <w:rFonts w:hint="eastAsia" w:ascii="宋体" w:hAnsi="宋体" w:eastAsia="宋体" w:cs="宋体"/>
          <w:color w:val="auto"/>
          <w:highlight w:val="none"/>
        </w:rPr>
        <w:t>其他事项详见“供应商须知前附表</w:t>
      </w:r>
      <w:bookmarkEnd w:id="73"/>
      <w:r>
        <w:rPr>
          <w:rFonts w:hint="eastAsia" w:ascii="宋体" w:hAnsi="宋体" w:eastAsia="宋体" w:cs="宋体"/>
          <w:color w:val="auto"/>
          <w:highlight w:val="none"/>
        </w:rPr>
        <w:t>”。</w:t>
      </w:r>
    </w:p>
    <w:p w14:paraId="44C7246F">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cs="宋体"/>
          <w:color w:val="auto"/>
          <w:highlight w:val="none"/>
          <w:lang w:val="en-US" w:eastAsia="zh-CN"/>
        </w:rPr>
        <w:t>2</w:t>
      </w:r>
      <w:r>
        <w:rPr>
          <w:rFonts w:hint="eastAsia" w:ascii="宋体" w:hAnsi="宋体" w:eastAsia="宋体" w:cs="宋体"/>
          <w:color w:val="auto"/>
          <w:highlight w:val="none"/>
        </w:rPr>
        <w:t>.3本文件所称</w:t>
      </w:r>
      <w:r>
        <w:rPr>
          <w:rFonts w:hint="eastAsia" w:ascii="宋体" w:hAnsi="宋体" w:cs="宋体"/>
          <w:color w:val="auto"/>
          <w:highlight w:val="none"/>
          <w:lang w:val="en-US" w:eastAsia="zh-CN"/>
        </w:rPr>
        <w:t>中</w:t>
      </w:r>
      <w:r>
        <w:rPr>
          <w:rFonts w:hint="eastAsia" w:ascii="宋体" w:hAnsi="宋体" w:eastAsia="宋体" w:cs="宋体"/>
          <w:color w:val="auto"/>
          <w:highlight w:val="none"/>
        </w:rPr>
        <w:t>小微企业，是</w:t>
      </w:r>
      <w:bookmarkStart w:id="74" w:name="OLE_LINK55"/>
      <w:r>
        <w:rPr>
          <w:rFonts w:hint="eastAsia" w:ascii="宋体" w:hAnsi="宋体" w:eastAsia="宋体" w:cs="宋体"/>
          <w:color w:val="auto"/>
          <w:highlight w:val="none"/>
        </w:rPr>
        <w:t>指在中华人民共和国境内依法设立，依据国务院批准的</w:t>
      </w:r>
      <w:r>
        <w:rPr>
          <w:rFonts w:hint="eastAsia" w:ascii="宋体" w:hAnsi="宋体" w:cs="宋体"/>
          <w:color w:val="auto"/>
          <w:highlight w:val="none"/>
          <w:lang w:val="en-US" w:eastAsia="zh-CN"/>
        </w:rPr>
        <w:t>中</w:t>
      </w:r>
      <w:r>
        <w:rPr>
          <w:rFonts w:hint="eastAsia" w:ascii="宋体" w:hAnsi="宋体" w:eastAsia="宋体" w:cs="宋体"/>
          <w:color w:val="auto"/>
          <w:highlight w:val="none"/>
        </w:rPr>
        <w:t>小微企业划分标准确定的</w:t>
      </w:r>
      <w:r>
        <w:rPr>
          <w:rFonts w:hint="eastAsia" w:ascii="宋体" w:hAnsi="宋体" w:cs="宋体"/>
          <w:color w:val="auto"/>
          <w:highlight w:val="none"/>
          <w:lang w:val="en-US" w:eastAsia="zh-CN"/>
        </w:rPr>
        <w:t>中型企业、</w:t>
      </w:r>
      <w:r>
        <w:rPr>
          <w:rFonts w:hint="eastAsia" w:ascii="宋体" w:hAnsi="宋体" w:eastAsia="宋体" w:cs="宋体"/>
          <w:color w:val="auto"/>
          <w:highlight w:val="none"/>
        </w:rPr>
        <w:t>小型企业和微型企业，但与大企业的负责人为同一人，或者与大企业存在直接控股、管理关系的除外。符合小微企业划分标准的个体工商户，在政府采购活动中视同小微企业</w:t>
      </w:r>
      <w:bookmarkEnd w:id="74"/>
      <w:r>
        <w:rPr>
          <w:rFonts w:hint="eastAsia" w:ascii="宋体" w:hAnsi="宋体" w:eastAsia="宋体" w:cs="宋体"/>
          <w:color w:val="auto"/>
          <w:highlight w:val="none"/>
        </w:rPr>
        <w:t>。在政府采购活动中，工程由</w:t>
      </w:r>
      <w:r>
        <w:rPr>
          <w:rFonts w:hint="eastAsia" w:ascii="宋体" w:hAnsi="宋体" w:cs="宋体"/>
          <w:color w:val="auto"/>
          <w:highlight w:val="none"/>
          <w:lang w:val="en-US" w:eastAsia="zh-CN"/>
        </w:rPr>
        <w:t>中</w:t>
      </w:r>
      <w:r>
        <w:rPr>
          <w:rFonts w:hint="eastAsia" w:ascii="宋体" w:hAnsi="宋体" w:eastAsia="宋体" w:cs="宋体"/>
          <w:color w:val="auto"/>
          <w:highlight w:val="none"/>
        </w:rPr>
        <w:t>小微企业承建，即工程施工单位为</w:t>
      </w:r>
      <w:r>
        <w:rPr>
          <w:rFonts w:hint="eastAsia" w:ascii="宋体" w:hAnsi="宋体" w:cs="宋体"/>
          <w:color w:val="auto"/>
          <w:highlight w:val="none"/>
          <w:lang w:val="en-US" w:eastAsia="zh-CN"/>
        </w:rPr>
        <w:t>中小</w:t>
      </w:r>
      <w:r>
        <w:rPr>
          <w:rFonts w:hint="eastAsia" w:ascii="宋体" w:hAnsi="宋体" w:eastAsia="宋体" w:cs="宋体"/>
          <w:color w:val="auto"/>
          <w:highlight w:val="none"/>
        </w:rPr>
        <w:t>微企业，不对其中涉及的货物的制造商和服务的承接商作出要求，享受本文件规定的</w:t>
      </w:r>
      <w:r>
        <w:rPr>
          <w:rFonts w:hint="eastAsia" w:ascii="宋体" w:hAnsi="宋体" w:cs="宋体"/>
          <w:color w:val="auto"/>
          <w:highlight w:val="none"/>
          <w:lang w:val="en-US" w:eastAsia="zh-CN"/>
        </w:rPr>
        <w:t>中</w:t>
      </w:r>
      <w:r>
        <w:rPr>
          <w:rFonts w:hint="eastAsia" w:ascii="宋体" w:hAnsi="宋体" w:eastAsia="宋体" w:cs="宋体"/>
          <w:color w:val="auto"/>
          <w:highlight w:val="none"/>
        </w:rPr>
        <w:t>小微企业扶持政策。</w:t>
      </w:r>
    </w:p>
    <w:p w14:paraId="1DC6E5C6">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以联合体形式参加政府采购活动，联合体各方均为</w:t>
      </w:r>
      <w:r>
        <w:rPr>
          <w:rFonts w:hint="eastAsia" w:ascii="宋体" w:hAnsi="宋体" w:cs="宋体"/>
          <w:color w:val="auto"/>
          <w:highlight w:val="none"/>
          <w:lang w:val="en-US" w:eastAsia="zh-CN"/>
        </w:rPr>
        <w:t>中小微</w:t>
      </w:r>
      <w:r>
        <w:rPr>
          <w:rFonts w:hint="eastAsia" w:ascii="宋体" w:hAnsi="宋体" w:eastAsia="宋体" w:cs="宋体"/>
          <w:color w:val="auto"/>
          <w:highlight w:val="none"/>
        </w:rPr>
        <w:t>企业的，联合体视同</w:t>
      </w:r>
      <w:r>
        <w:rPr>
          <w:rFonts w:hint="eastAsia" w:ascii="宋体" w:hAnsi="宋体" w:cs="宋体"/>
          <w:color w:val="auto"/>
          <w:highlight w:val="none"/>
          <w:lang w:val="en-US" w:eastAsia="zh-CN"/>
        </w:rPr>
        <w:t>中小微</w:t>
      </w:r>
      <w:r>
        <w:rPr>
          <w:rFonts w:hint="eastAsia" w:ascii="宋体" w:hAnsi="宋体" w:eastAsia="宋体" w:cs="宋体"/>
          <w:color w:val="auto"/>
          <w:highlight w:val="none"/>
        </w:rPr>
        <w:t>企业。</w:t>
      </w:r>
    </w:p>
    <w:p w14:paraId="3CB3EB45">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依据本文件规定享受扶持政策获得政府采购合同的，</w:t>
      </w:r>
      <w:r>
        <w:rPr>
          <w:rFonts w:hint="eastAsia" w:ascii="宋体" w:hAnsi="宋体" w:cs="宋体"/>
          <w:color w:val="auto"/>
          <w:highlight w:val="none"/>
          <w:lang w:val="en-US" w:eastAsia="zh-CN"/>
        </w:rPr>
        <w:t>中</w:t>
      </w:r>
      <w:r>
        <w:rPr>
          <w:rFonts w:hint="eastAsia" w:ascii="宋体" w:hAnsi="宋体" w:eastAsia="宋体" w:cs="宋体"/>
          <w:color w:val="auto"/>
          <w:highlight w:val="none"/>
        </w:rPr>
        <w:t>小微企业不得将合同分包给大型企业。</w:t>
      </w:r>
    </w:p>
    <w:p w14:paraId="5F324195">
      <w:pPr>
        <w:keepNext w:val="0"/>
        <w:keepLines w:val="0"/>
        <w:pageBreakBefore w:val="0"/>
        <w:widowControl w:val="0"/>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b/>
          <w:bCs/>
          <w:color w:val="auto"/>
          <w:sz w:val="21"/>
          <w:szCs w:val="21"/>
          <w:highlight w:val="none"/>
        </w:rPr>
      </w:pPr>
    </w:p>
    <w:p w14:paraId="563B5F9F">
      <w:pPr>
        <w:keepNext w:val="0"/>
        <w:keepLines w:val="0"/>
        <w:pageBreakBefore w:val="0"/>
        <w:widowControl w:val="0"/>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.广西线上“政采贷”政策告知函</w:t>
      </w:r>
    </w:p>
    <w:p w14:paraId="3E48E14A">
      <w:pPr>
        <w:spacing w:line="580" w:lineRule="exact"/>
        <w:ind w:firstLine="883" w:firstLineChars="200"/>
        <w:jc w:val="center"/>
        <w:rPr>
          <w:rFonts w:hint="eastAsia" w:ascii="宋体" w:hAnsi="宋体" w:cs="宋体"/>
          <w:b/>
          <w:bCs/>
          <w:color w:val="auto"/>
          <w:sz w:val="44"/>
          <w:szCs w:val="44"/>
          <w:highlight w:val="none"/>
        </w:rPr>
      </w:pPr>
    </w:p>
    <w:p w14:paraId="007646B7">
      <w:pPr>
        <w:spacing w:line="580" w:lineRule="exact"/>
        <w:ind w:firstLine="883" w:firstLineChars="200"/>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广西线上“政采贷”政策告知函</w:t>
      </w:r>
    </w:p>
    <w:p w14:paraId="32FF56BB">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各供应商：</w:t>
      </w:r>
    </w:p>
    <w:p w14:paraId="03FF7E3C">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欢迎贵公司参与广西政府采购活动！</w:t>
      </w:r>
    </w:p>
    <w:p w14:paraId="46759BFC">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026606AE">
      <w:pPr>
        <w:pStyle w:val="31"/>
        <w:keepNext w:val="0"/>
        <w:keepLines w:val="0"/>
        <w:pageBreakBefore w:val="0"/>
        <w:kinsoku/>
        <w:wordWrap/>
        <w:overflowPunct/>
        <w:topLinePunct w:val="0"/>
        <w:autoSpaceDE/>
        <w:autoSpaceDN/>
        <w:bidi w:val="0"/>
        <w:spacing w:line="426" w:lineRule="exact"/>
        <w:ind w:firstLine="460" w:firstLineChars="200"/>
        <w:textAlignment w:val="auto"/>
        <w:rPr>
          <w:rFonts w:hint="eastAsia"/>
          <w:color w:val="auto"/>
          <w:highlight w:val="none"/>
        </w:rPr>
      </w:pPr>
      <w:r>
        <w:rPr>
          <w:rFonts w:hint="eastAsia" w:ascii="宋体" w:hAnsi="宋体" w:eastAsia="宋体" w:cs="宋体"/>
          <w:color w:val="auto"/>
          <w:sz w:val="21"/>
          <w:szCs w:val="21"/>
          <w:highlight w:val="none"/>
        </w:rPr>
        <w:t>相关金融产品和银行业金融机构联系方式，可在中征应收账款融资服务平台查询（网址：</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"https://www.crcrfsp.com/" </w:instrText>
      </w:r>
      <w:r>
        <w:rPr>
          <w:rFonts w:hint="eastAsia" w:ascii="宋体" w:hAnsi="宋体" w:eastAsia="宋体" w:cs="宋体"/>
          <w:color w:val="auto"/>
          <w:sz w:val="21"/>
          <w:szCs w:val="21"/>
          <w:highlight w:val="none"/>
        </w:rPr>
        <w:fldChar w:fldCharType="separate"/>
      </w:r>
      <w:r>
        <w:rPr>
          <w:rStyle w:val="26"/>
          <w:rFonts w:hint="eastAsia" w:ascii="宋体" w:hAnsi="宋体" w:eastAsia="宋体" w:cs="宋体"/>
          <w:color w:val="auto"/>
          <w:sz w:val="21"/>
          <w:szCs w:val="21"/>
          <w:highlight w:val="none"/>
        </w:rPr>
        <w:t>https://www.crcrfsp.com/</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，客服电话：400-009-0001）。</w:t>
      </w:r>
      <w:r>
        <w:rPr>
          <w:rFonts w:hAnsi="宋体"/>
          <w:b/>
          <w:color w:val="auto"/>
          <w:highlight w:val="none"/>
        </w:rPr>
        <w:br w:type="page"/>
      </w:r>
    </w:p>
    <w:p w14:paraId="67FCFC15">
      <w:pPr>
        <w:numPr>
          <w:ilvl w:val="0"/>
          <w:numId w:val="3"/>
        </w:numPr>
        <w:shd w:val="clear" w:color="auto" w:fill="FFFFFF"/>
        <w:spacing w:line="600" w:lineRule="exact"/>
        <w:ind w:firstLine="723" w:firstLineChars="200"/>
        <w:jc w:val="center"/>
        <w:outlineLvl w:val="0"/>
        <w:rPr>
          <w:rFonts w:hint="eastAsia" w:ascii="宋体" w:hAnsi="宋体" w:eastAsia="宋体" w:cs="宋体"/>
          <w:b/>
          <w:bCs/>
          <w:color w:val="auto"/>
          <w:sz w:val="36"/>
          <w:szCs w:val="36"/>
          <w:highlight w:val="none"/>
        </w:rPr>
      </w:pPr>
      <w:bookmarkStart w:id="75" w:name="_Toc12510"/>
      <w:bookmarkStart w:id="76" w:name="OLE_LINK31"/>
      <w:r>
        <w:rPr>
          <w:rFonts w:hint="eastAsia" w:ascii="宋体" w:hAnsi="宋体" w:eastAsia="宋体" w:cs="宋体"/>
          <w:b/>
          <w:bCs/>
          <w:color w:val="auto"/>
          <w:sz w:val="36"/>
          <w:szCs w:val="36"/>
          <w:highlight w:val="none"/>
        </w:rPr>
        <w:t>项目需求和说明</w:t>
      </w:r>
      <w:bookmarkEnd w:id="75"/>
    </w:p>
    <w:bookmarkEnd w:id="76"/>
    <w:tbl>
      <w:tblPr>
        <w:tblStyle w:val="2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2"/>
        <w:gridCol w:w="6670"/>
      </w:tblGrid>
      <w:tr w14:paraId="7E65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402" w:type="dxa"/>
            <w:noWrap w:val="0"/>
            <w:vAlign w:val="center"/>
          </w:tcPr>
          <w:p w14:paraId="52912478">
            <w:pPr>
              <w:keepNext w:val="0"/>
              <w:keepLines w:val="0"/>
              <w:pageBreakBefore w:val="0"/>
              <w:widowControl w:val="0"/>
              <w:shd w:val="clear" w:color="auto" w:fill="FFFFFF"/>
              <w:kinsoku/>
              <w:wordWrap/>
              <w:overflowPunct/>
              <w:topLinePunct w:val="0"/>
              <w:autoSpaceDE/>
              <w:autoSpaceDN/>
              <w:bidi w:val="0"/>
              <w:adjustRightInd/>
              <w:snapToGrid/>
              <w:spacing w:line="390" w:lineRule="exact"/>
              <w:jc w:val="center"/>
              <w:textAlignment w:val="auto"/>
              <w:rPr>
                <w:rFonts w:hint="eastAsia" w:ascii="宋体" w:hAnsi="宋体" w:eastAsia="宋体" w:cs="宋体"/>
                <w:color w:val="auto"/>
                <w:szCs w:val="21"/>
                <w:highlight w:val="none"/>
              </w:rPr>
            </w:pPr>
            <w:bookmarkStart w:id="77" w:name="_Toc424307753"/>
            <w:r>
              <w:rPr>
                <w:rFonts w:hint="eastAsia" w:ascii="宋体" w:hAnsi="宋体" w:eastAsia="宋体" w:cs="宋体"/>
                <w:color w:val="auto"/>
                <w:szCs w:val="21"/>
                <w:highlight w:val="none"/>
              </w:rPr>
              <w:t>工程名称</w:t>
            </w:r>
          </w:p>
        </w:tc>
        <w:tc>
          <w:tcPr>
            <w:tcW w:w="6670" w:type="dxa"/>
            <w:noWrap w:val="0"/>
            <w:vAlign w:val="center"/>
          </w:tcPr>
          <w:p w14:paraId="4510CCCE">
            <w:pPr>
              <w:keepNext w:val="0"/>
              <w:keepLines w:val="0"/>
              <w:pageBreakBefore w:val="0"/>
              <w:widowControl w:val="0"/>
              <w:shd w:val="clear" w:color="auto" w:fill="FFFFFF"/>
              <w:kinsoku/>
              <w:wordWrap/>
              <w:overflowPunct/>
              <w:topLinePunct w:val="0"/>
              <w:autoSpaceDE/>
              <w:autoSpaceDN/>
              <w:bidi w:val="0"/>
              <w:adjustRightInd/>
              <w:snapToGrid/>
              <w:spacing w:line="390" w:lineRule="exact"/>
              <w:textAlignment w:val="auto"/>
              <w:rPr>
                <w:rFonts w:hint="eastAsia" w:ascii="宋体" w:hAnsi="宋体" w:eastAsia="宋体" w:cs="宋体"/>
                <w:bCs/>
                <w:color w:val="auto"/>
                <w:szCs w:val="21"/>
                <w:highlight w:val="none"/>
              </w:rPr>
            </w:pPr>
            <w:r>
              <w:rPr>
                <w:rFonts w:hint="eastAsia" w:ascii="宋体" w:hAnsi="宋体" w:cs="宋体"/>
                <w:color w:val="auto"/>
                <w:highlight w:val="none"/>
                <w:lang w:eastAsia="zh-CN"/>
              </w:rPr>
              <w:t>港口区福利院配套项目</w:t>
            </w:r>
          </w:p>
        </w:tc>
      </w:tr>
      <w:tr w14:paraId="4AEE9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402" w:type="dxa"/>
            <w:noWrap w:val="0"/>
            <w:vAlign w:val="center"/>
          </w:tcPr>
          <w:p w14:paraId="0B66D6AF">
            <w:pPr>
              <w:keepNext w:val="0"/>
              <w:keepLines w:val="0"/>
              <w:pageBreakBefore w:val="0"/>
              <w:widowControl w:val="0"/>
              <w:shd w:val="clear" w:color="auto" w:fill="FFFFFF"/>
              <w:kinsoku/>
              <w:wordWrap/>
              <w:overflowPunct/>
              <w:topLinePunct w:val="0"/>
              <w:autoSpaceDE/>
              <w:autoSpaceDN/>
              <w:bidi w:val="0"/>
              <w:adjustRightInd/>
              <w:snapToGrid/>
              <w:spacing w:line="39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建设地点</w:t>
            </w:r>
          </w:p>
        </w:tc>
        <w:tc>
          <w:tcPr>
            <w:tcW w:w="6670" w:type="dxa"/>
            <w:noWrap w:val="0"/>
            <w:vAlign w:val="center"/>
          </w:tcPr>
          <w:p w14:paraId="2D4D6BBC">
            <w:pPr>
              <w:keepNext w:val="0"/>
              <w:keepLines w:val="0"/>
              <w:pageBreakBefore w:val="0"/>
              <w:widowControl w:val="0"/>
              <w:shd w:val="clear" w:color="auto" w:fill="FFFFFF"/>
              <w:kinsoku/>
              <w:wordWrap/>
              <w:overflowPunct/>
              <w:topLinePunct w:val="0"/>
              <w:autoSpaceDE/>
              <w:autoSpaceDN/>
              <w:bidi w:val="0"/>
              <w:adjustRightInd/>
              <w:snapToGrid/>
              <w:spacing w:line="390" w:lineRule="exact"/>
              <w:jc w:val="left"/>
              <w:textAlignment w:val="auto"/>
              <w:rPr>
                <w:rFonts w:hint="default" w:ascii="宋体" w:hAnsi="宋体" w:eastAsia="宋体" w:cs="宋体"/>
                <w:color w:val="auto"/>
                <w:szCs w:val="21"/>
                <w:highlight w:val="none"/>
                <w:lang w:val="en-US"/>
              </w:rPr>
            </w:pPr>
            <w:r>
              <w:rPr>
                <w:rFonts w:hint="eastAsia" w:ascii="宋体" w:hAnsi="宋体" w:cs="宋体"/>
                <w:color w:val="auto"/>
                <w:highlight w:val="none"/>
                <w:lang w:val="en-US" w:eastAsia="zh-CN"/>
              </w:rPr>
              <w:t>防城港市港口区</w:t>
            </w:r>
          </w:p>
        </w:tc>
      </w:tr>
      <w:tr w14:paraId="0BF08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402" w:type="dxa"/>
            <w:noWrap w:val="0"/>
            <w:vAlign w:val="center"/>
          </w:tcPr>
          <w:p w14:paraId="319F18E3">
            <w:pPr>
              <w:keepNext w:val="0"/>
              <w:keepLines w:val="0"/>
              <w:pageBreakBefore w:val="0"/>
              <w:widowControl w:val="0"/>
              <w:shd w:val="clear" w:color="auto" w:fill="FFFFFF"/>
              <w:kinsoku/>
              <w:wordWrap/>
              <w:overflowPunct/>
              <w:topLinePunct w:val="0"/>
              <w:autoSpaceDE/>
              <w:autoSpaceDN/>
              <w:bidi w:val="0"/>
              <w:adjustRightInd/>
              <w:snapToGrid/>
              <w:spacing w:line="39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建设内容</w:t>
            </w:r>
          </w:p>
        </w:tc>
        <w:tc>
          <w:tcPr>
            <w:tcW w:w="6670" w:type="dxa"/>
            <w:noWrap w:val="0"/>
            <w:vAlign w:val="center"/>
          </w:tcPr>
          <w:p w14:paraId="3F17675E">
            <w:pPr>
              <w:keepNext w:val="0"/>
              <w:keepLines w:val="0"/>
              <w:pageBreakBefore w:val="0"/>
              <w:widowControl w:val="0"/>
              <w:kinsoku/>
              <w:wordWrap/>
              <w:overflowPunct/>
              <w:topLinePunct w:val="0"/>
              <w:autoSpaceDE/>
              <w:autoSpaceDN/>
              <w:bidi w:val="0"/>
              <w:adjustRightInd/>
              <w:snapToGrid/>
              <w:spacing w:line="350" w:lineRule="exact"/>
              <w:ind w:firstLine="420" w:firstLineChars="200"/>
              <w:jc w:val="left"/>
              <w:textAlignment w:val="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eastAsia="zh-CN"/>
              </w:rPr>
              <w:t>本工程建设地点位于防城港市港口区福利院内，为港口区福利院附属工程，主要建设总平硬化铺设、围墙、绿化、总平电气及总平给排水等工程，详见图纸及工程量清单。</w:t>
            </w:r>
          </w:p>
        </w:tc>
      </w:tr>
      <w:tr w14:paraId="0C37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402" w:type="dxa"/>
            <w:noWrap w:val="0"/>
            <w:vAlign w:val="center"/>
          </w:tcPr>
          <w:p w14:paraId="0327DCE3">
            <w:pPr>
              <w:keepNext w:val="0"/>
              <w:keepLines w:val="0"/>
              <w:pageBreakBefore w:val="0"/>
              <w:widowControl w:val="0"/>
              <w:shd w:val="clear" w:color="auto" w:fill="FFFFFF"/>
              <w:kinsoku/>
              <w:wordWrap/>
              <w:overflowPunct/>
              <w:topLinePunct w:val="0"/>
              <w:autoSpaceDE/>
              <w:autoSpaceDN/>
              <w:bidi w:val="0"/>
              <w:adjustRightInd/>
              <w:snapToGrid/>
              <w:spacing w:line="39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工程预算（</w:t>
            </w:r>
            <w:r>
              <w:rPr>
                <w:rFonts w:hint="eastAsia" w:ascii="宋体" w:hAnsi="宋体" w:cs="宋体"/>
                <w:color w:val="auto"/>
                <w:szCs w:val="21"/>
                <w:highlight w:val="none"/>
                <w:lang w:val="en-US" w:eastAsia="zh-CN"/>
              </w:rPr>
              <w:t>招标控制价</w:t>
            </w:r>
            <w:r>
              <w:rPr>
                <w:rFonts w:hint="eastAsia" w:ascii="宋体" w:hAnsi="宋体" w:eastAsia="宋体" w:cs="宋体"/>
                <w:color w:val="auto"/>
                <w:szCs w:val="21"/>
                <w:highlight w:val="none"/>
              </w:rPr>
              <w:t>）</w:t>
            </w:r>
          </w:p>
        </w:tc>
        <w:tc>
          <w:tcPr>
            <w:tcW w:w="6670" w:type="dxa"/>
            <w:noWrap w:val="0"/>
            <w:vAlign w:val="center"/>
          </w:tcPr>
          <w:p w14:paraId="0237D977">
            <w:pPr>
              <w:keepNext w:val="0"/>
              <w:keepLines w:val="0"/>
              <w:pageBreakBefore w:val="0"/>
              <w:widowControl w:val="0"/>
              <w:shd w:val="clear" w:color="auto" w:fill="FFFFFF"/>
              <w:kinsoku/>
              <w:wordWrap/>
              <w:overflowPunct/>
              <w:topLinePunct w:val="0"/>
              <w:autoSpaceDE/>
              <w:autoSpaceDN/>
              <w:bidi w:val="0"/>
              <w:adjustRightInd/>
              <w:snapToGrid/>
              <w:spacing w:line="39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经</w:t>
            </w:r>
            <w:r>
              <w:rPr>
                <w:rFonts w:hint="eastAsia" w:ascii="宋体" w:hAnsi="宋体" w:eastAsia="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lang w:eastAsia="zh-CN"/>
              </w:rPr>
              <w:t>人确认，本项目招标控制价</w:t>
            </w:r>
            <w:r>
              <w:rPr>
                <w:rFonts w:hint="eastAsia" w:ascii="宋体" w:hAnsi="宋体" w:eastAsia="宋体" w:cs="宋体"/>
                <w:b/>
                <w:bCs/>
                <w:color w:val="auto"/>
                <w:sz w:val="21"/>
                <w:szCs w:val="21"/>
                <w:highlight w:val="none"/>
                <w:lang w:val="en-US" w:eastAsia="zh-CN"/>
              </w:rPr>
              <w:t>为</w:t>
            </w:r>
            <w:r>
              <w:rPr>
                <w:rFonts w:hint="eastAsia" w:ascii="宋体" w:hAnsi="宋体" w:cs="宋体"/>
                <w:b/>
                <w:bCs/>
                <w:color w:val="auto"/>
                <w:sz w:val="21"/>
                <w:szCs w:val="21"/>
                <w:highlight w:val="none"/>
                <w:lang w:val="en-US" w:eastAsia="zh-CN"/>
              </w:rPr>
              <w:t>人民币壹佰伍拾叁万捌仟伍佰陆拾捌元陆角贰分（¥1538565.62）</w:t>
            </w:r>
            <w:r>
              <w:rPr>
                <w:rFonts w:hint="eastAsia" w:ascii="宋体" w:hAnsi="宋体" w:cs="宋体"/>
                <w:b/>
                <w:bCs/>
                <w:color w:val="auto"/>
                <w:sz w:val="21"/>
                <w:szCs w:val="21"/>
                <w:highlight w:val="none"/>
                <w:u w:val="none"/>
                <w:lang w:val="en-US" w:eastAsia="zh-CN"/>
              </w:rPr>
              <w:t>，</w:t>
            </w:r>
            <w:r>
              <w:rPr>
                <w:rFonts w:hint="eastAsia" w:ascii="宋体" w:hAnsi="宋体" w:eastAsia="宋体" w:cs="宋体"/>
                <w:b/>
                <w:bCs/>
                <w:color w:val="auto"/>
                <w:sz w:val="21"/>
                <w:szCs w:val="21"/>
                <w:highlight w:val="none"/>
                <w:lang w:eastAsia="zh-CN"/>
              </w:rPr>
              <w:t>供应商的磋商报价不能超出此控制价，否则磋商无效。</w:t>
            </w:r>
          </w:p>
        </w:tc>
      </w:tr>
      <w:tr w14:paraId="1CF7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402" w:type="dxa"/>
            <w:noWrap w:val="0"/>
            <w:vAlign w:val="center"/>
          </w:tcPr>
          <w:p w14:paraId="7ABA827E">
            <w:pPr>
              <w:keepNext w:val="0"/>
              <w:keepLines w:val="0"/>
              <w:pageBreakBefore w:val="0"/>
              <w:widowControl w:val="0"/>
              <w:shd w:val="clear" w:color="auto" w:fill="FFFFFF"/>
              <w:kinsoku/>
              <w:wordWrap/>
              <w:overflowPunct/>
              <w:topLinePunct w:val="0"/>
              <w:autoSpaceDE/>
              <w:autoSpaceDN/>
              <w:bidi w:val="0"/>
              <w:adjustRightInd/>
              <w:snapToGrid/>
              <w:spacing w:line="39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6670" w:type="dxa"/>
            <w:noWrap w:val="0"/>
            <w:vAlign w:val="center"/>
          </w:tcPr>
          <w:p w14:paraId="4BD15788">
            <w:pPr>
              <w:keepNext w:val="0"/>
              <w:keepLines w:val="0"/>
              <w:pageBreakBefore w:val="0"/>
              <w:widowControl w:val="0"/>
              <w:shd w:val="clear" w:color="auto" w:fill="FFFFFF"/>
              <w:kinsoku/>
              <w:wordWrap/>
              <w:overflowPunct/>
              <w:topLinePunct w:val="0"/>
              <w:autoSpaceDE/>
              <w:autoSpaceDN/>
              <w:bidi w:val="0"/>
              <w:adjustRightInd/>
              <w:snapToGrid/>
              <w:spacing w:line="390" w:lineRule="exac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符合现行国家及相关行业质量验收合格标准。</w:t>
            </w:r>
          </w:p>
        </w:tc>
      </w:tr>
      <w:tr w14:paraId="1F1A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402" w:type="dxa"/>
            <w:noWrap w:val="0"/>
            <w:vAlign w:val="center"/>
          </w:tcPr>
          <w:p w14:paraId="569F94AC">
            <w:pPr>
              <w:keepNext w:val="0"/>
              <w:keepLines w:val="0"/>
              <w:pageBreakBefore w:val="0"/>
              <w:widowControl w:val="0"/>
              <w:shd w:val="clear" w:color="auto" w:fill="FFFFFF"/>
              <w:kinsoku/>
              <w:wordWrap/>
              <w:overflowPunct/>
              <w:topLinePunct w:val="0"/>
              <w:autoSpaceDE/>
              <w:autoSpaceDN/>
              <w:bidi w:val="0"/>
              <w:adjustRightInd/>
              <w:snapToGrid/>
              <w:spacing w:line="39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工期要求</w:t>
            </w:r>
          </w:p>
        </w:tc>
        <w:tc>
          <w:tcPr>
            <w:tcW w:w="6670" w:type="dxa"/>
            <w:noWrap w:val="0"/>
            <w:vAlign w:val="center"/>
          </w:tcPr>
          <w:p w14:paraId="739BD5FA">
            <w:pPr>
              <w:keepNext w:val="0"/>
              <w:keepLines w:val="0"/>
              <w:pageBreakBefore w:val="0"/>
              <w:widowControl w:val="0"/>
              <w:shd w:val="clear" w:color="auto" w:fill="FFFFFF"/>
              <w:kinsoku/>
              <w:wordWrap/>
              <w:overflowPunct/>
              <w:topLinePunct w:val="0"/>
              <w:autoSpaceDE/>
              <w:autoSpaceDN/>
              <w:bidi w:val="0"/>
              <w:adjustRightInd/>
              <w:snapToGrid/>
              <w:spacing w:line="390" w:lineRule="exact"/>
              <w:textAlignment w:val="auto"/>
              <w:rPr>
                <w:rFonts w:hint="eastAsia" w:ascii="宋体" w:hAnsi="宋体" w:eastAsia="宋体" w:cs="宋体"/>
                <w:color w:val="auto"/>
                <w:szCs w:val="21"/>
                <w:highlight w:val="none"/>
                <w:u w:val="single"/>
              </w:rPr>
            </w:pPr>
            <w:r>
              <w:rPr>
                <w:rFonts w:hint="eastAsia" w:ascii="宋体" w:hAnsi="宋体" w:cs="宋体"/>
                <w:b/>
                <w:bCs/>
                <w:color w:val="auto"/>
                <w:highlight w:val="none"/>
                <w:u w:val="single"/>
                <w:lang w:val="en-US" w:eastAsia="zh-CN"/>
              </w:rPr>
              <w:t>90日历天</w:t>
            </w:r>
          </w:p>
        </w:tc>
      </w:tr>
      <w:tr w14:paraId="3BF3E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402" w:type="dxa"/>
            <w:noWrap w:val="0"/>
            <w:vAlign w:val="center"/>
          </w:tcPr>
          <w:p w14:paraId="7E414D43">
            <w:pPr>
              <w:keepNext w:val="0"/>
              <w:keepLines w:val="0"/>
              <w:pageBreakBefore w:val="0"/>
              <w:widowControl w:val="0"/>
              <w:shd w:val="clear" w:color="auto" w:fill="FFFFFF"/>
              <w:kinsoku/>
              <w:wordWrap/>
              <w:overflowPunct/>
              <w:topLinePunct w:val="0"/>
              <w:autoSpaceDE/>
              <w:autoSpaceDN/>
              <w:bidi w:val="0"/>
              <w:adjustRightInd/>
              <w:snapToGrid/>
              <w:spacing w:line="39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供应商资格要求</w:t>
            </w:r>
          </w:p>
        </w:tc>
        <w:tc>
          <w:tcPr>
            <w:tcW w:w="6670" w:type="dxa"/>
            <w:noWrap w:val="0"/>
            <w:vAlign w:val="center"/>
          </w:tcPr>
          <w:p w14:paraId="75F9EB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318DAB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2.落实政府采购政策需满足的资格要求：</w:t>
            </w:r>
            <w:r>
              <w:rPr>
                <w:rFonts w:hint="eastAsia" w:ascii="宋体" w:hAnsi="宋体" w:cs="宋体"/>
                <w:b/>
                <w:bCs/>
                <w:color w:val="auto"/>
                <w:sz w:val="21"/>
                <w:szCs w:val="21"/>
                <w:highlight w:val="none"/>
                <w:lang w:eastAsia="zh-CN"/>
              </w:rPr>
              <w:t>本项目为专门面向中小企业采购的项目</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供应商应为</w:t>
            </w:r>
            <w:r>
              <w:rPr>
                <w:rFonts w:hint="eastAsia" w:ascii="宋体" w:hAnsi="宋体" w:cs="宋体"/>
                <w:b/>
                <w:bCs/>
                <w:color w:val="auto"/>
                <w:sz w:val="21"/>
                <w:szCs w:val="21"/>
                <w:highlight w:val="none"/>
                <w:lang w:val="en-US" w:eastAsia="zh-CN"/>
              </w:rPr>
              <w:t>中</w:t>
            </w:r>
            <w:r>
              <w:rPr>
                <w:rFonts w:hint="eastAsia" w:ascii="宋体" w:hAnsi="宋体" w:eastAsia="宋体" w:cs="宋体"/>
                <w:b/>
                <w:bCs/>
                <w:color w:val="auto"/>
                <w:sz w:val="21"/>
                <w:szCs w:val="21"/>
                <w:highlight w:val="none"/>
              </w:rPr>
              <w:t>小微企业或监狱企业或残疾人福利性单位</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kern w:val="0"/>
                <w:szCs w:val="21"/>
                <w:highlight w:val="none"/>
                <w:lang w:val="en-US" w:eastAsia="zh-CN"/>
              </w:rPr>
              <w:t>。供应商必须提供中小企业声明函或者残疾人福利性单位声明函或者供应商属于监狱企业的需提供由省级以上监狱管理局、戒毒管理局（含新疆生产建设兵团）出具的属于监狱企业的证明文件</w:t>
            </w:r>
            <w:r>
              <w:rPr>
                <w:rFonts w:hint="eastAsia" w:ascii="宋体" w:hAnsi="宋体" w:cs="宋体"/>
                <w:color w:val="auto"/>
                <w:kern w:val="0"/>
                <w:szCs w:val="21"/>
                <w:highlight w:val="none"/>
                <w:lang w:val="en-US" w:eastAsia="zh-CN"/>
              </w:rPr>
              <w:t>；</w:t>
            </w:r>
          </w:p>
          <w:p w14:paraId="67E4A8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3.本项目的特定资格要求：</w:t>
            </w:r>
          </w:p>
          <w:p w14:paraId="4EB093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本项目供应商企业资质要求具备</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市政公用工程施工总承包</w:t>
            </w:r>
            <w:r>
              <w:rPr>
                <w:rFonts w:hint="eastAsia" w:ascii="宋体" w:hAnsi="宋体" w:cs="宋体"/>
                <w:b/>
                <w:bCs/>
                <w:color w:val="auto"/>
                <w:szCs w:val="21"/>
                <w:highlight w:val="none"/>
              </w:rPr>
              <w:t>”三级以上（含三级）资质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并</w:t>
            </w:r>
            <w:r>
              <w:rPr>
                <w:rFonts w:hint="eastAsia" w:ascii="宋体" w:hAnsi="宋体" w:eastAsia="宋体" w:cs="宋体"/>
                <w:color w:val="auto"/>
                <w:szCs w:val="21"/>
                <w:highlight w:val="none"/>
              </w:rPr>
              <w:t>具有有效的</w:t>
            </w:r>
            <w:r>
              <w:rPr>
                <w:rFonts w:hint="eastAsia" w:ascii="宋体" w:hAnsi="宋体" w:eastAsia="宋体" w:cs="宋体"/>
                <w:color w:val="auto"/>
                <w:szCs w:val="21"/>
                <w:highlight w:val="none"/>
                <w:lang w:val="en-US" w:eastAsia="zh-CN"/>
              </w:rPr>
              <w:t>企业</w:t>
            </w:r>
            <w:r>
              <w:rPr>
                <w:rFonts w:hint="eastAsia" w:ascii="宋体" w:hAnsi="宋体" w:eastAsia="宋体" w:cs="宋体"/>
                <w:color w:val="auto"/>
                <w:szCs w:val="21"/>
                <w:highlight w:val="none"/>
              </w:rPr>
              <w:t>安全生产许可证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且</w:t>
            </w:r>
            <w:r>
              <w:rPr>
                <w:rFonts w:hint="eastAsia" w:ascii="宋体" w:hAnsi="宋体" w:eastAsia="宋体" w:cs="宋体"/>
                <w:color w:val="auto"/>
                <w:szCs w:val="21"/>
                <w:highlight w:val="none"/>
              </w:rPr>
              <w:t>在人员、设备、资金等方面具有相应的施工能力</w:t>
            </w:r>
            <w:r>
              <w:rPr>
                <w:rFonts w:hint="eastAsia" w:ascii="宋体" w:hAnsi="宋体" w:eastAsia="宋体" w:cs="宋体"/>
                <w:color w:val="auto"/>
                <w:szCs w:val="21"/>
                <w:highlight w:val="none"/>
                <w:lang w:val="en-US" w:eastAsia="zh-CN"/>
              </w:rPr>
              <w:t>；</w:t>
            </w:r>
          </w:p>
          <w:p w14:paraId="2D1B39D5">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szCs w:val="21"/>
                <w:highlight w:val="none"/>
              </w:rPr>
              <w:t>拟派项目经理资格要求具备</w:t>
            </w:r>
            <w:r>
              <w:rPr>
                <w:rFonts w:hint="eastAsia" w:ascii="宋体" w:hAnsi="宋体" w:cs="宋体"/>
                <w:b/>
                <w:bCs/>
                <w:color w:val="auto"/>
                <w:szCs w:val="21"/>
                <w:highlight w:val="none"/>
                <w:lang w:val="en-US" w:eastAsia="zh-CN"/>
              </w:rPr>
              <w:t>市政公用工程</w:t>
            </w:r>
            <w:r>
              <w:rPr>
                <w:rFonts w:hint="eastAsia" w:ascii="宋体" w:hAnsi="宋体" w:eastAsia="宋体" w:cs="宋体"/>
                <w:color w:val="auto"/>
                <w:sz w:val="21"/>
                <w:szCs w:val="21"/>
                <w:highlight w:val="none"/>
                <w:lang w:val="zh-CN" w:eastAsia="zh-CN" w:bidi="zh-CN"/>
              </w:rPr>
              <w:t>专业贰级以上（含贰级）</w:t>
            </w:r>
            <w:r>
              <w:rPr>
                <w:rFonts w:hint="eastAsia" w:ascii="宋体" w:hAnsi="宋体" w:eastAsia="宋体" w:cs="宋体"/>
                <w:color w:val="auto"/>
                <w:szCs w:val="21"/>
                <w:highlight w:val="none"/>
              </w:rPr>
              <w:t>注册建造师证书，并持有效的安全生产考核合格证书（B证），为</w:t>
            </w:r>
            <w:r>
              <w:rPr>
                <w:rFonts w:hint="eastAsia"/>
                <w:color w:val="auto"/>
                <w:lang w:val="en-US" w:eastAsia="zh-CN"/>
              </w:rPr>
              <w:t>供应商</w:t>
            </w:r>
            <w:r>
              <w:rPr>
                <w:rFonts w:hint="eastAsia" w:ascii="宋体" w:hAnsi="宋体" w:eastAsia="宋体" w:cs="宋体"/>
                <w:color w:val="auto"/>
                <w:szCs w:val="21"/>
                <w:highlight w:val="none"/>
              </w:rPr>
              <w:t>本单位的在岗人员，且未担任其他在建项目或已中标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未开工项目或已列为项目第一</w:t>
            </w:r>
            <w:r>
              <w:rPr>
                <w:rFonts w:hint="eastAsia" w:ascii="宋体" w:hAnsi="宋体" w:cs="宋体"/>
                <w:color w:val="auto"/>
                <w:szCs w:val="21"/>
                <w:highlight w:val="none"/>
                <w:lang w:val="en-US" w:eastAsia="zh-CN"/>
              </w:rPr>
              <w:t>中标（成交）</w:t>
            </w:r>
            <w:r>
              <w:rPr>
                <w:rFonts w:hint="eastAsia" w:ascii="宋体" w:hAnsi="宋体" w:eastAsia="宋体" w:cs="宋体"/>
                <w:color w:val="auto"/>
                <w:szCs w:val="21"/>
                <w:highlight w:val="none"/>
              </w:rPr>
              <w:t>候选人项目的项目经理</w:t>
            </w:r>
            <w:r>
              <w:rPr>
                <w:rFonts w:hint="eastAsia" w:ascii="宋体" w:hAnsi="宋体" w:eastAsia="宋体" w:cs="宋体"/>
                <w:color w:val="auto"/>
                <w:szCs w:val="21"/>
                <w:highlight w:val="none"/>
                <w:lang w:eastAsia="zh-CN"/>
              </w:rPr>
              <w:t>。</w:t>
            </w:r>
          </w:p>
        </w:tc>
      </w:tr>
      <w:tr w14:paraId="3656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402" w:type="dxa"/>
            <w:noWrap w:val="0"/>
            <w:vAlign w:val="center"/>
          </w:tcPr>
          <w:p w14:paraId="6E560060">
            <w:pPr>
              <w:keepNext w:val="0"/>
              <w:keepLines w:val="0"/>
              <w:pageBreakBefore w:val="0"/>
              <w:widowControl w:val="0"/>
              <w:shd w:val="clear" w:color="auto" w:fill="FFFFFF"/>
              <w:kinsoku/>
              <w:wordWrap/>
              <w:overflowPunct/>
              <w:topLinePunct w:val="0"/>
              <w:autoSpaceDE/>
              <w:autoSpaceDN/>
              <w:bidi w:val="0"/>
              <w:adjustRightInd/>
              <w:snapToGrid/>
              <w:spacing w:line="390" w:lineRule="exact"/>
              <w:jc w:val="center"/>
              <w:textAlignment w:val="auto"/>
              <w:rPr>
                <w:rFonts w:hint="eastAsia" w:ascii="宋体" w:hAnsi="宋体" w:eastAsia="宋体" w:cs="宋体"/>
                <w:color w:val="auto"/>
                <w:szCs w:val="21"/>
                <w:highlight w:val="none"/>
              </w:rPr>
            </w:pPr>
            <w:r>
              <w:rPr>
                <w:rFonts w:hint="eastAsia" w:ascii="宋体" w:cs="宋体"/>
                <w:color w:val="auto"/>
              </w:rPr>
              <w:t>采购标的对应的中小企业划分标准所属行业名称</w:t>
            </w:r>
          </w:p>
        </w:tc>
        <w:tc>
          <w:tcPr>
            <w:tcW w:w="6670" w:type="dxa"/>
            <w:noWrap w:val="0"/>
            <w:vAlign w:val="center"/>
          </w:tcPr>
          <w:p w14:paraId="372CC5AD">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建筑业</w:t>
            </w:r>
          </w:p>
        </w:tc>
      </w:tr>
      <w:tr w14:paraId="32341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402" w:type="dxa"/>
            <w:noWrap w:val="0"/>
            <w:vAlign w:val="center"/>
          </w:tcPr>
          <w:p w14:paraId="405273D6">
            <w:pPr>
              <w:keepNext w:val="0"/>
              <w:keepLines w:val="0"/>
              <w:pageBreakBefore w:val="0"/>
              <w:widowControl w:val="0"/>
              <w:shd w:val="clear" w:color="auto" w:fill="FFFFFF"/>
              <w:kinsoku/>
              <w:wordWrap/>
              <w:overflowPunct/>
              <w:topLinePunct w:val="0"/>
              <w:autoSpaceDE/>
              <w:autoSpaceDN/>
              <w:bidi w:val="0"/>
              <w:adjustRightInd/>
              <w:snapToGrid/>
              <w:spacing w:line="39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付款方式及其他要求</w:t>
            </w:r>
          </w:p>
        </w:tc>
        <w:tc>
          <w:tcPr>
            <w:tcW w:w="6670" w:type="dxa"/>
            <w:noWrap w:val="0"/>
            <w:vAlign w:val="center"/>
          </w:tcPr>
          <w:p w14:paraId="3A0698BC">
            <w:pPr>
              <w:keepNext w:val="0"/>
              <w:keepLines w:val="0"/>
              <w:pageBreakBefore w:val="0"/>
              <w:widowControl w:val="0"/>
              <w:kinsoku/>
              <w:wordWrap/>
              <w:overflowPunct/>
              <w:topLinePunct w:val="0"/>
              <w:autoSpaceDE/>
              <w:autoSpaceDN/>
              <w:bidi w:val="0"/>
              <w:adjustRightInd/>
              <w:snapToGrid/>
              <w:spacing w:line="420" w:lineRule="exact"/>
              <w:ind w:firstLine="420" w:firstLineChars="200"/>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lang w:val="en-US" w:eastAsia="zh-CN"/>
              </w:rPr>
              <w:t>1.本项目</w:t>
            </w:r>
            <w:bookmarkStart w:id="78" w:name="OLE_LINK61"/>
            <w:bookmarkStart w:id="79" w:name="OLE_LINK32"/>
            <w:r>
              <w:rPr>
                <w:rFonts w:hint="eastAsia" w:ascii="宋体" w:hAnsi="宋体" w:eastAsia="宋体" w:cs="宋体"/>
                <w:color w:val="auto"/>
                <w:szCs w:val="21"/>
                <w:highlight w:val="none"/>
                <w:lang w:val="en-US" w:eastAsia="zh-CN"/>
              </w:rPr>
              <w:t>预付款</w:t>
            </w:r>
            <w:bookmarkEnd w:id="78"/>
            <w:r>
              <w:rPr>
                <w:rFonts w:hint="eastAsia" w:ascii="宋体" w:hAnsi="宋体" w:eastAsia="宋体" w:cs="宋体"/>
                <w:color w:val="auto"/>
                <w:szCs w:val="21"/>
                <w:highlight w:val="none"/>
                <w:lang w:val="en-US" w:eastAsia="zh-CN"/>
              </w:rPr>
              <w:t>支付</w:t>
            </w:r>
            <w:bookmarkEnd w:id="79"/>
            <w:r>
              <w:rPr>
                <w:rFonts w:hint="eastAsia" w:ascii="宋体" w:hAnsi="宋体" w:eastAsia="宋体" w:cs="宋体"/>
                <w:color w:val="auto"/>
                <w:szCs w:val="21"/>
                <w:highlight w:val="none"/>
                <w:lang w:val="en-US" w:eastAsia="zh-CN"/>
              </w:rPr>
              <w:t>比例为：</w:t>
            </w:r>
            <w:bookmarkStart w:id="80" w:name="OLE_LINK60"/>
            <w:r>
              <w:rPr>
                <w:rFonts w:hint="eastAsia" w:ascii="宋体" w:hAnsi="宋体" w:cs="宋体"/>
                <w:b/>
                <w:bCs/>
                <w:color w:val="auto"/>
                <w:szCs w:val="21"/>
                <w:highlight w:val="none"/>
                <w:lang w:val="en-US" w:eastAsia="zh-CN"/>
              </w:rPr>
              <w:t>合同总价（扣除暂列金额）</w:t>
            </w:r>
            <w:r>
              <w:rPr>
                <w:rFonts w:hint="eastAsia" w:ascii="宋体" w:hAnsi="宋体" w:eastAsia="宋体" w:cs="宋体"/>
                <w:b/>
                <w:bCs/>
                <w:color w:val="auto"/>
                <w:szCs w:val="21"/>
                <w:highlight w:val="none"/>
                <w:lang w:val="en-US" w:eastAsia="zh-CN"/>
              </w:rPr>
              <w:t>的30%。预付款抵扣的方式、抵扣比例和抵扣时间安排：</w:t>
            </w:r>
            <w:bookmarkEnd w:id="80"/>
            <w:r>
              <w:rPr>
                <w:rFonts w:hint="eastAsia" w:ascii="宋体" w:hAnsi="宋体" w:cs="宋体"/>
                <w:b/>
                <w:bCs/>
                <w:color w:val="auto"/>
                <w:szCs w:val="21"/>
                <w:highlight w:val="none"/>
                <w:lang w:val="en-US" w:eastAsia="zh-CN"/>
              </w:rPr>
              <w:t>合同签订后，每月工程进度款先从预付款中扣除，原则上分两次扣完，每次扣预付款的50%。</w:t>
            </w:r>
          </w:p>
          <w:p w14:paraId="5CC8AD92">
            <w:pPr>
              <w:keepNext w:val="0"/>
              <w:keepLines w:val="0"/>
              <w:pageBreakBefore w:val="0"/>
              <w:widowControl w:val="0"/>
              <w:kinsoku/>
              <w:wordWrap/>
              <w:overflowPunct/>
              <w:topLinePunct w:val="0"/>
              <w:autoSpaceDE/>
              <w:autoSpaceDN/>
              <w:bidi w:val="0"/>
              <w:adjustRightInd/>
              <w:snapToGrid/>
              <w:spacing w:line="42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2.关于付款周期的约定：</w:t>
            </w:r>
            <w:bookmarkStart w:id="81" w:name="OLE_LINK59"/>
            <w:r>
              <w:rPr>
                <w:rFonts w:hint="eastAsia" w:ascii="宋体" w:hAnsi="宋体" w:eastAsia="宋体" w:cs="宋体"/>
                <w:color w:val="auto"/>
                <w:szCs w:val="21"/>
                <w:highlight w:val="none"/>
                <w:lang w:val="en-US" w:eastAsia="zh-CN"/>
              </w:rPr>
              <w:t>按每月20—25日（逾期不提交的待下月同期再提交）承包人应向发包人提交当月工程完成工程形象进度报表，同时在进度报表中附加农民工工资支付计划并提交上一期农民工工资支付情况表，经建设单位核实后，合同内按每月完成工程量的80%支付工程进度款；在工程竣工结算评审后支付至工程款总额的97%，总额的3%作为质量保证金，质保金在缺陷责任期满后21个工作日内一次性无息付清。合同外工程款待工程竣工结算后一并支付</w:t>
            </w:r>
            <w:bookmarkEnd w:id="81"/>
            <w:r>
              <w:rPr>
                <w:rFonts w:hint="eastAsia" w:ascii="宋体" w:hAnsi="宋体" w:eastAsia="宋体" w:cs="宋体"/>
                <w:color w:val="auto"/>
                <w:szCs w:val="21"/>
                <w:highlight w:val="none"/>
                <w:lang w:val="en-US" w:eastAsia="zh-CN"/>
              </w:rPr>
              <w:t>。</w:t>
            </w:r>
          </w:p>
          <w:p w14:paraId="4EBEE2CC">
            <w:pPr>
              <w:keepNext w:val="0"/>
              <w:keepLines w:val="0"/>
              <w:pageBreakBefore w:val="0"/>
              <w:widowControl w:val="0"/>
              <w:kinsoku/>
              <w:wordWrap/>
              <w:overflowPunct/>
              <w:topLinePunct w:val="0"/>
              <w:autoSpaceDE/>
              <w:autoSpaceDN/>
              <w:bidi w:val="0"/>
              <w:adjustRightInd/>
              <w:snapToGrid/>
              <w:spacing w:line="42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港口区财政局拨付相关款项后7个工作日内完成支付。</w:t>
            </w:r>
          </w:p>
        </w:tc>
      </w:tr>
      <w:tr w14:paraId="0A01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402" w:type="dxa"/>
            <w:noWrap w:val="0"/>
            <w:vAlign w:val="center"/>
          </w:tcPr>
          <w:p w14:paraId="627D9423">
            <w:pPr>
              <w:keepNext w:val="0"/>
              <w:keepLines w:val="0"/>
              <w:pageBreakBefore w:val="0"/>
              <w:widowControl w:val="0"/>
              <w:shd w:val="clear" w:color="auto" w:fill="FFFFFF"/>
              <w:kinsoku/>
              <w:wordWrap/>
              <w:overflowPunct/>
              <w:topLinePunct w:val="0"/>
              <w:autoSpaceDE/>
              <w:autoSpaceDN/>
              <w:bidi w:val="0"/>
              <w:adjustRightInd/>
              <w:snapToGrid/>
              <w:spacing w:line="39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保修要求</w:t>
            </w:r>
          </w:p>
        </w:tc>
        <w:tc>
          <w:tcPr>
            <w:tcW w:w="6670" w:type="dxa"/>
            <w:noWrap w:val="0"/>
            <w:vAlign w:val="center"/>
          </w:tcPr>
          <w:p w14:paraId="0D03FFAC">
            <w:pPr>
              <w:keepNext w:val="0"/>
              <w:keepLines w:val="0"/>
              <w:pageBreakBefore w:val="0"/>
              <w:widowControl w:val="0"/>
              <w:shd w:val="clear" w:color="auto" w:fill="FFFFFF"/>
              <w:kinsoku/>
              <w:wordWrap/>
              <w:overflowPunct/>
              <w:topLinePunct w:val="0"/>
              <w:autoSpaceDE/>
              <w:autoSpaceDN/>
              <w:bidi w:val="0"/>
              <w:adjustRightInd/>
              <w:snapToGrid/>
              <w:spacing w:line="39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按照有关法律规定和合同约定，承担工程质量保修责任</w:t>
            </w:r>
            <w:r>
              <w:rPr>
                <w:rFonts w:hint="eastAsia" w:ascii="宋体" w:hAnsi="宋体" w:eastAsia="宋体" w:cs="宋体"/>
                <w:color w:val="auto"/>
                <w:szCs w:val="21"/>
                <w:highlight w:val="none"/>
                <w:lang w:eastAsia="zh-CN"/>
              </w:rPr>
              <w:t>。</w:t>
            </w:r>
          </w:p>
        </w:tc>
      </w:tr>
      <w:tr w14:paraId="46EE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402" w:type="dxa"/>
            <w:noWrap w:val="0"/>
            <w:vAlign w:val="center"/>
          </w:tcPr>
          <w:p w14:paraId="6E6EC2E1">
            <w:pPr>
              <w:keepNext w:val="0"/>
              <w:keepLines w:val="0"/>
              <w:pageBreakBefore w:val="0"/>
              <w:widowControl w:val="0"/>
              <w:shd w:val="clear" w:color="auto" w:fill="FFFFFF"/>
              <w:kinsoku/>
              <w:wordWrap/>
              <w:overflowPunct/>
              <w:topLinePunct w:val="0"/>
              <w:autoSpaceDE/>
              <w:autoSpaceDN/>
              <w:bidi w:val="0"/>
              <w:adjustRightInd/>
              <w:snapToGrid/>
              <w:spacing w:line="39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工程量清单</w:t>
            </w:r>
          </w:p>
        </w:tc>
        <w:tc>
          <w:tcPr>
            <w:tcW w:w="6670" w:type="dxa"/>
            <w:noWrap w:val="0"/>
            <w:vAlign w:val="center"/>
          </w:tcPr>
          <w:p w14:paraId="0536883A">
            <w:pPr>
              <w:keepNext w:val="0"/>
              <w:keepLines w:val="0"/>
              <w:pageBreakBefore w:val="0"/>
              <w:widowControl w:val="0"/>
              <w:shd w:val="clear" w:color="auto" w:fill="FFFFFF"/>
              <w:kinsoku/>
              <w:wordWrap/>
              <w:overflowPunct/>
              <w:topLinePunct w:val="0"/>
              <w:autoSpaceDE/>
              <w:autoSpaceDN/>
              <w:bidi w:val="0"/>
              <w:adjustRightInd/>
              <w:snapToGrid/>
              <w:spacing w:line="39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（另册）</w:t>
            </w:r>
          </w:p>
        </w:tc>
      </w:tr>
      <w:tr w14:paraId="0AF7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402" w:type="dxa"/>
            <w:noWrap w:val="0"/>
            <w:vAlign w:val="center"/>
          </w:tcPr>
          <w:p w14:paraId="07C8803D">
            <w:pPr>
              <w:keepNext w:val="0"/>
              <w:keepLines w:val="0"/>
              <w:pageBreakBefore w:val="0"/>
              <w:widowControl w:val="0"/>
              <w:shd w:val="clear" w:color="auto" w:fill="FFFFFF"/>
              <w:kinsoku/>
              <w:wordWrap/>
              <w:overflowPunct/>
              <w:topLinePunct w:val="0"/>
              <w:autoSpaceDE/>
              <w:autoSpaceDN/>
              <w:bidi w:val="0"/>
              <w:adjustRightInd/>
              <w:snapToGrid/>
              <w:spacing w:line="39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预算控制价计算参考依据</w:t>
            </w:r>
          </w:p>
        </w:tc>
        <w:tc>
          <w:tcPr>
            <w:tcW w:w="6670" w:type="dxa"/>
            <w:noWrap w:val="0"/>
            <w:vAlign w:val="center"/>
          </w:tcPr>
          <w:p w14:paraId="437C7A59">
            <w:pPr>
              <w:keepNext w:val="0"/>
              <w:keepLines w:val="0"/>
              <w:pageBreakBefore w:val="0"/>
              <w:widowControl w:val="0"/>
              <w:shd w:val="clear" w:color="auto" w:fill="FFFFFF"/>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1.《建设工程工</w:t>
            </w:r>
            <w:bookmarkStart w:id="82" w:name="OLE_LINK21"/>
            <w:r>
              <w:rPr>
                <w:rFonts w:hint="eastAsia" w:ascii="宋体" w:hAnsi="宋体" w:eastAsia="宋体" w:cs="宋体"/>
                <w:color w:val="auto"/>
                <w:szCs w:val="21"/>
                <w:highlight w:val="none"/>
                <w:lang w:val="en-US" w:eastAsia="zh-CN"/>
              </w:rPr>
              <w:t>程量清单计价规范》(GB50500－2</w:t>
            </w:r>
            <w:bookmarkEnd w:id="82"/>
            <w:r>
              <w:rPr>
                <w:rFonts w:hint="eastAsia" w:ascii="宋体" w:hAnsi="宋体" w:eastAsia="宋体" w:cs="宋体"/>
                <w:color w:val="auto"/>
                <w:szCs w:val="21"/>
                <w:highlight w:val="none"/>
                <w:lang w:val="en-US" w:eastAsia="zh-CN"/>
              </w:rPr>
              <w:t xml:space="preserve">013)及广西壮族自治区实施细则修订本； </w:t>
            </w:r>
          </w:p>
          <w:p w14:paraId="01525D48">
            <w:pPr>
              <w:keepNext w:val="0"/>
              <w:keepLines w:val="0"/>
              <w:pageBreakBefore w:val="0"/>
              <w:widowControl w:val="0"/>
              <w:shd w:val="clear" w:color="auto" w:fill="FFFFFF"/>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2.《建设工程工程量计算规范广西壮族自治区实施细则(GB50854～50862-2013)》（修订本）；</w:t>
            </w:r>
          </w:p>
          <w:p w14:paraId="4D695954">
            <w:pPr>
              <w:keepNext w:val="0"/>
              <w:keepLines w:val="0"/>
              <w:pageBreakBefore w:val="0"/>
              <w:widowControl w:val="0"/>
              <w:shd w:val="clear" w:color="auto" w:fill="FFFFFF"/>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3.建筑、安装、市政、拆除相关专业定额以及相应配套的费用定额；</w:t>
            </w:r>
          </w:p>
          <w:p w14:paraId="101993F8">
            <w:pPr>
              <w:keepNext w:val="0"/>
              <w:keepLines w:val="0"/>
              <w:pageBreakBefore w:val="0"/>
              <w:widowControl w:val="0"/>
              <w:shd w:val="clear" w:color="auto" w:fill="FFFFFF"/>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4.《自治区住房城乡建设厅关于颁布2016年&lt;广西壮族自治区建设工程费用定额&gt;的通知》(桂建标[2016]16号)；</w:t>
            </w:r>
          </w:p>
          <w:p w14:paraId="029589D8">
            <w:pPr>
              <w:keepNext w:val="0"/>
              <w:keepLines w:val="0"/>
              <w:pageBreakBefore w:val="0"/>
              <w:widowControl w:val="0"/>
              <w:shd w:val="clear" w:color="auto" w:fill="FFFFFF"/>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5.《关于建筑业实施营业税改增值税后广西壮族自治区建设工程计价依据调整的通知》(桂建标〔2016]17号)；</w:t>
            </w:r>
          </w:p>
          <w:p w14:paraId="4E518029">
            <w:pPr>
              <w:keepNext w:val="0"/>
              <w:keepLines w:val="0"/>
              <w:pageBreakBefore w:val="0"/>
              <w:widowControl w:val="0"/>
              <w:shd w:val="clear" w:color="auto" w:fill="FFFFFF"/>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6.《关于调整建设工程定额人工费及有关费率的通知》(桂建标[2018]19号)；</w:t>
            </w:r>
          </w:p>
          <w:p w14:paraId="10C7E4A8">
            <w:pPr>
              <w:keepNext w:val="0"/>
              <w:keepLines w:val="0"/>
              <w:pageBreakBefore w:val="0"/>
              <w:widowControl w:val="0"/>
              <w:shd w:val="clear" w:color="auto" w:fill="FFFFFF"/>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7.《关于调整除税价计算适用增值税税率的通知》(桂造价[2019]10号)；</w:t>
            </w:r>
          </w:p>
          <w:p w14:paraId="21BFDB40">
            <w:pPr>
              <w:keepNext w:val="0"/>
              <w:keepLines w:val="0"/>
              <w:pageBreakBefore w:val="0"/>
              <w:widowControl w:val="0"/>
              <w:shd w:val="clear" w:color="auto" w:fill="FFFFFF"/>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8.材料价格根据报审承诺书按2024年第10期《</w:t>
            </w:r>
            <w:r>
              <w:rPr>
                <w:rFonts w:hint="eastAsia" w:ascii="宋体" w:hAnsi="宋体" w:cs="宋体"/>
                <w:color w:val="auto"/>
                <w:szCs w:val="21"/>
                <w:highlight w:val="none"/>
                <w:lang w:val="en-US" w:eastAsia="zh-CN"/>
              </w:rPr>
              <w:t>防城港市</w:t>
            </w:r>
            <w:r>
              <w:rPr>
                <w:rFonts w:hint="eastAsia" w:ascii="宋体" w:hAnsi="宋体" w:eastAsia="宋体" w:cs="宋体"/>
                <w:color w:val="auto"/>
                <w:szCs w:val="21"/>
                <w:highlight w:val="none"/>
                <w:lang w:val="en-US" w:eastAsia="zh-CN"/>
              </w:rPr>
              <w:t>建设工程造价信息》公布的</w:t>
            </w:r>
            <w:r>
              <w:rPr>
                <w:rFonts w:hint="eastAsia" w:ascii="宋体" w:hAnsi="宋体" w:cs="宋体"/>
                <w:color w:val="auto"/>
                <w:szCs w:val="21"/>
                <w:highlight w:val="none"/>
                <w:lang w:val="en-US" w:eastAsia="zh-CN"/>
              </w:rPr>
              <w:t>港口</w:t>
            </w:r>
            <w:r>
              <w:rPr>
                <w:rFonts w:hint="eastAsia" w:ascii="宋体" w:hAnsi="宋体" w:eastAsia="宋体" w:cs="宋体"/>
                <w:color w:val="auto"/>
                <w:szCs w:val="21"/>
                <w:highlight w:val="none"/>
                <w:lang w:val="en-US" w:eastAsia="zh-CN"/>
              </w:rPr>
              <w:t>区除税价格信息计取，信息价没有公布的材料价格则参照周边县市信息价或市场询价确定。</w:t>
            </w:r>
          </w:p>
        </w:tc>
      </w:tr>
      <w:tr w14:paraId="1980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402" w:type="dxa"/>
            <w:noWrap w:val="0"/>
            <w:vAlign w:val="center"/>
          </w:tcPr>
          <w:p w14:paraId="6D27567C">
            <w:pPr>
              <w:keepNext w:val="0"/>
              <w:keepLines w:val="0"/>
              <w:pageBreakBefore w:val="0"/>
              <w:widowControl w:val="0"/>
              <w:shd w:val="clear" w:color="auto" w:fill="FFFFFF"/>
              <w:kinsoku/>
              <w:wordWrap/>
              <w:overflowPunct/>
              <w:topLinePunct w:val="0"/>
              <w:autoSpaceDE/>
              <w:autoSpaceDN/>
              <w:bidi w:val="0"/>
              <w:adjustRightInd/>
              <w:snapToGrid/>
              <w:spacing w:line="39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技术规范</w:t>
            </w:r>
          </w:p>
        </w:tc>
        <w:tc>
          <w:tcPr>
            <w:tcW w:w="6670" w:type="dxa"/>
            <w:noWrap w:val="0"/>
            <w:vAlign w:val="center"/>
          </w:tcPr>
          <w:p w14:paraId="3CF6827A">
            <w:pPr>
              <w:keepNext w:val="0"/>
              <w:keepLines w:val="0"/>
              <w:pageBreakBefore w:val="0"/>
              <w:widowControl w:val="0"/>
              <w:kinsoku/>
              <w:wordWrap/>
              <w:overflowPunct/>
              <w:topLinePunct w:val="0"/>
              <w:autoSpaceDE/>
              <w:autoSpaceDN/>
              <w:bidi w:val="0"/>
              <w:adjustRightInd/>
              <w:snapToGrid/>
              <w:spacing w:line="39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按照</w:t>
            </w:r>
            <w:r>
              <w:rPr>
                <w:rFonts w:hint="eastAsia" w:ascii="宋体" w:hAnsi="宋体" w:cs="宋体"/>
                <w:color w:val="auto"/>
                <w:szCs w:val="21"/>
                <w:highlight w:val="none"/>
                <w:lang w:val="en-US" w:eastAsia="zh-CN"/>
              </w:rPr>
              <w:t>工程量清单</w:t>
            </w:r>
            <w:r>
              <w:rPr>
                <w:rFonts w:hint="eastAsia" w:ascii="宋体" w:hAnsi="宋体" w:eastAsia="宋体" w:cs="宋体"/>
                <w:color w:val="auto"/>
                <w:szCs w:val="21"/>
                <w:highlight w:val="none"/>
              </w:rPr>
              <w:t>的要求进行施工，同时也要严格执行国家现行行业验收标准、专业相关的现行标准和技术规范。</w:t>
            </w:r>
          </w:p>
        </w:tc>
      </w:tr>
      <w:tr w14:paraId="0992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402" w:type="dxa"/>
            <w:noWrap w:val="0"/>
            <w:vAlign w:val="center"/>
          </w:tcPr>
          <w:p w14:paraId="24374770">
            <w:pPr>
              <w:keepNext w:val="0"/>
              <w:keepLines w:val="0"/>
              <w:pageBreakBefore w:val="0"/>
              <w:widowControl w:val="0"/>
              <w:shd w:val="clear" w:color="auto" w:fill="FFFFFF"/>
              <w:kinsoku/>
              <w:wordWrap/>
              <w:overflowPunct/>
              <w:topLinePunct w:val="0"/>
              <w:autoSpaceDE/>
              <w:autoSpaceDN/>
              <w:bidi w:val="0"/>
              <w:adjustRightInd/>
              <w:snapToGrid/>
              <w:spacing w:line="390" w:lineRule="exact"/>
              <w:jc w:val="center"/>
              <w:textAlignment w:val="auto"/>
              <w:rPr>
                <w:rFonts w:hint="eastAsia" w:ascii="宋体" w:hAnsi="宋体" w:eastAsia="宋体" w:cs="宋体"/>
                <w:color w:val="auto"/>
                <w:szCs w:val="21"/>
                <w:highlight w:val="none"/>
              </w:rPr>
            </w:pPr>
            <w:r>
              <w:rPr>
                <w:rFonts w:hint="eastAsia" w:cs="黑体"/>
                <w:color w:val="auto"/>
                <w:highlight w:val="none"/>
              </w:rPr>
              <w:t>技术标准和要求</w:t>
            </w:r>
          </w:p>
        </w:tc>
        <w:tc>
          <w:tcPr>
            <w:tcW w:w="6670" w:type="dxa"/>
            <w:noWrap w:val="0"/>
            <w:vAlign w:val="center"/>
          </w:tcPr>
          <w:p w14:paraId="3CFA26A0">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1.供应商</w:t>
            </w:r>
            <w:r>
              <w:rPr>
                <w:rFonts w:hint="eastAsia" w:ascii="宋体" w:hAnsi="宋体" w:eastAsia="宋体" w:cs="宋体"/>
                <w:color w:val="auto"/>
                <w:szCs w:val="21"/>
                <w:highlight w:val="none"/>
              </w:rPr>
              <w:t>必须自行为其</w:t>
            </w:r>
            <w:r>
              <w:rPr>
                <w:rFonts w:hint="eastAsia" w:ascii="宋体" w:hAnsi="宋体" w:eastAsia="宋体" w:cs="宋体"/>
                <w:color w:val="auto"/>
                <w:szCs w:val="21"/>
                <w:highlight w:val="none"/>
                <w:lang w:val="en-US" w:eastAsia="zh-CN"/>
              </w:rPr>
              <w:t>竞</w:t>
            </w:r>
            <w:r>
              <w:rPr>
                <w:rFonts w:hint="eastAsia" w:ascii="宋体" w:hAnsi="宋体" w:eastAsia="宋体" w:cs="宋体"/>
                <w:color w:val="auto"/>
                <w:szCs w:val="21"/>
                <w:highlight w:val="none"/>
              </w:rPr>
              <w:t>标产品侵权其他</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或专利人的专利成果承担相应法律责任；同时，具有产品专利的</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应在其</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文件中提供与其自有产品专利相关的有效证明材料，否则，不能就其产品的专利在本项目</w:t>
            </w:r>
            <w:r>
              <w:rPr>
                <w:rFonts w:hint="eastAsia" w:ascii="宋体" w:hAnsi="宋体" w:eastAsia="宋体" w:cs="宋体"/>
                <w:color w:val="auto"/>
                <w:szCs w:val="21"/>
                <w:highlight w:val="none"/>
                <w:lang w:val="en-US" w:eastAsia="zh-CN"/>
              </w:rPr>
              <w:t>竞</w:t>
            </w:r>
            <w:r>
              <w:rPr>
                <w:rFonts w:hint="eastAsia" w:ascii="宋体" w:hAnsi="宋体" w:eastAsia="宋体" w:cs="宋体"/>
                <w:color w:val="auto"/>
                <w:szCs w:val="21"/>
                <w:highlight w:val="none"/>
              </w:rPr>
              <w:t>标过程中被侵权问题提出异议</w:t>
            </w:r>
            <w:r>
              <w:rPr>
                <w:rFonts w:hint="eastAsia" w:ascii="宋体" w:hAnsi="宋体" w:eastAsia="宋体" w:cs="宋体"/>
                <w:color w:val="auto"/>
                <w:szCs w:val="21"/>
                <w:highlight w:val="none"/>
                <w:lang w:eastAsia="zh-CN"/>
              </w:rPr>
              <w:t>；</w:t>
            </w:r>
          </w:p>
          <w:p w14:paraId="6F42FDE1">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2.供应商</w:t>
            </w:r>
            <w:r>
              <w:rPr>
                <w:rFonts w:hint="eastAsia" w:ascii="宋体" w:hAnsi="宋体" w:eastAsia="宋体" w:cs="宋体"/>
                <w:color w:val="auto"/>
                <w:szCs w:val="21"/>
                <w:highlight w:val="none"/>
              </w:rPr>
              <w:t>投入本项目</w:t>
            </w:r>
            <w:r>
              <w:rPr>
                <w:rFonts w:hint="eastAsia" w:ascii="宋体" w:hAnsi="宋体" w:eastAsia="宋体" w:cs="宋体"/>
                <w:color w:val="auto"/>
                <w:szCs w:val="21"/>
                <w:highlight w:val="none"/>
                <w:lang w:val="en-US" w:eastAsia="zh-CN"/>
              </w:rPr>
              <w:t>与工程有关的</w:t>
            </w:r>
            <w:r>
              <w:rPr>
                <w:rFonts w:hint="eastAsia" w:ascii="宋体" w:hAnsi="宋体" w:eastAsia="宋体" w:cs="宋体"/>
                <w:color w:val="auto"/>
                <w:szCs w:val="21"/>
                <w:highlight w:val="none"/>
              </w:rPr>
              <w:t>设备</w:t>
            </w:r>
            <w:r>
              <w:rPr>
                <w:rFonts w:hint="eastAsia" w:ascii="宋体" w:hAnsi="宋体" w:eastAsia="宋体" w:cs="宋体"/>
                <w:color w:val="auto"/>
                <w:szCs w:val="21"/>
                <w:highlight w:val="none"/>
                <w:lang w:val="en-US" w:eastAsia="zh-CN"/>
              </w:rPr>
              <w:t>及服务</w:t>
            </w:r>
            <w:r>
              <w:rPr>
                <w:rFonts w:hint="eastAsia" w:ascii="宋体" w:hAnsi="宋体" w:eastAsia="宋体" w:cs="宋体"/>
                <w:color w:val="auto"/>
                <w:szCs w:val="21"/>
                <w:highlight w:val="none"/>
              </w:rPr>
              <w:t>需符合设计文件、国家标准，且具有质量证明文件，选材要遵循环保性、耐用性、安装或使用的便捷性，应选用</w:t>
            </w:r>
            <w:bookmarkStart w:id="83" w:name="OLE_LINK22"/>
            <w:r>
              <w:rPr>
                <w:rFonts w:hint="eastAsia" w:ascii="宋体" w:hAnsi="宋体" w:eastAsia="宋体" w:cs="宋体"/>
                <w:color w:val="auto"/>
                <w:szCs w:val="21"/>
                <w:highlight w:val="none"/>
              </w:rPr>
              <w:t>整体性价比强</w:t>
            </w:r>
            <w:bookmarkEnd w:id="83"/>
            <w:r>
              <w:rPr>
                <w:rFonts w:hint="eastAsia" w:ascii="宋体" w:hAnsi="宋体" w:eastAsia="宋体" w:cs="宋体"/>
                <w:color w:val="auto"/>
                <w:szCs w:val="21"/>
                <w:highlight w:val="none"/>
              </w:rPr>
              <w:t>的材料</w:t>
            </w:r>
            <w:r>
              <w:rPr>
                <w:rFonts w:hint="eastAsia" w:ascii="宋体" w:hAnsi="宋体" w:eastAsia="宋体" w:cs="宋体"/>
                <w:color w:val="auto"/>
                <w:szCs w:val="21"/>
                <w:highlight w:val="none"/>
                <w:lang w:eastAsia="zh-CN"/>
              </w:rPr>
              <w:t>；</w:t>
            </w:r>
          </w:p>
          <w:p w14:paraId="147B7661">
            <w:pPr>
              <w:keepNext w:val="0"/>
              <w:keepLines w:val="0"/>
              <w:pageBreakBefore w:val="0"/>
              <w:widowControl w:val="0"/>
              <w:kinsoku/>
              <w:wordWrap/>
              <w:overflowPunct/>
              <w:topLinePunct w:val="0"/>
              <w:autoSpaceDE/>
              <w:autoSpaceDN/>
              <w:bidi w:val="0"/>
              <w:adjustRightInd/>
              <w:snapToGrid/>
              <w:spacing w:line="390" w:lineRule="exact"/>
              <w:ind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w:t>
            </w:r>
            <w:r>
              <w:rPr>
                <w:rFonts w:hint="default" w:ascii="Times New Roman" w:hAnsi="Times New Roman" w:eastAsia="宋体" w:cs="Times New Roman"/>
                <w:b/>
                <w:bCs/>
                <w:color w:val="auto"/>
                <w:highlight w:val="none"/>
                <w:lang w:val="en-US" w:eastAsia="zh-CN"/>
              </w:rPr>
              <w:t>为防止供应商出现严重不平衡报价，本工程对所有工程量清单实行最高限价，即供应商响应文件中相应项目的单价不能超出经采购人或采购代理机构公布的招标控制价的相应项目单价。</w:t>
            </w:r>
            <w:r>
              <w:rPr>
                <w:rFonts w:hint="eastAsia" w:ascii="宋体" w:hAnsi="宋体" w:eastAsia="宋体" w:cs="宋体"/>
                <w:b/>
                <w:bCs/>
                <w:color w:val="auto"/>
                <w:szCs w:val="21"/>
                <w:highlight w:val="none"/>
                <w:lang w:val="en-US" w:eastAsia="zh-CN"/>
              </w:rPr>
              <w:t>供应商必须就所竞标项目的全部内容作完整唯一报价，漏项报价的或有选择的或有条件的报价，或总价报价或单价报价超出本项目采购文件规定的对应最高限价的，其磋商将视为无效。</w:t>
            </w:r>
          </w:p>
          <w:p w14:paraId="55AB47B7">
            <w:pPr>
              <w:keepNext w:val="0"/>
              <w:keepLines w:val="0"/>
              <w:pageBreakBefore w:val="0"/>
              <w:widowControl w:val="0"/>
              <w:kinsoku/>
              <w:wordWrap/>
              <w:overflowPunct/>
              <w:topLinePunct w:val="0"/>
              <w:autoSpaceDE/>
              <w:autoSpaceDN/>
              <w:bidi w:val="0"/>
              <w:adjustRightInd/>
              <w:snapToGrid/>
              <w:spacing w:line="390" w:lineRule="exact"/>
              <w:ind w:firstLine="422" w:firstLineChars="200"/>
              <w:textAlignment w:val="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4.安全生产责任保险费按分部分项工程费及措施项目费（含单价及总价措施项目费）为计算基数乘以0.2%计入暂估价，工程结算时，由发承包双方根据工程实际情况确认的安全生产责任保险费计入工程造价。</w:t>
            </w:r>
          </w:p>
          <w:p w14:paraId="09C248FE">
            <w:pPr>
              <w:keepNext w:val="0"/>
              <w:keepLines w:val="0"/>
              <w:pageBreakBefore w:val="0"/>
              <w:widowControl w:val="0"/>
              <w:kinsoku/>
              <w:wordWrap/>
              <w:overflowPunct/>
              <w:topLinePunct w:val="0"/>
              <w:autoSpaceDE/>
              <w:autoSpaceDN/>
              <w:bidi w:val="0"/>
              <w:adjustRightInd/>
              <w:snapToGrid/>
              <w:spacing w:line="390" w:lineRule="exact"/>
              <w:ind w:firstLine="422" w:firstLineChars="200"/>
              <w:textAlignment w:val="auto"/>
              <w:rPr>
                <w:rFonts w:hint="default"/>
                <w:color w:val="auto"/>
                <w:highlight w:val="none"/>
                <w:lang w:val="en-US" w:eastAsia="zh-CN"/>
              </w:rPr>
            </w:pPr>
            <w:r>
              <w:rPr>
                <w:rFonts w:hint="eastAsia" w:ascii="宋体" w:hAnsi="宋体" w:eastAsia="宋体" w:cs="宋体"/>
                <w:b/>
                <w:bCs/>
                <w:color w:val="auto"/>
                <w:szCs w:val="21"/>
                <w:highlight w:val="none"/>
                <w:lang w:val="en-US" w:eastAsia="zh-CN"/>
              </w:rPr>
              <w:t>5.投标人在编制投标报价文件时，安全生产责任保险应按招标工程量清单中给出的安全生产责任保险暂估价的具体金额填写，不得调整，否则响应文件作无效响应处理。</w:t>
            </w:r>
          </w:p>
        </w:tc>
      </w:tr>
    </w:tbl>
    <w:p w14:paraId="6D51BE66">
      <w:pPr>
        <w:pStyle w:val="2"/>
        <w:pageBreakBefore w:val="0"/>
        <w:widowControl w:val="0"/>
        <w:kinsoku/>
        <w:wordWrap/>
        <w:overflowPunct/>
        <w:topLinePunct w:val="0"/>
        <w:autoSpaceDE/>
        <w:autoSpaceDN/>
        <w:bidi w:val="0"/>
        <w:adjustRightInd/>
        <w:snapToGrid/>
        <w:spacing w:before="0" w:after="0" w:line="240" w:lineRule="auto"/>
        <w:ind w:firstLine="0" w:firstLineChars="0"/>
        <w:jc w:val="both"/>
        <w:textAlignment w:val="auto"/>
        <w:rPr>
          <w:rFonts w:hint="eastAsia" w:ascii="宋体" w:hAnsi="宋体" w:cs="宋体"/>
          <w:b w:val="0"/>
          <w:color w:val="auto"/>
          <w:sz w:val="32"/>
          <w:szCs w:val="32"/>
          <w:highlight w:val="none"/>
          <w:lang w:val="en-US" w:eastAsia="zh-CN"/>
        </w:rPr>
      </w:pPr>
    </w:p>
    <w:p w14:paraId="061974E1">
      <w:pPr>
        <w:rPr>
          <w:rFonts w:hint="eastAsia" w:ascii="宋体" w:hAnsi="宋体" w:cs="宋体"/>
          <w:b w:val="0"/>
          <w:color w:val="auto"/>
          <w:sz w:val="32"/>
          <w:szCs w:val="32"/>
          <w:highlight w:val="none"/>
          <w:lang w:val="en-US" w:eastAsia="zh-CN"/>
        </w:rPr>
      </w:pPr>
    </w:p>
    <w:p w14:paraId="555D6B89">
      <w:pPr>
        <w:pStyle w:val="14"/>
        <w:rPr>
          <w:rFonts w:hint="eastAsia" w:ascii="宋体" w:hAnsi="宋体" w:cs="宋体"/>
          <w:b w:val="0"/>
          <w:color w:val="auto"/>
          <w:sz w:val="32"/>
          <w:szCs w:val="32"/>
          <w:highlight w:val="none"/>
          <w:lang w:val="en-US" w:eastAsia="zh-CN"/>
        </w:rPr>
      </w:pPr>
    </w:p>
    <w:p w14:paraId="48E47AF3">
      <w:pPr>
        <w:rPr>
          <w:rFonts w:hint="eastAsia"/>
          <w:color w:val="auto"/>
          <w:lang w:val="en-US" w:eastAsia="zh-CN"/>
        </w:rPr>
      </w:pPr>
    </w:p>
    <w:p w14:paraId="4E05C0C8">
      <w:pPr>
        <w:rPr>
          <w:rFonts w:hint="eastAsia"/>
          <w:color w:val="auto"/>
          <w:lang w:val="en-US" w:eastAsia="zh-CN"/>
        </w:rPr>
      </w:pPr>
    </w:p>
    <w:p w14:paraId="50CFF43E">
      <w:pPr>
        <w:rPr>
          <w:rFonts w:hint="eastAsia"/>
          <w:color w:val="auto"/>
          <w:lang w:val="en-US" w:eastAsia="zh-CN"/>
        </w:rPr>
      </w:pPr>
    </w:p>
    <w:p w14:paraId="5E1D07CF">
      <w:pPr>
        <w:rPr>
          <w:rFonts w:hint="eastAsia"/>
          <w:color w:val="auto"/>
          <w:lang w:val="en-US" w:eastAsia="zh-CN"/>
        </w:rPr>
      </w:pPr>
    </w:p>
    <w:p w14:paraId="18FA734E">
      <w:pPr>
        <w:rPr>
          <w:rFonts w:hint="eastAsia"/>
          <w:color w:val="auto"/>
          <w:lang w:val="en-US" w:eastAsia="zh-CN"/>
        </w:rPr>
      </w:pPr>
    </w:p>
    <w:p w14:paraId="0A8A87E6">
      <w:pPr>
        <w:rPr>
          <w:rFonts w:hint="eastAsia"/>
          <w:color w:val="auto"/>
          <w:lang w:val="en-US" w:eastAsia="zh-CN"/>
        </w:rPr>
      </w:pPr>
    </w:p>
    <w:p w14:paraId="38F0814B">
      <w:pPr>
        <w:rPr>
          <w:rFonts w:hint="eastAsia"/>
          <w:color w:val="auto"/>
          <w:lang w:val="en-US" w:eastAsia="zh-CN"/>
        </w:rPr>
      </w:pPr>
    </w:p>
    <w:p w14:paraId="18E9F2F1">
      <w:pPr>
        <w:rPr>
          <w:rFonts w:hint="eastAsia"/>
          <w:color w:val="auto"/>
          <w:lang w:val="en-US" w:eastAsia="zh-CN"/>
        </w:rPr>
      </w:pPr>
    </w:p>
    <w:p w14:paraId="1E3142EB">
      <w:pPr>
        <w:rPr>
          <w:rFonts w:hint="eastAsia"/>
          <w:color w:val="auto"/>
          <w:lang w:val="en-US" w:eastAsia="zh-CN"/>
        </w:rPr>
      </w:pPr>
    </w:p>
    <w:p w14:paraId="4BBE4372">
      <w:pPr>
        <w:rPr>
          <w:rFonts w:hint="eastAsia"/>
          <w:color w:val="auto"/>
          <w:lang w:val="en-US" w:eastAsia="zh-CN"/>
        </w:rPr>
      </w:pPr>
    </w:p>
    <w:p w14:paraId="2E682490">
      <w:pPr>
        <w:rPr>
          <w:rFonts w:hint="eastAsia"/>
          <w:color w:val="auto"/>
          <w:lang w:val="en-US" w:eastAsia="zh-CN"/>
        </w:rPr>
      </w:pPr>
    </w:p>
    <w:p w14:paraId="0C09B690">
      <w:pPr>
        <w:rPr>
          <w:rFonts w:hint="eastAsia"/>
          <w:color w:val="auto"/>
          <w:lang w:val="en-US" w:eastAsia="zh-CN"/>
        </w:rPr>
      </w:pPr>
    </w:p>
    <w:p w14:paraId="62C24E74">
      <w:pPr>
        <w:rPr>
          <w:rFonts w:hint="eastAsia"/>
          <w:color w:val="auto"/>
          <w:lang w:val="en-US" w:eastAsia="zh-CN"/>
        </w:rPr>
      </w:pPr>
    </w:p>
    <w:p w14:paraId="405565D3">
      <w:pPr>
        <w:rPr>
          <w:rFonts w:hint="eastAsia"/>
          <w:color w:val="auto"/>
          <w:lang w:val="en-US" w:eastAsia="zh-CN"/>
        </w:rPr>
      </w:pPr>
    </w:p>
    <w:p w14:paraId="7D955291">
      <w:pPr>
        <w:rPr>
          <w:rFonts w:hint="eastAsia"/>
          <w:color w:val="auto"/>
          <w:lang w:val="en-US" w:eastAsia="zh-CN"/>
        </w:rPr>
      </w:pPr>
    </w:p>
    <w:p w14:paraId="4B555F72">
      <w:pPr>
        <w:rPr>
          <w:rFonts w:hint="eastAsia"/>
          <w:color w:val="auto"/>
          <w:lang w:val="en-US" w:eastAsia="zh-CN"/>
        </w:rPr>
      </w:pPr>
    </w:p>
    <w:p w14:paraId="51C7B0D2">
      <w:pPr>
        <w:rPr>
          <w:rFonts w:hint="eastAsia"/>
          <w:color w:val="auto"/>
          <w:lang w:val="en-US" w:eastAsia="zh-CN"/>
        </w:rPr>
      </w:pPr>
    </w:p>
    <w:p w14:paraId="1FF12652">
      <w:pPr>
        <w:rPr>
          <w:rFonts w:hint="eastAsia"/>
          <w:color w:val="auto"/>
          <w:lang w:val="en-US" w:eastAsia="zh-CN"/>
        </w:rPr>
      </w:pPr>
    </w:p>
    <w:p w14:paraId="3A8BBCC1">
      <w:pPr>
        <w:rPr>
          <w:rFonts w:hint="eastAsia"/>
          <w:color w:val="auto"/>
          <w:lang w:val="en-US" w:eastAsia="zh-CN"/>
        </w:rPr>
      </w:pPr>
    </w:p>
    <w:p w14:paraId="2395DD83">
      <w:pPr>
        <w:rPr>
          <w:rFonts w:hint="eastAsia"/>
          <w:color w:val="auto"/>
          <w:lang w:val="en-US" w:eastAsia="zh-CN"/>
        </w:rPr>
      </w:pPr>
    </w:p>
    <w:p w14:paraId="21876E59">
      <w:pPr>
        <w:rPr>
          <w:rFonts w:hint="eastAsia"/>
          <w:color w:val="auto"/>
          <w:lang w:val="en-US" w:eastAsia="zh-CN"/>
        </w:rPr>
      </w:pPr>
    </w:p>
    <w:p w14:paraId="3DB823A6">
      <w:pPr>
        <w:rPr>
          <w:rFonts w:hint="eastAsia"/>
          <w:color w:val="auto"/>
          <w:lang w:val="en-US" w:eastAsia="zh-CN"/>
        </w:rPr>
      </w:pPr>
    </w:p>
    <w:bookmarkEnd w:id="77"/>
    <w:p w14:paraId="54CDD8B3">
      <w:pPr>
        <w:rPr>
          <w:rFonts w:hint="eastAsia"/>
          <w:color w:val="auto"/>
          <w:lang w:val="en-US" w:eastAsia="zh-CN"/>
        </w:rPr>
      </w:pPr>
    </w:p>
    <w:p w14:paraId="35E84D47">
      <w:pPr>
        <w:pageBreakBefore w:val="0"/>
        <w:widowControl w:val="0"/>
        <w:kinsoku/>
        <w:wordWrap/>
        <w:overflowPunct/>
        <w:topLinePunct w:val="0"/>
        <w:autoSpaceDE/>
        <w:autoSpaceDN/>
        <w:bidi w:val="0"/>
        <w:adjustRightInd/>
        <w:snapToGrid/>
        <w:ind w:firstLine="643" w:firstLineChars="200"/>
        <w:jc w:val="center"/>
        <w:textAlignment w:val="auto"/>
        <w:rPr>
          <w:rFonts w:hint="eastAsia" w:ascii="宋体" w:hAnsi="宋体" w:eastAsia="宋体" w:cs="宋体"/>
          <w:b/>
          <w:color w:val="auto"/>
          <w:sz w:val="32"/>
          <w:szCs w:val="32"/>
          <w:highlight w:val="none"/>
        </w:rPr>
      </w:pPr>
      <w:bookmarkStart w:id="84" w:name="_Toc16101"/>
      <w:r>
        <w:rPr>
          <w:rFonts w:hint="eastAsia" w:ascii="宋体" w:hAnsi="宋体" w:eastAsia="宋体" w:cs="宋体"/>
          <w:b/>
          <w:color w:val="auto"/>
          <w:sz w:val="32"/>
          <w:szCs w:val="32"/>
          <w:highlight w:val="none"/>
        </w:rPr>
        <w:br w:type="page"/>
      </w:r>
    </w:p>
    <w:p w14:paraId="068F2020">
      <w:pPr>
        <w:pStyle w:val="2"/>
        <w:pageBreakBefore w:val="0"/>
        <w:widowControl w:val="0"/>
        <w:kinsoku/>
        <w:wordWrap/>
        <w:overflowPunct/>
        <w:topLinePunct w:val="0"/>
        <w:autoSpaceDE/>
        <w:autoSpaceDN/>
        <w:bidi w:val="0"/>
        <w:adjustRightInd/>
        <w:snapToGrid/>
        <w:spacing w:line="400" w:lineRule="exact"/>
        <w:ind w:firstLine="643" w:firstLineChars="200"/>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第四章  合同条款及格式</w:t>
      </w:r>
      <w:bookmarkEnd w:id="84"/>
    </w:p>
    <w:p w14:paraId="2A9BEC34">
      <w:pPr>
        <w:rPr>
          <w:rFonts w:hint="eastAsia" w:ascii="宋体" w:hAnsi="宋体"/>
          <w:b/>
          <w:color w:val="auto"/>
          <w:sz w:val="30"/>
          <w:szCs w:val="30"/>
        </w:rPr>
      </w:pPr>
    </w:p>
    <w:p w14:paraId="5D7826D0">
      <w:pPr>
        <w:ind w:firstLine="600" w:firstLineChars="200"/>
        <w:rPr>
          <w:rFonts w:ascii="宋体" w:hAnsi="宋体"/>
          <w:b/>
          <w:color w:val="auto"/>
          <w:sz w:val="30"/>
          <w:szCs w:val="30"/>
        </w:rPr>
      </w:pPr>
      <w:r>
        <w:rPr>
          <w:rFonts w:hint="eastAsia" w:ascii="宋体" w:hAnsi="宋体"/>
          <w:color w:val="auto"/>
          <w:sz w:val="30"/>
          <w:szCs w:val="30"/>
          <w:u w:val="single"/>
        </w:rPr>
        <w:t xml:space="preserve">                          </w:t>
      </w:r>
      <w:r>
        <w:rPr>
          <w:rFonts w:hint="eastAsia" w:ascii="宋体" w:hAnsi="宋体"/>
          <w:b/>
          <w:color w:val="auto"/>
          <w:sz w:val="30"/>
          <w:szCs w:val="30"/>
        </w:rPr>
        <w:t>工程施工合同</w:t>
      </w:r>
    </w:p>
    <w:p w14:paraId="7699BBC1">
      <w:pPr>
        <w:rPr>
          <w:rFonts w:ascii="宋体" w:hAnsi="宋体"/>
          <w:color w:val="auto"/>
          <w:sz w:val="30"/>
          <w:szCs w:val="30"/>
        </w:rPr>
      </w:pPr>
    </w:p>
    <w:p w14:paraId="03E11804">
      <w:pPr>
        <w:rPr>
          <w:rFonts w:ascii="宋体" w:hAnsi="宋体"/>
          <w:color w:val="auto"/>
          <w:sz w:val="30"/>
          <w:szCs w:val="30"/>
        </w:rPr>
      </w:pPr>
    </w:p>
    <w:p w14:paraId="6C71EC9F">
      <w:pPr>
        <w:ind w:firstLine="602" w:firstLineChars="200"/>
        <w:jc w:val="center"/>
        <w:rPr>
          <w:rFonts w:ascii="宋体" w:hAnsi="宋体"/>
          <w:b/>
          <w:color w:val="auto"/>
          <w:sz w:val="30"/>
          <w:szCs w:val="30"/>
        </w:rPr>
      </w:pPr>
      <w:r>
        <w:rPr>
          <w:rFonts w:hint="eastAsia" w:ascii="宋体" w:hAnsi="宋体"/>
          <w:b/>
          <w:color w:val="auto"/>
          <w:sz w:val="30"/>
          <w:szCs w:val="30"/>
        </w:rPr>
        <w:t>（项目编号：</w:t>
      </w:r>
      <w:r>
        <w:rPr>
          <w:rFonts w:hint="eastAsia" w:ascii="宋体" w:hAnsi="宋体"/>
          <w:color w:val="auto"/>
          <w:sz w:val="30"/>
          <w:szCs w:val="30"/>
          <w:u w:val="single"/>
        </w:rPr>
        <w:t xml:space="preserve">                     </w:t>
      </w:r>
      <w:r>
        <w:rPr>
          <w:rFonts w:hint="eastAsia" w:ascii="宋体" w:hAnsi="宋体"/>
          <w:b/>
          <w:color w:val="auto"/>
          <w:sz w:val="30"/>
          <w:szCs w:val="30"/>
        </w:rPr>
        <w:t xml:space="preserve"> ）</w:t>
      </w:r>
    </w:p>
    <w:p w14:paraId="62CFD5A9">
      <w:pPr>
        <w:rPr>
          <w:rFonts w:hint="eastAsia" w:ascii="宋体" w:hAnsi="宋体"/>
          <w:color w:val="auto"/>
          <w:sz w:val="30"/>
          <w:szCs w:val="30"/>
        </w:rPr>
      </w:pPr>
    </w:p>
    <w:p w14:paraId="52F81AFA">
      <w:pPr>
        <w:rPr>
          <w:rFonts w:hint="eastAsia" w:ascii="宋体" w:hAnsi="宋体"/>
          <w:color w:val="auto"/>
          <w:sz w:val="30"/>
          <w:szCs w:val="30"/>
        </w:rPr>
      </w:pPr>
    </w:p>
    <w:p w14:paraId="07B2140C">
      <w:pPr>
        <w:rPr>
          <w:rFonts w:hint="eastAsia" w:ascii="宋体" w:hAnsi="宋体"/>
          <w:color w:val="auto"/>
          <w:sz w:val="30"/>
          <w:szCs w:val="30"/>
        </w:rPr>
      </w:pPr>
    </w:p>
    <w:p w14:paraId="271E6364">
      <w:pPr>
        <w:rPr>
          <w:rFonts w:hint="eastAsia" w:ascii="宋体" w:hAnsi="宋体"/>
          <w:color w:val="auto"/>
          <w:sz w:val="30"/>
          <w:szCs w:val="30"/>
        </w:rPr>
      </w:pPr>
    </w:p>
    <w:p w14:paraId="7F741D43">
      <w:pPr>
        <w:rPr>
          <w:rFonts w:ascii="宋体" w:hAnsi="宋体"/>
          <w:color w:val="auto"/>
          <w:sz w:val="30"/>
          <w:szCs w:val="30"/>
        </w:rPr>
      </w:pPr>
    </w:p>
    <w:p w14:paraId="12008960">
      <w:pPr>
        <w:rPr>
          <w:rFonts w:ascii="宋体" w:hAnsi="宋体"/>
          <w:color w:val="auto"/>
          <w:sz w:val="30"/>
          <w:szCs w:val="30"/>
        </w:rPr>
      </w:pPr>
    </w:p>
    <w:p w14:paraId="11008053">
      <w:pPr>
        <w:ind w:firstLine="600" w:firstLineChars="200"/>
        <w:rPr>
          <w:rFonts w:ascii="宋体" w:hAnsi="宋体"/>
          <w:color w:val="auto"/>
          <w:sz w:val="30"/>
          <w:szCs w:val="30"/>
          <w:u w:val="single"/>
        </w:rPr>
      </w:pPr>
      <w:r>
        <w:rPr>
          <w:rFonts w:hint="eastAsia" w:ascii="宋体" w:hAnsi="宋体"/>
          <w:color w:val="auto"/>
          <w:sz w:val="30"/>
          <w:szCs w:val="30"/>
        </w:rPr>
        <w:t>发 包 人：</w:t>
      </w:r>
      <w:r>
        <w:rPr>
          <w:rFonts w:hint="eastAsia" w:ascii="宋体" w:hAnsi="宋体"/>
          <w:color w:val="auto"/>
          <w:sz w:val="30"/>
          <w:szCs w:val="30"/>
          <w:u w:val="single"/>
        </w:rPr>
        <w:t xml:space="preserve">                               </w:t>
      </w:r>
    </w:p>
    <w:p w14:paraId="396FD181">
      <w:pPr>
        <w:rPr>
          <w:rFonts w:ascii="宋体" w:hAnsi="宋体"/>
          <w:color w:val="auto"/>
          <w:sz w:val="30"/>
          <w:szCs w:val="30"/>
        </w:rPr>
      </w:pPr>
    </w:p>
    <w:p w14:paraId="4450DE93">
      <w:pPr>
        <w:ind w:firstLine="600" w:firstLineChars="200"/>
        <w:rPr>
          <w:rFonts w:ascii="宋体" w:hAnsi="宋体"/>
          <w:color w:val="auto"/>
          <w:sz w:val="30"/>
          <w:szCs w:val="30"/>
          <w:u w:val="single"/>
        </w:rPr>
      </w:pPr>
      <w:r>
        <w:rPr>
          <w:rFonts w:hint="eastAsia" w:ascii="宋体" w:hAnsi="宋体"/>
          <w:color w:val="auto"/>
          <w:sz w:val="30"/>
          <w:szCs w:val="30"/>
        </w:rPr>
        <w:t>承 包 人：</w:t>
      </w:r>
      <w:r>
        <w:rPr>
          <w:rFonts w:hint="eastAsia" w:ascii="宋体" w:hAnsi="宋体"/>
          <w:color w:val="auto"/>
          <w:sz w:val="30"/>
          <w:szCs w:val="30"/>
          <w:u w:val="single"/>
        </w:rPr>
        <w:t xml:space="preserve">                               </w:t>
      </w:r>
    </w:p>
    <w:p w14:paraId="1271D634">
      <w:pPr>
        <w:jc w:val="center"/>
        <w:rPr>
          <w:rFonts w:ascii="宋体" w:hAnsi="宋体"/>
          <w:color w:val="auto"/>
          <w:sz w:val="30"/>
          <w:szCs w:val="30"/>
        </w:rPr>
      </w:pPr>
    </w:p>
    <w:p w14:paraId="73BFC73F">
      <w:pPr>
        <w:pStyle w:val="2"/>
        <w:ind w:firstLine="883" w:firstLineChars="200"/>
        <w:jc w:val="center"/>
        <w:rPr>
          <w:color w:val="auto"/>
        </w:rPr>
      </w:pPr>
      <w:r>
        <w:rPr>
          <w:color w:val="auto"/>
        </w:rPr>
        <w:br w:type="page"/>
      </w:r>
      <w:bookmarkStart w:id="85" w:name="OLE_LINK26"/>
      <w:r>
        <w:rPr>
          <w:rFonts w:hint="eastAsia" w:cs="黑体"/>
          <w:color w:val="auto"/>
          <w:highlight w:val="white"/>
        </w:rPr>
        <w:t>第一部分</w:t>
      </w:r>
      <w:r>
        <w:rPr>
          <w:color w:val="auto"/>
          <w:highlight w:val="white"/>
        </w:rPr>
        <w:t xml:space="preserve"> </w:t>
      </w:r>
      <w:r>
        <w:rPr>
          <w:rFonts w:hint="eastAsia" w:cs="黑体"/>
          <w:color w:val="auto"/>
          <w:highlight w:val="white"/>
        </w:rPr>
        <w:t>合同协议书</w:t>
      </w:r>
      <w:bookmarkEnd w:id="85"/>
    </w:p>
    <w:p w14:paraId="2492C59E">
      <w:pPr>
        <w:pStyle w:val="68"/>
        <w:spacing w:line="240" w:lineRule="auto"/>
        <w:ind w:firstLine="440" w:firstLineChars="200"/>
        <w:rPr>
          <w:rFonts w:hint="eastAsia" w:eastAsia="宋体"/>
          <w:color w:val="auto"/>
          <w:sz w:val="22"/>
          <w:u w:val="single"/>
          <w:lang w:eastAsia="zh-CN"/>
        </w:rPr>
      </w:pPr>
      <w:bookmarkStart w:id="86" w:name="EBf5d8882b67eb450294403d6d9eac2034"/>
      <w:r>
        <w:rPr>
          <w:rFonts w:hAnsi="宋体"/>
          <w:color w:val="auto"/>
          <w:sz w:val="22"/>
        </w:rPr>
        <w:t>发包人（全称）：</w:t>
      </w:r>
      <w:r>
        <w:rPr>
          <w:rFonts w:hint="eastAsia" w:hAnsi="宋体"/>
          <w:color w:val="auto"/>
          <w:sz w:val="22"/>
          <w:u w:val="single"/>
          <w:lang w:val="en-US" w:eastAsia="zh-CN"/>
        </w:rPr>
        <w:t xml:space="preserve">                        </w:t>
      </w:r>
    </w:p>
    <w:p w14:paraId="3487671E">
      <w:pPr>
        <w:pStyle w:val="68"/>
        <w:spacing w:line="240" w:lineRule="auto"/>
        <w:ind w:firstLine="440" w:firstLineChars="200"/>
        <w:rPr>
          <w:rFonts w:hint="eastAsia" w:eastAsia="宋体"/>
          <w:color w:val="auto"/>
          <w:sz w:val="22"/>
          <w:u w:val="single"/>
          <w:lang w:eastAsia="zh-CN"/>
        </w:rPr>
      </w:pPr>
      <w:r>
        <w:rPr>
          <w:rFonts w:hAnsi="宋体"/>
          <w:color w:val="auto"/>
          <w:sz w:val="22"/>
        </w:rPr>
        <w:t>承包人（全称）：</w:t>
      </w:r>
      <w:r>
        <w:rPr>
          <w:rFonts w:hint="eastAsia" w:hAnsi="宋体"/>
          <w:color w:val="auto"/>
          <w:sz w:val="22"/>
          <w:u w:val="single"/>
          <w:lang w:val="en-US" w:eastAsia="zh-CN"/>
        </w:rPr>
        <w:t xml:space="preserve">                        </w:t>
      </w:r>
    </w:p>
    <w:p w14:paraId="44F336F0">
      <w:pPr>
        <w:pStyle w:val="68"/>
        <w:spacing w:line="240" w:lineRule="auto"/>
        <w:ind w:firstLine="440" w:firstLineChars="200"/>
        <w:rPr>
          <w:rFonts w:hAnsi="宋体"/>
          <w:color w:val="auto"/>
          <w:sz w:val="22"/>
        </w:rPr>
      </w:pPr>
      <w:r>
        <w:rPr>
          <w:rFonts w:hAnsi="宋体"/>
          <w:color w:val="auto"/>
          <w:sz w:val="22"/>
        </w:rPr>
        <w:t>根据《中华人民共和国</w:t>
      </w:r>
      <w:r>
        <w:rPr>
          <w:rFonts w:hint="eastAsia" w:hAnsi="宋体"/>
          <w:color w:val="auto"/>
          <w:sz w:val="22"/>
        </w:rPr>
        <w:t>民法典</w:t>
      </w:r>
      <w:r>
        <w:rPr>
          <w:rFonts w:hint="eastAsia" w:hAnsi="宋体"/>
          <w:color w:val="auto"/>
          <w:sz w:val="22"/>
          <w:lang w:eastAsia="zh-CN"/>
        </w:rPr>
        <w:t>》《</w:t>
      </w:r>
      <w:r>
        <w:rPr>
          <w:rFonts w:hAnsi="宋体"/>
          <w:color w:val="auto"/>
          <w:sz w:val="22"/>
        </w:rPr>
        <w:t>中华人民共和国建筑法》及有关法律规定，遵循平等、自愿、公平和诚实信用的原则，双方就</w:t>
      </w:r>
      <w:r>
        <w:rPr>
          <w:rFonts w:hint="eastAsia"/>
          <w:color w:val="auto"/>
          <w:sz w:val="22"/>
          <w:u w:val="single"/>
          <w:lang w:val="en-US" w:eastAsia="zh-CN"/>
        </w:rPr>
        <w:t xml:space="preserve"> </w:t>
      </w:r>
      <w:r>
        <w:rPr>
          <w:rFonts w:hint="eastAsia" w:hAnsi="宋体"/>
          <w:color w:val="auto"/>
          <w:sz w:val="22"/>
          <w:u w:val="single"/>
          <w:lang w:val="en-US" w:eastAsia="zh-CN"/>
        </w:rPr>
        <w:t xml:space="preserve">                    </w:t>
      </w:r>
      <w:r>
        <w:rPr>
          <w:rFonts w:hint="eastAsia"/>
          <w:color w:val="auto"/>
          <w:sz w:val="22"/>
          <w:u w:val="single"/>
          <w:lang w:val="en-US" w:eastAsia="zh-CN"/>
        </w:rPr>
        <w:t xml:space="preserve"> </w:t>
      </w:r>
      <w:r>
        <w:rPr>
          <w:rFonts w:hAnsi="宋体"/>
          <w:color w:val="auto"/>
          <w:sz w:val="22"/>
        </w:rPr>
        <w:t>工程施工及有关事项协商一致，共同达成如下协议：</w:t>
      </w:r>
      <w:bookmarkStart w:id="87" w:name="_Toc351203481"/>
    </w:p>
    <w:p w14:paraId="6EE09D59">
      <w:pPr>
        <w:pStyle w:val="68"/>
        <w:spacing w:line="240" w:lineRule="auto"/>
        <w:ind w:firstLine="442" w:firstLineChars="200"/>
        <w:rPr>
          <w:b/>
          <w:bCs/>
          <w:color w:val="auto"/>
          <w:sz w:val="22"/>
        </w:rPr>
      </w:pPr>
      <w:r>
        <w:rPr>
          <w:rFonts w:hAnsi="宋体"/>
          <w:b/>
          <w:bCs/>
          <w:color w:val="auto"/>
          <w:sz w:val="22"/>
        </w:rPr>
        <w:t>一、工程概况</w:t>
      </w:r>
      <w:bookmarkEnd w:id="87"/>
    </w:p>
    <w:p w14:paraId="0BE279EC">
      <w:pPr>
        <w:pStyle w:val="68"/>
        <w:spacing w:line="240" w:lineRule="auto"/>
        <w:ind w:firstLine="440" w:firstLineChars="200"/>
        <w:rPr>
          <w:color w:val="auto"/>
          <w:sz w:val="22"/>
          <w:u w:val="single"/>
        </w:rPr>
      </w:pPr>
      <w:r>
        <w:rPr>
          <w:bCs/>
          <w:color w:val="auto"/>
          <w:sz w:val="22"/>
        </w:rPr>
        <w:t>1.</w:t>
      </w:r>
      <w:r>
        <w:rPr>
          <w:rFonts w:hint="eastAsia"/>
          <w:bCs/>
          <w:color w:val="auto"/>
          <w:sz w:val="22"/>
        </w:rPr>
        <w:t xml:space="preserve"> </w:t>
      </w:r>
      <w:r>
        <w:rPr>
          <w:rFonts w:hAnsi="宋体"/>
          <w:bCs/>
          <w:color w:val="auto"/>
          <w:sz w:val="22"/>
        </w:rPr>
        <w:t>工程名称</w:t>
      </w:r>
      <w:r>
        <w:rPr>
          <w:rFonts w:hAnsi="宋体"/>
          <w:color w:val="auto"/>
          <w:sz w:val="22"/>
        </w:rPr>
        <w:t>：</w:t>
      </w:r>
      <w:r>
        <w:rPr>
          <w:rFonts w:hint="eastAsia" w:hAnsi="宋体"/>
          <w:color w:val="auto"/>
          <w:sz w:val="22"/>
          <w:u w:val="single"/>
          <w:lang w:val="en-US" w:eastAsia="zh-CN"/>
        </w:rPr>
        <w:t xml:space="preserve">                       </w:t>
      </w:r>
      <w:r>
        <w:rPr>
          <w:rFonts w:hint="eastAsia"/>
          <w:color w:val="auto"/>
          <w:sz w:val="22"/>
          <w:u w:val="single"/>
          <w:lang w:val="en-US" w:eastAsia="zh-CN"/>
        </w:rPr>
        <w:t xml:space="preserve"> </w:t>
      </w:r>
      <w:r>
        <w:rPr>
          <w:rFonts w:hAnsi="宋体"/>
          <w:color w:val="auto"/>
          <w:sz w:val="22"/>
        </w:rPr>
        <w:t>。</w:t>
      </w:r>
    </w:p>
    <w:p w14:paraId="7DB0DC2B">
      <w:pPr>
        <w:pStyle w:val="68"/>
        <w:spacing w:line="240" w:lineRule="auto"/>
        <w:ind w:firstLine="440" w:firstLineChars="200"/>
        <w:rPr>
          <w:bCs/>
          <w:color w:val="auto"/>
          <w:sz w:val="22"/>
        </w:rPr>
      </w:pPr>
      <w:r>
        <w:rPr>
          <w:bCs/>
          <w:color w:val="auto"/>
          <w:sz w:val="22"/>
        </w:rPr>
        <w:t>2.</w:t>
      </w:r>
      <w:r>
        <w:rPr>
          <w:rFonts w:hint="eastAsia"/>
          <w:bCs/>
          <w:color w:val="auto"/>
          <w:sz w:val="22"/>
        </w:rPr>
        <w:t xml:space="preserve"> </w:t>
      </w:r>
      <w:r>
        <w:rPr>
          <w:rFonts w:hAnsi="宋体"/>
          <w:bCs/>
          <w:color w:val="auto"/>
          <w:sz w:val="22"/>
        </w:rPr>
        <w:t>工程地点：</w:t>
      </w:r>
      <w:r>
        <w:rPr>
          <w:rFonts w:hint="eastAsia" w:hAnsi="宋体"/>
          <w:color w:val="auto"/>
          <w:sz w:val="22"/>
          <w:u w:val="single"/>
          <w:lang w:val="en-US" w:eastAsia="zh-CN"/>
        </w:rPr>
        <w:t xml:space="preserve">                        </w:t>
      </w:r>
      <w:r>
        <w:rPr>
          <w:rFonts w:hAnsi="宋体"/>
          <w:color w:val="auto"/>
          <w:sz w:val="22"/>
        </w:rPr>
        <w:t>。</w:t>
      </w:r>
    </w:p>
    <w:p w14:paraId="0D151E36">
      <w:pPr>
        <w:pStyle w:val="68"/>
        <w:spacing w:line="240" w:lineRule="auto"/>
        <w:ind w:firstLine="440" w:firstLineChars="200"/>
        <w:rPr>
          <w:bCs/>
          <w:color w:val="auto"/>
          <w:sz w:val="22"/>
        </w:rPr>
      </w:pPr>
      <w:r>
        <w:rPr>
          <w:rFonts w:hint="eastAsia"/>
          <w:bCs/>
          <w:color w:val="auto"/>
          <w:sz w:val="22"/>
        </w:rPr>
        <w:t>3</w:t>
      </w:r>
      <w:r>
        <w:rPr>
          <w:bCs/>
          <w:color w:val="auto"/>
          <w:sz w:val="22"/>
        </w:rPr>
        <w:t>.</w:t>
      </w:r>
      <w:r>
        <w:rPr>
          <w:rFonts w:hint="eastAsia"/>
          <w:bCs/>
          <w:color w:val="auto"/>
          <w:sz w:val="22"/>
        </w:rPr>
        <w:t xml:space="preserve"> </w:t>
      </w:r>
      <w:r>
        <w:rPr>
          <w:rFonts w:hAnsi="宋体"/>
          <w:bCs/>
          <w:color w:val="auto"/>
          <w:sz w:val="22"/>
        </w:rPr>
        <w:t>资金来源：</w:t>
      </w:r>
      <w:r>
        <w:rPr>
          <w:rFonts w:hint="eastAsia" w:hAnsi="宋体"/>
          <w:color w:val="auto"/>
          <w:sz w:val="22"/>
          <w:u w:val="single"/>
          <w:lang w:val="en-US" w:eastAsia="zh-CN"/>
        </w:rPr>
        <w:t xml:space="preserve"> 财政资金 </w:t>
      </w:r>
      <w:r>
        <w:rPr>
          <w:rFonts w:hAnsi="宋体"/>
          <w:bCs/>
          <w:color w:val="auto"/>
          <w:sz w:val="22"/>
        </w:rPr>
        <w:t>。</w:t>
      </w:r>
    </w:p>
    <w:p w14:paraId="6AEB741A">
      <w:pPr>
        <w:pStyle w:val="68"/>
        <w:spacing w:line="240" w:lineRule="auto"/>
        <w:ind w:firstLine="440" w:firstLineChars="200"/>
        <w:rPr>
          <w:bCs/>
          <w:color w:val="auto"/>
          <w:sz w:val="22"/>
        </w:rPr>
      </w:pPr>
      <w:r>
        <w:rPr>
          <w:bCs/>
          <w:color w:val="auto"/>
          <w:sz w:val="22"/>
        </w:rPr>
        <w:t>5.</w:t>
      </w:r>
      <w:r>
        <w:rPr>
          <w:rFonts w:hint="eastAsia"/>
          <w:bCs/>
          <w:color w:val="auto"/>
          <w:sz w:val="22"/>
        </w:rPr>
        <w:t xml:space="preserve"> </w:t>
      </w:r>
      <w:r>
        <w:rPr>
          <w:rFonts w:hAnsi="宋体"/>
          <w:bCs/>
          <w:color w:val="auto"/>
          <w:sz w:val="22"/>
        </w:rPr>
        <w:t>工程内容：</w:t>
      </w:r>
      <w:r>
        <w:rPr>
          <w:rFonts w:hint="eastAsia" w:hAnsi="宋体"/>
          <w:color w:val="auto"/>
          <w:sz w:val="22"/>
          <w:u w:val="single"/>
          <w:lang w:val="en-US" w:eastAsia="zh-CN"/>
        </w:rPr>
        <w:t xml:space="preserve">                                                               ，</w:t>
      </w:r>
      <w:r>
        <w:rPr>
          <w:rFonts w:hint="eastAsia" w:ascii="宋体" w:hAnsi="宋体" w:cs="宋体"/>
          <w:color w:val="auto"/>
          <w:szCs w:val="21"/>
          <w:u w:val="single"/>
          <w:lang w:eastAsia="zh-CN"/>
        </w:rPr>
        <w:t>详见施工</w:t>
      </w:r>
      <w:r>
        <w:rPr>
          <w:rFonts w:hint="eastAsia" w:ascii="宋体" w:hAnsi="宋体" w:cs="宋体"/>
          <w:color w:val="auto"/>
          <w:szCs w:val="21"/>
          <w:u w:val="single"/>
        </w:rPr>
        <w:t>图纸及工程量清单</w:t>
      </w:r>
      <w:r>
        <w:rPr>
          <w:rFonts w:hAnsi="宋体"/>
          <w:bCs/>
          <w:color w:val="auto"/>
          <w:sz w:val="22"/>
        </w:rPr>
        <w:t>。</w:t>
      </w:r>
    </w:p>
    <w:p w14:paraId="1F0EC261">
      <w:pPr>
        <w:pStyle w:val="68"/>
        <w:spacing w:line="240" w:lineRule="auto"/>
        <w:ind w:firstLine="440" w:firstLineChars="200"/>
        <w:rPr>
          <w:bCs/>
          <w:color w:val="auto"/>
          <w:sz w:val="22"/>
        </w:rPr>
      </w:pPr>
      <w:r>
        <w:rPr>
          <w:rFonts w:hAnsi="宋体"/>
          <w:color w:val="auto"/>
          <w:sz w:val="22"/>
        </w:rPr>
        <w:t>群体工程应附《承包人承揽工程项目一览表》（附件</w:t>
      </w:r>
      <w:r>
        <w:rPr>
          <w:color w:val="auto"/>
          <w:sz w:val="22"/>
        </w:rPr>
        <w:t>1</w:t>
      </w:r>
      <w:r>
        <w:rPr>
          <w:rFonts w:hAnsi="宋体"/>
          <w:color w:val="auto"/>
          <w:sz w:val="22"/>
        </w:rPr>
        <w:t>）。</w:t>
      </w:r>
    </w:p>
    <w:p w14:paraId="02D5EE22">
      <w:pPr>
        <w:pStyle w:val="68"/>
        <w:spacing w:line="240" w:lineRule="auto"/>
        <w:ind w:firstLine="440" w:firstLineChars="200"/>
        <w:rPr>
          <w:rFonts w:hAnsi="宋体"/>
          <w:color w:val="auto"/>
          <w:sz w:val="22"/>
        </w:rPr>
      </w:pPr>
      <w:r>
        <w:rPr>
          <w:bCs/>
          <w:color w:val="auto"/>
          <w:sz w:val="22"/>
        </w:rPr>
        <w:t>6.</w:t>
      </w:r>
      <w:r>
        <w:rPr>
          <w:rFonts w:hint="eastAsia"/>
          <w:bCs/>
          <w:color w:val="auto"/>
          <w:sz w:val="22"/>
        </w:rPr>
        <w:t xml:space="preserve"> </w:t>
      </w:r>
      <w:r>
        <w:rPr>
          <w:rFonts w:hAnsi="宋体"/>
          <w:bCs/>
          <w:color w:val="auto"/>
          <w:sz w:val="22"/>
        </w:rPr>
        <w:t>工程承包范围：</w:t>
      </w:r>
      <w:r>
        <w:rPr>
          <w:rFonts w:hint="eastAsia" w:hAnsi="宋体"/>
          <w:bCs/>
          <w:color w:val="auto"/>
          <w:sz w:val="22"/>
          <w:u w:val="single"/>
          <w:lang w:val="en-US" w:eastAsia="zh-CN"/>
        </w:rPr>
        <w:t xml:space="preserve">                                        ，</w:t>
      </w:r>
      <w:r>
        <w:rPr>
          <w:rFonts w:hint="eastAsia" w:ascii="宋体" w:hAnsi="宋体" w:cs="宋体"/>
          <w:color w:val="auto"/>
          <w:szCs w:val="21"/>
          <w:u w:val="single"/>
          <w:lang w:eastAsia="zh-CN"/>
        </w:rPr>
        <w:t>详见施工</w:t>
      </w:r>
      <w:r>
        <w:rPr>
          <w:rFonts w:hint="eastAsia" w:ascii="宋体" w:hAnsi="宋体" w:cs="宋体"/>
          <w:color w:val="auto"/>
          <w:szCs w:val="21"/>
          <w:u w:val="single"/>
        </w:rPr>
        <w:t>图纸及工程量清单</w:t>
      </w:r>
      <w:r>
        <w:rPr>
          <w:rFonts w:hAnsi="宋体"/>
          <w:color w:val="auto"/>
          <w:sz w:val="22"/>
        </w:rPr>
        <w:t>。</w:t>
      </w:r>
    </w:p>
    <w:p w14:paraId="31C4248F">
      <w:pPr>
        <w:pStyle w:val="68"/>
        <w:spacing w:line="240" w:lineRule="auto"/>
        <w:ind w:firstLine="442" w:firstLineChars="200"/>
        <w:rPr>
          <w:b/>
          <w:bCs/>
          <w:color w:val="auto"/>
          <w:sz w:val="22"/>
        </w:rPr>
      </w:pPr>
      <w:bookmarkStart w:id="88" w:name="_Toc351203482"/>
      <w:r>
        <w:rPr>
          <w:rFonts w:hAnsi="宋体"/>
          <w:b/>
          <w:bCs/>
          <w:color w:val="auto"/>
          <w:sz w:val="22"/>
        </w:rPr>
        <w:t>二、合同工期</w:t>
      </w:r>
      <w:bookmarkEnd w:id="88"/>
    </w:p>
    <w:p w14:paraId="415A61D3">
      <w:pPr>
        <w:pStyle w:val="68"/>
        <w:spacing w:line="240" w:lineRule="auto"/>
        <w:ind w:firstLine="440" w:firstLineChars="200"/>
        <w:rPr>
          <w:rFonts w:hint="eastAsia" w:eastAsia="宋体"/>
          <w:color w:val="auto"/>
          <w:sz w:val="22"/>
          <w:lang w:eastAsia="zh-CN"/>
        </w:rPr>
      </w:pPr>
      <w:r>
        <w:rPr>
          <w:rFonts w:hAnsi="宋体"/>
          <w:color w:val="auto"/>
          <w:sz w:val="22"/>
        </w:rPr>
        <w:t>计划开工日期：</w:t>
      </w:r>
      <w:r>
        <w:rPr>
          <w:rFonts w:hint="eastAsia" w:hAnsi="宋体"/>
          <w:color w:val="auto"/>
          <w:sz w:val="22"/>
          <w:u w:val="single"/>
          <w:lang w:val="en-US" w:eastAsia="zh-CN"/>
        </w:rPr>
        <w:t xml:space="preserve">     </w:t>
      </w:r>
      <w:r>
        <w:rPr>
          <w:rFonts w:hAnsi="宋体"/>
          <w:color w:val="auto"/>
          <w:sz w:val="22"/>
        </w:rPr>
        <w:t>年</w:t>
      </w:r>
      <w:r>
        <w:rPr>
          <w:rFonts w:hint="eastAsia" w:hAnsi="宋体"/>
          <w:color w:val="auto"/>
          <w:sz w:val="22"/>
          <w:u w:val="single"/>
          <w:lang w:val="en-US" w:eastAsia="zh-CN"/>
        </w:rPr>
        <w:t xml:space="preserve">      </w:t>
      </w:r>
      <w:r>
        <w:rPr>
          <w:rFonts w:hAnsi="宋体"/>
          <w:color w:val="auto"/>
          <w:sz w:val="22"/>
        </w:rPr>
        <w:t>月</w:t>
      </w:r>
      <w:r>
        <w:rPr>
          <w:rFonts w:hAnsi="宋体"/>
          <w:color w:val="auto"/>
          <w:sz w:val="22"/>
          <w:u w:val="single"/>
        </w:rPr>
        <w:t></w:t>
      </w:r>
      <w:r>
        <w:rPr>
          <w:rFonts w:hint="eastAsia" w:hAnsi="宋体"/>
          <w:color w:val="auto"/>
          <w:sz w:val="22"/>
          <w:u w:val="single"/>
          <w:lang w:val="en-US" w:eastAsia="zh-CN"/>
        </w:rPr>
        <w:t xml:space="preserve">   </w:t>
      </w:r>
      <w:r>
        <w:rPr>
          <w:rFonts w:hAnsi="宋体"/>
          <w:color w:val="auto"/>
          <w:sz w:val="22"/>
          <w:u w:val="single"/>
        </w:rPr>
        <w:t></w:t>
      </w:r>
      <w:r>
        <w:rPr>
          <w:rFonts w:hAnsi="宋体"/>
          <w:color w:val="auto"/>
          <w:sz w:val="22"/>
        </w:rPr>
        <w:t>日。</w:t>
      </w:r>
      <w:r>
        <w:rPr>
          <w:rFonts w:hint="eastAsia" w:hAnsi="宋体"/>
          <w:color w:val="auto"/>
          <w:sz w:val="22"/>
          <w:lang w:eastAsia="zh-CN"/>
        </w:rPr>
        <w:t>（</w:t>
      </w:r>
      <w:r>
        <w:rPr>
          <w:rFonts w:hint="eastAsia" w:hAnsi="宋体"/>
          <w:color w:val="auto"/>
          <w:sz w:val="22"/>
          <w:lang w:val="en-US" w:eastAsia="zh-CN"/>
        </w:rPr>
        <w:t>最终以开工令为准</w:t>
      </w:r>
      <w:r>
        <w:rPr>
          <w:rFonts w:hint="eastAsia" w:hAnsi="宋体"/>
          <w:color w:val="auto"/>
          <w:sz w:val="22"/>
          <w:lang w:eastAsia="zh-CN"/>
        </w:rPr>
        <w:t>）</w:t>
      </w:r>
    </w:p>
    <w:p w14:paraId="78E8C7F8">
      <w:pPr>
        <w:pStyle w:val="68"/>
        <w:spacing w:line="240" w:lineRule="auto"/>
        <w:ind w:firstLine="440" w:firstLineChars="200"/>
        <w:rPr>
          <w:color w:val="auto"/>
          <w:sz w:val="22"/>
        </w:rPr>
      </w:pPr>
      <w:r>
        <w:rPr>
          <w:rFonts w:hAnsi="宋体"/>
          <w:color w:val="auto"/>
          <w:sz w:val="22"/>
        </w:rPr>
        <w:t>计划竣工日期：</w:t>
      </w:r>
      <w:r>
        <w:rPr>
          <w:rFonts w:hint="eastAsia" w:hAnsi="宋体"/>
          <w:color w:val="auto"/>
          <w:sz w:val="22"/>
          <w:u w:val="single"/>
          <w:lang w:val="en-US" w:eastAsia="zh-CN"/>
        </w:rPr>
        <w:t xml:space="preserve">     </w:t>
      </w:r>
      <w:r>
        <w:rPr>
          <w:rFonts w:hAnsi="宋体"/>
          <w:color w:val="auto"/>
          <w:sz w:val="22"/>
        </w:rPr>
        <w:t>年</w:t>
      </w:r>
      <w:r>
        <w:rPr>
          <w:rFonts w:hint="eastAsia" w:hAnsi="宋体"/>
          <w:color w:val="auto"/>
          <w:sz w:val="22"/>
          <w:u w:val="single"/>
          <w:lang w:val="en-US" w:eastAsia="zh-CN"/>
        </w:rPr>
        <w:t xml:space="preserve">      </w:t>
      </w:r>
      <w:r>
        <w:rPr>
          <w:rFonts w:hAnsi="宋体"/>
          <w:color w:val="auto"/>
          <w:sz w:val="22"/>
        </w:rPr>
        <w:t>月</w:t>
      </w:r>
      <w:r>
        <w:rPr>
          <w:rFonts w:hAnsi="宋体"/>
          <w:color w:val="auto"/>
          <w:sz w:val="22"/>
          <w:u w:val="single"/>
        </w:rPr>
        <w:t></w:t>
      </w:r>
      <w:r>
        <w:rPr>
          <w:rFonts w:hint="eastAsia" w:hAnsi="宋体"/>
          <w:color w:val="auto"/>
          <w:sz w:val="22"/>
          <w:u w:val="single"/>
          <w:lang w:val="en-US" w:eastAsia="zh-CN"/>
        </w:rPr>
        <w:t xml:space="preserve">   </w:t>
      </w:r>
      <w:r>
        <w:rPr>
          <w:rFonts w:hAnsi="宋体"/>
          <w:color w:val="auto"/>
          <w:sz w:val="22"/>
          <w:u w:val="single"/>
        </w:rPr>
        <w:t></w:t>
      </w:r>
      <w:r>
        <w:rPr>
          <w:rFonts w:hAnsi="宋体"/>
          <w:color w:val="auto"/>
          <w:sz w:val="22"/>
        </w:rPr>
        <w:t>日。</w:t>
      </w:r>
    </w:p>
    <w:p w14:paraId="52ACCC9F">
      <w:pPr>
        <w:pStyle w:val="68"/>
        <w:spacing w:line="240" w:lineRule="auto"/>
        <w:ind w:firstLine="440" w:firstLineChars="200"/>
        <w:rPr>
          <w:rFonts w:hAnsi="宋体"/>
          <w:color w:val="auto"/>
          <w:sz w:val="22"/>
        </w:rPr>
      </w:pPr>
      <w:r>
        <w:rPr>
          <w:rFonts w:hAnsi="宋体"/>
          <w:color w:val="auto"/>
          <w:sz w:val="22"/>
        </w:rPr>
        <w:t>工期总日历天数：</w:t>
      </w:r>
      <w:r>
        <w:rPr>
          <w:rFonts w:hint="eastAsia" w:hAnsi="宋体"/>
          <w:color w:val="auto"/>
          <w:sz w:val="22"/>
          <w:u w:val="single"/>
          <w:lang w:val="en-US" w:eastAsia="zh-CN"/>
        </w:rPr>
        <w:t xml:space="preserve">    </w:t>
      </w:r>
      <w:r>
        <w:rPr>
          <w:rFonts w:hAnsi="宋体"/>
          <w:color w:val="auto"/>
          <w:sz w:val="22"/>
        </w:rPr>
        <w:t>天。工期总日历天数与根据前述计划开竣工日期计算的工期天数不一致的，以工期总日历天数为准。</w:t>
      </w:r>
    </w:p>
    <w:p w14:paraId="656188FB">
      <w:pPr>
        <w:pStyle w:val="68"/>
        <w:spacing w:line="240" w:lineRule="auto"/>
        <w:ind w:firstLine="442" w:firstLineChars="200"/>
        <w:rPr>
          <w:b/>
          <w:bCs/>
          <w:color w:val="auto"/>
          <w:sz w:val="22"/>
        </w:rPr>
      </w:pPr>
      <w:bookmarkStart w:id="89" w:name="_Toc351203483"/>
      <w:r>
        <w:rPr>
          <w:rFonts w:hAnsi="宋体"/>
          <w:b/>
          <w:bCs/>
          <w:color w:val="auto"/>
          <w:sz w:val="22"/>
        </w:rPr>
        <w:t>三、质量标准</w:t>
      </w:r>
      <w:bookmarkEnd w:id="89"/>
    </w:p>
    <w:p w14:paraId="3510C9B2">
      <w:pPr>
        <w:pStyle w:val="68"/>
        <w:spacing w:line="240" w:lineRule="auto"/>
        <w:ind w:firstLine="440" w:firstLineChars="200"/>
        <w:rPr>
          <w:rFonts w:hAnsi="宋体"/>
          <w:color w:val="auto"/>
          <w:sz w:val="22"/>
        </w:rPr>
      </w:pPr>
      <w:r>
        <w:rPr>
          <w:rFonts w:hAnsi="宋体"/>
          <w:color w:val="auto"/>
          <w:sz w:val="22"/>
        </w:rPr>
        <w:t>工程质量</w:t>
      </w:r>
      <w:r>
        <w:rPr>
          <w:rFonts w:hAnsi="宋体"/>
          <w:color w:val="auto"/>
          <w:sz w:val="22"/>
          <w:u w:val="single"/>
        </w:rPr>
        <w:t></w:t>
      </w:r>
      <w:r>
        <w:rPr>
          <w:rFonts w:hint="eastAsia" w:hAnsi="宋体"/>
          <w:color w:val="auto"/>
          <w:sz w:val="22"/>
          <w:u w:val="single"/>
        </w:rPr>
        <w:t>合格</w:t>
      </w:r>
      <w:r>
        <w:rPr>
          <w:rFonts w:hAnsi="宋体"/>
          <w:color w:val="auto"/>
          <w:sz w:val="22"/>
          <w:u w:val="single"/>
        </w:rPr>
        <w:t></w:t>
      </w:r>
      <w:r>
        <w:rPr>
          <w:rFonts w:hAnsi="宋体"/>
          <w:color w:val="auto"/>
          <w:sz w:val="22"/>
        </w:rPr>
        <w:t>标准。</w:t>
      </w:r>
    </w:p>
    <w:p w14:paraId="26E2FBAD">
      <w:pPr>
        <w:pStyle w:val="68"/>
        <w:spacing w:line="240" w:lineRule="auto"/>
        <w:ind w:firstLine="442" w:firstLineChars="200"/>
        <w:rPr>
          <w:rFonts w:hAnsi="宋体"/>
          <w:b/>
          <w:bCs/>
          <w:color w:val="auto"/>
          <w:sz w:val="22"/>
        </w:rPr>
      </w:pPr>
      <w:bookmarkStart w:id="90" w:name="_Toc351203484"/>
      <w:r>
        <w:rPr>
          <w:rFonts w:hAnsi="宋体"/>
          <w:b/>
          <w:bCs/>
          <w:color w:val="auto"/>
          <w:sz w:val="22"/>
        </w:rPr>
        <w:t>四、签约合同价与合同价格形式</w:t>
      </w:r>
      <w:bookmarkEnd w:id="90"/>
    </w:p>
    <w:p w14:paraId="30EFE605">
      <w:pPr>
        <w:bidi w:val="0"/>
        <w:spacing w:line="240" w:lineRule="auto"/>
        <w:ind w:firstLine="420" w:firstLineChars="200"/>
        <w:rPr>
          <w:color w:val="auto"/>
        </w:rPr>
      </w:pPr>
      <w:r>
        <w:rPr>
          <w:color w:val="auto"/>
        </w:rPr>
        <w:t>1.</w:t>
      </w:r>
      <w:r>
        <w:rPr>
          <w:rFonts w:hint="eastAsia"/>
          <w:color w:val="auto"/>
        </w:rPr>
        <w:t xml:space="preserve"> </w:t>
      </w:r>
      <w:r>
        <w:rPr>
          <w:color w:val="auto"/>
        </w:rPr>
        <w:t>签约合同价为：</w:t>
      </w:r>
    </w:p>
    <w:p w14:paraId="484C6738">
      <w:pPr>
        <w:pStyle w:val="68"/>
        <w:spacing w:line="240" w:lineRule="auto"/>
        <w:ind w:firstLine="442" w:firstLineChars="200"/>
        <w:rPr>
          <w:rFonts w:hint="default" w:ascii="Times New Roman" w:hAnsi="Times New Roman" w:eastAsia="宋体" w:cs="Times New Roman"/>
          <w:b/>
          <w:bCs/>
          <w:color w:val="auto"/>
          <w:sz w:val="22"/>
          <w:u w:val="none"/>
          <w:lang w:val="en-US" w:eastAsia="zh-CN"/>
        </w:rPr>
      </w:pPr>
      <w:r>
        <w:rPr>
          <w:rFonts w:hint="eastAsia" w:ascii="Times New Roman" w:hAnsi="Times New Roman" w:eastAsia="宋体" w:cs="Times New Roman"/>
          <w:b/>
          <w:bCs/>
          <w:color w:val="auto"/>
          <w:sz w:val="22"/>
          <w:u w:val="none"/>
          <w:lang w:eastAsia="zh-CN"/>
        </w:rPr>
        <w:t>人民币（大写）</w:t>
      </w:r>
      <w:r>
        <w:rPr>
          <w:rFonts w:hint="eastAsia" w:cs="Times New Roman"/>
          <w:b/>
          <w:bCs/>
          <w:color w:val="auto"/>
          <w:sz w:val="22"/>
          <w:u w:val="single"/>
          <w:lang w:val="en-US" w:eastAsia="zh-CN"/>
        </w:rPr>
        <w:t xml:space="preserve">         </w:t>
      </w:r>
      <w:r>
        <w:rPr>
          <w:rFonts w:hint="eastAsia" w:ascii="Times New Roman" w:hAnsi="Times New Roman" w:eastAsia="宋体" w:cs="Times New Roman"/>
          <w:b/>
          <w:bCs/>
          <w:color w:val="auto"/>
          <w:sz w:val="22"/>
          <w:u w:val="none"/>
          <w:lang w:val="en-US" w:eastAsia="zh-CN"/>
        </w:rPr>
        <w:t>元。</w:t>
      </w:r>
    </w:p>
    <w:p w14:paraId="185D42A8">
      <w:pPr>
        <w:pStyle w:val="68"/>
        <w:spacing w:line="240" w:lineRule="auto"/>
        <w:ind w:firstLine="440" w:firstLineChars="200"/>
        <w:rPr>
          <w:rFonts w:hAnsi="宋体"/>
          <w:color w:val="auto"/>
          <w:sz w:val="22"/>
        </w:rPr>
      </w:pPr>
      <w:r>
        <w:rPr>
          <w:rFonts w:hAnsi="宋体"/>
          <w:color w:val="auto"/>
          <w:sz w:val="22"/>
        </w:rPr>
        <w:t>其中：</w:t>
      </w:r>
    </w:p>
    <w:p w14:paraId="2259EA3A">
      <w:pPr>
        <w:pStyle w:val="68"/>
        <w:spacing w:line="240" w:lineRule="auto"/>
        <w:ind w:firstLine="440" w:firstLineChars="200"/>
        <w:rPr>
          <w:color w:val="auto"/>
          <w:sz w:val="22"/>
          <w:highlight w:val="none"/>
        </w:rPr>
      </w:pPr>
      <w:r>
        <w:rPr>
          <w:rFonts w:hint="eastAsia" w:hAnsi="宋体"/>
          <w:color w:val="auto"/>
          <w:sz w:val="22"/>
        </w:rPr>
        <w:t>（1）</w:t>
      </w:r>
      <w:r>
        <w:rPr>
          <w:rFonts w:hAnsi="宋体"/>
          <w:color w:val="auto"/>
          <w:sz w:val="22"/>
        </w:rPr>
        <w:t>安</w:t>
      </w:r>
      <w:r>
        <w:rPr>
          <w:rFonts w:hAnsi="宋体"/>
          <w:color w:val="auto"/>
          <w:sz w:val="22"/>
          <w:highlight w:val="none"/>
        </w:rPr>
        <w:t>全文明施工费</w:t>
      </w:r>
      <w:r>
        <w:rPr>
          <w:rFonts w:hint="eastAsia" w:hAnsi="宋体"/>
          <w:color w:val="auto"/>
          <w:sz w:val="22"/>
          <w:highlight w:val="none"/>
          <w:lang w:eastAsia="zh-CN"/>
        </w:rPr>
        <w:t>（</w:t>
      </w:r>
      <w:r>
        <w:rPr>
          <w:rFonts w:hint="eastAsia" w:hAnsi="宋体"/>
          <w:color w:val="auto"/>
          <w:sz w:val="22"/>
          <w:highlight w:val="none"/>
          <w:lang w:val="en-US" w:eastAsia="zh-CN"/>
        </w:rPr>
        <w:t>必填</w:t>
      </w:r>
      <w:r>
        <w:rPr>
          <w:rFonts w:hint="eastAsia" w:hAnsi="宋体"/>
          <w:color w:val="auto"/>
          <w:sz w:val="22"/>
          <w:highlight w:val="none"/>
          <w:lang w:eastAsia="zh-CN"/>
        </w:rPr>
        <w:t>）</w:t>
      </w:r>
      <w:r>
        <w:rPr>
          <w:rFonts w:hAnsi="宋体"/>
          <w:color w:val="auto"/>
          <w:sz w:val="22"/>
          <w:highlight w:val="none"/>
        </w:rPr>
        <w:t>：</w:t>
      </w:r>
    </w:p>
    <w:p w14:paraId="2A17A483">
      <w:pPr>
        <w:pStyle w:val="68"/>
        <w:spacing w:line="240" w:lineRule="auto"/>
        <w:ind w:firstLine="442" w:firstLineChars="200"/>
        <w:rPr>
          <w:rFonts w:hAnsi="宋体"/>
          <w:b/>
          <w:bCs/>
          <w:color w:val="auto"/>
          <w:sz w:val="22"/>
        </w:rPr>
      </w:pPr>
      <w:r>
        <w:rPr>
          <w:rFonts w:hAnsi="宋体"/>
          <w:b/>
          <w:bCs/>
          <w:color w:val="auto"/>
          <w:sz w:val="22"/>
        </w:rPr>
        <w:t>人民币（大写）</w:t>
      </w:r>
      <w:r>
        <w:rPr>
          <w:rFonts w:hint="eastAsia"/>
          <w:b/>
          <w:bCs/>
          <w:color w:val="auto"/>
          <w:sz w:val="22"/>
          <w:u w:val="single"/>
          <w:lang w:val="en-US" w:eastAsia="zh-CN"/>
        </w:rPr>
        <w:t xml:space="preserve">           </w:t>
      </w:r>
      <w:r>
        <w:rPr>
          <w:rFonts w:hAnsi="宋体"/>
          <w:b/>
          <w:bCs/>
          <w:color w:val="auto"/>
          <w:sz w:val="22"/>
        </w:rPr>
        <w:t>；</w:t>
      </w:r>
    </w:p>
    <w:p w14:paraId="776D6D7B">
      <w:pPr>
        <w:pStyle w:val="68"/>
        <w:spacing w:line="240" w:lineRule="auto"/>
        <w:ind w:firstLine="440" w:firstLineChars="200"/>
        <w:rPr>
          <w:rFonts w:hAnsi="宋体"/>
          <w:color w:val="auto"/>
          <w:sz w:val="22"/>
        </w:rPr>
      </w:pPr>
      <w:r>
        <w:rPr>
          <w:rFonts w:hAnsi="宋体"/>
          <w:color w:val="auto"/>
          <w:sz w:val="22"/>
        </w:rPr>
        <w:t>（</w:t>
      </w:r>
      <w:r>
        <w:rPr>
          <w:color w:val="auto"/>
          <w:sz w:val="22"/>
        </w:rPr>
        <w:t>2</w:t>
      </w:r>
      <w:r>
        <w:rPr>
          <w:rFonts w:hAnsi="宋体"/>
          <w:color w:val="auto"/>
          <w:sz w:val="22"/>
        </w:rPr>
        <w:t>）</w:t>
      </w:r>
      <w:r>
        <w:rPr>
          <w:rFonts w:hint="eastAsia" w:hAnsi="宋体"/>
          <w:color w:val="auto"/>
          <w:sz w:val="22"/>
        </w:rPr>
        <w:t>规费中按规定向建安劳保费管理机构缴纳的建安劳保费</w:t>
      </w:r>
      <w:r>
        <w:rPr>
          <w:rFonts w:hAnsi="宋体"/>
          <w:color w:val="auto"/>
          <w:sz w:val="22"/>
        </w:rPr>
        <w:t>：</w:t>
      </w:r>
    </w:p>
    <w:p w14:paraId="0888E2A3">
      <w:pPr>
        <w:pStyle w:val="68"/>
        <w:spacing w:line="240" w:lineRule="auto"/>
        <w:ind w:firstLine="440" w:firstLineChars="200"/>
        <w:rPr>
          <w:color w:val="auto"/>
          <w:sz w:val="22"/>
        </w:rPr>
      </w:pPr>
      <w:r>
        <w:rPr>
          <w:rFonts w:hAnsi="宋体"/>
          <w:color w:val="auto"/>
          <w:sz w:val="22"/>
        </w:rPr>
        <w:t>人民币（大写）</w:t>
      </w:r>
      <w:r>
        <w:rPr>
          <w:rFonts w:hint="eastAsia"/>
          <w:color w:val="auto"/>
          <w:sz w:val="22"/>
          <w:u w:val="single"/>
          <w:lang w:val="en-US" w:eastAsia="zh-CN"/>
        </w:rPr>
        <w:t xml:space="preserve">  / </w:t>
      </w:r>
      <w:r>
        <w:rPr>
          <w:color w:val="auto"/>
          <w:sz w:val="22"/>
          <w:u w:val="single"/>
        </w:rPr>
        <w:t xml:space="preserve"> </w:t>
      </w:r>
      <w:r>
        <w:rPr>
          <w:rFonts w:hint="eastAsia"/>
          <w:color w:val="auto"/>
          <w:sz w:val="22"/>
        </w:rPr>
        <w:t>（</w:t>
      </w:r>
      <w:r>
        <w:rPr>
          <w:color w:val="auto"/>
          <w:sz w:val="22"/>
        </w:rPr>
        <w:t>¥</w:t>
      </w:r>
      <w:r>
        <w:rPr>
          <w:rFonts w:hint="eastAsia"/>
          <w:color w:val="auto"/>
          <w:sz w:val="22"/>
          <w:u w:val="single"/>
          <w:lang w:val="en-US" w:eastAsia="zh-CN"/>
        </w:rPr>
        <w:t xml:space="preserve">  / </w:t>
      </w:r>
      <w:r>
        <w:rPr>
          <w:color w:val="auto"/>
          <w:sz w:val="22"/>
          <w:u w:val="single"/>
        </w:rPr>
        <w:t xml:space="preserve">  </w:t>
      </w:r>
      <w:r>
        <w:rPr>
          <w:rFonts w:hAnsi="宋体"/>
          <w:color w:val="auto"/>
          <w:sz w:val="22"/>
        </w:rPr>
        <w:t>元</w:t>
      </w:r>
      <w:r>
        <w:rPr>
          <w:rFonts w:hint="eastAsia"/>
          <w:color w:val="auto"/>
          <w:sz w:val="22"/>
        </w:rPr>
        <w:t>）</w:t>
      </w:r>
      <w:r>
        <w:rPr>
          <w:rFonts w:hAnsi="宋体"/>
          <w:color w:val="auto"/>
          <w:sz w:val="22"/>
        </w:rPr>
        <w:t>；</w:t>
      </w:r>
    </w:p>
    <w:p w14:paraId="785D4D54">
      <w:pPr>
        <w:pStyle w:val="68"/>
        <w:spacing w:line="240" w:lineRule="auto"/>
        <w:ind w:firstLine="440" w:firstLineChars="200"/>
        <w:rPr>
          <w:color w:val="auto"/>
          <w:sz w:val="22"/>
        </w:rPr>
      </w:pPr>
      <w:r>
        <w:rPr>
          <w:rFonts w:hAnsi="宋体"/>
          <w:color w:val="auto"/>
          <w:sz w:val="22"/>
        </w:rPr>
        <w:t>（</w:t>
      </w:r>
      <w:r>
        <w:rPr>
          <w:color w:val="auto"/>
          <w:sz w:val="22"/>
        </w:rPr>
        <w:t>3</w:t>
      </w:r>
      <w:r>
        <w:rPr>
          <w:rFonts w:hAnsi="宋体"/>
          <w:color w:val="auto"/>
          <w:sz w:val="22"/>
        </w:rPr>
        <w:t>）材料和工程设备暂估价金额：</w:t>
      </w:r>
    </w:p>
    <w:p w14:paraId="7F833D75">
      <w:pPr>
        <w:pStyle w:val="68"/>
        <w:spacing w:line="240" w:lineRule="auto"/>
        <w:ind w:firstLine="440" w:firstLineChars="200"/>
        <w:rPr>
          <w:color w:val="auto"/>
          <w:sz w:val="22"/>
        </w:rPr>
      </w:pPr>
      <w:r>
        <w:rPr>
          <w:rFonts w:hAnsi="宋体"/>
          <w:color w:val="auto"/>
          <w:sz w:val="22"/>
        </w:rPr>
        <w:t>人民币（大写）</w:t>
      </w:r>
      <w:r>
        <w:rPr>
          <w:rFonts w:hint="eastAsia"/>
          <w:color w:val="auto"/>
          <w:sz w:val="22"/>
          <w:u w:val="single"/>
          <w:lang w:val="en-US" w:eastAsia="zh-CN"/>
        </w:rPr>
        <w:t xml:space="preserve">  / </w:t>
      </w:r>
      <w:r>
        <w:rPr>
          <w:color w:val="auto"/>
          <w:sz w:val="22"/>
          <w:u w:val="single"/>
        </w:rPr>
        <w:t xml:space="preserve"> </w:t>
      </w:r>
      <w:r>
        <w:rPr>
          <w:rFonts w:hint="eastAsia"/>
          <w:color w:val="auto"/>
          <w:sz w:val="22"/>
        </w:rPr>
        <w:t>（</w:t>
      </w:r>
      <w:r>
        <w:rPr>
          <w:color w:val="auto"/>
          <w:sz w:val="22"/>
        </w:rPr>
        <w:t>¥</w:t>
      </w:r>
      <w:r>
        <w:rPr>
          <w:rFonts w:hint="eastAsia"/>
          <w:color w:val="auto"/>
          <w:sz w:val="22"/>
          <w:u w:val="single"/>
          <w:lang w:val="en-US" w:eastAsia="zh-CN"/>
        </w:rPr>
        <w:t xml:space="preserve">  / </w:t>
      </w:r>
      <w:r>
        <w:rPr>
          <w:color w:val="auto"/>
          <w:sz w:val="22"/>
          <w:u w:val="single"/>
        </w:rPr>
        <w:t xml:space="preserve">  </w:t>
      </w:r>
      <w:r>
        <w:rPr>
          <w:rFonts w:hAnsi="宋体"/>
          <w:color w:val="auto"/>
          <w:sz w:val="22"/>
        </w:rPr>
        <w:t>元</w:t>
      </w:r>
      <w:r>
        <w:rPr>
          <w:rFonts w:hint="eastAsia"/>
          <w:color w:val="auto"/>
          <w:sz w:val="22"/>
        </w:rPr>
        <w:t>）</w:t>
      </w:r>
      <w:r>
        <w:rPr>
          <w:rFonts w:hAnsi="宋体"/>
          <w:color w:val="auto"/>
          <w:sz w:val="22"/>
        </w:rPr>
        <w:t>；</w:t>
      </w:r>
    </w:p>
    <w:p w14:paraId="490B928A">
      <w:pPr>
        <w:pStyle w:val="68"/>
        <w:spacing w:line="240" w:lineRule="auto"/>
        <w:ind w:firstLine="440" w:firstLineChars="200"/>
        <w:rPr>
          <w:color w:val="auto"/>
          <w:sz w:val="22"/>
        </w:rPr>
      </w:pPr>
      <w:r>
        <w:rPr>
          <w:rFonts w:hAnsi="宋体"/>
          <w:color w:val="auto"/>
          <w:sz w:val="22"/>
        </w:rPr>
        <w:t>（</w:t>
      </w:r>
      <w:r>
        <w:rPr>
          <w:color w:val="auto"/>
          <w:sz w:val="22"/>
        </w:rPr>
        <w:t>4</w:t>
      </w:r>
      <w:r>
        <w:rPr>
          <w:rFonts w:hAnsi="宋体"/>
          <w:color w:val="auto"/>
          <w:sz w:val="22"/>
        </w:rPr>
        <w:t>）专业工程暂估价金额：</w:t>
      </w:r>
    </w:p>
    <w:p w14:paraId="4C0C5069">
      <w:pPr>
        <w:pStyle w:val="68"/>
        <w:spacing w:line="240" w:lineRule="auto"/>
        <w:ind w:firstLine="442" w:firstLineChars="200"/>
        <w:rPr>
          <w:b/>
          <w:bCs/>
          <w:color w:val="auto"/>
          <w:sz w:val="22"/>
        </w:rPr>
      </w:pPr>
      <w:r>
        <w:rPr>
          <w:rFonts w:hAnsi="宋体"/>
          <w:b/>
          <w:bCs/>
          <w:color w:val="auto"/>
          <w:sz w:val="22"/>
        </w:rPr>
        <w:t>人民币（大写）；</w:t>
      </w:r>
    </w:p>
    <w:p w14:paraId="55B63772">
      <w:pPr>
        <w:pStyle w:val="68"/>
        <w:spacing w:line="240" w:lineRule="auto"/>
        <w:ind w:firstLine="440" w:firstLineChars="200"/>
        <w:rPr>
          <w:color w:val="auto"/>
          <w:sz w:val="22"/>
        </w:rPr>
      </w:pPr>
      <w:r>
        <w:rPr>
          <w:rFonts w:hAnsi="宋体"/>
          <w:color w:val="auto"/>
          <w:sz w:val="22"/>
        </w:rPr>
        <w:t>（</w:t>
      </w:r>
      <w:r>
        <w:rPr>
          <w:color w:val="auto"/>
          <w:sz w:val="22"/>
        </w:rPr>
        <w:t>5</w:t>
      </w:r>
      <w:r>
        <w:rPr>
          <w:rFonts w:hAnsi="宋体"/>
          <w:color w:val="auto"/>
          <w:sz w:val="22"/>
        </w:rPr>
        <w:t>）暂列金额：</w:t>
      </w:r>
    </w:p>
    <w:p w14:paraId="6C586DCB">
      <w:pPr>
        <w:pStyle w:val="68"/>
        <w:spacing w:line="240" w:lineRule="auto"/>
        <w:ind w:firstLine="440" w:firstLineChars="200"/>
        <w:rPr>
          <w:color w:val="auto"/>
          <w:sz w:val="22"/>
        </w:rPr>
      </w:pPr>
      <w:r>
        <w:rPr>
          <w:rFonts w:hAnsi="宋体"/>
          <w:color w:val="auto"/>
          <w:sz w:val="22"/>
        </w:rPr>
        <w:t>人民币（大写）</w:t>
      </w:r>
      <w:r>
        <w:rPr>
          <w:rFonts w:hint="eastAsia"/>
          <w:color w:val="auto"/>
          <w:sz w:val="22"/>
          <w:u w:val="single"/>
          <w:lang w:val="en-US" w:eastAsia="zh-CN"/>
        </w:rPr>
        <w:t xml:space="preserve">  / </w:t>
      </w:r>
      <w:r>
        <w:rPr>
          <w:color w:val="auto"/>
          <w:sz w:val="22"/>
          <w:u w:val="single"/>
        </w:rPr>
        <w:t xml:space="preserve"> </w:t>
      </w:r>
      <w:r>
        <w:rPr>
          <w:rFonts w:hint="eastAsia"/>
          <w:color w:val="auto"/>
          <w:sz w:val="22"/>
        </w:rPr>
        <w:t>（</w:t>
      </w:r>
      <w:r>
        <w:rPr>
          <w:color w:val="auto"/>
          <w:sz w:val="22"/>
        </w:rPr>
        <w:t>¥</w:t>
      </w:r>
      <w:r>
        <w:rPr>
          <w:rFonts w:hint="eastAsia"/>
          <w:color w:val="auto"/>
          <w:sz w:val="22"/>
          <w:u w:val="single"/>
          <w:lang w:val="en-US" w:eastAsia="zh-CN"/>
        </w:rPr>
        <w:t xml:space="preserve">  / </w:t>
      </w:r>
      <w:r>
        <w:rPr>
          <w:color w:val="auto"/>
          <w:sz w:val="22"/>
          <w:u w:val="single"/>
        </w:rPr>
        <w:t xml:space="preserve">  </w:t>
      </w:r>
      <w:r>
        <w:rPr>
          <w:rFonts w:hAnsi="宋体"/>
          <w:color w:val="auto"/>
          <w:sz w:val="22"/>
        </w:rPr>
        <w:t>元</w:t>
      </w:r>
      <w:r>
        <w:rPr>
          <w:rFonts w:hint="eastAsia"/>
          <w:color w:val="auto"/>
          <w:sz w:val="22"/>
        </w:rPr>
        <w:t>）</w:t>
      </w:r>
      <w:r>
        <w:rPr>
          <w:rFonts w:hAnsi="宋体"/>
          <w:color w:val="auto"/>
          <w:sz w:val="22"/>
        </w:rPr>
        <w:t>。</w:t>
      </w:r>
    </w:p>
    <w:p w14:paraId="264BBD2B">
      <w:pPr>
        <w:pStyle w:val="69"/>
        <w:spacing w:line="360" w:lineRule="auto"/>
        <w:ind w:firstLine="440" w:firstLineChars="200"/>
        <w:rPr>
          <w:color w:val="auto"/>
          <w:sz w:val="22"/>
        </w:rPr>
      </w:pPr>
      <w:r>
        <w:rPr>
          <w:rStyle w:val="24"/>
          <w:rFonts w:hint="eastAsia" w:ascii="Times New Roman" w:hAnsi="宋体" w:eastAsia="宋体" w:cs="宋体"/>
          <w:color w:val="auto"/>
          <w:sz w:val="22"/>
          <w:szCs w:val="22"/>
          <w:highlight w:val="none"/>
          <w:lang w:val="en-US" w:eastAsia="zh-CN"/>
        </w:rPr>
        <w:t>（6）计税方法：本工程采用</w:t>
      </w:r>
      <w:r>
        <w:rPr>
          <w:rStyle w:val="24"/>
          <w:rFonts w:hint="eastAsia" w:ascii="Times New Roman" w:hAnsi="宋体" w:cs="宋体"/>
          <w:color w:val="auto"/>
          <w:sz w:val="22"/>
          <w:szCs w:val="22"/>
          <w:highlight w:val="none"/>
          <w:u w:val="single"/>
          <w:lang w:val="en-US" w:eastAsia="zh-CN"/>
        </w:rPr>
        <w:t>一般计税</w:t>
      </w:r>
      <w:r>
        <w:rPr>
          <w:rStyle w:val="24"/>
          <w:rFonts w:hint="eastAsia" w:ascii="Times New Roman" w:hAnsi="宋体" w:eastAsia="宋体" w:cs="宋体"/>
          <w:color w:val="auto"/>
          <w:sz w:val="22"/>
          <w:szCs w:val="22"/>
          <w:highlight w:val="none"/>
          <w:u w:val="single"/>
          <w:lang w:val="en-US" w:eastAsia="zh-CN"/>
        </w:rPr>
        <w:t>法依法纳税</w:t>
      </w:r>
      <w:r>
        <w:rPr>
          <w:rStyle w:val="24"/>
          <w:rFonts w:hint="eastAsia" w:ascii="Times New Roman" w:hAnsi="宋体" w:eastAsia="宋体" w:cs="宋体"/>
          <w:color w:val="auto"/>
          <w:sz w:val="22"/>
          <w:szCs w:val="22"/>
          <w:highlight w:val="none"/>
          <w:lang w:val="en-US" w:eastAsia="zh-CN"/>
        </w:rPr>
        <w:t>。</w:t>
      </w:r>
      <w:r>
        <w:rPr>
          <w:rStyle w:val="24"/>
          <w:rFonts w:hint="eastAsia" w:ascii="Times New Roman" w:hAnsi="宋体" w:eastAsia="宋体" w:cs="宋体"/>
          <w:color w:val="auto"/>
          <w:sz w:val="22"/>
          <w:szCs w:val="22"/>
          <w:highlight w:val="none"/>
        </w:rPr>
        <w:t>增值税率</w:t>
      </w:r>
      <w:r>
        <w:rPr>
          <w:rStyle w:val="24"/>
          <w:rFonts w:hint="eastAsia" w:ascii="Times New Roman" w:hAnsi="宋体" w:cs="宋体"/>
          <w:color w:val="auto"/>
          <w:sz w:val="22"/>
          <w:szCs w:val="22"/>
          <w:highlight w:val="none"/>
          <w:lang w:eastAsia="zh-CN"/>
        </w:rPr>
        <w:t>：</w:t>
      </w:r>
      <w:r>
        <w:rPr>
          <w:rStyle w:val="24"/>
          <w:rFonts w:hint="eastAsia" w:ascii="Times New Roman" w:hAnsi="宋体" w:cs="宋体"/>
          <w:color w:val="auto"/>
          <w:sz w:val="22"/>
          <w:szCs w:val="22"/>
          <w:highlight w:val="none"/>
          <w:lang w:val="en-US" w:eastAsia="zh-CN"/>
        </w:rPr>
        <w:t xml:space="preserve"> </w:t>
      </w:r>
      <w:r>
        <w:rPr>
          <w:rStyle w:val="24"/>
          <w:rFonts w:hint="eastAsia" w:ascii="Times New Roman" w:hAnsi="宋体" w:eastAsia="宋体" w:cs="宋体"/>
          <w:color w:val="auto"/>
          <w:sz w:val="22"/>
          <w:szCs w:val="22"/>
          <w:highlight w:val="none"/>
          <w:u w:val="single"/>
          <w:lang w:val="en-US" w:eastAsia="zh-CN"/>
        </w:rPr>
        <w:t>%</w:t>
      </w:r>
      <w:r>
        <w:rPr>
          <w:rStyle w:val="24"/>
          <w:rFonts w:hint="eastAsia" w:ascii="Times New Roman" w:hAnsi="宋体" w:eastAsia="宋体" w:cs="宋体"/>
          <w:color w:val="auto"/>
          <w:sz w:val="22"/>
          <w:szCs w:val="22"/>
          <w:highlight w:val="none"/>
          <w:lang w:val="en-US" w:eastAsia="zh-CN"/>
        </w:rPr>
        <w:t xml:space="preserve"> 。</w:t>
      </w:r>
    </w:p>
    <w:p w14:paraId="653AC74C">
      <w:pPr>
        <w:pStyle w:val="68"/>
        <w:spacing w:line="240" w:lineRule="auto"/>
        <w:ind w:firstLine="440" w:firstLineChars="200"/>
        <w:rPr>
          <w:rFonts w:hAnsi="宋体"/>
          <w:color w:val="auto"/>
          <w:sz w:val="22"/>
        </w:rPr>
      </w:pPr>
      <w:r>
        <w:rPr>
          <w:color w:val="auto"/>
          <w:sz w:val="22"/>
        </w:rPr>
        <w:t>2.</w:t>
      </w:r>
      <w:r>
        <w:rPr>
          <w:rFonts w:hint="eastAsia"/>
          <w:color w:val="auto"/>
          <w:sz w:val="22"/>
        </w:rPr>
        <w:t xml:space="preserve"> </w:t>
      </w:r>
      <w:r>
        <w:rPr>
          <w:rFonts w:hAnsi="宋体"/>
          <w:color w:val="auto"/>
          <w:sz w:val="22"/>
        </w:rPr>
        <w:t>合同价格形式：</w:t>
      </w:r>
      <w:r>
        <w:rPr>
          <w:rFonts w:hint="eastAsia" w:hAnsi="宋体"/>
          <w:color w:val="auto"/>
          <w:sz w:val="22"/>
          <w:u w:val="single"/>
          <w:lang w:eastAsia="zh-CN"/>
        </w:rPr>
        <w:t>单价合同</w:t>
      </w:r>
      <w:r>
        <w:rPr>
          <w:rFonts w:hAnsi="宋体"/>
          <w:color w:val="auto"/>
          <w:sz w:val="22"/>
        </w:rPr>
        <w:t>。</w:t>
      </w:r>
    </w:p>
    <w:p w14:paraId="31746233">
      <w:pPr>
        <w:pStyle w:val="68"/>
        <w:spacing w:line="240" w:lineRule="auto"/>
        <w:ind w:firstLine="442" w:firstLineChars="200"/>
        <w:rPr>
          <w:b/>
          <w:bCs/>
          <w:color w:val="auto"/>
          <w:sz w:val="22"/>
        </w:rPr>
      </w:pPr>
      <w:bookmarkStart w:id="91" w:name="_Toc351203485"/>
      <w:r>
        <w:rPr>
          <w:rFonts w:hAnsi="宋体"/>
          <w:b/>
          <w:bCs/>
          <w:color w:val="auto"/>
          <w:sz w:val="22"/>
        </w:rPr>
        <w:t>五、</w:t>
      </w:r>
      <w:bookmarkEnd w:id="91"/>
      <w:r>
        <w:rPr>
          <w:rFonts w:hAnsi="宋体"/>
          <w:b/>
          <w:bCs/>
          <w:color w:val="auto"/>
          <w:sz w:val="22"/>
        </w:rPr>
        <w:t>项目经理</w:t>
      </w:r>
    </w:p>
    <w:p w14:paraId="4441EAC2">
      <w:pPr>
        <w:pStyle w:val="68"/>
        <w:spacing w:line="240" w:lineRule="auto"/>
        <w:ind w:firstLine="440" w:firstLineChars="200"/>
        <w:rPr>
          <w:rFonts w:hAnsi="宋体"/>
          <w:color w:val="auto"/>
          <w:sz w:val="22"/>
        </w:rPr>
      </w:pPr>
      <w:r>
        <w:rPr>
          <w:rFonts w:hAnsi="宋体"/>
          <w:color w:val="auto"/>
          <w:sz w:val="22"/>
        </w:rPr>
        <w:t>承包人项目经理：</w:t>
      </w:r>
      <w:r>
        <w:rPr>
          <w:rFonts w:hint="eastAsia" w:hAnsi="宋体"/>
          <w:color w:val="auto"/>
          <w:sz w:val="22"/>
          <w:u w:val="single"/>
          <w:lang w:val="en-US" w:eastAsia="zh-CN"/>
        </w:rPr>
        <w:t xml:space="preserve">       </w:t>
      </w:r>
      <w:r>
        <w:rPr>
          <w:rFonts w:hAnsi="宋体"/>
          <w:color w:val="auto"/>
          <w:sz w:val="22"/>
        </w:rPr>
        <w:t>。</w:t>
      </w:r>
    </w:p>
    <w:p w14:paraId="2F789955">
      <w:pPr>
        <w:pStyle w:val="68"/>
        <w:spacing w:line="240" w:lineRule="auto"/>
        <w:ind w:firstLine="442" w:firstLineChars="200"/>
        <w:rPr>
          <w:b/>
          <w:bCs/>
          <w:color w:val="auto"/>
          <w:sz w:val="22"/>
        </w:rPr>
      </w:pPr>
      <w:bookmarkStart w:id="92" w:name="_Toc351203486"/>
      <w:r>
        <w:rPr>
          <w:rFonts w:hAnsi="宋体"/>
          <w:b/>
          <w:bCs/>
          <w:color w:val="auto"/>
          <w:sz w:val="22"/>
        </w:rPr>
        <w:t>六、合同文件构成</w:t>
      </w:r>
      <w:bookmarkEnd w:id="92"/>
    </w:p>
    <w:p w14:paraId="7728E580">
      <w:pPr>
        <w:pStyle w:val="68"/>
        <w:spacing w:line="240" w:lineRule="auto"/>
        <w:ind w:firstLine="440" w:firstLineChars="200"/>
        <w:rPr>
          <w:bCs/>
          <w:color w:val="auto"/>
          <w:sz w:val="22"/>
        </w:rPr>
      </w:pPr>
      <w:r>
        <w:rPr>
          <w:rFonts w:hint="eastAsia" w:hAnsi="宋体"/>
          <w:bCs/>
          <w:color w:val="auto"/>
          <w:sz w:val="22"/>
          <w:lang w:eastAsia="zh-CN"/>
        </w:rPr>
        <w:t>本合同</w:t>
      </w:r>
      <w:r>
        <w:rPr>
          <w:rFonts w:hAnsi="宋体"/>
          <w:bCs/>
          <w:color w:val="auto"/>
          <w:sz w:val="22"/>
        </w:rPr>
        <w:t>书与下列文件一起构成合同文件：</w:t>
      </w:r>
    </w:p>
    <w:p w14:paraId="4E178919">
      <w:pPr>
        <w:pStyle w:val="68"/>
        <w:autoSpaceDE w:val="0"/>
        <w:autoSpaceDN w:val="0"/>
        <w:adjustRightInd w:val="0"/>
        <w:spacing w:line="240" w:lineRule="auto"/>
        <w:ind w:firstLine="440" w:firstLineChars="200"/>
        <w:jc w:val="left"/>
        <w:rPr>
          <w:color w:val="auto"/>
          <w:sz w:val="22"/>
        </w:rPr>
      </w:pPr>
      <w:r>
        <w:rPr>
          <w:rFonts w:hAnsi="宋体"/>
          <w:color w:val="auto"/>
          <w:sz w:val="22"/>
        </w:rPr>
        <w:t>（</w:t>
      </w:r>
      <w:r>
        <w:rPr>
          <w:color w:val="auto"/>
          <w:sz w:val="22"/>
        </w:rPr>
        <w:t>1</w:t>
      </w:r>
      <w:r>
        <w:rPr>
          <w:rFonts w:hAnsi="宋体"/>
          <w:color w:val="auto"/>
          <w:sz w:val="22"/>
        </w:rPr>
        <w:t>）</w:t>
      </w:r>
      <w:r>
        <w:rPr>
          <w:rFonts w:hint="eastAsia" w:hAnsi="宋体"/>
          <w:color w:val="auto"/>
          <w:sz w:val="22"/>
        </w:rPr>
        <w:t>成交</w:t>
      </w:r>
      <w:r>
        <w:rPr>
          <w:rFonts w:hint="eastAsia" w:hAnsi="宋体"/>
          <w:color w:val="auto"/>
          <w:sz w:val="22"/>
          <w:lang w:eastAsia="zh-CN"/>
        </w:rPr>
        <w:t>通知</w:t>
      </w:r>
      <w:r>
        <w:rPr>
          <w:rFonts w:hAnsi="宋体"/>
          <w:color w:val="auto"/>
          <w:sz w:val="22"/>
        </w:rPr>
        <w:t>书；</w:t>
      </w:r>
    </w:p>
    <w:p w14:paraId="4C2EE771">
      <w:pPr>
        <w:pStyle w:val="68"/>
        <w:autoSpaceDE w:val="0"/>
        <w:autoSpaceDN w:val="0"/>
        <w:adjustRightInd w:val="0"/>
        <w:spacing w:line="240" w:lineRule="auto"/>
        <w:ind w:firstLine="440" w:firstLineChars="200"/>
        <w:jc w:val="left"/>
        <w:rPr>
          <w:color w:val="auto"/>
          <w:sz w:val="22"/>
        </w:rPr>
      </w:pPr>
      <w:r>
        <w:rPr>
          <w:rFonts w:hAnsi="宋体"/>
          <w:color w:val="auto"/>
          <w:sz w:val="22"/>
        </w:rPr>
        <w:t>（</w:t>
      </w:r>
      <w:r>
        <w:rPr>
          <w:color w:val="auto"/>
          <w:sz w:val="22"/>
        </w:rPr>
        <w:t>2</w:t>
      </w:r>
      <w:r>
        <w:rPr>
          <w:rFonts w:hAnsi="宋体"/>
          <w:color w:val="auto"/>
          <w:sz w:val="22"/>
        </w:rPr>
        <w:t>）</w:t>
      </w:r>
      <w:r>
        <w:rPr>
          <w:rFonts w:hint="eastAsia" w:hAnsi="宋体"/>
          <w:color w:val="auto"/>
          <w:sz w:val="22"/>
        </w:rPr>
        <w:t>磋商</w:t>
      </w:r>
      <w:r>
        <w:rPr>
          <w:rFonts w:hAnsi="宋体"/>
          <w:color w:val="auto"/>
          <w:sz w:val="22"/>
        </w:rPr>
        <w:t>函及其附录；</w:t>
      </w:r>
      <w:r>
        <w:rPr>
          <w:color w:val="auto"/>
          <w:sz w:val="22"/>
        </w:rPr>
        <w:t xml:space="preserve"> </w:t>
      </w:r>
    </w:p>
    <w:p w14:paraId="2D82BFE2">
      <w:pPr>
        <w:pStyle w:val="68"/>
        <w:autoSpaceDE w:val="0"/>
        <w:autoSpaceDN w:val="0"/>
        <w:adjustRightInd w:val="0"/>
        <w:spacing w:line="240" w:lineRule="auto"/>
        <w:ind w:firstLine="440" w:firstLineChars="200"/>
        <w:jc w:val="left"/>
        <w:rPr>
          <w:color w:val="auto"/>
          <w:sz w:val="22"/>
        </w:rPr>
      </w:pPr>
      <w:r>
        <w:rPr>
          <w:rFonts w:hAnsi="宋体"/>
          <w:color w:val="auto"/>
          <w:sz w:val="22"/>
        </w:rPr>
        <w:t>（</w:t>
      </w:r>
      <w:r>
        <w:rPr>
          <w:color w:val="auto"/>
          <w:sz w:val="22"/>
        </w:rPr>
        <w:t>3</w:t>
      </w:r>
      <w:r>
        <w:rPr>
          <w:rFonts w:hAnsi="宋体"/>
          <w:color w:val="auto"/>
          <w:sz w:val="22"/>
        </w:rPr>
        <w:t>）专用合同条款及其附件；</w:t>
      </w:r>
    </w:p>
    <w:p w14:paraId="21591E2F">
      <w:pPr>
        <w:pStyle w:val="68"/>
        <w:autoSpaceDE w:val="0"/>
        <w:autoSpaceDN w:val="0"/>
        <w:adjustRightInd w:val="0"/>
        <w:spacing w:line="240" w:lineRule="auto"/>
        <w:ind w:firstLine="440" w:firstLineChars="200"/>
        <w:jc w:val="left"/>
        <w:rPr>
          <w:color w:val="auto"/>
          <w:sz w:val="22"/>
        </w:rPr>
      </w:pPr>
      <w:r>
        <w:rPr>
          <w:rFonts w:hAnsi="宋体"/>
          <w:color w:val="auto"/>
          <w:sz w:val="22"/>
        </w:rPr>
        <w:t>（</w:t>
      </w:r>
      <w:r>
        <w:rPr>
          <w:color w:val="auto"/>
          <w:sz w:val="22"/>
        </w:rPr>
        <w:t>4</w:t>
      </w:r>
      <w:r>
        <w:rPr>
          <w:rFonts w:hAnsi="宋体"/>
          <w:color w:val="auto"/>
          <w:sz w:val="22"/>
        </w:rPr>
        <w:t>）通用合同条款；</w:t>
      </w:r>
    </w:p>
    <w:p w14:paraId="16DA7632">
      <w:pPr>
        <w:pStyle w:val="68"/>
        <w:autoSpaceDE w:val="0"/>
        <w:autoSpaceDN w:val="0"/>
        <w:adjustRightInd w:val="0"/>
        <w:spacing w:line="240" w:lineRule="auto"/>
        <w:ind w:firstLine="440" w:firstLineChars="200"/>
        <w:jc w:val="left"/>
        <w:rPr>
          <w:color w:val="auto"/>
          <w:sz w:val="22"/>
        </w:rPr>
      </w:pPr>
      <w:r>
        <w:rPr>
          <w:rFonts w:hAnsi="宋体"/>
          <w:color w:val="auto"/>
          <w:sz w:val="22"/>
        </w:rPr>
        <w:t>（</w:t>
      </w:r>
      <w:r>
        <w:rPr>
          <w:color w:val="auto"/>
          <w:sz w:val="22"/>
        </w:rPr>
        <w:t>5</w:t>
      </w:r>
      <w:r>
        <w:rPr>
          <w:rFonts w:hAnsi="宋体"/>
          <w:color w:val="auto"/>
          <w:sz w:val="22"/>
        </w:rPr>
        <w:t>）技术标准和要求；</w:t>
      </w:r>
    </w:p>
    <w:p w14:paraId="76E5DF85">
      <w:pPr>
        <w:pStyle w:val="68"/>
        <w:autoSpaceDE w:val="0"/>
        <w:autoSpaceDN w:val="0"/>
        <w:adjustRightInd w:val="0"/>
        <w:spacing w:line="240" w:lineRule="auto"/>
        <w:ind w:firstLine="440" w:firstLineChars="200"/>
        <w:jc w:val="left"/>
        <w:rPr>
          <w:color w:val="auto"/>
          <w:sz w:val="22"/>
        </w:rPr>
      </w:pPr>
      <w:r>
        <w:rPr>
          <w:rFonts w:hAnsi="宋体"/>
          <w:color w:val="auto"/>
          <w:sz w:val="22"/>
        </w:rPr>
        <w:t>（</w:t>
      </w:r>
      <w:r>
        <w:rPr>
          <w:color w:val="auto"/>
          <w:sz w:val="22"/>
        </w:rPr>
        <w:t>6</w:t>
      </w:r>
      <w:r>
        <w:rPr>
          <w:rFonts w:hAnsi="宋体"/>
          <w:color w:val="auto"/>
          <w:sz w:val="22"/>
        </w:rPr>
        <w:t>）已标价工程量清单或预算书；</w:t>
      </w:r>
      <w:r>
        <w:rPr>
          <w:color w:val="auto"/>
          <w:sz w:val="22"/>
        </w:rPr>
        <w:t xml:space="preserve"> </w:t>
      </w:r>
    </w:p>
    <w:p w14:paraId="2CE362E5">
      <w:pPr>
        <w:pStyle w:val="68"/>
        <w:autoSpaceDE w:val="0"/>
        <w:autoSpaceDN w:val="0"/>
        <w:adjustRightInd w:val="0"/>
        <w:spacing w:line="240" w:lineRule="auto"/>
        <w:ind w:firstLine="440" w:firstLineChars="200"/>
        <w:jc w:val="left"/>
        <w:rPr>
          <w:color w:val="auto"/>
          <w:sz w:val="22"/>
        </w:rPr>
      </w:pPr>
      <w:r>
        <w:rPr>
          <w:rFonts w:hAnsi="宋体"/>
          <w:color w:val="auto"/>
          <w:sz w:val="22"/>
        </w:rPr>
        <w:t>（</w:t>
      </w:r>
      <w:r>
        <w:rPr>
          <w:color w:val="auto"/>
          <w:sz w:val="22"/>
        </w:rPr>
        <w:t>7</w:t>
      </w:r>
      <w:r>
        <w:rPr>
          <w:rFonts w:hAnsi="宋体"/>
          <w:color w:val="auto"/>
          <w:sz w:val="22"/>
        </w:rPr>
        <w:t>）图纸；</w:t>
      </w:r>
    </w:p>
    <w:p w14:paraId="732A18BA">
      <w:pPr>
        <w:pStyle w:val="68"/>
        <w:autoSpaceDE w:val="0"/>
        <w:autoSpaceDN w:val="0"/>
        <w:adjustRightInd w:val="0"/>
        <w:spacing w:line="240" w:lineRule="auto"/>
        <w:ind w:firstLine="440" w:firstLineChars="200"/>
        <w:jc w:val="left"/>
        <w:rPr>
          <w:color w:val="auto"/>
          <w:sz w:val="22"/>
        </w:rPr>
      </w:pPr>
      <w:r>
        <w:rPr>
          <w:rFonts w:hAnsi="宋体"/>
          <w:color w:val="auto"/>
          <w:sz w:val="22"/>
        </w:rPr>
        <w:t>（</w:t>
      </w:r>
      <w:r>
        <w:rPr>
          <w:color w:val="auto"/>
          <w:sz w:val="22"/>
        </w:rPr>
        <w:t>8</w:t>
      </w:r>
      <w:r>
        <w:rPr>
          <w:rFonts w:hAnsi="宋体"/>
          <w:color w:val="auto"/>
          <w:sz w:val="22"/>
        </w:rPr>
        <w:t>）其他合同文件。</w:t>
      </w:r>
    </w:p>
    <w:p w14:paraId="3D562F4E">
      <w:pPr>
        <w:pStyle w:val="68"/>
        <w:autoSpaceDE w:val="0"/>
        <w:autoSpaceDN w:val="0"/>
        <w:adjustRightInd w:val="0"/>
        <w:spacing w:line="240" w:lineRule="auto"/>
        <w:ind w:firstLine="440" w:firstLineChars="200"/>
        <w:jc w:val="left"/>
        <w:rPr>
          <w:color w:val="auto"/>
          <w:sz w:val="22"/>
        </w:rPr>
      </w:pPr>
      <w:r>
        <w:rPr>
          <w:rFonts w:hAnsi="宋体"/>
          <w:color w:val="auto"/>
          <w:sz w:val="22"/>
        </w:rPr>
        <w:t>在合同订立及履行过程中形成的与合同有关的文件均构成合同文件组成部分。</w:t>
      </w:r>
    </w:p>
    <w:p w14:paraId="7185E28B">
      <w:pPr>
        <w:pStyle w:val="68"/>
        <w:autoSpaceDE w:val="0"/>
        <w:autoSpaceDN w:val="0"/>
        <w:adjustRightInd w:val="0"/>
        <w:spacing w:line="240" w:lineRule="auto"/>
        <w:ind w:firstLine="440" w:firstLineChars="200"/>
        <w:jc w:val="left"/>
        <w:rPr>
          <w:rFonts w:hAnsi="宋体"/>
          <w:color w:val="auto"/>
          <w:sz w:val="22"/>
        </w:rPr>
      </w:pPr>
      <w:r>
        <w:rPr>
          <w:rFonts w:hAnsi="宋体"/>
          <w:color w:val="auto"/>
          <w:sz w:val="22"/>
        </w:rPr>
        <w:t>上述各项合同文件包括合同当事人就该项合同文件所作出的补充和修改，属于同一类内容的文件，应以最新签署的为准。专用合同条款及其附件须经合同当事人签字或盖章。</w:t>
      </w:r>
    </w:p>
    <w:p w14:paraId="2799BF8C">
      <w:pPr>
        <w:pStyle w:val="68"/>
        <w:autoSpaceDE w:val="0"/>
        <w:autoSpaceDN w:val="0"/>
        <w:adjustRightInd w:val="0"/>
        <w:spacing w:line="240" w:lineRule="auto"/>
        <w:ind w:firstLine="442" w:firstLineChars="200"/>
        <w:jc w:val="left"/>
        <w:rPr>
          <w:b/>
          <w:bCs/>
          <w:color w:val="auto"/>
          <w:sz w:val="22"/>
        </w:rPr>
      </w:pPr>
      <w:bookmarkStart w:id="93" w:name="_Toc351203487"/>
      <w:r>
        <w:rPr>
          <w:rFonts w:hAnsi="宋体"/>
          <w:b/>
          <w:bCs/>
          <w:color w:val="auto"/>
          <w:sz w:val="22"/>
        </w:rPr>
        <w:t>七、承诺</w:t>
      </w:r>
      <w:bookmarkEnd w:id="93"/>
    </w:p>
    <w:p w14:paraId="0C8B8937">
      <w:pPr>
        <w:pStyle w:val="68"/>
        <w:spacing w:line="240" w:lineRule="auto"/>
        <w:ind w:firstLine="440" w:firstLineChars="200"/>
        <w:rPr>
          <w:bCs/>
          <w:color w:val="auto"/>
          <w:sz w:val="22"/>
        </w:rPr>
      </w:pPr>
      <w:r>
        <w:rPr>
          <w:bCs/>
          <w:color w:val="auto"/>
          <w:sz w:val="22"/>
        </w:rPr>
        <w:t>1.</w:t>
      </w:r>
      <w:r>
        <w:rPr>
          <w:rFonts w:hint="eastAsia"/>
          <w:bCs/>
          <w:color w:val="auto"/>
          <w:sz w:val="22"/>
        </w:rPr>
        <w:t xml:space="preserve"> </w:t>
      </w:r>
      <w:r>
        <w:rPr>
          <w:rFonts w:hAnsi="宋体"/>
          <w:bCs/>
          <w:color w:val="auto"/>
          <w:sz w:val="22"/>
        </w:rPr>
        <w:t>发包人承诺按照法律规定履行项目审批手续、筹集工程建设资金并按照合同约定的期限和方式支付合同价款。</w:t>
      </w:r>
    </w:p>
    <w:p w14:paraId="1CEB7C00">
      <w:pPr>
        <w:pStyle w:val="68"/>
        <w:spacing w:line="240" w:lineRule="auto"/>
        <w:ind w:firstLine="440" w:firstLineChars="200"/>
        <w:rPr>
          <w:bCs/>
          <w:color w:val="auto"/>
          <w:sz w:val="22"/>
        </w:rPr>
      </w:pPr>
      <w:r>
        <w:rPr>
          <w:bCs/>
          <w:color w:val="auto"/>
          <w:sz w:val="22"/>
        </w:rPr>
        <w:t>2.</w:t>
      </w:r>
      <w:r>
        <w:rPr>
          <w:rFonts w:hint="eastAsia"/>
          <w:bCs/>
          <w:color w:val="auto"/>
          <w:sz w:val="22"/>
        </w:rPr>
        <w:t xml:space="preserve"> </w:t>
      </w:r>
      <w:r>
        <w:rPr>
          <w:rFonts w:hAnsi="宋体"/>
          <w:bCs/>
          <w:color w:val="auto"/>
          <w:sz w:val="22"/>
        </w:rPr>
        <w:t>承包人承诺按照法律规定及合同约定组织完成工程施工，确保工程质量和安全，不进行转包及违法分包，并在缺陷责任期及保修期内承担相应的工程维修责任。</w:t>
      </w:r>
    </w:p>
    <w:p w14:paraId="78AE6196">
      <w:pPr>
        <w:pStyle w:val="68"/>
        <w:spacing w:line="240" w:lineRule="auto"/>
        <w:ind w:firstLine="440" w:firstLineChars="200"/>
        <w:rPr>
          <w:rFonts w:hAnsi="宋体"/>
          <w:bCs/>
          <w:color w:val="auto"/>
          <w:sz w:val="22"/>
        </w:rPr>
      </w:pPr>
      <w:r>
        <w:rPr>
          <w:bCs/>
          <w:color w:val="auto"/>
          <w:sz w:val="22"/>
        </w:rPr>
        <w:t>3.</w:t>
      </w:r>
      <w:r>
        <w:rPr>
          <w:rFonts w:hint="eastAsia"/>
          <w:bCs/>
          <w:color w:val="auto"/>
          <w:sz w:val="22"/>
        </w:rPr>
        <w:t xml:space="preserve"> </w:t>
      </w:r>
      <w:r>
        <w:rPr>
          <w:rFonts w:hAnsi="宋体"/>
          <w:bCs/>
          <w:color w:val="auto"/>
          <w:sz w:val="22"/>
        </w:rPr>
        <w:t>发包人和承包人通过招投标形式签订合同的，双方理解并承诺不再就同一工程另行签订与合同实质性内容相背离的协议。</w:t>
      </w:r>
      <w:bookmarkStart w:id="94" w:name="_Toc351203488"/>
    </w:p>
    <w:p w14:paraId="3FC83AE0">
      <w:pPr>
        <w:pStyle w:val="68"/>
        <w:spacing w:line="240" w:lineRule="auto"/>
        <w:ind w:firstLine="442" w:firstLineChars="200"/>
        <w:rPr>
          <w:b/>
          <w:bCs/>
          <w:color w:val="auto"/>
          <w:sz w:val="22"/>
        </w:rPr>
      </w:pPr>
      <w:r>
        <w:rPr>
          <w:rFonts w:hAnsi="宋体"/>
          <w:b/>
          <w:bCs/>
          <w:color w:val="auto"/>
          <w:sz w:val="22"/>
        </w:rPr>
        <w:t>八、词语含义</w:t>
      </w:r>
      <w:bookmarkEnd w:id="94"/>
    </w:p>
    <w:p w14:paraId="0CA56DB9">
      <w:pPr>
        <w:pStyle w:val="68"/>
        <w:spacing w:line="240" w:lineRule="auto"/>
        <w:ind w:firstLine="440" w:firstLineChars="200"/>
        <w:rPr>
          <w:rFonts w:hAnsi="宋体"/>
          <w:bCs/>
          <w:color w:val="auto"/>
          <w:sz w:val="22"/>
        </w:rPr>
      </w:pPr>
      <w:r>
        <w:rPr>
          <w:rFonts w:hint="eastAsia" w:hAnsi="宋体"/>
          <w:bCs/>
          <w:color w:val="auto"/>
          <w:sz w:val="22"/>
          <w:lang w:eastAsia="zh-CN"/>
        </w:rPr>
        <w:t>本合同</w:t>
      </w:r>
      <w:r>
        <w:rPr>
          <w:rFonts w:hAnsi="宋体"/>
          <w:bCs/>
          <w:color w:val="auto"/>
          <w:sz w:val="22"/>
        </w:rPr>
        <w:t>书中词语含义与第二部分通用合同条款中赋予的含义相同。</w:t>
      </w:r>
    </w:p>
    <w:p w14:paraId="7FC23327">
      <w:pPr>
        <w:pStyle w:val="68"/>
        <w:spacing w:line="240" w:lineRule="auto"/>
        <w:ind w:firstLine="442" w:firstLineChars="200"/>
        <w:rPr>
          <w:b/>
          <w:bCs/>
          <w:color w:val="auto"/>
          <w:sz w:val="22"/>
        </w:rPr>
      </w:pPr>
      <w:bookmarkStart w:id="95" w:name="_Toc351203489"/>
      <w:r>
        <w:rPr>
          <w:rFonts w:hAnsi="宋体"/>
          <w:b/>
          <w:bCs/>
          <w:color w:val="auto"/>
          <w:sz w:val="22"/>
        </w:rPr>
        <w:t>九、签订时间</w:t>
      </w:r>
      <w:bookmarkEnd w:id="95"/>
    </w:p>
    <w:p w14:paraId="0F180F25">
      <w:pPr>
        <w:pStyle w:val="68"/>
        <w:spacing w:line="240" w:lineRule="auto"/>
        <w:ind w:firstLine="440" w:firstLineChars="200"/>
        <w:rPr>
          <w:rFonts w:hAnsi="宋体"/>
          <w:bCs/>
          <w:color w:val="auto"/>
          <w:sz w:val="22"/>
        </w:rPr>
      </w:pPr>
      <w:r>
        <w:rPr>
          <w:rFonts w:hAnsi="宋体"/>
          <w:bCs/>
          <w:color w:val="auto"/>
          <w:sz w:val="22"/>
        </w:rPr>
        <w:t>本合同于</w:t>
      </w:r>
      <w:r>
        <w:rPr>
          <w:rFonts w:hint="eastAsia"/>
          <w:bCs/>
          <w:color w:val="auto"/>
          <w:sz w:val="22"/>
          <w:u w:val="single"/>
          <w:lang w:val="en-US" w:eastAsia="zh-CN"/>
        </w:rPr>
        <w:t xml:space="preserve">      </w:t>
      </w:r>
      <w:r>
        <w:rPr>
          <w:rFonts w:hAnsi="宋体"/>
          <w:bCs/>
          <w:color w:val="auto"/>
          <w:sz w:val="22"/>
        </w:rPr>
        <w:t>年</w:t>
      </w:r>
      <w:r>
        <w:rPr>
          <w:bCs/>
          <w:color w:val="auto"/>
          <w:sz w:val="22"/>
          <w:u w:val="single"/>
        </w:rPr>
        <w:t xml:space="preserve"> </w:t>
      </w:r>
      <w:r>
        <w:rPr>
          <w:rFonts w:hint="eastAsia"/>
          <w:bCs/>
          <w:color w:val="auto"/>
          <w:sz w:val="22"/>
          <w:u w:val="single"/>
          <w:lang w:val="en-US" w:eastAsia="zh-CN"/>
        </w:rPr>
        <w:t xml:space="preserve">    </w:t>
      </w:r>
      <w:r>
        <w:rPr>
          <w:bCs/>
          <w:color w:val="auto"/>
          <w:sz w:val="22"/>
          <w:u w:val="single"/>
        </w:rPr>
        <w:t xml:space="preserve"> </w:t>
      </w:r>
      <w:r>
        <w:rPr>
          <w:rFonts w:hAnsi="宋体"/>
          <w:bCs/>
          <w:color w:val="auto"/>
          <w:sz w:val="22"/>
        </w:rPr>
        <w:t>月</w:t>
      </w:r>
      <w:r>
        <w:rPr>
          <w:rFonts w:hint="eastAsia"/>
          <w:bCs/>
          <w:color w:val="auto"/>
          <w:sz w:val="22"/>
          <w:u w:val="single"/>
          <w:lang w:val="en-US" w:eastAsia="zh-CN"/>
        </w:rPr>
        <w:t xml:space="preserve">      </w:t>
      </w:r>
      <w:r>
        <w:rPr>
          <w:rFonts w:hAnsi="宋体"/>
          <w:bCs/>
          <w:color w:val="auto"/>
          <w:sz w:val="22"/>
        </w:rPr>
        <w:t>日签订。</w:t>
      </w:r>
    </w:p>
    <w:p w14:paraId="3F06EAFB">
      <w:pPr>
        <w:pStyle w:val="68"/>
        <w:spacing w:line="240" w:lineRule="auto"/>
        <w:ind w:firstLine="442" w:firstLineChars="200"/>
        <w:rPr>
          <w:b/>
          <w:bCs/>
          <w:color w:val="auto"/>
          <w:sz w:val="22"/>
        </w:rPr>
      </w:pPr>
      <w:bookmarkStart w:id="96" w:name="_Toc351203490"/>
      <w:r>
        <w:rPr>
          <w:rFonts w:hAnsi="宋体"/>
          <w:b/>
          <w:bCs/>
          <w:color w:val="auto"/>
          <w:sz w:val="22"/>
        </w:rPr>
        <w:t>十、签订地点</w:t>
      </w:r>
      <w:bookmarkEnd w:id="96"/>
    </w:p>
    <w:p w14:paraId="7B13D66C">
      <w:pPr>
        <w:pStyle w:val="68"/>
        <w:spacing w:line="240" w:lineRule="auto"/>
        <w:ind w:firstLine="440" w:firstLineChars="200"/>
        <w:rPr>
          <w:rFonts w:hAnsi="宋体"/>
          <w:bCs/>
          <w:color w:val="auto"/>
          <w:sz w:val="22"/>
          <w:u w:val="none"/>
        </w:rPr>
      </w:pPr>
      <w:r>
        <w:rPr>
          <w:rFonts w:hAnsi="宋体"/>
          <w:bCs/>
          <w:color w:val="auto"/>
          <w:sz w:val="22"/>
          <w:u w:val="none"/>
        </w:rPr>
        <w:t>本合同在</w:t>
      </w:r>
      <w:r>
        <w:rPr>
          <w:rFonts w:hint="eastAsia" w:ascii="Times New Roman" w:hAnsi="Times New Roman" w:eastAsia="宋体" w:cs="Times New Roman"/>
          <w:bCs/>
          <w:color w:val="auto"/>
          <w:sz w:val="22"/>
          <w:u w:val="single"/>
          <w:lang w:val="en-US" w:eastAsia="zh-CN"/>
        </w:rPr>
        <w:t xml:space="preserve"> 港口区 </w:t>
      </w:r>
      <w:r>
        <w:rPr>
          <w:rFonts w:hAnsi="宋体"/>
          <w:bCs/>
          <w:color w:val="auto"/>
          <w:sz w:val="22"/>
          <w:u w:val="none"/>
        </w:rPr>
        <w:t>签订。</w:t>
      </w:r>
    </w:p>
    <w:p w14:paraId="2435B951">
      <w:pPr>
        <w:pStyle w:val="68"/>
        <w:spacing w:line="240" w:lineRule="auto"/>
        <w:ind w:firstLine="442" w:firstLineChars="200"/>
        <w:rPr>
          <w:b/>
          <w:bCs/>
          <w:color w:val="auto"/>
          <w:sz w:val="22"/>
        </w:rPr>
      </w:pPr>
      <w:bookmarkStart w:id="97" w:name="_Toc351203491"/>
      <w:r>
        <w:rPr>
          <w:rFonts w:hAnsi="宋体"/>
          <w:b/>
          <w:bCs/>
          <w:color w:val="auto"/>
          <w:sz w:val="22"/>
        </w:rPr>
        <w:t>十一、补充协议</w:t>
      </w:r>
      <w:bookmarkEnd w:id="97"/>
    </w:p>
    <w:p w14:paraId="45A9C85A">
      <w:pPr>
        <w:pStyle w:val="68"/>
        <w:spacing w:line="240" w:lineRule="auto"/>
        <w:ind w:firstLine="440" w:firstLineChars="200"/>
        <w:rPr>
          <w:rFonts w:hAnsi="宋体"/>
          <w:bCs/>
          <w:color w:val="auto"/>
          <w:sz w:val="22"/>
        </w:rPr>
      </w:pPr>
      <w:r>
        <w:rPr>
          <w:rFonts w:hAnsi="宋体"/>
          <w:bCs/>
          <w:color w:val="auto"/>
          <w:sz w:val="22"/>
        </w:rPr>
        <w:t>合同未尽事宜，合同当事人另行签订补充协议，补充协议是合同的组成部分。</w:t>
      </w:r>
    </w:p>
    <w:p w14:paraId="63E41D82">
      <w:pPr>
        <w:pStyle w:val="68"/>
        <w:spacing w:line="240" w:lineRule="auto"/>
        <w:ind w:firstLine="442" w:firstLineChars="200"/>
        <w:rPr>
          <w:b/>
          <w:bCs/>
          <w:color w:val="auto"/>
          <w:sz w:val="22"/>
        </w:rPr>
      </w:pPr>
      <w:bookmarkStart w:id="98" w:name="_Toc351203492"/>
      <w:r>
        <w:rPr>
          <w:rFonts w:hAnsi="宋体"/>
          <w:b/>
          <w:bCs/>
          <w:color w:val="auto"/>
          <w:sz w:val="22"/>
        </w:rPr>
        <w:t>十二、合同生效</w:t>
      </w:r>
      <w:bookmarkEnd w:id="98"/>
    </w:p>
    <w:p w14:paraId="30BC8764">
      <w:pPr>
        <w:pStyle w:val="68"/>
        <w:spacing w:line="240" w:lineRule="auto"/>
        <w:ind w:firstLine="440" w:firstLineChars="200"/>
        <w:rPr>
          <w:rFonts w:hAnsi="宋体"/>
          <w:bCs/>
          <w:color w:val="auto"/>
          <w:sz w:val="22"/>
        </w:rPr>
      </w:pPr>
      <w:r>
        <w:rPr>
          <w:rFonts w:hAnsi="宋体"/>
          <w:bCs/>
          <w:color w:val="auto"/>
          <w:sz w:val="22"/>
        </w:rPr>
        <w:t>本合同自</w:t>
      </w:r>
      <w:r>
        <w:rPr>
          <w:bCs/>
          <w:color w:val="auto"/>
          <w:sz w:val="22"/>
          <w:u w:val="single"/>
        </w:rPr>
        <w:t xml:space="preserve"> </w:t>
      </w:r>
      <w:r>
        <w:rPr>
          <w:rFonts w:hint="eastAsia"/>
          <w:bCs/>
          <w:color w:val="auto"/>
          <w:sz w:val="22"/>
          <w:u w:val="single"/>
          <w:lang w:eastAsia="zh-CN"/>
        </w:rPr>
        <w:t>双方法定代表人签字或签章并加盖单位公章或合同专用章后</w:t>
      </w:r>
      <w:r>
        <w:rPr>
          <w:bCs/>
          <w:color w:val="auto"/>
          <w:sz w:val="22"/>
          <w:u w:val="single"/>
        </w:rPr>
        <w:t xml:space="preserve"> </w:t>
      </w:r>
      <w:r>
        <w:rPr>
          <w:rFonts w:hAnsi="宋体"/>
          <w:bCs/>
          <w:color w:val="auto"/>
          <w:sz w:val="22"/>
        </w:rPr>
        <w:t>生效。</w:t>
      </w:r>
    </w:p>
    <w:p w14:paraId="4E10A4C9">
      <w:pPr>
        <w:pStyle w:val="68"/>
        <w:spacing w:line="240" w:lineRule="auto"/>
        <w:ind w:firstLine="442" w:firstLineChars="200"/>
        <w:rPr>
          <w:b/>
          <w:bCs/>
          <w:color w:val="auto"/>
          <w:sz w:val="22"/>
        </w:rPr>
      </w:pPr>
      <w:bookmarkStart w:id="99" w:name="_Toc351203493"/>
      <w:r>
        <w:rPr>
          <w:rFonts w:hAnsi="宋体"/>
          <w:b/>
          <w:bCs/>
          <w:color w:val="auto"/>
          <w:sz w:val="22"/>
        </w:rPr>
        <w:t>十三、合同份数</w:t>
      </w:r>
      <w:bookmarkEnd w:id="99"/>
    </w:p>
    <w:p w14:paraId="0F604E6B">
      <w:pPr>
        <w:pStyle w:val="68"/>
        <w:spacing w:line="240" w:lineRule="auto"/>
        <w:ind w:firstLine="440" w:firstLineChars="200"/>
        <w:rPr>
          <w:bCs/>
          <w:color w:val="auto"/>
          <w:sz w:val="22"/>
        </w:rPr>
      </w:pPr>
      <w:r>
        <w:rPr>
          <w:rFonts w:hAnsi="宋体"/>
          <w:bCs/>
          <w:color w:val="auto"/>
          <w:sz w:val="22"/>
        </w:rPr>
        <w:t>本合同一式</w:t>
      </w:r>
      <w:r>
        <w:rPr>
          <w:bCs/>
          <w:color w:val="auto"/>
          <w:sz w:val="22"/>
          <w:u w:val="single"/>
        </w:rPr>
        <w:t xml:space="preserve"> </w:t>
      </w:r>
      <w:r>
        <w:rPr>
          <w:rFonts w:hint="eastAsia"/>
          <w:bCs/>
          <w:color w:val="auto"/>
          <w:sz w:val="22"/>
          <w:u w:val="single"/>
          <w:lang w:val="en-US" w:eastAsia="zh-CN"/>
        </w:rPr>
        <w:t>陆</w:t>
      </w:r>
      <w:r>
        <w:rPr>
          <w:bCs/>
          <w:color w:val="auto"/>
          <w:sz w:val="22"/>
          <w:u w:val="single"/>
        </w:rPr>
        <w:t xml:space="preserve"> </w:t>
      </w:r>
      <w:r>
        <w:rPr>
          <w:rFonts w:hAnsi="宋体"/>
          <w:bCs/>
          <w:color w:val="auto"/>
          <w:sz w:val="22"/>
        </w:rPr>
        <w:t>份，均具有同等法律效力，发包人执</w:t>
      </w:r>
      <w:r>
        <w:rPr>
          <w:bCs/>
          <w:color w:val="auto"/>
          <w:sz w:val="22"/>
          <w:u w:val="single"/>
        </w:rPr>
        <w:t xml:space="preserve">  </w:t>
      </w:r>
      <w:r>
        <w:rPr>
          <w:rFonts w:hint="eastAsia"/>
          <w:bCs/>
          <w:color w:val="auto"/>
          <w:sz w:val="22"/>
          <w:u w:val="single"/>
          <w:lang w:val="en-US" w:eastAsia="zh-CN"/>
        </w:rPr>
        <w:t>肆</w:t>
      </w:r>
      <w:r>
        <w:rPr>
          <w:bCs/>
          <w:color w:val="auto"/>
          <w:sz w:val="22"/>
          <w:u w:val="single"/>
        </w:rPr>
        <w:t xml:space="preserve">  </w:t>
      </w:r>
      <w:r>
        <w:rPr>
          <w:rFonts w:hAnsi="宋体"/>
          <w:bCs/>
          <w:color w:val="auto"/>
          <w:sz w:val="22"/>
        </w:rPr>
        <w:t>份，承包人执</w:t>
      </w:r>
      <w:r>
        <w:rPr>
          <w:bCs/>
          <w:color w:val="auto"/>
          <w:sz w:val="22"/>
          <w:u w:val="single"/>
        </w:rPr>
        <w:t xml:space="preserve">  </w:t>
      </w:r>
      <w:r>
        <w:rPr>
          <w:rFonts w:hint="eastAsia"/>
          <w:bCs/>
          <w:color w:val="auto"/>
          <w:sz w:val="22"/>
          <w:u w:val="single"/>
          <w:lang w:val="en-US" w:eastAsia="zh-CN"/>
        </w:rPr>
        <w:t>贰</w:t>
      </w:r>
      <w:r>
        <w:rPr>
          <w:bCs/>
          <w:color w:val="auto"/>
          <w:sz w:val="22"/>
          <w:u w:val="single"/>
        </w:rPr>
        <w:t xml:space="preserve">  </w:t>
      </w:r>
      <w:r>
        <w:rPr>
          <w:rFonts w:hAnsi="宋体"/>
          <w:bCs/>
          <w:color w:val="auto"/>
          <w:sz w:val="22"/>
        </w:rPr>
        <w:t>份。</w:t>
      </w:r>
    </w:p>
    <w:p w14:paraId="7D336733">
      <w:pPr>
        <w:pStyle w:val="68"/>
        <w:spacing w:line="240" w:lineRule="auto"/>
        <w:rPr>
          <w:bCs/>
          <w:color w:val="auto"/>
          <w:sz w:val="22"/>
        </w:rPr>
      </w:pPr>
    </w:p>
    <w:p w14:paraId="3621CE95">
      <w:pPr>
        <w:pStyle w:val="68"/>
        <w:spacing w:line="240" w:lineRule="auto"/>
        <w:ind w:firstLine="442" w:firstLineChars="200"/>
        <w:rPr>
          <w:rFonts w:hint="default"/>
          <w:b/>
          <w:bCs/>
          <w:color w:val="auto"/>
          <w:sz w:val="22"/>
          <w:lang w:val="en-US"/>
        </w:rPr>
      </w:pPr>
      <w:r>
        <w:rPr>
          <w:rFonts w:hAnsi="宋体"/>
          <w:b/>
          <w:bCs/>
          <w:color w:val="auto"/>
          <w:sz w:val="22"/>
        </w:rPr>
        <w:t>发包人：</w:t>
      </w:r>
      <w:r>
        <w:rPr>
          <w:rFonts w:hint="eastAsia" w:hAnsi="宋体"/>
          <w:b/>
          <w:bCs/>
          <w:color w:val="auto"/>
          <w:sz w:val="22"/>
          <w:u w:val="single"/>
          <w:lang w:eastAsia="zh-CN"/>
        </w:rPr>
        <w:t>防城港市港口区民政局</w:t>
      </w:r>
      <w:r>
        <w:rPr>
          <w:rFonts w:hint="eastAsia" w:hAnsi="宋体"/>
          <w:b/>
          <w:bCs/>
          <w:color w:val="auto"/>
          <w:sz w:val="22"/>
          <w:u w:val="single"/>
        </w:rPr>
        <w:t xml:space="preserve"> </w:t>
      </w:r>
      <w:r>
        <w:rPr>
          <w:b/>
          <w:bCs/>
          <w:color w:val="auto"/>
          <w:sz w:val="22"/>
        </w:rPr>
        <w:t xml:space="preserve">    </w:t>
      </w:r>
      <w:r>
        <w:rPr>
          <w:rFonts w:hint="eastAsia"/>
          <w:b/>
          <w:bCs/>
          <w:color w:val="auto"/>
          <w:sz w:val="22"/>
          <w:lang w:val="en-US" w:eastAsia="zh-CN"/>
        </w:rPr>
        <w:t xml:space="preserve">     </w:t>
      </w:r>
      <w:r>
        <w:rPr>
          <w:b/>
          <w:bCs/>
          <w:color w:val="auto"/>
          <w:sz w:val="22"/>
        </w:rPr>
        <w:t xml:space="preserve">  </w:t>
      </w:r>
      <w:r>
        <w:rPr>
          <w:rFonts w:hint="eastAsia"/>
          <w:b/>
          <w:bCs/>
          <w:color w:val="auto"/>
          <w:sz w:val="22"/>
          <w:lang w:val="en-US" w:eastAsia="zh-CN"/>
        </w:rPr>
        <w:t xml:space="preserve">      </w:t>
      </w:r>
      <w:r>
        <w:rPr>
          <w:rFonts w:hAnsi="宋体"/>
          <w:b/>
          <w:bCs/>
          <w:color w:val="auto"/>
          <w:sz w:val="22"/>
        </w:rPr>
        <w:t>承包人：</w:t>
      </w:r>
      <w:r>
        <w:rPr>
          <w:rFonts w:hint="eastAsia" w:hAnsi="宋体"/>
          <w:b/>
          <w:bCs/>
          <w:color w:val="auto"/>
          <w:sz w:val="22"/>
          <w:lang w:val="en-US" w:eastAsia="zh-CN"/>
        </w:rPr>
        <w:t xml:space="preserve"> </w:t>
      </w:r>
    </w:p>
    <w:p w14:paraId="2D3D07CB">
      <w:pPr>
        <w:pStyle w:val="68"/>
        <w:spacing w:line="240" w:lineRule="auto"/>
        <w:ind w:firstLine="442" w:firstLineChars="200"/>
        <w:rPr>
          <w:b/>
          <w:bCs/>
          <w:color w:val="auto"/>
          <w:sz w:val="22"/>
          <w:u w:val="single"/>
        </w:rPr>
      </w:pPr>
      <w:r>
        <w:rPr>
          <w:rFonts w:hint="eastAsia"/>
          <w:b/>
          <w:bCs/>
          <w:color w:val="auto"/>
          <w:sz w:val="22"/>
        </w:rPr>
        <w:t>（</w:t>
      </w:r>
      <w:r>
        <w:rPr>
          <w:rFonts w:hint="eastAsia"/>
          <w:b/>
          <w:bCs/>
          <w:color w:val="auto"/>
          <w:sz w:val="22"/>
          <w:lang w:eastAsia="zh-CN"/>
        </w:rPr>
        <w:t>公章或合同专用章</w:t>
      </w:r>
      <w:r>
        <w:rPr>
          <w:rFonts w:hint="eastAsia"/>
          <w:b/>
          <w:bCs/>
          <w:color w:val="auto"/>
          <w:sz w:val="22"/>
        </w:rPr>
        <w:t>）</w:t>
      </w:r>
      <w:r>
        <w:rPr>
          <w:b/>
          <w:bCs/>
          <w:color w:val="auto"/>
          <w:sz w:val="22"/>
        </w:rPr>
        <w:t xml:space="preserve"> </w:t>
      </w:r>
      <w:r>
        <w:rPr>
          <w:rFonts w:hint="eastAsia"/>
          <w:b/>
          <w:bCs/>
          <w:color w:val="auto"/>
          <w:sz w:val="22"/>
          <w:lang w:val="en-US" w:eastAsia="zh-CN"/>
        </w:rPr>
        <w:t xml:space="preserve">                            </w:t>
      </w:r>
      <w:r>
        <w:rPr>
          <w:rFonts w:hint="eastAsia"/>
          <w:b/>
          <w:bCs/>
          <w:color w:val="auto"/>
          <w:sz w:val="22"/>
        </w:rPr>
        <w:t>（</w:t>
      </w:r>
      <w:r>
        <w:rPr>
          <w:rFonts w:hint="eastAsia"/>
          <w:b/>
          <w:bCs/>
          <w:color w:val="auto"/>
          <w:sz w:val="22"/>
          <w:lang w:eastAsia="zh-CN"/>
        </w:rPr>
        <w:t>公章或合同专用章</w:t>
      </w:r>
      <w:r>
        <w:rPr>
          <w:rFonts w:hint="eastAsia"/>
          <w:b/>
          <w:bCs/>
          <w:color w:val="auto"/>
          <w:sz w:val="22"/>
        </w:rPr>
        <w:t>）</w:t>
      </w:r>
    </w:p>
    <w:p w14:paraId="0913A10D">
      <w:pPr>
        <w:pStyle w:val="68"/>
        <w:spacing w:line="240" w:lineRule="auto"/>
        <w:ind w:firstLine="442" w:firstLineChars="200"/>
        <w:rPr>
          <w:b/>
          <w:bCs/>
          <w:color w:val="auto"/>
          <w:sz w:val="22"/>
          <w:u w:val="none"/>
        </w:rPr>
      </w:pPr>
      <w:r>
        <w:rPr>
          <w:rFonts w:hAnsi="宋体"/>
          <w:b/>
          <w:bCs/>
          <w:color w:val="auto"/>
          <w:sz w:val="22"/>
        </w:rPr>
        <w:t>法定代表人</w:t>
      </w:r>
      <w:r>
        <w:rPr>
          <w:rFonts w:hAnsi="宋体"/>
          <w:b/>
          <w:bCs/>
          <w:color w:val="auto"/>
          <w:sz w:val="22"/>
          <w:u w:val="none"/>
        </w:rPr>
        <w:t>（</w:t>
      </w:r>
      <w:r>
        <w:rPr>
          <w:rFonts w:hint="eastAsia"/>
          <w:b/>
          <w:bCs/>
          <w:color w:val="auto"/>
          <w:sz w:val="22"/>
          <w:u w:val="none"/>
          <w:lang w:eastAsia="zh-CN"/>
        </w:rPr>
        <w:t>签字或签章</w:t>
      </w:r>
      <w:r>
        <w:rPr>
          <w:rFonts w:hAnsi="宋体"/>
          <w:b/>
          <w:bCs/>
          <w:color w:val="auto"/>
          <w:sz w:val="22"/>
          <w:u w:val="none"/>
        </w:rPr>
        <w:t>）</w:t>
      </w:r>
      <w:r>
        <w:rPr>
          <w:rFonts w:hAnsi="宋体"/>
          <w:b/>
          <w:bCs/>
          <w:color w:val="auto"/>
          <w:sz w:val="22"/>
        </w:rPr>
        <w:t>：</w:t>
      </w:r>
      <w:r>
        <w:rPr>
          <w:b/>
          <w:bCs/>
          <w:color w:val="auto"/>
          <w:sz w:val="22"/>
        </w:rPr>
        <w:t xml:space="preserve">                    </w:t>
      </w:r>
      <w:r>
        <w:rPr>
          <w:rFonts w:hAnsi="宋体"/>
          <w:b/>
          <w:bCs/>
          <w:color w:val="auto"/>
          <w:sz w:val="22"/>
        </w:rPr>
        <w:t>法定代表人</w:t>
      </w:r>
      <w:r>
        <w:rPr>
          <w:rFonts w:hAnsi="宋体"/>
          <w:b/>
          <w:bCs/>
          <w:color w:val="auto"/>
          <w:sz w:val="22"/>
          <w:u w:val="none"/>
        </w:rPr>
        <w:t>（</w:t>
      </w:r>
      <w:r>
        <w:rPr>
          <w:rFonts w:hint="eastAsia"/>
          <w:b/>
          <w:bCs/>
          <w:color w:val="auto"/>
          <w:sz w:val="22"/>
          <w:u w:val="none"/>
          <w:lang w:eastAsia="zh-CN"/>
        </w:rPr>
        <w:t>签字或签章</w:t>
      </w:r>
      <w:r>
        <w:rPr>
          <w:rFonts w:hAnsi="宋体"/>
          <w:b/>
          <w:bCs/>
          <w:color w:val="auto"/>
          <w:sz w:val="22"/>
          <w:u w:val="none"/>
        </w:rPr>
        <w:t>）</w:t>
      </w:r>
      <w:r>
        <w:rPr>
          <w:rFonts w:hAnsi="宋体"/>
          <w:b/>
          <w:bCs/>
          <w:color w:val="auto"/>
          <w:sz w:val="22"/>
        </w:rPr>
        <w:t>：</w:t>
      </w:r>
    </w:p>
    <w:p w14:paraId="485AED20">
      <w:pPr>
        <w:pStyle w:val="68"/>
        <w:spacing w:line="240" w:lineRule="auto"/>
        <w:rPr>
          <w:color w:val="auto"/>
          <w:sz w:val="22"/>
          <w:u w:val="none"/>
        </w:rPr>
      </w:pPr>
    </w:p>
    <w:p w14:paraId="05E1345E">
      <w:pPr>
        <w:pStyle w:val="68"/>
        <w:spacing w:line="240" w:lineRule="auto"/>
        <w:rPr>
          <w:color w:val="auto"/>
          <w:sz w:val="22"/>
          <w:u w:val="none"/>
        </w:rPr>
      </w:pPr>
    </w:p>
    <w:p w14:paraId="3F9E5C36">
      <w:pPr>
        <w:tabs>
          <w:tab w:val="left" w:pos="4410"/>
        </w:tabs>
        <w:spacing w:line="400" w:lineRule="exact"/>
        <w:ind w:firstLine="420" w:firstLineChars="200"/>
        <w:rPr>
          <w:rFonts w:ascii="宋体" w:hAnsi="宋体"/>
          <w:color w:val="auto"/>
          <w:szCs w:val="21"/>
          <w:highlight w:val="none"/>
        </w:rPr>
      </w:pPr>
      <w:r>
        <w:rPr>
          <w:rFonts w:ascii="宋体" w:hAnsi="宋体"/>
          <w:color w:val="auto"/>
          <w:szCs w:val="21"/>
          <w:highlight w:val="none"/>
        </w:rPr>
        <w:t>组织机构代码：</w:t>
      </w:r>
      <w:r>
        <w:rPr>
          <w:rFonts w:ascii="宋体" w:hAnsi="宋体"/>
          <w:color w:val="auto"/>
          <w:szCs w:val="21"/>
          <w:highlight w:val="none"/>
          <w:u w:val="single"/>
        </w:rPr>
        <w:t xml:space="preserve">       </w:t>
      </w:r>
      <w:r>
        <w:rPr>
          <w:rFonts w:ascii="宋体" w:hAnsi="宋体"/>
          <w:color w:val="auto"/>
          <w:szCs w:val="21"/>
          <w:highlight w:val="none"/>
        </w:rPr>
        <w:t xml:space="preserve">                  组织机构代码：</w:t>
      </w:r>
      <w:r>
        <w:rPr>
          <w:rFonts w:hint="eastAsia" w:ascii="宋体" w:hAnsi="宋体"/>
          <w:color w:val="auto"/>
          <w:szCs w:val="21"/>
          <w:highlight w:val="none"/>
          <w:u w:val="single"/>
          <w:lang w:val="en-US" w:eastAsia="zh-CN"/>
        </w:rPr>
        <w:t xml:space="preserve">                        </w:t>
      </w:r>
      <w:r>
        <w:rPr>
          <w:rFonts w:ascii="宋体" w:hAnsi="宋体"/>
          <w:color w:val="auto"/>
          <w:szCs w:val="21"/>
          <w:highlight w:val="none"/>
        </w:rPr>
        <w:t xml:space="preserve"> </w:t>
      </w:r>
    </w:p>
    <w:p w14:paraId="4E4EC3B3">
      <w:pPr>
        <w:spacing w:line="400" w:lineRule="exact"/>
        <w:ind w:firstLine="420" w:firstLineChars="200"/>
        <w:rPr>
          <w:rFonts w:hint="default" w:ascii="宋体" w:hAnsi="宋体" w:eastAsia="宋体"/>
          <w:color w:val="auto"/>
          <w:szCs w:val="21"/>
          <w:highlight w:val="none"/>
          <w:lang w:val="en-US" w:eastAsia="zh-CN"/>
        </w:rPr>
      </w:pPr>
      <w:r>
        <w:rPr>
          <w:rFonts w:ascii="宋体" w:hAnsi="宋体"/>
          <w:color w:val="auto"/>
          <w:szCs w:val="21"/>
          <w:highlight w:val="none"/>
        </w:rPr>
        <w:t>地  址：</w:t>
      </w:r>
      <w:r>
        <w:rPr>
          <w:rFonts w:ascii="宋体" w:hAnsi="宋体"/>
          <w:color w:val="auto"/>
          <w:szCs w:val="21"/>
          <w:highlight w:val="none"/>
          <w:u w:val="single"/>
        </w:rPr>
        <w:t xml:space="preserve">     </w:t>
      </w:r>
      <w:r>
        <w:rPr>
          <w:rFonts w:ascii="宋体" w:hAnsi="宋体"/>
          <w:color w:val="auto"/>
          <w:szCs w:val="21"/>
          <w:highlight w:val="none"/>
        </w:rPr>
        <w:t xml:space="preserve">                  地  址：</w:t>
      </w:r>
      <w:r>
        <w:rPr>
          <w:rFonts w:hint="eastAsia" w:ascii="宋体" w:hAnsi="宋体"/>
          <w:color w:val="auto"/>
          <w:szCs w:val="21"/>
          <w:highlight w:val="none"/>
          <w:u w:val="single"/>
          <w:lang w:val="en-US" w:eastAsia="zh-CN"/>
        </w:rPr>
        <w:t xml:space="preserve">    （公司地址，必填）        </w:t>
      </w:r>
    </w:p>
    <w:p w14:paraId="080EA8D7">
      <w:pPr>
        <w:spacing w:line="400" w:lineRule="exact"/>
        <w:ind w:firstLine="420" w:firstLineChars="200"/>
        <w:rPr>
          <w:rFonts w:ascii="宋体" w:hAnsi="宋体"/>
          <w:color w:val="auto"/>
          <w:szCs w:val="21"/>
          <w:highlight w:val="none"/>
        </w:rPr>
      </w:pPr>
      <w:r>
        <w:rPr>
          <w:rFonts w:ascii="宋体" w:hAnsi="宋体"/>
          <w:color w:val="auto"/>
          <w:szCs w:val="21"/>
          <w:highlight w:val="none"/>
        </w:rPr>
        <w:t>邮政编码：</w:t>
      </w:r>
      <w:r>
        <w:rPr>
          <w:rFonts w:ascii="宋体" w:hAnsi="宋体"/>
          <w:color w:val="auto"/>
          <w:szCs w:val="21"/>
          <w:highlight w:val="none"/>
          <w:u w:val="single"/>
        </w:rPr>
        <w:t xml:space="preserve">      </w:t>
      </w:r>
      <w:r>
        <w:rPr>
          <w:rFonts w:ascii="宋体" w:hAnsi="宋体"/>
          <w:color w:val="auto"/>
          <w:szCs w:val="21"/>
          <w:highlight w:val="none"/>
        </w:rPr>
        <w:t xml:space="preserve">                 邮政编码：</w:t>
      </w:r>
      <w:r>
        <w:rPr>
          <w:rFonts w:ascii="宋体" w:hAnsi="宋体"/>
          <w:color w:val="auto"/>
          <w:szCs w:val="21"/>
          <w:highlight w:val="none"/>
          <w:u w:val="single"/>
        </w:rPr>
        <w:t></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p>
    <w:p w14:paraId="24737058">
      <w:pPr>
        <w:spacing w:line="400" w:lineRule="exact"/>
        <w:ind w:firstLine="420" w:firstLineChars="200"/>
        <w:rPr>
          <w:rFonts w:ascii="宋体" w:hAnsi="宋体"/>
          <w:color w:val="auto"/>
          <w:szCs w:val="21"/>
          <w:highlight w:val="none"/>
        </w:rPr>
      </w:pPr>
      <w:r>
        <w:rPr>
          <w:rFonts w:ascii="宋体" w:hAnsi="宋体"/>
          <w:color w:val="auto"/>
          <w:szCs w:val="21"/>
          <w:highlight w:val="none"/>
        </w:rPr>
        <w:t>法定代表人：</w:t>
      </w:r>
      <w:r>
        <w:rPr>
          <w:rFonts w:ascii="宋体" w:hAnsi="宋体"/>
          <w:color w:val="auto"/>
          <w:szCs w:val="21"/>
          <w:highlight w:val="none"/>
          <w:u w:val="single"/>
        </w:rPr>
        <w:t xml:space="preserve">           </w:t>
      </w:r>
      <w:r>
        <w:rPr>
          <w:rFonts w:ascii="宋体" w:hAnsi="宋体"/>
          <w:color w:val="auto"/>
          <w:szCs w:val="21"/>
          <w:highlight w:val="none"/>
        </w:rPr>
        <w:t xml:space="preserve">                  法定代表人：</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p>
    <w:p w14:paraId="139C7546">
      <w:pPr>
        <w:spacing w:line="400" w:lineRule="exact"/>
        <w:ind w:firstLine="420" w:firstLineChars="200"/>
        <w:rPr>
          <w:rFonts w:ascii="宋体" w:hAnsi="宋体"/>
          <w:color w:val="auto"/>
          <w:szCs w:val="21"/>
          <w:highlight w:val="none"/>
        </w:rPr>
      </w:pPr>
      <w:r>
        <w:rPr>
          <w:rFonts w:ascii="宋体" w:hAnsi="宋体"/>
          <w:color w:val="auto"/>
          <w:szCs w:val="21"/>
          <w:highlight w:val="none"/>
        </w:rPr>
        <w:t>电  话：</w:t>
      </w:r>
      <w:r>
        <w:rPr>
          <w:rFonts w:ascii="宋体" w:hAnsi="宋体"/>
          <w:color w:val="auto"/>
          <w:szCs w:val="21"/>
          <w:highlight w:val="none"/>
          <w:u w:val="single"/>
        </w:rPr>
        <w:t xml:space="preserve">   </w:t>
      </w:r>
      <w:r>
        <w:rPr>
          <w:rFonts w:ascii="宋体" w:hAnsi="宋体"/>
          <w:color w:val="auto"/>
          <w:szCs w:val="21"/>
          <w:highlight w:val="none"/>
        </w:rPr>
        <w:t xml:space="preserve">                  电  话：</w:t>
      </w:r>
      <w:r>
        <w:rPr>
          <w:rFonts w:ascii="宋体" w:hAnsi="宋体"/>
          <w:color w:val="auto"/>
          <w:szCs w:val="21"/>
          <w:highlight w:val="none"/>
          <w:u w:val="single"/>
        </w:rPr>
        <w:t></w:t>
      </w:r>
      <w:r>
        <w:rPr>
          <w:rFonts w:hint="eastAsia" w:ascii="宋体" w:hAnsi="宋体"/>
          <w:color w:val="auto"/>
          <w:szCs w:val="21"/>
          <w:highlight w:val="none"/>
          <w:u w:val="single"/>
          <w:lang w:val="en-US" w:eastAsia="zh-CN"/>
        </w:rPr>
        <w:t xml:space="preserve"> （固定电话，必填）  </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p>
    <w:p w14:paraId="1A0A948E">
      <w:pPr>
        <w:spacing w:line="400" w:lineRule="exact"/>
        <w:ind w:firstLine="420" w:firstLineChars="200"/>
        <w:rPr>
          <w:rFonts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xml:space="preserve">                 </w:t>
      </w:r>
      <w:r>
        <w:rPr>
          <w:rFonts w:ascii="宋体" w:hAnsi="宋体"/>
          <w:color w:val="auto"/>
          <w:szCs w:val="21"/>
          <w:highlight w:val="none"/>
        </w:rPr>
        <w:t xml:space="preserve">                  电子信箱</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 xml:space="preserve">  （公司邮箱，必填）  </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p>
    <w:p w14:paraId="66CDC36D">
      <w:pPr>
        <w:spacing w:line="400" w:lineRule="exact"/>
        <w:ind w:firstLine="420" w:firstLineChars="200"/>
        <w:rPr>
          <w:rFonts w:hint="default" w:ascii="宋体" w:hAnsi="宋体"/>
          <w:color w:val="auto"/>
          <w:szCs w:val="21"/>
          <w:highlight w:val="none"/>
          <w:lang w:val="en-US"/>
        </w:rPr>
      </w:pPr>
      <w:r>
        <w:rPr>
          <w:rFonts w:ascii="宋体" w:hAnsi="宋体"/>
          <w:color w:val="auto"/>
          <w:szCs w:val="21"/>
          <w:highlight w:val="none"/>
        </w:rPr>
        <w:t>开户银行：</w:t>
      </w:r>
      <w:r>
        <w:rPr>
          <w:rFonts w:ascii="宋体" w:hAnsi="宋体"/>
          <w:color w:val="auto"/>
          <w:szCs w:val="21"/>
          <w:highlight w:val="none"/>
          <w:u w:val="single"/>
        </w:rPr>
        <w:t xml:space="preserve">   </w:t>
      </w:r>
      <w:r>
        <w:rPr>
          <w:rFonts w:ascii="宋体" w:hAnsi="宋体"/>
          <w:color w:val="auto"/>
          <w:szCs w:val="21"/>
          <w:highlight w:val="none"/>
        </w:rPr>
        <w:t xml:space="preserve">                  开户银行：</w:t>
      </w:r>
      <w:r>
        <w:rPr>
          <w:rFonts w:hint="eastAsia" w:ascii="宋体" w:hAnsi="宋体"/>
          <w:color w:val="auto"/>
          <w:szCs w:val="21"/>
          <w:highlight w:val="none"/>
          <w:u w:val="single"/>
          <w:lang w:val="en-US" w:eastAsia="zh-CN"/>
        </w:rPr>
        <w:t xml:space="preserve">                            </w:t>
      </w:r>
    </w:p>
    <w:p w14:paraId="3611610F">
      <w:pPr>
        <w:spacing w:line="400" w:lineRule="exact"/>
        <w:ind w:firstLine="420" w:firstLineChars="200"/>
        <w:rPr>
          <w:rFonts w:hint="eastAsia"/>
          <w:color w:val="auto"/>
          <w:sz w:val="20"/>
          <w:highlight w:val="white"/>
        </w:rPr>
      </w:pPr>
      <w:r>
        <w:rPr>
          <w:rFonts w:ascii="宋体" w:hAnsi="宋体"/>
          <w:color w:val="auto"/>
          <w:szCs w:val="21"/>
          <w:highlight w:val="none"/>
        </w:rPr>
        <w:t>账  号：</w:t>
      </w:r>
      <w:r>
        <w:rPr>
          <w:rFonts w:ascii="宋体" w:hAnsi="宋体"/>
          <w:color w:val="auto"/>
          <w:szCs w:val="21"/>
          <w:highlight w:val="none"/>
          <w:u w:val="single"/>
        </w:rPr>
        <w:t xml:space="preserve">       </w:t>
      </w:r>
      <w:r>
        <w:rPr>
          <w:rFonts w:ascii="宋体" w:hAnsi="宋体"/>
          <w:color w:val="auto"/>
          <w:szCs w:val="21"/>
          <w:highlight w:val="none"/>
        </w:rPr>
        <w:t xml:space="preserve">                  账  号：</w:t>
      </w:r>
      <w:r>
        <w:rPr>
          <w:rFonts w:hint="eastAsia" w:ascii="宋体" w:hAnsi="宋体"/>
          <w:color w:val="auto"/>
          <w:szCs w:val="21"/>
          <w:highlight w:val="none"/>
          <w:u w:val="single"/>
          <w:lang w:val="en-US" w:eastAsia="zh-CN"/>
        </w:rPr>
        <w:t xml:space="preserve">                              </w:t>
      </w:r>
      <w:r>
        <w:rPr>
          <w:rFonts w:hint="eastAsia"/>
          <w:color w:val="auto"/>
          <w:sz w:val="20"/>
          <w:highlight w:val="white"/>
        </w:rPr>
        <w:t xml:space="preserve"> </w:t>
      </w:r>
      <w:bookmarkEnd w:id="86"/>
    </w:p>
    <w:p w14:paraId="117831AD">
      <w:pPr>
        <w:widowControl/>
        <w:spacing w:line="240" w:lineRule="auto"/>
        <w:jc w:val="left"/>
        <w:rPr>
          <w:color w:val="auto"/>
          <w:u w:val="single"/>
        </w:rPr>
      </w:pPr>
    </w:p>
    <w:p w14:paraId="432D8C00">
      <w:pPr>
        <w:widowControl/>
        <w:spacing w:line="240" w:lineRule="auto"/>
        <w:jc w:val="left"/>
        <w:rPr>
          <w:color w:val="auto"/>
          <w:u w:val="single"/>
        </w:rPr>
      </w:pPr>
    </w:p>
    <w:p w14:paraId="56C1EB5B">
      <w:pPr>
        <w:pStyle w:val="2"/>
        <w:keepNext w:val="0"/>
        <w:ind w:firstLine="602" w:firstLineChars="200"/>
        <w:jc w:val="center"/>
        <w:rPr>
          <w:rFonts w:hint="eastAsia" w:hAnsi="宋体" w:cs="黑体"/>
          <w:color w:val="auto"/>
          <w:sz w:val="30"/>
          <w:szCs w:val="30"/>
          <w:highlight w:val="white"/>
        </w:rPr>
      </w:pPr>
      <w:bookmarkStart w:id="100" w:name="_Toc389065256"/>
      <w:bookmarkStart w:id="101" w:name="_Toc256000100"/>
      <w:bookmarkStart w:id="102" w:name="_Toc9850520"/>
      <w:bookmarkStart w:id="103" w:name="_Toc407135192"/>
      <w:bookmarkStart w:id="104" w:name="_Toc351203632"/>
      <w:bookmarkStart w:id="105" w:name="_Toc373478338"/>
      <w:bookmarkStart w:id="106" w:name="_Toc373227691"/>
      <w:r>
        <w:rPr>
          <w:rFonts w:hint="eastAsia" w:hAnsi="宋体" w:cs="黑体"/>
          <w:color w:val="auto"/>
          <w:sz w:val="30"/>
          <w:szCs w:val="30"/>
          <w:highlight w:val="white"/>
        </w:rPr>
        <w:t>第二部分 通用合同条款</w:t>
      </w:r>
      <w:bookmarkEnd w:id="100"/>
      <w:bookmarkEnd w:id="101"/>
      <w:bookmarkEnd w:id="102"/>
      <w:bookmarkEnd w:id="103"/>
    </w:p>
    <w:p w14:paraId="49392557">
      <w:pPr>
        <w:spacing w:line="360" w:lineRule="auto"/>
        <w:ind w:firstLine="420" w:firstLineChars="200"/>
        <w:rPr>
          <w:rFonts w:hAnsi="宋体"/>
          <w:color w:val="auto"/>
          <w:kern w:val="0"/>
        </w:rPr>
      </w:pPr>
    </w:p>
    <w:p w14:paraId="1E8E2304">
      <w:pPr>
        <w:spacing w:line="360" w:lineRule="auto"/>
        <w:ind w:firstLine="422" w:firstLineChars="200"/>
        <w:rPr>
          <w:rFonts w:hAnsi="宋体"/>
          <w:color w:val="auto"/>
          <w:kern w:val="0"/>
        </w:rPr>
      </w:pPr>
      <w:r>
        <w:rPr>
          <w:rFonts w:hint="eastAsia" w:hAnsi="宋体" w:cs="宋体"/>
          <w:b/>
          <w:bCs/>
          <w:color w:val="auto"/>
          <w:kern w:val="0"/>
          <w:highlight w:val="white"/>
        </w:rPr>
        <w:t>采用《建设工程施工合同（示范文本）》（</w:t>
      </w:r>
      <w:r>
        <w:rPr>
          <w:rFonts w:hAnsi="宋体"/>
          <w:b/>
          <w:bCs/>
          <w:color w:val="auto"/>
          <w:kern w:val="0"/>
          <w:highlight w:val="white"/>
        </w:rPr>
        <w:t>GF</w:t>
      </w:r>
      <w:r>
        <w:rPr>
          <w:rFonts w:hAnsi="宋体" w:cs="宋体"/>
          <w:b/>
          <w:bCs/>
          <w:color w:val="auto"/>
          <w:kern w:val="0"/>
          <w:highlight w:val="white"/>
        </w:rPr>
        <w:t>—</w:t>
      </w:r>
      <w:r>
        <w:rPr>
          <w:rFonts w:hAnsi="宋体"/>
          <w:b/>
          <w:bCs/>
          <w:color w:val="auto"/>
          <w:kern w:val="0"/>
          <w:highlight w:val="white"/>
        </w:rPr>
        <w:t>201</w:t>
      </w:r>
      <w:r>
        <w:rPr>
          <w:rFonts w:hint="eastAsia" w:hAnsi="宋体"/>
          <w:b/>
          <w:bCs/>
          <w:color w:val="auto"/>
          <w:kern w:val="0"/>
          <w:highlight w:val="white"/>
        </w:rPr>
        <w:t>7</w:t>
      </w:r>
      <w:r>
        <w:rPr>
          <w:rFonts w:hAnsi="宋体" w:cs="宋体"/>
          <w:b/>
          <w:bCs/>
          <w:color w:val="auto"/>
          <w:kern w:val="0"/>
          <w:highlight w:val="white"/>
        </w:rPr>
        <w:t>—</w:t>
      </w:r>
      <w:r>
        <w:rPr>
          <w:rFonts w:hAnsi="宋体"/>
          <w:b/>
          <w:bCs/>
          <w:color w:val="auto"/>
          <w:kern w:val="0"/>
          <w:highlight w:val="white"/>
        </w:rPr>
        <w:t>0201</w:t>
      </w:r>
      <w:r>
        <w:rPr>
          <w:rFonts w:hint="eastAsia" w:hAnsi="宋体" w:cs="宋体"/>
          <w:b/>
          <w:bCs/>
          <w:color w:val="auto"/>
          <w:kern w:val="0"/>
          <w:highlight w:val="white"/>
        </w:rPr>
        <w:t>）。</w:t>
      </w:r>
    </w:p>
    <w:p w14:paraId="0855AB6F">
      <w:pPr>
        <w:spacing w:line="360" w:lineRule="auto"/>
        <w:ind w:firstLine="420" w:firstLineChars="200"/>
        <w:rPr>
          <w:rFonts w:hAnsi="宋体"/>
          <w:color w:val="auto"/>
          <w:kern w:val="0"/>
        </w:rPr>
      </w:pPr>
    </w:p>
    <w:p w14:paraId="5E40EA1D">
      <w:pPr>
        <w:spacing w:line="360" w:lineRule="auto"/>
        <w:ind w:firstLine="422" w:firstLineChars="200"/>
        <w:rPr>
          <w:rFonts w:hAnsi="宋体"/>
          <w:b/>
          <w:bCs/>
          <w:color w:val="auto"/>
          <w:kern w:val="0"/>
        </w:rPr>
      </w:pPr>
    </w:p>
    <w:p w14:paraId="185EF129">
      <w:pPr>
        <w:pStyle w:val="2"/>
        <w:keepNext w:val="0"/>
        <w:ind w:firstLine="602" w:firstLineChars="200"/>
        <w:jc w:val="center"/>
        <w:rPr>
          <w:rFonts w:hAnsi="宋体"/>
          <w:color w:val="auto"/>
          <w:sz w:val="30"/>
          <w:szCs w:val="30"/>
        </w:rPr>
      </w:pPr>
      <w:bookmarkStart w:id="107" w:name="_Toc256000101"/>
      <w:bookmarkStart w:id="108" w:name="_Toc9850521"/>
      <w:bookmarkStart w:id="109" w:name="_Toc389065257"/>
      <w:bookmarkStart w:id="110" w:name="_Toc407135193"/>
      <w:r>
        <w:rPr>
          <w:rFonts w:hint="eastAsia" w:hAnsi="宋体" w:cs="黑体"/>
          <w:color w:val="auto"/>
          <w:sz w:val="30"/>
          <w:szCs w:val="30"/>
          <w:highlight w:val="white"/>
        </w:rPr>
        <w:t>第三部分</w:t>
      </w:r>
      <w:r>
        <w:rPr>
          <w:color w:val="auto"/>
          <w:sz w:val="30"/>
          <w:szCs w:val="30"/>
          <w:highlight w:val="white"/>
        </w:rPr>
        <w:t xml:space="preserve"> </w:t>
      </w:r>
      <w:r>
        <w:rPr>
          <w:rFonts w:hint="eastAsia" w:hAnsi="宋体" w:cs="黑体"/>
          <w:color w:val="auto"/>
          <w:sz w:val="30"/>
          <w:szCs w:val="30"/>
          <w:highlight w:val="white"/>
        </w:rPr>
        <w:t>专用合同条款</w:t>
      </w:r>
      <w:bookmarkEnd w:id="104"/>
      <w:bookmarkEnd w:id="105"/>
      <w:bookmarkEnd w:id="106"/>
      <w:bookmarkEnd w:id="107"/>
      <w:bookmarkEnd w:id="108"/>
      <w:bookmarkEnd w:id="109"/>
      <w:bookmarkEnd w:id="110"/>
    </w:p>
    <w:p w14:paraId="29363317">
      <w:pPr>
        <w:spacing w:line="360" w:lineRule="auto"/>
        <w:ind w:firstLine="422" w:firstLineChars="200"/>
        <w:jc w:val="center"/>
        <w:rPr>
          <w:rFonts w:hAnsi="宋体"/>
          <w:b/>
          <w:bCs/>
          <w:color w:val="auto"/>
          <w:kern w:val="0"/>
        </w:rPr>
      </w:pPr>
      <w:r>
        <w:rPr>
          <w:rFonts w:hint="eastAsia" w:hAnsi="宋体" w:cs="宋体"/>
          <w:b/>
          <w:bCs/>
          <w:color w:val="auto"/>
          <w:kern w:val="0"/>
          <w:highlight w:val="white"/>
        </w:rPr>
        <w:t>（注：专用合同条款每一条均应填写完整）</w:t>
      </w:r>
    </w:p>
    <w:p w14:paraId="17D9740A">
      <w:pPr>
        <w:pStyle w:val="70"/>
        <w:spacing w:before="0" w:after="0" w:line="360" w:lineRule="exact"/>
        <w:ind w:firstLine="442" w:firstLineChars="200"/>
        <w:rPr>
          <w:rFonts w:hint="eastAsia" w:ascii="宋体" w:hAnsi="宋体" w:cs="宋体"/>
          <w:color w:val="auto"/>
          <w:sz w:val="22"/>
          <w:szCs w:val="22"/>
        </w:rPr>
      </w:pPr>
      <w:bookmarkStart w:id="111" w:name="_Toc533432717"/>
      <w:bookmarkStart w:id="112" w:name="_Toc373227692"/>
      <w:bookmarkStart w:id="113" w:name="_Toc395382494"/>
      <w:bookmarkStart w:id="114" w:name="_Toc351203633"/>
      <w:bookmarkStart w:id="115" w:name="_Toc12975882"/>
      <w:bookmarkStart w:id="116" w:name="_Toc373478339"/>
      <w:bookmarkStart w:id="117" w:name="_Toc389065258"/>
      <w:bookmarkStart w:id="118" w:name="_Toc351203652"/>
      <w:r>
        <w:rPr>
          <w:rFonts w:hint="eastAsia" w:ascii="宋体" w:hAnsi="宋体" w:cs="宋体"/>
          <w:color w:val="auto"/>
          <w:sz w:val="22"/>
          <w:szCs w:val="22"/>
        </w:rPr>
        <w:t>1</w:t>
      </w:r>
      <w:bookmarkStart w:id="119" w:name="_Toc296944495"/>
      <w:bookmarkStart w:id="120" w:name="_Toc297048342"/>
      <w:bookmarkStart w:id="121" w:name="_Toc292559361"/>
      <w:bookmarkStart w:id="122" w:name="_Toc296346657"/>
      <w:bookmarkStart w:id="123" w:name="_Toc296347155"/>
      <w:bookmarkStart w:id="124" w:name="_Toc296891196"/>
      <w:bookmarkStart w:id="125" w:name="_Toc292559866"/>
      <w:bookmarkStart w:id="126" w:name="_Toc296503156"/>
      <w:bookmarkStart w:id="127" w:name="_Toc297120456"/>
      <w:bookmarkStart w:id="128" w:name="_Toc296890984"/>
      <w:r>
        <w:rPr>
          <w:rFonts w:hint="eastAsia" w:ascii="宋体" w:hAnsi="宋体" w:cs="宋体"/>
          <w:color w:val="auto"/>
          <w:sz w:val="22"/>
          <w:szCs w:val="22"/>
        </w:rPr>
        <w:t>. 一般约定</w:t>
      </w:r>
      <w:bookmarkEnd w:id="111"/>
      <w:bookmarkEnd w:id="112"/>
      <w:bookmarkEnd w:id="113"/>
      <w:bookmarkEnd w:id="114"/>
      <w:bookmarkEnd w:id="115"/>
      <w:bookmarkEnd w:id="116"/>
      <w:bookmarkEnd w:id="117"/>
    </w:p>
    <w:bookmarkEnd w:id="119"/>
    <w:bookmarkEnd w:id="120"/>
    <w:bookmarkEnd w:id="121"/>
    <w:bookmarkEnd w:id="122"/>
    <w:bookmarkEnd w:id="123"/>
    <w:bookmarkEnd w:id="124"/>
    <w:bookmarkEnd w:id="125"/>
    <w:bookmarkEnd w:id="126"/>
    <w:bookmarkEnd w:id="127"/>
    <w:bookmarkEnd w:id="128"/>
    <w:p w14:paraId="2F58CCAA">
      <w:pPr>
        <w:pStyle w:val="39"/>
        <w:spacing w:line="360" w:lineRule="exact"/>
        <w:ind w:firstLine="442" w:firstLineChars="200"/>
        <w:rPr>
          <w:rFonts w:hint="eastAsia" w:ascii="宋体" w:hAnsi="宋体" w:cs="宋体"/>
          <w:color w:val="auto"/>
          <w:sz w:val="22"/>
          <w:szCs w:val="22"/>
        </w:rPr>
      </w:pPr>
      <w:bookmarkStart w:id="129" w:name="_Toc373227693"/>
      <w:bookmarkStart w:id="130" w:name="_Toc533432718"/>
      <w:bookmarkStart w:id="131" w:name="_Toc395382495"/>
      <w:bookmarkStart w:id="132" w:name="_Toc389065259"/>
      <w:bookmarkStart w:id="133" w:name="_Toc12975883"/>
      <w:bookmarkStart w:id="134" w:name="_Toc373478340"/>
      <w:r>
        <w:rPr>
          <w:rFonts w:hint="eastAsia" w:ascii="宋体" w:hAnsi="宋体" w:cs="宋体"/>
          <w:color w:val="auto"/>
          <w:sz w:val="22"/>
          <w:szCs w:val="22"/>
        </w:rPr>
        <w:t>1.1 词语定义</w:t>
      </w:r>
      <w:bookmarkEnd w:id="129"/>
      <w:bookmarkEnd w:id="130"/>
      <w:bookmarkEnd w:id="131"/>
      <w:bookmarkEnd w:id="132"/>
      <w:bookmarkEnd w:id="133"/>
      <w:bookmarkEnd w:id="134"/>
    </w:p>
    <w:p w14:paraId="0CDDC8B8">
      <w:pPr>
        <w:pStyle w:val="40"/>
        <w:spacing w:line="360" w:lineRule="exact"/>
        <w:ind w:firstLine="440" w:firstLineChars="200"/>
        <w:rPr>
          <w:rFonts w:hint="eastAsia" w:ascii="宋体" w:hAnsi="宋体" w:cs="宋体"/>
          <w:color w:val="auto"/>
          <w:kern w:val="0"/>
          <w:sz w:val="22"/>
        </w:rPr>
      </w:pPr>
      <w:r>
        <w:rPr>
          <w:rFonts w:hint="eastAsia" w:ascii="宋体" w:hAnsi="宋体" w:cs="宋体"/>
          <w:color w:val="auto"/>
          <w:kern w:val="0"/>
          <w:sz w:val="22"/>
        </w:rPr>
        <w:t>1.1.1 合同</w:t>
      </w:r>
    </w:p>
    <w:p w14:paraId="2AE7B001">
      <w:pPr>
        <w:pStyle w:val="40"/>
        <w:spacing w:line="360" w:lineRule="exact"/>
        <w:ind w:firstLine="440" w:firstLineChars="200"/>
        <w:rPr>
          <w:rFonts w:hint="eastAsia" w:ascii="宋体" w:hAnsi="宋体" w:cs="宋体"/>
          <w:color w:val="auto"/>
          <w:kern w:val="0"/>
          <w:sz w:val="22"/>
        </w:rPr>
      </w:pPr>
      <w:r>
        <w:rPr>
          <w:rFonts w:hint="eastAsia" w:ascii="宋体" w:hAnsi="宋体" w:cs="宋体"/>
          <w:color w:val="auto"/>
          <w:kern w:val="0"/>
          <w:sz w:val="22"/>
        </w:rPr>
        <w:t>1.1.1.10 其他合同文件包括：</w:t>
      </w:r>
      <w:r>
        <w:rPr>
          <w:rFonts w:hint="eastAsia" w:ascii="宋体" w:hAnsi="宋体" w:cs="宋体"/>
          <w:color w:val="auto"/>
          <w:kern w:val="0"/>
          <w:sz w:val="22"/>
          <w:u w:val="single"/>
        </w:rPr>
        <w:t>响应文件及其附件，磋商文件（含补充通知和答疑），农民工工资保证金缴纳证明；履行合同过程中双方法定代表人书面确认的对合同内容有实质性影响的补充协议。任何形式的会议纪要均不能作为合同的组成部分，也不能作为修改合同的依据。发包人及监理人作出的口头承诺均不属于合同的组成部分</w:t>
      </w:r>
      <w:r>
        <w:rPr>
          <w:rFonts w:hint="eastAsia" w:ascii="宋体" w:hAnsi="宋体" w:cs="宋体"/>
          <w:color w:val="auto"/>
          <w:sz w:val="22"/>
          <w:u w:val="none"/>
        </w:rPr>
        <w:t>。</w:t>
      </w:r>
    </w:p>
    <w:p w14:paraId="1391B9E4">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1.1.2 合同当事人及其他相关方</w:t>
      </w:r>
    </w:p>
    <w:p w14:paraId="28BCA21C">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1.1.2.4 监理人：</w:t>
      </w:r>
    </w:p>
    <w:p w14:paraId="7F769BD5">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名    称：</w:t>
      </w:r>
      <w:r>
        <w:rPr>
          <w:rFonts w:hint="eastAsia" w:ascii="宋体" w:hAnsi="宋体" w:cs="宋体"/>
          <w:color w:val="auto"/>
          <w:sz w:val="22"/>
          <w:u w:val="single"/>
        </w:rPr>
        <w:t xml:space="preserve">待定              </w:t>
      </w:r>
      <w:r>
        <w:rPr>
          <w:rFonts w:hint="eastAsia" w:ascii="宋体" w:hAnsi="宋体" w:cs="宋体"/>
          <w:color w:val="auto"/>
          <w:sz w:val="22"/>
        </w:rPr>
        <w:t>；</w:t>
      </w:r>
    </w:p>
    <w:p w14:paraId="116E24D9">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资质类别和等级：</w:t>
      </w:r>
      <w:r>
        <w:rPr>
          <w:rFonts w:hint="eastAsia" w:ascii="宋体" w:hAnsi="宋体" w:cs="宋体"/>
          <w:color w:val="auto"/>
          <w:sz w:val="22"/>
          <w:u w:val="single"/>
        </w:rPr>
        <w:t>               </w:t>
      </w:r>
      <w:r>
        <w:rPr>
          <w:rFonts w:hint="eastAsia" w:ascii="宋体" w:hAnsi="宋体" w:cs="宋体"/>
          <w:color w:val="auto"/>
          <w:sz w:val="22"/>
        </w:rPr>
        <w:t>；</w:t>
      </w:r>
    </w:p>
    <w:p w14:paraId="0DCB2644">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联系电话：</w:t>
      </w:r>
      <w:r>
        <w:rPr>
          <w:rFonts w:hint="eastAsia" w:ascii="宋体" w:hAnsi="宋体" w:cs="宋体"/>
          <w:color w:val="auto"/>
          <w:sz w:val="22"/>
          <w:u w:val="single"/>
        </w:rPr>
        <w:t>                </w:t>
      </w:r>
      <w:r>
        <w:rPr>
          <w:rFonts w:hint="eastAsia" w:ascii="宋体" w:hAnsi="宋体" w:cs="宋体"/>
          <w:color w:val="auto"/>
          <w:sz w:val="22"/>
        </w:rPr>
        <w:t>；</w:t>
      </w:r>
    </w:p>
    <w:p w14:paraId="0A1951F9">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电子信箱：</w:t>
      </w:r>
      <w:r>
        <w:rPr>
          <w:rFonts w:hint="eastAsia" w:ascii="宋体" w:hAnsi="宋体" w:cs="宋体"/>
          <w:color w:val="auto"/>
          <w:sz w:val="22"/>
          <w:u w:val="single"/>
        </w:rPr>
        <w:t>                </w:t>
      </w:r>
      <w:r>
        <w:rPr>
          <w:rFonts w:hint="eastAsia" w:ascii="宋体" w:hAnsi="宋体" w:cs="宋体"/>
          <w:color w:val="auto"/>
          <w:sz w:val="22"/>
        </w:rPr>
        <w:t>；</w:t>
      </w:r>
    </w:p>
    <w:p w14:paraId="694D97DC">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通信地址：</w:t>
      </w:r>
      <w:r>
        <w:rPr>
          <w:rFonts w:hint="eastAsia" w:ascii="宋体" w:hAnsi="宋体" w:cs="宋体"/>
          <w:color w:val="auto"/>
          <w:sz w:val="22"/>
          <w:u w:val="single"/>
        </w:rPr>
        <w:t>                </w:t>
      </w:r>
      <w:r>
        <w:rPr>
          <w:rFonts w:hint="eastAsia" w:ascii="宋体" w:hAnsi="宋体" w:cs="宋体"/>
          <w:color w:val="auto"/>
          <w:sz w:val="22"/>
        </w:rPr>
        <w:t>。</w:t>
      </w:r>
    </w:p>
    <w:p w14:paraId="43DD9CC9">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1.1.2.5 设计人：</w:t>
      </w:r>
    </w:p>
    <w:p w14:paraId="7E53613E">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名    称：</w:t>
      </w:r>
      <w:r>
        <w:rPr>
          <w:rFonts w:hint="eastAsia" w:ascii="宋体" w:hAnsi="宋体" w:cs="宋体"/>
          <w:color w:val="auto"/>
          <w:sz w:val="22"/>
          <w:u w:val="single"/>
        </w:rPr>
        <w:t xml:space="preserve">                 </w:t>
      </w:r>
      <w:r>
        <w:rPr>
          <w:rFonts w:hint="eastAsia" w:ascii="宋体" w:hAnsi="宋体" w:cs="宋体"/>
          <w:color w:val="auto"/>
          <w:sz w:val="22"/>
        </w:rPr>
        <w:t>；</w:t>
      </w:r>
    </w:p>
    <w:p w14:paraId="4DCD7327">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资质类别和等级：</w:t>
      </w:r>
      <w:r>
        <w:rPr>
          <w:rFonts w:hint="eastAsia" w:ascii="宋体" w:hAnsi="宋体" w:cs="宋体"/>
          <w:color w:val="auto"/>
          <w:sz w:val="22"/>
          <w:u w:val="single"/>
        </w:rPr>
        <w:t>               </w:t>
      </w:r>
      <w:r>
        <w:rPr>
          <w:rFonts w:hint="eastAsia" w:ascii="宋体" w:hAnsi="宋体" w:cs="宋体"/>
          <w:color w:val="auto"/>
          <w:sz w:val="22"/>
        </w:rPr>
        <w:t>；</w:t>
      </w:r>
    </w:p>
    <w:p w14:paraId="5182AF2D">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联系电话：</w:t>
      </w:r>
      <w:r>
        <w:rPr>
          <w:rFonts w:hint="eastAsia" w:ascii="宋体" w:hAnsi="宋体" w:cs="宋体"/>
          <w:color w:val="auto"/>
          <w:sz w:val="22"/>
          <w:u w:val="single"/>
        </w:rPr>
        <w:t>                 </w:t>
      </w:r>
      <w:r>
        <w:rPr>
          <w:rFonts w:hint="eastAsia" w:ascii="宋体" w:hAnsi="宋体" w:cs="宋体"/>
          <w:color w:val="auto"/>
          <w:sz w:val="22"/>
        </w:rPr>
        <w:t>；</w:t>
      </w:r>
    </w:p>
    <w:p w14:paraId="2F07809A">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电子信箱：</w:t>
      </w:r>
      <w:r>
        <w:rPr>
          <w:rFonts w:hint="eastAsia" w:ascii="宋体" w:hAnsi="宋体" w:cs="宋体"/>
          <w:color w:val="auto"/>
          <w:sz w:val="22"/>
          <w:u w:val="single"/>
        </w:rPr>
        <w:t xml:space="preserve">                    </w:t>
      </w:r>
      <w:r>
        <w:rPr>
          <w:rFonts w:hint="eastAsia" w:ascii="宋体" w:hAnsi="宋体" w:cs="宋体"/>
          <w:color w:val="auto"/>
          <w:sz w:val="22"/>
        </w:rPr>
        <w:t>；</w:t>
      </w:r>
    </w:p>
    <w:p w14:paraId="0D70B63B">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通信地址：</w:t>
      </w:r>
      <w:r>
        <w:rPr>
          <w:rFonts w:hint="eastAsia" w:ascii="宋体" w:hAnsi="宋体" w:cs="宋体"/>
          <w:color w:val="auto"/>
          <w:sz w:val="22"/>
          <w:u w:val="single"/>
        </w:rPr>
        <w:t>                </w:t>
      </w:r>
      <w:r>
        <w:rPr>
          <w:rFonts w:hint="eastAsia" w:ascii="宋体" w:hAnsi="宋体" w:cs="宋体"/>
          <w:color w:val="auto"/>
          <w:sz w:val="22"/>
        </w:rPr>
        <w:t>。</w:t>
      </w:r>
    </w:p>
    <w:p w14:paraId="3B287798">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1.1.3 工程和设备</w:t>
      </w:r>
    </w:p>
    <w:p w14:paraId="212F0279">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1.1.3.7 作为施工现场组成部分的其他场所包括：</w:t>
      </w:r>
      <w:r>
        <w:rPr>
          <w:rFonts w:hint="eastAsia" w:ascii="宋体" w:hAnsi="宋体" w:cs="宋体"/>
          <w:color w:val="auto"/>
          <w:sz w:val="22"/>
          <w:u w:val="single"/>
        </w:rPr>
        <w:t xml:space="preserve"> 指用于合同工程施工的场所，以及在合同中指定作为施工场地组成部分的其他场所，包括永久占地和临时占地。</w:t>
      </w:r>
    </w:p>
    <w:p w14:paraId="37B47CE3">
      <w:pPr>
        <w:pStyle w:val="4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kern w:val="0"/>
          <w:sz w:val="22"/>
        </w:rPr>
        <w:t>1.1.3.9 永久占地包括：</w:t>
      </w:r>
      <w:r>
        <w:rPr>
          <w:rFonts w:hint="eastAsia" w:ascii="宋体" w:hAnsi="宋体" w:cs="宋体"/>
          <w:color w:val="auto"/>
          <w:sz w:val="22"/>
          <w:u w:val="single"/>
        </w:rPr>
        <w:t xml:space="preserve">  依据选址图、设计图纸或其他文件规定的范围 </w:t>
      </w:r>
      <w:r>
        <w:rPr>
          <w:rFonts w:hint="eastAsia" w:ascii="宋体" w:hAnsi="宋体" w:cs="宋体"/>
          <w:color w:val="auto"/>
          <w:kern w:val="0"/>
          <w:sz w:val="22"/>
        </w:rPr>
        <w:t>。</w:t>
      </w:r>
    </w:p>
    <w:p w14:paraId="2AD91BB7">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kern w:val="0"/>
          <w:sz w:val="22"/>
          <w:szCs w:val="22"/>
        </w:rPr>
        <w:t>1.1.3.10 临时占地包括：</w:t>
      </w:r>
      <w:r>
        <w:rPr>
          <w:rFonts w:hint="eastAsia" w:ascii="宋体" w:hAnsi="宋体" w:cs="宋体"/>
          <w:color w:val="auto"/>
          <w:kern w:val="0"/>
          <w:sz w:val="22"/>
          <w:szCs w:val="22"/>
          <w:u w:val="single"/>
        </w:rPr>
        <w:t>指为完成合同约定的永久工程所修建的各类临时性工程所占用的土地</w:t>
      </w:r>
      <w:r>
        <w:rPr>
          <w:rFonts w:hint="eastAsia" w:ascii="宋体" w:hAnsi="宋体" w:cs="宋体"/>
          <w:color w:val="auto"/>
          <w:sz w:val="22"/>
          <w:szCs w:val="22"/>
          <w:u w:val="none"/>
        </w:rPr>
        <w:t>。</w:t>
      </w:r>
    </w:p>
    <w:p w14:paraId="62D90E55">
      <w:pPr>
        <w:pStyle w:val="39"/>
        <w:spacing w:line="360" w:lineRule="exact"/>
        <w:ind w:firstLine="442" w:firstLineChars="200"/>
        <w:rPr>
          <w:rFonts w:hint="eastAsia" w:ascii="宋体" w:hAnsi="宋体" w:cs="宋体"/>
          <w:color w:val="auto"/>
          <w:sz w:val="22"/>
          <w:szCs w:val="22"/>
        </w:rPr>
      </w:pPr>
      <w:bookmarkStart w:id="135" w:name="_Toc533432719"/>
      <w:bookmarkStart w:id="136" w:name="_Toc12975884"/>
      <w:bookmarkStart w:id="137" w:name="_Toc373227694"/>
      <w:bookmarkStart w:id="138" w:name="_Toc389065260"/>
      <w:bookmarkStart w:id="139" w:name="_Toc395382496"/>
      <w:bookmarkStart w:id="140" w:name="_Toc373478341"/>
      <w:r>
        <w:rPr>
          <w:rFonts w:hint="eastAsia" w:ascii="宋体" w:hAnsi="宋体" w:cs="宋体"/>
          <w:color w:val="auto"/>
          <w:sz w:val="22"/>
          <w:szCs w:val="22"/>
        </w:rPr>
        <w:t>1.3 法律</w:t>
      </w:r>
      <w:bookmarkEnd w:id="135"/>
      <w:bookmarkEnd w:id="136"/>
      <w:bookmarkEnd w:id="137"/>
      <w:bookmarkEnd w:id="138"/>
      <w:bookmarkEnd w:id="139"/>
      <w:bookmarkEnd w:id="140"/>
    </w:p>
    <w:p w14:paraId="13EE5785">
      <w:pPr>
        <w:pStyle w:val="40"/>
        <w:autoSpaceDE w:val="0"/>
        <w:autoSpaceDN w:val="0"/>
        <w:adjustRightInd w:val="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适用于合同的其他规范性文件：</w:t>
      </w:r>
      <w:r>
        <w:rPr>
          <w:rFonts w:hint="eastAsia" w:ascii="宋体" w:hAnsi="宋体" w:cs="宋体"/>
          <w:color w:val="auto"/>
          <w:sz w:val="22"/>
          <w:u w:val="single"/>
        </w:rPr>
        <w:t>现行的国家法律、行政法规及部门规章，工程所在地的政府及相关主管部门制定的规范性文件</w:t>
      </w:r>
      <w:r>
        <w:rPr>
          <w:rFonts w:hint="eastAsia" w:ascii="宋体" w:hAnsi="宋体" w:cs="宋体"/>
          <w:color w:val="auto"/>
          <w:sz w:val="22"/>
        </w:rPr>
        <w:t>。</w:t>
      </w:r>
    </w:p>
    <w:p w14:paraId="1858A238">
      <w:pPr>
        <w:pStyle w:val="39"/>
        <w:spacing w:line="360" w:lineRule="exact"/>
        <w:ind w:firstLine="442" w:firstLineChars="200"/>
        <w:rPr>
          <w:rFonts w:hint="eastAsia" w:ascii="宋体" w:hAnsi="宋体" w:cs="宋体"/>
          <w:color w:val="auto"/>
          <w:sz w:val="22"/>
          <w:szCs w:val="22"/>
        </w:rPr>
      </w:pPr>
      <w:bookmarkStart w:id="141" w:name="_Toc395382497"/>
      <w:bookmarkStart w:id="142" w:name="_Toc373478342"/>
      <w:bookmarkStart w:id="143" w:name="_Toc533432720"/>
      <w:bookmarkStart w:id="144" w:name="_Toc12975885"/>
      <w:bookmarkStart w:id="145" w:name="_Toc389065261"/>
      <w:bookmarkStart w:id="146" w:name="_Toc373227695"/>
      <w:r>
        <w:rPr>
          <w:rFonts w:hint="eastAsia" w:ascii="宋体" w:hAnsi="宋体" w:cs="宋体"/>
          <w:color w:val="auto"/>
          <w:sz w:val="22"/>
          <w:szCs w:val="22"/>
        </w:rPr>
        <w:t>1.4 标准和规范</w:t>
      </w:r>
      <w:bookmarkEnd w:id="141"/>
      <w:bookmarkEnd w:id="142"/>
      <w:bookmarkEnd w:id="143"/>
      <w:bookmarkEnd w:id="144"/>
      <w:bookmarkEnd w:id="145"/>
      <w:bookmarkEnd w:id="146"/>
    </w:p>
    <w:p w14:paraId="2B9600EF">
      <w:pPr>
        <w:pStyle w:val="40"/>
        <w:spacing w:line="360" w:lineRule="exact"/>
        <w:ind w:firstLine="440" w:firstLineChars="200"/>
        <w:rPr>
          <w:rFonts w:hint="eastAsia" w:ascii="宋体" w:hAnsi="宋体" w:cs="宋体"/>
          <w:color w:val="auto"/>
          <w:sz w:val="22"/>
          <w:u w:val="none"/>
        </w:rPr>
      </w:pPr>
      <w:r>
        <w:rPr>
          <w:rFonts w:hint="eastAsia" w:ascii="宋体" w:hAnsi="宋体" w:cs="宋体"/>
          <w:color w:val="auto"/>
          <w:sz w:val="22"/>
        </w:rPr>
        <w:t>1.4.1 适用于工程的标准规范包括：</w:t>
      </w:r>
      <w:r>
        <w:rPr>
          <w:rFonts w:hint="eastAsia" w:ascii="宋体" w:hAnsi="宋体" w:cs="宋体"/>
          <w:color w:val="auto"/>
          <w:sz w:val="22"/>
          <w:u w:val="single"/>
        </w:rPr>
        <w:t>国家现行的施工规范、验收规范、验收标准</w:t>
      </w:r>
      <w:r>
        <w:rPr>
          <w:rFonts w:hint="eastAsia" w:ascii="宋体" w:hAnsi="宋体" w:cs="宋体"/>
          <w:color w:val="auto"/>
          <w:sz w:val="22"/>
          <w:u w:val="none"/>
        </w:rPr>
        <w:t>。</w:t>
      </w:r>
    </w:p>
    <w:p w14:paraId="6E19DD08">
      <w:pPr>
        <w:pStyle w:val="40"/>
        <w:spacing w:line="360" w:lineRule="exact"/>
        <w:ind w:firstLine="440" w:firstLineChars="200"/>
        <w:rPr>
          <w:rFonts w:hint="eastAsia" w:ascii="宋体" w:hAnsi="宋体" w:cs="宋体"/>
          <w:color w:val="auto"/>
          <w:kern w:val="0"/>
          <w:sz w:val="22"/>
        </w:rPr>
      </w:pPr>
      <w:r>
        <w:rPr>
          <w:rFonts w:hint="eastAsia" w:ascii="宋体" w:hAnsi="宋体" w:cs="宋体"/>
          <w:color w:val="auto"/>
          <w:kern w:val="0"/>
          <w:sz w:val="22"/>
        </w:rPr>
        <w:t>1.4.2 发包人提供国外标准、规范的名称：</w:t>
      </w:r>
      <w:r>
        <w:rPr>
          <w:rFonts w:hint="eastAsia" w:ascii="宋体" w:hAnsi="宋体" w:cs="宋体"/>
          <w:color w:val="auto"/>
          <w:sz w:val="22"/>
          <w:u w:val="single"/>
        </w:rPr>
        <w:t>无</w:t>
      </w:r>
      <w:r>
        <w:rPr>
          <w:rFonts w:hint="eastAsia" w:ascii="宋体" w:hAnsi="宋体" w:cs="宋体"/>
          <w:color w:val="auto"/>
          <w:sz w:val="22"/>
        </w:rPr>
        <w:t>；</w:t>
      </w:r>
    </w:p>
    <w:p w14:paraId="7F377840">
      <w:pPr>
        <w:pStyle w:val="40"/>
        <w:spacing w:line="360" w:lineRule="exact"/>
        <w:ind w:firstLine="440" w:firstLineChars="200"/>
        <w:rPr>
          <w:rFonts w:hint="eastAsia" w:ascii="宋体" w:hAnsi="宋体" w:cs="宋体"/>
          <w:color w:val="auto"/>
          <w:sz w:val="22"/>
        </w:rPr>
      </w:pPr>
      <w:r>
        <w:rPr>
          <w:rFonts w:hint="eastAsia" w:ascii="宋体" w:hAnsi="宋体" w:cs="宋体"/>
          <w:color w:val="auto"/>
          <w:kern w:val="0"/>
          <w:sz w:val="22"/>
        </w:rPr>
        <w:t>发包人提供国外标准、规范的份数：</w:t>
      </w:r>
      <w:r>
        <w:rPr>
          <w:rFonts w:hint="eastAsia" w:ascii="宋体" w:hAnsi="宋体" w:cs="宋体"/>
          <w:color w:val="auto"/>
          <w:kern w:val="0"/>
          <w:sz w:val="22"/>
          <w:u w:val="single"/>
        </w:rPr>
        <w:t xml:space="preserve">无 </w:t>
      </w:r>
      <w:r>
        <w:rPr>
          <w:rFonts w:hint="eastAsia" w:ascii="宋体" w:hAnsi="宋体" w:cs="宋体"/>
          <w:color w:val="auto"/>
          <w:kern w:val="0"/>
          <w:sz w:val="22"/>
        </w:rPr>
        <w:t>。</w:t>
      </w:r>
    </w:p>
    <w:p w14:paraId="58F9A4BD">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1.4.3 发包人对工程的技术标准和功能要求的特殊要求：</w:t>
      </w:r>
      <w:r>
        <w:rPr>
          <w:rFonts w:hint="eastAsia" w:ascii="宋体" w:hAnsi="宋体" w:cs="宋体"/>
          <w:color w:val="auto"/>
          <w:sz w:val="22"/>
          <w:lang w:val="en-US" w:eastAsia="zh-CN"/>
        </w:rPr>
        <w:t xml:space="preserve"> </w:t>
      </w:r>
      <w:r>
        <w:rPr>
          <w:rFonts w:hint="eastAsia" w:ascii="宋体" w:hAnsi="宋体" w:cs="宋体"/>
          <w:color w:val="auto"/>
          <w:sz w:val="22"/>
          <w:u w:val="single"/>
        </w:rPr>
        <w:t xml:space="preserve">无 </w:t>
      </w:r>
      <w:r>
        <w:rPr>
          <w:rFonts w:hint="eastAsia" w:ascii="宋体" w:hAnsi="宋体" w:cs="宋体"/>
          <w:color w:val="auto"/>
          <w:sz w:val="22"/>
        </w:rPr>
        <w:t>。</w:t>
      </w:r>
    </w:p>
    <w:p w14:paraId="4C7BD1E3">
      <w:pPr>
        <w:pStyle w:val="39"/>
        <w:spacing w:line="360" w:lineRule="exact"/>
        <w:ind w:firstLine="442" w:firstLineChars="200"/>
        <w:rPr>
          <w:rFonts w:hint="eastAsia" w:ascii="宋体" w:hAnsi="宋体" w:cs="宋体"/>
          <w:color w:val="auto"/>
          <w:sz w:val="22"/>
          <w:szCs w:val="22"/>
        </w:rPr>
      </w:pPr>
      <w:bookmarkStart w:id="147" w:name="_Toc373478343"/>
      <w:bookmarkStart w:id="148" w:name="_Toc533432721"/>
      <w:bookmarkStart w:id="149" w:name="_Toc12975886"/>
      <w:bookmarkStart w:id="150" w:name="_Toc395382498"/>
      <w:bookmarkStart w:id="151" w:name="_Toc373227696"/>
      <w:bookmarkStart w:id="152" w:name="_Toc389065262"/>
      <w:r>
        <w:rPr>
          <w:rFonts w:hint="eastAsia" w:ascii="宋体" w:hAnsi="宋体" w:cs="宋体"/>
          <w:color w:val="auto"/>
          <w:sz w:val="22"/>
          <w:szCs w:val="22"/>
        </w:rPr>
        <w:t>1.5 合同文件的优先顺序</w:t>
      </w:r>
      <w:bookmarkEnd w:id="147"/>
      <w:bookmarkEnd w:id="148"/>
      <w:bookmarkEnd w:id="149"/>
      <w:bookmarkEnd w:id="150"/>
      <w:bookmarkEnd w:id="151"/>
      <w:bookmarkEnd w:id="152"/>
    </w:p>
    <w:p w14:paraId="5800CB4E">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合同文件组成及优先顺序为：</w:t>
      </w:r>
    </w:p>
    <w:p w14:paraId="475A7854">
      <w:pPr>
        <w:pStyle w:val="40"/>
        <w:numPr>
          <w:ilvl w:val="0"/>
          <w:numId w:val="0"/>
        </w:numPr>
        <w:spacing w:line="360" w:lineRule="exact"/>
        <w:ind w:firstLine="440" w:firstLineChars="200"/>
        <w:rPr>
          <w:rFonts w:hint="eastAsia" w:ascii="宋体" w:hAnsi="宋体" w:cs="宋体"/>
          <w:color w:val="auto"/>
          <w:kern w:val="0"/>
          <w:sz w:val="22"/>
        </w:rPr>
      </w:pPr>
      <w:r>
        <w:rPr>
          <w:rFonts w:hint="eastAsia" w:ascii="宋体" w:hAnsi="宋体" w:cs="宋体"/>
          <w:color w:val="auto"/>
          <w:kern w:val="0"/>
          <w:sz w:val="22"/>
          <w:lang w:eastAsia="zh-CN"/>
        </w:rPr>
        <w:t>（</w:t>
      </w:r>
      <w:r>
        <w:rPr>
          <w:rFonts w:hint="eastAsia" w:ascii="宋体" w:hAnsi="宋体" w:cs="宋体"/>
          <w:color w:val="auto"/>
          <w:kern w:val="0"/>
          <w:sz w:val="22"/>
          <w:lang w:val="en-US" w:eastAsia="zh-CN"/>
        </w:rPr>
        <w:t>1</w:t>
      </w:r>
      <w:r>
        <w:rPr>
          <w:rFonts w:hint="eastAsia" w:ascii="宋体" w:hAnsi="宋体" w:cs="宋体"/>
          <w:color w:val="auto"/>
          <w:kern w:val="0"/>
          <w:sz w:val="22"/>
          <w:lang w:eastAsia="zh-CN"/>
        </w:rPr>
        <w:t>）</w:t>
      </w:r>
      <w:r>
        <w:rPr>
          <w:rFonts w:hint="eastAsia" w:ascii="宋体" w:hAnsi="宋体" w:cs="宋体"/>
          <w:color w:val="auto"/>
          <w:kern w:val="0"/>
          <w:sz w:val="22"/>
        </w:rPr>
        <w:t>合同协议书</w:t>
      </w:r>
    </w:p>
    <w:p w14:paraId="3E2D71FD">
      <w:pPr>
        <w:pStyle w:val="40"/>
        <w:spacing w:line="360" w:lineRule="exact"/>
        <w:ind w:left="420" w:leftChars="200" w:firstLine="440" w:firstLineChars="200"/>
        <w:rPr>
          <w:rFonts w:hint="eastAsia" w:ascii="宋体" w:hAnsi="宋体" w:cs="宋体"/>
          <w:color w:val="auto"/>
          <w:kern w:val="0"/>
          <w:sz w:val="22"/>
        </w:rPr>
      </w:pPr>
      <w:r>
        <w:rPr>
          <w:rFonts w:hint="eastAsia" w:ascii="宋体" w:hAnsi="宋体" w:cs="宋体"/>
          <w:color w:val="auto"/>
          <w:kern w:val="0"/>
          <w:sz w:val="22"/>
        </w:rPr>
        <w:t>（2）成交通知书；</w:t>
      </w:r>
    </w:p>
    <w:p w14:paraId="3F79FC85">
      <w:pPr>
        <w:pStyle w:val="40"/>
        <w:spacing w:line="360" w:lineRule="exact"/>
        <w:ind w:firstLine="440" w:firstLineChars="200"/>
        <w:rPr>
          <w:rFonts w:hint="eastAsia" w:ascii="宋体" w:hAnsi="宋体" w:cs="宋体"/>
          <w:color w:val="auto"/>
          <w:kern w:val="0"/>
          <w:sz w:val="22"/>
        </w:rPr>
      </w:pPr>
      <w:r>
        <w:rPr>
          <w:rFonts w:hint="eastAsia" w:ascii="宋体" w:hAnsi="宋体" w:cs="宋体"/>
          <w:color w:val="auto"/>
          <w:kern w:val="0"/>
          <w:sz w:val="22"/>
        </w:rPr>
        <w:t>（3）磋商函及其附录；</w:t>
      </w:r>
    </w:p>
    <w:p w14:paraId="71FB3FFA">
      <w:pPr>
        <w:pStyle w:val="40"/>
        <w:spacing w:line="360" w:lineRule="exact"/>
        <w:ind w:firstLine="440" w:firstLineChars="200"/>
        <w:rPr>
          <w:rFonts w:hint="eastAsia" w:ascii="宋体" w:hAnsi="宋体" w:cs="宋体"/>
          <w:color w:val="auto"/>
          <w:kern w:val="0"/>
          <w:sz w:val="22"/>
        </w:rPr>
      </w:pPr>
      <w:r>
        <w:rPr>
          <w:rFonts w:hint="eastAsia" w:ascii="宋体" w:hAnsi="宋体" w:cs="宋体"/>
          <w:color w:val="auto"/>
          <w:kern w:val="0"/>
          <w:sz w:val="22"/>
        </w:rPr>
        <w:t>（4）专用合同条款及其附件；</w:t>
      </w:r>
    </w:p>
    <w:p w14:paraId="1F1E4400">
      <w:pPr>
        <w:pStyle w:val="40"/>
        <w:spacing w:line="360" w:lineRule="exact"/>
        <w:ind w:firstLine="440" w:firstLineChars="200"/>
        <w:rPr>
          <w:rFonts w:hint="eastAsia" w:ascii="宋体" w:hAnsi="宋体" w:cs="宋体"/>
          <w:color w:val="auto"/>
          <w:kern w:val="0"/>
          <w:sz w:val="22"/>
        </w:rPr>
      </w:pPr>
      <w:r>
        <w:rPr>
          <w:rFonts w:hint="eastAsia" w:ascii="宋体" w:hAnsi="宋体" w:cs="宋体"/>
          <w:color w:val="auto"/>
          <w:kern w:val="0"/>
          <w:sz w:val="22"/>
        </w:rPr>
        <w:t>（5）通用合同条款；</w:t>
      </w:r>
    </w:p>
    <w:p w14:paraId="0EB657A1">
      <w:pPr>
        <w:pStyle w:val="40"/>
        <w:spacing w:line="360" w:lineRule="exact"/>
        <w:ind w:firstLine="440" w:firstLineChars="200"/>
        <w:rPr>
          <w:rFonts w:hint="eastAsia" w:ascii="宋体" w:hAnsi="宋体" w:cs="宋体"/>
          <w:color w:val="auto"/>
          <w:kern w:val="0"/>
          <w:sz w:val="22"/>
        </w:rPr>
      </w:pPr>
      <w:r>
        <w:rPr>
          <w:rFonts w:hint="eastAsia" w:ascii="宋体" w:hAnsi="宋体" w:cs="宋体"/>
          <w:color w:val="auto"/>
          <w:kern w:val="0"/>
          <w:sz w:val="22"/>
        </w:rPr>
        <w:t>（6）</w:t>
      </w:r>
      <w:r>
        <w:rPr>
          <w:rFonts w:hint="eastAsia" w:ascii="宋体" w:hAnsi="宋体" w:cs="宋体"/>
          <w:color w:val="auto"/>
          <w:kern w:val="0"/>
          <w:sz w:val="22"/>
          <w:u w:val="single"/>
        </w:rPr>
        <w:t xml:space="preserve">  技术标准和要求 </w:t>
      </w:r>
      <w:r>
        <w:rPr>
          <w:rFonts w:hint="eastAsia" w:ascii="宋体" w:hAnsi="宋体" w:cs="宋体"/>
          <w:color w:val="auto"/>
          <w:kern w:val="0"/>
          <w:sz w:val="22"/>
        </w:rPr>
        <w:t>；</w:t>
      </w:r>
    </w:p>
    <w:p w14:paraId="5400D79D">
      <w:pPr>
        <w:pStyle w:val="40"/>
        <w:spacing w:line="360" w:lineRule="exact"/>
        <w:ind w:firstLine="440" w:firstLineChars="200"/>
        <w:rPr>
          <w:rFonts w:hint="eastAsia" w:ascii="宋体" w:hAnsi="宋体" w:cs="宋体"/>
          <w:color w:val="auto"/>
          <w:kern w:val="0"/>
          <w:sz w:val="22"/>
        </w:rPr>
      </w:pPr>
      <w:r>
        <w:rPr>
          <w:rFonts w:hint="eastAsia" w:ascii="宋体" w:hAnsi="宋体" w:cs="宋体"/>
          <w:color w:val="auto"/>
          <w:kern w:val="0"/>
          <w:sz w:val="22"/>
        </w:rPr>
        <w:t>（7）</w:t>
      </w:r>
      <w:r>
        <w:rPr>
          <w:rFonts w:hint="eastAsia" w:ascii="宋体" w:hAnsi="宋体" w:cs="宋体"/>
          <w:color w:val="auto"/>
          <w:kern w:val="0"/>
          <w:sz w:val="22"/>
          <w:u w:val="single"/>
        </w:rPr>
        <w:t xml:space="preserve">  已标价工程量清单或预算书 </w:t>
      </w:r>
      <w:r>
        <w:rPr>
          <w:rFonts w:hint="eastAsia" w:ascii="宋体" w:hAnsi="宋体" w:cs="宋体"/>
          <w:color w:val="auto"/>
          <w:kern w:val="0"/>
          <w:sz w:val="22"/>
        </w:rPr>
        <w:t>；</w:t>
      </w:r>
    </w:p>
    <w:p w14:paraId="2BD0AC81">
      <w:pPr>
        <w:pStyle w:val="40"/>
        <w:spacing w:line="360" w:lineRule="exact"/>
        <w:ind w:firstLine="440" w:firstLineChars="200"/>
        <w:rPr>
          <w:rFonts w:hint="eastAsia" w:ascii="宋体" w:hAnsi="宋体" w:cs="宋体"/>
          <w:color w:val="auto"/>
          <w:kern w:val="0"/>
          <w:sz w:val="22"/>
        </w:rPr>
      </w:pPr>
      <w:r>
        <w:rPr>
          <w:rFonts w:hint="eastAsia" w:ascii="宋体" w:hAnsi="宋体" w:cs="宋体"/>
          <w:color w:val="auto"/>
          <w:kern w:val="0"/>
          <w:sz w:val="22"/>
        </w:rPr>
        <w:t>（8）</w:t>
      </w:r>
      <w:r>
        <w:rPr>
          <w:rFonts w:hint="eastAsia" w:ascii="宋体" w:hAnsi="宋体" w:cs="宋体"/>
          <w:color w:val="auto"/>
          <w:kern w:val="0"/>
          <w:sz w:val="22"/>
          <w:u w:val="single"/>
        </w:rPr>
        <w:t xml:space="preserve">  图纸  </w:t>
      </w:r>
      <w:r>
        <w:rPr>
          <w:rFonts w:hint="eastAsia" w:ascii="宋体" w:hAnsi="宋体" w:cs="宋体"/>
          <w:color w:val="auto"/>
          <w:kern w:val="0"/>
          <w:sz w:val="22"/>
        </w:rPr>
        <w:t>；</w:t>
      </w:r>
    </w:p>
    <w:p w14:paraId="44733D09">
      <w:pPr>
        <w:pStyle w:val="40"/>
        <w:spacing w:line="360" w:lineRule="exact"/>
        <w:ind w:firstLine="440" w:firstLineChars="200"/>
        <w:rPr>
          <w:rFonts w:hint="eastAsia" w:ascii="宋体" w:hAnsi="宋体" w:cs="宋体"/>
          <w:color w:val="auto"/>
          <w:kern w:val="0"/>
          <w:sz w:val="22"/>
        </w:rPr>
      </w:pPr>
      <w:r>
        <w:rPr>
          <w:rFonts w:hint="eastAsia" w:ascii="宋体" w:hAnsi="宋体" w:cs="宋体"/>
          <w:color w:val="auto"/>
          <w:kern w:val="0"/>
          <w:sz w:val="22"/>
        </w:rPr>
        <w:t>（9）</w:t>
      </w:r>
      <w:r>
        <w:rPr>
          <w:rFonts w:hint="eastAsia" w:ascii="宋体" w:hAnsi="宋体" w:cs="宋体"/>
          <w:color w:val="auto"/>
          <w:kern w:val="0"/>
          <w:sz w:val="22"/>
          <w:u w:val="single"/>
        </w:rPr>
        <w:t xml:space="preserve">  其他合同文件</w:t>
      </w:r>
      <w:r>
        <w:rPr>
          <w:rFonts w:hint="eastAsia" w:ascii="宋体" w:hAnsi="宋体" w:cs="宋体"/>
          <w:color w:val="auto"/>
          <w:kern w:val="0"/>
          <w:sz w:val="22"/>
        </w:rPr>
        <w:t>。</w:t>
      </w:r>
    </w:p>
    <w:p w14:paraId="11192922">
      <w:pPr>
        <w:pStyle w:val="39"/>
        <w:spacing w:line="360" w:lineRule="exact"/>
        <w:ind w:firstLine="442" w:firstLineChars="200"/>
        <w:rPr>
          <w:rFonts w:hint="eastAsia" w:ascii="宋体" w:hAnsi="宋体" w:cs="宋体"/>
          <w:color w:val="auto"/>
          <w:sz w:val="22"/>
          <w:szCs w:val="22"/>
        </w:rPr>
      </w:pPr>
      <w:bookmarkStart w:id="153" w:name="_Toc373227697"/>
      <w:bookmarkStart w:id="154" w:name="_Toc12975887"/>
      <w:bookmarkStart w:id="155" w:name="_Toc395382499"/>
      <w:bookmarkStart w:id="156" w:name="_Toc373478344"/>
      <w:bookmarkStart w:id="157" w:name="_Toc533432722"/>
      <w:bookmarkStart w:id="158" w:name="_Toc389065263"/>
      <w:r>
        <w:rPr>
          <w:rFonts w:hint="eastAsia" w:ascii="宋体" w:hAnsi="宋体" w:cs="宋体"/>
          <w:color w:val="auto"/>
          <w:sz w:val="22"/>
          <w:szCs w:val="22"/>
        </w:rPr>
        <w:t>1.6 图纸和承包人文件</w:t>
      </w:r>
      <w:bookmarkEnd w:id="153"/>
      <w:bookmarkEnd w:id="154"/>
      <w:bookmarkEnd w:id="155"/>
      <w:bookmarkEnd w:id="156"/>
      <w:bookmarkEnd w:id="157"/>
      <w:bookmarkEnd w:id="158"/>
      <w:r>
        <w:rPr>
          <w:rFonts w:hint="eastAsia" w:ascii="宋体" w:hAnsi="宋体" w:cs="宋体"/>
          <w:color w:val="auto"/>
          <w:sz w:val="22"/>
          <w:szCs w:val="22"/>
        </w:rPr>
        <w:tab/>
      </w:r>
    </w:p>
    <w:p w14:paraId="09ADDBAD">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1.6.1 图纸的提供</w:t>
      </w:r>
    </w:p>
    <w:p w14:paraId="5FBC3D37">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发包人向承包人提供图纸的期限：</w:t>
      </w:r>
      <w:r>
        <w:rPr>
          <w:rFonts w:hint="eastAsia" w:ascii="宋体" w:hAnsi="宋体" w:cs="宋体"/>
          <w:color w:val="auto"/>
          <w:sz w:val="22"/>
          <w:u w:val="single"/>
          <w:lang w:val="en-US" w:eastAsia="zh-CN"/>
        </w:rPr>
        <w:t xml:space="preserve"> </w:t>
      </w:r>
      <w:r>
        <w:rPr>
          <w:rFonts w:hint="eastAsia" w:ascii="宋体" w:hAnsi="宋体" w:cs="宋体"/>
          <w:color w:val="auto"/>
          <w:sz w:val="22"/>
          <w:u w:val="single"/>
        </w:rPr>
        <w:t>合同签订</w:t>
      </w:r>
      <w:r>
        <w:rPr>
          <w:rFonts w:hint="eastAsia" w:ascii="宋体" w:hAnsi="宋体" w:cs="宋体"/>
          <w:color w:val="auto"/>
          <w:sz w:val="22"/>
          <w:highlight w:val="none"/>
          <w:u w:val="single"/>
        </w:rPr>
        <w:t>后</w:t>
      </w:r>
      <w:r>
        <w:rPr>
          <w:rFonts w:hint="eastAsia" w:ascii="宋体" w:hAnsi="宋体" w:cs="宋体"/>
          <w:color w:val="auto"/>
          <w:sz w:val="22"/>
          <w:highlight w:val="none"/>
          <w:u w:val="single"/>
          <w:lang w:val="en-US" w:eastAsia="zh-CN"/>
        </w:rPr>
        <w:t>14</w:t>
      </w:r>
      <w:r>
        <w:rPr>
          <w:rFonts w:hint="eastAsia" w:ascii="宋体" w:hAnsi="宋体" w:cs="宋体"/>
          <w:color w:val="auto"/>
          <w:sz w:val="22"/>
          <w:highlight w:val="none"/>
          <w:u w:val="single"/>
        </w:rPr>
        <w:t>天</w:t>
      </w:r>
      <w:r>
        <w:rPr>
          <w:rFonts w:hint="eastAsia" w:ascii="宋体" w:hAnsi="宋体" w:cs="宋体"/>
          <w:color w:val="auto"/>
          <w:sz w:val="22"/>
          <w:u w:val="single"/>
        </w:rPr>
        <w:t>内</w:t>
      </w:r>
      <w:r>
        <w:rPr>
          <w:rFonts w:hint="eastAsia" w:ascii="宋体" w:hAnsi="宋体" w:cs="宋体"/>
          <w:color w:val="auto"/>
          <w:sz w:val="22"/>
          <w:u w:val="single"/>
          <w:lang w:val="en-US" w:eastAsia="zh-CN"/>
        </w:rPr>
        <w:t xml:space="preserve"> </w:t>
      </w:r>
      <w:r>
        <w:rPr>
          <w:rFonts w:hint="eastAsia" w:ascii="宋体" w:hAnsi="宋体" w:cs="宋体"/>
          <w:color w:val="auto"/>
          <w:sz w:val="22"/>
        </w:rPr>
        <w:t>；</w:t>
      </w:r>
    </w:p>
    <w:p w14:paraId="4C576B70">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发包人向承包人提供图纸的数量：</w:t>
      </w:r>
      <w:r>
        <w:rPr>
          <w:rFonts w:hint="eastAsia" w:ascii="宋体" w:hAnsi="宋体" w:cs="宋体"/>
          <w:color w:val="auto"/>
          <w:sz w:val="22"/>
          <w:u w:val="single"/>
          <w:lang w:val="en-US" w:eastAsia="zh-CN"/>
        </w:rPr>
        <w:t xml:space="preserve"> </w:t>
      </w:r>
      <w:r>
        <w:rPr>
          <w:rFonts w:hint="eastAsia" w:ascii="宋体" w:hAnsi="宋体" w:cs="宋体"/>
          <w:color w:val="auto"/>
          <w:sz w:val="22"/>
          <w:u w:val="single"/>
        </w:rPr>
        <w:t>一套，承包人需要增加图纸套数的，发包人应代为复制，复制费用由承包人承担</w:t>
      </w:r>
      <w:r>
        <w:rPr>
          <w:rFonts w:hint="eastAsia" w:ascii="宋体" w:hAnsi="宋体" w:cs="宋体"/>
          <w:color w:val="auto"/>
          <w:sz w:val="22"/>
        </w:rPr>
        <w:t>；</w:t>
      </w:r>
    </w:p>
    <w:p w14:paraId="567364C6">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发包人向承包人提供图纸的内容：</w:t>
      </w:r>
      <w:r>
        <w:rPr>
          <w:rFonts w:hint="eastAsia" w:ascii="宋体" w:hAnsi="宋体" w:cs="宋体"/>
          <w:color w:val="auto"/>
          <w:sz w:val="22"/>
          <w:u w:val="single"/>
          <w:lang w:val="en-US" w:eastAsia="zh-CN"/>
        </w:rPr>
        <w:t xml:space="preserve"> </w:t>
      </w:r>
      <w:r>
        <w:rPr>
          <w:rFonts w:hint="eastAsia" w:ascii="宋体" w:hAnsi="宋体" w:cs="宋体"/>
          <w:color w:val="auto"/>
          <w:sz w:val="22"/>
          <w:u w:val="single"/>
        </w:rPr>
        <w:t xml:space="preserve">以图纸内容为准 </w:t>
      </w:r>
      <w:r>
        <w:rPr>
          <w:rFonts w:hint="eastAsia" w:ascii="宋体" w:hAnsi="宋体" w:cs="宋体"/>
          <w:color w:val="auto"/>
          <w:sz w:val="22"/>
        </w:rPr>
        <w:t>。</w:t>
      </w:r>
    </w:p>
    <w:p w14:paraId="11843948">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1.6.4 承包人文件</w:t>
      </w:r>
    </w:p>
    <w:p w14:paraId="2245F839">
      <w:pPr>
        <w:pStyle w:val="60"/>
        <w:spacing w:line="360" w:lineRule="exact"/>
        <w:ind w:firstLine="440" w:firstLineChars="200"/>
        <w:rPr>
          <w:rFonts w:hint="eastAsia" w:ascii="宋体" w:hAnsi="宋体" w:cs="宋体"/>
          <w:color w:val="auto"/>
          <w:sz w:val="22"/>
          <w:szCs w:val="22"/>
          <w:u w:val="single"/>
        </w:rPr>
      </w:pPr>
      <w:r>
        <w:rPr>
          <w:rFonts w:hint="eastAsia" w:ascii="宋体" w:hAnsi="宋体" w:cs="宋体"/>
          <w:color w:val="auto"/>
          <w:sz w:val="22"/>
          <w:szCs w:val="22"/>
        </w:rPr>
        <w:t>需要由承包人提供的文件，包括：</w:t>
      </w:r>
      <w:r>
        <w:rPr>
          <w:rFonts w:hint="eastAsia" w:ascii="宋体" w:hAnsi="宋体" w:cs="宋体"/>
          <w:color w:val="auto"/>
          <w:sz w:val="22"/>
          <w:szCs w:val="22"/>
          <w:u w:val="single"/>
          <w:lang w:val="en-US" w:eastAsia="zh-CN"/>
        </w:rPr>
        <w:t xml:space="preserve"> </w:t>
      </w:r>
      <w:r>
        <w:rPr>
          <w:rFonts w:hint="eastAsia" w:ascii="宋体" w:hAnsi="宋体" w:cs="宋体"/>
          <w:color w:val="auto"/>
          <w:sz w:val="22"/>
          <w:szCs w:val="22"/>
          <w:u w:val="single"/>
        </w:rPr>
        <w:t>（1）合同生效后15天内提供报建、报监及办理施工许可证等所需要的所有资料；（2）除另有约定外，合同生效后7天内应提供完善的（实施性）施工组织设计和安全专项方案及双方另行确定的其他文件</w:t>
      </w:r>
      <w:r>
        <w:rPr>
          <w:rFonts w:hint="eastAsia" w:ascii="宋体" w:hAnsi="宋体" w:cs="宋体"/>
          <w:color w:val="auto"/>
          <w:sz w:val="22"/>
          <w:szCs w:val="22"/>
        </w:rPr>
        <w:t>；</w:t>
      </w:r>
    </w:p>
    <w:p w14:paraId="2D63E886">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承包人提供的文件的期限为：</w:t>
      </w:r>
      <w:r>
        <w:rPr>
          <w:rFonts w:hint="eastAsia" w:ascii="宋体" w:hAnsi="宋体" w:cs="宋体"/>
          <w:color w:val="auto"/>
          <w:sz w:val="22"/>
          <w:u w:val="single"/>
          <w:lang w:val="en-US" w:eastAsia="zh-CN"/>
        </w:rPr>
        <w:t xml:space="preserve"> </w:t>
      </w:r>
      <w:r>
        <w:rPr>
          <w:rFonts w:hint="eastAsia" w:ascii="宋体" w:hAnsi="宋体" w:cs="宋体"/>
          <w:color w:val="auto"/>
          <w:sz w:val="22"/>
          <w:u w:val="single"/>
        </w:rPr>
        <w:t>报建手续开始前7天内</w:t>
      </w:r>
      <w:r>
        <w:rPr>
          <w:rFonts w:hint="eastAsia" w:ascii="宋体" w:hAnsi="宋体" w:cs="宋体"/>
          <w:color w:val="auto"/>
          <w:sz w:val="22"/>
        </w:rPr>
        <w:t>；</w:t>
      </w:r>
    </w:p>
    <w:p w14:paraId="2B936065">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承包人提供的文件的数量为：</w:t>
      </w:r>
      <w:r>
        <w:rPr>
          <w:rFonts w:hint="eastAsia" w:ascii="宋体" w:hAnsi="宋体" w:cs="宋体"/>
          <w:color w:val="auto"/>
          <w:sz w:val="22"/>
          <w:u w:val="single"/>
          <w:lang w:val="en-US" w:eastAsia="zh-CN"/>
        </w:rPr>
        <w:t xml:space="preserve"> </w:t>
      </w:r>
      <w:r>
        <w:rPr>
          <w:rFonts w:hint="eastAsia" w:ascii="宋体" w:hAnsi="宋体" w:cs="宋体"/>
          <w:color w:val="auto"/>
          <w:sz w:val="22"/>
          <w:u w:val="single"/>
        </w:rPr>
        <w:t>按实提供</w:t>
      </w:r>
      <w:r>
        <w:rPr>
          <w:rFonts w:hint="eastAsia" w:ascii="宋体" w:hAnsi="宋体" w:cs="宋体"/>
          <w:color w:val="auto"/>
          <w:sz w:val="22"/>
        </w:rPr>
        <w:t>；</w:t>
      </w:r>
    </w:p>
    <w:p w14:paraId="15F048C1">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rPr>
        <w:t>承包人提供的文件的形式为：</w:t>
      </w:r>
      <w:r>
        <w:rPr>
          <w:rFonts w:hint="eastAsia" w:ascii="宋体" w:hAnsi="宋体" w:cs="宋体"/>
          <w:color w:val="auto"/>
          <w:sz w:val="22"/>
          <w:u w:val="single"/>
          <w:lang w:val="en-US" w:eastAsia="zh-CN"/>
        </w:rPr>
        <w:t xml:space="preserve"> </w:t>
      </w:r>
      <w:r>
        <w:rPr>
          <w:rFonts w:hint="eastAsia" w:ascii="宋体" w:hAnsi="宋体" w:cs="宋体"/>
          <w:color w:val="auto"/>
          <w:sz w:val="22"/>
          <w:u w:val="single"/>
        </w:rPr>
        <w:t>书</w:t>
      </w:r>
      <w:r>
        <w:rPr>
          <w:rFonts w:hint="eastAsia" w:ascii="宋体" w:hAnsi="宋体" w:cs="宋体"/>
          <w:color w:val="auto"/>
          <w:sz w:val="22"/>
          <w:highlight w:val="none"/>
          <w:u w:val="single"/>
        </w:rPr>
        <w:t>面</w:t>
      </w:r>
      <w:r>
        <w:rPr>
          <w:rFonts w:hint="eastAsia" w:ascii="宋体" w:hAnsi="宋体" w:cs="宋体"/>
          <w:color w:val="auto"/>
          <w:sz w:val="22"/>
          <w:highlight w:val="none"/>
          <w:u w:val="single"/>
          <w:lang w:eastAsia="zh-CN"/>
        </w:rPr>
        <w:t>（</w:t>
      </w:r>
      <w:r>
        <w:rPr>
          <w:rFonts w:hint="eastAsia" w:ascii="宋体" w:hAnsi="宋体" w:cs="宋体"/>
          <w:color w:val="auto"/>
          <w:sz w:val="22"/>
          <w:highlight w:val="none"/>
          <w:u w:val="single"/>
          <w:lang w:val="en-US" w:eastAsia="zh-CN"/>
        </w:rPr>
        <w:t>含电子扫描版</w:t>
      </w:r>
      <w:r>
        <w:rPr>
          <w:rFonts w:hint="eastAsia" w:ascii="宋体" w:hAnsi="宋体" w:cs="宋体"/>
          <w:color w:val="auto"/>
          <w:sz w:val="22"/>
          <w:highlight w:val="none"/>
          <w:u w:val="single"/>
          <w:lang w:eastAsia="zh-CN"/>
        </w:rPr>
        <w:t>）</w:t>
      </w:r>
      <w:r>
        <w:rPr>
          <w:rFonts w:hint="eastAsia" w:ascii="宋体" w:hAnsi="宋体" w:cs="宋体"/>
          <w:color w:val="auto"/>
          <w:sz w:val="22"/>
          <w:highlight w:val="none"/>
          <w:u w:val="single"/>
        </w:rPr>
        <w:t xml:space="preserve">及电子文档 </w:t>
      </w:r>
      <w:r>
        <w:rPr>
          <w:rFonts w:hint="eastAsia" w:ascii="宋体" w:hAnsi="宋体" w:cs="宋体"/>
          <w:color w:val="auto"/>
          <w:sz w:val="22"/>
          <w:highlight w:val="none"/>
        </w:rPr>
        <w:t>；</w:t>
      </w:r>
    </w:p>
    <w:p w14:paraId="1D2A8F20">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highlight w:val="none"/>
        </w:rPr>
        <w:t>发包人审批承包人文件的期限：</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收到承包人提供的文件后</w:t>
      </w:r>
      <w:r>
        <w:rPr>
          <w:rFonts w:hint="eastAsia" w:ascii="宋体" w:hAnsi="宋体" w:cs="宋体"/>
          <w:color w:val="auto"/>
          <w:sz w:val="22"/>
          <w:highlight w:val="none"/>
          <w:u w:val="single"/>
          <w:lang w:val="en-US" w:eastAsia="zh-CN"/>
        </w:rPr>
        <w:t>28</w:t>
      </w:r>
      <w:r>
        <w:rPr>
          <w:rFonts w:hint="eastAsia" w:ascii="宋体" w:hAnsi="宋体" w:cs="宋体"/>
          <w:color w:val="auto"/>
          <w:sz w:val="22"/>
          <w:highlight w:val="none"/>
          <w:u w:val="single"/>
        </w:rPr>
        <w:t>天</w:t>
      </w:r>
      <w:r>
        <w:rPr>
          <w:rFonts w:hint="eastAsia" w:ascii="宋体" w:hAnsi="宋体" w:cs="宋体"/>
          <w:color w:val="auto"/>
          <w:sz w:val="22"/>
          <w:u w:val="single"/>
        </w:rPr>
        <w:t></w:t>
      </w:r>
      <w:r>
        <w:rPr>
          <w:rFonts w:hint="eastAsia" w:ascii="宋体" w:hAnsi="宋体" w:cs="宋体"/>
          <w:color w:val="auto"/>
          <w:sz w:val="22"/>
        </w:rPr>
        <w:t>。</w:t>
      </w:r>
    </w:p>
    <w:p w14:paraId="77AD1095">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1.6.5 现场图纸准备</w:t>
      </w:r>
    </w:p>
    <w:p w14:paraId="59C48159">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关于现场图纸准备的约定：</w:t>
      </w:r>
      <w:r>
        <w:rPr>
          <w:rFonts w:hint="eastAsia" w:ascii="宋体" w:hAnsi="宋体" w:cs="宋体"/>
          <w:color w:val="auto"/>
          <w:sz w:val="22"/>
          <w:u w:val="single"/>
        </w:rPr>
        <w:t>承包人在施工现场保留一份完整的设计文件，供发包人及有关人员进行工程检查时使用</w:t>
      </w:r>
      <w:r>
        <w:rPr>
          <w:rFonts w:hint="eastAsia" w:ascii="宋体" w:hAnsi="宋体" w:cs="宋体"/>
          <w:color w:val="auto"/>
          <w:sz w:val="22"/>
        </w:rPr>
        <w:t>。</w:t>
      </w:r>
    </w:p>
    <w:p w14:paraId="65F9D630">
      <w:pPr>
        <w:pStyle w:val="39"/>
        <w:spacing w:line="360" w:lineRule="exact"/>
        <w:ind w:firstLine="442" w:firstLineChars="200"/>
        <w:rPr>
          <w:rFonts w:hint="eastAsia" w:ascii="宋体" w:hAnsi="宋体" w:cs="宋体"/>
          <w:color w:val="auto"/>
          <w:sz w:val="22"/>
          <w:szCs w:val="22"/>
        </w:rPr>
      </w:pPr>
      <w:bookmarkStart w:id="159" w:name="_Toc533432723"/>
      <w:bookmarkStart w:id="160" w:name="_Toc373478345"/>
      <w:bookmarkStart w:id="161" w:name="_Toc395382500"/>
      <w:bookmarkStart w:id="162" w:name="_Toc373227698"/>
      <w:bookmarkStart w:id="163" w:name="_Toc389065264"/>
      <w:bookmarkStart w:id="164" w:name="_Toc12975888"/>
      <w:r>
        <w:rPr>
          <w:rFonts w:hint="eastAsia" w:ascii="宋体" w:hAnsi="宋体" w:cs="宋体"/>
          <w:color w:val="auto"/>
          <w:sz w:val="22"/>
          <w:szCs w:val="22"/>
        </w:rPr>
        <w:t>1.7 联络</w:t>
      </w:r>
      <w:bookmarkEnd w:id="159"/>
      <w:bookmarkEnd w:id="160"/>
      <w:bookmarkEnd w:id="161"/>
      <w:bookmarkEnd w:id="162"/>
      <w:bookmarkEnd w:id="163"/>
      <w:bookmarkEnd w:id="164"/>
    </w:p>
    <w:p w14:paraId="2FED704F">
      <w:pPr>
        <w:pStyle w:val="40"/>
        <w:spacing w:line="360" w:lineRule="exact"/>
        <w:ind w:firstLine="440" w:firstLineChars="200"/>
        <w:rPr>
          <w:rFonts w:hint="eastAsia" w:ascii="宋体" w:hAnsi="宋体" w:cs="宋体"/>
          <w:color w:val="auto"/>
          <w:kern w:val="0"/>
          <w:sz w:val="22"/>
        </w:rPr>
      </w:pPr>
      <w:r>
        <w:rPr>
          <w:rFonts w:hint="eastAsia" w:ascii="宋体" w:hAnsi="宋体" w:cs="宋体"/>
          <w:color w:val="auto"/>
          <w:kern w:val="0"/>
          <w:sz w:val="22"/>
        </w:rPr>
        <w:t>1.7.1发包人和承包人应当在</w:t>
      </w:r>
      <w:r>
        <w:rPr>
          <w:rFonts w:hint="eastAsia" w:ascii="宋体" w:hAnsi="宋体" w:cs="宋体"/>
          <w:color w:val="auto"/>
          <w:sz w:val="22"/>
          <w:u w:val="single"/>
        </w:rPr>
        <w:t xml:space="preserve"> 5 </w:t>
      </w:r>
      <w:r>
        <w:rPr>
          <w:rFonts w:hint="eastAsia" w:ascii="宋体" w:hAnsi="宋体" w:cs="宋体"/>
          <w:color w:val="auto"/>
          <w:kern w:val="0"/>
          <w:sz w:val="22"/>
        </w:rPr>
        <w:t>天内将与合同有关的通知、批准、证明、证书、指示、指令、要求、请求、同意、意见、确定和决定等书面函件送达对方当事人。</w:t>
      </w:r>
    </w:p>
    <w:p w14:paraId="7BB3AB8A">
      <w:pPr>
        <w:pStyle w:val="40"/>
        <w:spacing w:line="360" w:lineRule="exact"/>
        <w:ind w:firstLine="440" w:firstLineChars="200"/>
        <w:rPr>
          <w:rFonts w:hint="eastAsia" w:ascii="宋体" w:hAnsi="宋体" w:cs="宋体"/>
          <w:color w:val="auto"/>
          <w:kern w:val="0"/>
          <w:sz w:val="22"/>
        </w:rPr>
      </w:pPr>
      <w:r>
        <w:rPr>
          <w:rFonts w:hint="eastAsia" w:ascii="宋体" w:hAnsi="宋体" w:cs="宋体"/>
          <w:color w:val="auto"/>
          <w:kern w:val="0"/>
          <w:sz w:val="22"/>
        </w:rPr>
        <w:t>1.7.2 发包人接收文件的地点：</w:t>
      </w:r>
      <w:r>
        <w:rPr>
          <w:rFonts w:hint="eastAsia" w:ascii="宋体" w:hAnsi="宋体" w:cs="宋体"/>
          <w:color w:val="auto"/>
          <w:sz w:val="22"/>
          <w:u w:val="single"/>
          <w:lang w:val="en-US" w:eastAsia="zh-CN"/>
        </w:rPr>
        <w:t xml:space="preserve"> </w:t>
      </w:r>
      <w:r>
        <w:rPr>
          <w:rFonts w:hint="eastAsia" w:ascii="宋体" w:hAnsi="宋体" w:cs="宋体"/>
          <w:color w:val="auto"/>
          <w:sz w:val="22"/>
          <w:u w:val="single"/>
        </w:rPr>
        <w:t>发包人办公室</w:t>
      </w:r>
      <w:r>
        <w:rPr>
          <w:rFonts w:hint="eastAsia" w:ascii="宋体" w:hAnsi="宋体" w:cs="宋体"/>
          <w:color w:val="auto"/>
          <w:sz w:val="22"/>
          <w:u w:val="single"/>
          <w:lang w:val="en-US" w:eastAsia="zh-CN"/>
        </w:rPr>
        <w:t xml:space="preserve"> </w:t>
      </w:r>
      <w:r>
        <w:rPr>
          <w:rFonts w:hint="eastAsia" w:ascii="宋体" w:hAnsi="宋体" w:cs="宋体"/>
          <w:color w:val="auto"/>
          <w:kern w:val="0"/>
          <w:sz w:val="22"/>
        </w:rPr>
        <w:t>；</w:t>
      </w:r>
    </w:p>
    <w:p w14:paraId="7C8E174E">
      <w:pPr>
        <w:pStyle w:val="40"/>
        <w:spacing w:line="360" w:lineRule="exact"/>
        <w:ind w:firstLine="440" w:firstLineChars="200"/>
        <w:rPr>
          <w:rFonts w:hint="eastAsia" w:ascii="宋体" w:hAnsi="宋体" w:cs="宋体"/>
          <w:color w:val="auto"/>
          <w:kern w:val="0"/>
          <w:sz w:val="22"/>
        </w:rPr>
      </w:pPr>
      <w:r>
        <w:rPr>
          <w:rFonts w:hint="eastAsia" w:ascii="宋体" w:hAnsi="宋体" w:cs="宋体"/>
          <w:color w:val="auto"/>
          <w:kern w:val="0"/>
          <w:sz w:val="22"/>
        </w:rPr>
        <w:t>发包人指定的接收人为：</w:t>
      </w:r>
      <w:r>
        <w:rPr>
          <w:rFonts w:hint="eastAsia" w:ascii="宋体" w:hAnsi="宋体" w:cs="宋体"/>
          <w:color w:val="auto"/>
          <w:sz w:val="22"/>
          <w:u w:val="single"/>
        </w:rPr>
        <w:t xml:space="preserve"> </w:t>
      </w:r>
      <w:r>
        <w:rPr>
          <w:rFonts w:hint="eastAsia" w:ascii="宋体" w:hAnsi="宋体" w:cs="宋体"/>
          <w:color w:val="auto"/>
          <w:sz w:val="22"/>
          <w:highlight w:val="none"/>
          <w:u w:val="single"/>
        </w:rPr>
        <w:t>发包人现场代表</w:t>
      </w:r>
      <w:r>
        <w:rPr>
          <w:rFonts w:hint="eastAsia" w:ascii="宋体" w:hAnsi="宋体" w:cs="宋体"/>
          <w:color w:val="auto"/>
          <w:sz w:val="22"/>
          <w:u w:val="single"/>
        </w:rPr>
        <w:t xml:space="preserve"> </w:t>
      </w:r>
      <w:r>
        <w:rPr>
          <w:rFonts w:hint="eastAsia" w:ascii="宋体" w:hAnsi="宋体" w:cs="宋体"/>
          <w:color w:val="auto"/>
          <w:kern w:val="0"/>
          <w:sz w:val="22"/>
        </w:rPr>
        <w:t>。</w:t>
      </w:r>
    </w:p>
    <w:p w14:paraId="791D9438">
      <w:pPr>
        <w:pStyle w:val="40"/>
        <w:spacing w:line="360" w:lineRule="exact"/>
        <w:ind w:firstLine="440" w:firstLineChars="200"/>
        <w:rPr>
          <w:rFonts w:hint="eastAsia" w:ascii="宋体" w:hAnsi="宋体" w:cs="宋体"/>
          <w:color w:val="auto"/>
          <w:kern w:val="0"/>
          <w:sz w:val="22"/>
        </w:rPr>
      </w:pPr>
      <w:r>
        <w:rPr>
          <w:rFonts w:hint="eastAsia" w:ascii="宋体" w:hAnsi="宋体" w:cs="宋体"/>
          <w:color w:val="auto"/>
          <w:kern w:val="0"/>
          <w:sz w:val="22"/>
        </w:rPr>
        <w:t>承包人接收文件的地点：</w:t>
      </w:r>
      <w:r>
        <w:rPr>
          <w:rFonts w:hint="eastAsia" w:ascii="宋体" w:hAnsi="宋体" w:cs="宋体"/>
          <w:color w:val="auto"/>
          <w:sz w:val="22"/>
          <w:u w:val="single"/>
          <w:lang w:val="en-US" w:eastAsia="zh-CN"/>
        </w:rPr>
        <w:t xml:space="preserve"> </w:t>
      </w:r>
      <w:r>
        <w:rPr>
          <w:rFonts w:hint="eastAsia" w:ascii="宋体" w:hAnsi="宋体" w:cs="宋体"/>
          <w:color w:val="auto"/>
          <w:sz w:val="22"/>
          <w:u w:val="single"/>
        </w:rPr>
        <w:t>项目所在地承包人项目部</w:t>
      </w:r>
      <w:r>
        <w:rPr>
          <w:rFonts w:hint="eastAsia" w:ascii="宋体" w:hAnsi="宋体" w:cs="宋体"/>
          <w:color w:val="auto"/>
          <w:sz w:val="22"/>
          <w:u w:val="single"/>
          <w:lang w:val="en-US" w:eastAsia="zh-CN"/>
        </w:rPr>
        <w:t xml:space="preserve"> </w:t>
      </w:r>
      <w:r>
        <w:rPr>
          <w:rFonts w:hint="eastAsia" w:ascii="宋体" w:hAnsi="宋体" w:cs="宋体"/>
          <w:color w:val="auto"/>
          <w:kern w:val="0"/>
          <w:sz w:val="22"/>
        </w:rPr>
        <w:t>；</w:t>
      </w:r>
    </w:p>
    <w:p w14:paraId="61CFD327">
      <w:pPr>
        <w:pStyle w:val="40"/>
        <w:spacing w:line="360" w:lineRule="exact"/>
        <w:ind w:firstLine="440" w:firstLineChars="200"/>
        <w:rPr>
          <w:rFonts w:hint="eastAsia" w:ascii="宋体" w:hAnsi="宋体" w:cs="宋体"/>
          <w:color w:val="auto"/>
          <w:kern w:val="0"/>
          <w:sz w:val="22"/>
        </w:rPr>
      </w:pPr>
      <w:r>
        <w:rPr>
          <w:rFonts w:hint="eastAsia" w:ascii="宋体" w:hAnsi="宋体" w:cs="宋体"/>
          <w:color w:val="auto"/>
          <w:kern w:val="0"/>
          <w:sz w:val="22"/>
        </w:rPr>
        <w:t>承包人指定的接收人为：</w:t>
      </w:r>
      <w:r>
        <w:rPr>
          <w:rFonts w:hint="eastAsia" w:ascii="宋体" w:hAnsi="宋体" w:cs="宋体"/>
          <w:color w:val="auto"/>
          <w:sz w:val="22"/>
          <w:u w:val="single"/>
          <w:lang w:val="en-US" w:eastAsia="zh-CN"/>
        </w:rPr>
        <w:t xml:space="preserve"> </w:t>
      </w:r>
      <w:r>
        <w:rPr>
          <w:rFonts w:hint="eastAsia" w:ascii="宋体" w:hAnsi="宋体" w:cs="宋体"/>
          <w:color w:val="auto"/>
          <w:sz w:val="22"/>
          <w:u w:val="single"/>
        </w:rPr>
        <w:t>承包人项目经理</w:t>
      </w:r>
      <w:r>
        <w:rPr>
          <w:rFonts w:hint="eastAsia" w:ascii="宋体" w:hAnsi="宋体" w:cs="宋体"/>
          <w:color w:val="auto"/>
          <w:sz w:val="22"/>
          <w:u w:val="single"/>
          <w:lang w:val="en-US" w:eastAsia="zh-CN"/>
        </w:rPr>
        <w:t xml:space="preserve"> </w:t>
      </w:r>
      <w:r>
        <w:rPr>
          <w:rFonts w:hint="eastAsia" w:ascii="宋体" w:hAnsi="宋体" w:cs="宋体"/>
          <w:color w:val="auto"/>
          <w:kern w:val="0"/>
          <w:sz w:val="22"/>
        </w:rPr>
        <w:t>。</w:t>
      </w:r>
    </w:p>
    <w:p w14:paraId="1A77684F">
      <w:pPr>
        <w:pStyle w:val="40"/>
        <w:spacing w:line="360" w:lineRule="exact"/>
        <w:ind w:firstLine="440" w:firstLineChars="200"/>
        <w:rPr>
          <w:rFonts w:hint="eastAsia" w:ascii="宋体" w:hAnsi="宋体" w:cs="宋体"/>
          <w:color w:val="auto"/>
          <w:kern w:val="0"/>
          <w:sz w:val="22"/>
        </w:rPr>
      </w:pPr>
      <w:r>
        <w:rPr>
          <w:rFonts w:hint="eastAsia" w:ascii="宋体" w:hAnsi="宋体" w:cs="宋体"/>
          <w:color w:val="auto"/>
          <w:kern w:val="0"/>
          <w:sz w:val="22"/>
        </w:rPr>
        <w:t>监理人接收文件的地点：</w:t>
      </w:r>
      <w:r>
        <w:rPr>
          <w:rFonts w:hint="eastAsia" w:ascii="宋体" w:hAnsi="宋体" w:cs="宋体"/>
          <w:color w:val="auto"/>
          <w:sz w:val="22"/>
          <w:u w:val="single"/>
          <w:lang w:val="en-US" w:eastAsia="zh-CN"/>
        </w:rPr>
        <w:t xml:space="preserve"> </w:t>
      </w:r>
      <w:r>
        <w:rPr>
          <w:rFonts w:hint="eastAsia" w:ascii="宋体" w:hAnsi="宋体" w:cs="宋体"/>
          <w:color w:val="auto"/>
          <w:sz w:val="22"/>
          <w:u w:val="single"/>
        </w:rPr>
        <w:t>项目所在地监理人办公室</w:t>
      </w:r>
      <w:r>
        <w:rPr>
          <w:rFonts w:hint="eastAsia" w:ascii="宋体" w:hAnsi="宋体" w:cs="宋体"/>
          <w:color w:val="auto"/>
          <w:sz w:val="22"/>
          <w:u w:val="single"/>
          <w:lang w:val="en-US" w:eastAsia="zh-CN"/>
        </w:rPr>
        <w:t xml:space="preserve"> </w:t>
      </w:r>
      <w:r>
        <w:rPr>
          <w:rFonts w:hint="eastAsia" w:ascii="宋体" w:hAnsi="宋体" w:cs="宋体"/>
          <w:color w:val="auto"/>
          <w:kern w:val="0"/>
          <w:sz w:val="22"/>
        </w:rPr>
        <w:t>；</w:t>
      </w:r>
    </w:p>
    <w:p w14:paraId="17046F4A">
      <w:pPr>
        <w:pStyle w:val="40"/>
        <w:spacing w:line="360" w:lineRule="exact"/>
        <w:ind w:firstLine="440" w:firstLineChars="200"/>
        <w:rPr>
          <w:rFonts w:hint="eastAsia" w:ascii="宋体" w:hAnsi="宋体" w:cs="宋体"/>
          <w:color w:val="auto"/>
          <w:kern w:val="0"/>
          <w:sz w:val="22"/>
        </w:rPr>
      </w:pPr>
      <w:r>
        <w:rPr>
          <w:rFonts w:hint="eastAsia" w:ascii="宋体" w:hAnsi="宋体" w:cs="宋体"/>
          <w:color w:val="auto"/>
          <w:kern w:val="0"/>
          <w:sz w:val="22"/>
        </w:rPr>
        <w:t>监理人指定的接收人为：</w:t>
      </w:r>
      <w:r>
        <w:rPr>
          <w:rFonts w:hint="eastAsia" w:ascii="宋体" w:hAnsi="宋体" w:cs="宋体"/>
          <w:color w:val="auto"/>
          <w:sz w:val="22"/>
          <w:u w:val="single"/>
          <w:lang w:val="en-US" w:eastAsia="zh-CN"/>
        </w:rPr>
        <w:t xml:space="preserve"> </w:t>
      </w:r>
      <w:r>
        <w:rPr>
          <w:rFonts w:hint="eastAsia" w:ascii="宋体" w:hAnsi="宋体" w:cs="宋体"/>
          <w:color w:val="auto"/>
          <w:sz w:val="22"/>
          <w:u w:val="single"/>
        </w:rPr>
        <w:t>总监理工程师</w:t>
      </w:r>
      <w:r>
        <w:rPr>
          <w:rFonts w:hint="eastAsia" w:ascii="宋体" w:hAnsi="宋体" w:cs="宋体"/>
          <w:color w:val="auto"/>
          <w:sz w:val="22"/>
          <w:u w:val="single"/>
          <w:lang w:val="en-US" w:eastAsia="zh-CN"/>
        </w:rPr>
        <w:t xml:space="preserve"> </w:t>
      </w:r>
      <w:r>
        <w:rPr>
          <w:rFonts w:hint="eastAsia" w:ascii="宋体" w:hAnsi="宋体" w:cs="宋体"/>
          <w:color w:val="auto"/>
          <w:kern w:val="0"/>
          <w:sz w:val="22"/>
        </w:rPr>
        <w:t>。</w:t>
      </w:r>
    </w:p>
    <w:p w14:paraId="2876124F">
      <w:pPr>
        <w:pStyle w:val="60"/>
        <w:spacing w:line="36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u w:val="single"/>
        </w:rPr>
        <w:t>与合同有关的工程联系单、变更申请、变更建议、通知、批准、证明、证书、指示、要求、请求、同意、意见、确定和决定等，均应采用书面</w:t>
      </w:r>
      <w:r>
        <w:rPr>
          <w:rFonts w:hint="eastAsia" w:ascii="宋体" w:hAnsi="宋体" w:cs="宋体"/>
          <w:color w:val="auto"/>
          <w:sz w:val="22"/>
          <w:szCs w:val="22"/>
          <w:highlight w:val="none"/>
          <w:u w:val="single"/>
        </w:rPr>
        <w:t>形式</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lang w:val="en-US" w:eastAsia="zh-CN"/>
        </w:rPr>
        <w:t>同时提供电子扫描版</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rPr>
        <w:t>。</w:t>
      </w:r>
    </w:p>
    <w:p w14:paraId="523338EA">
      <w:pPr>
        <w:pStyle w:val="60"/>
        <w:spacing w:line="360" w:lineRule="exact"/>
        <w:ind w:firstLine="440" w:firstLineChars="200"/>
        <w:rPr>
          <w:rFonts w:hint="eastAsia" w:ascii="宋体" w:hAnsi="宋体" w:cs="宋体"/>
          <w:color w:val="auto"/>
          <w:sz w:val="22"/>
          <w:szCs w:val="22"/>
          <w:u w:val="single"/>
        </w:rPr>
      </w:pPr>
      <w:r>
        <w:rPr>
          <w:rFonts w:hint="eastAsia" w:ascii="宋体" w:hAnsi="宋体" w:cs="宋体"/>
          <w:color w:val="auto"/>
          <w:sz w:val="22"/>
          <w:szCs w:val="22"/>
          <w:u w:val="single"/>
        </w:rPr>
        <w:t>发包人的工程管理部的印章（公章名称</w:t>
      </w:r>
      <w:r>
        <w:rPr>
          <w:rFonts w:hint="eastAsia" w:ascii="宋体" w:hAnsi="宋体" w:cs="宋体"/>
          <w:color w:val="auto"/>
          <w:sz w:val="22"/>
          <w:szCs w:val="22"/>
          <w:u w:val="single"/>
          <w:lang w:eastAsia="zh-CN"/>
        </w:rPr>
        <w:t>）</w:t>
      </w:r>
      <w:r>
        <w:rPr>
          <w:rFonts w:hint="eastAsia" w:ascii="宋体" w:hAnsi="宋体" w:cs="宋体"/>
          <w:color w:val="auto"/>
          <w:sz w:val="22"/>
          <w:szCs w:val="22"/>
          <w:u w:val="single"/>
        </w:rPr>
        <w:t>适用于：（1）通知、批准、证明、指示、要求、请求、同意、意见和确定等管理文件是有效的。（2）工程技术资料，包括所有与工程有关的技术资料。</w:t>
      </w:r>
    </w:p>
    <w:p w14:paraId="7EFB3F66">
      <w:pPr>
        <w:pStyle w:val="60"/>
        <w:spacing w:line="360" w:lineRule="exact"/>
        <w:ind w:firstLine="440" w:firstLineChars="200"/>
        <w:rPr>
          <w:rFonts w:hint="eastAsia" w:ascii="宋体" w:hAnsi="宋体" w:cs="宋体"/>
          <w:color w:val="auto"/>
          <w:sz w:val="22"/>
          <w:szCs w:val="22"/>
          <w:u w:val="single"/>
        </w:rPr>
      </w:pPr>
      <w:r>
        <w:rPr>
          <w:rFonts w:hint="eastAsia" w:ascii="宋体" w:hAnsi="宋体" w:cs="宋体"/>
          <w:color w:val="auto"/>
          <w:sz w:val="22"/>
          <w:szCs w:val="22"/>
          <w:u w:val="single"/>
        </w:rPr>
        <w:t>发包人的工程管理部的印章（公章名称</w:t>
      </w:r>
      <w:r>
        <w:rPr>
          <w:rFonts w:hint="eastAsia" w:ascii="宋体" w:hAnsi="宋体" w:cs="宋体"/>
          <w:color w:val="auto"/>
          <w:sz w:val="22"/>
          <w:szCs w:val="22"/>
          <w:u w:val="single"/>
          <w:lang w:eastAsia="zh-CN"/>
        </w:rPr>
        <w:t>）</w:t>
      </w:r>
      <w:r>
        <w:rPr>
          <w:rFonts w:hint="eastAsia" w:ascii="宋体" w:hAnsi="宋体" w:cs="宋体"/>
          <w:color w:val="auto"/>
          <w:sz w:val="22"/>
          <w:szCs w:val="22"/>
          <w:u w:val="single"/>
        </w:rPr>
        <w:t>不适用于：不适用于任何修改合同、减轻（或增加）双方合同权利和义务的文件，如以上所述文件涉及到修改合同、减轻（或增加）双方合同权利和义务时，该工作无效。涉及到修改合同、减轻（或增加）双方合同权利和义务时，必须加盖发包人的公司公章</w:t>
      </w:r>
      <w:r>
        <w:rPr>
          <w:rFonts w:hint="eastAsia" w:ascii="宋体" w:hAnsi="宋体" w:cs="宋体"/>
          <w:color w:val="auto"/>
          <w:sz w:val="22"/>
          <w:szCs w:val="22"/>
          <w:u w:val="none"/>
        </w:rPr>
        <w:t>。</w:t>
      </w:r>
    </w:p>
    <w:p w14:paraId="3861FB3B">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本合同一方按照本合同约定向另一方送达的任何文件、通知、回复及其他任何文件，可采用以下任一方式送达：</w:t>
      </w:r>
      <w:r>
        <w:rPr>
          <w:rFonts w:hint="eastAsia" w:ascii="宋体" w:hAnsi="宋体" w:cs="宋体"/>
          <w:color w:val="auto"/>
          <w:sz w:val="22"/>
          <w:szCs w:val="22"/>
          <w:lang w:eastAsia="zh-CN"/>
        </w:rPr>
        <w:t>（1）</w:t>
      </w:r>
      <w:r>
        <w:rPr>
          <w:rFonts w:hint="eastAsia" w:ascii="宋体" w:hAnsi="宋体" w:cs="宋体"/>
          <w:color w:val="auto"/>
          <w:sz w:val="22"/>
          <w:szCs w:val="22"/>
        </w:rPr>
        <w:t>一方采用书面形式直接送达，另一方签收时视为已送达；</w:t>
      </w:r>
      <w:r>
        <w:rPr>
          <w:rFonts w:hint="eastAsia" w:ascii="宋体" w:hAnsi="宋体" w:cs="宋体"/>
          <w:color w:val="auto"/>
          <w:sz w:val="22"/>
          <w:szCs w:val="22"/>
          <w:lang w:eastAsia="zh-CN"/>
        </w:rPr>
        <w:t>（2）</w:t>
      </w:r>
      <w:r>
        <w:rPr>
          <w:rFonts w:hint="eastAsia" w:ascii="宋体" w:hAnsi="宋体" w:cs="宋体"/>
          <w:color w:val="auto"/>
          <w:sz w:val="22"/>
          <w:szCs w:val="22"/>
        </w:rPr>
        <w:t>一方采用传真形式送达，收到另一方确认时视为已送达；双方送达传真号以本合同注明号码为准，如果一方信息有变更的，须向另一方以书面形式通知更改后的信息。</w:t>
      </w:r>
      <w:r>
        <w:rPr>
          <w:rFonts w:hint="eastAsia" w:ascii="宋体" w:hAnsi="宋体" w:cs="宋体"/>
          <w:color w:val="auto"/>
          <w:sz w:val="22"/>
          <w:szCs w:val="22"/>
          <w:lang w:eastAsia="zh-CN"/>
        </w:rPr>
        <w:t>（3）</w:t>
      </w:r>
      <w:r>
        <w:rPr>
          <w:rFonts w:hint="eastAsia" w:ascii="宋体" w:hAnsi="宋体" w:cs="宋体"/>
          <w:color w:val="auto"/>
          <w:sz w:val="22"/>
          <w:szCs w:val="22"/>
        </w:rPr>
        <w:t>一方采用快递邮寄的方式送达，另一方已经签收时视为已送达另一方。双方送达地址以本合同落款地址为准，如果一方地址有变更的，须向另一方以书面形式通知更改后的地址。</w:t>
      </w:r>
      <w:r>
        <w:rPr>
          <w:rFonts w:hint="eastAsia" w:ascii="宋体" w:hAnsi="宋体" w:cs="宋体"/>
          <w:color w:val="auto"/>
          <w:sz w:val="22"/>
          <w:szCs w:val="22"/>
          <w:lang w:eastAsia="zh-CN"/>
        </w:rPr>
        <w:t>（4）</w:t>
      </w:r>
      <w:r>
        <w:rPr>
          <w:rFonts w:hint="eastAsia" w:ascii="宋体" w:hAnsi="宋体" w:cs="宋体"/>
          <w:color w:val="auto"/>
          <w:sz w:val="22"/>
          <w:szCs w:val="22"/>
        </w:rPr>
        <w:t>一方向对方送达的文件、通知、回复，受送达方应即时签收，如由于受送达方的原因不能送达或拒绝签收的，送达方可在《防城港日报》上公告送达，刊登文件、通知、回复的《防城港日报》作为受送达方收悉的证据，刊登7日后即视为已经送达。</w:t>
      </w:r>
    </w:p>
    <w:p w14:paraId="2EBDB58D">
      <w:pPr>
        <w:pStyle w:val="71"/>
        <w:spacing w:line="360" w:lineRule="exact"/>
        <w:ind w:firstLine="442" w:firstLineChars="200"/>
        <w:rPr>
          <w:rFonts w:hint="eastAsia" w:ascii="宋体" w:hAnsi="宋体" w:eastAsia="宋体" w:cs="宋体"/>
          <w:color w:val="auto"/>
          <w:sz w:val="22"/>
          <w:szCs w:val="22"/>
        </w:rPr>
      </w:pPr>
      <w:bookmarkStart w:id="165" w:name="_Toc513041281"/>
      <w:bookmarkStart w:id="166" w:name="_Toc54862501"/>
      <w:bookmarkStart w:id="167" w:name="_Toc529202535"/>
      <w:r>
        <w:rPr>
          <w:rFonts w:hint="eastAsia" w:ascii="宋体" w:hAnsi="宋体" w:eastAsia="宋体" w:cs="宋体"/>
          <w:color w:val="auto"/>
          <w:sz w:val="22"/>
          <w:szCs w:val="22"/>
        </w:rPr>
        <w:t>1.8严禁贿赂</w:t>
      </w:r>
      <w:bookmarkEnd w:id="165"/>
      <w:bookmarkEnd w:id="166"/>
      <w:bookmarkEnd w:id="167"/>
    </w:p>
    <w:p w14:paraId="35F83657">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u w:val="single"/>
        </w:rPr>
        <w:t>如果承包人或承包人的工作人员（不论承包人是否知晓）以贿赂或变相贿赂的方式，谋取不当利益或损害发包人权益的。承包人发生前述的违约情况时，发包人将根据相关法律规定及合同约定追究承包人的法律责任，承包人因此等行为获得的额外费用必须退还发包人，造成的工程损害、发包人的经济损失的，承包人应负一切责任，并予赔偿。情节严重者，发包人并有权解除本合同。同时向发包人支付违约金每次50万元</w:t>
      </w:r>
      <w:r>
        <w:rPr>
          <w:rFonts w:hint="eastAsia" w:ascii="宋体" w:hAnsi="宋体" w:cs="宋体"/>
          <w:color w:val="auto"/>
          <w:sz w:val="22"/>
          <w:szCs w:val="22"/>
          <w:u w:val="none"/>
        </w:rPr>
        <w:t>。</w:t>
      </w:r>
    </w:p>
    <w:p w14:paraId="7F351748">
      <w:pPr>
        <w:pStyle w:val="39"/>
        <w:spacing w:line="360" w:lineRule="exact"/>
        <w:ind w:firstLine="442" w:firstLineChars="200"/>
        <w:rPr>
          <w:rFonts w:hint="eastAsia" w:ascii="宋体" w:hAnsi="宋体" w:cs="宋体"/>
          <w:color w:val="auto"/>
          <w:sz w:val="22"/>
          <w:szCs w:val="22"/>
        </w:rPr>
      </w:pPr>
      <w:bookmarkStart w:id="168" w:name="_Toc373227699"/>
      <w:bookmarkStart w:id="169" w:name="_Toc12975889"/>
      <w:bookmarkStart w:id="170" w:name="_Toc395382501"/>
      <w:bookmarkStart w:id="171" w:name="_Toc533432724"/>
      <w:bookmarkStart w:id="172" w:name="_Toc389065265"/>
      <w:bookmarkStart w:id="173" w:name="_Toc373478346"/>
      <w:r>
        <w:rPr>
          <w:rFonts w:hint="eastAsia" w:ascii="宋体" w:hAnsi="宋体" w:cs="宋体"/>
          <w:color w:val="auto"/>
          <w:sz w:val="22"/>
          <w:szCs w:val="22"/>
        </w:rPr>
        <w:t>1.10 交通运输</w:t>
      </w:r>
      <w:bookmarkEnd w:id="168"/>
      <w:bookmarkEnd w:id="169"/>
      <w:bookmarkEnd w:id="170"/>
      <w:bookmarkEnd w:id="171"/>
      <w:bookmarkEnd w:id="172"/>
      <w:bookmarkEnd w:id="173"/>
    </w:p>
    <w:p w14:paraId="0128D25A">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1</w:t>
      </w:r>
      <w:bookmarkStart w:id="174" w:name="_Toc303539100"/>
      <w:bookmarkStart w:id="175" w:name="_Toc312677986"/>
      <w:bookmarkStart w:id="176" w:name="_Toc304295521"/>
      <w:bookmarkStart w:id="177" w:name="_Toc318581155"/>
      <w:bookmarkStart w:id="178" w:name="_Toc300934943"/>
      <w:r>
        <w:rPr>
          <w:rFonts w:hint="eastAsia" w:ascii="宋体" w:hAnsi="宋体" w:cs="宋体"/>
          <w:color w:val="auto"/>
          <w:sz w:val="22"/>
        </w:rPr>
        <w:t>.10.1 出入现场的权利</w:t>
      </w:r>
    </w:p>
    <w:p w14:paraId="5E112901">
      <w:pPr>
        <w:pStyle w:val="40"/>
        <w:spacing w:line="360" w:lineRule="exact"/>
        <w:ind w:firstLine="440" w:firstLineChars="200"/>
        <w:rPr>
          <w:rFonts w:hint="eastAsia" w:ascii="宋体" w:hAnsi="宋体" w:cs="宋体"/>
          <w:color w:val="auto"/>
          <w:sz w:val="22"/>
          <w:u w:val="single"/>
        </w:rPr>
      </w:pPr>
      <w:r>
        <w:rPr>
          <w:rFonts w:hint="eastAsia" w:ascii="宋体" w:hAnsi="宋体" w:cs="宋体"/>
          <w:color w:val="auto"/>
          <w:sz w:val="22"/>
        </w:rPr>
        <w:t>关于出入现场的权利的约定：</w:t>
      </w:r>
      <w:r>
        <w:rPr>
          <w:rFonts w:hint="eastAsia" w:ascii="宋体" w:hAnsi="宋体" w:cs="宋体"/>
          <w:color w:val="auto"/>
          <w:sz w:val="22"/>
          <w:u w:val="single"/>
        </w:rPr>
        <w:t>由承包人按发包人要求负责取得出入施工现场所需的批准手续和全部权利，以及取得因施工所需修建道路、桥梁以及其他基础设施的权利，相关权利取得的手续费用和建设费用由承包人承担</w:t>
      </w:r>
      <w:r>
        <w:rPr>
          <w:rFonts w:hint="eastAsia" w:ascii="宋体" w:hAnsi="宋体" w:cs="宋体"/>
          <w:color w:val="auto"/>
          <w:sz w:val="22"/>
        </w:rPr>
        <w:t>。</w:t>
      </w:r>
    </w:p>
    <w:bookmarkEnd w:id="174"/>
    <w:bookmarkEnd w:id="175"/>
    <w:bookmarkEnd w:id="176"/>
    <w:bookmarkEnd w:id="177"/>
    <w:bookmarkEnd w:id="178"/>
    <w:p w14:paraId="04B3D2F6">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1</w:t>
      </w:r>
      <w:bookmarkStart w:id="179" w:name="_Toc318581156"/>
      <w:bookmarkStart w:id="180" w:name="_Toc300934944"/>
      <w:bookmarkStart w:id="181" w:name="_Toc304295522"/>
      <w:bookmarkStart w:id="182" w:name="_Toc303539101"/>
      <w:bookmarkStart w:id="183" w:name="_Toc312677987"/>
      <w:r>
        <w:rPr>
          <w:rFonts w:hint="eastAsia" w:ascii="宋体" w:hAnsi="宋体" w:cs="宋体"/>
          <w:color w:val="auto"/>
          <w:sz w:val="22"/>
        </w:rPr>
        <w:t>.10.3 场内交通</w:t>
      </w:r>
    </w:p>
    <w:p w14:paraId="525D3039">
      <w:pPr>
        <w:pStyle w:val="4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kern w:val="0"/>
          <w:sz w:val="22"/>
        </w:rPr>
        <w:t>关于场外交通和场内交通的边界的约定：</w:t>
      </w:r>
      <w:r>
        <w:rPr>
          <w:rFonts w:hint="eastAsia" w:ascii="宋体" w:hAnsi="宋体" w:cs="宋体"/>
          <w:color w:val="auto"/>
          <w:sz w:val="22"/>
          <w:u w:val="single"/>
          <w:lang w:val="en-US" w:eastAsia="zh-CN"/>
        </w:rPr>
        <w:t xml:space="preserve"> </w:t>
      </w:r>
      <w:r>
        <w:rPr>
          <w:rFonts w:hint="eastAsia" w:ascii="宋体" w:hAnsi="宋体" w:cs="宋体"/>
          <w:color w:val="auto"/>
          <w:sz w:val="22"/>
          <w:u w:val="single"/>
        </w:rPr>
        <w:t xml:space="preserve">以规划批复总平用地红线为界 </w:t>
      </w:r>
      <w:r>
        <w:rPr>
          <w:rFonts w:hint="eastAsia" w:ascii="宋体" w:hAnsi="宋体" w:cs="宋体"/>
          <w:color w:val="auto"/>
          <w:sz w:val="22"/>
        </w:rPr>
        <w:t>。</w:t>
      </w:r>
    </w:p>
    <w:p w14:paraId="68352870">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关于发包人向承包人免费提供满足工程施工需要的场内道路和交通设施的约定：</w:t>
      </w:r>
      <w:r>
        <w:rPr>
          <w:rFonts w:hint="eastAsia" w:ascii="宋体" w:hAnsi="宋体" w:cs="宋体"/>
          <w:color w:val="auto"/>
          <w:sz w:val="22"/>
          <w:u w:val="single"/>
          <w:lang w:val="en-US" w:eastAsia="zh-CN"/>
        </w:rPr>
        <w:t xml:space="preserve"> </w:t>
      </w:r>
      <w:r>
        <w:rPr>
          <w:rFonts w:hint="eastAsia" w:ascii="宋体" w:hAnsi="宋体" w:cs="宋体"/>
          <w:color w:val="auto"/>
          <w:sz w:val="22"/>
          <w:u w:val="single"/>
        </w:rPr>
        <w:t>发包人不提供任何满足工程施工需要的场内、场外道路和交通设施，由承包人根据实际需要自行解决</w:t>
      </w:r>
      <w:r>
        <w:rPr>
          <w:rFonts w:hint="eastAsia" w:ascii="宋体" w:hAnsi="宋体" w:cs="宋体"/>
          <w:color w:val="auto"/>
          <w:sz w:val="22"/>
        </w:rPr>
        <w:t>。</w:t>
      </w:r>
      <w:bookmarkEnd w:id="179"/>
      <w:bookmarkEnd w:id="180"/>
      <w:bookmarkEnd w:id="181"/>
      <w:bookmarkEnd w:id="182"/>
      <w:bookmarkEnd w:id="183"/>
      <w:bookmarkStart w:id="184" w:name="_Toc318581157"/>
    </w:p>
    <w:p w14:paraId="3929B7EA">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1.10.4 超大件和超重件的运输</w:t>
      </w:r>
    </w:p>
    <w:p w14:paraId="28D1ABBC">
      <w:pPr>
        <w:pStyle w:val="4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sz w:val="22"/>
        </w:rPr>
        <w:t>运输超大件或超重件所需的道路和桥梁临时加固改造费用和其他有关费用由</w:t>
      </w:r>
      <w:r>
        <w:rPr>
          <w:rFonts w:hint="eastAsia" w:ascii="宋体" w:hAnsi="宋体" w:cs="宋体"/>
          <w:color w:val="auto"/>
          <w:sz w:val="22"/>
          <w:u w:val="single"/>
        </w:rPr>
        <w:t xml:space="preserve"> 承包人</w:t>
      </w:r>
      <w:r>
        <w:rPr>
          <w:rFonts w:hint="eastAsia" w:ascii="宋体" w:hAnsi="宋体" w:cs="宋体"/>
          <w:color w:val="auto"/>
          <w:sz w:val="22"/>
        </w:rPr>
        <w:t>承担。</w:t>
      </w:r>
    </w:p>
    <w:bookmarkEnd w:id="184"/>
    <w:p w14:paraId="2A89A491">
      <w:pPr>
        <w:pStyle w:val="39"/>
        <w:spacing w:line="360" w:lineRule="exact"/>
        <w:ind w:firstLine="442" w:firstLineChars="200"/>
        <w:rPr>
          <w:rFonts w:hint="eastAsia" w:ascii="宋体" w:hAnsi="宋体" w:cs="宋体"/>
          <w:color w:val="auto"/>
          <w:sz w:val="22"/>
          <w:szCs w:val="22"/>
        </w:rPr>
      </w:pPr>
      <w:bookmarkStart w:id="185" w:name="_Toc395382502"/>
      <w:bookmarkStart w:id="186" w:name="_Toc373478347"/>
      <w:bookmarkStart w:id="187" w:name="_Toc373227700"/>
      <w:bookmarkStart w:id="188" w:name="_Toc389065266"/>
      <w:bookmarkStart w:id="189" w:name="_Toc12975890"/>
      <w:bookmarkStart w:id="190" w:name="_Toc533432725"/>
      <w:r>
        <w:rPr>
          <w:rFonts w:hint="eastAsia" w:ascii="宋体" w:hAnsi="宋体" w:cs="宋体"/>
          <w:color w:val="auto"/>
          <w:sz w:val="22"/>
          <w:szCs w:val="22"/>
        </w:rPr>
        <w:t>1.11 知识产权</w:t>
      </w:r>
      <w:bookmarkEnd w:id="185"/>
      <w:bookmarkEnd w:id="186"/>
      <w:bookmarkEnd w:id="187"/>
      <w:bookmarkEnd w:id="188"/>
      <w:bookmarkEnd w:id="189"/>
      <w:bookmarkEnd w:id="190"/>
    </w:p>
    <w:p w14:paraId="1630B6BC">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1.11.1 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 w:val="22"/>
          <w:u w:val="single"/>
          <w:lang w:val="en-US" w:eastAsia="zh-CN"/>
        </w:rPr>
        <w:t xml:space="preserve"> </w:t>
      </w:r>
      <w:r>
        <w:rPr>
          <w:rFonts w:hint="eastAsia" w:ascii="宋体" w:hAnsi="宋体" w:cs="宋体"/>
          <w:b/>
          <w:bCs/>
          <w:color w:val="auto"/>
          <w:sz w:val="22"/>
          <w:u w:val="single"/>
        </w:rPr>
        <w:t>归属发包人所有，承包人不得向其他人转借、出售或泄露与本项目有关的上述文件资料情况</w:t>
      </w:r>
      <w:r>
        <w:rPr>
          <w:rFonts w:hint="eastAsia" w:ascii="宋体" w:hAnsi="宋体" w:cs="宋体"/>
          <w:b/>
          <w:bCs/>
          <w:color w:val="auto"/>
          <w:sz w:val="22"/>
          <w:u w:val="single"/>
          <w:lang w:val="en-US" w:eastAsia="zh-CN"/>
        </w:rPr>
        <w:t xml:space="preserve"> </w:t>
      </w:r>
      <w:r>
        <w:rPr>
          <w:rFonts w:hint="eastAsia" w:ascii="宋体" w:hAnsi="宋体" w:cs="宋体"/>
          <w:color w:val="auto"/>
          <w:sz w:val="22"/>
        </w:rPr>
        <w:t>。</w:t>
      </w:r>
    </w:p>
    <w:p w14:paraId="7973D7A3">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关于发包人提供的上述文件的使用限制的要求：</w:t>
      </w:r>
      <w:r>
        <w:rPr>
          <w:rFonts w:hint="eastAsia" w:ascii="宋体" w:hAnsi="宋体" w:cs="宋体"/>
          <w:color w:val="auto"/>
          <w:sz w:val="22"/>
          <w:u w:val="single"/>
          <w:lang w:val="en-US" w:eastAsia="zh-CN"/>
        </w:rPr>
        <w:t xml:space="preserve"> </w:t>
      </w:r>
      <w:r>
        <w:rPr>
          <w:rFonts w:hint="eastAsia" w:ascii="宋体" w:hAnsi="宋体" w:cs="宋体"/>
          <w:b/>
          <w:bCs/>
          <w:color w:val="auto"/>
          <w:sz w:val="22"/>
          <w:u w:val="single"/>
        </w:rPr>
        <w:t>仅使用于本项目的建设</w:t>
      </w:r>
      <w:r>
        <w:rPr>
          <w:rFonts w:hint="eastAsia" w:ascii="宋体" w:hAnsi="宋体" w:cs="宋体"/>
          <w:color w:val="auto"/>
          <w:sz w:val="22"/>
          <w:u w:val="single"/>
          <w:lang w:val="en-US" w:eastAsia="zh-CN"/>
        </w:rPr>
        <w:t xml:space="preserve"> </w:t>
      </w:r>
      <w:r>
        <w:rPr>
          <w:rFonts w:hint="eastAsia" w:ascii="宋体" w:hAnsi="宋体" w:cs="宋体"/>
          <w:color w:val="auto"/>
          <w:sz w:val="22"/>
        </w:rPr>
        <w:t>。</w:t>
      </w:r>
    </w:p>
    <w:p w14:paraId="793B8A87">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1.11.2 关于承包人为实施工程所编制文件的著作权的归属：</w:t>
      </w:r>
      <w:r>
        <w:rPr>
          <w:rFonts w:hint="eastAsia" w:ascii="宋体" w:hAnsi="宋体" w:cs="宋体"/>
          <w:b/>
          <w:bCs/>
          <w:color w:val="auto"/>
          <w:sz w:val="22"/>
          <w:u w:val="single"/>
        </w:rPr>
        <w:t>发包人</w:t>
      </w:r>
      <w:r>
        <w:rPr>
          <w:rFonts w:hint="eastAsia" w:ascii="宋体" w:hAnsi="宋体" w:cs="宋体"/>
          <w:color w:val="auto"/>
          <w:sz w:val="22"/>
          <w:u w:val="single"/>
        </w:rPr>
        <w:t xml:space="preserve"> </w:t>
      </w:r>
      <w:r>
        <w:rPr>
          <w:rFonts w:hint="eastAsia" w:ascii="宋体" w:hAnsi="宋体" w:cs="宋体"/>
          <w:color w:val="auto"/>
          <w:sz w:val="22"/>
        </w:rPr>
        <w:t>。</w:t>
      </w:r>
    </w:p>
    <w:p w14:paraId="7C9835AE">
      <w:pPr>
        <w:pStyle w:val="40"/>
        <w:spacing w:line="360" w:lineRule="exact"/>
        <w:ind w:firstLine="440" w:firstLineChars="200"/>
        <w:rPr>
          <w:rFonts w:hint="eastAsia" w:ascii="宋体" w:hAnsi="宋体" w:cs="宋体"/>
          <w:color w:val="auto"/>
          <w:sz w:val="22"/>
          <w:u w:val="single"/>
        </w:rPr>
      </w:pPr>
      <w:r>
        <w:rPr>
          <w:rFonts w:hint="eastAsia" w:ascii="宋体" w:hAnsi="宋体" w:cs="宋体"/>
          <w:color w:val="auto"/>
          <w:sz w:val="22"/>
        </w:rPr>
        <w:t>关于承包人提供的上述文件的使用限制的要求：</w:t>
      </w:r>
      <w:r>
        <w:rPr>
          <w:rFonts w:hint="eastAsia" w:ascii="宋体" w:hAnsi="宋体" w:cs="宋体"/>
          <w:color w:val="auto"/>
          <w:sz w:val="22"/>
          <w:u w:val="single"/>
          <w:lang w:val="en-US" w:eastAsia="zh-CN"/>
        </w:rPr>
        <w:t xml:space="preserve"> </w:t>
      </w:r>
      <w:r>
        <w:rPr>
          <w:rFonts w:hint="eastAsia" w:ascii="宋体" w:hAnsi="宋体" w:cs="宋体"/>
          <w:b/>
          <w:bCs/>
          <w:color w:val="auto"/>
          <w:sz w:val="22"/>
          <w:u w:val="single"/>
        </w:rPr>
        <w:t>仅限本项目使用</w:t>
      </w:r>
      <w:r>
        <w:rPr>
          <w:rFonts w:hint="eastAsia" w:ascii="宋体" w:hAnsi="宋体" w:cs="宋体"/>
          <w:color w:val="auto"/>
          <w:sz w:val="22"/>
          <w:u w:val="single"/>
          <w:lang w:val="en-US" w:eastAsia="zh-CN"/>
        </w:rPr>
        <w:t xml:space="preserve"> </w:t>
      </w:r>
      <w:r>
        <w:rPr>
          <w:rFonts w:hint="eastAsia" w:ascii="宋体" w:hAnsi="宋体" w:cs="宋体"/>
          <w:color w:val="auto"/>
          <w:sz w:val="22"/>
        </w:rPr>
        <w:t>。</w:t>
      </w:r>
    </w:p>
    <w:p w14:paraId="6FC04594">
      <w:pPr>
        <w:pStyle w:val="40"/>
        <w:spacing w:line="360" w:lineRule="exact"/>
        <w:ind w:firstLine="440" w:firstLineChars="200"/>
        <w:rPr>
          <w:rFonts w:hint="eastAsia" w:ascii="宋体" w:hAnsi="宋体" w:cs="宋体"/>
          <w:color w:val="auto"/>
          <w:kern w:val="0"/>
          <w:sz w:val="22"/>
        </w:rPr>
      </w:pPr>
      <w:r>
        <w:rPr>
          <w:rFonts w:hint="eastAsia" w:ascii="宋体" w:hAnsi="宋体" w:cs="宋体"/>
          <w:color w:val="auto"/>
          <w:sz w:val="22"/>
        </w:rPr>
        <w:t>1.11.4 承包人在施工过程中所采用的专利、专有技术、技术秘密的使用费的承担方式：</w:t>
      </w:r>
      <w:r>
        <w:rPr>
          <w:rFonts w:hint="eastAsia" w:ascii="宋体" w:hAnsi="宋体" w:cs="宋体"/>
          <w:b/>
          <w:bCs/>
          <w:color w:val="auto"/>
          <w:sz w:val="22"/>
          <w:u w:val="single"/>
        </w:rPr>
        <w:t>由承包人承担</w:t>
      </w:r>
      <w:r>
        <w:rPr>
          <w:rFonts w:hint="eastAsia" w:ascii="宋体" w:hAnsi="宋体" w:cs="宋体"/>
          <w:color w:val="auto"/>
          <w:sz w:val="22"/>
          <w:u w:val="single"/>
        </w:rPr>
        <w:t xml:space="preserve"> </w:t>
      </w:r>
      <w:r>
        <w:rPr>
          <w:rFonts w:hint="eastAsia" w:ascii="宋体" w:hAnsi="宋体" w:cs="宋体"/>
          <w:color w:val="auto"/>
          <w:kern w:val="0"/>
          <w:sz w:val="22"/>
        </w:rPr>
        <w:t>。</w:t>
      </w:r>
    </w:p>
    <w:p w14:paraId="3B620D18">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（1</w:t>
      </w:r>
      <w:r>
        <w:rPr>
          <w:rFonts w:hint="eastAsia" w:ascii="宋体" w:hAnsi="宋体" w:cs="宋体"/>
          <w:color w:val="auto"/>
          <w:sz w:val="22"/>
          <w:szCs w:val="22"/>
          <w:lang w:eastAsia="zh-CN"/>
        </w:rPr>
        <w:t>）</w:t>
      </w:r>
      <w:r>
        <w:rPr>
          <w:rFonts w:hint="eastAsia" w:ascii="宋体" w:hAnsi="宋体" w:cs="宋体"/>
          <w:color w:val="auto"/>
          <w:sz w:val="22"/>
          <w:szCs w:val="22"/>
        </w:rPr>
        <w:t>承包人在实施、完成并保修合同工程过程中使用任何材料设备或采用施工工艺时，因侵犯他人专利权或其他知识产权所引起的责任，由承包人承担。</w:t>
      </w:r>
    </w:p>
    <w:p w14:paraId="360E44EF">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lang w:eastAsia="zh-CN"/>
        </w:rPr>
        <w:t>（</w:t>
      </w:r>
      <w:r>
        <w:rPr>
          <w:rFonts w:hint="eastAsia" w:ascii="宋体" w:hAnsi="宋体" w:cs="宋体"/>
          <w:color w:val="auto"/>
          <w:sz w:val="22"/>
          <w:szCs w:val="22"/>
        </w:rPr>
        <w:t>2</w:t>
      </w:r>
      <w:r>
        <w:rPr>
          <w:rFonts w:hint="eastAsia" w:ascii="宋体" w:hAnsi="宋体" w:cs="宋体"/>
          <w:color w:val="auto"/>
          <w:sz w:val="22"/>
          <w:szCs w:val="22"/>
          <w:lang w:eastAsia="zh-CN"/>
        </w:rPr>
        <w:t>）</w:t>
      </w:r>
      <w:r>
        <w:rPr>
          <w:rFonts w:hint="eastAsia" w:ascii="宋体" w:hAnsi="宋体" w:cs="宋体"/>
          <w:color w:val="auto"/>
          <w:sz w:val="22"/>
          <w:szCs w:val="22"/>
        </w:rPr>
        <w:t>承包人为实施本工程而采用专利技术等知识产权，知识产权的使用费已包含在签约合同价内。且承包人同意不受知识产权使用费限制</w:t>
      </w:r>
      <w:r>
        <w:rPr>
          <w:rFonts w:hint="eastAsia" w:ascii="宋体" w:hAnsi="宋体" w:cs="宋体"/>
          <w:color w:val="auto"/>
          <w:sz w:val="22"/>
          <w:szCs w:val="22"/>
          <w:lang w:eastAsia="zh-CN"/>
        </w:rPr>
        <w:t>，</w:t>
      </w:r>
      <w:r>
        <w:rPr>
          <w:rFonts w:hint="eastAsia" w:ascii="宋体" w:hAnsi="宋体" w:cs="宋体"/>
          <w:color w:val="auto"/>
          <w:sz w:val="22"/>
          <w:szCs w:val="22"/>
        </w:rPr>
        <w:t>许可发包人及其发包人集团公司内部</w:t>
      </w:r>
      <w:r>
        <w:rPr>
          <w:rFonts w:hint="eastAsia" w:ascii="宋体" w:hAnsi="宋体" w:cs="宋体"/>
          <w:color w:val="auto"/>
          <w:sz w:val="22"/>
          <w:szCs w:val="22"/>
          <w:lang w:eastAsia="zh-CN"/>
        </w:rPr>
        <w:t>其他成员</w:t>
      </w:r>
      <w:r>
        <w:rPr>
          <w:rFonts w:hint="eastAsia" w:ascii="宋体" w:hAnsi="宋体" w:cs="宋体"/>
          <w:color w:val="auto"/>
          <w:sz w:val="22"/>
          <w:szCs w:val="22"/>
        </w:rPr>
        <w:t>公司免费使用承包人所有或受其控制的有关知识产权。该知识产权包括发包人所需的任何与本项目有关的设备、机械、材料或与本项目有关或部分有关的任何方法、技术和工艺的实际经验。</w:t>
      </w:r>
    </w:p>
    <w:p w14:paraId="1E2DD4F1">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lang w:eastAsia="zh-CN"/>
        </w:rPr>
        <w:t>（</w:t>
      </w:r>
      <w:r>
        <w:rPr>
          <w:rFonts w:hint="eastAsia" w:ascii="宋体" w:hAnsi="宋体" w:cs="宋体"/>
          <w:color w:val="auto"/>
          <w:sz w:val="22"/>
          <w:szCs w:val="22"/>
        </w:rPr>
        <w:t>3</w:t>
      </w:r>
      <w:r>
        <w:rPr>
          <w:rFonts w:hint="eastAsia" w:ascii="宋体" w:hAnsi="宋体" w:cs="宋体"/>
          <w:color w:val="auto"/>
          <w:sz w:val="22"/>
          <w:szCs w:val="22"/>
          <w:lang w:eastAsia="zh-CN"/>
        </w:rPr>
        <w:t>）</w:t>
      </w:r>
      <w:r>
        <w:rPr>
          <w:rFonts w:hint="eastAsia" w:ascii="宋体" w:hAnsi="宋体" w:cs="宋体"/>
          <w:color w:val="auto"/>
          <w:sz w:val="22"/>
          <w:szCs w:val="22"/>
        </w:rPr>
        <w:t>工程施工过程中，承包人应注意收集有关数据、资料和经验，工程施工完成后，承包人应向发包人提交完整的施工总结报告，包括对上述施工工艺、专利技术等的使用，承包人不得以任何理由拒绝。承包人收集相关数据、信息和编制施工总结报告的相关费用已包含在签约合同价内。</w:t>
      </w:r>
    </w:p>
    <w:p w14:paraId="333A3231">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lang w:eastAsia="zh-CN"/>
        </w:rPr>
        <w:t>（</w:t>
      </w:r>
      <w:r>
        <w:rPr>
          <w:rFonts w:hint="eastAsia" w:ascii="宋体" w:hAnsi="宋体" w:cs="宋体"/>
          <w:color w:val="auto"/>
          <w:sz w:val="22"/>
          <w:szCs w:val="22"/>
        </w:rPr>
        <w:t>4</w:t>
      </w:r>
      <w:r>
        <w:rPr>
          <w:rFonts w:hint="eastAsia" w:ascii="宋体" w:hAnsi="宋体" w:cs="宋体"/>
          <w:color w:val="auto"/>
          <w:sz w:val="22"/>
          <w:szCs w:val="22"/>
          <w:lang w:eastAsia="zh-CN"/>
        </w:rPr>
        <w:t>）</w:t>
      </w:r>
      <w:r>
        <w:rPr>
          <w:rFonts w:hint="eastAsia" w:ascii="宋体" w:hAnsi="宋体" w:cs="宋体"/>
          <w:color w:val="auto"/>
          <w:sz w:val="22"/>
          <w:szCs w:val="22"/>
        </w:rPr>
        <w:t>承包人在施工过程中形成的新的施工工艺的权属属于承包人，但如果发包人参与了该施工工艺形成主要决策过程的，则该施工工艺的权属属于承包人与发包人共有。无论该施工工艺属于承包人所有还是由承包人与发包人共有的情形下，发包人及其发包人集团公司内部</w:t>
      </w:r>
      <w:r>
        <w:rPr>
          <w:rFonts w:hint="eastAsia" w:ascii="宋体" w:hAnsi="宋体" w:cs="宋体"/>
          <w:color w:val="auto"/>
          <w:sz w:val="22"/>
          <w:szCs w:val="22"/>
          <w:lang w:eastAsia="zh-CN"/>
        </w:rPr>
        <w:t>其他成员</w:t>
      </w:r>
      <w:r>
        <w:rPr>
          <w:rFonts w:hint="eastAsia" w:ascii="宋体" w:hAnsi="宋体" w:cs="宋体"/>
          <w:color w:val="auto"/>
          <w:sz w:val="22"/>
          <w:szCs w:val="22"/>
        </w:rPr>
        <w:t>公司均可以永久免费使用该施工工艺。</w:t>
      </w:r>
    </w:p>
    <w:p w14:paraId="7CD3AE1B">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lang w:eastAsia="zh-CN"/>
        </w:rPr>
        <w:t>（</w:t>
      </w:r>
      <w:r>
        <w:rPr>
          <w:rFonts w:hint="eastAsia" w:ascii="宋体" w:hAnsi="宋体" w:cs="宋体"/>
          <w:color w:val="auto"/>
          <w:sz w:val="22"/>
          <w:szCs w:val="22"/>
        </w:rPr>
        <w:t>5</w:t>
      </w:r>
      <w:r>
        <w:rPr>
          <w:rFonts w:hint="eastAsia" w:ascii="宋体" w:hAnsi="宋体" w:cs="宋体"/>
          <w:color w:val="auto"/>
          <w:sz w:val="22"/>
          <w:szCs w:val="22"/>
          <w:lang w:eastAsia="zh-CN"/>
        </w:rPr>
        <w:t>）</w:t>
      </w:r>
      <w:r>
        <w:rPr>
          <w:rFonts w:hint="eastAsia" w:ascii="宋体" w:hAnsi="宋体" w:cs="宋体"/>
          <w:color w:val="auto"/>
          <w:sz w:val="22"/>
          <w:szCs w:val="22"/>
        </w:rPr>
        <w:t>承包人为本工程制作或提供的深化设计图纸等文件的知识产权均归发包人所有。</w:t>
      </w:r>
    </w:p>
    <w:p w14:paraId="546DCD28">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lang w:eastAsia="zh-CN"/>
        </w:rPr>
        <w:t>（</w:t>
      </w:r>
      <w:r>
        <w:rPr>
          <w:rFonts w:hint="eastAsia" w:ascii="宋体" w:hAnsi="宋体" w:cs="宋体"/>
          <w:color w:val="auto"/>
          <w:sz w:val="22"/>
          <w:szCs w:val="22"/>
        </w:rPr>
        <w:t>6</w:t>
      </w:r>
      <w:r>
        <w:rPr>
          <w:rFonts w:hint="eastAsia" w:ascii="宋体" w:hAnsi="宋体" w:cs="宋体"/>
          <w:color w:val="auto"/>
          <w:sz w:val="22"/>
          <w:szCs w:val="22"/>
          <w:lang w:eastAsia="zh-CN"/>
        </w:rPr>
        <w:t>）</w:t>
      </w:r>
      <w:r>
        <w:rPr>
          <w:rFonts w:hint="eastAsia" w:ascii="宋体" w:hAnsi="宋体" w:cs="宋体"/>
          <w:color w:val="auto"/>
          <w:sz w:val="22"/>
          <w:szCs w:val="22"/>
        </w:rPr>
        <w:t>如果发生因承包人责任造成的任何知识产权侵权而造成第三方向发包人索赔或诉讼，发包人应立即通知承包人，承包人则应在收到通知后7天内，自费处理上述问题并以发包人名义及时对由此而引起的诉讼进行协商或抗诉。承包人进行这种协商或争讼必须首先以保护发包人为条件，这种保护在任何时候都是必需的，承包人应设法保护发包人利益，避免或减少可能成为发包人责任义务的任何赔偿、损害、费用和损失。在承包人请求时，发包人应给予一切可能的协助，来争取索赔诉讼的顺利解决。若承包人未按时处理，发包人有权自行处理有关纠纷，发包人因此遭受的赔偿、损害、费用及损失，发包人有权从应付或拟付给承包人的任何款项中直接扣回。</w:t>
      </w:r>
    </w:p>
    <w:p w14:paraId="7CA63EAB">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lang w:eastAsia="zh-CN"/>
        </w:rPr>
        <w:t>（</w:t>
      </w:r>
      <w:r>
        <w:rPr>
          <w:rFonts w:hint="eastAsia" w:ascii="宋体" w:hAnsi="宋体" w:cs="宋体"/>
          <w:color w:val="auto"/>
          <w:sz w:val="22"/>
          <w:szCs w:val="22"/>
        </w:rPr>
        <w:t>7</w:t>
      </w:r>
      <w:r>
        <w:rPr>
          <w:rFonts w:hint="eastAsia" w:ascii="宋体" w:hAnsi="宋体" w:cs="宋体"/>
          <w:color w:val="auto"/>
          <w:sz w:val="22"/>
          <w:szCs w:val="22"/>
          <w:lang w:eastAsia="zh-CN"/>
        </w:rPr>
        <w:t>）</w:t>
      </w:r>
      <w:r>
        <w:rPr>
          <w:rFonts w:hint="eastAsia" w:ascii="宋体" w:hAnsi="宋体" w:cs="宋体"/>
          <w:color w:val="auto"/>
          <w:sz w:val="22"/>
          <w:szCs w:val="22"/>
        </w:rPr>
        <w:t>在任何时候，如果发包人有理由认为上一条的保护不充分或者发包人对承包人在涉及发包人利益所进行争讼不满意时，发包人有权自行应讼，但并不因此减轻承包人任何责任和义务，并且，与之有关的全部费用由承包人承担。</w:t>
      </w:r>
    </w:p>
    <w:p w14:paraId="3AB8BC79">
      <w:pPr>
        <w:pStyle w:val="71"/>
        <w:spacing w:line="360" w:lineRule="exact"/>
        <w:ind w:firstLine="442" w:firstLineChars="200"/>
        <w:rPr>
          <w:rFonts w:hint="eastAsia" w:ascii="宋体" w:hAnsi="宋体" w:eastAsia="宋体" w:cs="宋体"/>
          <w:color w:val="auto"/>
          <w:sz w:val="22"/>
          <w:szCs w:val="22"/>
        </w:rPr>
      </w:pPr>
      <w:bookmarkStart w:id="191" w:name="_Toc54862504"/>
      <w:bookmarkStart w:id="192" w:name="_Toc513041284"/>
      <w:bookmarkStart w:id="193" w:name="_Toc529202538"/>
      <w:r>
        <w:rPr>
          <w:rFonts w:hint="eastAsia" w:ascii="宋体" w:hAnsi="宋体" w:eastAsia="宋体" w:cs="宋体"/>
          <w:color w:val="auto"/>
          <w:sz w:val="22"/>
          <w:szCs w:val="22"/>
        </w:rPr>
        <w:t>1.12保密</w:t>
      </w:r>
      <w:bookmarkEnd w:id="191"/>
      <w:bookmarkEnd w:id="192"/>
      <w:bookmarkEnd w:id="193"/>
    </w:p>
    <w:p w14:paraId="295050DF">
      <w:pPr>
        <w:pStyle w:val="60"/>
        <w:spacing w:line="360" w:lineRule="exact"/>
        <w:ind w:firstLine="440" w:firstLineChars="200"/>
        <w:rPr>
          <w:rFonts w:hint="eastAsia" w:ascii="宋体" w:hAnsi="宋体" w:cs="宋体"/>
          <w:color w:val="auto"/>
          <w:kern w:val="0"/>
          <w:sz w:val="22"/>
          <w:szCs w:val="22"/>
        </w:rPr>
      </w:pPr>
      <w:r>
        <w:rPr>
          <w:rFonts w:hint="eastAsia" w:ascii="宋体" w:hAnsi="宋体" w:cs="宋体"/>
          <w:color w:val="auto"/>
          <w:sz w:val="22"/>
          <w:szCs w:val="22"/>
          <w:u w:val="single"/>
        </w:rPr>
        <w:t>除法律规定外，未经发包人同意，承包人不得将发包人提供的图纸、文件以及声明需要保密的资料信息等商业秘密泄露给第三方。</w:t>
      </w:r>
    </w:p>
    <w:p w14:paraId="4D482897">
      <w:pPr>
        <w:pStyle w:val="39"/>
        <w:spacing w:line="360" w:lineRule="exact"/>
        <w:ind w:firstLine="442" w:firstLineChars="200"/>
        <w:rPr>
          <w:rFonts w:hint="eastAsia" w:ascii="宋体" w:hAnsi="宋体" w:cs="宋体"/>
          <w:color w:val="auto"/>
          <w:sz w:val="22"/>
          <w:szCs w:val="22"/>
        </w:rPr>
      </w:pPr>
      <w:bookmarkStart w:id="194" w:name="_Toc533432726"/>
      <w:bookmarkStart w:id="195" w:name="_Toc373227701"/>
      <w:bookmarkStart w:id="196" w:name="_Toc12975891"/>
      <w:bookmarkStart w:id="197" w:name="_Toc373478348"/>
      <w:bookmarkStart w:id="198" w:name="_Toc395382503"/>
      <w:bookmarkStart w:id="199" w:name="_Toc389065267"/>
      <w:r>
        <w:rPr>
          <w:rFonts w:hint="eastAsia" w:ascii="宋体" w:hAnsi="宋体" w:cs="宋体"/>
          <w:color w:val="auto"/>
          <w:sz w:val="22"/>
          <w:szCs w:val="22"/>
        </w:rPr>
        <w:t>1.13工程量清单错误的修正</w:t>
      </w:r>
      <w:bookmarkEnd w:id="194"/>
      <w:bookmarkEnd w:id="195"/>
      <w:bookmarkEnd w:id="196"/>
      <w:bookmarkEnd w:id="197"/>
      <w:bookmarkEnd w:id="198"/>
      <w:bookmarkEnd w:id="199"/>
    </w:p>
    <w:p w14:paraId="592F8DA3">
      <w:pPr>
        <w:pStyle w:val="60"/>
        <w:spacing w:line="360" w:lineRule="exact"/>
        <w:ind w:firstLine="440" w:firstLineChars="200"/>
        <w:rPr>
          <w:rFonts w:hint="eastAsia" w:ascii="宋体" w:hAnsi="宋体" w:cs="宋体"/>
          <w:color w:val="auto"/>
          <w:sz w:val="22"/>
          <w:szCs w:val="22"/>
          <w:u w:val="single"/>
        </w:rPr>
      </w:pPr>
      <w:r>
        <w:rPr>
          <w:rFonts w:hint="eastAsia" w:ascii="宋体" w:hAnsi="宋体" w:cs="宋体"/>
          <w:color w:val="auto"/>
          <w:sz w:val="22"/>
          <w:szCs w:val="22"/>
        </w:rPr>
        <w:t>出现工程量清单工程量偏差时，是否调整合同价格：</w:t>
      </w:r>
      <w:r>
        <w:rPr>
          <w:rFonts w:hint="eastAsia" w:ascii="宋体" w:hAnsi="宋体" w:cs="宋体"/>
          <w:color w:val="auto"/>
          <w:sz w:val="22"/>
          <w:szCs w:val="22"/>
          <w:u w:val="single"/>
        </w:rPr>
        <w:t>合同履行期间，由于磋商工程量清单错误、缺项、漏项，（1）新增部分项工程清单项目的，按照以下规定确定单价，并调整合同价格：1）合同中已有适用的综合单价，按合同中已有的综合单价确定；2）合同中有类似的综合单价，参照类似的综合单价确定；3）合同中没有适用或类似的综合单价，依据“专用合同条款10.4.1变更估价原则”执行。（2）由于磋商工程量清单项目多列或重复列项的，按照承包人磋商综合单价确定单价，并调整合同价格</w:t>
      </w:r>
    </w:p>
    <w:p w14:paraId="095797EA">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除以上情况之外出现工程量清单错误的，不调整合同价格。</w:t>
      </w:r>
      <w:r>
        <w:rPr>
          <w:rFonts w:hint="eastAsia" w:ascii="宋体" w:hAnsi="宋体" w:cs="宋体"/>
          <w:color w:val="auto"/>
          <w:sz w:val="22"/>
          <w:szCs w:val="22"/>
          <w:u w:val="single"/>
        </w:rPr>
        <w:t>发包人提供的措施费用清单仅供承包人参考，承包人可根据自身实际情况对措施项目进行增减，磋商工程量清单中的所有措施项目出现错误、缺项、漏项情况时，不属于调整价格范围。磋商图纸中的所有项目的措施费均包含在本合同价格中，承包人不得以措施项目漏项为由提出任何补偿及图纸修改</w:t>
      </w:r>
      <w:r>
        <w:rPr>
          <w:rFonts w:hint="eastAsia" w:ascii="宋体" w:hAnsi="宋体" w:cs="宋体"/>
          <w:color w:val="auto"/>
          <w:sz w:val="22"/>
          <w:szCs w:val="22"/>
        </w:rPr>
        <w:t>。</w:t>
      </w:r>
    </w:p>
    <w:p w14:paraId="58E11028">
      <w:pPr>
        <w:pStyle w:val="60"/>
        <w:spacing w:line="360" w:lineRule="exact"/>
        <w:ind w:firstLine="440" w:firstLineChars="200"/>
        <w:rPr>
          <w:rFonts w:hint="eastAsia" w:ascii="宋体" w:hAnsi="宋体" w:cs="宋体"/>
          <w:b/>
          <w:color w:val="auto"/>
          <w:sz w:val="22"/>
          <w:szCs w:val="22"/>
        </w:rPr>
      </w:pPr>
      <w:r>
        <w:rPr>
          <w:rFonts w:hint="eastAsia" w:ascii="宋体" w:hAnsi="宋体" w:cs="宋体"/>
          <w:color w:val="auto"/>
          <w:sz w:val="22"/>
          <w:szCs w:val="22"/>
        </w:rPr>
        <w:t>允许调整合同价格的工程量偏差范围及其调整办法：</w:t>
      </w:r>
      <w:r>
        <w:rPr>
          <w:rFonts w:hint="eastAsia" w:ascii="宋体" w:hAnsi="宋体" w:cs="宋体"/>
          <w:color w:val="auto"/>
          <w:sz w:val="22"/>
          <w:szCs w:val="22"/>
          <w:u w:val="single"/>
        </w:rPr>
        <w:t>无。</w:t>
      </w:r>
    </w:p>
    <w:p w14:paraId="74F30EB0">
      <w:pPr>
        <w:pStyle w:val="60"/>
        <w:spacing w:line="360" w:lineRule="exact"/>
        <w:ind w:firstLine="440" w:firstLineChars="200"/>
        <w:rPr>
          <w:rFonts w:hint="eastAsia" w:ascii="宋体" w:hAnsi="宋体" w:cs="宋体"/>
          <w:color w:val="auto"/>
          <w:sz w:val="22"/>
          <w:szCs w:val="22"/>
          <w:u w:val="single"/>
        </w:rPr>
      </w:pPr>
      <w:r>
        <w:rPr>
          <w:rFonts w:hint="eastAsia" w:ascii="宋体" w:hAnsi="宋体" w:cs="宋体"/>
          <w:color w:val="auto"/>
          <w:sz w:val="22"/>
          <w:szCs w:val="22"/>
          <w:u w:val="single"/>
        </w:rPr>
        <w:t>承包人承诺，磋商合同总价中包含了本项目全部已</w:t>
      </w:r>
      <w:r>
        <w:rPr>
          <w:rFonts w:hint="eastAsia" w:ascii="宋体" w:hAnsi="宋体" w:cs="宋体"/>
          <w:color w:val="auto"/>
          <w:sz w:val="22"/>
          <w:szCs w:val="22"/>
          <w:u w:val="single"/>
          <w:lang w:val="en-US" w:eastAsia="zh-CN"/>
        </w:rPr>
        <w:t>预</w:t>
      </w:r>
      <w:r>
        <w:rPr>
          <w:rFonts w:hint="eastAsia" w:ascii="宋体" w:hAnsi="宋体" w:cs="宋体"/>
          <w:color w:val="auto"/>
          <w:sz w:val="22"/>
          <w:szCs w:val="22"/>
          <w:u w:val="single"/>
        </w:rPr>
        <w:t>料的和（或）未预料到的单价措施和总价措施费用，包括但不限于如下项目：临时设施、施工用电、柴油发电、围堰、基坑支护、作业平台、大型机械进出场</w:t>
      </w:r>
      <w:r>
        <w:rPr>
          <w:rFonts w:hint="eastAsia" w:ascii="宋体" w:hAnsi="宋体" w:cs="宋体"/>
          <w:color w:val="auto"/>
          <w:sz w:val="22"/>
          <w:szCs w:val="22"/>
          <w:u w:val="single"/>
          <w:lang w:val="en-US" w:eastAsia="zh-CN"/>
        </w:rPr>
        <w:t>及</w:t>
      </w:r>
      <w:r>
        <w:rPr>
          <w:rFonts w:hint="eastAsia" w:ascii="宋体" w:hAnsi="宋体" w:cs="宋体"/>
          <w:color w:val="auto"/>
          <w:sz w:val="22"/>
          <w:szCs w:val="22"/>
          <w:u w:val="single"/>
        </w:rPr>
        <w:t>安拆、便道及便桥、施工降排水、安全文明施工及其他措施项目，未按期竣工（其中包括承包人原因和征地拆迁等承包人原因引起的工期顺延）增加的全部费用。</w:t>
      </w:r>
    </w:p>
    <w:p w14:paraId="79D60CAF">
      <w:pPr>
        <w:pStyle w:val="70"/>
        <w:spacing w:before="0" w:after="0" w:line="360" w:lineRule="exact"/>
        <w:ind w:firstLine="442" w:firstLineChars="200"/>
        <w:rPr>
          <w:rFonts w:hint="eastAsia" w:ascii="宋体" w:hAnsi="宋体" w:cs="宋体"/>
          <w:color w:val="auto"/>
          <w:sz w:val="22"/>
          <w:szCs w:val="22"/>
        </w:rPr>
      </w:pPr>
      <w:bookmarkStart w:id="200" w:name="_Toc395382504"/>
      <w:bookmarkStart w:id="201" w:name="_Toc373227702"/>
      <w:bookmarkStart w:id="202" w:name="_Toc12975892"/>
      <w:bookmarkStart w:id="203" w:name="_Toc533432727"/>
      <w:bookmarkStart w:id="204" w:name="_Toc373478349"/>
      <w:bookmarkStart w:id="205" w:name="_Toc389065268"/>
      <w:bookmarkStart w:id="206" w:name="_Toc351203634"/>
      <w:r>
        <w:rPr>
          <w:rFonts w:hint="eastAsia" w:ascii="宋体" w:hAnsi="宋体" w:cs="宋体"/>
          <w:color w:val="auto"/>
          <w:sz w:val="22"/>
          <w:szCs w:val="22"/>
        </w:rPr>
        <w:t>2</w:t>
      </w:r>
      <w:bookmarkStart w:id="207" w:name="_Toc297120457"/>
      <w:bookmarkStart w:id="208" w:name="_Toc296891197"/>
      <w:bookmarkStart w:id="209" w:name="_Toc296503157"/>
      <w:bookmarkStart w:id="210" w:name="_Toc292559867"/>
      <w:bookmarkStart w:id="211" w:name="_Toc297048343"/>
      <w:bookmarkStart w:id="212" w:name="_Toc296944496"/>
      <w:bookmarkStart w:id="213" w:name="_Toc296347156"/>
      <w:bookmarkStart w:id="214" w:name="_Toc296346658"/>
      <w:bookmarkStart w:id="215" w:name="_Toc296890985"/>
      <w:bookmarkStart w:id="216" w:name="_Toc292559362"/>
      <w:r>
        <w:rPr>
          <w:rFonts w:hint="eastAsia" w:ascii="宋体" w:hAnsi="宋体" w:cs="宋体"/>
          <w:color w:val="auto"/>
          <w:sz w:val="22"/>
          <w:szCs w:val="22"/>
        </w:rPr>
        <w:t>. 发包人</w:t>
      </w:r>
      <w:bookmarkEnd w:id="200"/>
      <w:bookmarkEnd w:id="201"/>
      <w:bookmarkEnd w:id="202"/>
      <w:bookmarkEnd w:id="203"/>
      <w:bookmarkEnd w:id="204"/>
      <w:bookmarkEnd w:id="205"/>
      <w:bookmarkEnd w:id="206"/>
    </w:p>
    <w:bookmarkEnd w:id="207"/>
    <w:bookmarkEnd w:id="208"/>
    <w:bookmarkEnd w:id="209"/>
    <w:bookmarkEnd w:id="210"/>
    <w:bookmarkEnd w:id="211"/>
    <w:bookmarkEnd w:id="212"/>
    <w:bookmarkEnd w:id="213"/>
    <w:bookmarkEnd w:id="214"/>
    <w:bookmarkEnd w:id="215"/>
    <w:bookmarkEnd w:id="216"/>
    <w:p w14:paraId="3F91F293">
      <w:pPr>
        <w:pStyle w:val="39"/>
        <w:spacing w:line="360" w:lineRule="exact"/>
        <w:ind w:firstLine="442" w:firstLineChars="200"/>
        <w:rPr>
          <w:rFonts w:hint="eastAsia" w:ascii="宋体" w:hAnsi="宋体" w:cs="宋体"/>
          <w:color w:val="auto"/>
          <w:sz w:val="22"/>
          <w:szCs w:val="22"/>
        </w:rPr>
      </w:pPr>
      <w:bookmarkStart w:id="217" w:name="_Toc395382505"/>
      <w:bookmarkStart w:id="218" w:name="_Toc533432728"/>
      <w:bookmarkStart w:id="219" w:name="_Toc389065269"/>
      <w:bookmarkStart w:id="220" w:name="_Toc373227703"/>
      <w:bookmarkStart w:id="221" w:name="_Toc373478350"/>
      <w:bookmarkStart w:id="222" w:name="_Toc12975893"/>
      <w:r>
        <w:rPr>
          <w:rFonts w:hint="eastAsia" w:ascii="宋体" w:hAnsi="宋体" w:cs="宋体"/>
          <w:color w:val="auto"/>
          <w:sz w:val="22"/>
          <w:szCs w:val="22"/>
        </w:rPr>
        <w:t>2.2 发包人代表</w:t>
      </w:r>
      <w:bookmarkEnd w:id="217"/>
      <w:bookmarkEnd w:id="218"/>
      <w:bookmarkEnd w:id="219"/>
      <w:bookmarkEnd w:id="220"/>
      <w:bookmarkEnd w:id="221"/>
      <w:bookmarkEnd w:id="222"/>
    </w:p>
    <w:p w14:paraId="176B3A3C">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发包人代表：</w:t>
      </w:r>
    </w:p>
    <w:p w14:paraId="4BBBB51F">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姓    名：</w:t>
      </w:r>
      <w:r>
        <w:rPr>
          <w:rFonts w:hint="eastAsia" w:ascii="宋体" w:hAnsi="宋体" w:cs="宋体"/>
          <w:color w:val="auto"/>
          <w:sz w:val="22"/>
          <w:u w:val="single"/>
        </w:rPr>
        <w:t>     </w:t>
      </w:r>
      <w:r>
        <w:rPr>
          <w:rFonts w:hint="eastAsia" w:ascii="宋体" w:hAnsi="宋体" w:cs="宋体"/>
          <w:color w:val="auto"/>
          <w:sz w:val="22"/>
        </w:rPr>
        <w:t>；</w:t>
      </w:r>
    </w:p>
    <w:p w14:paraId="404EC014">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身份证号：</w:t>
      </w:r>
      <w:r>
        <w:rPr>
          <w:rFonts w:hint="eastAsia" w:ascii="宋体" w:hAnsi="宋体" w:cs="宋体"/>
          <w:color w:val="auto"/>
          <w:sz w:val="22"/>
          <w:u w:val="single"/>
        </w:rPr>
        <w:t>      </w:t>
      </w:r>
      <w:r>
        <w:rPr>
          <w:rFonts w:hint="eastAsia" w:ascii="宋体" w:hAnsi="宋体" w:cs="宋体"/>
          <w:color w:val="auto"/>
          <w:sz w:val="22"/>
        </w:rPr>
        <w:t>；</w:t>
      </w:r>
    </w:p>
    <w:p w14:paraId="2A66DED5">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职    务：</w:t>
      </w:r>
      <w:r>
        <w:rPr>
          <w:rFonts w:hint="eastAsia" w:ascii="宋体" w:hAnsi="宋体" w:cs="宋体"/>
          <w:color w:val="auto"/>
          <w:sz w:val="22"/>
          <w:u w:val="single"/>
        </w:rPr>
        <w:t>    </w:t>
      </w:r>
      <w:r>
        <w:rPr>
          <w:rFonts w:hint="eastAsia" w:ascii="宋体" w:hAnsi="宋体" w:cs="宋体"/>
          <w:color w:val="auto"/>
          <w:sz w:val="22"/>
        </w:rPr>
        <w:t>；</w:t>
      </w:r>
    </w:p>
    <w:p w14:paraId="272D1AF1">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联系电话：</w:t>
      </w:r>
      <w:r>
        <w:rPr>
          <w:rFonts w:hint="eastAsia" w:ascii="宋体" w:hAnsi="宋体" w:cs="宋体"/>
          <w:color w:val="auto"/>
          <w:sz w:val="22"/>
          <w:u w:val="single"/>
        </w:rPr>
        <w:t>     </w:t>
      </w:r>
      <w:r>
        <w:rPr>
          <w:rFonts w:hint="eastAsia" w:ascii="宋体" w:hAnsi="宋体" w:cs="宋体"/>
          <w:color w:val="auto"/>
          <w:sz w:val="22"/>
        </w:rPr>
        <w:t>；</w:t>
      </w:r>
    </w:p>
    <w:p w14:paraId="799A78E3">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电子信箱：</w:t>
      </w:r>
      <w:r>
        <w:rPr>
          <w:rFonts w:hint="eastAsia" w:ascii="宋体" w:hAnsi="宋体" w:cs="宋体"/>
          <w:color w:val="auto"/>
          <w:sz w:val="22"/>
          <w:u w:val="single"/>
        </w:rPr>
        <w:t>     </w:t>
      </w:r>
      <w:r>
        <w:rPr>
          <w:rFonts w:hint="eastAsia" w:ascii="宋体" w:hAnsi="宋体" w:cs="宋体"/>
          <w:color w:val="auto"/>
          <w:sz w:val="22"/>
        </w:rPr>
        <w:t>；</w:t>
      </w:r>
    </w:p>
    <w:p w14:paraId="35DD4174">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通信地址：</w:t>
      </w:r>
      <w:r>
        <w:rPr>
          <w:rFonts w:hint="eastAsia" w:ascii="宋体" w:hAnsi="宋体" w:cs="宋体"/>
          <w:color w:val="auto"/>
          <w:sz w:val="22"/>
          <w:u w:val="single"/>
        </w:rPr>
        <w:t>    </w:t>
      </w:r>
      <w:r>
        <w:rPr>
          <w:rFonts w:hint="eastAsia" w:ascii="宋体" w:hAnsi="宋体" w:cs="宋体"/>
          <w:color w:val="auto"/>
          <w:sz w:val="22"/>
        </w:rPr>
        <w:t>。</w:t>
      </w:r>
    </w:p>
    <w:p w14:paraId="099A61B4">
      <w:pPr>
        <w:pStyle w:val="40"/>
        <w:spacing w:line="360" w:lineRule="exact"/>
        <w:ind w:firstLine="440" w:firstLineChars="200"/>
        <w:rPr>
          <w:rFonts w:hint="eastAsia" w:ascii="宋体" w:hAnsi="宋体" w:cs="宋体"/>
          <w:color w:val="auto"/>
          <w:sz w:val="22"/>
          <w:u w:val="single"/>
        </w:rPr>
      </w:pPr>
      <w:r>
        <w:rPr>
          <w:rFonts w:hint="eastAsia" w:ascii="宋体" w:hAnsi="宋体" w:cs="宋体"/>
          <w:color w:val="auto"/>
          <w:sz w:val="22"/>
        </w:rPr>
        <w:t>发包人对发包人代表的授权范围如下：</w:t>
      </w:r>
      <w:r>
        <w:rPr>
          <w:rFonts w:hint="eastAsia" w:ascii="宋体" w:hAnsi="宋体" w:cs="宋体"/>
          <w:color w:val="auto"/>
          <w:sz w:val="22"/>
          <w:u w:val="single"/>
        </w:rPr>
        <w:t></w:t>
      </w:r>
      <w:r>
        <w:rPr>
          <w:rFonts w:hint="eastAsia" w:ascii="宋体" w:hAnsi="宋体" w:cs="宋体"/>
          <w:bCs/>
          <w:color w:val="auto"/>
          <w:sz w:val="22"/>
          <w:u w:val="single"/>
        </w:rPr>
        <w:t>对本工程质量、工期、进度、安全、文明施工及材料和设备进场进行监督检查；对涉及工期延长、设计变更和现场收方等的相关事项作出处理；办理中间交工工程验收手续；协调施工现场及外部有关事宜</w:t>
      </w:r>
      <w:r>
        <w:rPr>
          <w:rFonts w:hint="eastAsia" w:ascii="宋体" w:hAnsi="宋体" w:cs="宋体"/>
          <w:color w:val="auto"/>
          <w:sz w:val="22"/>
          <w:u w:val="single"/>
        </w:rPr>
        <w:t xml:space="preserve"> </w:t>
      </w:r>
      <w:r>
        <w:rPr>
          <w:rFonts w:hint="eastAsia" w:ascii="宋体" w:hAnsi="宋体" w:cs="宋体"/>
          <w:color w:val="auto"/>
          <w:sz w:val="22"/>
        </w:rPr>
        <w:t>。</w:t>
      </w:r>
    </w:p>
    <w:p w14:paraId="0865FC46">
      <w:pPr>
        <w:pStyle w:val="39"/>
        <w:spacing w:line="360" w:lineRule="exact"/>
        <w:ind w:firstLine="442" w:firstLineChars="200"/>
        <w:rPr>
          <w:rFonts w:hint="eastAsia" w:ascii="宋体" w:hAnsi="宋体" w:cs="宋体"/>
          <w:color w:val="auto"/>
          <w:sz w:val="22"/>
          <w:szCs w:val="22"/>
        </w:rPr>
      </w:pPr>
      <w:bookmarkStart w:id="223" w:name="_Toc12975894"/>
      <w:bookmarkStart w:id="224" w:name="_Toc389065270"/>
      <w:bookmarkStart w:id="225" w:name="_Toc373478351"/>
      <w:bookmarkStart w:id="226" w:name="_Toc373227704"/>
      <w:bookmarkStart w:id="227" w:name="_Toc395382506"/>
      <w:bookmarkStart w:id="228" w:name="_Toc533432729"/>
      <w:r>
        <w:rPr>
          <w:rFonts w:hint="eastAsia" w:ascii="宋体" w:hAnsi="宋体" w:cs="宋体"/>
          <w:color w:val="auto"/>
          <w:sz w:val="22"/>
          <w:szCs w:val="22"/>
        </w:rPr>
        <w:t>2.4 施工现场、施工条件和基础资料的提供</w:t>
      </w:r>
      <w:bookmarkEnd w:id="223"/>
      <w:bookmarkEnd w:id="224"/>
      <w:bookmarkEnd w:id="225"/>
      <w:bookmarkEnd w:id="226"/>
      <w:bookmarkEnd w:id="227"/>
      <w:bookmarkEnd w:id="228"/>
    </w:p>
    <w:p w14:paraId="4D3F6C2A">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2.4.1 提供施工现场</w:t>
      </w:r>
    </w:p>
    <w:p w14:paraId="620D1439">
      <w:pPr>
        <w:pStyle w:val="60"/>
        <w:spacing w:line="360" w:lineRule="exact"/>
        <w:ind w:firstLine="440" w:firstLineChars="200"/>
        <w:jc w:val="left"/>
        <w:rPr>
          <w:rFonts w:hint="eastAsia" w:ascii="宋体" w:hAnsi="宋体" w:cs="宋体"/>
          <w:b/>
          <w:color w:val="auto"/>
          <w:sz w:val="22"/>
          <w:szCs w:val="22"/>
        </w:rPr>
      </w:pPr>
      <w:r>
        <w:rPr>
          <w:rFonts w:hint="eastAsia" w:ascii="宋体" w:hAnsi="宋体" w:cs="宋体"/>
          <w:color w:val="auto"/>
          <w:sz w:val="22"/>
          <w:szCs w:val="22"/>
        </w:rPr>
        <w:t>关于发包人移交施工现场的期限要求：</w:t>
      </w:r>
      <w:r>
        <w:rPr>
          <w:rFonts w:hint="eastAsia" w:ascii="宋体" w:hAnsi="宋体" w:cs="宋体"/>
          <w:color w:val="auto"/>
          <w:sz w:val="22"/>
          <w:szCs w:val="22"/>
          <w:u w:val="single"/>
          <w:lang w:val="en-US" w:eastAsia="zh-CN"/>
        </w:rPr>
        <w:t xml:space="preserve"> </w:t>
      </w:r>
      <w:r>
        <w:rPr>
          <w:rFonts w:hint="eastAsia" w:ascii="宋体" w:hAnsi="宋体" w:cs="宋体"/>
          <w:color w:val="auto"/>
          <w:sz w:val="22"/>
          <w:szCs w:val="22"/>
          <w:u w:val="single"/>
        </w:rPr>
        <w:t>发包人应最迟于开工</w:t>
      </w:r>
      <w:r>
        <w:rPr>
          <w:rFonts w:hint="eastAsia" w:ascii="宋体" w:hAnsi="宋体" w:cs="宋体"/>
          <w:color w:val="auto"/>
          <w:sz w:val="22"/>
          <w:szCs w:val="22"/>
          <w:highlight w:val="none"/>
          <w:u w:val="single"/>
        </w:rPr>
        <w:t>日期</w:t>
      </w:r>
      <w:r>
        <w:rPr>
          <w:rFonts w:hint="eastAsia" w:ascii="宋体" w:hAnsi="宋体" w:cs="宋体"/>
          <w:color w:val="auto"/>
          <w:sz w:val="22"/>
          <w:szCs w:val="22"/>
          <w:highlight w:val="none"/>
          <w:u w:val="single"/>
          <w:lang w:val="en-US" w:eastAsia="zh-CN"/>
        </w:rPr>
        <w:t>14</w:t>
      </w:r>
      <w:r>
        <w:rPr>
          <w:rFonts w:hint="eastAsia" w:ascii="宋体" w:hAnsi="宋体" w:cs="宋体"/>
          <w:color w:val="auto"/>
          <w:sz w:val="22"/>
          <w:szCs w:val="22"/>
          <w:highlight w:val="none"/>
          <w:u w:val="single"/>
        </w:rPr>
        <w:t>天前</w:t>
      </w:r>
      <w:r>
        <w:rPr>
          <w:rFonts w:hint="eastAsia" w:ascii="宋体" w:hAnsi="宋体" w:cs="宋体"/>
          <w:color w:val="auto"/>
          <w:sz w:val="22"/>
          <w:szCs w:val="22"/>
          <w:u w:val="single"/>
        </w:rPr>
        <w:t>向承包人移交部分施工现场。发包人根据征地进展安排，分期</w:t>
      </w:r>
      <w:r>
        <w:rPr>
          <w:rFonts w:hint="eastAsia" w:ascii="宋体" w:hAnsi="宋体" w:cs="宋体"/>
          <w:color w:val="auto"/>
          <w:sz w:val="22"/>
          <w:szCs w:val="22"/>
          <w:u w:val="single"/>
          <w:lang w:eastAsia="zh-CN"/>
        </w:rPr>
        <w:t>（</w:t>
      </w:r>
      <w:r>
        <w:rPr>
          <w:rFonts w:hint="eastAsia" w:ascii="宋体" w:hAnsi="宋体" w:cs="宋体"/>
          <w:color w:val="auto"/>
          <w:sz w:val="22"/>
          <w:szCs w:val="22"/>
          <w:u w:val="single"/>
        </w:rPr>
        <w:t>也可以一次</w:t>
      </w:r>
      <w:r>
        <w:rPr>
          <w:rFonts w:hint="eastAsia" w:ascii="宋体" w:hAnsi="宋体" w:cs="宋体"/>
          <w:color w:val="auto"/>
          <w:sz w:val="22"/>
          <w:szCs w:val="22"/>
          <w:u w:val="single"/>
          <w:lang w:eastAsia="zh-CN"/>
        </w:rPr>
        <w:t>）</w:t>
      </w:r>
      <w:r>
        <w:rPr>
          <w:rFonts w:hint="eastAsia" w:ascii="宋体" w:hAnsi="宋体" w:cs="宋体"/>
          <w:color w:val="auto"/>
          <w:sz w:val="22"/>
          <w:szCs w:val="22"/>
          <w:u w:val="single"/>
        </w:rPr>
        <w:t>将施工所需的永久占地办妥征用以及拆迁赔偿手续，通知承包人使用，以使承包人能够连续不间断地施工</w:t>
      </w:r>
      <w:r>
        <w:rPr>
          <w:rFonts w:hint="eastAsia" w:ascii="宋体" w:hAnsi="宋体" w:cs="宋体"/>
          <w:color w:val="auto"/>
          <w:sz w:val="22"/>
          <w:szCs w:val="22"/>
          <w:u w:val="none"/>
        </w:rPr>
        <w:t>。</w:t>
      </w:r>
    </w:p>
    <w:p w14:paraId="5FC5FFEE">
      <w:pPr>
        <w:pStyle w:val="6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本工程可供承包人使用的场地仅为经规划部门批准的红线范围或借地范围（具体以发包人提供的初步设计文件及资料为准），承包人应无条件接受现场条件。超出上述范围需要使用的场地，均由承包人自行解决，并自行办妥一切需要办理的手续，由此引起的一切纠纷、事故和赔偿责任，均由承包人承担。如果由于发包人未能按照本款规定办妥永久占地征用手续，而影响承包人工程的施工，承包人须及时调整工程施工组织安排并报监理人批准，合理组织和安排工程施工。因此导致承包人延误工期或增加费用时，发包人仅考虑适当延长工期作为补偿。</w:t>
      </w:r>
    </w:p>
    <w:p w14:paraId="61FBD905">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2.4.2 提供施工条件</w:t>
      </w:r>
    </w:p>
    <w:p w14:paraId="6F84C858">
      <w:pPr>
        <w:pStyle w:val="60"/>
        <w:spacing w:line="360" w:lineRule="exact"/>
        <w:ind w:firstLine="440" w:firstLineChars="200"/>
        <w:rPr>
          <w:rFonts w:hint="eastAsia" w:ascii="宋体" w:hAnsi="宋体" w:cs="宋体"/>
          <w:bCs/>
          <w:color w:val="auto"/>
          <w:sz w:val="22"/>
          <w:szCs w:val="22"/>
          <w:u w:val="single"/>
        </w:rPr>
      </w:pPr>
      <w:r>
        <w:rPr>
          <w:rFonts w:hint="eastAsia" w:ascii="宋体" w:hAnsi="宋体" w:cs="宋体"/>
          <w:color w:val="auto"/>
          <w:sz w:val="22"/>
          <w:szCs w:val="22"/>
        </w:rPr>
        <w:t>关于发包人应负责提供施工所需要的条件，包括：</w:t>
      </w:r>
      <w:r>
        <w:rPr>
          <w:rFonts w:hint="eastAsia" w:ascii="宋体" w:hAnsi="宋体" w:cs="宋体"/>
          <w:bCs/>
          <w:color w:val="auto"/>
          <w:sz w:val="22"/>
          <w:szCs w:val="22"/>
          <w:u w:val="single"/>
        </w:rPr>
        <w:t>施工所需的水、电、气、通讯等管线接至施工场地的均由承包人自行负责，并承担相关费用。若供电和供水部门的原因造成停电停水或承包人未能及时报装，承包人必须自行解决，费用由承包人负责。发包人的协助不能免除或减轻承包人的任何责任</w:t>
      </w:r>
      <w:r>
        <w:rPr>
          <w:rFonts w:hint="eastAsia" w:ascii="宋体" w:hAnsi="宋体" w:cs="宋体"/>
          <w:bCs/>
          <w:color w:val="auto"/>
          <w:sz w:val="22"/>
          <w:szCs w:val="22"/>
          <w:u w:val="none"/>
        </w:rPr>
        <w:t>。</w:t>
      </w:r>
    </w:p>
    <w:p w14:paraId="0ACCD356">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临时占地属于本合同内容的一部分，费用已包含在合同总价中，临时占地由承包人向当地政府土地管理部门申请，并办理租用手续，承包人按有关规定直接支付其费用。</w:t>
      </w:r>
    </w:p>
    <w:p w14:paraId="1C98224F">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临时占地范围包括承包人驻地的办公室、食堂、宿舍、道路和机械设备停放场、材料堆放场地、取土场、弃土场、预制场、拌和场、仓库、进场临时道路、临时便道、便桥等与本工程有关的临时占地。承包人应在“临时占地计划表”范围内按实际需要与先后次序，提出具体计划报监理人和发包人。临时占地的面积和使用期应满足工程需要，费用包括临时占地数量、时间及因此而发生的协调、租用、复耕、地面附着物的拆迁补偿等相关费用。尽管承包人按照磋商文件中的“临时占地计划表”所述用地开展施工，但仍不满足实际需要时，承包人需自费增加临时占地的面积和使用期。</w:t>
      </w:r>
    </w:p>
    <w:p w14:paraId="4DCD6521">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临时占地退还前，承包人应自费恢复到临时占地使用前的状况。如因承包人撤离后未按要求对临时占地进行恢复或虽进行了恢复但未达到使用标准的，将由发包人委托第三方对其恢复，所发生的费用将从应付或拟付给承包人的任何款项内扣除</w:t>
      </w:r>
      <w:r>
        <w:rPr>
          <w:rFonts w:hint="eastAsia" w:ascii="宋体" w:hAnsi="宋体" w:cs="宋体"/>
          <w:color w:val="auto"/>
          <w:sz w:val="22"/>
          <w:szCs w:val="22"/>
          <w:u w:val="none"/>
        </w:rPr>
        <w:t>。</w:t>
      </w:r>
    </w:p>
    <w:p w14:paraId="06C66A9D">
      <w:pPr>
        <w:pStyle w:val="39"/>
        <w:spacing w:line="360" w:lineRule="exact"/>
        <w:ind w:firstLine="442" w:firstLineChars="200"/>
        <w:rPr>
          <w:rFonts w:hint="eastAsia" w:ascii="宋体" w:hAnsi="宋体" w:cs="宋体"/>
          <w:color w:val="auto"/>
          <w:sz w:val="22"/>
          <w:szCs w:val="22"/>
        </w:rPr>
      </w:pPr>
      <w:bookmarkStart w:id="229" w:name="_Toc533432730"/>
      <w:bookmarkStart w:id="230" w:name="_Toc373478352"/>
      <w:bookmarkStart w:id="231" w:name="_Toc389065271"/>
      <w:bookmarkStart w:id="232" w:name="_Toc12975895"/>
      <w:bookmarkStart w:id="233" w:name="_Toc373227705"/>
      <w:bookmarkStart w:id="234" w:name="_Toc395382507"/>
      <w:r>
        <w:rPr>
          <w:rFonts w:hint="eastAsia" w:ascii="宋体" w:hAnsi="宋体" w:cs="宋体"/>
          <w:color w:val="auto"/>
          <w:sz w:val="22"/>
          <w:szCs w:val="22"/>
        </w:rPr>
        <w:t>2.5 资金来源证明及支付担保</w:t>
      </w:r>
      <w:bookmarkEnd w:id="229"/>
      <w:bookmarkEnd w:id="230"/>
      <w:bookmarkEnd w:id="231"/>
      <w:bookmarkEnd w:id="232"/>
      <w:bookmarkEnd w:id="233"/>
      <w:bookmarkEnd w:id="234"/>
    </w:p>
    <w:p w14:paraId="74FC754F">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发包人提供资金来源证明的期限要求：</w:t>
      </w:r>
      <w:r>
        <w:rPr>
          <w:rFonts w:hint="eastAsia" w:ascii="宋体" w:hAnsi="宋体" w:cs="宋体"/>
          <w:color w:val="auto"/>
          <w:sz w:val="22"/>
          <w:u w:val="single"/>
        </w:rPr>
        <w:t xml:space="preserve">不提供  </w:t>
      </w:r>
      <w:r>
        <w:rPr>
          <w:rFonts w:hint="eastAsia" w:ascii="宋体" w:hAnsi="宋体" w:cs="宋体"/>
          <w:color w:val="auto"/>
          <w:sz w:val="22"/>
        </w:rPr>
        <w:t>。</w:t>
      </w:r>
    </w:p>
    <w:p w14:paraId="1E7F2A6A">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发包人是否提供支付担保：</w:t>
      </w:r>
      <w:r>
        <w:rPr>
          <w:rFonts w:hint="eastAsia" w:ascii="宋体" w:hAnsi="宋体" w:cs="宋体"/>
          <w:color w:val="auto"/>
          <w:sz w:val="22"/>
          <w:u w:val="single"/>
        </w:rPr>
        <w:t xml:space="preserve">不提供  </w:t>
      </w:r>
      <w:r>
        <w:rPr>
          <w:rFonts w:hint="eastAsia" w:ascii="宋体" w:hAnsi="宋体" w:cs="宋体"/>
          <w:color w:val="auto"/>
          <w:sz w:val="22"/>
        </w:rPr>
        <w:t>。</w:t>
      </w:r>
    </w:p>
    <w:p w14:paraId="47BB35A1">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发包人提供支付担保的形式：</w:t>
      </w:r>
      <w:r>
        <w:rPr>
          <w:rFonts w:hint="eastAsia" w:ascii="宋体" w:hAnsi="宋体" w:cs="宋体"/>
          <w:color w:val="auto"/>
          <w:sz w:val="22"/>
          <w:u w:val="single"/>
        </w:rPr>
        <w:t>无</w:t>
      </w:r>
      <w:r>
        <w:rPr>
          <w:rFonts w:hint="eastAsia" w:ascii="宋体" w:hAnsi="宋体" w:cs="宋体"/>
          <w:color w:val="auto"/>
          <w:sz w:val="22"/>
        </w:rPr>
        <w:t>。</w:t>
      </w:r>
    </w:p>
    <w:p w14:paraId="5F6D765B">
      <w:pPr>
        <w:pStyle w:val="40"/>
        <w:spacing w:line="360" w:lineRule="exact"/>
        <w:ind w:firstLine="440" w:firstLineChars="200"/>
        <w:rPr>
          <w:rFonts w:hint="eastAsia" w:ascii="宋体" w:hAnsi="宋体" w:cs="宋体"/>
          <w:color w:val="auto"/>
          <w:sz w:val="22"/>
          <w:u w:val="single"/>
        </w:rPr>
      </w:pPr>
    </w:p>
    <w:p w14:paraId="0441EA2D">
      <w:pPr>
        <w:pStyle w:val="70"/>
        <w:spacing w:before="0" w:after="0" w:line="360" w:lineRule="exact"/>
        <w:ind w:firstLine="442" w:firstLineChars="200"/>
        <w:rPr>
          <w:rFonts w:hint="eastAsia" w:ascii="宋体" w:hAnsi="宋体" w:cs="宋体"/>
          <w:color w:val="auto"/>
          <w:sz w:val="22"/>
          <w:szCs w:val="22"/>
        </w:rPr>
      </w:pPr>
      <w:bookmarkStart w:id="235" w:name="_Toc12975896"/>
      <w:bookmarkStart w:id="236" w:name="_Toc533432731"/>
      <w:bookmarkStart w:id="237" w:name="_Toc395382508"/>
      <w:bookmarkStart w:id="238" w:name="_Toc351203635"/>
      <w:bookmarkStart w:id="239" w:name="_Toc373478353"/>
      <w:bookmarkStart w:id="240" w:name="_Toc389065272"/>
      <w:bookmarkStart w:id="241" w:name="_Toc373227706"/>
      <w:r>
        <w:rPr>
          <w:rFonts w:hint="eastAsia" w:ascii="宋体" w:hAnsi="宋体" w:cs="宋体"/>
          <w:color w:val="auto"/>
          <w:sz w:val="22"/>
          <w:szCs w:val="22"/>
        </w:rPr>
        <w:t>3</w:t>
      </w:r>
      <w:bookmarkStart w:id="242" w:name="_Toc296890986"/>
      <w:bookmarkStart w:id="243" w:name="_Toc296346659"/>
      <w:bookmarkStart w:id="244" w:name="_Toc296891198"/>
      <w:bookmarkStart w:id="245" w:name="_Toc292559363"/>
      <w:bookmarkStart w:id="246" w:name="_Toc292559868"/>
      <w:bookmarkStart w:id="247" w:name="_Toc296944497"/>
      <w:bookmarkStart w:id="248" w:name="_Toc296503158"/>
      <w:bookmarkStart w:id="249" w:name="_Toc297120458"/>
      <w:bookmarkStart w:id="250" w:name="_Toc296347157"/>
      <w:bookmarkStart w:id="251" w:name="_Toc297048344"/>
      <w:r>
        <w:rPr>
          <w:rFonts w:hint="eastAsia" w:ascii="宋体" w:hAnsi="宋体" w:cs="宋体"/>
          <w:color w:val="auto"/>
          <w:sz w:val="22"/>
          <w:szCs w:val="22"/>
        </w:rPr>
        <w:t>. 承包人</w:t>
      </w:r>
      <w:bookmarkEnd w:id="235"/>
      <w:bookmarkEnd w:id="236"/>
      <w:bookmarkEnd w:id="237"/>
      <w:bookmarkEnd w:id="238"/>
      <w:bookmarkEnd w:id="239"/>
      <w:bookmarkEnd w:id="240"/>
      <w:bookmarkEnd w:id="241"/>
    </w:p>
    <w:bookmarkEnd w:id="242"/>
    <w:bookmarkEnd w:id="243"/>
    <w:bookmarkEnd w:id="244"/>
    <w:bookmarkEnd w:id="245"/>
    <w:bookmarkEnd w:id="246"/>
    <w:bookmarkEnd w:id="247"/>
    <w:bookmarkEnd w:id="248"/>
    <w:bookmarkEnd w:id="249"/>
    <w:bookmarkEnd w:id="250"/>
    <w:bookmarkEnd w:id="251"/>
    <w:p w14:paraId="61BAB3E1">
      <w:pPr>
        <w:pStyle w:val="39"/>
        <w:spacing w:line="360" w:lineRule="exact"/>
        <w:ind w:firstLine="442" w:firstLineChars="200"/>
        <w:rPr>
          <w:rFonts w:hint="eastAsia" w:ascii="宋体" w:hAnsi="宋体" w:cs="宋体"/>
          <w:color w:val="auto"/>
          <w:sz w:val="22"/>
          <w:szCs w:val="22"/>
        </w:rPr>
      </w:pPr>
      <w:bookmarkStart w:id="252" w:name="_Toc12975897"/>
      <w:bookmarkStart w:id="253" w:name="_Toc395382509"/>
      <w:bookmarkStart w:id="254" w:name="_Toc373478354"/>
      <w:bookmarkStart w:id="255" w:name="_Toc373227707"/>
      <w:bookmarkStart w:id="256" w:name="_Toc533432732"/>
      <w:bookmarkStart w:id="257" w:name="_Toc389065273"/>
      <w:r>
        <w:rPr>
          <w:rFonts w:hint="eastAsia" w:ascii="宋体" w:hAnsi="宋体" w:cs="宋体"/>
          <w:color w:val="auto"/>
          <w:sz w:val="22"/>
          <w:szCs w:val="22"/>
        </w:rPr>
        <w:t>3.1 承包人的一般义务</w:t>
      </w:r>
      <w:bookmarkEnd w:id="252"/>
      <w:bookmarkEnd w:id="253"/>
      <w:bookmarkEnd w:id="254"/>
      <w:bookmarkEnd w:id="255"/>
      <w:bookmarkEnd w:id="256"/>
      <w:bookmarkEnd w:id="257"/>
    </w:p>
    <w:p w14:paraId="7A5009CF">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kern w:val="0"/>
          <w:sz w:val="22"/>
        </w:rPr>
        <w:t>（9）</w:t>
      </w:r>
      <w:r>
        <w:rPr>
          <w:rFonts w:hint="eastAsia" w:ascii="宋体" w:hAnsi="宋体" w:cs="宋体"/>
          <w:color w:val="auto"/>
          <w:sz w:val="22"/>
        </w:rPr>
        <w:t>承包人提交的竣工资料的内容：</w:t>
      </w:r>
      <w:r>
        <w:rPr>
          <w:rFonts w:hint="eastAsia" w:ascii="宋体" w:hAnsi="宋体" w:cs="宋体"/>
          <w:color w:val="auto"/>
          <w:sz w:val="22"/>
          <w:u w:val="single"/>
        </w:rPr>
        <w:t>工程施工技术资料、工程质量资料、工程检验评定资料、竣工图，项目所在地建设主管部门规定的其他应交资料</w:t>
      </w:r>
      <w:r>
        <w:rPr>
          <w:rFonts w:hint="eastAsia" w:ascii="宋体" w:hAnsi="宋体" w:cs="宋体"/>
          <w:color w:val="auto"/>
          <w:sz w:val="22"/>
          <w:u w:val="single"/>
          <w:lang w:val="en-US" w:eastAsia="zh-CN"/>
        </w:rPr>
        <w:t xml:space="preserve"> </w:t>
      </w:r>
      <w:r>
        <w:rPr>
          <w:rFonts w:hint="eastAsia" w:ascii="宋体" w:hAnsi="宋体" w:cs="宋体"/>
          <w:color w:val="auto"/>
          <w:sz w:val="22"/>
        </w:rPr>
        <w:t>。</w:t>
      </w:r>
    </w:p>
    <w:p w14:paraId="3451E0A1">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承包人需要提交的竣工资料套数：</w:t>
      </w:r>
      <w:r>
        <w:rPr>
          <w:rFonts w:hint="eastAsia" w:ascii="宋体" w:hAnsi="宋体" w:cs="宋体"/>
          <w:color w:val="auto"/>
          <w:sz w:val="22"/>
          <w:u w:val="single"/>
          <w:lang w:val="en-US" w:eastAsia="zh-CN"/>
        </w:rPr>
        <w:t xml:space="preserve"> </w:t>
      </w:r>
      <w:r>
        <w:rPr>
          <w:rFonts w:hint="eastAsia" w:ascii="宋体" w:hAnsi="宋体" w:cs="宋体"/>
          <w:color w:val="auto"/>
          <w:sz w:val="22"/>
          <w:u w:val="single"/>
        </w:rPr>
        <w:t>四套</w:t>
      </w:r>
      <w:r>
        <w:rPr>
          <w:rFonts w:hint="eastAsia" w:ascii="宋体" w:hAnsi="宋体" w:cs="宋体"/>
          <w:color w:val="auto"/>
          <w:sz w:val="22"/>
          <w:u w:val="single"/>
          <w:lang w:val="en-US" w:eastAsia="zh-CN"/>
        </w:rPr>
        <w:t xml:space="preserve"> </w:t>
      </w:r>
      <w:r>
        <w:rPr>
          <w:rFonts w:hint="eastAsia" w:ascii="宋体" w:hAnsi="宋体" w:cs="宋体"/>
          <w:color w:val="auto"/>
          <w:sz w:val="22"/>
        </w:rPr>
        <w:t>。</w:t>
      </w:r>
    </w:p>
    <w:p w14:paraId="584DD888">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承包人提交的竣工资料的费用承担：</w:t>
      </w:r>
      <w:r>
        <w:rPr>
          <w:rFonts w:hint="eastAsia" w:ascii="宋体" w:hAnsi="宋体" w:cs="宋体"/>
          <w:color w:val="auto"/>
          <w:sz w:val="22"/>
          <w:u w:val="single"/>
          <w:lang w:val="en-US" w:eastAsia="zh-CN"/>
        </w:rPr>
        <w:t xml:space="preserve"> </w:t>
      </w:r>
      <w:r>
        <w:rPr>
          <w:rFonts w:hint="eastAsia" w:ascii="宋体" w:hAnsi="宋体" w:cs="宋体"/>
          <w:color w:val="auto"/>
          <w:sz w:val="22"/>
          <w:u w:val="single"/>
        </w:rPr>
        <w:t>由承包人承担</w:t>
      </w:r>
      <w:r>
        <w:rPr>
          <w:rFonts w:hint="eastAsia" w:ascii="宋体" w:hAnsi="宋体" w:cs="宋体"/>
          <w:color w:val="auto"/>
          <w:sz w:val="22"/>
          <w:u w:val="single"/>
          <w:lang w:val="en-US" w:eastAsia="zh-CN"/>
        </w:rPr>
        <w:t xml:space="preserve"> </w:t>
      </w:r>
      <w:r>
        <w:rPr>
          <w:rFonts w:hint="eastAsia" w:ascii="宋体" w:hAnsi="宋体" w:cs="宋体"/>
          <w:color w:val="auto"/>
          <w:sz w:val="22"/>
        </w:rPr>
        <w:t>。</w:t>
      </w:r>
    </w:p>
    <w:p w14:paraId="461AF293">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承包人提交的竣工资料移交时间：</w:t>
      </w:r>
      <w:r>
        <w:rPr>
          <w:rFonts w:hint="eastAsia" w:ascii="宋体" w:hAnsi="宋体" w:cs="宋体"/>
          <w:color w:val="auto"/>
          <w:sz w:val="22"/>
          <w:u w:val="single"/>
        </w:rPr>
        <w:t xml:space="preserve">竣工验收合格之日起30天内 </w:t>
      </w:r>
      <w:r>
        <w:rPr>
          <w:rFonts w:hint="eastAsia" w:ascii="宋体" w:hAnsi="宋体" w:cs="宋体"/>
          <w:color w:val="auto"/>
          <w:sz w:val="22"/>
        </w:rPr>
        <w:t>。</w:t>
      </w:r>
    </w:p>
    <w:p w14:paraId="5E35B59B">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承包人提交的竣工资料形式要求：</w:t>
      </w:r>
      <w:r>
        <w:rPr>
          <w:rFonts w:hint="eastAsia" w:ascii="宋体" w:hAnsi="宋体" w:cs="宋体"/>
          <w:color w:val="auto"/>
          <w:sz w:val="22"/>
          <w:u w:val="single"/>
        </w:rPr>
        <w:t>书</w:t>
      </w:r>
      <w:r>
        <w:rPr>
          <w:rFonts w:hint="eastAsia" w:ascii="宋体" w:hAnsi="宋体" w:cs="宋体"/>
          <w:color w:val="auto"/>
          <w:sz w:val="22"/>
          <w:highlight w:val="none"/>
          <w:u w:val="single"/>
        </w:rPr>
        <w:t>面</w:t>
      </w:r>
      <w:r>
        <w:rPr>
          <w:rFonts w:hint="eastAsia" w:ascii="宋体" w:hAnsi="宋体" w:cs="宋体"/>
          <w:color w:val="auto"/>
          <w:sz w:val="22"/>
          <w:highlight w:val="none"/>
          <w:u w:val="single"/>
          <w:lang w:eastAsia="zh-CN"/>
        </w:rPr>
        <w:t>（</w:t>
      </w:r>
      <w:r>
        <w:rPr>
          <w:rFonts w:hint="eastAsia" w:ascii="宋体" w:hAnsi="宋体" w:cs="宋体"/>
          <w:color w:val="auto"/>
          <w:sz w:val="22"/>
          <w:highlight w:val="none"/>
          <w:u w:val="single"/>
          <w:lang w:val="en-US" w:eastAsia="zh-CN"/>
        </w:rPr>
        <w:t>含电子扫描版</w:t>
      </w:r>
      <w:r>
        <w:rPr>
          <w:rFonts w:hint="eastAsia" w:ascii="宋体" w:hAnsi="宋体" w:cs="宋体"/>
          <w:color w:val="auto"/>
          <w:sz w:val="22"/>
          <w:highlight w:val="none"/>
          <w:u w:val="single"/>
          <w:lang w:eastAsia="zh-CN"/>
        </w:rPr>
        <w:t>）</w:t>
      </w:r>
      <w:r>
        <w:rPr>
          <w:rFonts w:hint="eastAsia" w:ascii="宋体" w:hAnsi="宋体" w:cs="宋体"/>
          <w:color w:val="auto"/>
          <w:sz w:val="22"/>
          <w:highlight w:val="none"/>
          <w:u w:val="single"/>
        </w:rPr>
        <w:t>及电子文</w:t>
      </w:r>
      <w:r>
        <w:rPr>
          <w:rFonts w:hint="eastAsia" w:ascii="宋体" w:hAnsi="宋体" w:cs="宋体"/>
          <w:color w:val="auto"/>
          <w:sz w:val="22"/>
          <w:u w:val="single"/>
        </w:rPr>
        <w:t xml:space="preserve">档 </w:t>
      </w:r>
      <w:r>
        <w:rPr>
          <w:rFonts w:hint="eastAsia" w:ascii="宋体" w:hAnsi="宋体" w:cs="宋体"/>
          <w:color w:val="auto"/>
          <w:sz w:val="22"/>
        </w:rPr>
        <w:t>。</w:t>
      </w:r>
    </w:p>
    <w:p w14:paraId="7D43061C">
      <w:pPr>
        <w:pStyle w:val="60"/>
        <w:spacing w:line="360" w:lineRule="exact"/>
        <w:ind w:firstLine="440" w:firstLineChars="200"/>
        <w:rPr>
          <w:rFonts w:hint="eastAsia" w:ascii="宋体" w:hAnsi="宋体" w:cs="宋体"/>
          <w:color w:val="auto"/>
          <w:kern w:val="0"/>
          <w:sz w:val="22"/>
          <w:szCs w:val="22"/>
          <w:u w:val="single"/>
        </w:rPr>
      </w:pPr>
      <w:r>
        <w:rPr>
          <w:rFonts w:hint="eastAsia" w:ascii="宋体" w:hAnsi="宋体" w:cs="宋体"/>
          <w:color w:val="auto"/>
          <w:kern w:val="0"/>
          <w:sz w:val="22"/>
          <w:szCs w:val="22"/>
        </w:rPr>
        <w:t>（10）承包人应履行的其他义务：</w:t>
      </w:r>
      <w:r>
        <w:rPr>
          <w:rFonts w:hint="eastAsia" w:ascii="宋体" w:hAnsi="宋体" w:cs="宋体"/>
          <w:color w:val="auto"/>
          <w:kern w:val="0"/>
          <w:sz w:val="22"/>
          <w:szCs w:val="22"/>
          <w:u w:val="single"/>
        </w:rPr>
        <w:t>1）协调处理施工场地内及场地周围地下管线和邻近市政公用物、构筑物（含文物保护市政公用）、古树名木的保护工作；若发生上述情况所产生的费用，由承包人承担（包含于合同总价中）。2）充分考虑工地现场的周围环境、交通道路、现场条件、施工图纸、施工组织设计、施工技术措施、安全文明施工措施等因素，应积极做好综合组织和协调，负责解决施工扰民和民扰问题。3）承包人负责补遗工作，即对于任何属于本工程的工作范围，但未以文字形式明确约定属于承包人的工作，且未在合同中以文字形式明确约定为属于发包人自行完成的工作范围，此类工作应由承包人作为本工程的责任和义务自行完成。4）对于施工过程中有需发包人配合完成的工作，承包人应提前足够时间通知发包人。5) 施工区内临时设施、水电管线安装和保养，施工现场内地下管线和临近市政公用物、构筑物及临街交通要道、人行道的保护，费用由承包人负担。因承包人防护不力而发生事故，相关责任和费用由承包人承担。承包人施工完毕后，对所破坏的公共设施、劳动成果及道路应修复原貌，若承包人无能力或未在规定的时间内修复，由发包人代为修复，费用由承包人承担，由工程款中相应核减。6) 承包人须在现场踏勘的基础上充分考虑场内临时道路的施工维护，并在合同总价中包含。7) 档案管理要求：</w:t>
      </w:r>
    </w:p>
    <w:p w14:paraId="7FD36900">
      <w:pPr>
        <w:pStyle w:val="60"/>
        <w:spacing w:line="360" w:lineRule="exact"/>
        <w:ind w:firstLine="440" w:firstLineChars="200"/>
        <w:rPr>
          <w:rFonts w:hint="eastAsia" w:ascii="宋体" w:hAnsi="宋体" w:cs="宋体"/>
          <w:color w:val="auto"/>
          <w:kern w:val="0"/>
          <w:sz w:val="22"/>
          <w:szCs w:val="22"/>
          <w:u w:val="single"/>
        </w:rPr>
      </w:pPr>
      <w:r>
        <w:rPr>
          <w:rFonts w:hint="eastAsia" w:ascii="宋体" w:hAnsi="宋体" w:cs="宋体"/>
          <w:color w:val="auto"/>
          <w:kern w:val="0"/>
          <w:sz w:val="22"/>
          <w:szCs w:val="22"/>
          <w:u w:val="single"/>
        </w:rPr>
        <w:t>①承包人应设置负责施工档案管理的负责人。</w:t>
      </w:r>
    </w:p>
    <w:p w14:paraId="2521E565">
      <w:pPr>
        <w:pStyle w:val="60"/>
        <w:spacing w:line="360" w:lineRule="exact"/>
        <w:ind w:firstLine="440" w:firstLineChars="200"/>
        <w:rPr>
          <w:rFonts w:hint="eastAsia" w:ascii="宋体" w:hAnsi="宋体" w:cs="宋体"/>
          <w:color w:val="auto"/>
          <w:kern w:val="0"/>
          <w:sz w:val="22"/>
          <w:szCs w:val="22"/>
          <w:highlight w:val="none"/>
          <w:u w:val="single"/>
        </w:rPr>
      </w:pPr>
      <w:r>
        <w:rPr>
          <w:rFonts w:hint="eastAsia" w:ascii="宋体" w:hAnsi="宋体" w:cs="宋体"/>
          <w:color w:val="auto"/>
          <w:kern w:val="0"/>
          <w:sz w:val="22"/>
          <w:szCs w:val="22"/>
          <w:u w:val="single"/>
        </w:rPr>
        <w:t>②承包人应确保本单位施工档案的形</w:t>
      </w:r>
      <w:r>
        <w:rPr>
          <w:rFonts w:hint="eastAsia" w:ascii="宋体" w:hAnsi="宋体" w:cs="宋体"/>
          <w:color w:val="auto"/>
          <w:kern w:val="0"/>
          <w:sz w:val="22"/>
          <w:szCs w:val="22"/>
          <w:highlight w:val="none"/>
          <w:u w:val="single"/>
        </w:rPr>
        <w:t>成与施工进度同步，发包人在支付进度款时</w:t>
      </w:r>
      <w:r>
        <w:rPr>
          <w:rFonts w:hint="eastAsia" w:ascii="宋体" w:hAnsi="宋体" w:cs="宋体"/>
          <w:color w:val="auto"/>
          <w:kern w:val="0"/>
          <w:sz w:val="22"/>
          <w:szCs w:val="22"/>
          <w:highlight w:val="none"/>
          <w:u w:val="single"/>
          <w:lang w:val="en-US" w:eastAsia="zh-CN"/>
        </w:rPr>
        <w:t>同时提供施工档案（电子扫描版）</w:t>
      </w:r>
      <w:r>
        <w:rPr>
          <w:rFonts w:hint="eastAsia" w:ascii="宋体" w:hAnsi="宋体" w:cs="宋体"/>
          <w:color w:val="auto"/>
          <w:kern w:val="0"/>
          <w:sz w:val="22"/>
          <w:szCs w:val="22"/>
          <w:highlight w:val="none"/>
          <w:u w:val="single"/>
        </w:rPr>
        <w:t>，如发现档案形成未与施工进度同步，可延迟支付相应进度款，直至同步为止。</w:t>
      </w:r>
    </w:p>
    <w:p w14:paraId="70BD363E">
      <w:pPr>
        <w:pStyle w:val="60"/>
        <w:spacing w:line="360" w:lineRule="exact"/>
        <w:ind w:firstLine="440" w:firstLineChars="200"/>
        <w:rPr>
          <w:rFonts w:hint="eastAsia" w:ascii="宋体" w:hAnsi="宋体" w:cs="宋体"/>
          <w:color w:val="auto"/>
          <w:kern w:val="0"/>
          <w:sz w:val="22"/>
          <w:szCs w:val="22"/>
          <w:highlight w:val="none"/>
          <w:u w:val="single"/>
        </w:rPr>
      </w:pPr>
      <w:r>
        <w:rPr>
          <w:rFonts w:hint="eastAsia" w:ascii="宋体" w:hAnsi="宋体" w:cs="宋体"/>
          <w:color w:val="auto"/>
          <w:kern w:val="0"/>
          <w:sz w:val="22"/>
          <w:szCs w:val="22"/>
          <w:highlight w:val="none"/>
          <w:u w:val="single"/>
        </w:rPr>
        <w:t>③承包人应在发包人组织的竣工验收后30日内，将本单位施工过程中形成的所有施工档案</w:t>
      </w:r>
      <w:r>
        <w:rPr>
          <w:rFonts w:hint="eastAsia" w:ascii="宋体" w:hAnsi="宋体" w:cs="宋体"/>
          <w:color w:val="auto"/>
          <w:kern w:val="0"/>
          <w:sz w:val="22"/>
          <w:szCs w:val="22"/>
          <w:highlight w:val="none"/>
          <w:u w:val="single"/>
          <w:lang w:eastAsia="zh-CN"/>
        </w:rPr>
        <w:t>（</w:t>
      </w:r>
      <w:r>
        <w:rPr>
          <w:rFonts w:hint="eastAsia" w:ascii="宋体" w:hAnsi="宋体" w:cs="宋体"/>
          <w:color w:val="auto"/>
          <w:kern w:val="0"/>
          <w:sz w:val="22"/>
          <w:szCs w:val="22"/>
          <w:highlight w:val="none"/>
          <w:u w:val="single"/>
          <w:lang w:val="en-US" w:eastAsia="zh-CN"/>
        </w:rPr>
        <w:t>含电子扫描版</w:t>
      </w:r>
      <w:r>
        <w:rPr>
          <w:rFonts w:hint="eastAsia" w:ascii="宋体" w:hAnsi="宋体" w:cs="宋体"/>
          <w:color w:val="auto"/>
          <w:kern w:val="0"/>
          <w:sz w:val="22"/>
          <w:szCs w:val="22"/>
          <w:highlight w:val="none"/>
          <w:u w:val="single"/>
          <w:lang w:eastAsia="zh-CN"/>
        </w:rPr>
        <w:t>）</w:t>
      </w:r>
      <w:r>
        <w:rPr>
          <w:rFonts w:hint="eastAsia" w:ascii="宋体" w:hAnsi="宋体" w:cs="宋体"/>
          <w:color w:val="auto"/>
          <w:kern w:val="0"/>
          <w:sz w:val="22"/>
          <w:szCs w:val="22"/>
          <w:highlight w:val="none"/>
          <w:u w:val="single"/>
        </w:rPr>
        <w:t>，经监理单位审核确认后，移交给发包人，否则发包人拒绝向其颁发工程接收证书。</w:t>
      </w:r>
    </w:p>
    <w:p w14:paraId="39C1ECEA">
      <w:pPr>
        <w:pStyle w:val="60"/>
        <w:spacing w:line="360" w:lineRule="exact"/>
        <w:ind w:firstLine="440" w:firstLineChars="200"/>
        <w:rPr>
          <w:rFonts w:hint="eastAsia" w:ascii="宋体" w:hAnsi="宋体" w:cs="宋体"/>
          <w:color w:val="auto"/>
          <w:kern w:val="0"/>
          <w:sz w:val="22"/>
          <w:szCs w:val="22"/>
          <w:u w:val="single"/>
        </w:rPr>
      </w:pPr>
      <w:r>
        <w:rPr>
          <w:rFonts w:hint="eastAsia" w:ascii="宋体" w:hAnsi="宋体" w:cs="宋体"/>
          <w:color w:val="auto"/>
          <w:kern w:val="0"/>
          <w:sz w:val="22"/>
          <w:szCs w:val="22"/>
          <w:highlight w:val="none"/>
          <w:u w:val="single"/>
        </w:rPr>
        <w:t>④承包人在发包人组织的工程竣工投产验收（初验）前，将经监理单位审核确认的施工档案</w:t>
      </w:r>
      <w:r>
        <w:rPr>
          <w:rFonts w:hint="eastAsia" w:ascii="宋体" w:hAnsi="宋体" w:cs="宋体"/>
          <w:color w:val="auto"/>
          <w:kern w:val="0"/>
          <w:sz w:val="22"/>
          <w:szCs w:val="22"/>
          <w:highlight w:val="none"/>
          <w:u w:val="single"/>
          <w:lang w:eastAsia="zh-CN"/>
        </w:rPr>
        <w:t>（</w:t>
      </w:r>
      <w:r>
        <w:rPr>
          <w:rFonts w:hint="eastAsia" w:ascii="宋体" w:hAnsi="宋体" w:cs="宋体"/>
          <w:color w:val="auto"/>
          <w:kern w:val="0"/>
          <w:sz w:val="22"/>
          <w:szCs w:val="22"/>
          <w:highlight w:val="none"/>
          <w:u w:val="single"/>
          <w:lang w:val="en-US" w:eastAsia="zh-CN"/>
        </w:rPr>
        <w:t>含电子扫描版</w:t>
      </w:r>
      <w:r>
        <w:rPr>
          <w:rFonts w:hint="eastAsia" w:ascii="宋体" w:hAnsi="宋体" w:cs="宋体"/>
          <w:color w:val="auto"/>
          <w:kern w:val="0"/>
          <w:sz w:val="22"/>
          <w:szCs w:val="22"/>
          <w:highlight w:val="none"/>
          <w:u w:val="single"/>
          <w:lang w:eastAsia="zh-CN"/>
        </w:rPr>
        <w:t>）</w:t>
      </w:r>
      <w:r>
        <w:rPr>
          <w:rFonts w:hint="eastAsia" w:ascii="宋体" w:hAnsi="宋体" w:cs="宋体"/>
          <w:color w:val="auto"/>
          <w:kern w:val="0"/>
          <w:sz w:val="22"/>
          <w:szCs w:val="22"/>
          <w:highlight w:val="none"/>
          <w:u w:val="single"/>
        </w:rPr>
        <w:t>移交给发包人，是发包人完全支付除质量保证金外剩余款项</w:t>
      </w:r>
      <w:r>
        <w:rPr>
          <w:rFonts w:hint="eastAsia" w:ascii="宋体" w:hAnsi="宋体" w:cs="宋体"/>
          <w:color w:val="auto"/>
          <w:kern w:val="0"/>
          <w:sz w:val="22"/>
          <w:szCs w:val="22"/>
          <w:u w:val="single"/>
        </w:rPr>
        <w:t>的必要条件之一，否则，发包人有权扣除一定比例款项。</w:t>
      </w:r>
    </w:p>
    <w:p w14:paraId="35CDA97A">
      <w:pPr>
        <w:pStyle w:val="60"/>
        <w:spacing w:line="360" w:lineRule="exact"/>
        <w:ind w:firstLine="440" w:firstLineChars="200"/>
        <w:rPr>
          <w:rFonts w:hint="eastAsia" w:ascii="宋体" w:hAnsi="宋体" w:cs="宋体"/>
          <w:color w:val="auto"/>
          <w:kern w:val="0"/>
          <w:sz w:val="22"/>
          <w:szCs w:val="22"/>
          <w:u w:val="single"/>
        </w:rPr>
      </w:pPr>
      <w:r>
        <w:rPr>
          <w:rFonts w:hint="eastAsia" w:ascii="宋体" w:hAnsi="宋体" w:cs="宋体"/>
          <w:color w:val="auto"/>
          <w:kern w:val="0"/>
          <w:sz w:val="22"/>
          <w:szCs w:val="22"/>
          <w:u w:val="single"/>
        </w:rPr>
        <w:t xml:space="preserve">⑤移交给发包人的施工档案应符合以下要求： </w:t>
      </w:r>
    </w:p>
    <w:p w14:paraId="1923C9B1">
      <w:pPr>
        <w:pStyle w:val="60"/>
        <w:spacing w:line="360" w:lineRule="exact"/>
        <w:ind w:firstLine="440" w:firstLineChars="200"/>
        <w:rPr>
          <w:rFonts w:hint="eastAsia" w:ascii="宋体" w:hAnsi="宋体" w:cs="宋体"/>
          <w:color w:val="auto"/>
          <w:kern w:val="0"/>
          <w:sz w:val="22"/>
          <w:szCs w:val="22"/>
          <w:u w:val="single"/>
        </w:rPr>
      </w:pPr>
      <w:r>
        <w:rPr>
          <w:rFonts w:hint="eastAsia" w:ascii="宋体" w:hAnsi="宋体" w:cs="宋体"/>
          <w:color w:val="auto"/>
          <w:kern w:val="0"/>
          <w:sz w:val="22"/>
          <w:szCs w:val="22"/>
          <w:u w:val="single"/>
        </w:rPr>
        <w:t>移交范围：承包人在合同约定的工程施工过程中形成的所有档案，包括但不限于发包人《科技文件归档范围与整理细则》附件3所列相应的清单及所有资料的电子版；</w:t>
      </w:r>
    </w:p>
    <w:p w14:paraId="13C62331">
      <w:pPr>
        <w:pStyle w:val="60"/>
        <w:spacing w:line="360" w:lineRule="exact"/>
        <w:ind w:firstLine="440" w:firstLineChars="200"/>
        <w:rPr>
          <w:rFonts w:hint="eastAsia" w:ascii="宋体" w:hAnsi="宋体" w:cs="宋体"/>
          <w:color w:val="auto"/>
          <w:kern w:val="0"/>
          <w:sz w:val="22"/>
          <w:szCs w:val="22"/>
          <w:u w:val="single"/>
        </w:rPr>
      </w:pPr>
      <w:r>
        <w:rPr>
          <w:rFonts w:hint="eastAsia" w:ascii="宋体" w:hAnsi="宋体" w:cs="宋体"/>
          <w:color w:val="auto"/>
          <w:kern w:val="0"/>
          <w:sz w:val="22"/>
          <w:szCs w:val="22"/>
          <w:u w:val="single"/>
        </w:rPr>
        <w:t>移交档案质量要求：移交的档案应是原件而非复印件，每份档案齐全、无漏页与破损等情况，签字与盖章手续完备，档案清晰，档案载体能长久保存。</w:t>
      </w:r>
    </w:p>
    <w:p w14:paraId="6CB18CF0">
      <w:pPr>
        <w:pStyle w:val="60"/>
        <w:spacing w:line="360" w:lineRule="exact"/>
        <w:ind w:firstLine="440" w:firstLineChars="200"/>
        <w:rPr>
          <w:rFonts w:hint="eastAsia" w:ascii="宋体" w:hAnsi="宋体" w:cs="宋体"/>
          <w:color w:val="auto"/>
          <w:sz w:val="22"/>
          <w:szCs w:val="22"/>
          <w:u w:val="single"/>
        </w:rPr>
      </w:pPr>
      <w:r>
        <w:rPr>
          <w:rFonts w:hint="eastAsia" w:ascii="宋体" w:hAnsi="宋体" w:cs="宋体"/>
          <w:color w:val="auto"/>
          <w:sz w:val="22"/>
          <w:szCs w:val="22"/>
          <w:u w:val="single"/>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21A117F1">
      <w:pPr>
        <w:pStyle w:val="60"/>
        <w:spacing w:line="36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u w:val="single"/>
        </w:rPr>
        <w:t>工资支付表应如实记录支付单位、支付时</w:t>
      </w:r>
      <w:r>
        <w:rPr>
          <w:rFonts w:hint="eastAsia" w:ascii="宋体" w:hAnsi="宋体" w:cs="宋体"/>
          <w:color w:val="auto"/>
          <w:sz w:val="22"/>
          <w:szCs w:val="22"/>
          <w:highlight w:val="none"/>
          <w:u w:val="single"/>
        </w:rPr>
        <w:t>间、支付对象、支付数额、支付对象的身份证号</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lang w:val="en-US" w:eastAsia="zh-CN"/>
        </w:rPr>
        <w:t>工种、联系电话</w:t>
      </w:r>
      <w:r>
        <w:rPr>
          <w:rFonts w:hint="eastAsia" w:ascii="宋体" w:hAnsi="宋体" w:cs="宋体"/>
          <w:color w:val="auto"/>
          <w:sz w:val="22"/>
          <w:szCs w:val="22"/>
          <w:highlight w:val="none"/>
          <w:u w:val="single"/>
        </w:rPr>
        <w:t>和签字等信息。民工花名册和工资支付表应报监理人</w:t>
      </w:r>
      <w:r>
        <w:rPr>
          <w:rFonts w:hint="eastAsia" w:ascii="宋体" w:hAnsi="宋体" w:cs="宋体"/>
          <w:color w:val="auto"/>
          <w:sz w:val="22"/>
          <w:szCs w:val="22"/>
          <w:highlight w:val="none"/>
          <w:u w:val="single"/>
          <w:lang w:val="en-US" w:eastAsia="zh-CN"/>
        </w:rPr>
        <w:t>签字、</w:t>
      </w:r>
      <w:r>
        <w:rPr>
          <w:rFonts w:hint="eastAsia" w:ascii="宋体" w:hAnsi="宋体" w:cs="宋体"/>
          <w:color w:val="auto"/>
          <w:sz w:val="22"/>
          <w:szCs w:val="22"/>
          <w:highlight w:val="none"/>
          <w:u w:val="single"/>
        </w:rPr>
        <w:t>备查</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lang w:val="en-US" w:eastAsia="zh-CN"/>
        </w:rPr>
        <w:t>在申请工程款时同时提交一份给发包方</w:t>
      </w:r>
      <w:r>
        <w:rPr>
          <w:rFonts w:hint="eastAsia" w:ascii="宋体" w:hAnsi="宋体" w:cs="宋体"/>
          <w:color w:val="auto"/>
          <w:sz w:val="22"/>
          <w:szCs w:val="22"/>
          <w:highlight w:val="none"/>
          <w:u w:val="single"/>
        </w:rPr>
        <w:t>。</w:t>
      </w:r>
    </w:p>
    <w:p w14:paraId="3B8506D2">
      <w:pPr>
        <w:pStyle w:val="60"/>
        <w:spacing w:line="360" w:lineRule="exact"/>
        <w:ind w:firstLine="440" w:firstLineChars="200"/>
        <w:rPr>
          <w:rFonts w:hint="eastAsia" w:ascii="宋体" w:hAnsi="宋体" w:cs="宋体"/>
          <w:color w:val="auto"/>
          <w:sz w:val="22"/>
          <w:szCs w:val="22"/>
          <w:u w:val="single"/>
        </w:rPr>
      </w:pPr>
      <w:r>
        <w:rPr>
          <w:rFonts w:hint="eastAsia" w:ascii="宋体" w:hAnsi="宋体" w:cs="宋体"/>
          <w:color w:val="auto"/>
          <w:sz w:val="22"/>
          <w:szCs w:val="22"/>
          <w:u w:val="single"/>
        </w:rPr>
        <w:t>承包人需根据国家相关法律法规要求提供正式的二次设计施工图及相关计算书，包括但不限于：设计说明、立面图、平面图、大样图、节点图及计算书等。此项费用已包含在合同总价中，承包人不得再要求发包人承担。</w:t>
      </w:r>
    </w:p>
    <w:p w14:paraId="67B76CBF">
      <w:pPr>
        <w:pStyle w:val="60"/>
        <w:spacing w:line="360" w:lineRule="exact"/>
        <w:ind w:firstLine="440" w:firstLineChars="200"/>
        <w:rPr>
          <w:rFonts w:hint="eastAsia" w:ascii="宋体" w:hAnsi="宋体" w:cs="宋体"/>
          <w:color w:val="auto"/>
          <w:sz w:val="22"/>
          <w:szCs w:val="22"/>
          <w:u w:val="single"/>
        </w:rPr>
      </w:pPr>
      <w:r>
        <w:rPr>
          <w:rFonts w:hint="eastAsia" w:ascii="宋体" w:hAnsi="宋体" w:cs="宋体"/>
          <w:color w:val="auto"/>
          <w:sz w:val="22"/>
          <w:szCs w:val="22"/>
          <w:u w:val="single"/>
        </w:rPr>
        <w:t>财政局和审计局在处理本项目的造价文件时，可能由于核减率超过相应范围，尽管造成超出部分评审费名义上理应由发包人承担，但由于此部分费用是承包人主张追加合同价款造成的，因此此部分费用双方约定由承包人承担。</w:t>
      </w:r>
    </w:p>
    <w:p w14:paraId="0A7739A1">
      <w:pPr>
        <w:pStyle w:val="60"/>
        <w:spacing w:line="360" w:lineRule="exact"/>
        <w:ind w:firstLine="440" w:firstLineChars="200"/>
        <w:rPr>
          <w:rFonts w:hint="eastAsia" w:ascii="宋体" w:hAnsi="宋体" w:cs="宋体"/>
          <w:color w:val="auto"/>
          <w:kern w:val="0"/>
          <w:sz w:val="22"/>
        </w:rPr>
      </w:pPr>
      <w:r>
        <w:rPr>
          <w:rFonts w:hint="eastAsia" w:ascii="宋体" w:hAnsi="宋体" w:cs="宋体"/>
          <w:color w:val="auto"/>
          <w:sz w:val="22"/>
          <w:szCs w:val="22"/>
          <w:u w:val="single"/>
        </w:rPr>
        <w:t>发包人不提供取土和弃土场，承包人自行解决，并且需符合相关规定要求。</w:t>
      </w:r>
    </w:p>
    <w:p w14:paraId="27313025">
      <w:pPr>
        <w:pStyle w:val="39"/>
        <w:spacing w:line="360" w:lineRule="exact"/>
        <w:ind w:firstLine="442" w:firstLineChars="200"/>
        <w:rPr>
          <w:rFonts w:hint="eastAsia" w:ascii="宋体" w:hAnsi="宋体" w:cs="宋体"/>
          <w:color w:val="auto"/>
          <w:sz w:val="22"/>
          <w:szCs w:val="22"/>
        </w:rPr>
      </w:pPr>
      <w:bookmarkStart w:id="258" w:name="_Toc373227708"/>
      <w:bookmarkStart w:id="259" w:name="_Toc12975898"/>
      <w:bookmarkStart w:id="260" w:name="_Toc373478355"/>
      <w:bookmarkStart w:id="261" w:name="_Toc395382510"/>
      <w:bookmarkStart w:id="262" w:name="_Toc389065274"/>
      <w:bookmarkStart w:id="263" w:name="_Toc533432733"/>
      <w:r>
        <w:rPr>
          <w:rFonts w:hint="eastAsia" w:ascii="宋体" w:hAnsi="宋体" w:cs="宋体"/>
          <w:color w:val="auto"/>
          <w:sz w:val="22"/>
          <w:szCs w:val="22"/>
        </w:rPr>
        <w:t>3.2 项目经理</w:t>
      </w:r>
      <w:bookmarkEnd w:id="258"/>
      <w:bookmarkEnd w:id="259"/>
      <w:bookmarkEnd w:id="260"/>
      <w:bookmarkEnd w:id="261"/>
      <w:bookmarkEnd w:id="262"/>
      <w:bookmarkEnd w:id="263"/>
    </w:p>
    <w:p w14:paraId="5E8BF720">
      <w:pPr>
        <w:pStyle w:val="40"/>
        <w:spacing w:line="360" w:lineRule="exact"/>
        <w:ind w:firstLine="440" w:firstLineChars="200"/>
        <w:rPr>
          <w:rFonts w:hint="eastAsia" w:ascii="宋体" w:hAnsi="宋体" w:cs="宋体"/>
          <w:color w:val="auto"/>
          <w:sz w:val="22"/>
        </w:rPr>
      </w:pPr>
      <w:r>
        <w:rPr>
          <w:rFonts w:hint="eastAsia" w:ascii="宋体" w:hAnsi="宋体" w:cs="宋体"/>
          <w:color w:val="auto"/>
          <w:kern w:val="0"/>
          <w:sz w:val="22"/>
        </w:rPr>
        <w:t xml:space="preserve">3.2.1 </w:t>
      </w:r>
      <w:r>
        <w:rPr>
          <w:rFonts w:hint="eastAsia" w:ascii="宋体" w:hAnsi="宋体" w:cs="宋体"/>
          <w:color w:val="auto"/>
          <w:sz w:val="22"/>
        </w:rPr>
        <w:t>项目经理：</w:t>
      </w:r>
    </w:p>
    <w:p w14:paraId="11F3AC0D">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姓    名：</w:t>
      </w:r>
      <w:r>
        <w:rPr>
          <w:rFonts w:hint="eastAsia" w:ascii="宋体" w:hAnsi="宋体" w:cs="宋体"/>
          <w:color w:val="auto"/>
          <w:sz w:val="22"/>
          <w:u w:val="single"/>
        </w:rPr>
        <w:t>         </w:t>
      </w:r>
      <w:r>
        <w:rPr>
          <w:rFonts w:hint="eastAsia" w:ascii="宋体" w:hAnsi="宋体" w:cs="宋体"/>
          <w:color w:val="auto"/>
          <w:sz w:val="22"/>
        </w:rPr>
        <w:t>；</w:t>
      </w:r>
    </w:p>
    <w:p w14:paraId="2D12F86D">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身份证号：</w:t>
      </w:r>
      <w:r>
        <w:rPr>
          <w:rFonts w:hint="eastAsia" w:ascii="宋体" w:hAnsi="宋体" w:cs="宋体"/>
          <w:color w:val="auto"/>
          <w:sz w:val="22"/>
          <w:u w:val="single"/>
        </w:rPr>
        <w:t>         </w:t>
      </w:r>
      <w:r>
        <w:rPr>
          <w:rFonts w:hint="eastAsia" w:ascii="宋体" w:hAnsi="宋体" w:cs="宋体"/>
          <w:color w:val="auto"/>
          <w:sz w:val="22"/>
        </w:rPr>
        <w:t>；</w:t>
      </w:r>
    </w:p>
    <w:p w14:paraId="5DA9F705">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建造师执业资格等级：</w:t>
      </w:r>
      <w:r>
        <w:rPr>
          <w:rFonts w:hint="eastAsia" w:ascii="宋体" w:hAnsi="宋体" w:cs="宋体"/>
          <w:color w:val="auto"/>
          <w:sz w:val="22"/>
          <w:u w:val="single"/>
        </w:rPr>
        <w:t>   </w:t>
      </w:r>
      <w:r>
        <w:rPr>
          <w:rFonts w:hint="eastAsia" w:ascii="宋体" w:hAnsi="宋体" w:cs="宋体"/>
          <w:color w:val="auto"/>
          <w:sz w:val="22"/>
        </w:rPr>
        <w:t>；</w:t>
      </w:r>
    </w:p>
    <w:p w14:paraId="539809E8">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建造师注册证书号：</w:t>
      </w:r>
      <w:r>
        <w:rPr>
          <w:rFonts w:hint="eastAsia" w:ascii="宋体" w:hAnsi="宋体" w:cs="宋体"/>
          <w:color w:val="auto"/>
          <w:sz w:val="22"/>
          <w:u w:val="single"/>
        </w:rPr>
        <w:t> </w:t>
      </w:r>
      <w:r>
        <w:rPr>
          <w:rFonts w:hint="eastAsia" w:ascii="宋体" w:hAnsi="宋体" w:cs="宋体"/>
          <w:color w:val="auto"/>
          <w:sz w:val="22"/>
        </w:rPr>
        <w:t>；</w:t>
      </w:r>
    </w:p>
    <w:p w14:paraId="67536819">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建造师执业印章号：</w:t>
      </w:r>
      <w:r>
        <w:rPr>
          <w:rFonts w:hint="eastAsia" w:ascii="宋体" w:hAnsi="宋体" w:cs="宋体"/>
          <w:color w:val="auto"/>
          <w:sz w:val="22"/>
          <w:u w:val="single"/>
        </w:rPr>
        <w:t> </w:t>
      </w:r>
      <w:r>
        <w:rPr>
          <w:rFonts w:hint="eastAsia" w:ascii="宋体" w:hAnsi="宋体" w:cs="宋体"/>
          <w:color w:val="auto"/>
          <w:sz w:val="22"/>
        </w:rPr>
        <w:t>；</w:t>
      </w:r>
    </w:p>
    <w:p w14:paraId="2CC4D2CD">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安全生产考核合格证书号：</w:t>
      </w:r>
      <w:r>
        <w:rPr>
          <w:rFonts w:hint="eastAsia" w:ascii="宋体" w:hAnsi="宋体" w:cs="宋体"/>
          <w:color w:val="auto"/>
          <w:sz w:val="22"/>
          <w:u w:val="single"/>
        </w:rPr>
        <w:t> </w:t>
      </w:r>
      <w:r>
        <w:rPr>
          <w:rFonts w:hint="eastAsia" w:ascii="宋体" w:hAnsi="宋体" w:cs="宋体"/>
          <w:color w:val="auto"/>
          <w:sz w:val="22"/>
        </w:rPr>
        <w:t>；</w:t>
      </w:r>
    </w:p>
    <w:p w14:paraId="7CF4F694">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广西建筑市场诚信卡卡号：</w:t>
      </w:r>
      <w:r>
        <w:rPr>
          <w:rFonts w:hint="eastAsia" w:ascii="宋体" w:hAnsi="宋体" w:cs="宋体"/>
          <w:color w:val="auto"/>
          <w:sz w:val="22"/>
          <w:u w:val="single"/>
        </w:rPr>
        <w:t xml:space="preserve">                       </w:t>
      </w:r>
      <w:r>
        <w:rPr>
          <w:rFonts w:hint="eastAsia" w:ascii="宋体" w:hAnsi="宋体" w:cs="宋体"/>
          <w:color w:val="auto"/>
          <w:sz w:val="22"/>
        </w:rPr>
        <w:t>；</w:t>
      </w:r>
    </w:p>
    <w:p w14:paraId="196B0048">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联系电话：</w:t>
      </w:r>
      <w:r>
        <w:rPr>
          <w:rFonts w:hint="eastAsia" w:ascii="宋体" w:hAnsi="宋体" w:cs="宋体"/>
          <w:color w:val="auto"/>
          <w:sz w:val="22"/>
          <w:u w:val="single"/>
        </w:rPr>
        <w:t>         </w:t>
      </w:r>
      <w:r>
        <w:rPr>
          <w:rFonts w:hint="eastAsia" w:ascii="宋体" w:hAnsi="宋体" w:cs="宋体"/>
          <w:color w:val="auto"/>
          <w:sz w:val="22"/>
        </w:rPr>
        <w:t>；</w:t>
      </w:r>
    </w:p>
    <w:p w14:paraId="307A4925">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电子信箱：</w:t>
      </w:r>
      <w:r>
        <w:rPr>
          <w:rFonts w:hint="eastAsia" w:ascii="宋体" w:hAnsi="宋体" w:cs="宋体"/>
          <w:color w:val="auto"/>
          <w:sz w:val="22"/>
          <w:u w:val="single"/>
        </w:rPr>
        <w:t>         </w:t>
      </w:r>
      <w:r>
        <w:rPr>
          <w:rFonts w:hint="eastAsia" w:ascii="宋体" w:hAnsi="宋体" w:cs="宋体"/>
          <w:color w:val="auto"/>
          <w:sz w:val="22"/>
        </w:rPr>
        <w:t>；</w:t>
      </w:r>
    </w:p>
    <w:p w14:paraId="440A3E9E">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通信地址：</w:t>
      </w:r>
      <w:r>
        <w:rPr>
          <w:rFonts w:hint="eastAsia" w:ascii="宋体" w:hAnsi="宋体" w:cs="宋体"/>
          <w:color w:val="auto"/>
          <w:sz w:val="22"/>
          <w:u w:val="single"/>
        </w:rPr>
        <w:t>         </w:t>
      </w:r>
      <w:r>
        <w:rPr>
          <w:rFonts w:hint="eastAsia" w:ascii="宋体" w:hAnsi="宋体" w:cs="宋体"/>
          <w:color w:val="auto"/>
          <w:sz w:val="22"/>
        </w:rPr>
        <w:t>；</w:t>
      </w:r>
    </w:p>
    <w:p w14:paraId="09620B29">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 xml:space="preserve">承包人对项目经理的授权范围如下：  </w:t>
      </w:r>
      <w:r>
        <w:rPr>
          <w:rFonts w:hint="eastAsia" w:ascii="宋体" w:hAnsi="宋体" w:cs="宋体"/>
          <w:color w:val="auto"/>
          <w:sz w:val="22"/>
          <w:u w:val="single"/>
        </w:rPr>
        <w:t>代表承包人全面履行合同，但仅限于工程的现场施工管理，但未经过承包</w:t>
      </w:r>
      <w:r>
        <w:rPr>
          <w:rFonts w:hint="eastAsia" w:ascii="宋体" w:hAnsi="宋体" w:cs="宋体"/>
          <w:color w:val="auto"/>
          <w:sz w:val="22"/>
          <w:highlight w:val="none"/>
          <w:u w:val="single"/>
        </w:rPr>
        <w:t>人签</w:t>
      </w:r>
      <w:r>
        <w:rPr>
          <w:rFonts w:hint="eastAsia" w:ascii="宋体" w:hAnsi="宋体" w:cs="宋体"/>
          <w:color w:val="auto"/>
          <w:sz w:val="22"/>
          <w:highlight w:val="none"/>
          <w:u w:val="single"/>
          <w:lang w:val="en-US" w:eastAsia="zh-CN"/>
        </w:rPr>
        <w:t>字</w:t>
      </w:r>
      <w:r>
        <w:rPr>
          <w:rFonts w:hint="eastAsia" w:ascii="宋体" w:hAnsi="宋体" w:cs="宋体"/>
          <w:color w:val="auto"/>
          <w:sz w:val="22"/>
          <w:highlight w:val="none"/>
          <w:u w:val="single"/>
        </w:rPr>
        <w:t>、盖章同意，不得以承包人名义向外采购材料设备、租用建筑周转材料、雇佣劳动力、签订分包合同等从事一切为</w:t>
      </w:r>
      <w:r>
        <w:rPr>
          <w:rFonts w:hint="eastAsia" w:ascii="宋体" w:hAnsi="宋体" w:cs="宋体"/>
          <w:color w:val="auto"/>
          <w:sz w:val="22"/>
          <w:u w:val="single"/>
        </w:rPr>
        <w:t>承包人设立义务或责任的行为</w:t>
      </w:r>
      <w:r>
        <w:rPr>
          <w:rFonts w:hint="eastAsia" w:ascii="宋体" w:hAnsi="宋体" w:cs="宋体"/>
          <w:color w:val="auto"/>
          <w:sz w:val="22"/>
        </w:rPr>
        <w:t>。</w:t>
      </w:r>
    </w:p>
    <w:p w14:paraId="64F8143D">
      <w:pPr>
        <w:pStyle w:val="4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kern w:val="0"/>
          <w:sz w:val="22"/>
        </w:rPr>
        <w:t>关于项目经理每月在施工现场的时间要求：</w:t>
      </w:r>
      <w:r>
        <w:rPr>
          <w:rFonts w:hint="eastAsia" w:ascii="宋体" w:hAnsi="宋体" w:cs="宋体"/>
          <w:color w:val="auto"/>
          <w:sz w:val="22"/>
          <w:u w:val="single"/>
        </w:rPr>
        <w:t>21天以上，如磋商文件承诺时间超过21天的，按磋商文件执行</w:t>
      </w:r>
      <w:r>
        <w:rPr>
          <w:rFonts w:hint="eastAsia" w:ascii="宋体" w:hAnsi="宋体" w:cs="宋体"/>
          <w:color w:val="auto"/>
          <w:sz w:val="22"/>
        </w:rPr>
        <w:t>。</w:t>
      </w:r>
    </w:p>
    <w:p w14:paraId="40FE7EE9">
      <w:pPr>
        <w:pStyle w:val="40"/>
        <w:spacing w:line="360" w:lineRule="exact"/>
        <w:ind w:firstLine="440" w:firstLineChars="200"/>
        <w:rPr>
          <w:rFonts w:hint="eastAsia" w:ascii="宋体" w:hAnsi="宋体" w:cs="宋体"/>
          <w:color w:val="auto"/>
          <w:sz w:val="22"/>
          <w:u w:val="single"/>
        </w:rPr>
      </w:pPr>
      <w:r>
        <w:rPr>
          <w:rFonts w:hint="eastAsia" w:ascii="宋体" w:hAnsi="宋体" w:cs="宋体"/>
          <w:color w:val="auto"/>
          <w:kern w:val="0"/>
          <w:sz w:val="22"/>
        </w:rPr>
        <w:t>承包人未提交劳动合同，以及没有为项目经理缴纳社会保险证明的违约责任：</w:t>
      </w:r>
      <w:r>
        <w:rPr>
          <w:rFonts w:hint="eastAsia" w:ascii="宋体" w:hAnsi="宋体" w:cs="宋体"/>
          <w:color w:val="auto"/>
          <w:sz w:val="22"/>
          <w:u w:val="single"/>
        </w:rPr>
        <w:t>处以3万元罚款，责令限期提交劳动合同并补缴社会保险</w:t>
      </w:r>
      <w:r>
        <w:rPr>
          <w:rFonts w:hint="eastAsia" w:ascii="宋体" w:hAnsi="宋体" w:cs="宋体"/>
          <w:color w:val="auto"/>
          <w:sz w:val="22"/>
        </w:rPr>
        <w:t>。</w:t>
      </w:r>
    </w:p>
    <w:p w14:paraId="4B484951">
      <w:pPr>
        <w:pStyle w:val="40"/>
        <w:spacing w:line="360" w:lineRule="exact"/>
        <w:ind w:firstLine="440" w:firstLineChars="200"/>
        <w:rPr>
          <w:rFonts w:hint="eastAsia" w:ascii="宋体" w:hAnsi="宋体" w:cs="宋体"/>
          <w:color w:val="auto"/>
          <w:sz w:val="22"/>
          <w:u w:val="single"/>
        </w:rPr>
      </w:pPr>
      <w:r>
        <w:rPr>
          <w:rFonts w:hint="eastAsia" w:ascii="宋体" w:hAnsi="宋体" w:cs="宋体"/>
          <w:color w:val="auto"/>
          <w:kern w:val="0"/>
          <w:sz w:val="22"/>
        </w:rPr>
        <w:t>项目经理未经批准，擅自离开施工现场的违约责任：</w:t>
      </w:r>
      <w:r>
        <w:rPr>
          <w:rFonts w:hint="eastAsia" w:ascii="宋体" w:hAnsi="宋体" w:cs="宋体"/>
          <w:color w:val="auto"/>
          <w:sz w:val="22"/>
          <w:u w:val="single"/>
        </w:rPr>
        <w:t>未经发包人同意或正当理由，项目经理每月在岗带班时间少于每月在施工现场的时间要求的，少在岗带班一天，发包人有权处违约金5000元/日（人民币）</w:t>
      </w:r>
      <w:r>
        <w:rPr>
          <w:rFonts w:hint="eastAsia" w:ascii="宋体" w:hAnsi="宋体" w:cs="宋体"/>
          <w:color w:val="auto"/>
          <w:sz w:val="22"/>
        </w:rPr>
        <w:t>。</w:t>
      </w:r>
    </w:p>
    <w:p w14:paraId="31FD726E">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3.2.3 承包人擅自更换项目经理的违约责任：</w:t>
      </w:r>
      <w:r>
        <w:rPr>
          <w:rFonts w:hint="eastAsia" w:ascii="宋体" w:hAnsi="宋体" w:cs="宋体"/>
          <w:color w:val="auto"/>
          <w:sz w:val="22"/>
          <w:u w:val="single"/>
        </w:rPr>
        <w:t>承包人项目经理必须与承包人磋商时所承诺的人员一致，并在 本工程开工前到任。在监理人向承包人颁发经发包人签认的竣工验收证书前，项目经理不得同时兼任其他任何项目的项目经理</w:t>
      </w:r>
      <w:r>
        <w:rPr>
          <w:rFonts w:hint="eastAsia" w:ascii="宋体" w:hAnsi="宋体" w:cs="宋体"/>
          <w:color w:val="auto"/>
          <w:kern w:val="0"/>
          <w:sz w:val="22"/>
          <w:u w:val="single"/>
        </w:rPr>
        <w:t>（符合桂建管</w:t>
      </w:r>
      <w:r>
        <w:rPr>
          <w:rFonts w:hint="eastAsia" w:ascii="宋体" w:hAnsi="宋体" w:cs="宋体"/>
          <w:color w:val="auto"/>
          <w:sz w:val="22"/>
          <w:u w:val="single"/>
        </w:rPr>
        <w:t>﹝2013﹞</w:t>
      </w:r>
      <w:r>
        <w:rPr>
          <w:rFonts w:hint="eastAsia" w:ascii="宋体" w:hAnsi="宋体" w:cs="宋体"/>
          <w:color w:val="auto"/>
          <w:kern w:val="0"/>
          <w:sz w:val="22"/>
          <w:u w:val="single"/>
        </w:rPr>
        <w:t>17号和</w:t>
      </w:r>
      <w:r>
        <w:rPr>
          <w:rFonts w:hint="eastAsia" w:ascii="宋体" w:hAnsi="宋体" w:cs="宋体"/>
          <w:color w:val="auto"/>
          <w:sz w:val="22"/>
          <w:u w:val="single"/>
        </w:rPr>
        <w:t>桂建管﹝2014﹞25号</w:t>
      </w:r>
      <w:r>
        <w:rPr>
          <w:rFonts w:hint="eastAsia" w:ascii="宋体" w:hAnsi="宋体" w:cs="宋体"/>
          <w:color w:val="auto"/>
          <w:kern w:val="0"/>
          <w:sz w:val="22"/>
          <w:u w:val="single"/>
        </w:rPr>
        <w:t>文除外）</w:t>
      </w:r>
      <w:r>
        <w:rPr>
          <w:rFonts w:hint="eastAsia" w:ascii="宋体" w:hAnsi="宋体" w:cs="宋体"/>
          <w:color w:val="auto"/>
          <w:sz w:val="22"/>
          <w:u w:val="single"/>
        </w:rPr>
        <w:t>。未经发包人书面同意，承包人擅自更换项目经理的视为违约，违约金处20000元/人•次（人民币）</w:t>
      </w:r>
      <w:r>
        <w:rPr>
          <w:rFonts w:hint="eastAsia" w:ascii="宋体" w:hAnsi="宋体" w:cs="宋体"/>
          <w:color w:val="auto"/>
          <w:sz w:val="22"/>
        </w:rPr>
        <w:t>。</w:t>
      </w:r>
    </w:p>
    <w:p w14:paraId="569F8104">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3.2.4 承包人无正当理由拒绝更换项目经理的违约责任：</w:t>
      </w:r>
      <w:r>
        <w:rPr>
          <w:rFonts w:hint="eastAsia" w:ascii="宋体" w:hAnsi="宋体" w:cs="宋体"/>
          <w:color w:val="auto"/>
          <w:sz w:val="22"/>
          <w:u w:val="single"/>
        </w:rPr>
        <w:t>因承包人项目经理不称职（项目管理机构人员不称职的定义包括但不限于：本项目出现偷工减料现象的、出现人员死亡事故的、重复出现相同质量事故或出现问题不积极整改的、被相关部门要求停工整改的、进度</w:t>
      </w:r>
      <w:r>
        <w:rPr>
          <w:rFonts w:hint="eastAsia" w:ascii="宋体" w:hAnsi="宋体" w:cs="宋体"/>
          <w:color w:val="auto"/>
          <w:sz w:val="22"/>
          <w:highlight w:val="none"/>
          <w:u w:val="single"/>
        </w:rPr>
        <w:t>比原计划滞后</w:t>
      </w:r>
      <w:r>
        <w:rPr>
          <w:rFonts w:hint="eastAsia" w:ascii="宋体" w:hAnsi="宋体" w:cs="宋体"/>
          <w:color w:val="auto"/>
          <w:sz w:val="22"/>
          <w:highlight w:val="none"/>
          <w:u w:val="single"/>
          <w:lang w:val="en-US" w:eastAsia="zh-CN"/>
        </w:rPr>
        <w:t>3</w:t>
      </w:r>
      <w:r>
        <w:rPr>
          <w:rFonts w:hint="eastAsia" w:ascii="宋体" w:hAnsi="宋体" w:cs="宋体"/>
          <w:color w:val="auto"/>
          <w:sz w:val="22"/>
          <w:highlight w:val="none"/>
          <w:u w:val="single"/>
        </w:rPr>
        <w:t>0天以上的、拒绝执行监理人或发包人指令的、违反合同约定及相关规定擅自离开施工现场累计超过</w:t>
      </w:r>
      <w:r>
        <w:rPr>
          <w:rFonts w:hint="eastAsia" w:ascii="宋体" w:hAnsi="宋体" w:cs="宋体"/>
          <w:color w:val="auto"/>
          <w:sz w:val="22"/>
          <w:highlight w:val="none"/>
          <w:u w:val="single"/>
          <w:lang w:val="en-US" w:eastAsia="zh-CN"/>
        </w:rPr>
        <w:t>3</w:t>
      </w:r>
      <w:r>
        <w:rPr>
          <w:rFonts w:hint="eastAsia" w:ascii="宋体" w:hAnsi="宋体" w:cs="宋体"/>
          <w:color w:val="auto"/>
          <w:sz w:val="22"/>
          <w:highlight w:val="none"/>
          <w:u w:val="single"/>
        </w:rPr>
        <w:t>0天的、现场安全文明施工未达到规定要求的、出现打架斗殴的、违反相关法律法规的其他情形），发包人要求调换而未及时调换的，视为承包人违约，必须</w:t>
      </w:r>
      <w:r>
        <w:rPr>
          <w:rFonts w:hint="eastAsia" w:ascii="宋体" w:hAnsi="宋体" w:cs="宋体"/>
          <w:color w:val="auto"/>
          <w:sz w:val="22"/>
          <w:u w:val="single"/>
        </w:rPr>
        <w:t>向发包人交纳处罚金20000元/人•次（人民币）</w:t>
      </w:r>
      <w:r>
        <w:rPr>
          <w:rFonts w:hint="eastAsia" w:ascii="宋体" w:hAnsi="宋体" w:cs="宋体"/>
          <w:color w:val="auto"/>
          <w:sz w:val="22"/>
        </w:rPr>
        <w:t>。</w:t>
      </w:r>
    </w:p>
    <w:p w14:paraId="5DDF4CA6">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3.2.5 项目管理机构的主要人员（含项目经理、项目总工、质量员、安全员）必须是磋商文件中确认的人员，施工之后不能更换，确需更换人员的，须向发包人提出申请，并提供相关证明材料，经发包人同意后方可换人。尽管合同有其他约定，但新换项目经理及其余人员获得执业证书的时间、等级、学历、工作业绩等全部优于原项目经理。</w:t>
      </w:r>
    </w:p>
    <w:p w14:paraId="67B505D4">
      <w:pPr>
        <w:pStyle w:val="39"/>
        <w:spacing w:line="360" w:lineRule="exact"/>
        <w:ind w:firstLine="442" w:firstLineChars="200"/>
        <w:rPr>
          <w:rFonts w:hint="eastAsia" w:ascii="宋体" w:hAnsi="宋体" w:cs="宋体"/>
          <w:color w:val="auto"/>
          <w:sz w:val="22"/>
          <w:szCs w:val="22"/>
        </w:rPr>
      </w:pPr>
      <w:bookmarkStart w:id="264" w:name="_Toc373227709"/>
      <w:bookmarkStart w:id="265" w:name="_Toc533432734"/>
      <w:bookmarkStart w:id="266" w:name="_Toc12975899"/>
      <w:bookmarkStart w:id="267" w:name="_Toc373478356"/>
      <w:bookmarkStart w:id="268" w:name="_Toc395382511"/>
      <w:bookmarkStart w:id="269" w:name="_Toc389065275"/>
      <w:r>
        <w:rPr>
          <w:rFonts w:hint="eastAsia" w:ascii="宋体" w:hAnsi="宋体" w:cs="宋体"/>
          <w:color w:val="auto"/>
          <w:sz w:val="22"/>
          <w:szCs w:val="22"/>
        </w:rPr>
        <w:t>3.3 承包人人员</w:t>
      </w:r>
      <w:bookmarkEnd w:id="264"/>
      <w:bookmarkEnd w:id="265"/>
      <w:bookmarkEnd w:id="266"/>
      <w:bookmarkEnd w:id="267"/>
      <w:bookmarkEnd w:id="268"/>
      <w:bookmarkEnd w:id="269"/>
    </w:p>
    <w:p w14:paraId="0C2E13DA">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3.3.1 承包人提交项目管理机构及施工现场管理人员安排报告（格式见合同附件</w:t>
      </w:r>
      <w:r>
        <w:rPr>
          <w:rFonts w:hint="eastAsia" w:ascii="宋体" w:hAnsi="宋体" w:cs="宋体"/>
          <w:color w:val="auto"/>
          <w:sz w:val="22"/>
          <w:lang w:val="en-US" w:eastAsia="zh-CN"/>
        </w:rPr>
        <w:t>5</w:t>
      </w:r>
      <w:r>
        <w:rPr>
          <w:rFonts w:hint="eastAsia" w:ascii="宋体" w:hAnsi="宋体" w:cs="宋体"/>
          <w:color w:val="auto"/>
          <w:sz w:val="22"/>
        </w:rPr>
        <w:t>）的期限：</w:t>
      </w:r>
    </w:p>
    <w:p w14:paraId="6A82107C">
      <w:pPr>
        <w:pStyle w:val="40"/>
        <w:spacing w:line="360" w:lineRule="exact"/>
        <w:ind w:firstLine="440" w:firstLineChars="200"/>
        <w:rPr>
          <w:rFonts w:hint="eastAsia" w:ascii="宋体" w:hAnsi="宋体" w:cs="宋体"/>
          <w:color w:val="auto"/>
          <w:sz w:val="22"/>
          <w:u w:val="single"/>
        </w:rPr>
      </w:pPr>
      <w:r>
        <w:rPr>
          <w:rFonts w:hint="eastAsia" w:ascii="宋体" w:hAnsi="宋体" w:cs="宋体"/>
          <w:color w:val="auto"/>
          <w:sz w:val="22"/>
          <w:u w:val="single"/>
        </w:rPr>
        <w:t>开工时间前7</w:t>
      </w:r>
      <w:r>
        <w:rPr>
          <w:rFonts w:hint="eastAsia" w:ascii="宋体" w:hAnsi="宋体" w:cs="宋体"/>
          <w:color w:val="auto"/>
          <w:sz w:val="22"/>
          <w:u w:val="single"/>
          <w:lang w:eastAsia="zh-CN"/>
        </w:rPr>
        <w:t>天</w:t>
      </w:r>
      <w:r>
        <w:rPr>
          <w:rFonts w:hint="eastAsia" w:ascii="宋体" w:hAnsi="宋体" w:cs="宋体"/>
          <w:color w:val="auto"/>
          <w:sz w:val="22"/>
          <w:u w:val="single"/>
        </w:rPr>
        <w:t>。项目管理机构的主要人员必须是磋商文件中确认的人员，施工之后不能更换，确需更换人员的，更换后的人员相关资质及业绩、职称等要求不得低于磋商文件最低要求，且须向发包人提出申请，并提供相关证明</w:t>
      </w:r>
      <w:r>
        <w:rPr>
          <w:rFonts w:hint="eastAsia" w:ascii="宋体" w:hAnsi="宋体" w:cs="宋体"/>
          <w:color w:val="auto"/>
          <w:sz w:val="22"/>
          <w:highlight w:val="none"/>
          <w:u w:val="single"/>
        </w:rPr>
        <w:t>材料，经发包人</w:t>
      </w:r>
      <w:r>
        <w:rPr>
          <w:rFonts w:hint="eastAsia" w:ascii="宋体" w:hAnsi="宋体" w:cs="宋体"/>
          <w:color w:val="auto"/>
          <w:sz w:val="22"/>
          <w:highlight w:val="none"/>
          <w:u w:val="single"/>
          <w:lang w:val="en-US" w:eastAsia="zh-CN"/>
        </w:rPr>
        <w:t>签字</w:t>
      </w:r>
      <w:r>
        <w:rPr>
          <w:rFonts w:hint="eastAsia" w:ascii="宋体" w:hAnsi="宋体" w:cs="宋体"/>
          <w:color w:val="auto"/>
          <w:sz w:val="22"/>
          <w:highlight w:val="none"/>
          <w:u w:val="single"/>
        </w:rPr>
        <w:t>同意后</w:t>
      </w:r>
      <w:r>
        <w:rPr>
          <w:rFonts w:hint="eastAsia" w:ascii="宋体" w:hAnsi="宋体" w:cs="宋体"/>
          <w:color w:val="auto"/>
          <w:sz w:val="22"/>
          <w:u w:val="single"/>
        </w:rPr>
        <w:t>方可换人。</w:t>
      </w:r>
    </w:p>
    <w:p w14:paraId="00623332">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u w:val="single"/>
        </w:rPr>
        <w:t>关于项目管理机构及施工现场管理人员每月在施工现场的时间要求：21天以上，如磋商文件承诺时间超过21天的，按磋商文件执行</w:t>
      </w:r>
      <w:r>
        <w:rPr>
          <w:rFonts w:hint="eastAsia" w:ascii="宋体" w:hAnsi="宋体" w:cs="宋体"/>
          <w:color w:val="auto"/>
          <w:sz w:val="22"/>
        </w:rPr>
        <w:t>。</w:t>
      </w:r>
    </w:p>
    <w:p w14:paraId="1872E59D">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3.3.3 承包人无正当理由拒绝撤换主要施工管理人员的违约责任：</w:t>
      </w:r>
      <w:r>
        <w:rPr>
          <w:rFonts w:hint="eastAsia" w:ascii="宋体" w:hAnsi="宋体" w:cs="宋体"/>
          <w:color w:val="auto"/>
          <w:sz w:val="22"/>
          <w:u w:val="single"/>
        </w:rPr>
        <w:t>因承包人主要施工管理人员不称职，发包人要求调换而无正当理由拒绝撤换或未及时调换的，视为承包人违约，必须向发包人交纳处罚金，处罚标准：技术负责人20000元/人•次（人民币）；专业工程师10000元/人•次（人民币）</w:t>
      </w:r>
      <w:r>
        <w:rPr>
          <w:rFonts w:hint="eastAsia" w:ascii="宋体" w:hAnsi="宋体" w:cs="宋体"/>
          <w:color w:val="auto"/>
          <w:sz w:val="22"/>
        </w:rPr>
        <w:t>。</w:t>
      </w:r>
    </w:p>
    <w:p w14:paraId="0247E6E9">
      <w:pPr>
        <w:pStyle w:val="40"/>
        <w:spacing w:line="360" w:lineRule="exact"/>
        <w:ind w:firstLine="440" w:firstLineChars="200"/>
        <w:rPr>
          <w:rFonts w:hint="eastAsia" w:ascii="宋体" w:hAnsi="宋体" w:cs="宋体"/>
          <w:color w:val="auto"/>
          <w:sz w:val="22"/>
          <w:highlight w:val="none"/>
          <w:u w:val="single"/>
        </w:rPr>
      </w:pPr>
      <w:r>
        <w:rPr>
          <w:rFonts w:hint="eastAsia" w:ascii="宋体" w:hAnsi="宋体" w:cs="宋体"/>
          <w:color w:val="auto"/>
          <w:sz w:val="22"/>
        </w:rPr>
        <w:t>3.3.4 承包人主要施工管理人员离开施工现场的批准要求：</w:t>
      </w:r>
      <w:r>
        <w:rPr>
          <w:rFonts w:hint="eastAsia" w:ascii="宋体" w:hAnsi="宋体" w:cs="宋体"/>
          <w:color w:val="auto"/>
          <w:sz w:val="22"/>
          <w:u w:val="single"/>
        </w:rPr>
        <w:t>由总监理</w:t>
      </w:r>
      <w:r>
        <w:rPr>
          <w:rFonts w:hint="eastAsia" w:ascii="宋体" w:hAnsi="宋体" w:cs="宋体"/>
          <w:color w:val="auto"/>
          <w:sz w:val="22"/>
          <w:highlight w:val="none"/>
          <w:u w:val="single"/>
        </w:rPr>
        <w:t>工程师</w:t>
      </w:r>
      <w:r>
        <w:rPr>
          <w:rFonts w:hint="eastAsia" w:ascii="宋体" w:hAnsi="宋体" w:cs="宋体"/>
          <w:color w:val="auto"/>
          <w:sz w:val="22"/>
          <w:highlight w:val="none"/>
          <w:u w:val="single"/>
          <w:lang w:val="en-US" w:eastAsia="zh-CN"/>
        </w:rPr>
        <w:t>签字</w:t>
      </w:r>
      <w:r>
        <w:rPr>
          <w:rFonts w:hint="eastAsia" w:ascii="宋体" w:hAnsi="宋体" w:cs="宋体"/>
          <w:color w:val="auto"/>
          <w:sz w:val="22"/>
          <w:highlight w:val="none"/>
          <w:u w:val="single"/>
        </w:rPr>
        <w:t>批准，</w:t>
      </w:r>
      <w:r>
        <w:rPr>
          <w:rFonts w:hint="eastAsia" w:ascii="宋体" w:hAnsi="宋体" w:cs="宋体"/>
          <w:color w:val="auto"/>
          <w:sz w:val="22"/>
          <w:highlight w:val="none"/>
          <w:u w:val="single"/>
          <w:lang w:val="en-US" w:eastAsia="zh-CN"/>
        </w:rPr>
        <w:t>报</w:t>
      </w:r>
      <w:r>
        <w:rPr>
          <w:rFonts w:hint="eastAsia" w:ascii="宋体" w:hAnsi="宋体" w:cs="宋体"/>
          <w:color w:val="auto"/>
          <w:sz w:val="22"/>
          <w:highlight w:val="none"/>
          <w:u w:val="single"/>
        </w:rPr>
        <w:t>发包人</w:t>
      </w:r>
      <w:r>
        <w:rPr>
          <w:rFonts w:hint="eastAsia" w:ascii="宋体" w:hAnsi="宋体" w:cs="宋体"/>
          <w:color w:val="auto"/>
          <w:sz w:val="22"/>
          <w:highlight w:val="none"/>
          <w:u w:val="single"/>
          <w:lang w:val="en-US" w:eastAsia="zh-CN"/>
        </w:rPr>
        <w:t>确认同意</w:t>
      </w:r>
      <w:r>
        <w:rPr>
          <w:rFonts w:hint="eastAsia" w:ascii="宋体" w:hAnsi="宋体" w:cs="宋体"/>
          <w:color w:val="auto"/>
          <w:sz w:val="22"/>
          <w:highlight w:val="none"/>
          <w:u w:val="single"/>
        </w:rPr>
        <w:t xml:space="preserve">后方可离开 </w:t>
      </w:r>
      <w:r>
        <w:rPr>
          <w:rFonts w:hint="eastAsia" w:ascii="宋体" w:hAnsi="宋体" w:cs="宋体"/>
          <w:color w:val="auto"/>
          <w:sz w:val="22"/>
          <w:highlight w:val="none"/>
        </w:rPr>
        <w:t>。</w:t>
      </w:r>
    </w:p>
    <w:p w14:paraId="17BB1CDE">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highlight w:val="none"/>
        </w:rPr>
        <w:t>3.3.5 承包人擅自更换主要施工管理人员的违约责任：</w:t>
      </w:r>
      <w:r>
        <w:rPr>
          <w:rFonts w:hint="eastAsia" w:ascii="宋体" w:hAnsi="宋体" w:cs="宋体"/>
          <w:color w:val="auto"/>
          <w:sz w:val="22"/>
          <w:highlight w:val="none"/>
          <w:u w:val="single"/>
        </w:rPr>
        <w:t>项目技术负责人、专职安全员及其承诺的</w:t>
      </w:r>
      <w:r>
        <w:rPr>
          <w:rFonts w:hint="eastAsia" w:ascii="宋体" w:hAnsi="宋体" w:cs="宋体"/>
          <w:color w:val="auto"/>
          <w:sz w:val="22"/>
          <w:highlight w:val="none"/>
          <w:u w:val="single"/>
          <w:lang w:eastAsia="zh-CN"/>
        </w:rPr>
        <w:t>其他</w:t>
      </w:r>
      <w:r>
        <w:rPr>
          <w:rFonts w:hint="eastAsia" w:ascii="宋体" w:hAnsi="宋体" w:cs="宋体"/>
          <w:color w:val="auto"/>
          <w:sz w:val="22"/>
          <w:highlight w:val="none"/>
          <w:u w:val="single"/>
        </w:rPr>
        <w:t>在场管理人员未经发包人书面同意不准擅自更换，擅自更换项目技术负责人处</w:t>
      </w:r>
      <w:r>
        <w:rPr>
          <w:rFonts w:hint="eastAsia" w:ascii="宋体" w:hAnsi="宋体" w:cs="宋体"/>
          <w:color w:val="auto"/>
          <w:sz w:val="22"/>
          <w:highlight w:val="none"/>
          <w:u w:val="single"/>
          <w:lang w:val="en-US" w:eastAsia="zh-CN"/>
        </w:rPr>
        <w:t>2</w:t>
      </w:r>
      <w:r>
        <w:rPr>
          <w:rFonts w:hint="eastAsia" w:ascii="宋体" w:hAnsi="宋体" w:cs="宋体"/>
          <w:color w:val="auto"/>
          <w:sz w:val="22"/>
          <w:highlight w:val="none"/>
          <w:u w:val="single"/>
        </w:rPr>
        <w:t>000</w:t>
      </w:r>
      <w:r>
        <w:rPr>
          <w:rFonts w:hint="eastAsia" w:ascii="宋体" w:hAnsi="宋体" w:cs="宋体"/>
          <w:color w:val="auto"/>
          <w:sz w:val="22"/>
          <w:u w:val="single"/>
        </w:rPr>
        <w:t>0元/人•次（人民币）违约金；擅自更换专职安全员处20000元/人•次（人民币）违约金；擅自更换</w:t>
      </w:r>
      <w:r>
        <w:rPr>
          <w:rFonts w:hint="eastAsia" w:ascii="宋体" w:hAnsi="宋体" w:cs="宋体"/>
          <w:color w:val="auto"/>
          <w:sz w:val="22"/>
          <w:u w:val="single"/>
          <w:lang w:eastAsia="zh-CN"/>
        </w:rPr>
        <w:t>其他</w:t>
      </w:r>
      <w:r>
        <w:rPr>
          <w:rFonts w:hint="eastAsia" w:ascii="宋体" w:hAnsi="宋体" w:cs="宋体"/>
          <w:color w:val="auto"/>
          <w:sz w:val="22"/>
          <w:u w:val="single"/>
        </w:rPr>
        <w:t>在场管理人员处10000元/人•次（人民币）违约金</w:t>
      </w:r>
      <w:r>
        <w:rPr>
          <w:rFonts w:hint="eastAsia" w:ascii="宋体" w:hAnsi="宋体" w:cs="宋体"/>
          <w:color w:val="auto"/>
          <w:sz w:val="22"/>
        </w:rPr>
        <w:t>。</w:t>
      </w:r>
    </w:p>
    <w:p w14:paraId="4D22F239">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承包人主要施工管理人员擅自离开施工现场的违约责任：</w:t>
      </w:r>
      <w:r>
        <w:rPr>
          <w:rFonts w:hint="eastAsia" w:ascii="宋体" w:hAnsi="宋体" w:cs="宋体"/>
          <w:color w:val="auto"/>
          <w:sz w:val="22"/>
          <w:u w:val="single"/>
        </w:rPr>
        <w:t>未经发包人同意，项目技术负责人擅自离岗的，视为承包人违约，发包人有权处违约金5000元/人•次（人民币）；未经发包人同意，专职安全员擅自离岗的，视为承包人违约，发包人有权处违约金3000元/人•次（人民币）；</w:t>
      </w:r>
      <w:r>
        <w:rPr>
          <w:rFonts w:hint="eastAsia" w:ascii="宋体" w:hAnsi="宋体" w:cs="宋体"/>
          <w:color w:val="auto"/>
          <w:sz w:val="22"/>
          <w:u w:val="single"/>
          <w:lang w:eastAsia="zh-CN"/>
        </w:rPr>
        <w:t>其他</w:t>
      </w:r>
      <w:r>
        <w:rPr>
          <w:rFonts w:hint="eastAsia" w:ascii="宋体" w:hAnsi="宋体" w:cs="宋体"/>
          <w:color w:val="auto"/>
          <w:sz w:val="22"/>
          <w:u w:val="single"/>
        </w:rPr>
        <w:t>在场管理人员擅自离岗的，视为承包人违约，发包人有权处违约金3000元/人•次（人民币）</w:t>
      </w:r>
      <w:r>
        <w:rPr>
          <w:rFonts w:hint="eastAsia" w:ascii="宋体" w:hAnsi="宋体" w:cs="宋体"/>
          <w:color w:val="auto"/>
          <w:sz w:val="22"/>
        </w:rPr>
        <w:t>。</w:t>
      </w:r>
    </w:p>
    <w:p w14:paraId="2CB1016A">
      <w:pPr>
        <w:pStyle w:val="39"/>
        <w:spacing w:line="360" w:lineRule="exact"/>
        <w:ind w:firstLine="442" w:firstLineChars="200"/>
        <w:rPr>
          <w:rFonts w:hint="eastAsia" w:ascii="宋体" w:hAnsi="宋体" w:cs="宋体"/>
          <w:color w:val="auto"/>
          <w:sz w:val="22"/>
          <w:szCs w:val="22"/>
        </w:rPr>
      </w:pPr>
      <w:bookmarkStart w:id="270" w:name="_Toc373227710"/>
      <w:bookmarkStart w:id="271" w:name="_Toc12975900"/>
      <w:bookmarkStart w:id="272" w:name="_Toc373478357"/>
      <w:bookmarkStart w:id="273" w:name="_Toc395382512"/>
      <w:bookmarkStart w:id="274" w:name="_Toc533432735"/>
      <w:bookmarkStart w:id="275" w:name="_Toc389065276"/>
      <w:r>
        <w:rPr>
          <w:rFonts w:hint="eastAsia" w:ascii="宋体" w:hAnsi="宋体" w:cs="宋体"/>
          <w:color w:val="auto"/>
          <w:sz w:val="22"/>
          <w:szCs w:val="22"/>
        </w:rPr>
        <w:t>3</w:t>
      </w:r>
      <w:bookmarkStart w:id="276" w:name="_Toc296890987"/>
      <w:bookmarkStart w:id="277" w:name="_Toc297120459"/>
      <w:bookmarkStart w:id="278" w:name="_Toc297216151"/>
      <w:bookmarkStart w:id="279" w:name="_Toc296891199"/>
      <w:bookmarkStart w:id="280" w:name="_Toc303539102"/>
      <w:bookmarkStart w:id="281" w:name="_Toc297048345"/>
      <w:bookmarkStart w:id="282" w:name="_Toc296347158"/>
      <w:bookmarkStart w:id="283" w:name="_Toc297123492"/>
      <w:bookmarkStart w:id="284" w:name="_Toc292559869"/>
      <w:bookmarkStart w:id="285" w:name="_Toc296346660"/>
      <w:bookmarkStart w:id="286" w:name="_Toc304295523"/>
      <w:bookmarkStart w:id="287" w:name="_Toc300934945"/>
      <w:bookmarkStart w:id="288" w:name="_Toc296503159"/>
      <w:bookmarkStart w:id="289" w:name="_Toc296944498"/>
      <w:bookmarkStart w:id="290" w:name="_Toc312677988"/>
      <w:bookmarkStart w:id="291" w:name="_Toc292559364"/>
      <w:r>
        <w:rPr>
          <w:rFonts w:hint="eastAsia" w:ascii="宋体" w:hAnsi="宋体" w:cs="宋体"/>
          <w:color w:val="auto"/>
          <w:sz w:val="22"/>
          <w:szCs w:val="22"/>
        </w:rPr>
        <w:t>.5 分包</w:t>
      </w:r>
      <w:bookmarkEnd w:id="270"/>
      <w:bookmarkEnd w:id="271"/>
      <w:bookmarkEnd w:id="272"/>
      <w:bookmarkEnd w:id="273"/>
      <w:bookmarkEnd w:id="274"/>
      <w:bookmarkEnd w:id="275"/>
    </w:p>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14:paraId="55707B97">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3</w:t>
      </w:r>
      <w:bookmarkStart w:id="292" w:name="_Toc318581158"/>
      <w:bookmarkStart w:id="293" w:name="_Toc296890988"/>
      <w:bookmarkStart w:id="294" w:name="_Toc297216152"/>
      <w:bookmarkStart w:id="295" w:name="_Toc297048346"/>
      <w:bookmarkStart w:id="296" w:name="_Toc300934946"/>
      <w:bookmarkStart w:id="297" w:name="_Toc296891200"/>
      <w:bookmarkStart w:id="298" w:name="_Toc297123493"/>
      <w:bookmarkStart w:id="299" w:name="_Toc297120460"/>
      <w:bookmarkStart w:id="300" w:name="_Toc304295524"/>
      <w:bookmarkStart w:id="301" w:name="_Toc292559870"/>
      <w:bookmarkStart w:id="302" w:name="_Toc292559365"/>
      <w:bookmarkStart w:id="303" w:name="_Toc296347159"/>
      <w:bookmarkStart w:id="304" w:name="_Toc296944499"/>
      <w:bookmarkStart w:id="305" w:name="_Toc296346661"/>
      <w:bookmarkStart w:id="306" w:name="_Toc312677989"/>
      <w:bookmarkStart w:id="307" w:name="_Toc303539103"/>
      <w:bookmarkStart w:id="308" w:name="_Toc296503160"/>
      <w:r>
        <w:rPr>
          <w:rFonts w:hint="eastAsia" w:ascii="宋体" w:hAnsi="宋体" w:cs="宋体"/>
          <w:color w:val="auto"/>
          <w:sz w:val="22"/>
        </w:rPr>
        <w:t>.5.1 分包的一般约定</w:t>
      </w:r>
    </w:p>
    <w:p w14:paraId="2E7FD88F">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禁止分包的工程包括：</w:t>
      </w:r>
      <w:r>
        <w:rPr>
          <w:rFonts w:hint="eastAsia" w:ascii="宋体" w:hAnsi="宋体" w:cs="宋体"/>
          <w:color w:val="auto"/>
          <w:sz w:val="22"/>
          <w:u w:val="single"/>
        </w:rPr>
        <w:t xml:space="preserve">本项目未经发包人批准禁止分包 </w:t>
      </w:r>
      <w:r>
        <w:rPr>
          <w:rFonts w:hint="eastAsia" w:ascii="宋体" w:hAnsi="宋体" w:cs="宋体"/>
          <w:color w:val="auto"/>
          <w:sz w:val="22"/>
        </w:rPr>
        <w:t>。</w:t>
      </w:r>
    </w:p>
    <w:p w14:paraId="2F97251E">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主体结构、关键性工作的范围：</w:t>
      </w:r>
      <w:r>
        <w:rPr>
          <w:rFonts w:hint="eastAsia" w:ascii="宋体" w:hAnsi="宋体" w:cs="宋体"/>
          <w:color w:val="auto"/>
          <w:sz w:val="22"/>
          <w:u w:val="single"/>
        </w:rPr>
        <w:t xml:space="preserve"> 无 </w:t>
      </w:r>
      <w:r>
        <w:rPr>
          <w:rFonts w:hint="eastAsia" w:ascii="宋体" w:hAnsi="宋体" w:cs="宋体"/>
          <w:color w:val="auto"/>
          <w:sz w:val="22"/>
        </w:rPr>
        <w:t>。</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40B6F492">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3</w:t>
      </w:r>
      <w:bookmarkStart w:id="309" w:name="_Toc312677990"/>
      <w:bookmarkStart w:id="310" w:name="_Toc318581159"/>
      <w:r>
        <w:rPr>
          <w:rFonts w:hint="eastAsia" w:ascii="宋体" w:hAnsi="宋体" w:cs="宋体"/>
          <w:color w:val="auto"/>
          <w:sz w:val="22"/>
        </w:rPr>
        <w:t>.5.2 分包的确定</w:t>
      </w:r>
    </w:p>
    <w:p w14:paraId="21EFBC13">
      <w:pPr>
        <w:pStyle w:val="40"/>
        <w:spacing w:line="360" w:lineRule="exact"/>
        <w:ind w:firstLine="440" w:firstLineChars="200"/>
        <w:rPr>
          <w:rFonts w:hint="eastAsia" w:ascii="宋体" w:hAnsi="宋体" w:cs="宋体"/>
          <w:color w:val="auto"/>
          <w:sz w:val="22"/>
          <w:u w:val="single"/>
        </w:rPr>
      </w:pPr>
      <w:r>
        <w:rPr>
          <w:rFonts w:hint="eastAsia" w:ascii="宋体" w:hAnsi="宋体" w:cs="宋体"/>
          <w:color w:val="auto"/>
          <w:sz w:val="22"/>
        </w:rPr>
        <w:t>允许分包的专业工程包括：</w:t>
      </w:r>
      <w:r>
        <w:rPr>
          <w:rFonts w:hint="eastAsia" w:ascii="宋体" w:hAnsi="宋体" w:cs="宋体"/>
          <w:color w:val="auto"/>
          <w:sz w:val="22"/>
          <w:u w:val="single"/>
        </w:rPr>
        <w:t xml:space="preserve">无  </w:t>
      </w:r>
      <w:r>
        <w:rPr>
          <w:rFonts w:hint="eastAsia" w:ascii="宋体" w:hAnsi="宋体" w:cs="宋体"/>
          <w:color w:val="auto"/>
          <w:sz w:val="22"/>
        </w:rPr>
        <w:t>。</w:t>
      </w:r>
    </w:p>
    <w:p w14:paraId="11129BD4">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其他关于分包的约定：</w:t>
      </w:r>
    </w:p>
    <w:p w14:paraId="78AE1814">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1）如本项目允许合法分包的，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rFonts w:hint="eastAsia" w:ascii="宋体" w:hAnsi="宋体" w:cs="宋体"/>
          <w:color w:val="auto"/>
          <w:sz w:val="22"/>
          <w:lang w:val="en-US" w:eastAsia="zh-CN"/>
        </w:rPr>
        <w:t>6</w:t>
      </w:r>
      <w:r>
        <w:rPr>
          <w:rFonts w:hint="eastAsia" w:ascii="宋体" w:hAnsi="宋体" w:cs="宋体"/>
          <w:color w:val="auto"/>
          <w:sz w:val="22"/>
        </w:rPr>
        <w:t>。</w:t>
      </w:r>
    </w:p>
    <w:p w14:paraId="200C7F54">
      <w:pPr>
        <w:pStyle w:val="40"/>
        <w:spacing w:line="360" w:lineRule="exact"/>
        <w:ind w:firstLine="440" w:firstLineChars="200"/>
        <w:rPr>
          <w:rFonts w:hint="eastAsia" w:ascii="宋体" w:hAnsi="宋体" w:cs="宋体"/>
          <w:color w:val="auto"/>
          <w:sz w:val="22"/>
          <w:u w:val="single"/>
        </w:rPr>
      </w:pPr>
      <w:r>
        <w:rPr>
          <w:rFonts w:hint="eastAsia" w:ascii="宋体" w:hAnsi="宋体" w:cs="宋体"/>
          <w:color w:val="auto"/>
          <w:sz w:val="22"/>
        </w:rPr>
        <w:t>（2）在相关分包合同签订并报送有关建设行政主管部门备案后7天内，承包人应当将一份副本提交给监理人，承包人应保障分包工作不得再次分包。</w:t>
      </w:r>
    </w:p>
    <w:p w14:paraId="6C60DC2E">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（3）未经承包人和监理人审批同意的分包工程和分包人，承包人有权拒绝验收分包工程和支付相应款项，由此引起的发包人费用增加和</w:t>
      </w:r>
      <w:r>
        <w:rPr>
          <w:rFonts w:hint="eastAsia" w:ascii="宋体" w:hAnsi="宋体" w:cs="宋体"/>
          <w:color w:val="auto"/>
          <w:sz w:val="22"/>
          <w:lang w:eastAsia="zh-CN"/>
        </w:rPr>
        <w:t>（</w:t>
      </w:r>
      <w:r>
        <w:rPr>
          <w:rFonts w:hint="eastAsia" w:ascii="宋体" w:hAnsi="宋体" w:cs="宋体"/>
          <w:color w:val="auto"/>
          <w:sz w:val="22"/>
        </w:rPr>
        <w:t>或</w:t>
      </w:r>
      <w:r>
        <w:rPr>
          <w:rFonts w:hint="eastAsia" w:ascii="宋体" w:hAnsi="宋体" w:cs="宋体"/>
          <w:color w:val="auto"/>
          <w:sz w:val="22"/>
          <w:lang w:eastAsia="zh-CN"/>
        </w:rPr>
        <w:t>）</w:t>
      </w:r>
      <w:r>
        <w:rPr>
          <w:rFonts w:hint="eastAsia" w:ascii="宋体" w:hAnsi="宋体" w:cs="宋体"/>
          <w:color w:val="auto"/>
          <w:sz w:val="22"/>
        </w:rPr>
        <w:t>延误的工期由发包人承担。</w:t>
      </w:r>
    </w:p>
    <w:p w14:paraId="3329555C">
      <w:pPr>
        <w:pStyle w:val="56"/>
        <w:spacing w:line="360" w:lineRule="exact"/>
        <w:ind w:firstLine="440" w:firstLineChars="200"/>
        <w:rPr>
          <w:rFonts w:hint="eastAsia" w:hAnsi="宋体" w:cs="宋体"/>
          <w:color w:val="auto"/>
          <w:sz w:val="22"/>
          <w:szCs w:val="22"/>
        </w:rPr>
      </w:pPr>
      <w:r>
        <w:rPr>
          <w:rFonts w:hint="eastAsia" w:hAnsi="宋体" w:cs="宋体"/>
          <w:color w:val="auto"/>
          <w:sz w:val="22"/>
          <w:szCs w:val="22"/>
        </w:rPr>
        <w:t>（4）承包人有以下情况之一者，发包人有权解除合同：</w:t>
      </w:r>
    </w:p>
    <w:p w14:paraId="4F4BDAF6">
      <w:pPr>
        <w:pStyle w:val="56"/>
        <w:spacing w:line="360" w:lineRule="exact"/>
        <w:ind w:firstLine="440" w:firstLineChars="200"/>
        <w:rPr>
          <w:rFonts w:hint="eastAsia" w:hAnsi="宋体" w:cs="宋体"/>
          <w:color w:val="auto"/>
          <w:sz w:val="22"/>
          <w:szCs w:val="22"/>
        </w:rPr>
      </w:pPr>
      <w:r>
        <w:rPr>
          <w:rFonts w:hint="eastAsia" w:hAnsi="宋体" w:cs="宋体"/>
          <w:color w:val="auto"/>
          <w:sz w:val="22"/>
          <w:szCs w:val="22"/>
        </w:rPr>
        <w:t>①个人承包工程，包括本人单位及外单位人员承包，发包人不承认其个人拥有任何资质等级及营业许可资格。</w:t>
      </w:r>
    </w:p>
    <w:p w14:paraId="56D395F8">
      <w:pPr>
        <w:pStyle w:val="56"/>
        <w:spacing w:line="360" w:lineRule="exact"/>
        <w:ind w:firstLine="440" w:firstLineChars="200"/>
        <w:rPr>
          <w:rFonts w:hint="eastAsia" w:hAnsi="宋体" w:cs="宋体"/>
          <w:color w:val="auto"/>
          <w:sz w:val="22"/>
          <w:szCs w:val="22"/>
        </w:rPr>
      </w:pPr>
      <w:r>
        <w:rPr>
          <w:rFonts w:hint="eastAsia" w:hAnsi="宋体" w:cs="宋体"/>
          <w:color w:val="auto"/>
          <w:sz w:val="22"/>
          <w:szCs w:val="22"/>
        </w:rPr>
        <w:t>②几个人联合承包工程，就地组织暗分包队伍，不具备完成本工程的技术、机械能力，被发包人判定为没有能力履行的承包人。</w:t>
      </w:r>
    </w:p>
    <w:p w14:paraId="7E3D63B7">
      <w:pPr>
        <w:pStyle w:val="56"/>
        <w:spacing w:line="360" w:lineRule="exact"/>
        <w:ind w:firstLine="440" w:firstLineChars="200"/>
        <w:rPr>
          <w:rFonts w:hint="eastAsia" w:hAnsi="宋体" w:cs="宋体"/>
          <w:color w:val="auto"/>
          <w:sz w:val="22"/>
          <w:szCs w:val="22"/>
        </w:rPr>
      </w:pPr>
      <w:r>
        <w:rPr>
          <w:rFonts w:hint="eastAsia" w:hAnsi="宋体" w:cs="宋体"/>
          <w:color w:val="auto"/>
          <w:sz w:val="22"/>
          <w:szCs w:val="22"/>
        </w:rPr>
        <w:t>③就地转包全部的工程，以谋取高额转让费、管理费的承包人。</w:t>
      </w:r>
    </w:p>
    <w:p w14:paraId="22C1EA33">
      <w:pPr>
        <w:pStyle w:val="40"/>
        <w:spacing w:line="360" w:lineRule="exact"/>
        <w:ind w:firstLine="440" w:firstLineChars="200"/>
        <w:rPr>
          <w:rFonts w:hint="eastAsia" w:ascii="宋体" w:hAnsi="宋体" w:cs="宋体"/>
          <w:color w:val="auto"/>
          <w:sz w:val="22"/>
          <w:u w:val="single"/>
        </w:rPr>
      </w:pPr>
      <w:r>
        <w:rPr>
          <w:rFonts w:hint="eastAsia" w:ascii="宋体" w:hAnsi="宋体" w:cs="宋体"/>
          <w:color w:val="auto"/>
          <w:sz w:val="22"/>
        </w:rPr>
        <w:t>④承包人有部分分包现象（其中包括冒充承包人下属单位的挂勾单位，凭口头协议参与施工的分包人及其他暗分包个体户），一经发现核实，发包人将采取驱逐该暗分包人措施。</w:t>
      </w:r>
    </w:p>
    <w:p w14:paraId="6F28EDEB">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3.5.4 分包合同价款</w:t>
      </w:r>
    </w:p>
    <w:bookmarkEnd w:id="309"/>
    <w:bookmarkEnd w:id="310"/>
    <w:p w14:paraId="045536E8">
      <w:pPr>
        <w:pStyle w:val="40"/>
        <w:spacing w:line="360" w:lineRule="exact"/>
        <w:ind w:firstLine="440" w:firstLineChars="200"/>
        <w:rPr>
          <w:rFonts w:hint="eastAsia" w:ascii="宋体" w:hAnsi="宋体" w:cs="宋体"/>
          <w:color w:val="auto"/>
          <w:sz w:val="22"/>
        </w:rPr>
      </w:pPr>
      <w:bookmarkStart w:id="311" w:name="_Toc373478358"/>
      <w:bookmarkStart w:id="312" w:name="_Toc389065277"/>
      <w:bookmarkStart w:id="313" w:name="_Toc373227711"/>
      <w:r>
        <w:rPr>
          <w:rFonts w:hint="eastAsia" w:ascii="宋体" w:hAnsi="宋体" w:cs="宋体"/>
          <w:color w:val="auto"/>
          <w:sz w:val="22"/>
        </w:rPr>
        <w:t>关于分包合同价款支付的约定：</w:t>
      </w:r>
      <w:r>
        <w:rPr>
          <w:rFonts w:hint="eastAsia" w:ascii="宋体" w:hAnsi="宋体" w:cs="宋体"/>
          <w:color w:val="auto"/>
          <w:sz w:val="22"/>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34492056">
      <w:pPr>
        <w:pStyle w:val="39"/>
        <w:spacing w:line="360" w:lineRule="exact"/>
        <w:ind w:firstLine="442" w:firstLineChars="200"/>
        <w:rPr>
          <w:rFonts w:hint="eastAsia" w:ascii="宋体" w:hAnsi="宋体" w:cs="宋体"/>
          <w:color w:val="auto"/>
          <w:sz w:val="22"/>
          <w:szCs w:val="22"/>
        </w:rPr>
      </w:pPr>
      <w:bookmarkStart w:id="314" w:name="_Toc12975901"/>
      <w:bookmarkStart w:id="315" w:name="_Toc395382513"/>
      <w:bookmarkStart w:id="316" w:name="_Toc533432736"/>
      <w:r>
        <w:rPr>
          <w:rFonts w:hint="eastAsia" w:ascii="宋体" w:hAnsi="宋体" w:cs="宋体"/>
          <w:color w:val="auto"/>
          <w:sz w:val="22"/>
          <w:szCs w:val="22"/>
        </w:rPr>
        <w:t>3.6 工程照管与成品、半成品保护</w:t>
      </w:r>
      <w:bookmarkEnd w:id="311"/>
      <w:bookmarkEnd w:id="312"/>
      <w:bookmarkEnd w:id="313"/>
      <w:bookmarkEnd w:id="314"/>
      <w:bookmarkEnd w:id="315"/>
      <w:bookmarkEnd w:id="316"/>
    </w:p>
    <w:p w14:paraId="37959853">
      <w:pPr>
        <w:pStyle w:val="40"/>
        <w:spacing w:line="360" w:lineRule="exact"/>
        <w:ind w:firstLine="440" w:firstLineChars="200"/>
        <w:rPr>
          <w:rFonts w:hint="eastAsia" w:ascii="宋体" w:hAnsi="宋体" w:cs="宋体"/>
          <w:color w:val="auto"/>
          <w:kern w:val="0"/>
          <w:sz w:val="22"/>
          <w:u w:val="single"/>
        </w:rPr>
      </w:pPr>
      <w:r>
        <w:rPr>
          <w:rFonts w:hint="eastAsia" w:ascii="宋体" w:hAnsi="宋体" w:cs="宋体"/>
          <w:color w:val="auto"/>
          <w:kern w:val="0"/>
          <w:sz w:val="22"/>
        </w:rPr>
        <w:t>承包人负责照管工程及工程相关的材料、工程设备的起始时间：</w:t>
      </w:r>
      <w:r>
        <w:rPr>
          <w:rFonts w:hint="eastAsia" w:ascii="宋体" w:hAnsi="宋体" w:cs="宋体"/>
          <w:color w:val="auto"/>
          <w:kern w:val="0"/>
          <w:sz w:val="22"/>
          <w:u w:val="single"/>
        </w:rPr>
        <w:t xml:space="preserve">设备、人员进场至验收交付使用前由承包人负责保修，无其他特殊要求的，费用由承包人承担 </w:t>
      </w:r>
      <w:r>
        <w:rPr>
          <w:rFonts w:hint="eastAsia" w:ascii="宋体" w:hAnsi="宋体" w:cs="宋体"/>
          <w:color w:val="auto"/>
          <w:kern w:val="0"/>
          <w:sz w:val="22"/>
        </w:rPr>
        <w:t>。</w:t>
      </w:r>
    </w:p>
    <w:p w14:paraId="5120540A">
      <w:pPr>
        <w:pStyle w:val="39"/>
        <w:spacing w:line="360" w:lineRule="exact"/>
        <w:ind w:firstLine="442" w:firstLineChars="200"/>
        <w:rPr>
          <w:rFonts w:hint="eastAsia" w:ascii="宋体" w:hAnsi="宋体" w:cs="宋体"/>
          <w:color w:val="auto"/>
          <w:sz w:val="22"/>
          <w:szCs w:val="22"/>
        </w:rPr>
      </w:pPr>
      <w:bookmarkStart w:id="317" w:name="_Toc389065278"/>
      <w:bookmarkStart w:id="318" w:name="_Toc373227712"/>
      <w:bookmarkStart w:id="319" w:name="_Toc373478359"/>
      <w:bookmarkStart w:id="320" w:name="_Toc395382514"/>
      <w:bookmarkStart w:id="321" w:name="_Toc533432737"/>
      <w:bookmarkStart w:id="322" w:name="_Toc12975902"/>
      <w:r>
        <w:rPr>
          <w:rFonts w:hint="eastAsia" w:ascii="宋体" w:hAnsi="宋体" w:cs="宋体"/>
          <w:color w:val="auto"/>
          <w:sz w:val="22"/>
          <w:szCs w:val="22"/>
        </w:rPr>
        <w:t>3.7 履约</w:t>
      </w:r>
      <w:bookmarkEnd w:id="317"/>
      <w:bookmarkEnd w:id="318"/>
      <w:bookmarkEnd w:id="319"/>
      <w:r>
        <w:rPr>
          <w:rFonts w:hint="eastAsia" w:ascii="宋体" w:hAnsi="宋体" w:cs="宋体"/>
          <w:color w:val="auto"/>
          <w:sz w:val="22"/>
          <w:szCs w:val="22"/>
        </w:rPr>
        <w:t>保证金</w:t>
      </w:r>
      <w:bookmarkEnd w:id="320"/>
      <w:bookmarkEnd w:id="321"/>
      <w:bookmarkEnd w:id="322"/>
    </w:p>
    <w:p w14:paraId="7CD71AB6">
      <w:pPr>
        <w:pStyle w:val="70"/>
        <w:spacing w:before="0" w:after="0" w:line="360" w:lineRule="exact"/>
        <w:ind w:firstLine="440" w:firstLineChars="200"/>
        <w:rPr>
          <w:rFonts w:hint="default" w:ascii="宋体" w:hAnsi="宋体" w:eastAsia="宋体" w:cs="宋体"/>
          <w:b w:val="0"/>
          <w:bCs w:val="0"/>
          <w:color w:val="auto"/>
          <w:kern w:val="0"/>
          <w:sz w:val="22"/>
          <w:szCs w:val="22"/>
          <w:lang w:val="en-US" w:eastAsia="zh-CN" w:bidi="ar-SA"/>
        </w:rPr>
      </w:pPr>
      <w:bookmarkStart w:id="323" w:name="_Toc395382515"/>
      <w:bookmarkStart w:id="324" w:name="_Toc373227713"/>
      <w:bookmarkStart w:id="325" w:name="_Toc12975903"/>
      <w:bookmarkStart w:id="326" w:name="_Toc351203636"/>
      <w:bookmarkStart w:id="327" w:name="_Toc533432738"/>
      <w:bookmarkStart w:id="328" w:name="_Toc373478360"/>
      <w:bookmarkStart w:id="329" w:name="_Toc389065279"/>
      <w:r>
        <w:rPr>
          <w:rFonts w:hint="eastAsia" w:ascii="宋体" w:hAnsi="宋体" w:eastAsia="宋体" w:cs="宋体"/>
          <w:b w:val="0"/>
          <w:bCs w:val="0"/>
          <w:color w:val="auto"/>
          <w:kern w:val="0"/>
          <w:sz w:val="22"/>
          <w:szCs w:val="22"/>
          <w:lang w:val="en-US" w:eastAsia="zh-CN" w:bidi="ar-SA"/>
        </w:rPr>
        <w:t>本项目不收取履约保证金</w:t>
      </w:r>
    </w:p>
    <w:p w14:paraId="595FEEF3">
      <w:pPr>
        <w:pStyle w:val="70"/>
        <w:spacing w:before="0" w:after="0" w:line="360" w:lineRule="exact"/>
        <w:ind w:firstLine="442" w:firstLineChars="200"/>
        <w:rPr>
          <w:rFonts w:hint="eastAsia" w:ascii="宋体" w:hAnsi="宋体" w:cs="宋体"/>
          <w:color w:val="auto"/>
          <w:sz w:val="22"/>
          <w:szCs w:val="22"/>
        </w:rPr>
      </w:pPr>
      <w:r>
        <w:rPr>
          <w:rFonts w:hint="eastAsia" w:ascii="宋体" w:hAnsi="宋体" w:cs="宋体"/>
          <w:color w:val="auto"/>
          <w:sz w:val="22"/>
          <w:szCs w:val="22"/>
        </w:rPr>
        <w:t>4</w:t>
      </w:r>
      <w:bookmarkStart w:id="330" w:name="_Toc292559366"/>
      <w:bookmarkStart w:id="331" w:name="_Toc267251413"/>
      <w:bookmarkStart w:id="332" w:name="_Toc296347161"/>
      <w:bookmarkStart w:id="333" w:name="_Toc296346663"/>
      <w:bookmarkStart w:id="334" w:name="_Toc296503162"/>
      <w:bookmarkStart w:id="335" w:name="_Toc297120462"/>
      <w:bookmarkStart w:id="336" w:name="_Toc296944501"/>
      <w:bookmarkStart w:id="337" w:name="_Toc296891202"/>
      <w:bookmarkStart w:id="338" w:name="_Toc296890990"/>
      <w:bookmarkStart w:id="339" w:name="_Toc297048348"/>
      <w:bookmarkStart w:id="340" w:name="_Toc292559871"/>
      <w:r>
        <w:rPr>
          <w:rFonts w:hint="eastAsia" w:ascii="宋体" w:hAnsi="宋体" w:cs="宋体"/>
          <w:color w:val="auto"/>
          <w:sz w:val="22"/>
          <w:szCs w:val="22"/>
        </w:rPr>
        <w:t>. 监</w:t>
      </w:r>
      <w:bookmarkEnd w:id="330"/>
      <w:bookmarkEnd w:id="331"/>
      <w:bookmarkEnd w:id="332"/>
      <w:bookmarkEnd w:id="333"/>
      <w:bookmarkEnd w:id="334"/>
      <w:bookmarkEnd w:id="335"/>
      <w:bookmarkEnd w:id="336"/>
      <w:bookmarkEnd w:id="337"/>
      <w:bookmarkEnd w:id="338"/>
      <w:bookmarkEnd w:id="339"/>
      <w:bookmarkEnd w:id="340"/>
      <w:r>
        <w:rPr>
          <w:rFonts w:hint="eastAsia" w:ascii="宋体" w:hAnsi="宋体" w:cs="宋体"/>
          <w:color w:val="auto"/>
          <w:sz w:val="22"/>
          <w:szCs w:val="22"/>
        </w:rPr>
        <w:t>理人</w:t>
      </w:r>
      <w:bookmarkEnd w:id="323"/>
      <w:bookmarkEnd w:id="324"/>
      <w:bookmarkEnd w:id="325"/>
      <w:bookmarkEnd w:id="326"/>
      <w:bookmarkEnd w:id="327"/>
      <w:bookmarkEnd w:id="328"/>
      <w:bookmarkEnd w:id="329"/>
    </w:p>
    <w:p w14:paraId="0FDD0D43">
      <w:pPr>
        <w:pStyle w:val="39"/>
        <w:spacing w:line="360" w:lineRule="exact"/>
        <w:ind w:firstLine="442" w:firstLineChars="200"/>
        <w:rPr>
          <w:rFonts w:hint="eastAsia" w:ascii="宋体" w:hAnsi="宋体" w:cs="宋体"/>
          <w:color w:val="auto"/>
          <w:sz w:val="22"/>
          <w:szCs w:val="22"/>
        </w:rPr>
      </w:pPr>
      <w:bookmarkStart w:id="341" w:name="_Toc373227714"/>
      <w:bookmarkStart w:id="342" w:name="_Toc373478361"/>
      <w:bookmarkStart w:id="343" w:name="_Toc12975904"/>
      <w:bookmarkStart w:id="344" w:name="_Toc389065280"/>
      <w:bookmarkStart w:id="345" w:name="_Toc533432739"/>
      <w:bookmarkStart w:id="346" w:name="_Toc395382516"/>
      <w:r>
        <w:rPr>
          <w:rFonts w:hint="eastAsia" w:ascii="宋体" w:hAnsi="宋体" w:cs="宋体"/>
          <w:color w:val="auto"/>
          <w:sz w:val="22"/>
          <w:szCs w:val="22"/>
        </w:rPr>
        <w:t>4.1 监理人的一般规定</w:t>
      </w:r>
      <w:bookmarkEnd w:id="341"/>
      <w:bookmarkEnd w:id="342"/>
      <w:bookmarkEnd w:id="343"/>
      <w:bookmarkEnd w:id="344"/>
      <w:bookmarkEnd w:id="345"/>
      <w:bookmarkEnd w:id="346"/>
    </w:p>
    <w:p w14:paraId="3287E910">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关于监理人的监理内容：</w:t>
      </w:r>
      <w:r>
        <w:rPr>
          <w:rFonts w:hint="eastAsia" w:ascii="宋体" w:hAnsi="宋体" w:cs="宋体"/>
          <w:color w:val="auto"/>
          <w:sz w:val="22"/>
          <w:szCs w:val="22"/>
          <w:u w:val="single"/>
        </w:rPr>
        <w:t>三控三管一协调（主要指：工程进度控制、工程质量、安全控制、工程投资（成本）控制；合同管理、职业健康安全与环境管理、信息管理；与本项目有关的全面组织协调）</w:t>
      </w:r>
      <w:r>
        <w:rPr>
          <w:rFonts w:hint="eastAsia" w:ascii="宋体" w:hAnsi="宋体" w:cs="宋体"/>
          <w:color w:val="auto"/>
          <w:sz w:val="22"/>
          <w:szCs w:val="22"/>
        </w:rPr>
        <w:t>。</w:t>
      </w:r>
    </w:p>
    <w:p w14:paraId="2A08590B">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rPr>
        <w:t>关于监理人的监理权限：</w:t>
      </w:r>
      <w:r>
        <w:rPr>
          <w:rFonts w:hint="eastAsia" w:ascii="宋体" w:hAnsi="宋体" w:cs="宋体"/>
          <w:color w:val="auto"/>
          <w:sz w:val="22"/>
          <w:szCs w:val="22"/>
          <w:u w:val="single"/>
        </w:rPr>
        <w:t>（1）监理人行使下列职权之前必须征得发包人的书面认可：①批准承包人的书面开工请求或延期开工申请，发布暂停施工指示、复工令或批准复工申请；②批准合同进度计划及合同进度计划的修订；③批准承包人的深化设计；④批准承包人的重大施工技术方案和技术规范的变更；⑤批准承包人或其分包人提出更换项目经理、技术负责人或</w:t>
      </w:r>
      <w:r>
        <w:rPr>
          <w:rFonts w:hint="eastAsia" w:ascii="宋体" w:hAnsi="宋体" w:cs="宋体"/>
          <w:color w:val="auto"/>
          <w:sz w:val="22"/>
          <w:szCs w:val="22"/>
          <w:u w:val="single"/>
          <w:lang w:eastAsia="zh-CN"/>
        </w:rPr>
        <w:t>其他主要</w:t>
      </w:r>
      <w:r>
        <w:rPr>
          <w:rFonts w:hint="eastAsia" w:ascii="宋体" w:hAnsi="宋体" w:cs="宋体"/>
          <w:color w:val="auto"/>
          <w:sz w:val="22"/>
          <w:szCs w:val="22"/>
          <w:u w:val="single"/>
        </w:rPr>
        <w:t>管理人员；⑥批准主要材料设备或替换材料设备的使用及分包人的选择；⑦工程量计量、工程款的审核和确认权；⑧发出可能导致增加合同价款或费用或延误或延长工期的任何指示或建议；⑨批准承包人拆除垂直运输设备、外墙脚手架及其他重要施工设备；⑩质量缺陷补救措施的认可；⑪签发工程竣工证书、单位工程验收证明书；⑫专用条款约定的需经发包人批准方能行使的职权。</w:t>
      </w:r>
    </w:p>
    <w:p w14:paraId="2695D8D5">
      <w:pPr>
        <w:pStyle w:val="60"/>
        <w:spacing w:line="360" w:lineRule="exact"/>
        <w:ind w:firstLine="442" w:firstLineChars="200"/>
        <w:jc w:val="left"/>
        <w:rPr>
          <w:rFonts w:hint="eastAsia" w:ascii="宋体" w:hAnsi="宋体" w:cs="宋体"/>
          <w:b/>
          <w:color w:val="auto"/>
          <w:sz w:val="22"/>
          <w:szCs w:val="22"/>
          <w:u w:val="single"/>
        </w:rPr>
      </w:pPr>
      <w:r>
        <w:rPr>
          <w:rFonts w:hint="eastAsia" w:ascii="宋体" w:hAnsi="宋体" w:cs="宋体"/>
          <w:b/>
          <w:color w:val="auto"/>
          <w:sz w:val="22"/>
          <w:szCs w:val="22"/>
          <w:u w:val="single"/>
        </w:rPr>
        <w:t>当监理人行使上述职权时，监理人应当提供经发包人认可的相关配套文件，承包人应当核实其真实性。如果无发包人事先认可文件时，发包人不承担由此产生的义务和责任，由此产生的一切后果（不限于工期延误和成本、费用支出等）均由承包人承担。</w:t>
      </w:r>
    </w:p>
    <w:p w14:paraId="5ED8AD86">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2）监理人无权行使下列权利：①提出或批准变更、索赔（含工期、费用）；②批准暂列金额的使用；③暂估价费用确定；④同意分包本工程的某些非主体和非关键性主体；⑤专用条款约定的监理人无权行使的权力。</w:t>
      </w:r>
    </w:p>
    <w:p w14:paraId="24582893">
      <w:pPr>
        <w:pStyle w:val="60"/>
        <w:spacing w:line="360" w:lineRule="exact"/>
        <w:ind w:firstLine="442" w:firstLineChars="200"/>
        <w:jc w:val="left"/>
        <w:rPr>
          <w:rFonts w:hint="eastAsia" w:ascii="宋体" w:hAnsi="宋体" w:cs="宋体"/>
          <w:b/>
          <w:color w:val="auto"/>
          <w:sz w:val="22"/>
          <w:szCs w:val="22"/>
          <w:u w:val="single"/>
        </w:rPr>
      </w:pPr>
      <w:r>
        <w:rPr>
          <w:rFonts w:hint="eastAsia" w:ascii="宋体" w:hAnsi="宋体" w:cs="宋体"/>
          <w:b/>
          <w:color w:val="auto"/>
          <w:sz w:val="22"/>
          <w:szCs w:val="22"/>
          <w:u w:val="single"/>
        </w:rPr>
        <w:t>承包人在接到监理人指示时，应自行审核该指示是否属于上述监理人无权行使的权力的范围，因承包人疏于审核监理人指示所产生的一切后果均由承包人承担。</w:t>
      </w:r>
    </w:p>
    <w:p w14:paraId="3213A4D7">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3）监理人无权免除、减轻或变更合同约定的承包人的义务和责任。合同约定应由承包人承担的义务和责任，也不因监理人对承包人提交文件的审查或批准，对工程、材料设备的检查和检验，以及为实施监理作出的指示等职务行为而减轻、免除或变更。</w:t>
      </w:r>
    </w:p>
    <w:p w14:paraId="39607238">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（4）发包人有权单方修改监理人的职权，并书面通知承包人，修改的监理人的职权自通知到达承包人之日起生效。</w:t>
      </w:r>
    </w:p>
    <w:p w14:paraId="0834E4B1">
      <w:pPr>
        <w:pStyle w:val="60"/>
        <w:spacing w:line="360" w:lineRule="exact"/>
        <w:ind w:firstLine="440" w:firstLineChars="200"/>
        <w:rPr>
          <w:rFonts w:hint="eastAsia" w:ascii="宋体" w:hAnsi="宋体" w:cs="宋体"/>
          <w:color w:val="auto"/>
          <w:sz w:val="22"/>
          <w:szCs w:val="22"/>
        </w:rPr>
      </w:pPr>
      <w:r>
        <w:rPr>
          <w:rFonts w:hint="eastAsia" w:ascii="宋体" w:hAnsi="宋体" w:cs="宋体"/>
          <w:bCs/>
          <w:color w:val="auto"/>
          <w:sz w:val="22"/>
          <w:szCs w:val="22"/>
          <w:u w:val="single"/>
        </w:rPr>
        <w:t>（5）如果发生紧急情况，监理人认为将造成人员伤亡，或危及本工程或邻近的财产需立即采取行动，监理人有权在未征得发包人的批准的情况下发布处理紧急情况所必需的指令，承包人应予执行，由此造成的费用增加由监</w:t>
      </w:r>
      <w:r>
        <w:rPr>
          <w:rFonts w:hint="eastAsia" w:ascii="宋体" w:hAnsi="宋体" w:cs="宋体"/>
          <w:bCs/>
          <w:color w:val="auto"/>
          <w:sz w:val="22"/>
          <w:szCs w:val="22"/>
          <w:highlight w:val="none"/>
          <w:u w:val="single"/>
        </w:rPr>
        <w:t>理人按合同中的</w:t>
      </w:r>
      <w:r>
        <w:rPr>
          <w:rFonts w:hint="eastAsia" w:ascii="宋体" w:hAnsi="宋体" w:cs="宋体"/>
          <w:bCs/>
          <w:color w:val="auto"/>
          <w:sz w:val="22"/>
          <w:szCs w:val="22"/>
          <w:u w:val="single"/>
        </w:rPr>
        <w:t>其余条款商定或确定。</w:t>
      </w:r>
      <w:r>
        <w:rPr>
          <w:rFonts w:hint="eastAsia" w:ascii="宋体" w:hAnsi="宋体" w:cs="宋体"/>
          <w:color w:val="auto"/>
          <w:sz w:val="22"/>
          <w:szCs w:val="22"/>
        </w:rPr>
        <w:t xml:space="preserve"> </w:t>
      </w:r>
    </w:p>
    <w:p w14:paraId="1C9D54FA">
      <w:pPr>
        <w:pStyle w:val="40"/>
        <w:spacing w:line="360" w:lineRule="exact"/>
        <w:ind w:firstLine="440" w:firstLineChars="200"/>
        <w:rPr>
          <w:rFonts w:hint="eastAsia" w:ascii="宋体" w:hAnsi="宋体" w:cs="宋体"/>
          <w:color w:val="auto"/>
          <w:sz w:val="22"/>
          <w:u w:val="single"/>
        </w:rPr>
      </w:pPr>
      <w:r>
        <w:rPr>
          <w:rFonts w:hint="eastAsia" w:ascii="宋体" w:hAnsi="宋体" w:cs="宋体"/>
          <w:color w:val="auto"/>
          <w:sz w:val="22"/>
        </w:rPr>
        <w:t>关于监理人在施工现场的办公场所、生活场所的提供和费用承担的约定：</w:t>
      </w:r>
      <w:r>
        <w:rPr>
          <w:rFonts w:hint="eastAsia" w:ascii="宋体" w:hAnsi="宋体" w:cs="宋体"/>
          <w:color w:val="auto"/>
          <w:sz w:val="22"/>
          <w:u w:val="single"/>
        </w:rPr>
        <w:t xml:space="preserve">承包人免费提供 </w:t>
      </w:r>
      <w:r>
        <w:rPr>
          <w:rFonts w:hint="eastAsia" w:ascii="宋体" w:hAnsi="宋体" w:cs="宋体"/>
          <w:color w:val="auto"/>
          <w:sz w:val="22"/>
        </w:rPr>
        <w:t>。</w:t>
      </w:r>
    </w:p>
    <w:p w14:paraId="0D56A290">
      <w:pPr>
        <w:pStyle w:val="39"/>
        <w:spacing w:line="360" w:lineRule="exact"/>
        <w:ind w:firstLine="442" w:firstLineChars="200"/>
        <w:rPr>
          <w:rFonts w:hint="eastAsia" w:ascii="宋体" w:hAnsi="宋体" w:cs="宋体"/>
          <w:color w:val="auto"/>
          <w:sz w:val="22"/>
          <w:szCs w:val="22"/>
        </w:rPr>
      </w:pPr>
      <w:bookmarkStart w:id="347" w:name="_Toc395382517"/>
      <w:bookmarkStart w:id="348" w:name="_Toc12975905"/>
      <w:bookmarkStart w:id="349" w:name="_Toc533432740"/>
      <w:bookmarkStart w:id="350" w:name="_Toc373478362"/>
      <w:bookmarkStart w:id="351" w:name="_Toc373227715"/>
      <w:bookmarkStart w:id="352" w:name="_Toc389065281"/>
      <w:r>
        <w:rPr>
          <w:rFonts w:hint="eastAsia" w:ascii="宋体" w:hAnsi="宋体" w:cs="宋体"/>
          <w:color w:val="auto"/>
          <w:sz w:val="22"/>
          <w:szCs w:val="22"/>
        </w:rPr>
        <w:t>4.2 监理人员</w:t>
      </w:r>
      <w:bookmarkEnd w:id="347"/>
      <w:bookmarkEnd w:id="348"/>
      <w:bookmarkEnd w:id="349"/>
      <w:bookmarkEnd w:id="350"/>
      <w:bookmarkEnd w:id="351"/>
      <w:bookmarkEnd w:id="352"/>
    </w:p>
    <w:p w14:paraId="6396C137">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总监理工程师：</w:t>
      </w:r>
    </w:p>
    <w:p w14:paraId="6EC42F9A">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姓    名：</w:t>
      </w:r>
      <w:r>
        <w:rPr>
          <w:rFonts w:hint="eastAsia" w:ascii="宋体" w:hAnsi="宋体" w:cs="宋体"/>
          <w:color w:val="auto"/>
          <w:sz w:val="22"/>
          <w:u w:val="single"/>
        </w:rPr>
        <w:t>   </w:t>
      </w:r>
      <w:r>
        <w:rPr>
          <w:rFonts w:hint="eastAsia" w:ascii="宋体" w:hAnsi="宋体" w:cs="宋体"/>
          <w:color w:val="auto"/>
          <w:sz w:val="22"/>
        </w:rPr>
        <w:t>；</w:t>
      </w:r>
    </w:p>
    <w:p w14:paraId="19CD8169">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职    务：</w:t>
      </w:r>
      <w:r>
        <w:rPr>
          <w:rFonts w:hint="eastAsia" w:ascii="宋体" w:hAnsi="宋体" w:cs="宋体"/>
          <w:color w:val="auto"/>
          <w:sz w:val="22"/>
          <w:u w:val="single"/>
        </w:rPr>
        <w:t>   </w:t>
      </w:r>
      <w:r>
        <w:rPr>
          <w:rFonts w:hint="eastAsia" w:ascii="宋体" w:hAnsi="宋体" w:cs="宋体"/>
          <w:color w:val="auto"/>
          <w:sz w:val="22"/>
        </w:rPr>
        <w:t>；</w:t>
      </w:r>
    </w:p>
    <w:p w14:paraId="76ACD98C">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监理工程师执业资格证书号：</w:t>
      </w:r>
      <w:r>
        <w:rPr>
          <w:rFonts w:hint="eastAsia" w:ascii="宋体" w:hAnsi="宋体" w:cs="宋体"/>
          <w:color w:val="auto"/>
          <w:sz w:val="22"/>
          <w:u w:val="single"/>
        </w:rPr>
        <w:t> </w:t>
      </w:r>
      <w:r>
        <w:rPr>
          <w:rFonts w:hint="eastAsia" w:ascii="宋体" w:hAnsi="宋体" w:cs="宋体"/>
          <w:color w:val="auto"/>
          <w:sz w:val="22"/>
        </w:rPr>
        <w:t>；</w:t>
      </w:r>
    </w:p>
    <w:p w14:paraId="718F982B">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广西建筑市场诚信卡卡号：</w:t>
      </w:r>
      <w:r>
        <w:rPr>
          <w:rFonts w:hint="eastAsia" w:ascii="宋体" w:hAnsi="宋体" w:cs="宋体"/>
          <w:color w:val="auto"/>
          <w:sz w:val="22"/>
          <w:u w:val="single"/>
        </w:rPr>
        <w:t xml:space="preserve">                 </w:t>
      </w:r>
      <w:r>
        <w:rPr>
          <w:rFonts w:hint="eastAsia" w:ascii="宋体" w:hAnsi="宋体" w:cs="宋体"/>
          <w:color w:val="auto"/>
          <w:sz w:val="22"/>
        </w:rPr>
        <w:t>；</w:t>
      </w:r>
    </w:p>
    <w:p w14:paraId="5ED23187">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联系电话：</w:t>
      </w:r>
      <w:r>
        <w:rPr>
          <w:rFonts w:hint="eastAsia" w:ascii="宋体" w:hAnsi="宋体" w:cs="宋体"/>
          <w:color w:val="auto"/>
          <w:sz w:val="22"/>
          <w:u w:val="single"/>
        </w:rPr>
        <w:t>   </w:t>
      </w:r>
      <w:r>
        <w:rPr>
          <w:rFonts w:hint="eastAsia" w:ascii="宋体" w:hAnsi="宋体" w:cs="宋体"/>
          <w:color w:val="auto"/>
          <w:sz w:val="22"/>
        </w:rPr>
        <w:t>；</w:t>
      </w:r>
    </w:p>
    <w:p w14:paraId="585D3CD7">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电子信箱：</w:t>
      </w:r>
      <w:r>
        <w:rPr>
          <w:rFonts w:hint="eastAsia" w:ascii="宋体" w:hAnsi="宋体" w:cs="宋体"/>
          <w:color w:val="auto"/>
          <w:sz w:val="22"/>
          <w:u w:val="single"/>
        </w:rPr>
        <w:t>   </w:t>
      </w:r>
      <w:r>
        <w:rPr>
          <w:rFonts w:hint="eastAsia" w:ascii="宋体" w:hAnsi="宋体" w:cs="宋体"/>
          <w:color w:val="auto"/>
          <w:sz w:val="22"/>
        </w:rPr>
        <w:t>；</w:t>
      </w:r>
    </w:p>
    <w:p w14:paraId="2BDD8C49">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通信地址：</w:t>
      </w:r>
      <w:r>
        <w:rPr>
          <w:rFonts w:hint="eastAsia" w:ascii="宋体" w:hAnsi="宋体" w:cs="宋体"/>
          <w:color w:val="auto"/>
          <w:sz w:val="22"/>
          <w:u w:val="single"/>
        </w:rPr>
        <w:t>   </w:t>
      </w:r>
      <w:r>
        <w:rPr>
          <w:rFonts w:hint="eastAsia" w:ascii="宋体" w:hAnsi="宋体" w:cs="宋体"/>
          <w:color w:val="auto"/>
          <w:sz w:val="22"/>
        </w:rPr>
        <w:t>；</w:t>
      </w:r>
    </w:p>
    <w:p w14:paraId="2A548442">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关于监理人的其他约定：</w:t>
      </w:r>
      <w:r>
        <w:rPr>
          <w:rFonts w:hint="eastAsia" w:ascii="宋体" w:hAnsi="宋体" w:cs="宋体"/>
          <w:color w:val="auto"/>
          <w:sz w:val="22"/>
          <w:u w:val="single"/>
        </w:rPr>
        <w:t>   </w:t>
      </w:r>
      <w:r>
        <w:rPr>
          <w:rFonts w:hint="eastAsia" w:ascii="宋体" w:hAnsi="宋体" w:cs="宋体"/>
          <w:color w:val="auto"/>
          <w:sz w:val="22"/>
        </w:rPr>
        <w:t>。</w:t>
      </w:r>
    </w:p>
    <w:p w14:paraId="26298AF5">
      <w:pPr>
        <w:pStyle w:val="39"/>
        <w:spacing w:line="360" w:lineRule="exact"/>
        <w:ind w:firstLine="442" w:firstLineChars="200"/>
        <w:rPr>
          <w:rFonts w:hint="eastAsia" w:ascii="宋体" w:hAnsi="宋体" w:cs="宋体"/>
          <w:color w:val="auto"/>
          <w:sz w:val="22"/>
          <w:szCs w:val="22"/>
        </w:rPr>
      </w:pPr>
      <w:bookmarkStart w:id="353" w:name="_Toc373478363"/>
      <w:bookmarkStart w:id="354" w:name="_Toc395382518"/>
      <w:bookmarkStart w:id="355" w:name="_Toc389065282"/>
      <w:bookmarkStart w:id="356" w:name="_Toc533432741"/>
      <w:bookmarkStart w:id="357" w:name="_Toc373227716"/>
      <w:bookmarkStart w:id="358" w:name="_Toc12975906"/>
      <w:r>
        <w:rPr>
          <w:rFonts w:hint="eastAsia" w:ascii="宋体" w:hAnsi="宋体" w:cs="宋体"/>
          <w:color w:val="auto"/>
          <w:sz w:val="22"/>
          <w:szCs w:val="22"/>
        </w:rPr>
        <w:t>4.4 商定或确定</w:t>
      </w:r>
      <w:bookmarkEnd w:id="353"/>
      <w:bookmarkEnd w:id="354"/>
      <w:bookmarkEnd w:id="355"/>
      <w:bookmarkEnd w:id="356"/>
      <w:bookmarkEnd w:id="357"/>
      <w:bookmarkEnd w:id="358"/>
    </w:p>
    <w:p w14:paraId="2180BDE3">
      <w:pPr>
        <w:pStyle w:val="40"/>
        <w:spacing w:line="360" w:lineRule="exact"/>
        <w:ind w:firstLine="440" w:firstLineChars="200"/>
        <w:rPr>
          <w:rFonts w:hint="eastAsia" w:ascii="宋体" w:hAnsi="宋体" w:cs="宋体"/>
          <w:color w:val="auto"/>
          <w:sz w:val="22"/>
        </w:rPr>
      </w:pPr>
      <w:bookmarkStart w:id="359" w:name="_Toc267251418"/>
      <w:r>
        <w:rPr>
          <w:rFonts w:hint="eastAsia" w:ascii="宋体" w:hAnsi="宋体" w:cs="宋体"/>
          <w:color w:val="auto"/>
          <w:sz w:val="22"/>
        </w:rPr>
        <w:t>在发包人和承包人不能通过协商达成一致意见时，发包人授权监理人对以下事项进行确定：</w:t>
      </w:r>
    </w:p>
    <w:p w14:paraId="2787190F">
      <w:pPr>
        <w:pStyle w:val="40"/>
        <w:autoSpaceDE w:val="0"/>
        <w:autoSpaceDN w:val="0"/>
        <w:adjustRightInd w:val="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kern w:val="0"/>
          <w:sz w:val="22"/>
        </w:rPr>
        <w:t>（1）</w:t>
      </w:r>
      <w:r>
        <w:rPr>
          <w:rFonts w:hint="eastAsia" w:ascii="宋体" w:hAnsi="宋体" w:cs="宋体"/>
          <w:color w:val="auto"/>
          <w:sz w:val="22"/>
          <w:u w:val="single"/>
        </w:rPr>
        <w:t xml:space="preserve"> </w:t>
      </w:r>
      <w:r>
        <w:rPr>
          <w:rFonts w:hint="eastAsia" w:ascii="宋体" w:hAnsi="宋体" w:cs="宋体"/>
          <w:color w:val="auto"/>
          <w:sz w:val="22"/>
          <w:u w:val="single"/>
          <w:lang w:val="en-US" w:eastAsia="zh-CN"/>
        </w:rPr>
        <w:t xml:space="preserve"> </w:t>
      </w:r>
      <w:r>
        <w:rPr>
          <w:rFonts w:hint="eastAsia" w:ascii="宋体" w:hAnsi="宋体" w:cs="宋体"/>
          <w:color w:val="auto"/>
          <w:sz w:val="22"/>
          <w:u w:val="single"/>
        </w:rPr>
        <w:t xml:space="preserve">无 </w:t>
      </w:r>
      <w:r>
        <w:rPr>
          <w:rFonts w:hint="eastAsia" w:ascii="宋体" w:hAnsi="宋体" w:cs="宋体"/>
          <w:color w:val="auto"/>
          <w:sz w:val="22"/>
          <w:u w:val="single"/>
          <w:lang w:val="en-US" w:eastAsia="zh-CN"/>
        </w:rPr>
        <w:t xml:space="preserve"> </w:t>
      </w:r>
      <w:r>
        <w:rPr>
          <w:rFonts w:hint="eastAsia" w:ascii="宋体" w:hAnsi="宋体" w:cs="宋体"/>
          <w:color w:val="auto"/>
          <w:sz w:val="22"/>
        </w:rPr>
        <w:t>；</w:t>
      </w:r>
    </w:p>
    <w:p w14:paraId="62152535">
      <w:pPr>
        <w:pStyle w:val="40"/>
        <w:autoSpaceDE w:val="0"/>
        <w:autoSpaceDN w:val="0"/>
        <w:adjustRightInd w:val="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kern w:val="0"/>
          <w:sz w:val="22"/>
        </w:rPr>
        <w:t>（2）</w:t>
      </w:r>
      <w:r>
        <w:rPr>
          <w:rFonts w:hint="eastAsia" w:ascii="宋体" w:hAnsi="宋体" w:cs="宋体"/>
          <w:color w:val="auto"/>
          <w:sz w:val="22"/>
          <w:u w:val="single"/>
        </w:rPr>
        <w:t xml:space="preserve"> </w:t>
      </w:r>
      <w:r>
        <w:rPr>
          <w:rFonts w:hint="eastAsia" w:ascii="宋体" w:hAnsi="宋体" w:cs="宋体"/>
          <w:color w:val="auto"/>
          <w:sz w:val="22"/>
          <w:u w:val="single"/>
          <w:lang w:val="en-US" w:eastAsia="zh-CN"/>
        </w:rPr>
        <w:t xml:space="preserve"> </w:t>
      </w:r>
      <w:r>
        <w:rPr>
          <w:rFonts w:hint="eastAsia" w:ascii="宋体" w:hAnsi="宋体" w:cs="宋体"/>
          <w:color w:val="auto"/>
          <w:sz w:val="22"/>
          <w:u w:val="single"/>
        </w:rPr>
        <w:t xml:space="preserve">无 </w:t>
      </w:r>
      <w:r>
        <w:rPr>
          <w:rFonts w:hint="eastAsia" w:ascii="宋体" w:hAnsi="宋体" w:cs="宋体"/>
          <w:color w:val="auto"/>
          <w:sz w:val="22"/>
          <w:u w:val="single"/>
          <w:lang w:val="en-US" w:eastAsia="zh-CN"/>
        </w:rPr>
        <w:t xml:space="preserve"> </w:t>
      </w:r>
      <w:r>
        <w:rPr>
          <w:rFonts w:hint="eastAsia" w:ascii="宋体" w:hAnsi="宋体" w:cs="宋体"/>
          <w:color w:val="auto"/>
          <w:sz w:val="22"/>
        </w:rPr>
        <w:t>；</w:t>
      </w:r>
    </w:p>
    <w:p w14:paraId="6EB884EF">
      <w:pPr>
        <w:pStyle w:val="40"/>
        <w:autoSpaceDE w:val="0"/>
        <w:autoSpaceDN w:val="0"/>
        <w:adjustRightInd w:val="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kern w:val="0"/>
          <w:sz w:val="22"/>
        </w:rPr>
        <w:t>（3）</w:t>
      </w:r>
      <w:r>
        <w:rPr>
          <w:rFonts w:hint="eastAsia" w:ascii="宋体" w:hAnsi="宋体" w:cs="宋体"/>
          <w:color w:val="auto"/>
          <w:sz w:val="22"/>
          <w:u w:val="single"/>
        </w:rPr>
        <w:t xml:space="preserve"> </w:t>
      </w:r>
      <w:r>
        <w:rPr>
          <w:rFonts w:hint="eastAsia" w:ascii="宋体" w:hAnsi="宋体" w:cs="宋体"/>
          <w:color w:val="auto"/>
          <w:sz w:val="22"/>
          <w:u w:val="single"/>
          <w:lang w:val="en-US" w:eastAsia="zh-CN"/>
        </w:rPr>
        <w:t xml:space="preserve"> </w:t>
      </w:r>
      <w:r>
        <w:rPr>
          <w:rFonts w:hint="eastAsia" w:ascii="宋体" w:hAnsi="宋体" w:cs="宋体"/>
          <w:color w:val="auto"/>
          <w:sz w:val="22"/>
          <w:u w:val="single"/>
        </w:rPr>
        <w:t xml:space="preserve">无 </w:t>
      </w:r>
      <w:r>
        <w:rPr>
          <w:rFonts w:hint="eastAsia" w:ascii="宋体" w:hAnsi="宋体" w:cs="宋体"/>
          <w:color w:val="auto"/>
          <w:sz w:val="22"/>
          <w:u w:val="single"/>
          <w:lang w:val="en-US" w:eastAsia="zh-CN"/>
        </w:rPr>
        <w:t xml:space="preserve"> </w:t>
      </w:r>
      <w:r>
        <w:rPr>
          <w:rFonts w:hint="eastAsia" w:ascii="宋体" w:hAnsi="宋体" w:cs="宋体"/>
          <w:color w:val="auto"/>
          <w:sz w:val="22"/>
        </w:rPr>
        <w:t>。</w:t>
      </w:r>
    </w:p>
    <w:p w14:paraId="6C9AF4C6">
      <w:pPr>
        <w:pStyle w:val="70"/>
        <w:spacing w:before="0" w:after="0" w:line="360" w:lineRule="exact"/>
        <w:ind w:firstLine="442" w:firstLineChars="200"/>
        <w:rPr>
          <w:rFonts w:hint="eastAsia" w:ascii="宋体" w:hAnsi="宋体" w:cs="宋体"/>
          <w:color w:val="auto"/>
          <w:sz w:val="22"/>
          <w:szCs w:val="22"/>
        </w:rPr>
      </w:pPr>
      <w:bookmarkStart w:id="360" w:name="_Toc373478364"/>
      <w:bookmarkStart w:id="361" w:name="_Toc373227717"/>
      <w:bookmarkStart w:id="362" w:name="_Toc351203637"/>
      <w:bookmarkStart w:id="363" w:name="_Toc389065283"/>
      <w:bookmarkStart w:id="364" w:name="_Toc395382519"/>
      <w:bookmarkStart w:id="365" w:name="_Toc12975907"/>
      <w:bookmarkStart w:id="366" w:name="_Toc533432742"/>
      <w:r>
        <w:rPr>
          <w:rFonts w:hint="eastAsia" w:ascii="宋体" w:hAnsi="宋体" w:cs="宋体"/>
          <w:color w:val="auto"/>
          <w:sz w:val="22"/>
          <w:szCs w:val="22"/>
        </w:rPr>
        <w:t>5</w:t>
      </w:r>
      <w:bookmarkEnd w:id="359"/>
      <w:bookmarkStart w:id="367" w:name="_Toc297048349"/>
      <w:bookmarkStart w:id="368" w:name="_Toc297120463"/>
      <w:bookmarkStart w:id="369" w:name="_Toc292559872"/>
      <w:bookmarkStart w:id="370" w:name="_Toc296347162"/>
      <w:bookmarkStart w:id="371" w:name="_Toc296890991"/>
      <w:bookmarkStart w:id="372" w:name="_Toc292559367"/>
      <w:bookmarkStart w:id="373" w:name="_Toc296503163"/>
      <w:bookmarkStart w:id="374" w:name="_Toc296346664"/>
      <w:bookmarkStart w:id="375" w:name="_Toc296891203"/>
      <w:bookmarkStart w:id="376" w:name="_Toc296944502"/>
      <w:r>
        <w:rPr>
          <w:rFonts w:hint="eastAsia" w:ascii="宋体" w:hAnsi="宋体" w:cs="宋体"/>
          <w:color w:val="auto"/>
          <w:sz w:val="22"/>
          <w:szCs w:val="22"/>
        </w:rPr>
        <w:t>. 工程质量</w:t>
      </w:r>
      <w:bookmarkEnd w:id="360"/>
      <w:bookmarkEnd w:id="361"/>
      <w:bookmarkEnd w:id="362"/>
      <w:bookmarkEnd w:id="363"/>
      <w:bookmarkEnd w:id="364"/>
      <w:bookmarkEnd w:id="365"/>
      <w:bookmarkEnd w:id="366"/>
    </w:p>
    <w:p w14:paraId="02A58D11">
      <w:pPr>
        <w:pStyle w:val="39"/>
        <w:spacing w:line="360" w:lineRule="exact"/>
        <w:ind w:firstLine="442" w:firstLineChars="200"/>
        <w:rPr>
          <w:rFonts w:hint="eastAsia" w:ascii="宋体" w:hAnsi="宋体" w:cs="宋体"/>
          <w:color w:val="auto"/>
          <w:sz w:val="22"/>
          <w:szCs w:val="22"/>
        </w:rPr>
      </w:pPr>
      <w:bookmarkStart w:id="377" w:name="_Toc395382520"/>
      <w:bookmarkStart w:id="378" w:name="_Toc373478365"/>
      <w:bookmarkStart w:id="379" w:name="_Toc12975908"/>
      <w:bookmarkStart w:id="380" w:name="_Toc389065284"/>
      <w:bookmarkStart w:id="381" w:name="_Toc373227718"/>
      <w:bookmarkStart w:id="382" w:name="_Toc533432743"/>
      <w:r>
        <w:rPr>
          <w:rFonts w:hint="eastAsia" w:ascii="宋体" w:hAnsi="宋体" w:cs="宋体"/>
          <w:color w:val="auto"/>
          <w:sz w:val="22"/>
          <w:szCs w:val="22"/>
        </w:rPr>
        <w:t>5.1 质量要求</w:t>
      </w:r>
      <w:bookmarkEnd w:id="377"/>
      <w:bookmarkEnd w:id="378"/>
      <w:bookmarkEnd w:id="379"/>
      <w:bookmarkEnd w:id="380"/>
      <w:bookmarkEnd w:id="381"/>
      <w:bookmarkEnd w:id="382"/>
    </w:p>
    <w:p w14:paraId="4CEAB656">
      <w:pPr>
        <w:pStyle w:val="4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sz w:val="22"/>
        </w:rPr>
        <w:t>5</w:t>
      </w:r>
      <w:bookmarkStart w:id="383" w:name="_Toc304295527"/>
      <w:bookmarkStart w:id="384" w:name="_Toc297216155"/>
      <w:bookmarkStart w:id="385" w:name="_Toc300934949"/>
      <w:bookmarkStart w:id="386" w:name="_Toc318581164"/>
      <w:bookmarkStart w:id="387" w:name="_Toc312677997"/>
      <w:bookmarkStart w:id="388" w:name="_Toc297123496"/>
      <w:bookmarkStart w:id="389" w:name="_Toc303539106"/>
      <w:r>
        <w:rPr>
          <w:rFonts w:hint="eastAsia" w:ascii="宋体" w:hAnsi="宋体" w:cs="宋体"/>
          <w:color w:val="auto"/>
          <w:sz w:val="22"/>
        </w:rPr>
        <w:t>.1.1 特殊质量标准和要求：</w:t>
      </w:r>
      <w:r>
        <w:rPr>
          <w:rFonts w:hint="eastAsia" w:ascii="宋体" w:hAnsi="宋体" w:cs="宋体"/>
          <w:color w:val="auto"/>
          <w:sz w:val="22"/>
          <w:u w:val="single"/>
        </w:rPr>
        <w:t xml:space="preserve">   合格  </w:t>
      </w:r>
      <w:r>
        <w:rPr>
          <w:rFonts w:hint="eastAsia" w:ascii="宋体" w:hAnsi="宋体" w:cs="宋体"/>
          <w:color w:val="auto"/>
          <w:sz w:val="22"/>
        </w:rPr>
        <w:t>。</w:t>
      </w:r>
    </w:p>
    <w:p w14:paraId="0307B736">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关于工程奖项的约定：</w:t>
      </w:r>
      <w:r>
        <w:rPr>
          <w:rFonts w:hint="eastAsia" w:ascii="宋体" w:hAnsi="宋体" w:cs="宋体"/>
          <w:color w:val="auto"/>
          <w:sz w:val="22"/>
          <w:u w:val="single"/>
        </w:rPr>
        <w:t xml:space="preserve"> </w:t>
      </w:r>
      <w:r>
        <w:rPr>
          <w:rFonts w:hint="eastAsia" w:ascii="宋体" w:hAnsi="宋体" w:cs="宋体"/>
          <w:color w:val="auto"/>
          <w:sz w:val="22"/>
          <w:u w:val="single"/>
          <w:lang w:val="en-US" w:eastAsia="zh-CN"/>
        </w:rPr>
        <w:t xml:space="preserve"> </w:t>
      </w:r>
      <w:r>
        <w:rPr>
          <w:rFonts w:hint="eastAsia" w:ascii="宋体" w:hAnsi="宋体" w:cs="宋体"/>
          <w:color w:val="auto"/>
          <w:sz w:val="22"/>
          <w:u w:val="single"/>
        </w:rPr>
        <w:t xml:space="preserve">无 </w:t>
      </w:r>
      <w:r>
        <w:rPr>
          <w:rFonts w:hint="eastAsia" w:ascii="宋体" w:hAnsi="宋体" w:cs="宋体"/>
          <w:color w:val="auto"/>
          <w:sz w:val="22"/>
          <w:u w:val="single"/>
          <w:lang w:val="en-US" w:eastAsia="zh-CN"/>
        </w:rPr>
        <w:t xml:space="preserve"> </w:t>
      </w:r>
      <w:r>
        <w:rPr>
          <w:rFonts w:hint="eastAsia" w:ascii="宋体" w:hAnsi="宋体" w:cs="宋体"/>
          <w:color w:val="auto"/>
          <w:sz w:val="22"/>
        </w:rPr>
        <w:t>。</w:t>
      </w:r>
    </w:p>
    <w:p w14:paraId="5BBAE796">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5.1.3因承包人原因造成工程质量未达到合同约定标准的，发包人有权要求承包人返工直至工程质量达到合同约定的标准为止，并由承包人承担由此增加的费用和（或）延误的工期。承包人必须在发包人规定的合理时间内完成，否则发包人有权扣罚该分项工程10%的工程款作为处罚。</w:t>
      </w:r>
    </w:p>
    <w:p w14:paraId="0152C111">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5.3 隐蔽工程检查</w:t>
      </w:r>
    </w:p>
    <w:p w14:paraId="75D5786D">
      <w:pPr>
        <w:pStyle w:val="4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sz w:val="22"/>
        </w:rPr>
        <w:t>5.3.2承包人提前通知监理人隐蔽工程检查的期限的约定：</w:t>
      </w:r>
      <w:r>
        <w:rPr>
          <w:rFonts w:hint="eastAsia" w:ascii="宋体" w:hAnsi="宋体" w:cs="宋体"/>
          <w:bCs/>
          <w:color w:val="auto"/>
          <w:sz w:val="22"/>
        </w:rPr>
        <w:t>工程隐蔽或中间验</w:t>
      </w:r>
      <w:r>
        <w:rPr>
          <w:rFonts w:hint="eastAsia" w:ascii="宋体" w:hAnsi="宋体" w:cs="宋体"/>
          <w:bCs/>
          <w:color w:val="auto"/>
          <w:sz w:val="22"/>
          <w:highlight w:val="none"/>
        </w:rPr>
        <w:t>收前</w:t>
      </w:r>
      <w:r>
        <w:rPr>
          <w:rFonts w:hint="eastAsia" w:ascii="宋体" w:hAnsi="宋体" w:cs="宋体"/>
          <w:bCs/>
          <w:color w:val="auto"/>
          <w:sz w:val="22"/>
          <w:highlight w:val="none"/>
          <w:lang w:val="en-US" w:eastAsia="zh-CN"/>
        </w:rPr>
        <w:t>24</w:t>
      </w:r>
      <w:r>
        <w:rPr>
          <w:rFonts w:hint="eastAsia" w:ascii="宋体" w:hAnsi="宋体" w:cs="宋体"/>
          <w:bCs/>
          <w:color w:val="auto"/>
          <w:sz w:val="22"/>
          <w:highlight w:val="none"/>
        </w:rPr>
        <w:t>小时</w:t>
      </w:r>
      <w:r>
        <w:rPr>
          <w:rFonts w:hint="eastAsia" w:ascii="宋体" w:hAnsi="宋体" w:cs="宋体"/>
          <w:bCs/>
          <w:color w:val="auto"/>
          <w:sz w:val="22"/>
        </w:rPr>
        <w:t>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06EBD60E">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监理人不能按时进行检查时，应提前</w:t>
      </w:r>
      <w:r>
        <w:rPr>
          <w:rFonts w:hint="eastAsia" w:ascii="宋体" w:hAnsi="宋体" w:cs="宋体"/>
          <w:color w:val="auto"/>
          <w:sz w:val="22"/>
          <w:u w:val="single"/>
        </w:rPr>
        <w:t xml:space="preserve"> 12 </w:t>
      </w:r>
      <w:r>
        <w:rPr>
          <w:rFonts w:hint="eastAsia" w:ascii="宋体" w:hAnsi="宋体" w:cs="宋体"/>
          <w:color w:val="auto"/>
          <w:sz w:val="22"/>
        </w:rPr>
        <w:t>小时提交书面延期要求。</w:t>
      </w:r>
    </w:p>
    <w:p w14:paraId="11AD6B5A">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关于延期最长不得超过：</w:t>
      </w:r>
      <w:r>
        <w:rPr>
          <w:rFonts w:hint="eastAsia" w:ascii="宋体" w:hAnsi="宋体" w:cs="宋体"/>
          <w:color w:val="auto"/>
          <w:sz w:val="22"/>
          <w:u w:val="single"/>
        </w:rPr>
        <w:t xml:space="preserve">  24  </w:t>
      </w:r>
      <w:r>
        <w:rPr>
          <w:rFonts w:hint="eastAsia" w:ascii="宋体" w:hAnsi="宋体" w:cs="宋体"/>
          <w:color w:val="auto"/>
          <w:sz w:val="22"/>
        </w:rPr>
        <w:t>小时。</w:t>
      </w:r>
    </w:p>
    <w:p w14:paraId="5B3CD6C1">
      <w:pPr>
        <w:pStyle w:val="40"/>
        <w:spacing w:line="360" w:lineRule="exact"/>
        <w:ind w:firstLine="440" w:firstLineChars="200"/>
        <w:jc w:val="left"/>
        <w:rPr>
          <w:rFonts w:hint="eastAsia" w:ascii="宋体" w:hAnsi="宋体" w:cs="宋体"/>
          <w:color w:val="auto"/>
          <w:sz w:val="22"/>
        </w:rPr>
      </w:pPr>
    </w:p>
    <w:p w14:paraId="0B45B0CF">
      <w:pPr>
        <w:pStyle w:val="70"/>
        <w:spacing w:before="0" w:after="0" w:line="360" w:lineRule="exact"/>
        <w:ind w:firstLine="442" w:firstLineChars="200"/>
        <w:rPr>
          <w:rFonts w:hint="eastAsia" w:ascii="宋体" w:hAnsi="宋体" w:cs="宋体"/>
          <w:color w:val="auto"/>
          <w:sz w:val="22"/>
          <w:szCs w:val="22"/>
        </w:rPr>
      </w:pPr>
      <w:bookmarkStart w:id="390" w:name="_Toc373478366"/>
      <w:bookmarkStart w:id="391" w:name="_Toc351203638"/>
      <w:bookmarkStart w:id="392" w:name="_Toc533432744"/>
      <w:bookmarkStart w:id="393" w:name="_Toc12975909"/>
      <w:bookmarkStart w:id="394" w:name="_Toc373227719"/>
      <w:bookmarkStart w:id="395" w:name="_Toc389065285"/>
      <w:bookmarkStart w:id="396" w:name="_Toc395382521"/>
      <w:r>
        <w:rPr>
          <w:rFonts w:hint="eastAsia" w:ascii="宋体" w:hAnsi="宋体" w:cs="宋体"/>
          <w:color w:val="auto"/>
          <w:sz w:val="22"/>
          <w:szCs w:val="22"/>
        </w:rPr>
        <w:t>6. 安全文明施工与环境保护</w:t>
      </w:r>
      <w:bookmarkEnd w:id="390"/>
      <w:bookmarkEnd w:id="391"/>
      <w:bookmarkEnd w:id="392"/>
      <w:bookmarkEnd w:id="393"/>
      <w:bookmarkEnd w:id="394"/>
      <w:bookmarkEnd w:id="395"/>
      <w:bookmarkEnd w:id="396"/>
    </w:p>
    <w:p w14:paraId="143598E3">
      <w:pPr>
        <w:pStyle w:val="39"/>
        <w:spacing w:line="360" w:lineRule="exact"/>
        <w:ind w:firstLine="442" w:firstLineChars="200"/>
        <w:rPr>
          <w:rFonts w:hint="eastAsia" w:ascii="宋体" w:hAnsi="宋体" w:cs="宋体"/>
          <w:color w:val="auto"/>
          <w:sz w:val="22"/>
          <w:szCs w:val="22"/>
        </w:rPr>
      </w:pPr>
      <w:bookmarkStart w:id="397" w:name="_Toc533432745"/>
      <w:bookmarkStart w:id="398" w:name="_Toc12975910"/>
      <w:bookmarkStart w:id="399" w:name="_Toc389065286"/>
      <w:bookmarkStart w:id="400" w:name="_Toc373478367"/>
      <w:bookmarkStart w:id="401" w:name="_Toc395382522"/>
      <w:bookmarkStart w:id="402" w:name="_Toc373227720"/>
      <w:r>
        <w:rPr>
          <w:rFonts w:hint="eastAsia" w:ascii="宋体" w:hAnsi="宋体" w:cs="宋体"/>
          <w:color w:val="auto"/>
          <w:sz w:val="22"/>
          <w:szCs w:val="22"/>
        </w:rPr>
        <w:t>6.1 安全文明施工</w:t>
      </w:r>
      <w:bookmarkEnd w:id="397"/>
      <w:bookmarkEnd w:id="398"/>
      <w:bookmarkEnd w:id="399"/>
      <w:bookmarkEnd w:id="400"/>
      <w:bookmarkEnd w:id="401"/>
      <w:bookmarkEnd w:id="402"/>
    </w:p>
    <w:p w14:paraId="124B29A1">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6.1.1 项目安全生产的达标目标及相应事项的约定：</w:t>
      </w:r>
      <w:r>
        <w:rPr>
          <w:rFonts w:hint="eastAsia" w:ascii="宋体" w:hAnsi="宋体" w:cs="宋体"/>
          <w:color w:val="auto"/>
          <w:sz w:val="22"/>
          <w:u w:val="single"/>
        </w:rPr>
        <w:t>要求达到《建筑施工安全检查标准》（JGJ59-2011）的标准和符合《广西壮族自治区建设工程安全文明施工措施费及使用管理细则》（桂建质安</w:t>
      </w:r>
      <w:r>
        <w:rPr>
          <w:rFonts w:hint="eastAsia" w:ascii="宋体" w:hAnsi="宋体" w:cs="宋体"/>
          <w:color w:val="auto"/>
          <w:sz w:val="22"/>
          <w:u w:val="single"/>
          <w:lang w:eastAsia="zh-CN"/>
        </w:rPr>
        <w:t>〔2015〕16号</w:t>
      </w:r>
      <w:r>
        <w:rPr>
          <w:rFonts w:hint="eastAsia" w:ascii="宋体" w:hAnsi="宋体" w:cs="宋体"/>
          <w:color w:val="auto"/>
          <w:sz w:val="22"/>
          <w:u w:val="single"/>
        </w:rPr>
        <w:t xml:space="preserve">文）的要求 </w:t>
      </w:r>
      <w:r>
        <w:rPr>
          <w:rFonts w:hint="eastAsia" w:ascii="宋体" w:hAnsi="宋体" w:cs="宋体"/>
          <w:color w:val="auto"/>
          <w:sz w:val="22"/>
        </w:rPr>
        <w:t>。</w:t>
      </w:r>
    </w:p>
    <w:p w14:paraId="76EA47AC">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关于安全文明施工奖项的约定：</w:t>
      </w:r>
      <w:r>
        <w:rPr>
          <w:rFonts w:hint="eastAsia" w:ascii="宋体" w:hAnsi="宋体" w:cs="宋体"/>
          <w:color w:val="auto"/>
          <w:sz w:val="22"/>
          <w:u w:val="single"/>
        </w:rPr>
        <w:t xml:space="preserve">  无 </w:t>
      </w:r>
      <w:r>
        <w:rPr>
          <w:rFonts w:hint="eastAsia" w:ascii="宋体" w:hAnsi="宋体" w:cs="宋体"/>
          <w:color w:val="auto"/>
          <w:sz w:val="22"/>
        </w:rPr>
        <w:t>。</w:t>
      </w:r>
    </w:p>
    <w:p w14:paraId="1DFFE3BD">
      <w:pPr>
        <w:pStyle w:val="4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sz w:val="22"/>
        </w:rPr>
        <w:t>6.1.4 关于治安保卫的特别约定：</w:t>
      </w:r>
      <w:r>
        <w:rPr>
          <w:rFonts w:hint="eastAsia" w:ascii="宋体" w:hAnsi="宋体" w:cs="宋体"/>
          <w:color w:val="auto"/>
          <w:sz w:val="22"/>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6C49B363">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关于编制施工场地治安管理计划的约定：</w:t>
      </w:r>
      <w:r>
        <w:rPr>
          <w:rFonts w:hint="eastAsia" w:ascii="宋体" w:hAnsi="宋体" w:cs="宋体"/>
          <w:color w:val="auto"/>
          <w:sz w:val="22"/>
          <w:u w:val="single"/>
        </w:rPr>
        <w:t xml:space="preserve">  开工前3天提供  </w:t>
      </w:r>
      <w:r>
        <w:rPr>
          <w:rFonts w:hint="eastAsia" w:ascii="宋体" w:hAnsi="宋体" w:cs="宋体"/>
          <w:color w:val="auto"/>
          <w:sz w:val="22"/>
        </w:rPr>
        <w:t>。</w:t>
      </w:r>
    </w:p>
    <w:p w14:paraId="678C1CC7">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6.1.5 文明施工</w:t>
      </w:r>
    </w:p>
    <w:p w14:paraId="1C43A5DC">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合同当事人对文明施工的要求：</w:t>
      </w:r>
      <w:r>
        <w:rPr>
          <w:rFonts w:hint="eastAsia" w:ascii="宋体" w:hAnsi="宋体" w:cs="宋体"/>
          <w:color w:val="auto"/>
          <w:sz w:val="22"/>
          <w:u w:val="single"/>
        </w:rPr>
        <w:t>要求达到《建筑施工现场环境与卫生标准》（JGJ146-20</w:t>
      </w:r>
      <w:r>
        <w:rPr>
          <w:rFonts w:hint="eastAsia" w:ascii="宋体" w:hAnsi="宋体" w:cs="宋体"/>
          <w:color w:val="auto"/>
          <w:sz w:val="22"/>
          <w:u w:val="single"/>
          <w:lang w:val="en-US" w:eastAsia="zh-CN"/>
        </w:rPr>
        <w:t>13</w:t>
      </w:r>
      <w:r>
        <w:rPr>
          <w:rFonts w:hint="eastAsia" w:ascii="宋体" w:hAnsi="宋体" w:cs="宋体"/>
          <w:color w:val="auto"/>
          <w:sz w:val="22"/>
          <w:u w:val="single"/>
        </w:rPr>
        <w:t>）的标准和符合《广西壮族自治区建筑工程安全文明施工措施费及使用管理细则》（桂建质安</w:t>
      </w:r>
      <w:r>
        <w:rPr>
          <w:rFonts w:hint="eastAsia" w:ascii="宋体" w:hAnsi="宋体" w:cs="宋体"/>
          <w:color w:val="auto"/>
          <w:sz w:val="22"/>
          <w:u w:val="single"/>
          <w:lang w:eastAsia="zh-CN"/>
        </w:rPr>
        <w:t>〔2015〕16号</w:t>
      </w:r>
      <w:r>
        <w:rPr>
          <w:rFonts w:hint="eastAsia" w:ascii="宋体" w:hAnsi="宋体" w:cs="宋体"/>
          <w:color w:val="auto"/>
          <w:sz w:val="22"/>
          <w:u w:val="single"/>
        </w:rPr>
        <w:t xml:space="preserve">文）的要求 </w:t>
      </w:r>
      <w:r>
        <w:rPr>
          <w:rFonts w:hint="eastAsia" w:ascii="宋体" w:hAnsi="宋体" w:cs="宋体"/>
          <w:color w:val="auto"/>
          <w:sz w:val="22"/>
        </w:rPr>
        <w:t>。</w:t>
      </w:r>
    </w:p>
    <w:p w14:paraId="7E08C0FC">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6.1.6 关于安全文明施工费支付比例和支付期限的约定：</w:t>
      </w:r>
    </w:p>
    <w:p w14:paraId="3D5BA1B7">
      <w:pPr>
        <w:pStyle w:val="40"/>
        <w:autoSpaceDE w:val="0"/>
        <w:autoSpaceDN w:val="0"/>
        <w:adjustRightInd w:val="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kern w:val="0"/>
          <w:sz w:val="22"/>
        </w:rPr>
        <w:t>（1）本合同价款已包含安全文明施工费</w:t>
      </w:r>
      <w:r>
        <w:rPr>
          <w:rFonts w:hint="eastAsia" w:ascii="宋体" w:hAnsi="宋体" w:cs="宋体"/>
          <w:color w:val="auto"/>
          <w:kern w:val="0"/>
          <w:sz w:val="22"/>
          <w:u w:val="single"/>
          <w:lang w:val="en-US" w:eastAsia="zh-CN"/>
        </w:rPr>
        <w:t xml:space="preserve">       </w:t>
      </w:r>
      <w:r>
        <w:rPr>
          <w:rFonts w:hint="eastAsia" w:ascii="宋体" w:hAnsi="宋体" w:cs="宋体"/>
          <w:color w:val="auto"/>
          <w:kern w:val="0"/>
          <w:sz w:val="22"/>
        </w:rPr>
        <w:t>元。</w:t>
      </w:r>
    </w:p>
    <w:p w14:paraId="05D6A6C0">
      <w:pPr>
        <w:pStyle w:val="40"/>
        <w:autoSpaceDE w:val="0"/>
        <w:autoSpaceDN w:val="0"/>
        <w:adjustRightInd w:val="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kern w:val="0"/>
          <w:sz w:val="22"/>
        </w:rPr>
        <w:t>（2）使用要求：专款专用。具体按《广西壮族自治区建设工程安全文明施工措施费及管理细则》（桂建质〔2015〕16号）和</w:t>
      </w:r>
      <w:r>
        <w:rPr>
          <w:rFonts w:hint="eastAsia" w:ascii="宋体" w:hAnsi="宋体" w:cs="宋体"/>
          <w:color w:val="auto"/>
          <w:kern w:val="0"/>
          <w:sz w:val="22"/>
          <w:u w:val="single"/>
        </w:rPr>
        <w:t xml:space="preserve">   防城港  </w:t>
      </w:r>
      <w:r>
        <w:rPr>
          <w:rFonts w:hint="eastAsia" w:ascii="宋体" w:hAnsi="宋体" w:cs="宋体"/>
          <w:color w:val="auto"/>
          <w:kern w:val="0"/>
          <w:sz w:val="22"/>
        </w:rPr>
        <w:t>市相关规定执行。</w:t>
      </w:r>
    </w:p>
    <w:p w14:paraId="05A79D3D">
      <w:pPr>
        <w:pStyle w:val="60"/>
        <w:spacing w:line="360" w:lineRule="exact"/>
        <w:ind w:firstLine="440" w:firstLineChars="200"/>
        <w:rPr>
          <w:rFonts w:hint="eastAsia" w:ascii="宋体" w:hAnsi="宋体" w:cs="宋体"/>
          <w:color w:val="auto"/>
          <w:kern w:val="0"/>
          <w:sz w:val="22"/>
          <w:szCs w:val="22"/>
        </w:rPr>
      </w:pPr>
      <w:r>
        <w:rPr>
          <w:rFonts w:hint="eastAsia" w:ascii="宋体" w:hAnsi="宋体" w:cs="宋体"/>
          <w:color w:val="auto"/>
          <w:kern w:val="0"/>
          <w:sz w:val="22"/>
          <w:szCs w:val="22"/>
        </w:rPr>
        <w:t>（3）支付约定：</w:t>
      </w:r>
      <w:r>
        <w:rPr>
          <w:rFonts w:hint="eastAsia" w:ascii="宋体" w:hAnsi="宋体" w:cs="宋体"/>
          <w:color w:val="auto"/>
          <w:kern w:val="0"/>
          <w:sz w:val="22"/>
          <w:szCs w:val="22"/>
          <w:u w:val="single"/>
        </w:rPr>
        <w:t>安全文明施工费与进度款同期支付。（1）但如承包人某个时期的安全文明施工费投入不足或未达到磋商文件和合同要求的，发包人可根据承包人实际投入及履行情况扣除部分费用，此部分费用被扣除后承包人无权要求发包人再支付。（2）发包人如果认为有必要，可以要求承包人提供满足发包人要求的安全投入详细清单</w:t>
      </w:r>
      <w:r>
        <w:rPr>
          <w:rFonts w:hint="eastAsia" w:ascii="宋体" w:hAnsi="宋体" w:cs="宋体"/>
          <w:color w:val="auto"/>
          <w:kern w:val="0"/>
          <w:sz w:val="22"/>
          <w:szCs w:val="22"/>
        </w:rPr>
        <w:t>。</w:t>
      </w:r>
    </w:p>
    <w:p w14:paraId="73425F72">
      <w:pPr>
        <w:pStyle w:val="60"/>
        <w:autoSpaceDE w:val="0"/>
        <w:autoSpaceDN w:val="0"/>
        <w:adjustRightInd w:val="0"/>
        <w:spacing w:line="360" w:lineRule="exact"/>
        <w:ind w:firstLine="442" w:firstLineChars="200"/>
        <w:jc w:val="left"/>
        <w:rPr>
          <w:rFonts w:hint="eastAsia" w:ascii="宋体" w:hAnsi="宋体" w:cs="宋体"/>
          <w:b/>
          <w:color w:val="auto"/>
          <w:sz w:val="22"/>
          <w:szCs w:val="22"/>
        </w:rPr>
      </w:pPr>
      <w:r>
        <w:rPr>
          <w:rFonts w:hint="eastAsia" w:ascii="宋体" w:hAnsi="宋体" w:cs="宋体"/>
          <w:b/>
          <w:color w:val="auto"/>
          <w:sz w:val="22"/>
          <w:szCs w:val="22"/>
          <w:lang w:eastAsia="zh-CN"/>
        </w:rPr>
        <w:t>（1）</w:t>
      </w:r>
      <w:r>
        <w:rPr>
          <w:rFonts w:hint="eastAsia" w:ascii="宋体" w:hAnsi="宋体" w:cs="宋体"/>
          <w:b/>
          <w:color w:val="auto"/>
          <w:sz w:val="22"/>
          <w:szCs w:val="22"/>
        </w:rPr>
        <w:t>人员基本素质</w:t>
      </w:r>
    </w:p>
    <w:p w14:paraId="3E46DF22">
      <w:pPr>
        <w:pStyle w:val="60"/>
        <w:autoSpaceDE w:val="0"/>
        <w:autoSpaceDN w:val="0"/>
        <w:adjustRightInd w:val="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承包商应保证参与本工程人员的基本素质满足下列要求：</w:t>
      </w:r>
    </w:p>
    <w:p w14:paraId="2A0D61B0">
      <w:pPr>
        <w:pStyle w:val="60"/>
        <w:numPr>
          <w:ilvl w:val="0"/>
          <w:numId w:val="4"/>
        </w:numPr>
        <w:autoSpaceDE w:val="0"/>
        <w:autoSpaceDN w:val="0"/>
        <w:adjustRightInd w:val="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身体健康，无影响工作的残疾、无工作</w:t>
      </w:r>
      <w:r>
        <w:rPr>
          <w:rFonts w:hint="eastAsia" w:ascii="宋体" w:hAnsi="宋体" w:cs="宋体"/>
          <w:color w:val="auto"/>
          <w:sz w:val="22"/>
          <w:szCs w:val="22"/>
          <w:lang w:eastAsia="zh-CN"/>
        </w:rPr>
        <w:t>禁忌</w:t>
      </w:r>
      <w:r>
        <w:rPr>
          <w:rFonts w:hint="eastAsia" w:ascii="宋体" w:hAnsi="宋体" w:eastAsia="宋体" w:cs="宋体"/>
          <w:color w:val="auto"/>
          <w:sz w:val="22"/>
          <w:szCs w:val="22"/>
          <w:lang w:val="en-US" w:eastAsia="zh-CN"/>
        </w:rPr>
        <w:t>症</w:t>
      </w:r>
      <w:r>
        <w:rPr>
          <w:rFonts w:hint="eastAsia" w:ascii="宋体" w:hAnsi="宋体" w:eastAsia="宋体" w:cs="宋体"/>
          <w:color w:val="auto"/>
          <w:sz w:val="22"/>
          <w:szCs w:val="22"/>
        </w:rPr>
        <w:t>、</w:t>
      </w:r>
      <w:r>
        <w:rPr>
          <w:rFonts w:hint="eastAsia" w:ascii="宋体" w:hAnsi="宋体" w:cs="宋体"/>
          <w:color w:val="auto"/>
          <w:sz w:val="22"/>
          <w:szCs w:val="22"/>
        </w:rPr>
        <w:t>无传染病和其他重大疾病。</w:t>
      </w:r>
    </w:p>
    <w:p w14:paraId="3BE73212">
      <w:pPr>
        <w:pStyle w:val="60"/>
        <w:numPr>
          <w:ilvl w:val="0"/>
          <w:numId w:val="4"/>
        </w:numPr>
        <w:autoSpaceDE w:val="0"/>
        <w:autoSpaceDN w:val="0"/>
        <w:adjustRightInd w:val="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无刑事案件牵连。</w:t>
      </w:r>
    </w:p>
    <w:p w14:paraId="5BB6587B">
      <w:pPr>
        <w:pStyle w:val="60"/>
        <w:numPr>
          <w:ilvl w:val="0"/>
          <w:numId w:val="4"/>
        </w:numPr>
        <w:autoSpaceDE w:val="0"/>
        <w:autoSpaceDN w:val="0"/>
        <w:adjustRightInd w:val="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无吸毒、酗酒、赌博、嫖娼等恶习。</w:t>
      </w:r>
    </w:p>
    <w:p w14:paraId="7F38BE56">
      <w:pPr>
        <w:pStyle w:val="60"/>
        <w:numPr>
          <w:ilvl w:val="0"/>
          <w:numId w:val="4"/>
        </w:numPr>
        <w:autoSpaceDE w:val="0"/>
        <w:autoSpaceDN w:val="0"/>
        <w:adjustRightInd w:val="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文化程度（教育水平）或技能水平与所从事的工种相适应（说明主要工种的文化水平、技能水平要求）。</w:t>
      </w:r>
    </w:p>
    <w:p w14:paraId="0E588573">
      <w:pPr>
        <w:pStyle w:val="60"/>
        <w:numPr>
          <w:ilvl w:val="0"/>
          <w:numId w:val="4"/>
        </w:numPr>
        <w:autoSpaceDE w:val="0"/>
        <w:autoSpaceDN w:val="0"/>
        <w:adjustRightInd w:val="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工作经验（经历）与所从事的工种相适应（说明主要工种的工作经验/经历基本要求）</w:t>
      </w:r>
    </w:p>
    <w:p w14:paraId="0053957F">
      <w:pPr>
        <w:pStyle w:val="60"/>
        <w:autoSpaceDE w:val="0"/>
        <w:autoSpaceDN w:val="0"/>
        <w:adjustRightInd w:val="0"/>
        <w:spacing w:line="360" w:lineRule="exact"/>
        <w:ind w:firstLine="442" w:firstLineChars="200"/>
        <w:jc w:val="left"/>
        <w:rPr>
          <w:rFonts w:hint="eastAsia" w:ascii="宋体" w:hAnsi="宋体" w:cs="宋体"/>
          <w:b/>
          <w:color w:val="auto"/>
          <w:sz w:val="22"/>
          <w:szCs w:val="22"/>
        </w:rPr>
      </w:pPr>
      <w:r>
        <w:rPr>
          <w:rFonts w:hint="eastAsia" w:ascii="宋体" w:hAnsi="宋体" w:cs="宋体"/>
          <w:b/>
          <w:color w:val="auto"/>
          <w:sz w:val="22"/>
          <w:szCs w:val="22"/>
          <w:lang w:eastAsia="zh-CN"/>
        </w:rPr>
        <w:t>（2）</w:t>
      </w:r>
      <w:r>
        <w:rPr>
          <w:rFonts w:hint="eastAsia" w:ascii="宋体" w:hAnsi="宋体" w:cs="宋体"/>
          <w:b/>
          <w:color w:val="auto"/>
          <w:sz w:val="22"/>
          <w:szCs w:val="22"/>
        </w:rPr>
        <w:t>职业健康与卫生防疫</w:t>
      </w:r>
    </w:p>
    <w:p w14:paraId="4B88B372">
      <w:pPr>
        <w:pStyle w:val="60"/>
        <w:autoSpaceDE w:val="0"/>
        <w:autoSpaceDN w:val="0"/>
        <w:adjustRightInd w:val="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承包商应根据发包人要求提供以下文件：</w:t>
      </w:r>
    </w:p>
    <w:p w14:paraId="34DB7293">
      <w:pPr>
        <w:pStyle w:val="60"/>
        <w:numPr>
          <w:ilvl w:val="0"/>
          <w:numId w:val="5"/>
        </w:numPr>
        <w:autoSpaceDE w:val="0"/>
        <w:autoSpaceDN w:val="0"/>
        <w:adjustRightInd w:val="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承包商应有职工体检制度和健康推进计划，其中应包括工时控制、休息娱乐、体育活动方面的内容。</w:t>
      </w:r>
    </w:p>
    <w:p w14:paraId="6BE582EC">
      <w:pPr>
        <w:pStyle w:val="60"/>
        <w:numPr>
          <w:ilvl w:val="0"/>
          <w:numId w:val="5"/>
        </w:numPr>
        <w:autoSpaceDE w:val="0"/>
        <w:autoSpaceDN w:val="0"/>
        <w:adjustRightInd w:val="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承包商应有特殊健康检查制度，预防有</w:t>
      </w:r>
      <w:r>
        <w:rPr>
          <w:rFonts w:hint="eastAsia" w:ascii="宋体" w:hAnsi="宋体" w:cs="宋体"/>
          <w:color w:val="auto"/>
          <w:sz w:val="22"/>
          <w:szCs w:val="22"/>
          <w:lang w:eastAsia="zh-CN"/>
        </w:rPr>
        <w:t>禁忌证</w:t>
      </w:r>
      <w:r>
        <w:rPr>
          <w:rFonts w:hint="eastAsia" w:ascii="宋体" w:hAnsi="宋体" w:cs="宋体"/>
          <w:color w:val="auto"/>
          <w:sz w:val="22"/>
          <w:szCs w:val="22"/>
        </w:rPr>
        <w:t>患者从事有关职业，如恐高 症患者不得从事高处作业，患有心血管疾病的人员不得从事繁重的体力劳动，特殊工种人员的体检应符合国家的规定。</w:t>
      </w:r>
    </w:p>
    <w:p w14:paraId="0158E5DF">
      <w:pPr>
        <w:pStyle w:val="60"/>
        <w:numPr>
          <w:ilvl w:val="0"/>
          <w:numId w:val="5"/>
        </w:numPr>
        <w:autoSpaceDE w:val="0"/>
        <w:autoSpaceDN w:val="0"/>
        <w:adjustRightInd w:val="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承包商应建立卫生防疫措施计划，做好生活区和施工区的卫生防疫工作。有灭蚊、灭鼠和消毒的专项工作计划，有针对性地制订预防SARS、H1N1流感、禽流感、疟疾、霍乱、肠道传染病、肝炎等传染性疾病的措施，有确保饮水卫生、饮食卫生、环境卫生和预防集体食物中毒的措施。</w:t>
      </w:r>
    </w:p>
    <w:p w14:paraId="22D3DB45">
      <w:pPr>
        <w:pStyle w:val="60"/>
        <w:numPr>
          <w:ilvl w:val="0"/>
          <w:numId w:val="5"/>
        </w:numPr>
        <w:autoSpaceDE w:val="0"/>
        <w:autoSpaceDN w:val="0"/>
        <w:adjustRightInd w:val="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承包商应服从发包人卫生防疫部门的统一协调和管理。</w:t>
      </w:r>
    </w:p>
    <w:p w14:paraId="6D0980EC">
      <w:pPr>
        <w:pStyle w:val="60"/>
        <w:autoSpaceDE w:val="0"/>
        <w:autoSpaceDN w:val="0"/>
        <w:adjustRightInd w:val="0"/>
        <w:spacing w:line="360" w:lineRule="exact"/>
        <w:ind w:firstLine="442" w:firstLineChars="200"/>
        <w:jc w:val="left"/>
        <w:rPr>
          <w:rFonts w:hint="eastAsia" w:ascii="宋体" w:hAnsi="宋体" w:cs="宋体"/>
          <w:b/>
          <w:color w:val="auto"/>
          <w:sz w:val="22"/>
          <w:szCs w:val="22"/>
        </w:rPr>
      </w:pPr>
      <w:r>
        <w:rPr>
          <w:rFonts w:hint="eastAsia" w:ascii="宋体" w:hAnsi="宋体" w:cs="宋体"/>
          <w:b/>
          <w:color w:val="auto"/>
          <w:sz w:val="22"/>
          <w:szCs w:val="22"/>
          <w:lang w:eastAsia="zh-CN"/>
        </w:rPr>
        <w:t>（3）</w:t>
      </w:r>
      <w:r>
        <w:rPr>
          <w:rFonts w:hint="eastAsia" w:ascii="宋体" w:hAnsi="宋体" w:cs="宋体"/>
          <w:b/>
          <w:color w:val="auto"/>
          <w:sz w:val="22"/>
          <w:szCs w:val="22"/>
        </w:rPr>
        <w:t>交通、运输安全、环境管理</w:t>
      </w:r>
    </w:p>
    <w:p w14:paraId="7C7D93AA">
      <w:pPr>
        <w:pStyle w:val="60"/>
        <w:numPr>
          <w:ilvl w:val="0"/>
          <w:numId w:val="6"/>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承包商应充分考虑本工程的特点，采取科学的施工工艺和有效的安全防护措施，确保施工期间道路的畅通及安全。</w:t>
      </w:r>
    </w:p>
    <w:p w14:paraId="18E40D3F">
      <w:pPr>
        <w:pStyle w:val="60"/>
        <w:numPr>
          <w:ilvl w:val="0"/>
          <w:numId w:val="6"/>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上山道路的最小曲率半径不得小于15米；最大纵向坡度不得超过12％。</w:t>
      </w:r>
    </w:p>
    <w:p w14:paraId="11F85D73">
      <w:pPr>
        <w:pStyle w:val="60"/>
        <w:numPr>
          <w:ilvl w:val="0"/>
          <w:numId w:val="6"/>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双车道的路面宽度，应保证会车安全。陡长坡道的尽端弯道，不宜采用最小平曲线半径。弯道处会车视距若不能满足要求，则应分设车道。</w:t>
      </w:r>
    </w:p>
    <w:p w14:paraId="63380469">
      <w:pPr>
        <w:pStyle w:val="60"/>
        <w:numPr>
          <w:ilvl w:val="0"/>
          <w:numId w:val="6"/>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山坡填方的弯道、坡度较大的填方地段以及高堤路基路段外侧应设置护栏、挡车墙、挡车防护土坎、安全标志牌等。</w:t>
      </w:r>
    </w:p>
    <w:p w14:paraId="5A44C4FC">
      <w:pPr>
        <w:pStyle w:val="60"/>
        <w:numPr>
          <w:ilvl w:val="0"/>
          <w:numId w:val="6"/>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上山道路应经常维护，保持道路畅通；上山道路的排水系统经常维护，保持其有效可用。</w:t>
      </w:r>
    </w:p>
    <w:p w14:paraId="36C8892B">
      <w:pPr>
        <w:pStyle w:val="60"/>
        <w:numPr>
          <w:ilvl w:val="0"/>
          <w:numId w:val="6"/>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通向装卸地点道路的坡度大于10％时，禁止汽车倒车行驶。</w:t>
      </w:r>
    </w:p>
    <w:p w14:paraId="425896D0">
      <w:pPr>
        <w:pStyle w:val="60"/>
        <w:numPr>
          <w:ilvl w:val="0"/>
          <w:numId w:val="6"/>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驾驶员必须严格执行</w:t>
      </w:r>
      <w:r>
        <w:rPr>
          <w:rFonts w:hint="eastAsia" w:ascii="宋体" w:hAnsi="宋体" w:cs="宋体"/>
          <w:color w:val="auto"/>
          <w:sz w:val="22"/>
          <w:szCs w:val="22"/>
          <w:lang w:eastAsia="zh-CN"/>
        </w:rPr>
        <w:t>交通运输部</w:t>
      </w:r>
      <w:r>
        <w:rPr>
          <w:rFonts w:hint="eastAsia" w:ascii="宋体" w:hAnsi="宋体" w:cs="宋体"/>
          <w:color w:val="auto"/>
          <w:sz w:val="22"/>
          <w:szCs w:val="22"/>
        </w:rPr>
        <w:t>颁布的交通规则和技术操作规程，严禁无证、酒后、超速、超载、抢道、遗洒等违章行为。</w:t>
      </w:r>
    </w:p>
    <w:p w14:paraId="4BFE5DB6">
      <w:pPr>
        <w:pStyle w:val="60"/>
        <w:numPr>
          <w:ilvl w:val="0"/>
          <w:numId w:val="6"/>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驾驶机动车辆时严禁服用国家管制的精神药品或麻醉药品。</w:t>
      </w:r>
    </w:p>
    <w:p w14:paraId="167AB445">
      <w:pPr>
        <w:pStyle w:val="60"/>
        <w:numPr>
          <w:ilvl w:val="0"/>
          <w:numId w:val="6"/>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装车时驾驶员禁止检查、维护车辆。</w:t>
      </w:r>
    </w:p>
    <w:p w14:paraId="50154637">
      <w:pPr>
        <w:pStyle w:val="60"/>
        <w:numPr>
          <w:ilvl w:val="0"/>
          <w:numId w:val="6"/>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装车时驾驶员不宜离开驾驶室，禁止将头和手臂伸出驾驶室外。</w:t>
      </w:r>
    </w:p>
    <w:p w14:paraId="0BD0B898">
      <w:pPr>
        <w:pStyle w:val="60"/>
        <w:numPr>
          <w:ilvl w:val="0"/>
          <w:numId w:val="6"/>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严禁穿拖鞋驾驶车辆，或拖拉工作鞋驾驶车辆。</w:t>
      </w:r>
    </w:p>
    <w:p w14:paraId="117899C5">
      <w:pPr>
        <w:pStyle w:val="60"/>
        <w:numPr>
          <w:ilvl w:val="0"/>
          <w:numId w:val="6"/>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卸载作业场地应经常保持平整，并保有3%</w:t>
      </w:r>
      <w:r>
        <w:rPr>
          <w:rFonts w:hint="eastAsia" w:ascii="宋体" w:hAnsi="宋体" w:cs="宋体"/>
          <w:color w:val="auto"/>
          <w:sz w:val="22"/>
          <w:szCs w:val="22"/>
          <w:lang w:eastAsia="zh-CN"/>
        </w:rPr>
        <w:t>～</w:t>
      </w:r>
      <w:r>
        <w:rPr>
          <w:rFonts w:hint="eastAsia" w:ascii="宋体" w:hAnsi="宋体" w:cs="宋体"/>
          <w:color w:val="auto"/>
          <w:sz w:val="22"/>
          <w:szCs w:val="22"/>
        </w:rPr>
        <w:t>5%的反坡。</w:t>
      </w:r>
    </w:p>
    <w:p w14:paraId="569449E9">
      <w:pPr>
        <w:pStyle w:val="60"/>
        <w:numPr>
          <w:ilvl w:val="0"/>
          <w:numId w:val="6"/>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卸载作业场地应有专人指挥，在同一地段不准同时进行卸载和推排作业。</w:t>
      </w:r>
    </w:p>
    <w:p w14:paraId="139563A3">
      <w:pPr>
        <w:pStyle w:val="60"/>
        <w:numPr>
          <w:ilvl w:val="0"/>
          <w:numId w:val="6"/>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卸载场地的倒车指挥人员，须穿反光衣、手持指挥小红旗、夜间配手持照明工具。</w:t>
      </w:r>
    </w:p>
    <w:p w14:paraId="3CBCBAC7">
      <w:pPr>
        <w:pStyle w:val="60"/>
        <w:numPr>
          <w:ilvl w:val="0"/>
          <w:numId w:val="6"/>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车辆外缘至平台临边应保持3米以上距离。</w:t>
      </w:r>
    </w:p>
    <w:p w14:paraId="3798E73F">
      <w:pPr>
        <w:pStyle w:val="60"/>
        <w:numPr>
          <w:ilvl w:val="0"/>
          <w:numId w:val="6"/>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承包商的车辆必须证照齐全，车容车貌良好、车辆安全附属装置完好；严禁使用报废车辆或无牌无证车辆。</w:t>
      </w:r>
    </w:p>
    <w:p w14:paraId="5071552C">
      <w:pPr>
        <w:pStyle w:val="60"/>
        <w:numPr>
          <w:ilvl w:val="0"/>
          <w:numId w:val="6"/>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车辆超长、超宽、超高运输，必须征得发包人的许可。</w:t>
      </w:r>
    </w:p>
    <w:p w14:paraId="44B78097">
      <w:pPr>
        <w:pStyle w:val="60"/>
        <w:numPr>
          <w:ilvl w:val="0"/>
          <w:numId w:val="6"/>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承包商的运输车辆必须满足安全要求，刹车系统、灯光系统良好。</w:t>
      </w:r>
    </w:p>
    <w:p w14:paraId="3E7740BA">
      <w:pPr>
        <w:pStyle w:val="60"/>
        <w:numPr>
          <w:ilvl w:val="0"/>
          <w:numId w:val="6"/>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载重土石方运输车辆的土、石不得超过车厢边沿。</w:t>
      </w:r>
    </w:p>
    <w:p w14:paraId="7936E6EF">
      <w:pPr>
        <w:pStyle w:val="60"/>
        <w:numPr>
          <w:ilvl w:val="0"/>
          <w:numId w:val="6"/>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车辆的装载必须符合车辆装载规定的要求，禁止超高、超宽、超重装载，禁止车辆在道路上的遗洒。</w:t>
      </w:r>
    </w:p>
    <w:p w14:paraId="1F2ACA3A">
      <w:pPr>
        <w:pStyle w:val="60"/>
        <w:numPr>
          <w:ilvl w:val="0"/>
          <w:numId w:val="6"/>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车辆的检查、保养、维修必须有本质的安全防护措施。</w:t>
      </w:r>
    </w:p>
    <w:p w14:paraId="47035DB9">
      <w:pPr>
        <w:pStyle w:val="60"/>
        <w:numPr>
          <w:ilvl w:val="0"/>
          <w:numId w:val="6"/>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车辆在</w:t>
      </w:r>
      <w:r>
        <w:rPr>
          <w:rFonts w:hint="eastAsia" w:ascii="宋体" w:hAnsi="宋体" w:cs="宋体"/>
          <w:color w:val="auto"/>
          <w:sz w:val="22"/>
          <w:szCs w:val="22"/>
          <w:lang w:eastAsia="zh-CN"/>
        </w:rPr>
        <w:t>行驶</w:t>
      </w:r>
      <w:r>
        <w:rPr>
          <w:rFonts w:hint="eastAsia" w:ascii="宋体" w:hAnsi="宋体" w:cs="宋体"/>
          <w:color w:val="auto"/>
          <w:sz w:val="22"/>
          <w:szCs w:val="22"/>
        </w:rPr>
        <w:t>中故障，必须有警示措施，这些警示措施需符合道路交通安全的规定。</w:t>
      </w:r>
    </w:p>
    <w:p w14:paraId="1F8D3AAE">
      <w:pPr>
        <w:pStyle w:val="60"/>
        <w:numPr>
          <w:ilvl w:val="0"/>
          <w:numId w:val="6"/>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土石方运输车辆的转向轮胎严禁使用翻新胎或套胎；中、后桥的轮胎使用翻新胎或套胎的，需制定发包人许可的更换标准并严格遵守。</w:t>
      </w:r>
    </w:p>
    <w:p w14:paraId="37B2D6A6">
      <w:pPr>
        <w:pStyle w:val="60"/>
        <w:numPr>
          <w:ilvl w:val="0"/>
          <w:numId w:val="6"/>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承包商必须对施工道路、运输道路进行日常的保养和维护，防止坑洼不平。</w:t>
      </w:r>
    </w:p>
    <w:p w14:paraId="2DAE7BF5">
      <w:pPr>
        <w:pStyle w:val="60"/>
        <w:numPr>
          <w:ilvl w:val="0"/>
          <w:numId w:val="6"/>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承包商应配备洒水车对施工道路、运输道路进行洒水除尘；当洒水除尘效果不能满足发包人的环保要求时，承包商有责任增加洒水车洒水除尘。</w:t>
      </w:r>
    </w:p>
    <w:p w14:paraId="6BEBFA73">
      <w:pPr>
        <w:pStyle w:val="60"/>
        <w:numPr>
          <w:ilvl w:val="0"/>
          <w:numId w:val="6"/>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上山道路雨天泥泞、湿滑应停止施工。</w:t>
      </w:r>
    </w:p>
    <w:p w14:paraId="54D61A12">
      <w:pPr>
        <w:pStyle w:val="60"/>
        <w:numPr>
          <w:ilvl w:val="0"/>
          <w:numId w:val="6"/>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车辆在运输时不能</w:t>
      </w:r>
      <w:r>
        <w:rPr>
          <w:rFonts w:hint="eastAsia" w:ascii="宋体" w:hAnsi="宋体" w:cs="宋体"/>
          <w:color w:val="auto"/>
          <w:sz w:val="22"/>
          <w:szCs w:val="22"/>
          <w:lang w:eastAsia="zh-CN"/>
        </w:rPr>
        <w:t>装得</w:t>
      </w:r>
      <w:r>
        <w:rPr>
          <w:rFonts w:hint="eastAsia" w:ascii="宋体" w:hAnsi="宋体" w:cs="宋体"/>
          <w:color w:val="auto"/>
          <w:sz w:val="22"/>
          <w:szCs w:val="22"/>
        </w:rPr>
        <w:t>太满导致沿路遗洒，对洒落的渣料应及时清理。</w:t>
      </w:r>
    </w:p>
    <w:p w14:paraId="0E1CF4AF">
      <w:pPr>
        <w:pStyle w:val="60"/>
        <w:numPr>
          <w:ilvl w:val="0"/>
          <w:numId w:val="6"/>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车辆在运输过程中应依限速要求行驶，严禁超速、超载。</w:t>
      </w:r>
    </w:p>
    <w:p w14:paraId="6BE3E11A">
      <w:pPr>
        <w:pStyle w:val="60"/>
        <w:numPr>
          <w:ilvl w:val="0"/>
          <w:numId w:val="6"/>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承包商应建立占用公用道路施工控制程序，实施占道施工许可证管理并得到发包人的书面批准。</w:t>
      </w:r>
    </w:p>
    <w:p w14:paraId="32EE392F">
      <w:pPr>
        <w:pStyle w:val="60"/>
        <w:numPr>
          <w:ilvl w:val="0"/>
          <w:numId w:val="6"/>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根据属地管理的原则，对进入施工区的人员和车辆进行统一的协调和管理。</w:t>
      </w:r>
    </w:p>
    <w:p w14:paraId="199EE92A">
      <w:pPr>
        <w:pStyle w:val="60"/>
        <w:autoSpaceDE w:val="0"/>
        <w:autoSpaceDN w:val="0"/>
        <w:adjustRightInd w:val="0"/>
        <w:spacing w:line="360" w:lineRule="exact"/>
        <w:ind w:firstLine="442" w:firstLineChars="200"/>
        <w:jc w:val="left"/>
        <w:rPr>
          <w:rFonts w:hint="eastAsia" w:ascii="宋体" w:hAnsi="宋体" w:cs="宋体"/>
          <w:b/>
          <w:color w:val="auto"/>
          <w:sz w:val="22"/>
          <w:szCs w:val="22"/>
        </w:rPr>
      </w:pPr>
      <w:r>
        <w:rPr>
          <w:rFonts w:hint="eastAsia" w:ascii="宋体" w:hAnsi="宋体" w:cs="宋体"/>
          <w:b/>
          <w:color w:val="auto"/>
          <w:sz w:val="22"/>
          <w:szCs w:val="22"/>
          <w:lang w:eastAsia="zh-CN"/>
        </w:rPr>
        <w:t>（4）</w:t>
      </w:r>
      <w:r>
        <w:rPr>
          <w:rFonts w:hint="eastAsia" w:ascii="宋体" w:hAnsi="宋体" w:cs="宋体"/>
          <w:color w:val="auto"/>
          <w:sz w:val="22"/>
          <w:szCs w:val="22"/>
        </w:rPr>
        <w:t xml:space="preserve"> </w:t>
      </w:r>
      <w:r>
        <w:rPr>
          <w:rFonts w:hint="eastAsia" w:ascii="宋体" w:hAnsi="宋体" w:cs="宋体"/>
          <w:b/>
          <w:color w:val="auto"/>
          <w:sz w:val="22"/>
          <w:szCs w:val="22"/>
        </w:rPr>
        <w:t>施工队劳务（劳务工）安全、环境管理</w:t>
      </w:r>
    </w:p>
    <w:p w14:paraId="07AB2305">
      <w:pPr>
        <w:pStyle w:val="60"/>
        <w:numPr>
          <w:ilvl w:val="0"/>
          <w:numId w:val="7"/>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承包商应向发包人提供施工队伍中分包商、劳务工的信息。这些信息应包括活动的内容、人数、与承包商合作的历史、劳务工来源等。</w:t>
      </w:r>
    </w:p>
    <w:p w14:paraId="1016350A">
      <w:pPr>
        <w:pStyle w:val="60"/>
        <w:numPr>
          <w:ilvl w:val="0"/>
          <w:numId w:val="7"/>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承包商应对分包商、施工队、劳务提供单位的安全、环境资质实行有效控制，其安全、环境资质的审查文件应提供给发包人检查。</w:t>
      </w:r>
    </w:p>
    <w:p w14:paraId="1F50F4DE">
      <w:pPr>
        <w:pStyle w:val="60"/>
        <w:numPr>
          <w:ilvl w:val="0"/>
          <w:numId w:val="7"/>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承包商的安全、环境管理组织机构和岗位职责必须覆盖到分包队伍和所有人员。</w:t>
      </w:r>
    </w:p>
    <w:p w14:paraId="39A895DB">
      <w:pPr>
        <w:pStyle w:val="60"/>
        <w:numPr>
          <w:ilvl w:val="0"/>
          <w:numId w:val="7"/>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承包商必须确保以下各方面的安全、环境管理：</w:t>
      </w:r>
    </w:p>
    <w:p w14:paraId="1AB1D9FA">
      <w:pPr>
        <w:pStyle w:val="60"/>
        <w:numPr>
          <w:ilvl w:val="0"/>
          <w:numId w:val="8"/>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不得使用童工。</w:t>
      </w:r>
    </w:p>
    <w:p w14:paraId="652B48FA">
      <w:pPr>
        <w:pStyle w:val="60"/>
        <w:numPr>
          <w:ilvl w:val="0"/>
          <w:numId w:val="8"/>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保障妇女的劳动保护权益。</w:t>
      </w:r>
    </w:p>
    <w:p w14:paraId="21260928">
      <w:pPr>
        <w:pStyle w:val="60"/>
        <w:numPr>
          <w:ilvl w:val="0"/>
          <w:numId w:val="8"/>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施工队的劳务工工资按时足量发放，不得克扣、拖延。</w:t>
      </w:r>
    </w:p>
    <w:p w14:paraId="5884C802">
      <w:pPr>
        <w:pStyle w:val="60"/>
        <w:numPr>
          <w:ilvl w:val="0"/>
          <w:numId w:val="8"/>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施工队员工和临时劳务工的工作时间合理，不得超量加班，避免疲劳过度而发生事故。</w:t>
      </w:r>
    </w:p>
    <w:p w14:paraId="7261E660">
      <w:pPr>
        <w:pStyle w:val="60"/>
        <w:numPr>
          <w:ilvl w:val="0"/>
          <w:numId w:val="8"/>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为劳务工免费提供满足本合同要求的劳动保护用品。</w:t>
      </w:r>
    </w:p>
    <w:p w14:paraId="07F7B782">
      <w:pPr>
        <w:pStyle w:val="60"/>
        <w:numPr>
          <w:ilvl w:val="0"/>
          <w:numId w:val="8"/>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为施工队劳务工提供符合三防、卫生、消防、安全要求的生活居住条件，并将居住场所和人数以书面形式报给发包人。</w:t>
      </w:r>
    </w:p>
    <w:p w14:paraId="5CA26B89">
      <w:pPr>
        <w:pStyle w:val="60"/>
        <w:numPr>
          <w:ilvl w:val="0"/>
          <w:numId w:val="8"/>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必须为劳务人员购买工伤保险或意外伤害保险、办理暂住证，并将证明文件的复印件提交给发包人备案。</w:t>
      </w:r>
    </w:p>
    <w:p w14:paraId="0D00B828">
      <w:pPr>
        <w:pStyle w:val="60"/>
        <w:numPr>
          <w:ilvl w:val="0"/>
          <w:numId w:val="8"/>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必须为劳务人员提供符合安全要求的上下班交通客车。</w:t>
      </w:r>
    </w:p>
    <w:p w14:paraId="63CBAA86">
      <w:pPr>
        <w:pStyle w:val="60"/>
        <w:numPr>
          <w:ilvl w:val="0"/>
          <w:numId w:val="8"/>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劳务工必须和职工一起编队分配工作并进行管理，严禁没有工作经验的劳务工单独承担独立工作。</w:t>
      </w:r>
    </w:p>
    <w:p w14:paraId="48111703">
      <w:pPr>
        <w:pStyle w:val="60"/>
        <w:autoSpaceDE w:val="0"/>
        <w:autoSpaceDN w:val="0"/>
        <w:adjustRightInd w:val="0"/>
        <w:spacing w:line="360" w:lineRule="exact"/>
        <w:ind w:firstLine="442" w:firstLineChars="200"/>
        <w:jc w:val="left"/>
        <w:rPr>
          <w:rFonts w:hint="eastAsia" w:ascii="宋体" w:hAnsi="宋体" w:cs="宋体"/>
          <w:b/>
          <w:color w:val="auto"/>
          <w:sz w:val="22"/>
          <w:szCs w:val="22"/>
        </w:rPr>
      </w:pPr>
      <w:r>
        <w:rPr>
          <w:rFonts w:hint="eastAsia" w:ascii="宋体" w:hAnsi="宋体" w:cs="宋体"/>
          <w:b/>
          <w:color w:val="auto"/>
          <w:sz w:val="22"/>
          <w:szCs w:val="22"/>
          <w:lang w:eastAsia="zh-CN"/>
        </w:rPr>
        <w:t>（5）</w:t>
      </w:r>
      <w:r>
        <w:rPr>
          <w:rFonts w:hint="eastAsia" w:ascii="宋体" w:hAnsi="宋体" w:cs="宋体"/>
          <w:b/>
          <w:color w:val="auto"/>
          <w:sz w:val="22"/>
          <w:szCs w:val="22"/>
        </w:rPr>
        <w:t>施工临建安全</w:t>
      </w:r>
    </w:p>
    <w:p w14:paraId="0FC4613D">
      <w:pPr>
        <w:pStyle w:val="60"/>
        <w:numPr>
          <w:ilvl w:val="1"/>
          <w:numId w:val="9"/>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承包商禁止擅动现场公用设施，如占据消防通道、非事故情况下动用消防水、拆除安全围栏和标志、揭开沟道、堵塞泄洪道、私接电源、擅自堆放物料等等。</w:t>
      </w:r>
    </w:p>
    <w:p w14:paraId="1122818C">
      <w:pPr>
        <w:pStyle w:val="60"/>
        <w:numPr>
          <w:ilvl w:val="1"/>
          <w:numId w:val="9"/>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承包商应维持责任范围内的道路、给排水、厕所、污水处理等基础设施的安全状态。</w:t>
      </w:r>
    </w:p>
    <w:p w14:paraId="2DD83DF3">
      <w:pPr>
        <w:pStyle w:val="60"/>
        <w:numPr>
          <w:ilvl w:val="1"/>
          <w:numId w:val="9"/>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承包商在发包人管辖区域内所建立的临建设施，如车间、仓库、加工场地、预制场地等等，必须满足发包人的规划要求，这些临建设施必须具备基本的安全性能，包括抗震、防台、防雷、消防、逃生通道、安全距离、应急照明、通风空调、卫生、安全标志、防盗等性能。对于有特殊风险的厂房，则必须配置专设安全装置。厂房内使用的特种机械，如行车、机床、充电设备等，必须符合国家强制性标准和特种设备的监察要求。存放危险化学品、压缩气体、射线探伤装置和放射源的设施，必须满足分隔存放等安全要求，禁止混放。</w:t>
      </w:r>
    </w:p>
    <w:p w14:paraId="044378E8">
      <w:pPr>
        <w:pStyle w:val="60"/>
        <w:numPr>
          <w:ilvl w:val="1"/>
          <w:numId w:val="9"/>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长期使用（超过半年）的临时施工建筑的建设标准应不低于地方规范，建筑设计应报送消防大队进行建筑设计消防审查。禁止使用毛竹、芦席、油毛毡等可燃材料搭制临时工棚和仓库。</w:t>
      </w:r>
    </w:p>
    <w:p w14:paraId="13E90CE1">
      <w:pPr>
        <w:pStyle w:val="60"/>
        <w:numPr>
          <w:ilvl w:val="1"/>
          <w:numId w:val="9"/>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承包商应建立“施工区域安全管理”制度，包括指定施工区域的安全负责人或协调人，建立安全检查制度，包括防火、照明、通风、防雷、防涝、防台风、物料管理、危险品管理、用电安全管理、灭火器材管理、安全警示牌管理、清洁卫生等内容。</w:t>
      </w:r>
    </w:p>
    <w:p w14:paraId="110368C2">
      <w:pPr>
        <w:pStyle w:val="60"/>
        <w:numPr>
          <w:ilvl w:val="1"/>
          <w:numId w:val="9"/>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禁止使用或出租发包人管辖区域内的设施从事与合同无关的活动，与设施的安全生产条件不符的活动或</w:t>
      </w:r>
      <w:r>
        <w:rPr>
          <w:rFonts w:hint="eastAsia" w:ascii="宋体" w:hAnsi="宋体" w:cs="宋体"/>
          <w:color w:val="auto"/>
          <w:sz w:val="22"/>
          <w:szCs w:val="22"/>
          <w:lang w:eastAsia="zh-CN"/>
        </w:rPr>
        <w:t>改作</w:t>
      </w:r>
      <w:r>
        <w:rPr>
          <w:rFonts w:hint="eastAsia" w:ascii="宋体" w:hAnsi="宋体" w:cs="宋体"/>
          <w:color w:val="auto"/>
          <w:sz w:val="22"/>
          <w:szCs w:val="22"/>
        </w:rPr>
        <w:t>与设施的安全生产条件不符的用途。</w:t>
      </w:r>
    </w:p>
    <w:p w14:paraId="2679C1BA">
      <w:pPr>
        <w:pStyle w:val="60"/>
        <w:autoSpaceDE w:val="0"/>
        <w:autoSpaceDN w:val="0"/>
        <w:adjustRightInd w:val="0"/>
        <w:spacing w:line="360" w:lineRule="exact"/>
        <w:ind w:firstLine="442" w:firstLineChars="200"/>
        <w:jc w:val="left"/>
        <w:rPr>
          <w:rFonts w:hint="eastAsia" w:ascii="宋体" w:hAnsi="宋体" w:cs="宋体"/>
          <w:b/>
          <w:color w:val="auto"/>
          <w:sz w:val="22"/>
          <w:szCs w:val="22"/>
        </w:rPr>
      </w:pPr>
      <w:r>
        <w:rPr>
          <w:rFonts w:hint="eastAsia" w:ascii="宋体" w:hAnsi="宋体" w:cs="宋体"/>
          <w:b/>
          <w:color w:val="auto"/>
          <w:sz w:val="22"/>
          <w:szCs w:val="22"/>
          <w:lang w:eastAsia="zh-CN"/>
        </w:rPr>
        <w:t>（6）</w:t>
      </w:r>
      <w:r>
        <w:rPr>
          <w:rFonts w:hint="eastAsia" w:ascii="宋体" w:hAnsi="宋体" w:cs="宋体"/>
          <w:b/>
          <w:color w:val="auto"/>
          <w:sz w:val="22"/>
          <w:szCs w:val="22"/>
        </w:rPr>
        <w:t xml:space="preserve"> 生活区安全、环境管理</w:t>
      </w:r>
    </w:p>
    <w:p w14:paraId="451BD2D3">
      <w:pPr>
        <w:pStyle w:val="60"/>
        <w:numPr>
          <w:ilvl w:val="0"/>
          <w:numId w:val="10"/>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承包商应制定生活营地管理规定（包括劳务工的生活营地）并报发包人备案。</w:t>
      </w:r>
    </w:p>
    <w:p w14:paraId="661E0B44">
      <w:pPr>
        <w:pStyle w:val="60"/>
        <w:numPr>
          <w:ilvl w:val="0"/>
          <w:numId w:val="10"/>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开工前承包商需将所有人员的居住场所和人员数量以书面的形式提交给发包人，发包人方将进行核查，如不满足安全、环境保护要求，将建议整改，在限期内达不到要求的，发包人将不予支付临建经费。</w:t>
      </w:r>
    </w:p>
    <w:p w14:paraId="505EE01A">
      <w:pPr>
        <w:pStyle w:val="60"/>
        <w:numPr>
          <w:ilvl w:val="0"/>
          <w:numId w:val="10"/>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施工现场不允许安排生活临建。</w:t>
      </w:r>
    </w:p>
    <w:p w14:paraId="40DF29A1">
      <w:pPr>
        <w:pStyle w:val="60"/>
        <w:numPr>
          <w:ilvl w:val="0"/>
          <w:numId w:val="10"/>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承包商的生活临建不允许是工棚、铁皮房、石棉瓦房等不符合三防要求的建筑物，严禁租赁“危房”做生活营地。</w:t>
      </w:r>
    </w:p>
    <w:p w14:paraId="40B666EC">
      <w:pPr>
        <w:pStyle w:val="60"/>
        <w:numPr>
          <w:ilvl w:val="0"/>
          <w:numId w:val="10"/>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承包商的生活营地应满足消防、安全用电、卫生防疫、防抗台风、暴雨、雷击等方面的安全条件，并建立相应的管理制度；尤其严格消防管理，禁止封锁逃生通道，禁止使用工作场所、仓库、生活场所“三合一”的设施。</w:t>
      </w:r>
    </w:p>
    <w:p w14:paraId="6FD6D6AD">
      <w:pPr>
        <w:pStyle w:val="60"/>
        <w:numPr>
          <w:ilvl w:val="0"/>
          <w:numId w:val="10"/>
        </w:numPr>
        <w:autoSpaceDE w:val="0"/>
        <w:autoSpaceDN w:val="0"/>
        <w:adjustRightInd w:val="0"/>
        <w:spacing w:line="360" w:lineRule="exact"/>
        <w:ind w:left="0" w:firstLine="440" w:firstLineChars="200"/>
        <w:jc w:val="left"/>
        <w:rPr>
          <w:rFonts w:hint="eastAsia" w:ascii="宋体" w:hAnsi="宋体" w:cs="宋体"/>
          <w:color w:val="auto"/>
          <w:sz w:val="22"/>
          <w:szCs w:val="22"/>
        </w:rPr>
      </w:pPr>
      <w:r>
        <w:rPr>
          <w:rFonts w:hint="eastAsia" w:ascii="宋体" w:hAnsi="宋体" w:cs="宋体"/>
          <w:color w:val="auto"/>
          <w:sz w:val="22"/>
          <w:szCs w:val="22"/>
        </w:rPr>
        <w:t>承包商的食堂要满足卫生要求，人员要定期体检，不能有传染病；要有消毒、冷藏设施，生、熟食要分开。</w:t>
      </w:r>
    </w:p>
    <w:p w14:paraId="5618CF22">
      <w:pPr>
        <w:pStyle w:val="60"/>
        <w:spacing w:line="360" w:lineRule="exact"/>
        <w:ind w:firstLine="440" w:firstLineChars="200"/>
        <w:rPr>
          <w:rFonts w:hint="eastAsia" w:ascii="宋体" w:hAnsi="宋体" w:cs="宋体"/>
          <w:color w:val="auto"/>
          <w:kern w:val="0"/>
          <w:sz w:val="22"/>
          <w:szCs w:val="22"/>
        </w:rPr>
      </w:pPr>
      <w:r>
        <w:rPr>
          <w:rFonts w:hint="eastAsia" w:ascii="宋体" w:hAnsi="宋体" w:cs="宋体"/>
          <w:color w:val="auto"/>
          <w:sz w:val="22"/>
          <w:szCs w:val="22"/>
        </w:rPr>
        <w:t>在采购食品时要注意食品安全，禁止提供变质、过期食品，防止集体食物中毒。</w:t>
      </w:r>
    </w:p>
    <w:p w14:paraId="2C466AFA">
      <w:pPr>
        <w:pStyle w:val="39"/>
        <w:spacing w:line="360" w:lineRule="exact"/>
        <w:ind w:firstLine="442" w:firstLineChars="200"/>
        <w:rPr>
          <w:rFonts w:hint="eastAsia" w:ascii="宋体" w:hAnsi="宋体" w:cs="宋体"/>
          <w:color w:val="auto"/>
          <w:sz w:val="22"/>
          <w:szCs w:val="22"/>
        </w:rPr>
      </w:pPr>
      <w:bookmarkStart w:id="403" w:name="_Toc533432746"/>
      <w:bookmarkStart w:id="404" w:name="_Toc373227721"/>
      <w:bookmarkStart w:id="405" w:name="_Toc373478368"/>
      <w:bookmarkStart w:id="406" w:name="_Toc389065287"/>
      <w:bookmarkStart w:id="407" w:name="_Toc395382523"/>
      <w:bookmarkStart w:id="408" w:name="_Toc12975911"/>
      <w:r>
        <w:rPr>
          <w:rFonts w:hint="eastAsia" w:ascii="宋体" w:hAnsi="宋体" w:cs="宋体"/>
          <w:color w:val="auto"/>
          <w:sz w:val="22"/>
          <w:szCs w:val="22"/>
        </w:rPr>
        <w:t>6.3 环境保护</w:t>
      </w:r>
      <w:bookmarkEnd w:id="403"/>
      <w:bookmarkEnd w:id="404"/>
      <w:bookmarkEnd w:id="405"/>
      <w:bookmarkEnd w:id="406"/>
      <w:bookmarkEnd w:id="407"/>
      <w:bookmarkEnd w:id="408"/>
    </w:p>
    <w:p w14:paraId="0CAF0716">
      <w:pPr>
        <w:pStyle w:val="4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sz w:val="22"/>
          <w:u w:val="single"/>
        </w:rPr>
        <w:t>因施工需要，经发包人批准，由承包人办理有关施工场地交通、环卫和施工噪音管理等手续，费用由承包人负责。</w:t>
      </w:r>
    </w:p>
    <w:p w14:paraId="17B116E0">
      <w:pPr>
        <w:pStyle w:val="4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sz w:val="22"/>
          <w:u w:val="single"/>
        </w:rPr>
        <w:t>经过城市道路的施工车辆，必须按交警、城管、运输等部门相关规定执行。由于施工车辆造成的道路、环境等污染，其责任和费用均由承包人承担。</w:t>
      </w:r>
    </w:p>
    <w:p w14:paraId="5C137CE4">
      <w:pPr>
        <w:pStyle w:val="60"/>
        <w:spacing w:line="360" w:lineRule="exact"/>
        <w:ind w:firstLine="442" w:firstLineChars="200"/>
        <w:jc w:val="left"/>
        <w:rPr>
          <w:rFonts w:hint="eastAsia" w:ascii="宋体" w:hAnsi="宋体" w:cs="宋体"/>
          <w:b/>
          <w:color w:val="auto"/>
          <w:sz w:val="22"/>
          <w:szCs w:val="22"/>
          <w:u w:val="single"/>
        </w:rPr>
      </w:pPr>
      <w:r>
        <w:rPr>
          <w:rFonts w:hint="eastAsia" w:ascii="宋体" w:hAnsi="宋体" w:cs="宋体"/>
          <w:b/>
          <w:color w:val="auto"/>
          <w:sz w:val="22"/>
          <w:szCs w:val="22"/>
          <w:u w:val="single"/>
        </w:rPr>
        <w:t>一、土地资源的保护</w:t>
      </w:r>
    </w:p>
    <w:p w14:paraId="10615BC4">
      <w:pPr>
        <w:pStyle w:val="60"/>
        <w:numPr>
          <w:ilvl w:val="0"/>
          <w:numId w:val="11"/>
        </w:numPr>
        <w:spacing w:line="360" w:lineRule="exact"/>
        <w:ind w:left="0"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妥善处理废方，山坡弃土应尽量避免破坏或掩埋路基（场地）下侧的林木、农田</w:t>
      </w:r>
      <w:r>
        <w:rPr>
          <w:rFonts w:hint="eastAsia" w:ascii="宋体" w:hAnsi="宋体" w:cs="宋体"/>
          <w:color w:val="auto"/>
          <w:sz w:val="22"/>
          <w:szCs w:val="22"/>
          <w:u w:val="single"/>
          <w:lang w:eastAsia="zh-CN"/>
        </w:rPr>
        <w:t>及其他</w:t>
      </w:r>
      <w:r>
        <w:rPr>
          <w:rFonts w:hint="eastAsia" w:ascii="宋体" w:hAnsi="宋体" w:cs="宋体"/>
          <w:color w:val="auto"/>
          <w:sz w:val="22"/>
          <w:szCs w:val="22"/>
          <w:u w:val="single"/>
        </w:rPr>
        <w:t>工程设施。沿河弃土应避免壅塞河道、改变水流方向和抬高水位而淹没或冲毁农田、房屋。应重视弃土堆的复垦，有条件时，宜在弃土堆顶面绿化，或整平成为耕地。</w:t>
      </w:r>
    </w:p>
    <w:p w14:paraId="12D646CA">
      <w:pPr>
        <w:pStyle w:val="60"/>
        <w:numPr>
          <w:ilvl w:val="0"/>
          <w:numId w:val="11"/>
        </w:numPr>
        <w:spacing w:line="360" w:lineRule="exact"/>
        <w:ind w:left="0"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取土坑应选在高地、荒地上，尽量不占耕地；当必须从耕地取土时，应将表面种植土铲除，集中成堆保存，并在工程交工前做好还地工作。对于深而宽的取土坑，可根据当地需要，用作蓄水池或鱼塘。在多年的经济作物区或重要的绿化带，不得设置取土坑。</w:t>
      </w:r>
    </w:p>
    <w:p w14:paraId="3539F51C">
      <w:pPr>
        <w:pStyle w:val="60"/>
        <w:numPr>
          <w:ilvl w:val="0"/>
          <w:numId w:val="11"/>
        </w:numPr>
        <w:spacing w:line="360" w:lineRule="exact"/>
        <w:ind w:left="0"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在河床采砂砾材料时，必须注意防止对河流状态的改变，并应符合</w:t>
      </w:r>
      <w:r>
        <w:rPr>
          <w:rFonts w:hint="eastAsia" w:ascii="宋体" w:hAnsi="宋体" w:cs="宋体"/>
          <w:color w:val="auto"/>
          <w:sz w:val="22"/>
          <w:szCs w:val="22"/>
          <w:u w:val="single"/>
          <w:lang w:eastAsia="zh-CN"/>
        </w:rPr>
        <w:t>《</w:t>
      </w:r>
      <w:r>
        <w:rPr>
          <w:rFonts w:hint="eastAsia" w:ascii="宋体" w:hAnsi="宋体" w:cs="宋体"/>
          <w:color w:val="auto"/>
          <w:sz w:val="22"/>
          <w:szCs w:val="22"/>
          <w:u w:val="single"/>
        </w:rPr>
        <w:t>中华人民共和国水法</w:t>
      </w:r>
      <w:r>
        <w:rPr>
          <w:rFonts w:hint="eastAsia" w:ascii="宋体" w:hAnsi="宋体" w:cs="宋体"/>
          <w:color w:val="auto"/>
          <w:sz w:val="22"/>
          <w:szCs w:val="22"/>
          <w:u w:val="single"/>
          <w:lang w:eastAsia="zh-CN"/>
        </w:rPr>
        <w:t>》</w:t>
      </w:r>
      <w:r>
        <w:rPr>
          <w:rFonts w:hint="eastAsia" w:ascii="宋体" w:hAnsi="宋体" w:cs="宋体"/>
          <w:color w:val="auto"/>
          <w:sz w:val="22"/>
          <w:szCs w:val="22"/>
          <w:u w:val="single"/>
        </w:rPr>
        <w:t>的规定，即：“在行洪、排涝河流和航道范围内开采砂石、砂金，必须经河道主管部门批准，按照批准的范围和作业方式开采，涉及航道的，由河道主管部门会</w:t>
      </w:r>
      <w:r>
        <w:rPr>
          <w:rFonts w:hint="eastAsia" w:ascii="宋体" w:hAnsi="宋体" w:eastAsia="宋体" w:cs="宋体"/>
          <w:color w:val="auto"/>
          <w:sz w:val="22"/>
          <w:szCs w:val="22"/>
          <w:u w:val="single"/>
        </w:rPr>
        <w:t>同</w:t>
      </w:r>
      <w:r>
        <w:rPr>
          <w:rFonts w:hint="eastAsia" w:ascii="宋体" w:hAnsi="宋体" w:eastAsia="宋体" w:cs="宋体"/>
          <w:color w:val="auto"/>
          <w:sz w:val="22"/>
          <w:szCs w:val="22"/>
          <w:u w:val="single"/>
          <w:lang w:val="en-US" w:eastAsia="zh-CN"/>
        </w:rPr>
        <w:t>航</w:t>
      </w:r>
      <w:r>
        <w:rPr>
          <w:rFonts w:hint="eastAsia" w:ascii="宋体" w:hAnsi="宋体" w:eastAsia="宋体" w:cs="宋体"/>
          <w:color w:val="auto"/>
          <w:sz w:val="22"/>
          <w:szCs w:val="22"/>
          <w:u w:val="single"/>
        </w:rPr>
        <w:t>道主管部门</w:t>
      </w:r>
      <w:r>
        <w:rPr>
          <w:rFonts w:hint="eastAsia" w:ascii="宋体" w:hAnsi="宋体" w:cs="宋体"/>
          <w:color w:val="auto"/>
          <w:sz w:val="22"/>
          <w:szCs w:val="22"/>
          <w:u w:val="single"/>
        </w:rPr>
        <w:t>批准”的规定。</w:t>
      </w:r>
    </w:p>
    <w:p w14:paraId="5D93533F">
      <w:pPr>
        <w:pStyle w:val="60"/>
        <w:numPr>
          <w:ilvl w:val="0"/>
          <w:numId w:val="11"/>
        </w:numPr>
        <w:spacing w:line="360" w:lineRule="exact"/>
        <w:ind w:left="0"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采石场的位置，应结合环境保护的要求选择，其中包括噪声、爆破引起的地下振动、公共安全问题等。采石场的位置，应征得当地政府及环境管理部门的同意并办理必要的手续。</w:t>
      </w:r>
    </w:p>
    <w:p w14:paraId="1E854290">
      <w:pPr>
        <w:pStyle w:val="60"/>
        <w:numPr>
          <w:ilvl w:val="0"/>
          <w:numId w:val="11"/>
        </w:numPr>
        <w:spacing w:line="360" w:lineRule="exact"/>
        <w:ind w:left="0"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对施工人员加强保护自然资源及野生植物的教育，在雇用合同中规定严禁偷猎和随意砍伐树木。</w:t>
      </w:r>
    </w:p>
    <w:p w14:paraId="2C4A0D4C">
      <w:pPr>
        <w:pStyle w:val="60"/>
        <w:spacing w:line="360" w:lineRule="exact"/>
        <w:ind w:firstLine="442" w:firstLineChars="200"/>
        <w:jc w:val="left"/>
        <w:rPr>
          <w:rFonts w:hint="eastAsia" w:ascii="宋体" w:hAnsi="宋体" w:cs="宋体"/>
          <w:b/>
          <w:color w:val="auto"/>
          <w:sz w:val="22"/>
          <w:szCs w:val="22"/>
        </w:rPr>
      </w:pPr>
      <w:r>
        <w:rPr>
          <w:rFonts w:hint="eastAsia" w:ascii="宋体" w:hAnsi="宋体" w:cs="宋体"/>
          <w:b/>
          <w:color w:val="auto"/>
          <w:sz w:val="22"/>
          <w:szCs w:val="22"/>
        </w:rPr>
        <w:t>二、防止水土流失和废料废方处理</w:t>
      </w:r>
    </w:p>
    <w:p w14:paraId="59738553">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lang w:eastAsia="zh-CN"/>
        </w:rPr>
        <w:t>（1）</w:t>
      </w:r>
      <w:r>
        <w:rPr>
          <w:rFonts w:hint="eastAsia" w:ascii="宋体" w:hAnsi="宋体" w:cs="宋体"/>
          <w:color w:val="auto"/>
          <w:sz w:val="22"/>
          <w:szCs w:val="22"/>
          <w:u w:val="single"/>
        </w:rPr>
        <w:t>防水排水</w:t>
      </w:r>
    </w:p>
    <w:p w14:paraId="5BCAA76D">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1）在施工期间应始终保持工地的良好的排水状态，修建必要的临时排水渠道，并与永久性排水设施相连接，且不得引起淤积和冲刷。</w:t>
      </w:r>
    </w:p>
    <w:p w14:paraId="5950B2B2">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2）因承包商未设置足够的排水设施致使土方工程遭受破坏时，其责任由承包商自负。</w:t>
      </w:r>
    </w:p>
    <w:p w14:paraId="3E936A9A">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3）雨季填筑路堤应随挖、随运、随填、随压实，依次进行；每层表面应筑成适当的横坡，使不积水。</w:t>
      </w:r>
    </w:p>
    <w:p w14:paraId="13163B72">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lang w:eastAsia="zh-CN"/>
        </w:rPr>
        <w:t>（2）</w:t>
      </w:r>
      <w:r>
        <w:rPr>
          <w:rFonts w:hint="eastAsia" w:ascii="宋体" w:hAnsi="宋体" w:cs="宋体"/>
          <w:color w:val="auto"/>
          <w:sz w:val="22"/>
          <w:szCs w:val="22"/>
          <w:u w:val="single"/>
        </w:rPr>
        <w:t>冲刷与淤积</w:t>
      </w:r>
    </w:p>
    <w:p w14:paraId="65D04087">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1）承包商应采取有效预防措施，防止施工场所占用的土地或临时使用的土地受到冲刷。</w:t>
      </w:r>
    </w:p>
    <w:p w14:paraId="56069C46">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2）承包商应采取有效预防措施，防止从本工程施工中开挖的土石材料，对河流、水道、灌溉或排水系统产生淤积或堵塞。</w:t>
      </w:r>
    </w:p>
    <w:p w14:paraId="2D0B5355">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3）施工中的临时排水系统，应能最大限度地减少水土流失及对水文状态的改变。</w:t>
      </w:r>
    </w:p>
    <w:p w14:paraId="1D1B29D5">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4）开挖或填筑的土质路基边坡应及时采取防护措施，防止雨季到来时水流对坡面的冲刷而影响排水系统的功能，减少对附近水域的污染。</w:t>
      </w:r>
    </w:p>
    <w:p w14:paraId="19E825FB">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5）承包商不管出于任何需要，未经发包人的事先书面同意，不得干扰河道、水道或现有灌溉或排水系统的自然流动，以免导致冲刷与淤积的发生。</w:t>
      </w:r>
    </w:p>
    <w:p w14:paraId="742570C0">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lang w:eastAsia="zh-CN"/>
        </w:rPr>
        <w:t>（3）</w:t>
      </w:r>
      <w:r>
        <w:rPr>
          <w:rFonts w:hint="eastAsia" w:ascii="宋体" w:hAnsi="宋体" w:cs="宋体"/>
          <w:color w:val="auto"/>
          <w:sz w:val="22"/>
          <w:szCs w:val="22"/>
          <w:u w:val="single"/>
        </w:rPr>
        <w:t>废料废方的处理</w:t>
      </w:r>
    </w:p>
    <w:p w14:paraId="6AB2CF7F">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1）清理场地的废料和土石方工程的废方处理，不得影响排灌系统及农田水利设施，不得向江河、湖泊、水库和专门堆放地以外的</w:t>
      </w:r>
      <w:r>
        <w:rPr>
          <w:rFonts w:hint="eastAsia" w:ascii="宋体" w:hAnsi="宋体" w:cs="宋体"/>
          <w:color w:val="auto"/>
          <w:sz w:val="22"/>
          <w:szCs w:val="22"/>
          <w:u w:val="single"/>
          <w:lang w:eastAsia="zh-CN"/>
        </w:rPr>
        <w:t>地方</w:t>
      </w:r>
      <w:r>
        <w:rPr>
          <w:rFonts w:hint="eastAsia" w:ascii="宋体" w:hAnsi="宋体" w:cs="宋体"/>
          <w:color w:val="auto"/>
          <w:sz w:val="22"/>
          <w:szCs w:val="22"/>
          <w:u w:val="single"/>
        </w:rPr>
        <w:t>倾倒。应按图纸规定或发包人的指示在适当地点设置弃土场，有条件时，力求少占土地，并对弃土进行整治利用。</w:t>
      </w:r>
    </w:p>
    <w:p w14:paraId="3647E8E6">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2）当设置弃土堆时，应按相关规定执行。</w:t>
      </w:r>
    </w:p>
    <w:p w14:paraId="7C3865C4">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3</w:t>
      </w:r>
      <w:r>
        <w:rPr>
          <w:rFonts w:hint="eastAsia" w:ascii="宋体" w:hAnsi="宋体" w:cs="宋体"/>
          <w:color w:val="auto"/>
          <w:sz w:val="22"/>
          <w:szCs w:val="22"/>
          <w:u w:val="single"/>
          <w:lang w:eastAsia="zh-CN"/>
        </w:rPr>
        <w:t>）</w:t>
      </w:r>
      <w:r>
        <w:rPr>
          <w:rFonts w:hint="eastAsia" w:ascii="宋体" w:hAnsi="宋体" w:cs="宋体"/>
          <w:color w:val="auto"/>
          <w:sz w:val="22"/>
          <w:szCs w:val="22"/>
          <w:u w:val="single"/>
        </w:rPr>
        <w:t>桥梁施工过程中的泥浆及废弃物等，应在工程完工时即时清除干净，以免堵塞河道和妨碍交通，禁止直接排放到原有水系。</w:t>
      </w:r>
    </w:p>
    <w:p w14:paraId="4C0E5ED4">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4</w:t>
      </w:r>
      <w:r>
        <w:rPr>
          <w:rFonts w:hint="eastAsia" w:ascii="宋体" w:hAnsi="宋体" w:cs="宋体"/>
          <w:color w:val="auto"/>
          <w:sz w:val="22"/>
          <w:szCs w:val="22"/>
          <w:u w:val="single"/>
          <w:lang w:eastAsia="zh-CN"/>
        </w:rPr>
        <w:t>）</w:t>
      </w:r>
      <w:r>
        <w:rPr>
          <w:rFonts w:hint="eastAsia" w:ascii="宋体" w:hAnsi="宋体" w:cs="宋体"/>
          <w:color w:val="auto"/>
          <w:sz w:val="22"/>
          <w:szCs w:val="22"/>
          <w:u w:val="single"/>
        </w:rPr>
        <w:t>挖方工程及隧道工程的大型弃方场地，应采取以下水土保持措施：</w:t>
      </w:r>
    </w:p>
    <w:p w14:paraId="69542E18">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a.废方堆放点应统筹安排，堆放点应远离河道，尽量不要压盖植被，尽可能选择荒地；</w:t>
      </w:r>
    </w:p>
    <w:p w14:paraId="3B93961A">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b.及时对弃方进行压实，并在其表面植被覆盖。可以种植草皮、灌木或树木，达到防止水土流失、美化环境的目的；</w:t>
      </w:r>
    </w:p>
    <w:p w14:paraId="7F48DAA8">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c.尽可能对弃土方整平用作耕地；</w:t>
      </w:r>
    </w:p>
    <w:p w14:paraId="5B124B7F">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d.隧道度渣点应选择植被稀疏的荒地，弃渣的下部和边角宜砌筑拦渣坝或墙，以防止水土流失。</w:t>
      </w:r>
    </w:p>
    <w:p w14:paraId="2AAB1860">
      <w:pPr>
        <w:pStyle w:val="60"/>
        <w:spacing w:line="360" w:lineRule="exact"/>
        <w:ind w:firstLine="442" w:firstLineChars="200"/>
        <w:jc w:val="left"/>
        <w:rPr>
          <w:rFonts w:hint="eastAsia" w:ascii="宋体" w:hAnsi="宋体" w:cs="宋体"/>
          <w:b/>
          <w:color w:val="auto"/>
          <w:sz w:val="22"/>
          <w:szCs w:val="22"/>
        </w:rPr>
      </w:pPr>
      <w:r>
        <w:rPr>
          <w:rFonts w:hint="eastAsia" w:ascii="宋体" w:hAnsi="宋体" w:cs="宋体"/>
          <w:b/>
          <w:color w:val="auto"/>
          <w:sz w:val="22"/>
          <w:szCs w:val="22"/>
        </w:rPr>
        <w:t>三、防止和减轻水、大气受污染</w:t>
      </w:r>
    </w:p>
    <w:p w14:paraId="663B6821">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lang w:eastAsia="zh-CN"/>
        </w:rPr>
        <w:t>（1）</w:t>
      </w:r>
      <w:r>
        <w:rPr>
          <w:rFonts w:hint="eastAsia" w:ascii="宋体" w:hAnsi="宋体" w:cs="宋体"/>
          <w:color w:val="auto"/>
          <w:sz w:val="22"/>
          <w:szCs w:val="22"/>
          <w:u w:val="single"/>
        </w:rPr>
        <w:t>保护水质</w:t>
      </w:r>
    </w:p>
    <w:p w14:paraId="63637941">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1）施工废水、生活污水不得直接排入农田、耕地、灌溉渠和水库。严禁排入饮用水源。</w:t>
      </w:r>
    </w:p>
    <w:p w14:paraId="54C11233">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2）工程施工区域、砂石料场，在施工期间和完工以后，应妥善处理以减少对河道、溪流的侵蚀，防止沉渣进入河道或溪流。</w:t>
      </w:r>
    </w:p>
    <w:p w14:paraId="6582D8FA">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3）冲洗集料或含有沉积物的操作用水，应采取过滤、沉淀池处理或</w:t>
      </w:r>
      <w:r>
        <w:rPr>
          <w:rFonts w:hint="eastAsia" w:ascii="宋体" w:hAnsi="宋体" w:cs="宋体"/>
          <w:color w:val="auto"/>
          <w:sz w:val="22"/>
          <w:szCs w:val="22"/>
          <w:u w:val="single"/>
          <w:lang w:eastAsia="zh-CN"/>
        </w:rPr>
        <w:t>其他</w:t>
      </w:r>
      <w:r>
        <w:rPr>
          <w:rFonts w:hint="eastAsia" w:ascii="宋体" w:hAnsi="宋体" w:cs="宋体"/>
          <w:color w:val="auto"/>
          <w:sz w:val="22"/>
          <w:szCs w:val="22"/>
          <w:u w:val="single"/>
        </w:rPr>
        <w:t>措施，做到达标排放。</w:t>
      </w:r>
    </w:p>
    <w:p w14:paraId="714B6424">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4）施工期间，施工物料如水泥、油料、化学品等应堆放管理严格，防止在雨季或暴雨将物料随雨水径流排入地表及附近水域造成污染。</w:t>
      </w:r>
    </w:p>
    <w:p w14:paraId="729A3024">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5）施工机械应防止严重漏油，禁止机械在</w:t>
      </w:r>
      <w:r>
        <w:rPr>
          <w:rFonts w:hint="eastAsia" w:ascii="宋体" w:hAnsi="宋体" w:cs="宋体"/>
          <w:color w:val="auto"/>
          <w:sz w:val="22"/>
          <w:szCs w:val="22"/>
          <w:u w:val="single"/>
          <w:lang w:eastAsia="zh-CN"/>
        </w:rPr>
        <w:t>运转</w:t>
      </w:r>
      <w:r>
        <w:rPr>
          <w:rFonts w:hint="eastAsia" w:ascii="宋体" w:hAnsi="宋体" w:cs="宋体"/>
          <w:color w:val="auto"/>
          <w:sz w:val="22"/>
          <w:szCs w:val="22"/>
          <w:u w:val="single"/>
        </w:rPr>
        <w:t>中产生的油污水未经处理就直接排放，或维修施工机械时油污水直接排放。</w:t>
      </w:r>
    </w:p>
    <w:p w14:paraId="12C45CA6">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lang w:eastAsia="zh-CN"/>
        </w:rPr>
        <w:t>（2）</w:t>
      </w:r>
      <w:r>
        <w:rPr>
          <w:rFonts w:hint="eastAsia" w:ascii="宋体" w:hAnsi="宋体" w:cs="宋体"/>
          <w:color w:val="auto"/>
          <w:sz w:val="22"/>
          <w:szCs w:val="22"/>
          <w:u w:val="single"/>
        </w:rPr>
        <w:t>控制扬尘</w:t>
      </w:r>
    </w:p>
    <w:p w14:paraId="5D5E7829">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1）为了减少施工作业产生的灰尘，在施工区域内应随时进行洒水或其他抑尘措施，使不出现明显的降尘。</w:t>
      </w:r>
    </w:p>
    <w:p w14:paraId="7BCBA371">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2）易于引起粉尘的细料或松散料应予遮盖或适当洒水润湿。运输时应用帆布、盖套及类似遮盖物覆盖。</w:t>
      </w:r>
    </w:p>
    <w:p w14:paraId="6ABE3D47">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3）运转时有粉尘发生的施工场地，如水泥混凝土拌和机站</w:t>
      </w:r>
      <w:r>
        <w:rPr>
          <w:rFonts w:hint="eastAsia" w:ascii="宋体" w:hAnsi="宋体" w:cs="宋体"/>
          <w:color w:val="auto"/>
          <w:sz w:val="22"/>
          <w:szCs w:val="22"/>
          <w:u w:val="single"/>
          <w:lang w:eastAsia="zh-CN"/>
        </w:rPr>
        <w:t>（</w:t>
      </w:r>
      <w:r>
        <w:rPr>
          <w:rFonts w:hint="eastAsia" w:ascii="宋体" w:hAnsi="宋体" w:cs="宋体"/>
          <w:color w:val="auto"/>
          <w:sz w:val="22"/>
          <w:szCs w:val="22"/>
          <w:u w:val="single"/>
        </w:rPr>
        <w:t>场</w:t>
      </w:r>
      <w:r>
        <w:rPr>
          <w:rFonts w:hint="eastAsia" w:ascii="宋体" w:hAnsi="宋体" w:cs="宋体"/>
          <w:color w:val="auto"/>
          <w:sz w:val="22"/>
          <w:szCs w:val="22"/>
          <w:u w:val="single"/>
          <w:lang w:eastAsia="zh-CN"/>
        </w:rPr>
        <w:t>）</w:t>
      </w:r>
      <w:r>
        <w:rPr>
          <w:rFonts w:hint="eastAsia" w:ascii="宋体" w:hAnsi="宋体" w:cs="宋体"/>
          <w:color w:val="auto"/>
          <w:sz w:val="22"/>
          <w:szCs w:val="22"/>
          <w:u w:val="single"/>
        </w:rPr>
        <w:t>、大型轧石机场等投料器均应有防尘设备，在这些场所作业的工作人员，应配备必要的劳保防护用品。</w:t>
      </w:r>
    </w:p>
    <w:p w14:paraId="4B234A86">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4）如果承包商预防措施不力，并已对邻近的河流、湖泊、池塘、农田或卫生环境造成了危害，则由此而引起的一切损失及后果，应有承包商负责。</w:t>
      </w:r>
    </w:p>
    <w:p w14:paraId="133CD34F">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lang w:eastAsia="zh-CN"/>
        </w:rPr>
        <w:t>（3）</w:t>
      </w:r>
      <w:r>
        <w:rPr>
          <w:rFonts w:hint="eastAsia" w:ascii="宋体" w:hAnsi="宋体" w:cs="宋体"/>
          <w:color w:val="auto"/>
          <w:sz w:val="22"/>
          <w:szCs w:val="22"/>
          <w:u w:val="single"/>
        </w:rPr>
        <w:t>减少噪声、废气污染</w:t>
      </w:r>
    </w:p>
    <w:p w14:paraId="13972B65">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1）各种临时设施和场地，如堆料场、加工厂、轧石厂等距居民区不宜小于300 mm，而且应设于居民区主要风向的下风处。</w:t>
      </w:r>
    </w:p>
    <w:p w14:paraId="237E3066">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2）使用机械设备的工艺操作，要尽量减少噪声、废气等污染；建筑施工场地的噪声应符合《建筑施工场界噪声限值》</w:t>
      </w:r>
      <w:r>
        <w:rPr>
          <w:rFonts w:hint="eastAsia" w:ascii="宋体" w:hAnsi="宋体" w:cs="宋体"/>
          <w:color w:val="auto"/>
          <w:sz w:val="22"/>
          <w:szCs w:val="22"/>
          <w:u w:val="single"/>
          <w:lang w:eastAsia="zh-CN"/>
        </w:rPr>
        <w:t>（</w:t>
      </w:r>
      <w:r>
        <w:rPr>
          <w:rFonts w:hint="eastAsia" w:ascii="宋体" w:hAnsi="宋体" w:cs="宋体"/>
          <w:color w:val="auto"/>
          <w:sz w:val="22"/>
          <w:szCs w:val="22"/>
          <w:u w:val="single"/>
        </w:rPr>
        <w:t>GB 12523-1990</w:t>
      </w:r>
      <w:r>
        <w:rPr>
          <w:rFonts w:hint="eastAsia" w:ascii="宋体" w:hAnsi="宋体" w:cs="宋体"/>
          <w:color w:val="auto"/>
          <w:sz w:val="22"/>
          <w:szCs w:val="22"/>
          <w:u w:val="single"/>
          <w:lang w:eastAsia="zh-CN"/>
        </w:rPr>
        <w:t>）</w:t>
      </w:r>
      <w:r>
        <w:rPr>
          <w:rFonts w:hint="eastAsia" w:ascii="宋体" w:hAnsi="宋体" w:cs="宋体"/>
          <w:color w:val="auto"/>
          <w:sz w:val="22"/>
          <w:szCs w:val="22"/>
          <w:u w:val="single"/>
        </w:rPr>
        <w:t>的规定，并应遵守当地有关部门对夜间施工的规定。</w:t>
      </w:r>
    </w:p>
    <w:p w14:paraId="576331DA">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3</w:t>
      </w:r>
      <w:r>
        <w:rPr>
          <w:rFonts w:hint="eastAsia" w:ascii="宋体" w:hAnsi="宋体" w:cs="宋体"/>
          <w:color w:val="auto"/>
          <w:sz w:val="22"/>
          <w:szCs w:val="22"/>
          <w:u w:val="single"/>
          <w:lang w:eastAsia="zh-CN"/>
        </w:rPr>
        <w:t>）</w:t>
      </w:r>
      <w:r>
        <w:rPr>
          <w:rFonts w:hint="eastAsia" w:ascii="宋体" w:hAnsi="宋体" w:cs="宋体"/>
          <w:color w:val="auto"/>
          <w:sz w:val="22"/>
          <w:szCs w:val="22"/>
          <w:u w:val="single"/>
        </w:rPr>
        <w:t>如果承包商预防措施不力，并已对邻近区域的环境卫生造成了危害，则由此而引起的一切损失及后果，应有承包商负责。</w:t>
      </w:r>
    </w:p>
    <w:p w14:paraId="2BC1A8F1">
      <w:pPr>
        <w:pStyle w:val="60"/>
        <w:spacing w:line="360" w:lineRule="exact"/>
        <w:ind w:firstLine="442" w:firstLineChars="200"/>
        <w:jc w:val="left"/>
        <w:rPr>
          <w:rFonts w:hint="eastAsia" w:ascii="宋体" w:hAnsi="宋体" w:cs="宋体"/>
          <w:b/>
          <w:color w:val="auto"/>
          <w:sz w:val="22"/>
          <w:szCs w:val="22"/>
        </w:rPr>
      </w:pPr>
      <w:r>
        <w:rPr>
          <w:rFonts w:hint="eastAsia" w:ascii="宋体" w:hAnsi="宋体" w:cs="宋体"/>
          <w:b/>
          <w:color w:val="auto"/>
          <w:sz w:val="22"/>
          <w:szCs w:val="22"/>
        </w:rPr>
        <w:t>四、保护绿色植被</w:t>
      </w:r>
    </w:p>
    <w:p w14:paraId="33217CB9">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lang w:eastAsia="zh-CN"/>
        </w:rPr>
        <w:t>（1）</w:t>
      </w:r>
      <w:r>
        <w:rPr>
          <w:rFonts w:hint="eastAsia" w:ascii="宋体" w:hAnsi="宋体" w:cs="宋体"/>
          <w:color w:val="auto"/>
          <w:sz w:val="22"/>
          <w:szCs w:val="22"/>
          <w:u w:val="single"/>
        </w:rPr>
        <w:t>承包商应尽量保护公路用地范围之外的现有绿色植被。若因修建临时工程破坏了现有的绿色植被，应负责在拆除临时工程时予以恢复。</w:t>
      </w:r>
    </w:p>
    <w:p w14:paraId="359D7767">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lang w:eastAsia="zh-CN"/>
        </w:rPr>
        <w:t>（2）</w:t>
      </w:r>
      <w:r>
        <w:rPr>
          <w:rFonts w:hint="eastAsia" w:ascii="宋体" w:hAnsi="宋体" w:cs="宋体"/>
          <w:color w:val="auto"/>
          <w:sz w:val="22"/>
          <w:szCs w:val="22"/>
          <w:u w:val="single"/>
        </w:rPr>
        <w:t>要保护道路两旁的古树、名木和法定保护的树种，即使处在用地范围内，有可能时也要尽量设法保护。</w:t>
      </w:r>
    </w:p>
    <w:p w14:paraId="7BB8F039">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lang w:eastAsia="zh-CN"/>
        </w:rPr>
        <w:t>（3）</w:t>
      </w:r>
      <w:r>
        <w:rPr>
          <w:rFonts w:hint="eastAsia" w:ascii="宋体" w:hAnsi="宋体" w:cs="宋体"/>
          <w:color w:val="auto"/>
          <w:sz w:val="22"/>
          <w:szCs w:val="22"/>
          <w:u w:val="single"/>
        </w:rPr>
        <w:t>施工期间工程破坏植被的面积应严格控制，除了不可避免的工程占地、砍伐以外，不应再发生</w:t>
      </w:r>
      <w:r>
        <w:rPr>
          <w:rFonts w:hint="eastAsia" w:ascii="宋体" w:hAnsi="宋体" w:cs="宋体"/>
          <w:color w:val="auto"/>
          <w:sz w:val="22"/>
          <w:szCs w:val="22"/>
          <w:u w:val="single"/>
          <w:lang w:eastAsia="zh-CN"/>
        </w:rPr>
        <w:t>其他形式的</w:t>
      </w:r>
      <w:r>
        <w:rPr>
          <w:rFonts w:hint="eastAsia" w:ascii="宋体" w:hAnsi="宋体" w:cs="宋体"/>
          <w:color w:val="auto"/>
          <w:sz w:val="22"/>
          <w:szCs w:val="22"/>
          <w:u w:val="single"/>
        </w:rPr>
        <w:t>人为破坏。</w:t>
      </w:r>
    </w:p>
    <w:p w14:paraId="5492B017">
      <w:pPr>
        <w:pStyle w:val="40"/>
        <w:spacing w:line="360" w:lineRule="exact"/>
        <w:ind w:firstLine="440" w:firstLineChars="200"/>
        <w:jc w:val="left"/>
        <w:rPr>
          <w:rFonts w:hint="eastAsia" w:ascii="宋体" w:hAnsi="宋体" w:cs="宋体"/>
          <w:color w:val="auto"/>
          <w:sz w:val="22"/>
          <w:u w:val="single"/>
        </w:rPr>
      </w:pPr>
    </w:p>
    <w:bookmarkEnd w:id="383"/>
    <w:bookmarkEnd w:id="384"/>
    <w:bookmarkEnd w:id="385"/>
    <w:bookmarkEnd w:id="386"/>
    <w:bookmarkEnd w:id="387"/>
    <w:bookmarkEnd w:id="388"/>
    <w:bookmarkEnd w:id="389"/>
    <w:p w14:paraId="2B0DEA7D">
      <w:pPr>
        <w:pStyle w:val="70"/>
        <w:spacing w:before="0" w:after="0" w:line="360" w:lineRule="exact"/>
        <w:ind w:firstLine="442" w:firstLineChars="200"/>
        <w:rPr>
          <w:rFonts w:hint="eastAsia" w:ascii="宋体" w:hAnsi="宋体" w:cs="宋体"/>
          <w:color w:val="auto"/>
          <w:sz w:val="22"/>
          <w:szCs w:val="22"/>
        </w:rPr>
      </w:pPr>
      <w:bookmarkStart w:id="409" w:name="_Toc389065288"/>
      <w:bookmarkStart w:id="410" w:name="_Toc12975912"/>
      <w:bookmarkStart w:id="411" w:name="_Toc373478369"/>
      <w:bookmarkStart w:id="412" w:name="_Toc351203639"/>
      <w:bookmarkStart w:id="413" w:name="_Toc373227722"/>
      <w:bookmarkStart w:id="414" w:name="_Toc533432747"/>
      <w:bookmarkStart w:id="415" w:name="_Toc395382524"/>
      <w:r>
        <w:rPr>
          <w:rFonts w:hint="eastAsia" w:ascii="宋体" w:hAnsi="宋体" w:cs="宋体"/>
          <w:color w:val="auto"/>
          <w:sz w:val="22"/>
          <w:szCs w:val="22"/>
        </w:rPr>
        <w:t>7. 工期和进度</w:t>
      </w:r>
      <w:bookmarkEnd w:id="409"/>
      <w:bookmarkEnd w:id="410"/>
      <w:bookmarkEnd w:id="411"/>
      <w:bookmarkEnd w:id="412"/>
      <w:bookmarkEnd w:id="413"/>
      <w:bookmarkEnd w:id="414"/>
      <w:bookmarkEnd w:id="415"/>
    </w:p>
    <w:p w14:paraId="69850ABE">
      <w:pPr>
        <w:pStyle w:val="39"/>
        <w:spacing w:line="360" w:lineRule="exact"/>
        <w:ind w:firstLine="442" w:firstLineChars="200"/>
        <w:rPr>
          <w:rFonts w:hint="eastAsia" w:ascii="宋体" w:hAnsi="宋体" w:cs="宋体"/>
          <w:color w:val="auto"/>
          <w:sz w:val="22"/>
          <w:szCs w:val="22"/>
        </w:rPr>
      </w:pPr>
      <w:bookmarkStart w:id="416" w:name="_Toc533432748"/>
      <w:bookmarkStart w:id="417" w:name="_Toc373478370"/>
      <w:bookmarkStart w:id="418" w:name="_Toc12975913"/>
      <w:bookmarkStart w:id="419" w:name="_Toc389065289"/>
      <w:bookmarkStart w:id="420" w:name="_Toc373227723"/>
      <w:bookmarkStart w:id="421" w:name="_Toc395382525"/>
      <w:r>
        <w:rPr>
          <w:rFonts w:hint="eastAsia" w:ascii="宋体" w:hAnsi="宋体" w:cs="宋体"/>
          <w:color w:val="auto"/>
          <w:sz w:val="22"/>
          <w:szCs w:val="22"/>
        </w:rPr>
        <w:t>7.1 施工组织设计</w:t>
      </w:r>
      <w:bookmarkEnd w:id="416"/>
      <w:bookmarkEnd w:id="417"/>
      <w:bookmarkEnd w:id="418"/>
      <w:bookmarkEnd w:id="419"/>
      <w:bookmarkEnd w:id="420"/>
      <w:bookmarkEnd w:id="421"/>
    </w:p>
    <w:p w14:paraId="0AE7A505">
      <w:pPr>
        <w:pStyle w:val="60"/>
        <w:spacing w:line="360" w:lineRule="exact"/>
        <w:ind w:firstLine="440" w:firstLineChars="200"/>
        <w:rPr>
          <w:rFonts w:hint="eastAsia" w:ascii="宋体" w:hAnsi="宋体" w:cs="宋体"/>
          <w:color w:val="auto"/>
          <w:sz w:val="22"/>
          <w:szCs w:val="22"/>
          <w:u w:val="single"/>
        </w:rPr>
      </w:pPr>
      <w:r>
        <w:rPr>
          <w:rFonts w:hint="eastAsia" w:ascii="宋体" w:hAnsi="宋体" w:cs="宋体"/>
          <w:color w:val="auto"/>
          <w:sz w:val="22"/>
          <w:szCs w:val="22"/>
        </w:rPr>
        <w:t>7.1.1 合</w:t>
      </w:r>
      <w:r>
        <w:rPr>
          <w:rFonts w:hint="eastAsia" w:ascii="宋体" w:hAnsi="宋体" w:cs="宋体"/>
          <w:color w:val="auto"/>
          <w:kern w:val="0"/>
          <w:sz w:val="22"/>
          <w:szCs w:val="22"/>
        </w:rPr>
        <w:t>同当事人约定的施工组织设计应包括的其他内容：</w:t>
      </w:r>
      <w:r>
        <w:rPr>
          <w:rFonts w:hint="eastAsia" w:ascii="宋体" w:hAnsi="宋体" w:cs="宋体"/>
          <w:color w:val="auto"/>
          <w:sz w:val="22"/>
          <w:szCs w:val="22"/>
          <w:u w:val="single"/>
        </w:rPr>
        <w:t xml:space="preserve">  按磋商文件约定，磋商文件无约定的按通用合同条款或双方另行约定 。</w:t>
      </w:r>
      <w:r>
        <w:rPr>
          <w:rFonts w:hint="eastAsia" w:ascii="宋体" w:hAnsi="宋体" w:cs="宋体"/>
          <w:b/>
          <w:bCs/>
          <w:color w:val="auto"/>
          <w:sz w:val="22"/>
          <w:szCs w:val="22"/>
          <w:u w:val="single"/>
        </w:rPr>
        <w:t>如实际施工时发现承包人提供的施工组织设计方案存在缺陷，发包人可要求其对方案进行完善、修改，承包人必须无条件执行，直到发包人、监理人批准通过，承包人不能以施工组织设计方案调整为由要求调整合同单价子目单价或总价子目合价，也不能以此为由提出任何变更或索赔。发包人、监理人认为有必要，承包人除完善施工组织设计以外，还需编制临时工程或永久性工程的专项方案。但发包人及监理人的任何同意并不减轻或免除承包人的任何责任</w:t>
      </w:r>
      <w:r>
        <w:rPr>
          <w:rFonts w:hint="eastAsia" w:ascii="宋体" w:hAnsi="宋体" w:cs="宋体"/>
          <w:color w:val="auto"/>
          <w:sz w:val="22"/>
          <w:szCs w:val="22"/>
          <w:u w:val="single"/>
        </w:rPr>
        <w:t xml:space="preserve">   </w:t>
      </w:r>
      <w:r>
        <w:rPr>
          <w:rFonts w:hint="eastAsia" w:ascii="宋体" w:hAnsi="宋体" w:cs="宋体"/>
          <w:color w:val="auto"/>
          <w:sz w:val="22"/>
          <w:szCs w:val="22"/>
        </w:rPr>
        <w:t>。</w:t>
      </w:r>
    </w:p>
    <w:p w14:paraId="108AE6C7">
      <w:pPr>
        <w:pStyle w:val="40"/>
        <w:autoSpaceDE w:val="0"/>
        <w:autoSpaceDN w:val="0"/>
        <w:adjustRightInd w:val="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sz w:val="22"/>
        </w:rPr>
        <w:t xml:space="preserve">7.1.2 </w:t>
      </w:r>
      <w:r>
        <w:rPr>
          <w:rFonts w:hint="eastAsia" w:ascii="宋体" w:hAnsi="宋体" w:cs="宋体"/>
          <w:color w:val="auto"/>
          <w:kern w:val="0"/>
          <w:sz w:val="22"/>
        </w:rPr>
        <w:t>施工组织设计的提交和修改</w:t>
      </w:r>
    </w:p>
    <w:p w14:paraId="4F06245A">
      <w:pPr>
        <w:pStyle w:val="40"/>
        <w:autoSpaceDE w:val="0"/>
        <w:autoSpaceDN w:val="0"/>
        <w:adjustRightInd w:val="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kern w:val="0"/>
          <w:sz w:val="22"/>
        </w:rPr>
        <w:t>承包人提交详细施工组织设计的期限的约定：</w:t>
      </w:r>
      <w:r>
        <w:rPr>
          <w:rFonts w:hint="eastAsia" w:ascii="宋体" w:hAnsi="宋体" w:cs="宋体"/>
          <w:color w:val="auto"/>
          <w:sz w:val="22"/>
          <w:u w:val="single"/>
        </w:rPr>
        <w:t>开工前7天</w:t>
      </w:r>
      <w:r>
        <w:rPr>
          <w:rFonts w:hint="eastAsia" w:ascii="宋体" w:hAnsi="宋体" w:cs="宋体"/>
          <w:color w:val="auto"/>
          <w:sz w:val="22"/>
        </w:rPr>
        <w:t>。</w:t>
      </w:r>
    </w:p>
    <w:p w14:paraId="1170D5B8">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发包人和监理人在收到详细的施工组织设计后确认或提出修改意见的期限：</w:t>
      </w:r>
      <w:r>
        <w:rPr>
          <w:rFonts w:hint="eastAsia" w:ascii="宋体" w:hAnsi="宋体" w:cs="宋体"/>
          <w:color w:val="auto"/>
          <w:sz w:val="22"/>
          <w:u w:val="single"/>
        </w:rPr>
        <w:t>收到后5天内</w:t>
      </w:r>
      <w:r>
        <w:rPr>
          <w:rFonts w:hint="eastAsia" w:ascii="宋体" w:hAnsi="宋体" w:cs="宋体"/>
          <w:color w:val="auto"/>
          <w:sz w:val="22"/>
        </w:rPr>
        <w:t>。</w:t>
      </w:r>
    </w:p>
    <w:p w14:paraId="3AE0778A">
      <w:pPr>
        <w:pStyle w:val="6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1）承包人应在合同生效后14天内（但至迟不得晚于开工日期前7天），承包人应编制详细的施工进度计划、施工组织设计和施工方案说明以及详细的分阶段或分项进度计划报送监理人和发包人审查批准，该施工进度计划须涵盖整个工程施工各阶段的详细施工计划安排（包括主要材料采购及人员进场计划）。该详细施工进度计划应采用P3E/C或Project2000以上版本软件编制。监理人和发包人的批准或回复意见，不解除承包人的任何责任。其中，施工组织设计不应对磋商文件的施工组织设计做实质性改变，只能是对其进一步细化。同时，在施工过程中，承包人应按发包人的要求提交发包人认为有必要进一步细化的方案和操作规程的文件。施工组织设计应当说明相应的施工方案、流程、人员组织、技术、设备力量、技术措施、质量保证措施、进度控制措施、安全生产的技术组织措施，经发包人审核批准后执行。施工组织设计中应有明确的施工组织机构图，应建立以其项目经理为核心的进度控制体系，并明确落实包括项目经理、技术负责人、各专业工程师、质检员、安全员在内的各具体负责人员。组织机构中必须设置进度控制部门并配置具有相应资历的人员；并且项目经理、质检员、安全员必须是专职人员，不得兼职。</w:t>
      </w:r>
    </w:p>
    <w:p w14:paraId="24560B6C">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（2）承包人提供的劳力和施工机械应不低于磋商文件或经批准的施工组织设计中承诺的标准</w:t>
      </w:r>
      <w:r>
        <w:rPr>
          <w:rFonts w:hint="eastAsia" w:ascii="宋体" w:hAnsi="宋体" w:cs="宋体"/>
          <w:color w:val="auto"/>
          <w:sz w:val="22"/>
          <w:szCs w:val="22"/>
          <w:lang w:eastAsia="zh-CN"/>
        </w:rPr>
        <w:t>，</w:t>
      </w:r>
      <w:r>
        <w:rPr>
          <w:rFonts w:hint="eastAsia" w:ascii="宋体" w:hAnsi="宋体" w:cs="宋体"/>
          <w:color w:val="auto"/>
          <w:sz w:val="22"/>
          <w:szCs w:val="22"/>
        </w:rPr>
        <w:t>以实现工程进度的需要。承包人应按发包人代表要求的格式和时间填写劳力和施工机械报表并呈送，该报表详细说明承包人及其分包人在各个时期雇用在现场的各类劳力数量、管理</w:t>
      </w:r>
      <w:r>
        <w:rPr>
          <w:rFonts w:hint="eastAsia" w:ascii="宋体" w:hAnsi="宋体" w:cs="宋体"/>
          <w:color w:val="auto"/>
          <w:sz w:val="22"/>
          <w:szCs w:val="22"/>
          <w:lang w:val="en-US" w:eastAsia="zh-CN"/>
        </w:rPr>
        <w:t>人员</w:t>
      </w:r>
      <w:r>
        <w:rPr>
          <w:rFonts w:hint="eastAsia" w:ascii="宋体" w:hAnsi="宋体" w:cs="宋体"/>
          <w:color w:val="auto"/>
          <w:sz w:val="22"/>
          <w:szCs w:val="22"/>
        </w:rPr>
        <w:t>姓名、以及施工机械，包括但不限于名称及识别号码，这些号码应在施工机械的明显位置上，并指示出它是自备的还是租用的。对于承包人投入本工程的施工机械，在发包人要求时，承包人应向发包人提供该施工机械的所有权或使用权归属于承包人的证明。对于承包人投入本工程的</w:t>
      </w:r>
      <w:r>
        <w:rPr>
          <w:rFonts w:hint="eastAsia" w:ascii="宋体" w:hAnsi="宋体" w:cs="宋体"/>
          <w:color w:val="auto"/>
          <w:sz w:val="22"/>
          <w:szCs w:val="22"/>
          <w:lang w:val="en-US" w:eastAsia="zh-CN"/>
        </w:rPr>
        <w:t>劳动力</w:t>
      </w:r>
      <w:r>
        <w:rPr>
          <w:rFonts w:hint="eastAsia" w:ascii="宋体" w:hAnsi="宋体" w:cs="宋体"/>
          <w:color w:val="auto"/>
          <w:sz w:val="22"/>
          <w:szCs w:val="22"/>
        </w:rPr>
        <w:t>，在发包人要求时，承包人应向发包人提供雇佣证明，其中：承包人自有雇员：应提供劳动合同（或聘用合同）或该人员在承包人单位半年以上社保缴费证明；劳务分包人的雇员：应提供劳务分包合同；劳务分包人的雇员的人身意外伤害保险投保证明。承包人未按要求提供前述机械和人员的真实有效的证明文件的，视为承包人未足额投入劳力和施工机械，发包人有权参照本合同中承包人未能按约定足额投入劳力和施工机械的条款处理。</w:t>
      </w:r>
    </w:p>
    <w:p w14:paraId="28387C76">
      <w:pPr>
        <w:pStyle w:val="39"/>
        <w:spacing w:line="360" w:lineRule="exact"/>
        <w:ind w:firstLine="442" w:firstLineChars="200"/>
        <w:rPr>
          <w:rFonts w:hint="eastAsia" w:ascii="宋体" w:hAnsi="宋体" w:cs="宋体"/>
          <w:color w:val="auto"/>
          <w:sz w:val="22"/>
          <w:szCs w:val="22"/>
        </w:rPr>
      </w:pPr>
      <w:bookmarkStart w:id="422" w:name="_Toc533432749"/>
      <w:bookmarkStart w:id="423" w:name="_Toc389065290"/>
      <w:bookmarkStart w:id="424" w:name="_Toc395382526"/>
      <w:bookmarkStart w:id="425" w:name="_Toc373478371"/>
      <w:bookmarkStart w:id="426" w:name="_Toc373227724"/>
      <w:bookmarkStart w:id="427" w:name="_Toc12975914"/>
      <w:r>
        <w:rPr>
          <w:rFonts w:hint="eastAsia" w:ascii="宋体" w:hAnsi="宋体" w:cs="宋体"/>
          <w:color w:val="auto"/>
          <w:sz w:val="22"/>
          <w:szCs w:val="22"/>
        </w:rPr>
        <w:t>7</w:t>
      </w:r>
      <w:bookmarkStart w:id="428" w:name="_Toc303539123"/>
      <w:bookmarkStart w:id="429" w:name="_Toc297216173"/>
      <w:bookmarkStart w:id="430" w:name="_Toc300934966"/>
      <w:bookmarkStart w:id="431" w:name="_Toc304295541"/>
      <w:bookmarkStart w:id="432" w:name="_Toc297123514"/>
      <w:bookmarkStart w:id="433" w:name="_Toc312677479"/>
      <w:bookmarkStart w:id="434" w:name="_Toc312678005"/>
      <w:r>
        <w:rPr>
          <w:rFonts w:hint="eastAsia" w:ascii="宋体" w:hAnsi="宋体" w:cs="宋体"/>
          <w:color w:val="auto"/>
          <w:sz w:val="22"/>
          <w:szCs w:val="22"/>
        </w:rPr>
        <w:t>.2 施工进度计划</w:t>
      </w:r>
      <w:bookmarkEnd w:id="422"/>
      <w:bookmarkEnd w:id="423"/>
      <w:bookmarkEnd w:id="424"/>
      <w:bookmarkEnd w:id="425"/>
      <w:bookmarkEnd w:id="426"/>
      <w:bookmarkEnd w:id="427"/>
    </w:p>
    <w:p w14:paraId="12DF8E59">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7.2.2 施工进度计划的修订</w:t>
      </w:r>
    </w:p>
    <w:p w14:paraId="663AD69C">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发包人和监理人在收到修订的施工进度计划后确认或提出修改意见的期限：</w:t>
      </w:r>
      <w:r>
        <w:rPr>
          <w:rFonts w:hint="eastAsia" w:ascii="宋体" w:hAnsi="宋体" w:cs="宋体"/>
          <w:color w:val="auto"/>
          <w:sz w:val="22"/>
          <w:u w:val="single"/>
        </w:rPr>
        <w:t>收到后5天内</w:t>
      </w:r>
      <w:r>
        <w:rPr>
          <w:rFonts w:hint="eastAsia" w:ascii="宋体" w:hAnsi="宋体" w:cs="宋体"/>
          <w:color w:val="auto"/>
          <w:sz w:val="22"/>
        </w:rPr>
        <w:t>。</w:t>
      </w:r>
    </w:p>
    <w:p w14:paraId="5EDCF539">
      <w:pPr>
        <w:pStyle w:val="39"/>
        <w:spacing w:line="360" w:lineRule="exact"/>
        <w:ind w:firstLine="442" w:firstLineChars="200"/>
        <w:rPr>
          <w:rFonts w:hint="eastAsia" w:ascii="宋体" w:hAnsi="宋体" w:cs="宋体"/>
          <w:color w:val="auto"/>
          <w:sz w:val="22"/>
          <w:szCs w:val="22"/>
        </w:rPr>
      </w:pPr>
      <w:bookmarkStart w:id="435" w:name="_Toc395382527"/>
      <w:bookmarkStart w:id="436" w:name="_Toc373478372"/>
      <w:bookmarkStart w:id="437" w:name="_Toc373227725"/>
      <w:bookmarkStart w:id="438" w:name="_Toc389065291"/>
      <w:bookmarkStart w:id="439" w:name="_Toc12975915"/>
      <w:bookmarkStart w:id="440" w:name="_Toc533432750"/>
      <w:r>
        <w:rPr>
          <w:rFonts w:hint="eastAsia" w:ascii="宋体" w:hAnsi="宋体" w:cs="宋体"/>
          <w:color w:val="auto"/>
          <w:sz w:val="22"/>
          <w:szCs w:val="22"/>
        </w:rPr>
        <w:t>7.3 开工</w:t>
      </w:r>
      <w:bookmarkEnd w:id="435"/>
      <w:bookmarkEnd w:id="436"/>
      <w:bookmarkEnd w:id="437"/>
      <w:bookmarkEnd w:id="438"/>
      <w:bookmarkEnd w:id="439"/>
      <w:bookmarkEnd w:id="440"/>
    </w:p>
    <w:p w14:paraId="157779C4">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7.3.1 开工准备</w:t>
      </w:r>
    </w:p>
    <w:p w14:paraId="608AE206">
      <w:pPr>
        <w:pStyle w:val="4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sz w:val="22"/>
        </w:rPr>
        <w:t>关于承包人提交</w:t>
      </w:r>
      <w:r>
        <w:rPr>
          <w:rFonts w:hint="eastAsia" w:ascii="宋体" w:hAnsi="宋体" w:cs="宋体"/>
          <w:color w:val="auto"/>
          <w:kern w:val="0"/>
          <w:sz w:val="22"/>
        </w:rPr>
        <w:t>工程开工报审表的期限：</w:t>
      </w:r>
      <w:r>
        <w:rPr>
          <w:rFonts w:hint="eastAsia" w:ascii="宋体" w:hAnsi="宋体" w:cs="宋体"/>
          <w:color w:val="auto"/>
          <w:sz w:val="22"/>
          <w:u w:val="single"/>
        </w:rPr>
        <w:t>开工前7天</w:t>
      </w:r>
      <w:r>
        <w:rPr>
          <w:rFonts w:hint="eastAsia" w:ascii="宋体" w:hAnsi="宋体" w:cs="宋体"/>
          <w:color w:val="auto"/>
          <w:sz w:val="22"/>
        </w:rPr>
        <w:t>。</w:t>
      </w:r>
    </w:p>
    <w:p w14:paraId="0511D822">
      <w:pPr>
        <w:pStyle w:val="4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sz w:val="22"/>
        </w:rPr>
        <w:t>关于发包人应完成的其他开工准备工作及期限：</w:t>
      </w:r>
      <w:r>
        <w:rPr>
          <w:rFonts w:hint="eastAsia" w:ascii="宋体" w:hAnsi="宋体" w:cs="宋体"/>
          <w:color w:val="auto"/>
          <w:sz w:val="22"/>
          <w:u w:val="single"/>
        </w:rPr>
        <w:t>开工前7天</w:t>
      </w:r>
      <w:r>
        <w:rPr>
          <w:rFonts w:hint="eastAsia" w:ascii="宋体" w:hAnsi="宋体" w:cs="宋体"/>
          <w:color w:val="auto"/>
          <w:sz w:val="22"/>
        </w:rPr>
        <w:t>。</w:t>
      </w:r>
    </w:p>
    <w:p w14:paraId="2592FEBB">
      <w:pPr>
        <w:pStyle w:val="4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sz w:val="22"/>
        </w:rPr>
        <w:t>关于承包人应完成的其他开工准备工作及期限：</w:t>
      </w:r>
      <w:r>
        <w:rPr>
          <w:rFonts w:hint="eastAsia" w:ascii="宋体" w:hAnsi="宋体" w:cs="宋体"/>
          <w:color w:val="auto"/>
          <w:sz w:val="22"/>
          <w:u w:val="single"/>
        </w:rPr>
        <w:t>开工前3天</w:t>
      </w:r>
      <w:r>
        <w:rPr>
          <w:rFonts w:hint="eastAsia" w:ascii="宋体" w:hAnsi="宋体" w:cs="宋体"/>
          <w:color w:val="auto"/>
          <w:sz w:val="22"/>
        </w:rPr>
        <w:t>。</w:t>
      </w:r>
    </w:p>
    <w:p w14:paraId="51D9AD6D">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7.3.2 开工通知</w:t>
      </w:r>
    </w:p>
    <w:p w14:paraId="3F355D45">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因发包人原因造成监理人未能在计划开工日期之日起</w:t>
      </w:r>
      <w:r>
        <w:rPr>
          <w:rFonts w:hint="eastAsia" w:ascii="宋体" w:hAnsi="宋体" w:cs="宋体"/>
          <w:color w:val="auto"/>
          <w:sz w:val="22"/>
          <w:u w:val="single"/>
        </w:rPr>
        <w:t xml:space="preserve"> 90 </w:t>
      </w:r>
      <w:r>
        <w:rPr>
          <w:rFonts w:hint="eastAsia" w:ascii="宋体" w:hAnsi="宋体" w:cs="宋体"/>
          <w:color w:val="auto"/>
          <w:sz w:val="22"/>
        </w:rPr>
        <w:t>天内发出开工通知的，承包人有权提出价格调整要求，或者解除合同。</w:t>
      </w:r>
    </w:p>
    <w:bookmarkEnd w:id="428"/>
    <w:bookmarkEnd w:id="429"/>
    <w:bookmarkEnd w:id="430"/>
    <w:bookmarkEnd w:id="431"/>
    <w:bookmarkEnd w:id="432"/>
    <w:bookmarkEnd w:id="433"/>
    <w:bookmarkEnd w:id="434"/>
    <w:p w14:paraId="4982787A">
      <w:pPr>
        <w:pStyle w:val="39"/>
        <w:spacing w:line="360" w:lineRule="exact"/>
        <w:ind w:firstLine="442" w:firstLineChars="200"/>
        <w:rPr>
          <w:rFonts w:hint="eastAsia" w:ascii="宋体" w:hAnsi="宋体" w:cs="宋体"/>
          <w:color w:val="auto"/>
          <w:sz w:val="22"/>
          <w:szCs w:val="22"/>
        </w:rPr>
      </w:pPr>
      <w:bookmarkStart w:id="441" w:name="_Toc389065292"/>
      <w:bookmarkStart w:id="442" w:name="_Toc12975916"/>
      <w:bookmarkStart w:id="443" w:name="_Toc395382528"/>
      <w:bookmarkStart w:id="444" w:name="_Toc373478373"/>
      <w:bookmarkStart w:id="445" w:name="_Toc373227726"/>
      <w:bookmarkStart w:id="446" w:name="_Toc533432751"/>
      <w:r>
        <w:rPr>
          <w:rFonts w:hint="eastAsia" w:ascii="宋体" w:hAnsi="宋体" w:cs="宋体"/>
          <w:color w:val="auto"/>
          <w:sz w:val="22"/>
          <w:szCs w:val="22"/>
        </w:rPr>
        <w:t>7.4 测量放线</w:t>
      </w:r>
      <w:bookmarkEnd w:id="441"/>
      <w:bookmarkEnd w:id="442"/>
      <w:bookmarkEnd w:id="443"/>
      <w:bookmarkEnd w:id="444"/>
      <w:bookmarkEnd w:id="445"/>
      <w:bookmarkEnd w:id="446"/>
    </w:p>
    <w:p w14:paraId="6EFF42A2">
      <w:pPr>
        <w:pStyle w:val="4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rPr>
        <w:t>7.4.1发包人通过监理人向承包人提供测量基准点、基准线和水准点及其书面资料的期限：</w:t>
      </w:r>
      <w:r>
        <w:rPr>
          <w:rFonts w:hint="eastAsia" w:ascii="宋体" w:hAnsi="宋体" w:cs="宋体"/>
          <w:color w:val="auto"/>
          <w:sz w:val="22"/>
          <w:szCs w:val="22"/>
          <w:u w:val="single"/>
        </w:rPr>
        <w:t>计划开工日期之日起7天内提供测量基准点和水准点，测量基准点和水准点距离本项目最近红线距离小于2km。如承包人需发包人增加测量基准点和水准点时，每增加一个点需向发包人支付1万元</w:t>
      </w:r>
      <w:r>
        <w:rPr>
          <w:rFonts w:hint="eastAsia" w:ascii="宋体" w:hAnsi="宋体" w:cs="宋体"/>
          <w:color w:val="auto"/>
          <w:sz w:val="22"/>
          <w:szCs w:val="22"/>
        </w:rPr>
        <w:t>。</w:t>
      </w:r>
    </w:p>
    <w:p w14:paraId="166C9534">
      <w:pPr>
        <w:pStyle w:val="39"/>
        <w:spacing w:line="360" w:lineRule="exact"/>
        <w:ind w:firstLine="442" w:firstLineChars="200"/>
        <w:rPr>
          <w:rFonts w:hint="eastAsia" w:ascii="宋体" w:hAnsi="宋体" w:cs="宋体"/>
          <w:color w:val="auto"/>
          <w:sz w:val="22"/>
          <w:szCs w:val="22"/>
        </w:rPr>
      </w:pPr>
      <w:bookmarkStart w:id="447" w:name="_Toc395382529"/>
      <w:bookmarkStart w:id="448" w:name="_Toc373478374"/>
      <w:bookmarkStart w:id="449" w:name="_Toc389065293"/>
      <w:bookmarkStart w:id="450" w:name="_Toc12975917"/>
      <w:bookmarkStart w:id="451" w:name="_Toc373227727"/>
      <w:bookmarkStart w:id="452" w:name="_Toc533432752"/>
      <w:r>
        <w:rPr>
          <w:rFonts w:hint="eastAsia" w:ascii="宋体" w:hAnsi="宋体" w:cs="宋体"/>
          <w:color w:val="auto"/>
          <w:sz w:val="22"/>
          <w:szCs w:val="22"/>
        </w:rPr>
        <w:t>7</w:t>
      </w:r>
      <w:bookmarkStart w:id="453" w:name="_Toc303539125"/>
      <w:bookmarkStart w:id="454" w:name="_Toc300934968"/>
      <w:bookmarkStart w:id="455" w:name="_Toc297216175"/>
      <w:bookmarkStart w:id="456" w:name="_Toc312677484"/>
      <w:bookmarkStart w:id="457" w:name="_Toc304295546"/>
      <w:bookmarkStart w:id="458" w:name="_Toc297123516"/>
      <w:bookmarkStart w:id="459" w:name="_Toc312678010"/>
      <w:r>
        <w:rPr>
          <w:rFonts w:hint="eastAsia" w:ascii="宋体" w:hAnsi="宋体" w:cs="宋体"/>
          <w:color w:val="auto"/>
          <w:sz w:val="22"/>
          <w:szCs w:val="22"/>
        </w:rPr>
        <w:t>.5 工期延误</w:t>
      </w:r>
      <w:bookmarkEnd w:id="447"/>
      <w:bookmarkEnd w:id="448"/>
      <w:bookmarkEnd w:id="449"/>
      <w:bookmarkEnd w:id="450"/>
      <w:bookmarkEnd w:id="451"/>
      <w:bookmarkEnd w:id="452"/>
    </w:p>
    <w:bookmarkEnd w:id="453"/>
    <w:bookmarkEnd w:id="454"/>
    <w:bookmarkEnd w:id="455"/>
    <w:bookmarkEnd w:id="456"/>
    <w:bookmarkEnd w:id="457"/>
    <w:bookmarkEnd w:id="458"/>
    <w:bookmarkEnd w:id="459"/>
    <w:p w14:paraId="3E816BE8">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7.5.1 因发包人原因导致工期延误</w:t>
      </w:r>
    </w:p>
    <w:p w14:paraId="73AF6CF8">
      <w:pPr>
        <w:pStyle w:val="4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sz w:val="22"/>
        </w:rPr>
        <w:t>（7）因发包人原因导致工期延误的其他情形：</w:t>
      </w:r>
      <w:r>
        <w:rPr>
          <w:rFonts w:hint="eastAsia" w:ascii="宋体" w:hAnsi="宋体" w:cs="宋体"/>
          <w:color w:val="auto"/>
          <w:sz w:val="22"/>
          <w:u w:val="single"/>
        </w:rPr>
        <w:t>①图纸变更影响关</w:t>
      </w:r>
      <w:r>
        <w:rPr>
          <w:rFonts w:hint="eastAsia" w:ascii="宋体" w:hAnsi="宋体" w:cs="宋体"/>
          <w:color w:val="auto"/>
          <w:sz w:val="22"/>
          <w:u w:val="single"/>
          <w:lang w:val="en-US" w:eastAsia="zh-CN"/>
        </w:rPr>
        <w:t>键</w:t>
      </w:r>
      <w:r>
        <w:rPr>
          <w:rFonts w:hint="eastAsia" w:ascii="宋体" w:hAnsi="宋体" w:cs="宋体"/>
          <w:color w:val="auto"/>
          <w:sz w:val="22"/>
          <w:u w:val="single"/>
        </w:rPr>
        <w:t>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宋体" w:hAnsi="宋体" w:cs="宋体"/>
          <w:color w:val="auto"/>
          <w:sz w:val="22"/>
        </w:rPr>
        <w:t>。</w:t>
      </w:r>
    </w:p>
    <w:p w14:paraId="482F9A21">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因发包人原因导致工期延误的，发包人不承担任何费用，不支付承包人合理的利润，工期相应顺延。</w:t>
      </w:r>
    </w:p>
    <w:p w14:paraId="14918443">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7</w:t>
      </w:r>
      <w:bookmarkStart w:id="460" w:name="_Toc318581169"/>
      <w:bookmarkStart w:id="461" w:name="_Toc312678012"/>
      <w:bookmarkStart w:id="462" w:name="_Toc312677486"/>
      <w:bookmarkStart w:id="463" w:name="_Toc303539127"/>
      <w:bookmarkStart w:id="464" w:name="_Toc297216177"/>
      <w:bookmarkStart w:id="465" w:name="_Toc304295548"/>
      <w:bookmarkStart w:id="466" w:name="_Toc297123518"/>
      <w:bookmarkStart w:id="467" w:name="_Toc300934970"/>
      <w:r>
        <w:rPr>
          <w:rFonts w:hint="eastAsia" w:ascii="宋体" w:hAnsi="宋体" w:cs="宋体"/>
          <w:color w:val="auto"/>
          <w:sz w:val="22"/>
        </w:rPr>
        <w:t>.5.2 因承包人原因导致工期延误</w:t>
      </w:r>
    </w:p>
    <w:bookmarkEnd w:id="460"/>
    <w:bookmarkEnd w:id="461"/>
    <w:bookmarkEnd w:id="462"/>
    <w:p w14:paraId="7954EAE6">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双方约定经监理工程师确认，工期相应顺延的情况：</w:t>
      </w:r>
      <w:r>
        <w:rPr>
          <w:rFonts w:hint="eastAsia" w:ascii="宋体" w:hAnsi="宋体" w:cs="宋体"/>
          <w:color w:val="auto"/>
          <w:sz w:val="22"/>
          <w:u w:val="single"/>
        </w:rPr>
        <w:t xml:space="preserve"> 因发包人原因或不可抗力或不利物质条件造成的工期顺延，其他因承包人原因造成的工期不得相应顺延</w:t>
      </w:r>
      <w:r>
        <w:rPr>
          <w:rFonts w:hint="eastAsia" w:ascii="宋体" w:hAnsi="宋体" w:cs="宋体"/>
          <w:color w:val="auto"/>
          <w:sz w:val="22"/>
        </w:rPr>
        <w:t>。</w:t>
      </w:r>
    </w:p>
    <w:p w14:paraId="7014D342">
      <w:pPr>
        <w:pStyle w:val="4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sz w:val="22"/>
        </w:rPr>
        <w:t>因</w:t>
      </w:r>
      <w:bookmarkStart w:id="468" w:name="_Toc312677487"/>
      <w:bookmarkStart w:id="469" w:name="_Toc318581170"/>
      <w:bookmarkStart w:id="470" w:name="_Toc312678013"/>
      <w:r>
        <w:rPr>
          <w:rFonts w:hint="eastAsia" w:ascii="宋体" w:hAnsi="宋体" w:cs="宋体"/>
          <w:color w:val="auto"/>
          <w:sz w:val="22"/>
        </w:rPr>
        <w:t>承包人原因造成工期延误，逾期竣工违约金的计算方法为：</w:t>
      </w:r>
      <w:r>
        <w:rPr>
          <w:rFonts w:hint="eastAsia" w:ascii="宋体" w:hAnsi="宋体" w:cs="宋体"/>
          <w:color w:val="auto"/>
          <w:sz w:val="22"/>
          <w:u w:val="single"/>
        </w:rPr>
        <w:t>非上述原因，承包人不能按合同约定的时间竣工，承包人应承担违约责任。应向发包人支付误期赔偿费（每天赔偿金额为合同价款扣除建安劳保费、发包人材料价款、暂估专业工程、暂列金额后的万分之四），误期时间从规定竣工日期起直到全部工程或相应部分工程竣工验收各方签章日期之间的天数（扣除发包人批准顺延的工期）。发包人可从应向承包人支付的任何金额中扣除此项赔</w:t>
      </w:r>
      <w:r>
        <w:rPr>
          <w:rFonts w:hint="eastAsia" w:ascii="宋体" w:hAnsi="宋体" w:cs="宋体"/>
          <w:color w:val="auto"/>
          <w:sz w:val="22"/>
          <w:u w:val="single"/>
          <w:lang w:val="en-US" w:eastAsia="zh-CN"/>
        </w:rPr>
        <w:t>偿</w:t>
      </w:r>
      <w:r>
        <w:rPr>
          <w:rFonts w:hint="eastAsia" w:ascii="宋体" w:hAnsi="宋体" w:cs="宋体"/>
          <w:color w:val="auto"/>
          <w:sz w:val="22"/>
          <w:u w:val="single"/>
        </w:rPr>
        <w:t>费或其他方式收回此款，此赔偿款的支付并不能解除承包人应完成工程的责任或合同规定的其他责任。</w:t>
      </w:r>
    </w:p>
    <w:bookmarkEnd w:id="463"/>
    <w:bookmarkEnd w:id="464"/>
    <w:bookmarkEnd w:id="465"/>
    <w:bookmarkEnd w:id="466"/>
    <w:bookmarkEnd w:id="467"/>
    <w:bookmarkEnd w:id="468"/>
    <w:bookmarkEnd w:id="469"/>
    <w:bookmarkEnd w:id="470"/>
    <w:p w14:paraId="160167B5">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因</w:t>
      </w:r>
      <w:bookmarkStart w:id="471" w:name="OLE_LINK5"/>
      <w:r>
        <w:rPr>
          <w:rFonts w:hint="eastAsia" w:ascii="宋体" w:hAnsi="宋体" w:cs="宋体"/>
          <w:color w:val="auto"/>
          <w:sz w:val="22"/>
        </w:rPr>
        <w:t>承包人</w:t>
      </w:r>
      <w:bookmarkEnd w:id="471"/>
      <w:r>
        <w:rPr>
          <w:rFonts w:hint="eastAsia" w:ascii="宋体" w:hAnsi="宋体" w:cs="宋体"/>
          <w:color w:val="auto"/>
          <w:sz w:val="22"/>
        </w:rPr>
        <w:t>原因造成工期延误，逾</w:t>
      </w:r>
      <w:bookmarkStart w:id="472" w:name="_Toc318581171"/>
      <w:bookmarkStart w:id="473" w:name="_Toc312678014"/>
      <w:r>
        <w:rPr>
          <w:rFonts w:hint="eastAsia" w:ascii="宋体" w:hAnsi="宋体" w:cs="宋体"/>
          <w:color w:val="auto"/>
          <w:sz w:val="22"/>
        </w:rPr>
        <w:t>期竣工违约金的上限：</w:t>
      </w:r>
      <w:r>
        <w:rPr>
          <w:rFonts w:hint="eastAsia" w:ascii="宋体" w:hAnsi="宋体" w:cs="宋体"/>
          <w:color w:val="auto"/>
          <w:sz w:val="22"/>
          <w:u w:val="single"/>
        </w:rPr>
        <w:t>合同价扣除建安劳保费、发包人材料价款、暂估专业工程、暂列金额后的 4 %</w:t>
      </w:r>
      <w:r>
        <w:rPr>
          <w:rFonts w:hint="eastAsia" w:ascii="宋体" w:hAnsi="宋体" w:cs="宋体"/>
          <w:color w:val="auto"/>
          <w:sz w:val="22"/>
        </w:rPr>
        <w:t>。</w:t>
      </w:r>
    </w:p>
    <w:p w14:paraId="018E2CB0">
      <w:pPr>
        <w:pStyle w:val="4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sz w:val="22"/>
          <w:u w:val="single"/>
        </w:rPr>
        <w:t>施工过程中，因承包人的原因造成工程进度严重滞后并有可能</w:t>
      </w:r>
      <w:r>
        <w:rPr>
          <w:rFonts w:hint="eastAsia" w:ascii="宋体" w:hAnsi="宋体" w:cs="宋体"/>
          <w:color w:val="auto"/>
          <w:sz w:val="22"/>
          <w:highlight w:val="none"/>
          <w:u w:val="single"/>
        </w:rPr>
        <w:t>导致延误工期的，经</w:t>
      </w:r>
      <w:r>
        <w:rPr>
          <w:rFonts w:hint="eastAsia" w:ascii="宋体" w:hAnsi="宋体" w:cs="宋体"/>
          <w:color w:val="auto"/>
          <w:sz w:val="22"/>
          <w:highlight w:val="none"/>
          <w:u w:val="single"/>
          <w:lang w:val="en-US" w:eastAsia="zh-CN"/>
        </w:rPr>
        <w:t>港口区</w:t>
      </w:r>
      <w:r>
        <w:rPr>
          <w:rFonts w:hint="eastAsia" w:ascii="宋体" w:hAnsi="宋体" w:cs="宋体"/>
          <w:color w:val="auto"/>
          <w:sz w:val="22"/>
          <w:highlight w:val="none"/>
          <w:u w:val="single"/>
        </w:rPr>
        <w:t>人民政府分管领导审定后，业主有权分割部分工程进行发包，单价按承包人原成交价格执行，如确需上调价格，经分管领导审定，款项从总包单位的工程款扣除；造成施工中断或延误累计超过21天的，经</w:t>
      </w:r>
      <w:r>
        <w:rPr>
          <w:rFonts w:hint="eastAsia" w:ascii="宋体" w:hAnsi="宋体" w:cs="宋体"/>
          <w:color w:val="auto"/>
          <w:sz w:val="22"/>
          <w:highlight w:val="none"/>
          <w:u w:val="single"/>
          <w:lang w:val="en-US" w:eastAsia="zh-CN"/>
        </w:rPr>
        <w:t>港口区</w:t>
      </w:r>
      <w:r>
        <w:rPr>
          <w:rFonts w:hint="eastAsia" w:ascii="宋体" w:hAnsi="宋体" w:cs="宋体"/>
          <w:color w:val="auto"/>
          <w:sz w:val="22"/>
          <w:highlight w:val="none"/>
          <w:u w:val="single"/>
        </w:rPr>
        <w:t>人民政府分管领导审定后，业主有权终止合同，将未完</w:t>
      </w:r>
      <w:r>
        <w:rPr>
          <w:rFonts w:hint="eastAsia" w:ascii="宋体" w:hAnsi="宋体" w:cs="宋体"/>
          <w:color w:val="auto"/>
          <w:sz w:val="22"/>
          <w:u w:val="single"/>
        </w:rPr>
        <w:t>工工程另行发包，单价按承包人原成交价格执行，已完工程经双方验收确认后，待整个工程竣工后结算。</w:t>
      </w:r>
    </w:p>
    <w:bookmarkEnd w:id="472"/>
    <w:bookmarkEnd w:id="473"/>
    <w:p w14:paraId="13AF12E7">
      <w:pPr>
        <w:pStyle w:val="39"/>
        <w:spacing w:line="360" w:lineRule="exact"/>
        <w:ind w:firstLine="442" w:firstLineChars="200"/>
        <w:rPr>
          <w:rFonts w:hint="eastAsia" w:ascii="宋体" w:hAnsi="宋体" w:cs="宋体"/>
          <w:color w:val="auto"/>
          <w:sz w:val="22"/>
          <w:szCs w:val="22"/>
        </w:rPr>
      </w:pPr>
      <w:bookmarkStart w:id="474" w:name="_Toc533432753"/>
      <w:bookmarkStart w:id="475" w:name="_Toc12975918"/>
      <w:bookmarkStart w:id="476" w:name="_Toc373227728"/>
      <w:bookmarkStart w:id="477" w:name="_Toc389065294"/>
      <w:bookmarkStart w:id="478" w:name="_Toc373478375"/>
      <w:bookmarkStart w:id="479" w:name="_Toc395382530"/>
      <w:r>
        <w:rPr>
          <w:rFonts w:hint="eastAsia" w:ascii="宋体" w:hAnsi="宋体" w:cs="宋体"/>
          <w:color w:val="auto"/>
          <w:sz w:val="22"/>
          <w:szCs w:val="22"/>
        </w:rPr>
        <w:t>7</w:t>
      </w:r>
      <w:bookmarkStart w:id="480" w:name="_Toc297123519"/>
      <w:bookmarkStart w:id="481" w:name="_Toc297216178"/>
      <w:bookmarkStart w:id="482" w:name="_Toc304295549"/>
      <w:bookmarkStart w:id="483" w:name="_Toc312678015"/>
      <w:bookmarkStart w:id="484" w:name="_Toc300934971"/>
      <w:bookmarkStart w:id="485" w:name="_Toc303539128"/>
      <w:r>
        <w:rPr>
          <w:rFonts w:hint="eastAsia" w:ascii="宋体" w:hAnsi="宋体" w:cs="宋体"/>
          <w:color w:val="auto"/>
          <w:sz w:val="22"/>
          <w:szCs w:val="22"/>
        </w:rPr>
        <w:t>.6 不</w:t>
      </w:r>
      <w:bookmarkEnd w:id="480"/>
      <w:bookmarkEnd w:id="481"/>
      <w:bookmarkEnd w:id="482"/>
      <w:bookmarkEnd w:id="483"/>
      <w:bookmarkEnd w:id="484"/>
      <w:bookmarkEnd w:id="485"/>
      <w:r>
        <w:rPr>
          <w:rFonts w:hint="eastAsia" w:ascii="宋体" w:hAnsi="宋体" w:cs="宋体"/>
          <w:color w:val="auto"/>
          <w:sz w:val="22"/>
          <w:szCs w:val="22"/>
        </w:rPr>
        <w:t>利物质条件</w:t>
      </w:r>
      <w:bookmarkEnd w:id="474"/>
      <w:bookmarkEnd w:id="475"/>
      <w:bookmarkEnd w:id="476"/>
      <w:bookmarkEnd w:id="477"/>
      <w:bookmarkEnd w:id="478"/>
      <w:bookmarkEnd w:id="479"/>
    </w:p>
    <w:p w14:paraId="1AD12D21">
      <w:pPr>
        <w:pStyle w:val="40"/>
        <w:spacing w:line="360" w:lineRule="exact"/>
        <w:ind w:firstLine="440" w:firstLineChars="200"/>
        <w:jc w:val="left"/>
        <w:rPr>
          <w:rFonts w:hint="eastAsia" w:ascii="宋体" w:hAnsi="宋体" w:cs="宋体"/>
          <w:color w:val="auto"/>
          <w:sz w:val="22"/>
          <w:u w:val="single"/>
        </w:rPr>
      </w:pPr>
      <w:bookmarkStart w:id="486" w:name="_Toc312678016"/>
      <w:bookmarkStart w:id="487" w:name="_Toc304295550"/>
      <w:bookmarkStart w:id="488" w:name="_Toc303539129"/>
      <w:bookmarkStart w:id="489" w:name="_Toc300934972"/>
      <w:bookmarkStart w:id="490" w:name="_Toc297123520"/>
      <w:bookmarkStart w:id="491" w:name="_Toc318581172"/>
      <w:bookmarkStart w:id="492" w:name="_Toc297216179"/>
      <w:r>
        <w:rPr>
          <w:rFonts w:hint="eastAsia" w:ascii="宋体" w:hAnsi="宋体" w:cs="宋体"/>
          <w:color w:val="auto"/>
          <w:sz w:val="22"/>
        </w:rPr>
        <w:t>不利物质条件的其他情形和有关约定：</w:t>
      </w:r>
      <w:r>
        <w:rPr>
          <w:rFonts w:hint="eastAsia" w:ascii="宋体" w:hAnsi="宋体" w:cs="宋体"/>
          <w:color w:val="auto"/>
          <w:sz w:val="22"/>
          <w:u w:val="single"/>
        </w:rPr>
        <w:t xml:space="preserve"> 无</w:t>
      </w:r>
      <w:r>
        <w:rPr>
          <w:rFonts w:hint="eastAsia" w:ascii="宋体" w:hAnsi="宋体" w:cs="宋体"/>
          <w:color w:val="auto"/>
          <w:sz w:val="22"/>
          <w:u w:val="single"/>
          <w:lang w:val="en-US" w:eastAsia="zh-CN"/>
        </w:rPr>
        <w:t xml:space="preserve"> </w:t>
      </w:r>
      <w:r>
        <w:rPr>
          <w:rFonts w:hint="eastAsia" w:ascii="宋体" w:hAnsi="宋体" w:cs="宋体"/>
          <w:color w:val="auto"/>
          <w:sz w:val="22"/>
        </w:rPr>
        <w:t>。</w:t>
      </w:r>
    </w:p>
    <w:bookmarkEnd w:id="486"/>
    <w:bookmarkEnd w:id="487"/>
    <w:bookmarkEnd w:id="488"/>
    <w:bookmarkEnd w:id="489"/>
    <w:bookmarkEnd w:id="490"/>
    <w:bookmarkEnd w:id="491"/>
    <w:bookmarkEnd w:id="492"/>
    <w:p w14:paraId="25F2A7CB">
      <w:pPr>
        <w:pStyle w:val="39"/>
        <w:spacing w:line="360" w:lineRule="exact"/>
        <w:ind w:firstLine="442" w:firstLineChars="200"/>
        <w:rPr>
          <w:rFonts w:hint="eastAsia" w:ascii="宋体" w:hAnsi="宋体" w:cs="宋体"/>
          <w:color w:val="auto"/>
          <w:sz w:val="22"/>
          <w:szCs w:val="22"/>
        </w:rPr>
      </w:pPr>
      <w:bookmarkStart w:id="493" w:name="_Toc395382531"/>
      <w:bookmarkStart w:id="494" w:name="_Toc373478376"/>
      <w:bookmarkStart w:id="495" w:name="_Toc389065295"/>
      <w:bookmarkStart w:id="496" w:name="_Toc12975919"/>
      <w:bookmarkStart w:id="497" w:name="_Toc373227729"/>
      <w:bookmarkStart w:id="498" w:name="_Toc533432754"/>
      <w:r>
        <w:rPr>
          <w:rFonts w:hint="eastAsia" w:ascii="宋体" w:hAnsi="宋体" w:cs="宋体"/>
          <w:color w:val="auto"/>
          <w:sz w:val="22"/>
          <w:szCs w:val="22"/>
        </w:rPr>
        <w:t>7</w:t>
      </w:r>
      <w:bookmarkStart w:id="499" w:name="_Toc312678017"/>
      <w:bookmarkStart w:id="500" w:name="_Toc297123521"/>
      <w:bookmarkStart w:id="501" w:name="_Toc303539130"/>
      <w:bookmarkStart w:id="502" w:name="_Toc297216180"/>
      <w:bookmarkStart w:id="503" w:name="_Toc304295551"/>
      <w:bookmarkStart w:id="504" w:name="_Toc300934973"/>
      <w:r>
        <w:rPr>
          <w:rFonts w:hint="eastAsia" w:ascii="宋体" w:hAnsi="宋体" w:cs="宋体"/>
          <w:color w:val="auto"/>
          <w:sz w:val="22"/>
          <w:szCs w:val="22"/>
        </w:rPr>
        <w:t>.7 异常恶劣的气候条件</w:t>
      </w:r>
      <w:bookmarkEnd w:id="493"/>
      <w:bookmarkEnd w:id="494"/>
      <w:bookmarkEnd w:id="495"/>
      <w:bookmarkEnd w:id="496"/>
      <w:bookmarkEnd w:id="497"/>
      <w:bookmarkEnd w:id="498"/>
    </w:p>
    <w:bookmarkEnd w:id="499"/>
    <w:bookmarkEnd w:id="500"/>
    <w:bookmarkEnd w:id="501"/>
    <w:bookmarkEnd w:id="502"/>
    <w:bookmarkEnd w:id="503"/>
    <w:bookmarkEnd w:id="504"/>
    <w:p w14:paraId="72438C4C">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发包人和承包人同意以下情形视为异常恶劣的气候条件：</w:t>
      </w:r>
    </w:p>
    <w:p w14:paraId="5EA915F2">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（1）</w:t>
      </w:r>
      <w:r>
        <w:rPr>
          <w:rFonts w:hint="eastAsia" w:ascii="宋体" w:hAnsi="宋体" w:cs="宋体"/>
          <w:color w:val="auto"/>
          <w:sz w:val="22"/>
          <w:u w:val="single"/>
        </w:rPr>
        <w:t>指本工程所在地30年以上一遇的罕见气候现象</w:t>
      </w:r>
      <w:r>
        <w:rPr>
          <w:rFonts w:hint="eastAsia" w:ascii="宋体" w:hAnsi="宋体" w:cs="宋体"/>
          <w:color w:val="auto"/>
          <w:sz w:val="22"/>
        </w:rPr>
        <w:t>；</w:t>
      </w:r>
    </w:p>
    <w:p w14:paraId="7DEA2080">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lang w:eastAsia="zh-CN"/>
        </w:rPr>
        <w:t>(</w:t>
      </w:r>
      <w:r>
        <w:rPr>
          <w:rFonts w:hint="eastAsia" w:ascii="宋体" w:hAnsi="宋体" w:cs="宋体"/>
          <w:color w:val="auto"/>
          <w:sz w:val="22"/>
        </w:rPr>
        <w:t>2</w:t>
      </w:r>
      <w:r>
        <w:rPr>
          <w:rFonts w:hint="eastAsia" w:ascii="宋体" w:hAnsi="宋体" w:cs="宋体"/>
          <w:color w:val="auto"/>
          <w:sz w:val="22"/>
          <w:lang w:eastAsia="zh-CN"/>
        </w:rPr>
        <w:t>)</w:t>
      </w:r>
      <w:r>
        <w:rPr>
          <w:rFonts w:hint="eastAsia" w:ascii="宋体" w:hAnsi="宋体" w:cs="宋体"/>
          <w:color w:val="auto"/>
          <w:sz w:val="22"/>
          <w:u w:val="single"/>
        </w:rPr>
        <w:t xml:space="preserve">  / </w:t>
      </w:r>
      <w:r>
        <w:rPr>
          <w:rFonts w:hint="eastAsia" w:ascii="宋体" w:hAnsi="宋体" w:cs="宋体"/>
          <w:color w:val="auto"/>
          <w:sz w:val="22"/>
          <w:u w:val="single"/>
          <w:lang w:eastAsia="zh-CN"/>
        </w:rPr>
        <w:t>;</w:t>
      </w:r>
    </w:p>
    <w:p w14:paraId="030FD7ED">
      <w:pPr>
        <w:pStyle w:val="39"/>
        <w:spacing w:line="360" w:lineRule="exact"/>
        <w:ind w:firstLine="442" w:firstLineChars="200"/>
        <w:rPr>
          <w:rFonts w:hint="eastAsia" w:ascii="宋体" w:hAnsi="宋体" w:cs="宋体"/>
          <w:color w:val="auto"/>
          <w:sz w:val="22"/>
          <w:szCs w:val="22"/>
        </w:rPr>
      </w:pPr>
      <w:bookmarkStart w:id="505" w:name="_Toc533432755"/>
      <w:bookmarkStart w:id="506" w:name="_Toc389065296"/>
      <w:bookmarkStart w:id="507" w:name="_Toc12975920"/>
      <w:bookmarkStart w:id="508" w:name="_Toc373227730"/>
      <w:bookmarkStart w:id="509" w:name="_Toc373478377"/>
      <w:bookmarkStart w:id="510" w:name="_Toc395382532"/>
      <w:r>
        <w:rPr>
          <w:rFonts w:hint="eastAsia" w:ascii="宋体" w:hAnsi="宋体" w:cs="宋体"/>
          <w:color w:val="auto"/>
          <w:sz w:val="22"/>
          <w:szCs w:val="22"/>
        </w:rPr>
        <w:t>7.8 提前竣工</w:t>
      </w:r>
      <w:bookmarkEnd w:id="505"/>
      <w:bookmarkEnd w:id="506"/>
      <w:bookmarkEnd w:id="507"/>
      <w:bookmarkEnd w:id="508"/>
      <w:bookmarkEnd w:id="509"/>
      <w:bookmarkEnd w:id="510"/>
    </w:p>
    <w:p w14:paraId="76DB9B22">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7.8.2提前竣工（赶工）增加费的计算方法：</w:t>
      </w:r>
      <w:r>
        <w:rPr>
          <w:rFonts w:hint="eastAsia" w:ascii="宋体" w:hAnsi="宋体" w:cs="宋体"/>
          <w:color w:val="auto"/>
          <w:sz w:val="22"/>
          <w:u w:val="single"/>
        </w:rPr>
        <w:t xml:space="preserve"> 无 </w:t>
      </w:r>
      <w:r>
        <w:rPr>
          <w:rFonts w:hint="eastAsia" w:ascii="宋体" w:hAnsi="宋体" w:cs="宋体"/>
          <w:color w:val="auto"/>
          <w:sz w:val="22"/>
        </w:rPr>
        <w:t>。</w:t>
      </w:r>
    </w:p>
    <w:p w14:paraId="0A45027E">
      <w:pPr>
        <w:pStyle w:val="70"/>
        <w:spacing w:before="0" w:after="0" w:line="360" w:lineRule="exact"/>
        <w:rPr>
          <w:rFonts w:hint="eastAsia" w:ascii="宋体" w:hAnsi="宋体" w:cs="宋体"/>
          <w:color w:val="auto"/>
          <w:sz w:val="22"/>
          <w:szCs w:val="22"/>
        </w:rPr>
      </w:pPr>
      <w:bookmarkStart w:id="511" w:name="_Toc373478378"/>
      <w:bookmarkStart w:id="512" w:name="_Toc12975921"/>
      <w:bookmarkStart w:id="513" w:name="_Toc533432756"/>
      <w:bookmarkStart w:id="514" w:name="_Toc373227731"/>
      <w:bookmarkStart w:id="515" w:name="_Toc389065297"/>
      <w:bookmarkStart w:id="516" w:name="_Toc395382533"/>
      <w:bookmarkStart w:id="517" w:name="_Toc351203640"/>
    </w:p>
    <w:p w14:paraId="19935C07">
      <w:pPr>
        <w:pStyle w:val="70"/>
        <w:spacing w:before="0" w:after="0" w:line="360" w:lineRule="exact"/>
        <w:ind w:firstLine="442" w:firstLineChars="200"/>
        <w:rPr>
          <w:rFonts w:hint="eastAsia" w:ascii="宋体" w:hAnsi="宋体" w:cs="宋体"/>
          <w:color w:val="auto"/>
          <w:sz w:val="22"/>
          <w:szCs w:val="22"/>
        </w:rPr>
      </w:pPr>
      <w:r>
        <w:rPr>
          <w:rFonts w:hint="eastAsia" w:ascii="宋体" w:hAnsi="宋体" w:cs="宋体"/>
          <w:color w:val="auto"/>
          <w:sz w:val="22"/>
          <w:szCs w:val="22"/>
        </w:rPr>
        <w:t>8. 材料与设备</w:t>
      </w:r>
      <w:bookmarkEnd w:id="511"/>
      <w:bookmarkEnd w:id="512"/>
      <w:bookmarkEnd w:id="513"/>
      <w:bookmarkEnd w:id="514"/>
      <w:bookmarkEnd w:id="515"/>
      <w:bookmarkEnd w:id="516"/>
      <w:bookmarkEnd w:id="517"/>
    </w:p>
    <w:bookmarkEnd w:id="367"/>
    <w:bookmarkEnd w:id="368"/>
    <w:bookmarkEnd w:id="369"/>
    <w:bookmarkEnd w:id="370"/>
    <w:bookmarkEnd w:id="371"/>
    <w:bookmarkEnd w:id="372"/>
    <w:bookmarkEnd w:id="373"/>
    <w:bookmarkEnd w:id="374"/>
    <w:bookmarkEnd w:id="375"/>
    <w:bookmarkEnd w:id="376"/>
    <w:p w14:paraId="5B0EEF91">
      <w:pPr>
        <w:pStyle w:val="39"/>
        <w:spacing w:line="360" w:lineRule="exact"/>
        <w:ind w:firstLine="442" w:firstLineChars="200"/>
        <w:rPr>
          <w:rFonts w:hint="eastAsia" w:ascii="宋体" w:hAnsi="宋体" w:cs="宋体"/>
          <w:color w:val="auto"/>
          <w:sz w:val="22"/>
          <w:szCs w:val="22"/>
        </w:rPr>
      </w:pPr>
      <w:bookmarkStart w:id="518" w:name="_Toc533432757"/>
      <w:bookmarkStart w:id="519" w:name="_Toc12975922"/>
      <w:bookmarkStart w:id="520" w:name="_Toc373478379"/>
      <w:bookmarkStart w:id="521" w:name="_Toc395382534"/>
      <w:bookmarkStart w:id="522" w:name="_Toc373227732"/>
      <w:bookmarkStart w:id="523" w:name="_Toc389065298"/>
      <w:r>
        <w:rPr>
          <w:rFonts w:hint="eastAsia" w:ascii="宋体" w:hAnsi="宋体" w:cs="宋体"/>
          <w:color w:val="auto"/>
          <w:sz w:val="22"/>
          <w:szCs w:val="22"/>
        </w:rPr>
        <w:t>8.2 承包人采购材料与工程设备</w:t>
      </w:r>
      <w:bookmarkEnd w:id="518"/>
      <w:bookmarkEnd w:id="519"/>
      <w:bookmarkEnd w:id="520"/>
      <w:bookmarkEnd w:id="521"/>
      <w:bookmarkEnd w:id="522"/>
      <w:bookmarkEnd w:id="523"/>
    </w:p>
    <w:p w14:paraId="4309F710">
      <w:pPr>
        <w:pStyle w:val="40"/>
        <w:autoSpaceDE w:val="0"/>
        <w:autoSpaceDN w:val="0"/>
        <w:adjustRightInd w:val="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kern w:val="0"/>
          <w:sz w:val="22"/>
        </w:rPr>
        <w:t>除已标价工程量清单《发包人提供主要材料和工程设备一览表》（表-21）中明确的材料、工程设备外，由承包人负责材料和工程设备的采购、运输和保管。《</w:t>
      </w:r>
      <w:r>
        <w:rPr>
          <w:rFonts w:hint="eastAsia" w:ascii="宋体" w:hAnsi="宋体" w:cs="宋体"/>
          <w:color w:val="auto"/>
          <w:sz w:val="22"/>
        </w:rPr>
        <w:t>承包人提供主要材料和工程设备一览表》</w:t>
      </w:r>
      <w:r>
        <w:rPr>
          <w:rFonts w:hint="eastAsia" w:ascii="宋体" w:hAnsi="宋体" w:cs="宋体"/>
          <w:color w:val="auto"/>
          <w:kern w:val="0"/>
          <w:sz w:val="22"/>
        </w:rPr>
        <w:t>（表-22）见已标价工程量清单。</w:t>
      </w:r>
    </w:p>
    <w:p w14:paraId="750533AF">
      <w:pPr>
        <w:pStyle w:val="40"/>
        <w:autoSpaceDE w:val="0"/>
        <w:autoSpaceDN w:val="0"/>
        <w:adjustRightInd w:val="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sz w:val="22"/>
        </w:rPr>
        <w:t>对发包人在磋商时有“参照或相当于**品牌、级别”约定的材料或设备，承包人采购时必须按类似于或优于所约定品牌、等级进行采购，施工期间该部分材料或设备如未超过磋商约定的风险幅度的，结算时按磋商单价支付，不得调整。</w:t>
      </w:r>
    </w:p>
    <w:p w14:paraId="148BA4FD">
      <w:pPr>
        <w:pStyle w:val="39"/>
        <w:spacing w:line="360" w:lineRule="exact"/>
        <w:ind w:firstLine="442" w:firstLineChars="200"/>
        <w:rPr>
          <w:rFonts w:hint="eastAsia" w:ascii="宋体" w:hAnsi="宋体" w:cs="宋体"/>
          <w:color w:val="auto"/>
          <w:sz w:val="22"/>
          <w:szCs w:val="22"/>
        </w:rPr>
      </w:pPr>
      <w:bookmarkStart w:id="524" w:name="_Toc533432758"/>
      <w:bookmarkStart w:id="525" w:name="_Toc395382535"/>
      <w:bookmarkStart w:id="526" w:name="_Toc373478380"/>
      <w:bookmarkStart w:id="527" w:name="_Toc389065299"/>
      <w:bookmarkStart w:id="528" w:name="_Toc373227733"/>
      <w:bookmarkStart w:id="529" w:name="_Toc12975923"/>
      <w:r>
        <w:rPr>
          <w:rFonts w:hint="eastAsia" w:ascii="宋体" w:hAnsi="宋体" w:cs="宋体"/>
          <w:color w:val="auto"/>
          <w:sz w:val="22"/>
          <w:szCs w:val="22"/>
        </w:rPr>
        <w:t>8</w:t>
      </w:r>
      <w:bookmarkStart w:id="530" w:name="_Toc297216186"/>
      <w:bookmarkStart w:id="531" w:name="_Toc312678019"/>
      <w:bookmarkStart w:id="532" w:name="_Toc296503167"/>
      <w:bookmarkStart w:id="533" w:name="_Toc296346668"/>
      <w:bookmarkStart w:id="534" w:name="_Toc297048353"/>
      <w:bookmarkStart w:id="535" w:name="_Toc297123527"/>
      <w:bookmarkStart w:id="536" w:name="_Toc292559372"/>
      <w:bookmarkStart w:id="537" w:name="_Toc292559877"/>
      <w:bookmarkStart w:id="538" w:name="_Toc303539136"/>
      <w:bookmarkStart w:id="539" w:name="_Toc296891207"/>
      <w:bookmarkStart w:id="540" w:name="_Toc296347166"/>
      <w:bookmarkStart w:id="541" w:name="_Toc300934979"/>
      <w:bookmarkStart w:id="542" w:name="_Toc304295556"/>
      <w:bookmarkStart w:id="543" w:name="_Toc312677493"/>
      <w:bookmarkStart w:id="544" w:name="_Toc296890995"/>
      <w:bookmarkStart w:id="545" w:name="_Toc297120467"/>
      <w:bookmarkStart w:id="546" w:name="_Toc280868654"/>
      <w:bookmarkStart w:id="547" w:name="_Toc296944506"/>
      <w:bookmarkStart w:id="548" w:name="_Toc280868656"/>
      <w:bookmarkStart w:id="549" w:name="_Toc280868655"/>
      <w:bookmarkStart w:id="550" w:name="_Toc267251424"/>
      <w:r>
        <w:rPr>
          <w:rFonts w:hint="eastAsia" w:ascii="宋体" w:hAnsi="宋体" w:cs="宋体"/>
          <w:color w:val="auto"/>
          <w:sz w:val="22"/>
          <w:szCs w:val="22"/>
        </w:rPr>
        <w:t>.4 材料与工程设备的保管与使用</w:t>
      </w:r>
      <w:bookmarkEnd w:id="524"/>
      <w:bookmarkEnd w:id="525"/>
      <w:bookmarkEnd w:id="526"/>
      <w:bookmarkEnd w:id="527"/>
      <w:bookmarkEnd w:id="528"/>
      <w:bookmarkEnd w:id="529"/>
    </w:p>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14:paraId="60A1FD8F">
      <w:pPr>
        <w:pStyle w:val="4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sz w:val="22"/>
        </w:rPr>
        <w:t>8</w:t>
      </w:r>
      <w:bookmarkStart w:id="551" w:name="_Toc292559878"/>
      <w:bookmarkStart w:id="552" w:name="_Toc292559373"/>
      <w:bookmarkStart w:id="553" w:name="_Toc296944507"/>
      <w:bookmarkStart w:id="554" w:name="_Toc296891208"/>
      <w:bookmarkStart w:id="555" w:name="_Toc297120468"/>
      <w:bookmarkStart w:id="556" w:name="_Toc312678020"/>
      <w:bookmarkStart w:id="557" w:name="_Toc297123528"/>
      <w:bookmarkStart w:id="558" w:name="_Toc297216187"/>
      <w:bookmarkStart w:id="559" w:name="_Toc296347167"/>
      <w:bookmarkStart w:id="560" w:name="_Toc296503168"/>
      <w:bookmarkStart w:id="561" w:name="_Toc304295557"/>
      <w:bookmarkStart w:id="562" w:name="_Toc300934980"/>
      <w:bookmarkStart w:id="563" w:name="_Toc297048354"/>
      <w:bookmarkStart w:id="564" w:name="_Toc318581173"/>
      <w:bookmarkStart w:id="565" w:name="_Toc296890996"/>
      <w:bookmarkStart w:id="566" w:name="_Toc303539137"/>
      <w:bookmarkStart w:id="567" w:name="_Toc312677494"/>
      <w:bookmarkStart w:id="568" w:name="_Toc296346669"/>
      <w:r>
        <w:rPr>
          <w:rFonts w:hint="eastAsia" w:ascii="宋体" w:hAnsi="宋体" w:cs="宋体"/>
          <w:color w:val="auto"/>
          <w:sz w:val="22"/>
        </w:rPr>
        <w:t>.4.1发包人供应的材料设备的保管费用的承担：</w:t>
      </w:r>
      <w:r>
        <w:rPr>
          <w:rFonts w:hint="eastAsia" w:ascii="宋体" w:hAnsi="宋体" w:cs="宋体"/>
          <w:color w:val="auto"/>
          <w:sz w:val="22"/>
          <w:u w:val="single"/>
        </w:rPr>
        <w:t>由承包人承担</w:t>
      </w:r>
      <w:r>
        <w:rPr>
          <w:rFonts w:hint="eastAsia" w:ascii="宋体" w:hAnsi="宋体" w:cs="宋体"/>
          <w:color w:val="auto"/>
          <w:sz w:val="22"/>
        </w:rPr>
        <w:t>。</w:t>
      </w:r>
    </w:p>
    <w:bookmarkEnd w:id="551"/>
    <w:bookmarkEnd w:id="552"/>
    <w:p w14:paraId="69FF3AA6">
      <w:pPr>
        <w:pStyle w:val="39"/>
        <w:spacing w:line="360" w:lineRule="exact"/>
        <w:ind w:firstLine="442" w:firstLineChars="200"/>
        <w:rPr>
          <w:rFonts w:hint="eastAsia" w:ascii="宋体" w:hAnsi="宋体" w:cs="宋体"/>
          <w:color w:val="auto"/>
          <w:sz w:val="22"/>
          <w:szCs w:val="22"/>
        </w:rPr>
      </w:pPr>
      <w:bookmarkStart w:id="569" w:name="_Toc389065300"/>
      <w:bookmarkStart w:id="570" w:name="_Toc533432759"/>
      <w:bookmarkStart w:id="571" w:name="_Toc373227734"/>
      <w:bookmarkStart w:id="572" w:name="_Toc373478381"/>
      <w:bookmarkStart w:id="573" w:name="_Toc12975924"/>
      <w:bookmarkStart w:id="574" w:name="_Toc395382536"/>
      <w:r>
        <w:rPr>
          <w:rFonts w:hint="eastAsia" w:ascii="宋体" w:hAnsi="宋体" w:cs="宋体"/>
          <w:color w:val="auto"/>
          <w:sz w:val="22"/>
          <w:szCs w:val="22"/>
        </w:rPr>
        <w:t>8.6 样品</w:t>
      </w:r>
      <w:bookmarkEnd w:id="569"/>
      <w:bookmarkEnd w:id="570"/>
      <w:bookmarkEnd w:id="571"/>
      <w:bookmarkEnd w:id="572"/>
      <w:bookmarkEnd w:id="573"/>
      <w:bookmarkEnd w:id="574"/>
    </w:p>
    <w:p w14:paraId="2F55C3FD">
      <w:pPr>
        <w:pStyle w:val="40"/>
        <w:autoSpaceDE w:val="0"/>
        <w:autoSpaceDN w:val="0"/>
        <w:adjustRightInd w:val="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kern w:val="0"/>
          <w:sz w:val="22"/>
        </w:rPr>
        <w:t>8.6.1 样品的报送与封存</w:t>
      </w:r>
    </w:p>
    <w:p w14:paraId="434075F3">
      <w:pPr>
        <w:pStyle w:val="40"/>
        <w:autoSpaceDE w:val="0"/>
        <w:autoSpaceDN w:val="0"/>
        <w:adjustRightInd w:val="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kern w:val="0"/>
          <w:sz w:val="22"/>
        </w:rPr>
        <w:t>需要承包人报送样品的材料或工程设备，样品的种类、名称、规格、数量要求：</w:t>
      </w:r>
      <w:r>
        <w:rPr>
          <w:rFonts w:hint="eastAsia" w:ascii="宋体" w:hAnsi="宋体" w:cs="宋体"/>
          <w:color w:val="auto"/>
          <w:sz w:val="22"/>
          <w:u w:val="single"/>
        </w:rPr>
        <w:t>主要材料涉及品种、款式、颜色等方面内容的，承包人应提交准备合格的材料样品送发包人选定。</w:t>
      </w:r>
    </w:p>
    <w:p w14:paraId="510B2508">
      <w:pPr>
        <w:pStyle w:val="39"/>
        <w:spacing w:line="360" w:lineRule="exact"/>
        <w:ind w:firstLine="442" w:firstLineChars="200"/>
        <w:rPr>
          <w:rFonts w:hint="eastAsia" w:ascii="宋体" w:hAnsi="宋体" w:cs="宋体"/>
          <w:color w:val="auto"/>
          <w:sz w:val="22"/>
          <w:szCs w:val="22"/>
        </w:rPr>
      </w:pPr>
      <w:bookmarkStart w:id="575" w:name="_Toc373227735"/>
      <w:bookmarkStart w:id="576" w:name="_Toc533432760"/>
      <w:bookmarkStart w:id="577" w:name="_Toc373478382"/>
      <w:bookmarkStart w:id="578" w:name="_Toc389065301"/>
      <w:bookmarkStart w:id="579" w:name="_Toc12975925"/>
      <w:bookmarkStart w:id="580" w:name="_Toc395382537"/>
      <w:r>
        <w:rPr>
          <w:rFonts w:hint="eastAsia" w:ascii="宋体" w:hAnsi="宋体" w:cs="宋体"/>
          <w:color w:val="auto"/>
          <w:sz w:val="22"/>
          <w:szCs w:val="22"/>
        </w:rPr>
        <w:t>8.8 施工设备和临时设施</w:t>
      </w:r>
      <w:bookmarkEnd w:id="575"/>
      <w:bookmarkEnd w:id="576"/>
      <w:bookmarkEnd w:id="577"/>
      <w:bookmarkEnd w:id="578"/>
      <w:bookmarkEnd w:id="579"/>
      <w:bookmarkEnd w:id="580"/>
    </w:p>
    <w:p w14:paraId="6B9CFBCD">
      <w:pPr>
        <w:pStyle w:val="40"/>
        <w:autoSpaceDE w:val="0"/>
        <w:autoSpaceDN w:val="0"/>
        <w:adjustRightInd w:val="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8.8.1 承包人提供的施工设备和临时设施</w:t>
      </w:r>
    </w:p>
    <w:p w14:paraId="0E69E0B0">
      <w:pPr>
        <w:pStyle w:val="40"/>
        <w:autoSpaceDE w:val="0"/>
        <w:autoSpaceDN w:val="0"/>
        <w:adjustRightInd w:val="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w:t>
      </w:r>
      <w:r>
        <w:rPr>
          <w:rFonts w:hint="eastAsia" w:ascii="宋体" w:hAnsi="宋体" w:cs="宋体"/>
          <w:color w:val="auto"/>
          <w:sz w:val="22"/>
          <w:lang w:val="en-US" w:eastAsia="zh-CN"/>
        </w:rPr>
        <w:t>4</w:t>
      </w:r>
      <w:r>
        <w:rPr>
          <w:rFonts w:hint="eastAsia" w:ascii="宋体" w:hAnsi="宋体" w:cs="宋体"/>
          <w:color w:val="auto"/>
          <w:sz w:val="22"/>
        </w:rPr>
        <w:t>。</w:t>
      </w:r>
    </w:p>
    <w:p w14:paraId="36AB6523">
      <w:pPr>
        <w:pStyle w:val="40"/>
        <w:autoSpaceDE w:val="0"/>
        <w:autoSpaceDN w:val="0"/>
        <w:adjustRightInd w:val="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关于修建临时设施费用承担的约定：</w:t>
      </w:r>
    </w:p>
    <w:p w14:paraId="5F2A51AF">
      <w:pPr>
        <w:pStyle w:val="40"/>
        <w:autoSpaceDE w:val="0"/>
        <w:autoSpaceDN w:val="0"/>
        <w:adjustRightInd w:val="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sz w:val="22"/>
          <w:u w:val="single"/>
        </w:rPr>
        <w:t>①承包人的临时用地（含项目部驻地等）租用费（含拆迁补偿）、临时用地的环保、恢复、临时用地的青苗补偿及地面附着物拆除等费用均由承包人负责，以上费用在磋商报价中综合考虑</w:t>
      </w:r>
      <w:r>
        <w:rPr>
          <w:rFonts w:hint="eastAsia" w:ascii="宋体" w:hAnsi="宋体" w:cs="宋体"/>
          <w:color w:val="auto"/>
          <w:sz w:val="22"/>
          <w:u w:val="single"/>
          <w:lang w:eastAsia="zh-CN"/>
        </w:rPr>
        <w:t>，</w:t>
      </w:r>
      <w:r>
        <w:rPr>
          <w:rFonts w:hint="eastAsia" w:ascii="宋体" w:hAnsi="宋体" w:cs="宋体"/>
          <w:color w:val="auto"/>
          <w:kern w:val="0"/>
          <w:sz w:val="22"/>
          <w:u w:val="single"/>
        </w:rPr>
        <w:t>费用总价包干，由于承包人预估费用低于实际费用，不足部分由承包人补齐。承包人不得以预估费用低于实际费用或实际情况发生变化为由向发包人提出费用补偿。</w:t>
      </w:r>
    </w:p>
    <w:p w14:paraId="2270E5F2">
      <w:pPr>
        <w:pStyle w:val="40"/>
        <w:autoSpaceDE w:val="0"/>
        <w:autoSpaceDN w:val="0"/>
        <w:adjustRightInd w:val="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sz w:val="22"/>
          <w:u w:val="single"/>
        </w:rPr>
        <w:t>②承包人负责合同实施期间其合同段内临时交通道路（含场内道路及场外连接公共交通道路）和交通设施的修建、维修、养护和交通管理工作，并承担一切费用，</w:t>
      </w:r>
      <w:r>
        <w:rPr>
          <w:rFonts w:hint="eastAsia" w:ascii="宋体" w:hAnsi="宋体" w:cs="宋体"/>
          <w:color w:val="auto"/>
          <w:kern w:val="0"/>
          <w:sz w:val="22"/>
          <w:u w:val="single"/>
        </w:rPr>
        <w:t>费用总价包干，由于承包人预估费用低于实际费用，不足部分由承包人补齐。承包人不得以预估费用低于实际费用或实际情况发生变化为由向发包人提出费用补偿。</w:t>
      </w:r>
    </w:p>
    <w:p w14:paraId="2AD7181C">
      <w:pPr>
        <w:pStyle w:val="40"/>
        <w:autoSpaceDE w:val="0"/>
        <w:autoSpaceDN w:val="0"/>
        <w:adjustRightInd w:val="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sz w:val="22"/>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4F8B9844">
      <w:pPr>
        <w:pStyle w:val="40"/>
        <w:autoSpaceDE w:val="0"/>
        <w:autoSpaceDN w:val="0"/>
        <w:adjustRightInd w:val="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8.8.2 发包人提供的施工设备和临时设施</w:t>
      </w:r>
    </w:p>
    <w:p w14:paraId="799EA271">
      <w:pPr>
        <w:pStyle w:val="40"/>
        <w:autoSpaceDE w:val="0"/>
        <w:autoSpaceDN w:val="0"/>
        <w:adjustRightInd w:val="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发包人提供的施工设备和临时设施：</w:t>
      </w:r>
      <w:r>
        <w:rPr>
          <w:rFonts w:hint="eastAsia" w:ascii="宋体" w:hAnsi="宋体" w:cs="宋体"/>
          <w:color w:val="auto"/>
          <w:sz w:val="22"/>
          <w:u w:val="single"/>
        </w:rPr>
        <w:t xml:space="preserve">无 </w:t>
      </w:r>
      <w:r>
        <w:rPr>
          <w:rFonts w:hint="eastAsia" w:ascii="宋体" w:hAnsi="宋体" w:cs="宋体"/>
          <w:color w:val="auto"/>
          <w:sz w:val="22"/>
        </w:rPr>
        <w:t>。</w:t>
      </w:r>
    </w:p>
    <w:p w14:paraId="1124B0B5">
      <w:pPr>
        <w:pStyle w:val="40"/>
        <w:autoSpaceDE w:val="0"/>
        <w:autoSpaceDN w:val="0"/>
        <w:adjustRightInd w:val="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发包人提供的施工设备和临时设施的运行、维护、拆除、清运费用的承担人：</w:t>
      </w:r>
      <w:r>
        <w:rPr>
          <w:rFonts w:hint="eastAsia" w:ascii="宋体" w:hAnsi="宋体" w:cs="宋体"/>
          <w:color w:val="auto"/>
          <w:sz w:val="22"/>
          <w:u w:val="single"/>
        </w:rPr>
        <w:t xml:space="preserve">  无  </w:t>
      </w:r>
      <w:r>
        <w:rPr>
          <w:rFonts w:hint="eastAsia" w:ascii="宋体" w:hAnsi="宋体" w:cs="宋体"/>
          <w:color w:val="auto"/>
          <w:sz w:val="22"/>
        </w:rPr>
        <w:t>。</w:t>
      </w:r>
    </w:p>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79593D09">
      <w:pPr>
        <w:pStyle w:val="70"/>
        <w:spacing w:before="0" w:after="0" w:line="360" w:lineRule="exact"/>
        <w:ind w:firstLine="442" w:firstLineChars="200"/>
        <w:rPr>
          <w:rFonts w:hint="eastAsia" w:ascii="宋体" w:hAnsi="宋体" w:cs="宋体"/>
          <w:color w:val="auto"/>
          <w:sz w:val="22"/>
          <w:szCs w:val="22"/>
        </w:rPr>
      </w:pPr>
      <w:bookmarkStart w:id="581" w:name="_Toc395382538"/>
      <w:bookmarkStart w:id="582" w:name="_Toc373227736"/>
      <w:bookmarkStart w:id="583" w:name="_Toc351203641"/>
      <w:bookmarkStart w:id="584" w:name="_Toc12975926"/>
      <w:bookmarkStart w:id="585" w:name="_Toc533432761"/>
      <w:bookmarkStart w:id="586" w:name="_Toc373478383"/>
      <w:bookmarkStart w:id="587" w:name="_Toc389065302"/>
      <w:r>
        <w:rPr>
          <w:rFonts w:hint="eastAsia" w:ascii="宋体" w:hAnsi="宋体" w:cs="宋体"/>
          <w:color w:val="auto"/>
          <w:sz w:val="22"/>
          <w:szCs w:val="22"/>
        </w:rPr>
        <w:t>9</w:t>
      </w:r>
      <w:bookmarkEnd w:id="548"/>
      <w:bookmarkEnd w:id="549"/>
      <w:bookmarkEnd w:id="550"/>
      <w:bookmarkStart w:id="588" w:name="_Toc303539139"/>
      <w:bookmarkStart w:id="589" w:name="_Toc300934982"/>
      <w:bookmarkStart w:id="590" w:name="_Toc304295559"/>
      <w:bookmarkStart w:id="591" w:name="_Toc312678021"/>
      <w:bookmarkStart w:id="592" w:name="_Toc312677495"/>
      <w:bookmarkStart w:id="593" w:name="_Toc297216192"/>
      <w:bookmarkStart w:id="594" w:name="_Toc297123533"/>
      <w:bookmarkStart w:id="595" w:name="_Toc267251428"/>
      <w:bookmarkStart w:id="596" w:name="_Toc296891001"/>
      <w:bookmarkStart w:id="597" w:name="_Toc296891213"/>
      <w:bookmarkStart w:id="598" w:name="_Toc296503173"/>
      <w:bookmarkStart w:id="599" w:name="_Toc296944512"/>
      <w:bookmarkStart w:id="600" w:name="_Toc267251427"/>
      <w:bookmarkStart w:id="601" w:name="_Toc297048359"/>
      <w:bookmarkStart w:id="602" w:name="_Toc296346674"/>
      <w:bookmarkStart w:id="603" w:name="_Toc292559883"/>
      <w:bookmarkStart w:id="604" w:name="_Toc297120473"/>
      <w:bookmarkStart w:id="605" w:name="_Toc296347172"/>
      <w:bookmarkStart w:id="606" w:name="_Toc292559378"/>
      <w:r>
        <w:rPr>
          <w:rFonts w:hint="eastAsia" w:ascii="宋体" w:hAnsi="宋体" w:cs="宋体"/>
          <w:color w:val="auto"/>
          <w:sz w:val="22"/>
          <w:szCs w:val="22"/>
        </w:rPr>
        <w:t>. 试验与检验</w:t>
      </w:r>
      <w:bookmarkEnd w:id="581"/>
      <w:bookmarkEnd w:id="582"/>
      <w:bookmarkEnd w:id="583"/>
      <w:bookmarkEnd w:id="584"/>
      <w:bookmarkEnd w:id="585"/>
      <w:bookmarkEnd w:id="586"/>
      <w:bookmarkEnd w:id="587"/>
    </w:p>
    <w:bookmarkEnd w:id="588"/>
    <w:bookmarkEnd w:id="589"/>
    <w:bookmarkEnd w:id="590"/>
    <w:bookmarkEnd w:id="591"/>
    <w:bookmarkEnd w:id="592"/>
    <w:bookmarkEnd w:id="593"/>
    <w:bookmarkEnd w:id="594"/>
    <w:p w14:paraId="17CCFE5E">
      <w:pPr>
        <w:pStyle w:val="39"/>
        <w:spacing w:line="360" w:lineRule="exact"/>
        <w:ind w:firstLine="442" w:firstLineChars="200"/>
        <w:rPr>
          <w:rFonts w:hint="eastAsia" w:ascii="宋体" w:hAnsi="宋体" w:cs="宋体"/>
          <w:color w:val="auto"/>
          <w:sz w:val="22"/>
          <w:szCs w:val="22"/>
        </w:rPr>
      </w:pPr>
      <w:bookmarkStart w:id="607" w:name="_Toc389065303"/>
      <w:bookmarkStart w:id="608" w:name="_Toc373478384"/>
      <w:bookmarkStart w:id="609" w:name="_Toc533432762"/>
      <w:bookmarkStart w:id="610" w:name="_Toc373227737"/>
      <w:bookmarkStart w:id="611" w:name="_Toc12975927"/>
      <w:bookmarkStart w:id="612" w:name="_Toc395382539"/>
      <w:r>
        <w:rPr>
          <w:rFonts w:hint="eastAsia" w:ascii="宋体" w:hAnsi="宋体" w:cs="宋体"/>
          <w:color w:val="auto"/>
          <w:sz w:val="22"/>
          <w:szCs w:val="22"/>
        </w:rPr>
        <w:t>9</w:t>
      </w:r>
      <w:bookmarkStart w:id="613" w:name="_Toc300934983"/>
      <w:bookmarkStart w:id="614" w:name="_Toc303539140"/>
      <w:bookmarkStart w:id="615" w:name="_Toc297216193"/>
      <w:bookmarkStart w:id="616" w:name="_Toc312678022"/>
      <w:bookmarkStart w:id="617" w:name="_Toc312677496"/>
      <w:bookmarkStart w:id="618" w:name="_Toc297123534"/>
      <w:bookmarkStart w:id="619" w:name="_Toc304295560"/>
      <w:r>
        <w:rPr>
          <w:rFonts w:hint="eastAsia" w:ascii="宋体" w:hAnsi="宋体" w:cs="宋体"/>
          <w:color w:val="auto"/>
          <w:sz w:val="22"/>
          <w:szCs w:val="22"/>
        </w:rPr>
        <w:t>.1 试验设备与试验人员</w:t>
      </w:r>
      <w:bookmarkEnd w:id="607"/>
      <w:bookmarkEnd w:id="608"/>
      <w:bookmarkEnd w:id="609"/>
      <w:bookmarkEnd w:id="610"/>
      <w:bookmarkEnd w:id="611"/>
      <w:bookmarkEnd w:id="612"/>
    </w:p>
    <w:bookmarkEnd w:id="613"/>
    <w:bookmarkEnd w:id="614"/>
    <w:bookmarkEnd w:id="615"/>
    <w:bookmarkEnd w:id="616"/>
    <w:bookmarkEnd w:id="617"/>
    <w:bookmarkEnd w:id="618"/>
    <w:bookmarkEnd w:id="619"/>
    <w:p w14:paraId="74FEAA08">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9</w:t>
      </w:r>
      <w:bookmarkStart w:id="620" w:name="_Toc312678023"/>
      <w:bookmarkStart w:id="621" w:name="_Toc312677497"/>
      <w:bookmarkStart w:id="622" w:name="_Toc304295561"/>
      <w:bookmarkStart w:id="623" w:name="_Toc297216194"/>
      <w:bookmarkStart w:id="624" w:name="_Toc303539141"/>
      <w:bookmarkStart w:id="625" w:name="_Toc297123535"/>
      <w:bookmarkStart w:id="626" w:name="_Toc300934984"/>
      <w:bookmarkStart w:id="627" w:name="_Toc318581174"/>
      <w:r>
        <w:rPr>
          <w:rFonts w:hint="eastAsia" w:ascii="宋体" w:hAnsi="宋体" w:cs="宋体"/>
          <w:color w:val="auto"/>
          <w:sz w:val="22"/>
        </w:rPr>
        <w:t>.1.2 试验设备</w:t>
      </w:r>
    </w:p>
    <w:p w14:paraId="2F46BC32">
      <w:pPr>
        <w:pStyle w:val="4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sz w:val="22"/>
        </w:rPr>
        <w:t>施工现场需要配置的试验场所：</w:t>
      </w:r>
      <w:bookmarkEnd w:id="620"/>
      <w:bookmarkEnd w:id="621"/>
      <w:bookmarkEnd w:id="622"/>
      <w:bookmarkEnd w:id="623"/>
      <w:bookmarkEnd w:id="624"/>
      <w:bookmarkEnd w:id="625"/>
      <w:bookmarkEnd w:id="626"/>
      <w:bookmarkStart w:id="628" w:name="_Toc297216195"/>
      <w:bookmarkStart w:id="629" w:name="_Toc312678024"/>
      <w:bookmarkStart w:id="630" w:name="_Toc300934985"/>
      <w:bookmarkStart w:id="631" w:name="_Toc312677498"/>
      <w:bookmarkStart w:id="632" w:name="_Toc304295562"/>
      <w:bookmarkStart w:id="633" w:name="_Toc297123536"/>
      <w:bookmarkStart w:id="634" w:name="_Toc303539142"/>
      <w:r>
        <w:rPr>
          <w:rFonts w:hint="eastAsia" w:ascii="宋体" w:hAnsi="宋体" w:cs="宋体"/>
          <w:color w:val="auto"/>
          <w:sz w:val="22"/>
          <w:u w:val="single"/>
        </w:rPr>
        <w:t>按有关规定执行</w:t>
      </w:r>
      <w:r>
        <w:rPr>
          <w:rFonts w:hint="eastAsia" w:ascii="宋体" w:hAnsi="宋体" w:cs="宋体"/>
          <w:color w:val="auto"/>
          <w:sz w:val="22"/>
        </w:rPr>
        <w:t>。</w:t>
      </w:r>
    </w:p>
    <w:p w14:paraId="64488C50">
      <w:pPr>
        <w:pStyle w:val="4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sz w:val="22"/>
        </w:rPr>
        <w:t>施工现场需要配备的试验设备：</w:t>
      </w:r>
      <w:r>
        <w:rPr>
          <w:rFonts w:hint="eastAsia" w:ascii="宋体" w:hAnsi="宋体" w:cs="宋体"/>
          <w:color w:val="auto"/>
          <w:sz w:val="22"/>
          <w:u w:val="single"/>
        </w:rPr>
        <w:t>按有关规定执行</w:t>
      </w:r>
      <w:r>
        <w:rPr>
          <w:rFonts w:hint="eastAsia" w:ascii="宋体" w:hAnsi="宋体" w:cs="宋体"/>
          <w:color w:val="auto"/>
          <w:sz w:val="22"/>
        </w:rPr>
        <w:t>。</w:t>
      </w:r>
    </w:p>
    <w:p w14:paraId="040B47C7">
      <w:pPr>
        <w:pStyle w:val="4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sz w:val="22"/>
        </w:rPr>
        <w:t>施工现场需要具备的其他试验条件：</w:t>
      </w:r>
      <w:r>
        <w:rPr>
          <w:rFonts w:hint="eastAsia" w:ascii="宋体" w:hAnsi="宋体" w:cs="宋体"/>
          <w:color w:val="auto"/>
          <w:sz w:val="22"/>
          <w:u w:val="single"/>
          <w:lang w:val="en-US" w:eastAsia="zh-CN"/>
        </w:rPr>
        <w:t xml:space="preserve"> </w:t>
      </w:r>
      <w:r>
        <w:rPr>
          <w:rFonts w:hint="eastAsia" w:ascii="宋体" w:hAnsi="宋体" w:cs="宋体"/>
          <w:color w:val="auto"/>
          <w:sz w:val="22"/>
          <w:u w:val="single"/>
        </w:rPr>
        <w:t>无</w:t>
      </w:r>
      <w:r>
        <w:rPr>
          <w:rFonts w:hint="eastAsia" w:ascii="宋体" w:hAnsi="宋体" w:cs="宋体"/>
          <w:color w:val="auto"/>
          <w:sz w:val="22"/>
          <w:u w:val="single"/>
          <w:lang w:val="en-US" w:eastAsia="zh-CN"/>
        </w:rPr>
        <w:t xml:space="preserve"> </w:t>
      </w:r>
      <w:r>
        <w:rPr>
          <w:rFonts w:hint="eastAsia" w:ascii="宋体" w:hAnsi="宋体" w:cs="宋体"/>
          <w:color w:val="auto"/>
          <w:sz w:val="22"/>
        </w:rPr>
        <w:t>。</w:t>
      </w:r>
    </w:p>
    <w:p w14:paraId="7392C300">
      <w:pPr>
        <w:pStyle w:val="39"/>
        <w:spacing w:line="360" w:lineRule="exact"/>
        <w:ind w:firstLine="442" w:firstLineChars="200"/>
        <w:rPr>
          <w:rFonts w:hint="eastAsia" w:ascii="宋体" w:hAnsi="宋体" w:cs="宋体"/>
          <w:color w:val="auto"/>
          <w:sz w:val="22"/>
          <w:szCs w:val="22"/>
        </w:rPr>
      </w:pPr>
      <w:bookmarkStart w:id="635" w:name="_Toc373478385"/>
      <w:bookmarkStart w:id="636" w:name="_Toc12975928"/>
      <w:bookmarkStart w:id="637" w:name="_Toc395382540"/>
      <w:bookmarkStart w:id="638" w:name="_Toc389065304"/>
      <w:bookmarkStart w:id="639" w:name="_Toc373227738"/>
      <w:bookmarkStart w:id="640" w:name="_Toc533432763"/>
      <w:r>
        <w:rPr>
          <w:rFonts w:hint="eastAsia" w:ascii="宋体" w:hAnsi="宋体" w:cs="宋体"/>
          <w:color w:val="auto"/>
          <w:sz w:val="22"/>
          <w:szCs w:val="22"/>
        </w:rPr>
        <w:t>9.4 现场工艺试验</w:t>
      </w:r>
      <w:bookmarkEnd w:id="635"/>
      <w:bookmarkEnd w:id="636"/>
      <w:bookmarkEnd w:id="637"/>
      <w:bookmarkEnd w:id="638"/>
      <w:bookmarkEnd w:id="639"/>
      <w:bookmarkEnd w:id="640"/>
      <w:r>
        <w:rPr>
          <w:rFonts w:hint="eastAsia" w:ascii="宋体" w:hAnsi="宋体" w:cs="宋体"/>
          <w:color w:val="auto"/>
          <w:sz w:val="22"/>
          <w:szCs w:val="22"/>
        </w:rPr>
        <w:t xml:space="preserve"> </w:t>
      </w:r>
    </w:p>
    <w:p w14:paraId="789455A7">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现场工艺试验的有关约定：</w:t>
      </w:r>
      <w:r>
        <w:rPr>
          <w:rFonts w:hint="eastAsia" w:ascii="宋体" w:hAnsi="宋体" w:cs="宋体"/>
          <w:color w:val="auto"/>
          <w:sz w:val="22"/>
          <w:u w:val="single"/>
        </w:rPr>
        <w:t>按有关规定执行</w:t>
      </w:r>
      <w:r>
        <w:rPr>
          <w:rFonts w:hint="eastAsia" w:ascii="宋体" w:hAnsi="宋体" w:cs="宋体"/>
          <w:color w:val="auto"/>
          <w:sz w:val="22"/>
        </w:rPr>
        <w:t>。</w:t>
      </w:r>
    </w:p>
    <w:p w14:paraId="3A08CA8D">
      <w:pPr>
        <w:pStyle w:val="39"/>
        <w:spacing w:line="360" w:lineRule="exact"/>
        <w:ind w:firstLine="442" w:firstLineChars="200"/>
        <w:rPr>
          <w:rFonts w:hint="eastAsia" w:ascii="宋体" w:hAnsi="宋体" w:cs="宋体"/>
          <w:color w:val="auto"/>
          <w:sz w:val="22"/>
          <w:szCs w:val="22"/>
        </w:rPr>
      </w:pPr>
      <w:bookmarkStart w:id="641" w:name="_Toc395382541"/>
      <w:bookmarkStart w:id="642" w:name="_Toc12975929"/>
      <w:bookmarkStart w:id="643" w:name="_Toc533432764"/>
      <w:r>
        <w:rPr>
          <w:rFonts w:hint="eastAsia" w:ascii="宋体" w:hAnsi="宋体" w:cs="宋体"/>
          <w:color w:val="auto"/>
          <w:sz w:val="22"/>
          <w:szCs w:val="22"/>
        </w:rPr>
        <w:t>9.5 检验费用</w:t>
      </w:r>
      <w:bookmarkEnd w:id="641"/>
      <w:bookmarkEnd w:id="642"/>
      <w:bookmarkEnd w:id="643"/>
    </w:p>
    <w:p w14:paraId="07D6CB52">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根据《建设工程质量检测管理办法》（住房和城乡建设部令第57号）以及《广西壮族自治区建设工程质量检测管理规定》规定，工程质量检测业务由发包人委托有相应资质的检测机构检测。费用由发包人直接支付给检测机构，不计入合同价款内。检验试验配合费按费用定额规定计取，计入本合同价款内。</w:t>
      </w:r>
    </w:p>
    <w:bookmarkEnd w:id="627"/>
    <w:bookmarkEnd w:id="628"/>
    <w:bookmarkEnd w:id="629"/>
    <w:bookmarkEnd w:id="630"/>
    <w:bookmarkEnd w:id="631"/>
    <w:bookmarkEnd w:id="632"/>
    <w:bookmarkEnd w:id="633"/>
    <w:bookmarkEnd w:id="634"/>
    <w:p w14:paraId="08F4FA96">
      <w:pPr>
        <w:pStyle w:val="70"/>
        <w:spacing w:before="0" w:after="0" w:line="360" w:lineRule="exact"/>
        <w:ind w:firstLine="442" w:firstLineChars="200"/>
        <w:rPr>
          <w:rFonts w:hint="eastAsia" w:ascii="宋体" w:hAnsi="宋体" w:cs="宋体"/>
          <w:color w:val="auto"/>
          <w:sz w:val="22"/>
          <w:szCs w:val="22"/>
        </w:rPr>
      </w:pPr>
      <w:bookmarkStart w:id="644" w:name="_Toc373478386"/>
      <w:bookmarkStart w:id="645" w:name="_Toc533432765"/>
      <w:bookmarkStart w:id="646" w:name="_Toc351203642"/>
      <w:bookmarkStart w:id="647" w:name="_Toc389065305"/>
      <w:bookmarkStart w:id="648" w:name="_Toc395382542"/>
      <w:bookmarkStart w:id="649" w:name="_Toc12975930"/>
      <w:bookmarkStart w:id="650" w:name="_Toc373227739"/>
      <w:r>
        <w:rPr>
          <w:rFonts w:hint="eastAsia" w:ascii="宋体" w:hAnsi="宋体" w:cs="宋体"/>
          <w:color w:val="auto"/>
          <w:sz w:val="22"/>
          <w:szCs w:val="22"/>
        </w:rPr>
        <w:t>1</w:t>
      </w:r>
      <w:bookmarkEnd w:id="595"/>
      <w:bookmarkEnd w:id="596"/>
      <w:bookmarkEnd w:id="597"/>
      <w:bookmarkEnd w:id="598"/>
      <w:bookmarkEnd w:id="599"/>
      <w:bookmarkEnd w:id="600"/>
      <w:bookmarkEnd w:id="601"/>
      <w:bookmarkEnd w:id="602"/>
      <w:bookmarkEnd w:id="603"/>
      <w:bookmarkEnd w:id="604"/>
      <w:bookmarkEnd w:id="605"/>
      <w:bookmarkEnd w:id="606"/>
      <w:bookmarkStart w:id="651" w:name="_Toc292559903"/>
      <w:bookmarkStart w:id="652" w:name="_Toc297123540"/>
      <w:bookmarkStart w:id="653" w:name="_Toc296891233"/>
      <w:bookmarkStart w:id="654" w:name="_Toc296503193"/>
      <w:bookmarkStart w:id="655" w:name="_Toc296891021"/>
      <w:bookmarkStart w:id="656" w:name="_Toc303539146"/>
      <w:bookmarkStart w:id="657" w:name="_Toc304295566"/>
      <w:bookmarkStart w:id="658" w:name="_Toc297120493"/>
      <w:bookmarkStart w:id="659" w:name="_Toc297048379"/>
      <w:bookmarkStart w:id="660" w:name="_Toc296346694"/>
      <w:bookmarkStart w:id="661" w:name="_Toc296944532"/>
      <w:bookmarkStart w:id="662" w:name="_Toc292559398"/>
      <w:bookmarkStart w:id="663" w:name="_Toc296347192"/>
      <w:bookmarkStart w:id="664" w:name="_Toc300934989"/>
      <w:bookmarkStart w:id="665" w:name="_Toc297216199"/>
      <w:bookmarkStart w:id="666" w:name="_Toc312678025"/>
      <w:bookmarkStart w:id="667" w:name="_Toc312677499"/>
      <w:bookmarkStart w:id="668" w:name="_Toc267251437"/>
      <w:bookmarkStart w:id="669" w:name="_Toc267251439"/>
      <w:bookmarkStart w:id="670" w:name="_Toc267251435"/>
      <w:bookmarkStart w:id="671" w:name="_Toc267251441"/>
      <w:bookmarkStart w:id="672" w:name="_Toc267251433"/>
      <w:bookmarkStart w:id="673" w:name="_Toc267251440"/>
      <w:bookmarkStart w:id="674" w:name="_Toc267251442"/>
      <w:r>
        <w:rPr>
          <w:rFonts w:hint="eastAsia" w:ascii="宋体" w:hAnsi="宋体" w:cs="宋体"/>
          <w:color w:val="auto"/>
          <w:sz w:val="22"/>
          <w:szCs w:val="22"/>
        </w:rPr>
        <w:t>0. 变更</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bookmarkEnd w:id="666"/>
    <w:bookmarkEnd w:id="667"/>
    <w:p w14:paraId="4854BEC5">
      <w:pPr>
        <w:pStyle w:val="39"/>
        <w:spacing w:line="360" w:lineRule="exact"/>
        <w:ind w:firstLine="442" w:firstLineChars="200"/>
        <w:rPr>
          <w:rFonts w:hint="eastAsia" w:ascii="宋体" w:hAnsi="宋体" w:cs="宋体"/>
          <w:color w:val="auto"/>
          <w:sz w:val="22"/>
          <w:szCs w:val="22"/>
        </w:rPr>
      </w:pPr>
      <w:bookmarkStart w:id="675" w:name="_Toc12975931"/>
      <w:bookmarkStart w:id="676" w:name="_Toc373227740"/>
      <w:bookmarkStart w:id="677" w:name="_Toc389065306"/>
      <w:bookmarkStart w:id="678" w:name="_Toc395382543"/>
      <w:bookmarkStart w:id="679" w:name="_Toc533432766"/>
      <w:bookmarkStart w:id="680" w:name="_Toc373478387"/>
      <w:r>
        <w:rPr>
          <w:rFonts w:hint="eastAsia" w:ascii="宋体" w:hAnsi="宋体" w:cs="宋体"/>
          <w:color w:val="auto"/>
          <w:sz w:val="22"/>
          <w:szCs w:val="22"/>
        </w:rPr>
        <w:t>1</w:t>
      </w:r>
      <w:bookmarkStart w:id="681" w:name="_Toc297123541"/>
      <w:bookmarkStart w:id="682" w:name="_Toc292559904"/>
      <w:bookmarkStart w:id="683" w:name="_Toc303539147"/>
      <w:bookmarkStart w:id="684" w:name="_Toc296891234"/>
      <w:bookmarkStart w:id="685" w:name="_Toc297048380"/>
      <w:bookmarkStart w:id="686" w:name="_Toc297216200"/>
      <w:bookmarkStart w:id="687" w:name="_Toc292559399"/>
      <w:bookmarkStart w:id="688" w:name="_Toc296891022"/>
      <w:bookmarkStart w:id="689" w:name="_Toc296944533"/>
      <w:bookmarkStart w:id="690" w:name="_Toc304295567"/>
      <w:bookmarkStart w:id="691" w:name="_Toc300934990"/>
      <w:bookmarkStart w:id="692" w:name="_Toc312678026"/>
      <w:bookmarkStart w:id="693" w:name="_Toc296503194"/>
      <w:bookmarkStart w:id="694" w:name="_Toc296346695"/>
      <w:bookmarkStart w:id="695" w:name="_Toc312677500"/>
      <w:bookmarkStart w:id="696" w:name="_Toc296347193"/>
      <w:bookmarkStart w:id="697" w:name="_Toc297120494"/>
      <w:r>
        <w:rPr>
          <w:rFonts w:hint="eastAsia" w:ascii="宋体" w:hAnsi="宋体" w:cs="宋体"/>
          <w:color w:val="auto"/>
          <w:sz w:val="22"/>
          <w:szCs w:val="22"/>
        </w:rPr>
        <w:t>0.1 变更的范围</w:t>
      </w:r>
      <w:bookmarkEnd w:id="675"/>
      <w:bookmarkEnd w:id="676"/>
      <w:bookmarkEnd w:id="677"/>
      <w:bookmarkEnd w:id="678"/>
      <w:bookmarkEnd w:id="679"/>
      <w:bookmarkEnd w:id="680"/>
    </w:p>
    <w:p w14:paraId="5EB7A589">
      <w:pPr>
        <w:pStyle w:val="60"/>
        <w:autoSpaceDE w:val="0"/>
        <w:autoSpaceDN w:val="0"/>
        <w:adjustRightInd w:val="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关于变更的范围的约定：</w:t>
      </w:r>
    </w:p>
    <w:p w14:paraId="7A29BD4C">
      <w:pPr>
        <w:pStyle w:val="60"/>
        <w:autoSpaceDE w:val="0"/>
        <w:autoSpaceDN w:val="0"/>
        <w:adjustRightInd w:val="0"/>
        <w:spacing w:line="360" w:lineRule="exact"/>
        <w:ind w:firstLine="442" w:firstLineChars="200"/>
        <w:jc w:val="left"/>
        <w:rPr>
          <w:rFonts w:hint="eastAsia" w:ascii="宋体" w:hAnsi="宋体" w:cs="宋体"/>
          <w:b/>
          <w:color w:val="auto"/>
          <w:sz w:val="22"/>
          <w:szCs w:val="22"/>
        </w:rPr>
      </w:pPr>
      <w:r>
        <w:rPr>
          <w:rFonts w:hint="eastAsia" w:ascii="宋体" w:hAnsi="宋体" w:cs="宋体"/>
          <w:b/>
          <w:color w:val="auto"/>
          <w:sz w:val="22"/>
          <w:szCs w:val="22"/>
        </w:rPr>
        <w:t>增加以下内容：</w:t>
      </w:r>
    </w:p>
    <w:p w14:paraId="406BC80E">
      <w:pPr>
        <w:pStyle w:val="6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1）发包人可以以书面的形式通知承包人暂停执行本合同或本合同范围内的任何部分，也可以以书面的形式通知承包人将要暂停的工作内容和暂停生效的日期；承包人应从这一生效日起暂停所述工作内容，但应继续执行未被暂停的其他工作。</w:t>
      </w:r>
    </w:p>
    <w:p w14:paraId="024D4020">
      <w:pPr>
        <w:pStyle w:val="6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2）发包人可以以书面的形式通知承包人取消（或变更）执行本合同范围内的任何部分，也可以以书面的形式通知承包人将要取消（或变更）的工作内容和暂停生效的日期；承包人应从这一生效日起取消（或变更）所述工作内容，但应继续执行未被取消（或变更）的其他工作。</w:t>
      </w:r>
    </w:p>
    <w:p w14:paraId="3EEFE996">
      <w:pPr>
        <w:pStyle w:val="6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3）尽管合同有其他约定，尽管变更或增加部分与本合同无实质性关联，发包人根据自身需要，需要由承包人承担其相关施工，承包人不得拒绝。发包人发出的变更指令，承包人必须执行，承包人必须考虑其磋商报价的平衡性，不得以变更项目子目单价低或超出施工能力范围等为由拒绝施工，也不得以变更或者增加部分不属于本合同范围为由而拒绝执行。经发包人催告后3天仍不执行或不完全执行指令的，视承包人违约，发包人根据变更或增加部分的总费用及事情的重要性对承包人进行罚款，罚款金额1～5万元/次。</w:t>
      </w:r>
    </w:p>
    <w:p w14:paraId="335FB2B0">
      <w:pPr>
        <w:pStyle w:val="6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（4）不属于变更范围的包括但不限于以下内容：</w:t>
      </w:r>
    </w:p>
    <w:p w14:paraId="5638F8D3">
      <w:pPr>
        <w:pStyle w:val="6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①如果工程量的增减并不是执行发包人按本条规定发出的变更指示的结果，而是由于实际工程量超过或少于工程量清单中开列的数量，则此类增减不需要任何变更指示。</w:t>
      </w:r>
    </w:p>
    <w:p w14:paraId="208F938D">
      <w:pPr>
        <w:pStyle w:val="6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②工程图纸和现场条件没有发生变化，承包人在磋商阶段也未提出澄清，但在施工阶段因现场情况（包括但不限于地质条件限制、场地限制、安全要求限制等）不能完成施工或不能按期完成整个工程，需要修改图纸或施工方案（包括施工工艺、施工设备、施工方法和施工顺序等），不构成变更。因此导致费用增加或工期延长时，发包人不承担任何相关费用，相关费用及损失由承包人承担，工期亦不予顺延。</w:t>
      </w:r>
    </w:p>
    <w:p w14:paraId="595E0618">
      <w:pPr>
        <w:pStyle w:val="6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③承包人为了便于组织施工，或为了施工安全、避免干扰等原因需采取相应的技术措施而提出的局部变更设计，不构成变更。但局部变更设计须经发包人的批准，且由此而增加的费用应由承包人承担。</w:t>
      </w:r>
    </w:p>
    <w:p w14:paraId="0B70EA00">
      <w:pPr>
        <w:pStyle w:val="6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④若竣工图与发包人在施工过程中确认的施工图及工程变更不一致，则发包人对竣工图的接收或确认不能证明发包人同意上述不一致之处的施工，也不构成本条约定的变更，因上述不一致而增加的费用由承包人承担。</w:t>
      </w:r>
    </w:p>
    <w:p w14:paraId="190593C6">
      <w:pPr>
        <w:pStyle w:val="6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⑤承包人编制的商务标取费与技术标的施工方案不能一一对应的，如工程图纸没有发生实质性变化，但按照技术标的施工方案不能完成施工或不能按期完成整个工程，需要修改施工方案（包括施工工艺、施工设备、施工方法和施工顺序等），不构成变更。因此导致费用增加或工期延长时，发包人不承担任何相关费用，相关费用及损失由承包人承担，工期亦不予顺延。</w:t>
      </w:r>
    </w:p>
    <w:p w14:paraId="1C159AFD">
      <w:pPr>
        <w:pStyle w:val="6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⑥如工程图纸没有发生实质性变化，不管图纸和工程量清单中是否有描述，承包人在磋商阶段也未提出澄清，但为完成工程图所发生的任何措施项目均不构成变更。</w:t>
      </w:r>
    </w:p>
    <w:p w14:paraId="6CFC3862">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⑦本项目施工用水、用电由承包人自理，承包人应在磋商阶段通过实地考察水电接入点位置及用电容量，如通过自发电或其他方式取得时，均不构成变更。</w:t>
      </w:r>
    </w:p>
    <w:p w14:paraId="54977217">
      <w:pPr>
        <w:pStyle w:val="39"/>
        <w:spacing w:line="360" w:lineRule="exact"/>
        <w:ind w:firstLine="442" w:firstLineChars="200"/>
        <w:rPr>
          <w:rFonts w:hint="eastAsia" w:ascii="宋体" w:hAnsi="宋体" w:cs="宋体"/>
          <w:color w:val="auto"/>
          <w:sz w:val="22"/>
          <w:szCs w:val="22"/>
        </w:rPr>
      </w:pPr>
      <w:bookmarkStart w:id="698" w:name="_Toc373478388"/>
      <w:bookmarkStart w:id="699" w:name="_Toc373227741"/>
      <w:bookmarkStart w:id="700" w:name="_Toc12975932"/>
      <w:bookmarkStart w:id="701" w:name="_Toc395382544"/>
      <w:bookmarkStart w:id="702" w:name="_Toc389065307"/>
      <w:bookmarkStart w:id="703" w:name="_Toc533432767"/>
      <w:r>
        <w:rPr>
          <w:rFonts w:hint="eastAsia" w:ascii="宋体" w:hAnsi="宋体" w:cs="宋体"/>
          <w:color w:val="auto"/>
          <w:sz w:val="22"/>
          <w:szCs w:val="22"/>
        </w:rPr>
        <w:t>10.3 变更程序</w:t>
      </w:r>
      <w:bookmarkEnd w:id="698"/>
      <w:bookmarkEnd w:id="699"/>
      <w:bookmarkEnd w:id="700"/>
      <w:bookmarkEnd w:id="701"/>
      <w:bookmarkEnd w:id="702"/>
      <w:bookmarkEnd w:id="703"/>
    </w:p>
    <w:p w14:paraId="1A27BF52">
      <w:pPr>
        <w:pStyle w:val="56"/>
        <w:spacing w:line="360" w:lineRule="exact"/>
        <w:ind w:firstLine="440" w:firstLineChars="200"/>
        <w:rPr>
          <w:rFonts w:hint="eastAsia" w:hAnsi="宋体" w:cs="宋体"/>
          <w:bCs/>
          <w:color w:val="auto"/>
          <w:sz w:val="22"/>
          <w:szCs w:val="22"/>
        </w:rPr>
      </w:pPr>
      <w:r>
        <w:rPr>
          <w:rFonts w:hint="eastAsia" w:hAnsi="宋体" w:cs="宋体"/>
          <w:bCs/>
          <w:color w:val="auto"/>
          <w:sz w:val="22"/>
          <w:szCs w:val="22"/>
        </w:rPr>
        <w:t>10.3.1 国有投资项目：</w:t>
      </w:r>
    </w:p>
    <w:p w14:paraId="13283CCA">
      <w:pPr>
        <w:pStyle w:val="56"/>
        <w:spacing w:line="360" w:lineRule="exact"/>
        <w:ind w:firstLine="440" w:firstLineChars="200"/>
        <w:rPr>
          <w:rFonts w:hint="eastAsia" w:hAnsi="宋体" w:cs="宋体"/>
          <w:bCs/>
          <w:color w:val="auto"/>
          <w:sz w:val="22"/>
          <w:szCs w:val="22"/>
        </w:rPr>
      </w:pPr>
      <w:r>
        <w:rPr>
          <w:rFonts w:hint="eastAsia" w:hAnsi="宋体" w:cs="宋体"/>
          <w:bCs/>
          <w:color w:val="auto"/>
          <w:sz w:val="22"/>
          <w:szCs w:val="22"/>
        </w:rPr>
        <w:t>⑴设计变更和工程签证，按各市政府或相关部门的规定办理。属不可抗力（自然灾害、突发事件等）造成变更的，按特事特办原则予以办理。</w:t>
      </w:r>
    </w:p>
    <w:p w14:paraId="3067903B">
      <w:pPr>
        <w:pStyle w:val="56"/>
        <w:spacing w:line="360" w:lineRule="exact"/>
        <w:ind w:firstLine="440" w:firstLineChars="200"/>
        <w:rPr>
          <w:rFonts w:hint="eastAsia" w:hAnsi="宋体" w:cs="宋体"/>
          <w:bCs/>
          <w:color w:val="auto"/>
          <w:sz w:val="22"/>
          <w:szCs w:val="22"/>
        </w:rPr>
      </w:pPr>
      <w:r>
        <w:rPr>
          <w:rFonts w:hint="eastAsia" w:hAnsi="宋体" w:cs="宋体"/>
          <w:bCs/>
          <w:color w:val="auto"/>
          <w:sz w:val="22"/>
          <w:szCs w:val="22"/>
        </w:rPr>
        <w:t>⑵建设单位在实施项目过程中，若发生单价变动，由建设单位、监理单位、施工单位及其他相关单位共同商定并签字确认。</w:t>
      </w:r>
    </w:p>
    <w:p w14:paraId="77802161">
      <w:pPr>
        <w:pStyle w:val="40"/>
        <w:spacing w:line="360" w:lineRule="exact"/>
        <w:ind w:firstLine="440" w:firstLineChars="200"/>
        <w:jc w:val="left"/>
        <w:rPr>
          <w:rFonts w:hint="eastAsia" w:ascii="宋体" w:hAnsi="宋体" w:cs="宋体"/>
          <w:bCs/>
          <w:color w:val="auto"/>
          <w:sz w:val="22"/>
        </w:rPr>
      </w:pPr>
      <w:r>
        <w:rPr>
          <w:rFonts w:hint="eastAsia" w:ascii="宋体" w:hAnsi="宋体" w:cs="宋体"/>
          <w:bCs/>
          <w:color w:val="auto"/>
          <w:sz w:val="22"/>
        </w:rPr>
        <w:t>⑶ 当合同规定的合同价款调整情况发生后，承包人未在规定时间内通知发包人，或者未在规定时间内提出调整报告，发包人可以根据有关资料，决定是否调整和调整的金额，并书面通知承包人。</w:t>
      </w:r>
    </w:p>
    <w:p w14:paraId="2C4C8EDF">
      <w:pPr>
        <w:pStyle w:val="60"/>
        <w:spacing w:line="360" w:lineRule="exact"/>
        <w:ind w:firstLine="440" w:firstLineChars="200"/>
        <w:rPr>
          <w:rFonts w:hint="eastAsia" w:ascii="宋体" w:hAnsi="宋体" w:cs="宋体"/>
          <w:bCs/>
          <w:color w:val="auto"/>
          <w:sz w:val="22"/>
          <w:szCs w:val="22"/>
        </w:rPr>
      </w:pPr>
      <w:r>
        <w:rPr>
          <w:rFonts w:hint="eastAsia" w:ascii="宋体" w:hAnsi="宋体" w:cs="宋体"/>
          <w:bCs/>
          <w:color w:val="auto"/>
          <w:sz w:val="22"/>
          <w:szCs w:val="22"/>
        </w:rPr>
        <w:t>（4）</w:t>
      </w:r>
      <w:r>
        <w:rPr>
          <w:rFonts w:hint="eastAsia" w:ascii="宋体" w:hAnsi="宋体" w:cs="宋体"/>
          <w:color w:val="auto"/>
          <w:sz w:val="22"/>
          <w:szCs w:val="22"/>
          <w:u w:val="single"/>
        </w:rPr>
        <w:t>所有设计变更，双方均应办理变更前签证，需要变更的工程（或新增工程），由设计单位、监理单位对变更理由和变更内容提出审核意见后报发包人，由发包人向相关审批部门报告，相关审批部门批复意见后方可实施。变更造价累计超出工程施工合同价中建安工程费用总和的10%且单项工程变更造价大于人民币100万</w:t>
      </w:r>
      <w:r>
        <w:rPr>
          <w:rFonts w:hint="eastAsia" w:ascii="宋体" w:hAnsi="宋体" w:cs="宋体"/>
          <w:color w:val="auto"/>
          <w:sz w:val="22"/>
          <w:szCs w:val="22"/>
          <w:u w:val="single"/>
          <w:lang w:val="en-US" w:eastAsia="zh-CN"/>
        </w:rPr>
        <w:t>元</w:t>
      </w:r>
      <w:r>
        <w:rPr>
          <w:rFonts w:hint="eastAsia" w:ascii="宋体" w:hAnsi="宋体" w:cs="宋体"/>
          <w:color w:val="auto"/>
          <w:sz w:val="22"/>
          <w:szCs w:val="22"/>
          <w:u w:val="single"/>
        </w:rPr>
        <w:t>的，由设计单位、监理单位及发包人提出审核意见，经发包人或项目委托后，经发包人集体研究，主要负责人签字后，</w:t>
      </w:r>
      <w:r>
        <w:rPr>
          <w:rFonts w:hint="eastAsia" w:ascii="宋体" w:hAnsi="宋体" w:cs="宋体"/>
          <w:bCs/>
          <w:color w:val="auto"/>
          <w:sz w:val="22"/>
          <w:szCs w:val="22"/>
          <w:u w:val="single"/>
        </w:rPr>
        <w:t>报相关审批部门批准后须报市人民政府备案方可实施</w:t>
      </w:r>
      <w:r>
        <w:rPr>
          <w:rFonts w:hint="eastAsia" w:ascii="宋体" w:hAnsi="宋体" w:cs="宋体"/>
          <w:color w:val="auto"/>
          <w:sz w:val="22"/>
          <w:szCs w:val="22"/>
          <w:u w:val="single"/>
        </w:rPr>
        <w:t>。项目变更后总投资超过概算批复的，必须报投资审批部门同意调整概算方可实施。</w:t>
      </w:r>
    </w:p>
    <w:p w14:paraId="4E880F3E">
      <w:pPr>
        <w:pStyle w:val="40"/>
        <w:spacing w:line="360" w:lineRule="exact"/>
        <w:ind w:firstLine="440" w:firstLineChars="200"/>
        <w:jc w:val="left"/>
        <w:rPr>
          <w:rFonts w:hint="eastAsia" w:ascii="宋体" w:hAnsi="宋体" w:cs="宋体"/>
          <w:bCs/>
          <w:color w:val="auto"/>
          <w:sz w:val="22"/>
          <w:u w:val="single"/>
        </w:rPr>
      </w:pPr>
      <w:r>
        <w:rPr>
          <w:rFonts w:hint="eastAsia" w:ascii="宋体" w:hAnsi="宋体" w:cs="宋体"/>
          <w:bCs/>
          <w:color w:val="auto"/>
          <w:sz w:val="22"/>
        </w:rPr>
        <w:t>10.3.2 非国有投资项目：</w:t>
      </w:r>
      <w:r>
        <w:rPr>
          <w:rFonts w:hint="eastAsia" w:ascii="宋体" w:hAnsi="宋体" w:cs="宋体"/>
          <w:bCs/>
          <w:color w:val="auto"/>
          <w:sz w:val="22"/>
          <w:u w:val="single"/>
        </w:rPr>
        <w:t xml:space="preserve">  /  </w:t>
      </w:r>
      <w:r>
        <w:rPr>
          <w:rFonts w:hint="eastAsia" w:ascii="宋体" w:hAnsi="宋体" w:cs="宋体"/>
          <w:bCs/>
          <w:color w:val="auto"/>
          <w:sz w:val="22"/>
          <w:u w:val="none"/>
        </w:rPr>
        <w:t>。</w:t>
      </w:r>
    </w:p>
    <w:p w14:paraId="1D0B7BBB">
      <w:pPr>
        <w:pStyle w:val="60"/>
        <w:autoSpaceDE w:val="0"/>
        <w:autoSpaceDN w:val="0"/>
        <w:adjustRightInd w:val="0"/>
        <w:spacing w:line="360" w:lineRule="exact"/>
        <w:ind w:firstLine="442" w:firstLineChars="200"/>
        <w:jc w:val="left"/>
        <w:rPr>
          <w:rFonts w:hint="eastAsia" w:ascii="宋体" w:hAnsi="宋体" w:cs="宋体"/>
          <w:b/>
          <w:color w:val="auto"/>
          <w:sz w:val="22"/>
          <w:szCs w:val="22"/>
        </w:rPr>
      </w:pPr>
      <w:r>
        <w:rPr>
          <w:rFonts w:hint="eastAsia" w:ascii="宋体" w:hAnsi="宋体" w:cs="宋体"/>
          <w:b/>
          <w:bCs/>
          <w:color w:val="auto"/>
          <w:sz w:val="22"/>
          <w:szCs w:val="22"/>
        </w:rPr>
        <w:t>变更的提出</w:t>
      </w:r>
    </w:p>
    <w:p w14:paraId="5B10DAF9">
      <w:pPr>
        <w:pStyle w:val="60"/>
        <w:spacing w:line="360" w:lineRule="exact"/>
        <w:ind w:firstLine="440" w:firstLineChars="200"/>
        <w:jc w:val="left"/>
        <w:rPr>
          <w:rFonts w:hint="eastAsia" w:ascii="宋体" w:hAnsi="宋体" w:cs="宋体"/>
          <w:bCs/>
          <w:color w:val="auto"/>
          <w:sz w:val="22"/>
          <w:szCs w:val="22"/>
        </w:rPr>
      </w:pPr>
      <w:r>
        <w:rPr>
          <w:rFonts w:hint="eastAsia" w:ascii="宋体" w:hAnsi="宋体" w:cs="宋体"/>
          <w:bCs/>
          <w:color w:val="auto"/>
          <w:sz w:val="22"/>
          <w:szCs w:val="22"/>
        </w:rPr>
        <w:t>（1）在合同履行过程中，发包人向承包人发出指令后，如果承包人认为该指令属于变更的，承包人应当在收到指令之日起14天内，向监理人提出变更建议书。变更建议书应当阐明变更原因、依据、内容，并同时提供图纸/施工方案等相关技术资料及变更报价书。</w:t>
      </w:r>
    </w:p>
    <w:p w14:paraId="07544EA9">
      <w:pPr>
        <w:pStyle w:val="60"/>
        <w:spacing w:line="360" w:lineRule="exact"/>
        <w:ind w:firstLine="440" w:firstLineChars="200"/>
        <w:jc w:val="left"/>
        <w:rPr>
          <w:rFonts w:hint="eastAsia" w:ascii="宋体" w:hAnsi="宋体" w:cs="宋体"/>
          <w:bCs/>
          <w:color w:val="auto"/>
          <w:sz w:val="22"/>
          <w:szCs w:val="22"/>
        </w:rPr>
      </w:pPr>
      <w:r>
        <w:rPr>
          <w:rFonts w:hint="eastAsia" w:ascii="宋体" w:hAnsi="宋体" w:cs="宋体"/>
          <w:bCs/>
          <w:color w:val="auto"/>
          <w:sz w:val="22"/>
          <w:szCs w:val="22"/>
        </w:rPr>
        <w:t>（2）监理人收到承包人报送的变更建议书后，认为变更不成立的可将变更建议书直接退回承包人；若监理人认为变更成立的，则应上报发包人审查，发包人认为变更不成立的，应在收到监理人报送的意见书后14天内向承包人发出书面通知；发包人认为变更是否成立不明确或需要承包人进一步提交资料的，发包人应书面通知承包人补充资料。承包人应在收到发包人通知之日起14天内提交补充资料，发包人收到承包人提交的补充资料后28天内，应当向承包人发出正式变更令或变更不成立的书面通知。</w:t>
      </w:r>
    </w:p>
    <w:p w14:paraId="3A1714AD">
      <w:pPr>
        <w:pStyle w:val="60"/>
        <w:spacing w:line="360" w:lineRule="exact"/>
        <w:ind w:firstLine="440" w:firstLineChars="200"/>
        <w:jc w:val="left"/>
        <w:rPr>
          <w:rFonts w:hint="eastAsia" w:ascii="宋体" w:hAnsi="宋体" w:cs="宋体"/>
          <w:bCs/>
          <w:color w:val="auto"/>
          <w:sz w:val="22"/>
          <w:szCs w:val="22"/>
        </w:rPr>
      </w:pPr>
      <w:r>
        <w:rPr>
          <w:rFonts w:hint="eastAsia" w:ascii="宋体" w:hAnsi="宋体" w:cs="宋体"/>
          <w:bCs/>
          <w:color w:val="auto"/>
          <w:sz w:val="22"/>
          <w:szCs w:val="22"/>
        </w:rPr>
        <w:t>（3）尽管合同有其他约定，但承包人未在收到指令</w:t>
      </w:r>
      <w:r>
        <w:rPr>
          <w:rFonts w:hint="eastAsia" w:ascii="宋体" w:hAnsi="宋体" w:cs="宋体"/>
          <w:color w:val="auto"/>
          <w:sz w:val="22"/>
          <w:szCs w:val="22"/>
          <w:u w:val="single"/>
        </w:rPr>
        <w:t>（包括但不限于书面指令、口头指令、会议纪要等形式）</w:t>
      </w:r>
      <w:r>
        <w:rPr>
          <w:rFonts w:hint="eastAsia" w:ascii="宋体" w:hAnsi="宋体" w:cs="宋体"/>
          <w:bCs/>
          <w:color w:val="auto"/>
          <w:sz w:val="22"/>
          <w:szCs w:val="22"/>
        </w:rPr>
        <w:t>之日起14天内向监理人提出变更建议书的，则视为该指令并不涉及费用增加或工期顺延，或承包人放弃要求补偿由于该指令而导致的费用增加和工期顺延等一切权利。</w:t>
      </w:r>
    </w:p>
    <w:p w14:paraId="3742B941">
      <w:pPr>
        <w:pStyle w:val="60"/>
        <w:spacing w:line="360" w:lineRule="exact"/>
        <w:ind w:firstLine="440" w:firstLineChars="200"/>
        <w:jc w:val="left"/>
        <w:rPr>
          <w:rFonts w:hint="eastAsia" w:ascii="宋体" w:hAnsi="宋体" w:cs="宋体"/>
          <w:bCs/>
          <w:color w:val="auto"/>
          <w:sz w:val="22"/>
          <w:szCs w:val="22"/>
        </w:rPr>
      </w:pPr>
      <w:r>
        <w:rPr>
          <w:rFonts w:hint="eastAsia" w:ascii="宋体" w:hAnsi="宋体" w:cs="宋体"/>
          <w:bCs/>
          <w:color w:val="auto"/>
          <w:sz w:val="22"/>
          <w:szCs w:val="22"/>
        </w:rPr>
        <w:t>（4）承包人未在收到发包人要求补充资料的书面通知之日起14天内向发包人提交补充资料的，则视为承包人放弃要求补偿由于发包人指令而导致的费用增加和工期顺延等一切权利。</w:t>
      </w:r>
    </w:p>
    <w:p w14:paraId="26FF90C7">
      <w:pPr>
        <w:pStyle w:val="60"/>
        <w:spacing w:line="360" w:lineRule="exact"/>
        <w:ind w:firstLine="440" w:firstLineChars="200"/>
        <w:jc w:val="left"/>
        <w:rPr>
          <w:rFonts w:hint="eastAsia" w:ascii="宋体" w:hAnsi="宋体" w:cs="宋体"/>
          <w:bCs/>
          <w:color w:val="auto"/>
          <w:sz w:val="22"/>
          <w:szCs w:val="22"/>
        </w:rPr>
      </w:pPr>
      <w:r>
        <w:rPr>
          <w:rFonts w:hint="eastAsia" w:ascii="宋体" w:hAnsi="宋体" w:cs="宋体"/>
          <w:bCs/>
          <w:color w:val="auto"/>
          <w:sz w:val="22"/>
          <w:szCs w:val="22"/>
        </w:rPr>
        <w:t>（5）承包人在收到发包人发出的正式变更令或变更不成立的书面通知之日起14天内，未向发包人提出书面异议的，则视为承包人对正式变更令或书面通知的认可。</w:t>
      </w:r>
    </w:p>
    <w:p w14:paraId="2C7E7FCD">
      <w:pPr>
        <w:pStyle w:val="60"/>
        <w:spacing w:line="360" w:lineRule="exact"/>
        <w:ind w:firstLine="440" w:firstLineChars="200"/>
        <w:rPr>
          <w:rFonts w:hint="eastAsia" w:ascii="宋体" w:hAnsi="宋体" w:cs="宋体"/>
          <w:bCs/>
          <w:color w:val="auto"/>
          <w:sz w:val="22"/>
          <w:szCs w:val="22"/>
          <w:u w:val="single"/>
        </w:rPr>
      </w:pPr>
      <w:r>
        <w:rPr>
          <w:rFonts w:hint="eastAsia" w:ascii="宋体" w:hAnsi="宋体" w:cs="宋体"/>
          <w:bCs/>
          <w:color w:val="auto"/>
          <w:sz w:val="22"/>
          <w:szCs w:val="22"/>
        </w:rPr>
        <w:t>（6）竣工验收证书签发后，承包人无权就工程竣工证书签发前发包人的任何指令要求增加费用。</w:t>
      </w:r>
    </w:p>
    <w:p w14:paraId="70427C78">
      <w:pPr>
        <w:pStyle w:val="39"/>
        <w:spacing w:line="360" w:lineRule="exact"/>
        <w:ind w:firstLine="442" w:firstLineChars="200"/>
        <w:rPr>
          <w:rFonts w:hint="eastAsia" w:ascii="宋体" w:hAnsi="宋体" w:cs="宋体"/>
          <w:color w:val="auto"/>
          <w:sz w:val="22"/>
          <w:szCs w:val="22"/>
        </w:rPr>
      </w:pPr>
      <w:bookmarkStart w:id="704" w:name="_Toc389065308"/>
      <w:bookmarkStart w:id="705" w:name="_Toc533432768"/>
      <w:bookmarkStart w:id="706" w:name="_Toc12975933"/>
      <w:bookmarkStart w:id="707" w:name="_Toc395382545"/>
      <w:bookmarkStart w:id="708" w:name="_Toc373478389"/>
      <w:bookmarkStart w:id="709" w:name="_Toc373227742"/>
      <w:r>
        <w:rPr>
          <w:rFonts w:hint="eastAsia" w:ascii="宋体" w:hAnsi="宋体" w:cs="宋体"/>
          <w:color w:val="auto"/>
          <w:sz w:val="22"/>
          <w:szCs w:val="22"/>
        </w:rPr>
        <w:t>10.4 变更估价</w:t>
      </w:r>
      <w:bookmarkEnd w:id="704"/>
      <w:bookmarkEnd w:id="705"/>
      <w:bookmarkEnd w:id="706"/>
      <w:bookmarkEnd w:id="707"/>
      <w:bookmarkEnd w:id="708"/>
      <w:bookmarkEnd w:id="709"/>
    </w:p>
    <w:p w14:paraId="590905CA">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10.4.1 变更估价原则</w:t>
      </w:r>
    </w:p>
    <w:p w14:paraId="2307C990">
      <w:pPr>
        <w:pStyle w:val="60"/>
        <w:spacing w:line="360" w:lineRule="exact"/>
        <w:ind w:firstLine="440" w:firstLineChars="200"/>
        <w:jc w:val="left"/>
        <w:rPr>
          <w:rFonts w:hint="eastAsia" w:ascii="宋体" w:hAnsi="宋体" w:eastAsia="宋体" w:cs="宋体"/>
          <w:bCs/>
          <w:color w:val="auto"/>
          <w:sz w:val="22"/>
          <w:szCs w:val="22"/>
          <w:u w:val="single"/>
          <w:lang w:eastAsia="zh-CN"/>
        </w:rPr>
      </w:pPr>
      <w:r>
        <w:rPr>
          <w:rFonts w:hint="eastAsia" w:ascii="宋体" w:hAnsi="宋体" w:cs="宋体"/>
          <w:color w:val="auto"/>
          <w:sz w:val="22"/>
          <w:szCs w:val="22"/>
        </w:rPr>
        <w:t>关于变更估价的约定</w:t>
      </w:r>
      <w:r>
        <w:rPr>
          <w:rFonts w:hint="eastAsia" w:ascii="宋体" w:hAnsi="宋体" w:cs="宋体"/>
          <w:color w:val="auto"/>
          <w:sz w:val="22"/>
          <w:szCs w:val="22"/>
          <w:lang w:eastAsia="zh-CN"/>
        </w:rPr>
        <w:t>：</w:t>
      </w:r>
      <w:r>
        <w:rPr>
          <w:rFonts w:hint="eastAsia" w:ascii="宋体" w:hAnsi="宋体" w:cs="宋体"/>
          <w:color w:val="auto"/>
          <w:sz w:val="22"/>
          <w:szCs w:val="22"/>
        </w:rPr>
        <w:t xml:space="preserve">  </w:t>
      </w:r>
      <w:bookmarkStart w:id="710" w:name="_Toc251051742"/>
      <w:r>
        <w:rPr>
          <w:rFonts w:hint="eastAsia" w:ascii="宋体" w:hAnsi="宋体" w:cs="宋体"/>
          <w:color w:val="auto"/>
          <w:sz w:val="22"/>
          <w:szCs w:val="22"/>
        </w:rPr>
        <w:t xml:space="preserve"> </w:t>
      </w:r>
      <w:r>
        <w:rPr>
          <w:rFonts w:hint="eastAsia" w:ascii="宋体" w:hAnsi="宋体" w:cs="宋体"/>
          <w:bCs/>
          <w:color w:val="auto"/>
          <w:sz w:val="22"/>
          <w:szCs w:val="22"/>
          <w:u w:val="single"/>
        </w:rPr>
        <w:t>合同中已有适用于变更工程的价格，按合同中已有的价格变更合同价格；合同中只有类似于变更工程的价格，可以参照类似价格变更合同价款。需要变更的工程（或新增工程），由设计单位、监理单位对变更</w:t>
      </w:r>
      <w:r>
        <w:rPr>
          <w:rFonts w:hint="eastAsia" w:ascii="宋体" w:hAnsi="宋体" w:cs="宋体"/>
          <w:bCs/>
          <w:color w:val="auto"/>
          <w:sz w:val="22"/>
          <w:szCs w:val="22"/>
          <w:highlight w:val="none"/>
          <w:u w:val="single"/>
        </w:rPr>
        <w:t>理由和变更内容提出审核意见后报发包人，由发包人向相关审批部门报告，相关审批部门批复后方可实施。合同中没有适用或类似于变更工程的价格，待竣工后由发包人一并报区财政局（投资评审中心）进行结算。变更造价累计超出工程施工合同价中建安工程费用总和的10%且单项工程变更造价大于100万元人民币的，由设计单位、监理单位及发包人提出审核意见，经项目业主或项目委托后，经建设单位集体研究，主要负责人签字后，报相关审批部门批准后须报区人民政府备案方可实</w:t>
      </w:r>
      <w:r>
        <w:rPr>
          <w:rFonts w:hint="eastAsia" w:ascii="宋体" w:hAnsi="宋体" w:cs="宋体"/>
          <w:bCs/>
          <w:color w:val="auto"/>
          <w:sz w:val="22"/>
          <w:szCs w:val="22"/>
          <w:u w:val="single"/>
        </w:rPr>
        <w:t>施。项目变更后总投资超过概算批复的，必须报投资审批部门同意调整概算方可实施。变更导致实际完成的变更工程量与已标价的工程量清单或预算书中列明的该项目工程量变化幅度无论多大，均不调整单价</w:t>
      </w:r>
      <w:r>
        <w:rPr>
          <w:rFonts w:hint="eastAsia" w:ascii="宋体" w:hAnsi="宋体" w:cs="宋体"/>
          <w:bCs/>
          <w:color w:val="auto"/>
          <w:sz w:val="22"/>
          <w:szCs w:val="22"/>
          <w:u w:val="single"/>
          <w:lang w:eastAsia="zh-CN"/>
        </w:rPr>
        <w:t>。</w:t>
      </w:r>
    </w:p>
    <w:p w14:paraId="696AB35E">
      <w:pPr>
        <w:pStyle w:val="60"/>
        <w:spacing w:line="360" w:lineRule="exact"/>
        <w:ind w:firstLine="440" w:firstLineChars="200"/>
        <w:jc w:val="left"/>
        <w:rPr>
          <w:rFonts w:hint="eastAsia" w:ascii="宋体" w:hAnsi="宋体" w:cs="宋体"/>
          <w:bCs/>
          <w:color w:val="auto"/>
          <w:sz w:val="22"/>
          <w:szCs w:val="22"/>
          <w:u w:val="single"/>
        </w:rPr>
      </w:pPr>
      <w:r>
        <w:rPr>
          <w:rFonts w:hint="eastAsia" w:ascii="宋体" w:hAnsi="宋体" w:cs="宋体"/>
          <w:bCs/>
          <w:color w:val="auto"/>
          <w:sz w:val="22"/>
          <w:szCs w:val="22"/>
          <w:u w:val="single"/>
        </w:rPr>
        <w:t>尽管合同有其他约定，但依据承包人报价中同类（或相似）项目的标准，若高于定额标准时按定额取费标准计取；或在按本合同规定确定新单价时，如果计算出的新单价明显高于市场价，发包人可按以下任一原则对单价进行重新计算：</w:t>
      </w:r>
    </w:p>
    <w:p w14:paraId="08552F2D">
      <w:pPr>
        <w:pStyle w:val="60"/>
        <w:spacing w:line="360" w:lineRule="exact"/>
        <w:ind w:firstLine="440" w:firstLineChars="200"/>
        <w:jc w:val="left"/>
        <w:rPr>
          <w:rFonts w:hint="eastAsia" w:ascii="宋体" w:hAnsi="宋体" w:cs="宋体"/>
          <w:bCs/>
          <w:color w:val="auto"/>
          <w:sz w:val="22"/>
          <w:szCs w:val="22"/>
          <w:u w:val="single"/>
        </w:rPr>
      </w:pPr>
      <w:r>
        <w:rPr>
          <w:rFonts w:hint="eastAsia" w:ascii="宋体" w:hAnsi="宋体" w:cs="宋体"/>
          <w:bCs/>
          <w:color w:val="auto"/>
          <w:sz w:val="22"/>
          <w:szCs w:val="22"/>
          <w:u w:val="single"/>
        </w:rPr>
        <w:t>1）按照本项规定的新单价计算原则计算出与变更类似项目的价格（类似项目是指都为土石方工程、或基础工程、或钢结构工程、或门窗工程），类似项目合同中价格与按变更原则计算价格之比为变更单价的下浮率，按新单价的计算原则计算出变更新单价再乘以下浮率即为变更单价。</w:t>
      </w:r>
    </w:p>
    <w:p w14:paraId="2B4604D2">
      <w:pPr>
        <w:pStyle w:val="60"/>
        <w:spacing w:line="360" w:lineRule="exact"/>
        <w:ind w:firstLine="440" w:firstLineChars="200"/>
        <w:jc w:val="left"/>
        <w:rPr>
          <w:rFonts w:hint="eastAsia" w:ascii="宋体" w:hAnsi="宋体" w:cs="宋体"/>
          <w:bCs/>
          <w:color w:val="auto"/>
          <w:sz w:val="22"/>
          <w:szCs w:val="22"/>
          <w:u w:val="single"/>
        </w:rPr>
      </w:pPr>
      <w:r>
        <w:rPr>
          <w:rFonts w:hint="eastAsia" w:ascii="宋体" w:hAnsi="宋体" w:cs="宋体"/>
          <w:bCs/>
          <w:color w:val="auto"/>
          <w:sz w:val="22"/>
          <w:szCs w:val="22"/>
          <w:u w:val="single"/>
        </w:rPr>
        <w:t>2）发包人有权从报价分析的材料/设备单价、广西或防城港市工程造价管理部门等发布的该变更发生期内“信息价”、市场调研得出的市场价或采购发票价中任选一项作为建立新单价的依据，或通过补偿同类材料差额建立新单价，承包人不能对此提出异议（发包人变更过程中指定采购厂家的除外）。</w:t>
      </w:r>
    </w:p>
    <w:p w14:paraId="3CB1D5C1">
      <w:pPr>
        <w:pStyle w:val="60"/>
        <w:spacing w:line="360" w:lineRule="exact"/>
        <w:ind w:firstLine="440" w:firstLineChars="200"/>
        <w:jc w:val="left"/>
        <w:rPr>
          <w:rFonts w:hint="eastAsia" w:ascii="宋体" w:hAnsi="宋体" w:cs="宋体"/>
          <w:bCs/>
          <w:color w:val="auto"/>
          <w:sz w:val="22"/>
          <w:szCs w:val="22"/>
          <w:u w:val="single"/>
        </w:rPr>
      </w:pPr>
      <w:r>
        <w:rPr>
          <w:rFonts w:hint="eastAsia" w:ascii="宋体" w:hAnsi="宋体" w:cs="宋体"/>
          <w:bCs/>
          <w:color w:val="auto"/>
          <w:sz w:val="22"/>
          <w:szCs w:val="22"/>
          <w:u w:val="single"/>
        </w:rPr>
        <w:t>3）在市场调研得出的市场价、或承包人以前类似磋商报价、或发包人正在执行的其他项目类似的磋商报价、或广西或防城港市工程造价管理部门等发布的信息价的基础上调整。</w:t>
      </w:r>
    </w:p>
    <w:p w14:paraId="59FC295B">
      <w:pPr>
        <w:pStyle w:val="60"/>
        <w:spacing w:line="360" w:lineRule="exact"/>
        <w:ind w:firstLine="440" w:firstLineChars="200"/>
        <w:rPr>
          <w:rFonts w:hint="eastAsia" w:ascii="宋体" w:hAnsi="宋体" w:cs="宋体"/>
          <w:color w:val="auto"/>
          <w:sz w:val="22"/>
          <w:szCs w:val="22"/>
        </w:rPr>
      </w:pPr>
      <w:r>
        <w:rPr>
          <w:rFonts w:hint="eastAsia" w:ascii="宋体" w:hAnsi="宋体" w:cs="宋体"/>
          <w:bCs/>
          <w:color w:val="auto"/>
          <w:sz w:val="22"/>
          <w:szCs w:val="22"/>
          <w:u w:val="single"/>
        </w:rPr>
        <w:t>4）在确定新单价的过程中，涉及到单项材料/设备价格超过人民币100万元，承包人及时将采购策略和计划告知发包人并得到发包人同意后再开展采购工作，发包人视情况可参与采购全过程；当材料/设备价格达到依法必需招标时，由发包人和承包人以招标的方式选择供应商或分包人。</w:t>
      </w:r>
      <w:bookmarkEnd w:id="710"/>
    </w:p>
    <w:p w14:paraId="131B1D23">
      <w:pPr>
        <w:pStyle w:val="39"/>
        <w:spacing w:line="360" w:lineRule="exact"/>
        <w:ind w:firstLine="442" w:firstLineChars="200"/>
        <w:rPr>
          <w:rFonts w:hint="eastAsia" w:ascii="宋体" w:hAnsi="宋体" w:cs="宋体"/>
          <w:color w:val="auto"/>
          <w:sz w:val="22"/>
          <w:szCs w:val="22"/>
        </w:rPr>
      </w:pPr>
      <w:bookmarkStart w:id="711" w:name="_Toc373478390"/>
      <w:bookmarkStart w:id="712" w:name="_Toc12975934"/>
      <w:bookmarkStart w:id="713" w:name="_Toc395382546"/>
      <w:bookmarkStart w:id="714" w:name="_Toc389065309"/>
      <w:bookmarkStart w:id="715" w:name="_Toc533432769"/>
      <w:bookmarkStart w:id="716" w:name="_Toc373227743"/>
      <w:r>
        <w:rPr>
          <w:rFonts w:hint="eastAsia" w:ascii="宋体" w:hAnsi="宋体" w:cs="宋体"/>
          <w:color w:val="auto"/>
          <w:sz w:val="22"/>
          <w:szCs w:val="22"/>
        </w:rPr>
        <w:t>1</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Start w:id="717" w:name="_Toc297048383"/>
      <w:bookmarkStart w:id="718" w:name="_Toc296891025"/>
      <w:bookmarkStart w:id="719" w:name="_Toc296347196"/>
      <w:bookmarkStart w:id="720" w:name="_Toc292559402"/>
      <w:bookmarkStart w:id="721" w:name="_Toc297123544"/>
      <w:bookmarkStart w:id="722" w:name="_Toc296891237"/>
      <w:bookmarkStart w:id="723" w:name="_Toc292559907"/>
      <w:bookmarkStart w:id="724" w:name="_Toc296346698"/>
      <w:bookmarkStart w:id="725" w:name="_Toc297120497"/>
      <w:bookmarkStart w:id="726" w:name="_Toc296944536"/>
      <w:bookmarkStart w:id="727" w:name="_Toc303539150"/>
      <w:bookmarkStart w:id="728" w:name="_Toc300934993"/>
      <w:bookmarkStart w:id="729" w:name="_Toc297216203"/>
      <w:bookmarkStart w:id="730" w:name="_Toc296503197"/>
      <w:bookmarkStart w:id="731" w:name="_Toc304295570"/>
      <w:bookmarkStart w:id="732" w:name="_Toc312678029"/>
      <w:bookmarkStart w:id="733" w:name="_Toc312677503"/>
      <w:r>
        <w:rPr>
          <w:rFonts w:hint="eastAsia" w:ascii="宋体" w:hAnsi="宋体" w:cs="宋体"/>
          <w:color w:val="auto"/>
          <w:sz w:val="22"/>
          <w:szCs w:val="22"/>
        </w:rPr>
        <w:t>0.5 承</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Start w:id="734" w:name="_Toc296503203"/>
      <w:bookmarkStart w:id="735" w:name="_Toc292559913"/>
      <w:bookmarkStart w:id="736" w:name="_Toc297123545"/>
      <w:bookmarkStart w:id="737" w:name="_Toc297048389"/>
      <w:bookmarkStart w:id="738" w:name="_Toc296347202"/>
      <w:bookmarkStart w:id="739" w:name="_Toc296891031"/>
      <w:bookmarkStart w:id="740" w:name="_Toc297120503"/>
      <w:bookmarkStart w:id="741" w:name="_Toc300934994"/>
      <w:bookmarkStart w:id="742" w:name="_Toc297216204"/>
      <w:bookmarkStart w:id="743" w:name="_Toc292559408"/>
      <w:bookmarkStart w:id="744" w:name="_Toc303539151"/>
      <w:bookmarkStart w:id="745" w:name="_Toc296944542"/>
      <w:bookmarkStart w:id="746" w:name="_Toc296891243"/>
      <w:bookmarkStart w:id="747" w:name="_Toc296346704"/>
      <w:r>
        <w:rPr>
          <w:rFonts w:hint="eastAsia" w:ascii="宋体" w:hAnsi="宋体" w:cs="宋体"/>
          <w:color w:val="auto"/>
          <w:sz w:val="22"/>
          <w:szCs w:val="22"/>
        </w:rPr>
        <w:t>包人的合理化建议</w:t>
      </w:r>
      <w:bookmarkEnd w:id="711"/>
      <w:bookmarkEnd w:id="712"/>
      <w:bookmarkEnd w:id="713"/>
      <w:bookmarkEnd w:id="714"/>
      <w:bookmarkEnd w:id="715"/>
      <w:bookmarkEnd w:id="716"/>
    </w:p>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14:paraId="0BA9B9EF">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监理人审查承包人合理化建议的期限：</w:t>
      </w:r>
      <w:r>
        <w:rPr>
          <w:rFonts w:hint="eastAsia" w:ascii="宋体" w:hAnsi="宋体" w:cs="宋体"/>
          <w:color w:val="auto"/>
          <w:sz w:val="22"/>
          <w:u w:val="single"/>
        </w:rPr>
        <w:t>7天内</w:t>
      </w:r>
      <w:r>
        <w:rPr>
          <w:rFonts w:hint="eastAsia" w:ascii="宋体" w:hAnsi="宋体" w:cs="宋体"/>
          <w:color w:val="auto"/>
          <w:sz w:val="22"/>
        </w:rPr>
        <w:t>。</w:t>
      </w:r>
    </w:p>
    <w:p w14:paraId="76031BD5">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发包人审批承包人合理化建议的期限：</w:t>
      </w:r>
      <w:r>
        <w:rPr>
          <w:rFonts w:hint="eastAsia" w:ascii="宋体" w:hAnsi="宋体" w:cs="宋体"/>
          <w:color w:val="auto"/>
          <w:sz w:val="22"/>
          <w:u w:val="single"/>
        </w:rPr>
        <w:t>7天内</w:t>
      </w:r>
      <w:r>
        <w:rPr>
          <w:rFonts w:hint="eastAsia" w:ascii="宋体" w:hAnsi="宋体" w:cs="宋体"/>
          <w:color w:val="auto"/>
          <w:sz w:val="22"/>
        </w:rPr>
        <w:t>。</w:t>
      </w:r>
    </w:p>
    <w:p w14:paraId="44E876AC">
      <w:pPr>
        <w:pStyle w:val="4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sz w:val="22"/>
        </w:rPr>
        <w:t>承</w:t>
      </w:r>
      <w:bookmarkStart w:id="748" w:name="_Toc318581175"/>
      <w:bookmarkStart w:id="749" w:name="_Toc304295571"/>
      <w:bookmarkStart w:id="750" w:name="_Toc296503204"/>
      <w:bookmarkStart w:id="751" w:name="_Toc303539152"/>
      <w:bookmarkStart w:id="752" w:name="_Toc297120504"/>
      <w:bookmarkStart w:id="753" w:name="_Toc312678030"/>
      <w:bookmarkStart w:id="754" w:name="_Toc292559914"/>
      <w:bookmarkStart w:id="755" w:name="_Toc292559409"/>
      <w:bookmarkStart w:id="756" w:name="_Toc300934995"/>
      <w:bookmarkStart w:id="757" w:name="_Toc296347203"/>
      <w:bookmarkStart w:id="758" w:name="_Toc297123546"/>
      <w:bookmarkStart w:id="759" w:name="_Toc297048390"/>
      <w:bookmarkStart w:id="760" w:name="_Toc296891244"/>
      <w:bookmarkStart w:id="761" w:name="_Toc296346705"/>
      <w:bookmarkStart w:id="762" w:name="_Toc297216205"/>
      <w:bookmarkStart w:id="763" w:name="_Toc312677504"/>
      <w:bookmarkStart w:id="764" w:name="_Toc296891032"/>
      <w:bookmarkStart w:id="765" w:name="_Toc296944543"/>
      <w:r>
        <w:rPr>
          <w:rFonts w:hint="eastAsia" w:ascii="宋体" w:hAnsi="宋体" w:cs="宋体"/>
          <w:color w:val="auto"/>
          <w:sz w:val="22"/>
        </w:rPr>
        <w:t>包人提出的合理化建议降低了合同价格或者提高了工程经济效益的奖励的方法和金额为</w:t>
      </w:r>
      <w:r>
        <w:rPr>
          <w:rFonts w:hint="eastAsia" w:ascii="宋体" w:hAnsi="宋体" w:cs="宋体"/>
          <w:color w:val="auto"/>
          <w:sz w:val="22"/>
          <w:lang w:eastAsia="zh-CN"/>
        </w:rPr>
        <w:t>：</w:t>
      </w:r>
      <w:r>
        <w:rPr>
          <w:rFonts w:hint="eastAsia" w:ascii="宋体" w:hAnsi="宋体" w:cs="宋体"/>
          <w:color w:val="auto"/>
          <w:sz w:val="22"/>
          <w:u w:val="single"/>
        </w:rPr>
        <w:t>无</w:t>
      </w:r>
      <w:r>
        <w:rPr>
          <w:rFonts w:hint="eastAsia" w:ascii="宋体" w:hAnsi="宋体" w:cs="宋体"/>
          <w:color w:val="auto"/>
          <w:sz w:val="22"/>
        </w:rPr>
        <w:t>。</w:t>
      </w:r>
    </w:p>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14:paraId="2F3278FA">
      <w:pPr>
        <w:pStyle w:val="39"/>
        <w:spacing w:line="360" w:lineRule="exact"/>
        <w:ind w:firstLine="442" w:firstLineChars="200"/>
        <w:rPr>
          <w:rFonts w:hint="eastAsia" w:ascii="宋体" w:hAnsi="宋体" w:cs="宋体"/>
          <w:color w:val="auto"/>
          <w:sz w:val="22"/>
          <w:szCs w:val="22"/>
        </w:rPr>
      </w:pPr>
      <w:bookmarkStart w:id="766" w:name="_Toc373227744"/>
      <w:bookmarkStart w:id="767" w:name="_Toc373478391"/>
      <w:bookmarkStart w:id="768" w:name="_Toc533432770"/>
      <w:bookmarkStart w:id="769" w:name="_Toc395382547"/>
      <w:bookmarkStart w:id="770" w:name="_Toc12975935"/>
      <w:bookmarkStart w:id="771" w:name="_Toc389065310"/>
      <w:r>
        <w:rPr>
          <w:rFonts w:hint="eastAsia" w:ascii="宋体" w:hAnsi="宋体" w:cs="宋体"/>
          <w:color w:val="auto"/>
          <w:sz w:val="22"/>
          <w:szCs w:val="22"/>
        </w:rPr>
        <w:t>1</w:t>
      </w:r>
      <w:bookmarkStart w:id="772" w:name="_Toc296891239"/>
      <w:bookmarkStart w:id="773" w:name="_Toc296944538"/>
      <w:bookmarkStart w:id="774" w:name="_Toc297120499"/>
      <w:bookmarkStart w:id="775" w:name="_Toc292559404"/>
      <w:bookmarkStart w:id="776" w:name="_Toc292559909"/>
      <w:bookmarkStart w:id="777" w:name="_Toc304295574"/>
      <w:bookmarkStart w:id="778" w:name="_Toc312678033"/>
      <w:bookmarkStart w:id="779" w:name="_Toc296347198"/>
      <w:bookmarkStart w:id="780" w:name="_Toc296891027"/>
      <w:bookmarkStart w:id="781" w:name="_Toc297048385"/>
      <w:bookmarkStart w:id="782" w:name="_Toc297123548"/>
      <w:bookmarkStart w:id="783" w:name="_Toc296346700"/>
      <w:bookmarkStart w:id="784" w:name="_Toc296503199"/>
      <w:bookmarkStart w:id="785" w:name="_Toc312677507"/>
      <w:bookmarkStart w:id="786" w:name="_Toc303539154"/>
      <w:bookmarkStart w:id="787" w:name="_Toc300934997"/>
      <w:bookmarkStart w:id="788" w:name="_Toc297216207"/>
      <w:r>
        <w:rPr>
          <w:rFonts w:hint="eastAsia" w:ascii="宋体" w:hAnsi="宋体" w:cs="宋体"/>
          <w:color w:val="auto"/>
          <w:sz w:val="22"/>
          <w:szCs w:val="22"/>
        </w:rPr>
        <w:t>0.7 暂估价</w:t>
      </w:r>
      <w:bookmarkEnd w:id="766"/>
      <w:bookmarkEnd w:id="767"/>
      <w:bookmarkEnd w:id="768"/>
      <w:bookmarkEnd w:id="769"/>
      <w:bookmarkEnd w:id="770"/>
      <w:bookmarkEnd w:id="771"/>
    </w:p>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14:paraId="1C496469">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kern w:val="0"/>
          <w:sz w:val="22"/>
        </w:rPr>
        <w:t>暂</w:t>
      </w:r>
      <w:bookmarkStart w:id="789" w:name="_Toc318581176"/>
      <w:bookmarkStart w:id="790" w:name="_Toc312677508"/>
      <w:bookmarkStart w:id="791" w:name="_Toc312678034"/>
      <w:r>
        <w:rPr>
          <w:rFonts w:hint="eastAsia" w:ascii="宋体" w:hAnsi="宋体" w:cs="宋体"/>
          <w:color w:val="auto"/>
          <w:kern w:val="0"/>
          <w:sz w:val="22"/>
        </w:rPr>
        <w:t>估价材料和工程设备的明细详见已标价工程量清单《</w:t>
      </w:r>
      <w:r>
        <w:rPr>
          <w:rFonts w:hint="eastAsia" w:ascii="宋体" w:hAnsi="宋体" w:cs="宋体"/>
          <w:color w:val="auto"/>
          <w:sz w:val="22"/>
        </w:rPr>
        <w:t>材料（工程设备）暂估价格及调整表》</w:t>
      </w:r>
      <w:r>
        <w:rPr>
          <w:rFonts w:hint="eastAsia" w:ascii="宋体" w:hAnsi="宋体" w:cs="宋体"/>
          <w:color w:val="auto"/>
          <w:kern w:val="0"/>
          <w:sz w:val="22"/>
        </w:rPr>
        <w:t>（表12-2）和《</w:t>
      </w:r>
      <w:r>
        <w:rPr>
          <w:rFonts w:hint="eastAsia" w:ascii="宋体" w:hAnsi="宋体" w:cs="宋体"/>
          <w:color w:val="auto"/>
          <w:sz w:val="22"/>
        </w:rPr>
        <w:t>专业工程暂估价表》（</w:t>
      </w:r>
      <w:r>
        <w:rPr>
          <w:rFonts w:hint="eastAsia" w:ascii="宋体" w:hAnsi="宋体" w:cs="宋体"/>
          <w:color w:val="auto"/>
          <w:kern w:val="0"/>
          <w:sz w:val="22"/>
        </w:rPr>
        <w:t>表12-3）。</w:t>
      </w:r>
    </w:p>
    <w:bookmarkEnd w:id="789"/>
    <w:bookmarkEnd w:id="790"/>
    <w:bookmarkEnd w:id="791"/>
    <w:p w14:paraId="1AAB97A8">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1</w:t>
      </w:r>
      <w:bookmarkStart w:id="792" w:name="_Toc312677509"/>
      <w:bookmarkStart w:id="793" w:name="_Toc312678035"/>
      <w:bookmarkStart w:id="794" w:name="_Toc318581177"/>
      <w:r>
        <w:rPr>
          <w:rFonts w:hint="eastAsia" w:ascii="宋体" w:hAnsi="宋体" w:cs="宋体"/>
          <w:color w:val="auto"/>
          <w:sz w:val="22"/>
        </w:rPr>
        <w:t>0.7.1 依法必须招标的暂估价项目</w:t>
      </w:r>
    </w:p>
    <w:bookmarkEnd w:id="792"/>
    <w:bookmarkEnd w:id="793"/>
    <w:bookmarkEnd w:id="794"/>
    <w:p w14:paraId="6FDC5D5E">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对于依法必须招标的暂估价项目的确认和批准采取第</w:t>
      </w:r>
      <w:r>
        <w:rPr>
          <w:rFonts w:hint="eastAsia" w:ascii="宋体" w:hAnsi="宋体" w:cs="宋体"/>
          <w:color w:val="auto"/>
          <w:sz w:val="22"/>
          <w:u w:val="single"/>
        </w:rPr>
        <w:t xml:space="preserve">  1  </w:t>
      </w:r>
      <w:r>
        <w:rPr>
          <w:rFonts w:hint="eastAsia" w:ascii="宋体" w:hAnsi="宋体" w:cs="宋体"/>
          <w:color w:val="auto"/>
          <w:sz w:val="22"/>
        </w:rPr>
        <w:t>种方式确定。</w:t>
      </w:r>
    </w:p>
    <w:p w14:paraId="436C8DE7">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10.7.2 不属于依法必须招标的暂估价项目</w:t>
      </w:r>
    </w:p>
    <w:p w14:paraId="22D4EC7E">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对于不属于依法必须招标的暂估价项目的确认和批准采取第</w:t>
      </w:r>
      <w:r>
        <w:rPr>
          <w:rFonts w:hint="eastAsia" w:ascii="宋体" w:hAnsi="宋体" w:cs="宋体"/>
          <w:color w:val="auto"/>
          <w:sz w:val="22"/>
          <w:u w:val="single"/>
        </w:rPr>
        <w:t xml:space="preserve">  2 </w:t>
      </w:r>
      <w:r>
        <w:rPr>
          <w:rFonts w:hint="eastAsia" w:ascii="宋体" w:hAnsi="宋体" w:cs="宋体"/>
          <w:color w:val="auto"/>
          <w:sz w:val="22"/>
        </w:rPr>
        <w:t xml:space="preserve"> 种方式确定。</w:t>
      </w:r>
    </w:p>
    <w:p w14:paraId="5F5EA46D">
      <w:pPr>
        <w:pStyle w:val="4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sz w:val="22"/>
        </w:rPr>
        <w:t>第3种方式：</w:t>
      </w:r>
      <w:r>
        <w:rPr>
          <w:rFonts w:hint="eastAsia" w:ascii="宋体" w:hAnsi="宋体" w:cs="宋体"/>
          <w:color w:val="auto"/>
          <w:kern w:val="0"/>
          <w:sz w:val="22"/>
        </w:rPr>
        <w:t>承包人直接实施的暂估价项目</w:t>
      </w:r>
    </w:p>
    <w:p w14:paraId="44B4AACE">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承包人直接实施的暂估价项目的约定：</w:t>
      </w:r>
      <w:r>
        <w:rPr>
          <w:rFonts w:hint="eastAsia" w:ascii="宋体" w:hAnsi="宋体" w:cs="宋体"/>
          <w:color w:val="auto"/>
          <w:sz w:val="22"/>
          <w:u w:val="single"/>
          <w:lang w:val="en-US" w:eastAsia="zh-CN"/>
        </w:rPr>
        <w:t xml:space="preserve"> </w:t>
      </w:r>
      <w:r>
        <w:rPr>
          <w:rFonts w:hint="eastAsia" w:ascii="宋体" w:hAnsi="宋体" w:cs="宋体"/>
          <w:color w:val="auto"/>
          <w:sz w:val="22"/>
          <w:u w:val="single"/>
        </w:rPr>
        <w:t>无</w:t>
      </w:r>
      <w:r>
        <w:rPr>
          <w:rFonts w:hint="eastAsia" w:ascii="宋体" w:hAnsi="宋体" w:cs="宋体"/>
          <w:color w:val="auto"/>
          <w:sz w:val="22"/>
          <w:u w:val="single"/>
          <w:lang w:val="en-US" w:eastAsia="zh-CN"/>
        </w:rPr>
        <w:t xml:space="preserve"> </w:t>
      </w:r>
      <w:r>
        <w:rPr>
          <w:rFonts w:hint="eastAsia" w:ascii="宋体" w:hAnsi="宋体" w:cs="宋体"/>
          <w:color w:val="auto"/>
          <w:sz w:val="22"/>
        </w:rPr>
        <w:t>。</w:t>
      </w:r>
    </w:p>
    <w:p w14:paraId="31FC170C">
      <w:pPr>
        <w:pStyle w:val="39"/>
        <w:spacing w:line="360" w:lineRule="exact"/>
        <w:ind w:firstLine="442" w:firstLineChars="200"/>
        <w:rPr>
          <w:rFonts w:hint="eastAsia" w:ascii="宋体" w:hAnsi="宋体" w:cs="宋体"/>
          <w:color w:val="auto"/>
          <w:sz w:val="22"/>
          <w:szCs w:val="22"/>
        </w:rPr>
      </w:pPr>
      <w:bookmarkStart w:id="795" w:name="_Toc395382548"/>
      <w:bookmarkStart w:id="796" w:name="_Toc373478392"/>
      <w:bookmarkStart w:id="797" w:name="_Toc373227745"/>
      <w:bookmarkStart w:id="798" w:name="_Toc12975936"/>
      <w:bookmarkStart w:id="799" w:name="_Toc533432771"/>
      <w:bookmarkStart w:id="800" w:name="_Toc389065311"/>
      <w:r>
        <w:rPr>
          <w:rFonts w:hint="eastAsia" w:ascii="宋体" w:hAnsi="宋体" w:cs="宋体"/>
          <w:color w:val="auto"/>
          <w:sz w:val="22"/>
          <w:szCs w:val="22"/>
        </w:rPr>
        <w:t>10.8 暂列金额</w:t>
      </w:r>
      <w:bookmarkEnd w:id="795"/>
      <w:bookmarkEnd w:id="796"/>
      <w:bookmarkEnd w:id="797"/>
      <w:bookmarkEnd w:id="798"/>
      <w:bookmarkEnd w:id="799"/>
      <w:bookmarkEnd w:id="800"/>
    </w:p>
    <w:p w14:paraId="3037B01D">
      <w:pPr>
        <w:pStyle w:val="71"/>
        <w:spacing w:line="360" w:lineRule="exact"/>
        <w:ind w:firstLine="442" w:firstLineChars="200"/>
        <w:rPr>
          <w:rFonts w:hint="eastAsia" w:ascii="宋体" w:hAnsi="宋体" w:eastAsia="宋体" w:cs="宋体"/>
          <w:color w:val="auto"/>
          <w:sz w:val="22"/>
          <w:szCs w:val="22"/>
        </w:rPr>
      </w:pPr>
      <w:r>
        <w:rPr>
          <w:rFonts w:hint="eastAsia" w:ascii="宋体" w:hAnsi="宋体" w:eastAsia="宋体" w:cs="宋体"/>
          <w:color w:val="auto"/>
          <w:sz w:val="22"/>
          <w:szCs w:val="22"/>
        </w:rPr>
        <w:t>合同当事人关于暂列金额使用的约定：</w:t>
      </w:r>
    </w:p>
    <w:p w14:paraId="144BA87F">
      <w:pPr>
        <w:pStyle w:val="40"/>
        <w:autoSpaceDE w:val="0"/>
        <w:autoSpaceDN w:val="0"/>
        <w:adjustRightInd w:val="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kern w:val="0"/>
          <w:sz w:val="22"/>
        </w:rPr>
        <w:t>合同当事人关于暂列金额使用的约定：</w:t>
      </w:r>
      <w:r>
        <w:rPr>
          <w:rFonts w:hint="eastAsia" w:ascii="宋体" w:hAnsi="宋体" w:cs="宋体"/>
          <w:bCs/>
          <w:color w:val="auto"/>
          <w:sz w:val="22"/>
          <w:u w:val="single"/>
        </w:rPr>
        <w:t>暂列金额是发包人为可能发生的工程变更，或用于提供不可预见的货物、材料和工程设备等因素发生的工程价款调增，以及经确认的索赔、现场签证，或用于提供相关服务或意外事件等而预留的金额，并非支付给承包人的实际费用。暂列金额只能按照发包人的指示使用。结算时，暂列金额应按实际发生的情况进行结算，剩余部分仍归发包人所有，不支付给承包人</w:t>
      </w:r>
      <w:r>
        <w:rPr>
          <w:rFonts w:hint="eastAsia" w:ascii="宋体" w:hAnsi="宋体" w:cs="宋体"/>
          <w:color w:val="auto"/>
          <w:kern w:val="0"/>
          <w:sz w:val="22"/>
        </w:rPr>
        <w:t>。</w:t>
      </w:r>
    </w:p>
    <w:p w14:paraId="3EF59E2F">
      <w:pPr>
        <w:pStyle w:val="70"/>
        <w:spacing w:before="0" w:after="0" w:line="360" w:lineRule="exact"/>
        <w:ind w:firstLine="442" w:firstLineChars="200"/>
        <w:rPr>
          <w:rFonts w:hint="eastAsia" w:ascii="宋体" w:hAnsi="宋体" w:cs="宋体"/>
          <w:color w:val="auto"/>
          <w:sz w:val="22"/>
          <w:szCs w:val="22"/>
        </w:rPr>
      </w:pPr>
      <w:bookmarkStart w:id="801" w:name="_Toc351203643"/>
      <w:bookmarkStart w:id="802" w:name="_Toc533432772"/>
      <w:bookmarkStart w:id="803" w:name="_Toc389065312"/>
      <w:bookmarkStart w:id="804" w:name="_Toc373227746"/>
      <w:bookmarkStart w:id="805" w:name="_Toc395382549"/>
      <w:bookmarkStart w:id="806" w:name="_Toc12975937"/>
      <w:bookmarkStart w:id="807" w:name="_Toc373478393"/>
      <w:r>
        <w:rPr>
          <w:rFonts w:hint="eastAsia" w:ascii="宋体" w:hAnsi="宋体" w:cs="宋体"/>
          <w:color w:val="auto"/>
          <w:sz w:val="22"/>
          <w:szCs w:val="22"/>
        </w:rPr>
        <w:t>11. 价格调整</w:t>
      </w:r>
      <w:bookmarkEnd w:id="801"/>
      <w:bookmarkEnd w:id="802"/>
      <w:bookmarkEnd w:id="803"/>
      <w:bookmarkEnd w:id="804"/>
      <w:bookmarkEnd w:id="805"/>
      <w:bookmarkEnd w:id="806"/>
      <w:bookmarkEnd w:id="807"/>
    </w:p>
    <w:p w14:paraId="0C8D9D2F">
      <w:pPr>
        <w:pStyle w:val="39"/>
        <w:spacing w:line="360" w:lineRule="exact"/>
        <w:ind w:firstLine="442" w:firstLineChars="200"/>
        <w:rPr>
          <w:rFonts w:hint="eastAsia" w:ascii="宋体" w:hAnsi="宋体" w:cs="宋体"/>
          <w:color w:val="auto"/>
          <w:sz w:val="22"/>
          <w:szCs w:val="22"/>
        </w:rPr>
      </w:pPr>
      <w:bookmarkStart w:id="808" w:name="_Toc373478394"/>
      <w:bookmarkStart w:id="809" w:name="_Toc12975938"/>
      <w:bookmarkStart w:id="810" w:name="_Toc373227747"/>
      <w:bookmarkStart w:id="811" w:name="_Toc395382550"/>
      <w:bookmarkStart w:id="812" w:name="_Toc389065313"/>
      <w:bookmarkStart w:id="813" w:name="_Toc533432773"/>
      <w:bookmarkStart w:id="814" w:name="_Toc297120501"/>
      <w:bookmarkStart w:id="815" w:name="_Toc296891241"/>
      <w:bookmarkStart w:id="816" w:name="_Toc296347200"/>
      <w:bookmarkStart w:id="817" w:name="_Toc312678039"/>
      <w:bookmarkStart w:id="818" w:name="_Toc303539157"/>
      <w:bookmarkStart w:id="819" w:name="_Toc292559911"/>
      <w:bookmarkStart w:id="820" w:name="_Toc304295577"/>
      <w:bookmarkStart w:id="821" w:name="_Toc296891029"/>
      <w:bookmarkStart w:id="822" w:name="_Toc297048387"/>
      <w:bookmarkStart w:id="823" w:name="_Toc300935000"/>
      <w:bookmarkStart w:id="824" w:name="_Toc297123550"/>
      <w:bookmarkStart w:id="825" w:name="_Toc296944540"/>
      <w:bookmarkStart w:id="826" w:name="_Toc296346702"/>
      <w:bookmarkStart w:id="827" w:name="_Toc292559406"/>
      <w:bookmarkStart w:id="828" w:name="_Toc297216209"/>
      <w:bookmarkStart w:id="829" w:name="_Toc296503201"/>
      <w:r>
        <w:rPr>
          <w:rFonts w:hint="eastAsia" w:ascii="宋体" w:hAnsi="宋体" w:cs="宋体"/>
          <w:color w:val="auto"/>
          <w:sz w:val="22"/>
          <w:szCs w:val="22"/>
        </w:rPr>
        <w:t>11.1 市场价格波动引起的调整</w:t>
      </w:r>
      <w:bookmarkEnd w:id="808"/>
      <w:bookmarkEnd w:id="809"/>
      <w:bookmarkEnd w:id="810"/>
      <w:bookmarkEnd w:id="811"/>
      <w:bookmarkEnd w:id="812"/>
      <w:bookmarkEnd w:id="813"/>
    </w:p>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14:paraId="7D851689">
      <w:pPr>
        <w:pStyle w:val="72"/>
        <w:spacing w:line="360" w:lineRule="exact"/>
        <w:ind w:firstLine="416" w:firstLineChars="200"/>
        <w:rPr>
          <w:rFonts w:hint="eastAsia" w:ascii="宋体" w:hAnsi="宋体" w:cs="宋体"/>
          <w:color w:val="auto"/>
          <w:sz w:val="22"/>
          <w:highlight w:val="none"/>
        </w:rPr>
      </w:pPr>
      <w:r>
        <w:rPr>
          <w:rFonts w:hint="eastAsia" w:ascii="宋体" w:hAnsi="宋体" w:cs="宋体"/>
          <w:color w:val="auto"/>
          <w:spacing w:val="-6"/>
          <w:kern w:val="0"/>
          <w:sz w:val="22"/>
        </w:rPr>
        <w:t>采用可调价格形式的工程项目价格调整的条件是：主要材</w:t>
      </w:r>
      <w:r>
        <w:rPr>
          <w:rFonts w:hint="eastAsia" w:ascii="宋体" w:hAnsi="宋体" w:cs="宋体"/>
          <w:color w:val="auto"/>
          <w:spacing w:val="-6"/>
          <w:kern w:val="0"/>
          <w:sz w:val="22"/>
          <w:highlight w:val="none"/>
        </w:rPr>
        <w:t>料价格上涨或下调超过</w:t>
      </w:r>
      <w:r>
        <w:rPr>
          <w:rFonts w:hint="eastAsia" w:ascii="宋体" w:hAnsi="宋体" w:cs="宋体"/>
          <w:color w:val="auto"/>
          <w:spacing w:val="-6"/>
          <w:kern w:val="0"/>
          <w:sz w:val="22"/>
          <w:highlight w:val="none"/>
          <w:lang w:val="en-US" w:eastAsia="zh-CN"/>
        </w:rPr>
        <w:t>1</w:t>
      </w:r>
      <w:r>
        <w:rPr>
          <w:rFonts w:hint="eastAsia" w:ascii="宋体" w:hAnsi="宋体" w:cs="宋体"/>
          <w:color w:val="auto"/>
          <w:spacing w:val="-6"/>
          <w:kern w:val="0"/>
          <w:sz w:val="22"/>
          <w:highlight w:val="none"/>
        </w:rPr>
        <w:t>5%时（价格以当期防城港市建设工程造价信息为准），可对超出</w:t>
      </w:r>
      <w:r>
        <w:rPr>
          <w:rFonts w:hint="eastAsia" w:ascii="宋体" w:hAnsi="宋体" w:cs="宋体"/>
          <w:color w:val="auto"/>
          <w:spacing w:val="-6"/>
          <w:kern w:val="0"/>
          <w:sz w:val="22"/>
          <w:highlight w:val="none"/>
          <w:lang w:val="en-US" w:eastAsia="zh-CN"/>
        </w:rPr>
        <w:t>1</w:t>
      </w:r>
      <w:r>
        <w:rPr>
          <w:rFonts w:hint="eastAsia" w:ascii="宋体" w:hAnsi="宋体" w:cs="宋体"/>
          <w:color w:val="auto"/>
          <w:spacing w:val="-6"/>
          <w:kern w:val="0"/>
          <w:sz w:val="22"/>
          <w:highlight w:val="none"/>
        </w:rPr>
        <w:t>5%的部分进行协商调价，</w:t>
      </w:r>
      <w:r>
        <w:rPr>
          <w:rFonts w:hint="eastAsia" w:ascii="宋体" w:hAnsi="宋体" w:cs="宋体"/>
          <w:color w:val="auto"/>
          <w:spacing w:val="-6"/>
          <w:kern w:val="0"/>
          <w:sz w:val="22"/>
          <w:highlight w:val="none"/>
          <w:lang w:val="en-US" w:eastAsia="zh-CN"/>
        </w:rPr>
        <w:t>1</w:t>
      </w:r>
      <w:r>
        <w:rPr>
          <w:rFonts w:hint="eastAsia" w:ascii="宋体" w:hAnsi="宋体" w:cs="宋体"/>
          <w:color w:val="auto"/>
          <w:spacing w:val="-6"/>
          <w:kern w:val="0"/>
          <w:sz w:val="22"/>
          <w:highlight w:val="none"/>
        </w:rPr>
        <w:t>5%（含</w:t>
      </w:r>
      <w:r>
        <w:rPr>
          <w:rFonts w:hint="eastAsia" w:ascii="宋体" w:hAnsi="宋体" w:cs="宋体"/>
          <w:color w:val="auto"/>
          <w:spacing w:val="-6"/>
          <w:kern w:val="0"/>
          <w:sz w:val="22"/>
          <w:highlight w:val="none"/>
          <w:lang w:val="en-US" w:eastAsia="zh-CN"/>
        </w:rPr>
        <w:t>1</w:t>
      </w:r>
      <w:r>
        <w:rPr>
          <w:rFonts w:hint="eastAsia" w:ascii="宋体" w:hAnsi="宋体" w:cs="宋体"/>
          <w:color w:val="auto"/>
          <w:spacing w:val="-6"/>
          <w:kern w:val="0"/>
          <w:sz w:val="22"/>
          <w:highlight w:val="none"/>
        </w:rPr>
        <w:t>5%）以内部分不做调整。</w:t>
      </w:r>
    </w:p>
    <w:p w14:paraId="06E89A2F">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kern w:val="0"/>
          <w:sz w:val="22"/>
        </w:rPr>
        <w:t>市场价格波动是否调整合同价格的约定：</w:t>
      </w:r>
      <w:r>
        <w:rPr>
          <w:rFonts w:hint="eastAsia" w:ascii="宋体" w:hAnsi="宋体" w:cs="宋体"/>
          <w:color w:val="auto"/>
          <w:sz w:val="22"/>
          <w:u w:val="single"/>
        </w:rPr>
        <w:t>调整</w:t>
      </w:r>
      <w:r>
        <w:rPr>
          <w:rFonts w:hint="eastAsia" w:ascii="宋体" w:hAnsi="宋体" w:cs="宋体"/>
          <w:color w:val="auto"/>
          <w:sz w:val="22"/>
          <w:u w:val="none"/>
        </w:rPr>
        <w:t>。</w:t>
      </w:r>
    </w:p>
    <w:p w14:paraId="1B76A524">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因市场价格波动调整合同价格，采用以下第</w:t>
      </w:r>
      <w:r>
        <w:rPr>
          <w:rFonts w:hint="eastAsia" w:ascii="宋体" w:hAnsi="宋体" w:cs="宋体"/>
          <w:color w:val="auto"/>
          <w:sz w:val="22"/>
          <w:u w:val="single"/>
        </w:rPr>
        <w:t xml:space="preserve"> 3 </w:t>
      </w:r>
      <w:r>
        <w:rPr>
          <w:rFonts w:hint="eastAsia" w:ascii="宋体" w:hAnsi="宋体" w:cs="宋体"/>
          <w:color w:val="auto"/>
          <w:sz w:val="22"/>
        </w:rPr>
        <w:t>种方式对合同价格进行调整：</w:t>
      </w:r>
    </w:p>
    <w:p w14:paraId="0E88C9A3">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第1种方式：采用价格指数进行价格调整。</w:t>
      </w:r>
    </w:p>
    <w:p w14:paraId="6DCA9E35">
      <w:pPr>
        <w:pStyle w:val="4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sz w:val="22"/>
        </w:rPr>
        <w:t>关于各可调因子、定值和变值权重，以及基本价格指数及其来源的约定：</w:t>
      </w:r>
      <w:r>
        <w:rPr>
          <w:rFonts w:hint="eastAsia" w:ascii="宋体" w:hAnsi="宋体" w:cs="宋体"/>
          <w:color w:val="auto"/>
          <w:sz w:val="22"/>
          <w:u w:val="single"/>
        </w:rPr>
        <w:t xml:space="preserve">   </w:t>
      </w:r>
      <w:r>
        <w:rPr>
          <w:rFonts w:hint="eastAsia" w:ascii="宋体" w:hAnsi="宋体" w:cs="宋体"/>
          <w:color w:val="auto"/>
          <w:sz w:val="22"/>
        </w:rPr>
        <w:t xml:space="preserve">；  </w:t>
      </w:r>
    </w:p>
    <w:p w14:paraId="7BE163B3">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第2种方式：采用造价信息进行价格调整。</w:t>
      </w:r>
    </w:p>
    <w:p w14:paraId="27D95A3F">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（1）允许调整的主要材料（设备）、基期价格、风险系数、磋商报价：详见《承包人提供主要材料和设备一览表》。</w:t>
      </w:r>
    </w:p>
    <w:p w14:paraId="7F64B8DD">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（2）主要材料确认价：</w:t>
      </w:r>
    </w:p>
    <w:p w14:paraId="4AF5CF30">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按施工期间《</w:t>
      </w:r>
      <w:r>
        <w:rPr>
          <w:rFonts w:hint="eastAsia" w:ascii="宋体" w:hAnsi="宋体" w:cs="宋体"/>
          <w:color w:val="auto"/>
          <w:sz w:val="22"/>
          <w:u w:val="single"/>
        </w:rPr>
        <w:t xml:space="preserve"> 防城港 </w:t>
      </w:r>
      <w:r>
        <w:rPr>
          <w:rFonts w:hint="eastAsia" w:ascii="宋体" w:hAnsi="宋体" w:cs="宋体"/>
          <w:color w:val="auto"/>
          <w:sz w:val="22"/>
        </w:rPr>
        <w:t>市建设工程造价信息》加权平均计算，信息价没有的按</w:t>
      </w:r>
      <w:r>
        <w:rPr>
          <w:rFonts w:hint="eastAsia" w:ascii="宋体" w:hAnsi="宋体" w:cs="宋体"/>
          <w:color w:val="auto"/>
          <w:sz w:val="22"/>
          <w:lang w:eastAsia="zh-CN"/>
        </w:rPr>
        <w:t>通用合同条款</w:t>
      </w:r>
      <w:r>
        <w:rPr>
          <w:rFonts w:hint="eastAsia" w:ascii="宋体" w:hAnsi="宋体" w:cs="宋体"/>
          <w:color w:val="auto"/>
          <w:sz w:val="22"/>
        </w:rPr>
        <w:t>规定确定。</w:t>
      </w:r>
    </w:p>
    <w:p w14:paraId="601C6348">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（3）价差计算方法：</w:t>
      </w:r>
    </w:p>
    <w:p w14:paraId="6C2906A9">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①《承包人提供主要材料和设备一览表》中载明的材料磋商报价低于基准价格的：合同履行期间材料单价涨幅以基准价格为基础超过约定的风险范围时，或材料单价跌幅以磋商报价为基础超过约定的风险范围时，其超过部分据实调整。</w:t>
      </w:r>
    </w:p>
    <w:p w14:paraId="2E00C7F9">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②承包人在《承包人提供主要材料和设备一览表》中载明的材料和设备磋商的风险范围时，材料和设备单价涨幅以磋商报价为基础超过约定的风险范围时，其超过部分据实调整。</w:t>
      </w:r>
    </w:p>
    <w:p w14:paraId="77A6FF62">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③承包人在《承包人提供主要材料和设备一览表》中载明的材料和设备单价等于基准单价的：合同履行期间材料和 设备单价涨跌幅以基准单价为基础超过约定的风险范围时，其超过部分据实调整。</w:t>
      </w:r>
    </w:p>
    <w:p w14:paraId="511A4EE4">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第3种方式：</w:t>
      </w:r>
      <w:r>
        <w:rPr>
          <w:rFonts w:hint="eastAsia" w:ascii="宋体" w:hAnsi="宋体" w:cs="宋体"/>
          <w:color w:val="auto"/>
          <w:sz w:val="22"/>
          <w:u w:val="single"/>
        </w:rPr>
        <w:t>在合同工期范围内，乙方须承担主</w:t>
      </w:r>
      <w:r>
        <w:rPr>
          <w:rFonts w:hint="eastAsia" w:ascii="宋体" w:hAnsi="宋体" w:cs="宋体"/>
          <w:color w:val="auto"/>
          <w:sz w:val="22"/>
          <w:highlight w:val="none"/>
          <w:u w:val="single"/>
        </w:rPr>
        <w:t>要材料±</w:t>
      </w:r>
      <w:r>
        <w:rPr>
          <w:rFonts w:hint="eastAsia" w:ascii="宋体" w:hAnsi="宋体" w:cs="宋体"/>
          <w:color w:val="auto"/>
          <w:sz w:val="22"/>
          <w:highlight w:val="none"/>
          <w:u w:val="single"/>
          <w:lang w:val="en-US" w:eastAsia="zh-CN"/>
        </w:rPr>
        <w:t>1</w:t>
      </w:r>
      <w:r>
        <w:rPr>
          <w:rFonts w:hint="eastAsia" w:ascii="宋体" w:hAnsi="宋体" w:cs="宋体"/>
          <w:color w:val="auto"/>
          <w:sz w:val="22"/>
          <w:highlight w:val="none"/>
          <w:u w:val="single"/>
        </w:rPr>
        <w:t>5%以内（含±</w:t>
      </w:r>
      <w:r>
        <w:rPr>
          <w:rFonts w:hint="eastAsia" w:ascii="宋体" w:hAnsi="宋体" w:cs="宋体"/>
          <w:color w:val="auto"/>
          <w:sz w:val="22"/>
          <w:highlight w:val="none"/>
          <w:u w:val="single"/>
          <w:lang w:val="en-US" w:eastAsia="zh-CN"/>
        </w:rPr>
        <w:t>1</w:t>
      </w:r>
      <w:r>
        <w:rPr>
          <w:rFonts w:hint="eastAsia" w:ascii="宋体" w:hAnsi="宋体" w:cs="宋体"/>
          <w:color w:val="auto"/>
          <w:sz w:val="22"/>
          <w:highlight w:val="none"/>
          <w:u w:val="single"/>
        </w:rPr>
        <w:t>5%）的材料价格风险， 超出±</w:t>
      </w:r>
      <w:r>
        <w:rPr>
          <w:rFonts w:hint="eastAsia" w:ascii="宋体" w:hAnsi="宋体" w:cs="宋体"/>
          <w:color w:val="auto"/>
          <w:sz w:val="22"/>
          <w:highlight w:val="none"/>
          <w:u w:val="single"/>
          <w:lang w:val="en-US" w:eastAsia="zh-CN"/>
        </w:rPr>
        <w:t>1</w:t>
      </w:r>
      <w:r>
        <w:rPr>
          <w:rFonts w:hint="eastAsia" w:ascii="宋体" w:hAnsi="宋体" w:cs="宋体"/>
          <w:color w:val="auto"/>
          <w:sz w:val="22"/>
          <w:highlight w:val="none"/>
          <w:u w:val="single"/>
        </w:rPr>
        <w:t>5%的部分甲乙双方协商调价，以磋商控制价采用的</w:t>
      </w:r>
      <w:r>
        <w:rPr>
          <w:rFonts w:hint="eastAsia" w:ascii="宋体" w:hAnsi="宋体" w:cs="宋体"/>
          <w:color w:val="auto"/>
          <w:sz w:val="22"/>
          <w:u w:val="single"/>
        </w:rPr>
        <w:t>《防城港市建设工程造价信息》上发布的市场价格信息确定为基准材料价格</w:t>
      </w:r>
      <w:r>
        <w:rPr>
          <w:rFonts w:hint="eastAsia" w:ascii="宋体" w:hAnsi="宋体" w:cs="宋体"/>
          <w:color w:val="auto"/>
          <w:sz w:val="22"/>
        </w:rPr>
        <w:t xml:space="preserve"> 。</w:t>
      </w:r>
    </w:p>
    <w:p w14:paraId="7C9BD762">
      <w:pPr>
        <w:pStyle w:val="40"/>
        <w:spacing w:line="360" w:lineRule="exact"/>
        <w:ind w:firstLine="442" w:firstLineChars="200"/>
        <w:jc w:val="left"/>
        <w:rPr>
          <w:rFonts w:hint="eastAsia" w:ascii="宋体" w:hAnsi="宋体" w:cs="宋体"/>
          <w:b/>
          <w:bCs/>
          <w:color w:val="auto"/>
          <w:sz w:val="22"/>
        </w:rPr>
      </w:pPr>
      <w:r>
        <w:rPr>
          <w:rFonts w:hint="eastAsia" w:ascii="宋体" w:hAnsi="宋体" w:cs="宋体"/>
          <w:b/>
          <w:bCs/>
          <w:color w:val="auto"/>
          <w:sz w:val="22"/>
        </w:rPr>
        <w:t xml:space="preserve">11.2 不平衡报价调整方式 </w:t>
      </w:r>
    </w:p>
    <w:p w14:paraId="46ABE82F">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 xml:space="preserve">    按防住建发〔2016〕31号文《防城港市政府投资项目房屋建筑和市政基础设施工程严重不平衡报价修正暂行办法》的规定进行修正。</w:t>
      </w:r>
    </w:p>
    <w:bookmarkEnd w:id="668"/>
    <w:bookmarkEnd w:id="669"/>
    <w:bookmarkEnd w:id="670"/>
    <w:bookmarkEnd w:id="671"/>
    <w:bookmarkEnd w:id="672"/>
    <w:bookmarkEnd w:id="673"/>
    <w:p w14:paraId="307C24C2">
      <w:pPr>
        <w:pStyle w:val="70"/>
        <w:spacing w:before="0" w:after="0" w:line="360" w:lineRule="exact"/>
        <w:ind w:firstLine="442" w:firstLineChars="200"/>
        <w:rPr>
          <w:rFonts w:hint="eastAsia" w:ascii="宋体" w:hAnsi="宋体" w:cs="宋体"/>
          <w:color w:val="auto"/>
          <w:sz w:val="22"/>
          <w:szCs w:val="22"/>
        </w:rPr>
      </w:pPr>
      <w:bookmarkStart w:id="830" w:name="_Toc296944544"/>
      <w:bookmarkStart w:id="831" w:name="_Toc296503205"/>
      <w:bookmarkStart w:id="832" w:name="_Toc296891033"/>
      <w:bookmarkStart w:id="833" w:name="_Toc297048391"/>
      <w:bookmarkStart w:id="834" w:name="_Toc292559410"/>
      <w:bookmarkStart w:id="835" w:name="_Toc296891245"/>
      <w:bookmarkStart w:id="836" w:name="_Toc296347204"/>
      <w:bookmarkStart w:id="837" w:name="_Toc296346706"/>
      <w:bookmarkStart w:id="838" w:name="_Toc292559915"/>
      <w:bookmarkStart w:id="839" w:name="_Toc297120505"/>
      <w:bookmarkStart w:id="840" w:name="_Toc12975939"/>
      <w:bookmarkStart w:id="841" w:name="_Toc395382551"/>
      <w:bookmarkStart w:id="842" w:name="_Toc351203644"/>
      <w:bookmarkStart w:id="843" w:name="_Toc533432774"/>
      <w:bookmarkStart w:id="844" w:name="_Toc373227748"/>
      <w:bookmarkStart w:id="845" w:name="_Toc373478395"/>
      <w:bookmarkStart w:id="846" w:name="_Toc303539159"/>
      <w:bookmarkStart w:id="847" w:name="_Toc297123552"/>
      <w:bookmarkStart w:id="848" w:name="_Toc312678040"/>
      <w:bookmarkStart w:id="849" w:name="_Toc297216211"/>
      <w:bookmarkStart w:id="850" w:name="_Toc304295579"/>
      <w:bookmarkStart w:id="851" w:name="_Toc300935002"/>
      <w:r>
        <w:rPr>
          <w:rFonts w:hint="eastAsia" w:ascii="宋体" w:hAnsi="宋体" w:cs="宋体"/>
          <w:color w:val="auto"/>
          <w:sz w:val="22"/>
          <w:szCs w:val="22"/>
        </w:rPr>
        <w:t xml:space="preserve">12. </w:t>
      </w:r>
      <w:bookmarkEnd w:id="830"/>
      <w:bookmarkEnd w:id="831"/>
      <w:bookmarkEnd w:id="832"/>
      <w:bookmarkEnd w:id="833"/>
      <w:bookmarkEnd w:id="834"/>
      <w:bookmarkEnd w:id="835"/>
      <w:bookmarkEnd w:id="836"/>
      <w:bookmarkEnd w:id="837"/>
      <w:bookmarkEnd w:id="838"/>
      <w:bookmarkEnd w:id="839"/>
      <w:r>
        <w:rPr>
          <w:rFonts w:hint="eastAsia" w:ascii="宋体" w:hAnsi="宋体" w:cs="宋体"/>
          <w:color w:val="auto"/>
          <w:sz w:val="22"/>
          <w:szCs w:val="22"/>
        </w:rPr>
        <w:t>合同价格、计量与支付</w:t>
      </w:r>
      <w:bookmarkEnd w:id="840"/>
      <w:bookmarkEnd w:id="841"/>
      <w:bookmarkEnd w:id="842"/>
      <w:bookmarkEnd w:id="843"/>
      <w:bookmarkEnd w:id="844"/>
      <w:bookmarkEnd w:id="845"/>
    </w:p>
    <w:bookmarkEnd w:id="846"/>
    <w:bookmarkEnd w:id="847"/>
    <w:bookmarkEnd w:id="848"/>
    <w:bookmarkEnd w:id="849"/>
    <w:bookmarkEnd w:id="850"/>
    <w:bookmarkEnd w:id="851"/>
    <w:p w14:paraId="7C5DCF42">
      <w:pPr>
        <w:pStyle w:val="39"/>
        <w:spacing w:line="360" w:lineRule="exact"/>
        <w:ind w:firstLine="442" w:firstLineChars="200"/>
        <w:rPr>
          <w:rFonts w:hint="eastAsia" w:ascii="宋体" w:hAnsi="宋体" w:cs="宋体"/>
          <w:color w:val="auto"/>
          <w:sz w:val="22"/>
          <w:szCs w:val="22"/>
        </w:rPr>
      </w:pPr>
      <w:bookmarkStart w:id="852" w:name="_Toc292559916"/>
      <w:bookmarkStart w:id="853" w:name="_Toc292559411"/>
      <w:bookmarkStart w:id="854" w:name="_Toc267251461"/>
      <w:bookmarkStart w:id="855" w:name="_Toc296891246"/>
      <w:bookmarkStart w:id="856" w:name="_Toc297120506"/>
      <w:bookmarkStart w:id="857" w:name="_Toc296891034"/>
      <w:bookmarkStart w:id="858" w:name="_Toc297048392"/>
      <w:bookmarkStart w:id="859" w:name="_Toc296944545"/>
      <w:bookmarkStart w:id="860" w:name="_Toc296503206"/>
      <w:bookmarkStart w:id="861" w:name="_Toc296347205"/>
      <w:bookmarkStart w:id="862" w:name="_Toc296346707"/>
      <w:bookmarkStart w:id="863" w:name="_Toc395382552"/>
      <w:bookmarkStart w:id="864" w:name="_Toc373478396"/>
      <w:bookmarkStart w:id="865" w:name="_Toc373227749"/>
      <w:bookmarkStart w:id="866" w:name="_Toc533432775"/>
      <w:bookmarkStart w:id="867" w:name="_Toc389065314"/>
      <w:bookmarkStart w:id="868" w:name="_Toc12975940"/>
      <w:bookmarkStart w:id="869" w:name="_Toc303539160"/>
      <w:bookmarkStart w:id="870" w:name="_Toc300935003"/>
      <w:bookmarkStart w:id="871" w:name="_Toc304295580"/>
      <w:bookmarkStart w:id="872" w:name="_Toc312678041"/>
      <w:bookmarkStart w:id="873" w:name="_Toc297216212"/>
      <w:bookmarkStart w:id="874" w:name="_Toc297123553"/>
      <w:r>
        <w:rPr>
          <w:rFonts w:hint="eastAsia" w:ascii="宋体" w:hAnsi="宋体" w:cs="宋体"/>
          <w:color w:val="auto"/>
          <w:sz w:val="22"/>
          <w:szCs w:val="22"/>
        </w:rPr>
        <w:t>12.1 合</w:t>
      </w:r>
      <w:bookmarkEnd w:id="852"/>
      <w:bookmarkEnd w:id="853"/>
      <w:bookmarkEnd w:id="854"/>
      <w:r>
        <w:rPr>
          <w:rFonts w:hint="eastAsia" w:ascii="宋体" w:hAnsi="宋体" w:cs="宋体"/>
          <w:color w:val="auto"/>
          <w:sz w:val="22"/>
          <w:szCs w:val="22"/>
        </w:rPr>
        <w:t>同价</w:t>
      </w:r>
      <w:bookmarkEnd w:id="855"/>
      <w:bookmarkEnd w:id="856"/>
      <w:bookmarkEnd w:id="857"/>
      <w:bookmarkEnd w:id="858"/>
      <w:bookmarkEnd w:id="859"/>
      <w:bookmarkEnd w:id="860"/>
      <w:bookmarkEnd w:id="861"/>
      <w:bookmarkEnd w:id="862"/>
      <w:r>
        <w:rPr>
          <w:rFonts w:hint="eastAsia" w:ascii="宋体" w:hAnsi="宋体" w:cs="宋体"/>
          <w:color w:val="auto"/>
          <w:sz w:val="22"/>
          <w:szCs w:val="22"/>
        </w:rPr>
        <w:t>格形式</w:t>
      </w:r>
      <w:bookmarkEnd w:id="863"/>
      <w:bookmarkEnd w:id="864"/>
      <w:bookmarkEnd w:id="865"/>
      <w:bookmarkEnd w:id="866"/>
      <w:bookmarkEnd w:id="867"/>
      <w:bookmarkEnd w:id="868"/>
    </w:p>
    <w:p w14:paraId="0FAAAE96">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 xml:space="preserve">     本工程采用</w:t>
      </w:r>
      <w:r>
        <w:rPr>
          <w:rFonts w:hint="eastAsia" w:ascii="宋体" w:hAnsi="宋体" w:cs="宋体"/>
          <w:color w:val="auto"/>
          <w:sz w:val="22"/>
          <w:u w:val="single"/>
        </w:rPr>
        <w:t xml:space="preserve">  固定单价  </w:t>
      </w:r>
      <w:r>
        <w:rPr>
          <w:rFonts w:hint="eastAsia" w:ascii="宋体" w:hAnsi="宋体" w:cs="宋体"/>
          <w:color w:val="auto"/>
          <w:sz w:val="22"/>
        </w:rPr>
        <w:t>合同价格形式。</w:t>
      </w:r>
    </w:p>
    <w:bookmarkEnd w:id="869"/>
    <w:bookmarkEnd w:id="870"/>
    <w:bookmarkEnd w:id="871"/>
    <w:bookmarkEnd w:id="872"/>
    <w:bookmarkEnd w:id="873"/>
    <w:bookmarkEnd w:id="874"/>
    <w:p w14:paraId="6C9D5B1D">
      <w:pPr>
        <w:pStyle w:val="40"/>
        <w:spacing w:line="360" w:lineRule="exact"/>
        <w:ind w:firstLine="440" w:firstLineChars="200"/>
        <w:jc w:val="left"/>
        <w:rPr>
          <w:rFonts w:hint="eastAsia" w:ascii="宋体" w:hAnsi="宋体" w:cs="宋体"/>
          <w:color w:val="auto"/>
          <w:sz w:val="22"/>
        </w:rPr>
      </w:pPr>
      <w:bookmarkStart w:id="875" w:name="_Toc389065315"/>
      <w:bookmarkStart w:id="876" w:name="_Toc373478397"/>
      <w:bookmarkStart w:id="877" w:name="_Toc297216213"/>
      <w:bookmarkStart w:id="878" w:name="_Toc312678042"/>
      <w:bookmarkStart w:id="879" w:name="_Toc300935004"/>
      <w:bookmarkStart w:id="880" w:name="_Toc304295581"/>
      <w:bookmarkStart w:id="881" w:name="_Toc373227750"/>
      <w:bookmarkStart w:id="882" w:name="_Toc297123554"/>
      <w:bookmarkStart w:id="883" w:name="_Toc303539161"/>
      <w:bookmarkStart w:id="884" w:name="_Toc296347206"/>
      <w:bookmarkStart w:id="885" w:name="_Toc292559917"/>
      <w:bookmarkStart w:id="886" w:name="_Toc296891035"/>
      <w:bookmarkStart w:id="887" w:name="_Toc296503207"/>
      <w:bookmarkStart w:id="888" w:name="_Toc296891247"/>
      <w:bookmarkStart w:id="889" w:name="_Toc297048393"/>
      <w:bookmarkStart w:id="890" w:name="_Toc297120507"/>
      <w:bookmarkStart w:id="891" w:name="_Toc296944546"/>
      <w:bookmarkStart w:id="892" w:name="_Toc296346708"/>
      <w:bookmarkStart w:id="893" w:name="_Toc292559412"/>
      <w:r>
        <w:rPr>
          <w:rFonts w:hint="eastAsia" w:ascii="宋体" w:hAnsi="宋体" w:cs="宋体"/>
          <w:color w:val="auto"/>
          <w:sz w:val="22"/>
        </w:rPr>
        <w:t>（1）单价合同。</w:t>
      </w:r>
    </w:p>
    <w:p w14:paraId="1CA9B67F">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单价合同采用固定综合单价方式确定，工程量按实际结算。</w:t>
      </w:r>
    </w:p>
    <w:p w14:paraId="3C390885">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综合单价包含的风险范围：</w:t>
      </w:r>
      <w:r>
        <w:rPr>
          <w:rFonts w:hint="eastAsia" w:ascii="宋体" w:hAnsi="宋体" w:cs="宋体"/>
          <w:color w:val="auto"/>
          <w:sz w:val="22"/>
          <w:u w:val="single"/>
        </w:rPr>
        <w:t>除工程变更、本工程约定的市场价格波动风险和政策性（颁布单位为地级市以上（不包含地级市）单位颁布的文件才属于政策性文件）调整以外的其他风险</w:t>
      </w:r>
      <w:r>
        <w:rPr>
          <w:rFonts w:hint="eastAsia" w:ascii="宋体" w:hAnsi="宋体" w:cs="宋体"/>
          <w:color w:val="auto"/>
          <w:sz w:val="22"/>
        </w:rPr>
        <w:t>。</w:t>
      </w:r>
    </w:p>
    <w:p w14:paraId="364FE59D">
      <w:pPr>
        <w:pStyle w:val="56"/>
        <w:spacing w:line="360" w:lineRule="exact"/>
        <w:ind w:firstLine="440" w:firstLineChars="200"/>
        <w:rPr>
          <w:rFonts w:hint="eastAsia" w:hAnsi="宋体" w:cs="宋体"/>
          <w:color w:val="auto"/>
          <w:sz w:val="22"/>
          <w:szCs w:val="22"/>
        </w:rPr>
      </w:pPr>
      <w:r>
        <w:rPr>
          <w:rFonts w:hint="eastAsia" w:hAnsi="宋体" w:cs="宋体"/>
          <w:color w:val="auto"/>
          <w:sz w:val="22"/>
          <w:szCs w:val="22"/>
        </w:rPr>
        <w:t>风险范围以外合同价格的调整方法：</w:t>
      </w:r>
    </w:p>
    <w:p w14:paraId="41986DA6">
      <w:pPr>
        <w:pStyle w:val="56"/>
        <w:spacing w:line="360" w:lineRule="exact"/>
        <w:ind w:firstLine="440" w:firstLineChars="200"/>
        <w:rPr>
          <w:rFonts w:hint="eastAsia" w:hAnsi="宋体" w:cs="宋体"/>
          <w:color w:val="auto"/>
          <w:sz w:val="22"/>
          <w:szCs w:val="22"/>
        </w:rPr>
      </w:pPr>
      <w:r>
        <w:rPr>
          <w:rFonts w:hint="eastAsia" w:hAnsi="宋体" w:cs="宋体"/>
          <w:color w:val="auto"/>
          <w:sz w:val="22"/>
          <w:szCs w:val="22"/>
        </w:rPr>
        <w:t>①工程变更：按10.4.1变更估价原则的约定调整。</w:t>
      </w:r>
    </w:p>
    <w:p w14:paraId="6173A22F">
      <w:pPr>
        <w:pStyle w:val="56"/>
        <w:spacing w:line="360" w:lineRule="exact"/>
        <w:ind w:firstLine="440" w:firstLineChars="200"/>
        <w:rPr>
          <w:rFonts w:hint="eastAsia" w:hAnsi="宋体" w:cs="宋体"/>
          <w:color w:val="auto"/>
          <w:sz w:val="22"/>
          <w:szCs w:val="22"/>
        </w:rPr>
      </w:pPr>
      <w:r>
        <w:rPr>
          <w:rFonts w:hint="eastAsia" w:hAnsi="宋体" w:cs="宋体"/>
          <w:color w:val="auto"/>
          <w:sz w:val="22"/>
          <w:szCs w:val="22"/>
        </w:rPr>
        <w:t>②政策性调整：按自治区建设行政主管部门颁布的文件执行。</w:t>
      </w:r>
    </w:p>
    <w:p w14:paraId="08549069">
      <w:pPr>
        <w:pStyle w:val="56"/>
        <w:spacing w:line="360" w:lineRule="exact"/>
        <w:ind w:firstLine="440" w:firstLineChars="200"/>
        <w:rPr>
          <w:rFonts w:hint="eastAsia" w:hAnsi="宋体" w:cs="宋体"/>
          <w:color w:val="auto"/>
          <w:sz w:val="22"/>
          <w:szCs w:val="22"/>
        </w:rPr>
      </w:pPr>
      <w:r>
        <w:rPr>
          <w:rFonts w:hint="eastAsia" w:hAnsi="宋体" w:cs="宋体"/>
          <w:color w:val="auto"/>
          <w:sz w:val="22"/>
          <w:szCs w:val="22"/>
        </w:rPr>
        <w:t>③材料价格风险：按11.1的约定调整。</w:t>
      </w:r>
    </w:p>
    <w:p w14:paraId="08E8E944">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④其它：</w:t>
      </w:r>
      <w:r>
        <w:rPr>
          <w:rFonts w:hint="eastAsia" w:ascii="宋体" w:hAnsi="宋体" w:cs="宋体"/>
          <w:color w:val="auto"/>
          <w:sz w:val="22"/>
          <w:u w:val="single"/>
        </w:rPr>
        <w:t xml:space="preserve">  / </w:t>
      </w:r>
      <w:r>
        <w:rPr>
          <w:rFonts w:hint="eastAsia" w:ascii="宋体" w:hAnsi="宋体" w:cs="宋体"/>
          <w:color w:val="auto"/>
          <w:sz w:val="22"/>
        </w:rPr>
        <w:t>。</w:t>
      </w:r>
    </w:p>
    <w:p w14:paraId="03FA19DC">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（2）总价合同。</w:t>
      </w:r>
    </w:p>
    <w:p w14:paraId="67857A2A">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总价包含的风险范围：</w:t>
      </w:r>
      <w:r>
        <w:rPr>
          <w:rFonts w:hint="eastAsia" w:ascii="宋体" w:hAnsi="宋体" w:cs="宋体"/>
          <w:color w:val="auto"/>
          <w:sz w:val="22"/>
          <w:u w:val="single"/>
        </w:rPr>
        <w:t xml:space="preserve">  / </w:t>
      </w:r>
      <w:r>
        <w:rPr>
          <w:rFonts w:hint="eastAsia" w:ascii="宋体" w:hAnsi="宋体" w:cs="宋体"/>
          <w:color w:val="auto"/>
          <w:sz w:val="22"/>
        </w:rPr>
        <w:t>。</w:t>
      </w:r>
    </w:p>
    <w:p w14:paraId="72307A59">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风险范围以外合同价格的调整方法：</w:t>
      </w:r>
      <w:r>
        <w:rPr>
          <w:rFonts w:hint="eastAsia" w:ascii="宋体" w:hAnsi="宋体" w:cs="宋体"/>
          <w:color w:val="auto"/>
          <w:sz w:val="22"/>
          <w:u w:val="single"/>
        </w:rPr>
        <w:t xml:space="preserve">  / </w:t>
      </w:r>
      <w:r>
        <w:rPr>
          <w:rFonts w:hint="eastAsia" w:ascii="宋体" w:hAnsi="宋体" w:cs="宋体"/>
          <w:color w:val="auto"/>
          <w:sz w:val="22"/>
        </w:rPr>
        <w:t>。</w:t>
      </w:r>
    </w:p>
    <w:p w14:paraId="79120CBA">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（3）其他价格方式：</w:t>
      </w:r>
      <w:r>
        <w:rPr>
          <w:rFonts w:hint="eastAsia" w:ascii="宋体" w:hAnsi="宋体" w:cs="宋体"/>
          <w:color w:val="auto"/>
          <w:sz w:val="22"/>
          <w:u w:val="single"/>
        </w:rPr>
        <w:t xml:space="preserve">  / </w:t>
      </w:r>
      <w:r>
        <w:rPr>
          <w:rFonts w:hint="eastAsia" w:ascii="宋体" w:hAnsi="宋体" w:cs="宋体"/>
          <w:color w:val="auto"/>
          <w:sz w:val="22"/>
        </w:rPr>
        <w:t>。</w:t>
      </w:r>
    </w:p>
    <w:p w14:paraId="31F98D00">
      <w:pPr>
        <w:pStyle w:val="39"/>
        <w:spacing w:line="360" w:lineRule="exact"/>
        <w:ind w:firstLine="442" w:firstLineChars="200"/>
        <w:rPr>
          <w:rFonts w:hint="eastAsia" w:ascii="宋体" w:hAnsi="宋体" w:cs="宋体"/>
          <w:color w:val="auto"/>
          <w:sz w:val="22"/>
          <w:szCs w:val="22"/>
        </w:rPr>
      </w:pPr>
      <w:bookmarkStart w:id="894" w:name="_Toc12975941"/>
      <w:bookmarkStart w:id="895" w:name="_Toc533432776"/>
      <w:bookmarkStart w:id="896" w:name="_Toc395382553"/>
      <w:r>
        <w:rPr>
          <w:rFonts w:hint="eastAsia" w:ascii="宋体" w:hAnsi="宋体" w:cs="宋体"/>
          <w:color w:val="auto"/>
          <w:sz w:val="22"/>
          <w:szCs w:val="22"/>
        </w:rPr>
        <w:t>12.2 预付款</w:t>
      </w:r>
      <w:bookmarkEnd w:id="875"/>
      <w:bookmarkEnd w:id="876"/>
      <w:bookmarkEnd w:id="877"/>
      <w:bookmarkEnd w:id="878"/>
      <w:bookmarkEnd w:id="879"/>
      <w:bookmarkEnd w:id="880"/>
      <w:bookmarkEnd w:id="881"/>
      <w:bookmarkEnd w:id="882"/>
      <w:bookmarkEnd w:id="883"/>
      <w:bookmarkEnd w:id="894"/>
      <w:bookmarkEnd w:id="895"/>
      <w:bookmarkEnd w:id="896"/>
    </w:p>
    <w:p w14:paraId="5DE55427">
      <w:pPr>
        <w:pStyle w:val="54"/>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12.2.1在以下方式中选择其一，作为双方对预付款保函的约定。</w:t>
      </w:r>
    </w:p>
    <w:p w14:paraId="7401E7DD">
      <w:pPr>
        <w:pStyle w:val="54"/>
        <w:spacing w:line="360" w:lineRule="exact"/>
        <w:ind w:firstLine="442" w:firstLineChars="200"/>
        <w:rPr>
          <w:rFonts w:hint="eastAsia" w:ascii="宋体" w:hAnsi="宋体" w:cs="宋体"/>
          <w:color w:val="auto"/>
          <w:sz w:val="22"/>
          <w:szCs w:val="22"/>
        </w:rPr>
      </w:pPr>
      <w:r>
        <w:rPr>
          <w:rFonts w:hint="eastAsia" w:ascii="宋体" w:hAnsi="宋体" w:cs="宋体"/>
          <w:b/>
          <w:bCs/>
          <w:color w:val="auto"/>
          <w:sz w:val="22"/>
          <w:szCs w:val="22"/>
        </w:rPr>
        <w:t xml:space="preserve"> </w:t>
      </w:r>
      <w:r>
        <w:rPr>
          <w:rFonts w:hint="eastAsia" w:ascii="宋体" w:hAnsi="宋体" w:cs="宋体"/>
          <w:color w:val="auto"/>
          <w:sz w:val="22"/>
          <w:szCs w:val="22"/>
        </w:rPr>
        <w:t>承包人不提交预付款保函。</w:t>
      </w:r>
    </w:p>
    <w:p w14:paraId="5C38D338">
      <w:pPr>
        <w:pStyle w:val="54"/>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rPr>
        <w:t> 承包人提交预付款保函的格式、金额</w:t>
      </w:r>
      <w:r>
        <w:rPr>
          <w:rFonts w:hint="eastAsia" w:ascii="宋体" w:hAnsi="宋体" w:cs="宋体"/>
          <w:color w:val="auto"/>
          <w:sz w:val="22"/>
          <w:szCs w:val="22"/>
          <w:highlight w:val="none"/>
        </w:rPr>
        <w:t>和时</w:t>
      </w:r>
      <w:r>
        <w:rPr>
          <w:rFonts w:hint="eastAsia" w:ascii="宋体" w:hAnsi="宋体" w:cs="宋体"/>
          <w:color w:val="auto"/>
          <w:sz w:val="22"/>
          <w:szCs w:val="22"/>
          <w:highlight w:val="none"/>
          <w:lang w:val="en-US" w:eastAsia="zh-CN"/>
        </w:rPr>
        <w:t>间</w:t>
      </w:r>
      <w:r>
        <w:rPr>
          <w:rFonts w:hint="eastAsia" w:ascii="宋体" w:hAnsi="宋体" w:cs="宋体"/>
          <w:color w:val="auto"/>
          <w:sz w:val="22"/>
          <w:szCs w:val="22"/>
          <w:highlight w:val="none"/>
        </w:rPr>
        <w:t>：</w:t>
      </w:r>
      <w:r>
        <w:rPr>
          <w:rFonts w:hint="eastAsia" w:ascii="宋体" w:hAnsi="宋体" w:cs="宋体"/>
          <w:color w:val="auto"/>
          <w:sz w:val="22"/>
          <w:szCs w:val="22"/>
          <w:highlight w:val="none"/>
          <w:u w:val="single"/>
        </w:rPr>
        <w:t>拨付预付款前，预付款担保的形式银行转账、电汇或网上支付、银行保函、工程担保、工程保证保险。</w:t>
      </w:r>
    </w:p>
    <w:p w14:paraId="0CE4925D">
      <w:pPr>
        <w:pStyle w:val="54"/>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12.2.2预付款</w:t>
      </w:r>
    </w:p>
    <w:p w14:paraId="134F9861">
      <w:pPr>
        <w:pStyle w:val="54"/>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12.2.3 预付款金额</w:t>
      </w:r>
    </w:p>
    <w:p w14:paraId="0F959106">
      <w:pPr>
        <w:pStyle w:val="54"/>
        <w:spacing w:line="3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预付款金额与支付：</w:t>
      </w:r>
      <w:r>
        <w:rPr>
          <w:rFonts w:hint="eastAsia" w:ascii="宋体" w:hAnsi="宋体" w:cs="宋体"/>
          <w:color w:val="auto"/>
          <w:sz w:val="22"/>
          <w:szCs w:val="22"/>
          <w:highlight w:val="none"/>
          <w:u w:val="single"/>
          <w:lang w:eastAsia="zh-CN"/>
        </w:rPr>
        <w:t>合同总价（扣除暂列金额）</w:t>
      </w:r>
      <w:r>
        <w:rPr>
          <w:rFonts w:hint="eastAsia" w:ascii="宋体" w:hAnsi="宋体" w:cs="宋体"/>
          <w:color w:val="auto"/>
          <w:sz w:val="22"/>
          <w:szCs w:val="22"/>
          <w:highlight w:val="none"/>
          <w:u w:val="single"/>
        </w:rPr>
        <w:t>的</w:t>
      </w:r>
      <w:bookmarkStart w:id="897" w:name="OLE_LINK63"/>
      <w:r>
        <w:rPr>
          <w:rFonts w:hint="eastAsia" w:ascii="宋体" w:hAnsi="宋体" w:cs="宋体"/>
          <w:color w:val="auto"/>
          <w:sz w:val="22"/>
          <w:szCs w:val="22"/>
          <w:highlight w:val="none"/>
          <w:u w:val="single"/>
          <w:lang w:val="en-US" w:eastAsia="zh-CN"/>
        </w:rPr>
        <w:t>3</w:t>
      </w:r>
      <w:r>
        <w:rPr>
          <w:rFonts w:hint="eastAsia" w:ascii="宋体" w:hAnsi="宋体" w:cs="宋体"/>
          <w:color w:val="auto"/>
          <w:sz w:val="22"/>
          <w:szCs w:val="22"/>
          <w:highlight w:val="none"/>
          <w:u w:val="single"/>
        </w:rPr>
        <w:t>0%</w:t>
      </w:r>
      <w:bookmarkEnd w:id="897"/>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none"/>
          <w:lang w:val="en-US" w:eastAsia="zh-CN"/>
        </w:rPr>
        <w:t>。</w:t>
      </w:r>
    </w:p>
    <w:p w14:paraId="68DCFC41">
      <w:pPr>
        <w:pStyle w:val="54"/>
        <w:spacing w:line="36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担保的形式：</w:t>
      </w:r>
      <w:r>
        <w:rPr>
          <w:rFonts w:hint="eastAsia" w:ascii="宋体" w:hAnsi="宋体" w:cs="宋体"/>
          <w:color w:val="auto"/>
          <w:sz w:val="22"/>
          <w:szCs w:val="22"/>
          <w:highlight w:val="none"/>
          <w:u w:val="single"/>
        </w:rPr>
        <w:t>担保可以银行保函、担保、工程保证保险等方式缴纳，严禁要求只能以现金方式缴纳的行为。</w:t>
      </w:r>
    </w:p>
    <w:p w14:paraId="66A83223">
      <w:pPr>
        <w:pStyle w:val="54"/>
        <w:spacing w:line="360" w:lineRule="exact"/>
        <w:ind w:firstLine="440" w:firstLineChars="200"/>
        <w:jc w:val="left"/>
        <w:rPr>
          <w:rFonts w:hint="eastAsia" w:ascii="宋体" w:hAnsi="宋体" w:cs="宋体"/>
          <w:color w:val="auto"/>
          <w:sz w:val="22"/>
        </w:rPr>
      </w:pPr>
      <w:r>
        <w:rPr>
          <w:rFonts w:hint="eastAsia" w:ascii="宋体" w:hAnsi="宋体" w:cs="宋体"/>
          <w:color w:val="auto"/>
          <w:kern w:val="0"/>
          <w:sz w:val="22"/>
          <w:szCs w:val="22"/>
          <w:highlight w:val="none"/>
          <w:u w:val="none" w:color="000000"/>
          <w:lang w:val="zh-TW" w:eastAsia="zh-TW"/>
        </w:rPr>
        <w:t>1</w:t>
      </w:r>
      <w:r>
        <w:rPr>
          <w:rFonts w:hint="eastAsia" w:ascii="宋体" w:hAnsi="宋体" w:cs="宋体"/>
          <w:color w:val="auto"/>
          <w:kern w:val="0"/>
          <w:sz w:val="22"/>
          <w:szCs w:val="22"/>
          <w:highlight w:val="none"/>
          <w:u w:val="none" w:color="000000"/>
        </w:rPr>
        <w:t>2</w:t>
      </w:r>
      <w:r>
        <w:rPr>
          <w:rFonts w:hint="eastAsia" w:ascii="宋体" w:hAnsi="宋体" w:cs="宋体"/>
          <w:color w:val="auto"/>
          <w:kern w:val="0"/>
          <w:sz w:val="22"/>
          <w:szCs w:val="22"/>
          <w:highlight w:val="none"/>
          <w:u w:val="none" w:color="000000"/>
          <w:lang w:val="zh-TW" w:eastAsia="zh-TW"/>
        </w:rPr>
        <w:t>.2.</w:t>
      </w:r>
      <w:r>
        <w:rPr>
          <w:rFonts w:hint="eastAsia" w:ascii="宋体" w:hAnsi="宋体" w:cs="宋体"/>
          <w:color w:val="auto"/>
          <w:kern w:val="0"/>
          <w:sz w:val="22"/>
          <w:szCs w:val="22"/>
          <w:highlight w:val="none"/>
          <w:u w:val="none" w:color="000000"/>
        </w:rPr>
        <w:t>4</w:t>
      </w:r>
      <w:r>
        <w:rPr>
          <w:rFonts w:hint="eastAsia" w:ascii="宋体" w:hAnsi="宋体" w:cs="宋体"/>
          <w:color w:val="auto"/>
          <w:kern w:val="0"/>
          <w:sz w:val="22"/>
          <w:szCs w:val="22"/>
          <w:highlight w:val="none"/>
          <w:lang w:val="zh-TW" w:eastAsia="zh-TW"/>
        </w:rPr>
        <w:t>预付款抵扣的</w:t>
      </w:r>
      <w:r>
        <w:rPr>
          <w:rFonts w:hint="eastAsia" w:ascii="宋体" w:hAnsi="宋体" w:cs="宋体"/>
          <w:color w:val="auto"/>
          <w:kern w:val="0"/>
          <w:sz w:val="22"/>
          <w:szCs w:val="22"/>
          <w:highlight w:val="none"/>
          <w:lang w:val="zh-TW"/>
        </w:rPr>
        <w:t>方式</w:t>
      </w:r>
      <w:r>
        <w:rPr>
          <w:rFonts w:hint="eastAsia" w:ascii="宋体" w:hAnsi="宋体" w:cs="宋体"/>
          <w:color w:val="auto"/>
          <w:kern w:val="0"/>
          <w:sz w:val="22"/>
          <w:szCs w:val="22"/>
          <w:highlight w:val="none"/>
          <w:lang w:val="zh-TW" w:eastAsia="zh-TW"/>
        </w:rPr>
        <w:t>、</w:t>
      </w:r>
      <w:r>
        <w:rPr>
          <w:rFonts w:hint="eastAsia" w:ascii="宋体" w:hAnsi="宋体" w:cs="宋体"/>
          <w:color w:val="auto"/>
          <w:kern w:val="0"/>
          <w:sz w:val="22"/>
          <w:szCs w:val="22"/>
          <w:highlight w:val="none"/>
          <w:lang w:val="zh-TW"/>
        </w:rPr>
        <w:t>抵扣比例和抵扣时间安排：</w:t>
      </w:r>
      <w:r>
        <w:rPr>
          <w:rFonts w:hint="eastAsia" w:ascii="宋体" w:hAnsi="宋体" w:cs="宋体"/>
          <w:color w:val="auto"/>
          <w:kern w:val="0"/>
          <w:sz w:val="22"/>
          <w:szCs w:val="22"/>
          <w:highlight w:val="none"/>
          <w:u w:val="single"/>
          <w:lang w:val="en-US" w:eastAsia="zh-CN"/>
        </w:rPr>
        <w:t>合同签订后，每月工程进度款先从预付款中扣除，原则上分两次扣完，每次扣预付款的50%。</w:t>
      </w:r>
    </w:p>
    <w:bookmarkEnd w:id="884"/>
    <w:bookmarkEnd w:id="885"/>
    <w:bookmarkEnd w:id="886"/>
    <w:bookmarkEnd w:id="887"/>
    <w:bookmarkEnd w:id="888"/>
    <w:bookmarkEnd w:id="889"/>
    <w:bookmarkEnd w:id="890"/>
    <w:bookmarkEnd w:id="891"/>
    <w:bookmarkEnd w:id="892"/>
    <w:bookmarkEnd w:id="893"/>
    <w:p w14:paraId="358DB1AD">
      <w:pPr>
        <w:pStyle w:val="39"/>
        <w:spacing w:line="360" w:lineRule="exact"/>
        <w:ind w:firstLine="442" w:firstLineChars="200"/>
        <w:rPr>
          <w:rFonts w:hint="eastAsia" w:ascii="宋体" w:hAnsi="宋体" w:cs="宋体"/>
          <w:color w:val="auto"/>
          <w:sz w:val="22"/>
          <w:szCs w:val="22"/>
        </w:rPr>
      </w:pPr>
      <w:bookmarkStart w:id="898" w:name="_Toc395382554"/>
      <w:bookmarkStart w:id="899" w:name="_Toc373227751"/>
      <w:bookmarkStart w:id="900" w:name="_Toc12975942"/>
      <w:bookmarkStart w:id="901" w:name="_Toc533432777"/>
      <w:bookmarkStart w:id="902" w:name="_Toc389065316"/>
      <w:bookmarkStart w:id="903" w:name="_Toc373478398"/>
      <w:r>
        <w:rPr>
          <w:rFonts w:hint="eastAsia" w:ascii="宋体" w:hAnsi="宋体" w:cs="宋体"/>
          <w:color w:val="auto"/>
          <w:sz w:val="22"/>
          <w:szCs w:val="22"/>
        </w:rPr>
        <w:t>12.3 计量</w:t>
      </w:r>
      <w:bookmarkEnd w:id="898"/>
      <w:bookmarkEnd w:id="899"/>
      <w:bookmarkEnd w:id="900"/>
      <w:bookmarkEnd w:id="901"/>
      <w:bookmarkEnd w:id="902"/>
      <w:bookmarkEnd w:id="903"/>
    </w:p>
    <w:p w14:paraId="638E92F7">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12.3.1 计量原则</w:t>
      </w:r>
    </w:p>
    <w:p w14:paraId="5F820F18">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工程量计算规则：</w:t>
      </w:r>
      <w:r>
        <w:rPr>
          <w:rFonts w:hint="eastAsia" w:ascii="宋体" w:hAnsi="宋体" w:cs="宋体"/>
          <w:color w:val="auto"/>
          <w:sz w:val="22"/>
          <w:u w:val="single"/>
        </w:rPr>
        <w:t>工程的计量均以</w:t>
      </w:r>
      <w:r>
        <w:rPr>
          <w:rFonts w:hint="eastAsia" w:ascii="宋体" w:hAnsi="宋体" w:cs="宋体"/>
          <w:color w:val="auto"/>
          <w:sz w:val="22"/>
          <w:u w:val="single"/>
          <w:lang w:eastAsia="zh-CN"/>
        </w:rPr>
        <w:t>（</w:t>
      </w:r>
      <w:r>
        <w:rPr>
          <w:rFonts w:hint="eastAsia" w:ascii="宋体" w:hAnsi="宋体" w:cs="宋体"/>
          <w:color w:val="auto"/>
          <w:sz w:val="22"/>
          <w:u w:val="single"/>
        </w:rPr>
        <w:t>GB50500-2013</w:t>
      </w:r>
      <w:r>
        <w:rPr>
          <w:rFonts w:hint="eastAsia" w:ascii="宋体" w:hAnsi="宋体" w:cs="宋体"/>
          <w:color w:val="auto"/>
          <w:sz w:val="22"/>
          <w:u w:val="single"/>
          <w:lang w:eastAsia="zh-CN"/>
        </w:rPr>
        <w:t>）</w:t>
      </w:r>
      <w:r>
        <w:rPr>
          <w:rFonts w:hint="eastAsia" w:ascii="宋体" w:hAnsi="宋体" w:cs="宋体"/>
          <w:color w:val="auto"/>
          <w:sz w:val="22"/>
          <w:u w:val="single"/>
        </w:rPr>
        <w:t>《</w:t>
      </w:r>
      <w:bookmarkStart w:id="904" w:name="OLE_LINK30"/>
      <w:r>
        <w:rPr>
          <w:rFonts w:hint="eastAsia" w:ascii="宋体" w:hAnsi="宋体" w:cs="宋体"/>
          <w:color w:val="auto"/>
          <w:sz w:val="22"/>
          <w:u w:val="single"/>
        </w:rPr>
        <w:t>建设工程工程量清单计价规范</w:t>
      </w:r>
      <w:bookmarkEnd w:id="904"/>
      <w:r>
        <w:rPr>
          <w:rFonts w:hint="eastAsia" w:ascii="宋体" w:hAnsi="宋体" w:cs="宋体"/>
          <w:color w:val="auto"/>
          <w:sz w:val="22"/>
          <w:u w:val="single"/>
          <w:lang w:eastAsia="zh-CN"/>
        </w:rPr>
        <w:t>》《</w:t>
      </w:r>
      <w:r>
        <w:rPr>
          <w:rFonts w:hint="eastAsia" w:ascii="宋体" w:hAnsi="宋体" w:cs="宋体"/>
          <w:color w:val="auto"/>
          <w:sz w:val="22"/>
          <w:u w:val="single"/>
        </w:rPr>
        <w:t xml:space="preserve">〈建设工程工程量清单计价规范〉 </w:t>
      </w:r>
      <w:r>
        <w:rPr>
          <w:rFonts w:hint="eastAsia" w:ascii="宋体" w:hAnsi="宋体" w:cs="宋体"/>
          <w:color w:val="auto"/>
          <w:sz w:val="22"/>
          <w:u w:val="single"/>
          <w:lang w:eastAsia="zh-CN"/>
        </w:rPr>
        <w:t>（</w:t>
      </w:r>
      <w:r>
        <w:rPr>
          <w:rFonts w:hint="eastAsia" w:ascii="宋体" w:hAnsi="宋体" w:cs="宋体"/>
          <w:color w:val="auto"/>
          <w:sz w:val="22"/>
          <w:u w:val="single"/>
        </w:rPr>
        <w:t>GB50500-2013</w:t>
      </w:r>
      <w:r>
        <w:rPr>
          <w:rFonts w:hint="eastAsia" w:ascii="宋体" w:hAnsi="宋体" w:cs="宋体"/>
          <w:color w:val="auto"/>
          <w:sz w:val="22"/>
          <w:u w:val="single"/>
          <w:lang w:eastAsia="zh-CN"/>
        </w:rPr>
        <w:t>）</w:t>
      </w:r>
      <w:r>
        <w:rPr>
          <w:rFonts w:hint="eastAsia" w:ascii="宋体" w:hAnsi="宋体" w:cs="宋体"/>
          <w:color w:val="auto"/>
          <w:sz w:val="22"/>
          <w:u w:val="single"/>
        </w:rPr>
        <w:t>广西壮族自治区实施细则》、2013年版《广西壮族自治区建筑装饰装修工程消耗量定额》、2015年版《广西壮族自治区安装工程消耗量定额》、2014年版《广西壮族自治区市政工程消耗量定额》、2014年版《广西壮族自治区市政工程费用定额》、2013年版《广西壮族自治区园林绿化及仿古建筑工程消耗量定额》、2013年版《广西壮族自治区园林绿化及仿古建筑工程费用定额》、2016年《广西壮族自治区建设工程费用定额》及有关配套费率、人工和机械台班费用调整规定计算的净值为准，如有不明之处，应以监理工程师或造价管理部门指定的计量方法为准，费率取中值</w:t>
      </w:r>
      <w:r>
        <w:rPr>
          <w:rFonts w:hint="eastAsia" w:ascii="宋体" w:hAnsi="宋体" w:cs="宋体"/>
          <w:color w:val="auto"/>
          <w:sz w:val="22"/>
          <w:u w:val="none"/>
        </w:rPr>
        <w:t>。</w:t>
      </w:r>
    </w:p>
    <w:p w14:paraId="695D4F92">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12.3.2 计量周期</w:t>
      </w:r>
    </w:p>
    <w:p w14:paraId="71CDE0EB">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关于计量周期的约定：</w:t>
      </w:r>
      <w:r>
        <w:rPr>
          <w:rFonts w:hint="eastAsia" w:ascii="宋体" w:hAnsi="宋体" w:cs="宋体"/>
          <w:color w:val="auto"/>
          <w:sz w:val="22"/>
          <w:u w:val="single"/>
        </w:rPr>
        <w:t>按月计量，每月25日前</w:t>
      </w:r>
      <w:r>
        <w:rPr>
          <w:rFonts w:hint="eastAsia" w:ascii="宋体" w:hAnsi="宋体" w:cs="宋体"/>
          <w:color w:val="auto"/>
          <w:sz w:val="22"/>
        </w:rPr>
        <w:t>。</w:t>
      </w:r>
    </w:p>
    <w:p w14:paraId="527A67CC">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12.3.3 单价合同的计量</w:t>
      </w:r>
    </w:p>
    <w:p w14:paraId="23CA8AFE">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关于单价合同计量的约定：</w:t>
      </w:r>
    </w:p>
    <w:p w14:paraId="58AD0353">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(1) 工程量清单所列的工程量，不能作为承包人按合同履行其责任依据，实际施工中发生的工程量增加或减少并不影响承包人履行合同的责任，工程结算以完成的实际工程量为准。</w:t>
      </w:r>
    </w:p>
    <w:p w14:paraId="2CFAE0A4">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(2) 除另有规定外，工程师应按照合同通过计量来核实确定已完成的工程量和价款，承包人应得到该价款扣除保留金后的金额。当工程师要对已完工的工程量进行计量时，应适时地通知承包人参加。</w:t>
      </w:r>
    </w:p>
    <w:p w14:paraId="372AED3C">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12.3.4 总价合同的计量</w:t>
      </w:r>
    </w:p>
    <w:p w14:paraId="5448E4EA">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关于总价合同计量的约定：除工程变更外，原图纸范围内的工程量不得按实计量。进度款按支付分解表支付，按</w:t>
      </w:r>
      <w:r>
        <w:rPr>
          <w:rFonts w:hint="eastAsia" w:ascii="宋体" w:hAnsi="宋体" w:cs="宋体"/>
          <w:color w:val="auto"/>
          <w:sz w:val="22"/>
          <w:lang w:eastAsia="zh-CN"/>
        </w:rPr>
        <w:t>通用合同条款</w:t>
      </w:r>
      <w:r>
        <w:rPr>
          <w:rFonts w:hint="eastAsia" w:ascii="宋体" w:hAnsi="宋体" w:cs="宋体"/>
          <w:color w:val="auto"/>
          <w:sz w:val="22"/>
        </w:rPr>
        <w:t>第</w:t>
      </w:r>
      <w:r>
        <w:rPr>
          <w:rFonts w:hint="eastAsia" w:ascii="宋体" w:hAnsi="宋体" w:cs="宋体"/>
          <w:color w:val="auto"/>
          <w:kern w:val="0"/>
          <w:sz w:val="22"/>
        </w:rPr>
        <w:t>12.3.4</w:t>
      </w:r>
      <w:r>
        <w:rPr>
          <w:rFonts w:hint="eastAsia" w:ascii="宋体" w:hAnsi="宋体" w:cs="宋体"/>
          <w:color w:val="auto"/>
          <w:sz w:val="22"/>
        </w:rPr>
        <w:t>项</w:t>
      </w:r>
      <w:r>
        <w:rPr>
          <w:rFonts w:hint="eastAsia" w:ascii="宋体" w:hAnsi="宋体" w:cs="宋体"/>
          <w:color w:val="auto"/>
          <w:kern w:val="0"/>
          <w:sz w:val="22"/>
        </w:rPr>
        <w:t>〔总价合同的计量〕</w:t>
      </w:r>
      <w:r>
        <w:rPr>
          <w:rFonts w:hint="eastAsia" w:ascii="宋体" w:hAnsi="宋体" w:cs="宋体"/>
          <w:color w:val="auto"/>
          <w:sz w:val="22"/>
        </w:rPr>
        <w:t>约定进行计量，但</w:t>
      </w:r>
      <w:r>
        <w:rPr>
          <w:rFonts w:hint="eastAsia" w:ascii="宋体" w:hAnsi="宋体" w:cs="宋体"/>
          <w:color w:val="auto"/>
          <w:kern w:val="0"/>
          <w:sz w:val="22"/>
        </w:rPr>
        <w:t>合同价款按照支付分解表进行支付。</w:t>
      </w:r>
    </w:p>
    <w:p w14:paraId="604FC61B">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12.3.6 其他价格形式合同的计量</w:t>
      </w:r>
    </w:p>
    <w:p w14:paraId="0EE082D7">
      <w:pPr>
        <w:pStyle w:val="4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sz w:val="22"/>
        </w:rPr>
        <w:t>其他价格形式的计量方式和程序：</w:t>
      </w:r>
      <w:r>
        <w:rPr>
          <w:rFonts w:hint="eastAsia" w:ascii="宋体" w:hAnsi="宋体" w:cs="宋体"/>
          <w:color w:val="auto"/>
          <w:sz w:val="22"/>
          <w:u w:val="single"/>
        </w:rPr>
        <w:t xml:space="preserve">  无  </w:t>
      </w:r>
      <w:r>
        <w:rPr>
          <w:rFonts w:hint="eastAsia" w:ascii="宋体" w:hAnsi="宋体" w:cs="宋体"/>
          <w:color w:val="auto"/>
          <w:sz w:val="22"/>
        </w:rPr>
        <w:t>。</w:t>
      </w:r>
    </w:p>
    <w:p w14:paraId="25BA9B92">
      <w:pPr>
        <w:pStyle w:val="39"/>
        <w:spacing w:line="360" w:lineRule="exact"/>
        <w:ind w:firstLine="442" w:firstLineChars="200"/>
        <w:rPr>
          <w:rFonts w:hint="eastAsia" w:ascii="宋体" w:hAnsi="宋体" w:cs="宋体"/>
          <w:color w:val="auto"/>
          <w:sz w:val="22"/>
          <w:szCs w:val="22"/>
        </w:rPr>
      </w:pPr>
      <w:bookmarkStart w:id="905" w:name="_Toc373478399"/>
      <w:bookmarkStart w:id="906" w:name="_Toc373227752"/>
      <w:bookmarkStart w:id="907" w:name="_Toc12975943"/>
      <w:bookmarkStart w:id="908" w:name="_Toc533432778"/>
      <w:bookmarkStart w:id="909" w:name="_Toc389065317"/>
      <w:bookmarkStart w:id="910" w:name="_Toc395382555"/>
      <w:r>
        <w:rPr>
          <w:rFonts w:hint="eastAsia" w:ascii="宋体" w:hAnsi="宋体" w:cs="宋体"/>
          <w:color w:val="auto"/>
          <w:sz w:val="22"/>
          <w:szCs w:val="22"/>
        </w:rPr>
        <w:t>12.4 工程进度款支付</w:t>
      </w:r>
      <w:bookmarkEnd w:id="905"/>
      <w:bookmarkEnd w:id="906"/>
      <w:bookmarkEnd w:id="907"/>
      <w:bookmarkEnd w:id="908"/>
      <w:bookmarkEnd w:id="909"/>
      <w:bookmarkEnd w:id="910"/>
    </w:p>
    <w:p w14:paraId="5C2AB96E">
      <w:pPr>
        <w:pStyle w:val="40"/>
        <w:spacing w:line="360" w:lineRule="exact"/>
        <w:ind w:firstLine="440" w:firstLineChars="200"/>
        <w:jc w:val="left"/>
        <w:rPr>
          <w:rFonts w:hint="eastAsia" w:ascii="宋体" w:hAnsi="宋体" w:cs="宋体"/>
          <w:color w:val="auto"/>
          <w:sz w:val="22"/>
        </w:rPr>
      </w:pPr>
      <w:bookmarkStart w:id="911" w:name="_Toc303539163"/>
      <w:bookmarkStart w:id="912" w:name="_Toc292559921"/>
      <w:bookmarkStart w:id="913" w:name="_Toc296347210"/>
      <w:bookmarkStart w:id="914" w:name="_Toc292559416"/>
      <w:bookmarkStart w:id="915" w:name="_Toc296891251"/>
      <w:bookmarkStart w:id="916" w:name="_Toc297216215"/>
      <w:bookmarkStart w:id="917" w:name="_Toc296891039"/>
      <w:bookmarkStart w:id="918" w:name="_Toc296503211"/>
      <w:bookmarkStart w:id="919" w:name="_Toc297120511"/>
      <w:bookmarkStart w:id="920" w:name="_Toc296346712"/>
      <w:bookmarkStart w:id="921" w:name="_Toc296944550"/>
      <w:bookmarkStart w:id="922" w:name="_Toc297048397"/>
      <w:bookmarkStart w:id="923" w:name="_Toc297123556"/>
      <w:bookmarkStart w:id="924" w:name="_Toc300935006"/>
      <w:r>
        <w:rPr>
          <w:rFonts w:hint="eastAsia" w:ascii="宋体" w:hAnsi="宋体" w:cs="宋体"/>
          <w:color w:val="auto"/>
          <w:sz w:val="22"/>
        </w:rPr>
        <w:t>12.4.1 付款周期</w:t>
      </w:r>
    </w:p>
    <w:p w14:paraId="1F52AD39">
      <w:pPr>
        <w:pStyle w:val="60"/>
        <w:spacing w:line="360" w:lineRule="exact"/>
        <w:ind w:firstLine="440" w:firstLineChars="200"/>
        <w:rPr>
          <w:rFonts w:hint="eastAsia" w:ascii="宋体" w:hAnsi="宋体" w:cs="宋体"/>
          <w:b/>
          <w:color w:val="auto"/>
          <w:sz w:val="22"/>
          <w:szCs w:val="22"/>
          <w:highlight w:val="none"/>
          <w:u w:val="single"/>
        </w:rPr>
      </w:pPr>
      <w:r>
        <w:rPr>
          <w:rFonts w:hint="eastAsia" w:ascii="宋体" w:hAnsi="宋体" w:cs="宋体"/>
          <w:color w:val="auto"/>
          <w:sz w:val="22"/>
          <w:szCs w:val="22"/>
        </w:rPr>
        <w:t>关于付款周期的</w:t>
      </w:r>
      <w:r>
        <w:rPr>
          <w:rFonts w:hint="eastAsia" w:ascii="宋体" w:hAnsi="宋体" w:cs="宋体"/>
          <w:color w:val="auto"/>
          <w:sz w:val="22"/>
          <w:szCs w:val="22"/>
          <w:highlight w:val="none"/>
        </w:rPr>
        <w:t>约定：</w:t>
      </w:r>
      <w:r>
        <w:rPr>
          <w:rFonts w:hint="eastAsia" w:ascii="宋体" w:hAnsi="宋体" w:cs="宋体"/>
          <w:b/>
          <w:color w:val="auto"/>
          <w:sz w:val="22"/>
          <w:szCs w:val="22"/>
          <w:highlight w:val="none"/>
          <w:u w:val="single"/>
        </w:rPr>
        <w:t>按每月</w:t>
      </w:r>
      <w:r>
        <w:rPr>
          <w:rFonts w:hint="eastAsia" w:ascii="宋体" w:hAnsi="宋体" w:cs="宋体"/>
          <w:b/>
          <w:color w:val="auto"/>
          <w:sz w:val="22"/>
          <w:szCs w:val="22"/>
          <w:highlight w:val="none"/>
          <w:u w:val="single"/>
          <w:lang w:val="en-US" w:eastAsia="zh-CN"/>
        </w:rPr>
        <w:t>20—</w:t>
      </w:r>
      <w:r>
        <w:rPr>
          <w:rFonts w:hint="eastAsia" w:ascii="宋体" w:hAnsi="宋体" w:cs="宋体"/>
          <w:b/>
          <w:color w:val="auto"/>
          <w:sz w:val="22"/>
          <w:szCs w:val="22"/>
          <w:highlight w:val="none"/>
          <w:u w:val="single"/>
        </w:rPr>
        <w:t>25日</w:t>
      </w:r>
      <w:r>
        <w:rPr>
          <w:rFonts w:hint="eastAsia" w:ascii="宋体" w:hAnsi="宋体" w:cs="宋体"/>
          <w:b/>
          <w:color w:val="auto"/>
          <w:sz w:val="22"/>
          <w:szCs w:val="22"/>
          <w:highlight w:val="none"/>
          <w:u w:val="single"/>
          <w:lang w:eastAsia="zh-CN"/>
        </w:rPr>
        <w:t>（</w:t>
      </w:r>
      <w:r>
        <w:rPr>
          <w:rFonts w:hint="eastAsia" w:ascii="宋体" w:hAnsi="宋体" w:cs="宋体"/>
          <w:b/>
          <w:color w:val="auto"/>
          <w:sz w:val="22"/>
          <w:szCs w:val="22"/>
          <w:highlight w:val="none"/>
          <w:u w:val="single"/>
          <w:lang w:val="en-US" w:eastAsia="zh-CN"/>
        </w:rPr>
        <w:t>逾期不提交的待下月同期再提交</w:t>
      </w:r>
      <w:r>
        <w:rPr>
          <w:rFonts w:hint="eastAsia" w:ascii="宋体" w:hAnsi="宋体" w:cs="宋体"/>
          <w:b/>
          <w:color w:val="auto"/>
          <w:sz w:val="22"/>
          <w:szCs w:val="22"/>
          <w:highlight w:val="none"/>
          <w:u w:val="single"/>
          <w:lang w:eastAsia="zh-CN"/>
        </w:rPr>
        <w:t>）</w:t>
      </w:r>
      <w:r>
        <w:rPr>
          <w:rFonts w:hint="eastAsia" w:ascii="宋体" w:hAnsi="宋体" w:cs="宋体"/>
          <w:b/>
          <w:color w:val="auto"/>
          <w:sz w:val="22"/>
          <w:szCs w:val="22"/>
          <w:highlight w:val="none"/>
          <w:u w:val="single"/>
        </w:rPr>
        <w:t>承包人应向发包人提交当月工程完成工程形象进度报表，同时在进度报表中附加农民工工资支付计划并提交上一期农民工工资支付情况表，经建设单位核实后，合同内按每月完成工程量的80%支付工程进度款；在工程竣工结算</w:t>
      </w:r>
      <w:r>
        <w:rPr>
          <w:rFonts w:hint="eastAsia" w:ascii="宋体" w:hAnsi="宋体" w:cs="宋体"/>
          <w:b/>
          <w:color w:val="auto"/>
          <w:sz w:val="22"/>
          <w:szCs w:val="22"/>
          <w:highlight w:val="none"/>
          <w:u w:val="single"/>
          <w:lang w:val="en-US" w:eastAsia="zh-CN"/>
        </w:rPr>
        <w:t>评审</w:t>
      </w:r>
      <w:r>
        <w:rPr>
          <w:rFonts w:hint="eastAsia" w:ascii="宋体" w:hAnsi="宋体" w:cs="宋体"/>
          <w:b/>
          <w:color w:val="auto"/>
          <w:sz w:val="22"/>
          <w:szCs w:val="22"/>
          <w:highlight w:val="none"/>
          <w:u w:val="single"/>
        </w:rPr>
        <w:t>后支付至工程款总额的97%，总额的3%作为质量保证金，质保金在缺陷责任期满后21个工作日内一次性无息付清。合同外工程款待工程竣工结算后一并支付</w:t>
      </w:r>
      <w:r>
        <w:rPr>
          <w:rFonts w:hint="eastAsia" w:ascii="宋体" w:hAnsi="宋体" w:cs="宋体"/>
          <w:b/>
          <w:color w:val="auto"/>
          <w:sz w:val="22"/>
          <w:szCs w:val="22"/>
          <w:highlight w:val="none"/>
          <w:u w:val="none"/>
        </w:rPr>
        <w:t>。</w:t>
      </w:r>
    </w:p>
    <w:p w14:paraId="49F303F4">
      <w:pPr>
        <w:pStyle w:val="60"/>
        <w:spacing w:line="360" w:lineRule="exact"/>
        <w:ind w:firstLine="442" w:firstLineChars="200"/>
        <w:rPr>
          <w:rFonts w:hint="default" w:ascii="宋体" w:hAnsi="宋体" w:eastAsia="宋体" w:cs="宋体"/>
          <w:b/>
          <w:color w:val="auto"/>
          <w:sz w:val="22"/>
          <w:szCs w:val="22"/>
          <w:highlight w:val="none"/>
          <w:u w:val="single"/>
          <w:lang w:val="en-US" w:eastAsia="zh-CN"/>
        </w:rPr>
      </w:pPr>
      <w:r>
        <w:rPr>
          <w:rFonts w:hint="eastAsia" w:ascii="宋体" w:hAnsi="宋体" w:cs="宋体"/>
          <w:b/>
          <w:color w:val="auto"/>
          <w:sz w:val="22"/>
          <w:szCs w:val="22"/>
          <w:highlight w:val="none"/>
          <w:u w:val="single"/>
          <w:lang w:val="en-US" w:eastAsia="zh-CN"/>
        </w:rPr>
        <w:t>港口区财政局拨付相关款项后7个工作日内完成支付。</w:t>
      </w:r>
    </w:p>
    <w:p w14:paraId="0B0074A3">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12.4.2 进度付款申请单的编制</w:t>
      </w:r>
    </w:p>
    <w:p w14:paraId="01568C3A">
      <w:pPr>
        <w:pStyle w:val="4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sz w:val="22"/>
        </w:rPr>
        <w:t>关于进度付款申请单编制的约定：</w:t>
      </w:r>
      <w:r>
        <w:rPr>
          <w:rFonts w:hint="eastAsia" w:ascii="宋体" w:hAnsi="宋体" w:cs="宋体"/>
          <w:color w:val="auto"/>
          <w:sz w:val="22"/>
          <w:u w:val="single"/>
        </w:rPr>
        <w:t>按</w:t>
      </w:r>
      <w:r>
        <w:rPr>
          <w:rFonts w:hint="eastAsia" w:ascii="宋体" w:hAnsi="宋体" w:cs="宋体"/>
          <w:color w:val="auto"/>
          <w:sz w:val="22"/>
          <w:u w:val="single"/>
          <w:lang w:eastAsia="zh-CN"/>
        </w:rPr>
        <w:t>通用合同条款</w:t>
      </w:r>
      <w:r>
        <w:rPr>
          <w:rFonts w:hint="eastAsia" w:ascii="宋体" w:hAnsi="宋体" w:cs="宋体"/>
          <w:color w:val="auto"/>
          <w:sz w:val="22"/>
          <w:u w:val="single"/>
        </w:rPr>
        <w:t xml:space="preserve">执行  </w:t>
      </w:r>
      <w:r>
        <w:rPr>
          <w:rFonts w:hint="eastAsia" w:ascii="宋体" w:hAnsi="宋体" w:cs="宋体"/>
          <w:color w:val="auto"/>
          <w:sz w:val="22"/>
        </w:rPr>
        <w:t>。</w:t>
      </w:r>
    </w:p>
    <w:p w14:paraId="176060FD">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1</w:t>
      </w:r>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r>
        <w:rPr>
          <w:rFonts w:hint="eastAsia" w:ascii="宋体" w:hAnsi="宋体" w:cs="宋体"/>
          <w:color w:val="auto"/>
          <w:sz w:val="22"/>
        </w:rPr>
        <w:t>2.4.3 进度付款申请单的提交</w:t>
      </w:r>
    </w:p>
    <w:p w14:paraId="7FD95553">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（1）单价合同进度付款申请单提交的约定：</w:t>
      </w:r>
      <w:r>
        <w:rPr>
          <w:rFonts w:hint="eastAsia" w:ascii="宋体" w:hAnsi="宋体" w:cs="宋体"/>
          <w:color w:val="auto"/>
          <w:sz w:val="22"/>
          <w:u w:val="single"/>
        </w:rPr>
        <w:t>按</w:t>
      </w:r>
      <w:r>
        <w:rPr>
          <w:rFonts w:hint="eastAsia" w:ascii="宋体" w:hAnsi="宋体" w:cs="宋体"/>
          <w:color w:val="auto"/>
          <w:sz w:val="22"/>
          <w:u w:val="single"/>
          <w:lang w:eastAsia="zh-CN"/>
        </w:rPr>
        <w:t>通用合同条款</w:t>
      </w:r>
      <w:r>
        <w:rPr>
          <w:rFonts w:hint="eastAsia" w:ascii="宋体" w:hAnsi="宋体" w:cs="宋体"/>
          <w:color w:val="auto"/>
          <w:sz w:val="22"/>
          <w:u w:val="single"/>
        </w:rPr>
        <w:t>执行</w:t>
      </w:r>
      <w:r>
        <w:rPr>
          <w:rFonts w:hint="eastAsia" w:ascii="宋体" w:hAnsi="宋体" w:cs="宋体"/>
          <w:bCs/>
          <w:color w:val="auto"/>
          <w:sz w:val="22"/>
          <w:u w:val="single"/>
        </w:rPr>
        <w:t xml:space="preserve"> </w:t>
      </w:r>
      <w:r>
        <w:rPr>
          <w:rFonts w:hint="eastAsia" w:ascii="宋体" w:hAnsi="宋体" w:cs="宋体"/>
          <w:color w:val="auto"/>
          <w:sz w:val="22"/>
        </w:rPr>
        <w:t>。</w:t>
      </w:r>
    </w:p>
    <w:p w14:paraId="1C643D24">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（2）总价合同进度付款申请单提交的约定：</w:t>
      </w:r>
      <w:r>
        <w:rPr>
          <w:rFonts w:hint="eastAsia" w:ascii="宋体" w:hAnsi="宋体" w:cs="宋体"/>
          <w:color w:val="auto"/>
          <w:sz w:val="22"/>
          <w:u w:val="single"/>
          <w:lang w:val="en-US" w:eastAsia="zh-CN"/>
        </w:rPr>
        <w:t xml:space="preserve"> </w:t>
      </w:r>
      <w:r>
        <w:rPr>
          <w:rFonts w:hint="eastAsia" w:ascii="宋体" w:hAnsi="宋体" w:cs="宋体"/>
          <w:color w:val="auto"/>
          <w:sz w:val="22"/>
          <w:u w:val="single"/>
        </w:rPr>
        <w:t>无</w:t>
      </w:r>
      <w:r>
        <w:rPr>
          <w:rFonts w:hint="eastAsia" w:ascii="宋体" w:hAnsi="宋体" w:cs="宋体"/>
          <w:color w:val="auto"/>
          <w:sz w:val="22"/>
          <w:u w:val="single"/>
          <w:lang w:val="en-US" w:eastAsia="zh-CN"/>
        </w:rPr>
        <w:t xml:space="preserve"> </w:t>
      </w:r>
      <w:r>
        <w:rPr>
          <w:rFonts w:hint="eastAsia" w:ascii="宋体" w:hAnsi="宋体" w:cs="宋体"/>
          <w:color w:val="auto"/>
          <w:sz w:val="22"/>
        </w:rPr>
        <w:t>。</w:t>
      </w:r>
    </w:p>
    <w:p w14:paraId="79C4BD8F">
      <w:pPr>
        <w:pStyle w:val="4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sz w:val="22"/>
        </w:rPr>
        <w:t>（3）其他价格形式合同进度付款申请单提交的约定：</w:t>
      </w:r>
      <w:r>
        <w:rPr>
          <w:rFonts w:hint="eastAsia" w:ascii="宋体" w:hAnsi="宋体" w:cs="宋体"/>
          <w:color w:val="auto"/>
          <w:sz w:val="22"/>
          <w:u w:val="single"/>
        </w:rPr>
        <w:t xml:space="preserve"> 无</w:t>
      </w:r>
      <w:r>
        <w:rPr>
          <w:rFonts w:hint="eastAsia" w:ascii="宋体" w:hAnsi="宋体" w:cs="宋体"/>
          <w:color w:val="auto"/>
          <w:sz w:val="22"/>
          <w:u w:val="single"/>
          <w:lang w:val="en-US" w:eastAsia="zh-CN"/>
        </w:rPr>
        <w:t xml:space="preserve"> </w:t>
      </w:r>
      <w:r>
        <w:rPr>
          <w:rFonts w:hint="eastAsia" w:ascii="宋体" w:hAnsi="宋体" w:cs="宋体"/>
          <w:color w:val="auto"/>
          <w:sz w:val="22"/>
        </w:rPr>
        <w:t>。</w:t>
      </w:r>
    </w:p>
    <w:p w14:paraId="13E9203B">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12.4.4 进度款审核和支付</w:t>
      </w:r>
    </w:p>
    <w:p w14:paraId="3D8B96C0">
      <w:pPr>
        <w:pStyle w:val="4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sz w:val="22"/>
        </w:rPr>
        <w:t>（1）监理人审查并报送发包人的期限：</w:t>
      </w:r>
      <w:r>
        <w:rPr>
          <w:rFonts w:hint="eastAsia" w:ascii="宋体" w:hAnsi="宋体" w:cs="宋体"/>
          <w:color w:val="auto"/>
          <w:sz w:val="22"/>
          <w:u w:val="single"/>
        </w:rPr>
        <w:t>按通用合同条款执行</w:t>
      </w:r>
      <w:r>
        <w:rPr>
          <w:rFonts w:hint="eastAsia" w:ascii="宋体" w:hAnsi="宋体" w:cs="宋体"/>
          <w:color w:val="auto"/>
          <w:sz w:val="22"/>
          <w:u w:val="single"/>
          <w:lang w:val="en-US" w:eastAsia="zh-CN"/>
        </w:rPr>
        <w:t xml:space="preserve"> </w:t>
      </w:r>
      <w:r>
        <w:rPr>
          <w:rFonts w:hint="eastAsia" w:ascii="宋体" w:hAnsi="宋体" w:cs="宋体"/>
          <w:color w:val="auto"/>
          <w:sz w:val="22"/>
        </w:rPr>
        <w:t>。</w:t>
      </w:r>
    </w:p>
    <w:p w14:paraId="758258BD">
      <w:pPr>
        <w:pStyle w:val="4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sz w:val="22"/>
        </w:rPr>
        <w:t>发包人完成审批并签发进度款支付证书的期限：</w:t>
      </w:r>
      <w:r>
        <w:rPr>
          <w:rFonts w:hint="eastAsia" w:ascii="宋体" w:hAnsi="宋体" w:cs="宋体"/>
          <w:color w:val="auto"/>
          <w:sz w:val="22"/>
          <w:u w:val="single"/>
          <w:lang w:val="en-US" w:eastAsia="zh-CN"/>
        </w:rPr>
        <w:t xml:space="preserve"> </w:t>
      </w:r>
      <w:r>
        <w:rPr>
          <w:rFonts w:hint="eastAsia" w:ascii="宋体" w:hAnsi="宋体" w:cs="宋体"/>
          <w:color w:val="auto"/>
          <w:sz w:val="22"/>
          <w:u w:val="single"/>
        </w:rPr>
        <w:t>按通用合同条款执行</w:t>
      </w:r>
      <w:r>
        <w:rPr>
          <w:rFonts w:hint="eastAsia" w:ascii="宋体" w:hAnsi="宋体" w:cs="宋体"/>
          <w:color w:val="auto"/>
          <w:sz w:val="22"/>
          <w:u w:val="single"/>
          <w:lang w:val="en-US" w:eastAsia="zh-CN"/>
        </w:rPr>
        <w:t xml:space="preserve"> </w:t>
      </w:r>
      <w:r>
        <w:rPr>
          <w:rFonts w:hint="eastAsia" w:ascii="宋体" w:hAnsi="宋体" w:cs="宋体"/>
          <w:color w:val="auto"/>
          <w:sz w:val="22"/>
        </w:rPr>
        <w:t>。</w:t>
      </w:r>
    </w:p>
    <w:p w14:paraId="0DA30D86">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（2）发包人支付进度款的期限：</w:t>
      </w:r>
      <w:r>
        <w:rPr>
          <w:rFonts w:hint="eastAsia" w:ascii="宋体" w:hAnsi="宋体" w:cs="宋体"/>
          <w:color w:val="auto"/>
          <w:sz w:val="22"/>
          <w:u w:val="single"/>
        </w:rPr>
        <w:t>按专用合同条款执行</w:t>
      </w:r>
      <w:r>
        <w:rPr>
          <w:rFonts w:hint="eastAsia" w:ascii="宋体" w:hAnsi="宋体" w:cs="宋体"/>
          <w:color w:val="auto"/>
          <w:sz w:val="22"/>
        </w:rPr>
        <w:t>。</w:t>
      </w:r>
    </w:p>
    <w:p w14:paraId="04F555BD">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发包人逾期支付进度款的违约金的计算方式：</w:t>
      </w:r>
      <w:r>
        <w:rPr>
          <w:rFonts w:hint="eastAsia" w:ascii="宋体" w:hAnsi="宋体" w:cs="宋体"/>
          <w:color w:val="auto"/>
          <w:sz w:val="22"/>
          <w:u w:val="single"/>
        </w:rPr>
        <w:t xml:space="preserve"> 无 </w:t>
      </w:r>
      <w:r>
        <w:rPr>
          <w:rFonts w:hint="eastAsia" w:ascii="宋体" w:hAnsi="宋体" w:cs="宋体"/>
          <w:color w:val="auto"/>
          <w:sz w:val="22"/>
        </w:rPr>
        <w:t>。</w:t>
      </w:r>
    </w:p>
    <w:p w14:paraId="136F4E42">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进度款支付方式：</w:t>
      </w:r>
      <w:r>
        <w:rPr>
          <w:rFonts w:hint="eastAsia" w:ascii="宋体" w:hAnsi="宋体" w:cs="宋体"/>
          <w:color w:val="auto"/>
          <w:sz w:val="22"/>
          <w:u w:val="single"/>
        </w:rPr>
        <w:t>银行转账</w:t>
      </w:r>
      <w:r>
        <w:rPr>
          <w:rFonts w:hint="eastAsia" w:ascii="宋体" w:hAnsi="宋体" w:cs="宋体"/>
          <w:color w:val="auto"/>
          <w:sz w:val="22"/>
        </w:rPr>
        <w:t>。</w:t>
      </w:r>
    </w:p>
    <w:p w14:paraId="408FD0A2">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12.4.6 支付分解表的编制</w:t>
      </w:r>
    </w:p>
    <w:p w14:paraId="1252A5A7">
      <w:pPr>
        <w:pStyle w:val="4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sz w:val="22"/>
        </w:rPr>
        <w:t>2. 总价合同支付分解表的编制与审批：</w:t>
      </w:r>
      <w:r>
        <w:rPr>
          <w:rFonts w:hint="eastAsia" w:ascii="宋体" w:hAnsi="宋体" w:cs="宋体"/>
          <w:color w:val="auto"/>
          <w:sz w:val="22"/>
          <w:u w:val="single"/>
          <w:lang w:val="en-US" w:eastAsia="zh-CN"/>
        </w:rPr>
        <w:t xml:space="preserve"> </w:t>
      </w:r>
      <w:r>
        <w:rPr>
          <w:rFonts w:hint="eastAsia" w:ascii="宋体" w:hAnsi="宋体" w:cs="宋体"/>
          <w:color w:val="auto"/>
          <w:sz w:val="22"/>
          <w:u w:val="single"/>
        </w:rPr>
        <w:t>无</w:t>
      </w:r>
      <w:r>
        <w:rPr>
          <w:rFonts w:hint="eastAsia" w:ascii="宋体" w:hAnsi="宋体" w:cs="宋体"/>
          <w:color w:val="auto"/>
          <w:sz w:val="22"/>
          <w:u w:val="single"/>
          <w:lang w:val="en-US" w:eastAsia="zh-CN"/>
        </w:rPr>
        <w:t xml:space="preserve"> </w:t>
      </w:r>
      <w:r>
        <w:rPr>
          <w:rFonts w:hint="eastAsia" w:ascii="宋体" w:hAnsi="宋体" w:cs="宋体"/>
          <w:color w:val="auto"/>
          <w:sz w:val="22"/>
        </w:rPr>
        <w:t>。</w:t>
      </w:r>
    </w:p>
    <w:p w14:paraId="69544591">
      <w:pPr>
        <w:pStyle w:val="4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sz w:val="22"/>
        </w:rPr>
        <w:t>3. 单价合同的总价项目支付分解表的编制与审批：总价项目不采用支付分解表的方式计算，而按《建设工程工程量清单计价规范（GB50500-2013）广西壮族自治区实施细则》的规定执行。</w:t>
      </w:r>
    </w:p>
    <w:bookmarkEnd w:id="674"/>
    <w:p w14:paraId="3F7828DB">
      <w:pPr>
        <w:pStyle w:val="70"/>
        <w:spacing w:before="0" w:after="0" w:line="360" w:lineRule="exact"/>
        <w:ind w:firstLine="442" w:firstLineChars="200"/>
        <w:rPr>
          <w:rFonts w:hint="eastAsia" w:ascii="宋体" w:hAnsi="宋体" w:cs="宋体"/>
          <w:color w:val="auto"/>
          <w:sz w:val="22"/>
          <w:szCs w:val="22"/>
        </w:rPr>
      </w:pPr>
      <w:bookmarkStart w:id="925" w:name="_Toc389065318"/>
      <w:bookmarkStart w:id="926" w:name="_Toc395382556"/>
      <w:bookmarkStart w:id="927" w:name="_Toc533432779"/>
      <w:bookmarkStart w:id="928" w:name="_Toc12975944"/>
      <w:bookmarkStart w:id="929" w:name="_Toc373478400"/>
      <w:bookmarkStart w:id="930" w:name="_Toc351203645"/>
      <w:bookmarkStart w:id="931" w:name="_Toc373227753"/>
      <w:bookmarkStart w:id="932" w:name="_Toc304295593"/>
      <w:bookmarkStart w:id="933" w:name="_Toc296346720"/>
      <w:bookmarkStart w:id="934" w:name="_Toc297048405"/>
      <w:bookmarkStart w:id="935" w:name="_Toc297216223"/>
      <w:bookmarkStart w:id="936" w:name="_Toc297123564"/>
      <w:bookmarkStart w:id="937" w:name="_Toc292559424"/>
      <w:bookmarkStart w:id="938" w:name="_Toc300935015"/>
      <w:bookmarkStart w:id="939" w:name="_Toc297120519"/>
      <w:bookmarkStart w:id="940" w:name="_Toc296944558"/>
      <w:bookmarkStart w:id="941" w:name="_Toc296891047"/>
      <w:bookmarkStart w:id="942" w:name="_Toc296347218"/>
      <w:bookmarkStart w:id="943" w:name="_Toc312678053"/>
      <w:bookmarkStart w:id="944" w:name="_Toc303539172"/>
      <w:bookmarkStart w:id="945" w:name="_Toc296503219"/>
      <w:bookmarkStart w:id="946" w:name="_Toc292559929"/>
      <w:bookmarkStart w:id="947" w:name="_Toc296891259"/>
      <w:r>
        <w:rPr>
          <w:rFonts w:hint="eastAsia" w:ascii="宋体" w:hAnsi="宋体" w:cs="宋体"/>
          <w:color w:val="auto"/>
          <w:sz w:val="22"/>
          <w:szCs w:val="22"/>
        </w:rPr>
        <w:t>13. 验收和工程试车</w:t>
      </w:r>
      <w:bookmarkEnd w:id="925"/>
      <w:bookmarkEnd w:id="926"/>
      <w:bookmarkEnd w:id="927"/>
      <w:bookmarkEnd w:id="928"/>
      <w:bookmarkEnd w:id="929"/>
      <w:bookmarkEnd w:id="930"/>
      <w:bookmarkEnd w:id="931"/>
    </w:p>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p w14:paraId="2D01CD06">
      <w:pPr>
        <w:pStyle w:val="39"/>
        <w:spacing w:line="360" w:lineRule="exact"/>
        <w:ind w:firstLine="442" w:firstLineChars="200"/>
        <w:rPr>
          <w:rFonts w:hint="eastAsia" w:ascii="宋体" w:hAnsi="宋体" w:cs="宋体"/>
          <w:color w:val="auto"/>
          <w:sz w:val="22"/>
          <w:szCs w:val="22"/>
        </w:rPr>
      </w:pPr>
      <w:bookmarkStart w:id="948" w:name="_Toc373227754"/>
      <w:bookmarkStart w:id="949" w:name="_Toc373478401"/>
      <w:bookmarkStart w:id="950" w:name="_Toc389065319"/>
      <w:bookmarkStart w:id="951" w:name="_Toc12975945"/>
      <w:bookmarkStart w:id="952" w:name="_Toc533432780"/>
      <w:bookmarkStart w:id="953" w:name="_Toc395382557"/>
      <w:r>
        <w:rPr>
          <w:rFonts w:hint="eastAsia" w:ascii="宋体" w:hAnsi="宋体" w:cs="宋体"/>
          <w:color w:val="auto"/>
          <w:sz w:val="22"/>
          <w:szCs w:val="22"/>
        </w:rPr>
        <w:t>13.1 分部分项工程验收</w:t>
      </w:r>
      <w:bookmarkEnd w:id="948"/>
      <w:bookmarkEnd w:id="949"/>
      <w:bookmarkEnd w:id="950"/>
      <w:bookmarkEnd w:id="951"/>
      <w:bookmarkEnd w:id="952"/>
      <w:bookmarkEnd w:id="953"/>
    </w:p>
    <w:p w14:paraId="5558717A">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13.1.2监理人不能按时进行验收时，应提前</w:t>
      </w:r>
      <w:r>
        <w:rPr>
          <w:rFonts w:hint="eastAsia" w:ascii="宋体" w:hAnsi="宋体" w:cs="宋体"/>
          <w:color w:val="auto"/>
          <w:sz w:val="22"/>
          <w:u w:val="single"/>
        </w:rPr>
        <w:t xml:space="preserve">  24 </w:t>
      </w:r>
      <w:r>
        <w:rPr>
          <w:rFonts w:hint="eastAsia" w:ascii="宋体" w:hAnsi="宋体" w:cs="宋体"/>
          <w:color w:val="auto"/>
          <w:sz w:val="22"/>
        </w:rPr>
        <w:t>小时提交书面延期要求。</w:t>
      </w:r>
    </w:p>
    <w:p w14:paraId="7C0E46B8">
      <w:pPr>
        <w:pStyle w:val="40"/>
        <w:spacing w:line="360" w:lineRule="exact"/>
        <w:ind w:firstLine="440" w:firstLineChars="200"/>
        <w:jc w:val="left"/>
        <w:rPr>
          <w:rFonts w:hint="eastAsia" w:ascii="宋体" w:hAnsi="宋体" w:cs="宋体"/>
          <w:b/>
          <w:color w:val="auto"/>
          <w:sz w:val="22"/>
        </w:rPr>
      </w:pPr>
      <w:r>
        <w:rPr>
          <w:rFonts w:hint="eastAsia" w:ascii="宋体" w:hAnsi="宋体" w:cs="宋体"/>
          <w:color w:val="auto"/>
          <w:sz w:val="22"/>
        </w:rPr>
        <w:t>关于延期最长不得超过：</w:t>
      </w:r>
      <w:r>
        <w:rPr>
          <w:rFonts w:hint="eastAsia" w:ascii="宋体" w:hAnsi="宋体" w:cs="宋体"/>
          <w:color w:val="auto"/>
          <w:sz w:val="22"/>
          <w:u w:val="single"/>
        </w:rPr>
        <w:t xml:space="preserve"> 48 </w:t>
      </w:r>
      <w:r>
        <w:rPr>
          <w:rFonts w:hint="eastAsia" w:ascii="宋体" w:hAnsi="宋体" w:cs="宋体"/>
          <w:color w:val="auto"/>
          <w:sz w:val="22"/>
        </w:rPr>
        <w:t>小时。</w:t>
      </w:r>
    </w:p>
    <w:p w14:paraId="7069B35A">
      <w:pPr>
        <w:pStyle w:val="39"/>
        <w:spacing w:line="360" w:lineRule="exact"/>
        <w:ind w:firstLine="442" w:firstLineChars="200"/>
        <w:rPr>
          <w:rFonts w:hint="eastAsia" w:ascii="宋体" w:hAnsi="宋体" w:cs="宋体"/>
          <w:color w:val="auto"/>
          <w:sz w:val="22"/>
          <w:szCs w:val="22"/>
        </w:rPr>
      </w:pPr>
      <w:bookmarkStart w:id="954" w:name="_Toc533432781"/>
      <w:bookmarkStart w:id="955" w:name="_Toc373478402"/>
      <w:bookmarkStart w:id="956" w:name="_Toc395382558"/>
      <w:bookmarkStart w:id="957" w:name="_Toc389065320"/>
      <w:bookmarkStart w:id="958" w:name="_Toc373227755"/>
      <w:bookmarkStart w:id="959" w:name="_Toc12975946"/>
      <w:bookmarkStart w:id="960" w:name="_Toc292559933"/>
      <w:bookmarkStart w:id="961" w:name="_Toc297120523"/>
      <w:bookmarkStart w:id="962" w:name="_Toc312678056"/>
      <w:bookmarkStart w:id="963" w:name="_Toc296944562"/>
      <w:bookmarkStart w:id="964" w:name="_Toc296891263"/>
      <w:bookmarkStart w:id="965" w:name="_Toc296503223"/>
      <w:bookmarkStart w:id="966" w:name="_Toc297216224"/>
      <w:bookmarkStart w:id="967" w:name="_Toc304295596"/>
      <w:bookmarkStart w:id="968" w:name="_Toc296891051"/>
      <w:bookmarkStart w:id="969" w:name="_Toc300935016"/>
      <w:bookmarkStart w:id="970" w:name="_Toc296347222"/>
      <w:bookmarkStart w:id="971" w:name="_Toc292559428"/>
      <w:bookmarkStart w:id="972" w:name="_Toc303539173"/>
      <w:bookmarkStart w:id="973" w:name="_Toc296346724"/>
      <w:bookmarkStart w:id="974" w:name="_Toc297048409"/>
      <w:bookmarkStart w:id="975" w:name="_Toc297123565"/>
      <w:bookmarkStart w:id="976" w:name="_Toc267251472"/>
      <w:bookmarkStart w:id="977" w:name="_Toc267251473"/>
      <w:bookmarkStart w:id="978" w:name="_Toc267251476"/>
      <w:bookmarkStart w:id="979" w:name="_Toc267251470"/>
      <w:bookmarkStart w:id="980" w:name="_Toc267251471"/>
      <w:bookmarkStart w:id="981" w:name="_Toc267251475"/>
      <w:bookmarkStart w:id="982" w:name="_Toc267251474"/>
      <w:r>
        <w:rPr>
          <w:rFonts w:hint="eastAsia" w:ascii="宋体" w:hAnsi="宋体" w:cs="宋体"/>
          <w:color w:val="auto"/>
          <w:sz w:val="22"/>
          <w:szCs w:val="22"/>
        </w:rPr>
        <w:t>13.2 竣工验收</w:t>
      </w:r>
      <w:bookmarkEnd w:id="954"/>
      <w:bookmarkEnd w:id="955"/>
      <w:bookmarkEnd w:id="956"/>
      <w:bookmarkEnd w:id="957"/>
      <w:bookmarkEnd w:id="958"/>
      <w:bookmarkEnd w:id="959"/>
    </w:p>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p w14:paraId="78F095EC">
      <w:pPr>
        <w:pStyle w:val="40"/>
        <w:spacing w:line="360" w:lineRule="exact"/>
        <w:ind w:firstLine="440" w:firstLineChars="200"/>
        <w:jc w:val="left"/>
        <w:rPr>
          <w:rFonts w:hint="eastAsia" w:ascii="宋体" w:hAnsi="宋体" w:cs="宋体"/>
          <w:color w:val="auto"/>
          <w:sz w:val="22"/>
        </w:rPr>
      </w:pPr>
      <w:bookmarkStart w:id="983" w:name="_Toc280868704"/>
      <w:bookmarkStart w:id="984" w:name="_Toc280868705"/>
      <w:bookmarkStart w:id="985" w:name="_Toc280868706"/>
      <w:bookmarkStart w:id="986" w:name="_Toc280868707"/>
      <w:bookmarkStart w:id="987" w:name="_Toc280868708"/>
      <w:bookmarkStart w:id="988" w:name="_Toc280868709"/>
      <w:r>
        <w:rPr>
          <w:rFonts w:hint="eastAsia" w:ascii="宋体" w:hAnsi="宋体" w:cs="宋体"/>
          <w:color w:val="auto"/>
          <w:sz w:val="22"/>
        </w:rPr>
        <w:t>13.2.1竣工验收条件</w:t>
      </w:r>
    </w:p>
    <w:p w14:paraId="7A379C45">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（3）承包人负责整理和提交的竣工验收资料应当符合工程所在地建设行政主管部门和</w:t>
      </w:r>
      <w:r>
        <w:rPr>
          <w:rFonts w:hint="eastAsia" w:ascii="宋体" w:hAnsi="宋体" w:cs="宋体"/>
          <w:color w:val="auto"/>
          <w:sz w:val="22"/>
          <w:szCs w:val="22"/>
          <w:lang w:eastAsia="zh-CN"/>
        </w:rPr>
        <w:t>（</w:t>
      </w:r>
      <w:r>
        <w:rPr>
          <w:rFonts w:hint="eastAsia" w:ascii="宋体" w:hAnsi="宋体" w:cs="宋体"/>
          <w:color w:val="auto"/>
          <w:sz w:val="22"/>
          <w:szCs w:val="22"/>
        </w:rPr>
        <w:t>或</w:t>
      </w:r>
      <w:r>
        <w:rPr>
          <w:rFonts w:hint="eastAsia" w:ascii="宋体" w:hAnsi="宋体" w:cs="宋体"/>
          <w:color w:val="auto"/>
          <w:sz w:val="22"/>
          <w:szCs w:val="22"/>
          <w:lang w:eastAsia="zh-CN"/>
        </w:rPr>
        <w:t>）</w:t>
      </w:r>
      <w:r>
        <w:rPr>
          <w:rFonts w:hint="eastAsia" w:ascii="宋体" w:hAnsi="宋体" w:cs="宋体"/>
          <w:color w:val="auto"/>
          <w:sz w:val="22"/>
          <w:szCs w:val="22"/>
        </w:rPr>
        <w:t>城市建设档案管理机构有关施工资料的要求，具体内容包括：</w:t>
      </w:r>
      <w:r>
        <w:rPr>
          <w:rFonts w:hint="eastAsia" w:ascii="宋体" w:hAnsi="宋体" w:cs="宋体"/>
          <w:color w:val="auto"/>
          <w:sz w:val="22"/>
          <w:szCs w:val="22"/>
          <w:u w:val="single"/>
        </w:rPr>
        <w:t xml:space="preserve"> </w:t>
      </w:r>
      <w:r>
        <w:rPr>
          <w:rFonts w:hint="eastAsia" w:ascii="宋体" w:hAnsi="宋体" w:cs="宋体"/>
          <w:bCs/>
          <w:color w:val="auto"/>
          <w:sz w:val="22"/>
          <w:szCs w:val="22"/>
          <w:u w:val="single"/>
        </w:rPr>
        <w:t>（1）竣工资料（含竣工图，竣工图编制费已含在签约合同价中）移交时间：工程竣工验收合格后30天内。（2）承包人应协助发包人办理城建档案馆手续，与城建档案馆手续未办理完成，视为承包人的合同义务未履行完毕</w:t>
      </w:r>
      <w:r>
        <w:rPr>
          <w:rFonts w:hint="eastAsia" w:ascii="宋体" w:hAnsi="宋体" w:cs="宋体"/>
          <w:color w:val="auto"/>
          <w:sz w:val="22"/>
          <w:szCs w:val="22"/>
          <w:u w:val="single"/>
        </w:rPr>
        <w:t xml:space="preserve"> </w:t>
      </w:r>
      <w:r>
        <w:rPr>
          <w:rFonts w:hint="eastAsia" w:ascii="宋体" w:hAnsi="宋体" w:cs="宋体"/>
          <w:color w:val="auto"/>
          <w:sz w:val="22"/>
          <w:szCs w:val="22"/>
        </w:rPr>
        <w:t>。</w:t>
      </w:r>
    </w:p>
    <w:p w14:paraId="4EFFB2D5">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竣工验收资料的份数：</w:t>
      </w:r>
      <w:r>
        <w:rPr>
          <w:rFonts w:hint="eastAsia" w:ascii="宋体" w:hAnsi="宋体" w:cs="宋体"/>
          <w:color w:val="auto"/>
          <w:sz w:val="22"/>
          <w:u w:val="single"/>
        </w:rPr>
        <w:t xml:space="preserve"> </w:t>
      </w:r>
      <w:r>
        <w:rPr>
          <w:rFonts w:hint="eastAsia" w:ascii="宋体" w:hAnsi="宋体" w:cs="宋体"/>
          <w:color w:val="auto"/>
          <w:sz w:val="22"/>
          <w:u w:val="single"/>
          <w:lang w:val="en-US" w:eastAsia="zh-CN"/>
        </w:rPr>
        <w:t>4</w:t>
      </w:r>
      <w:r>
        <w:rPr>
          <w:rFonts w:hint="eastAsia" w:ascii="宋体" w:hAnsi="宋体" w:cs="宋体"/>
          <w:color w:val="auto"/>
          <w:sz w:val="22"/>
          <w:u w:val="single"/>
        </w:rPr>
        <w:t xml:space="preserve">套及满足相关要求 </w:t>
      </w:r>
      <w:r>
        <w:rPr>
          <w:rFonts w:hint="eastAsia" w:ascii="宋体" w:hAnsi="宋体" w:cs="宋体"/>
          <w:color w:val="auto"/>
          <w:sz w:val="22"/>
        </w:rPr>
        <w:t>。</w:t>
      </w:r>
    </w:p>
    <w:p w14:paraId="15E5BB3C">
      <w:pPr>
        <w:pStyle w:val="40"/>
        <w:spacing w:line="360" w:lineRule="exact"/>
        <w:ind w:firstLine="440" w:firstLineChars="200"/>
        <w:jc w:val="left"/>
        <w:rPr>
          <w:rFonts w:hint="eastAsia" w:ascii="宋体" w:hAnsi="宋体" w:cs="宋体"/>
          <w:color w:val="auto"/>
          <w:sz w:val="22"/>
        </w:rPr>
      </w:pPr>
      <w:r>
        <w:rPr>
          <w:rFonts w:hint="eastAsia" w:ascii="宋体" w:hAnsi="宋体" w:cs="宋体"/>
          <w:bCs/>
          <w:color w:val="auto"/>
          <w:sz w:val="22"/>
        </w:rPr>
        <w:t>承包人提供竣工图的约定：</w:t>
      </w:r>
      <w:r>
        <w:rPr>
          <w:rFonts w:hint="eastAsia" w:ascii="宋体" w:hAnsi="宋体" w:cs="宋体"/>
          <w:bCs/>
          <w:color w:val="auto"/>
          <w:sz w:val="22"/>
          <w:u w:val="single"/>
        </w:rPr>
        <w:t>竣工验收正式通过后5天（工程造价在500万元以下含500万元）、10天（工程造价在500万元至1000万元之间含1000万元）、15天（工程造价在1000万元以上），提供竣工图的数量分别为2套、4套、6套。</w:t>
      </w:r>
    </w:p>
    <w:p w14:paraId="009978A9">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13.2.2竣工验收程序</w:t>
      </w:r>
    </w:p>
    <w:bookmarkEnd w:id="983"/>
    <w:p w14:paraId="13C3C52E">
      <w:pPr>
        <w:pStyle w:val="40"/>
        <w:spacing w:line="36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kern w:val="0"/>
          <w:sz w:val="22"/>
        </w:rPr>
        <w:t>关于竣工验收程序的约定：</w:t>
      </w:r>
      <w:r>
        <w:rPr>
          <w:rFonts w:hint="eastAsia" w:ascii="宋体" w:hAnsi="宋体" w:cs="宋体"/>
          <w:color w:val="auto"/>
          <w:sz w:val="22"/>
          <w:u w:val="single"/>
        </w:rPr>
        <w:t>竣工验收正式通过后30天，提供竣工图的数量为6套及满足当地档案</w:t>
      </w:r>
      <w:r>
        <w:rPr>
          <w:rFonts w:hint="eastAsia" w:ascii="宋体" w:hAnsi="宋体" w:cs="宋体"/>
          <w:color w:val="auto"/>
          <w:sz w:val="22"/>
          <w:highlight w:val="none"/>
          <w:u w:val="single"/>
        </w:rPr>
        <w:t>要求</w:t>
      </w:r>
      <w:r>
        <w:rPr>
          <w:rFonts w:hint="eastAsia" w:ascii="宋体" w:hAnsi="宋体" w:cs="宋体"/>
          <w:color w:val="auto"/>
          <w:sz w:val="22"/>
          <w:highlight w:val="none"/>
          <w:u w:val="single"/>
          <w:lang w:eastAsia="zh-CN"/>
        </w:rPr>
        <w:t>（</w:t>
      </w:r>
      <w:r>
        <w:rPr>
          <w:rFonts w:hint="eastAsia" w:ascii="宋体" w:hAnsi="宋体" w:cs="宋体"/>
          <w:color w:val="auto"/>
          <w:sz w:val="22"/>
          <w:highlight w:val="none"/>
          <w:u w:val="single"/>
          <w:lang w:val="en-US" w:eastAsia="zh-CN"/>
        </w:rPr>
        <w:t>同时提供相应的电子扫描版</w:t>
      </w:r>
      <w:r>
        <w:rPr>
          <w:rFonts w:hint="eastAsia" w:ascii="宋体" w:hAnsi="宋体" w:cs="宋体"/>
          <w:color w:val="auto"/>
          <w:sz w:val="22"/>
          <w:highlight w:val="none"/>
          <w:u w:val="single"/>
          <w:lang w:eastAsia="zh-CN"/>
        </w:rPr>
        <w:t>）</w:t>
      </w:r>
      <w:r>
        <w:rPr>
          <w:rFonts w:hint="eastAsia" w:ascii="宋体" w:hAnsi="宋体" w:cs="宋体"/>
          <w:color w:val="auto"/>
          <w:sz w:val="22"/>
          <w:highlight w:val="none"/>
        </w:rPr>
        <w:t>。</w:t>
      </w:r>
    </w:p>
    <w:p w14:paraId="5C104AAF">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kern w:val="0"/>
          <w:sz w:val="22"/>
        </w:rPr>
        <w:t>发包人不按照本项约定组织竣工验收、颁发工程接收证书的违约金的计算方法：</w:t>
      </w:r>
      <w:r>
        <w:rPr>
          <w:rFonts w:hint="eastAsia" w:ascii="宋体" w:hAnsi="宋体" w:cs="宋体"/>
          <w:color w:val="auto"/>
          <w:sz w:val="22"/>
          <w:u w:val="single"/>
        </w:rPr>
        <w:t>无</w:t>
      </w:r>
      <w:r>
        <w:rPr>
          <w:rFonts w:hint="eastAsia" w:ascii="宋体" w:hAnsi="宋体" w:cs="宋体"/>
          <w:color w:val="auto"/>
          <w:sz w:val="22"/>
        </w:rPr>
        <w:t>。</w:t>
      </w:r>
    </w:p>
    <w:bookmarkEnd w:id="984"/>
    <w:p w14:paraId="767EF14C">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13.2.5移交、接收全部与部分工程</w:t>
      </w:r>
    </w:p>
    <w:bookmarkEnd w:id="985"/>
    <w:p w14:paraId="6567E224">
      <w:pPr>
        <w:pStyle w:val="4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kern w:val="0"/>
          <w:sz w:val="22"/>
        </w:rPr>
        <w:t>承包人向发包人移交工程的期限：</w:t>
      </w:r>
      <w:r>
        <w:rPr>
          <w:rFonts w:hint="eastAsia" w:ascii="宋体" w:hAnsi="宋体" w:cs="宋体"/>
          <w:color w:val="auto"/>
          <w:sz w:val="22"/>
          <w:u w:val="single"/>
        </w:rPr>
        <w:t xml:space="preserve">  按通用合同条款执行。</w:t>
      </w:r>
    </w:p>
    <w:p w14:paraId="1861D2DC">
      <w:pPr>
        <w:pStyle w:val="4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kern w:val="0"/>
          <w:sz w:val="22"/>
        </w:rPr>
        <w:t>发包人未按本合同约定接收全部或部分工程的，违约金的计算方法为：</w:t>
      </w:r>
      <w:r>
        <w:rPr>
          <w:rFonts w:hint="eastAsia" w:ascii="宋体" w:hAnsi="宋体" w:cs="宋体"/>
          <w:color w:val="auto"/>
          <w:sz w:val="22"/>
          <w:u w:val="single"/>
        </w:rPr>
        <w:t>无</w:t>
      </w:r>
      <w:r>
        <w:rPr>
          <w:rFonts w:hint="eastAsia" w:ascii="宋体" w:hAnsi="宋体" w:cs="宋体"/>
          <w:color w:val="auto"/>
          <w:sz w:val="22"/>
        </w:rPr>
        <w:t>。</w:t>
      </w:r>
    </w:p>
    <w:bookmarkEnd w:id="986"/>
    <w:p w14:paraId="2DE338B2">
      <w:pPr>
        <w:pStyle w:val="4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sz w:val="22"/>
        </w:rPr>
        <w:t>承包人未按时移交工程的，违约金的计算方法为：</w:t>
      </w:r>
      <w:r>
        <w:rPr>
          <w:rFonts w:hint="eastAsia" w:ascii="宋体" w:hAnsi="宋体" w:cs="宋体"/>
          <w:color w:val="auto"/>
          <w:sz w:val="22"/>
          <w:u w:val="single"/>
        </w:rPr>
        <w:t xml:space="preserve"> 按通用合同条款执行 </w:t>
      </w:r>
      <w:r>
        <w:rPr>
          <w:rFonts w:hint="eastAsia" w:ascii="宋体" w:hAnsi="宋体" w:cs="宋体"/>
          <w:color w:val="auto"/>
          <w:sz w:val="22"/>
        </w:rPr>
        <w:t>。</w:t>
      </w:r>
    </w:p>
    <w:p w14:paraId="2856060A">
      <w:pPr>
        <w:pStyle w:val="39"/>
        <w:spacing w:line="360" w:lineRule="exact"/>
        <w:ind w:firstLine="442" w:firstLineChars="200"/>
        <w:rPr>
          <w:rFonts w:hint="eastAsia" w:ascii="宋体" w:hAnsi="宋体" w:cs="宋体"/>
          <w:color w:val="auto"/>
          <w:sz w:val="22"/>
          <w:szCs w:val="22"/>
        </w:rPr>
      </w:pPr>
      <w:bookmarkStart w:id="989" w:name="_Toc373478403"/>
      <w:bookmarkStart w:id="990" w:name="_Toc395382559"/>
      <w:bookmarkStart w:id="991" w:name="_Toc373227756"/>
      <w:bookmarkStart w:id="992" w:name="_Toc12975947"/>
      <w:bookmarkStart w:id="993" w:name="_Toc389065321"/>
      <w:bookmarkStart w:id="994" w:name="_Toc533432782"/>
      <w:r>
        <w:rPr>
          <w:rFonts w:hint="eastAsia" w:ascii="宋体" w:hAnsi="宋体" w:cs="宋体"/>
          <w:color w:val="auto"/>
          <w:sz w:val="22"/>
          <w:szCs w:val="22"/>
        </w:rPr>
        <w:t>13.3 工程试车</w:t>
      </w:r>
      <w:bookmarkEnd w:id="989"/>
      <w:bookmarkEnd w:id="990"/>
      <w:bookmarkEnd w:id="991"/>
      <w:bookmarkEnd w:id="992"/>
      <w:bookmarkEnd w:id="993"/>
      <w:bookmarkEnd w:id="994"/>
    </w:p>
    <w:bookmarkEnd w:id="987"/>
    <w:p w14:paraId="02BD1B14">
      <w:pPr>
        <w:pStyle w:val="4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kern w:val="0"/>
          <w:sz w:val="22"/>
        </w:rPr>
        <w:t>13.3.1 试车程序</w:t>
      </w:r>
    </w:p>
    <w:p w14:paraId="1A461371">
      <w:pPr>
        <w:pStyle w:val="4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kern w:val="0"/>
          <w:sz w:val="22"/>
        </w:rPr>
        <w:t>工程试车内容：</w:t>
      </w:r>
      <w:r>
        <w:rPr>
          <w:rFonts w:hint="eastAsia" w:ascii="宋体" w:hAnsi="宋体" w:cs="宋体"/>
          <w:color w:val="auto"/>
          <w:sz w:val="22"/>
          <w:u w:val="single"/>
        </w:rPr>
        <w:t xml:space="preserve"> 无</w:t>
      </w:r>
      <w:r>
        <w:rPr>
          <w:rFonts w:hint="eastAsia" w:ascii="宋体" w:hAnsi="宋体" w:cs="宋体"/>
          <w:color w:val="auto"/>
          <w:sz w:val="22"/>
          <w:u w:val="single"/>
          <w:lang w:val="en-US" w:eastAsia="zh-CN"/>
        </w:rPr>
        <w:t xml:space="preserve"> </w:t>
      </w:r>
      <w:r>
        <w:rPr>
          <w:rFonts w:hint="eastAsia" w:ascii="宋体" w:hAnsi="宋体" w:cs="宋体"/>
          <w:color w:val="auto"/>
          <w:sz w:val="22"/>
        </w:rPr>
        <w:t>。</w:t>
      </w:r>
    </w:p>
    <w:p w14:paraId="7E1E04FA">
      <w:pPr>
        <w:pStyle w:val="4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kern w:val="0"/>
          <w:sz w:val="22"/>
        </w:rPr>
        <w:t>（1）单机无负荷试车费用由</w:t>
      </w:r>
      <w:r>
        <w:rPr>
          <w:rFonts w:hint="eastAsia" w:ascii="宋体" w:hAnsi="宋体" w:cs="宋体"/>
          <w:color w:val="auto"/>
          <w:sz w:val="22"/>
          <w:u w:val="single"/>
        </w:rPr>
        <w:t xml:space="preserve"> 无</w:t>
      </w:r>
      <w:r>
        <w:rPr>
          <w:rFonts w:hint="eastAsia" w:ascii="宋体" w:hAnsi="宋体" w:cs="宋体"/>
          <w:color w:val="auto"/>
          <w:sz w:val="22"/>
          <w:u w:val="single"/>
          <w:lang w:val="en-US" w:eastAsia="zh-CN"/>
        </w:rPr>
        <w:t xml:space="preserve"> </w:t>
      </w:r>
      <w:r>
        <w:rPr>
          <w:rFonts w:hint="eastAsia" w:ascii="宋体" w:hAnsi="宋体" w:cs="宋体"/>
          <w:color w:val="auto"/>
          <w:kern w:val="0"/>
          <w:sz w:val="22"/>
        </w:rPr>
        <w:t>承担；</w:t>
      </w:r>
    </w:p>
    <w:p w14:paraId="09D1179A">
      <w:pPr>
        <w:pStyle w:val="4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kern w:val="0"/>
          <w:sz w:val="22"/>
        </w:rPr>
        <w:t>（2）无负荷联动试车费用由</w:t>
      </w:r>
      <w:r>
        <w:rPr>
          <w:rFonts w:hint="eastAsia" w:ascii="宋体" w:hAnsi="宋体" w:cs="宋体"/>
          <w:color w:val="auto"/>
          <w:sz w:val="22"/>
          <w:u w:val="single"/>
        </w:rPr>
        <w:t xml:space="preserve"> 无</w:t>
      </w:r>
      <w:r>
        <w:rPr>
          <w:rFonts w:hint="eastAsia" w:ascii="宋体" w:hAnsi="宋体" w:cs="宋体"/>
          <w:color w:val="auto"/>
          <w:sz w:val="22"/>
          <w:u w:val="single"/>
          <w:lang w:val="en-US" w:eastAsia="zh-CN"/>
        </w:rPr>
        <w:t xml:space="preserve"> </w:t>
      </w:r>
      <w:r>
        <w:rPr>
          <w:rFonts w:hint="eastAsia" w:ascii="宋体" w:hAnsi="宋体" w:cs="宋体"/>
          <w:color w:val="auto"/>
          <w:kern w:val="0"/>
          <w:sz w:val="22"/>
        </w:rPr>
        <w:t>承担。</w:t>
      </w:r>
    </w:p>
    <w:p w14:paraId="0390F3BD">
      <w:pPr>
        <w:pStyle w:val="4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kern w:val="0"/>
          <w:sz w:val="22"/>
        </w:rPr>
        <w:t>13.3.3 投料试车</w:t>
      </w:r>
    </w:p>
    <w:p w14:paraId="56AAFD54">
      <w:pPr>
        <w:pStyle w:val="4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kern w:val="0"/>
          <w:sz w:val="22"/>
        </w:rPr>
        <w:t>关于投料试车相关事项的约定：</w:t>
      </w:r>
      <w:r>
        <w:rPr>
          <w:rFonts w:hint="eastAsia" w:ascii="宋体" w:hAnsi="宋体" w:cs="宋体"/>
          <w:color w:val="auto"/>
          <w:sz w:val="22"/>
          <w:u w:val="single"/>
        </w:rPr>
        <w:t xml:space="preserve"> 无</w:t>
      </w:r>
      <w:r>
        <w:rPr>
          <w:rFonts w:hint="eastAsia" w:ascii="宋体" w:hAnsi="宋体" w:cs="宋体"/>
          <w:color w:val="auto"/>
          <w:sz w:val="22"/>
          <w:u w:val="single"/>
          <w:lang w:val="en-US" w:eastAsia="zh-CN"/>
        </w:rPr>
        <w:t xml:space="preserve"> </w:t>
      </w:r>
      <w:r>
        <w:rPr>
          <w:rFonts w:hint="eastAsia" w:ascii="宋体" w:hAnsi="宋体" w:cs="宋体"/>
          <w:color w:val="auto"/>
          <w:sz w:val="22"/>
        </w:rPr>
        <w:t>。</w:t>
      </w:r>
    </w:p>
    <w:p w14:paraId="50ADF9E6">
      <w:pPr>
        <w:pStyle w:val="39"/>
        <w:spacing w:line="360" w:lineRule="exact"/>
        <w:ind w:firstLine="442" w:firstLineChars="200"/>
        <w:rPr>
          <w:rFonts w:hint="eastAsia" w:ascii="宋体" w:hAnsi="宋体" w:cs="宋体"/>
          <w:color w:val="auto"/>
          <w:sz w:val="22"/>
          <w:szCs w:val="22"/>
        </w:rPr>
      </w:pPr>
      <w:bookmarkStart w:id="995" w:name="_Toc373478404"/>
      <w:bookmarkStart w:id="996" w:name="_Toc395382560"/>
      <w:bookmarkStart w:id="997" w:name="_Toc373227757"/>
      <w:bookmarkStart w:id="998" w:name="_Toc533432783"/>
      <w:bookmarkStart w:id="999" w:name="_Toc12975948"/>
      <w:bookmarkStart w:id="1000" w:name="_Toc389065322"/>
      <w:r>
        <w:rPr>
          <w:rFonts w:hint="eastAsia" w:ascii="宋体" w:hAnsi="宋体" w:cs="宋体"/>
          <w:color w:val="auto"/>
          <w:sz w:val="22"/>
          <w:szCs w:val="22"/>
        </w:rPr>
        <w:t>13.6 竣工退场</w:t>
      </w:r>
      <w:bookmarkEnd w:id="995"/>
      <w:bookmarkEnd w:id="996"/>
      <w:bookmarkEnd w:id="997"/>
      <w:bookmarkEnd w:id="998"/>
      <w:bookmarkEnd w:id="999"/>
      <w:bookmarkEnd w:id="1000"/>
    </w:p>
    <w:p w14:paraId="23FF6938">
      <w:pPr>
        <w:pStyle w:val="4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kern w:val="0"/>
          <w:sz w:val="22"/>
        </w:rPr>
        <w:t>13.6.1 竣工退场</w:t>
      </w:r>
    </w:p>
    <w:p w14:paraId="027BE40F">
      <w:pPr>
        <w:pStyle w:val="4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kern w:val="0"/>
          <w:sz w:val="22"/>
        </w:rPr>
        <w:t>承包人完成竣工退场的期限：</w:t>
      </w:r>
      <w:r>
        <w:rPr>
          <w:rFonts w:hint="eastAsia" w:ascii="宋体" w:hAnsi="宋体" w:cs="宋体"/>
          <w:color w:val="auto"/>
          <w:sz w:val="22"/>
          <w:u w:val="single"/>
        </w:rPr>
        <w:t xml:space="preserve"> 竣工验收合格后28天或收到解除合同通知后7天内</w:t>
      </w:r>
      <w:r>
        <w:rPr>
          <w:rFonts w:hint="eastAsia" w:ascii="宋体" w:hAnsi="宋体" w:cs="宋体"/>
          <w:color w:val="auto"/>
          <w:kern w:val="0"/>
          <w:sz w:val="22"/>
        </w:rPr>
        <w:t>。</w:t>
      </w:r>
    </w:p>
    <w:p w14:paraId="587CC4CF">
      <w:pPr>
        <w:pStyle w:val="70"/>
        <w:spacing w:before="0" w:after="0" w:line="360" w:lineRule="exact"/>
        <w:ind w:firstLine="442" w:firstLineChars="200"/>
        <w:rPr>
          <w:rFonts w:hint="eastAsia" w:ascii="宋体" w:hAnsi="宋体" w:cs="宋体"/>
          <w:color w:val="auto"/>
          <w:sz w:val="22"/>
          <w:szCs w:val="22"/>
        </w:rPr>
      </w:pPr>
      <w:bookmarkStart w:id="1001" w:name="_Toc351203646"/>
      <w:bookmarkStart w:id="1002" w:name="_Toc373227758"/>
      <w:bookmarkStart w:id="1003" w:name="_Toc12975949"/>
      <w:bookmarkStart w:id="1004" w:name="_Toc533432784"/>
      <w:bookmarkStart w:id="1005" w:name="_Toc395382561"/>
      <w:bookmarkStart w:id="1006" w:name="_Toc389065323"/>
      <w:bookmarkStart w:id="1007" w:name="_Toc373478405"/>
      <w:r>
        <w:rPr>
          <w:rFonts w:hint="eastAsia" w:ascii="宋体" w:hAnsi="宋体" w:cs="宋体"/>
          <w:color w:val="auto"/>
          <w:sz w:val="22"/>
          <w:szCs w:val="22"/>
        </w:rPr>
        <w:t>14. 竣工结算</w:t>
      </w:r>
      <w:bookmarkEnd w:id="1001"/>
      <w:bookmarkEnd w:id="1002"/>
      <w:bookmarkEnd w:id="1003"/>
      <w:bookmarkEnd w:id="1004"/>
      <w:bookmarkEnd w:id="1005"/>
      <w:bookmarkEnd w:id="1006"/>
      <w:bookmarkEnd w:id="1007"/>
    </w:p>
    <w:p w14:paraId="47DA83C6">
      <w:pPr>
        <w:pStyle w:val="39"/>
        <w:spacing w:line="360" w:lineRule="exact"/>
        <w:ind w:firstLine="442" w:firstLineChars="200"/>
        <w:rPr>
          <w:rFonts w:hint="eastAsia" w:ascii="宋体" w:hAnsi="宋体" w:cs="宋体"/>
          <w:color w:val="auto"/>
          <w:sz w:val="22"/>
          <w:szCs w:val="22"/>
        </w:rPr>
      </w:pPr>
      <w:bookmarkStart w:id="1008" w:name="_Toc395382562"/>
      <w:bookmarkStart w:id="1009" w:name="_Toc533432785"/>
      <w:bookmarkStart w:id="1010" w:name="_Toc389065324"/>
      <w:bookmarkStart w:id="1011" w:name="_Toc373478406"/>
      <w:bookmarkStart w:id="1012" w:name="_Toc373227759"/>
      <w:bookmarkStart w:id="1013" w:name="_Toc12975950"/>
      <w:r>
        <w:rPr>
          <w:rFonts w:hint="eastAsia" w:ascii="宋体" w:hAnsi="宋体" w:cs="宋体"/>
          <w:color w:val="auto"/>
          <w:sz w:val="22"/>
          <w:szCs w:val="22"/>
        </w:rPr>
        <w:t>14.1 竣工付款申请</w:t>
      </w:r>
      <w:bookmarkEnd w:id="1008"/>
      <w:bookmarkEnd w:id="1009"/>
      <w:bookmarkEnd w:id="1010"/>
      <w:bookmarkEnd w:id="1011"/>
      <w:bookmarkEnd w:id="1012"/>
      <w:bookmarkEnd w:id="1013"/>
    </w:p>
    <w:p w14:paraId="7AFE3126">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承包人提交竣工付款申请单的期限：</w:t>
      </w:r>
      <w:r>
        <w:rPr>
          <w:rFonts w:hint="eastAsia" w:ascii="宋体" w:hAnsi="宋体" w:cs="宋体"/>
          <w:color w:val="auto"/>
          <w:sz w:val="22"/>
          <w:u w:val="single"/>
        </w:rPr>
        <w:t>按通用合同条款执行</w:t>
      </w:r>
      <w:r>
        <w:rPr>
          <w:rFonts w:hint="eastAsia" w:ascii="宋体" w:hAnsi="宋体" w:cs="宋体"/>
          <w:color w:val="auto"/>
          <w:sz w:val="22"/>
        </w:rPr>
        <w:t>。</w:t>
      </w:r>
    </w:p>
    <w:p w14:paraId="3B015581">
      <w:pPr>
        <w:pStyle w:val="40"/>
        <w:spacing w:line="360" w:lineRule="exact"/>
        <w:ind w:firstLine="440" w:firstLineChars="200"/>
        <w:jc w:val="left"/>
        <w:rPr>
          <w:rFonts w:hint="eastAsia" w:ascii="宋体" w:hAnsi="宋体" w:cs="宋体"/>
          <w:b/>
          <w:color w:val="auto"/>
          <w:sz w:val="22"/>
          <w:szCs w:val="22"/>
        </w:rPr>
      </w:pPr>
      <w:r>
        <w:rPr>
          <w:rFonts w:hint="eastAsia" w:ascii="宋体" w:hAnsi="宋体" w:cs="宋体"/>
          <w:color w:val="auto"/>
          <w:sz w:val="22"/>
        </w:rPr>
        <w:t>竣工付款申请单应包括的内容：</w:t>
      </w:r>
      <w:r>
        <w:rPr>
          <w:rFonts w:hint="eastAsia" w:ascii="宋体" w:hAnsi="宋体" w:cs="宋体"/>
          <w:color w:val="auto"/>
          <w:sz w:val="22"/>
          <w:u w:val="single"/>
        </w:rPr>
        <w:t xml:space="preserve">（1）竣工结算合同价格；（2）发包人已支付承包人的款项；（3）应扣留的质量保证金；（4）发包人应支付承包人的合同价款 </w:t>
      </w:r>
      <w:r>
        <w:rPr>
          <w:rFonts w:hint="eastAsia" w:ascii="宋体" w:hAnsi="宋体" w:cs="宋体"/>
          <w:color w:val="auto"/>
          <w:sz w:val="22"/>
        </w:rPr>
        <w:t>。</w:t>
      </w:r>
    </w:p>
    <w:p w14:paraId="4BB2C8CF">
      <w:pPr>
        <w:pStyle w:val="60"/>
        <w:spacing w:line="360" w:lineRule="exact"/>
        <w:ind w:firstLine="442" w:firstLineChars="200"/>
        <w:jc w:val="left"/>
        <w:rPr>
          <w:rFonts w:hint="eastAsia" w:ascii="宋体" w:hAnsi="宋体" w:cs="宋体"/>
          <w:b/>
          <w:color w:val="auto"/>
          <w:sz w:val="22"/>
          <w:szCs w:val="22"/>
        </w:rPr>
      </w:pPr>
      <w:r>
        <w:rPr>
          <w:rFonts w:hint="eastAsia" w:ascii="宋体" w:hAnsi="宋体" w:cs="宋体"/>
          <w:b/>
          <w:color w:val="auto"/>
          <w:sz w:val="22"/>
          <w:szCs w:val="22"/>
        </w:rPr>
        <w:t>增加以下内容：</w:t>
      </w:r>
    </w:p>
    <w:p w14:paraId="52878A8E">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竣工结算申请单资料清单应包括的内容：</w:t>
      </w:r>
      <w:r>
        <w:rPr>
          <w:rFonts w:hint="eastAsia" w:ascii="宋体" w:hAnsi="宋体" w:cs="宋体"/>
          <w:color w:val="auto"/>
          <w:sz w:val="22"/>
          <w:szCs w:val="22"/>
          <w:u w:val="single"/>
        </w:rPr>
        <w:t>（1）结算申请函（2）完整施工图；（3）竣工图</w:t>
      </w:r>
      <w:r>
        <w:rPr>
          <w:rFonts w:hint="eastAsia" w:ascii="宋体" w:hAnsi="宋体" w:cs="宋体"/>
          <w:color w:val="auto"/>
          <w:sz w:val="22"/>
          <w:szCs w:val="22"/>
          <w:u w:val="single"/>
          <w:lang w:eastAsia="zh-CN"/>
        </w:rPr>
        <w:t>（</w:t>
      </w:r>
      <w:r>
        <w:rPr>
          <w:rFonts w:hint="eastAsia" w:ascii="宋体" w:hAnsi="宋体" w:cs="宋体"/>
          <w:color w:val="auto"/>
          <w:sz w:val="22"/>
          <w:szCs w:val="22"/>
          <w:u w:val="single"/>
        </w:rPr>
        <w:t>含电子版）；（4）结算书</w:t>
      </w:r>
      <w:r>
        <w:rPr>
          <w:rFonts w:hint="eastAsia" w:ascii="宋体" w:hAnsi="宋体" w:cs="宋体"/>
          <w:color w:val="auto"/>
          <w:sz w:val="22"/>
          <w:szCs w:val="22"/>
          <w:u w:val="single"/>
          <w:lang w:eastAsia="zh-CN"/>
        </w:rPr>
        <w:t>（</w:t>
      </w:r>
      <w:r>
        <w:rPr>
          <w:rFonts w:hint="eastAsia" w:ascii="宋体" w:hAnsi="宋体" w:cs="宋体"/>
          <w:color w:val="auto"/>
          <w:sz w:val="22"/>
          <w:szCs w:val="22"/>
          <w:u w:val="single"/>
        </w:rPr>
        <w:t>含软件版）；（5）设计变更情况及批件；（6）工程洽商记录；（7）现场签证单；（8）磋商文件；（9）施工合同；（10）开工报告；（11）原材料试验报告；（12）竣工验收记录及质量评定结果；（13）成交通知书；（14）隐蔽工程记录；</w:t>
      </w:r>
      <w:r>
        <w:rPr>
          <w:rFonts w:hint="eastAsia" w:ascii="宋体" w:hAnsi="宋体" w:cs="宋体"/>
          <w:color w:val="auto"/>
          <w:sz w:val="22"/>
          <w:szCs w:val="22"/>
          <w:u w:val="single"/>
          <w:lang w:eastAsia="zh-CN"/>
        </w:rPr>
        <w:t>（</w:t>
      </w:r>
      <w:r>
        <w:rPr>
          <w:rFonts w:hint="eastAsia" w:ascii="宋体" w:hAnsi="宋体" w:cs="宋体"/>
          <w:color w:val="auto"/>
          <w:sz w:val="22"/>
          <w:szCs w:val="22"/>
          <w:u w:val="single"/>
        </w:rPr>
        <w:t>15</w:t>
      </w:r>
      <w:r>
        <w:rPr>
          <w:rFonts w:hint="eastAsia" w:ascii="宋体" w:hAnsi="宋体" w:cs="宋体"/>
          <w:color w:val="auto"/>
          <w:sz w:val="22"/>
          <w:szCs w:val="22"/>
          <w:u w:val="single"/>
          <w:lang w:eastAsia="zh-CN"/>
        </w:rPr>
        <w:t>）</w:t>
      </w:r>
      <w:r>
        <w:rPr>
          <w:rFonts w:hint="eastAsia" w:ascii="宋体" w:hAnsi="宋体" w:cs="宋体"/>
          <w:color w:val="auto"/>
          <w:sz w:val="22"/>
          <w:szCs w:val="22"/>
          <w:u w:val="single"/>
        </w:rPr>
        <w:t>计量资料；（16）依据当地相关</w:t>
      </w:r>
      <w:r>
        <w:rPr>
          <w:rFonts w:hint="eastAsia" w:ascii="宋体" w:hAnsi="宋体" w:cs="宋体"/>
          <w:color w:val="auto"/>
          <w:sz w:val="22"/>
          <w:szCs w:val="22"/>
          <w:u w:val="single"/>
          <w:lang w:val="en-US" w:eastAsia="zh-CN"/>
        </w:rPr>
        <w:t>部门</w:t>
      </w:r>
      <w:r>
        <w:rPr>
          <w:rFonts w:hint="eastAsia" w:ascii="宋体" w:hAnsi="宋体" w:cs="宋体"/>
          <w:color w:val="auto"/>
          <w:sz w:val="22"/>
          <w:szCs w:val="22"/>
          <w:u w:val="single"/>
        </w:rPr>
        <w:t>要求提供的其他材料</w:t>
      </w:r>
      <w:r>
        <w:rPr>
          <w:rFonts w:hint="eastAsia" w:ascii="宋体" w:hAnsi="宋体" w:cs="宋体"/>
          <w:color w:val="auto"/>
          <w:sz w:val="22"/>
          <w:szCs w:val="22"/>
          <w:u w:val="none"/>
        </w:rPr>
        <w:t>。</w:t>
      </w:r>
    </w:p>
    <w:p w14:paraId="1DC2555D">
      <w:pPr>
        <w:pStyle w:val="39"/>
        <w:spacing w:line="360" w:lineRule="exact"/>
        <w:ind w:firstLine="442" w:firstLineChars="200"/>
        <w:rPr>
          <w:rFonts w:hint="eastAsia" w:ascii="宋体" w:hAnsi="宋体" w:cs="宋体"/>
          <w:color w:val="auto"/>
          <w:sz w:val="22"/>
          <w:szCs w:val="22"/>
        </w:rPr>
      </w:pPr>
      <w:bookmarkStart w:id="1014" w:name="_Toc373227760"/>
      <w:bookmarkStart w:id="1015" w:name="_Toc389065325"/>
      <w:bookmarkStart w:id="1016" w:name="_Toc373478407"/>
      <w:bookmarkStart w:id="1017" w:name="_Toc533432786"/>
      <w:bookmarkStart w:id="1018" w:name="_Toc12975951"/>
      <w:bookmarkStart w:id="1019" w:name="_Toc395382563"/>
      <w:r>
        <w:rPr>
          <w:rFonts w:hint="eastAsia" w:ascii="宋体" w:hAnsi="宋体" w:cs="宋体"/>
          <w:color w:val="auto"/>
          <w:sz w:val="22"/>
          <w:szCs w:val="22"/>
        </w:rPr>
        <w:t>14.2 竣工结算审核</w:t>
      </w:r>
      <w:bookmarkEnd w:id="1014"/>
      <w:bookmarkEnd w:id="1015"/>
      <w:bookmarkEnd w:id="1016"/>
      <w:bookmarkEnd w:id="1017"/>
      <w:bookmarkEnd w:id="1018"/>
      <w:bookmarkEnd w:id="1019"/>
    </w:p>
    <w:p w14:paraId="7FCDF3A5">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rPr>
        <w:t>发包人审批竣工付款申请单的</w:t>
      </w:r>
      <w:r>
        <w:rPr>
          <w:rFonts w:hint="eastAsia" w:ascii="宋体" w:hAnsi="宋体" w:cs="宋体"/>
          <w:color w:val="auto"/>
          <w:sz w:val="22"/>
          <w:highlight w:val="none"/>
        </w:rPr>
        <w:t>期限：</w:t>
      </w:r>
      <w:r>
        <w:rPr>
          <w:rFonts w:hint="eastAsia" w:ascii="宋体" w:hAnsi="宋体" w:cs="宋体"/>
          <w:color w:val="auto"/>
          <w:sz w:val="22"/>
          <w:highlight w:val="none"/>
          <w:u w:val="single"/>
          <w:lang w:val="en-US" w:eastAsia="zh-CN"/>
        </w:rPr>
        <w:t>双方约定</w:t>
      </w:r>
      <w:r>
        <w:rPr>
          <w:rFonts w:hint="eastAsia" w:ascii="宋体" w:hAnsi="宋体" w:cs="宋体"/>
          <w:color w:val="auto"/>
          <w:sz w:val="22"/>
          <w:highlight w:val="none"/>
          <w:u w:val="single"/>
        </w:rPr>
        <w:t>。</w:t>
      </w:r>
    </w:p>
    <w:p w14:paraId="0DDD9050">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bCs/>
          <w:color w:val="auto"/>
          <w:sz w:val="22"/>
          <w:highlight w:val="none"/>
        </w:rPr>
        <w:t>因承包人提供的结算资料不完整而需要补充或承包人不按时对账耽误时间时，审查时间应相应顺延</w:t>
      </w:r>
      <w:r>
        <w:rPr>
          <w:rFonts w:hint="eastAsia" w:ascii="宋体" w:hAnsi="宋体" w:cs="宋体"/>
          <w:color w:val="auto"/>
          <w:sz w:val="22"/>
          <w:highlight w:val="none"/>
        </w:rPr>
        <w:t>。</w:t>
      </w:r>
    </w:p>
    <w:p w14:paraId="0A26ED63">
      <w:pPr>
        <w:pStyle w:val="40"/>
        <w:spacing w:line="360" w:lineRule="exact"/>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结算审核约定：</w:t>
      </w:r>
    </w:p>
    <w:p w14:paraId="2760CC27">
      <w:pPr>
        <w:pStyle w:val="60"/>
        <w:spacing w:line="360" w:lineRule="exact"/>
        <w:ind w:firstLine="440" w:firstLineChars="200"/>
        <w:rPr>
          <w:rFonts w:hint="default"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rPr>
        <w:t>1、工程竣工验收报告经发包人认可后14天内，承包人向发包人递交竣工验收合格资料及完整的结算资料和报告，双方按照协议书约定的合同价款及专用条款约定的合同价调整内容，进行工程竣工结算。2、工程结算经</w:t>
      </w:r>
      <w:r>
        <w:rPr>
          <w:rFonts w:hint="eastAsia" w:ascii="宋体" w:hAnsi="宋体" w:cs="宋体"/>
          <w:bCs/>
          <w:color w:val="auto"/>
          <w:sz w:val="22"/>
          <w:szCs w:val="22"/>
          <w:highlight w:val="none"/>
          <w:u w:val="single"/>
          <w:lang w:val="en-US" w:eastAsia="zh-CN"/>
        </w:rPr>
        <w:t>港口区财评中心</w:t>
      </w:r>
      <w:r>
        <w:rPr>
          <w:rFonts w:hint="eastAsia" w:ascii="宋体" w:hAnsi="宋体" w:cs="宋体"/>
          <w:bCs/>
          <w:color w:val="auto"/>
          <w:sz w:val="22"/>
          <w:szCs w:val="22"/>
          <w:highlight w:val="none"/>
        </w:rPr>
        <w:t>核减（增）率在8%以上时，因核减（增）部分产生的审核费用由承包人负担。</w:t>
      </w:r>
      <w:r>
        <w:rPr>
          <w:rFonts w:hint="eastAsia" w:ascii="宋体" w:hAnsi="宋体" w:cs="宋体"/>
          <w:bCs/>
          <w:color w:val="auto"/>
          <w:sz w:val="22"/>
          <w:szCs w:val="22"/>
          <w:highlight w:val="none"/>
          <w:lang w:val="en-US" w:eastAsia="zh-CN"/>
        </w:rPr>
        <w:t>3.承包方逾期超过60天未完整提供竣工结算资料进行工程结算评审的，视为自动放弃剩余工程款结算。</w:t>
      </w:r>
    </w:p>
    <w:p w14:paraId="6A63277C">
      <w:pPr>
        <w:pStyle w:val="6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bCs/>
          <w:color w:val="auto"/>
          <w:sz w:val="22"/>
          <w:szCs w:val="22"/>
          <w:highlight w:val="none"/>
          <w:u w:val="single"/>
        </w:rPr>
        <w:t>政府投资工程的结算</w:t>
      </w:r>
      <w:r>
        <w:rPr>
          <w:rFonts w:hint="eastAsia" w:ascii="宋体" w:hAnsi="宋体" w:cs="宋体"/>
          <w:bCs/>
          <w:color w:val="auto"/>
          <w:sz w:val="22"/>
          <w:szCs w:val="22"/>
          <w:highlight w:val="none"/>
          <w:u w:val="single"/>
          <w:lang w:val="en-US" w:eastAsia="zh-CN"/>
        </w:rPr>
        <w:t>如</w:t>
      </w:r>
      <w:r>
        <w:rPr>
          <w:rFonts w:hint="eastAsia" w:ascii="宋体" w:hAnsi="宋体" w:cs="宋体"/>
          <w:bCs/>
          <w:color w:val="auto"/>
          <w:sz w:val="22"/>
          <w:szCs w:val="22"/>
          <w:highlight w:val="none"/>
          <w:u w:val="single"/>
        </w:rPr>
        <w:t>需</w:t>
      </w:r>
      <w:r>
        <w:rPr>
          <w:rFonts w:hint="eastAsia" w:ascii="宋体" w:hAnsi="宋体" w:cs="宋体"/>
          <w:bCs/>
          <w:color w:val="auto"/>
          <w:sz w:val="22"/>
          <w:szCs w:val="22"/>
          <w:highlight w:val="none"/>
          <w:u w:val="single"/>
          <w:lang w:val="en-US" w:eastAsia="zh-CN"/>
        </w:rPr>
        <w:t>港口区财评中心</w:t>
      </w:r>
      <w:r>
        <w:rPr>
          <w:rFonts w:hint="eastAsia" w:ascii="宋体" w:hAnsi="宋体" w:cs="宋体"/>
          <w:bCs/>
          <w:color w:val="auto"/>
          <w:sz w:val="22"/>
          <w:szCs w:val="22"/>
          <w:highlight w:val="none"/>
          <w:u w:val="single"/>
        </w:rPr>
        <w:t>审定，最终结算金额以</w:t>
      </w:r>
      <w:r>
        <w:rPr>
          <w:rFonts w:hint="eastAsia" w:ascii="宋体" w:hAnsi="宋体" w:cs="宋体"/>
          <w:bCs/>
          <w:color w:val="auto"/>
          <w:sz w:val="22"/>
          <w:szCs w:val="22"/>
          <w:highlight w:val="none"/>
          <w:u w:val="single"/>
          <w:lang w:val="en-US" w:eastAsia="zh-CN"/>
        </w:rPr>
        <w:t>港口区财评中心出具的评审报告</w:t>
      </w:r>
      <w:r>
        <w:rPr>
          <w:rFonts w:hint="eastAsia" w:ascii="宋体" w:hAnsi="宋体" w:cs="宋体"/>
          <w:bCs/>
          <w:color w:val="auto"/>
          <w:sz w:val="22"/>
          <w:szCs w:val="22"/>
          <w:highlight w:val="none"/>
          <w:u w:val="single"/>
        </w:rPr>
        <w:t>为准，不能以</w:t>
      </w:r>
      <w:r>
        <w:rPr>
          <w:rFonts w:hint="eastAsia" w:ascii="宋体" w:hAnsi="宋体" w:cs="宋体"/>
          <w:bCs/>
          <w:color w:val="auto"/>
          <w:sz w:val="22"/>
          <w:szCs w:val="22"/>
          <w:highlight w:val="none"/>
          <w:u w:val="single"/>
          <w:lang w:val="en-US" w:eastAsia="zh-CN"/>
        </w:rPr>
        <w:t>承包人编制的结果或发</w:t>
      </w:r>
      <w:r>
        <w:rPr>
          <w:rFonts w:hint="eastAsia" w:ascii="宋体" w:hAnsi="宋体" w:cs="宋体"/>
          <w:bCs/>
          <w:color w:val="auto"/>
          <w:sz w:val="22"/>
          <w:szCs w:val="22"/>
          <w:highlight w:val="none"/>
          <w:u w:val="single"/>
        </w:rPr>
        <w:t>包人审核的结果作为要求支付的依据。</w:t>
      </w:r>
      <w:r>
        <w:rPr>
          <w:rFonts w:hint="eastAsia" w:ascii="宋体" w:hAnsi="宋体" w:cs="宋体"/>
          <w:bCs/>
          <w:color w:val="auto"/>
          <w:sz w:val="22"/>
          <w:szCs w:val="22"/>
          <w:highlight w:val="none"/>
          <w:u w:val="single"/>
          <w:lang w:val="en-US" w:eastAsia="zh-CN"/>
        </w:rPr>
        <w:t>港口区财评中心</w:t>
      </w:r>
      <w:r>
        <w:rPr>
          <w:rFonts w:hint="eastAsia" w:ascii="宋体" w:hAnsi="宋体" w:cs="宋体"/>
          <w:bCs/>
          <w:color w:val="auto"/>
          <w:sz w:val="22"/>
          <w:szCs w:val="22"/>
          <w:highlight w:val="none"/>
          <w:u w:val="single"/>
        </w:rPr>
        <w:t>处理相关事宜需要一定时间，发包人不承担因</w:t>
      </w:r>
      <w:r>
        <w:rPr>
          <w:rFonts w:hint="eastAsia" w:ascii="宋体" w:hAnsi="宋体" w:cs="宋体"/>
          <w:bCs/>
          <w:color w:val="auto"/>
          <w:sz w:val="22"/>
          <w:szCs w:val="22"/>
          <w:highlight w:val="none"/>
          <w:u w:val="single"/>
          <w:lang w:val="en-US" w:eastAsia="zh-CN"/>
        </w:rPr>
        <w:t>港口区财评中心评审时间</w:t>
      </w:r>
      <w:r>
        <w:rPr>
          <w:rFonts w:hint="eastAsia" w:ascii="宋体" w:hAnsi="宋体" w:cs="宋体"/>
          <w:bCs/>
          <w:color w:val="auto"/>
          <w:sz w:val="22"/>
          <w:szCs w:val="22"/>
          <w:highlight w:val="none"/>
          <w:u w:val="single"/>
        </w:rPr>
        <w:t>引起的任何责任。</w:t>
      </w:r>
    </w:p>
    <w:p w14:paraId="2535608A">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发包人完成竣工付款的期限：</w:t>
      </w: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lang w:val="en-US" w:eastAsia="zh-CN"/>
        </w:rPr>
        <w:t>双方约定</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p>
    <w:p w14:paraId="0A3BB68B">
      <w:pPr>
        <w:pStyle w:val="4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sz w:val="22"/>
        </w:rPr>
        <w:t>关于竣工付款证书异议部分复核的方式和程序：</w:t>
      </w:r>
      <w:r>
        <w:rPr>
          <w:rFonts w:hint="eastAsia" w:ascii="宋体" w:hAnsi="宋体" w:cs="宋体"/>
          <w:color w:val="auto"/>
          <w:sz w:val="22"/>
          <w:u w:val="single"/>
        </w:rPr>
        <w:t xml:space="preserve">按通用合同条款执行 </w:t>
      </w:r>
      <w:r>
        <w:rPr>
          <w:rFonts w:hint="eastAsia" w:ascii="宋体" w:hAnsi="宋体" w:cs="宋体"/>
          <w:color w:val="auto"/>
          <w:sz w:val="22"/>
        </w:rPr>
        <w:t>。</w:t>
      </w:r>
    </w:p>
    <w:p w14:paraId="5546AECC">
      <w:pPr>
        <w:pStyle w:val="39"/>
        <w:spacing w:line="360" w:lineRule="exact"/>
        <w:ind w:firstLine="442" w:firstLineChars="200"/>
        <w:rPr>
          <w:rFonts w:hint="eastAsia" w:ascii="宋体" w:hAnsi="宋体" w:cs="宋体"/>
          <w:color w:val="auto"/>
          <w:sz w:val="22"/>
          <w:szCs w:val="22"/>
        </w:rPr>
      </w:pPr>
      <w:bookmarkStart w:id="1020" w:name="_Toc533432787"/>
      <w:bookmarkStart w:id="1021" w:name="_Toc389065326"/>
      <w:bookmarkStart w:id="1022" w:name="_Toc373227761"/>
      <w:bookmarkStart w:id="1023" w:name="_Toc395382564"/>
      <w:bookmarkStart w:id="1024" w:name="_Toc373478408"/>
      <w:bookmarkStart w:id="1025" w:name="_Toc12975952"/>
      <w:r>
        <w:rPr>
          <w:rFonts w:hint="eastAsia" w:ascii="宋体" w:hAnsi="宋体" w:cs="宋体"/>
          <w:color w:val="auto"/>
          <w:sz w:val="22"/>
          <w:szCs w:val="22"/>
        </w:rPr>
        <w:t>14.4 最终结清</w:t>
      </w:r>
      <w:bookmarkEnd w:id="1020"/>
      <w:bookmarkEnd w:id="1021"/>
      <w:bookmarkEnd w:id="1022"/>
      <w:bookmarkEnd w:id="1023"/>
      <w:bookmarkEnd w:id="1024"/>
      <w:bookmarkEnd w:id="1025"/>
    </w:p>
    <w:p w14:paraId="38C71ED7">
      <w:pPr>
        <w:pStyle w:val="4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kern w:val="0"/>
          <w:sz w:val="22"/>
        </w:rPr>
        <w:t>14.4.1 最终结清申请单</w:t>
      </w:r>
    </w:p>
    <w:p w14:paraId="5D7F604E">
      <w:pPr>
        <w:pStyle w:val="4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kern w:val="0"/>
          <w:sz w:val="22"/>
        </w:rPr>
        <w:t>承包人提交最终结清申请单的份数：</w:t>
      </w:r>
      <w:r>
        <w:rPr>
          <w:rFonts w:hint="eastAsia" w:ascii="宋体" w:hAnsi="宋体" w:cs="宋体"/>
          <w:color w:val="auto"/>
          <w:sz w:val="22"/>
          <w:u w:val="single"/>
          <w:lang w:val="en-US" w:eastAsia="zh-CN"/>
        </w:rPr>
        <w:t xml:space="preserve"> </w:t>
      </w:r>
      <w:r>
        <w:rPr>
          <w:rFonts w:hint="eastAsia" w:ascii="宋体" w:hAnsi="宋体" w:cs="宋体"/>
          <w:color w:val="auto"/>
          <w:sz w:val="22"/>
          <w:u w:val="single"/>
        </w:rPr>
        <w:t>四份</w:t>
      </w:r>
      <w:r>
        <w:rPr>
          <w:rFonts w:hint="eastAsia" w:ascii="宋体" w:hAnsi="宋体" w:cs="宋体"/>
          <w:color w:val="auto"/>
          <w:sz w:val="22"/>
          <w:u w:val="single"/>
          <w:lang w:val="en-US" w:eastAsia="zh-CN"/>
        </w:rPr>
        <w:t xml:space="preserve"> </w:t>
      </w:r>
      <w:r>
        <w:rPr>
          <w:rFonts w:hint="eastAsia" w:ascii="宋体" w:hAnsi="宋体" w:cs="宋体"/>
          <w:color w:val="auto"/>
          <w:sz w:val="22"/>
        </w:rPr>
        <w:t>。</w:t>
      </w:r>
    </w:p>
    <w:p w14:paraId="02F7A2BF">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kern w:val="0"/>
          <w:sz w:val="22"/>
        </w:rPr>
        <w:t>承包人提交最终结算申请单的期限：</w:t>
      </w:r>
      <w:r>
        <w:rPr>
          <w:rFonts w:hint="eastAsia" w:ascii="宋体" w:hAnsi="宋体" w:cs="宋体"/>
          <w:color w:val="auto"/>
          <w:sz w:val="22"/>
          <w:u w:val="single"/>
        </w:rPr>
        <w:t>按通用合同条款执行</w:t>
      </w:r>
      <w:r>
        <w:rPr>
          <w:rFonts w:hint="eastAsia" w:ascii="宋体" w:hAnsi="宋体" w:cs="宋体"/>
          <w:color w:val="auto"/>
          <w:sz w:val="22"/>
        </w:rPr>
        <w:t xml:space="preserve">。 </w:t>
      </w:r>
    </w:p>
    <w:p w14:paraId="25165777">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14.4.2 最终结清证书和支付</w:t>
      </w:r>
    </w:p>
    <w:p w14:paraId="1D1CB92E">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（1）发包人完成最终结清申请单的审批并颁发最终结清证书的期限：</w:t>
      </w:r>
      <w:r>
        <w:rPr>
          <w:rFonts w:hint="eastAsia" w:ascii="宋体" w:hAnsi="宋体" w:cs="宋体"/>
          <w:color w:val="auto"/>
          <w:sz w:val="22"/>
          <w:u w:val="single"/>
        </w:rPr>
        <w:t>按通用合同条款执行</w:t>
      </w:r>
      <w:r>
        <w:rPr>
          <w:rFonts w:hint="eastAsia" w:ascii="宋体" w:hAnsi="宋体" w:cs="宋体"/>
          <w:color w:val="auto"/>
          <w:sz w:val="22"/>
        </w:rPr>
        <w:t>。</w:t>
      </w:r>
    </w:p>
    <w:p w14:paraId="7B88F2BC">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（2）发包人完成支付的期限：</w:t>
      </w:r>
      <w:r>
        <w:rPr>
          <w:rFonts w:hint="eastAsia" w:ascii="宋体" w:hAnsi="宋体" w:cs="宋体"/>
          <w:color w:val="auto"/>
          <w:sz w:val="22"/>
          <w:u w:val="single"/>
        </w:rPr>
        <w:t>质量保证金的返还：工程交付使用至质量缺陷期满后无工程质量问题的，质量缺陷</w:t>
      </w:r>
      <w:r>
        <w:rPr>
          <w:rFonts w:hint="eastAsia" w:ascii="宋体" w:hAnsi="宋体" w:cs="宋体"/>
          <w:color w:val="auto"/>
          <w:sz w:val="22"/>
          <w:highlight w:val="none"/>
          <w:u w:val="single"/>
        </w:rPr>
        <w:t>期满后</w:t>
      </w:r>
      <w:r>
        <w:rPr>
          <w:rFonts w:hint="eastAsia" w:ascii="宋体" w:hAnsi="宋体" w:cs="宋体"/>
          <w:color w:val="auto"/>
          <w:sz w:val="22"/>
          <w:highlight w:val="none"/>
          <w:u w:val="single"/>
          <w:lang w:val="en-US" w:eastAsia="zh-CN"/>
        </w:rPr>
        <w:t>承包方提交书面申请起</w:t>
      </w:r>
      <w:r>
        <w:rPr>
          <w:rFonts w:hint="eastAsia" w:ascii="宋体" w:hAnsi="宋体" w:cs="宋体"/>
          <w:color w:val="auto"/>
          <w:sz w:val="22"/>
          <w:highlight w:val="none"/>
          <w:u w:val="single"/>
        </w:rPr>
        <w:t>15个工作日内</w:t>
      </w:r>
      <w:r>
        <w:rPr>
          <w:rFonts w:hint="eastAsia" w:ascii="宋体" w:hAnsi="宋体" w:cs="宋体"/>
          <w:color w:val="auto"/>
          <w:sz w:val="22"/>
          <w:highlight w:val="none"/>
          <w:u w:val="single"/>
          <w:lang w:val="en-US" w:eastAsia="zh-CN"/>
        </w:rPr>
        <w:t>发包人按程序</w:t>
      </w:r>
      <w:r>
        <w:rPr>
          <w:rFonts w:hint="eastAsia" w:ascii="宋体" w:hAnsi="宋体" w:cs="宋体"/>
          <w:color w:val="auto"/>
          <w:sz w:val="22"/>
          <w:highlight w:val="none"/>
          <w:u w:val="single"/>
        </w:rPr>
        <w:t>退还 （</w:t>
      </w:r>
      <w:r>
        <w:rPr>
          <w:rFonts w:hint="eastAsia" w:ascii="宋体" w:hAnsi="宋体" w:cs="宋体"/>
          <w:color w:val="auto"/>
          <w:sz w:val="22"/>
          <w:u w:val="single"/>
        </w:rPr>
        <w:t xml:space="preserve">无息） </w:t>
      </w:r>
      <w:r>
        <w:rPr>
          <w:rFonts w:hint="eastAsia" w:ascii="宋体" w:hAnsi="宋体" w:cs="宋体"/>
          <w:color w:val="auto"/>
          <w:sz w:val="22"/>
        </w:rPr>
        <w:t>。</w:t>
      </w:r>
    </w:p>
    <w:bookmarkEnd w:id="976"/>
    <w:bookmarkEnd w:id="977"/>
    <w:bookmarkEnd w:id="978"/>
    <w:bookmarkEnd w:id="979"/>
    <w:bookmarkEnd w:id="980"/>
    <w:bookmarkEnd w:id="981"/>
    <w:bookmarkEnd w:id="982"/>
    <w:bookmarkEnd w:id="988"/>
    <w:p w14:paraId="35E8B977">
      <w:pPr>
        <w:pStyle w:val="70"/>
        <w:spacing w:before="0" w:after="0" w:line="360" w:lineRule="exact"/>
        <w:ind w:firstLine="442" w:firstLineChars="200"/>
        <w:rPr>
          <w:rFonts w:hint="eastAsia" w:ascii="宋体" w:hAnsi="宋体" w:cs="宋体"/>
          <w:color w:val="auto"/>
          <w:sz w:val="22"/>
          <w:szCs w:val="22"/>
        </w:rPr>
      </w:pPr>
      <w:bookmarkStart w:id="1026" w:name="_Toc389065327"/>
      <w:bookmarkStart w:id="1027" w:name="_Toc533432788"/>
      <w:bookmarkStart w:id="1028" w:name="_Toc395382565"/>
      <w:bookmarkStart w:id="1029" w:name="_Toc351203647"/>
      <w:bookmarkStart w:id="1030" w:name="_Toc373227762"/>
      <w:bookmarkStart w:id="1031" w:name="_Toc12975953"/>
      <w:bookmarkStart w:id="1032" w:name="_Toc373478409"/>
      <w:bookmarkStart w:id="1033" w:name="_Toc267251483"/>
      <w:bookmarkStart w:id="1034" w:name="_Toc267251484"/>
      <w:bookmarkStart w:id="1035" w:name="_Toc267251482"/>
      <w:bookmarkStart w:id="1036" w:name="_Toc267251485"/>
      <w:bookmarkStart w:id="1037" w:name="_Toc267251489"/>
      <w:bookmarkStart w:id="1038" w:name="_Toc267251486"/>
      <w:bookmarkStart w:id="1039" w:name="_Toc267251490"/>
      <w:bookmarkStart w:id="1040" w:name="_Toc267251488"/>
      <w:bookmarkStart w:id="1041" w:name="_Toc267251502"/>
      <w:bookmarkStart w:id="1042" w:name="_Toc267251496"/>
      <w:bookmarkStart w:id="1043" w:name="_Toc267251492"/>
      <w:bookmarkStart w:id="1044" w:name="_Toc267251491"/>
      <w:bookmarkStart w:id="1045" w:name="_Toc267251494"/>
      <w:bookmarkStart w:id="1046" w:name="_Toc267251493"/>
      <w:bookmarkStart w:id="1047" w:name="_Toc267251495"/>
      <w:bookmarkStart w:id="1048" w:name="_Toc267251499"/>
      <w:bookmarkStart w:id="1049" w:name="_Toc267251497"/>
      <w:bookmarkStart w:id="1050" w:name="_Toc267251503"/>
      <w:bookmarkStart w:id="1051" w:name="_Toc267251501"/>
      <w:bookmarkStart w:id="1052" w:name="_Toc267251498"/>
      <w:bookmarkStart w:id="1053" w:name="_Toc267251506"/>
      <w:bookmarkStart w:id="1054" w:name="_Toc267251504"/>
      <w:bookmarkStart w:id="1055" w:name="_Toc267251507"/>
      <w:bookmarkStart w:id="1056" w:name="_Toc267251508"/>
      <w:bookmarkStart w:id="1057" w:name="_Toc267251514"/>
      <w:bookmarkStart w:id="1058" w:name="_Toc267251509"/>
      <w:bookmarkStart w:id="1059" w:name="_Toc267251510"/>
      <w:bookmarkStart w:id="1060" w:name="_Toc267251515"/>
      <w:bookmarkStart w:id="1061" w:name="_Toc267251513"/>
      <w:bookmarkStart w:id="1062" w:name="_Toc267251511"/>
      <w:r>
        <w:rPr>
          <w:rFonts w:hint="eastAsia" w:ascii="宋体" w:hAnsi="宋体" w:cs="宋体"/>
          <w:color w:val="auto"/>
          <w:sz w:val="22"/>
          <w:szCs w:val="22"/>
        </w:rPr>
        <w:t>15. 缺陷责任期与保修</w:t>
      </w:r>
      <w:bookmarkEnd w:id="1026"/>
      <w:bookmarkEnd w:id="1027"/>
      <w:bookmarkEnd w:id="1028"/>
      <w:bookmarkEnd w:id="1029"/>
      <w:bookmarkEnd w:id="1030"/>
      <w:bookmarkEnd w:id="1031"/>
      <w:bookmarkEnd w:id="1032"/>
    </w:p>
    <w:p w14:paraId="53514AB8">
      <w:pPr>
        <w:pStyle w:val="39"/>
        <w:spacing w:line="360" w:lineRule="exact"/>
        <w:ind w:firstLine="442" w:firstLineChars="200"/>
        <w:rPr>
          <w:rFonts w:hint="eastAsia" w:ascii="宋体" w:hAnsi="宋体" w:cs="宋体"/>
          <w:color w:val="auto"/>
          <w:sz w:val="22"/>
          <w:szCs w:val="22"/>
        </w:rPr>
      </w:pPr>
      <w:bookmarkStart w:id="1063" w:name="_Toc389065328"/>
      <w:bookmarkStart w:id="1064" w:name="_Toc373478410"/>
      <w:bookmarkStart w:id="1065" w:name="_Toc373227763"/>
      <w:bookmarkStart w:id="1066" w:name="_Toc12975954"/>
      <w:bookmarkStart w:id="1067" w:name="_Toc395382566"/>
      <w:bookmarkStart w:id="1068" w:name="_Toc533432789"/>
      <w:r>
        <w:rPr>
          <w:rFonts w:hint="eastAsia" w:ascii="宋体" w:hAnsi="宋体" w:cs="宋体"/>
          <w:color w:val="auto"/>
          <w:sz w:val="22"/>
          <w:szCs w:val="22"/>
        </w:rPr>
        <w:t>15.2 缺陷责任期</w:t>
      </w:r>
      <w:bookmarkEnd w:id="1033"/>
      <w:bookmarkEnd w:id="1063"/>
      <w:bookmarkEnd w:id="1064"/>
      <w:bookmarkEnd w:id="1065"/>
      <w:bookmarkEnd w:id="1066"/>
      <w:bookmarkEnd w:id="1067"/>
      <w:bookmarkEnd w:id="1068"/>
    </w:p>
    <w:p w14:paraId="2189241E">
      <w:pPr>
        <w:pStyle w:val="4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sz w:val="22"/>
        </w:rPr>
        <w:t>缺陷责任期的具体期限：</w:t>
      </w:r>
      <w:r>
        <w:rPr>
          <w:rFonts w:hint="eastAsia" w:ascii="宋体" w:hAnsi="宋体" w:cs="宋体"/>
          <w:color w:val="auto"/>
          <w:sz w:val="22"/>
          <w:u w:val="single"/>
        </w:rPr>
        <w:t>24个月</w:t>
      </w:r>
      <w:r>
        <w:rPr>
          <w:rFonts w:hint="eastAsia" w:ascii="宋体" w:hAnsi="宋体" w:cs="宋体"/>
          <w:color w:val="auto"/>
          <w:sz w:val="22"/>
        </w:rPr>
        <w:t>。</w:t>
      </w:r>
    </w:p>
    <w:p w14:paraId="1FE4A633">
      <w:pPr>
        <w:pStyle w:val="39"/>
        <w:spacing w:line="360" w:lineRule="exact"/>
        <w:ind w:firstLine="442" w:firstLineChars="200"/>
        <w:rPr>
          <w:rFonts w:hint="eastAsia" w:ascii="宋体" w:hAnsi="宋体" w:cs="宋体"/>
          <w:color w:val="auto"/>
          <w:sz w:val="22"/>
          <w:szCs w:val="22"/>
        </w:rPr>
      </w:pPr>
      <w:bookmarkStart w:id="1069" w:name="_Toc373478411"/>
      <w:bookmarkStart w:id="1070" w:name="_Toc12975955"/>
      <w:bookmarkStart w:id="1071" w:name="_Toc395382567"/>
      <w:bookmarkStart w:id="1072" w:name="_Toc373227764"/>
      <w:bookmarkStart w:id="1073" w:name="_Toc533432790"/>
      <w:bookmarkStart w:id="1074" w:name="_Toc389065329"/>
      <w:r>
        <w:rPr>
          <w:rFonts w:hint="eastAsia" w:ascii="宋体" w:hAnsi="宋体" w:cs="宋体"/>
          <w:color w:val="auto"/>
          <w:sz w:val="22"/>
          <w:szCs w:val="22"/>
        </w:rPr>
        <w:t>15.3 质量保证金</w:t>
      </w:r>
      <w:bookmarkEnd w:id="1069"/>
      <w:bookmarkEnd w:id="1070"/>
      <w:bookmarkEnd w:id="1071"/>
      <w:bookmarkEnd w:id="1072"/>
      <w:bookmarkEnd w:id="1073"/>
      <w:bookmarkEnd w:id="1074"/>
    </w:p>
    <w:p w14:paraId="63C0EC17">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关于是否扣留质量保证金的约定：</w:t>
      </w:r>
      <w:r>
        <w:rPr>
          <w:rFonts w:hint="eastAsia" w:ascii="宋体" w:hAnsi="宋体" w:cs="宋体"/>
          <w:color w:val="auto"/>
          <w:sz w:val="22"/>
          <w:u w:val="single"/>
        </w:rPr>
        <w:t>扣留</w:t>
      </w:r>
      <w:r>
        <w:rPr>
          <w:rFonts w:hint="eastAsia" w:ascii="宋体" w:hAnsi="宋体" w:cs="宋体"/>
          <w:color w:val="auto"/>
          <w:sz w:val="22"/>
        </w:rPr>
        <w:t>。</w:t>
      </w:r>
    </w:p>
    <w:p w14:paraId="31BA84B1">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15.3.1 承包人提供质量保证金的方式</w:t>
      </w:r>
    </w:p>
    <w:p w14:paraId="2F735E85">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质量保证金采用以下第</w:t>
      </w:r>
      <w:r>
        <w:rPr>
          <w:rFonts w:hint="eastAsia" w:ascii="宋体" w:hAnsi="宋体" w:cs="宋体"/>
          <w:color w:val="auto"/>
          <w:sz w:val="22"/>
          <w:u w:val="single"/>
        </w:rPr>
        <w:t>（2）</w:t>
      </w:r>
      <w:r>
        <w:rPr>
          <w:rFonts w:hint="eastAsia" w:ascii="宋体" w:hAnsi="宋体" w:cs="宋体"/>
          <w:color w:val="auto"/>
          <w:sz w:val="22"/>
        </w:rPr>
        <w:t>种方式：</w:t>
      </w:r>
    </w:p>
    <w:p w14:paraId="552DF7C8">
      <w:pPr>
        <w:pStyle w:val="40"/>
        <w:autoSpaceDE w:val="0"/>
        <w:autoSpaceDN w:val="0"/>
        <w:adjustRightInd w:val="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kern w:val="0"/>
          <w:sz w:val="22"/>
        </w:rPr>
        <w:t>（1）质量保证金保函，保证金额为：</w:t>
      </w:r>
      <w:r>
        <w:rPr>
          <w:rFonts w:hint="eastAsia" w:ascii="宋体" w:hAnsi="宋体" w:cs="宋体"/>
          <w:color w:val="auto"/>
          <w:kern w:val="0"/>
          <w:sz w:val="22"/>
          <w:u w:val="single"/>
        </w:rPr>
        <w:t xml:space="preserve">  </w:t>
      </w:r>
      <w:r>
        <w:rPr>
          <w:rFonts w:hint="eastAsia" w:ascii="宋体" w:hAnsi="宋体" w:cs="宋体"/>
          <w:color w:val="auto"/>
          <w:kern w:val="0"/>
          <w:sz w:val="22"/>
          <w:u w:val="single"/>
          <w:lang w:val="en-US" w:eastAsia="zh-CN"/>
        </w:rPr>
        <w:t xml:space="preserve"> </w:t>
      </w:r>
      <w:r>
        <w:rPr>
          <w:rFonts w:hint="eastAsia" w:ascii="宋体" w:hAnsi="宋体" w:cs="宋体"/>
          <w:color w:val="auto"/>
          <w:kern w:val="0"/>
          <w:sz w:val="22"/>
          <w:u w:val="single"/>
        </w:rPr>
        <w:t xml:space="preserve"> </w:t>
      </w:r>
      <w:r>
        <w:rPr>
          <w:rFonts w:hint="eastAsia" w:ascii="宋体" w:hAnsi="宋体" w:cs="宋体"/>
          <w:color w:val="auto"/>
          <w:kern w:val="0"/>
          <w:sz w:val="22"/>
        </w:rPr>
        <w:t>；</w:t>
      </w:r>
    </w:p>
    <w:p w14:paraId="1E0AB14B">
      <w:pPr>
        <w:pStyle w:val="40"/>
        <w:autoSpaceDE w:val="0"/>
        <w:autoSpaceDN w:val="0"/>
        <w:adjustRightInd w:val="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kern w:val="0"/>
          <w:sz w:val="22"/>
        </w:rPr>
        <w:t>（2）</w:t>
      </w:r>
      <w:r>
        <w:rPr>
          <w:rFonts w:hint="eastAsia" w:ascii="宋体" w:hAnsi="宋体" w:cs="宋体"/>
          <w:bCs/>
          <w:color w:val="auto"/>
          <w:sz w:val="22"/>
        </w:rPr>
        <w:t>发包人按工程价款结算总额的</w:t>
      </w:r>
      <w:r>
        <w:rPr>
          <w:rFonts w:hint="eastAsia" w:ascii="宋体" w:hAnsi="宋体" w:cs="宋体"/>
          <w:bCs/>
          <w:color w:val="auto"/>
          <w:sz w:val="22"/>
          <w:u w:val="single"/>
        </w:rPr>
        <w:t xml:space="preserve">  3 </w:t>
      </w:r>
      <w:r>
        <w:rPr>
          <w:rFonts w:hint="eastAsia" w:ascii="宋体" w:hAnsi="宋体" w:cs="宋体"/>
          <w:bCs/>
          <w:color w:val="auto"/>
          <w:sz w:val="22"/>
        </w:rPr>
        <w:t>%预留工程</w:t>
      </w:r>
      <w:r>
        <w:rPr>
          <w:rFonts w:hint="eastAsia" w:ascii="宋体" w:hAnsi="宋体" w:cs="宋体"/>
          <w:bCs/>
          <w:color w:val="auto"/>
          <w:sz w:val="22"/>
          <w:lang w:eastAsia="zh-CN"/>
        </w:rPr>
        <w:t>质量保证金</w:t>
      </w:r>
      <w:r>
        <w:rPr>
          <w:rFonts w:hint="eastAsia" w:ascii="宋体" w:hAnsi="宋体" w:cs="宋体"/>
          <w:bCs/>
          <w:color w:val="auto"/>
          <w:sz w:val="22"/>
        </w:rPr>
        <w:t>，待缺陷责任期满后返还</w:t>
      </w:r>
      <w:r>
        <w:rPr>
          <w:rFonts w:hint="eastAsia" w:ascii="宋体" w:hAnsi="宋体" w:cs="宋体"/>
          <w:color w:val="auto"/>
          <w:kern w:val="0"/>
          <w:sz w:val="22"/>
        </w:rPr>
        <w:t>；</w:t>
      </w:r>
    </w:p>
    <w:p w14:paraId="5AB20993">
      <w:pPr>
        <w:pStyle w:val="40"/>
        <w:autoSpaceDE w:val="0"/>
        <w:autoSpaceDN w:val="0"/>
        <w:adjustRightInd w:val="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kern w:val="0"/>
          <w:sz w:val="22"/>
        </w:rPr>
        <w:t>（3）其他方式：</w:t>
      </w:r>
      <w:r>
        <w:rPr>
          <w:rFonts w:hint="eastAsia" w:ascii="宋体" w:hAnsi="宋体" w:cs="宋体"/>
          <w:bCs/>
          <w:color w:val="auto"/>
          <w:sz w:val="22"/>
          <w:u w:val="single"/>
          <w:lang w:val="en-US" w:eastAsia="zh-CN"/>
        </w:rPr>
        <w:t xml:space="preserve"> </w:t>
      </w:r>
      <w:r>
        <w:rPr>
          <w:rFonts w:hint="eastAsia" w:ascii="宋体" w:hAnsi="宋体" w:cs="宋体"/>
          <w:bCs/>
          <w:color w:val="auto"/>
          <w:sz w:val="22"/>
          <w:u w:val="single"/>
        </w:rPr>
        <w:t xml:space="preserve"> /  </w:t>
      </w:r>
      <w:r>
        <w:rPr>
          <w:rFonts w:hint="eastAsia" w:ascii="宋体" w:hAnsi="宋体" w:cs="宋体"/>
          <w:bCs/>
          <w:color w:val="auto"/>
          <w:sz w:val="22"/>
        </w:rPr>
        <w:t>。</w:t>
      </w:r>
    </w:p>
    <w:p w14:paraId="2C032C52">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15.3.2 质量保证金的扣留</w:t>
      </w:r>
    </w:p>
    <w:p w14:paraId="1FAC5F46">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质量保证金的扣留采取以下第</w:t>
      </w:r>
      <w:r>
        <w:rPr>
          <w:rFonts w:hint="eastAsia" w:ascii="宋体" w:hAnsi="宋体" w:cs="宋体"/>
          <w:color w:val="auto"/>
          <w:sz w:val="22"/>
          <w:u w:val="single"/>
        </w:rPr>
        <w:t>（2）</w:t>
      </w:r>
      <w:r>
        <w:rPr>
          <w:rFonts w:hint="eastAsia" w:ascii="宋体" w:hAnsi="宋体" w:cs="宋体"/>
          <w:color w:val="auto"/>
          <w:sz w:val="22"/>
        </w:rPr>
        <w:t>种方式：</w:t>
      </w:r>
    </w:p>
    <w:p w14:paraId="45BFF293">
      <w:pPr>
        <w:pStyle w:val="40"/>
        <w:autoSpaceDE w:val="0"/>
        <w:autoSpaceDN w:val="0"/>
        <w:adjustRightInd w:val="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kern w:val="0"/>
          <w:sz w:val="22"/>
        </w:rPr>
        <w:t>（1）在支付工程进度款时逐次扣留，在此情形下，质量保证金的计算基数不包括预付款的支付、扣回以及价格调整的金额；</w:t>
      </w:r>
    </w:p>
    <w:p w14:paraId="44DB9322">
      <w:pPr>
        <w:pStyle w:val="40"/>
        <w:autoSpaceDE w:val="0"/>
        <w:autoSpaceDN w:val="0"/>
        <w:adjustRightInd w:val="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kern w:val="0"/>
          <w:sz w:val="22"/>
        </w:rPr>
        <w:t>（2）工程竣工结算时一次性扣留质量保证金；</w:t>
      </w:r>
    </w:p>
    <w:p w14:paraId="41C4E952">
      <w:pPr>
        <w:pStyle w:val="40"/>
        <w:autoSpaceDE w:val="0"/>
        <w:autoSpaceDN w:val="0"/>
        <w:adjustRightInd w:val="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kern w:val="0"/>
          <w:sz w:val="22"/>
        </w:rPr>
        <w:t>（3）其他扣留方式</w:t>
      </w:r>
      <w:r>
        <w:rPr>
          <w:rFonts w:hint="eastAsia" w:ascii="宋体" w:hAnsi="宋体" w:cs="宋体"/>
          <w:color w:val="auto"/>
          <w:kern w:val="0"/>
          <w:sz w:val="22"/>
          <w:lang w:eastAsia="zh-CN"/>
        </w:rPr>
        <w:t>：</w:t>
      </w:r>
      <w:r>
        <w:rPr>
          <w:rFonts w:hint="eastAsia" w:ascii="宋体" w:hAnsi="宋体" w:cs="宋体"/>
          <w:color w:val="auto"/>
          <w:kern w:val="0"/>
          <w:sz w:val="22"/>
          <w:u w:val="single"/>
        </w:rPr>
        <w:t xml:space="preserve">  /</w:t>
      </w:r>
      <w:r>
        <w:rPr>
          <w:rFonts w:hint="eastAsia" w:ascii="宋体" w:hAnsi="宋体" w:cs="宋体"/>
          <w:color w:val="auto"/>
          <w:kern w:val="0"/>
          <w:sz w:val="22"/>
          <w:u w:val="single"/>
          <w:lang w:val="en-US" w:eastAsia="zh-CN"/>
        </w:rPr>
        <w:t xml:space="preserve">  </w:t>
      </w:r>
      <w:r>
        <w:rPr>
          <w:rFonts w:hint="eastAsia" w:ascii="宋体" w:hAnsi="宋体" w:cs="宋体"/>
          <w:color w:val="auto"/>
          <w:kern w:val="0"/>
          <w:sz w:val="22"/>
        </w:rPr>
        <w:t>。</w:t>
      </w:r>
    </w:p>
    <w:p w14:paraId="3026505F">
      <w:pPr>
        <w:pStyle w:val="40"/>
        <w:spacing w:line="360" w:lineRule="exact"/>
        <w:ind w:firstLine="440" w:firstLineChars="200"/>
        <w:jc w:val="left"/>
        <w:rPr>
          <w:rFonts w:hint="eastAsia" w:ascii="宋体" w:hAnsi="宋体" w:cs="宋体"/>
          <w:color w:val="auto"/>
          <w:kern w:val="0"/>
          <w:sz w:val="22"/>
          <w:u w:val="single"/>
        </w:rPr>
      </w:pPr>
      <w:r>
        <w:rPr>
          <w:rFonts w:hint="eastAsia" w:ascii="宋体" w:hAnsi="宋体" w:cs="宋体"/>
          <w:color w:val="auto"/>
          <w:sz w:val="22"/>
        </w:rPr>
        <w:t>关于质量保证金的补充约定：</w:t>
      </w:r>
      <w:r>
        <w:rPr>
          <w:rFonts w:hint="eastAsia" w:ascii="宋体" w:hAnsi="宋体" w:cs="宋体"/>
          <w:color w:val="auto"/>
          <w:sz w:val="22"/>
          <w:u w:val="single"/>
          <w:lang w:val="en-US" w:eastAsia="zh-CN"/>
        </w:rPr>
        <w:t xml:space="preserve"> </w:t>
      </w:r>
      <w:r>
        <w:rPr>
          <w:rFonts w:hint="eastAsia" w:ascii="宋体" w:hAnsi="宋体" w:cs="宋体"/>
          <w:color w:val="auto"/>
          <w:sz w:val="22"/>
          <w:u w:val="single"/>
        </w:rPr>
        <w:t xml:space="preserve">/ </w:t>
      </w:r>
      <w:r>
        <w:rPr>
          <w:rFonts w:hint="eastAsia" w:ascii="宋体" w:hAnsi="宋体" w:cs="宋体"/>
          <w:color w:val="auto"/>
          <w:kern w:val="0"/>
          <w:sz w:val="22"/>
        </w:rPr>
        <w:t>。</w:t>
      </w:r>
    </w:p>
    <w:bookmarkEnd w:id="1034"/>
    <w:bookmarkEnd w:id="1035"/>
    <w:p w14:paraId="2E9E0BE9">
      <w:pPr>
        <w:pStyle w:val="39"/>
        <w:spacing w:line="360" w:lineRule="exact"/>
        <w:ind w:firstLine="442" w:firstLineChars="200"/>
        <w:rPr>
          <w:rFonts w:hint="eastAsia" w:ascii="宋体" w:hAnsi="宋体" w:cs="宋体"/>
          <w:color w:val="auto"/>
          <w:sz w:val="22"/>
          <w:szCs w:val="22"/>
        </w:rPr>
      </w:pPr>
      <w:bookmarkStart w:id="1075" w:name="_Toc533432791"/>
      <w:bookmarkStart w:id="1076" w:name="_Toc395382568"/>
      <w:bookmarkStart w:id="1077" w:name="_Toc12975956"/>
      <w:bookmarkStart w:id="1078" w:name="_Toc373227765"/>
      <w:bookmarkStart w:id="1079" w:name="_Toc389065330"/>
      <w:bookmarkStart w:id="1080" w:name="_Toc373478412"/>
      <w:r>
        <w:rPr>
          <w:rFonts w:hint="eastAsia" w:ascii="宋体" w:hAnsi="宋体" w:cs="宋体"/>
          <w:color w:val="auto"/>
          <w:sz w:val="22"/>
          <w:szCs w:val="22"/>
        </w:rPr>
        <w:t>15.4 保修</w:t>
      </w:r>
      <w:bookmarkEnd w:id="1075"/>
      <w:bookmarkEnd w:id="1076"/>
      <w:bookmarkEnd w:id="1077"/>
      <w:bookmarkEnd w:id="1078"/>
      <w:bookmarkEnd w:id="1079"/>
      <w:bookmarkEnd w:id="1080"/>
    </w:p>
    <w:bookmarkEnd w:id="1036"/>
    <w:p w14:paraId="78A4CD8F">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15.4.1 保修责任</w:t>
      </w:r>
    </w:p>
    <w:p w14:paraId="3875C60C">
      <w:pPr>
        <w:pStyle w:val="4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sz w:val="22"/>
        </w:rPr>
        <w:t>工程保修期为：</w:t>
      </w:r>
      <w:r>
        <w:rPr>
          <w:rFonts w:hint="eastAsia" w:ascii="宋体" w:hAnsi="宋体" w:cs="宋体"/>
          <w:color w:val="auto"/>
          <w:kern w:val="0"/>
          <w:sz w:val="22"/>
          <w:u w:val="single"/>
          <w:lang w:val="en-US" w:eastAsia="zh-CN"/>
        </w:rPr>
        <w:t xml:space="preserve"> </w:t>
      </w:r>
      <w:r>
        <w:rPr>
          <w:rFonts w:hint="eastAsia" w:ascii="宋体" w:hAnsi="宋体" w:cs="宋体"/>
          <w:color w:val="auto"/>
          <w:kern w:val="0"/>
          <w:sz w:val="22"/>
          <w:u w:val="single"/>
        </w:rPr>
        <w:t>见工程质量保修书</w:t>
      </w:r>
      <w:r>
        <w:rPr>
          <w:rFonts w:hint="eastAsia" w:ascii="宋体" w:hAnsi="宋体" w:cs="宋体"/>
          <w:color w:val="auto"/>
          <w:kern w:val="0"/>
          <w:sz w:val="22"/>
          <w:u w:val="single"/>
          <w:lang w:val="en-US" w:eastAsia="zh-CN"/>
        </w:rPr>
        <w:t xml:space="preserve"> </w:t>
      </w:r>
      <w:r>
        <w:rPr>
          <w:rFonts w:hint="eastAsia" w:ascii="宋体" w:hAnsi="宋体" w:cs="宋体"/>
          <w:color w:val="auto"/>
          <w:kern w:val="0"/>
          <w:sz w:val="22"/>
        </w:rPr>
        <w:t>。</w:t>
      </w:r>
    </w:p>
    <w:p w14:paraId="2EE25425">
      <w:pPr>
        <w:pStyle w:val="40"/>
        <w:spacing w:line="360" w:lineRule="exact"/>
        <w:ind w:firstLine="440" w:firstLineChars="200"/>
        <w:jc w:val="left"/>
        <w:rPr>
          <w:rFonts w:hint="eastAsia" w:ascii="宋体" w:hAnsi="宋体" w:cs="宋体"/>
          <w:color w:val="auto"/>
          <w:kern w:val="0"/>
          <w:sz w:val="22"/>
          <w:u w:val="single"/>
        </w:rPr>
      </w:pPr>
      <w:r>
        <w:rPr>
          <w:rFonts w:hint="eastAsia" w:ascii="宋体" w:hAnsi="宋体" w:cs="宋体"/>
          <w:color w:val="auto"/>
          <w:sz w:val="22"/>
        </w:rPr>
        <w:t>工程质量保修书具体内容见合同附件</w:t>
      </w:r>
      <w:r>
        <w:rPr>
          <w:rFonts w:hint="eastAsia" w:ascii="宋体" w:hAnsi="宋体" w:cs="宋体"/>
          <w:color w:val="auto"/>
          <w:sz w:val="22"/>
          <w:lang w:val="en-US" w:eastAsia="zh-CN"/>
        </w:rPr>
        <w:t>2</w:t>
      </w:r>
      <w:r>
        <w:rPr>
          <w:rFonts w:hint="eastAsia" w:ascii="宋体" w:hAnsi="宋体" w:cs="宋体"/>
          <w:color w:val="auto"/>
          <w:sz w:val="22"/>
        </w:rPr>
        <w:t>。</w:t>
      </w:r>
    </w:p>
    <w:p w14:paraId="525233E5">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15.4.3 修复通知</w:t>
      </w:r>
    </w:p>
    <w:p w14:paraId="424D3BF9">
      <w:pPr>
        <w:pStyle w:val="40"/>
        <w:spacing w:line="360" w:lineRule="exact"/>
        <w:ind w:firstLine="440" w:firstLineChars="200"/>
        <w:jc w:val="left"/>
        <w:rPr>
          <w:rFonts w:hint="eastAsia" w:ascii="宋体" w:hAnsi="宋体" w:cs="宋体"/>
          <w:color w:val="auto"/>
          <w:kern w:val="0"/>
          <w:sz w:val="22"/>
          <w:u w:val="single"/>
        </w:rPr>
      </w:pPr>
      <w:r>
        <w:rPr>
          <w:rFonts w:hint="eastAsia" w:ascii="宋体" w:hAnsi="宋体" w:cs="宋体"/>
          <w:color w:val="auto"/>
          <w:kern w:val="0"/>
          <w:sz w:val="22"/>
        </w:rPr>
        <w:t>承包人收到保修通知并到达工程现场的合理时间：</w:t>
      </w:r>
      <w:r>
        <w:rPr>
          <w:rFonts w:hint="eastAsia" w:ascii="宋体" w:hAnsi="宋体" w:cs="宋体"/>
          <w:color w:val="auto"/>
          <w:kern w:val="0"/>
          <w:sz w:val="22"/>
          <w:u w:val="single"/>
          <w:lang w:val="en-US" w:eastAsia="zh-CN"/>
        </w:rPr>
        <w:t xml:space="preserve"> </w:t>
      </w:r>
      <w:r>
        <w:rPr>
          <w:rFonts w:hint="eastAsia" w:ascii="宋体" w:hAnsi="宋体" w:cs="宋体"/>
          <w:color w:val="auto"/>
          <w:kern w:val="0"/>
          <w:sz w:val="22"/>
          <w:u w:val="single"/>
        </w:rPr>
        <w:t>收到通</w:t>
      </w:r>
      <w:r>
        <w:rPr>
          <w:rFonts w:hint="eastAsia" w:ascii="宋体" w:hAnsi="宋体" w:cs="宋体"/>
          <w:color w:val="auto"/>
          <w:kern w:val="0"/>
          <w:sz w:val="22"/>
          <w:highlight w:val="none"/>
          <w:u w:val="single"/>
        </w:rPr>
        <w:t>知后</w:t>
      </w:r>
      <w:r>
        <w:rPr>
          <w:rFonts w:hint="eastAsia" w:ascii="宋体" w:hAnsi="宋体" w:cs="宋体"/>
          <w:color w:val="auto"/>
          <w:kern w:val="0"/>
          <w:sz w:val="22"/>
          <w:highlight w:val="none"/>
          <w:u w:val="single"/>
          <w:lang w:val="en-US" w:eastAsia="zh-CN"/>
        </w:rPr>
        <w:t>48</w:t>
      </w:r>
      <w:r>
        <w:rPr>
          <w:rFonts w:hint="eastAsia" w:ascii="宋体" w:hAnsi="宋体" w:cs="宋体"/>
          <w:color w:val="auto"/>
          <w:kern w:val="0"/>
          <w:sz w:val="22"/>
          <w:highlight w:val="none"/>
          <w:u w:val="single"/>
        </w:rPr>
        <w:t>小时内</w:t>
      </w:r>
      <w:r>
        <w:rPr>
          <w:rFonts w:hint="eastAsia" w:ascii="宋体" w:hAnsi="宋体" w:cs="宋体"/>
          <w:color w:val="auto"/>
          <w:kern w:val="0"/>
          <w:sz w:val="22"/>
          <w:highlight w:val="none"/>
          <w:u w:val="single"/>
          <w:lang w:val="en-US" w:eastAsia="zh-CN"/>
        </w:rPr>
        <w:t xml:space="preserve"> </w:t>
      </w:r>
      <w:r>
        <w:rPr>
          <w:rFonts w:hint="eastAsia" w:ascii="宋体" w:hAnsi="宋体" w:cs="宋体"/>
          <w:color w:val="auto"/>
          <w:kern w:val="0"/>
          <w:sz w:val="22"/>
        </w:rPr>
        <w:t>。</w:t>
      </w:r>
    </w:p>
    <w:bookmarkEnd w:id="1037"/>
    <w:bookmarkEnd w:id="1038"/>
    <w:bookmarkEnd w:id="1039"/>
    <w:bookmarkEnd w:id="1040"/>
    <w:p w14:paraId="7C3F407A">
      <w:pPr>
        <w:pStyle w:val="70"/>
        <w:spacing w:before="0" w:after="0" w:line="360" w:lineRule="exact"/>
        <w:rPr>
          <w:rFonts w:hint="eastAsia" w:ascii="宋体" w:hAnsi="宋体" w:cs="宋体"/>
          <w:color w:val="auto"/>
          <w:sz w:val="22"/>
          <w:szCs w:val="22"/>
        </w:rPr>
      </w:pPr>
      <w:bookmarkStart w:id="1081" w:name="_Toc395382569"/>
      <w:bookmarkStart w:id="1082" w:name="_Toc389065331"/>
      <w:bookmarkStart w:id="1083" w:name="_Toc533432792"/>
      <w:bookmarkStart w:id="1084" w:name="_Toc351203648"/>
      <w:bookmarkStart w:id="1085" w:name="_Toc373478413"/>
      <w:bookmarkStart w:id="1086" w:name="_Toc373227766"/>
      <w:bookmarkStart w:id="1087" w:name="_Toc12975957"/>
      <w:bookmarkStart w:id="1088" w:name="_Toc280868717"/>
      <w:bookmarkStart w:id="1089" w:name="_Toc280868718"/>
    </w:p>
    <w:p w14:paraId="4374E925">
      <w:pPr>
        <w:pStyle w:val="70"/>
        <w:spacing w:before="0" w:after="0" w:line="360" w:lineRule="exact"/>
        <w:ind w:firstLine="442" w:firstLineChars="200"/>
        <w:rPr>
          <w:rFonts w:hint="eastAsia" w:ascii="宋体" w:hAnsi="宋体" w:cs="宋体"/>
          <w:color w:val="auto"/>
          <w:sz w:val="22"/>
          <w:szCs w:val="22"/>
        </w:rPr>
      </w:pPr>
      <w:r>
        <w:rPr>
          <w:rFonts w:hint="eastAsia" w:ascii="宋体" w:hAnsi="宋体" w:cs="宋体"/>
          <w:color w:val="auto"/>
          <w:sz w:val="22"/>
          <w:szCs w:val="22"/>
        </w:rPr>
        <w:t>16. 违约</w:t>
      </w:r>
      <w:bookmarkEnd w:id="1081"/>
      <w:bookmarkEnd w:id="1082"/>
      <w:bookmarkEnd w:id="1083"/>
      <w:bookmarkEnd w:id="1084"/>
      <w:bookmarkEnd w:id="1085"/>
      <w:bookmarkEnd w:id="1086"/>
      <w:bookmarkEnd w:id="1087"/>
    </w:p>
    <w:p w14:paraId="456CF18D">
      <w:pPr>
        <w:pStyle w:val="39"/>
        <w:spacing w:line="360" w:lineRule="exact"/>
        <w:ind w:firstLine="442" w:firstLineChars="200"/>
        <w:rPr>
          <w:rFonts w:hint="eastAsia" w:ascii="宋体" w:hAnsi="宋体" w:cs="宋体"/>
          <w:color w:val="auto"/>
          <w:sz w:val="22"/>
          <w:szCs w:val="22"/>
        </w:rPr>
      </w:pPr>
      <w:bookmarkStart w:id="1090" w:name="_Toc373227767"/>
      <w:bookmarkStart w:id="1091" w:name="_Toc373478414"/>
      <w:bookmarkStart w:id="1092" w:name="_Toc12975958"/>
      <w:bookmarkStart w:id="1093" w:name="_Toc389065332"/>
      <w:bookmarkStart w:id="1094" w:name="_Toc395382570"/>
      <w:bookmarkStart w:id="1095" w:name="_Toc533432793"/>
      <w:r>
        <w:rPr>
          <w:rFonts w:hint="eastAsia" w:ascii="宋体" w:hAnsi="宋体" w:cs="宋体"/>
          <w:color w:val="auto"/>
          <w:sz w:val="22"/>
          <w:szCs w:val="22"/>
        </w:rPr>
        <w:t>16.1 发包人违约</w:t>
      </w:r>
      <w:bookmarkEnd w:id="1090"/>
      <w:bookmarkEnd w:id="1091"/>
      <w:bookmarkEnd w:id="1092"/>
      <w:bookmarkEnd w:id="1093"/>
      <w:bookmarkEnd w:id="1094"/>
      <w:bookmarkEnd w:id="1095"/>
    </w:p>
    <w:p w14:paraId="6CF5A32E">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16.1.1发包人违约的情形</w:t>
      </w:r>
    </w:p>
    <w:p w14:paraId="02FC07AA">
      <w:pPr>
        <w:pStyle w:val="4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kern w:val="0"/>
          <w:sz w:val="22"/>
        </w:rPr>
        <w:t>发包人违约的其他情形：</w:t>
      </w:r>
      <w:r>
        <w:rPr>
          <w:rFonts w:hint="eastAsia" w:ascii="宋体" w:hAnsi="宋体" w:cs="宋体"/>
          <w:color w:val="auto"/>
          <w:kern w:val="0"/>
          <w:sz w:val="22"/>
          <w:u w:val="single"/>
        </w:rPr>
        <w:t xml:space="preserve">无 </w:t>
      </w:r>
      <w:r>
        <w:rPr>
          <w:rFonts w:hint="eastAsia" w:ascii="宋体" w:hAnsi="宋体" w:cs="宋体"/>
          <w:color w:val="auto"/>
          <w:kern w:val="0"/>
          <w:sz w:val="22"/>
        </w:rPr>
        <w:t>。</w:t>
      </w:r>
    </w:p>
    <w:p w14:paraId="7D08213A">
      <w:pPr>
        <w:pStyle w:val="4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kern w:val="0"/>
          <w:sz w:val="22"/>
        </w:rPr>
        <w:t>16.1.2 发包人违约的责任</w:t>
      </w:r>
    </w:p>
    <w:p w14:paraId="5F05E84F">
      <w:pPr>
        <w:pStyle w:val="4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kern w:val="0"/>
          <w:sz w:val="22"/>
        </w:rPr>
        <w:t>发包人违约责任的承担方式和计算方法：</w:t>
      </w:r>
    </w:p>
    <w:p w14:paraId="0DBDD173">
      <w:pPr>
        <w:pStyle w:val="40"/>
        <w:spacing w:line="360" w:lineRule="exact"/>
        <w:ind w:firstLine="440" w:firstLineChars="200"/>
        <w:jc w:val="left"/>
        <w:rPr>
          <w:rFonts w:hint="eastAsia" w:ascii="宋体" w:hAnsi="宋体" w:cs="宋体"/>
          <w:color w:val="auto"/>
          <w:kern w:val="0"/>
          <w:sz w:val="22"/>
          <w:u w:val="single"/>
        </w:rPr>
      </w:pPr>
      <w:r>
        <w:rPr>
          <w:rFonts w:hint="eastAsia" w:ascii="宋体" w:hAnsi="宋体" w:cs="宋体"/>
          <w:color w:val="auto"/>
          <w:kern w:val="0"/>
          <w:sz w:val="22"/>
        </w:rPr>
        <w:t>（1）因发包人原因未能在计划开工日期前7天内下达开工通知的违约责任：</w:t>
      </w:r>
      <w:r>
        <w:rPr>
          <w:rFonts w:hint="eastAsia" w:ascii="宋体" w:hAnsi="宋体" w:cs="宋体"/>
          <w:color w:val="auto"/>
          <w:kern w:val="0"/>
          <w:sz w:val="22"/>
          <w:u w:val="single"/>
        </w:rPr>
        <w:t xml:space="preserve"> 工期顺延 </w:t>
      </w:r>
      <w:r>
        <w:rPr>
          <w:rFonts w:hint="eastAsia" w:ascii="宋体" w:hAnsi="宋体" w:cs="宋体"/>
          <w:color w:val="auto"/>
          <w:kern w:val="0"/>
          <w:sz w:val="22"/>
        </w:rPr>
        <w:t>。</w:t>
      </w:r>
    </w:p>
    <w:p w14:paraId="3122CFA4">
      <w:pPr>
        <w:pStyle w:val="4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kern w:val="0"/>
          <w:sz w:val="22"/>
        </w:rPr>
        <w:t>（2）因发包人原因未能按合同约定支付合同价款的违约责任：</w:t>
      </w:r>
      <w:r>
        <w:rPr>
          <w:rFonts w:hint="eastAsia" w:ascii="宋体" w:hAnsi="宋体" w:cs="宋体"/>
          <w:color w:val="auto"/>
          <w:kern w:val="0"/>
          <w:sz w:val="22"/>
          <w:u w:val="single"/>
        </w:rPr>
        <w:t>无</w:t>
      </w:r>
      <w:r>
        <w:rPr>
          <w:rFonts w:hint="eastAsia" w:ascii="宋体" w:hAnsi="宋体" w:cs="宋体"/>
          <w:color w:val="auto"/>
          <w:kern w:val="0"/>
          <w:sz w:val="22"/>
        </w:rPr>
        <w:t>。</w:t>
      </w:r>
    </w:p>
    <w:p w14:paraId="2B536B0C">
      <w:pPr>
        <w:pStyle w:val="4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kern w:val="0"/>
          <w:sz w:val="22"/>
        </w:rPr>
        <w:t>（3）发包人违反第10.1款〔变更的范围〕第（2）项约定，自行实施被取消的工作或转由他人实施的违约责任：</w:t>
      </w:r>
      <w:r>
        <w:rPr>
          <w:rFonts w:hint="eastAsia" w:ascii="宋体" w:hAnsi="宋体" w:cs="宋体"/>
          <w:color w:val="auto"/>
          <w:kern w:val="0"/>
          <w:sz w:val="22"/>
          <w:u w:val="single"/>
          <w:lang w:val="en-US" w:eastAsia="zh-CN"/>
        </w:rPr>
        <w:t xml:space="preserve"> </w:t>
      </w:r>
      <w:r>
        <w:rPr>
          <w:rFonts w:hint="eastAsia" w:ascii="宋体" w:hAnsi="宋体" w:cs="宋体"/>
          <w:color w:val="auto"/>
          <w:kern w:val="0"/>
          <w:sz w:val="22"/>
          <w:u w:val="single"/>
        </w:rPr>
        <w:t>无</w:t>
      </w:r>
      <w:r>
        <w:rPr>
          <w:rFonts w:hint="eastAsia" w:ascii="宋体" w:hAnsi="宋体" w:cs="宋体"/>
          <w:color w:val="auto"/>
          <w:kern w:val="0"/>
          <w:sz w:val="22"/>
          <w:u w:val="single"/>
          <w:lang w:val="en-US" w:eastAsia="zh-CN"/>
        </w:rPr>
        <w:t xml:space="preserve"> </w:t>
      </w:r>
      <w:r>
        <w:rPr>
          <w:rFonts w:hint="eastAsia" w:ascii="宋体" w:hAnsi="宋体" w:cs="宋体"/>
          <w:color w:val="auto"/>
          <w:kern w:val="0"/>
          <w:sz w:val="22"/>
        </w:rPr>
        <w:t>。</w:t>
      </w:r>
    </w:p>
    <w:p w14:paraId="38C443FA">
      <w:pPr>
        <w:pStyle w:val="4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kern w:val="0"/>
          <w:sz w:val="22"/>
        </w:rPr>
        <w:t>（4）发包人提供的材料、工程设备的规格、数量或质量不符合合同约定，或因发包人原因导致交货日期延误或交货地点变更等情况的违约责任：</w:t>
      </w:r>
      <w:r>
        <w:rPr>
          <w:rFonts w:hint="eastAsia" w:ascii="宋体" w:hAnsi="宋体" w:cs="宋体"/>
          <w:color w:val="auto"/>
          <w:kern w:val="0"/>
          <w:sz w:val="22"/>
          <w:u w:val="single"/>
          <w:lang w:val="en-US" w:eastAsia="zh-CN"/>
        </w:rPr>
        <w:t xml:space="preserve"> </w:t>
      </w:r>
      <w:r>
        <w:rPr>
          <w:rFonts w:hint="eastAsia" w:ascii="宋体" w:hAnsi="宋体" w:cs="宋体"/>
          <w:color w:val="auto"/>
          <w:kern w:val="0"/>
          <w:sz w:val="22"/>
          <w:u w:val="single"/>
        </w:rPr>
        <w:t>工期顺延</w:t>
      </w:r>
      <w:r>
        <w:rPr>
          <w:rFonts w:hint="eastAsia" w:ascii="宋体" w:hAnsi="宋体" w:cs="宋体"/>
          <w:color w:val="auto"/>
          <w:kern w:val="0"/>
          <w:sz w:val="22"/>
          <w:u w:val="single"/>
          <w:lang w:val="en-US" w:eastAsia="zh-CN"/>
        </w:rPr>
        <w:t xml:space="preserve"> </w:t>
      </w:r>
      <w:r>
        <w:rPr>
          <w:rFonts w:hint="eastAsia" w:ascii="宋体" w:hAnsi="宋体" w:cs="宋体"/>
          <w:color w:val="auto"/>
          <w:kern w:val="0"/>
          <w:sz w:val="22"/>
        </w:rPr>
        <w:t>。</w:t>
      </w:r>
    </w:p>
    <w:p w14:paraId="14F93830">
      <w:pPr>
        <w:pStyle w:val="40"/>
        <w:spacing w:line="360" w:lineRule="exact"/>
        <w:ind w:firstLine="440" w:firstLineChars="200"/>
        <w:jc w:val="left"/>
        <w:rPr>
          <w:rFonts w:hint="eastAsia" w:ascii="宋体" w:hAnsi="宋体" w:cs="宋体"/>
          <w:color w:val="auto"/>
          <w:kern w:val="0"/>
          <w:sz w:val="22"/>
          <w:u w:val="single"/>
        </w:rPr>
      </w:pPr>
      <w:r>
        <w:rPr>
          <w:rFonts w:hint="eastAsia" w:ascii="宋体" w:hAnsi="宋体" w:cs="宋体"/>
          <w:color w:val="auto"/>
          <w:kern w:val="0"/>
          <w:sz w:val="22"/>
        </w:rPr>
        <w:t>（5）因发包人违反合同约定造成暂停施工的违约责任：</w:t>
      </w:r>
      <w:r>
        <w:rPr>
          <w:rFonts w:hint="eastAsia" w:ascii="宋体" w:hAnsi="宋体" w:cs="宋体"/>
          <w:color w:val="auto"/>
          <w:kern w:val="0"/>
          <w:sz w:val="22"/>
          <w:u w:val="single"/>
          <w:lang w:val="en-US" w:eastAsia="zh-CN"/>
        </w:rPr>
        <w:t xml:space="preserve"> </w:t>
      </w:r>
      <w:r>
        <w:rPr>
          <w:rFonts w:hint="eastAsia" w:ascii="宋体" w:hAnsi="宋体" w:cs="宋体"/>
          <w:color w:val="auto"/>
          <w:kern w:val="0"/>
          <w:sz w:val="22"/>
          <w:u w:val="single"/>
        </w:rPr>
        <w:t>工期顺延</w:t>
      </w:r>
      <w:r>
        <w:rPr>
          <w:rFonts w:hint="eastAsia" w:ascii="宋体" w:hAnsi="宋体" w:cs="宋体"/>
          <w:color w:val="auto"/>
          <w:kern w:val="0"/>
          <w:sz w:val="22"/>
          <w:u w:val="single"/>
          <w:lang w:val="en-US" w:eastAsia="zh-CN"/>
        </w:rPr>
        <w:t xml:space="preserve"> </w:t>
      </w:r>
      <w:r>
        <w:rPr>
          <w:rFonts w:hint="eastAsia" w:ascii="宋体" w:hAnsi="宋体" w:cs="宋体"/>
          <w:color w:val="auto"/>
          <w:kern w:val="0"/>
          <w:sz w:val="22"/>
        </w:rPr>
        <w:t>。</w:t>
      </w:r>
    </w:p>
    <w:p w14:paraId="1F0A8FA5">
      <w:pPr>
        <w:pStyle w:val="4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kern w:val="0"/>
          <w:sz w:val="22"/>
        </w:rPr>
        <w:t>（6）发包人无正当理由没有在约定期限内发出复工指示，导致承包人无法复工的违约责任：</w:t>
      </w:r>
      <w:r>
        <w:rPr>
          <w:rFonts w:hint="eastAsia" w:ascii="宋体" w:hAnsi="宋体" w:cs="宋体"/>
          <w:color w:val="auto"/>
          <w:kern w:val="0"/>
          <w:sz w:val="22"/>
          <w:u w:val="single"/>
        </w:rPr>
        <w:t xml:space="preserve"> 工期顺延</w:t>
      </w:r>
      <w:r>
        <w:rPr>
          <w:rFonts w:hint="eastAsia" w:ascii="宋体" w:hAnsi="宋体" w:cs="宋体"/>
          <w:color w:val="auto"/>
          <w:kern w:val="0"/>
          <w:sz w:val="22"/>
        </w:rPr>
        <w:t>。</w:t>
      </w:r>
    </w:p>
    <w:p w14:paraId="09636A31">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kern w:val="0"/>
          <w:sz w:val="22"/>
        </w:rPr>
        <w:t>（7）其他：</w:t>
      </w:r>
      <w:r>
        <w:rPr>
          <w:rFonts w:hint="eastAsia" w:ascii="宋体" w:hAnsi="宋体" w:cs="宋体"/>
          <w:color w:val="auto"/>
          <w:kern w:val="0"/>
          <w:sz w:val="22"/>
          <w:u w:val="single"/>
        </w:rPr>
        <w:t xml:space="preserve">无 </w:t>
      </w:r>
      <w:r>
        <w:rPr>
          <w:rFonts w:hint="eastAsia" w:ascii="宋体" w:hAnsi="宋体" w:cs="宋体"/>
          <w:color w:val="auto"/>
          <w:kern w:val="0"/>
          <w:sz w:val="22"/>
        </w:rPr>
        <w:t>。</w:t>
      </w:r>
    </w:p>
    <w:p w14:paraId="3B7BDD59">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16.1.3 因发包人违约解除合同</w:t>
      </w:r>
    </w:p>
    <w:p w14:paraId="37665A16">
      <w:pPr>
        <w:pStyle w:val="39"/>
        <w:spacing w:line="360" w:lineRule="exact"/>
        <w:ind w:firstLine="440" w:firstLineChars="200"/>
        <w:rPr>
          <w:rFonts w:hint="eastAsia" w:ascii="宋体" w:hAnsi="宋体" w:cs="宋体"/>
          <w:b w:val="0"/>
          <w:bCs w:val="0"/>
          <w:color w:val="auto"/>
          <w:kern w:val="0"/>
          <w:sz w:val="22"/>
          <w:szCs w:val="22"/>
        </w:rPr>
      </w:pPr>
      <w:bookmarkStart w:id="1096" w:name="_Toc12975959"/>
      <w:bookmarkStart w:id="1097" w:name="_Toc533432794"/>
      <w:bookmarkStart w:id="1098" w:name="_Toc373478415"/>
      <w:bookmarkStart w:id="1099" w:name="_Toc395382571"/>
      <w:bookmarkStart w:id="1100" w:name="_Toc373227768"/>
      <w:bookmarkStart w:id="1101" w:name="_Toc389065333"/>
      <w:r>
        <w:rPr>
          <w:rFonts w:hint="eastAsia" w:ascii="宋体" w:hAnsi="宋体" w:cs="宋体"/>
          <w:b w:val="0"/>
          <w:bCs w:val="0"/>
          <w:color w:val="auto"/>
          <w:kern w:val="0"/>
          <w:sz w:val="22"/>
          <w:szCs w:val="22"/>
        </w:rPr>
        <w:t>承包人按16.1.1项〔发包人违约的情形〕约定暂停施工满</w:t>
      </w:r>
      <w:r>
        <w:rPr>
          <w:rFonts w:hint="eastAsia" w:ascii="宋体" w:hAnsi="宋体" w:cs="宋体"/>
          <w:b w:val="0"/>
          <w:bCs w:val="0"/>
          <w:color w:val="auto"/>
          <w:kern w:val="0"/>
          <w:sz w:val="22"/>
          <w:szCs w:val="22"/>
          <w:u w:val="single"/>
        </w:rPr>
        <w:t>84</w:t>
      </w:r>
      <w:r>
        <w:rPr>
          <w:rFonts w:hint="eastAsia" w:ascii="宋体" w:hAnsi="宋体" w:cs="宋体"/>
          <w:b w:val="0"/>
          <w:bCs w:val="0"/>
          <w:color w:val="auto"/>
          <w:kern w:val="0"/>
          <w:sz w:val="22"/>
          <w:szCs w:val="22"/>
        </w:rPr>
        <w:t>天后发包人仍不纠正其违约行为并致使合同目的不能实现的，承包人有权解除合同。</w:t>
      </w:r>
      <w:bookmarkEnd w:id="1096"/>
      <w:bookmarkEnd w:id="1097"/>
    </w:p>
    <w:p w14:paraId="2BEE0223">
      <w:pPr>
        <w:pStyle w:val="39"/>
        <w:spacing w:line="360" w:lineRule="exact"/>
        <w:ind w:firstLine="442" w:firstLineChars="200"/>
        <w:rPr>
          <w:rFonts w:hint="eastAsia" w:ascii="宋体" w:hAnsi="宋体" w:cs="宋体"/>
          <w:color w:val="auto"/>
          <w:sz w:val="22"/>
          <w:szCs w:val="22"/>
        </w:rPr>
      </w:pPr>
      <w:bookmarkStart w:id="1102" w:name="_Toc12975960"/>
      <w:bookmarkStart w:id="1103" w:name="_Toc533432795"/>
      <w:r>
        <w:rPr>
          <w:rFonts w:hint="eastAsia" w:ascii="宋体" w:hAnsi="宋体" w:cs="宋体"/>
          <w:color w:val="auto"/>
          <w:sz w:val="22"/>
          <w:szCs w:val="22"/>
        </w:rPr>
        <w:t>16.2 承包人违约</w:t>
      </w:r>
      <w:bookmarkEnd w:id="1098"/>
      <w:bookmarkEnd w:id="1099"/>
      <w:bookmarkEnd w:id="1100"/>
      <w:bookmarkEnd w:id="1101"/>
      <w:bookmarkEnd w:id="1102"/>
      <w:bookmarkEnd w:id="1103"/>
    </w:p>
    <w:p w14:paraId="2EF2AFF1">
      <w:pPr>
        <w:pStyle w:val="4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kern w:val="0"/>
          <w:sz w:val="22"/>
        </w:rPr>
        <w:t>16.2.1 承包人违约的情形</w:t>
      </w:r>
    </w:p>
    <w:p w14:paraId="2C09AF7E">
      <w:pPr>
        <w:pStyle w:val="60"/>
        <w:spacing w:line="360" w:lineRule="exact"/>
        <w:ind w:firstLine="440" w:firstLineChars="200"/>
        <w:jc w:val="left"/>
        <w:rPr>
          <w:rFonts w:hint="eastAsia" w:ascii="宋体" w:hAnsi="宋体" w:cs="宋体"/>
          <w:color w:val="auto"/>
          <w:kern w:val="0"/>
          <w:sz w:val="22"/>
          <w:szCs w:val="22"/>
        </w:rPr>
      </w:pPr>
      <w:r>
        <w:rPr>
          <w:rFonts w:hint="eastAsia" w:ascii="宋体" w:hAnsi="宋体" w:cs="宋体"/>
          <w:color w:val="auto"/>
          <w:kern w:val="0"/>
          <w:sz w:val="22"/>
          <w:szCs w:val="22"/>
        </w:rPr>
        <w:t>承包人违约的其他情形：</w:t>
      </w:r>
    </w:p>
    <w:p w14:paraId="38605BA7">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（9）承包人未经发包人、监理人事先同意，擅自更换合同工程项目经理、技术负责人或其他主要管理人员</w:t>
      </w:r>
      <w:r>
        <w:rPr>
          <w:rFonts w:hint="eastAsia" w:ascii="宋体" w:hAnsi="宋体" w:cs="宋体"/>
          <w:color w:val="auto"/>
          <w:sz w:val="22"/>
          <w:szCs w:val="22"/>
          <w:u w:val="none"/>
        </w:rPr>
        <w:t>。</w:t>
      </w:r>
    </w:p>
    <w:p w14:paraId="26EA9A8F">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（10）将工程预付款、进度款以及发包人支付用于本项目的其他费用挪作他用。</w:t>
      </w:r>
    </w:p>
    <w:p w14:paraId="09466B9C">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（11）承包人违反第8.2款的约定使用了不合格的材料或工程设备又拒绝清除不合格的材料或工程设备，或因使用了不合格的材料或工程设备导致工程质量达不到标准要求又拒绝清除或修复不合格工程。</w:t>
      </w:r>
    </w:p>
    <w:p w14:paraId="661AAF01">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（12）承包人违反第8.5款的约定使用了不合格的材料或工程设备或工程质量达不到标准要求等造成安全质量事故。</w:t>
      </w:r>
    </w:p>
    <w:p w14:paraId="78EFDE03">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（13）合同工程竣工后，经两次验收仍不能达到合同约定的质量标准。</w:t>
      </w:r>
    </w:p>
    <w:p w14:paraId="5A43A514">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14）承包人拒绝执行发包人或监理人发出的关于本工程的指令的；或以磋商工程量清单中的措施项目出现错误、缺项、漏项情况为由，拒绝执行相应部分内容施工的；或以变更或增加部分与本合同无实质性关联为由，拒绝执行的；或以变更增加部分子目单价低为由拒绝执行的；或超出以变更增加部分子目施工能力范围等为由拒绝执行的；或拒绝执行合同约定的其他情形的。</w:t>
      </w:r>
    </w:p>
    <w:p w14:paraId="2BF34CB3">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（15）如果承包人或承包人的工作人员（不论承包人是否知晓）以贿赂或变相贿赂的方式，谋取不当利益或损害发包人权益的。</w:t>
      </w:r>
    </w:p>
    <w:p w14:paraId="5B7E96CF">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（16</w:t>
      </w:r>
      <w:r>
        <w:rPr>
          <w:rFonts w:hint="eastAsia" w:ascii="宋体" w:hAnsi="宋体" w:cs="宋体"/>
          <w:color w:val="auto"/>
          <w:sz w:val="22"/>
          <w:szCs w:val="22"/>
          <w:u w:val="single"/>
          <w:lang w:eastAsia="zh-CN"/>
        </w:rPr>
        <w:t>）</w:t>
      </w:r>
      <w:r>
        <w:rPr>
          <w:rFonts w:hint="eastAsia" w:ascii="宋体" w:hAnsi="宋体" w:cs="宋体"/>
          <w:color w:val="auto"/>
          <w:sz w:val="22"/>
          <w:szCs w:val="22"/>
          <w:u w:val="single"/>
        </w:rPr>
        <w:t xml:space="preserve"> 未经验收或验收不合格，擅自进行隐蔽工程的覆盖或其他工程下道工序的施工，或验收合格后到隐蔽施工前对通过隐蔽验收的合格部分有任何改动。</w:t>
      </w:r>
    </w:p>
    <w:p w14:paraId="7514DE64">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（17）承包人在缺陷责任期内，未能对缺陷责任期内发生的缺陷进行修复而又拒绝按发包人或监理人指示再进行修补或同一部位出现二次以上维修的。</w:t>
      </w:r>
    </w:p>
    <w:p w14:paraId="5551770B">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（18）承包人无法定或合同约定依据，而未能按期开工、暂停施工或以暂停施工相威胁，连续或累计超过7天（含7天）。</w:t>
      </w:r>
    </w:p>
    <w:p w14:paraId="133BE36A">
      <w:pPr>
        <w:pStyle w:val="60"/>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u w:val="single"/>
        </w:rPr>
        <w:t>（19）承包人逾期竣工超过60天（含60天）或磋商文件承诺的节点或修改的施工组织设计承诺的节点逾期超过30天（含30天）。</w:t>
      </w:r>
    </w:p>
    <w:p w14:paraId="4998C684">
      <w:pPr>
        <w:pStyle w:val="60"/>
        <w:spacing w:line="360" w:lineRule="exact"/>
        <w:ind w:firstLine="440" w:firstLineChars="200"/>
        <w:jc w:val="left"/>
        <w:rPr>
          <w:rFonts w:hint="eastAsia" w:ascii="宋体" w:hAnsi="宋体" w:cs="宋体"/>
          <w:color w:val="auto"/>
          <w:kern w:val="0"/>
          <w:sz w:val="22"/>
          <w:u w:val="single"/>
        </w:rPr>
      </w:pPr>
      <w:r>
        <w:rPr>
          <w:rFonts w:hint="eastAsia" w:ascii="宋体" w:hAnsi="宋体" w:cs="宋体"/>
          <w:color w:val="auto"/>
          <w:sz w:val="22"/>
          <w:szCs w:val="22"/>
          <w:u w:val="single"/>
        </w:rPr>
        <w:t>（20）承包人的雇员或其分包人的雇员、或承包人的供应商扰乱发包人生产、生活秩序的。</w:t>
      </w:r>
    </w:p>
    <w:p w14:paraId="472BE5D7">
      <w:pPr>
        <w:pStyle w:val="4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kern w:val="0"/>
          <w:sz w:val="22"/>
        </w:rPr>
        <w:t>16.2.2承包人违约的责任</w:t>
      </w:r>
    </w:p>
    <w:p w14:paraId="192EA61D">
      <w:pPr>
        <w:pStyle w:val="4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kern w:val="0"/>
          <w:sz w:val="22"/>
        </w:rPr>
        <w:t>承包人违约责任的承担方式和计算方法：</w:t>
      </w:r>
    </w:p>
    <w:p w14:paraId="4B84944C">
      <w:pPr>
        <w:pStyle w:val="6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（1）对承包人违约的处理</w:t>
      </w:r>
    </w:p>
    <w:p w14:paraId="5A31CEE0">
      <w:pPr>
        <w:pStyle w:val="6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1）承包人发生本合同《</w:t>
      </w:r>
      <w:r>
        <w:rPr>
          <w:rFonts w:hint="eastAsia" w:ascii="宋体" w:hAnsi="宋体" w:cs="宋体"/>
          <w:color w:val="auto"/>
          <w:sz w:val="22"/>
          <w:szCs w:val="22"/>
          <w:lang w:eastAsia="zh-CN"/>
        </w:rPr>
        <w:t>通用合同条款</w:t>
      </w:r>
      <w:r>
        <w:rPr>
          <w:rFonts w:hint="eastAsia" w:ascii="宋体" w:hAnsi="宋体" w:cs="宋体"/>
          <w:color w:val="auto"/>
          <w:sz w:val="22"/>
          <w:szCs w:val="22"/>
        </w:rPr>
        <w:t>》及《专用条款》第16.2.1项中</w:t>
      </w:r>
      <w:r>
        <w:rPr>
          <w:rFonts w:hint="eastAsia" w:ascii="宋体" w:hAnsi="宋体" w:cs="宋体"/>
          <w:color w:val="auto"/>
          <w:sz w:val="22"/>
          <w:szCs w:val="22"/>
          <w:lang w:eastAsia="zh-CN"/>
        </w:rPr>
        <w:t>（9）（12）</w:t>
      </w:r>
      <w:r>
        <w:rPr>
          <w:rFonts w:hint="eastAsia" w:ascii="宋体" w:hAnsi="宋体" w:cs="宋体"/>
          <w:color w:val="auto"/>
          <w:sz w:val="22"/>
          <w:szCs w:val="22"/>
        </w:rPr>
        <w:t>（18）、</w:t>
      </w:r>
      <w:r>
        <w:rPr>
          <w:rFonts w:hint="eastAsia" w:ascii="宋体" w:hAnsi="宋体" w:cs="宋体"/>
          <w:color w:val="auto"/>
          <w:sz w:val="22"/>
          <w:szCs w:val="22"/>
          <w:lang w:eastAsia="zh-CN"/>
        </w:rPr>
        <w:t>（19）</w:t>
      </w:r>
      <w:r>
        <w:rPr>
          <w:rFonts w:hint="eastAsia" w:ascii="宋体" w:hAnsi="宋体" w:cs="宋体"/>
          <w:color w:val="auto"/>
          <w:sz w:val="22"/>
          <w:szCs w:val="22"/>
        </w:rPr>
        <w:t>（20）目约定的违约情况时，除按照专用条款的约定支付违约金外，发包人可通知承包人立即解除合同，承包人应承担由此给发包人造成的一切损失。</w:t>
      </w:r>
    </w:p>
    <w:p w14:paraId="3E63CECC">
      <w:pPr>
        <w:pStyle w:val="6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2）承包人发生第16.2.1项中（13）的违约情况时，如合同工程第一次验收不合格，承包人应将不符合质量标准的部分进行整改直至符合标准，费用由承包人承担。如第二次仍验收不合格的，发包人有权立即解除合同，并另行委托他人重建或修复，重建或修复费用由承包人承担，发包人有权直接从应付或拟付承包人的任何款项中扣除。同时，承包人应按专用条款的约定支付违约金及赔偿损失。</w:t>
      </w:r>
    </w:p>
    <w:p w14:paraId="022AD8F8">
      <w:pPr>
        <w:pStyle w:val="6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3）承包人发生第16.2.1项中（14）的违约情况时，承包人应按专用条款的约定支付违约金，且因承包人未在指定时间内执行的，发包人可自行将该部分工程或全部工程交由第三方实施，因此额外支出的费用及造成的工期延误责任均由承包人承担。如该工程是对已标价工程量清单内已有工作子目或类似子目变更的，则由此额外产生的费用及款项，发包人有权从应付或拟付给承包人的任何款项中直接扣除；如该工程在已标价工程量清单内没有相同或类似规定的，则该工程实际产生的工程款按第10.4计算的工程款或较按第10.4计算出的款项而多出的款项或费用将从应付或拟付给承包人的任何款项中直接扣除。同时，发包人有权解除本合同。</w:t>
      </w:r>
    </w:p>
    <w:p w14:paraId="469FE1A1">
      <w:pPr>
        <w:pStyle w:val="6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4）承包人发生第16.2.1项中（15）的违约情况时，发包人将根据相关法律规定及合同约定追究承包人的法律责任，承包人因此等行为获得的额外费用必须退还发包人，造成的工程损害、发包人的经济损失的，承包人应负一切责任，并予赔偿。情节严重者，发包人并有权解除本合同。</w:t>
      </w:r>
    </w:p>
    <w:p w14:paraId="459729DC">
      <w:pPr>
        <w:pStyle w:val="6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5）承包人发生除第16.2.1项中（1）、</w:t>
      </w:r>
      <w:r>
        <w:rPr>
          <w:rFonts w:hint="eastAsia" w:ascii="宋体" w:hAnsi="宋体" w:cs="宋体"/>
          <w:color w:val="auto"/>
          <w:sz w:val="22"/>
          <w:szCs w:val="22"/>
          <w:lang w:eastAsia="zh-CN"/>
        </w:rPr>
        <w:t>（3）（4）（7）（8）（9）（12）（13）（14）（15）</w:t>
      </w:r>
      <w:r>
        <w:rPr>
          <w:rFonts w:hint="eastAsia" w:ascii="宋体" w:hAnsi="宋体" w:cs="宋体"/>
          <w:color w:val="auto"/>
          <w:sz w:val="22"/>
          <w:szCs w:val="22"/>
        </w:rPr>
        <w:t>（18）</w:t>
      </w:r>
      <w:r>
        <w:rPr>
          <w:rFonts w:hint="eastAsia" w:ascii="宋体" w:hAnsi="宋体" w:cs="宋体"/>
          <w:color w:val="auto"/>
          <w:sz w:val="22"/>
          <w:szCs w:val="22"/>
          <w:lang w:eastAsia="zh-CN"/>
        </w:rPr>
        <w:t>（19）</w:t>
      </w:r>
      <w:r>
        <w:rPr>
          <w:rFonts w:hint="eastAsia" w:ascii="宋体" w:hAnsi="宋体" w:cs="宋体"/>
          <w:color w:val="auto"/>
          <w:sz w:val="22"/>
          <w:szCs w:val="22"/>
        </w:rPr>
        <w:t>（20）目约定以外的其他违约情况时，承包人均须按照专用条款的约定支付违约金，发包人即可直接向承包人发出解除合同的通知，并可向承包人发出整改通知，要求承包人在指定的期限内自费改正。如承包人在指定期限内整改但仍然造成工期延误的，承包人还应按本合同约定承担工期延误责任；如承包人未在指定期限内整改的，发包人可向承包人发出调换项目部（包括但不限于所有管理人员）的通知，如果承包人不执行或项目部调换后仍然不能履约，发包人则可向承包人发出解除合同通知。</w:t>
      </w:r>
    </w:p>
    <w:p w14:paraId="4D6EF2A4">
      <w:pPr>
        <w:pStyle w:val="6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6）承包人按上述约定承担违约责任后，在合同未解除的情况下，发包人仍要求承包人继续履行本合同的，承包人应当继续履行合同。</w:t>
      </w:r>
    </w:p>
    <w:p w14:paraId="692125BB">
      <w:pPr>
        <w:pStyle w:val="60"/>
        <w:spacing w:line="360" w:lineRule="exact"/>
        <w:ind w:firstLine="482" w:firstLineChars="200"/>
        <w:jc w:val="left"/>
        <w:rPr>
          <w:rFonts w:hint="eastAsia" w:ascii="方正小标宋简体" w:hAnsi="方正小标宋简体" w:eastAsia="方正小标宋简体" w:cs="方正小标宋简体"/>
          <w:b/>
          <w:bCs/>
          <w:color w:val="auto"/>
          <w:sz w:val="24"/>
          <w:szCs w:val="24"/>
        </w:rPr>
      </w:pPr>
      <w:r>
        <w:rPr>
          <w:rFonts w:hint="eastAsia" w:ascii="方正小标宋简体" w:hAnsi="方正小标宋简体" w:eastAsia="方正小标宋简体" w:cs="方正小标宋简体"/>
          <w:b/>
          <w:bCs/>
          <w:color w:val="auto"/>
          <w:sz w:val="24"/>
          <w:szCs w:val="24"/>
        </w:rPr>
        <w:t>7）承包人发生</w:t>
      </w:r>
      <w:r>
        <w:rPr>
          <w:rFonts w:hint="eastAsia" w:ascii="方正小标宋简体" w:hAnsi="方正小标宋简体" w:eastAsia="方正小标宋简体" w:cs="方正小标宋简体"/>
          <w:b/>
          <w:bCs/>
          <w:color w:val="auto"/>
          <w:sz w:val="24"/>
          <w:szCs w:val="24"/>
          <w:lang w:eastAsia="zh-CN"/>
        </w:rPr>
        <w:t>通用合同条款</w:t>
      </w:r>
      <w:r>
        <w:rPr>
          <w:rFonts w:hint="eastAsia" w:ascii="方正小标宋简体" w:hAnsi="方正小标宋简体" w:eastAsia="方正小标宋简体" w:cs="方正小标宋简体"/>
          <w:b/>
          <w:bCs/>
          <w:color w:val="auto"/>
          <w:sz w:val="24"/>
          <w:szCs w:val="24"/>
        </w:rPr>
        <w:t>和专用条款第16.2.2约定的违约情况时，无论发包人是否解除合同，发包人均有权向承包人课以专用合同条款中规定的违约金，并由发包人将其违约行为</w:t>
      </w:r>
      <w:r>
        <w:rPr>
          <w:rFonts w:hint="eastAsia" w:ascii="方正小标宋简体" w:hAnsi="方正小标宋简体" w:eastAsia="方正小标宋简体" w:cs="方正小标宋简体"/>
          <w:b/>
          <w:bCs/>
          <w:color w:val="auto"/>
          <w:sz w:val="24"/>
          <w:szCs w:val="24"/>
          <w:lang w:val="en-US" w:eastAsia="zh-CN"/>
        </w:rPr>
        <w:t>告知</w:t>
      </w:r>
      <w:r>
        <w:rPr>
          <w:rFonts w:hint="eastAsia" w:ascii="方正小标宋简体" w:hAnsi="方正小标宋简体" w:eastAsia="方正小标宋简体" w:cs="方正小标宋简体"/>
          <w:b/>
          <w:bCs/>
          <w:color w:val="auto"/>
          <w:sz w:val="24"/>
          <w:szCs w:val="24"/>
        </w:rPr>
        <w:t>防城港市港口区住建主管部门，作为</w:t>
      </w:r>
      <w:r>
        <w:rPr>
          <w:rFonts w:hint="eastAsia" w:ascii="方正小标宋简体" w:hAnsi="方正小标宋简体" w:eastAsia="方正小标宋简体" w:cs="方正小标宋简体"/>
          <w:b/>
          <w:bCs/>
          <w:color w:val="auto"/>
          <w:sz w:val="24"/>
          <w:szCs w:val="24"/>
          <w:lang w:val="en-US" w:eastAsia="zh-CN"/>
        </w:rPr>
        <w:t>承包方</w:t>
      </w:r>
      <w:r>
        <w:rPr>
          <w:rFonts w:hint="eastAsia" w:ascii="方正小标宋简体" w:hAnsi="方正小标宋简体" w:eastAsia="方正小标宋简体" w:cs="方正小标宋简体"/>
          <w:b/>
          <w:bCs/>
          <w:color w:val="auto"/>
          <w:sz w:val="24"/>
          <w:szCs w:val="24"/>
        </w:rPr>
        <w:t>不良记录纳入建筑市场信用信息管理系统。</w:t>
      </w:r>
    </w:p>
    <w:p w14:paraId="1BE348A2">
      <w:pPr>
        <w:pStyle w:val="60"/>
        <w:spacing w:line="360" w:lineRule="exact"/>
        <w:ind w:firstLine="482" w:firstLineChars="200"/>
        <w:jc w:val="left"/>
        <w:rPr>
          <w:rFonts w:hint="eastAsia" w:ascii="方正小标宋简体" w:hAnsi="方正小标宋简体" w:eastAsia="方正小标宋简体" w:cs="方正小标宋简体"/>
          <w:b/>
          <w:bCs/>
          <w:color w:val="auto"/>
          <w:sz w:val="24"/>
          <w:szCs w:val="24"/>
          <w:highlight w:val="none"/>
        </w:rPr>
      </w:pPr>
      <w:r>
        <w:rPr>
          <w:rFonts w:hint="eastAsia" w:ascii="方正小标宋简体" w:hAnsi="方正小标宋简体" w:eastAsia="方正小标宋简体" w:cs="方正小标宋简体"/>
          <w:b/>
          <w:bCs/>
          <w:color w:val="auto"/>
          <w:sz w:val="24"/>
          <w:szCs w:val="24"/>
          <w:highlight w:val="none"/>
        </w:rPr>
        <w:t>8）承包人不得以任何理由迟缓工程建设，如承包方不主动作为，不推进工程进度，造成项目无法按时竣工投入使用，影响学校正常教学秩序，发包人有权将</w:t>
      </w:r>
      <w:r>
        <w:rPr>
          <w:rFonts w:hint="eastAsia" w:ascii="方正小标宋简体" w:hAnsi="方正小标宋简体" w:eastAsia="方正小标宋简体" w:cs="方正小标宋简体"/>
          <w:b/>
          <w:bCs/>
          <w:color w:val="auto"/>
          <w:sz w:val="24"/>
          <w:szCs w:val="24"/>
          <w:highlight w:val="none"/>
          <w:lang w:val="en-US" w:eastAsia="zh-CN"/>
        </w:rPr>
        <w:t>承包</w:t>
      </w:r>
      <w:r>
        <w:rPr>
          <w:rFonts w:hint="eastAsia" w:ascii="方正小标宋简体" w:hAnsi="方正小标宋简体" w:eastAsia="方正小标宋简体" w:cs="方正小标宋简体"/>
          <w:b/>
          <w:bCs/>
          <w:color w:val="auto"/>
          <w:sz w:val="24"/>
          <w:szCs w:val="24"/>
          <w:highlight w:val="none"/>
        </w:rPr>
        <w:t>人纳入黑名单，十年内不得参与包括但不限于港口区教育系统的基建项目工程承包活动。</w:t>
      </w:r>
    </w:p>
    <w:p w14:paraId="14A0A996">
      <w:pPr>
        <w:pStyle w:val="60"/>
        <w:spacing w:line="360" w:lineRule="exact"/>
        <w:ind w:firstLine="482" w:firstLineChars="200"/>
        <w:jc w:val="left"/>
        <w:rPr>
          <w:rFonts w:hint="default" w:ascii="宋体" w:hAnsi="宋体" w:eastAsia="宋体" w:cs="宋体"/>
          <w:b/>
          <w:bCs/>
          <w:color w:val="auto"/>
          <w:sz w:val="24"/>
          <w:szCs w:val="24"/>
          <w:highlight w:val="none"/>
          <w:lang w:val="en-US" w:eastAsia="zh-CN"/>
        </w:rPr>
      </w:pPr>
      <w:r>
        <w:rPr>
          <w:rFonts w:hint="eastAsia" w:ascii="方正小标宋简体" w:hAnsi="方正小标宋简体" w:eastAsia="方正小标宋简体" w:cs="方正小标宋简体"/>
          <w:b/>
          <w:bCs/>
          <w:color w:val="auto"/>
          <w:sz w:val="24"/>
          <w:szCs w:val="24"/>
          <w:highlight w:val="none"/>
          <w:lang w:val="en-US" w:eastAsia="zh-CN"/>
        </w:rPr>
        <w:t>9）承包方要按时足额支付人工工资。因承包方原因拖欠人工工资的，一经发现，</w:t>
      </w:r>
      <w:r>
        <w:rPr>
          <w:rFonts w:hint="eastAsia" w:ascii="方正小标宋简体" w:hAnsi="方正小标宋简体" w:eastAsia="方正小标宋简体" w:cs="方正小标宋简体"/>
          <w:b/>
          <w:bCs/>
          <w:color w:val="auto"/>
          <w:sz w:val="24"/>
          <w:szCs w:val="24"/>
          <w:highlight w:val="none"/>
        </w:rPr>
        <w:t>发包人有权将</w:t>
      </w:r>
      <w:r>
        <w:rPr>
          <w:rFonts w:hint="eastAsia" w:ascii="方正小标宋简体" w:hAnsi="方正小标宋简体" w:eastAsia="方正小标宋简体" w:cs="方正小标宋简体"/>
          <w:b/>
          <w:bCs/>
          <w:color w:val="auto"/>
          <w:sz w:val="24"/>
          <w:szCs w:val="24"/>
          <w:highlight w:val="none"/>
          <w:lang w:val="en-US" w:eastAsia="zh-CN"/>
        </w:rPr>
        <w:t>承包</w:t>
      </w:r>
      <w:r>
        <w:rPr>
          <w:rFonts w:hint="eastAsia" w:ascii="方正小标宋简体" w:hAnsi="方正小标宋简体" w:eastAsia="方正小标宋简体" w:cs="方正小标宋简体"/>
          <w:b/>
          <w:bCs/>
          <w:color w:val="auto"/>
          <w:sz w:val="24"/>
          <w:szCs w:val="24"/>
          <w:highlight w:val="none"/>
        </w:rPr>
        <w:t>人纳入黑名单，十年内不得参与包括但不限于港口区教育系统的基建项目工程承包活动</w:t>
      </w:r>
      <w:r>
        <w:rPr>
          <w:rFonts w:hint="eastAsia" w:ascii="方正小标宋简体" w:hAnsi="方正小标宋简体" w:eastAsia="方正小标宋简体" w:cs="方正小标宋简体"/>
          <w:b/>
          <w:bCs/>
          <w:color w:val="auto"/>
          <w:sz w:val="24"/>
          <w:szCs w:val="24"/>
          <w:highlight w:val="none"/>
          <w:lang w:eastAsia="zh-CN"/>
        </w:rPr>
        <w:t>，</w:t>
      </w:r>
      <w:r>
        <w:rPr>
          <w:rFonts w:hint="eastAsia" w:ascii="方正小标宋简体" w:hAnsi="方正小标宋简体" w:eastAsia="方正小标宋简体" w:cs="方正小标宋简体"/>
          <w:b/>
          <w:bCs/>
          <w:color w:val="auto"/>
          <w:sz w:val="24"/>
          <w:szCs w:val="24"/>
          <w:highlight w:val="none"/>
        </w:rPr>
        <w:t>并由发包人将其违约行为</w:t>
      </w:r>
      <w:r>
        <w:rPr>
          <w:rFonts w:hint="eastAsia" w:ascii="方正小标宋简体" w:hAnsi="方正小标宋简体" w:eastAsia="方正小标宋简体" w:cs="方正小标宋简体"/>
          <w:b/>
          <w:bCs/>
          <w:color w:val="auto"/>
          <w:sz w:val="24"/>
          <w:szCs w:val="24"/>
          <w:highlight w:val="none"/>
          <w:lang w:val="en-US" w:eastAsia="zh-CN"/>
        </w:rPr>
        <w:t>告知</w:t>
      </w:r>
      <w:r>
        <w:rPr>
          <w:rFonts w:hint="eastAsia" w:ascii="方正小标宋简体" w:hAnsi="方正小标宋简体" w:eastAsia="方正小标宋简体" w:cs="方正小标宋简体"/>
          <w:b/>
          <w:bCs/>
          <w:color w:val="auto"/>
          <w:sz w:val="24"/>
          <w:szCs w:val="24"/>
          <w:highlight w:val="none"/>
          <w:lang w:eastAsia="zh-CN"/>
        </w:rPr>
        <w:t>防城港市港口区民政局</w:t>
      </w:r>
      <w:r>
        <w:rPr>
          <w:rFonts w:hint="eastAsia" w:ascii="方正小标宋简体" w:hAnsi="方正小标宋简体" w:eastAsia="方正小标宋简体" w:cs="方正小标宋简体"/>
          <w:b/>
          <w:bCs/>
          <w:color w:val="auto"/>
          <w:sz w:val="24"/>
          <w:szCs w:val="24"/>
          <w:highlight w:val="none"/>
        </w:rPr>
        <w:t>，作为</w:t>
      </w:r>
      <w:r>
        <w:rPr>
          <w:rFonts w:hint="eastAsia" w:ascii="方正小标宋简体" w:hAnsi="方正小标宋简体" w:eastAsia="方正小标宋简体" w:cs="方正小标宋简体"/>
          <w:b/>
          <w:bCs/>
          <w:color w:val="auto"/>
          <w:sz w:val="24"/>
          <w:szCs w:val="24"/>
          <w:highlight w:val="none"/>
          <w:lang w:val="en-US" w:eastAsia="zh-CN"/>
        </w:rPr>
        <w:t>承包方</w:t>
      </w:r>
      <w:r>
        <w:rPr>
          <w:rFonts w:hint="eastAsia" w:ascii="方正小标宋简体" w:hAnsi="方正小标宋简体" w:eastAsia="方正小标宋简体" w:cs="方正小标宋简体"/>
          <w:b/>
          <w:bCs/>
          <w:color w:val="auto"/>
          <w:sz w:val="24"/>
          <w:szCs w:val="24"/>
          <w:highlight w:val="none"/>
        </w:rPr>
        <w:t>不良记录纳入建筑市场信用信息管理系统。</w:t>
      </w:r>
    </w:p>
    <w:p w14:paraId="62C16EDA">
      <w:pPr>
        <w:pStyle w:val="60"/>
        <w:spacing w:line="360" w:lineRule="exact"/>
        <w:ind w:firstLine="442" w:firstLineChars="200"/>
        <w:jc w:val="left"/>
        <w:rPr>
          <w:rFonts w:hint="eastAsia" w:ascii="宋体" w:hAnsi="宋体" w:cs="宋体"/>
          <w:b/>
          <w:color w:val="auto"/>
          <w:sz w:val="22"/>
          <w:szCs w:val="22"/>
        </w:rPr>
      </w:pPr>
      <w:r>
        <w:rPr>
          <w:rFonts w:hint="eastAsia" w:ascii="宋体" w:hAnsi="宋体" w:cs="宋体"/>
          <w:b/>
          <w:color w:val="auto"/>
          <w:sz w:val="22"/>
          <w:szCs w:val="22"/>
        </w:rPr>
        <w:t>（2）承包人违约责任的承担方式：</w:t>
      </w:r>
    </w:p>
    <w:p w14:paraId="46FDB32A">
      <w:pPr>
        <w:pStyle w:val="6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1）承包人未按本合同</w:t>
      </w:r>
      <w:r>
        <w:rPr>
          <w:rFonts w:hint="eastAsia" w:ascii="宋体" w:hAnsi="宋体" w:cs="宋体"/>
          <w:color w:val="auto"/>
          <w:sz w:val="22"/>
          <w:szCs w:val="22"/>
          <w:lang w:eastAsia="zh-CN"/>
        </w:rPr>
        <w:t>通用合同条款</w:t>
      </w:r>
      <w:r>
        <w:rPr>
          <w:rFonts w:hint="eastAsia" w:ascii="宋体" w:hAnsi="宋体" w:cs="宋体"/>
          <w:color w:val="auto"/>
          <w:sz w:val="22"/>
          <w:szCs w:val="22"/>
        </w:rPr>
        <w:t>第16.2.1项中（2）、</w:t>
      </w:r>
      <w:r>
        <w:rPr>
          <w:rFonts w:hint="eastAsia" w:ascii="宋体" w:hAnsi="宋体" w:cs="宋体"/>
          <w:color w:val="auto"/>
          <w:sz w:val="22"/>
          <w:szCs w:val="22"/>
          <w:lang w:eastAsia="zh-CN"/>
        </w:rPr>
        <w:t>（3）（11）（12）</w:t>
      </w:r>
      <w:r>
        <w:rPr>
          <w:rFonts w:hint="eastAsia" w:ascii="宋体" w:hAnsi="宋体" w:cs="宋体"/>
          <w:color w:val="auto"/>
          <w:sz w:val="22"/>
          <w:szCs w:val="22"/>
        </w:rPr>
        <w:t>（17）条内容完成的，承包人无条件返工处理，修复至工程质量要求并承担相关费用，并在发包人规定的时间内完成返工，否则发包人有权扣罚该分项工程</w:t>
      </w:r>
      <w:r>
        <w:rPr>
          <w:rFonts w:hint="eastAsia" w:ascii="宋体" w:hAnsi="宋体" w:cs="宋体"/>
          <w:color w:val="auto"/>
          <w:sz w:val="22"/>
          <w:szCs w:val="22"/>
          <w:u w:val="single"/>
        </w:rPr>
        <w:t>10%</w:t>
      </w:r>
      <w:r>
        <w:rPr>
          <w:rFonts w:hint="eastAsia" w:ascii="宋体" w:hAnsi="宋体" w:cs="宋体"/>
          <w:color w:val="auto"/>
          <w:sz w:val="22"/>
          <w:szCs w:val="22"/>
        </w:rPr>
        <w:t>的工程款作为处罚。</w:t>
      </w:r>
    </w:p>
    <w:p w14:paraId="7A8520EC">
      <w:pPr>
        <w:pStyle w:val="6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2）承包人有本合同</w:t>
      </w:r>
      <w:r>
        <w:rPr>
          <w:rFonts w:hint="eastAsia" w:ascii="宋体" w:hAnsi="宋体" w:cs="宋体"/>
          <w:color w:val="auto"/>
          <w:sz w:val="22"/>
          <w:szCs w:val="22"/>
          <w:lang w:eastAsia="zh-CN"/>
        </w:rPr>
        <w:t>通用合同条款</w:t>
      </w:r>
      <w:r>
        <w:rPr>
          <w:rFonts w:hint="eastAsia" w:ascii="宋体" w:hAnsi="宋体" w:cs="宋体"/>
          <w:color w:val="auto"/>
          <w:sz w:val="22"/>
          <w:szCs w:val="22"/>
        </w:rPr>
        <w:t>第16.2.1（6）、（13）条情形的，或经监理人检验认为修复质量不合格而承包人拒绝再进行修补的，发包人将扣除承包人全部</w:t>
      </w:r>
      <w:r>
        <w:rPr>
          <w:rFonts w:hint="eastAsia" w:ascii="宋体" w:hAnsi="宋体" w:cs="宋体"/>
          <w:color w:val="auto"/>
          <w:sz w:val="22"/>
          <w:szCs w:val="22"/>
          <w:lang w:eastAsia="zh-CN"/>
        </w:rPr>
        <w:t>质量保证金</w:t>
      </w:r>
      <w:r>
        <w:rPr>
          <w:rFonts w:hint="eastAsia" w:ascii="宋体" w:hAnsi="宋体" w:cs="宋体"/>
          <w:color w:val="auto"/>
          <w:sz w:val="22"/>
          <w:szCs w:val="22"/>
        </w:rPr>
        <w:t>。</w:t>
      </w:r>
    </w:p>
    <w:p w14:paraId="6A933096">
      <w:pPr>
        <w:pStyle w:val="6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3）承包人有本专用合同条款3.2、3.3条违约责任的，发包人有权扣除承包人的违约金。违约金金额均在计量支付款内扣除。监理人预先下发含有罚款意向的指令，如承包人不及时采取措施纠正，则在指令下达后十五天下发罚款通知书（不再陈述罚款理由）。</w:t>
      </w:r>
    </w:p>
    <w:p w14:paraId="52F48054">
      <w:pPr>
        <w:pStyle w:val="6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4</w:t>
      </w:r>
      <w:r>
        <w:rPr>
          <w:rFonts w:hint="eastAsia" w:ascii="宋体" w:hAnsi="宋体" w:cs="宋体"/>
          <w:color w:val="auto"/>
          <w:sz w:val="22"/>
          <w:szCs w:val="22"/>
          <w:lang w:eastAsia="zh-CN"/>
        </w:rPr>
        <w:t>）</w:t>
      </w:r>
      <w:r>
        <w:rPr>
          <w:rFonts w:hint="eastAsia" w:ascii="宋体" w:hAnsi="宋体" w:cs="宋体"/>
          <w:color w:val="auto"/>
          <w:sz w:val="22"/>
          <w:szCs w:val="22"/>
        </w:rPr>
        <w:t>承包人有本专用合同条款3.2、3.3条违约责任的，发包人有权扣除承包人的违约金。承包人在合同期内，完成合同约定的全部工程，且质量合格，在本工程施工竣工验收后十五天内可申请返还一半罚款，返还金额由监理人审核，发包人批准；其余罚款</w:t>
      </w:r>
      <w:r>
        <w:rPr>
          <w:rFonts w:hint="eastAsia" w:ascii="宋体" w:hAnsi="宋体" w:cs="宋体"/>
          <w:color w:val="auto"/>
          <w:sz w:val="22"/>
          <w:szCs w:val="22"/>
          <w:lang w:eastAsia="zh-CN"/>
        </w:rPr>
        <w:t>（</w:t>
      </w:r>
      <w:r>
        <w:rPr>
          <w:rFonts w:hint="eastAsia" w:ascii="宋体" w:hAnsi="宋体" w:cs="宋体"/>
          <w:color w:val="auto"/>
          <w:sz w:val="22"/>
          <w:szCs w:val="22"/>
        </w:rPr>
        <w:t>违约金</w:t>
      </w:r>
      <w:r>
        <w:rPr>
          <w:rFonts w:hint="eastAsia" w:ascii="宋体" w:hAnsi="宋体" w:cs="宋体"/>
          <w:color w:val="auto"/>
          <w:sz w:val="22"/>
          <w:szCs w:val="22"/>
          <w:lang w:eastAsia="zh-CN"/>
        </w:rPr>
        <w:t>）</w:t>
      </w:r>
      <w:r>
        <w:rPr>
          <w:rFonts w:hint="eastAsia" w:ascii="宋体" w:hAnsi="宋体" w:cs="宋体"/>
          <w:color w:val="auto"/>
          <w:sz w:val="22"/>
          <w:szCs w:val="22"/>
        </w:rPr>
        <w:t>不得返还。罚款</w:t>
      </w:r>
      <w:r>
        <w:rPr>
          <w:rFonts w:hint="eastAsia" w:ascii="宋体" w:hAnsi="宋体" w:cs="宋体"/>
          <w:color w:val="auto"/>
          <w:sz w:val="22"/>
          <w:szCs w:val="22"/>
          <w:lang w:eastAsia="zh-CN"/>
        </w:rPr>
        <w:t>（</w:t>
      </w:r>
      <w:r>
        <w:rPr>
          <w:rFonts w:hint="eastAsia" w:ascii="宋体" w:hAnsi="宋体" w:cs="宋体"/>
          <w:color w:val="auto"/>
          <w:sz w:val="22"/>
          <w:szCs w:val="22"/>
        </w:rPr>
        <w:t>违约金</w:t>
      </w:r>
      <w:r>
        <w:rPr>
          <w:rFonts w:hint="eastAsia" w:ascii="宋体" w:hAnsi="宋体" w:cs="宋体"/>
          <w:color w:val="auto"/>
          <w:sz w:val="22"/>
          <w:szCs w:val="22"/>
          <w:lang w:eastAsia="zh-CN"/>
        </w:rPr>
        <w:t>）</w:t>
      </w:r>
      <w:r>
        <w:rPr>
          <w:rFonts w:hint="eastAsia" w:ascii="宋体" w:hAnsi="宋体" w:cs="宋体"/>
          <w:color w:val="auto"/>
          <w:sz w:val="22"/>
          <w:szCs w:val="22"/>
        </w:rPr>
        <w:t>返还时不包括银行利息。</w:t>
      </w:r>
    </w:p>
    <w:p w14:paraId="4DEEB347">
      <w:pPr>
        <w:pStyle w:val="6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（3）</w:t>
      </w:r>
      <w:r>
        <w:rPr>
          <w:rFonts w:hint="eastAsia" w:ascii="宋体" w:hAnsi="宋体" w:cs="宋体"/>
          <w:b/>
          <w:color w:val="auto"/>
          <w:sz w:val="22"/>
          <w:szCs w:val="22"/>
        </w:rPr>
        <w:t xml:space="preserve">增加承包人违约金计算方法： </w:t>
      </w:r>
    </w:p>
    <w:p w14:paraId="167F86F5">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lang w:eastAsia="zh-CN"/>
        </w:rPr>
        <w:t>1）</w:t>
      </w:r>
      <w:r>
        <w:rPr>
          <w:rFonts w:hint="eastAsia" w:ascii="宋体" w:hAnsi="宋体" w:cs="宋体"/>
          <w:color w:val="auto"/>
          <w:sz w:val="22"/>
          <w:szCs w:val="22"/>
        </w:rPr>
        <w:t>解除合同的撤场规定</w:t>
      </w:r>
    </w:p>
    <w:p w14:paraId="5D8301E6">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每逾期一天撤场，承包人应向发包人支付违约金10万元。</w:t>
      </w:r>
    </w:p>
    <w:p w14:paraId="5FA1D48A">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lang w:eastAsia="zh-CN"/>
        </w:rPr>
        <w:t>2）</w:t>
      </w:r>
      <w:r>
        <w:rPr>
          <w:rFonts w:hint="eastAsia" w:ascii="宋体" w:hAnsi="宋体" w:cs="宋体"/>
          <w:color w:val="auto"/>
          <w:sz w:val="22"/>
          <w:szCs w:val="22"/>
        </w:rPr>
        <w:t>承包人违约金的支付情形及标准</w:t>
      </w:r>
    </w:p>
    <w:p w14:paraId="645A6B14">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承包人应当支付违约金的情形包括但不限于：</w:t>
      </w:r>
    </w:p>
    <w:p w14:paraId="4CC97E72">
      <w:pPr>
        <w:pStyle w:val="60"/>
        <w:numPr>
          <w:ilvl w:val="0"/>
          <w:numId w:val="12"/>
        </w:numPr>
        <w:spacing w:line="360" w:lineRule="exact"/>
        <w:ind w:left="0" w:firstLine="440" w:firstLineChars="200"/>
        <w:rPr>
          <w:rFonts w:hint="eastAsia" w:ascii="宋体" w:hAnsi="宋体" w:cs="宋体"/>
          <w:color w:val="auto"/>
          <w:sz w:val="22"/>
          <w:szCs w:val="22"/>
        </w:rPr>
      </w:pPr>
      <w:r>
        <w:rPr>
          <w:rFonts w:hint="eastAsia" w:ascii="宋体" w:hAnsi="宋体" w:cs="宋体"/>
          <w:color w:val="auto"/>
          <w:sz w:val="22"/>
          <w:szCs w:val="22"/>
        </w:rPr>
        <w:t>承包人违反上述约定，将合同的全部或部分合同工作非法转包或违法分包给其他人，或私自将合同的全部或部分权利或义务转移给其他人，发包人有权解除合同并有权要求承包人支付转包或违法分包合同价款</w:t>
      </w:r>
      <w:r>
        <w:rPr>
          <w:rFonts w:hint="eastAsia" w:ascii="宋体" w:hAnsi="宋体" w:cs="宋体"/>
          <w:color w:val="auto"/>
          <w:sz w:val="22"/>
          <w:szCs w:val="22"/>
          <w:u w:val="single"/>
        </w:rPr>
        <w:t>10%</w:t>
      </w:r>
      <w:r>
        <w:rPr>
          <w:rFonts w:hint="eastAsia" w:ascii="宋体" w:hAnsi="宋体" w:cs="宋体"/>
          <w:color w:val="auto"/>
          <w:sz w:val="22"/>
          <w:szCs w:val="22"/>
        </w:rPr>
        <w:t>的违约金。</w:t>
      </w:r>
    </w:p>
    <w:p w14:paraId="6B00B669">
      <w:pPr>
        <w:pStyle w:val="60"/>
        <w:numPr>
          <w:ilvl w:val="0"/>
          <w:numId w:val="12"/>
        </w:numPr>
        <w:spacing w:line="360" w:lineRule="exact"/>
        <w:ind w:left="0" w:firstLine="440" w:firstLineChars="200"/>
        <w:rPr>
          <w:rFonts w:hint="eastAsia" w:ascii="宋体" w:hAnsi="宋体" w:cs="宋体"/>
          <w:color w:val="auto"/>
          <w:sz w:val="22"/>
          <w:szCs w:val="22"/>
        </w:rPr>
      </w:pPr>
      <w:r>
        <w:rPr>
          <w:rFonts w:hint="eastAsia" w:ascii="宋体" w:hAnsi="宋体" w:cs="宋体"/>
          <w:color w:val="auto"/>
          <w:sz w:val="22"/>
          <w:szCs w:val="22"/>
        </w:rPr>
        <w:t>承包人违反上述约定使用了不合格的材料或工程设备又拒绝清除不合格的材料或工程设备，或因使用了不合格的材料或工程设备导致工程质量达不到标准要求又拒绝清除或修复不合格工程，每发生一次，承包人应向发包人支付1万元违约金。</w:t>
      </w:r>
    </w:p>
    <w:p w14:paraId="7336539B">
      <w:pPr>
        <w:pStyle w:val="60"/>
        <w:numPr>
          <w:ilvl w:val="0"/>
          <w:numId w:val="12"/>
        </w:numPr>
        <w:spacing w:line="360" w:lineRule="exact"/>
        <w:ind w:left="0" w:firstLine="440" w:firstLineChars="200"/>
        <w:rPr>
          <w:rFonts w:hint="eastAsia" w:ascii="宋体" w:hAnsi="宋体" w:cs="宋体"/>
          <w:color w:val="auto"/>
          <w:sz w:val="22"/>
          <w:szCs w:val="22"/>
        </w:rPr>
      </w:pPr>
      <w:r>
        <w:rPr>
          <w:rFonts w:hint="eastAsia" w:ascii="宋体" w:hAnsi="宋体" w:cs="宋体"/>
          <w:color w:val="auto"/>
          <w:sz w:val="22"/>
          <w:szCs w:val="22"/>
        </w:rPr>
        <w:t>将工程预付款、进度款以及发包人支付用于本项目的其他费用挪作他用，每发现一次，承包人应当向发包人支付10万元违约金。</w:t>
      </w:r>
    </w:p>
    <w:p w14:paraId="1EE16D23">
      <w:pPr>
        <w:pStyle w:val="60"/>
        <w:numPr>
          <w:ilvl w:val="0"/>
          <w:numId w:val="12"/>
        </w:numPr>
        <w:spacing w:line="360" w:lineRule="exact"/>
        <w:ind w:left="0" w:firstLine="440" w:firstLineChars="200"/>
        <w:rPr>
          <w:rFonts w:hint="eastAsia" w:ascii="宋体" w:hAnsi="宋体" w:cs="宋体"/>
          <w:color w:val="auto"/>
          <w:sz w:val="22"/>
          <w:szCs w:val="22"/>
        </w:rPr>
      </w:pPr>
      <w:r>
        <w:rPr>
          <w:rFonts w:hint="eastAsia" w:ascii="宋体" w:hAnsi="宋体" w:cs="宋体"/>
          <w:color w:val="auto"/>
          <w:sz w:val="22"/>
          <w:szCs w:val="22"/>
        </w:rPr>
        <w:t>违反上述约定，未经监理人批准，私自将已进入施工场地的施工设备、临时设施或材料设备撤离施工场地或将材料设备用于</w:t>
      </w:r>
      <w:r>
        <w:rPr>
          <w:rFonts w:hint="eastAsia" w:ascii="宋体" w:hAnsi="宋体" w:cs="宋体"/>
          <w:color w:val="auto"/>
          <w:sz w:val="22"/>
          <w:szCs w:val="22"/>
          <w:lang w:eastAsia="zh-CN"/>
        </w:rPr>
        <w:t>其他</w:t>
      </w:r>
      <w:r>
        <w:rPr>
          <w:rFonts w:hint="eastAsia" w:ascii="宋体" w:hAnsi="宋体" w:cs="宋体"/>
          <w:color w:val="auto"/>
          <w:sz w:val="22"/>
          <w:szCs w:val="22"/>
        </w:rPr>
        <w:t>工程项目的，每发现一次，发包人有权要求承包人向发包人支付1万元违约金。</w:t>
      </w:r>
    </w:p>
    <w:p w14:paraId="3EA9E2E3">
      <w:pPr>
        <w:pStyle w:val="60"/>
        <w:numPr>
          <w:ilvl w:val="0"/>
          <w:numId w:val="12"/>
        </w:numPr>
        <w:spacing w:line="360" w:lineRule="exact"/>
        <w:ind w:left="0" w:firstLine="440" w:firstLineChars="200"/>
        <w:rPr>
          <w:rFonts w:hint="eastAsia" w:ascii="宋体" w:hAnsi="宋体" w:cs="宋体"/>
          <w:color w:val="auto"/>
          <w:sz w:val="22"/>
          <w:szCs w:val="22"/>
        </w:rPr>
      </w:pPr>
      <w:r>
        <w:rPr>
          <w:rFonts w:hint="eastAsia" w:ascii="宋体" w:hAnsi="宋体" w:cs="宋体"/>
          <w:color w:val="auto"/>
          <w:sz w:val="22"/>
          <w:szCs w:val="22"/>
        </w:rPr>
        <w:t>承包人擅自更换项目经理、技术负责人或其他主要管理人员的，应当向发包人支付违约金；未经发包人书面同意，承包人未按磋商文件确定的人员向本工程派驻项目经理（或技术负责人、</w:t>
      </w:r>
      <w:r>
        <w:rPr>
          <w:rFonts w:hint="eastAsia" w:ascii="宋体" w:hAnsi="宋体" w:cs="宋体"/>
          <w:color w:val="auto"/>
          <w:sz w:val="22"/>
          <w:szCs w:val="22"/>
          <w:lang w:eastAsia="zh-CN"/>
        </w:rPr>
        <w:t>其他主要</w:t>
      </w:r>
      <w:r>
        <w:rPr>
          <w:rFonts w:hint="eastAsia" w:ascii="宋体" w:hAnsi="宋体" w:cs="宋体"/>
          <w:color w:val="auto"/>
          <w:sz w:val="22"/>
          <w:szCs w:val="22"/>
        </w:rPr>
        <w:t>管理人员）的或项目经理（或技术负责人、</w:t>
      </w:r>
      <w:r>
        <w:rPr>
          <w:rFonts w:hint="eastAsia" w:ascii="宋体" w:hAnsi="宋体" w:cs="宋体"/>
          <w:color w:val="auto"/>
          <w:sz w:val="22"/>
          <w:szCs w:val="22"/>
          <w:lang w:eastAsia="zh-CN"/>
        </w:rPr>
        <w:t>其他主要</w:t>
      </w:r>
      <w:r>
        <w:rPr>
          <w:rFonts w:hint="eastAsia" w:ascii="宋体" w:hAnsi="宋体" w:cs="宋体"/>
          <w:color w:val="auto"/>
          <w:sz w:val="22"/>
          <w:szCs w:val="22"/>
        </w:rPr>
        <w:t>管理人员）每季度实际在场时间少于规定时间累计达22天的，视为承包人擅自更换项目经理（或技术负责人、</w:t>
      </w:r>
      <w:r>
        <w:rPr>
          <w:rFonts w:hint="eastAsia" w:ascii="宋体" w:hAnsi="宋体" w:cs="宋体"/>
          <w:color w:val="auto"/>
          <w:sz w:val="22"/>
          <w:szCs w:val="22"/>
          <w:lang w:eastAsia="zh-CN"/>
        </w:rPr>
        <w:t>其他主要</w:t>
      </w:r>
      <w:r>
        <w:rPr>
          <w:rFonts w:hint="eastAsia" w:ascii="宋体" w:hAnsi="宋体" w:cs="宋体"/>
          <w:color w:val="auto"/>
          <w:sz w:val="22"/>
          <w:szCs w:val="22"/>
        </w:rPr>
        <w:t>管理人员）。其中，擅自更换项目经理违约金为人民币30万元/人/次，擅自更换技术负责人的违约金为人民币30万元/人/次，擅自更换</w:t>
      </w:r>
      <w:r>
        <w:rPr>
          <w:rFonts w:hint="eastAsia" w:ascii="宋体" w:hAnsi="宋体" w:cs="宋体"/>
          <w:color w:val="auto"/>
          <w:sz w:val="22"/>
          <w:szCs w:val="22"/>
          <w:lang w:eastAsia="zh-CN"/>
        </w:rPr>
        <w:t>其他主要</w:t>
      </w:r>
      <w:r>
        <w:rPr>
          <w:rFonts w:hint="eastAsia" w:ascii="宋体" w:hAnsi="宋体" w:cs="宋体"/>
          <w:color w:val="auto"/>
          <w:sz w:val="22"/>
          <w:szCs w:val="22"/>
        </w:rPr>
        <w:t>管理人员的违约金为人民币10万元/人/次。发包人同意（或要求）更换项目总工程师、施工负责人的，发包人将向承包人扣罚10万元违约金。</w:t>
      </w:r>
    </w:p>
    <w:p w14:paraId="27722C82">
      <w:pPr>
        <w:pStyle w:val="60"/>
        <w:numPr>
          <w:ilvl w:val="0"/>
          <w:numId w:val="12"/>
        </w:numPr>
        <w:spacing w:line="360" w:lineRule="exact"/>
        <w:ind w:left="0" w:firstLine="440" w:firstLineChars="200"/>
        <w:rPr>
          <w:rFonts w:hint="eastAsia" w:ascii="宋体" w:hAnsi="宋体" w:cs="宋体"/>
          <w:color w:val="auto"/>
          <w:sz w:val="22"/>
          <w:szCs w:val="22"/>
        </w:rPr>
      </w:pPr>
      <w:r>
        <w:rPr>
          <w:rFonts w:hint="eastAsia" w:ascii="宋体" w:hAnsi="宋体" w:cs="宋体"/>
          <w:color w:val="auto"/>
          <w:sz w:val="22"/>
          <w:szCs w:val="22"/>
        </w:rPr>
        <w:t>承包人违反上述约定使用了不合格的材料或工程设备或工程质量达不到标准要求等造成安全质量事故，每发生一次，承包人应向发包人支付10万元违约金。</w:t>
      </w:r>
    </w:p>
    <w:p w14:paraId="47B39CF8">
      <w:pPr>
        <w:pStyle w:val="60"/>
        <w:numPr>
          <w:ilvl w:val="0"/>
          <w:numId w:val="12"/>
        </w:numPr>
        <w:spacing w:line="360" w:lineRule="exact"/>
        <w:ind w:left="0" w:firstLine="440" w:firstLineChars="200"/>
        <w:rPr>
          <w:rFonts w:hint="eastAsia" w:ascii="宋体" w:hAnsi="宋体" w:cs="宋体"/>
          <w:color w:val="auto"/>
          <w:sz w:val="22"/>
          <w:szCs w:val="22"/>
        </w:rPr>
      </w:pPr>
      <w:r>
        <w:rPr>
          <w:rFonts w:hint="eastAsia" w:ascii="宋体" w:hAnsi="宋体" w:cs="宋体"/>
          <w:color w:val="auto"/>
          <w:sz w:val="22"/>
          <w:szCs w:val="22"/>
        </w:rPr>
        <w:t>如合同工程第一次验收不合格，承包人应向发包人支付数额不低于签约合同价0.1%的违约金，该约定的违约金不能弥补实际损失的，承包人应补充赔偿不足部分。如第二次仍验收不合格的，承包人还应再次向发包人支付数额不低于签约合同价2%的违约金。</w:t>
      </w:r>
    </w:p>
    <w:p w14:paraId="6D3C06B4">
      <w:pPr>
        <w:pStyle w:val="60"/>
        <w:numPr>
          <w:ilvl w:val="0"/>
          <w:numId w:val="12"/>
        </w:numPr>
        <w:spacing w:line="360" w:lineRule="exact"/>
        <w:ind w:left="0" w:firstLine="440" w:firstLineChars="200"/>
        <w:rPr>
          <w:rFonts w:hint="eastAsia" w:ascii="宋体" w:hAnsi="宋体" w:cs="宋体"/>
          <w:color w:val="auto"/>
          <w:sz w:val="22"/>
          <w:szCs w:val="22"/>
        </w:rPr>
      </w:pPr>
      <w:r>
        <w:rPr>
          <w:rFonts w:hint="eastAsia" w:ascii="宋体" w:hAnsi="宋体" w:cs="宋体"/>
          <w:color w:val="auto"/>
          <w:sz w:val="22"/>
          <w:szCs w:val="22"/>
        </w:rPr>
        <w:t>承包人拒绝执行发包人或监理人发出的关于本工程的指令，承包人应当向发包人支付违约金1万元/次。</w:t>
      </w:r>
    </w:p>
    <w:p w14:paraId="13295D1A">
      <w:pPr>
        <w:pStyle w:val="60"/>
        <w:numPr>
          <w:ilvl w:val="0"/>
          <w:numId w:val="12"/>
        </w:numPr>
        <w:spacing w:line="360" w:lineRule="exact"/>
        <w:ind w:left="0" w:firstLine="440" w:firstLineChars="200"/>
        <w:rPr>
          <w:rFonts w:hint="eastAsia" w:ascii="宋体" w:hAnsi="宋体" w:cs="宋体"/>
          <w:color w:val="auto"/>
          <w:sz w:val="22"/>
          <w:szCs w:val="22"/>
        </w:rPr>
      </w:pPr>
      <w:r>
        <w:rPr>
          <w:rFonts w:hint="eastAsia" w:ascii="宋体" w:hAnsi="宋体" w:cs="宋体"/>
          <w:color w:val="auto"/>
          <w:sz w:val="22"/>
          <w:szCs w:val="22"/>
        </w:rPr>
        <w:t>若发包人或监理人发现未经验收或验收不合格，承包人擅自进行隐蔽工程覆盖或其他工程下一道工序的施工，或验收合格后到隐蔽施工前对通过隐蔽验收的合格部分有任何改动，每发现一处，承包人应向发包人支付违约金20万元/处，且承包人必须拆除重建，因此支出的费用及造成的工期延误责任均由承包人承担。</w:t>
      </w:r>
    </w:p>
    <w:p w14:paraId="39FD5D27">
      <w:pPr>
        <w:pStyle w:val="60"/>
        <w:numPr>
          <w:ilvl w:val="0"/>
          <w:numId w:val="12"/>
        </w:numPr>
        <w:spacing w:line="360" w:lineRule="exact"/>
        <w:ind w:left="0" w:firstLine="440" w:firstLineChars="200"/>
        <w:rPr>
          <w:rFonts w:hint="eastAsia" w:ascii="宋体" w:hAnsi="宋体" w:cs="宋体"/>
          <w:color w:val="auto"/>
          <w:sz w:val="22"/>
          <w:szCs w:val="22"/>
        </w:rPr>
      </w:pPr>
      <w:r>
        <w:rPr>
          <w:rFonts w:hint="eastAsia" w:ascii="宋体" w:hAnsi="宋体" w:cs="宋体"/>
          <w:color w:val="auto"/>
          <w:sz w:val="22"/>
          <w:szCs w:val="22"/>
        </w:rPr>
        <w:t>承包人在缺陷责任期内，未能对缺陷责任期内发生的缺陷进行修复而又拒绝按发包人或监理人指示再进行修补或同一部位出现二次以上维修的，每发生一次，承包人应向发包人支付1万元违约金。</w:t>
      </w:r>
    </w:p>
    <w:p w14:paraId="573586E0">
      <w:pPr>
        <w:pStyle w:val="60"/>
        <w:numPr>
          <w:ilvl w:val="0"/>
          <w:numId w:val="12"/>
        </w:numPr>
        <w:spacing w:line="360" w:lineRule="exact"/>
        <w:ind w:left="0" w:firstLine="440" w:firstLineChars="200"/>
        <w:rPr>
          <w:rFonts w:hint="eastAsia" w:ascii="宋体" w:hAnsi="宋体" w:cs="宋体"/>
          <w:color w:val="auto"/>
          <w:sz w:val="22"/>
          <w:szCs w:val="22"/>
        </w:rPr>
      </w:pPr>
      <w:r>
        <w:rPr>
          <w:rFonts w:hint="eastAsia" w:ascii="宋体" w:hAnsi="宋体" w:cs="宋体"/>
          <w:color w:val="auto"/>
          <w:sz w:val="22"/>
          <w:szCs w:val="22"/>
        </w:rPr>
        <w:t>承包人未经发包人同意的暂停施工的违约金：每停工一天，应按照签约合同价的千分之一向发包人支付违约金。</w:t>
      </w:r>
    </w:p>
    <w:p w14:paraId="271CD806">
      <w:pPr>
        <w:pStyle w:val="60"/>
        <w:numPr>
          <w:ilvl w:val="0"/>
          <w:numId w:val="12"/>
        </w:numPr>
        <w:spacing w:line="360" w:lineRule="exact"/>
        <w:ind w:left="0" w:firstLine="440" w:firstLineChars="200"/>
        <w:rPr>
          <w:rFonts w:hint="eastAsia" w:ascii="宋体" w:hAnsi="宋体" w:cs="宋体"/>
          <w:color w:val="auto"/>
          <w:sz w:val="22"/>
          <w:szCs w:val="22"/>
        </w:rPr>
      </w:pPr>
      <w:r>
        <w:rPr>
          <w:rFonts w:hint="eastAsia" w:ascii="宋体" w:hAnsi="宋体" w:cs="宋体"/>
          <w:color w:val="auto"/>
          <w:sz w:val="22"/>
          <w:szCs w:val="22"/>
        </w:rPr>
        <w:t>在施工现场内或因承包人原因或因承包人的分包人原因或因供应商原因发生伤亡事故的，承包人按照重伤一人5万元、死亡一人100万元的标准向发包人支付违约金。</w:t>
      </w:r>
    </w:p>
    <w:p w14:paraId="4CC131F6">
      <w:pPr>
        <w:pStyle w:val="60"/>
        <w:numPr>
          <w:ilvl w:val="0"/>
          <w:numId w:val="12"/>
        </w:numPr>
        <w:spacing w:line="360" w:lineRule="exact"/>
        <w:ind w:left="0" w:firstLine="440" w:firstLineChars="200"/>
        <w:rPr>
          <w:rFonts w:hint="eastAsia" w:ascii="宋体" w:hAnsi="宋体" w:cs="宋体"/>
          <w:color w:val="auto"/>
          <w:sz w:val="22"/>
          <w:szCs w:val="22"/>
        </w:rPr>
      </w:pPr>
      <w:r>
        <w:rPr>
          <w:rFonts w:hint="eastAsia" w:ascii="宋体" w:hAnsi="宋体" w:cs="宋体"/>
          <w:color w:val="auto"/>
          <w:sz w:val="22"/>
          <w:szCs w:val="22"/>
        </w:rPr>
        <w:t>发生承包人知识产权侵权事故后，承包人未按约定的时间进行处理，每发生一次，承包人应当向发包人支付违约金100万元，发包人有权自行处理有关纠纷，发包人因此遭受的赔偿、损害、费用及损失，发包人有权从签约合同价中直接扣回。</w:t>
      </w:r>
    </w:p>
    <w:p w14:paraId="31438409">
      <w:pPr>
        <w:pStyle w:val="60"/>
        <w:numPr>
          <w:ilvl w:val="0"/>
          <w:numId w:val="12"/>
        </w:numPr>
        <w:spacing w:line="360" w:lineRule="exact"/>
        <w:ind w:left="0" w:firstLine="440" w:firstLineChars="200"/>
        <w:rPr>
          <w:rFonts w:hint="eastAsia" w:ascii="宋体" w:hAnsi="宋体" w:cs="宋体"/>
          <w:color w:val="auto"/>
          <w:sz w:val="22"/>
          <w:szCs w:val="22"/>
        </w:rPr>
      </w:pPr>
      <w:r>
        <w:rPr>
          <w:rFonts w:hint="eastAsia" w:ascii="宋体" w:hAnsi="宋体" w:cs="宋体"/>
          <w:color w:val="auto"/>
          <w:sz w:val="22"/>
          <w:szCs w:val="22"/>
        </w:rPr>
        <w:t>如出现承包人、承包人的分包人或供应商的人员通过非理性行为（包括但不限于自伤、自残、自杀行为、阻塞交通、阻碍施工管理、围堵、攻击发包人（包括但不限于与发包人有正常业务往来）的人员、车辆、办公场所、静坐、游行等各种有碍发包人正常工作秩序、生活秩序和声誉的行为）向发包人施加压力的，按照下列标准向发包人支付违约金：</w:t>
      </w:r>
    </w:p>
    <w:p w14:paraId="0A555BA2">
      <w:pPr>
        <w:pStyle w:val="60"/>
        <w:numPr>
          <w:ilvl w:val="0"/>
          <w:numId w:val="0"/>
        </w:numPr>
        <w:spacing w:line="360" w:lineRule="exact"/>
        <w:ind w:left="420" w:leftChars="0" w:firstLine="440" w:firstLineChars="200"/>
        <w:rPr>
          <w:rFonts w:hint="eastAsia" w:ascii="宋体" w:hAnsi="宋体" w:cs="宋体"/>
          <w:color w:val="auto"/>
          <w:sz w:val="22"/>
          <w:szCs w:val="22"/>
        </w:rPr>
      </w:pPr>
      <w:r>
        <w:rPr>
          <w:rFonts w:hint="eastAsia" w:ascii="宋体" w:hAnsi="宋体" w:cs="宋体"/>
          <w:color w:val="auto"/>
          <w:sz w:val="22"/>
          <w:szCs w:val="22"/>
          <w:highlight w:val="none"/>
          <w:lang w:val="en-US" w:eastAsia="zh-CN"/>
        </w:rPr>
        <w:t>①出</w:t>
      </w:r>
      <w:r>
        <w:rPr>
          <w:rFonts w:hint="eastAsia" w:ascii="宋体" w:hAnsi="宋体" w:cs="宋体"/>
          <w:color w:val="auto"/>
          <w:sz w:val="22"/>
          <w:szCs w:val="22"/>
          <w:highlight w:val="none"/>
        </w:rPr>
        <w:t>现3</w:t>
      </w:r>
      <w:r>
        <w:rPr>
          <w:rFonts w:hint="eastAsia" w:ascii="宋体" w:hAnsi="宋体" w:cs="宋体"/>
          <w:color w:val="auto"/>
          <w:sz w:val="22"/>
          <w:szCs w:val="22"/>
        </w:rPr>
        <w:t>人以下的人员参与的非理性行为，承包人每次向发包人支付违约金5万元；</w:t>
      </w:r>
    </w:p>
    <w:p w14:paraId="09D31784">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②出现3人以上10人以下的人员参与的非理性行为，承包人每次向发包人支付违约金30万元；</w:t>
      </w:r>
    </w:p>
    <w:p w14:paraId="3D483A64">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③出现10人以上的大规模的非理性行为且未出现严重后果的，承包人每次向发包人支付违约金50万元；</w:t>
      </w:r>
    </w:p>
    <w:p w14:paraId="34243D5A">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④无论人数的多少但造成严重后果</w:t>
      </w:r>
      <w:r>
        <w:rPr>
          <w:rFonts w:hint="eastAsia" w:ascii="宋体" w:hAnsi="宋体" w:cs="宋体"/>
          <w:color w:val="auto"/>
          <w:sz w:val="22"/>
          <w:szCs w:val="22"/>
          <w:lang w:eastAsia="zh-CN"/>
        </w:rPr>
        <w:t>（</w:t>
      </w:r>
      <w:r>
        <w:rPr>
          <w:rFonts w:hint="eastAsia" w:ascii="宋体" w:hAnsi="宋体" w:cs="宋体"/>
          <w:color w:val="auto"/>
          <w:sz w:val="22"/>
          <w:szCs w:val="22"/>
        </w:rPr>
        <w:t>指有下列情形之一：被新闻媒体负面报道、或被政府通报、或发生人员死亡、重伤，或发生重大财产损失，或其它造成恶劣社会影响</w:t>
      </w:r>
      <w:r>
        <w:rPr>
          <w:rFonts w:hint="eastAsia" w:ascii="宋体" w:hAnsi="宋体" w:cs="宋体"/>
          <w:color w:val="auto"/>
          <w:sz w:val="22"/>
          <w:szCs w:val="22"/>
          <w:lang w:eastAsia="zh-CN"/>
        </w:rPr>
        <w:t>）</w:t>
      </w:r>
      <w:r>
        <w:rPr>
          <w:rFonts w:hint="eastAsia" w:ascii="宋体" w:hAnsi="宋体" w:cs="宋体"/>
          <w:color w:val="auto"/>
          <w:sz w:val="22"/>
          <w:szCs w:val="22"/>
        </w:rPr>
        <w:t>的非理性行为，承包人除每次应向发包人支付违约金100万元外，还应按本合同的其他约定承担相应的责任；</w:t>
      </w:r>
    </w:p>
    <w:p w14:paraId="66197645">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⑤与本项目有关的承包人的人员（或与本项目有关的承包人的人员指使其他人）出现打架斗殴的行为时，无论人数的多少，承包人除每次应向发包人支付违约金50万元外，还应按本合同的其他约定或国家法律法规承担相应的责任。</w:t>
      </w:r>
    </w:p>
    <w:p w14:paraId="7855DD5B">
      <w:pPr>
        <w:pStyle w:val="60"/>
        <w:numPr>
          <w:ilvl w:val="0"/>
          <w:numId w:val="12"/>
        </w:numPr>
        <w:spacing w:line="360" w:lineRule="exact"/>
        <w:ind w:left="0" w:firstLine="440" w:firstLineChars="200"/>
        <w:rPr>
          <w:rFonts w:hint="eastAsia" w:ascii="宋体" w:hAnsi="宋体" w:cs="宋体"/>
          <w:color w:val="auto"/>
          <w:sz w:val="22"/>
          <w:szCs w:val="22"/>
        </w:rPr>
      </w:pPr>
      <w:r>
        <w:rPr>
          <w:rFonts w:hint="eastAsia" w:ascii="宋体" w:hAnsi="宋体" w:cs="宋体"/>
          <w:color w:val="auto"/>
          <w:sz w:val="22"/>
          <w:szCs w:val="22"/>
        </w:rPr>
        <w:t>承包人的项目经理及技术负责人签署的文件和资料不得代签，一经发现，监理人和发包人有权拒收并视为承包人违约，承包人每次向发包人支付违约金10万元。</w:t>
      </w:r>
    </w:p>
    <w:p w14:paraId="014556DB">
      <w:pPr>
        <w:pStyle w:val="60"/>
        <w:numPr>
          <w:ilvl w:val="0"/>
          <w:numId w:val="12"/>
        </w:numPr>
        <w:spacing w:line="360" w:lineRule="exact"/>
        <w:ind w:left="0" w:firstLine="440" w:firstLineChars="200"/>
        <w:rPr>
          <w:rFonts w:hint="eastAsia" w:ascii="宋体" w:hAnsi="宋体" w:cs="宋体"/>
          <w:color w:val="auto"/>
          <w:sz w:val="22"/>
          <w:szCs w:val="22"/>
        </w:rPr>
      </w:pPr>
      <w:r>
        <w:rPr>
          <w:rFonts w:hint="eastAsia" w:ascii="宋体" w:hAnsi="宋体" w:cs="宋体"/>
          <w:color w:val="auto"/>
          <w:sz w:val="22"/>
          <w:szCs w:val="22"/>
        </w:rPr>
        <w:t>承包人不履行或不全面履行总承包管理与配合服务的责任和义务，或监理人接到各分包工程承包人对承包人管理配合服务不到位的投诉，经监理人和发包人确认，发包人有权暂扣施工总承包服务费直至监理人和发包人满意。</w:t>
      </w:r>
    </w:p>
    <w:p w14:paraId="3417A976">
      <w:pPr>
        <w:pStyle w:val="60"/>
        <w:numPr>
          <w:ilvl w:val="0"/>
          <w:numId w:val="12"/>
        </w:numPr>
        <w:spacing w:line="360" w:lineRule="exact"/>
        <w:ind w:left="0" w:firstLine="440" w:firstLineChars="200"/>
        <w:rPr>
          <w:rFonts w:hint="eastAsia" w:ascii="宋体" w:hAnsi="宋体" w:cs="宋体"/>
          <w:color w:val="auto"/>
          <w:sz w:val="22"/>
          <w:szCs w:val="22"/>
        </w:rPr>
      </w:pPr>
      <w:r>
        <w:rPr>
          <w:rFonts w:hint="eastAsia" w:ascii="宋体" w:hAnsi="宋体" w:cs="宋体"/>
          <w:color w:val="auto"/>
          <w:sz w:val="22"/>
          <w:szCs w:val="22"/>
        </w:rPr>
        <w:t>承包人未按照法律法规、政府要求、发包人要求、承包人的施工组织设计采取安全文明施工措施的，应负责整改，并且每发现一次，应向发包人支付违约金10000元。</w:t>
      </w:r>
    </w:p>
    <w:p w14:paraId="436CBC6A">
      <w:pPr>
        <w:pStyle w:val="60"/>
        <w:numPr>
          <w:ilvl w:val="0"/>
          <w:numId w:val="12"/>
        </w:numPr>
        <w:spacing w:line="360" w:lineRule="exact"/>
        <w:ind w:left="0" w:firstLine="440" w:firstLineChars="200"/>
        <w:rPr>
          <w:rFonts w:hint="eastAsia" w:ascii="宋体" w:hAnsi="宋体" w:cs="宋体"/>
          <w:color w:val="auto"/>
          <w:sz w:val="22"/>
          <w:szCs w:val="22"/>
        </w:rPr>
      </w:pPr>
      <w:r>
        <w:rPr>
          <w:rFonts w:hint="eastAsia" w:ascii="宋体" w:hAnsi="宋体" w:cs="宋体"/>
          <w:color w:val="auto"/>
          <w:sz w:val="22"/>
          <w:szCs w:val="22"/>
        </w:rPr>
        <w:t>未经发包人许可，各类挖掘机、汽车、搅拌站、砼输送泵、塔吊等主要施工设备未按时进场，或承包人未按监理人或发包人书面要求的时间增加或更换施工设备，则每台机械每延误一天，承包人应向发包人支付违约金10000元。</w:t>
      </w:r>
    </w:p>
    <w:p w14:paraId="7697D39D">
      <w:pPr>
        <w:pStyle w:val="60"/>
        <w:numPr>
          <w:ilvl w:val="0"/>
          <w:numId w:val="12"/>
        </w:numPr>
        <w:spacing w:line="360" w:lineRule="exact"/>
        <w:ind w:left="0" w:firstLine="440" w:firstLineChars="200"/>
        <w:rPr>
          <w:rFonts w:hint="eastAsia" w:ascii="宋体" w:hAnsi="宋体" w:cs="宋体"/>
          <w:color w:val="auto"/>
          <w:sz w:val="22"/>
          <w:szCs w:val="22"/>
        </w:rPr>
      </w:pPr>
      <w:r>
        <w:rPr>
          <w:rFonts w:hint="eastAsia" w:ascii="宋体" w:hAnsi="宋体" w:cs="宋体"/>
          <w:color w:val="auto"/>
          <w:sz w:val="22"/>
          <w:szCs w:val="22"/>
        </w:rPr>
        <w:t>承包人违反合同的违约金：</w:t>
      </w:r>
    </w:p>
    <w:p w14:paraId="14C15045">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① 被当地政府部门勒令停工整顿的，以实际停工的天数，每天1万元的标准向发包人支付违约金；</w:t>
      </w:r>
    </w:p>
    <w:p w14:paraId="3ABD1EE5">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②被新闻媒体曝光给工程或发包人带来负面影响、经济损失的，每被曝光一次10万元；</w:t>
      </w:r>
    </w:p>
    <w:p w14:paraId="3CF02F11">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③承包人及其分包人的行为，根据现场例会确定或现场管理规定检查，应当接受处罚的，相应的处罚额即为违约金。</w:t>
      </w:r>
    </w:p>
    <w:p w14:paraId="79FFBBA0">
      <w:pPr>
        <w:pStyle w:val="60"/>
        <w:numPr>
          <w:ilvl w:val="0"/>
          <w:numId w:val="12"/>
        </w:numPr>
        <w:spacing w:line="360" w:lineRule="exact"/>
        <w:ind w:left="0" w:firstLine="440" w:firstLineChars="200"/>
        <w:rPr>
          <w:rFonts w:hint="eastAsia" w:ascii="宋体" w:hAnsi="宋体" w:cs="宋体"/>
          <w:color w:val="auto"/>
          <w:sz w:val="22"/>
          <w:szCs w:val="22"/>
        </w:rPr>
      </w:pPr>
      <w:r>
        <w:rPr>
          <w:rFonts w:hint="eastAsia" w:ascii="宋体" w:hAnsi="宋体" w:cs="宋体"/>
          <w:color w:val="auto"/>
          <w:sz w:val="22"/>
          <w:szCs w:val="22"/>
        </w:rPr>
        <w:t>若承包人的劳务人员投入不足，每违约一天，承包人应按照每天1000 元/人的标准向发包人支付违约金。</w:t>
      </w:r>
    </w:p>
    <w:p w14:paraId="7682FC49">
      <w:pPr>
        <w:pStyle w:val="60"/>
        <w:numPr>
          <w:ilvl w:val="0"/>
          <w:numId w:val="12"/>
        </w:numPr>
        <w:spacing w:line="360" w:lineRule="exact"/>
        <w:ind w:left="0" w:firstLine="440" w:firstLineChars="200"/>
        <w:rPr>
          <w:rFonts w:hint="eastAsia" w:ascii="宋体" w:hAnsi="宋体" w:cs="宋体"/>
          <w:color w:val="auto"/>
          <w:sz w:val="22"/>
          <w:szCs w:val="22"/>
        </w:rPr>
      </w:pPr>
      <w:r>
        <w:rPr>
          <w:rFonts w:hint="eastAsia" w:ascii="宋体" w:hAnsi="宋体" w:cs="宋体"/>
          <w:color w:val="auto"/>
          <w:sz w:val="22"/>
          <w:szCs w:val="22"/>
        </w:rPr>
        <w:t>承包人提交的价款调整、计量、结算及其价款支付请求高估冒算的，或对分包合同的价款调整、计量和结算及其价款支付请求审核不力的，如承包人的申报或对分包/分供的审核额与经发包人最终核定额超过5%时，超出部分按10%计算违约金。</w:t>
      </w:r>
    </w:p>
    <w:p w14:paraId="2EE10E92">
      <w:pPr>
        <w:pStyle w:val="60"/>
        <w:numPr>
          <w:ilvl w:val="0"/>
          <w:numId w:val="12"/>
        </w:numPr>
        <w:spacing w:line="360" w:lineRule="exact"/>
        <w:ind w:left="0" w:firstLine="440" w:firstLineChars="200"/>
        <w:rPr>
          <w:rFonts w:hint="eastAsia" w:ascii="宋体" w:hAnsi="宋体" w:cs="宋体"/>
          <w:color w:val="auto"/>
          <w:sz w:val="22"/>
          <w:szCs w:val="22"/>
        </w:rPr>
      </w:pPr>
      <w:r>
        <w:rPr>
          <w:rFonts w:hint="eastAsia" w:ascii="宋体" w:hAnsi="宋体" w:cs="宋体"/>
          <w:color w:val="auto"/>
          <w:sz w:val="22"/>
          <w:szCs w:val="22"/>
        </w:rPr>
        <w:t>未按期提交竣工结算报告文件和相应的支持文件结算，每逾期一天，应按照签约合同价的0.1%向发包人支付违约金。</w:t>
      </w:r>
    </w:p>
    <w:p w14:paraId="537936F3">
      <w:pPr>
        <w:pStyle w:val="60"/>
        <w:numPr>
          <w:ilvl w:val="0"/>
          <w:numId w:val="12"/>
        </w:numPr>
        <w:spacing w:line="360" w:lineRule="exact"/>
        <w:ind w:left="0" w:firstLine="440" w:firstLineChars="200"/>
        <w:rPr>
          <w:rFonts w:hint="eastAsia" w:ascii="宋体" w:hAnsi="宋体" w:cs="宋体"/>
          <w:color w:val="auto"/>
          <w:sz w:val="22"/>
          <w:szCs w:val="22"/>
        </w:rPr>
      </w:pPr>
      <w:r>
        <w:rPr>
          <w:rFonts w:hint="eastAsia" w:ascii="宋体" w:hAnsi="宋体" w:cs="宋体"/>
          <w:color w:val="auto"/>
          <w:sz w:val="22"/>
          <w:szCs w:val="22"/>
        </w:rPr>
        <w:t>承包人未按约定的时间进行竣工清场或承包人未按约定的时间将工程或资料移交给发包人，每逾期一天，应按照签约合同价的0.1%向发包人支付违约金。</w:t>
      </w:r>
    </w:p>
    <w:p w14:paraId="50397C0B">
      <w:pPr>
        <w:pStyle w:val="60"/>
        <w:numPr>
          <w:ilvl w:val="0"/>
          <w:numId w:val="12"/>
        </w:numPr>
        <w:spacing w:line="360" w:lineRule="exact"/>
        <w:ind w:left="0" w:firstLine="440" w:firstLineChars="200"/>
        <w:rPr>
          <w:rFonts w:hint="eastAsia" w:ascii="宋体" w:hAnsi="宋体" w:cs="宋体"/>
          <w:color w:val="auto"/>
          <w:sz w:val="22"/>
          <w:szCs w:val="22"/>
        </w:rPr>
      </w:pPr>
      <w:r>
        <w:rPr>
          <w:rFonts w:hint="eastAsia" w:ascii="宋体" w:hAnsi="宋体" w:cs="宋体"/>
          <w:color w:val="auto"/>
          <w:sz w:val="22"/>
          <w:szCs w:val="22"/>
        </w:rPr>
        <w:t>若承包人发生廉政违纪行为时，向发包人支付违约金每次10万元或按相关协议执行。</w:t>
      </w:r>
    </w:p>
    <w:p w14:paraId="29B133EF">
      <w:pPr>
        <w:pStyle w:val="60"/>
        <w:numPr>
          <w:ilvl w:val="0"/>
          <w:numId w:val="12"/>
        </w:numPr>
        <w:spacing w:line="360" w:lineRule="exact"/>
        <w:ind w:left="0" w:firstLine="442" w:firstLineChars="200"/>
        <w:rPr>
          <w:rFonts w:hint="eastAsia" w:ascii="宋体" w:hAnsi="宋体" w:cs="宋体"/>
          <w:b/>
          <w:color w:val="auto"/>
          <w:kern w:val="0"/>
          <w:sz w:val="22"/>
          <w:szCs w:val="22"/>
        </w:rPr>
      </w:pPr>
      <w:r>
        <w:rPr>
          <w:rFonts w:hint="eastAsia" w:ascii="宋体" w:hAnsi="宋体" w:cs="宋体"/>
          <w:b/>
          <w:color w:val="auto"/>
          <w:sz w:val="22"/>
          <w:szCs w:val="22"/>
        </w:rPr>
        <w:t>因承包人原因造成工期延误，逾期竣工违约金的计算方法为：每逾期一天，承包人应向发包人支付违约金2万元。</w:t>
      </w:r>
    </w:p>
    <w:p w14:paraId="178E6254">
      <w:pPr>
        <w:pStyle w:val="60"/>
        <w:spacing w:line="360" w:lineRule="exact"/>
        <w:ind w:firstLine="440" w:firstLineChars="200"/>
        <w:jc w:val="left"/>
        <w:rPr>
          <w:rFonts w:hint="eastAsia" w:ascii="宋体" w:hAnsi="宋体" w:cs="宋体"/>
          <w:color w:val="auto"/>
          <w:kern w:val="0"/>
          <w:sz w:val="22"/>
          <w:szCs w:val="22"/>
        </w:rPr>
      </w:pPr>
      <w:r>
        <w:rPr>
          <w:rFonts w:hint="eastAsia" w:ascii="宋体" w:hAnsi="宋体" w:cs="宋体"/>
          <w:color w:val="auto"/>
          <w:kern w:val="0"/>
          <w:sz w:val="22"/>
          <w:szCs w:val="22"/>
        </w:rPr>
        <w:t>（3）尽管本条前面各款有其他规定（供应商在磋商文件中有其他承诺的除外），但</w:t>
      </w:r>
      <w:r>
        <w:rPr>
          <w:rFonts w:hint="eastAsia" w:ascii="宋体" w:hAnsi="宋体" w:cs="宋体"/>
          <w:color w:val="auto"/>
          <w:sz w:val="22"/>
          <w:szCs w:val="22"/>
        </w:rPr>
        <w:t>逾期竣工违约金</w:t>
      </w:r>
      <w:r>
        <w:rPr>
          <w:rFonts w:hint="eastAsia" w:ascii="宋体" w:hAnsi="宋体" w:cs="宋体"/>
          <w:color w:val="auto"/>
          <w:kern w:val="0"/>
          <w:sz w:val="22"/>
          <w:szCs w:val="22"/>
        </w:rPr>
        <w:t>累计总量不应超过合同总价的10%；当违约金累计超过10%后，</w:t>
      </w:r>
      <w:r>
        <w:rPr>
          <w:rFonts w:hint="eastAsia" w:ascii="宋体" w:hAnsi="宋体" w:cs="宋体"/>
          <w:color w:val="auto"/>
          <w:kern w:val="0"/>
          <w:sz w:val="22"/>
          <w:szCs w:val="22"/>
          <w:lang w:val="en-US" w:eastAsia="zh-CN"/>
        </w:rPr>
        <w:t>发包人</w:t>
      </w:r>
      <w:r>
        <w:rPr>
          <w:rFonts w:hint="eastAsia" w:ascii="宋体" w:hAnsi="宋体" w:cs="宋体"/>
          <w:color w:val="auto"/>
          <w:kern w:val="0"/>
          <w:sz w:val="22"/>
          <w:szCs w:val="22"/>
        </w:rPr>
        <w:t>保留进一步索赔或终止合同的权利。如供应商另有承诺的，可叠加处罚。</w:t>
      </w:r>
    </w:p>
    <w:p w14:paraId="2867A518">
      <w:pPr>
        <w:pStyle w:val="60"/>
        <w:spacing w:line="360" w:lineRule="exact"/>
        <w:ind w:firstLine="442" w:firstLineChars="200"/>
        <w:jc w:val="left"/>
        <w:rPr>
          <w:rFonts w:hint="eastAsia" w:ascii="宋体" w:hAnsi="宋体" w:cs="宋体"/>
          <w:b/>
          <w:color w:val="auto"/>
          <w:sz w:val="22"/>
          <w:szCs w:val="22"/>
        </w:rPr>
      </w:pPr>
      <w:r>
        <w:rPr>
          <w:rFonts w:hint="eastAsia" w:ascii="宋体" w:hAnsi="宋体" w:cs="宋体"/>
          <w:b/>
          <w:color w:val="auto"/>
          <w:sz w:val="22"/>
          <w:szCs w:val="22"/>
        </w:rPr>
        <w:t>16.2.3 因承包人违约解除合同</w:t>
      </w:r>
    </w:p>
    <w:p w14:paraId="2B7D66B8">
      <w:pPr>
        <w:pStyle w:val="60"/>
        <w:spacing w:line="360" w:lineRule="exact"/>
        <w:ind w:firstLine="442" w:firstLineChars="200"/>
        <w:jc w:val="left"/>
        <w:rPr>
          <w:rFonts w:hint="eastAsia" w:ascii="宋体" w:hAnsi="宋体" w:cs="宋体"/>
          <w:b/>
          <w:color w:val="auto"/>
          <w:sz w:val="22"/>
          <w:szCs w:val="22"/>
        </w:rPr>
      </w:pPr>
      <w:r>
        <w:rPr>
          <w:rFonts w:hint="eastAsia" w:ascii="宋体" w:hAnsi="宋体" w:cs="宋体"/>
          <w:b/>
          <w:color w:val="auto"/>
          <w:sz w:val="22"/>
          <w:szCs w:val="22"/>
        </w:rPr>
        <w:t>（</w:t>
      </w:r>
      <w:r>
        <w:rPr>
          <w:rFonts w:hint="eastAsia" w:ascii="宋体" w:hAnsi="宋体" w:cs="宋体"/>
          <w:b/>
          <w:color w:val="auto"/>
          <w:sz w:val="22"/>
          <w:szCs w:val="22"/>
          <w:lang w:eastAsia="zh-CN"/>
        </w:rPr>
        <w:t>通用合同条款</w:t>
      </w:r>
      <w:r>
        <w:rPr>
          <w:rFonts w:hint="eastAsia" w:ascii="宋体" w:hAnsi="宋体" w:cs="宋体"/>
          <w:b/>
          <w:color w:val="auto"/>
          <w:sz w:val="22"/>
          <w:szCs w:val="22"/>
        </w:rPr>
        <w:t>内容和如下条款有冲突时，以如下条款为准）：</w:t>
      </w:r>
    </w:p>
    <w:p w14:paraId="68FBF7D4">
      <w:pPr>
        <w:pStyle w:val="6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（1）关于承包人违约解除合同的特别约定：</w:t>
      </w:r>
      <w:r>
        <w:rPr>
          <w:rFonts w:hint="eastAsia" w:ascii="宋体" w:hAnsi="宋体" w:cs="宋体"/>
          <w:color w:val="auto"/>
          <w:sz w:val="22"/>
          <w:szCs w:val="22"/>
          <w:u w:val="single"/>
        </w:rPr>
        <w:t>承包人有违反以下情况之一的，发包人有权解除合同。</w:t>
      </w:r>
    </w:p>
    <w:p w14:paraId="14B2A2DA">
      <w:pPr>
        <w:pStyle w:val="6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1</w:t>
      </w:r>
      <w:r>
        <w:rPr>
          <w:rFonts w:hint="eastAsia" w:ascii="宋体" w:hAnsi="宋体" w:cs="宋体"/>
          <w:color w:val="auto"/>
          <w:sz w:val="22"/>
          <w:szCs w:val="22"/>
          <w:lang w:eastAsia="zh-CN"/>
        </w:rPr>
        <w:t>）</w:t>
      </w:r>
      <w:r>
        <w:rPr>
          <w:rFonts w:hint="eastAsia" w:ascii="宋体" w:hAnsi="宋体" w:cs="宋体"/>
          <w:color w:val="auto"/>
          <w:sz w:val="22"/>
          <w:szCs w:val="22"/>
        </w:rPr>
        <w:t>承包人无正当理由不按开工通知的要求及时进场组织施工和不按签订协议书时商定的进度计划有效地开展施工准备，造成工期延误的；</w:t>
      </w:r>
    </w:p>
    <w:p w14:paraId="5F95B6A9">
      <w:pPr>
        <w:pStyle w:val="6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2</w:t>
      </w:r>
      <w:r>
        <w:rPr>
          <w:rFonts w:hint="eastAsia" w:ascii="宋体" w:hAnsi="宋体" w:cs="宋体"/>
          <w:color w:val="auto"/>
          <w:sz w:val="22"/>
          <w:szCs w:val="22"/>
          <w:lang w:eastAsia="zh-CN"/>
        </w:rPr>
        <w:t>）</w:t>
      </w:r>
      <w:r>
        <w:rPr>
          <w:rFonts w:hint="eastAsia" w:ascii="宋体" w:hAnsi="宋体" w:cs="宋体"/>
          <w:color w:val="auto"/>
          <w:sz w:val="22"/>
          <w:szCs w:val="22"/>
        </w:rPr>
        <w:t>承包人违反本合同</w:t>
      </w:r>
      <w:r>
        <w:rPr>
          <w:rFonts w:hint="eastAsia" w:ascii="宋体" w:hAnsi="宋体" w:cs="宋体"/>
          <w:color w:val="auto"/>
          <w:sz w:val="22"/>
          <w:szCs w:val="22"/>
          <w:lang w:eastAsia="zh-CN"/>
        </w:rPr>
        <w:t>通用合同条款</w:t>
      </w:r>
      <w:r>
        <w:rPr>
          <w:rFonts w:hint="eastAsia" w:ascii="宋体" w:hAnsi="宋体" w:cs="宋体"/>
          <w:color w:val="auto"/>
          <w:sz w:val="22"/>
          <w:szCs w:val="22"/>
        </w:rPr>
        <w:t>第3.5条规定私自将合同或合同的任何部分或任何权利转让给其他人，或私自将工程或工程的一部分分包出去的；</w:t>
      </w:r>
    </w:p>
    <w:p w14:paraId="1EC267EC">
      <w:pPr>
        <w:pStyle w:val="6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3</w:t>
      </w:r>
      <w:r>
        <w:rPr>
          <w:rFonts w:hint="eastAsia" w:ascii="宋体" w:hAnsi="宋体" w:cs="宋体"/>
          <w:color w:val="auto"/>
          <w:sz w:val="22"/>
          <w:szCs w:val="22"/>
          <w:lang w:eastAsia="zh-CN"/>
        </w:rPr>
        <w:t>）</w:t>
      </w:r>
      <w:r>
        <w:rPr>
          <w:rFonts w:hint="eastAsia" w:ascii="宋体" w:hAnsi="宋体" w:cs="宋体"/>
          <w:color w:val="auto"/>
          <w:sz w:val="22"/>
          <w:szCs w:val="22"/>
        </w:rPr>
        <w:t>未经监理人批准，承包人私自将已按磋商文件承诺进入工地的工程设备、施工设备、临时工程或材料撤离工地的；</w:t>
      </w:r>
    </w:p>
    <w:p w14:paraId="797B8515">
      <w:pPr>
        <w:pStyle w:val="60"/>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4</w:t>
      </w:r>
      <w:r>
        <w:rPr>
          <w:rFonts w:hint="eastAsia" w:ascii="宋体" w:hAnsi="宋体" w:cs="宋体"/>
          <w:color w:val="auto"/>
          <w:sz w:val="22"/>
          <w:szCs w:val="22"/>
          <w:lang w:eastAsia="zh-CN"/>
        </w:rPr>
        <w:t>）</w:t>
      </w:r>
      <w:r>
        <w:rPr>
          <w:rFonts w:hint="eastAsia" w:ascii="宋体" w:hAnsi="宋体" w:cs="宋体"/>
          <w:color w:val="auto"/>
          <w:sz w:val="22"/>
          <w:szCs w:val="22"/>
        </w:rPr>
        <w:t>由于承包人原因拒绝按合同进度计划及时完成合同约定的工程，而又未采取有效措施赶上进度，造成工期延误的；</w:t>
      </w:r>
    </w:p>
    <w:p w14:paraId="0F68EA70">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5</w:t>
      </w:r>
      <w:r>
        <w:rPr>
          <w:rFonts w:hint="eastAsia" w:ascii="宋体" w:hAnsi="宋体" w:cs="宋体"/>
          <w:color w:val="auto"/>
          <w:sz w:val="22"/>
          <w:szCs w:val="22"/>
          <w:lang w:eastAsia="zh-CN"/>
        </w:rPr>
        <w:t>）</w:t>
      </w:r>
      <w:r>
        <w:rPr>
          <w:rFonts w:hint="eastAsia" w:ascii="宋体" w:hAnsi="宋体" w:cs="宋体"/>
          <w:color w:val="auto"/>
          <w:sz w:val="22"/>
          <w:szCs w:val="22"/>
        </w:rPr>
        <w:t>承包人否认合同有效或拒绝履行合同约定的承包人义务，或由于法律、财务等原因导致承包人无法继续履行或实质上已停止履行合同的义务的；</w:t>
      </w:r>
    </w:p>
    <w:p w14:paraId="79FBB463">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6</w:t>
      </w:r>
      <w:r>
        <w:rPr>
          <w:rFonts w:hint="eastAsia" w:ascii="宋体" w:hAnsi="宋体" w:cs="宋体"/>
          <w:color w:val="auto"/>
          <w:sz w:val="22"/>
          <w:szCs w:val="22"/>
          <w:lang w:eastAsia="zh-CN"/>
        </w:rPr>
        <w:t>）</w:t>
      </w:r>
      <w:r>
        <w:rPr>
          <w:rFonts w:hint="eastAsia" w:ascii="宋体" w:hAnsi="宋体" w:cs="宋体"/>
          <w:color w:val="auto"/>
          <w:sz w:val="22"/>
          <w:szCs w:val="22"/>
        </w:rPr>
        <w:t>成交通知书发出之日起三十日内，承包人无法按合同约定及磋商文件的承诺进场经发包人认可的全部人员和机械的；</w:t>
      </w:r>
    </w:p>
    <w:p w14:paraId="10A49FCA">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7）承包人在施工过程中违反国家有关</w:t>
      </w:r>
      <w:r>
        <w:rPr>
          <w:rFonts w:hint="eastAsia" w:ascii="宋体" w:hAnsi="宋体" w:cs="宋体"/>
          <w:color w:val="auto"/>
          <w:sz w:val="22"/>
          <w:szCs w:val="22"/>
          <w:lang w:eastAsia="zh-CN"/>
        </w:rPr>
        <w:t>法律法规</w:t>
      </w:r>
      <w:r>
        <w:rPr>
          <w:rFonts w:hint="eastAsia" w:ascii="宋体" w:hAnsi="宋体" w:cs="宋体"/>
          <w:color w:val="auto"/>
          <w:sz w:val="22"/>
          <w:szCs w:val="22"/>
        </w:rPr>
        <w:t>的；</w:t>
      </w:r>
    </w:p>
    <w:p w14:paraId="37AE3CA8">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8）承包人明确表示或者以其行为表明不履行合同主要义务的；</w:t>
      </w:r>
    </w:p>
    <w:p w14:paraId="377D425C">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9）监理人发出整改通知后，承包人在指定的合理期限内仍不纠正违约行为并致使合同目的不能实现的；</w:t>
      </w:r>
    </w:p>
    <w:p w14:paraId="3F7421F0">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10）承包人未经发包人、监理人事先同意，擅自更换合同工程项目经理、技术负责人或其他主要管理人员；</w:t>
      </w:r>
    </w:p>
    <w:p w14:paraId="700FEC56">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11）无正当理由，出现三次不执行本合同10.2中所述内容的情形的。</w:t>
      </w:r>
    </w:p>
    <w:p w14:paraId="15647408">
      <w:pPr>
        <w:pStyle w:val="60"/>
        <w:spacing w:line="360" w:lineRule="exact"/>
        <w:ind w:firstLine="440" w:firstLineChars="200"/>
        <w:rPr>
          <w:rFonts w:hint="eastAsia" w:ascii="宋体" w:hAnsi="宋体" w:cs="宋体"/>
          <w:color w:val="auto"/>
          <w:sz w:val="22"/>
          <w:szCs w:val="22"/>
          <w:u w:val="single"/>
        </w:rPr>
      </w:pPr>
      <w:r>
        <w:rPr>
          <w:rFonts w:hint="eastAsia" w:ascii="宋体" w:hAnsi="宋体" w:cs="宋体"/>
          <w:color w:val="auto"/>
          <w:sz w:val="22"/>
          <w:szCs w:val="22"/>
        </w:rPr>
        <w:t>发包人继续使用承包人在施工现场的材料、设备、临时工程、承包人文件和由承包人或以其名义编制的其他文件的费用承担方式：</w:t>
      </w:r>
      <w:r>
        <w:rPr>
          <w:rFonts w:hint="eastAsia" w:ascii="宋体" w:hAnsi="宋体" w:cs="宋体"/>
          <w:color w:val="auto"/>
          <w:sz w:val="22"/>
          <w:szCs w:val="22"/>
          <w:u w:val="single"/>
        </w:rPr>
        <w:t>材料按照合同价格或市场价支付承包人，设备根据交付时的新旧程度折价支付承包人，临时工程按照剩余工程占合同总价的比例支付承包人，承包人文件和由承包人或以其名义编制的其他文件的费用免费提供给发包人使用。</w:t>
      </w:r>
    </w:p>
    <w:p w14:paraId="4234F7B7">
      <w:pPr>
        <w:pStyle w:val="60"/>
        <w:snapToGrid w:val="0"/>
        <w:spacing w:line="360" w:lineRule="exact"/>
        <w:ind w:left="155" w:leftChars="74" w:firstLine="440" w:firstLineChars="200"/>
        <w:rPr>
          <w:rFonts w:hint="eastAsia" w:ascii="宋体" w:hAnsi="宋体" w:cs="宋体"/>
          <w:color w:val="auto"/>
          <w:sz w:val="22"/>
          <w:szCs w:val="22"/>
        </w:rPr>
      </w:pPr>
      <w:r>
        <w:rPr>
          <w:rFonts w:hint="eastAsia" w:ascii="宋体" w:hAnsi="宋体" w:cs="宋体"/>
          <w:color w:val="auto"/>
          <w:sz w:val="22"/>
          <w:szCs w:val="22"/>
        </w:rPr>
        <w:t>（2）合同解除后的结算与支付</w:t>
      </w:r>
    </w:p>
    <w:p w14:paraId="6E0E4EC5">
      <w:pPr>
        <w:pStyle w:val="60"/>
        <w:snapToGrid w:val="0"/>
        <w:spacing w:line="360" w:lineRule="exact"/>
        <w:ind w:left="155" w:leftChars="74" w:firstLine="440" w:firstLineChars="200"/>
        <w:rPr>
          <w:rFonts w:hint="eastAsia" w:ascii="宋体" w:hAnsi="宋体" w:cs="宋体"/>
          <w:color w:val="auto"/>
          <w:sz w:val="22"/>
          <w:szCs w:val="22"/>
        </w:rPr>
      </w:pPr>
      <w:r>
        <w:rPr>
          <w:rFonts w:hint="eastAsia" w:ascii="宋体" w:hAnsi="宋体" w:cs="宋体"/>
          <w:color w:val="auto"/>
          <w:sz w:val="22"/>
          <w:szCs w:val="22"/>
        </w:rPr>
        <w:t>1）承包人应在接到合同解除通知后的28天内向监理人和发包人提交全套的已施工/在施工技术文件资料的同时，应提交一份合同解除结算报告文件，包括：</w:t>
      </w:r>
    </w:p>
    <w:p w14:paraId="45AE8560">
      <w:pPr>
        <w:pStyle w:val="60"/>
        <w:snapToGrid w:val="0"/>
        <w:spacing w:line="360" w:lineRule="exact"/>
        <w:ind w:left="155" w:leftChars="74" w:firstLine="440" w:firstLineChars="200"/>
        <w:rPr>
          <w:rFonts w:hint="eastAsia" w:ascii="宋体" w:hAnsi="宋体" w:cs="宋体"/>
          <w:color w:val="auto"/>
          <w:sz w:val="22"/>
          <w:szCs w:val="22"/>
        </w:rPr>
      </w:pPr>
      <w:r>
        <w:rPr>
          <w:rFonts w:hint="eastAsia" w:ascii="宋体" w:hAnsi="宋体" w:cs="宋体"/>
          <w:color w:val="auto"/>
          <w:sz w:val="22"/>
          <w:szCs w:val="22"/>
        </w:rPr>
        <w:t>① 已完成工程量；</w:t>
      </w:r>
    </w:p>
    <w:p w14:paraId="240841B3">
      <w:pPr>
        <w:pStyle w:val="60"/>
        <w:snapToGrid w:val="0"/>
        <w:spacing w:line="360" w:lineRule="exact"/>
        <w:ind w:left="155" w:leftChars="74" w:firstLine="440" w:firstLineChars="200"/>
        <w:rPr>
          <w:rFonts w:hint="eastAsia" w:ascii="宋体" w:hAnsi="宋体" w:cs="宋体"/>
          <w:color w:val="auto"/>
          <w:sz w:val="22"/>
          <w:szCs w:val="22"/>
        </w:rPr>
      </w:pPr>
      <w:r>
        <w:rPr>
          <w:rFonts w:hint="eastAsia" w:ascii="宋体" w:hAnsi="宋体" w:cs="宋体"/>
          <w:color w:val="auto"/>
          <w:sz w:val="22"/>
          <w:szCs w:val="22"/>
        </w:rPr>
        <w:t>② 已经验收送抵现场的各类材料、设备清单及其价款；</w:t>
      </w:r>
    </w:p>
    <w:p w14:paraId="2250FC19">
      <w:pPr>
        <w:pStyle w:val="60"/>
        <w:snapToGrid w:val="0"/>
        <w:spacing w:line="360" w:lineRule="exact"/>
        <w:ind w:left="155" w:leftChars="74" w:firstLine="440" w:firstLineChars="200"/>
        <w:rPr>
          <w:rFonts w:hint="eastAsia" w:ascii="宋体" w:hAnsi="宋体" w:cs="宋体"/>
          <w:color w:val="auto"/>
          <w:sz w:val="22"/>
          <w:szCs w:val="22"/>
        </w:rPr>
      </w:pPr>
      <w:r>
        <w:rPr>
          <w:rFonts w:hint="eastAsia" w:ascii="宋体" w:hAnsi="宋体" w:cs="宋体"/>
          <w:color w:val="auto"/>
          <w:sz w:val="22"/>
          <w:szCs w:val="22"/>
        </w:rPr>
        <w:t>③ 依据合同承包人认为应由发包人承担</w:t>
      </w:r>
      <w:r>
        <w:rPr>
          <w:rFonts w:hint="eastAsia" w:ascii="宋体" w:hAnsi="宋体" w:cs="宋体"/>
          <w:color w:val="auto"/>
          <w:sz w:val="22"/>
          <w:szCs w:val="22"/>
          <w:lang w:eastAsia="zh-CN"/>
        </w:rPr>
        <w:t>的其他费用</w:t>
      </w:r>
      <w:r>
        <w:rPr>
          <w:rFonts w:hint="eastAsia" w:ascii="宋体" w:hAnsi="宋体" w:cs="宋体"/>
          <w:color w:val="auto"/>
          <w:sz w:val="22"/>
          <w:szCs w:val="22"/>
        </w:rPr>
        <w:t>；</w:t>
      </w:r>
    </w:p>
    <w:p w14:paraId="0C4FFBEF">
      <w:pPr>
        <w:pStyle w:val="60"/>
        <w:snapToGrid w:val="0"/>
        <w:spacing w:line="360" w:lineRule="exact"/>
        <w:ind w:left="155" w:leftChars="74" w:firstLine="440" w:firstLineChars="200"/>
        <w:rPr>
          <w:rFonts w:hint="eastAsia" w:ascii="宋体" w:hAnsi="宋体" w:cs="宋体"/>
          <w:color w:val="auto"/>
          <w:sz w:val="22"/>
          <w:szCs w:val="22"/>
        </w:rPr>
      </w:pPr>
      <w:r>
        <w:rPr>
          <w:rFonts w:hint="eastAsia" w:ascii="宋体" w:hAnsi="宋体" w:cs="宋体"/>
          <w:color w:val="auto"/>
          <w:sz w:val="22"/>
          <w:szCs w:val="22"/>
        </w:rPr>
        <w:t>④ 支持上述①至③项的证明文件资料。</w:t>
      </w:r>
    </w:p>
    <w:p w14:paraId="18844858">
      <w:pPr>
        <w:pStyle w:val="60"/>
        <w:snapToGrid w:val="0"/>
        <w:spacing w:line="360" w:lineRule="exact"/>
        <w:ind w:left="155" w:leftChars="74" w:firstLine="440" w:firstLineChars="200"/>
        <w:rPr>
          <w:rFonts w:hint="eastAsia" w:ascii="宋体" w:hAnsi="宋体" w:cs="宋体"/>
          <w:color w:val="auto"/>
          <w:sz w:val="22"/>
          <w:szCs w:val="22"/>
        </w:rPr>
      </w:pPr>
      <w:r>
        <w:rPr>
          <w:rFonts w:hint="eastAsia" w:ascii="宋体" w:hAnsi="宋体" w:cs="宋体"/>
          <w:color w:val="auto"/>
          <w:sz w:val="22"/>
          <w:szCs w:val="22"/>
        </w:rPr>
        <w:t>2）发包人在收到上述资料后，参照本合同专用条款第14.2款竣工结算的约定计算已完工程价款。</w:t>
      </w:r>
    </w:p>
    <w:p w14:paraId="4006AA23">
      <w:pPr>
        <w:pStyle w:val="60"/>
        <w:snapToGrid w:val="0"/>
        <w:spacing w:line="360" w:lineRule="exact"/>
        <w:ind w:left="155" w:leftChars="74" w:firstLine="440" w:firstLineChars="200"/>
        <w:rPr>
          <w:rFonts w:hint="eastAsia" w:ascii="宋体" w:hAnsi="宋体" w:cs="宋体"/>
          <w:color w:val="auto"/>
          <w:sz w:val="22"/>
          <w:szCs w:val="22"/>
        </w:rPr>
      </w:pPr>
      <w:r>
        <w:rPr>
          <w:rFonts w:hint="eastAsia" w:ascii="宋体" w:hAnsi="宋体" w:cs="宋体"/>
          <w:color w:val="auto"/>
          <w:sz w:val="22"/>
          <w:szCs w:val="22"/>
        </w:rPr>
        <w:t>① 合同解除后，由发包人确定承包人实际完成工作的价值，以及承包人已提供的材料、施工设备、工程设备和临时工程等的价值。</w:t>
      </w:r>
    </w:p>
    <w:p w14:paraId="7B548613">
      <w:pPr>
        <w:pStyle w:val="60"/>
        <w:snapToGrid w:val="0"/>
        <w:spacing w:line="360" w:lineRule="exact"/>
        <w:ind w:left="155" w:leftChars="74" w:firstLine="440" w:firstLineChars="200"/>
        <w:rPr>
          <w:rFonts w:hint="eastAsia" w:ascii="宋体" w:hAnsi="宋体" w:cs="宋体"/>
          <w:color w:val="auto"/>
          <w:sz w:val="22"/>
          <w:szCs w:val="22"/>
        </w:rPr>
      </w:pPr>
      <w:r>
        <w:rPr>
          <w:rFonts w:hint="eastAsia" w:ascii="宋体" w:hAnsi="宋体" w:cs="宋体"/>
          <w:color w:val="auto"/>
          <w:sz w:val="22"/>
          <w:szCs w:val="22"/>
        </w:rPr>
        <w:t>② 合同解除后，发包人应暂停对承包人的一切付款，查清各项付款和已扣款金额，包括承包人应支付的违约金。</w:t>
      </w:r>
    </w:p>
    <w:p w14:paraId="09FB7863">
      <w:pPr>
        <w:pStyle w:val="60"/>
        <w:snapToGrid w:val="0"/>
        <w:spacing w:line="360" w:lineRule="exact"/>
        <w:ind w:left="155" w:leftChars="74" w:firstLine="440" w:firstLineChars="200"/>
        <w:rPr>
          <w:rFonts w:hint="eastAsia" w:ascii="宋体" w:hAnsi="宋体" w:cs="宋体"/>
          <w:color w:val="auto"/>
          <w:sz w:val="22"/>
          <w:szCs w:val="22"/>
        </w:rPr>
      </w:pPr>
      <w:r>
        <w:rPr>
          <w:rFonts w:hint="eastAsia" w:ascii="宋体" w:hAnsi="宋体" w:cs="宋体"/>
          <w:color w:val="auto"/>
          <w:sz w:val="22"/>
          <w:szCs w:val="22"/>
        </w:rPr>
        <w:t>③ 合同解除后，发包人可按第19.4款的约定向承包人索赔由于解除合同给发包人造成的损失，索赔的金额可在签署结算协议时，在结算额中直接扣除，并保留向承包人继续追索的权利。</w:t>
      </w:r>
    </w:p>
    <w:p w14:paraId="607DD7A9">
      <w:pPr>
        <w:pStyle w:val="60"/>
        <w:snapToGrid w:val="0"/>
        <w:spacing w:line="360" w:lineRule="exact"/>
        <w:ind w:left="155" w:leftChars="74" w:firstLine="440" w:firstLineChars="200"/>
        <w:rPr>
          <w:rFonts w:hint="eastAsia" w:ascii="宋体" w:hAnsi="宋体" w:cs="宋体"/>
          <w:color w:val="auto"/>
          <w:sz w:val="22"/>
          <w:szCs w:val="22"/>
        </w:rPr>
      </w:pPr>
      <w:r>
        <w:rPr>
          <w:rFonts w:hint="eastAsia" w:ascii="宋体" w:hAnsi="宋体" w:cs="宋体"/>
          <w:color w:val="auto"/>
          <w:sz w:val="22"/>
          <w:szCs w:val="22"/>
        </w:rPr>
        <w:t>④ 合同双方确认上述往来款项后，签订合同解除结算协议，按结算协议结清全部合同款项。</w:t>
      </w:r>
    </w:p>
    <w:p w14:paraId="28040B98">
      <w:pPr>
        <w:pStyle w:val="60"/>
        <w:snapToGrid w:val="0"/>
        <w:spacing w:line="360" w:lineRule="exact"/>
        <w:ind w:left="155" w:leftChars="74" w:firstLine="440" w:firstLineChars="200"/>
        <w:rPr>
          <w:rFonts w:hint="eastAsia" w:ascii="宋体" w:hAnsi="宋体" w:cs="宋体"/>
          <w:color w:val="auto"/>
          <w:sz w:val="22"/>
          <w:szCs w:val="22"/>
        </w:rPr>
      </w:pPr>
      <w:r>
        <w:rPr>
          <w:rFonts w:hint="eastAsia" w:ascii="宋体" w:hAnsi="宋体" w:cs="宋体"/>
          <w:color w:val="auto"/>
          <w:sz w:val="22"/>
          <w:szCs w:val="22"/>
        </w:rPr>
        <w:t>⑤ 发包人和承包人未能就解除合同达成一致协议而形成争议的，按第20条的约定办理。</w:t>
      </w:r>
    </w:p>
    <w:p w14:paraId="53AFA2A0">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（3）解除合同的撤场规定</w:t>
      </w:r>
    </w:p>
    <w:p w14:paraId="2E096A75">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1）因承包人违约而发包人解除合同的，承包人应在收到解除合同通知后，立即妥善做好已完工程和已购材料设备的保护和移交工作，并在发包人要求的期限内无条件将施工人员及现场的材料设备全部撤离施工现场，承包人撤出施工场地时应遵守第13.6项的约定。每逾期一天撤场，承包人应按专用条款约定的标准向发包人支付违约金，此违约金可在发包人应付或拟付给承包人的任何款项中直接扣除。</w:t>
      </w:r>
    </w:p>
    <w:p w14:paraId="20F7ABBB">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2）如承包人拒不按期撤场或在规定的撤场期限届满后 7 天内仍未完成撤场的，发包人有权自行或委托第三方直接将承包人驱逐出施工现场；届时，发包人可随时变卖承包人在施工现场的施工机械、临时工程和未使用的材料，并直接用变卖的款项冲抵撤场所产生的全部费用，不足部分可在应付或拟付给承包人的任何款项中直接扣除。</w:t>
      </w:r>
    </w:p>
    <w:p w14:paraId="4F361EDE">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（4）合同解除后材料设备及相关协议利益的处理</w:t>
      </w:r>
    </w:p>
    <w:p w14:paraId="6BD881F9">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1）因承包人违约而发包人解除合同，但如果发包人通知将自行或委托第三方继续完成该工程的，承包人则应当按照发包人的指示妥善保管现场已购材料设备及施工装备、临时设施等直至将该等材料设备全部转交发包人或其他第三方，而不得擅自将该等材料设备运出现场。</w:t>
      </w:r>
    </w:p>
    <w:p w14:paraId="24F6AAAA">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2）协议利益的转让：如发包人决定继续使用承包人租用的施工设备、已订货但未到货的材料设备、临时设施、已采购的服务或其他权益的，发包人有权要求承包人将其为实施合同而签订的工程或劳务分包协议、材料和设备的订货协议、施工设备租赁协议或任何服务协议及利益以原有条件转让给发包人或发包人指定的其他承包人，并在解除合同后的 14 天内，依法办理转让手续，承包人应当全力配合。</w:t>
      </w:r>
    </w:p>
    <w:p w14:paraId="4680ED9A">
      <w:pPr>
        <w:pStyle w:val="60"/>
        <w:spacing w:line="360" w:lineRule="exact"/>
        <w:ind w:firstLine="440" w:firstLineChars="200"/>
        <w:jc w:val="left"/>
        <w:rPr>
          <w:rFonts w:hint="eastAsia" w:ascii="宋体" w:hAnsi="宋体" w:cs="宋体"/>
          <w:color w:val="auto"/>
          <w:kern w:val="0"/>
          <w:sz w:val="22"/>
          <w:szCs w:val="22"/>
        </w:rPr>
      </w:pPr>
      <w:r>
        <w:rPr>
          <w:rFonts w:hint="eastAsia" w:ascii="宋体" w:hAnsi="宋体" w:cs="宋体"/>
          <w:color w:val="auto"/>
          <w:sz w:val="22"/>
          <w:szCs w:val="22"/>
        </w:rPr>
        <w:t>3）发包人受让承包人的协议利益并不免除承包人应承担的违约责任，也不影响发包人根据合同约定享有的索赔权利。</w:t>
      </w:r>
    </w:p>
    <w:p w14:paraId="791A4498">
      <w:pPr>
        <w:pStyle w:val="70"/>
        <w:spacing w:before="0" w:after="0" w:line="360" w:lineRule="exact"/>
        <w:ind w:firstLine="442" w:firstLineChars="200"/>
        <w:rPr>
          <w:rFonts w:hint="eastAsia" w:ascii="宋体" w:hAnsi="宋体" w:cs="宋体"/>
          <w:color w:val="auto"/>
          <w:sz w:val="22"/>
          <w:szCs w:val="22"/>
        </w:rPr>
      </w:pPr>
      <w:bookmarkStart w:id="1104" w:name="_Toc389065334"/>
      <w:bookmarkStart w:id="1105" w:name="_Toc373478416"/>
      <w:bookmarkStart w:id="1106" w:name="_Toc373227769"/>
      <w:bookmarkStart w:id="1107" w:name="_Toc395382572"/>
      <w:bookmarkStart w:id="1108" w:name="_Toc12975961"/>
      <w:bookmarkStart w:id="1109" w:name="_Toc351203649"/>
      <w:bookmarkStart w:id="1110" w:name="_Toc533432796"/>
      <w:r>
        <w:rPr>
          <w:rFonts w:hint="eastAsia" w:ascii="宋体" w:hAnsi="宋体" w:cs="宋体"/>
          <w:color w:val="auto"/>
          <w:sz w:val="22"/>
          <w:szCs w:val="22"/>
        </w:rPr>
        <w:t>17. 不可抗力</w:t>
      </w:r>
      <w:bookmarkEnd w:id="1104"/>
      <w:bookmarkEnd w:id="1105"/>
      <w:bookmarkEnd w:id="1106"/>
      <w:bookmarkEnd w:id="1107"/>
      <w:bookmarkEnd w:id="1108"/>
      <w:bookmarkEnd w:id="1109"/>
      <w:bookmarkEnd w:id="1110"/>
      <w:r>
        <w:rPr>
          <w:rFonts w:hint="eastAsia" w:ascii="宋体" w:hAnsi="宋体" w:cs="宋体"/>
          <w:color w:val="auto"/>
          <w:sz w:val="22"/>
          <w:szCs w:val="22"/>
        </w:rPr>
        <w:t xml:space="preserve"> </w:t>
      </w:r>
      <w:bookmarkEnd w:id="1088"/>
    </w:p>
    <w:p w14:paraId="51C6D896">
      <w:pPr>
        <w:pStyle w:val="39"/>
        <w:spacing w:line="360" w:lineRule="exact"/>
        <w:ind w:firstLine="442" w:firstLineChars="200"/>
        <w:rPr>
          <w:rFonts w:hint="eastAsia" w:ascii="宋体" w:hAnsi="宋体" w:cs="宋体"/>
          <w:color w:val="auto"/>
          <w:sz w:val="22"/>
          <w:szCs w:val="22"/>
        </w:rPr>
      </w:pPr>
      <w:bookmarkStart w:id="1111" w:name="_Toc389065335"/>
      <w:bookmarkStart w:id="1112" w:name="_Toc533432797"/>
      <w:bookmarkStart w:id="1113" w:name="_Toc395382573"/>
      <w:bookmarkStart w:id="1114" w:name="_Toc373227770"/>
      <w:bookmarkStart w:id="1115" w:name="_Toc12975962"/>
      <w:bookmarkStart w:id="1116" w:name="_Toc373478417"/>
      <w:r>
        <w:rPr>
          <w:rFonts w:hint="eastAsia" w:ascii="宋体" w:hAnsi="宋体" w:cs="宋体"/>
          <w:color w:val="auto"/>
          <w:sz w:val="22"/>
          <w:szCs w:val="22"/>
        </w:rPr>
        <w:t>17.1 不可抗力的确认</w:t>
      </w:r>
      <w:bookmarkEnd w:id="1111"/>
      <w:bookmarkEnd w:id="1112"/>
      <w:bookmarkEnd w:id="1113"/>
      <w:bookmarkEnd w:id="1114"/>
      <w:bookmarkEnd w:id="1115"/>
      <w:bookmarkEnd w:id="1116"/>
    </w:p>
    <w:p w14:paraId="63195064">
      <w:pPr>
        <w:pStyle w:val="40"/>
        <w:spacing w:line="360" w:lineRule="exact"/>
        <w:ind w:firstLine="440" w:firstLineChars="200"/>
        <w:jc w:val="left"/>
        <w:rPr>
          <w:rFonts w:hint="eastAsia" w:ascii="宋体" w:hAnsi="宋体" w:cs="宋体"/>
          <w:color w:val="auto"/>
          <w:kern w:val="0"/>
          <w:sz w:val="22"/>
          <w:u w:val="single"/>
        </w:rPr>
      </w:pPr>
      <w:r>
        <w:rPr>
          <w:rFonts w:hint="eastAsia" w:ascii="宋体" w:hAnsi="宋体" w:cs="宋体"/>
          <w:color w:val="auto"/>
          <w:sz w:val="22"/>
        </w:rPr>
        <w:t>除通用合同条款约定的不可抗力事件之外，视为不可抗力的其他情形：</w:t>
      </w:r>
      <w:r>
        <w:rPr>
          <w:rFonts w:hint="eastAsia" w:ascii="宋体" w:hAnsi="宋体" w:cs="宋体"/>
          <w:color w:val="auto"/>
          <w:sz w:val="22"/>
          <w:u w:val="single"/>
        </w:rPr>
        <w:t>地震、海啸、瘟疫、骚乱、戒严、暴动、战争及13级以上台风，但由于承包人及其分包商的雇员的原因引起的骚乱及其他灾难性事件不属于不可抗力</w:t>
      </w:r>
      <w:r>
        <w:rPr>
          <w:rFonts w:hint="eastAsia" w:ascii="宋体" w:hAnsi="宋体" w:cs="宋体"/>
          <w:color w:val="auto"/>
          <w:kern w:val="0"/>
          <w:sz w:val="22"/>
          <w:u w:val="single"/>
        </w:rPr>
        <w:t>。</w:t>
      </w:r>
    </w:p>
    <w:p w14:paraId="1475CDBF">
      <w:pPr>
        <w:pStyle w:val="39"/>
        <w:spacing w:line="360" w:lineRule="exact"/>
        <w:ind w:firstLine="442" w:firstLineChars="200"/>
        <w:rPr>
          <w:rFonts w:hint="eastAsia" w:ascii="宋体" w:hAnsi="宋体" w:cs="宋体"/>
          <w:color w:val="auto"/>
          <w:sz w:val="22"/>
          <w:szCs w:val="22"/>
        </w:rPr>
      </w:pPr>
      <w:bookmarkStart w:id="1117" w:name="_Toc533432798"/>
      <w:bookmarkStart w:id="1118" w:name="_Toc12975963"/>
      <w:r>
        <w:rPr>
          <w:rFonts w:hint="eastAsia" w:ascii="宋体" w:hAnsi="宋体" w:cs="宋体"/>
          <w:color w:val="auto"/>
          <w:sz w:val="22"/>
          <w:szCs w:val="22"/>
        </w:rPr>
        <w:t>17.2不可抗力的通知</w:t>
      </w:r>
      <w:bookmarkEnd w:id="1117"/>
      <w:bookmarkEnd w:id="1118"/>
    </w:p>
    <w:p w14:paraId="1812AEE9">
      <w:pPr>
        <w:pStyle w:val="40"/>
        <w:spacing w:line="360" w:lineRule="exact"/>
        <w:ind w:firstLine="440" w:firstLineChars="200"/>
        <w:rPr>
          <w:rFonts w:hint="eastAsia" w:ascii="宋体" w:hAnsi="宋体" w:cs="宋体"/>
          <w:color w:val="auto"/>
          <w:kern w:val="0"/>
          <w:sz w:val="22"/>
        </w:rPr>
      </w:pPr>
      <w:r>
        <w:rPr>
          <w:rFonts w:hint="eastAsia" w:ascii="宋体" w:hAnsi="宋体" w:cs="宋体"/>
          <w:color w:val="auto"/>
          <w:kern w:val="0"/>
          <w:sz w:val="22"/>
        </w:rPr>
        <w:t>不可抗力因素出现，承包人应立即采取措施并向发包人方通报受灾情况，在不可抗力因素引起的损害终止后三日内向发包人报告损失情况和清理、修复的费用。若灾害呈间歇形式继续发生，承包人应每隔三天向发包人报告一次灾害情况，直至灾害结束。发包人应对灾情处理提供必要条件。</w:t>
      </w:r>
    </w:p>
    <w:p w14:paraId="0573896D">
      <w:pPr>
        <w:pStyle w:val="40"/>
        <w:spacing w:line="360" w:lineRule="exact"/>
        <w:ind w:firstLine="442" w:firstLineChars="200"/>
        <w:rPr>
          <w:rFonts w:hint="eastAsia" w:ascii="宋体" w:hAnsi="宋体" w:cs="宋体"/>
          <w:b/>
          <w:bCs/>
          <w:color w:val="auto"/>
          <w:sz w:val="22"/>
        </w:rPr>
      </w:pPr>
      <w:r>
        <w:rPr>
          <w:rFonts w:hint="eastAsia" w:ascii="宋体" w:hAnsi="宋体" w:cs="宋体"/>
          <w:b/>
          <w:bCs/>
          <w:color w:val="auto"/>
          <w:sz w:val="22"/>
        </w:rPr>
        <w:t>17.3不可抗力后果的承担</w:t>
      </w:r>
      <w:bookmarkStart w:id="1119" w:name="_Toc395382574"/>
      <w:bookmarkStart w:id="1120" w:name="_Toc373478418"/>
      <w:bookmarkStart w:id="1121" w:name="_Toc373227771"/>
      <w:bookmarkStart w:id="1122" w:name="_Toc389065336"/>
    </w:p>
    <w:p w14:paraId="1762EDD9">
      <w:pPr>
        <w:pStyle w:val="40"/>
        <w:spacing w:line="360" w:lineRule="exact"/>
        <w:ind w:firstLine="442" w:firstLineChars="200"/>
        <w:rPr>
          <w:rFonts w:hint="eastAsia" w:ascii="宋体" w:hAnsi="宋体" w:cs="宋体"/>
          <w:b/>
          <w:bCs/>
          <w:color w:val="auto"/>
          <w:kern w:val="0"/>
          <w:sz w:val="22"/>
        </w:rPr>
      </w:pPr>
      <w:r>
        <w:rPr>
          <w:rFonts w:hint="eastAsia" w:ascii="宋体" w:hAnsi="宋体" w:cs="宋体"/>
          <w:b/>
          <w:bCs/>
          <w:color w:val="auto"/>
          <w:kern w:val="0"/>
          <w:sz w:val="22"/>
        </w:rPr>
        <w:t>因灾害发生的费用由双方分别承担，其中：</w:t>
      </w:r>
    </w:p>
    <w:p w14:paraId="032E054B">
      <w:pPr>
        <w:pStyle w:val="40"/>
        <w:spacing w:line="360" w:lineRule="exact"/>
        <w:ind w:firstLine="440" w:firstLineChars="200"/>
        <w:rPr>
          <w:rFonts w:hint="eastAsia" w:ascii="宋体" w:hAnsi="宋体" w:cs="宋体"/>
          <w:color w:val="auto"/>
          <w:kern w:val="0"/>
          <w:sz w:val="22"/>
        </w:rPr>
      </w:pPr>
      <w:r>
        <w:rPr>
          <w:rFonts w:hint="eastAsia" w:ascii="宋体" w:hAnsi="宋体" w:cs="宋体"/>
          <w:color w:val="auto"/>
          <w:kern w:val="0"/>
          <w:sz w:val="22"/>
        </w:rPr>
        <w:t xml:space="preserve">    （1）工程本身的损害由发包人承担；</w:t>
      </w:r>
    </w:p>
    <w:p w14:paraId="3D3AC95F">
      <w:pPr>
        <w:pStyle w:val="40"/>
        <w:spacing w:line="360" w:lineRule="exact"/>
        <w:ind w:firstLine="440" w:firstLineChars="200"/>
        <w:rPr>
          <w:rFonts w:hint="eastAsia" w:ascii="宋体" w:hAnsi="宋体" w:cs="宋体"/>
          <w:color w:val="auto"/>
          <w:kern w:val="0"/>
          <w:sz w:val="22"/>
        </w:rPr>
      </w:pPr>
      <w:r>
        <w:rPr>
          <w:rFonts w:hint="eastAsia" w:ascii="宋体" w:hAnsi="宋体" w:cs="宋体"/>
          <w:color w:val="auto"/>
          <w:kern w:val="0"/>
          <w:sz w:val="22"/>
        </w:rPr>
        <w:t xml:space="preserve">    （2）人员伤亡由其所属单位负责并承担相应费用；</w:t>
      </w:r>
    </w:p>
    <w:p w14:paraId="19AB1A32">
      <w:pPr>
        <w:pStyle w:val="40"/>
        <w:spacing w:line="360" w:lineRule="exact"/>
        <w:ind w:firstLine="440" w:firstLineChars="200"/>
        <w:rPr>
          <w:rFonts w:hint="eastAsia" w:ascii="宋体" w:hAnsi="宋体" w:cs="宋体"/>
          <w:color w:val="auto"/>
          <w:kern w:val="0"/>
          <w:sz w:val="22"/>
        </w:rPr>
      </w:pPr>
      <w:r>
        <w:rPr>
          <w:rFonts w:hint="eastAsia" w:ascii="宋体" w:hAnsi="宋体" w:cs="宋体"/>
          <w:color w:val="auto"/>
          <w:kern w:val="0"/>
          <w:sz w:val="22"/>
        </w:rPr>
        <w:t xml:space="preserve">    （3）造成施工现场承包人临时设施损坏和修复费用，由承包人承担；</w:t>
      </w:r>
    </w:p>
    <w:p w14:paraId="5C366515">
      <w:pPr>
        <w:pStyle w:val="40"/>
        <w:spacing w:line="360" w:lineRule="exact"/>
        <w:ind w:firstLine="440" w:firstLineChars="200"/>
        <w:rPr>
          <w:rFonts w:hint="eastAsia" w:ascii="宋体" w:hAnsi="宋体" w:cs="宋体"/>
          <w:color w:val="auto"/>
          <w:kern w:val="0"/>
          <w:sz w:val="22"/>
        </w:rPr>
      </w:pPr>
      <w:r>
        <w:rPr>
          <w:rFonts w:hint="eastAsia" w:ascii="宋体" w:hAnsi="宋体" w:cs="宋体"/>
          <w:color w:val="auto"/>
          <w:kern w:val="0"/>
          <w:sz w:val="22"/>
        </w:rPr>
        <w:t xml:space="preserve">    （4）承包人设备、机械、车辆等现场施工用具及人员停、窝工、机械、设备停置损失，由承包人承担；</w:t>
      </w:r>
    </w:p>
    <w:p w14:paraId="1BAC672E">
      <w:pPr>
        <w:pStyle w:val="40"/>
        <w:spacing w:line="360" w:lineRule="exact"/>
        <w:ind w:firstLine="440" w:firstLineChars="200"/>
        <w:rPr>
          <w:rFonts w:hint="eastAsia" w:ascii="宋体" w:hAnsi="宋体" w:cs="宋体"/>
          <w:color w:val="auto"/>
          <w:kern w:val="0"/>
          <w:sz w:val="22"/>
        </w:rPr>
      </w:pPr>
      <w:r>
        <w:rPr>
          <w:rFonts w:hint="eastAsia" w:ascii="宋体" w:hAnsi="宋体" w:cs="宋体"/>
          <w:color w:val="auto"/>
          <w:kern w:val="0"/>
          <w:sz w:val="22"/>
        </w:rPr>
        <w:t>（5）清理、修理工作的责任与费用的承担：由承包人承担。</w:t>
      </w:r>
    </w:p>
    <w:p w14:paraId="164B1CC5">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17.3.2 不可抗力导致的人员伤亡、财产损失、费用增加和（或）工期延误等后果，由合同当事人按以下原则承担：</w:t>
      </w:r>
    </w:p>
    <w:p w14:paraId="396228D7">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（1）永久工程、已运至施工现场的甲供材料和甲供的工程设备的损坏，以及因工程损坏造成的第三人人员伤亡和财产损失由发包人承担。已运至施工现场的承包人采购材料的损坏由承包人承担。</w:t>
      </w:r>
    </w:p>
    <w:p w14:paraId="02CE35BE">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（2）承包人施工设备的损坏由承包人承担。</w:t>
      </w:r>
    </w:p>
    <w:p w14:paraId="410EA993">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（3）发包人和承包人承担各自人员伤亡和财产的损失。</w:t>
      </w:r>
    </w:p>
    <w:p w14:paraId="009DDAF9">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（4）因不可抗力影响承包人履行合同约定的义务，已经引起或将引起工期延误的，应当顺延工期，由此导致承包人停工的费用损失由承包人承担，停工期间必须支付的工人工资由承包人承担。</w:t>
      </w:r>
    </w:p>
    <w:p w14:paraId="128FD975">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（5）因不可抗力引起或将引起工期延误，发包人要求赶工的，由此增加的赶工费用由发包人承担。</w:t>
      </w:r>
    </w:p>
    <w:p w14:paraId="65192C1F">
      <w:pPr>
        <w:pStyle w:val="60"/>
        <w:spacing w:line="360" w:lineRule="exact"/>
        <w:ind w:firstLine="440" w:firstLineChars="200"/>
        <w:rPr>
          <w:rFonts w:hint="eastAsia" w:ascii="宋体" w:hAnsi="宋体" w:cs="宋体"/>
          <w:color w:val="auto"/>
          <w:kern w:val="0"/>
          <w:sz w:val="22"/>
        </w:rPr>
      </w:pPr>
      <w:r>
        <w:rPr>
          <w:rFonts w:hint="eastAsia" w:ascii="宋体" w:hAnsi="宋体" w:cs="宋体"/>
          <w:color w:val="auto"/>
          <w:sz w:val="22"/>
          <w:szCs w:val="22"/>
        </w:rPr>
        <w:t>（6）承包人在停工期间按照发包人要求照管、清理和修复工程的费用由发包人承担。</w:t>
      </w:r>
    </w:p>
    <w:p w14:paraId="25105B12">
      <w:pPr>
        <w:pStyle w:val="40"/>
        <w:spacing w:line="360" w:lineRule="exact"/>
        <w:ind w:firstLine="442" w:firstLineChars="200"/>
        <w:rPr>
          <w:rFonts w:hint="eastAsia" w:ascii="宋体" w:hAnsi="宋体" w:cs="宋体"/>
          <w:b/>
          <w:bCs/>
          <w:color w:val="auto"/>
          <w:sz w:val="22"/>
        </w:rPr>
      </w:pPr>
      <w:r>
        <w:rPr>
          <w:rFonts w:hint="eastAsia" w:ascii="宋体" w:hAnsi="宋体" w:cs="宋体"/>
          <w:b/>
          <w:bCs/>
          <w:color w:val="auto"/>
          <w:sz w:val="22"/>
        </w:rPr>
        <w:t>17.4 因不可抗力解除合同</w:t>
      </w:r>
      <w:bookmarkEnd w:id="1119"/>
      <w:bookmarkEnd w:id="1120"/>
      <w:bookmarkEnd w:id="1121"/>
      <w:bookmarkEnd w:id="1122"/>
    </w:p>
    <w:p w14:paraId="34C83990">
      <w:pPr>
        <w:pStyle w:val="70"/>
        <w:spacing w:before="0" w:after="0" w:line="360" w:lineRule="exact"/>
        <w:ind w:firstLine="440" w:firstLineChars="200"/>
        <w:rPr>
          <w:rFonts w:hint="eastAsia" w:ascii="宋体" w:hAnsi="宋体" w:cs="宋体"/>
          <w:b w:val="0"/>
          <w:bCs w:val="0"/>
          <w:color w:val="auto"/>
          <w:sz w:val="22"/>
          <w:szCs w:val="22"/>
        </w:rPr>
      </w:pPr>
      <w:bookmarkStart w:id="1123" w:name="_Toc373227772"/>
      <w:bookmarkStart w:id="1124" w:name="_Toc351203650"/>
      <w:bookmarkStart w:id="1125" w:name="_Toc395382575"/>
      <w:bookmarkStart w:id="1126" w:name="_Toc533432799"/>
      <w:bookmarkStart w:id="1127" w:name="_Toc389065337"/>
      <w:bookmarkStart w:id="1128" w:name="_Toc373478419"/>
      <w:bookmarkStart w:id="1129" w:name="_Toc12975964"/>
      <w:r>
        <w:rPr>
          <w:rFonts w:hint="eastAsia" w:ascii="宋体" w:hAnsi="宋体" w:cs="宋体"/>
          <w:b w:val="0"/>
          <w:bCs w:val="0"/>
          <w:color w:val="auto"/>
          <w:sz w:val="22"/>
          <w:szCs w:val="22"/>
        </w:rPr>
        <w:t>合同解除后，发包人应在商定或确定发包人应支付款项后</w:t>
      </w:r>
      <w:r>
        <w:rPr>
          <w:rFonts w:hint="eastAsia" w:ascii="宋体" w:hAnsi="宋体" w:cs="宋体"/>
          <w:b w:val="0"/>
          <w:bCs w:val="0"/>
          <w:color w:val="auto"/>
          <w:sz w:val="22"/>
          <w:szCs w:val="22"/>
          <w:u w:val="single"/>
        </w:rPr>
        <w:t xml:space="preserve">  120   </w:t>
      </w:r>
      <w:r>
        <w:rPr>
          <w:rFonts w:hint="eastAsia" w:ascii="宋体" w:hAnsi="宋体" w:cs="宋体"/>
          <w:b w:val="0"/>
          <w:bCs w:val="0"/>
          <w:color w:val="auto"/>
          <w:sz w:val="22"/>
          <w:szCs w:val="22"/>
        </w:rPr>
        <w:t>天内完成款项的支付。应支付款项以审计部门出具的审计报告为准。</w:t>
      </w:r>
    </w:p>
    <w:p w14:paraId="210A523E">
      <w:pPr>
        <w:pStyle w:val="70"/>
        <w:spacing w:before="0" w:after="0" w:line="360" w:lineRule="exact"/>
        <w:ind w:firstLine="442" w:firstLineChars="200"/>
        <w:rPr>
          <w:rFonts w:hint="eastAsia" w:ascii="宋体" w:hAnsi="宋体" w:eastAsia="宋体" w:cs="宋体"/>
          <w:color w:val="auto"/>
          <w:sz w:val="22"/>
          <w:szCs w:val="22"/>
        </w:rPr>
      </w:pPr>
      <w:r>
        <w:rPr>
          <w:rFonts w:hint="eastAsia" w:ascii="宋体" w:hAnsi="宋体" w:eastAsia="宋体" w:cs="宋体"/>
          <w:color w:val="auto"/>
          <w:sz w:val="22"/>
          <w:szCs w:val="22"/>
        </w:rPr>
        <w:t>18. 保险</w:t>
      </w:r>
      <w:bookmarkEnd w:id="1123"/>
      <w:bookmarkEnd w:id="1124"/>
      <w:bookmarkEnd w:id="1125"/>
      <w:bookmarkEnd w:id="1126"/>
      <w:bookmarkEnd w:id="1127"/>
      <w:bookmarkEnd w:id="1128"/>
      <w:bookmarkEnd w:id="1129"/>
    </w:p>
    <w:bookmarkEnd w:id="1089"/>
    <w:p w14:paraId="2DCA2C06">
      <w:pPr>
        <w:pStyle w:val="39"/>
        <w:spacing w:line="360" w:lineRule="exact"/>
        <w:ind w:firstLine="442" w:firstLineChars="200"/>
        <w:rPr>
          <w:rFonts w:hint="eastAsia" w:ascii="宋体" w:hAnsi="宋体" w:cs="宋体"/>
          <w:color w:val="auto"/>
          <w:sz w:val="22"/>
          <w:szCs w:val="22"/>
        </w:rPr>
      </w:pPr>
      <w:bookmarkStart w:id="1130" w:name="_Toc395382576"/>
      <w:bookmarkStart w:id="1131" w:name="_Toc373478420"/>
      <w:bookmarkStart w:id="1132" w:name="_Toc389065338"/>
      <w:bookmarkStart w:id="1133" w:name="_Toc533432800"/>
      <w:bookmarkStart w:id="1134" w:name="_Toc373227773"/>
      <w:bookmarkStart w:id="1135" w:name="_Toc12975965"/>
      <w:r>
        <w:rPr>
          <w:rFonts w:hint="eastAsia" w:ascii="宋体" w:hAnsi="宋体" w:cs="宋体"/>
          <w:color w:val="auto"/>
          <w:sz w:val="22"/>
          <w:szCs w:val="22"/>
        </w:rPr>
        <w:t>18.1 工程保险</w:t>
      </w:r>
      <w:bookmarkEnd w:id="1130"/>
      <w:bookmarkEnd w:id="1131"/>
      <w:bookmarkEnd w:id="1132"/>
      <w:bookmarkEnd w:id="1133"/>
      <w:bookmarkEnd w:id="1134"/>
      <w:bookmarkEnd w:id="1135"/>
    </w:p>
    <w:p w14:paraId="293903D5">
      <w:pPr>
        <w:pStyle w:val="60"/>
        <w:spacing w:line="360" w:lineRule="exact"/>
        <w:ind w:firstLine="440" w:firstLineChars="200"/>
        <w:jc w:val="left"/>
        <w:rPr>
          <w:rFonts w:hint="eastAsia" w:ascii="宋体" w:hAnsi="宋体" w:cs="宋体"/>
          <w:b/>
          <w:color w:val="auto"/>
          <w:sz w:val="22"/>
          <w:szCs w:val="22"/>
          <w:u w:val="single"/>
        </w:rPr>
      </w:pPr>
      <w:r>
        <w:rPr>
          <w:rFonts w:hint="eastAsia" w:ascii="宋体" w:hAnsi="宋体" w:cs="宋体"/>
          <w:color w:val="auto"/>
          <w:sz w:val="22"/>
          <w:szCs w:val="22"/>
        </w:rPr>
        <w:t>关于工程保险的特别约定：</w:t>
      </w:r>
      <w:r>
        <w:rPr>
          <w:rFonts w:hint="eastAsia" w:ascii="宋体" w:hAnsi="宋体" w:cs="宋体"/>
          <w:color w:val="auto"/>
          <w:kern w:val="0"/>
          <w:sz w:val="22"/>
          <w:szCs w:val="22"/>
          <w:u w:val="single"/>
        </w:rPr>
        <w:t xml:space="preserve"> </w:t>
      </w:r>
      <w:r>
        <w:rPr>
          <w:rFonts w:hint="eastAsia" w:ascii="宋体" w:hAnsi="宋体" w:cs="宋体"/>
          <w:b/>
          <w:color w:val="auto"/>
          <w:sz w:val="22"/>
          <w:szCs w:val="22"/>
          <w:u w:val="single"/>
        </w:rPr>
        <w:t>本项目工程一切险（或安装工程一切险）和第三者责任险由发包人委托承包人投保，费用总价包干，承包人预估费用低于实际费用，不足部分由承包人补齐；因承包人不投保或投保不足造成的损失全部由承包人承担，与发包人无关</w:t>
      </w:r>
      <w:r>
        <w:rPr>
          <w:rFonts w:hint="eastAsia" w:ascii="宋体" w:hAnsi="宋体" w:cs="宋体"/>
          <w:b/>
          <w:color w:val="auto"/>
          <w:kern w:val="0"/>
          <w:sz w:val="22"/>
          <w:szCs w:val="22"/>
          <w:u w:val="single"/>
        </w:rPr>
        <w:t>。</w:t>
      </w:r>
    </w:p>
    <w:p w14:paraId="62BF8493">
      <w:pPr>
        <w:pStyle w:val="39"/>
        <w:spacing w:line="360" w:lineRule="exact"/>
        <w:ind w:firstLine="442" w:firstLineChars="200"/>
        <w:rPr>
          <w:rFonts w:hint="eastAsia" w:ascii="宋体" w:hAnsi="宋体" w:cs="宋体"/>
          <w:color w:val="auto"/>
          <w:sz w:val="22"/>
          <w:szCs w:val="22"/>
        </w:rPr>
      </w:pPr>
      <w:bookmarkStart w:id="1136" w:name="_Toc373478421"/>
      <w:bookmarkStart w:id="1137" w:name="_Toc12975966"/>
      <w:bookmarkStart w:id="1138" w:name="_Toc373227774"/>
      <w:bookmarkStart w:id="1139" w:name="_Toc395382577"/>
      <w:bookmarkStart w:id="1140" w:name="_Toc389065339"/>
      <w:bookmarkStart w:id="1141" w:name="_Toc533432801"/>
      <w:r>
        <w:rPr>
          <w:rFonts w:hint="eastAsia" w:ascii="宋体" w:hAnsi="宋体" w:cs="宋体"/>
          <w:color w:val="auto"/>
          <w:sz w:val="22"/>
          <w:szCs w:val="22"/>
        </w:rPr>
        <w:t xml:space="preserve">18.3 </w:t>
      </w:r>
      <w:bookmarkStart w:id="1142" w:name="OLE_LINK34"/>
      <w:r>
        <w:rPr>
          <w:rFonts w:hint="eastAsia" w:ascii="宋体" w:hAnsi="宋体" w:cs="宋体"/>
          <w:color w:val="auto"/>
          <w:sz w:val="22"/>
          <w:szCs w:val="22"/>
        </w:rPr>
        <w:t>其他保险</w:t>
      </w:r>
      <w:bookmarkEnd w:id="1136"/>
      <w:bookmarkEnd w:id="1137"/>
      <w:bookmarkEnd w:id="1138"/>
      <w:bookmarkEnd w:id="1139"/>
      <w:bookmarkEnd w:id="1140"/>
      <w:bookmarkEnd w:id="1141"/>
      <w:bookmarkEnd w:id="1142"/>
    </w:p>
    <w:p w14:paraId="58DBAE00">
      <w:pPr>
        <w:keepNext w:val="0"/>
        <w:keepLines w:val="0"/>
        <w:pageBreakBefore w:val="0"/>
        <w:widowControl w:val="0"/>
        <w:kinsoku/>
        <w:wordWrap/>
        <w:overflowPunct/>
        <w:topLinePunct w:val="0"/>
        <w:autoSpaceDE/>
        <w:autoSpaceDN/>
        <w:bidi w:val="0"/>
        <w:adjustRightInd/>
        <w:snapToGrid/>
        <w:spacing w:line="420" w:lineRule="exact"/>
        <w:ind w:firstLine="440" w:firstLineChars="200"/>
        <w:rPr>
          <w:rStyle w:val="65"/>
          <w:rFonts w:hint="eastAsia" w:ascii="宋体" w:hAnsi="宋体" w:eastAsia="宋体" w:cs="Times New Roman"/>
          <w:color w:val="auto"/>
          <w:sz w:val="22"/>
          <w:szCs w:val="28"/>
          <w:highlight w:val="none"/>
          <w:u w:val="single"/>
        </w:rPr>
      </w:pPr>
      <w:r>
        <w:rPr>
          <w:rFonts w:hint="eastAsia" w:ascii="宋体" w:hAnsi="宋体" w:eastAsia="宋体" w:cs="宋体"/>
          <w:color w:val="auto"/>
          <w:sz w:val="22"/>
          <w:szCs w:val="22"/>
          <w:highlight w:val="none"/>
        </w:rPr>
        <w:t>关于其他保险的约定：</w:t>
      </w:r>
      <w:r>
        <w:rPr>
          <w:rStyle w:val="65"/>
          <w:rFonts w:hint="eastAsia" w:ascii="宋体" w:hAnsi="宋体" w:eastAsia="宋体" w:cs="Times New Roman"/>
          <w:color w:val="auto"/>
          <w:sz w:val="22"/>
          <w:szCs w:val="28"/>
          <w:highlight w:val="none"/>
          <w:u w:val="single"/>
        </w:rPr>
        <w:t>承包人根据《广西壮族自治区房屋建筑和市政基础设施工程安全生产责任保险实施办法》（桂建发（2023）1号）相关条款，以工程项目为单元参保建筑工程安责险。安全生产责任保险费按分部分项工程费及措施项目费（含单价及总价措施项目费）为计算基数乘以0.2%计入暂估价，工程结算时，由发承包双方根据工程实际情况确认的安全生产责任保险费计入工程造价（注：安全生产责任保险费先由承包人支付，在工程结算时，发承包双方按《广西壮族自治区房屋建筑和市政基础设施工程安全生产责任保险计价规定的通知》（桂建发（2023）6号）的相关条款，根据工程实际情况确认的安全生产责任保险费计入工程造价据实结算。）</w:t>
      </w:r>
    </w:p>
    <w:p w14:paraId="12BB3226">
      <w:pPr>
        <w:keepNext w:val="0"/>
        <w:keepLines w:val="0"/>
        <w:pageBreakBefore w:val="0"/>
        <w:widowControl w:val="0"/>
        <w:kinsoku/>
        <w:wordWrap/>
        <w:overflowPunct/>
        <w:topLinePunct w:val="0"/>
        <w:autoSpaceDE/>
        <w:autoSpaceDN/>
        <w:bidi w:val="0"/>
        <w:adjustRightInd/>
        <w:snapToGrid/>
        <w:spacing w:line="420" w:lineRule="exact"/>
        <w:ind w:firstLine="440" w:firstLineChars="200"/>
        <w:rPr>
          <w:rStyle w:val="65"/>
          <w:rFonts w:hint="eastAsia" w:ascii="宋体" w:hAnsi="宋体" w:eastAsia="宋体" w:cs="Times New Roman"/>
          <w:color w:val="auto"/>
          <w:sz w:val="22"/>
          <w:szCs w:val="28"/>
          <w:highlight w:val="none"/>
          <w:u w:val="single"/>
        </w:rPr>
      </w:pPr>
      <w:r>
        <w:rPr>
          <w:rStyle w:val="65"/>
          <w:rFonts w:hint="eastAsia" w:ascii="宋体" w:hAnsi="宋体" w:eastAsia="宋体" w:cs="Times New Roman"/>
          <w:color w:val="auto"/>
          <w:sz w:val="22"/>
          <w:szCs w:val="28"/>
          <w:highlight w:val="none"/>
          <w:u w:val="single"/>
        </w:rPr>
        <w:t>承包人必须为施工现场从事施工的所有作业人员和管理人员办理安全生产责任保险</w:t>
      </w:r>
      <w:r>
        <w:rPr>
          <w:rStyle w:val="65"/>
          <w:rFonts w:hint="eastAsia" w:ascii="宋体" w:hAnsi="宋体" w:eastAsia="宋体" w:cs="Times New Roman"/>
          <w:color w:val="auto"/>
          <w:sz w:val="22"/>
          <w:szCs w:val="28"/>
          <w:highlight w:val="none"/>
          <w:u w:val="single"/>
          <w:lang w:val="en-US" w:eastAsia="zh-CN"/>
        </w:rPr>
        <w:t>及</w:t>
      </w:r>
      <w:r>
        <w:rPr>
          <w:rStyle w:val="65"/>
          <w:rFonts w:hint="eastAsia" w:ascii="宋体" w:hAnsi="宋体" w:eastAsia="宋体" w:cs="Times New Roman"/>
          <w:color w:val="auto"/>
          <w:sz w:val="22"/>
          <w:szCs w:val="28"/>
          <w:highlight w:val="none"/>
          <w:u w:val="single"/>
        </w:rPr>
        <w:t>意外伤害保险，并支付保险费。</w:t>
      </w:r>
    </w:p>
    <w:p w14:paraId="5436598F">
      <w:pPr>
        <w:keepNext w:val="0"/>
        <w:keepLines w:val="0"/>
        <w:pageBreakBefore w:val="0"/>
        <w:widowControl w:val="0"/>
        <w:kinsoku/>
        <w:wordWrap/>
        <w:overflowPunct/>
        <w:topLinePunct w:val="0"/>
        <w:autoSpaceDE/>
        <w:autoSpaceDN/>
        <w:bidi w:val="0"/>
        <w:adjustRightInd/>
        <w:snapToGrid/>
        <w:spacing w:line="420" w:lineRule="exact"/>
        <w:ind w:firstLine="440" w:firstLineChars="200"/>
        <w:rPr>
          <w:rFonts w:hint="eastAsia" w:ascii="宋体" w:hAnsi="宋体" w:cs="宋体"/>
          <w:color w:val="auto"/>
          <w:kern w:val="0"/>
          <w:sz w:val="24"/>
          <w:szCs w:val="28"/>
          <w:highlight w:val="none"/>
        </w:rPr>
      </w:pPr>
      <w:r>
        <w:rPr>
          <w:rStyle w:val="65"/>
          <w:rFonts w:hint="eastAsia" w:ascii="宋体" w:hAnsi="宋体" w:eastAsia="宋体" w:cs="Times New Roman"/>
          <w:color w:val="auto"/>
          <w:sz w:val="22"/>
          <w:szCs w:val="28"/>
          <w:highlight w:val="none"/>
          <w:u w:val="single"/>
        </w:rPr>
        <w:t>承包人是否应为其施工设备等办理财产保险：  由承包人按国家相关规定自行办理。</w:t>
      </w:r>
    </w:p>
    <w:p w14:paraId="1368623B">
      <w:pPr>
        <w:pStyle w:val="40"/>
        <w:spacing w:line="360" w:lineRule="exact"/>
        <w:ind w:firstLine="440" w:firstLineChars="200"/>
        <w:jc w:val="left"/>
        <w:rPr>
          <w:rFonts w:hint="eastAsia" w:ascii="宋体" w:hAnsi="宋体" w:eastAsia="宋体" w:cs="宋体"/>
          <w:color w:val="auto"/>
          <w:sz w:val="22"/>
          <w:szCs w:val="22"/>
        </w:rPr>
      </w:pPr>
      <w:r>
        <w:rPr>
          <w:rFonts w:hint="eastAsia" w:ascii="宋体" w:hAnsi="宋体" w:cs="宋体"/>
          <w:color w:val="auto"/>
          <w:sz w:val="22"/>
        </w:rPr>
        <w:t>承包人是否应为其施工设备等办理财产保险：</w:t>
      </w:r>
      <w:r>
        <w:rPr>
          <w:rFonts w:hint="eastAsia" w:ascii="宋体" w:hAnsi="宋体" w:cs="宋体"/>
          <w:color w:val="auto"/>
          <w:sz w:val="22"/>
          <w:u w:val="single"/>
        </w:rPr>
        <w:t xml:space="preserve"> </w:t>
      </w:r>
      <w:r>
        <w:rPr>
          <w:rFonts w:hint="eastAsia" w:ascii="宋体" w:hAnsi="宋体" w:cs="宋体"/>
          <w:color w:val="auto"/>
          <w:kern w:val="0"/>
          <w:sz w:val="22"/>
          <w:u w:val="single"/>
        </w:rPr>
        <w:t xml:space="preserve">承包人自行考虑 </w:t>
      </w:r>
      <w:r>
        <w:rPr>
          <w:rFonts w:hint="eastAsia" w:ascii="宋体" w:hAnsi="宋体" w:cs="宋体"/>
          <w:color w:val="auto"/>
          <w:sz w:val="22"/>
          <w:u w:val="single"/>
        </w:rPr>
        <w:t xml:space="preserve"> </w:t>
      </w:r>
      <w:r>
        <w:rPr>
          <w:rFonts w:hint="eastAsia" w:ascii="宋体" w:hAnsi="宋体" w:cs="宋体"/>
          <w:color w:val="auto"/>
          <w:sz w:val="22"/>
        </w:rPr>
        <w:t>。</w:t>
      </w:r>
      <w:bookmarkStart w:id="1143" w:name="_Toc529202612"/>
      <w:bookmarkStart w:id="1144" w:name="_Toc513041358"/>
      <w:bookmarkStart w:id="1145" w:name="_Toc54862578"/>
    </w:p>
    <w:p w14:paraId="4B179B89">
      <w:pPr>
        <w:pStyle w:val="71"/>
        <w:spacing w:line="360" w:lineRule="exact"/>
        <w:ind w:firstLine="442" w:firstLineChars="200"/>
        <w:rPr>
          <w:rFonts w:hint="eastAsia" w:ascii="宋体" w:hAnsi="宋体" w:eastAsia="宋体" w:cs="宋体"/>
          <w:color w:val="auto"/>
          <w:sz w:val="22"/>
          <w:szCs w:val="22"/>
        </w:rPr>
      </w:pPr>
      <w:r>
        <w:rPr>
          <w:rFonts w:hint="eastAsia" w:ascii="宋体" w:hAnsi="宋体" w:eastAsia="宋体" w:cs="宋体"/>
          <w:color w:val="auto"/>
          <w:sz w:val="22"/>
          <w:szCs w:val="22"/>
        </w:rPr>
        <w:t>18.6未按约定投保的补救</w:t>
      </w:r>
      <w:bookmarkEnd w:id="1143"/>
      <w:bookmarkEnd w:id="1144"/>
      <w:bookmarkEnd w:id="1145"/>
    </w:p>
    <w:p w14:paraId="7D09457A">
      <w:pPr>
        <w:pStyle w:val="60"/>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18.6.1投保工程保险产生的相关费用包含在本合同中，费用总价包干，承包人可以自主决定本项目是否办理</w:t>
      </w:r>
      <w:r>
        <w:rPr>
          <w:rFonts w:hint="eastAsia" w:ascii="宋体" w:hAnsi="宋体" w:cs="宋体"/>
          <w:b/>
          <w:color w:val="auto"/>
          <w:sz w:val="22"/>
          <w:szCs w:val="22"/>
          <w:u w:val="single"/>
        </w:rPr>
        <w:t>建筑工程一切险（或安装工程一切险）和第三者责任险</w:t>
      </w:r>
      <w:r>
        <w:rPr>
          <w:rFonts w:hint="eastAsia" w:ascii="宋体" w:hAnsi="宋体" w:cs="宋体"/>
          <w:color w:val="auto"/>
          <w:sz w:val="22"/>
          <w:szCs w:val="22"/>
        </w:rPr>
        <w:t>。但由于承包人的原因，造成未按合同约定办理保险，或未能使保险持续有效的，导致损失未能得到足额赔偿的，由承包人负责补足。</w:t>
      </w:r>
    </w:p>
    <w:p w14:paraId="3D80849E">
      <w:pPr>
        <w:pStyle w:val="39"/>
        <w:spacing w:line="360" w:lineRule="exact"/>
        <w:ind w:firstLine="442" w:firstLineChars="200"/>
        <w:rPr>
          <w:rFonts w:hint="eastAsia" w:ascii="宋体" w:hAnsi="宋体" w:cs="宋体"/>
          <w:color w:val="auto"/>
          <w:sz w:val="22"/>
          <w:szCs w:val="22"/>
        </w:rPr>
      </w:pPr>
      <w:bookmarkStart w:id="1146" w:name="_Toc12975967"/>
      <w:bookmarkStart w:id="1147" w:name="_Toc373478422"/>
      <w:bookmarkStart w:id="1148" w:name="_Toc395382578"/>
      <w:bookmarkStart w:id="1149" w:name="_Toc373227775"/>
      <w:bookmarkStart w:id="1150" w:name="_Toc533432802"/>
      <w:bookmarkStart w:id="1151" w:name="_Toc389065340"/>
      <w:r>
        <w:rPr>
          <w:rFonts w:hint="eastAsia" w:ascii="宋体" w:hAnsi="宋体" w:cs="宋体"/>
          <w:color w:val="auto"/>
          <w:sz w:val="22"/>
          <w:szCs w:val="22"/>
        </w:rPr>
        <w:t>18.7 通知义务</w:t>
      </w:r>
      <w:bookmarkEnd w:id="1146"/>
      <w:bookmarkEnd w:id="1147"/>
      <w:bookmarkEnd w:id="1148"/>
      <w:bookmarkEnd w:id="1149"/>
      <w:bookmarkEnd w:id="1150"/>
      <w:bookmarkEnd w:id="1151"/>
    </w:p>
    <w:p w14:paraId="6B3AAE32">
      <w:pPr>
        <w:pStyle w:val="4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kern w:val="0"/>
          <w:sz w:val="22"/>
        </w:rPr>
        <w:t>关于变更保险合同时的通知义务的约定：</w:t>
      </w:r>
      <w:r>
        <w:rPr>
          <w:rFonts w:hint="eastAsia" w:ascii="宋体" w:hAnsi="宋体" w:cs="宋体"/>
          <w:color w:val="auto"/>
          <w:kern w:val="0"/>
          <w:sz w:val="22"/>
          <w:u w:val="single"/>
        </w:rPr>
        <w:t>按通用合同条款执行</w:t>
      </w:r>
      <w:r>
        <w:rPr>
          <w:rFonts w:hint="eastAsia" w:ascii="宋体" w:hAnsi="宋体" w:cs="宋体"/>
          <w:color w:val="auto"/>
          <w:sz w:val="22"/>
        </w:rPr>
        <w:t>。</w:t>
      </w:r>
    </w:p>
    <w:bookmarkEnd w:id="1041"/>
    <w:bookmarkEnd w:id="1042"/>
    <w:bookmarkEnd w:id="1043"/>
    <w:bookmarkEnd w:id="1044"/>
    <w:bookmarkEnd w:id="1045"/>
    <w:bookmarkEnd w:id="1046"/>
    <w:bookmarkEnd w:id="1047"/>
    <w:bookmarkEnd w:id="1048"/>
    <w:bookmarkEnd w:id="1049"/>
    <w:bookmarkEnd w:id="1050"/>
    <w:bookmarkEnd w:id="1051"/>
    <w:bookmarkEnd w:id="1052"/>
    <w:p w14:paraId="1622FE24">
      <w:pPr>
        <w:pStyle w:val="70"/>
        <w:spacing w:before="0" w:after="0" w:line="360" w:lineRule="exact"/>
        <w:rPr>
          <w:rFonts w:hint="eastAsia" w:ascii="宋体" w:hAnsi="宋体" w:cs="宋体"/>
          <w:color w:val="auto"/>
          <w:sz w:val="22"/>
          <w:szCs w:val="22"/>
        </w:rPr>
      </w:pPr>
      <w:bookmarkStart w:id="1152" w:name="_Toc12975968"/>
      <w:bookmarkStart w:id="1153" w:name="_Toc533432803"/>
      <w:bookmarkStart w:id="1154" w:name="_Toc373227776"/>
      <w:bookmarkStart w:id="1155" w:name="_Toc389065341"/>
      <w:bookmarkStart w:id="1156" w:name="_Toc351203651"/>
      <w:bookmarkStart w:id="1157" w:name="_Toc373478423"/>
      <w:bookmarkStart w:id="1158" w:name="_Toc395382579"/>
    </w:p>
    <w:p w14:paraId="281C3453">
      <w:pPr>
        <w:pStyle w:val="70"/>
        <w:spacing w:before="0" w:after="0" w:line="360" w:lineRule="exact"/>
        <w:ind w:firstLine="442" w:firstLineChars="200"/>
        <w:rPr>
          <w:rFonts w:hint="eastAsia" w:ascii="宋体" w:hAnsi="宋体" w:cs="宋体"/>
          <w:color w:val="auto"/>
          <w:sz w:val="22"/>
          <w:szCs w:val="22"/>
        </w:rPr>
      </w:pPr>
      <w:r>
        <w:rPr>
          <w:rFonts w:hint="eastAsia" w:ascii="宋体" w:hAnsi="宋体" w:cs="宋体"/>
          <w:color w:val="auto"/>
          <w:sz w:val="22"/>
          <w:szCs w:val="22"/>
        </w:rPr>
        <w:t>20. 争议解决</w:t>
      </w:r>
      <w:bookmarkEnd w:id="1152"/>
      <w:bookmarkEnd w:id="1153"/>
      <w:bookmarkEnd w:id="1154"/>
      <w:bookmarkEnd w:id="1155"/>
      <w:bookmarkEnd w:id="1156"/>
      <w:bookmarkEnd w:id="1157"/>
      <w:bookmarkEnd w:id="1158"/>
    </w:p>
    <w:bookmarkEnd w:id="1053"/>
    <w:bookmarkEnd w:id="1054"/>
    <w:p w14:paraId="3803E55D">
      <w:pPr>
        <w:pStyle w:val="39"/>
        <w:spacing w:line="360" w:lineRule="exact"/>
        <w:ind w:firstLine="442" w:firstLineChars="200"/>
        <w:rPr>
          <w:rFonts w:hint="eastAsia" w:ascii="宋体" w:hAnsi="宋体" w:cs="宋体"/>
          <w:color w:val="auto"/>
          <w:sz w:val="22"/>
          <w:szCs w:val="22"/>
        </w:rPr>
      </w:pPr>
      <w:bookmarkStart w:id="1159" w:name="_Toc389065342"/>
      <w:bookmarkStart w:id="1160" w:name="_Toc373227777"/>
      <w:bookmarkStart w:id="1161" w:name="_Toc373478424"/>
      <w:bookmarkStart w:id="1162" w:name="_Toc395382580"/>
      <w:bookmarkStart w:id="1163" w:name="_Toc533432804"/>
      <w:bookmarkStart w:id="1164" w:name="_Toc12975969"/>
      <w:r>
        <w:rPr>
          <w:rFonts w:hint="eastAsia" w:ascii="宋体" w:hAnsi="宋体" w:cs="宋体"/>
          <w:color w:val="auto"/>
          <w:sz w:val="22"/>
          <w:szCs w:val="22"/>
        </w:rPr>
        <w:t>20.3 争</w:t>
      </w:r>
      <w:bookmarkEnd w:id="1055"/>
      <w:r>
        <w:rPr>
          <w:rFonts w:hint="eastAsia" w:ascii="宋体" w:hAnsi="宋体" w:cs="宋体"/>
          <w:color w:val="auto"/>
          <w:sz w:val="22"/>
          <w:szCs w:val="22"/>
        </w:rPr>
        <w:t>议评审</w:t>
      </w:r>
      <w:bookmarkEnd w:id="1159"/>
      <w:bookmarkEnd w:id="1160"/>
      <w:bookmarkEnd w:id="1161"/>
      <w:bookmarkEnd w:id="1162"/>
      <w:bookmarkEnd w:id="1163"/>
      <w:bookmarkEnd w:id="1164"/>
    </w:p>
    <w:p w14:paraId="5A2C2F48">
      <w:pPr>
        <w:pStyle w:val="4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sz w:val="22"/>
        </w:rPr>
        <w:t>合同当事人是否同意将工程争议提交争议评审小组决定：</w:t>
      </w:r>
      <w:r>
        <w:rPr>
          <w:rFonts w:hint="eastAsia" w:ascii="宋体" w:hAnsi="宋体" w:cs="宋体"/>
          <w:color w:val="auto"/>
          <w:sz w:val="22"/>
          <w:u w:val="single"/>
        </w:rPr>
        <w:t xml:space="preserve"> 否，双方约定，在履行合同进程中产生争议时，请工程所在地建设行政主管部门进行调解，调解不成时，向工程所在地人民法院起诉</w:t>
      </w:r>
      <w:r>
        <w:rPr>
          <w:rFonts w:hint="eastAsia" w:ascii="宋体" w:hAnsi="宋体" w:cs="宋体"/>
          <w:color w:val="auto"/>
          <w:sz w:val="22"/>
        </w:rPr>
        <w:t>。</w:t>
      </w:r>
    </w:p>
    <w:p w14:paraId="440CF06E">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20.3.1 争议评审小组的确定</w:t>
      </w:r>
    </w:p>
    <w:p w14:paraId="5575CCBC">
      <w:pPr>
        <w:pStyle w:val="40"/>
        <w:spacing w:line="360" w:lineRule="exact"/>
        <w:ind w:firstLine="440" w:firstLineChars="200"/>
        <w:jc w:val="left"/>
        <w:rPr>
          <w:rFonts w:hint="eastAsia" w:ascii="宋体" w:hAnsi="宋体" w:cs="宋体"/>
          <w:color w:val="auto"/>
          <w:sz w:val="22"/>
          <w:u w:val="single"/>
        </w:rPr>
      </w:pPr>
      <w:r>
        <w:rPr>
          <w:rFonts w:hint="eastAsia" w:ascii="宋体" w:hAnsi="宋体" w:cs="宋体"/>
          <w:color w:val="auto"/>
          <w:sz w:val="22"/>
        </w:rPr>
        <w:t>争议评审小组成员的确定：</w:t>
      </w:r>
      <w:r>
        <w:rPr>
          <w:rFonts w:hint="eastAsia" w:ascii="宋体" w:hAnsi="宋体" w:cs="宋体"/>
          <w:color w:val="auto"/>
          <w:sz w:val="22"/>
          <w:u w:val="single"/>
        </w:rPr>
        <w:t xml:space="preserve"> 无  </w:t>
      </w:r>
      <w:r>
        <w:rPr>
          <w:rFonts w:hint="eastAsia" w:ascii="宋体" w:hAnsi="宋体" w:cs="宋体"/>
          <w:color w:val="auto"/>
          <w:sz w:val="22"/>
        </w:rPr>
        <w:t>。</w:t>
      </w:r>
    </w:p>
    <w:p w14:paraId="0A00D1B9">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选定争议评审员的期限：</w:t>
      </w:r>
      <w:r>
        <w:rPr>
          <w:rFonts w:hint="eastAsia" w:ascii="宋体" w:hAnsi="宋体" w:cs="宋体"/>
          <w:color w:val="auto"/>
          <w:sz w:val="22"/>
          <w:u w:val="single"/>
        </w:rPr>
        <w:t xml:space="preserve"> 无  </w:t>
      </w:r>
      <w:r>
        <w:rPr>
          <w:rFonts w:hint="eastAsia" w:ascii="宋体" w:hAnsi="宋体" w:cs="宋体"/>
          <w:color w:val="auto"/>
          <w:sz w:val="22"/>
        </w:rPr>
        <w:t>。</w:t>
      </w:r>
    </w:p>
    <w:p w14:paraId="7646A93D">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争议评审小组成员的报酬承担方式：</w:t>
      </w:r>
      <w:r>
        <w:rPr>
          <w:rFonts w:hint="eastAsia" w:ascii="宋体" w:hAnsi="宋体" w:cs="宋体"/>
          <w:color w:val="auto"/>
          <w:sz w:val="22"/>
          <w:u w:val="single"/>
        </w:rPr>
        <w:t xml:space="preserve">无 </w:t>
      </w:r>
      <w:r>
        <w:rPr>
          <w:rFonts w:hint="eastAsia" w:ascii="宋体" w:hAnsi="宋体" w:cs="宋体"/>
          <w:color w:val="auto"/>
          <w:sz w:val="22"/>
        </w:rPr>
        <w:t>。</w:t>
      </w:r>
    </w:p>
    <w:p w14:paraId="4A052F6F">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其他事项的约定：</w:t>
      </w:r>
      <w:r>
        <w:rPr>
          <w:rFonts w:hint="eastAsia" w:ascii="宋体" w:hAnsi="宋体" w:cs="宋体"/>
          <w:color w:val="auto"/>
          <w:sz w:val="22"/>
          <w:u w:val="single"/>
        </w:rPr>
        <w:t xml:space="preserve"> 无 </w:t>
      </w:r>
      <w:r>
        <w:rPr>
          <w:rFonts w:hint="eastAsia" w:ascii="宋体" w:hAnsi="宋体" w:cs="宋体"/>
          <w:color w:val="auto"/>
          <w:sz w:val="22"/>
        </w:rPr>
        <w:t>。</w:t>
      </w:r>
    </w:p>
    <w:p w14:paraId="391DB612">
      <w:pPr>
        <w:pStyle w:val="40"/>
        <w:autoSpaceDE w:val="0"/>
        <w:autoSpaceDN w:val="0"/>
        <w:adjustRightInd w:val="0"/>
        <w:spacing w:line="360" w:lineRule="exact"/>
        <w:ind w:firstLine="440" w:firstLineChars="200"/>
        <w:jc w:val="left"/>
        <w:rPr>
          <w:rFonts w:hint="eastAsia" w:ascii="宋体" w:hAnsi="宋体" w:cs="宋体"/>
          <w:color w:val="auto"/>
          <w:kern w:val="0"/>
          <w:sz w:val="22"/>
        </w:rPr>
      </w:pPr>
      <w:r>
        <w:rPr>
          <w:rFonts w:hint="eastAsia" w:ascii="宋体" w:hAnsi="宋体" w:cs="宋体"/>
          <w:color w:val="auto"/>
          <w:kern w:val="0"/>
          <w:sz w:val="22"/>
        </w:rPr>
        <w:t>20.3.2 争议评审小组的决定</w:t>
      </w:r>
    </w:p>
    <w:p w14:paraId="7DAB3A49">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合同当事人关于本项的约定：</w:t>
      </w:r>
      <w:r>
        <w:rPr>
          <w:rFonts w:hint="eastAsia" w:ascii="宋体" w:hAnsi="宋体" w:cs="宋体"/>
          <w:color w:val="auto"/>
          <w:sz w:val="22"/>
          <w:u w:val="single"/>
        </w:rPr>
        <w:t xml:space="preserve"> 无 </w:t>
      </w:r>
      <w:r>
        <w:rPr>
          <w:rFonts w:hint="eastAsia" w:ascii="宋体" w:hAnsi="宋体" w:cs="宋体"/>
          <w:color w:val="auto"/>
          <w:sz w:val="22"/>
        </w:rPr>
        <w:t>。</w:t>
      </w:r>
    </w:p>
    <w:p w14:paraId="6AF8DE15">
      <w:pPr>
        <w:pStyle w:val="39"/>
        <w:spacing w:line="360" w:lineRule="exact"/>
        <w:ind w:firstLine="442" w:firstLineChars="200"/>
        <w:rPr>
          <w:rFonts w:hint="eastAsia" w:ascii="宋体" w:hAnsi="宋体" w:cs="宋体"/>
          <w:color w:val="auto"/>
          <w:sz w:val="22"/>
          <w:szCs w:val="22"/>
        </w:rPr>
      </w:pPr>
      <w:bookmarkStart w:id="1165" w:name="_Toc389065343"/>
      <w:bookmarkStart w:id="1166" w:name="_Toc12975970"/>
      <w:bookmarkStart w:id="1167" w:name="_Toc373227778"/>
      <w:bookmarkStart w:id="1168" w:name="_Toc533432805"/>
      <w:bookmarkStart w:id="1169" w:name="_Toc395382581"/>
      <w:bookmarkStart w:id="1170" w:name="_Toc373478425"/>
      <w:r>
        <w:rPr>
          <w:rFonts w:hint="eastAsia" w:ascii="宋体" w:hAnsi="宋体" w:cs="宋体"/>
          <w:color w:val="auto"/>
          <w:sz w:val="22"/>
          <w:szCs w:val="22"/>
        </w:rPr>
        <w:t>20.4 仲裁或诉讼</w:t>
      </w:r>
      <w:bookmarkEnd w:id="1056"/>
      <w:bookmarkEnd w:id="1165"/>
      <w:bookmarkEnd w:id="1166"/>
      <w:bookmarkEnd w:id="1167"/>
      <w:bookmarkEnd w:id="1168"/>
      <w:bookmarkEnd w:id="1169"/>
      <w:bookmarkEnd w:id="1170"/>
    </w:p>
    <w:p w14:paraId="15E5269A">
      <w:pPr>
        <w:pStyle w:val="40"/>
        <w:spacing w:line="360" w:lineRule="exact"/>
        <w:ind w:firstLine="440" w:firstLineChars="200"/>
        <w:rPr>
          <w:rFonts w:hint="eastAsia" w:ascii="宋体" w:hAnsi="宋体" w:cs="宋体"/>
          <w:color w:val="auto"/>
          <w:sz w:val="22"/>
        </w:rPr>
      </w:pPr>
      <w:r>
        <w:rPr>
          <w:rFonts w:hint="eastAsia" w:ascii="宋体" w:hAnsi="宋体" w:cs="宋体"/>
          <w:color w:val="auto"/>
          <w:sz w:val="22"/>
        </w:rPr>
        <w:t>因合同及合同有关事项发生的争议，按下列第</w:t>
      </w:r>
      <w:r>
        <w:rPr>
          <w:rFonts w:hint="eastAsia" w:ascii="宋体" w:hAnsi="宋体" w:cs="宋体"/>
          <w:color w:val="auto"/>
          <w:sz w:val="22"/>
          <w:u w:val="single"/>
        </w:rPr>
        <w:t>（2）</w:t>
      </w:r>
      <w:r>
        <w:rPr>
          <w:rFonts w:hint="eastAsia" w:ascii="宋体" w:hAnsi="宋体" w:cs="宋体"/>
          <w:color w:val="auto"/>
          <w:sz w:val="22"/>
        </w:rPr>
        <w:t>种方式解决：</w:t>
      </w:r>
    </w:p>
    <w:p w14:paraId="3512109E">
      <w:pPr>
        <w:pStyle w:val="40"/>
        <w:numPr>
          <w:ilvl w:val="0"/>
          <w:numId w:val="13"/>
        </w:numPr>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提请</w:t>
      </w:r>
      <w:r>
        <w:rPr>
          <w:rFonts w:hint="eastAsia" w:ascii="宋体" w:hAnsi="宋体" w:cs="宋体"/>
          <w:color w:val="auto"/>
          <w:sz w:val="22"/>
          <w:u w:val="single"/>
        </w:rPr>
        <w:t xml:space="preserve">防城港 </w:t>
      </w:r>
      <w:r>
        <w:rPr>
          <w:rFonts w:hint="eastAsia" w:ascii="宋体" w:hAnsi="宋体" w:cs="宋体"/>
          <w:color w:val="auto"/>
          <w:sz w:val="22"/>
        </w:rPr>
        <w:t>仲裁委员会按照该会仲裁规则进行仲裁，仲裁裁决是终局的，对合同双方均有约束力。</w:t>
      </w:r>
    </w:p>
    <w:p w14:paraId="1E56EB9C">
      <w:pPr>
        <w:pStyle w:val="40"/>
        <w:spacing w:line="360" w:lineRule="exact"/>
        <w:ind w:firstLine="440" w:firstLineChars="200"/>
        <w:jc w:val="left"/>
        <w:rPr>
          <w:rFonts w:hint="eastAsia" w:ascii="宋体" w:hAnsi="宋体" w:cs="宋体"/>
          <w:color w:val="auto"/>
          <w:sz w:val="22"/>
        </w:rPr>
      </w:pPr>
      <w:r>
        <w:rPr>
          <w:rFonts w:hint="eastAsia" w:ascii="宋体" w:hAnsi="宋体" w:cs="宋体"/>
          <w:color w:val="auto"/>
          <w:sz w:val="22"/>
        </w:rPr>
        <w:t>（2）向</w:t>
      </w:r>
      <w:r>
        <w:rPr>
          <w:rFonts w:hint="eastAsia" w:ascii="宋体" w:hAnsi="宋体" w:cs="宋体"/>
          <w:color w:val="auto"/>
          <w:sz w:val="22"/>
          <w:u w:val="single"/>
        </w:rPr>
        <w:t>工程所在地</w:t>
      </w:r>
      <w:r>
        <w:rPr>
          <w:rFonts w:hint="eastAsia" w:ascii="宋体" w:hAnsi="宋体" w:cs="宋体"/>
          <w:color w:val="auto"/>
          <w:sz w:val="22"/>
        </w:rPr>
        <w:t>人民法院起诉。</w:t>
      </w:r>
      <w:bookmarkEnd w:id="1057"/>
      <w:bookmarkEnd w:id="1058"/>
      <w:bookmarkEnd w:id="1059"/>
      <w:bookmarkEnd w:id="1060"/>
      <w:bookmarkEnd w:id="1061"/>
      <w:bookmarkEnd w:id="1062"/>
    </w:p>
    <w:p w14:paraId="46FCF0C1">
      <w:pPr>
        <w:pStyle w:val="70"/>
        <w:spacing w:before="0" w:after="0" w:line="360" w:lineRule="exact"/>
        <w:ind w:firstLine="442" w:firstLineChars="200"/>
        <w:rPr>
          <w:rFonts w:hint="eastAsia" w:ascii="宋体" w:hAnsi="宋体" w:cs="宋体"/>
          <w:color w:val="auto"/>
          <w:sz w:val="22"/>
          <w:szCs w:val="22"/>
        </w:rPr>
      </w:pPr>
      <w:bookmarkStart w:id="1171" w:name="_Toc389065344"/>
      <w:bookmarkStart w:id="1172" w:name="_Toc395382582"/>
      <w:bookmarkStart w:id="1173" w:name="_Toc533432806"/>
      <w:bookmarkStart w:id="1174" w:name="_Toc373227779"/>
      <w:bookmarkStart w:id="1175" w:name="_Toc373478426"/>
      <w:bookmarkStart w:id="1176" w:name="_Toc12975971"/>
      <w:r>
        <w:rPr>
          <w:rFonts w:hint="eastAsia" w:ascii="宋体" w:hAnsi="宋体" w:cs="宋体"/>
          <w:color w:val="auto"/>
          <w:sz w:val="22"/>
          <w:szCs w:val="22"/>
        </w:rPr>
        <w:t>21. 补充条款</w:t>
      </w:r>
      <w:bookmarkEnd w:id="1171"/>
      <w:bookmarkEnd w:id="1172"/>
      <w:bookmarkEnd w:id="1173"/>
      <w:bookmarkEnd w:id="1174"/>
      <w:bookmarkEnd w:id="1175"/>
      <w:bookmarkEnd w:id="1176"/>
    </w:p>
    <w:p w14:paraId="0FE957DB">
      <w:pPr>
        <w:pStyle w:val="73"/>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 xml:space="preserve">    21.1承包人有以下情况之一者，将视为违约，发包人有权采取以下措施处理，并视情节轻重处予违约处罚金。</w:t>
      </w:r>
    </w:p>
    <w:p w14:paraId="2BE66342">
      <w:pPr>
        <w:pStyle w:val="73"/>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21.1.1合同签订之日起十五日内，承包人无法按合同约定及磋商文件的承诺进场经监理工程师认可的全部人员和机械时，视为违约，发包人有权解除合同，发包人有权另行发包工程。</w:t>
      </w:r>
    </w:p>
    <w:p w14:paraId="5908210D">
      <w:pPr>
        <w:pStyle w:val="73"/>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21.1.2尽管主要机械的数量、型号，应与合同相符，若监理工程师认为合同约定的进场机械不能满足施工进度要求，有权指令承包人增加机械投入，承包人不得拒绝。</w:t>
      </w:r>
    </w:p>
    <w:p w14:paraId="5FD2F610">
      <w:pPr>
        <w:pStyle w:val="73"/>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21.1.3所有以上违约处罚金金额均在计量支付款内扣除，监理工程师预先下发统一格式含有违约处罚意向的指令，如承包人不及时采取措施纠正，则在指令下达后十五天下发违约处罚通知书</w:t>
      </w:r>
      <w:r>
        <w:rPr>
          <w:rFonts w:hint="eastAsia" w:ascii="宋体" w:hAnsi="宋体" w:cs="宋体"/>
          <w:color w:val="auto"/>
          <w:sz w:val="22"/>
          <w:szCs w:val="22"/>
          <w:lang w:eastAsia="zh-CN"/>
        </w:rPr>
        <w:t>（</w:t>
      </w:r>
      <w:r>
        <w:rPr>
          <w:rFonts w:hint="eastAsia" w:ascii="宋体" w:hAnsi="宋体" w:cs="宋体"/>
          <w:color w:val="auto"/>
          <w:sz w:val="22"/>
          <w:szCs w:val="22"/>
        </w:rPr>
        <w:t>不再陈述违约处罚理由</w:t>
      </w:r>
      <w:r>
        <w:rPr>
          <w:rFonts w:hint="eastAsia" w:ascii="宋体" w:hAnsi="宋体" w:cs="宋体"/>
          <w:color w:val="auto"/>
          <w:sz w:val="22"/>
          <w:szCs w:val="22"/>
          <w:lang w:eastAsia="zh-CN"/>
        </w:rPr>
        <w:t>）</w:t>
      </w:r>
      <w:r>
        <w:rPr>
          <w:rFonts w:hint="eastAsia" w:ascii="宋体" w:hAnsi="宋体" w:cs="宋体"/>
          <w:color w:val="auto"/>
          <w:sz w:val="22"/>
          <w:szCs w:val="22"/>
        </w:rPr>
        <w:t>。</w:t>
      </w:r>
    </w:p>
    <w:p w14:paraId="518B583A">
      <w:pPr>
        <w:pStyle w:val="73"/>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21.1.4承包人在合同期内，完成合同约定的全部工程，且质量合格，竣工验收后十五天内可申请返还全部或部分与工期有关（或里程碑罚款）的违约处罚金</w:t>
      </w:r>
      <w:r>
        <w:rPr>
          <w:rFonts w:hint="eastAsia" w:ascii="宋体" w:hAnsi="宋体" w:cs="宋体"/>
          <w:color w:val="auto"/>
          <w:sz w:val="22"/>
          <w:szCs w:val="22"/>
          <w:lang w:eastAsia="zh-CN"/>
        </w:rPr>
        <w:t>（</w:t>
      </w:r>
      <w:r>
        <w:rPr>
          <w:rFonts w:hint="eastAsia" w:ascii="宋体" w:hAnsi="宋体" w:cs="宋体"/>
          <w:color w:val="auto"/>
          <w:sz w:val="22"/>
          <w:szCs w:val="22"/>
        </w:rPr>
        <w:t>不包括利息</w:t>
      </w:r>
      <w:r>
        <w:rPr>
          <w:rFonts w:hint="eastAsia" w:ascii="宋体" w:hAnsi="宋体" w:cs="宋体"/>
          <w:color w:val="auto"/>
          <w:sz w:val="22"/>
          <w:szCs w:val="22"/>
          <w:lang w:eastAsia="zh-CN"/>
        </w:rPr>
        <w:t>）</w:t>
      </w:r>
      <w:r>
        <w:rPr>
          <w:rFonts w:hint="eastAsia" w:ascii="宋体" w:hAnsi="宋体" w:cs="宋体"/>
          <w:color w:val="auto"/>
          <w:sz w:val="22"/>
          <w:szCs w:val="22"/>
        </w:rPr>
        <w:t>。其余罚款不予退回。</w:t>
      </w:r>
    </w:p>
    <w:p w14:paraId="163D6C98">
      <w:pPr>
        <w:pStyle w:val="73"/>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21.2工程款的使用</w:t>
      </w:r>
    </w:p>
    <w:p w14:paraId="369F7DA5">
      <w:pPr>
        <w:pStyle w:val="73"/>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21.2.1本工程资金属发包人自筹，承包人在施工期间必须保证资金的专项使用，不得挪作他用，并自觉接受发包人和银行的监督，否则将视为承包人违约。</w:t>
      </w:r>
    </w:p>
    <w:p w14:paraId="50A71901">
      <w:pPr>
        <w:pStyle w:val="73"/>
        <w:spacing w:line="360" w:lineRule="exact"/>
        <w:ind w:firstLine="440" w:firstLineChars="200"/>
        <w:jc w:val="left"/>
        <w:rPr>
          <w:rFonts w:hint="eastAsia" w:ascii="宋体" w:hAnsi="宋体" w:cs="宋体"/>
          <w:color w:val="auto"/>
          <w:sz w:val="22"/>
          <w:szCs w:val="22"/>
        </w:rPr>
      </w:pPr>
      <w:bookmarkStart w:id="1177" w:name="_Toc27987_WPSOffice_Level2"/>
      <w:r>
        <w:rPr>
          <w:rFonts w:hint="eastAsia" w:ascii="宋体" w:hAnsi="宋体" w:cs="宋体"/>
          <w:color w:val="auto"/>
          <w:sz w:val="22"/>
          <w:szCs w:val="22"/>
        </w:rPr>
        <w:t>（1）农民工工资实行分账管理</w:t>
      </w:r>
      <w:bookmarkEnd w:id="1177"/>
    </w:p>
    <w:p w14:paraId="741A60FF">
      <w:pPr>
        <w:pStyle w:val="73"/>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根据《关于进一步规范防城港市建设领域农民工工资有关问题的通知》（防住建管发</w:t>
      </w:r>
      <w:r>
        <w:rPr>
          <w:rFonts w:hint="eastAsia" w:ascii="宋体" w:hAnsi="宋体" w:cs="宋体"/>
          <w:color w:val="auto"/>
          <w:sz w:val="22"/>
          <w:szCs w:val="22"/>
          <w:lang w:eastAsia="zh-CN"/>
        </w:rPr>
        <w:t>〔2017〕37号</w:t>
      </w:r>
      <w:r>
        <w:rPr>
          <w:rFonts w:hint="eastAsia" w:ascii="宋体" w:hAnsi="宋体" w:cs="宋体"/>
          <w:color w:val="auto"/>
          <w:sz w:val="22"/>
          <w:szCs w:val="22"/>
        </w:rPr>
        <w:t>）第二条，合同承包人应设立农民工工资支付账户，实行农民工工资与其他款项分账管理，农民工工资支付账户信息：</w:t>
      </w:r>
    </w:p>
    <w:p w14:paraId="56564DCB">
      <w:pPr>
        <w:pStyle w:val="73"/>
        <w:spacing w:line="360" w:lineRule="exact"/>
        <w:ind w:firstLine="440" w:firstLineChars="200"/>
        <w:jc w:val="left"/>
        <w:rPr>
          <w:rFonts w:hint="eastAsia" w:ascii="宋体" w:hAnsi="宋体" w:cs="宋体"/>
          <w:color w:val="auto"/>
          <w:sz w:val="22"/>
          <w:szCs w:val="22"/>
          <w:u w:val="single"/>
        </w:rPr>
      </w:pPr>
      <w:r>
        <w:rPr>
          <w:rFonts w:hint="eastAsia" w:ascii="宋体" w:hAnsi="宋体" w:cs="宋体"/>
          <w:color w:val="auto"/>
          <w:sz w:val="22"/>
          <w:szCs w:val="22"/>
          <w:lang w:eastAsia="zh-CN"/>
        </w:rPr>
        <w:t>户名：</w:t>
      </w:r>
    </w:p>
    <w:p w14:paraId="57EE4A66">
      <w:pPr>
        <w:pStyle w:val="73"/>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开户行：</w:t>
      </w:r>
      <w:r>
        <w:rPr>
          <w:rFonts w:hint="eastAsia" w:ascii="宋体" w:hAnsi="宋体" w:cs="宋体"/>
          <w:color w:val="auto"/>
          <w:sz w:val="22"/>
          <w:szCs w:val="22"/>
          <w:u w:val="single"/>
          <w:lang w:val="en-US" w:eastAsia="zh-CN"/>
        </w:rPr>
        <w:t xml:space="preserve"> </w:t>
      </w:r>
    </w:p>
    <w:p w14:paraId="68028A83">
      <w:pPr>
        <w:pStyle w:val="73"/>
        <w:spacing w:line="360" w:lineRule="exact"/>
        <w:ind w:firstLine="440" w:firstLineChars="200"/>
        <w:jc w:val="left"/>
        <w:rPr>
          <w:rFonts w:hint="eastAsia" w:ascii="宋体" w:hAnsi="宋体" w:eastAsia="宋体" w:cs="宋体"/>
          <w:color w:val="auto"/>
          <w:sz w:val="22"/>
          <w:szCs w:val="22"/>
          <w:lang w:eastAsia="zh-CN"/>
        </w:rPr>
      </w:pPr>
      <w:r>
        <w:rPr>
          <w:rFonts w:hint="eastAsia" w:ascii="宋体" w:hAnsi="宋体" w:cs="宋体"/>
          <w:color w:val="auto"/>
          <w:sz w:val="22"/>
          <w:szCs w:val="22"/>
          <w:lang w:eastAsia="zh-CN"/>
        </w:rPr>
        <w:t>账号</w:t>
      </w:r>
      <w:r>
        <w:rPr>
          <w:rFonts w:hint="eastAsia" w:ascii="宋体" w:hAnsi="宋体" w:cs="宋体"/>
          <w:color w:val="auto"/>
          <w:sz w:val="22"/>
          <w:szCs w:val="22"/>
        </w:rPr>
        <w:t>：</w:t>
      </w:r>
      <w:r>
        <w:rPr>
          <w:rFonts w:hint="eastAsia" w:ascii="宋体" w:hAnsi="宋体" w:cs="宋体"/>
          <w:color w:val="auto"/>
          <w:sz w:val="22"/>
          <w:szCs w:val="22"/>
          <w:u w:val="single"/>
          <w:lang w:val="en-US" w:eastAsia="zh-CN"/>
        </w:rPr>
        <w:t xml:space="preserve"> </w:t>
      </w:r>
    </w:p>
    <w:p w14:paraId="1F7CA0CA">
      <w:pPr>
        <w:pStyle w:val="73"/>
        <w:spacing w:line="360" w:lineRule="exact"/>
        <w:ind w:firstLine="440" w:firstLineChars="200"/>
        <w:jc w:val="left"/>
        <w:rPr>
          <w:rFonts w:hint="eastAsia" w:ascii="宋体" w:hAnsi="宋体" w:cs="宋体"/>
          <w:color w:val="auto"/>
          <w:sz w:val="22"/>
          <w:szCs w:val="22"/>
        </w:rPr>
      </w:pPr>
      <w:bookmarkStart w:id="1178" w:name="_Toc11862_WPSOffice_Level2"/>
      <w:r>
        <w:rPr>
          <w:rFonts w:hint="eastAsia" w:ascii="宋体" w:hAnsi="宋体" w:cs="宋体"/>
          <w:color w:val="auto"/>
          <w:sz w:val="22"/>
          <w:szCs w:val="22"/>
        </w:rPr>
        <w:t>（2）农民工工资支付约定</w:t>
      </w:r>
      <w:bookmarkEnd w:id="1178"/>
    </w:p>
    <w:p w14:paraId="5431F0EB">
      <w:pPr>
        <w:pStyle w:val="73"/>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 xml:space="preserve">合同承包人申请进度款应明确农民工工资金额，拨付进度款须优先保障农民工工资，再经农民工工资专户转至工人个人账户。  </w:t>
      </w:r>
    </w:p>
    <w:p w14:paraId="4B69C7D8">
      <w:pPr>
        <w:pStyle w:val="73"/>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21.3 凡进入本工程工作的妇女应持有计生证，否则不准安排工作，禁止使用童工。</w:t>
      </w:r>
    </w:p>
    <w:p w14:paraId="5228C4C9">
      <w:pPr>
        <w:pStyle w:val="73"/>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21.4本工程合同价款已包含安全防护、文明施工措施费。使用要求：专款专用，具体按《广西壮族自治区建设工程安全文明施工费使用管理细则》（桂建质</w:t>
      </w:r>
      <w:r>
        <w:rPr>
          <w:rFonts w:hint="eastAsia" w:ascii="宋体" w:hAnsi="宋体" w:cs="宋体"/>
          <w:color w:val="auto"/>
          <w:sz w:val="22"/>
          <w:szCs w:val="22"/>
          <w:lang w:eastAsia="zh-CN"/>
        </w:rPr>
        <w:t>〔2015〕16号</w:t>
      </w:r>
      <w:r>
        <w:rPr>
          <w:rFonts w:hint="eastAsia" w:ascii="宋体" w:hAnsi="宋体" w:cs="宋体"/>
          <w:color w:val="auto"/>
          <w:sz w:val="22"/>
          <w:szCs w:val="22"/>
        </w:rPr>
        <w:t>）要求执行。安全防护、文明施工措施费与工程款同步支付。</w:t>
      </w:r>
    </w:p>
    <w:p w14:paraId="531C199C">
      <w:pPr>
        <w:pStyle w:val="73"/>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21.5承包人须按时足额将农民工工资保障金和建安劳保费存入建设行政主管部门指定的账户。</w:t>
      </w:r>
    </w:p>
    <w:p w14:paraId="696898F6">
      <w:pPr>
        <w:pStyle w:val="73"/>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21.6承包方出现下列情况之一，则项目的建设应视为</w:t>
      </w:r>
      <w:r>
        <w:rPr>
          <w:rFonts w:hint="eastAsia" w:ascii="宋体" w:hAnsi="宋体" w:cs="宋体"/>
          <w:color w:val="auto"/>
          <w:sz w:val="22"/>
          <w:szCs w:val="22"/>
          <w:lang w:val="en-US" w:eastAsia="zh-CN"/>
        </w:rPr>
        <w:t>已</w:t>
      </w:r>
      <w:r>
        <w:rPr>
          <w:rFonts w:hint="eastAsia" w:ascii="宋体" w:hAnsi="宋体" w:cs="宋体"/>
          <w:color w:val="auto"/>
          <w:sz w:val="22"/>
          <w:szCs w:val="22"/>
        </w:rPr>
        <w:t>被放弃：</w:t>
      </w:r>
    </w:p>
    <w:p w14:paraId="36682A29">
      <w:pPr>
        <w:pStyle w:val="73"/>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lang w:eastAsia="zh-CN"/>
        </w:rPr>
        <w:t>（</w:t>
      </w:r>
      <w:r>
        <w:rPr>
          <w:rFonts w:hint="eastAsia" w:ascii="宋体" w:hAnsi="宋体" w:cs="宋体"/>
          <w:color w:val="auto"/>
          <w:sz w:val="22"/>
          <w:szCs w:val="22"/>
        </w:rPr>
        <w:t>1</w:t>
      </w:r>
      <w:r>
        <w:rPr>
          <w:rFonts w:hint="eastAsia" w:ascii="宋体" w:hAnsi="宋体" w:cs="宋体"/>
          <w:color w:val="auto"/>
          <w:sz w:val="22"/>
          <w:szCs w:val="22"/>
          <w:lang w:eastAsia="zh-CN"/>
        </w:rPr>
        <w:t>）</w:t>
      </w:r>
      <w:r>
        <w:rPr>
          <w:rFonts w:hint="eastAsia" w:ascii="宋体" w:hAnsi="宋体" w:cs="宋体"/>
          <w:color w:val="auto"/>
          <w:sz w:val="22"/>
          <w:szCs w:val="22"/>
        </w:rPr>
        <w:t>书面通知发包方其已终止建设工程，且并不打算重新开始施工；</w:t>
      </w:r>
    </w:p>
    <w:p w14:paraId="744D3D65">
      <w:pPr>
        <w:pStyle w:val="73"/>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lang w:eastAsia="zh-CN"/>
        </w:rPr>
        <w:t>（</w:t>
      </w:r>
      <w:r>
        <w:rPr>
          <w:rFonts w:hint="eastAsia" w:ascii="宋体" w:hAnsi="宋体" w:cs="宋体"/>
          <w:color w:val="auto"/>
          <w:sz w:val="22"/>
          <w:szCs w:val="22"/>
        </w:rPr>
        <w:t>2</w:t>
      </w:r>
      <w:r>
        <w:rPr>
          <w:rFonts w:hint="eastAsia" w:ascii="宋体" w:hAnsi="宋体" w:cs="宋体"/>
          <w:color w:val="auto"/>
          <w:sz w:val="22"/>
          <w:szCs w:val="22"/>
          <w:lang w:eastAsia="zh-CN"/>
        </w:rPr>
        <w:t>）</w:t>
      </w:r>
      <w:r>
        <w:rPr>
          <w:rFonts w:hint="eastAsia" w:ascii="宋体" w:hAnsi="宋体" w:cs="宋体"/>
          <w:color w:val="auto"/>
          <w:sz w:val="22"/>
          <w:szCs w:val="22"/>
        </w:rPr>
        <w:t>未能在本合同约定的开工日期届满后 14 天内开始建设工程（但因非承包方原因所引起的除外）；</w:t>
      </w:r>
    </w:p>
    <w:p w14:paraId="405D1F62">
      <w:pPr>
        <w:pStyle w:val="73"/>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lang w:eastAsia="zh-CN"/>
        </w:rPr>
        <w:t>（</w:t>
      </w:r>
      <w:r>
        <w:rPr>
          <w:rFonts w:hint="eastAsia" w:ascii="宋体" w:hAnsi="宋体" w:cs="宋体"/>
          <w:color w:val="auto"/>
          <w:sz w:val="22"/>
          <w:szCs w:val="22"/>
        </w:rPr>
        <w:t>3</w:t>
      </w:r>
      <w:r>
        <w:rPr>
          <w:rFonts w:hint="eastAsia" w:ascii="宋体" w:hAnsi="宋体" w:cs="宋体"/>
          <w:color w:val="auto"/>
          <w:sz w:val="22"/>
          <w:szCs w:val="22"/>
          <w:lang w:eastAsia="zh-CN"/>
        </w:rPr>
        <w:t>）</w:t>
      </w:r>
      <w:r>
        <w:rPr>
          <w:rFonts w:hint="eastAsia" w:ascii="宋体" w:hAnsi="宋体" w:cs="宋体"/>
          <w:color w:val="auto"/>
          <w:sz w:val="22"/>
          <w:szCs w:val="22"/>
        </w:rPr>
        <w:t>未能在任何不可抗力事件结束后14 天内恢复建设工程施工（但因非承包方原因所引起的除外）；</w:t>
      </w:r>
    </w:p>
    <w:p w14:paraId="77159EBA">
      <w:pPr>
        <w:pStyle w:val="73"/>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lang w:eastAsia="zh-CN"/>
        </w:rPr>
        <w:t>（</w:t>
      </w:r>
      <w:r>
        <w:rPr>
          <w:rFonts w:hint="eastAsia" w:ascii="宋体" w:hAnsi="宋体" w:cs="宋体"/>
          <w:color w:val="auto"/>
          <w:sz w:val="22"/>
          <w:szCs w:val="22"/>
        </w:rPr>
        <w:t>4）在完工检查日前停止建设工程或者直接或通过专业分包商从项目场地撤走全部或大部分的工作人员，除非上述行为是为了保持或促进项目建设按合同完成所必须的。</w:t>
      </w:r>
    </w:p>
    <w:p w14:paraId="3C601B2A">
      <w:pPr>
        <w:pStyle w:val="73"/>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21.7要求承包人增加或更换施工设备</w:t>
      </w:r>
    </w:p>
    <w:p w14:paraId="0B4759AA">
      <w:pPr>
        <w:pStyle w:val="73"/>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尽管承包人的施工设备已经按照磋商文件要求进场，但承包人使用的施工设备仍不能满足合同进度计划和（或）质量要求时，发包人有权要求承包人增加或更换施工设备，承包人应</w:t>
      </w:r>
      <w:r>
        <w:rPr>
          <w:rFonts w:hint="eastAsia" w:ascii="宋体" w:hAnsi="宋体" w:cs="宋体"/>
          <w:color w:val="auto"/>
          <w:sz w:val="22"/>
          <w:szCs w:val="22"/>
          <w:lang w:val="en-US" w:eastAsia="zh-CN"/>
        </w:rPr>
        <w:t>及时</w:t>
      </w:r>
      <w:r>
        <w:rPr>
          <w:rFonts w:hint="eastAsia" w:ascii="宋体" w:hAnsi="宋体" w:cs="宋体"/>
          <w:color w:val="auto"/>
          <w:sz w:val="22"/>
          <w:szCs w:val="22"/>
        </w:rPr>
        <w:t>增加或更换，由此增加的费用和（或）工期延误由承包人承担。</w:t>
      </w:r>
    </w:p>
    <w:p w14:paraId="6F1EF3D8">
      <w:pPr>
        <w:pStyle w:val="73"/>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21.8发包人有权随时终止本工程中任何一个分部分项工程，并按报价书中相应内容扣减分部分项工程费、措施费、利润、规费和税金等相关费用，承包人不得因此提出费用补偿要求。</w:t>
      </w:r>
    </w:p>
    <w:p w14:paraId="18A1A563">
      <w:pPr>
        <w:pStyle w:val="73"/>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21.9在施工过程中征地及安置工作可能滞后，承包人应自行协调和处理当地群众及各安置住户关系，确保正常施工。可能造成工程进度滞后或者费用增加，费用已包含在综合单价和措施费用中，由承包人承担。</w:t>
      </w:r>
    </w:p>
    <w:p w14:paraId="7A4DCE0E">
      <w:pPr>
        <w:pStyle w:val="73"/>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21.10防发改函</w:t>
      </w:r>
      <w:r>
        <w:rPr>
          <w:rFonts w:hint="eastAsia" w:ascii="宋体" w:hAnsi="宋体" w:cs="宋体"/>
          <w:color w:val="auto"/>
          <w:sz w:val="22"/>
          <w:szCs w:val="22"/>
          <w:lang w:eastAsia="zh-CN"/>
        </w:rPr>
        <w:t>〔2017〕43号</w:t>
      </w:r>
      <w:r>
        <w:rPr>
          <w:rFonts w:hint="eastAsia" w:ascii="宋体" w:hAnsi="宋体" w:cs="宋体"/>
          <w:color w:val="auto"/>
          <w:sz w:val="22"/>
          <w:szCs w:val="22"/>
        </w:rPr>
        <w:t>文件和防发改前期</w:t>
      </w:r>
      <w:r>
        <w:rPr>
          <w:rFonts w:hint="eastAsia" w:ascii="宋体" w:hAnsi="宋体" w:cs="宋体"/>
          <w:color w:val="auto"/>
          <w:sz w:val="22"/>
          <w:szCs w:val="22"/>
          <w:lang w:eastAsia="zh-CN"/>
        </w:rPr>
        <w:t>〔2018〕251号</w:t>
      </w:r>
      <w:r>
        <w:rPr>
          <w:rFonts w:hint="eastAsia" w:ascii="宋体" w:hAnsi="宋体" w:cs="宋体"/>
          <w:color w:val="auto"/>
          <w:sz w:val="22"/>
          <w:szCs w:val="22"/>
        </w:rPr>
        <w:t>文件，属于本合同条款的一部分。</w:t>
      </w:r>
    </w:p>
    <w:p w14:paraId="21ECFFAF">
      <w:pPr>
        <w:pStyle w:val="73"/>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21.11由于承包人的原因，造成承包人的供应商或劳务工人等参建人员上访、投诉、静坐、聚众闹事等事件时，（1）如聚集总人数在十人以下时，承包人的企业法定代表人必须在接到发包人的通知后24小时内，派出授权人员到发包人指定的地方解决相应问题。（2）如聚集总人数在十人以上时，承包人的企业法定代表人必须在接到发包人的通知后24小时内到发包人指定的地方解决相应问题。如承包人未能按照以上要求处理相关问题，视为承包人授权发包人代为处理，发包人为解决相应问题所采取的一切措施均视为已得到承包人的授权（承包人的授权包括但不限于从承包人的工程款、质量保证金中扣除相应费用来代付承包人拖欠的费用；如以上费用不足时，发包人可以先行垫付，待事情处理完毕7日后承包人再向发包人返还）。承包人承诺，尽管承包人不完全满意发包人所有解决问题的方法及此事造成的最终后果，但处理的过程如在政府相关部门或建设行政相关管理部门的监督和见证下处理，承包人都同意发包人所采取的一切措施及此事造成的最终后果，承包人并承担所有责任。发包人为此做的任何工作将不会减轻承包人的任何责任。</w:t>
      </w:r>
    </w:p>
    <w:p w14:paraId="3766B74B">
      <w:pPr>
        <w:pStyle w:val="73"/>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21.12尽管合同有其他约定，未经发包人同意，承包人不得将合同权利和义务全部转让给第三人，也不得将合同的义务全部或部分转让给第三人，法律另有规定的除外。</w:t>
      </w:r>
    </w:p>
    <w:p w14:paraId="1CC58849">
      <w:pPr>
        <w:pStyle w:val="73"/>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21.13发包人按合同约定支付给承包人的各项价款应专用于合同工程。如发包人提出要求，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支付，直至承包人改正为止。</w:t>
      </w:r>
    </w:p>
    <w:p w14:paraId="7159D5BA">
      <w:pPr>
        <w:pStyle w:val="73"/>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21.14建安劳保费扣减金额与发包人实际缴纳金额相等，按照发包人实际缴纳金额在最终支付给承包人的结算款中扣减。（1）本工程如有进度款时，则在本合同的进度款累计支付达到合同金额的10%开始扣减建安劳保费，进度款累计支付达到合同金额的30%时全部扣减完成。（2）本工程如无进度款时，建安劳保费由承包人代缴。</w:t>
      </w:r>
    </w:p>
    <w:p w14:paraId="611433AA">
      <w:pPr>
        <w:pStyle w:val="73"/>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21.15尽管合同有其他约定，承包人应充分对现场情况进行调查（特别是现场地质情况），不管发包人提供的资料是否完整，当出现与地质有关的变更时，承包人不得以此为由要求调整合同综合单价。承包人的磋商文件中的土石方工程（包括土石比、开挖和运输）、地基与基础工程等有关项目的综合单价已经考虑了上述风险。伐树、挖树根和清除表土的费用包含在相应的土石方单价中，不另行计算。</w:t>
      </w:r>
    </w:p>
    <w:p w14:paraId="5A4777FF">
      <w:pPr>
        <w:pStyle w:val="73"/>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21.16项目管理人员不称职的定义包括但不限于以下内容：不胜任相应岗位的工作、项目出现偷工减料现象的、出现人员死亡事故的、重复出现相同质量缺陷（事故）或出现问题不积极整改的、被相关部门要求停工整改的、进度比原计划滞后60天以上的、拒绝执行监理人或发包人指令的、违反合同约定及相关规定擅自离开施工现场累计超过60天的、现场安全文明施工未达到规定要求的、出现打架斗殴的、违反相关法律法规的其他情形。尽管无法证明以上情形与被更换人员是否存在直接或者间接关系，但当以上情形发生时，发包人有权更换项目组织机构里面的部分或全部人员，并按照专用条款中的“16.2承包人违约”条款对承包人进行处罚。</w:t>
      </w:r>
    </w:p>
    <w:p w14:paraId="796AB987">
      <w:pPr>
        <w:pStyle w:val="73"/>
        <w:spacing w:line="360" w:lineRule="exact"/>
        <w:ind w:firstLine="440" w:firstLineChars="200"/>
        <w:jc w:val="left"/>
        <w:rPr>
          <w:rFonts w:hint="eastAsia" w:ascii="宋体" w:hAnsi="宋体" w:cs="宋体"/>
          <w:color w:val="auto"/>
          <w:sz w:val="22"/>
          <w:szCs w:val="22"/>
        </w:rPr>
      </w:pPr>
      <w:bookmarkStart w:id="1179" w:name="_Toc9461_WPSOffice_Level2"/>
      <w:r>
        <w:rPr>
          <w:rFonts w:hint="eastAsia" w:ascii="宋体" w:hAnsi="宋体" w:cs="宋体"/>
          <w:color w:val="auto"/>
          <w:sz w:val="22"/>
          <w:szCs w:val="22"/>
        </w:rPr>
        <w:t>21.18 发包人的任何批准不能免除或减轻承包人应承担的任何义务。</w:t>
      </w:r>
      <w:bookmarkEnd w:id="1179"/>
    </w:p>
    <w:p w14:paraId="709EF536">
      <w:pPr>
        <w:pStyle w:val="37"/>
        <w:spacing w:line="360" w:lineRule="auto"/>
        <w:jc w:val="left"/>
        <w:rPr>
          <w:rFonts w:hint="eastAsia" w:ascii="Times New Roman" w:hAnsi="Times New Roman" w:eastAsia="黑体" w:cs="黑体"/>
          <w:b/>
          <w:bCs/>
          <w:color w:val="auto"/>
          <w:sz w:val="28"/>
          <w:szCs w:val="28"/>
        </w:rPr>
      </w:pPr>
    </w:p>
    <w:p w14:paraId="0771CF56">
      <w:pPr>
        <w:pStyle w:val="37"/>
        <w:spacing w:line="360" w:lineRule="auto"/>
        <w:jc w:val="left"/>
        <w:rPr>
          <w:rFonts w:hint="eastAsia" w:ascii="Times New Roman" w:hAnsi="Times New Roman" w:eastAsia="黑体" w:cs="黑体"/>
          <w:b/>
          <w:bCs/>
          <w:color w:val="auto"/>
          <w:sz w:val="28"/>
          <w:szCs w:val="28"/>
        </w:rPr>
      </w:pPr>
    </w:p>
    <w:p w14:paraId="183C4459">
      <w:pPr>
        <w:pStyle w:val="37"/>
        <w:spacing w:line="360" w:lineRule="auto"/>
        <w:ind w:firstLine="562" w:firstLineChars="200"/>
        <w:jc w:val="left"/>
        <w:rPr>
          <w:rFonts w:ascii="Times New Roman" w:hAnsi="Times New Roman" w:eastAsia="黑体"/>
          <w:b/>
          <w:bCs/>
          <w:color w:val="auto"/>
          <w:sz w:val="28"/>
          <w:szCs w:val="28"/>
        </w:rPr>
      </w:pPr>
      <w:r>
        <w:rPr>
          <w:rFonts w:hint="eastAsia" w:ascii="Times New Roman" w:hAnsi="Times New Roman" w:eastAsia="黑体" w:cs="黑体"/>
          <w:b/>
          <w:bCs/>
          <w:color w:val="auto"/>
          <w:sz w:val="28"/>
          <w:szCs w:val="28"/>
        </w:rPr>
        <w:t>附件</w:t>
      </w:r>
      <w:bookmarkEnd w:id="118"/>
    </w:p>
    <w:p w14:paraId="351F0B79">
      <w:pPr>
        <w:pStyle w:val="37"/>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附件</w:t>
      </w:r>
      <w:r>
        <w:rPr>
          <w:rFonts w:ascii="宋体" w:hAnsi="宋体" w:cs="宋体"/>
          <w:color w:val="auto"/>
          <w:szCs w:val="21"/>
        </w:rPr>
        <w:t>1</w:t>
      </w:r>
      <w:r>
        <w:rPr>
          <w:rFonts w:hint="eastAsia" w:ascii="宋体" w:hAnsi="宋体" w:cs="宋体"/>
          <w:color w:val="auto"/>
          <w:szCs w:val="21"/>
        </w:rPr>
        <w:t>：承包人承揽工程项目一览表</w:t>
      </w:r>
    </w:p>
    <w:p w14:paraId="5699F5C0">
      <w:pPr>
        <w:pStyle w:val="37"/>
        <w:spacing w:line="360" w:lineRule="auto"/>
        <w:ind w:firstLine="420" w:firstLineChars="200"/>
        <w:jc w:val="left"/>
        <w:rPr>
          <w:rFonts w:ascii="宋体" w:hAnsi="宋体" w:cs="宋体"/>
          <w:color w:val="auto"/>
          <w:szCs w:val="21"/>
        </w:rPr>
      </w:pPr>
      <w:r>
        <w:rPr>
          <w:rFonts w:hint="eastAsia" w:ascii="宋体" w:hAnsi="宋体" w:cs="宋体"/>
          <w:color w:val="auto"/>
          <w:szCs w:val="21"/>
        </w:rPr>
        <w:t>附件2：工程质量保修书</w:t>
      </w:r>
    </w:p>
    <w:p w14:paraId="19F54102">
      <w:pPr>
        <w:pStyle w:val="37"/>
        <w:spacing w:line="360" w:lineRule="auto"/>
        <w:ind w:firstLine="420" w:firstLineChars="200"/>
        <w:jc w:val="left"/>
        <w:rPr>
          <w:rFonts w:hint="eastAsia" w:ascii="宋体" w:hAnsi="宋体" w:cs="宋体"/>
          <w:color w:val="auto"/>
          <w:szCs w:val="21"/>
        </w:rPr>
      </w:pPr>
      <w:r>
        <w:rPr>
          <w:rFonts w:ascii="宋体" w:hAnsi="宋体" w:cs="宋体"/>
          <w:color w:val="auto"/>
          <w:szCs w:val="21"/>
        </w:rPr>
        <w:t>附件</w:t>
      </w:r>
      <w:r>
        <w:rPr>
          <w:rFonts w:hint="eastAsia" w:ascii="宋体" w:hAnsi="宋体" w:cs="宋体"/>
          <w:color w:val="auto"/>
          <w:szCs w:val="21"/>
        </w:rPr>
        <w:t>3</w:t>
      </w:r>
      <w:r>
        <w:rPr>
          <w:rFonts w:ascii="宋体" w:hAnsi="宋体" w:cs="宋体"/>
          <w:color w:val="auto"/>
          <w:szCs w:val="21"/>
        </w:rPr>
        <w:t>：主要建设工程文件目录</w:t>
      </w:r>
    </w:p>
    <w:p w14:paraId="3CC6729C">
      <w:pPr>
        <w:pStyle w:val="37"/>
        <w:spacing w:line="360" w:lineRule="auto"/>
        <w:ind w:firstLine="420" w:firstLineChars="200"/>
        <w:jc w:val="left"/>
        <w:rPr>
          <w:rFonts w:ascii="宋体" w:hAnsi="宋体" w:cs="宋体"/>
          <w:color w:val="auto"/>
          <w:szCs w:val="21"/>
        </w:rPr>
      </w:pPr>
      <w:r>
        <w:rPr>
          <w:rFonts w:hint="eastAsia" w:ascii="宋体" w:hAnsi="宋体" w:cs="宋体"/>
          <w:color w:val="auto"/>
          <w:szCs w:val="21"/>
        </w:rPr>
        <w:t>附件4：承包人用于本工程施工的机械设备表</w:t>
      </w:r>
    </w:p>
    <w:p w14:paraId="617C7CC3">
      <w:pPr>
        <w:pStyle w:val="37"/>
        <w:spacing w:line="360" w:lineRule="auto"/>
        <w:ind w:firstLine="420" w:firstLineChars="200"/>
        <w:jc w:val="left"/>
        <w:rPr>
          <w:rFonts w:ascii="宋体" w:hAnsi="Times New Roman"/>
          <w:color w:val="auto"/>
          <w:szCs w:val="21"/>
        </w:rPr>
      </w:pPr>
      <w:r>
        <w:rPr>
          <w:rFonts w:hint="eastAsia" w:ascii="宋体" w:hAnsi="宋体" w:cs="宋体"/>
          <w:color w:val="auto"/>
          <w:szCs w:val="21"/>
        </w:rPr>
        <w:t>附件5：承包人主要施工管理人员表</w:t>
      </w:r>
    </w:p>
    <w:p w14:paraId="0AE7254F">
      <w:pPr>
        <w:pStyle w:val="37"/>
        <w:spacing w:line="360" w:lineRule="auto"/>
        <w:ind w:firstLine="420" w:firstLineChars="200"/>
        <w:jc w:val="left"/>
        <w:rPr>
          <w:rFonts w:ascii="宋体" w:hAnsi="Times New Roman"/>
          <w:color w:val="auto"/>
          <w:szCs w:val="21"/>
        </w:rPr>
      </w:pPr>
      <w:r>
        <w:rPr>
          <w:rFonts w:hint="eastAsia" w:ascii="宋体" w:hAnsi="宋体" w:cs="宋体"/>
          <w:color w:val="auto"/>
          <w:szCs w:val="21"/>
        </w:rPr>
        <w:t>附件6：分包人主要施工管理人员表</w:t>
      </w:r>
    </w:p>
    <w:p w14:paraId="50C08088">
      <w:pPr>
        <w:pStyle w:val="37"/>
        <w:spacing w:line="360" w:lineRule="auto"/>
        <w:ind w:firstLine="420" w:firstLineChars="200"/>
        <w:jc w:val="left"/>
        <w:rPr>
          <w:rFonts w:ascii="宋体" w:hAnsi="Times New Roman"/>
          <w:color w:val="auto"/>
          <w:szCs w:val="21"/>
        </w:rPr>
      </w:pPr>
      <w:r>
        <w:rPr>
          <w:rFonts w:hint="eastAsia" w:ascii="宋体" w:hAnsi="宋体" w:cs="宋体"/>
          <w:color w:val="auto"/>
          <w:szCs w:val="21"/>
        </w:rPr>
        <w:t>附件7：履约担保格式</w:t>
      </w:r>
    </w:p>
    <w:p w14:paraId="3BD5D59D">
      <w:pPr>
        <w:pStyle w:val="37"/>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附件8：预付款担保格式</w:t>
      </w:r>
    </w:p>
    <w:p w14:paraId="6B38908C">
      <w:pPr>
        <w:pStyle w:val="37"/>
        <w:spacing w:line="360" w:lineRule="auto"/>
        <w:ind w:firstLine="420" w:firstLineChars="200"/>
        <w:jc w:val="left"/>
        <w:rPr>
          <w:rFonts w:ascii="宋体" w:hAnsi="宋体" w:cs="宋体"/>
          <w:color w:val="auto"/>
          <w:szCs w:val="21"/>
        </w:rPr>
      </w:pPr>
      <w:r>
        <w:rPr>
          <w:rFonts w:hint="eastAsia" w:ascii="宋体" w:hAnsi="宋体" w:cs="宋体"/>
          <w:color w:val="auto"/>
          <w:szCs w:val="21"/>
        </w:rPr>
        <w:t>附件9：支付担保格式</w:t>
      </w:r>
    </w:p>
    <w:p w14:paraId="48257006">
      <w:pPr>
        <w:pStyle w:val="37"/>
        <w:spacing w:line="360" w:lineRule="auto"/>
        <w:ind w:firstLine="420" w:firstLineChars="200"/>
        <w:jc w:val="left"/>
        <w:rPr>
          <w:rFonts w:hint="eastAsia" w:ascii="Times New Roman" w:hAnsi="Times New Roman"/>
          <w:color w:val="auto"/>
          <w:szCs w:val="21"/>
        </w:rPr>
      </w:pPr>
      <w:r>
        <w:rPr>
          <w:rFonts w:hint="eastAsia" w:ascii="宋体" w:hAnsi="宋体" w:cs="宋体"/>
          <w:color w:val="auto"/>
          <w:szCs w:val="21"/>
        </w:rPr>
        <w:t>附件10：预付款</w:t>
      </w:r>
      <w:r>
        <w:rPr>
          <w:rFonts w:hint="eastAsia" w:ascii="Times New Roman" w:hAnsi="Times New Roman"/>
          <w:color w:val="auto"/>
          <w:szCs w:val="21"/>
        </w:rPr>
        <w:t>支付申请（核准）表</w:t>
      </w:r>
    </w:p>
    <w:p w14:paraId="549CADC1">
      <w:pPr>
        <w:pStyle w:val="37"/>
        <w:spacing w:line="360" w:lineRule="auto"/>
        <w:ind w:firstLine="420" w:firstLineChars="200"/>
        <w:jc w:val="left"/>
        <w:rPr>
          <w:rFonts w:hint="eastAsia" w:ascii="Times New Roman" w:hAnsi="Times New Roman"/>
          <w:color w:val="auto"/>
          <w:szCs w:val="21"/>
        </w:rPr>
      </w:pPr>
      <w:r>
        <w:rPr>
          <w:rFonts w:hint="eastAsia" w:ascii="宋体" w:hAnsi="宋体" w:cs="宋体"/>
          <w:color w:val="auto"/>
          <w:szCs w:val="21"/>
        </w:rPr>
        <w:t>附件11：</w:t>
      </w:r>
      <w:r>
        <w:rPr>
          <w:rFonts w:hint="eastAsia" w:ascii="Times New Roman" w:hAnsi="Times New Roman"/>
          <w:color w:val="auto"/>
          <w:szCs w:val="21"/>
        </w:rPr>
        <w:t>进度款支付申请（核准）表</w:t>
      </w:r>
    </w:p>
    <w:p w14:paraId="0A65B6C7">
      <w:pPr>
        <w:pStyle w:val="37"/>
        <w:spacing w:line="360" w:lineRule="auto"/>
        <w:ind w:firstLine="420" w:firstLineChars="200"/>
        <w:jc w:val="left"/>
        <w:rPr>
          <w:rFonts w:hint="eastAsia" w:ascii="Times New Roman" w:hAnsi="Times New Roman"/>
          <w:color w:val="auto"/>
          <w:szCs w:val="21"/>
        </w:rPr>
      </w:pPr>
      <w:r>
        <w:rPr>
          <w:rFonts w:hint="eastAsia" w:ascii="宋体" w:hAnsi="宋体" w:cs="宋体"/>
          <w:color w:val="auto"/>
          <w:szCs w:val="21"/>
        </w:rPr>
        <w:t>附件12：竣工结算</w:t>
      </w:r>
      <w:r>
        <w:rPr>
          <w:rFonts w:hint="eastAsia" w:ascii="Times New Roman" w:hAnsi="Times New Roman"/>
          <w:color w:val="auto"/>
          <w:szCs w:val="21"/>
        </w:rPr>
        <w:t>款支付申请（核准）表</w:t>
      </w:r>
    </w:p>
    <w:p w14:paraId="393F8D44">
      <w:pPr>
        <w:pStyle w:val="37"/>
        <w:spacing w:line="360" w:lineRule="auto"/>
        <w:ind w:firstLine="420" w:firstLineChars="200"/>
        <w:jc w:val="left"/>
        <w:rPr>
          <w:rFonts w:hint="eastAsia" w:ascii="Times New Roman" w:hAnsi="Times New Roman"/>
          <w:color w:val="auto"/>
          <w:szCs w:val="21"/>
        </w:rPr>
      </w:pPr>
      <w:r>
        <w:rPr>
          <w:rFonts w:hint="eastAsia" w:ascii="宋体" w:hAnsi="宋体" w:cs="宋体"/>
          <w:color w:val="auto"/>
          <w:szCs w:val="21"/>
        </w:rPr>
        <w:t>附件13：最终结算</w:t>
      </w:r>
      <w:r>
        <w:rPr>
          <w:rFonts w:hint="eastAsia" w:ascii="Times New Roman" w:hAnsi="Times New Roman"/>
          <w:color w:val="auto"/>
          <w:szCs w:val="21"/>
        </w:rPr>
        <w:t>款支付申请（核准）表</w:t>
      </w:r>
    </w:p>
    <w:p w14:paraId="0977A173">
      <w:pPr>
        <w:pStyle w:val="37"/>
        <w:spacing w:line="360" w:lineRule="auto"/>
        <w:ind w:firstLine="420" w:firstLineChars="200"/>
        <w:jc w:val="left"/>
        <w:rPr>
          <w:rFonts w:hint="eastAsia" w:ascii="Times New Roman" w:hAnsi="Times New Roman"/>
          <w:color w:val="auto"/>
          <w:szCs w:val="21"/>
        </w:rPr>
      </w:pPr>
      <w:r>
        <w:rPr>
          <w:rFonts w:hint="eastAsia" w:ascii="Times New Roman" w:hAnsi="Times New Roman"/>
          <w:color w:val="auto"/>
          <w:szCs w:val="21"/>
        </w:rPr>
        <w:t>附件14：总价合同进度款支付分解表</w:t>
      </w:r>
    </w:p>
    <w:p w14:paraId="04D879D3">
      <w:pPr>
        <w:pStyle w:val="37"/>
        <w:spacing w:line="360" w:lineRule="auto"/>
        <w:ind w:firstLine="420" w:firstLineChars="200"/>
        <w:jc w:val="left"/>
        <w:rPr>
          <w:rFonts w:hint="eastAsia" w:ascii="Times New Roman" w:hAnsi="Times New Roman"/>
          <w:color w:val="auto"/>
          <w:szCs w:val="21"/>
          <w:lang w:val="en-US" w:eastAsia="zh-CN"/>
        </w:rPr>
      </w:pPr>
      <w:r>
        <w:rPr>
          <w:rFonts w:hint="eastAsia" w:ascii="Times New Roman" w:hAnsi="Times New Roman"/>
          <w:color w:val="auto"/>
          <w:szCs w:val="21"/>
        </w:rPr>
        <w:t>附件1</w:t>
      </w:r>
      <w:r>
        <w:rPr>
          <w:rFonts w:hint="eastAsia" w:ascii="Times New Roman" w:hAnsi="Times New Roman"/>
          <w:color w:val="auto"/>
          <w:szCs w:val="21"/>
          <w:lang w:val="en-US" w:eastAsia="zh-CN"/>
        </w:rPr>
        <w:t>5</w:t>
      </w:r>
      <w:r>
        <w:rPr>
          <w:rFonts w:hint="eastAsia" w:ascii="Times New Roman" w:hAnsi="Times New Roman"/>
          <w:color w:val="auto"/>
          <w:szCs w:val="21"/>
        </w:rPr>
        <w:t>：</w:t>
      </w:r>
      <w:r>
        <w:rPr>
          <w:rFonts w:hint="eastAsia" w:ascii="Times New Roman" w:hAnsi="Times New Roman"/>
          <w:color w:val="auto"/>
          <w:szCs w:val="21"/>
          <w:lang w:val="en-US" w:eastAsia="zh-CN"/>
        </w:rPr>
        <w:t>欠薪催告函</w:t>
      </w:r>
    </w:p>
    <w:p w14:paraId="2958D878">
      <w:pPr>
        <w:pStyle w:val="37"/>
        <w:spacing w:line="360" w:lineRule="auto"/>
        <w:ind w:firstLine="420" w:firstLineChars="200"/>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附件16：项目安全文明施工费使用明细表</w:t>
      </w:r>
    </w:p>
    <w:p w14:paraId="564F55AC">
      <w:pPr>
        <w:pStyle w:val="37"/>
        <w:spacing w:line="360" w:lineRule="auto"/>
        <w:ind w:firstLine="420" w:firstLineChars="200"/>
        <w:jc w:val="left"/>
        <w:rPr>
          <w:rFonts w:hint="default" w:ascii="Times New Roman" w:hAnsi="Times New Roman"/>
          <w:color w:val="auto"/>
          <w:szCs w:val="21"/>
          <w:lang w:val="en-US" w:eastAsia="zh-CN"/>
        </w:rPr>
      </w:pPr>
      <w:r>
        <w:rPr>
          <w:rFonts w:hint="eastAsia" w:ascii="Times New Roman" w:hAnsi="Times New Roman"/>
          <w:color w:val="auto"/>
          <w:szCs w:val="21"/>
          <w:lang w:val="en-US" w:eastAsia="zh-CN"/>
        </w:rPr>
        <w:t>附件17：</w:t>
      </w:r>
      <w:r>
        <w:rPr>
          <w:rFonts w:hint="default" w:ascii="Times New Roman" w:hAnsi="Times New Roman"/>
          <w:color w:val="auto"/>
          <w:szCs w:val="21"/>
          <w:lang w:val="en-US" w:eastAsia="zh-CN"/>
        </w:rPr>
        <w:t>项目原材料进场登记表</w:t>
      </w:r>
    </w:p>
    <w:p w14:paraId="76C1412E">
      <w:pPr>
        <w:pStyle w:val="37"/>
        <w:spacing w:line="360" w:lineRule="auto"/>
        <w:ind w:firstLine="440" w:firstLineChars="200"/>
        <w:jc w:val="left"/>
        <w:rPr>
          <w:rFonts w:hint="default" w:ascii="Times New Roman" w:hAnsi="Times New Roman"/>
          <w:color w:val="auto"/>
          <w:szCs w:val="21"/>
          <w:lang w:val="en-US" w:eastAsia="zh-CN"/>
        </w:rPr>
      </w:pPr>
      <w:r>
        <w:rPr>
          <w:rFonts w:hint="eastAsia" w:ascii="宋体" w:hAnsi="宋体" w:cs="宋体"/>
          <w:i w:val="0"/>
          <w:iCs w:val="0"/>
          <w:color w:val="auto"/>
          <w:kern w:val="0"/>
          <w:sz w:val="22"/>
          <w:szCs w:val="22"/>
          <w:u w:val="none"/>
          <w:lang w:val="en-US" w:eastAsia="zh-CN" w:bidi="ar"/>
        </w:rPr>
        <w:t>附件18：</w:t>
      </w:r>
      <w:r>
        <w:rPr>
          <w:rFonts w:hint="eastAsia" w:ascii="宋体" w:hAnsi="宋体" w:eastAsia="宋体" w:cs="宋体"/>
          <w:i w:val="0"/>
          <w:iCs w:val="0"/>
          <w:color w:val="auto"/>
          <w:kern w:val="0"/>
          <w:sz w:val="22"/>
          <w:szCs w:val="22"/>
          <w:u w:val="none"/>
          <w:lang w:val="en-US" w:eastAsia="zh-CN" w:bidi="ar"/>
        </w:rPr>
        <w:t>项目农民工工资发放登记表</w:t>
      </w:r>
    </w:p>
    <w:p w14:paraId="44EDE25C">
      <w:pPr>
        <w:pStyle w:val="37"/>
        <w:spacing w:line="460" w:lineRule="exact"/>
        <w:ind w:firstLine="420" w:firstLineChars="200"/>
        <w:rPr>
          <w:rFonts w:ascii="Times New Roman" w:hAnsi="Times New Roman"/>
          <w:color w:val="auto"/>
          <w:szCs w:val="21"/>
        </w:rPr>
      </w:pPr>
    </w:p>
    <w:p w14:paraId="204AF5C6">
      <w:pPr>
        <w:pStyle w:val="37"/>
        <w:spacing w:line="460" w:lineRule="exact"/>
        <w:rPr>
          <w:rFonts w:ascii="Times New Roman" w:hAnsi="Times New Roman"/>
          <w:color w:val="auto"/>
          <w:szCs w:val="21"/>
        </w:rPr>
        <w:sectPr>
          <w:footerReference r:id="rId4" w:type="default"/>
          <w:pgSz w:w="11906" w:h="16838"/>
          <w:pgMar w:top="1134" w:right="1134" w:bottom="567" w:left="1417" w:header="567" w:footer="567" w:gutter="0"/>
          <w:pgNumType w:fmt="decimal"/>
          <w:cols w:space="720" w:num="1"/>
          <w:docGrid w:type="lines" w:linePitch="312" w:charSpace="0"/>
        </w:sectPr>
      </w:pPr>
    </w:p>
    <w:p w14:paraId="6D940876">
      <w:pPr>
        <w:pStyle w:val="37"/>
        <w:spacing w:before="156" w:beforeLines="50" w:after="156" w:afterLines="50" w:line="440" w:lineRule="exact"/>
        <w:ind w:firstLine="600" w:firstLineChars="200"/>
        <w:jc w:val="left"/>
        <w:rPr>
          <w:rFonts w:ascii="仿宋_GB2312" w:hAnsi="Times New Roman" w:eastAsia="仿宋_GB2312"/>
          <w:color w:val="auto"/>
          <w:sz w:val="30"/>
          <w:szCs w:val="30"/>
        </w:rPr>
      </w:pPr>
      <w:r>
        <w:rPr>
          <w:rFonts w:hint="eastAsia" w:ascii="仿宋_GB2312" w:hAnsi="Times New Roman" w:eastAsia="仿宋_GB2312" w:cs="仿宋_GB2312"/>
          <w:color w:val="auto"/>
          <w:sz w:val="30"/>
          <w:szCs w:val="30"/>
        </w:rPr>
        <w:t>附件</w:t>
      </w:r>
      <w:r>
        <w:rPr>
          <w:rFonts w:ascii="仿宋_GB2312" w:hAnsi="Times New Roman" w:eastAsia="仿宋_GB2312" w:cs="仿宋_GB2312"/>
          <w:color w:val="auto"/>
          <w:sz w:val="30"/>
          <w:szCs w:val="30"/>
        </w:rPr>
        <w:t>1</w:t>
      </w:r>
      <w:r>
        <w:rPr>
          <w:rFonts w:hint="eastAsia" w:ascii="仿宋_GB2312" w:hAnsi="Times New Roman" w:eastAsia="仿宋_GB2312" w:cs="仿宋_GB2312"/>
          <w:color w:val="auto"/>
          <w:sz w:val="30"/>
          <w:szCs w:val="30"/>
        </w:rPr>
        <w:t>：</w:t>
      </w:r>
    </w:p>
    <w:p w14:paraId="01667049">
      <w:pPr>
        <w:pStyle w:val="37"/>
        <w:spacing w:before="156" w:beforeLines="50" w:after="156" w:afterLines="50" w:line="440" w:lineRule="exact"/>
        <w:ind w:firstLine="600" w:firstLineChars="200"/>
        <w:jc w:val="center"/>
        <w:rPr>
          <w:rFonts w:ascii="Times New Roman" w:hAnsi="Times New Roman" w:eastAsia="黑体"/>
          <w:color w:val="auto"/>
          <w:sz w:val="30"/>
          <w:szCs w:val="30"/>
        </w:rPr>
      </w:pPr>
      <w:r>
        <w:rPr>
          <w:rFonts w:hint="eastAsia" w:ascii="Times New Roman" w:hAnsi="Times New Roman" w:eastAsia="黑体" w:cs="黑体"/>
          <w:color w:val="auto"/>
          <w:sz w:val="30"/>
          <w:szCs w:val="30"/>
        </w:rPr>
        <w:t>承包人承揽工程项目一览表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191"/>
        <w:gridCol w:w="779"/>
        <w:gridCol w:w="1530"/>
        <w:gridCol w:w="1661"/>
        <w:gridCol w:w="850"/>
        <w:gridCol w:w="1560"/>
        <w:gridCol w:w="1972"/>
        <w:gridCol w:w="1571"/>
        <w:gridCol w:w="851"/>
        <w:gridCol w:w="850"/>
      </w:tblGrid>
      <w:tr w14:paraId="010F2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91" w:type="dxa"/>
            <w:noWrap w:val="0"/>
            <w:vAlign w:val="center"/>
          </w:tcPr>
          <w:p w14:paraId="317204A2">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单位工程名称</w:t>
            </w:r>
          </w:p>
        </w:tc>
        <w:tc>
          <w:tcPr>
            <w:tcW w:w="779" w:type="dxa"/>
            <w:noWrap w:val="0"/>
            <w:vAlign w:val="center"/>
          </w:tcPr>
          <w:p w14:paraId="621C1BBB">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建设规模</w:t>
            </w:r>
          </w:p>
        </w:tc>
        <w:tc>
          <w:tcPr>
            <w:tcW w:w="1530" w:type="dxa"/>
            <w:noWrap w:val="0"/>
            <w:vAlign w:val="center"/>
          </w:tcPr>
          <w:p w14:paraId="1C89774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建筑面积</w:t>
            </w:r>
            <w:r>
              <w:rPr>
                <w:rFonts w:hint="eastAsia" w:ascii="Times New Roman" w:hAnsi="Times New Roman" w:eastAsia="仿宋_GB2312" w:cs="仿宋_GB2312"/>
                <w:color w:val="auto"/>
                <w:sz w:val="28"/>
                <w:szCs w:val="28"/>
                <w:lang w:eastAsia="zh-CN"/>
              </w:rPr>
              <w:t>（</w:t>
            </w:r>
            <w:r>
              <w:rPr>
                <w:rFonts w:hint="eastAsia" w:ascii="Times New Roman" w:hAnsi="Times New Roman" w:eastAsia="仿宋_GB2312" w:cs="仿宋_GB2312"/>
                <w:color w:val="auto"/>
                <w:sz w:val="28"/>
                <w:szCs w:val="28"/>
              </w:rPr>
              <w:t>平方米</w:t>
            </w:r>
            <w:r>
              <w:rPr>
                <w:rFonts w:hint="eastAsia" w:ascii="Times New Roman" w:hAnsi="Times New Roman" w:eastAsia="仿宋_GB2312" w:cs="仿宋_GB2312"/>
                <w:color w:val="auto"/>
                <w:sz w:val="28"/>
                <w:szCs w:val="28"/>
                <w:lang w:eastAsia="zh-CN"/>
              </w:rPr>
              <w:t>）</w:t>
            </w:r>
          </w:p>
        </w:tc>
        <w:tc>
          <w:tcPr>
            <w:tcW w:w="1661" w:type="dxa"/>
            <w:noWrap w:val="0"/>
            <w:vAlign w:val="center"/>
          </w:tcPr>
          <w:p w14:paraId="5AA6AB8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结构形式</w:t>
            </w:r>
          </w:p>
        </w:tc>
        <w:tc>
          <w:tcPr>
            <w:tcW w:w="850" w:type="dxa"/>
            <w:noWrap w:val="0"/>
            <w:vAlign w:val="center"/>
          </w:tcPr>
          <w:p w14:paraId="25FE02E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层数</w:t>
            </w:r>
          </w:p>
        </w:tc>
        <w:tc>
          <w:tcPr>
            <w:tcW w:w="1560" w:type="dxa"/>
            <w:noWrap w:val="0"/>
            <w:vAlign w:val="center"/>
          </w:tcPr>
          <w:p w14:paraId="771C248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生产能力</w:t>
            </w:r>
          </w:p>
        </w:tc>
        <w:tc>
          <w:tcPr>
            <w:tcW w:w="1972" w:type="dxa"/>
            <w:noWrap w:val="0"/>
            <w:vAlign w:val="center"/>
          </w:tcPr>
          <w:p w14:paraId="5B709781">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设备安装内容</w:t>
            </w:r>
          </w:p>
        </w:tc>
        <w:tc>
          <w:tcPr>
            <w:tcW w:w="1571" w:type="dxa"/>
            <w:noWrap w:val="0"/>
            <w:vAlign w:val="center"/>
          </w:tcPr>
          <w:p w14:paraId="61A8721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合同价格（元）</w:t>
            </w:r>
          </w:p>
        </w:tc>
        <w:tc>
          <w:tcPr>
            <w:tcW w:w="851" w:type="dxa"/>
            <w:noWrap w:val="0"/>
            <w:vAlign w:val="center"/>
          </w:tcPr>
          <w:p w14:paraId="031624E5">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开工日期</w:t>
            </w:r>
          </w:p>
        </w:tc>
        <w:tc>
          <w:tcPr>
            <w:tcW w:w="850" w:type="dxa"/>
            <w:noWrap w:val="0"/>
            <w:vAlign w:val="center"/>
          </w:tcPr>
          <w:p w14:paraId="757C44AC">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竣工日期</w:t>
            </w:r>
          </w:p>
        </w:tc>
      </w:tr>
      <w:tr w14:paraId="3F3A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8" w:hRule="atLeast"/>
          <w:jc w:val="center"/>
        </w:trPr>
        <w:tc>
          <w:tcPr>
            <w:tcW w:w="2191" w:type="dxa"/>
            <w:noWrap w:val="0"/>
            <w:vAlign w:val="center"/>
          </w:tcPr>
          <w:p w14:paraId="6214B4D9">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779" w:type="dxa"/>
            <w:noWrap w:val="0"/>
            <w:vAlign w:val="center"/>
          </w:tcPr>
          <w:p w14:paraId="405630BF">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530" w:type="dxa"/>
            <w:noWrap w:val="0"/>
            <w:vAlign w:val="center"/>
          </w:tcPr>
          <w:p w14:paraId="708B5982">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661" w:type="dxa"/>
            <w:noWrap w:val="0"/>
            <w:vAlign w:val="center"/>
          </w:tcPr>
          <w:p w14:paraId="4C1E3E55">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850" w:type="dxa"/>
            <w:noWrap w:val="0"/>
            <w:vAlign w:val="center"/>
          </w:tcPr>
          <w:p w14:paraId="1519ACAD">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560" w:type="dxa"/>
            <w:noWrap w:val="0"/>
            <w:vAlign w:val="center"/>
          </w:tcPr>
          <w:p w14:paraId="16203136">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972" w:type="dxa"/>
            <w:noWrap w:val="0"/>
            <w:vAlign w:val="center"/>
          </w:tcPr>
          <w:p w14:paraId="550630CE">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571" w:type="dxa"/>
            <w:noWrap w:val="0"/>
            <w:vAlign w:val="center"/>
          </w:tcPr>
          <w:p w14:paraId="1B8ACFE3">
            <w:pPr>
              <w:pStyle w:val="37"/>
              <w:keepNext/>
              <w:adjustRightInd w:val="0"/>
              <w:spacing w:line="440" w:lineRule="exact"/>
              <w:ind w:left="63" w:leftChars="30" w:right="63" w:rightChars="30"/>
              <w:jc w:val="center"/>
              <w:textAlignment w:val="baseline"/>
              <w:rPr>
                <w:rFonts w:hint="eastAsia" w:ascii="Times New Roman" w:hAnsi="Times New Roman" w:eastAsia="仿宋_GB2312" w:cs="Times New Roman"/>
                <w:color w:val="auto"/>
                <w:sz w:val="28"/>
                <w:szCs w:val="28"/>
              </w:rPr>
            </w:pPr>
          </w:p>
        </w:tc>
        <w:tc>
          <w:tcPr>
            <w:tcW w:w="851" w:type="dxa"/>
            <w:noWrap w:val="0"/>
            <w:vAlign w:val="center"/>
          </w:tcPr>
          <w:p w14:paraId="46B8F9EE">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850" w:type="dxa"/>
            <w:noWrap w:val="0"/>
            <w:vAlign w:val="center"/>
          </w:tcPr>
          <w:p w14:paraId="4F24C855">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r>
      <w:tr w14:paraId="615E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91" w:type="dxa"/>
            <w:noWrap w:val="0"/>
            <w:vAlign w:val="center"/>
          </w:tcPr>
          <w:p w14:paraId="6E84FDA8">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779" w:type="dxa"/>
            <w:noWrap w:val="0"/>
            <w:vAlign w:val="center"/>
          </w:tcPr>
          <w:p w14:paraId="478BE252">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530" w:type="dxa"/>
            <w:noWrap w:val="0"/>
            <w:vAlign w:val="center"/>
          </w:tcPr>
          <w:p w14:paraId="270F861D">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661" w:type="dxa"/>
            <w:noWrap w:val="0"/>
            <w:vAlign w:val="center"/>
          </w:tcPr>
          <w:p w14:paraId="3BD299C0">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850" w:type="dxa"/>
            <w:noWrap w:val="0"/>
            <w:vAlign w:val="center"/>
          </w:tcPr>
          <w:p w14:paraId="234DCB2A">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560" w:type="dxa"/>
            <w:noWrap w:val="0"/>
            <w:vAlign w:val="center"/>
          </w:tcPr>
          <w:p w14:paraId="30DE101E">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972" w:type="dxa"/>
            <w:noWrap w:val="0"/>
            <w:vAlign w:val="center"/>
          </w:tcPr>
          <w:p w14:paraId="6C35CE1A">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571" w:type="dxa"/>
            <w:noWrap w:val="0"/>
            <w:vAlign w:val="center"/>
          </w:tcPr>
          <w:p w14:paraId="694D7F9B">
            <w:pPr>
              <w:pStyle w:val="37"/>
              <w:keepNext/>
              <w:adjustRightInd w:val="0"/>
              <w:spacing w:line="440" w:lineRule="exact"/>
              <w:ind w:left="63" w:leftChars="30" w:right="63" w:rightChars="30"/>
              <w:jc w:val="center"/>
              <w:textAlignment w:val="baseline"/>
              <w:rPr>
                <w:rFonts w:hint="eastAsia" w:ascii="Times New Roman" w:hAnsi="Times New Roman" w:eastAsia="仿宋_GB2312" w:cs="Times New Roman"/>
                <w:color w:val="auto"/>
                <w:sz w:val="28"/>
                <w:szCs w:val="28"/>
              </w:rPr>
            </w:pPr>
          </w:p>
        </w:tc>
        <w:tc>
          <w:tcPr>
            <w:tcW w:w="851" w:type="dxa"/>
            <w:noWrap w:val="0"/>
            <w:vAlign w:val="center"/>
          </w:tcPr>
          <w:p w14:paraId="3D397049">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850" w:type="dxa"/>
            <w:noWrap w:val="0"/>
            <w:vAlign w:val="center"/>
          </w:tcPr>
          <w:p w14:paraId="345D7A46">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r>
      <w:tr w14:paraId="312E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91" w:type="dxa"/>
            <w:noWrap w:val="0"/>
            <w:vAlign w:val="center"/>
          </w:tcPr>
          <w:p w14:paraId="52B4BDF3">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779" w:type="dxa"/>
            <w:noWrap w:val="0"/>
            <w:vAlign w:val="center"/>
          </w:tcPr>
          <w:p w14:paraId="3393CA2F">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530" w:type="dxa"/>
            <w:noWrap w:val="0"/>
            <w:vAlign w:val="center"/>
          </w:tcPr>
          <w:p w14:paraId="16EAB02D">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661" w:type="dxa"/>
            <w:noWrap w:val="0"/>
            <w:vAlign w:val="center"/>
          </w:tcPr>
          <w:p w14:paraId="29BBDCF1">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850" w:type="dxa"/>
            <w:noWrap w:val="0"/>
            <w:vAlign w:val="center"/>
          </w:tcPr>
          <w:p w14:paraId="2830FB5F">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560" w:type="dxa"/>
            <w:noWrap w:val="0"/>
            <w:vAlign w:val="center"/>
          </w:tcPr>
          <w:p w14:paraId="30B14BF7">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972" w:type="dxa"/>
            <w:noWrap w:val="0"/>
            <w:vAlign w:val="center"/>
          </w:tcPr>
          <w:p w14:paraId="611A0FFE">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571" w:type="dxa"/>
            <w:noWrap w:val="0"/>
            <w:vAlign w:val="center"/>
          </w:tcPr>
          <w:p w14:paraId="1DF41DF0">
            <w:pPr>
              <w:pStyle w:val="37"/>
              <w:keepNext/>
              <w:adjustRightInd w:val="0"/>
              <w:spacing w:line="440" w:lineRule="exact"/>
              <w:ind w:left="63" w:leftChars="30" w:right="63" w:rightChars="30"/>
              <w:jc w:val="center"/>
              <w:textAlignment w:val="baseline"/>
              <w:rPr>
                <w:rFonts w:hint="eastAsia" w:ascii="Times New Roman" w:hAnsi="Times New Roman" w:eastAsia="仿宋_GB2312" w:cs="Times New Roman"/>
                <w:color w:val="auto"/>
                <w:sz w:val="28"/>
                <w:szCs w:val="28"/>
              </w:rPr>
            </w:pPr>
          </w:p>
        </w:tc>
        <w:tc>
          <w:tcPr>
            <w:tcW w:w="851" w:type="dxa"/>
            <w:noWrap w:val="0"/>
            <w:vAlign w:val="center"/>
          </w:tcPr>
          <w:p w14:paraId="566088F3">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850" w:type="dxa"/>
            <w:noWrap w:val="0"/>
            <w:vAlign w:val="center"/>
          </w:tcPr>
          <w:p w14:paraId="339E6DC1">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r>
      <w:tr w14:paraId="5F02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91" w:type="dxa"/>
            <w:noWrap w:val="0"/>
            <w:vAlign w:val="center"/>
          </w:tcPr>
          <w:p w14:paraId="040211D7">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779" w:type="dxa"/>
            <w:noWrap w:val="0"/>
            <w:vAlign w:val="center"/>
          </w:tcPr>
          <w:p w14:paraId="1ED768CC">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530" w:type="dxa"/>
            <w:noWrap w:val="0"/>
            <w:vAlign w:val="center"/>
          </w:tcPr>
          <w:p w14:paraId="56C3B411">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661" w:type="dxa"/>
            <w:noWrap w:val="0"/>
            <w:vAlign w:val="center"/>
          </w:tcPr>
          <w:p w14:paraId="5718B968">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850" w:type="dxa"/>
            <w:noWrap w:val="0"/>
            <w:vAlign w:val="center"/>
          </w:tcPr>
          <w:p w14:paraId="2B5449CC">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560" w:type="dxa"/>
            <w:noWrap w:val="0"/>
            <w:vAlign w:val="center"/>
          </w:tcPr>
          <w:p w14:paraId="675DF816">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972" w:type="dxa"/>
            <w:noWrap w:val="0"/>
            <w:vAlign w:val="center"/>
          </w:tcPr>
          <w:p w14:paraId="0422DCDD">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571" w:type="dxa"/>
            <w:noWrap w:val="0"/>
            <w:vAlign w:val="center"/>
          </w:tcPr>
          <w:p w14:paraId="76E06883">
            <w:pPr>
              <w:pStyle w:val="37"/>
              <w:keepNext/>
              <w:adjustRightInd w:val="0"/>
              <w:spacing w:line="440" w:lineRule="exact"/>
              <w:ind w:left="63" w:leftChars="30" w:right="63" w:rightChars="30"/>
              <w:jc w:val="center"/>
              <w:textAlignment w:val="baseline"/>
              <w:rPr>
                <w:rFonts w:hint="eastAsia" w:ascii="Times New Roman" w:hAnsi="Times New Roman" w:eastAsia="仿宋_GB2312" w:cs="Times New Roman"/>
                <w:color w:val="auto"/>
                <w:sz w:val="28"/>
                <w:szCs w:val="28"/>
              </w:rPr>
            </w:pPr>
          </w:p>
        </w:tc>
        <w:tc>
          <w:tcPr>
            <w:tcW w:w="851" w:type="dxa"/>
            <w:noWrap w:val="0"/>
            <w:vAlign w:val="center"/>
          </w:tcPr>
          <w:p w14:paraId="67A3F7F1">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850" w:type="dxa"/>
            <w:noWrap w:val="0"/>
            <w:vAlign w:val="center"/>
          </w:tcPr>
          <w:p w14:paraId="54BA829E">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r>
      <w:tr w14:paraId="0380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91" w:type="dxa"/>
            <w:noWrap w:val="0"/>
            <w:vAlign w:val="center"/>
          </w:tcPr>
          <w:p w14:paraId="1929F533">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779" w:type="dxa"/>
            <w:noWrap w:val="0"/>
            <w:vAlign w:val="center"/>
          </w:tcPr>
          <w:p w14:paraId="2B7304D1">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530" w:type="dxa"/>
            <w:noWrap w:val="0"/>
            <w:vAlign w:val="center"/>
          </w:tcPr>
          <w:p w14:paraId="1D9025D6">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661" w:type="dxa"/>
            <w:noWrap w:val="0"/>
            <w:vAlign w:val="center"/>
          </w:tcPr>
          <w:p w14:paraId="4B604037">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850" w:type="dxa"/>
            <w:noWrap w:val="0"/>
            <w:vAlign w:val="center"/>
          </w:tcPr>
          <w:p w14:paraId="74060C71">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560" w:type="dxa"/>
            <w:noWrap w:val="0"/>
            <w:vAlign w:val="center"/>
          </w:tcPr>
          <w:p w14:paraId="1DA4AE1D">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972" w:type="dxa"/>
            <w:noWrap w:val="0"/>
            <w:vAlign w:val="center"/>
          </w:tcPr>
          <w:p w14:paraId="0D71C678">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571" w:type="dxa"/>
            <w:noWrap w:val="0"/>
            <w:vAlign w:val="center"/>
          </w:tcPr>
          <w:p w14:paraId="62F05AB5">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851" w:type="dxa"/>
            <w:noWrap w:val="0"/>
            <w:vAlign w:val="center"/>
          </w:tcPr>
          <w:p w14:paraId="2BD67280">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850" w:type="dxa"/>
            <w:noWrap w:val="0"/>
            <w:vAlign w:val="center"/>
          </w:tcPr>
          <w:p w14:paraId="6BB3CA2D">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r>
      <w:tr w14:paraId="6665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91" w:type="dxa"/>
            <w:noWrap w:val="0"/>
            <w:vAlign w:val="center"/>
          </w:tcPr>
          <w:p w14:paraId="2595B779">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779" w:type="dxa"/>
            <w:noWrap w:val="0"/>
            <w:vAlign w:val="center"/>
          </w:tcPr>
          <w:p w14:paraId="6C32B190">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530" w:type="dxa"/>
            <w:noWrap w:val="0"/>
            <w:vAlign w:val="center"/>
          </w:tcPr>
          <w:p w14:paraId="7E3E12DC">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661" w:type="dxa"/>
            <w:noWrap w:val="0"/>
            <w:vAlign w:val="center"/>
          </w:tcPr>
          <w:p w14:paraId="447D7944">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850" w:type="dxa"/>
            <w:noWrap w:val="0"/>
            <w:vAlign w:val="center"/>
          </w:tcPr>
          <w:p w14:paraId="7446BA04">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560" w:type="dxa"/>
            <w:noWrap w:val="0"/>
            <w:vAlign w:val="center"/>
          </w:tcPr>
          <w:p w14:paraId="7A7ABECD">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972" w:type="dxa"/>
            <w:noWrap w:val="0"/>
            <w:vAlign w:val="center"/>
          </w:tcPr>
          <w:p w14:paraId="65700AB0">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571" w:type="dxa"/>
            <w:noWrap w:val="0"/>
            <w:vAlign w:val="center"/>
          </w:tcPr>
          <w:p w14:paraId="109B8447">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851" w:type="dxa"/>
            <w:noWrap w:val="0"/>
            <w:vAlign w:val="center"/>
          </w:tcPr>
          <w:p w14:paraId="4CF431E9">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850" w:type="dxa"/>
            <w:noWrap w:val="0"/>
            <w:vAlign w:val="center"/>
          </w:tcPr>
          <w:p w14:paraId="2F938806">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r>
      <w:tr w14:paraId="09DB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91" w:type="dxa"/>
            <w:noWrap w:val="0"/>
            <w:vAlign w:val="center"/>
          </w:tcPr>
          <w:p w14:paraId="58E7026C">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779" w:type="dxa"/>
            <w:noWrap w:val="0"/>
            <w:vAlign w:val="center"/>
          </w:tcPr>
          <w:p w14:paraId="1042D1B4">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530" w:type="dxa"/>
            <w:noWrap w:val="0"/>
            <w:vAlign w:val="center"/>
          </w:tcPr>
          <w:p w14:paraId="0FD9A539">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661" w:type="dxa"/>
            <w:noWrap w:val="0"/>
            <w:vAlign w:val="center"/>
          </w:tcPr>
          <w:p w14:paraId="424861A4">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850" w:type="dxa"/>
            <w:noWrap w:val="0"/>
            <w:vAlign w:val="center"/>
          </w:tcPr>
          <w:p w14:paraId="5799B4C7">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560" w:type="dxa"/>
            <w:noWrap w:val="0"/>
            <w:vAlign w:val="center"/>
          </w:tcPr>
          <w:p w14:paraId="6C277271">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972" w:type="dxa"/>
            <w:noWrap w:val="0"/>
            <w:vAlign w:val="center"/>
          </w:tcPr>
          <w:p w14:paraId="04A85041">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571" w:type="dxa"/>
            <w:noWrap w:val="0"/>
            <w:vAlign w:val="center"/>
          </w:tcPr>
          <w:p w14:paraId="45DAD543">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851" w:type="dxa"/>
            <w:noWrap w:val="0"/>
            <w:vAlign w:val="center"/>
          </w:tcPr>
          <w:p w14:paraId="5E1C3A3B">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850" w:type="dxa"/>
            <w:noWrap w:val="0"/>
            <w:vAlign w:val="center"/>
          </w:tcPr>
          <w:p w14:paraId="4BC21D5B">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r>
      <w:tr w14:paraId="68C9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91" w:type="dxa"/>
            <w:noWrap w:val="0"/>
            <w:vAlign w:val="center"/>
          </w:tcPr>
          <w:p w14:paraId="1CC86ABB">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779" w:type="dxa"/>
            <w:noWrap w:val="0"/>
            <w:vAlign w:val="center"/>
          </w:tcPr>
          <w:p w14:paraId="324EF632">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530" w:type="dxa"/>
            <w:noWrap w:val="0"/>
            <w:vAlign w:val="center"/>
          </w:tcPr>
          <w:p w14:paraId="1F78946D">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661" w:type="dxa"/>
            <w:noWrap w:val="0"/>
            <w:vAlign w:val="center"/>
          </w:tcPr>
          <w:p w14:paraId="375EC33A">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850" w:type="dxa"/>
            <w:noWrap w:val="0"/>
            <w:vAlign w:val="center"/>
          </w:tcPr>
          <w:p w14:paraId="22BA39A5">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560" w:type="dxa"/>
            <w:noWrap w:val="0"/>
            <w:vAlign w:val="center"/>
          </w:tcPr>
          <w:p w14:paraId="525E746F">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972" w:type="dxa"/>
            <w:noWrap w:val="0"/>
            <w:vAlign w:val="center"/>
          </w:tcPr>
          <w:p w14:paraId="065F0E7F">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571" w:type="dxa"/>
            <w:noWrap w:val="0"/>
            <w:vAlign w:val="center"/>
          </w:tcPr>
          <w:p w14:paraId="584D77F1">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851" w:type="dxa"/>
            <w:noWrap w:val="0"/>
            <w:vAlign w:val="center"/>
          </w:tcPr>
          <w:p w14:paraId="58EDD522">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850" w:type="dxa"/>
            <w:noWrap w:val="0"/>
            <w:vAlign w:val="center"/>
          </w:tcPr>
          <w:p w14:paraId="79378E4C">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r>
    </w:tbl>
    <w:p w14:paraId="047F4D72">
      <w:pPr>
        <w:pStyle w:val="37"/>
        <w:spacing w:line="460" w:lineRule="exact"/>
        <w:ind w:firstLine="420" w:firstLineChars="200"/>
        <w:rPr>
          <w:rFonts w:ascii="Times New Roman" w:hAnsi="Times New Roman"/>
          <w:color w:val="auto"/>
          <w:szCs w:val="21"/>
        </w:rPr>
        <w:sectPr>
          <w:pgSz w:w="16838" w:h="11906" w:orient="landscape"/>
          <w:pgMar w:top="1417" w:right="1134" w:bottom="1134" w:left="567" w:header="851" w:footer="992" w:gutter="0"/>
          <w:pgNumType w:fmt="decimal"/>
          <w:cols w:space="720" w:num="1"/>
          <w:docGrid w:type="lines" w:linePitch="312" w:charSpace="0"/>
        </w:sectPr>
      </w:pPr>
    </w:p>
    <w:p w14:paraId="16F90705">
      <w:pPr>
        <w:pStyle w:val="37"/>
        <w:spacing w:line="440" w:lineRule="exact"/>
        <w:ind w:firstLine="600" w:firstLineChars="200"/>
        <w:rPr>
          <w:rFonts w:ascii="Times New Roman" w:hAnsi="Times New Roman"/>
          <w:color w:val="auto"/>
          <w:sz w:val="30"/>
          <w:szCs w:val="30"/>
        </w:rPr>
      </w:pPr>
      <w:r>
        <w:rPr>
          <w:rFonts w:hint="eastAsia" w:ascii="Times New Roman" w:hAnsi="宋体" w:cs="宋体"/>
          <w:color w:val="auto"/>
          <w:sz w:val="30"/>
          <w:szCs w:val="30"/>
        </w:rPr>
        <w:t>附件</w:t>
      </w:r>
      <w:r>
        <w:rPr>
          <w:rFonts w:hint="eastAsia" w:ascii="Times New Roman" w:hAnsi="Times New Roman"/>
          <w:color w:val="auto"/>
          <w:sz w:val="30"/>
          <w:szCs w:val="30"/>
        </w:rPr>
        <w:t>2</w:t>
      </w:r>
      <w:r>
        <w:rPr>
          <w:rFonts w:hint="eastAsia" w:ascii="Times New Roman" w:hAnsi="宋体" w:cs="宋体"/>
          <w:color w:val="auto"/>
          <w:sz w:val="30"/>
          <w:szCs w:val="30"/>
        </w:rPr>
        <w:t>：</w:t>
      </w:r>
    </w:p>
    <w:p w14:paraId="280C0DB6">
      <w:pPr>
        <w:pStyle w:val="37"/>
        <w:spacing w:before="156" w:beforeLines="50" w:after="156" w:afterLines="50" w:line="440" w:lineRule="exact"/>
        <w:ind w:firstLine="640" w:firstLineChars="200"/>
        <w:jc w:val="center"/>
        <w:rPr>
          <w:rFonts w:ascii="黑体" w:hAnsi="Times New Roman" w:eastAsia="黑体"/>
          <w:color w:val="auto"/>
          <w:sz w:val="32"/>
          <w:szCs w:val="32"/>
        </w:rPr>
      </w:pPr>
      <w:r>
        <w:rPr>
          <w:rFonts w:hint="eastAsia" w:ascii="黑体" w:hAnsi="宋体" w:eastAsia="黑体" w:cs="黑体"/>
          <w:color w:val="auto"/>
          <w:sz w:val="32"/>
          <w:szCs w:val="32"/>
        </w:rPr>
        <w:t>工程质量保修书</w:t>
      </w:r>
    </w:p>
    <w:p w14:paraId="7D51CB85">
      <w:pPr>
        <w:pStyle w:val="37"/>
        <w:spacing w:line="360" w:lineRule="auto"/>
        <w:ind w:firstLine="420" w:firstLineChars="200"/>
        <w:rPr>
          <w:rFonts w:ascii="宋体" w:hAnsi="Times New Roman"/>
          <w:color w:val="auto"/>
          <w:szCs w:val="21"/>
        </w:rPr>
      </w:pPr>
      <w:r>
        <w:rPr>
          <w:rFonts w:hint="eastAsia" w:ascii="宋体" w:hAnsi="Times New Roman"/>
          <w:color w:val="auto"/>
          <w:szCs w:val="21"/>
        </w:rPr>
        <w:t>发包人：</w:t>
      </w:r>
      <w:r>
        <w:rPr>
          <w:rFonts w:hint="eastAsia" w:ascii="宋体" w:hAnsi="Times New Roman"/>
          <w:color w:val="auto"/>
          <w:szCs w:val="21"/>
          <w:u w:val="single"/>
        </w:rPr>
        <w:t xml:space="preserve"> </w:t>
      </w:r>
      <w:r>
        <w:rPr>
          <w:rFonts w:hint="eastAsia" w:ascii="宋体" w:hAnsi="Times New Roman"/>
          <w:color w:val="auto"/>
          <w:szCs w:val="21"/>
          <w:u w:val="single"/>
          <w:lang w:val="en-US" w:eastAsia="zh-CN"/>
        </w:rPr>
        <w:t xml:space="preserve"> ************</w:t>
      </w:r>
      <w:r>
        <w:rPr>
          <w:rFonts w:hint="eastAsia" w:ascii="宋体" w:hAnsi="Times New Roman"/>
          <w:color w:val="auto"/>
          <w:szCs w:val="21"/>
        </w:rPr>
        <w:t xml:space="preserve"> </w:t>
      </w:r>
      <w:r>
        <w:rPr>
          <w:rFonts w:hint="eastAsia" w:ascii="宋体" w:hAnsi="Times New Roman"/>
          <w:color w:val="auto"/>
          <w:szCs w:val="21"/>
          <w:lang w:val="en-US" w:eastAsia="zh-CN"/>
        </w:rPr>
        <w:t xml:space="preserve"> </w:t>
      </w:r>
    </w:p>
    <w:p w14:paraId="2AD94BE2">
      <w:pPr>
        <w:pStyle w:val="37"/>
        <w:spacing w:line="360" w:lineRule="auto"/>
        <w:rPr>
          <w:rFonts w:ascii="宋体" w:hAnsi="Times New Roman"/>
          <w:color w:val="auto"/>
          <w:szCs w:val="21"/>
        </w:rPr>
      </w:pPr>
    </w:p>
    <w:p w14:paraId="511BD563">
      <w:pPr>
        <w:pStyle w:val="37"/>
        <w:spacing w:line="360" w:lineRule="auto"/>
        <w:ind w:firstLine="420" w:firstLineChars="200"/>
        <w:rPr>
          <w:rFonts w:ascii="宋体" w:hAnsi="Times New Roman"/>
          <w:color w:val="auto"/>
          <w:szCs w:val="21"/>
        </w:rPr>
      </w:pPr>
      <w:r>
        <w:rPr>
          <w:rFonts w:hint="eastAsia" w:ascii="宋体" w:hAnsi="Times New Roman"/>
          <w:color w:val="auto"/>
          <w:szCs w:val="21"/>
        </w:rPr>
        <w:t>承包人：</w:t>
      </w:r>
      <w:r>
        <w:rPr>
          <w:rFonts w:hint="eastAsia" w:ascii="宋体" w:hAnsi="Times New Roman"/>
          <w:color w:val="auto"/>
          <w:szCs w:val="21"/>
          <w:u w:val="single"/>
        </w:rPr>
        <w:t xml:space="preserve"> </w:t>
      </w:r>
      <w:r>
        <w:rPr>
          <w:rFonts w:hint="eastAsia" w:ascii="宋体" w:hAnsi="Times New Roman"/>
          <w:color w:val="auto"/>
          <w:szCs w:val="21"/>
          <w:u w:val="single"/>
          <w:lang w:val="en-US" w:eastAsia="zh-CN"/>
        </w:rPr>
        <w:t>************</w:t>
      </w:r>
      <w:r>
        <w:rPr>
          <w:rFonts w:hint="eastAsia" w:ascii="宋体" w:hAnsi="Times New Roman"/>
          <w:color w:val="auto"/>
          <w:szCs w:val="21"/>
          <w:lang w:val="en-US" w:eastAsia="zh-CN"/>
        </w:rPr>
        <w:t xml:space="preserve"> </w:t>
      </w:r>
    </w:p>
    <w:p w14:paraId="7419DDAA">
      <w:pPr>
        <w:pStyle w:val="37"/>
        <w:spacing w:line="360" w:lineRule="auto"/>
        <w:rPr>
          <w:rFonts w:ascii="宋体" w:hAnsi="Times New Roman"/>
          <w:color w:val="auto"/>
          <w:szCs w:val="21"/>
        </w:rPr>
      </w:pPr>
    </w:p>
    <w:p w14:paraId="32DD9B2B">
      <w:pPr>
        <w:pStyle w:val="37"/>
        <w:spacing w:line="360" w:lineRule="auto"/>
        <w:ind w:firstLine="420" w:firstLineChars="200"/>
        <w:rPr>
          <w:rFonts w:ascii="宋体" w:hAnsi="Times New Roman"/>
          <w:color w:val="auto"/>
          <w:szCs w:val="21"/>
        </w:rPr>
      </w:pPr>
      <w:r>
        <w:rPr>
          <w:rFonts w:hint="eastAsia" w:ascii="宋体" w:hAnsi="宋体" w:cs="宋体"/>
          <w:color w:val="auto"/>
          <w:szCs w:val="21"/>
        </w:rPr>
        <w:t>发包人和承包人根据《中华人民共和国建筑法》和《建设工程质量管理条例》，经协商一致就</w:t>
      </w:r>
      <w:r>
        <w:rPr>
          <w:rFonts w:ascii="宋体" w:hAnsi="宋体" w:cs="宋体"/>
          <w:color w:val="auto"/>
          <w:szCs w:val="21"/>
          <w:u w:val="single"/>
        </w:rPr>
        <w:t xml:space="preserve">  </w:t>
      </w:r>
      <w:r>
        <w:rPr>
          <w:rFonts w:hint="eastAsia" w:hAnsi="宋体"/>
          <w:color w:val="auto"/>
          <w:sz w:val="22"/>
          <w:u w:val="single"/>
          <w:lang w:val="en-US" w:eastAsia="zh-CN"/>
        </w:rPr>
        <w:t>**************</w:t>
      </w:r>
      <w:r>
        <w:rPr>
          <w:rFonts w:ascii="宋体" w:hAnsi="宋体" w:cs="宋体"/>
          <w:color w:val="auto"/>
          <w:szCs w:val="21"/>
          <w:u w:val="single"/>
        </w:rPr>
        <w:t xml:space="preserve">  </w:t>
      </w:r>
      <w:r>
        <w:rPr>
          <w:rFonts w:hint="eastAsia" w:ascii="宋体" w:hAnsi="宋体" w:cs="宋体"/>
          <w:color w:val="auto"/>
          <w:szCs w:val="21"/>
        </w:rPr>
        <w:t>（工程全称）签订工程质量保修书。</w:t>
      </w:r>
    </w:p>
    <w:p w14:paraId="0892F182">
      <w:pPr>
        <w:pStyle w:val="37"/>
        <w:spacing w:line="360" w:lineRule="auto"/>
        <w:ind w:firstLine="420" w:firstLineChars="200"/>
        <w:rPr>
          <w:rFonts w:ascii="黑体" w:hAnsi="宋体" w:eastAsia="黑体"/>
          <w:color w:val="auto"/>
          <w:szCs w:val="21"/>
        </w:rPr>
      </w:pPr>
      <w:r>
        <w:rPr>
          <w:rFonts w:hint="eastAsia" w:ascii="黑体" w:hAnsi="宋体" w:eastAsia="黑体" w:cs="黑体"/>
          <w:color w:val="auto"/>
          <w:szCs w:val="21"/>
        </w:rPr>
        <w:t>一、工程质量保修范围和内容</w:t>
      </w:r>
    </w:p>
    <w:p w14:paraId="404B714E">
      <w:pPr>
        <w:pStyle w:val="37"/>
        <w:spacing w:line="360" w:lineRule="auto"/>
        <w:ind w:firstLine="420" w:firstLineChars="200"/>
        <w:rPr>
          <w:rFonts w:ascii="宋体" w:hAnsi="Times New Roman"/>
          <w:color w:val="auto"/>
          <w:szCs w:val="21"/>
        </w:rPr>
      </w:pPr>
      <w:r>
        <w:rPr>
          <w:rFonts w:hint="eastAsia" w:ascii="宋体" w:hAnsi="宋体" w:cs="宋体"/>
          <w:color w:val="auto"/>
          <w:szCs w:val="21"/>
        </w:rPr>
        <w:t>承包人在质量保修期内，按照有关法律规定和合同约定，承担工程质量保修责任。</w:t>
      </w:r>
    </w:p>
    <w:p w14:paraId="45B9A540">
      <w:pPr>
        <w:pStyle w:val="37"/>
        <w:spacing w:line="360" w:lineRule="auto"/>
        <w:ind w:firstLine="420" w:firstLineChars="200"/>
        <w:rPr>
          <w:rFonts w:ascii="宋体" w:hAnsi="Times New Roman"/>
          <w:color w:val="auto"/>
          <w:szCs w:val="21"/>
        </w:rPr>
      </w:pPr>
      <w:r>
        <w:rPr>
          <w:rFonts w:hint="eastAsia" w:ascii="宋体" w:hAnsi="宋体" w:cs="宋体"/>
          <w:color w:val="auto"/>
          <w:szCs w:val="21"/>
        </w:rPr>
        <w:t>质量保修范围包括</w:t>
      </w:r>
      <w:r>
        <w:rPr>
          <w:rFonts w:ascii="宋体" w:hAnsi="宋体" w:cs="宋体"/>
          <w:color w:val="auto"/>
          <w:szCs w:val="21"/>
          <w:u w:val="single"/>
        </w:rPr>
        <w:t xml:space="preserve">  </w:t>
      </w:r>
      <w:r>
        <w:rPr>
          <w:rFonts w:hint="eastAsia" w:ascii="宋体" w:hAnsi="宋体" w:cs="宋体"/>
          <w:color w:val="auto"/>
          <w:szCs w:val="21"/>
          <w:u w:val="single"/>
          <w:lang w:val="en-US" w:eastAsia="zh-CN"/>
        </w:rPr>
        <w:t>***********</w:t>
      </w:r>
      <w:r>
        <w:rPr>
          <w:rFonts w:hint="eastAsia" w:hAnsi="宋体"/>
          <w:bCs/>
          <w:color w:val="auto"/>
          <w:sz w:val="22"/>
          <w:u w:val="single"/>
          <w:lang w:val="en-US" w:eastAsia="zh-CN"/>
        </w:rPr>
        <w:t>，</w:t>
      </w:r>
      <w:r>
        <w:rPr>
          <w:rFonts w:hint="eastAsia" w:ascii="宋体" w:hAnsi="宋体" w:cs="宋体"/>
          <w:color w:val="auto"/>
          <w:szCs w:val="21"/>
          <w:u w:val="single"/>
          <w:lang w:eastAsia="zh-CN"/>
        </w:rPr>
        <w:t>详见施工</w:t>
      </w:r>
      <w:r>
        <w:rPr>
          <w:rFonts w:hint="eastAsia" w:ascii="宋体" w:hAnsi="宋体" w:cs="宋体"/>
          <w:color w:val="auto"/>
          <w:szCs w:val="21"/>
          <w:u w:val="single"/>
        </w:rPr>
        <w:t>图纸及工程量清单</w:t>
      </w:r>
      <w:r>
        <w:rPr>
          <w:rFonts w:hAnsi="宋体"/>
          <w:color w:val="auto"/>
          <w:sz w:val="22"/>
        </w:rPr>
        <w:t>。</w:t>
      </w:r>
      <w:r>
        <w:rPr>
          <w:rFonts w:hint="eastAsia" w:ascii="宋体" w:hAnsi="宋体" w:cs="宋体"/>
          <w:color w:val="auto"/>
          <w:szCs w:val="21"/>
        </w:rPr>
        <w:t>以及双方约定的其他项目。具体保修的内容，双方约定如下：</w:t>
      </w:r>
    </w:p>
    <w:p w14:paraId="2559AC76">
      <w:pPr>
        <w:pStyle w:val="37"/>
        <w:spacing w:line="360" w:lineRule="auto"/>
        <w:ind w:firstLine="420" w:firstLineChars="200"/>
        <w:rPr>
          <w:rFonts w:ascii="宋体" w:hAnsi="Times New Roman"/>
          <w:color w:val="auto"/>
          <w:szCs w:val="21"/>
        </w:rPr>
      </w:pPr>
      <w:r>
        <w:rPr>
          <w:rFonts w:ascii="宋体" w:hAnsi="宋体" w:cs="宋体"/>
          <w:color w:val="auto"/>
          <w:szCs w:val="21"/>
          <w:u w:val="single"/>
        </w:rPr>
        <w:t xml:space="preserve">                                                                                                                                                        </w:t>
      </w:r>
      <w:r>
        <w:rPr>
          <w:rFonts w:hint="eastAsia" w:ascii="宋体" w:hAnsi="宋体" w:cs="宋体"/>
          <w:color w:val="auto"/>
          <w:szCs w:val="21"/>
        </w:rPr>
        <w:t>。</w:t>
      </w:r>
    </w:p>
    <w:p w14:paraId="49CF896F">
      <w:pPr>
        <w:pStyle w:val="37"/>
        <w:spacing w:line="360" w:lineRule="auto"/>
        <w:ind w:firstLine="420" w:firstLineChars="200"/>
        <w:rPr>
          <w:rFonts w:ascii="黑体" w:hAnsi="宋体" w:eastAsia="黑体"/>
          <w:color w:val="auto"/>
          <w:szCs w:val="21"/>
        </w:rPr>
      </w:pPr>
      <w:r>
        <w:rPr>
          <w:rFonts w:hint="eastAsia" w:ascii="黑体" w:hAnsi="宋体" w:eastAsia="黑体" w:cs="黑体"/>
          <w:color w:val="auto"/>
          <w:szCs w:val="21"/>
        </w:rPr>
        <w:t>二、质量保修期</w:t>
      </w:r>
    </w:p>
    <w:p w14:paraId="7D5A21BA">
      <w:pPr>
        <w:pStyle w:val="37"/>
        <w:spacing w:line="360" w:lineRule="auto"/>
        <w:ind w:firstLine="420" w:firstLineChars="200"/>
        <w:rPr>
          <w:rFonts w:ascii="宋体" w:hAnsi="Times New Roman"/>
          <w:color w:val="auto"/>
          <w:szCs w:val="21"/>
        </w:rPr>
      </w:pPr>
      <w:r>
        <w:rPr>
          <w:rFonts w:hint="eastAsia" w:ascii="宋体" w:hAnsi="宋体" w:cs="宋体"/>
          <w:color w:val="auto"/>
          <w:szCs w:val="21"/>
        </w:rPr>
        <w:t>根据《建设工程质量管理条例》及有关规定，工程的质量保修期如下：</w:t>
      </w:r>
    </w:p>
    <w:p w14:paraId="407945BE">
      <w:pPr>
        <w:pStyle w:val="37"/>
        <w:spacing w:line="360" w:lineRule="auto"/>
        <w:ind w:firstLine="420" w:firstLineChars="200"/>
        <w:rPr>
          <w:rFonts w:ascii="Times New Roman" w:hAnsi="Times New Roman"/>
          <w:color w:val="auto"/>
          <w:szCs w:val="21"/>
        </w:rPr>
      </w:pPr>
      <w:r>
        <w:rPr>
          <w:rFonts w:ascii="宋体" w:hAnsi="宋体" w:cs="宋体"/>
          <w:color w:val="auto"/>
          <w:szCs w:val="21"/>
        </w:rPr>
        <w:t>1</w:t>
      </w:r>
      <w:r>
        <w:rPr>
          <w:rFonts w:hint="eastAsia" w:ascii="宋体" w:hAnsi="宋体" w:cs="宋体"/>
          <w:color w:val="auto"/>
          <w:szCs w:val="21"/>
        </w:rPr>
        <w:t>．</w:t>
      </w:r>
      <w:r>
        <w:rPr>
          <w:rFonts w:hint="eastAsia" w:ascii="Times New Roman" w:hAnsi="Times New Roman" w:cs="宋体"/>
          <w:color w:val="auto"/>
          <w:szCs w:val="21"/>
        </w:rPr>
        <w:t>桥梁工程为</w:t>
      </w:r>
      <w:r>
        <w:rPr>
          <w:rFonts w:ascii="Times New Roman" w:hAnsi="Times New Roman"/>
          <w:color w:val="auto"/>
          <w:szCs w:val="21"/>
          <w:u w:val="single"/>
        </w:rPr>
        <w:t xml:space="preserve">     </w:t>
      </w:r>
      <w:r>
        <w:rPr>
          <w:rFonts w:hint="eastAsia" w:ascii="Times New Roman" w:hAnsi="Times New Roman" w:cs="宋体"/>
          <w:color w:val="auto"/>
          <w:szCs w:val="21"/>
        </w:rPr>
        <w:t>年（建议桥梁隧道主体结构工程为设计文件规定的合理使用年限）；</w:t>
      </w:r>
    </w:p>
    <w:p w14:paraId="25F1C809">
      <w:pPr>
        <w:pStyle w:val="37"/>
        <w:spacing w:line="360" w:lineRule="auto"/>
        <w:ind w:firstLine="420" w:firstLineChars="200"/>
        <w:rPr>
          <w:rFonts w:ascii="Times New Roman" w:hAnsi="Times New Roman"/>
          <w:color w:val="auto"/>
          <w:szCs w:val="21"/>
        </w:rPr>
      </w:pPr>
      <w:r>
        <w:rPr>
          <w:rFonts w:ascii="Times New Roman" w:hAnsi="Times New Roman"/>
          <w:color w:val="auto"/>
          <w:szCs w:val="21"/>
        </w:rPr>
        <w:t>2</w:t>
      </w:r>
      <w:r>
        <w:rPr>
          <w:rFonts w:hint="eastAsia" w:ascii="宋体" w:hAnsi="宋体" w:cs="宋体"/>
          <w:color w:val="auto"/>
          <w:szCs w:val="21"/>
        </w:rPr>
        <w:t>．</w:t>
      </w:r>
      <w:r>
        <w:rPr>
          <w:rFonts w:hint="eastAsia" w:ascii="Times New Roman" w:hAnsi="Times New Roman" w:cs="宋体"/>
          <w:color w:val="auto"/>
          <w:szCs w:val="21"/>
        </w:rPr>
        <w:t>道路工程为</w:t>
      </w:r>
      <w:r>
        <w:rPr>
          <w:rFonts w:ascii="Times New Roman" w:hAnsi="Times New Roman"/>
          <w:color w:val="auto"/>
          <w:szCs w:val="21"/>
          <w:u w:val="single"/>
        </w:rPr>
        <w:t xml:space="preserve">     </w:t>
      </w:r>
      <w:r>
        <w:rPr>
          <w:rFonts w:hint="eastAsia" w:ascii="Times New Roman" w:hAnsi="Times New Roman" w:cs="宋体"/>
          <w:color w:val="auto"/>
          <w:szCs w:val="21"/>
        </w:rPr>
        <w:t>年（建议路基、路面、桥面为</w:t>
      </w:r>
      <w:r>
        <w:rPr>
          <w:rFonts w:ascii="Times New Roman" w:hAnsi="Times New Roman"/>
          <w:color w:val="auto"/>
          <w:szCs w:val="21"/>
        </w:rPr>
        <w:t>2</w:t>
      </w:r>
      <w:r>
        <w:rPr>
          <w:rFonts w:hint="eastAsia" w:ascii="Times New Roman" w:hAnsi="Times New Roman" w:cs="宋体"/>
          <w:color w:val="auto"/>
          <w:szCs w:val="21"/>
        </w:rPr>
        <w:t>年）；</w:t>
      </w:r>
    </w:p>
    <w:p w14:paraId="74C2F03F">
      <w:pPr>
        <w:pStyle w:val="37"/>
        <w:spacing w:line="360" w:lineRule="auto"/>
        <w:ind w:firstLine="420" w:firstLineChars="200"/>
        <w:rPr>
          <w:rFonts w:ascii="Times New Roman" w:hAnsi="Times New Roman"/>
          <w:color w:val="auto"/>
          <w:szCs w:val="21"/>
        </w:rPr>
      </w:pPr>
      <w:r>
        <w:rPr>
          <w:rFonts w:ascii="Times New Roman" w:hAnsi="Times New Roman"/>
          <w:color w:val="auto"/>
          <w:szCs w:val="21"/>
        </w:rPr>
        <w:t>3</w:t>
      </w:r>
      <w:r>
        <w:rPr>
          <w:rFonts w:hint="eastAsia" w:ascii="宋体" w:hAnsi="宋体" w:cs="宋体"/>
          <w:color w:val="auto"/>
          <w:szCs w:val="21"/>
        </w:rPr>
        <w:t>．</w:t>
      </w:r>
      <w:r>
        <w:rPr>
          <w:rFonts w:hint="eastAsia" w:ascii="Times New Roman" w:hAnsi="Times New Roman" w:cs="宋体"/>
          <w:color w:val="auto"/>
          <w:szCs w:val="21"/>
        </w:rPr>
        <w:t>排水（雨水）工程为</w:t>
      </w:r>
      <w:r>
        <w:rPr>
          <w:rFonts w:ascii="Times New Roman" w:hAnsi="Times New Roman"/>
          <w:color w:val="auto"/>
          <w:szCs w:val="21"/>
          <w:u w:val="single"/>
        </w:rPr>
        <w:t xml:space="preserve">     </w:t>
      </w:r>
      <w:r>
        <w:rPr>
          <w:rFonts w:hint="eastAsia" w:ascii="Times New Roman" w:hAnsi="Times New Roman" w:cs="宋体"/>
          <w:color w:val="auto"/>
          <w:szCs w:val="21"/>
        </w:rPr>
        <w:t>年（建议道路工程中的排水工程为</w:t>
      </w:r>
      <w:r>
        <w:rPr>
          <w:rFonts w:ascii="Times New Roman" w:hAnsi="Times New Roman"/>
          <w:color w:val="auto"/>
          <w:szCs w:val="21"/>
        </w:rPr>
        <w:t>3</w:t>
      </w:r>
      <w:r>
        <w:rPr>
          <w:rFonts w:hint="eastAsia" w:ascii="Times New Roman" w:hAnsi="Times New Roman" w:cs="宋体"/>
          <w:color w:val="auto"/>
          <w:szCs w:val="21"/>
        </w:rPr>
        <w:t>年）；</w:t>
      </w:r>
    </w:p>
    <w:p w14:paraId="47FD891B">
      <w:pPr>
        <w:pStyle w:val="37"/>
        <w:spacing w:line="360" w:lineRule="auto"/>
        <w:ind w:firstLine="420" w:firstLineChars="200"/>
        <w:rPr>
          <w:rFonts w:ascii="Times New Roman" w:hAnsi="Times New Roman"/>
          <w:color w:val="auto"/>
          <w:szCs w:val="21"/>
        </w:rPr>
      </w:pPr>
      <w:r>
        <w:rPr>
          <w:rFonts w:ascii="Times New Roman" w:hAnsi="Times New Roman"/>
          <w:color w:val="auto"/>
          <w:szCs w:val="21"/>
        </w:rPr>
        <w:t>4</w:t>
      </w:r>
      <w:r>
        <w:rPr>
          <w:rFonts w:hint="eastAsia" w:ascii="宋体" w:hAnsi="宋体" w:cs="宋体"/>
          <w:color w:val="auto"/>
          <w:szCs w:val="21"/>
        </w:rPr>
        <w:t>．</w:t>
      </w:r>
      <w:r>
        <w:rPr>
          <w:rFonts w:hint="eastAsia" w:ascii="Times New Roman" w:hAnsi="Times New Roman" w:cs="宋体"/>
          <w:color w:val="auto"/>
          <w:szCs w:val="21"/>
        </w:rPr>
        <w:t>绿化工程为</w:t>
      </w:r>
      <w:r>
        <w:rPr>
          <w:rFonts w:ascii="Times New Roman" w:hAnsi="Times New Roman"/>
          <w:color w:val="auto"/>
          <w:szCs w:val="21"/>
        </w:rPr>
        <w:t xml:space="preserve"> </w:t>
      </w:r>
      <w:r>
        <w:rPr>
          <w:rFonts w:hint="eastAsia" w:ascii="Times New Roman" w:hAnsi="Times New Roman" w:cs="宋体"/>
          <w:color w:val="auto"/>
          <w:szCs w:val="21"/>
          <w:u w:val="single"/>
        </w:rPr>
        <w:t>单位工程竣工验收合格后</w:t>
      </w:r>
      <w:r>
        <w:rPr>
          <w:rFonts w:ascii="Times New Roman" w:hAnsi="Times New Roman"/>
          <w:color w:val="auto"/>
          <w:szCs w:val="21"/>
          <w:u w:val="single"/>
        </w:rPr>
        <w:t xml:space="preserve">    </w:t>
      </w:r>
      <w:r>
        <w:rPr>
          <w:rFonts w:hint="eastAsia" w:ascii="Times New Roman" w:hAnsi="Times New Roman" w:cs="宋体"/>
          <w:color w:val="auto"/>
          <w:szCs w:val="21"/>
          <w:u w:val="single"/>
        </w:rPr>
        <w:t>年</w:t>
      </w:r>
      <w:r>
        <w:rPr>
          <w:rFonts w:hint="eastAsia" w:ascii="Times New Roman" w:hAnsi="Times New Roman" w:cs="宋体"/>
          <w:color w:val="auto"/>
          <w:szCs w:val="21"/>
        </w:rPr>
        <w:t>；</w:t>
      </w:r>
    </w:p>
    <w:p w14:paraId="36100A04">
      <w:pPr>
        <w:pStyle w:val="37"/>
        <w:spacing w:line="360" w:lineRule="auto"/>
        <w:ind w:firstLine="420" w:firstLineChars="200"/>
        <w:rPr>
          <w:rFonts w:ascii="Times New Roman" w:hAnsi="Times New Roman"/>
          <w:color w:val="auto"/>
          <w:szCs w:val="21"/>
        </w:rPr>
      </w:pPr>
      <w:r>
        <w:rPr>
          <w:rFonts w:ascii="Times New Roman" w:hAnsi="Times New Roman"/>
          <w:color w:val="auto"/>
          <w:szCs w:val="21"/>
        </w:rPr>
        <w:t xml:space="preserve">5.  </w:t>
      </w:r>
      <w:r>
        <w:rPr>
          <w:rFonts w:hint="eastAsia" w:ascii="Times New Roman" w:hAnsi="Times New Roman" w:cs="宋体"/>
          <w:color w:val="auto"/>
          <w:szCs w:val="21"/>
        </w:rPr>
        <w:t>地下防水工程为</w:t>
      </w:r>
      <w:r>
        <w:rPr>
          <w:rFonts w:ascii="Times New Roman" w:hAnsi="Times New Roman"/>
          <w:color w:val="auto"/>
          <w:szCs w:val="21"/>
          <w:u w:val="single"/>
        </w:rPr>
        <w:t xml:space="preserve">     </w:t>
      </w:r>
      <w:r>
        <w:rPr>
          <w:rFonts w:hint="eastAsia" w:ascii="Times New Roman" w:hAnsi="Times New Roman" w:cs="宋体"/>
          <w:color w:val="auto"/>
          <w:szCs w:val="21"/>
        </w:rPr>
        <w:t>年（建议为</w:t>
      </w:r>
      <w:r>
        <w:rPr>
          <w:rFonts w:ascii="Times New Roman" w:hAnsi="Times New Roman"/>
          <w:color w:val="auto"/>
          <w:szCs w:val="21"/>
        </w:rPr>
        <w:t>5</w:t>
      </w:r>
      <w:r>
        <w:rPr>
          <w:rFonts w:hint="eastAsia" w:ascii="Times New Roman" w:hAnsi="Times New Roman" w:cs="宋体"/>
          <w:color w:val="auto"/>
          <w:szCs w:val="21"/>
        </w:rPr>
        <w:t>年）；</w:t>
      </w:r>
    </w:p>
    <w:p w14:paraId="2D1BB2E6">
      <w:pPr>
        <w:pStyle w:val="37"/>
        <w:spacing w:line="360" w:lineRule="auto"/>
        <w:ind w:firstLine="420" w:firstLineChars="200"/>
        <w:rPr>
          <w:rFonts w:ascii="Times New Roman" w:hAnsi="Times New Roman"/>
          <w:color w:val="auto"/>
          <w:szCs w:val="21"/>
        </w:rPr>
      </w:pPr>
      <w:r>
        <w:rPr>
          <w:rFonts w:ascii="Times New Roman" w:hAnsi="Times New Roman"/>
          <w:color w:val="auto"/>
          <w:szCs w:val="21"/>
        </w:rPr>
        <w:t>6</w:t>
      </w:r>
      <w:r>
        <w:rPr>
          <w:rFonts w:hint="eastAsia" w:ascii="宋体" w:hAnsi="宋体" w:cs="宋体"/>
          <w:color w:val="auto"/>
          <w:szCs w:val="21"/>
        </w:rPr>
        <w:t>．</w:t>
      </w:r>
      <w:r>
        <w:rPr>
          <w:rFonts w:hint="eastAsia" w:ascii="Times New Roman" w:hAnsi="Times New Roman" w:cs="宋体"/>
          <w:color w:val="auto"/>
          <w:szCs w:val="21"/>
        </w:rPr>
        <w:t>其他附属工程为</w:t>
      </w:r>
      <w:r>
        <w:rPr>
          <w:rFonts w:ascii="Times New Roman" w:hAnsi="Times New Roman"/>
          <w:color w:val="auto"/>
          <w:szCs w:val="21"/>
          <w:u w:val="single"/>
        </w:rPr>
        <w:t xml:space="preserve">  </w:t>
      </w:r>
      <w:r>
        <w:rPr>
          <w:rFonts w:hint="eastAsia" w:ascii="Times New Roman" w:hAnsi="Times New Roman"/>
          <w:color w:val="auto"/>
          <w:szCs w:val="21"/>
          <w:u w:val="single"/>
          <w:lang w:val="en-US" w:eastAsia="zh-CN"/>
        </w:rPr>
        <w:t>2</w:t>
      </w:r>
      <w:r>
        <w:rPr>
          <w:rFonts w:ascii="Times New Roman" w:hAnsi="Times New Roman"/>
          <w:color w:val="auto"/>
          <w:szCs w:val="21"/>
          <w:u w:val="single"/>
        </w:rPr>
        <w:t xml:space="preserve">    </w:t>
      </w:r>
      <w:r>
        <w:rPr>
          <w:rFonts w:hint="eastAsia" w:ascii="Times New Roman" w:hAnsi="Times New Roman" w:cs="宋体"/>
          <w:color w:val="auto"/>
          <w:szCs w:val="21"/>
        </w:rPr>
        <w:t>年</w:t>
      </w:r>
      <w:r>
        <w:rPr>
          <w:rFonts w:hint="eastAsia" w:ascii="Times New Roman" w:hAnsi="Times New Roman" w:cs="宋体"/>
          <w:color w:val="auto"/>
          <w:szCs w:val="21"/>
          <w:lang w:eastAsia="zh-CN"/>
        </w:rPr>
        <w:t>（</w:t>
      </w:r>
      <w:r>
        <w:rPr>
          <w:rFonts w:hint="eastAsia" w:hAnsi="宋体"/>
          <w:bCs/>
          <w:color w:val="auto"/>
          <w:sz w:val="22"/>
          <w:u w:val="single"/>
          <w:lang w:val="en-US" w:eastAsia="zh-CN"/>
        </w:rPr>
        <w:t>运动场翻新改造工程</w:t>
      </w:r>
      <w:r>
        <w:rPr>
          <w:rFonts w:hint="eastAsia" w:ascii="Times New Roman" w:hAnsi="Times New Roman" w:cs="宋体"/>
          <w:color w:val="auto"/>
          <w:szCs w:val="21"/>
          <w:lang w:eastAsia="zh-CN"/>
        </w:rPr>
        <w:t>）</w:t>
      </w:r>
      <w:r>
        <w:rPr>
          <w:rFonts w:hint="eastAsia" w:ascii="Times New Roman" w:hAnsi="Times New Roman" w:cs="宋体"/>
          <w:color w:val="auto"/>
          <w:szCs w:val="21"/>
        </w:rPr>
        <w:t>；</w:t>
      </w:r>
    </w:p>
    <w:p w14:paraId="6AB99547">
      <w:pPr>
        <w:pStyle w:val="37"/>
        <w:spacing w:line="360" w:lineRule="auto"/>
        <w:ind w:firstLine="420" w:firstLineChars="200"/>
        <w:rPr>
          <w:rFonts w:ascii="宋体" w:hAnsi="Times New Roman"/>
          <w:color w:val="auto"/>
          <w:szCs w:val="21"/>
        </w:rPr>
      </w:pPr>
      <w:r>
        <w:rPr>
          <w:rFonts w:ascii="宋体" w:hAnsi="宋体" w:cs="宋体"/>
          <w:color w:val="auto"/>
          <w:szCs w:val="21"/>
        </w:rPr>
        <w:t>7</w:t>
      </w:r>
      <w:r>
        <w:rPr>
          <w:rFonts w:hint="eastAsia" w:ascii="宋体" w:hAnsi="宋体" w:cs="宋体"/>
          <w:color w:val="auto"/>
          <w:szCs w:val="21"/>
        </w:rPr>
        <w:t>．其他项目保修期限约定如下：</w:t>
      </w:r>
    </w:p>
    <w:p w14:paraId="38EA9BF1">
      <w:pPr>
        <w:pStyle w:val="37"/>
        <w:spacing w:line="360" w:lineRule="auto"/>
        <w:ind w:firstLine="420" w:firstLineChars="200"/>
        <w:rPr>
          <w:rFonts w:ascii="宋体" w:hAnsi="Times New Roman"/>
          <w:color w:val="auto"/>
          <w:szCs w:val="21"/>
        </w:rPr>
      </w:pPr>
      <w:r>
        <w:rPr>
          <w:rFonts w:ascii="宋体" w:hAnsi="宋体" w:cs="宋体"/>
          <w:color w:val="auto"/>
          <w:szCs w:val="21"/>
          <w:u w:val="single"/>
        </w:rPr>
        <w:t xml:space="preserve">                                                                                                                                                              </w:t>
      </w:r>
      <w:r>
        <w:rPr>
          <w:rFonts w:hint="eastAsia" w:ascii="宋体" w:hAnsi="宋体" w:cs="宋体"/>
          <w:color w:val="auto"/>
          <w:szCs w:val="21"/>
        </w:rPr>
        <w:t>。</w:t>
      </w:r>
    </w:p>
    <w:p w14:paraId="56A465F5">
      <w:pPr>
        <w:pStyle w:val="37"/>
        <w:spacing w:line="360" w:lineRule="auto"/>
        <w:ind w:firstLine="420" w:firstLineChars="200"/>
        <w:rPr>
          <w:rFonts w:ascii="宋体" w:hAnsi="Times New Roman"/>
          <w:color w:val="auto"/>
          <w:szCs w:val="21"/>
        </w:rPr>
      </w:pPr>
      <w:r>
        <w:rPr>
          <w:rFonts w:hint="eastAsia" w:ascii="宋体" w:hAnsi="宋体" w:cs="宋体"/>
          <w:color w:val="auto"/>
          <w:szCs w:val="21"/>
        </w:rPr>
        <w:t>质量保修期自工程竣工验收合格之日起计算。</w:t>
      </w:r>
    </w:p>
    <w:p w14:paraId="1319AF76">
      <w:pPr>
        <w:pStyle w:val="37"/>
        <w:spacing w:line="360" w:lineRule="auto"/>
        <w:ind w:firstLine="420" w:firstLineChars="200"/>
        <w:rPr>
          <w:rFonts w:ascii="黑体" w:hAnsi="宋体" w:eastAsia="黑体"/>
          <w:color w:val="auto"/>
          <w:szCs w:val="21"/>
        </w:rPr>
      </w:pPr>
      <w:r>
        <w:rPr>
          <w:rFonts w:hint="eastAsia" w:ascii="黑体" w:hAnsi="宋体" w:eastAsia="黑体" w:cs="黑体"/>
          <w:color w:val="auto"/>
          <w:szCs w:val="21"/>
        </w:rPr>
        <w:t>三、缺陷责任期</w:t>
      </w:r>
    </w:p>
    <w:p w14:paraId="5A4D84D9">
      <w:pPr>
        <w:pStyle w:val="37"/>
        <w:spacing w:line="360" w:lineRule="auto"/>
        <w:ind w:firstLine="420" w:firstLineChars="200"/>
        <w:rPr>
          <w:rFonts w:ascii="宋体" w:hAnsi="Times New Roman"/>
          <w:color w:val="auto"/>
          <w:szCs w:val="21"/>
        </w:rPr>
      </w:pPr>
      <w:r>
        <w:rPr>
          <w:rFonts w:hint="eastAsia" w:ascii="宋体" w:hAnsi="宋体" w:cs="宋体"/>
          <w:color w:val="auto"/>
          <w:szCs w:val="21"/>
        </w:rPr>
        <w:t>工程缺陷责任期为</w:t>
      </w:r>
      <w:r>
        <w:rPr>
          <w:rFonts w:ascii="宋体" w:hAnsi="宋体" w:cs="宋体"/>
          <w:color w:val="auto"/>
          <w:szCs w:val="21"/>
          <w:u w:val="single"/>
        </w:rPr>
        <w:t xml:space="preserve">  </w:t>
      </w:r>
      <w:r>
        <w:rPr>
          <w:rFonts w:hint="eastAsia" w:ascii="宋体" w:hAnsi="宋体" w:cs="宋体"/>
          <w:color w:val="auto"/>
          <w:szCs w:val="21"/>
          <w:u w:val="single"/>
          <w:lang w:val="en-US" w:eastAsia="zh-CN"/>
        </w:rPr>
        <w:t>24</w:t>
      </w:r>
      <w:r>
        <w:rPr>
          <w:rFonts w:ascii="宋体" w:hAnsi="宋体" w:cs="宋体"/>
          <w:color w:val="auto"/>
          <w:szCs w:val="21"/>
          <w:u w:val="single"/>
        </w:rPr>
        <w:t xml:space="preserve"> </w:t>
      </w:r>
      <w:r>
        <w:rPr>
          <w:rFonts w:hint="eastAsia" w:ascii="宋体" w:hAnsi="宋体" w:cs="宋体"/>
          <w:color w:val="auto"/>
          <w:szCs w:val="21"/>
        </w:rPr>
        <w:t>个月</w:t>
      </w:r>
      <w:r>
        <w:rPr>
          <w:rFonts w:hint="eastAsia" w:ascii="Times New Roman" w:hAnsi="宋体" w:cs="宋体"/>
          <w:color w:val="auto"/>
          <w:szCs w:val="21"/>
        </w:rPr>
        <w:t>（最长不超过</w:t>
      </w:r>
      <w:r>
        <w:rPr>
          <w:rFonts w:ascii="Times New Roman" w:hAnsi="宋体"/>
          <w:color w:val="auto"/>
          <w:szCs w:val="21"/>
        </w:rPr>
        <w:t>24</w:t>
      </w:r>
      <w:r>
        <w:rPr>
          <w:rFonts w:hint="eastAsia" w:ascii="Times New Roman" w:hAnsi="宋体" w:cs="宋体"/>
          <w:color w:val="auto"/>
          <w:szCs w:val="21"/>
        </w:rPr>
        <w:t>个月）</w:t>
      </w:r>
      <w:r>
        <w:rPr>
          <w:rFonts w:hint="eastAsia" w:ascii="宋体" w:hAnsi="宋体" w:cs="宋体"/>
          <w:color w:val="auto"/>
          <w:szCs w:val="21"/>
        </w:rPr>
        <w:t>，缺陷责任期自工程竣工验收合格之日起计算。单位工程先于全部工程进行验收，单位工程缺陷责任期自单位工程验收合格之日起算。</w:t>
      </w:r>
    </w:p>
    <w:p w14:paraId="3EED0A43">
      <w:pPr>
        <w:pStyle w:val="37"/>
        <w:spacing w:line="360" w:lineRule="auto"/>
        <w:ind w:firstLine="420" w:firstLineChars="200"/>
        <w:rPr>
          <w:rFonts w:ascii="宋体" w:hAnsi="Times New Roman"/>
          <w:color w:val="auto"/>
          <w:szCs w:val="21"/>
        </w:rPr>
      </w:pPr>
      <w:r>
        <w:rPr>
          <w:rFonts w:hint="eastAsia" w:ascii="宋体" w:hAnsi="宋体" w:cs="宋体"/>
          <w:color w:val="auto"/>
          <w:szCs w:val="21"/>
        </w:rPr>
        <w:t>缺陷责任期</w:t>
      </w:r>
      <w:r>
        <w:rPr>
          <w:rFonts w:hint="eastAsia" w:ascii="Times New Roman" w:hAnsi="宋体" w:cs="宋体"/>
          <w:color w:val="auto"/>
          <w:szCs w:val="21"/>
          <w:u w:val="single"/>
        </w:rPr>
        <w:t>满</w:t>
      </w:r>
      <w:r>
        <w:rPr>
          <w:rFonts w:hint="eastAsia" w:ascii="仿宋_GB2312" w:hAnsi="宋体"/>
          <w:color w:val="auto"/>
          <w:szCs w:val="21"/>
        </w:rPr>
        <w:t>之日起</w:t>
      </w:r>
      <w:r>
        <w:rPr>
          <w:rFonts w:hint="eastAsia" w:ascii="仿宋_GB2312" w:hAnsi="宋体"/>
          <w:color w:val="auto"/>
          <w:szCs w:val="21"/>
          <w:u w:val="single"/>
        </w:rPr>
        <w:t xml:space="preserve"> </w:t>
      </w:r>
      <w:r>
        <w:rPr>
          <w:rFonts w:ascii="仿宋_GB2312" w:hAnsi="宋体"/>
          <w:color w:val="auto"/>
          <w:szCs w:val="21"/>
          <w:u w:val="single"/>
        </w:rPr>
        <w:t xml:space="preserve">  </w:t>
      </w:r>
      <w:r>
        <w:rPr>
          <w:rFonts w:hint="eastAsia" w:ascii="仿宋_GB2312" w:hAnsi="宋体"/>
          <w:color w:val="auto"/>
          <w:szCs w:val="21"/>
          <w:u w:val="single"/>
        </w:rPr>
        <w:t xml:space="preserve"> </w:t>
      </w:r>
      <w:r>
        <w:rPr>
          <w:rFonts w:hint="eastAsia" w:ascii="仿宋_GB2312" w:hAnsi="宋体"/>
          <w:color w:val="auto"/>
          <w:szCs w:val="21"/>
        </w:rPr>
        <w:t>天</w:t>
      </w:r>
      <w:r>
        <w:rPr>
          <w:rFonts w:hint="eastAsia" w:ascii="Times New Roman" w:hAnsi="宋体" w:cs="宋体"/>
          <w:color w:val="auto"/>
          <w:szCs w:val="21"/>
          <w:u w:val="single"/>
        </w:rPr>
        <w:t>（按</w:t>
      </w:r>
      <w:r>
        <w:rPr>
          <w:rFonts w:ascii="Times New Roman" w:hAnsi="宋体" w:cs="宋体"/>
          <w:color w:val="auto"/>
          <w:szCs w:val="21"/>
          <w:u w:val="single"/>
        </w:rPr>
        <w:t>合同约定期限）</w:t>
      </w:r>
      <w:r>
        <w:rPr>
          <w:rFonts w:hint="eastAsia" w:ascii="Times New Roman" w:hAnsi="宋体" w:cs="宋体"/>
          <w:color w:val="auto"/>
          <w:szCs w:val="21"/>
          <w:u w:val="single"/>
        </w:rPr>
        <w:t>，</w:t>
      </w:r>
      <w:r>
        <w:rPr>
          <w:rFonts w:hint="eastAsia" w:ascii="宋体" w:hAnsi="宋体" w:cs="宋体"/>
          <w:color w:val="auto"/>
          <w:szCs w:val="21"/>
        </w:rPr>
        <w:t>发包人应退还剩余的质量保证金。</w:t>
      </w:r>
    </w:p>
    <w:p w14:paraId="5AD8B386">
      <w:pPr>
        <w:pStyle w:val="37"/>
        <w:spacing w:line="360" w:lineRule="auto"/>
        <w:ind w:firstLine="420" w:firstLineChars="200"/>
        <w:rPr>
          <w:rFonts w:ascii="黑体" w:hAnsi="宋体" w:eastAsia="黑体"/>
          <w:color w:val="auto"/>
          <w:szCs w:val="21"/>
        </w:rPr>
      </w:pPr>
      <w:r>
        <w:rPr>
          <w:rFonts w:hint="eastAsia" w:ascii="黑体" w:hAnsi="宋体" w:eastAsia="黑体" w:cs="黑体"/>
          <w:color w:val="auto"/>
          <w:szCs w:val="21"/>
        </w:rPr>
        <w:t>四、质量保修责任</w:t>
      </w:r>
    </w:p>
    <w:p w14:paraId="02877DC8">
      <w:pPr>
        <w:pStyle w:val="37"/>
        <w:spacing w:line="360" w:lineRule="auto"/>
        <w:ind w:firstLine="420" w:firstLineChars="200"/>
        <w:rPr>
          <w:rFonts w:ascii="宋体" w:hAnsi="Times New Roman"/>
          <w:color w:val="auto"/>
          <w:szCs w:val="21"/>
        </w:rPr>
      </w:pPr>
      <w:r>
        <w:rPr>
          <w:rFonts w:ascii="宋体" w:hAnsi="宋体" w:cs="宋体"/>
          <w:color w:val="auto"/>
          <w:szCs w:val="21"/>
        </w:rPr>
        <w:t>1</w:t>
      </w:r>
      <w:r>
        <w:rPr>
          <w:rFonts w:hint="eastAsia" w:ascii="宋体" w:hAnsi="宋体" w:cs="宋体"/>
          <w:color w:val="auto"/>
          <w:szCs w:val="21"/>
        </w:rPr>
        <w:t>．属于保修范围、内容的项目，承包人应当在接到保修通知之日起</w:t>
      </w:r>
      <w:r>
        <w:rPr>
          <w:rFonts w:ascii="宋体" w:hAnsi="宋体" w:cs="宋体"/>
          <w:color w:val="auto"/>
          <w:szCs w:val="21"/>
          <w:u w:val="single"/>
        </w:rPr>
        <w:t xml:space="preserve">      </w:t>
      </w:r>
      <w:r>
        <w:rPr>
          <w:rFonts w:hint="eastAsia" w:ascii="宋体" w:hAnsi="宋体" w:cs="宋体"/>
          <w:color w:val="auto"/>
          <w:szCs w:val="21"/>
        </w:rPr>
        <w:t>天内派人保修。承包人不在约定期限内派人保修的，发包人可以委托他人修理</w:t>
      </w:r>
      <w:r>
        <w:rPr>
          <w:rFonts w:hint="eastAsia" w:ascii="Times New Roman" w:hAnsi="宋体" w:cs="宋体"/>
          <w:color w:val="auto"/>
          <w:szCs w:val="21"/>
        </w:rPr>
        <w:t>，修理费用从质量保证金内扣除。</w:t>
      </w:r>
    </w:p>
    <w:p w14:paraId="4F8C4A17">
      <w:pPr>
        <w:pStyle w:val="37"/>
        <w:spacing w:line="360" w:lineRule="auto"/>
        <w:ind w:firstLine="420" w:firstLineChars="200"/>
        <w:rPr>
          <w:rFonts w:ascii="宋体" w:hAnsi="Times New Roman"/>
          <w:color w:val="auto"/>
          <w:szCs w:val="21"/>
        </w:rPr>
      </w:pPr>
      <w:r>
        <w:rPr>
          <w:rFonts w:ascii="宋体" w:hAnsi="宋体" w:cs="宋体"/>
          <w:color w:val="auto"/>
          <w:szCs w:val="21"/>
        </w:rPr>
        <w:t>2</w:t>
      </w:r>
      <w:r>
        <w:rPr>
          <w:rFonts w:hint="eastAsia" w:ascii="宋体" w:hAnsi="宋体" w:cs="宋体"/>
          <w:color w:val="auto"/>
          <w:szCs w:val="21"/>
        </w:rPr>
        <w:t>．发生紧急事故需抢修的，承包人在接到事故通知后，应当立即到达事故现场抢修。</w:t>
      </w:r>
    </w:p>
    <w:p w14:paraId="4315BC2D">
      <w:pPr>
        <w:pStyle w:val="37"/>
        <w:spacing w:line="360" w:lineRule="auto"/>
        <w:ind w:firstLine="420" w:firstLineChars="200"/>
        <w:rPr>
          <w:rFonts w:ascii="宋体" w:hAnsi="Times New Roman"/>
          <w:color w:val="auto"/>
          <w:szCs w:val="21"/>
        </w:rPr>
      </w:pPr>
      <w:r>
        <w:rPr>
          <w:rFonts w:ascii="宋体" w:hAnsi="宋体" w:cs="宋体"/>
          <w:color w:val="auto"/>
          <w:szCs w:val="21"/>
        </w:rPr>
        <w:t>3</w:t>
      </w:r>
      <w:r>
        <w:rPr>
          <w:rFonts w:hint="eastAsia" w:ascii="宋体" w:hAnsi="宋体" w:cs="宋体"/>
          <w:color w:val="auto"/>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196FB38">
      <w:pPr>
        <w:pStyle w:val="37"/>
        <w:spacing w:line="360" w:lineRule="auto"/>
        <w:ind w:firstLine="420" w:firstLineChars="200"/>
        <w:rPr>
          <w:rFonts w:ascii="宋体" w:hAnsi="Times New Roman"/>
          <w:color w:val="auto"/>
          <w:szCs w:val="21"/>
        </w:rPr>
      </w:pPr>
      <w:r>
        <w:rPr>
          <w:rFonts w:ascii="宋体" w:hAnsi="宋体" w:cs="宋体"/>
          <w:color w:val="auto"/>
          <w:szCs w:val="21"/>
        </w:rPr>
        <w:t>4</w:t>
      </w:r>
      <w:r>
        <w:rPr>
          <w:rFonts w:hint="eastAsia" w:ascii="宋体" w:hAnsi="宋体" w:cs="宋体"/>
          <w:color w:val="auto"/>
          <w:szCs w:val="21"/>
        </w:rPr>
        <w:t>．质量保修完成后，由发包人组织验收。</w:t>
      </w:r>
    </w:p>
    <w:p w14:paraId="241C2E92">
      <w:pPr>
        <w:pStyle w:val="37"/>
        <w:spacing w:line="360" w:lineRule="auto"/>
        <w:ind w:firstLine="420" w:firstLineChars="200"/>
        <w:rPr>
          <w:rFonts w:ascii="黑体" w:hAnsi="宋体" w:eastAsia="黑体"/>
          <w:color w:val="auto"/>
          <w:szCs w:val="21"/>
        </w:rPr>
      </w:pPr>
      <w:r>
        <w:rPr>
          <w:rFonts w:hint="eastAsia" w:ascii="黑体" w:hAnsi="宋体" w:eastAsia="黑体" w:cs="黑体"/>
          <w:color w:val="auto"/>
          <w:szCs w:val="21"/>
        </w:rPr>
        <w:t>五、保修费用</w:t>
      </w:r>
    </w:p>
    <w:p w14:paraId="380635AD">
      <w:pPr>
        <w:pStyle w:val="37"/>
        <w:spacing w:line="360" w:lineRule="auto"/>
        <w:ind w:firstLine="420" w:firstLineChars="200"/>
        <w:rPr>
          <w:rFonts w:ascii="宋体" w:hAnsi="Times New Roman"/>
          <w:color w:val="auto"/>
          <w:szCs w:val="21"/>
        </w:rPr>
      </w:pPr>
      <w:r>
        <w:rPr>
          <w:rFonts w:hint="eastAsia" w:ascii="宋体" w:hAnsi="宋体" w:cs="宋体"/>
          <w:color w:val="auto"/>
          <w:szCs w:val="21"/>
        </w:rPr>
        <w:t>保修费用由造成质量缺陷的责任方承担。</w:t>
      </w:r>
    </w:p>
    <w:p w14:paraId="41B23AA8">
      <w:pPr>
        <w:pStyle w:val="37"/>
        <w:spacing w:line="360" w:lineRule="auto"/>
        <w:ind w:firstLine="420" w:firstLineChars="200"/>
        <w:rPr>
          <w:rFonts w:ascii="黑体" w:hAnsi="宋体" w:eastAsia="黑体" w:cs="黑体"/>
          <w:color w:val="auto"/>
          <w:szCs w:val="21"/>
          <w:u w:val="single"/>
        </w:rPr>
      </w:pPr>
      <w:r>
        <w:rPr>
          <w:rFonts w:hint="eastAsia" w:ascii="黑体" w:hAnsi="宋体" w:eastAsia="黑体" w:cs="黑体"/>
          <w:color w:val="auto"/>
          <w:szCs w:val="21"/>
        </w:rPr>
        <w:t>六、双方约定的其他工程质量保修事项：</w:t>
      </w:r>
      <w:r>
        <w:rPr>
          <w:rFonts w:ascii="黑体" w:hAnsi="宋体" w:eastAsia="黑体" w:cs="黑体"/>
          <w:color w:val="auto"/>
          <w:szCs w:val="21"/>
          <w:u w:val="single"/>
        </w:rPr>
        <w:t xml:space="preserve">                                          </w:t>
      </w:r>
    </w:p>
    <w:p w14:paraId="03D6C7BB">
      <w:pPr>
        <w:pStyle w:val="37"/>
        <w:spacing w:line="360" w:lineRule="auto"/>
        <w:ind w:firstLine="420" w:firstLineChars="200"/>
        <w:jc w:val="left"/>
        <w:rPr>
          <w:rFonts w:ascii="宋体" w:hAnsi="Times New Roman"/>
          <w:color w:val="auto"/>
          <w:szCs w:val="21"/>
        </w:rPr>
      </w:pPr>
      <w:r>
        <w:rPr>
          <w:rFonts w:ascii="宋体" w:hAnsi="宋体" w:cs="宋体"/>
          <w:color w:val="auto"/>
          <w:szCs w:val="21"/>
          <w:u w:val="single"/>
        </w:rPr>
        <w:t xml:space="preserve">                                                                               </w:t>
      </w:r>
      <w:r>
        <w:rPr>
          <w:rFonts w:hint="eastAsia" w:ascii="宋体" w:hAnsi="宋体" w:cs="宋体"/>
          <w:color w:val="auto"/>
          <w:szCs w:val="21"/>
        </w:rPr>
        <w:t>。</w:t>
      </w:r>
    </w:p>
    <w:p w14:paraId="10107183">
      <w:pPr>
        <w:pStyle w:val="37"/>
        <w:spacing w:line="360" w:lineRule="auto"/>
        <w:ind w:firstLine="420" w:firstLineChars="200"/>
        <w:rPr>
          <w:rFonts w:ascii="宋体" w:hAnsi="Times New Roman"/>
          <w:color w:val="auto"/>
          <w:szCs w:val="21"/>
        </w:rPr>
      </w:pPr>
      <w:r>
        <w:rPr>
          <w:rFonts w:hint="eastAsia" w:ascii="宋体" w:hAnsi="宋体" w:cs="宋体"/>
          <w:color w:val="auto"/>
          <w:szCs w:val="21"/>
        </w:rPr>
        <w:t>工程质量保修书由发包人、承包人在工程竣工验收前共同</w:t>
      </w:r>
      <w:bookmarkStart w:id="1180" w:name="OLE_LINK35"/>
      <w:r>
        <w:rPr>
          <w:rFonts w:hint="eastAsia" w:ascii="宋体" w:hAnsi="宋体" w:cs="宋体"/>
          <w:color w:val="auto"/>
          <w:szCs w:val="21"/>
        </w:rPr>
        <w:t>签署</w:t>
      </w:r>
      <w:bookmarkEnd w:id="1180"/>
      <w:r>
        <w:rPr>
          <w:rFonts w:hint="eastAsia" w:ascii="宋体" w:hAnsi="宋体" w:cs="宋体"/>
          <w:color w:val="auto"/>
          <w:szCs w:val="21"/>
        </w:rPr>
        <w:t>，作为施工合同附件，其有效期限至保修期满。</w:t>
      </w:r>
    </w:p>
    <w:p w14:paraId="5C47751F">
      <w:pPr>
        <w:pStyle w:val="37"/>
        <w:spacing w:line="360" w:lineRule="auto"/>
        <w:ind w:firstLine="420"/>
        <w:rPr>
          <w:rFonts w:ascii="宋体" w:hAnsi="Times New Roman"/>
          <w:color w:val="auto"/>
          <w:szCs w:val="21"/>
        </w:rPr>
      </w:pPr>
    </w:p>
    <w:p w14:paraId="57AFFFC3">
      <w:pPr>
        <w:pStyle w:val="37"/>
        <w:spacing w:line="360" w:lineRule="auto"/>
        <w:ind w:firstLine="420" w:firstLineChars="200"/>
        <w:rPr>
          <w:rStyle w:val="24"/>
          <w:rFonts w:hint="eastAsia" w:ascii="宋体" w:hAnsi="宋体" w:eastAsia="宋体" w:cs="宋体"/>
          <w:color w:val="auto"/>
          <w:highlight w:val="none"/>
        </w:rPr>
      </w:pPr>
      <w:r>
        <w:rPr>
          <w:rStyle w:val="24"/>
          <w:rFonts w:hint="eastAsia" w:ascii="宋体" w:hAnsi="宋体" w:eastAsia="宋体" w:cs="宋体"/>
          <w:color w:val="auto"/>
          <w:highlight w:val="none"/>
        </w:rPr>
        <w:t>发包人（公章）：</w:t>
      </w:r>
      <w:r>
        <w:rPr>
          <w:rStyle w:val="24"/>
          <w:rFonts w:hint="eastAsia" w:ascii="宋体" w:hAnsi="宋体" w:eastAsia="宋体" w:cs="宋体"/>
          <w:color w:val="auto"/>
          <w:highlight w:val="none"/>
          <w:u w:val="single"/>
        </w:rPr>
        <w:t xml:space="preserve">         </w:t>
      </w:r>
      <w:r>
        <w:rPr>
          <w:rStyle w:val="24"/>
          <w:rFonts w:hint="eastAsia" w:ascii="宋体" w:hAnsi="宋体" w:eastAsia="宋体" w:cs="宋体"/>
          <w:color w:val="auto"/>
          <w:highlight w:val="none"/>
        </w:rPr>
        <w:t xml:space="preserve">             承包人（公章）：</w:t>
      </w:r>
      <w:r>
        <w:rPr>
          <w:rStyle w:val="24"/>
          <w:rFonts w:hint="eastAsia" w:ascii="宋体" w:hAnsi="宋体" w:eastAsia="宋体" w:cs="宋体"/>
          <w:color w:val="auto"/>
          <w:highlight w:val="none"/>
          <w:u w:val="single"/>
        </w:rPr>
        <w:t>          </w:t>
      </w:r>
    </w:p>
    <w:p w14:paraId="287541FB">
      <w:pPr>
        <w:pStyle w:val="37"/>
        <w:spacing w:line="360" w:lineRule="auto"/>
        <w:ind w:firstLine="420" w:firstLineChars="200"/>
        <w:rPr>
          <w:rStyle w:val="24"/>
          <w:rFonts w:hint="eastAsia" w:ascii="宋体" w:hAnsi="宋体" w:eastAsia="宋体" w:cs="宋体"/>
          <w:color w:val="auto"/>
          <w:highlight w:val="none"/>
        </w:rPr>
      </w:pPr>
      <w:r>
        <w:rPr>
          <w:rStyle w:val="24"/>
          <w:rFonts w:hint="eastAsia" w:ascii="宋体" w:hAnsi="宋体" w:eastAsia="宋体" w:cs="宋体"/>
          <w:color w:val="auto"/>
          <w:highlight w:val="none"/>
        </w:rPr>
        <w:t>地  址：</w:t>
      </w:r>
      <w:r>
        <w:rPr>
          <w:rStyle w:val="24"/>
          <w:rFonts w:hint="eastAsia" w:ascii="宋体" w:hAnsi="宋体" w:eastAsia="宋体" w:cs="宋体"/>
          <w:color w:val="auto"/>
          <w:highlight w:val="none"/>
          <w:u w:val="single"/>
        </w:rPr>
        <w:t xml:space="preserve">       </w:t>
      </w:r>
      <w:r>
        <w:rPr>
          <w:rStyle w:val="24"/>
          <w:rFonts w:hint="eastAsia" w:ascii="宋体" w:hAnsi="宋体" w:eastAsia="宋体" w:cs="宋体"/>
          <w:color w:val="auto"/>
          <w:highlight w:val="none"/>
        </w:rPr>
        <w:t xml:space="preserve">              地  址：</w:t>
      </w:r>
      <w:r>
        <w:rPr>
          <w:rStyle w:val="24"/>
          <w:rFonts w:hint="eastAsia" w:ascii="宋体" w:hAnsi="宋体" w:eastAsia="宋体" w:cs="宋体"/>
          <w:color w:val="auto"/>
          <w:highlight w:val="none"/>
          <w:u w:val="single"/>
        </w:rPr>
        <w:t>      </w:t>
      </w:r>
    </w:p>
    <w:p w14:paraId="44944866">
      <w:pPr>
        <w:pStyle w:val="37"/>
        <w:spacing w:line="360" w:lineRule="auto"/>
        <w:ind w:firstLine="420" w:firstLineChars="200"/>
        <w:rPr>
          <w:rStyle w:val="24"/>
          <w:rFonts w:hint="eastAsia" w:ascii="宋体" w:hAnsi="宋体" w:eastAsia="宋体" w:cs="宋体"/>
          <w:color w:val="auto"/>
          <w:highlight w:val="none"/>
        </w:rPr>
      </w:pPr>
      <w:r>
        <w:rPr>
          <w:rStyle w:val="24"/>
          <w:rFonts w:hint="eastAsia" w:ascii="宋体" w:hAnsi="宋体" w:eastAsia="宋体" w:cs="宋体"/>
          <w:color w:val="auto"/>
          <w:highlight w:val="none"/>
        </w:rPr>
        <w:t>法定代表人（签字）：</w:t>
      </w:r>
      <w:r>
        <w:rPr>
          <w:rStyle w:val="24"/>
          <w:rFonts w:hint="eastAsia" w:ascii="宋体" w:hAnsi="宋体" w:eastAsia="宋体" w:cs="宋体"/>
          <w:color w:val="auto"/>
          <w:highlight w:val="none"/>
          <w:u w:val="single"/>
        </w:rPr>
        <w:t xml:space="preserve">      </w:t>
      </w:r>
      <w:r>
        <w:rPr>
          <w:rStyle w:val="24"/>
          <w:rFonts w:hint="eastAsia" w:ascii="宋体" w:hAnsi="宋体" w:eastAsia="宋体" w:cs="宋体"/>
          <w:color w:val="auto"/>
          <w:highlight w:val="none"/>
        </w:rPr>
        <w:t xml:space="preserve">              法定代表人（签字）：</w:t>
      </w:r>
      <w:r>
        <w:rPr>
          <w:rStyle w:val="24"/>
          <w:rFonts w:hint="eastAsia" w:ascii="宋体" w:hAnsi="宋体" w:eastAsia="宋体" w:cs="宋体"/>
          <w:color w:val="auto"/>
          <w:highlight w:val="none"/>
          <w:u w:val="single"/>
        </w:rPr>
        <w:t>     </w:t>
      </w:r>
    </w:p>
    <w:p w14:paraId="16E6A8C1">
      <w:pPr>
        <w:pStyle w:val="37"/>
        <w:spacing w:line="360" w:lineRule="auto"/>
        <w:ind w:firstLine="420" w:firstLineChars="200"/>
        <w:rPr>
          <w:rStyle w:val="24"/>
          <w:rFonts w:hint="eastAsia" w:ascii="宋体" w:hAnsi="宋体" w:eastAsia="宋体" w:cs="宋体"/>
          <w:color w:val="auto"/>
          <w:highlight w:val="none"/>
        </w:rPr>
      </w:pPr>
      <w:r>
        <w:rPr>
          <w:rStyle w:val="24"/>
          <w:rFonts w:hint="eastAsia" w:ascii="宋体" w:hAnsi="宋体" w:eastAsia="宋体" w:cs="宋体"/>
          <w:color w:val="auto"/>
          <w:highlight w:val="none"/>
        </w:rPr>
        <w:t>委托代理人（签字）：</w:t>
      </w:r>
      <w:r>
        <w:rPr>
          <w:rStyle w:val="24"/>
          <w:rFonts w:hint="eastAsia" w:ascii="宋体" w:hAnsi="宋体" w:eastAsia="宋体" w:cs="宋体"/>
          <w:color w:val="auto"/>
          <w:highlight w:val="none"/>
          <w:u w:val="single"/>
        </w:rPr>
        <w:t xml:space="preserve">      </w:t>
      </w:r>
      <w:r>
        <w:rPr>
          <w:rStyle w:val="24"/>
          <w:rFonts w:hint="eastAsia" w:ascii="宋体" w:hAnsi="宋体" w:eastAsia="宋体" w:cs="宋体"/>
          <w:color w:val="auto"/>
          <w:highlight w:val="none"/>
        </w:rPr>
        <w:t xml:space="preserve">              委托代理人（签字）：</w:t>
      </w:r>
      <w:r>
        <w:rPr>
          <w:rStyle w:val="24"/>
          <w:rFonts w:hint="eastAsia" w:ascii="宋体" w:hAnsi="宋体" w:eastAsia="宋体" w:cs="宋体"/>
          <w:color w:val="auto"/>
          <w:highlight w:val="none"/>
          <w:u w:val="single"/>
        </w:rPr>
        <w:t>     </w:t>
      </w:r>
    </w:p>
    <w:p w14:paraId="2D25DE89">
      <w:pPr>
        <w:pStyle w:val="37"/>
        <w:spacing w:line="360" w:lineRule="auto"/>
        <w:ind w:firstLine="420" w:firstLineChars="200"/>
        <w:rPr>
          <w:rStyle w:val="24"/>
          <w:rFonts w:hint="eastAsia" w:ascii="宋体" w:hAnsi="宋体" w:eastAsia="宋体" w:cs="宋体"/>
          <w:color w:val="auto"/>
          <w:highlight w:val="none"/>
        </w:rPr>
      </w:pPr>
      <w:r>
        <w:rPr>
          <w:rStyle w:val="24"/>
          <w:rFonts w:hint="eastAsia" w:ascii="宋体" w:hAnsi="宋体" w:eastAsia="宋体" w:cs="宋体"/>
          <w:color w:val="auto"/>
          <w:highlight w:val="none"/>
        </w:rPr>
        <w:t>电  话：</w:t>
      </w:r>
      <w:r>
        <w:rPr>
          <w:rStyle w:val="24"/>
          <w:rFonts w:hint="eastAsia" w:ascii="宋体" w:hAnsi="宋体" w:eastAsia="宋体" w:cs="宋体"/>
          <w:color w:val="auto"/>
          <w:highlight w:val="none"/>
          <w:u w:val="single"/>
        </w:rPr>
        <w:t xml:space="preserve">     </w:t>
      </w:r>
      <w:r>
        <w:rPr>
          <w:rStyle w:val="24"/>
          <w:rFonts w:hint="eastAsia" w:ascii="宋体" w:hAnsi="宋体" w:eastAsia="宋体" w:cs="宋体"/>
          <w:color w:val="auto"/>
          <w:highlight w:val="none"/>
        </w:rPr>
        <w:t xml:space="preserve">              电  话：</w:t>
      </w:r>
      <w:r>
        <w:rPr>
          <w:rStyle w:val="24"/>
          <w:rFonts w:hint="eastAsia" w:ascii="宋体" w:hAnsi="宋体" w:eastAsia="宋体" w:cs="宋体"/>
          <w:color w:val="auto"/>
          <w:highlight w:val="none"/>
          <w:u w:val="single"/>
        </w:rPr>
        <w:t>      </w:t>
      </w:r>
    </w:p>
    <w:p w14:paraId="4248224D">
      <w:pPr>
        <w:pStyle w:val="37"/>
        <w:spacing w:line="360" w:lineRule="auto"/>
        <w:ind w:firstLine="420" w:firstLineChars="200"/>
        <w:rPr>
          <w:rStyle w:val="24"/>
          <w:rFonts w:hint="eastAsia" w:ascii="宋体" w:hAnsi="宋体" w:eastAsia="宋体" w:cs="宋体"/>
          <w:color w:val="auto"/>
          <w:highlight w:val="none"/>
        </w:rPr>
      </w:pPr>
      <w:r>
        <w:rPr>
          <w:rStyle w:val="24"/>
          <w:rFonts w:hint="eastAsia" w:ascii="宋体" w:hAnsi="宋体" w:eastAsia="宋体" w:cs="宋体"/>
          <w:color w:val="auto"/>
          <w:highlight w:val="none"/>
        </w:rPr>
        <w:t>传  真：</w:t>
      </w:r>
      <w:r>
        <w:rPr>
          <w:rStyle w:val="24"/>
          <w:rFonts w:hint="eastAsia" w:ascii="宋体" w:hAnsi="宋体" w:eastAsia="宋体" w:cs="宋体"/>
          <w:color w:val="auto"/>
          <w:highlight w:val="none"/>
          <w:u w:val="single"/>
        </w:rPr>
        <w:t xml:space="preserve">     </w:t>
      </w:r>
      <w:r>
        <w:rPr>
          <w:rStyle w:val="24"/>
          <w:rFonts w:hint="eastAsia" w:ascii="宋体" w:hAnsi="宋体" w:eastAsia="宋体" w:cs="宋体"/>
          <w:color w:val="auto"/>
          <w:highlight w:val="none"/>
        </w:rPr>
        <w:t xml:space="preserve">              传  真：</w:t>
      </w:r>
      <w:r>
        <w:rPr>
          <w:rStyle w:val="24"/>
          <w:rFonts w:hint="eastAsia" w:ascii="宋体" w:hAnsi="宋体" w:eastAsia="宋体" w:cs="宋体"/>
          <w:color w:val="auto"/>
          <w:highlight w:val="none"/>
          <w:u w:val="single"/>
        </w:rPr>
        <w:t>    </w:t>
      </w:r>
    </w:p>
    <w:p w14:paraId="77394CF0">
      <w:pPr>
        <w:pStyle w:val="37"/>
        <w:spacing w:line="360" w:lineRule="auto"/>
        <w:ind w:firstLine="420" w:firstLineChars="200"/>
        <w:rPr>
          <w:rStyle w:val="24"/>
          <w:rFonts w:hint="eastAsia" w:ascii="宋体" w:hAnsi="宋体" w:eastAsia="宋体" w:cs="宋体"/>
          <w:color w:val="auto"/>
          <w:highlight w:val="none"/>
        </w:rPr>
      </w:pPr>
      <w:r>
        <w:rPr>
          <w:rStyle w:val="24"/>
          <w:rFonts w:hint="eastAsia" w:ascii="宋体" w:hAnsi="宋体" w:eastAsia="宋体" w:cs="宋体"/>
          <w:color w:val="auto"/>
          <w:highlight w:val="none"/>
        </w:rPr>
        <w:t>开户银行：</w:t>
      </w:r>
      <w:r>
        <w:rPr>
          <w:rStyle w:val="24"/>
          <w:rFonts w:hint="eastAsia" w:ascii="宋体" w:hAnsi="宋体" w:eastAsia="宋体" w:cs="宋体"/>
          <w:color w:val="auto"/>
          <w:highlight w:val="none"/>
          <w:u w:val="single"/>
        </w:rPr>
        <w:t xml:space="preserve">     </w:t>
      </w:r>
      <w:r>
        <w:rPr>
          <w:rStyle w:val="24"/>
          <w:rFonts w:hint="eastAsia" w:ascii="宋体" w:hAnsi="宋体" w:eastAsia="宋体" w:cs="宋体"/>
          <w:color w:val="auto"/>
          <w:highlight w:val="none"/>
        </w:rPr>
        <w:t xml:space="preserve">              开户银行：</w:t>
      </w:r>
      <w:r>
        <w:rPr>
          <w:rStyle w:val="24"/>
          <w:rFonts w:hint="eastAsia" w:ascii="宋体" w:hAnsi="宋体" w:eastAsia="宋体" w:cs="宋体"/>
          <w:color w:val="auto"/>
          <w:highlight w:val="none"/>
          <w:u w:val="single"/>
        </w:rPr>
        <w:t>  </w:t>
      </w:r>
    </w:p>
    <w:p w14:paraId="0BFC12AE">
      <w:pPr>
        <w:pStyle w:val="37"/>
        <w:tabs>
          <w:tab w:val="left" w:pos="2880"/>
          <w:tab w:val="left" w:pos="3060"/>
          <w:tab w:val="left" w:pos="4500"/>
        </w:tabs>
        <w:spacing w:line="360" w:lineRule="auto"/>
        <w:ind w:firstLine="420" w:firstLineChars="200"/>
        <w:rPr>
          <w:rStyle w:val="24"/>
          <w:rFonts w:ascii="Calibri" w:hAnsi="Calibri" w:eastAsia="宋体" w:cs="Times New Roman"/>
          <w:color w:val="auto"/>
          <w:highlight w:val="none"/>
        </w:rPr>
      </w:pPr>
      <w:r>
        <w:rPr>
          <w:rStyle w:val="24"/>
          <w:rFonts w:hint="eastAsia" w:ascii="宋体" w:hAnsi="宋体" w:eastAsia="宋体" w:cs="宋体"/>
          <w:color w:val="auto"/>
          <w:highlight w:val="none"/>
        </w:rPr>
        <w:t>账  号：</w:t>
      </w:r>
      <w:r>
        <w:rPr>
          <w:rStyle w:val="24"/>
          <w:rFonts w:hint="eastAsia" w:ascii="宋体" w:hAnsi="宋体" w:eastAsia="宋体" w:cs="宋体"/>
          <w:color w:val="auto"/>
          <w:highlight w:val="none"/>
          <w:u w:val="single"/>
        </w:rPr>
        <w:t xml:space="preserve">          </w:t>
      </w:r>
      <w:r>
        <w:rPr>
          <w:rStyle w:val="24"/>
          <w:rFonts w:hint="eastAsia" w:ascii="宋体" w:hAnsi="宋体" w:eastAsia="宋体" w:cs="宋体"/>
          <w:color w:val="auto"/>
          <w:highlight w:val="none"/>
        </w:rPr>
        <w:t xml:space="preserve">              账  号：</w:t>
      </w:r>
      <w:r>
        <w:rPr>
          <w:rStyle w:val="24"/>
          <w:rFonts w:hint="eastAsia" w:ascii="宋体" w:hAnsi="宋体" w:eastAsia="宋体" w:cs="宋体"/>
          <w:color w:val="auto"/>
          <w:highlight w:val="none"/>
          <w:u w:val="single"/>
        </w:rPr>
        <w:t></w:t>
      </w:r>
      <w:r>
        <w:rPr>
          <w:rStyle w:val="24"/>
          <w:rFonts w:ascii="宋体" w:hAnsi="宋体" w:eastAsia="宋体" w:cs="Times New Roman"/>
          <w:color w:val="auto"/>
          <w:highlight w:val="none"/>
          <w:u w:val="single"/>
        </w:rPr>
        <w:t></w:t>
      </w:r>
      <w:r>
        <w:rPr>
          <w:rStyle w:val="24"/>
          <w:rFonts w:hint="eastAsia" w:ascii="宋体" w:hAnsi="宋体" w:eastAsia="宋体" w:cs="Times New Roman"/>
          <w:color w:val="auto"/>
          <w:highlight w:val="none"/>
          <w:u w:val="single"/>
        </w:rPr>
        <w:t xml:space="preserve">    </w:t>
      </w:r>
      <w:r>
        <w:rPr>
          <w:rStyle w:val="24"/>
          <w:rFonts w:ascii="宋体" w:hAnsi="宋体" w:eastAsia="宋体" w:cs="Times New Roman"/>
          <w:color w:val="auto"/>
          <w:highlight w:val="none"/>
          <w:u w:val="single"/>
        </w:rPr>
        <w:t></w:t>
      </w:r>
    </w:p>
    <w:p w14:paraId="40E553DC">
      <w:pPr>
        <w:pStyle w:val="37"/>
        <w:tabs>
          <w:tab w:val="left" w:pos="7200"/>
          <w:tab w:val="left" w:pos="7380"/>
          <w:tab w:val="left" w:pos="7560"/>
        </w:tabs>
        <w:spacing w:line="360" w:lineRule="auto"/>
        <w:ind w:firstLine="420" w:firstLineChars="200"/>
        <w:rPr>
          <w:rStyle w:val="24"/>
          <w:rFonts w:ascii="Calibri" w:hAnsi="Calibri" w:eastAsia="宋体" w:cs="Times New Roman"/>
          <w:color w:val="auto"/>
          <w:highlight w:val="none"/>
        </w:rPr>
      </w:pPr>
      <w:r>
        <w:rPr>
          <w:rStyle w:val="24"/>
          <w:rFonts w:ascii="Calibri" w:hAnsi="宋体" w:eastAsia="宋体" w:cs="Times New Roman"/>
          <w:color w:val="auto"/>
          <w:highlight w:val="none"/>
        </w:rPr>
        <w:t>邮政编码：</w:t>
      </w:r>
      <w:r>
        <w:rPr>
          <w:rStyle w:val="24"/>
          <w:rFonts w:ascii="Calibri" w:hAnsi="Calibri" w:eastAsia="宋体" w:cs="Times New Roman"/>
          <w:color w:val="auto"/>
          <w:highlight w:val="none"/>
          <w:u w:val="single"/>
        </w:rPr>
        <w:t xml:space="preserve"> </w:t>
      </w:r>
      <w:r>
        <w:rPr>
          <w:rStyle w:val="24"/>
          <w:rFonts w:ascii="宋体" w:hAnsi="宋体" w:eastAsia="宋体" w:cs="Times New Roman"/>
          <w:color w:val="auto"/>
          <w:highlight w:val="none"/>
          <w:u w:val="single"/>
        </w:rPr>
        <w:t></w:t>
      </w:r>
      <w:r>
        <w:rPr>
          <w:rStyle w:val="24"/>
          <w:rFonts w:hint="eastAsia" w:ascii="宋体" w:hAnsi="宋体" w:eastAsia="宋体" w:cs="Times New Roman"/>
          <w:color w:val="auto"/>
          <w:highlight w:val="none"/>
          <w:u w:val="single"/>
        </w:rPr>
        <w:t xml:space="preserve">  </w:t>
      </w:r>
      <w:r>
        <w:rPr>
          <w:rStyle w:val="24"/>
          <w:rFonts w:ascii="Calibri" w:hAnsi="Calibri" w:eastAsia="宋体" w:cs="Times New Roman"/>
          <w:color w:val="auto"/>
          <w:highlight w:val="none"/>
          <w:u w:val="single"/>
        </w:rPr>
        <w:t xml:space="preserve">    </w:t>
      </w:r>
      <w:r>
        <w:rPr>
          <w:rStyle w:val="24"/>
          <w:rFonts w:ascii="Calibri" w:hAnsi="Calibri" w:eastAsia="宋体" w:cs="Times New Roman"/>
          <w:color w:val="auto"/>
          <w:highlight w:val="none"/>
        </w:rPr>
        <w:t xml:space="preserve"> </w:t>
      </w:r>
      <w:r>
        <w:rPr>
          <w:rStyle w:val="24"/>
          <w:rFonts w:hint="eastAsia" w:ascii="Calibri" w:hAnsi="Calibri" w:eastAsia="宋体" w:cs="Times New Roman"/>
          <w:color w:val="auto"/>
          <w:highlight w:val="none"/>
        </w:rPr>
        <w:t xml:space="preserve">             </w:t>
      </w:r>
      <w:r>
        <w:rPr>
          <w:rStyle w:val="24"/>
          <w:rFonts w:ascii="Calibri" w:hAnsi="宋体" w:eastAsia="宋体" w:cs="Times New Roman"/>
          <w:color w:val="auto"/>
          <w:highlight w:val="none"/>
        </w:rPr>
        <w:t>邮政编码：</w:t>
      </w:r>
      <w:r>
        <w:rPr>
          <w:rStyle w:val="24"/>
          <w:rFonts w:ascii="宋体" w:hAnsi="宋体" w:eastAsia="宋体" w:cs="Times New Roman"/>
          <w:color w:val="auto"/>
          <w:highlight w:val="none"/>
          <w:u w:val="single"/>
        </w:rPr>
        <w:t></w:t>
      </w:r>
      <w:r>
        <w:rPr>
          <w:rStyle w:val="24"/>
          <w:rFonts w:hint="eastAsia" w:ascii="宋体" w:hAnsi="宋体" w:eastAsia="宋体" w:cs="Times New Roman"/>
          <w:color w:val="auto"/>
          <w:highlight w:val="none"/>
          <w:u w:val="single"/>
        </w:rPr>
        <w:t xml:space="preserve">   </w:t>
      </w:r>
      <w:r>
        <w:rPr>
          <w:rStyle w:val="24"/>
          <w:rFonts w:ascii="宋体" w:hAnsi="宋体" w:eastAsia="宋体" w:cs="Times New Roman"/>
          <w:color w:val="auto"/>
          <w:highlight w:val="none"/>
          <w:u w:val="single"/>
        </w:rPr>
        <w:t></w:t>
      </w:r>
    </w:p>
    <w:p w14:paraId="611C342B">
      <w:pPr>
        <w:pStyle w:val="37"/>
        <w:spacing w:line="360" w:lineRule="auto"/>
        <w:rPr>
          <w:rFonts w:ascii="宋体" w:hAnsi="Times New Roman"/>
          <w:color w:val="auto"/>
          <w:szCs w:val="21"/>
        </w:rPr>
      </w:pPr>
    </w:p>
    <w:p w14:paraId="4DB23E3B">
      <w:pPr>
        <w:pStyle w:val="37"/>
        <w:spacing w:line="360" w:lineRule="auto"/>
        <w:rPr>
          <w:rFonts w:ascii="宋体" w:hAnsi="Times New Roman"/>
          <w:color w:val="auto"/>
          <w:szCs w:val="21"/>
        </w:rPr>
      </w:pPr>
    </w:p>
    <w:p w14:paraId="2638A7EC">
      <w:pPr>
        <w:pStyle w:val="37"/>
        <w:spacing w:line="360" w:lineRule="auto"/>
        <w:rPr>
          <w:rFonts w:ascii="宋体" w:hAnsi="Times New Roman"/>
          <w:color w:val="auto"/>
          <w:szCs w:val="21"/>
        </w:rPr>
      </w:pPr>
    </w:p>
    <w:p w14:paraId="23820116">
      <w:pPr>
        <w:pStyle w:val="37"/>
        <w:spacing w:line="360" w:lineRule="auto"/>
        <w:rPr>
          <w:rFonts w:ascii="宋体" w:hAnsi="Times New Roman"/>
          <w:color w:val="auto"/>
          <w:szCs w:val="21"/>
        </w:rPr>
      </w:pPr>
    </w:p>
    <w:p w14:paraId="1566BB8C">
      <w:pPr>
        <w:pStyle w:val="37"/>
        <w:spacing w:line="360" w:lineRule="auto"/>
        <w:rPr>
          <w:rFonts w:ascii="宋体" w:hAnsi="Times New Roman"/>
          <w:color w:val="auto"/>
          <w:szCs w:val="21"/>
        </w:rPr>
      </w:pPr>
    </w:p>
    <w:p w14:paraId="0E9CA755">
      <w:pPr>
        <w:pStyle w:val="37"/>
        <w:spacing w:line="360" w:lineRule="auto"/>
        <w:rPr>
          <w:rFonts w:ascii="宋体" w:hAnsi="Times New Roman"/>
          <w:color w:val="auto"/>
          <w:szCs w:val="21"/>
        </w:rPr>
      </w:pPr>
    </w:p>
    <w:p w14:paraId="57C1A880">
      <w:pPr>
        <w:pStyle w:val="37"/>
        <w:spacing w:line="360" w:lineRule="auto"/>
        <w:rPr>
          <w:rFonts w:ascii="宋体" w:hAnsi="Times New Roman"/>
          <w:color w:val="auto"/>
          <w:szCs w:val="21"/>
        </w:rPr>
      </w:pPr>
    </w:p>
    <w:p w14:paraId="48047E5C">
      <w:pPr>
        <w:pStyle w:val="37"/>
        <w:spacing w:line="360" w:lineRule="auto"/>
        <w:rPr>
          <w:rFonts w:ascii="宋体" w:hAnsi="Times New Roman"/>
          <w:color w:val="auto"/>
          <w:szCs w:val="21"/>
        </w:rPr>
      </w:pPr>
    </w:p>
    <w:p w14:paraId="6D73CF2A">
      <w:pPr>
        <w:pStyle w:val="37"/>
        <w:spacing w:line="360" w:lineRule="auto"/>
        <w:rPr>
          <w:rFonts w:ascii="宋体" w:hAnsi="Times New Roman"/>
          <w:color w:val="auto"/>
          <w:szCs w:val="21"/>
        </w:rPr>
      </w:pPr>
    </w:p>
    <w:p w14:paraId="3C7D147B">
      <w:pPr>
        <w:pStyle w:val="37"/>
        <w:spacing w:line="360" w:lineRule="auto"/>
        <w:rPr>
          <w:rFonts w:ascii="宋体" w:hAnsi="Times New Roman"/>
          <w:color w:val="auto"/>
          <w:szCs w:val="21"/>
        </w:rPr>
      </w:pPr>
    </w:p>
    <w:p w14:paraId="308D9FD9">
      <w:pPr>
        <w:pStyle w:val="37"/>
        <w:spacing w:line="360" w:lineRule="auto"/>
        <w:rPr>
          <w:rFonts w:ascii="宋体" w:hAnsi="Times New Roman"/>
          <w:color w:val="auto"/>
          <w:szCs w:val="21"/>
        </w:rPr>
      </w:pPr>
    </w:p>
    <w:p w14:paraId="46FC7852">
      <w:pPr>
        <w:pStyle w:val="37"/>
        <w:spacing w:line="360" w:lineRule="auto"/>
        <w:rPr>
          <w:rFonts w:ascii="宋体" w:hAnsi="Times New Roman"/>
          <w:color w:val="auto"/>
          <w:szCs w:val="21"/>
        </w:rPr>
      </w:pPr>
    </w:p>
    <w:p w14:paraId="2FE48F25">
      <w:pPr>
        <w:pStyle w:val="37"/>
        <w:spacing w:line="360" w:lineRule="auto"/>
        <w:rPr>
          <w:rFonts w:ascii="宋体" w:hAnsi="Times New Roman"/>
          <w:color w:val="auto"/>
          <w:szCs w:val="21"/>
        </w:rPr>
      </w:pPr>
    </w:p>
    <w:p w14:paraId="5EC108D4">
      <w:pPr>
        <w:pStyle w:val="37"/>
        <w:spacing w:line="360" w:lineRule="auto"/>
        <w:rPr>
          <w:rFonts w:ascii="宋体" w:hAnsi="Times New Roman"/>
          <w:color w:val="auto"/>
          <w:szCs w:val="21"/>
        </w:rPr>
      </w:pPr>
    </w:p>
    <w:p w14:paraId="083ACFB7">
      <w:pPr>
        <w:pStyle w:val="37"/>
        <w:spacing w:line="440" w:lineRule="exact"/>
        <w:ind w:firstLine="600" w:firstLineChars="200"/>
        <w:rPr>
          <w:rFonts w:ascii="Times New Roman" w:hAnsi="Times New Roman" w:eastAsia="黑体"/>
          <w:color w:val="auto"/>
          <w:sz w:val="30"/>
          <w:szCs w:val="30"/>
        </w:rPr>
      </w:pPr>
      <w:r>
        <w:rPr>
          <w:rFonts w:ascii="Times New Roman" w:hAnsi="Times New Roman" w:eastAsia="仿宋_GB2312"/>
          <w:color w:val="auto"/>
          <w:sz w:val="30"/>
          <w:szCs w:val="30"/>
        </w:rPr>
        <w:t>附件</w:t>
      </w:r>
      <w:r>
        <w:rPr>
          <w:rFonts w:hint="eastAsia" w:ascii="Times New Roman" w:hAnsi="Times New Roman" w:eastAsia="仿宋_GB2312"/>
          <w:color w:val="auto"/>
          <w:sz w:val="30"/>
          <w:szCs w:val="30"/>
        </w:rPr>
        <w:t>3</w:t>
      </w:r>
      <w:r>
        <w:rPr>
          <w:rFonts w:ascii="Times New Roman" w:hAnsi="Times New Roman" w:eastAsia="仿宋_GB2312"/>
          <w:color w:val="auto"/>
          <w:sz w:val="30"/>
          <w:szCs w:val="30"/>
        </w:rPr>
        <w:t>：</w:t>
      </w:r>
    </w:p>
    <w:p w14:paraId="63AC3FDF">
      <w:pPr>
        <w:pStyle w:val="37"/>
        <w:spacing w:before="156" w:beforeLines="50" w:after="156" w:afterLines="50" w:line="440" w:lineRule="exact"/>
        <w:ind w:firstLine="600" w:firstLineChars="200"/>
        <w:jc w:val="center"/>
        <w:rPr>
          <w:rFonts w:ascii="Times New Roman" w:hAnsi="Times New Roman" w:eastAsia="黑体"/>
          <w:color w:val="auto"/>
          <w:sz w:val="30"/>
          <w:szCs w:val="30"/>
        </w:rPr>
      </w:pPr>
      <w:r>
        <w:rPr>
          <w:rFonts w:ascii="Times New Roman" w:hAnsi="Times New Roman" w:eastAsia="黑体"/>
          <w:color w:val="auto"/>
          <w:sz w:val="30"/>
          <w:szCs w:val="30"/>
        </w:rPr>
        <w:t>主要建设工程文件目录</w:t>
      </w:r>
    </w:p>
    <w:tbl>
      <w:tblPr>
        <w:tblStyle w:val="22"/>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56154F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6D484722">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30"/>
              </w:rPr>
            </w:pPr>
            <w:r>
              <w:rPr>
                <w:rFonts w:ascii="Times New Roman" w:hAnsi="Times New Roman" w:eastAsia="仿宋_GB2312"/>
                <w:color w:val="auto"/>
                <w:sz w:val="28"/>
                <w:szCs w:val="30"/>
              </w:rPr>
              <w:t>文件名称</w:t>
            </w:r>
          </w:p>
        </w:tc>
        <w:tc>
          <w:tcPr>
            <w:tcW w:w="1276" w:type="dxa"/>
            <w:tcBorders>
              <w:top w:val="single" w:color="auto" w:sz="12" w:space="0"/>
              <w:bottom w:val="double" w:color="auto" w:sz="6" w:space="0"/>
            </w:tcBorders>
            <w:noWrap w:val="0"/>
            <w:vAlign w:val="center"/>
          </w:tcPr>
          <w:p w14:paraId="493F8A45">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30"/>
              </w:rPr>
            </w:pPr>
            <w:r>
              <w:rPr>
                <w:rFonts w:ascii="Times New Roman" w:hAnsi="Times New Roman" w:eastAsia="仿宋_GB2312"/>
                <w:color w:val="auto"/>
                <w:sz w:val="28"/>
                <w:szCs w:val="30"/>
              </w:rPr>
              <w:t>套数</w:t>
            </w:r>
          </w:p>
        </w:tc>
        <w:tc>
          <w:tcPr>
            <w:tcW w:w="1450" w:type="dxa"/>
            <w:tcBorders>
              <w:top w:val="single" w:color="auto" w:sz="12" w:space="0"/>
              <w:bottom w:val="double" w:color="auto" w:sz="6" w:space="0"/>
            </w:tcBorders>
            <w:noWrap w:val="0"/>
            <w:vAlign w:val="center"/>
          </w:tcPr>
          <w:p w14:paraId="4F3A62A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30"/>
              </w:rPr>
            </w:pPr>
            <w:r>
              <w:rPr>
                <w:rFonts w:ascii="Times New Roman" w:hAnsi="Times New Roman" w:eastAsia="仿宋_GB2312"/>
                <w:color w:val="auto"/>
                <w:sz w:val="28"/>
                <w:szCs w:val="30"/>
              </w:rPr>
              <w:t>费用</w:t>
            </w:r>
            <w:r>
              <w:rPr>
                <w:rFonts w:hint="eastAsia" w:ascii="Times New Roman" w:hAnsi="Times New Roman" w:eastAsia="仿宋_GB2312"/>
                <w:color w:val="auto"/>
                <w:sz w:val="28"/>
                <w:szCs w:val="30"/>
              </w:rPr>
              <w:t>（元）</w:t>
            </w:r>
          </w:p>
        </w:tc>
        <w:tc>
          <w:tcPr>
            <w:tcW w:w="1243" w:type="dxa"/>
            <w:tcBorders>
              <w:top w:val="single" w:color="auto" w:sz="12" w:space="0"/>
              <w:bottom w:val="double" w:color="auto" w:sz="6" w:space="0"/>
            </w:tcBorders>
            <w:noWrap w:val="0"/>
            <w:vAlign w:val="center"/>
          </w:tcPr>
          <w:p w14:paraId="23E5442B">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30"/>
              </w:rPr>
            </w:pPr>
            <w:r>
              <w:rPr>
                <w:rFonts w:ascii="Times New Roman" w:hAnsi="Times New Roman" w:eastAsia="仿宋_GB2312"/>
                <w:color w:val="auto"/>
                <w:sz w:val="28"/>
                <w:szCs w:val="30"/>
              </w:rPr>
              <w:t>质量</w:t>
            </w:r>
          </w:p>
        </w:tc>
        <w:tc>
          <w:tcPr>
            <w:tcW w:w="1450" w:type="dxa"/>
            <w:tcBorders>
              <w:top w:val="single" w:color="auto" w:sz="12" w:space="0"/>
              <w:bottom w:val="double" w:color="auto" w:sz="6" w:space="0"/>
            </w:tcBorders>
            <w:noWrap w:val="0"/>
            <w:vAlign w:val="top"/>
          </w:tcPr>
          <w:p w14:paraId="431BCB8F">
            <w:pPr>
              <w:pStyle w:val="37"/>
              <w:spacing w:line="440" w:lineRule="exact"/>
              <w:jc w:val="center"/>
              <w:rPr>
                <w:rFonts w:ascii="Times New Roman" w:hAnsi="Times New Roman" w:eastAsia="仿宋_GB2312"/>
                <w:color w:val="auto"/>
                <w:sz w:val="28"/>
                <w:szCs w:val="30"/>
              </w:rPr>
            </w:pPr>
            <w:r>
              <w:rPr>
                <w:rFonts w:ascii="Times New Roman" w:hAnsi="Times New Roman" w:eastAsia="仿宋_GB2312"/>
                <w:color w:val="auto"/>
                <w:sz w:val="28"/>
                <w:szCs w:val="30"/>
              </w:rPr>
              <w:t>移交时间</w:t>
            </w:r>
          </w:p>
        </w:tc>
        <w:tc>
          <w:tcPr>
            <w:tcW w:w="1667" w:type="dxa"/>
            <w:tcBorders>
              <w:top w:val="single" w:color="auto" w:sz="12" w:space="0"/>
              <w:bottom w:val="double" w:color="auto" w:sz="6" w:space="0"/>
            </w:tcBorders>
            <w:noWrap w:val="0"/>
            <w:vAlign w:val="top"/>
          </w:tcPr>
          <w:p w14:paraId="7E8397D4">
            <w:pPr>
              <w:pStyle w:val="37"/>
              <w:spacing w:line="440" w:lineRule="exact"/>
              <w:jc w:val="center"/>
              <w:rPr>
                <w:rFonts w:ascii="Times New Roman" w:hAnsi="Times New Roman" w:eastAsia="仿宋_GB2312"/>
                <w:color w:val="auto"/>
                <w:sz w:val="28"/>
                <w:szCs w:val="30"/>
              </w:rPr>
            </w:pPr>
            <w:r>
              <w:rPr>
                <w:rFonts w:ascii="Times New Roman" w:hAnsi="Times New Roman" w:eastAsia="仿宋_GB2312"/>
                <w:color w:val="auto"/>
                <w:sz w:val="28"/>
                <w:szCs w:val="30"/>
              </w:rPr>
              <w:t>责任人</w:t>
            </w:r>
          </w:p>
        </w:tc>
      </w:tr>
      <w:tr w14:paraId="4CFC90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1D3128C6">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276" w:type="dxa"/>
            <w:tcBorders>
              <w:top w:val="double" w:color="auto" w:sz="6" w:space="0"/>
              <w:bottom w:val="single" w:color="auto" w:sz="6" w:space="0"/>
            </w:tcBorders>
            <w:noWrap w:val="0"/>
            <w:vAlign w:val="center"/>
          </w:tcPr>
          <w:p w14:paraId="3F3B994B">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450" w:type="dxa"/>
            <w:tcBorders>
              <w:top w:val="double" w:color="auto" w:sz="6" w:space="0"/>
              <w:bottom w:val="single" w:color="auto" w:sz="6" w:space="0"/>
            </w:tcBorders>
            <w:noWrap w:val="0"/>
            <w:vAlign w:val="center"/>
          </w:tcPr>
          <w:p w14:paraId="6E01DF9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243" w:type="dxa"/>
            <w:tcBorders>
              <w:top w:val="double" w:color="auto" w:sz="6" w:space="0"/>
              <w:bottom w:val="single" w:color="auto" w:sz="6" w:space="0"/>
            </w:tcBorders>
            <w:noWrap w:val="0"/>
            <w:vAlign w:val="center"/>
          </w:tcPr>
          <w:p w14:paraId="54CE15F1">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450" w:type="dxa"/>
            <w:tcBorders>
              <w:top w:val="double" w:color="auto" w:sz="6" w:space="0"/>
              <w:bottom w:val="single" w:color="auto" w:sz="6" w:space="0"/>
            </w:tcBorders>
            <w:noWrap w:val="0"/>
            <w:vAlign w:val="center"/>
          </w:tcPr>
          <w:p w14:paraId="7AFC8A21">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667" w:type="dxa"/>
            <w:tcBorders>
              <w:top w:val="double" w:color="auto" w:sz="6" w:space="0"/>
              <w:bottom w:val="single" w:color="auto" w:sz="6" w:space="0"/>
            </w:tcBorders>
            <w:noWrap w:val="0"/>
            <w:vAlign w:val="center"/>
          </w:tcPr>
          <w:p w14:paraId="22E4295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18345E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4601784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276" w:type="dxa"/>
            <w:tcBorders>
              <w:top w:val="nil"/>
            </w:tcBorders>
            <w:noWrap w:val="0"/>
            <w:vAlign w:val="center"/>
          </w:tcPr>
          <w:p w14:paraId="482188D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450" w:type="dxa"/>
            <w:tcBorders>
              <w:top w:val="nil"/>
            </w:tcBorders>
            <w:noWrap w:val="0"/>
            <w:vAlign w:val="center"/>
          </w:tcPr>
          <w:p w14:paraId="2BE1ECE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243" w:type="dxa"/>
            <w:tcBorders>
              <w:top w:val="nil"/>
            </w:tcBorders>
            <w:noWrap w:val="0"/>
            <w:vAlign w:val="center"/>
          </w:tcPr>
          <w:p w14:paraId="6F666CE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450" w:type="dxa"/>
            <w:tcBorders>
              <w:top w:val="nil"/>
            </w:tcBorders>
            <w:noWrap w:val="0"/>
            <w:vAlign w:val="center"/>
          </w:tcPr>
          <w:p w14:paraId="4FDDE25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667" w:type="dxa"/>
            <w:tcBorders>
              <w:top w:val="nil"/>
            </w:tcBorders>
            <w:noWrap w:val="0"/>
            <w:vAlign w:val="center"/>
          </w:tcPr>
          <w:p w14:paraId="3755153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295E66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67F020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276" w:type="dxa"/>
            <w:noWrap w:val="0"/>
            <w:vAlign w:val="center"/>
          </w:tcPr>
          <w:p w14:paraId="315697A5">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450" w:type="dxa"/>
            <w:noWrap w:val="0"/>
            <w:vAlign w:val="center"/>
          </w:tcPr>
          <w:p w14:paraId="53B2CB0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243" w:type="dxa"/>
            <w:noWrap w:val="0"/>
            <w:vAlign w:val="center"/>
          </w:tcPr>
          <w:p w14:paraId="4C75B27B">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450" w:type="dxa"/>
            <w:noWrap w:val="0"/>
            <w:vAlign w:val="center"/>
          </w:tcPr>
          <w:p w14:paraId="6996072B">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667" w:type="dxa"/>
            <w:noWrap w:val="0"/>
            <w:vAlign w:val="center"/>
          </w:tcPr>
          <w:p w14:paraId="3C0050B7">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269D92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BA1C785">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276" w:type="dxa"/>
            <w:noWrap w:val="0"/>
            <w:vAlign w:val="center"/>
          </w:tcPr>
          <w:p w14:paraId="3951A5B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450" w:type="dxa"/>
            <w:noWrap w:val="0"/>
            <w:vAlign w:val="center"/>
          </w:tcPr>
          <w:p w14:paraId="0E8755A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243" w:type="dxa"/>
            <w:noWrap w:val="0"/>
            <w:vAlign w:val="center"/>
          </w:tcPr>
          <w:p w14:paraId="60B5A42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450" w:type="dxa"/>
            <w:noWrap w:val="0"/>
            <w:vAlign w:val="center"/>
          </w:tcPr>
          <w:p w14:paraId="36E3FE5C">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667" w:type="dxa"/>
            <w:noWrap w:val="0"/>
            <w:vAlign w:val="center"/>
          </w:tcPr>
          <w:p w14:paraId="409350B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24525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99813EF">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276" w:type="dxa"/>
            <w:noWrap w:val="0"/>
            <w:vAlign w:val="center"/>
          </w:tcPr>
          <w:p w14:paraId="3EEEC31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450" w:type="dxa"/>
            <w:noWrap w:val="0"/>
            <w:vAlign w:val="center"/>
          </w:tcPr>
          <w:p w14:paraId="15005716">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243" w:type="dxa"/>
            <w:noWrap w:val="0"/>
            <w:vAlign w:val="center"/>
          </w:tcPr>
          <w:p w14:paraId="4050D615">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450" w:type="dxa"/>
            <w:noWrap w:val="0"/>
            <w:vAlign w:val="center"/>
          </w:tcPr>
          <w:p w14:paraId="77AF27C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667" w:type="dxa"/>
            <w:noWrap w:val="0"/>
            <w:vAlign w:val="center"/>
          </w:tcPr>
          <w:p w14:paraId="67256940">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184E38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BB4C175">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276" w:type="dxa"/>
            <w:noWrap w:val="0"/>
            <w:vAlign w:val="center"/>
          </w:tcPr>
          <w:p w14:paraId="6C5CFBE5">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450" w:type="dxa"/>
            <w:noWrap w:val="0"/>
            <w:vAlign w:val="center"/>
          </w:tcPr>
          <w:p w14:paraId="4EB56D36">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243" w:type="dxa"/>
            <w:noWrap w:val="0"/>
            <w:vAlign w:val="center"/>
          </w:tcPr>
          <w:p w14:paraId="28D6CC6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450" w:type="dxa"/>
            <w:noWrap w:val="0"/>
            <w:vAlign w:val="center"/>
          </w:tcPr>
          <w:p w14:paraId="3F07BD71">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667" w:type="dxa"/>
            <w:noWrap w:val="0"/>
            <w:vAlign w:val="center"/>
          </w:tcPr>
          <w:p w14:paraId="66363ECB">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5D229B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72D599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276" w:type="dxa"/>
            <w:noWrap w:val="0"/>
            <w:vAlign w:val="center"/>
          </w:tcPr>
          <w:p w14:paraId="0A2ED230">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450" w:type="dxa"/>
            <w:noWrap w:val="0"/>
            <w:vAlign w:val="center"/>
          </w:tcPr>
          <w:p w14:paraId="52A5D45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243" w:type="dxa"/>
            <w:noWrap w:val="0"/>
            <w:vAlign w:val="center"/>
          </w:tcPr>
          <w:p w14:paraId="04B108E6">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450" w:type="dxa"/>
            <w:noWrap w:val="0"/>
            <w:vAlign w:val="center"/>
          </w:tcPr>
          <w:p w14:paraId="3555CD3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667" w:type="dxa"/>
            <w:noWrap w:val="0"/>
            <w:vAlign w:val="center"/>
          </w:tcPr>
          <w:p w14:paraId="5FE7FF6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451174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22E495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276" w:type="dxa"/>
            <w:noWrap w:val="0"/>
            <w:vAlign w:val="center"/>
          </w:tcPr>
          <w:p w14:paraId="0A4546E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450" w:type="dxa"/>
            <w:noWrap w:val="0"/>
            <w:vAlign w:val="center"/>
          </w:tcPr>
          <w:p w14:paraId="14D19341">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243" w:type="dxa"/>
            <w:noWrap w:val="0"/>
            <w:vAlign w:val="center"/>
          </w:tcPr>
          <w:p w14:paraId="735D5905">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450" w:type="dxa"/>
            <w:noWrap w:val="0"/>
            <w:vAlign w:val="center"/>
          </w:tcPr>
          <w:p w14:paraId="034EA22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667" w:type="dxa"/>
            <w:noWrap w:val="0"/>
            <w:vAlign w:val="center"/>
          </w:tcPr>
          <w:p w14:paraId="1732EFA5">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40E3AC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6B86667">
            <w:pPr>
              <w:pStyle w:val="37"/>
              <w:rPr>
                <w:rFonts w:ascii="Times New Roman" w:hAnsi="Times New Roman" w:eastAsia="仿宋_GB2312"/>
                <w:color w:val="auto"/>
                <w:sz w:val="30"/>
                <w:szCs w:val="30"/>
              </w:rPr>
            </w:pPr>
          </w:p>
        </w:tc>
        <w:tc>
          <w:tcPr>
            <w:tcW w:w="1276" w:type="dxa"/>
            <w:noWrap w:val="0"/>
            <w:vAlign w:val="top"/>
          </w:tcPr>
          <w:p w14:paraId="0FD5E210">
            <w:pPr>
              <w:pStyle w:val="37"/>
              <w:rPr>
                <w:rFonts w:ascii="Times New Roman" w:hAnsi="Times New Roman" w:eastAsia="仿宋_GB2312"/>
                <w:color w:val="auto"/>
                <w:sz w:val="30"/>
                <w:szCs w:val="30"/>
              </w:rPr>
            </w:pPr>
          </w:p>
        </w:tc>
        <w:tc>
          <w:tcPr>
            <w:tcW w:w="1450" w:type="dxa"/>
            <w:noWrap w:val="0"/>
            <w:vAlign w:val="top"/>
          </w:tcPr>
          <w:p w14:paraId="40007840">
            <w:pPr>
              <w:pStyle w:val="37"/>
              <w:rPr>
                <w:rFonts w:ascii="Times New Roman" w:hAnsi="Times New Roman" w:eastAsia="仿宋_GB2312"/>
                <w:color w:val="auto"/>
                <w:sz w:val="30"/>
                <w:szCs w:val="30"/>
              </w:rPr>
            </w:pPr>
          </w:p>
        </w:tc>
        <w:tc>
          <w:tcPr>
            <w:tcW w:w="1243" w:type="dxa"/>
            <w:noWrap w:val="0"/>
            <w:vAlign w:val="top"/>
          </w:tcPr>
          <w:p w14:paraId="452ECF9B">
            <w:pPr>
              <w:pStyle w:val="37"/>
              <w:rPr>
                <w:rFonts w:ascii="Times New Roman" w:hAnsi="Times New Roman" w:eastAsia="仿宋_GB2312"/>
                <w:color w:val="auto"/>
                <w:sz w:val="30"/>
                <w:szCs w:val="30"/>
              </w:rPr>
            </w:pPr>
          </w:p>
        </w:tc>
        <w:tc>
          <w:tcPr>
            <w:tcW w:w="1450" w:type="dxa"/>
            <w:noWrap w:val="0"/>
            <w:vAlign w:val="top"/>
          </w:tcPr>
          <w:p w14:paraId="35F0A180">
            <w:pPr>
              <w:pStyle w:val="37"/>
              <w:rPr>
                <w:rFonts w:ascii="Times New Roman" w:hAnsi="Times New Roman" w:eastAsia="仿宋_GB2312"/>
                <w:color w:val="auto"/>
                <w:sz w:val="30"/>
                <w:szCs w:val="30"/>
              </w:rPr>
            </w:pPr>
          </w:p>
        </w:tc>
        <w:tc>
          <w:tcPr>
            <w:tcW w:w="1667" w:type="dxa"/>
            <w:noWrap w:val="0"/>
            <w:vAlign w:val="top"/>
          </w:tcPr>
          <w:p w14:paraId="214135EE">
            <w:pPr>
              <w:pStyle w:val="37"/>
              <w:rPr>
                <w:rFonts w:ascii="Times New Roman" w:hAnsi="Times New Roman" w:eastAsia="仿宋_GB2312"/>
                <w:color w:val="auto"/>
                <w:sz w:val="30"/>
                <w:szCs w:val="30"/>
              </w:rPr>
            </w:pPr>
          </w:p>
        </w:tc>
      </w:tr>
      <w:tr w14:paraId="7BC17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CC16986">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276" w:type="dxa"/>
            <w:noWrap w:val="0"/>
            <w:vAlign w:val="center"/>
          </w:tcPr>
          <w:p w14:paraId="735F0CC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450" w:type="dxa"/>
            <w:noWrap w:val="0"/>
            <w:vAlign w:val="center"/>
          </w:tcPr>
          <w:p w14:paraId="5DA08D06">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243" w:type="dxa"/>
            <w:noWrap w:val="0"/>
            <w:vAlign w:val="center"/>
          </w:tcPr>
          <w:p w14:paraId="0300D725">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450" w:type="dxa"/>
            <w:noWrap w:val="0"/>
            <w:vAlign w:val="center"/>
          </w:tcPr>
          <w:p w14:paraId="1DF2E3D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667" w:type="dxa"/>
            <w:noWrap w:val="0"/>
            <w:vAlign w:val="center"/>
          </w:tcPr>
          <w:p w14:paraId="7E3FD9FF">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545183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0F3F1B4">
            <w:pPr>
              <w:pStyle w:val="37"/>
              <w:rPr>
                <w:rFonts w:ascii="Times New Roman" w:hAnsi="Times New Roman" w:eastAsia="仿宋_GB2312"/>
                <w:color w:val="auto"/>
                <w:sz w:val="30"/>
                <w:szCs w:val="30"/>
              </w:rPr>
            </w:pPr>
          </w:p>
        </w:tc>
        <w:tc>
          <w:tcPr>
            <w:tcW w:w="1276" w:type="dxa"/>
            <w:noWrap w:val="0"/>
            <w:vAlign w:val="top"/>
          </w:tcPr>
          <w:p w14:paraId="34076AD2">
            <w:pPr>
              <w:pStyle w:val="37"/>
              <w:rPr>
                <w:rFonts w:ascii="Times New Roman" w:hAnsi="Times New Roman" w:eastAsia="仿宋_GB2312"/>
                <w:color w:val="auto"/>
                <w:sz w:val="30"/>
                <w:szCs w:val="30"/>
              </w:rPr>
            </w:pPr>
          </w:p>
        </w:tc>
        <w:tc>
          <w:tcPr>
            <w:tcW w:w="1450" w:type="dxa"/>
            <w:noWrap w:val="0"/>
            <w:vAlign w:val="top"/>
          </w:tcPr>
          <w:p w14:paraId="3E4E6FBB">
            <w:pPr>
              <w:pStyle w:val="37"/>
              <w:rPr>
                <w:rFonts w:ascii="Times New Roman" w:hAnsi="Times New Roman" w:eastAsia="仿宋_GB2312"/>
                <w:color w:val="auto"/>
                <w:sz w:val="30"/>
                <w:szCs w:val="30"/>
              </w:rPr>
            </w:pPr>
          </w:p>
        </w:tc>
        <w:tc>
          <w:tcPr>
            <w:tcW w:w="1243" w:type="dxa"/>
            <w:noWrap w:val="0"/>
            <w:vAlign w:val="top"/>
          </w:tcPr>
          <w:p w14:paraId="77A3E409">
            <w:pPr>
              <w:pStyle w:val="37"/>
              <w:rPr>
                <w:rFonts w:ascii="Times New Roman" w:hAnsi="Times New Roman" w:eastAsia="仿宋_GB2312"/>
                <w:color w:val="auto"/>
                <w:sz w:val="30"/>
                <w:szCs w:val="30"/>
              </w:rPr>
            </w:pPr>
          </w:p>
        </w:tc>
        <w:tc>
          <w:tcPr>
            <w:tcW w:w="1450" w:type="dxa"/>
            <w:noWrap w:val="0"/>
            <w:vAlign w:val="top"/>
          </w:tcPr>
          <w:p w14:paraId="446AF340">
            <w:pPr>
              <w:pStyle w:val="37"/>
              <w:rPr>
                <w:rFonts w:ascii="Times New Roman" w:hAnsi="Times New Roman" w:eastAsia="仿宋_GB2312"/>
                <w:color w:val="auto"/>
                <w:sz w:val="30"/>
                <w:szCs w:val="30"/>
              </w:rPr>
            </w:pPr>
          </w:p>
        </w:tc>
        <w:tc>
          <w:tcPr>
            <w:tcW w:w="1667" w:type="dxa"/>
            <w:noWrap w:val="0"/>
            <w:vAlign w:val="top"/>
          </w:tcPr>
          <w:p w14:paraId="3559E0B9">
            <w:pPr>
              <w:pStyle w:val="37"/>
              <w:rPr>
                <w:rFonts w:ascii="Times New Roman" w:hAnsi="Times New Roman" w:eastAsia="仿宋_GB2312"/>
                <w:color w:val="auto"/>
                <w:sz w:val="30"/>
                <w:szCs w:val="30"/>
              </w:rPr>
            </w:pPr>
          </w:p>
        </w:tc>
      </w:tr>
      <w:tr w14:paraId="579C44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7A32707">
            <w:pPr>
              <w:pStyle w:val="37"/>
              <w:rPr>
                <w:rFonts w:ascii="Times New Roman" w:hAnsi="Times New Roman" w:eastAsia="仿宋_GB2312"/>
                <w:color w:val="auto"/>
                <w:sz w:val="30"/>
                <w:szCs w:val="30"/>
              </w:rPr>
            </w:pPr>
          </w:p>
        </w:tc>
        <w:tc>
          <w:tcPr>
            <w:tcW w:w="1276" w:type="dxa"/>
            <w:noWrap w:val="0"/>
            <w:vAlign w:val="top"/>
          </w:tcPr>
          <w:p w14:paraId="40CFAF29">
            <w:pPr>
              <w:pStyle w:val="37"/>
              <w:rPr>
                <w:rFonts w:ascii="Times New Roman" w:hAnsi="Times New Roman" w:eastAsia="仿宋_GB2312"/>
                <w:color w:val="auto"/>
                <w:sz w:val="30"/>
                <w:szCs w:val="30"/>
              </w:rPr>
            </w:pPr>
          </w:p>
        </w:tc>
        <w:tc>
          <w:tcPr>
            <w:tcW w:w="1450" w:type="dxa"/>
            <w:noWrap w:val="0"/>
            <w:vAlign w:val="top"/>
          </w:tcPr>
          <w:p w14:paraId="11154571">
            <w:pPr>
              <w:pStyle w:val="37"/>
              <w:rPr>
                <w:rFonts w:ascii="Times New Roman" w:hAnsi="Times New Roman" w:eastAsia="仿宋_GB2312"/>
                <w:color w:val="auto"/>
                <w:sz w:val="30"/>
                <w:szCs w:val="30"/>
              </w:rPr>
            </w:pPr>
          </w:p>
        </w:tc>
        <w:tc>
          <w:tcPr>
            <w:tcW w:w="1243" w:type="dxa"/>
            <w:noWrap w:val="0"/>
            <w:vAlign w:val="top"/>
          </w:tcPr>
          <w:p w14:paraId="29E9F964">
            <w:pPr>
              <w:pStyle w:val="37"/>
              <w:rPr>
                <w:rFonts w:ascii="Times New Roman" w:hAnsi="Times New Roman" w:eastAsia="仿宋_GB2312"/>
                <w:color w:val="auto"/>
                <w:sz w:val="30"/>
                <w:szCs w:val="30"/>
              </w:rPr>
            </w:pPr>
          </w:p>
        </w:tc>
        <w:tc>
          <w:tcPr>
            <w:tcW w:w="1450" w:type="dxa"/>
            <w:noWrap w:val="0"/>
            <w:vAlign w:val="top"/>
          </w:tcPr>
          <w:p w14:paraId="59062211">
            <w:pPr>
              <w:pStyle w:val="37"/>
              <w:rPr>
                <w:rFonts w:ascii="Times New Roman" w:hAnsi="Times New Roman" w:eastAsia="仿宋_GB2312"/>
                <w:color w:val="auto"/>
                <w:sz w:val="30"/>
                <w:szCs w:val="30"/>
              </w:rPr>
            </w:pPr>
          </w:p>
        </w:tc>
        <w:tc>
          <w:tcPr>
            <w:tcW w:w="1667" w:type="dxa"/>
            <w:noWrap w:val="0"/>
            <w:vAlign w:val="top"/>
          </w:tcPr>
          <w:p w14:paraId="0E9BFA9A">
            <w:pPr>
              <w:pStyle w:val="37"/>
              <w:rPr>
                <w:rFonts w:ascii="Times New Roman" w:hAnsi="Times New Roman" w:eastAsia="仿宋_GB2312"/>
                <w:color w:val="auto"/>
                <w:sz w:val="30"/>
                <w:szCs w:val="30"/>
              </w:rPr>
            </w:pPr>
          </w:p>
        </w:tc>
      </w:tr>
      <w:tr w14:paraId="75A4A2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088300D">
            <w:pPr>
              <w:pStyle w:val="37"/>
              <w:rPr>
                <w:rFonts w:ascii="Times New Roman" w:hAnsi="Times New Roman" w:eastAsia="仿宋_GB2312"/>
                <w:color w:val="auto"/>
                <w:sz w:val="30"/>
                <w:szCs w:val="30"/>
              </w:rPr>
            </w:pPr>
          </w:p>
        </w:tc>
        <w:tc>
          <w:tcPr>
            <w:tcW w:w="1276" w:type="dxa"/>
            <w:noWrap w:val="0"/>
            <w:vAlign w:val="top"/>
          </w:tcPr>
          <w:p w14:paraId="29E6A719">
            <w:pPr>
              <w:pStyle w:val="37"/>
              <w:rPr>
                <w:rFonts w:ascii="Times New Roman" w:hAnsi="Times New Roman" w:eastAsia="仿宋_GB2312"/>
                <w:color w:val="auto"/>
                <w:sz w:val="30"/>
                <w:szCs w:val="30"/>
              </w:rPr>
            </w:pPr>
          </w:p>
        </w:tc>
        <w:tc>
          <w:tcPr>
            <w:tcW w:w="1450" w:type="dxa"/>
            <w:noWrap w:val="0"/>
            <w:vAlign w:val="top"/>
          </w:tcPr>
          <w:p w14:paraId="7E1CACC6">
            <w:pPr>
              <w:pStyle w:val="37"/>
              <w:rPr>
                <w:rFonts w:ascii="Times New Roman" w:hAnsi="Times New Roman" w:eastAsia="仿宋_GB2312"/>
                <w:color w:val="auto"/>
                <w:sz w:val="30"/>
                <w:szCs w:val="30"/>
              </w:rPr>
            </w:pPr>
          </w:p>
        </w:tc>
        <w:tc>
          <w:tcPr>
            <w:tcW w:w="1243" w:type="dxa"/>
            <w:noWrap w:val="0"/>
            <w:vAlign w:val="top"/>
          </w:tcPr>
          <w:p w14:paraId="63584099">
            <w:pPr>
              <w:pStyle w:val="37"/>
              <w:rPr>
                <w:rFonts w:ascii="Times New Roman" w:hAnsi="Times New Roman" w:eastAsia="仿宋_GB2312"/>
                <w:color w:val="auto"/>
                <w:sz w:val="30"/>
                <w:szCs w:val="30"/>
              </w:rPr>
            </w:pPr>
          </w:p>
        </w:tc>
        <w:tc>
          <w:tcPr>
            <w:tcW w:w="1450" w:type="dxa"/>
            <w:noWrap w:val="0"/>
            <w:vAlign w:val="top"/>
          </w:tcPr>
          <w:p w14:paraId="032B79CE">
            <w:pPr>
              <w:pStyle w:val="37"/>
              <w:rPr>
                <w:rFonts w:ascii="Times New Roman" w:hAnsi="Times New Roman" w:eastAsia="仿宋_GB2312"/>
                <w:color w:val="auto"/>
                <w:sz w:val="30"/>
                <w:szCs w:val="30"/>
              </w:rPr>
            </w:pPr>
          </w:p>
        </w:tc>
        <w:tc>
          <w:tcPr>
            <w:tcW w:w="1667" w:type="dxa"/>
            <w:noWrap w:val="0"/>
            <w:vAlign w:val="top"/>
          </w:tcPr>
          <w:p w14:paraId="7D2F1A21">
            <w:pPr>
              <w:pStyle w:val="37"/>
              <w:rPr>
                <w:rFonts w:ascii="Times New Roman" w:hAnsi="Times New Roman" w:eastAsia="仿宋_GB2312"/>
                <w:color w:val="auto"/>
                <w:sz w:val="30"/>
                <w:szCs w:val="30"/>
              </w:rPr>
            </w:pPr>
          </w:p>
        </w:tc>
      </w:tr>
      <w:tr w14:paraId="37999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0A30FC0">
            <w:pPr>
              <w:pStyle w:val="37"/>
              <w:rPr>
                <w:rFonts w:ascii="Times New Roman" w:hAnsi="Times New Roman" w:eastAsia="仿宋_GB2312"/>
                <w:color w:val="auto"/>
                <w:sz w:val="30"/>
                <w:szCs w:val="30"/>
              </w:rPr>
            </w:pPr>
          </w:p>
        </w:tc>
        <w:tc>
          <w:tcPr>
            <w:tcW w:w="1276" w:type="dxa"/>
            <w:noWrap w:val="0"/>
            <w:vAlign w:val="top"/>
          </w:tcPr>
          <w:p w14:paraId="7B238D40">
            <w:pPr>
              <w:pStyle w:val="37"/>
              <w:rPr>
                <w:rFonts w:ascii="Times New Roman" w:hAnsi="Times New Roman" w:eastAsia="仿宋_GB2312"/>
                <w:color w:val="auto"/>
                <w:sz w:val="30"/>
                <w:szCs w:val="30"/>
              </w:rPr>
            </w:pPr>
          </w:p>
        </w:tc>
        <w:tc>
          <w:tcPr>
            <w:tcW w:w="1450" w:type="dxa"/>
            <w:noWrap w:val="0"/>
            <w:vAlign w:val="top"/>
          </w:tcPr>
          <w:p w14:paraId="0309A00D">
            <w:pPr>
              <w:pStyle w:val="37"/>
              <w:rPr>
                <w:rFonts w:ascii="Times New Roman" w:hAnsi="Times New Roman" w:eastAsia="仿宋_GB2312"/>
                <w:color w:val="auto"/>
                <w:sz w:val="30"/>
                <w:szCs w:val="30"/>
              </w:rPr>
            </w:pPr>
          </w:p>
        </w:tc>
        <w:tc>
          <w:tcPr>
            <w:tcW w:w="1243" w:type="dxa"/>
            <w:noWrap w:val="0"/>
            <w:vAlign w:val="top"/>
          </w:tcPr>
          <w:p w14:paraId="757CF500">
            <w:pPr>
              <w:pStyle w:val="37"/>
              <w:rPr>
                <w:rFonts w:ascii="Times New Roman" w:hAnsi="Times New Roman" w:eastAsia="仿宋_GB2312"/>
                <w:color w:val="auto"/>
                <w:sz w:val="30"/>
                <w:szCs w:val="30"/>
              </w:rPr>
            </w:pPr>
          </w:p>
        </w:tc>
        <w:tc>
          <w:tcPr>
            <w:tcW w:w="1450" w:type="dxa"/>
            <w:noWrap w:val="0"/>
            <w:vAlign w:val="top"/>
          </w:tcPr>
          <w:p w14:paraId="760902D2">
            <w:pPr>
              <w:pStyle w:val="37"/>
              <w:rPr>
                <w:rFonts w:ascii="Times New Roman" w:hAnsi="Times New Roman" w:eastAsia="仿宋_GB2312"/>
                <w:color w:val="auto"/>
                <w:sz w:val="30"/>
                <w:szCs w:val="30"/>
              </w:rPr>
            </w:pPr>
          </w:p>
        </w:tc>
        <w:tc>
          <w:tcPr>
            <w:tcW w:w="1667" w:type="dxa"/>
            <w:noWrap w:val="0"/>
            <w:vAlign w:val="top"/>
          </w:tcPr>
          <w:p w14:paraId="39EAF3C3">
            <w:pPr>
              <w:pStyle w:val="37"/>
              <w:rPr>
                <w:rFonts w:ascii="Times New Roman" w:hAnsi="Times New Roman" w:eastAsia="仿宋_GB2312"/>
                <w:color w:val="auto"/>
                <w:sz w:val="30"/>
                <w:szCs w:val="30"/>
              </w:rPr>
            </w:pPr>
          </w:p>
        </w:tc>
      </w:tr>
      <w:tr w14:paraId="281D1D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E4A3B4E">
            <w:pPr>
              <w:pStyle w:val="37"/>
              <w:rPr>
                <w:rFonts w:ascii="Times New Roman" w:hAnsi="Times New Roman" w:eastAsia="仿宋_GB2312"/>
                <w:color w:val="auto"/>
                <w:sz w:val="30"/>
                <w:szCs w:val="30"/>
              </w:rPr>
            </w:pPr>
          </w:p>
        </w:tc>
        <w:tc>
          <w:tcPr>
            <w:tcW w:w="1276" w:type="dxa"/>
            <w:noWrap w:val="0"/>
            <w:vAlign w:val="top"/>
          </w:tcPr>
          <w:p w14:paraId="7D509BFB">
            <w:pPr>
              <w:pStyle w:val="37"/>
              <w:rPr>
                <w:rFonts w:ascii="Times New Roman" w:hAnsi="Times New Roman" w:eastAsia="仿宋_GB2312"/>
                <w:color w:val="auto"/>
                <w:sz w:val="30"/>
                <w:szCs w:val="30"/>
              </w:rPr>
            </w:pPr>
          </w:p>
        </w:tc>
        <w:tc>
          <w:tcPr>
            <w:tcW w:w="1450" w:type="dxa"/>
            <w:noWrap w:val="0"/>
            <w:vAlign w:val="top"/>
          </w:tcPr>
          <w:p w14:paraId="59EAB8DC">
            <w:pPr>
              <w:pStyle w:val="37"/>
              <w:rPr>
                <w:rFonts w:ascii="Times New Roman" w:hAnsi="Times New Roman" w:eastAsia="仿宋_GB2312"/>
                <w:color w:val="auto"/>
                <w:sz w:val="30"/>
                <w:szCs w:val="30"/>
              </w:rPr>
            </w:pPr>
          </w:p>
        </w:tc>
        <w:tc>
          <w:tcPr>
            <w:tcW w:w="1243" w:type="dxa"/>
            <w:noWrap w:val="0"/>
            <w:vAlign w:val="top"/>
          </w:tcPr>
          <w:p w14:paraId="1955314D">
            <w:pPr>
              <w:pStyle w:val="37"/>
              <w:rPr>
                <w:rFonts w:ascii="Times New Roman" w:hAnsi="Times New Roman" w:eastAsia="仿宋_GB2312"/>
                <w:color w:val="auto"/>
                <w:sz w:val="30"/>
                <w:szCs w:val="30"/>
              </w:rPr>
            </w:pPr>
          </w:p>
        </w:tc>
        <w:tc>
          <w:tcPr>
            <w:tcW w:w="1450" w:type="dxa"/>
            <w:noWrap w:val="0"/>
            <w:vAlign w:val="top"/>
          </w:tcPr>
          <w:p w14:paraId="15C6556E">
            <w:pPr>
              <w:pStyle w:val="37"/>
              <w:rPr>
                <w:rFonts w:ascii="Times New Roman" w:hAnsi="Times New Roman" w:eastAsia="仿宋_GB2312"/>
                <w:color w:val="auto"/>
                <w:sz w:val="30"/>
                <w:szCs w:val="30"/>
              </w:rPr>
            </w:pPr>
          </w:p>
        </w:tc>
        <w:tc>
          <w:tcPr>
            <w:tcW w:w="1667" w:type="dxa"/>
            <w:noWrap w:val="0"/>
            <w:vAlign w:val="top"/>
          </w:tcPr>
          <w:p w14:paraId="686E83B8">
            <w:pPr>
              <w:pStyle w:val="37"/>
              <w:rPr>
                <w:rFonts w:ascii="Times New Roman" w:hAnsi="Times New Roman" w:eastAsia="仿宋_GB2312"/>
                <w:color w:val="auto"/>
                <w:sz w:val="30"/>
                <w:szCs w:val="30"/>
              </w:rPr>
            </w:pPr>
          </w:p>
        </w:tc>
      </w:tr>
      <w:tr w14:paraId="13A4AA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F3AA824">
            <w:pPr>
              <w:pStyle w:val="37"/>
              <w:rPr>
                <w:rFonts w:ascii="Times New Roman" w:hAnsi="Times New Roman" w:eastAsia="仿宋_GB2312"/>
                <w:color w:val="auto"/>
                <w:sz w:val="30"/>
                <w:szCs w:val="30"/>
              </w:rPr>
            </w:pPr>
          </w:p>
        </w:tc>
        <w:tc>
          <w:tcPr>
            <w:tcW w:w="1276" w:type="dxa"/>
            <w:noWrap w:val="0"/>
            <w:vAlign w:val="top"/>
          </w:tcPr>
          <w:p w14:paraId="7B090670">
            <w:pPr>
              <w:pStyle w:val="37"/>
              <w:rPr>
                <w:rFonts w:ascii="Times New Roman" w:hAnsi="Times New Roman" w:eastAsia="仿宋_GB2312"/>
                <w:color w:val="auto"/>
                <w:sz w:val="30"/>
                <w:szCs w:val="30"/>
              </w:rPr>
            </w:pPr>
          </w:p>
        </w:tc>
        <w:tc>
          <w:tcPr>
            <w:tcW w:w="1450" w:type="dxa"/>
            <w:noWrap w:val="0"/>
            <w:vAlign w:val="top"/>
          </w:tcPr>
          <w:p w14:paraId="1EF434C6">
            <w:pPr>
              <w:pStyle w:val="37"/>
              <w:rPr>
                <w:rFonts w:ascii="Times New Roman" w:hAnsi="Times New Roman" w:eastAsia="仿宋_GB2312"/>
                <w:color w:val="auto"/>
                <w:sz w:val="30"/>
                <w:szCs w:val="30"/>
              </w:rPr>
            </w:pPr>
          </w:p>
        </w:tc>
        <w:tc>
          <w:tcPr>
            <w:tcW w:w="1243" w:type="dxa"/>
            <w:noWrap w:val="0"/>
            <w:vAlign w:val="top"/>
          </w:tcPr>
          <w:p w14:paraId="4A9E9AA1">
            <w:pPr>
              <w:pStyle w:val="37"/>
              <w:rPr>
                <w:rFonts w:ascii="Times New Roman" w:hAnsi="Times New Roman" w:eastAsia="仿宋_GB2312"/>
                <w:color w:val="auto"/>
                <w:sz w:val="30"/>
                <w:szCs w:val="30"/>
              </w:rPr>
            </w:pPr>
          </w:p>
        </w:tc>
        <w:tc>
          <w:tcPr>
            <w:tcW w:w="1450" w:type="dxa"/>
            <w:noWrap w:val="0"/>
            <w:vAlign w:val="top"/>
          </w:tcPr>
          <w:p w14:paraId="36F3C896">
            <w:pPr>
              <w:pStyle w:val="37"/>
              <w:rPr>
                <w:rFonts w:ascii="Times New Roman" w:hAnsi="Times New Roman" w:eastAsia="仿宋_GB2312"/>
                <w:color w:val="auto"/>
                <w:sz w:val="30"/>
                <w:szCs w:val="30"/>
              </w:rPr>
            </w:pPr>
          </w:p>
        </w:tc>
        <w:tc>
          <w:tcPr>
            <w:tcW w:w="1667" w:type="dxa"/>
            <w:noWrap w:val="0"/>
            <w:vAlign w:val="top"/>
          </w:tcPr>
          <w:p w14:paraId="09940643">
            <w:pPr>
              <w:pStyle w:val="37"/>
              <w:rPr>
                <w:rFonts w:ascii="Times New Roman" w:hAnsi="Times New Roman" w:eastAsia="仿宋_GB2312"/>
                <w:color w:val="auto"/>
                <w:sz w:val="30"/>
                <w:szCs w:val="30"/>
              </w:rPr>
            </w:pPr>
          </w:p>
        </w:tc>
      </w:tr>
      <w:tr w14:paraId="1F787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7DB439C">
            <w:pPr>
              <w:pStyle w:val="37"/>
              <w:rPr>
                <w:rFonts w:ascii="Times New Roman" w:hAnsi="Times New Roman" w:eastAsia="仿宋_GB2312"/>
                <w:color w:val="auto"/>
                <w:sz w:val="30"/>
                <w:szCs w:val="30"/>
              </w:rPr>
            </w:pPr>
          </w:p>
        </w:tc>
        <w:tc>
          <w:tcPr>
            <w:tcW w:w="1276" w:type="dxa"/>
            <w:noWrap w:val="0"/>
            <w:vAlign w:val="top"/>
          </w:tcPr>
          <w:p w14:paraId="0D6FF8E5">
            <w:pPr>
              <w:pStyle w:val="37"/>
              <w:rPr>
                <w:rFonts w:ascii="Times New Roman" w:hAnsi="Times New Roman" w:eastAsia="仿宋_GB2312"/>
                <w:color w:val="auto"/>
                <w:sz w:val="30"/>
                <w:szCs w:val="30"/>
              </w:rPr>
            </w:pPr>
          </w:p>
        </w:tc>
        <w:tc>
          <w:tcPr>
            <w:tcW w:w="1450" w:type="dxa"/>
            <w:noWrap w:val="0"/>
            <w:vAlign w:val="top"/>
          </w:tcPr>
          <w:p w14:paraId="6DE7C98B">
            <w:pPr>
              <w:pStyle w:val="37"/>
              <w:rPr>
                <w:rFonts w:ascii="Times New Roman" w:hAnsi="Times New Roman" w:eastAsia="仿宋_GB2312"/>
                <w:color w:val="auto"/>
                <w:sz w:val="30"/>
                <w:szCs w:val="30"/>
              </w:rPr>
            </w:pPr>
          </w:p>
        </w:tc>
        <w:tc>
          <w:tcPr>
            <w:tcW w:w="1243" w:type="dxa"/>
            <w:noWrap w:val="0"/>
            <w:vAlign w:val="top"/>
          </w:tcPr>
          <w:p w14:paraId="0139997E">
            <w:pPr>
              <w:pStyle w:val="37"/>
              <w:rPr>
                <w:rFonts w:ascii="Times New Roman" w:hAnsi="Times New Roman" w:eastAsia="仿宋_GB2312"/>
                <w:color w:val="auto"/>
                <w:sz w:val="30"/>
                <w:szCs w:val="30"/>
              </w:rPr>
            </w:pPr>
          </w:p>
        </w:tc>
        <w:tc>
          <w:tcPr>
            <w:tcW w:w="1450" w:type="dxa"/>
            <w:noWrap w:val="0"/>
            <w:vAlign w:val="top"/>
          </w:tcPr>
          <w:p w14:paraId="6109114C">
            <w:pPr>
              <w:pStyle w:val="37"/>
              <w:rPr>
                <w:rFonts w:ascii="Times New Roman" w:hAnsi="Times New Roman" w:eastAsia="仿宋_GB2312"/>
                <w:color w:val="auto"/>
                <w:sz w:val="30"/>
                <w:szCs w:val="30"/>
              </w:rPr>
            </w:pPr>
          </w:p>
        </w:tc>
        <w:tc>
          <w:tcPr>
            <w:tcW w:w="1667" w:type="dxa"/>
            <w:noWrap w:val="0"/>
            <w:vAlign w:val="top"/>
          </w:tcPr>
          <w:p w14:paraId="76EAE07F">
            <w:pPr>
              <w:pStyle w:val="37"/>
              <w:rPr>
                <w:rFonts w:ascii="Times New Roman" w:hAnsi="Times New Roman" w:eastAsia="仿宋_GB2312"/>
                <w:color w:val="auto"/>
                <w:sz w:val="30"/>
                <w:szCs w:val="30"/>
              </w:rPr>
            </w:pPr>
          </w:p>
        </w:tc>
      </w:tr>
    </w:tbl>
    <w:p w14:paraId="7D7EC209">
      <w:pPr>
        <w:pStyle w:val="37"/>
        <w:spacing w:line="440" w:lineRule="exact"/>
        <w:ind w:firstLine="600" w:firstLineChars="200"/>
        <w:rPr>
          <w:rFonts w:ascii="Times New Roman" w:hAnsi="Times New Roman" w:eastAsia="黑体"/>
          <w:color w:val="auto"/>
          <w:sz w:val="30"/>
          <w:szCs w:val="30"/>
        </w:rPr>
      </w:pPr>
      <w:r>
        <w:rPr>
          <w:rFonts w:ascii="Times New Roman" w:hAnsi="Times New Roman" w:eastAsia="仿宋_GB2312"/>
          <w:color w:val="auto"/>
          <w:sz w:val="30"/>
          <w:szCs w:val="30"/>
        </w:rPr>
        <w:br w:type="page"/>
      </w:r>
      <w:r>
        <w:rPr>
          <w:rFonts w:hint="eastAsia" w:ascii="Times New Roman" w:hAnsi="Times New Roman" w:eastAsia="仿宋_GB2312" w:cs="仿宋_GB2312"/>
          <w:color w:val="auto"/>
          <w:sz w:val="30"/>
          <w:szCs w:val="30"/>
        </w:rPr>
        <w:t>附件</w:t>
      </w:r>
      <w:r>
        <w:rPr>
          <w:rFonts w:hint="eastAsia" w:ascii="Times New Roman" w:hAnsi="Times New Roman" w:eastAsia="仿宋_GB2312"/>
          <w:color w:val="auto"/>
          <w:sz w:val="30"/>
          <w:szCs w:val="30"/>
        </w:rPr>
        <w:t>4</w:t>
      </w:r>
      <w:r>
        <w:rPr>
          <w:rFonts w:hint="eastAsia" w:ascii="Times New Roman" w:hAnsi="Times New Roman" w:eastAsia="仿宋_GB2312" w:cs="仿宋_GB2312"/>
          <w:color w:val="auto"/>
          <w:sz w:val="30"/>
          <w:szCs w:val="30"/>
        </w:rPr>
        <w:t>：</w:t>
      </w:r>
    </w:p>
    <w:p w14:paraId="48FAB4B5">
      <w:pPr>
        <w:pStyle w:val="37"/>
        <w:spacing w:before="156" w:beforeLines="50" w:after="156" w:afterLines="50" w:line="440" w:lineRule="exact"/>
        <w:ind w:firstLine="600" w:firstLineChars="200"/>
        <w:jc w:val="center"/>
        <w:rPr>
          <w:rFonts w:ascii="Times New Roman" w:hAnsi="Times New Roman" w:eastAsia="黑体"/>
          <w:color w:val="auto"/>
          <w:sz w:val="30"/>
          <w:szCs w:val="30"/>
        </w:rPr>
      </w:pPr>
      <w:r>
        <w:rPr>
          <w:rFonts w:hint="eastAsia" w:ascii="Times New Roman" w:hAnsi="Times New Roman" w:eastAsia="黑体" w:cs="黑体"/>
          <w:color w:val="auto"/>
          <w:sz w:val="30"/>
          <w:szCs w:val="30"/>
        </w:rPr>
        <w:t>承包人用于本工程施工的机械设备表</w:t>
      </w:r>
    </w:p>
    <w:tbl>
      <w:tblPr>
        <w:tblStyle w:val="22"/>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741A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2" w:type="dxa"/>
            <w:noWrap w:val="0"/>
            <w:vAlign w:val="center"/>
          </w:tcPr>
          <w:p w14:paraId="248A6A6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序号</w:t>
            </w:r>
          </w:p>
        </w:tc>
        <w:tc>
          <w:tcPr>
            <w:tcW w:w="1418" w:type="dxa"/>
            <w:noWrap w:val="0"/>
            <w:vAlign w:val="center"/>
          </w:tcPr>
          <w:p w14:paraId="0253A0F2">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机械或设备名称</w:t>
            </w:r>
          </w:p>
        </w:tc>
        <w:tc>
          <w:tcPr>
            <w:tcW w:w="850" w:type="dxa"/>
            <w:noWrap w:val="0"/>
            <w:vAlign w:val="center"/>
          </w:tcPr>
          <w:p w14:paraId="71546F2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规格型号</w:t>
            </w:r>
          </w:p>
        </w:tc>
        <w:tc>
          <w:tcPr>
            <w:tcW w:w="1058" w:type="dxa"/>
            <w:noWrap w:val="0"/>
            <w:vAlign w:val="center"/>
          </w:tcPr>
          <w:p w14:paraId="0E99216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数量</w:t>
            </w:r>
          </w:p>
        </w:tc>
        <w:tc>
          <w:tcPr>
            <w:tcW w:w="880" w:type="dxa"/>
            <w:noWrap w:val="0"/>
            <w:vAlign w:val="center"/>
          </w:tcPr>
          <w:p w14:paraId="029BEC1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产地</w:t>
            </w:r>
          </w:p>
        </w:tc>
        <w:tc>
          <w:tcPr>
            <w:tcW w:w="1020" w:type="dxa"/>
            <w:noWrap w:val="0"/>
            <w:vAlign w:val="center"/>
          </w:tcPr>
          <w:p w14:paraId="04271A54">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制造年份</w:t>
            </w:r>
          </w:p>
        </w:tc>
        <w:tc>
          <w:tcPr>
            <w:tcW w:w="1480" w:type="dxa"/>
            <w:noWrap w:val="0"/>
            <w:vAlign w:val="center"/>
          </w:tcPr>
          <w:p w14:paraId="3A479660">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额定功率（</w:t>
            </w:r>
            <w:r>
              <w:rPr>
                <w:rFonts w:ascii="Times New Roman" w:hAnsi="Times New Roman" w:eastAsia="仿宋_GB2312"/>
                <w:color w:val="auto"/>
                <w:sz w:val="28"/>
                <w:szCs w:val="28"/>
              </w:rPr>
              <w:t>kW</w:t>
            </w:r>
            <w:r>
              <w:rPr>
                <w:rFonts w:hint="eastAsia" w:ascii="Times New Roman" w:hAnsi="Times New Roman" w:eastAsia="仿宋_GB2312" w:cs="仿宋_GB2312"/>
                <w:color w:val="auto"/>
                <w:sz w:val="28"/>
                <w:szCs w:val="28"/>
              </w:rPr>
              <w:t>）</w:t>
            </w:r>
          </w:p>
        </w:tc>
        <w:tc>
          <w:tcPr>
            <w:tcW w:w="1020" w:type="dxa"/>
            <w:noWrap w:val="0"/>
            <w:vAlign w:val="center"/>
          </w:tcPr>
          <w:p w14:paraId="6FD606F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生产能力</w:t>
            </w:r>
          </w:p>
        </w:tc>
        <w:tc>
          <w:tcPr>
            <w:tcW w:w="921" w:type="dxa"/>
            <w:noWrap w:val="0"/>
            <w:vAlign w:val="center"/>
          </w:tcPr>
          <w:p w14:paraId="2781016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备注</w:t>
            </w:r>
          </w:p>
        </w:tc>
      </w:tr>
      <w:tr w14:paraId="7F58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157D94A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418" w:type="dxa"/>
            <w:noWrap w:val="0"/>
            <w:vAlign w:val="center"/>
          </w:tcPr>
          <w:p w14:paraId="55CED834">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850" w:type="dxa"/>
            <w:noWrap w:val="0"/>
            <w:vAlign w:val="center"/>
          </w:tcPr>
          <w:p w14:paraId="0CC4D461">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058" w:type="dxa"/>
            <w:noWrap w:val="0"/>
            <w:vAlign w:val="center"/>
          </w:tcPr>
          <w:p w14:paraId="0A5EF07F">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880" w:type="dxa"/>
            <w:noWrap w:val="0"/>
            <w:vAlign w:val="center"/>
          </w:tcPr>
          <w:p w14:paraId="03337CA2">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020" w:type="dxa"/>
            <w:noWrap w:val="0"/>
            <w:vAlign w:val="center"/>
          </w:tcPr>
          <w:p w14:paraId="638D7585">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480" w:type="dxa"/>
            <w:noWrap w:val="0"/>
            <w:vAlign w:val="center"/>
          </w:tcPr>
          <w:p w14:paraId="2B67495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020" w:type="dxa"/>
            <w:noWrap w:val="0"/>
            <w:vAlign w:val="center"/>
          </w:tcPr>
          <w:p w14:paraId="4491239C">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921" w:type="dxa"/>
            <w:noWrap w:val="0"/>
            <w:vAlign w:val="center"/>
          </w:tcPr>
          <w:p w14:paraId="0CD2406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25E5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0B617C9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418" w:type="dxa"/>
            <w:noWrap w:val="0"/>
            <w:vAlign w:val="center"/>
          </w:tcPr>
          <w:p w14:paraId="09ABBE30">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850" w:type="dxa"/>
            <w:noWrap w:val="0"/>
            <w:vAlign w:val="center"/>
          </w:tcPr>
          <w:p w14:paraId="3EA873E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058" w:type="dxa"/>
            <w:noWrap w:val="0"/>
            <w:vAlign w:val="center"/>
          </w:tcPr>
          <w:p w14:paraId="3233F8B5">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880" w:type="dxa"/>
            <w:noWrap w:val="0"/>
            <w:vAlign w:val="center"/>
          </w:tcPr>
          <w:p w14:paraId="075458F5">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020" w:type="dxa"/>
            <w:noWrap w:val="0"/>
            <w:vAlign w:val="center"/>
          </w:tcPr>
          <w:p w14:paraId="7CEFCB06">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480" w:type="dxa"/>
            <w:noWrap w:val="0"/>
            <w:vAlign w:val="center"/>
          </w:tcPr>
          <w:p w14:paraId="14E774F2">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020" w:type="dxa"/>
            <w:noWrap w:val="0"/>
            <w:vAlign w:val="center"/>
          </w:tcPr>
          <w:p w14:paraId="7DC6AFF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921" w:type="dxa"/>
            <w:noWrap w:val="0"/>
            <w:vAlign w:val="center"/>
          </w:tcPr>
          <w:p w14:paraId="067DD8C4">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22A3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62" w:type="dxa"/>
            <w:noWrap w:val="0"/>
            <w:vAlign w:val="center"/>
          </w:tcPr>
          <w:p w14:paraId="0F5115C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418" w:type="dxa"/>
            <w:noWrap w:val="0"/>
            <w:vAlign w:val="center"/>
          </w:tcPr>
          <w:p w14:paraId="1F294DA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850" w:type="dxa"/>
            <w:noWrap w:val="0"/>
            <w:vAlign w:val="center"/>
          </w:tcPr>
          <w:p w14:paraId="2AA88F56">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058" w:type="dxa"/>
            <w:noWrap w:val="0"/>
            <w:vAlign w:val="center"/>
          </w:tcPr>
          <w:p w14:paraId="69C5325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880" w:type="dxa"/>
            <w:noWrap w:val="0"/>
            <w:vAlign w:val="center"/>
          </w:tcPr>
          <w:p w14:paraId="405DA26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020" w:type="dxa"/>
            <w:noWrap w:val="0"/>
            <w:vAlign w:val="center"/>
          </w:tcPr>
          <w:p w14:paraId="40D5E5FC">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480" w:type="dxa"/>
            <w:noWrap w:val="0"/>
            <w:vAlign w:val="center"/>
          </w:tcPr>
          <w:p w14:paraId="4C8A56BF">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020" w:type="dxa"/>
            <w:noWrap w:val="0"/>
            <w:vAlign w:val="center"/>
          </w:tcPr>
          <w:p w14:paraId="0A37F64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921" w:type="dxa"/>
            <w:noWrap w:val="0"/>
            <w:vAlign w:val="center"/>
          </w:tcPr>
          <w:p w14:paraId="194E089F">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60AD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62" w:type="dxa"/>
            <w:noWrap w:val="0"/>
            <w:vAlign w:val="center"/>
          </w:tcPr>
          <w:p w14:paraId="735ACB8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418" w:type="dxa"/>
            <w:noWrap w:val="0"/>
            <w:vAlign w:val="center"/>
          </w:tcPr>
          <w:p w14:paraId="5D096A7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850" w:type="dxa"/>
            <w:noWrap w:val="0"/>
            <w:vAlign w:val="center"/>
          </w:tcPr>
          <w:p w14:paraId="629D138F">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058" w:type="dxa"/>
            <w:noWrap w:val="0"/>
            <w:vAlign w:val="center"/>
          </w:tcPr>
          <w:p w14:paraId="0272569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880" w:type="dxa"/>
            <w:noWrap w:val="0"/>
            <w:vAlign w:val="center"/>
          </w:tcPr>
          <w:p w14:paraId="1283D506">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020" w:type="dxa"/>
            <w:noWrap w:val="0"/>
            <w:vAlign w:val="center"/>
          </w:tcPr>
          <w:p w14:paraId="66C34D37">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480" w:type="dxa"/>
            <w:noWrap w:val="0"/>
            <w:vAlign w:val="center"/>
          </w:tcPr>
          <w:p w14:paraId="107DF6C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020" w:type="dxa"/>
            <w:noWrap w:val="0"/>
            <w:vAlign w:val="center"/>
          </w:tcPr>
          <w:p w14:paraId="0526238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921" w:type="dxa"/>
            <w:noWrap w:val="0"/>
            <w:vAlign w:val="center"/>
          </w:tcPr>
          <w:p w14:paraId="2146FE16">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47AF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C4673D7">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418" w:type="dxa"/>
            <w:noWrap w:val="0"/>
            <w:vAlign w:val="center"/>
          </w:tcPr>
          <w:p w14:paraId="22C761A5">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850" w:type="dxa"/>
            <w:noWrap w:val="0"/>
            <w:vAlign w:val="center"/>
          </w:tcPr>
          <w:p w14:paraId="041650DC">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058" w:type="dxa"/>
            <w:noWrap w:val="0"/>
            <w:vAlign w:val="center"/>
          </w:tcPr>
          <w:p w14:paraId="441808AF">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880" w:type="dxa"/>
            <w:noWrap w:val="0"/>
            <w:vAlign w:val="center"/>
          </w:tcPr>
          <w:p w14:paraId="17BABE27">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020" w:type="dxa"/>
            <w:noWrap w:val="0"/>
            <w:vAlign w:val="center"/>
          </w:tcPr>
          <w:p w14:paraId="539220F5">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480" w:type="dxa"/>
            <w:noWrap w:val="0"/>
            <w:vAlign w:val="center"/>
          </w:tcPr>
          <w:p w14:paraId="22BA617B">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020" w:type="dxa"/>
            <w:noWrap w:val="0"/>
            <w:vAlign w:val="center"/>
          </w:tcPr>
          <w:p w14:paraId="454E65E1">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921" w:type="dxa"/>
            <w:noWrap w:val="0"/>
            <w:vAlign w:val="center"/>
          </w:tcPr>
          <w:p w14:paraId="3801C65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517D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557B442B">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418" w:type="dxa"/>
            <w:noWrap w:val="0"/>
            <w:vAlign w:val="center"/>
          </w:tcPr>
          <w:p w14:paraId="39F72350">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850" w:type="dxa"/>
            <w:noWrap w:val="0"/>
            <w:vAlign w:val="center"/>
          </w:tcPr>
          <w:p w14:paraId="40974FA6">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058" w:type="dxa"/>
            <w:noWrap w:val="0"/>
            <w:vAlign w:val="center"/>
          </w:tcPr>
          <w:p w14:paraId="65AB41A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880" w:type="dxa"/>
            <w:noWrap w:val="0"/>
            <w:vAlign w:val="center"/>
          </w:tcPr>
          <w:p w14:paraId="3A214CE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020" w:type="dxa"/>
            <w:noWrap w:val="0"/>
            <w:vAlign w:val="center"/>
          </w:tcPr>
          <w:p w14:paraId="39F1D04C">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480" w:type="dxa"/>
            <w:noWrap w:val="0"/>
            <w:vAlign w:val="center"/>
          </w:tcPr>
          <w:p w14:paraId="143E73EB">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020" w:type="dxa"/>
            <w:noWrap w:val="0"/>
            <w:vAlign w:val="center"/>
          </w:tcPr>
          <w:p w14:paraId="4B134EB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921" w:type="dxa"/>
            <w:noWrap w:val="0"/>
            <w:vAlign w:val="center"/>
          </w:tcPr>
          <w:p w14:paraId="7E072A40">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6FAF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4E14787F">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418" w:type="dxa"/>
            <w:noWrap w:val="0"/>
            <w:vAlign w:val="center"/>
          </w:tcPr>
          <w:p w14:paraId="264C9FDB">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850" w:type="dxa"/>
            <w:noWrap w:val="0"/>
            <w:vAlign w:val="center"/>
          </w:tcPr>
          <w:p w14:paraId="6A121D6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058" w:type="dxa"/>
            <w:noWrap w:val="0"/>
            <w:vAlign w:val="center"/>
          </w:tcPr>
          <w:p w14:paraId="7D06BDCC">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880" w:type="dxa"/>
            <w:noWrap w:val="0"/>
            <w:vAlign w:val="center"/>
          </w:tcPr>
          <w:p w14:paraId="01C46C2F">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020" w:type="dxa"/>
            <w:noWrap w:val="0"/>
            <w:vAlign w:val="center"/>
          </w:tcPr>
          <w:p w14:paraId="4676C30B">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480" w:type="dxa"/>
            <w:noWrap w:val="0"/>
            <w:vAlign w:val="center"/>
          </w:tcPr>
          <w:p w14:paraId="691FCA6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020" w:type="dxa"/>
            <w:noWrap w:val="0"/>
            <w:vAlign w:val="center"/>
          </w:tcPr>
          <w:p w14:paraId="0615044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921" w:type="dxa"/>
            <w:noWrap w:val="0"/>
            <w:vAlign w:val="center"/>
          </w:tcPr>
          <w:p w14:paraId="11399922">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10FF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62" w:type="dxa"/>
            <w:noWrap w:val="0"/>
            <w:vAlign w:val="center"/>
          </w:tcPr>
          <w:p w14:paraId="01B3EAB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418" w:type="dxa"/>
            <w:noWrap w:val="0"/>
            <w:vAlign w:val="center"/>
          </w:tcPr>
          <w:p w14:paraId="60A0BE65">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850" w:type="dxa"/>
            <w:noWrap w:val="0"/>
            <w:vAlign w:val="center"/>
          </w:tcPr>
          <w:p w14:paraId="0A0E8BD2">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058" w:type="dxa"/>
            <w:noWrap w:val="0"/>
            <w:vAlign w:val="center"/>
          </w:tcPr>
          <w:p w14:paraId="38450C0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880" w:type="dxa"/>
            <w:noWrap w:val="0"/>
            <w:vAlign w:val="center"/>
          </w:tcPr>
          <w:p w14:paraId="2E47860F">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020" w:type="dxa"/>
            <w:noWrap w:val="0"/>
            <w:vAlign w:val="center"/>
          </w:tcPr>
          <w:p w14:paraId="3A1EDDB1">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480" w:type="dxa"/>
            <w:noWrap w:val="0"/>
            <w:vAlign w:val="center"/>
          </w:tcPr>
          <w:p w14:paraId="4153EC6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020" w:type="dxa"/>
            <w:noWrap w:val="0"/>
            <w:vAlign w:val="center"/>
          </w:tcPr>
          <w:p w14:paraId="731DAE46">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921" w:type="dxa"/>
            <w:noWrap w:val="0"/>
            <w:vAlign w:val="center"/>
          </w:tcPr>
          <w:p w14:paraId="0E5D47F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15B5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B1CE4E2">
            <w:pPr>
              <w:pStyle w:val="37"/>
              <w:rPr>
                <w:rFonts w:ascii="Times New Roman" w:hAnsi="Times New Roman" w:eastAsia="仿宋_GB2312"/>
                <w:color w:val="auto"/>
                <w:sz w:val="30"/>
                <w:szCs w:val="30"/>
              </w:rPr>
            </w:pPr>
          </w:p>
        </w:tc>
        <w:tc>
          <w:tcPr>
            <w:tcW w:w="1418" w:type="dxa"/>
            <w:noWrap w:val="0"/>
            <w:vAlign w:val="top"/>
          </w:tcPr>
          <w:p w14:paraId="3D1ACAF0">
            <w:pPr>
              <w:pStyle w:val="37"/>
              <w:rPr>
                <w:rFonts w:ascii="Times New Roman" w:hAnsi="Times New Roman" w:eastAsia="仿宋_GB2312"/>
                <w:color w:val="auto"/>
                <w:sz w:val="30"/>
                <w:szCs w:val="30"/>
              </w:rPr>
            </w:pPr>
          </w:p>
        </w:tc>
        <w:tc>
          <w:tcPr>
            <w:tcW w:w="850" w:type="dxa"/>
            <w:noWrap w:val="0"/>
            <w:vAlign w:val="top"/>
          </w:tcPr>
          <w:p w14:paraId="2DE1938B">
            <w:pPr>
              <w:pStyle w:val="37"/>
              <w:rPr>
                <w:rFonts w:ascii="Times New Roman" w:hAnsi="Times New Roman" w:eastAsia="仿宋_GB2312"/>
                <w:color w:val="auto"/>
                <w:sz w:val="30"/>
                <w:szCs w:val="30"/>
              </w:rPr>
            </w:pPr>
          </w:p>
        </w:tc>
        <w:tc>
          <w:tcPr>
            <w:tcW w:w="1058" w:type="dxa"/>
            <w:noWrap w:val="0"/>
            <w:vAlign w:val="top"/>
          </w:tcPr>
          <w:p w14:paraId="4BDC71D4">
            <w:pPr>
              <w:pStyle w:val="37"/>
              <w:rPr>
                <w:rFonts w:ascii="Times New Roman" w:hAnsi="Times New Roman" w:eastAsia="仿宋_GB2312"/>
                <w:color w:val="auto"/>
                <w:sz w:val="30"/>
                <w:szCs w:val="30"/>
              </w:rPr>
            </w:pPr>
          </w:p>
        </w:tc>
        <w:tc>
          <w:tcPr>
            <w:tcW w:w="880" w:type="dxa"/>
            <w:noWrap w:val="0"/>
            <w:vAlign w:val="top"/>
          </w:tcPr>
          <w:p w14:paraId="37BAFC8E">
            <w:pPr>
              <w:pStyle w:val="37"/>
              <w:rPr>
                <w:rFonts w:ascii="Times New Roman" w:hAnsi="Times New Roman" w:eastAsia="仿宋_GB2312"/>
                <w:color w:val="auto"/>
                <w:sz w:val="30"/>
                <w:szCs w:val="30"/>
              </w:rPr>
            </w:pPr>
          </w:p>
        </w:tc>
        <w:tc>
          <w:tcPr>
            <w:tcW w:w="1020" w:type="dxa"/>
            <w:noWrap w:val="0"/>
            <w:vAlign w:val="top"/>
          </w:tcPr>
          <w:p w14:paraId="56F45CA2">
            <w:pPr>
              <w:pStyle w:val="37"/>
              <w:rPr>
                <w:rFonts w:ascii="Times New Roman" w:hAnsi="Times New Roman" w:eastAsia="仿宋_GB2312"/>
                <w:color w:val="auto"/>
                <w:sz w:val="30"/>
                <w:szCs w:val="30"/>
              </w:rPr>
            </w:pPr>
          </w:p>
        </w:tc>
        <w:tc>
          <w:tcPr>
            <w:tcW w:w="1480" w:type="dxa"/>
            <w:noWrap w:val="0"/>
            <w:vAlign w:val="top"/>
          </w:tcPr>
          <w:p w14:paraId="2E36372A">
            <w:pPr>
              <w:pStyle w:val="37"/>
              <w:rPr>
                <w:rFonts w:ascii="Times New Roman" w:hAnsi="Times New Roman" w:eastAsia="仿宋_GB2312"/>
                <w:color w:val="auto"/>
                <w:sz w:val="30"/>
                <w:szCs w:val="30"/>
              </w:rPr>
            </w:pPr>
          </w:p>
        </w:tc>
        <w:tc>
          <w:tcPr>
            <w:tcW w:w="1020" w:type="dxa"/>
            <w:noWrap w:val="0"/>
            <w:vAlign w:val="top"/>
          </w:tcPr>
          <w:p w14:paraId="4840DC20">
            <w:pPr>
              <w:pStyle w:val="37"/>
              <w:rPr>
                <w:rFonts w:ascii="Times New Roman" w:hAnsi="Times New Roman" w:eastAsia="仿宋_GB2312"/>
                <w:color w:val="auto"/>
                <w:sz w:val="30"/>
                <w:szCs w:val="30"/>
              </w:rPr>
            </w:pPr>
          </w:p>
        </w:tc>
        <w:tc>
          <w:tcPr>
            <w:tcW w:w="921" w:type="dxa"/>
            <w:noWrap w:val="0"/>
            <w:vAlign w:val="top"/>
          </w:tcPr>
          <w:p w14:paraId="33E8F48C">
            <w:pPr>
              <w:pStyle w:val="37"/>
              <w:rPr>
                <w:rFonts w:ascii="Times New Roman" w:hAnsi="Times New Roman" w:eastAsia="仿宋_GB2312"/>
                <w:color w:val="auto"/>
                <w:sz w:val="30"/>
                <w:szCs w:val="30"/>
              </w:rPr>
            </w:pPr>
          </w:p>
        </w:tc>
      </w:tr>
      <w:tr w14:paraId="5EC5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62" w:type="dxa"/>
            <w:noWrap w:val="0"/>
            <w:vAlign w:val="center"/>
          </w:tcPr>
          <w:p w14:paraId="69E98DA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418" w:type="dxa"/>
            <w:noWrap w:val="0"/>
            <w:vAlign w:val="center"/>
          </w:tcPr>
          <w:p w14:paraId="633C049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850" w:type="dxa"/>
            <w:noWrap w:val="0"/>
            <w:vAlign w:val="center"/>
          </w:tcPr>
          <w:p w14:paraId="16068D6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058" w:type="dxa"/>
            <w:noWrap w:val="0"/>
            <w:vAlign w:val="center"/>
          </w:tcPr>
          <w:p w14:paraId="1C67B64B">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880" w:type="dxa"/>
            <w:noWrap w:val="0"/>
            <w:vAlign w:val="center"/>
          </w:tcPr>
          <w:p w14:paraId="5171ED3F">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020" w:type="dxa"/>
            <w:noWrap w:val="0"/>
            <w:vAlign w:val="center"/>
          </w:tcPr>
          <w:p w14:paraId="0C4704D7">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480" w:type="dxa"/>
            <w:noWrap w:val="0"/>
            <w:vAlign w:val="center"/>
          </w:tcPr>
          <w:p w14:paraId="4CDB2B0B">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020" w:type="dxa"/>
            <w:noWrap w:val="0"/>
            <w:vAlign w:val="center"/>
          </w:tcPr>
          <w:p w14:paraId="71FE08D2">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921" w:type="dxa"/>
            <w:noWrap w:val="0"/>
            <w:vAlign w:val="center"/>
          </w:tcPr>
          <w:p w14:paraId="23CFB69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056E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71C5A009">
            <w:pPr>
              <w:pStyle w:val="37"/>
              <w:rPr>
                <w:rFonts w:ascii="Times New Roman" w:hAnsi="Times New Roman" w:eastAsia="仿宋_GB2312"/>
                <w:color w:val="auto"/>
                <w:sz w:val="30"/>
                <w:szCs w:val="30"/>
              </w:rPr>
            </w:pPr>
          </w:p>
        </w:tc>
        <w:tc>
          <w:tcPr>
            <w:tcW w:w="1418" w:type="dxa"/>
            <w:noWrap w:val="0"/>
            <w:vAlign w:val="top"/>
          </w:tcPr>
          <w:p w14:paraId="12055931">
            <w:pPr>
              <w:pStyle w:val="37"/>
              <w:rPr>
                <w:rFonts w:ascii="Times New Roman" w:hAnsi="Times New Roman" w:eastAsia="仿宋_GB2312"/>
                <w:color w:val="auto"/>
                <w:sz w:val="30"/>
                <w:szCs w:val="30"/>
              </w:rPr>
            </w:pPr>
          </w:p>
        </w:tc>
        <w:tc>
          <w:tcPr>
            <w:tcW w:w="850" w:type="dxa"/>
            <w:noWrap w:val="0"/>
            <w:vAlign w:val="top"/>
          </w:tcPr>
          <w:p w14:paraId="7E6A3906">
            <w:pPr>
              <w:pStyle w:val="37"/>
              <w:rPr>
                <w:rFonts w:ascii="Times New Roman" w:hAnsi="Times New Roman" w:eastAsia="仿宋_GB2312"/>
                <w:color w:val="auto"/>
                <w:sz w:val="30"/>
                <w:szCs w:val="30"/>
              </w:rPr>
            </w:pPr>
          </w:p>
        </w:tc>
        <w:tc>
          <w:tcPr>
            <w:tcW w:w="1058" w:type="dxa"/>
            <w:noWrap w:val="0"/>
            <w:vAlign w:val="top"/>
          </w:tcPr>
          <w:p w14:paraId="3BE0EA8E">
            <w:pPr>
              <w:pStyle w:val="37"/>
              <w:rPr>
                <w:rFonts w:ascii="Times New Roman" w:hAnsi="Times New Roman" w:eastAsia="仿宋_GB2312"/>
                <w:color w:val="auto"/>
                <w:sz w:val="30"/>
                <w:szCs w:val="30"/>
              </w:rPr>
            </w:pPr>
          </w:p>
        </w:tc>
        <w:tc>
          <w:tcPr>
            <w:tcW w:w="880" w:type="dxa"/>
            <w:noWrap w:val="0"/>
            <w:vAlign w:val="top"/>
          </w:tcPr>
          <w:p w14:paraId="46F215EB">
            <w:pPr>
              <w:pStyle w:val="37"/>
              <w:rPr>
                <w:rFonts w:ascii="Times New Roman" w:hAnsi="Times New Roman" w:eastAsia="仿宋_GB2312"/>
                <w:color w:val="auto"/>
                <w:sz w:val="30"/>
                <w:szCs w:val="30"/>
              </w:rPr>
            </w:pPr>
          </w:p>
        </w:tc>
        <w:tc>
          <w:tcPr>
            <w:tcW w:w="1020" w:type="dxa"/>
            <w:noWrap w:val="0"/>
            <w:vAlign w:val="top"/>
          </w:tcPr>
          <w:p w14:paraId="7179223E">
            <w:pPr>
              <w:pStyle w:val="37"/>
              <w:rPr>
                <w:rFonts w:ascii="Times New Roman" w:hAnsi="Times New Roman" w:eastAsia="仿宋_GB2312"/>
                <w:color w:val="auto"/>
                <w:sz w:val="30"/>
                <w:szCs w:val="30"/>
              </w:rPr>
            </w:pPr>
          </w:p>
        </w:tc>
        <w:tc>
          <w:tcPr>
            <w:tcW w:w="1480" w:type="dxa"/>
            <w:noWrap w:val="0"/>
            <w:vAlign w:val="top"/>
          </w:tcPr>
          <w:p w14:paraId="0BA89D44">
            <w:pPr>
              <w:pStyle w:val="37"/>
              <w:rPr>
                <w:rFonts w:ascii="Times New Roman" w:hAnsi="Times New Roman" w:eastAsia="仿宋_GB2312"/>
                <w:color w:val="auto"/>
                <w:sz w:val="30"/>
                <w:szCs w:val="30"/>
              </w:rPr>
            </w:pPr>
          </w:p>
        </w:tc>
        <w:tc>
          <w:tcPr>
            <w:tcW w:w="1020" w:type="dxa"/>
            <w:noWrap w:val="0"/>
            <w:vAlign w:val="top"/>
          </w:tcPr>
          <w:p w14:paraId="1E6829C5">
            <w:pPr>
              <w:pStyle w:val="37"/>
              <w:rPr>
                <w:rFonts w:ascii="Times New Roman" w:hAnsi="Times New Roman" w:eastAsia="仿宋_GB2312"/>
                <w:color w:val="auto"/>
                <w:sz w:val="30"/>
                <w:szCs w:val="30"/>
              </w:rPr>
            </w:pPr>
          </w:p>
        </w:tc>
        <w:tc>
          <w:tcPr>
            <w:tcW w:w="921" w:type="dxa"/>
            <w:noWrap w:val="0"/>
            <w:vAlign w:val="top"/>
          </w:tcPr>
          <w:p w14:paraId="6BDEB7BC">
            <w:pPr>
              <w:pStyle w:val="37"/>
              <w:rPr>
                <w:rFonts w:ascii="Times New Roman" w:hAnsi="Times New Roman" w:eastAsia="仿宋_GB2312"/>
                <w:color w:val="auto"/>
                <w:sz w:val="30"/>
                <w:szCs w:val="30"/>
              </w:rPr>
            </w:pPr>
          </w:p>
        </w:tc>
      </w:tr>
      <w:tr w14:paraId="2C1EF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617FF74">
            <w:pPr>
              <w:pStyle w:val="37"/>
              <w:rPr>
                <w:rFonts w:ascii="Times New Roman" w:hAnsi="Times New Roman" w:eastAsia="仿宋_GB2312"/>
                <w:color w:val="auto"/>
                <w:sz w:val="30"/>
                <w:szCs w:val="30"/>
              </w:rPr>
            </w:pPr>
          </w:p>
        </w:tc>
        <w:tc>
          <w:tcPr>
            <w:tcW w:w="1418" w:type="dxa"/>
            <w:noWrap w:val="0"/>
            <w:vAlign w:val="top"/>
          </w:tcPr>
          <w:p w14:paraId="7B5A078A">
            <w:pPr>
              <w:pStyle w:val="37"/>
              <w:rPr>
                <w:rFonts w:ascii="Times New Roman" w:hAnsi="Times New Roman" w:eastAsia="仿宋_GB2312"/>
                <w:color w:val="auto"/>
                <w:sz w:val="30"/>
                <w:szCs w:val="30"/>
              </w:rPr>
            </w:pPr>
          </w:p>
        </w:tc>
        <w:tc>
          <w:tcPr>
            <w:tcW w:w="850" w:type="dxa"/>
            <w:noWrap w:val="0"/>
            <w:vAlign w:val="top"/>
          </w:tcPr>
          <w:p w14:paraId="4F8638C7">
            <w:pPr>
              <w:pStyle w:val="37"/>
              <w:rPr>
                <w:rFonts w:ascii="Times New Roman" w:hAnsi="Times New Roman" w:eastAsia="仿宋_GB2312"/>
                <w:color w:val="auto"/>
                <w:sz w:val="30"/>
                <w:szCs w:val="30"/>
              </w:rPr>
            </w:pPr>
          </w:p>
        </w:tc>
        <w:tc>
          <w:tcPr>
            <w:tcW w:w="1058" w:type="dxa"/>
            <w:noWrap w:val="0"/>
            <w:vAlign w:val="top"/>
          </w:tcPr>
          <w:p w14:paraId="1E802148">
            <w:pPr>
              <w:pStyle w:val="37"/>
              <w:rPr>
                <w:rFonts w:ascii="Times New Roman" w:hAnsi="Times New Roman" w:eastAsia="仿宋_GB2312"/>
                <w:color w:val="auto"/>
                <w:sz w:val="30"/>
                <w:szCs w:val="30"/>
              </w:rPr>
            </w:pPr>
          </w:p>
        </w:tc>
        <w:tc>
          <w:tcPr>
            <w:tcW w:w="880" w:type="dxa"/>
            <w:noWrap w:val="0"/>
            <w:vAlign w:val="top"/>
          </w:tcPr>
          <w:p w14:paraId="5CD07F4B">
            <w:pPr>
              <w:pStyle w:val="37"/>
              <w:rPr>
                <w:rFonts w:ascii="Times New Roman" w:hAnsi="Times New Roman" w:eastAsia="仿宋_GB2312"/>
                <w:color w:val="auto"/>
                <w:sz w:val="30"/>
                <w:szCs w:val="30"/>
              </w:rPr>
            </w:pPr>
          </w:p>
        </w:tc>
        <w:tc>
          <w:tcPr>
            <w:tcW w:w="1020" w:type="dxa"/>
            <w:noWrap w:val="0"/>
            <w:vAlign w:val="top"/>
          </w:tcPr>
          <w:p w14:paraId="0ED97C7A">
            <w:pPr>
              <w:pStyle w:val="37"/>
              <w:rPr>
                <w:rFonts w:ascii="Times New Roman" w:hAnsi="Times New Roman" w:eastAsia="仿宋_GB2312"/>
                <w:color w:val="auto"/>
                <w:sz w:val="30"/>
                <w:szCs w:val="30"/>
              </w:rPr>
            </w:pPr>
          </w:p>
        </w:tc>
        <w:tc>
          <w:tcPr>
            <w:tcW w:w="1480" w:type="dxa"/>
            <w:noWrap w:val="0"/>
            <w:vAlign w:val="top"/>
          </w:tcPr>
          <w:p w14:paraId="74F01180">
            <w:pPr>
              <w:pStyle w:val="37"/>
              <w:rPr>
                <w:rFonts w:ascii="Times New Roman" w:hAnsi="Times New Roman" w:eastAsia="仿宋_GB2312"/>
                <w:color w:val="auto"/>
                <w:sz w:val="30"/>
                <w:szCs w:val="30"/>
              </w:rPr>
            </w:pPr>
          </w:p>
        </w:tc>
        <w:tc>
          <w:tcPr>
            <w:tcW w:w="1020" w:type="dxa"/>
            <w:noWrap w:val="0"/>
            <w:vAlign w:val="top"/>
          </w:tcPr>
          <w:p w14:paraId="0504CC01">
            <w:pPr>
              <w:pStyle w:val="37"/>
              <w:rPr>
                <w:rFonts w:ascii="Times New Roman" w:hAnsi="Times New Roman" w:eastAsia="仿宋_GB2312"/>
                <w:color w:val="auto"/>
                <w:sz w:val="30"/>
                <w:szCs w:val="30"/>
              </w:rPr>
            </w:pPr>
          </w:p>
        </w:tc>
        <w:tc>
          <w:tcPr>
            <w:tcW w:w="921" w:type="dxa"/>
            <w:noWrap w:val="0"/>
            <w:vAlign w:val="top"/>
          </w:tcPr>
          <w:p w14:paraId="426870BB">
            <w:pPr>
              <w:pStyle w:val="37"/>
              <w:rPr>
                <w:rFonts w:ascii="Times New Roman" w:hAnsi="Times New Roman" w:eastAsia="仿宋_GB2312"/>
                <w:color w:val="auto"/>
                <w:sz w:val="30"/>
                <w:szCs w:val="30"/>
              </w:rPr>
            </w:pPr>
          </w:p>
        </w:tc>
      </w:tr>
      <w:tr w14:paraId="5C5C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62" w:type="dxa"/>
            <w:noWrap w:val="0"/>
            <w:vAlign w:val="top"/>
          </w:tcPr>
          <w:p w14:paraId="2A0EC6E6">
            <w:pPr>
              <w:pStyle w:val="37"/>
              <w:rPr>
                <w:rFonts w:ascii="Times New Roman" w:hAnsi="Times New Roman" w:eastAsia="仿宋_GB2312"/>
                <w:color w:val="auto"/>
                <w:sz w:val="30"/>
                <w:szCs w:val="30"/>
              </w:rPr>
            </w:pPr>
          </w:p>
        </w:tc>
        <w:tc>
          <w:tcPr>
            <w:tcW w:w="1418" w:type="dxa"/>
            <w:noWrap w:val="0"/>
            <w:vAlign w:val="top"/>
          </w:tcPr>
          <w:p w14:paraId="25BCF066">
            <w:pPr>
              <w:pStyle w:val="37"/>
              <w:rPr>
                <w:rFonts w:ascii="Times New Roman" w:hAnsi="Times New Roman" w:eastAsia="仿宋_GB2312"/>
                <w:color w:val="auto"/>
                <w:sz w:val="30"/>
                <w:szCs w:val="30"/>
              </w:rPr>
            </w:pPr>
          </w:p>
        </w:tc>
        <w:tc>
          <w:tcPr>
            <w:tcW w:w="850" w:type="dxa"/>
            <w:noWrap w:val="0"/>
            <w:vAlign w:val="top"/>
          </w:tcPr>
          <w:p w14:paraId="66125C63">
            <w:pPr>
              <w:pStyle w:val="37"/>
              <w:rPr>
                <w:rFonts w:ascii="Times New Roman" w:hAnsi="Times New Roman" w:eastAsia="仿宋_GB2312"/>
                <w:color w:val="auto"/>
                <w:sz w:val="30"/>
                <w:szCs w:val="30"/>
              </w:rPr>
            </w:pPr>
          </w:p>
        </w:tc>
        <w:tc>
          <w:tcPr>
            <w:tcW w:w="1058" w:type="dxa"/>
            <w:noWrap w:val="0"/>
            <w:vAlign w:val="top"/>
          </w:tcPr>
          <w:p w14:paraId="6C71D509">
            <w:pPr>
              <w:pStyle w:val="37"/>
              <w:rPr>
                <w:rFonts w:ascii="Times New Roman" w:hAnsi="Times New Roman" w:eastAsia="仿宋_GB2312"/>
                <w:color w:val="auto"/>
                <w:sz w:val="30"/>
                <w:szCs w:val="30"/>
              </w:rPr>
            </w:pPr>
          </w:p>
        </w:tc>
        <w:tc>
          <w:tcPr>
            <w:tcW w:w="880" w:type="dxa"/>
            <w:noWrap w:val="0"/>
            <w:vAlign w:val="top"/>
          </w:tcPr>
          <w:p w14:paraId="1CFF8681">
            <w:pPr>
              <w:pStyle w:val="37"/>
              <w:rPr>
                <w:rFonts w:ascii="Times New Roman" w:hAnsi="Times New Roman" w:eastAsia="仿宋_GB2312"/>
                <w:color w:val="auto"/>
                <w:sz w:val="30"/>
                <w:szCs w:val="30"/>
              </w:rPr>
            </w:pPr>
          </w:p>
        </w:tc>
        <w:tc>
          <w:tcPr>
            <w:tcW w:w="1020" w:type="dxa"/>
            <w:noWrap w:val="0"/>
            <w:vAlign w:val="top"/>
          </w:tcPr>
          <w:p w14:paraId="069DCF59">
            <w:pPr>
              <w:pStyle w:val="37"/>
              <w:rPr>
                <w:rFonts w:ascii="Times New Roman" w:hAnsi="Times New Roman" w:eastAsia="仿宋_GB2312"/>
                <w:color w:val="auto"/>
                <w:sz w:val="30"/>
                <w:szCs w:val="30"/>
              </w:rPr>
            </w:pPr>
          </w:p>
        </w:tc>
        <w:tc>
          <w:tcPr>
            <w:tcW w:w="1480" w:type="dxa"/>
            <w:noWrap w:val="0"/>
            <w:vAlign w:val="top"/>
          </w:tcPr>
          <w:p w14:paraId="7BD5BE90">
            <w:pPr>
              <w:pStyle w:val="37"/>
              <w:rPr>
                <w:rFonts w:ascii="Times New Roman" w:hAnsi="Times New Roman" w:eastAsia="仿宋_GB2312"/>
                <w:color w:val="auto"/>
                <w:sz w:val="30"/>
                <w:szCs w:val="30"/>
              </w:rPr>
            </w:pPr>
          </w:p>
        </w:tc>
        <w:tc>
          <w:tcPr>
            <w:tcW w:w="1020" w:type="dxa"/>
            <w:noWrap w:val="0"/>
            <w:vAlign w:val="top"/>
          </w:tcPr>
          <w:p w14:paraId="4446092B">
            <w:pPr>
              <w:pStyle w:val="37"/>
              <w:rPr>
                <w:rFonts w:ascii="Times New Roman" w:hAnsi="Times New Roman" w:eastAsia="仿宋_GB2312"/>
                <w:color w:val="auto"/>
                <w:sz w:val="30"/>
                <w:szCs w:val="30"/>
              </w:rPr>
            </w:pPr>
          </w:p>
        </w:tc>
        <w:tc>
          <w:tcPr>
            <w:tcW w:w="921" w:type="dxa"/>
            <w:noWrap w:val="0"/>
            <w:vAlign w:val="top"/>
          </w:tcPr>
          <w:p w14:paraId="6E1FEF6C">
            <w:pPr>
              <w:pStyle w:val="37"/>
              <w:rPr>
                <w:rFonts w:ascii="Times New Roman" w:hAnsi="Times New Roman" w:eastAsia="仿宋_GB2312"/>
                <w:color w:val="auto"/>
                <w:sz w:val="30"/>
                <w:szCs w:val="30"/>
              </w:rPr>
            </w:pPr>
          </w:p>
        </w:tc>
      </w:tr>
      <w:tr w14:paraId="4B8C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1E75AAF">
            <w:pPr>
              <w:pStyle w:val="37"/>
              <w:rPr>
                <w:rFonts w:ascii="Times New Roman" w:hAnsi="Times New Roman" w:eastAsia="仿宋_GB2312"/>
                <w:color w:val="auto"/>
                <w:sz w:val="30"/>
                <w:szCs w:val="30"/>
              </w:rPr>
            </w:pPr>
          </w:p>
        </w:tc>
        <w:tc>
          <w:tcPr>
            <w:tcW w:w="1418" w:type="dxa"/>
            <w:noWrap w:val="0"/>
            <w:vAlign w:val="top"/>
          </w:tcPr>
          <w:p w14:paraId="76827FB7">
            <w:pPr>
              <w:pStyle w:val="37"/>
              <w:rPr>
                <w:rFonts w:ascii="Times New Roman" w:hAnsi="Times New Roman" w:eastAsia="仿宋_GB2312"/>
                <w:color w:val="auto"/>
                <w:sz w:val="30"/>
                <w:szCs w:val="30"/>
              </w:rPr>
            </w:pPr>
          </w:p>
        </w:tc>
        <w:tc>
          <w:tcPr>
            <w:tcW w:w="850" w:type="dxa"/>
            <w:noWrap w:val="0"/>
            <w:vAlign w:val="top"/>
          </w:tcPr>
          <w:p w14:paraId="18E379C5">
            <w:pPr>
              <w:pStyle w:val="37"/>
              <w:rPr>
                <w:rFonts w:ascii="Times New Roman" w:hAnsi="Times New Roman" w:eastAsia="仿宋_GB2312"/>
                <w:color w:val="auto"/>
                <w:sz w:val="30"/>
                <w:szCs w:val="30"/>
              </w:rPr>
            </w:pPr>
          </w:p>
        </w:tc>
        <w:tc>
          <w:tcPr>
            <w:tcW w:w="1058" w:type="dxa"/>
            <w:noWrap w:val="0"/>
            <w:vAlign w:val="top"/>
          </w:tcPr>
          <w:p w14:paraId="67779BFE">
            <w:pPr>
              <w:pStyle w:val="37"/>
              <w:rPr>
                <w:rFonts w:ascii="Times New Roman" w:hAnsi="Times New Roman" w:eastAsia="仿宋_GB2312"/>
                <w:color w:val="auto"/>
                <w:sz w:val="30"/>
                <w:szCs w:val="30"/>
              </w:rPr>
            </w:pPr>
          </w:p>
        </w:tc>
        <w:tc>
          <w:tcPr>
            <w:tcW w:w="880" w:type="dxa"/>
            <w:noWrap w:val="0"/>
            <w:vAlign w:val="top"/>
          </w:tcPr>
          <w:p w14:paraId="6DB4BD34">
            <w:pPr>
              <w:pStyle w:val="37"/>
              <w:rPr>
                <w:rFonts w:ascii="Times New Roman" w:hAnsi="Times New Roman" w:eastAsia="仿宋_GB2312"/>
                <w:color w:val="auto"/>
                <w:sz w:val="30"/>
                <w:szCs w:val="30"/>
              </w:rPr>
            </w:pPr>
          </w:p>
        </w:tc>
        <w:tc>
          <w:tcPr>
            <w:tcW w:w="1020" w:type="dxa"/>
            <w:noWrap w:val="0"/>
            <w:vAlign w:val="top"/>
          </w:tcPr>
          <w:p w14:paraId="0737FB65">
            <w:pPr>
              <w:pStyle w:val="37"/>
              <w:rPr>
                <w:rFonts w:ascii="Times New Roman" w:hAnsi="Times New Roman" w:eastAsia="仿宋_GB2312"/>
                <w:color w:val="auto"/>
                <w:sz w:val="30"/>
                <w:szCs w:val="30"/>
              </w:rPr>
            </w:pPr>
          </w:p>
        </w:tc>
        <w:tc>
          <w:tcPr>
            <w:tcW w:w="1480" w:type="dxa"/>
            <w:noWrap w:val="0"/>
            <w:vAlign w:val="top"/>
          </w:tcPr>
          <w:p w14:paraId="33C2FEF7">
            <w:pPr>
              <w:pStyle w:val="37"/>
              <w:rPr>
                <w:rFonts w:ascii="Times New Roman" w:hAnsi="Times New Roman" w:eastAsia="仿宋_GB2312"/>
                <w:color w:val="auto"/>
                <w:sz w:val="30"/>
                <w:szCs w:val="30"/>
              </w:rPr>
            </w:pPr>
          </w:p>
        </w:tc>
        <w:tc>
          <w:tcPr>
            <w:tcW w:w="1020" w:type="dxa"/>
            <w:noWrap w:val="0"/>
            <w:vAlign w:val="top"/>
          </w:tcPr>
          <w:p w14:paraId="17B8B61E">
            <w:pPr>
              <w:pStyle w:val="37"/>
              <w:rPr>
                <w:rFonts w:ascii="Times New Roman" w:hAnsi="Times New Roman" w:eastAsia="仿宋_GB2312"/>
                <w:color w:val="auto"/>
                <w:sz w:val="30"/>
                <w:szCs w:val="30"/>
              </w:rPr>
            </w:pPr>
          </w:p>
        </w:tc>
        <w:tc>
          <w:tcPr>
            <w:tcW w:w="921" w:type="dxa"/>
            <w:noWrap w:val="0"/>
            <w:vAlign w:val="top"/>
          </w:tcPr>
          <w:p w14:paraId="0AB7E7D7">
            <w:pPr>
              <w:pStyle w:val="37"/>
              <w:rPr>
                <w:rFonts w:ascii="Times New Roman" w:hAnsi="Times New Roman" w:eastAsia="仿宋_GB2312"/>
                <w:color w:val="auto"/>
                <w:sz w:val="30"/>
                <w:szCs w:val="30"/>
              </w:rPr>
            </w:pPr>
          </w:p>
        </w:tc>
      </w:tr>
      <w:tr w14:paraId="78F0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62" w:type="dxa"/>
            <w:noWrap w:val="0"/>
            <w:vAlign w:val="top"/>
          </w:tcPr>
          <w:p w14:paraId="2B552374">
            <w:pPr>
              <w:pStyle w:val="37"/>
              <w:rPr>
                <w:rFonts w:ascii="Times New Roman" w:hAnsi="Times New Roman" w:eastAsia="仿宋_GB2312"/>
                <w:color w:val="auto"/>
                <w:sz w:val="30"/>
                <w:szCs w:val="30"/>
              </w:rPr>
            </w:pPr>
          </w:p>
        </w:tc>
        <w:tc>
          <w:tcPr>
            <w:tcW w:w="1418" w:type="dxa"/>
            <w:noWrap w:val="0"/>
            <w:vAlign w:val="top"/>
          </w:tcPr>
          <w:p w14:paraId="440B326D">
            <w:pPr>
              <w:pStyle w:val="37"/>
              <w:rPr>
                <w:rFonts w:ascii="Times New Roman" w:hAnsi="Times New Roman" w:eastAsia="仿宋_GB2312"/>
                <w:color w:val="auto"/>
                <w:sz w:val="30"/>
                <w:szCs w:val="30"/>
              </w:rPr>
            </w:pPr>
          </w:p>
        </w:tc>
        <w:tc>
          <w:tcPr>
            <w:tcW w:w="850" w:type="dxa"/>
            <w:noWrap w:val="0"/>
            <w:vAlign w:val="top"/>
          </w:tcPr>
          <w:p w14:paraId="30E54074">
            <w:pPr>
              <w:pStyle w:val="37"/>
              <w:rPr>
                <w:rFonts w:ascii="Times New Roman" w:hAnsi="Times New Roman" w:eastAsia="仿宋_GB2312"/>
                <w:color w:val="auto"/>
                <w:sz w:val="30"/>
                <w:szCs w:val="30"/>
              </w:rPr>
            </w:pPr>
          </w:p>
        </w:tc>
        <w:tc>
          <w:tcPr>
            <w:tcW w:w="1058" w:type="dxa"/>
            <w:noWrap w:val="0"/>
            <w:vAlign w:val="top"/>
          </w:tcPr>
          <w:p w14:paraId="3619E7C0">
            <w:pPr>
              <w:pStyle w:val="37"/>
              <w:rPr>
                <w:rFonts w:ascii="Times New Roman" w:hAnsi="Times New Roman" w:eastAsia="仿宋_GB2312"/>
                <w:color w:val="auto"/>
                <w:sz w:val="30"/>
                <w:szCs w:val="30"/>
              </w:rPr>
            </w:pPr>
          </w:p>
        </w:tc>
        <w:tc>
          <w:tcPr>
            <w:tcW w:w="880" w:type="dxa"/>
            <w:noWrap w:val="0"/>
            <w:vAlign w:val="top"/>
          </w:tcPr>
          <w:p w14:paraId="657DDD92">
            <w:pPr>
              <w:pStyle w:val="37"/>
              <w:rPr>
                <w:rFonts w:ascii="Times New Roman" w:hAnsi="Times New Roman" w:eastAsia="仿宋_GB2312"/>
                <w:color w:val="auto"/>
                <w:sz w:val="30"/>
                <w:szCs w:val="30"/>
              </w:rPr>
            </w:pPr>
          </w:p>
        </w:tc>
        <w:tc>
          <w:tcPr>
            <w:tcW w:w="1020" w:type="dxa"/>
            <w:noWrap w:val="0"/>
            <w:vAlign w:val="top"/>
          </w:tcPr>
          <w:p w14:paraId="7C215C84">
            <w:pPr>
              <w:pStyle w:val="37"/>
              <w:rPr>
                <w:rFonts w:ascii="Times New Roman" w:hAnsi="Times New Roman" w:eastAsia="仿宋_GB2312"/>
                <w:color w:val="auto"/>
                <w:sz w:val="30"/>
                <w:szCs w:val="30"/>
              </w:rPr>
            </w:pPr>
          </w:p>
        </w:tc>
        <w:tc>
          <w:tcPr>
            <w:tcW w:w="1480" w:type="dxa"/>
            <w:noWrap w:val="0"/>
            <w:vAlign w:val="top"/>
          </w:tcPr>
          <w:p w14:paraId="357AA8F2">
            <w:pPr>
              <w:pStyle w:val="37"/>
              <w:rPr>
                <w:rFonts w:ascii="Times New Roman" w:hAnsi="Times New Roman" w:eastAsia="仿宋_GB2312"/>
                <w:color w:val="auto"/>
                <w:sz w:val="30"/>
                <w:szCs w:val="30"/>
              </w:rPr>
            </w:pPr>
          </w:p>
        </w:tc>
        <w:tc>
          <w:tcPr>
            <w:tcW w:w="1020" w:type="dxa"/>
            <w:noWrap w:val="0"/>
            <w:vAlign w:val="top"/>
          </w:tcPr>
          <w:p w14:paraId="0515C0D0">
            <w:pPr>
              <w:pStyle w:val="37"/>
              <w:rPr>
                <w:rFonts w:ascii="Times New Roman" w:hAnsi="Times New Roman" w:eastAsia="仿宋_GB2312"/>
                <w:color w:val="auto"/>
                <w:sz w:val="30"/>
                <w:szCs w:val="30"/>
              </w:rPr>
            </w:pPr>
          </w:p>
        </w:tc>
        <w:tc>
          <w:tcPr>
            <w:tcW w:w="921" w:type="dxa"/>
            <w:noWrap w:val="0"/>
            <w:vAlign w:val="top"/>
          </w:tcPr>
          <w:p w14:paraId="5E58A5D5">
            <w:pPr>
              <w:pStyle w:val="37"/>
              <w:rPr>
                <w:rFonts w:ascii="Times New Roman" w:hAnsi="Times New Roman" w:eastAsia="仿宋_GB2312"/>
                <w:color w:val="auto"/>
                <w:sz w:val="30"/>
                <w:szCs w:val="30"/>
              </w:rPr>
            </w:pPr>
          </w:p>
        </w:tc>
      </w:tr>
      <w:tr w14:paraId="38D3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62" w:type="dxa"/>
            <w:noWrap w:val="0"/>
            <w:vAlign w:val="top"/>
          </w:tcPr>
          <w:p w14:paraId="3970F5CE">
            <w:pPr>
              <w:pStyle w:val="37"/>
              <w:rPr>
                <w:rFonts w:ascii="Times New Roman" w:hAnsi="Times New Roman" w:eastAsia="仿宋_GB2312"/>
                <w:color w:val="auto"/>
                <w:sz w:val="30"/>
                <w:szCs w:val="30"/>
              </w:rPr>
            </w:pPr>
          </w:p>
        </w:tc>
        <w:tc>
          <w:tcPr>
            <w:tcW w:w="1418" w:type="dxa"/>
            <w:noWrap w:val="0"/>
            <w:vAlign w:val="top"/>
          </w:tcPr>
          <w:p w14:paraId="1870BE00">
            <w:pPr>
              <w:pStyle w:val="37"/>
              <w:rPr>
                <w:rFonts w:ascii="Times New Roman" w:hAnsi="Times New Roman" w:eastAsia="仿宋_GB2312"/>
                <w:color w:val="auto"/>
                <w:sz w:val="30"/>
                <w:szCs w:val="30"/>
              </w:rPr>
            </w:pPr>
          </w:p>
        </w:tc>
        <w:tc>
          <w:tcPr>
            <w:tcW w:w="850" w:type="dxa"/>
            <w:noWrap w:val="0"/>
            <w:vAlign w:val="top"/>
          </w:tcPr>
          <w:p w14:paraId="2DBC154A">
            <w:pPr>
              <w:pStyle w:val="37"/>
              <w:rPr>
                <w:rFonts w:ascii="Times New Roman" w:hAnsi="Times New Roman" w:eastAsia="仿宋_GB2312"/>
                <w:color w:val="auto"/>
                <w:sz w:val="30"/>
                <w:szCs w:val="30"/>
              </w:rPr>
            </w:pPr>
          </w:p>
        </w:tc>
        <w:tc>
          <w:tcPr>
            <w:tcW w:w="1058" w:type="dxa"/>
            <w:noWrap w:val="0"/>
            <w:vAlign w:val="top"/>
          </w:tcPr>
          <w:p w14:paraId="75412751">
            <w:pPr>
              <w:pStyle w:val="37"/>
              <w:rPr>
                <w:rFonts w:ascii="Times New Roman" w:hAnsi="Times New Roman" w:eastAsia="仿宋_GB2312"/>
                <w:color w:val="auto"/>
                <w:sz w:val="30"/>
                <w:szCs w:val="30"/>
              </w:rPr>
            </w:pPr>
          </w:p>
        </w:tc>
        <w:tc>
          <w:tcPr>
            <w:tcW w:w="880" w:type="dxa"/>
            <w:noWrap w:val="0"/>
            <w:vAlign w:val="top"/>
          </w:tcPr>
          <w:p w14:paraId="42F5B731">
            <w:pPr>
              <w:pStyle w:val="37"/>
              <w:rPr>
                <w:rFonts w:ascii="Times New Roman" w:hAnsi="Times New Roman" w:eastAsia="仿宋_GB2312"/>
                <w:color w:val="auto"/>
                <w:sz w:val="30"/>
                <w:szCs w:val="30"/>
              </w:rPr>
            </w:pPr>
          </w:p>
        </w:tc>
        <w:tc>
          <w:tcPr>
            <w:tcW w:w="1020" w:type="dxa"/>
            <w:noWrap w:val="0"/>
            <w:vAlign w:val="top"/>
          </w:tcPr>
          <w:p w14:paraId="78874371">
            <w:pPr>
              <w:pStyle w:val="37"/>
              <w:rPr>
                <w:rFonts w:ascii="Times New Roman" w:hAnsi="Times New Roman" w:eastAsia="仿宋_GB2312"/>
                <w:color w:val="auto"/>
                <w:sz w:val="30"/>
                <w:szCs w:val="30"/>
              </w:rPr>
            </w:pPr>
          </w:p>
        </w:tc>
        <w:tc>
          <w:tcPr>
            <w:tcW w:w="1480" w:type="dxa"/>
            <w:noWrap w:val="0"/>
            <w:vAlign w:val="top"/>
          </w:tcPr>
          <w:p w14:paraId="43482C7A">
            <w:pPr>
              <w:pStyle w:val="37"/>
              <w:rPr>
                <w:rFonts w:ascii="Times New Roman" w:hAnsi="Times New Roman" w:eastAsia="仿宋_GB2312"/>
                <w:color w:val="auto"/>
                <w:sz w:val="30"/>
                <w:szCs w:val="30"/>
              </w:rPr>
            </w:pPr>
          </w:p>
        </w:tc>
        <w:tc>
          <w:tcPr>
            <w:tcW w:w="1020" w:type="dxa"/>
            <w:noWrap w:val="0"/>
            <w:vAlign w:val="top"/>
          </w:tcPr>
          <w:p w14:paraId="41F23BD8">
            <w:pPr>
              <w:pStyle w:val="37"/>
              <w:rPr>
                <w:rFonts w:ascii="Times New Roman" w:hAnsi="Times New Roman" w:eastAsia="仿宋_GB2312"/>
                <w:color w:val="auto"/>
                <w:sz w:val="30"/>
                <w:szCs w:val="30"/>
              </w:rPr>
            </w:pPr>
          </w:p>
        </w:tc>
        <w:tc>
          <w:tcPr>
            <w:tcW w:w="921" w:type="dxa"/>
            <w:noWrap w:val="0"/>
            <w:vAlign w:val="top"/>
          </w:tcPr>
          <w:p w14:paraId="5B822711">
            <w:pPr>
              <w:pStyle w:val="37"/>
              <w:rPr>
                <w:rFonts w:ascii="Times New Roman" w:hAnsi="Times New Roman" w:eastAsia="仿宋_GB2312"/>
                <w:color w:val="auto"/>
                <w:sz w:val="30"/>
                <w:szCs w:val="30"/>
              </w:rPr>
            </w:pPr>
          </w:p>
        </w:tc>
      </w:tr>
    </w:tbl>
    <w:p w14:paraId="38FA3813">
      <w:pPr>
        <w:ind w:firstLine="600" w:firstLineChars="200"/>
        <w:rPr>
          <w:rFonts w:hint="eastAsia" w:ascii="Times New Roman" w:hAnsi="Times New Roman" w:eastAsia="仿宋_GB2312" w:cs="仿宋_GB2312"/>
          <w:color w:val="auto"/>
          <w:sz w:val="30"/>
          <w:szCs w:val="30"/>
        </w:rPr>
      </w:pPr>
      <w:r>
        <w:rPr>
          <w:rFonts w:hint="eastAsia" w:ascii="Times New Roman" w:hAnsi="Times New Roman" w:eastAsia="仿宋_GB2312" w:cs="仿宋_GB2312"/>
          <w:color w:val="auto"/>
          <w:sz w:val="30"/>
          <w:szCs w:val="30"/>
        </w:rPr>
        <w:br w:type="page"/>
      </w:r>
    </w:p>
    <w:p w14:paraId="6918A10C">
      <w:pPr>
        <w:ind w:firstLine="600" w:firstLineChars="200"/>
        <w:rPr>
          <w:rFonts w:ascii="Times New Roman" w:hAnsi="Times New Roman" w:eastAsia="黑体"/>
          <w:color w:val="auto"/>
          <w:sz w:val="30"/>
          <w:szCs w:val="30"/>
        </w:rPr>
      </w:pPr>
      <w:r>
        <w:rPr>
          <w:rFonts w:hint="eastAsia" w:ascii="Times New Roman" w:hAnsi="Times New Roman" w:eastAsia="仿宋_GB2312" w:cs="仿宋_GB2312"/>
          <w:color w:val="auto"/>
          <w:sz w:val="30"/>
          <w:szCs w:val="30"/>
        </w:rPr>
        <w:t>附</w:t>
      </w:r>
      <w:bookmarkStart w:id="1181" w:name="_Toc296891268"/>
      <w:bookmarkStart w:id="1182" w:name="_Toc296503228"/>
      <w:bookmarkStart w:id="1183" w:name="_Toc296347227"/>
      <w:bookmarkStart w:id="1184" w:name="_Toc267261699"/>
      <w:bookmarkStart w:id="1185" w:name="_Toc296891056"/>
      <w:bookmarkStart w:id="1186" w:name="_Toc296346729"/>
      <w:bookmarkStart w:id="1187" w:name="_Toc296944567"/>
      <w:r>
        <w:rPr>
          <w:rFonts w:hint="eastAsia" w:ascii="Times New Roman" w:hAnsi="Times New Roman" w:eastAsia="仿宋_GB2312" w:cs="仿宋_GB2312"/>
          <w:color w:val="auto"/>
          <w:sz w:val="30"/>
          <w:szCs w:val="30"/>
        </w:rPr>
        <w:t>件</w:t>
      </w:r>
      <w:r>
        <w:rPr>
          <w:rFonts w:hint="eastAsia" w:ascii="Times New Roman" w:hAnsi="Times New Roman" w:eastAsia="仿宋_GB2312"/>
          <w:color w:val="auto"/>
          <w:sz w:val="30"/>
          <w:szCs w:val="30"/>
        </w:rPr>
        <w:t>5</w:t>
      </w:r>
      <w:r>
        <w:rPr>
          <w:rFonts w:hint="eastAsia" w:ascii="Times New Roman" w:hAnsi="Times New Roman" w:eastAsia="仿宋_GB2312" w:cs="仿宋_GB2312"/>
          <w:color w:val="auto"/>
          <w:sz w:val="30"/>
          <w:szCs w:val="30"/>
        </w:rPr>
        <w:t>：</w:t>
      </w:r>
    </w:p>
    <w:bookmarkEnd w:id="1181"/>
    <w:bookmarkEnd w:id="1182"/>
    <w:bookmarkEnd w:id="1183"/>
    <w:bookmarkEnd w:id="1184"/>
    <w:bookmarkEnd w:id="1185"/>
    <w:bookmarkEnd w:id="1186"/>
    <w:bookmarkEnd w:id="1187"/>
    <w:p w14:paraId="01E7B883">
      <w:pPr>
        <w:pStyle w:val="37"/>
        <w:spacing w:before="156" w:beforeLines="50" w:after="156" w:afterLines="50" w:line="440" w:lineRule="exact"/>
        <w:ind w:firstLine="600" w:firstLineChars="200"/>
        <w:jc w:val="center"/>
        <w:rPr>
          <w:rFonts w:ascii="Times New Roman" w:hAnsi="Times New Roman" w:eastAsia="黑体"/>
          <w:color w:val="auto"/>
          <w:sz w:val="30"/>
          <w:szCs w:val="30"/>
        </w:rPr>
      </w:pPr>
      <w:r>
        <w:rPr>
          <w:rFonts w:hint="eastAsia" w:ascii="Times New Roman" w:hAnsi="Times New Roman" w:eastAsia="黑体" w:cs="黑体"/>
          <w:color w:val="auto"/>
          <w:sz w:val="30"/>
          <w:szCs w:val="30"/>
        </w:rPr>
        <w:t>承包人主要施工管理人员表</w:t>
      </w:r>
    </w:p>
    <w:tbl>
      <w:tblPr>
        <w:tblStyle w:val="22"/>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387"/>
        <w:gridCol w:w="1176"/>
        <w:gridCol w:w="3957"/>
      </w:tblGrid>
      <w:tr w14:paraId="7BAF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02EFF37">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名</w:t>
            </w:r>
            <w:r>
              <w:rPr>
                <w:rFonts w:ascii="Times New Roman" w:hAnsi="Times New Roman" w:eastAsia="仿宋_GB2312"/>
                <w:color w:val="auto"/>
                <w:sz w:val="28"/>
                <w:szCs w:val="28"/>
              </w:rPr>
              <w:t xml:space="preserve">    </w:t>
            </w:r>
            <w:r>
              <w:rPr>
                <w:rFonts w:hint="eastAsia" w:ascii="Times New Roman" w:hAnsi="Times New Roman" w:eastAsia="仿宋_GB2312" w:cs="仿宋_GB2312"/>
                <w:color w:val="auto"/>
                <w:sz w:val="28"/>
                <w:szCs w:val="28"/>
              </w:rPr>
              <w:t>称</w:t>
            </w:r>
          </w:p>
        </w:tc>
        <w:tc>
          <w:tcPr>
            <w:tcW w:w="1418" w:type="dxa"/>
            <w:noWrap w:val="0"/>
            <w:vAlign w:val="center"/>
          </w:tcPr>
          <w:p w14:paraId="642598C4">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姓名</w:t>
            </w:r>
          </w:p>
        </w:tc>
        <w:tc>
          <w:tcPr>
            <w:tcW w:w="1387" w:type="dxa"/>
            <w:noWrap w:val="0"/>
            <w:vAlign w:val="center"/>
          </w:tcPr>
          <w:p w14:paraId="7AA91EF0">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r>
              <w:rPr>
                <w:rFonts w:hint="eastAsia" w:ascii="Times New Roman" w:hAnsi="Times New Roman" w:eastAsia="仿宋_GB2312" w:cs="仿宋_GB2312"/>
                <w:color w:val="auto"/>
                <w:sz w:val="30"/>
                <w:szCs w:val="30"/>
              </w:rPr>
              <w:t>职务</w:t>
            </w:r>
          </w:p>
        </w:tc>
        <w:tc>
          <w:tcPr>
            <w:tcW w:w="1176" w:type="dxa"/>
            <w:noWrap w:val="0"/>
            <w:vAlign w:val="center"/>
          </w:tcPr>
          <w:p w14:paraId="41E828CB">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r>
              <w:rPr>
                <w:rFonts w:hint="eastAsia" w:ascii="Times New Roman" w:hAnsi="Times New Roman" w:eastAsia="仿宋_GB2312" w:cs="仿宋_GB2312"/>
                <w:color w:val="auto"/>
                <w:sz w:val="30"/>
                <w:szCs w:val="30"/>
              </w:rPr>
              <w:t>职称</w:t>
            </w:r>
          </w:p>
        </w:tc>
        <w:tc>
          <w:tcPr>
            <w:tcW w:w="3957" w:type="dxa"/>
            <w:noWrap w:val="0"/>
            <w:vAlign w:val="center"/>
          </w:tcPr>
          <w:p w14:paraId="2ADFD8DB">
            <w:pPr>
              <w:pStyle w:val="37"/>
              <w:keepNext/>
              <w:adjustRightInd w:val="0"/>
              <w:spacing w:line="440" w:lineRule="exact"/>
              <w:ind w:right="63" w:rightChars="30"/>
              <w:jc w:val="center"/>
              <w:textAlignment w:val="baseline"/>
              <w:rPr>
                <w:rFonts w:ascii="Times New Roman" w:hAnsi="Times New Roman" w:eastAsia="仿宋_GB2312"/>
                <w:color w:val="auto"/>
                <w:sz w:val="30"/>
                <w:szCs w:val="30"/>
              </w:rPr>
            </w:pPr>
            <w:r>
              <w:rPr>
                <w:rFonts w:hint="eastAsia" w:ascii="Times New Roman" w:hAnsi="Times New Roman" w:eastAsia="仿宋_GB2312" w:cs="仿宋_GB2312"/>
                <w:color w:val="auto"/>
                <w:sz w:val="30"/>
                <w:szCs w:val="30"/>
              </w:rPr>
              <w:t>计划进场时间</w:t>
            </w:r>
          </w:p>
        </w:tc>
      </w:tr>
      <w:tr w14:paraId="72C9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6F05506C">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一、总部人员</w:t>
            </w:r>
          </w:p>
        </w:tc>
      </w:tr>
      <w:tr w14:paraId="4B61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7C0BCF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项目主管</w:t>
            </w:r>
          </w:p>
        </w:tc>
        <w:tc>
          <w:tcPr>
            <w:tcW w:w="1418" w:type="dxa"/>
            <w:noWrap w:val="0"/>
            <w:vAlign w:val="center"/>
          </w:tcPr>
          <w:p w14:paraId="37916671">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p>
        </w:tc>
        <w:tc>
          <w:tcPr>
            <w:tcW w:w="1387" w:type="dxa"/>
            <w:noWrap w:val="0"/>
            <w:vAlign w:val="center"/>
          </w:tcPr>
          <w:p w14:paraId="2579621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176" w:type="dxa"/>
            <w:noWrap w:val="0"/>
            <w:vAlign w:val="center"/>
          </w:tcPr>
          <w:p w14:paraId="23D4902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3957" w:type="dxa"/>
            <w:noWrap w:val="0"/>
            <w:vAlign w:val="center"/>
          </w:tcPr>
          <w:p w14:paraId="3C60A11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1372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55CE912E">
            <w:pPr>
              <w:pStyle w:val="37"/>
              <w:keepNext/>
              <w:adjustRightInd w:val="0"/>
              <w:spacing w:after="60"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其他人员</w:t>
            </w:r>
          </w:p>
        </w:tc>
        <w:tc>
          <w:tcPr>
            <w:tcW w:w="1418" w:type="dxa"/>
            <w:noWrap w:val="0"/>
            <w:vAlign w:val="center"/>
          </w:tcPr>
          <w:p w14:paraId="70584FD4">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p>
        </w:tc>
        <w:tc>
          <w:tcPr>
            <w:tcW w:w="1387" w:type="dxa"/>
            <w:noWrap w:val="0"/>
            <w:vAlign w:val="center"/>
          </w:tcPr>
          <w:p w14:paraId="3D3966E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176" w:type="dxa"/>
            <w:noWrap w:val="0"/>
            <w:vAlign w:val="center"/>
          </w:tcPr>
          <w:p w14:paraId="3088C9C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3957" w:type="dxa"/>
            <w:noWrap w:val="0"/>
            <w:vAlign w:val="center"/>
          </w:tcPr>
          <w:p w14:paraId="411A936F">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585F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1" w:type="dxa"/>
            <w:vMerge w:val="continue"/>
            <w:noWrap w:val="0"/>
            <w:vAlign w:val="center"/>
          </w:tcPr>
          <w:p w14:paraId="2043BAAF">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p>
        </w:tc>
        <w:tc>
          <w:tcPr>
            <w:tcW w:w="1418" w:type="dxa"/>
            <w:noWrap w:val="0"/>
            <w:vAlign w:val="center"/>
          </w:tcPr>
          <w:p w14:paraId="6F625410">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p>
        </w:tc>
        <w:tc>
          <w:tcPr>
            <w:tcW w:w="1387" w:type="dxa"/>
            <w:noWrap w:val="0"/>
            <w:vAlign w:val="center"/>
          </w:tcPr>
          <w:p w14:paraId="59BB53F0">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176" w:type="dxa"/>
            <w:noWrap w:val="0"/>
            <w:vAlign w:val="center"/>
          </w:tcPr>
          <w:p w14:paraId="1121C6B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3957" w:type="dxa"/>
            <w:noWrap w:val="0"/>
            <w:vAlign w:val="center"/>
          </w:tcPr>
          <w:p w14:paraId="68FDB33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601B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31970CB">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p>
        </w:tc>
        <w:tc>
          <w:tcPr>
            <w:tcW w:w="1418" w:type="dxa"/>
            <w:noWrap w:val="0"/>
            <w:vAlign w:val="center"/>
          </w:tcPr>
          <w:p w14:paraId="35641FD1">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p>
        </w:tc>
        <w:tc>
          <w:tcPr>
            <w:tcW w:w="1387" w:type="dxa"/>
            <w:noWrap w:val="0"/>
            <w:vAlign w:val="center"/>
          </w:tcPr>
          <w:p w14:paraId="146029C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176" w:type="dxa"/>
            <w:noWrap w:val="0"/>
            <w:vAlign w:val="center"/>
          </w:tcPr>
          <w:p w14:paraId="3B42B367">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3957" w:type="dxa"/>
            <w:noWrap w:val="0"/>
            <w:vAlign w:val="center"/>
          </w:tcPr>
          <w:p w14:paraId="5D304401">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056C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46E9C00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二、现场人员</w:t>
            </w:r>
          </w:p>
        </w:tc>
      </w:tr>
      <w:tr w14:paraId="16D2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9DB3AF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项目经理</w:t>
            </w:r>
          </w:p>
        </w:tc>
        <w:tc>
          <w:tcPr>
            <w:tcW w:w="1418" w:type="dxa"/>
            <w:noWrap w:val="0"/>
            <w:vAlign w:val="center"/>
          </w:tcPr>
          <w:p w14:paraId="02428294">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387" w:type="dxa"/>
            <w:noWrap w:val="0"/>
            <w:vAlign w:val="center"/>
          </w:tcPr>
          <w:p w14:paraId="5DE8C600">
            <w:pPr>
              <w:pStyle w:val="37"/>
              <w:keepNext/>
              <w:adjustRightInd w:val="0"/>
              <w:spacing w:line="440" w:lineRule="exact"/>
              <w:ind w:left="63" w:leftChars="30" w:right="63" w:rightChars="30"/>
              <w:jc w:val="center"/>
              <w:textAlignment w:val="baseline"/>
              <w:rPr>
                <w:rFonts w:hint="eastAsia" w:ascii="Times New Roman" w:hAnsi="Times New Roman" w:eastAsia="仿宋_GB2312" w:cs="Times New Roman"/>
                <w:color w:val="auto"/>
                <w:sz w:val="28"/>
                <w:szCs w:val="28"/>
                <w:lang w:eastAsia="zh-CN"/>
              </w:rPr>
            </w:pPr>
          </w:p>
        </w:tc>
        <w:tc>
          <w:tcPr>
            <w:tcW w:w="1176" w:type="dxa"/>
            <w:noWrap w:val="0"/>
            <w:vAlign w:val="center"/>
          </w:tcPr>
          <w:p w14:paraId="43C57B60">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3957" w:type="dxa"/>
            <w:noWrap w:val="0"/>
            <w:vAlign w:val="center"/>
          </w:tcPr>
          <w:p w14:paraId="50B3220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711B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E5F305C">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项目副经理</w:t>
            </w:r>
          </w:p>
        </w:tc>
        <w:tc>
          <w:tcPr>
            <w:tcW w:w="1418" w:type="dxa"/>
            <w:noWrap w:val="0"/>
            <w:vAlign w:val="center"/>
          </w:tcPr>
          <w:p w14:paraId="03B55F17">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387" w:type="dxa"/>
            <w:noWrap w:val="0"/>
            <w:vAlign w:val="center"/>
          </w:tcPr>
          <w:p w14:paraId="54CB8B97">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176" w:type="dxa"/>
            <w:noWrap w:val="0"/>
            <w:vAlign w:val="center"/>
          </w:tcPr>
          <w:p w14:paraId="169BFDF7">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3957" w:type="dxa"/>
            <w:noWrap w:val="0"/>
            <w:vAlign w:val="center"/>
          </w:tcPr>
          <w:p w14:paraId="6260C3E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0818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3BAE2C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技术负责人</w:t>
            </w:r>
          </w:p>
        </w:tc>
        <w:tc>
          <w:tcPr>
            <w:tcW w:w="1418" w:type="dxa"/>
            <w:noWrap w:val="0"/>
            <w:vAlign w:val="center"/>
          </w:tcPr>
          <w:p w14:paraId="2829A13F">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387" w:type="dxa"/>
            <w:noWrap w:val="0"/>
            <w:vAlign w:val="center"/>
          </w:tcPr>
          <w:p w14:paraId="0858DC8A">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176" w:type="dxa"/>
            <w:noWrap w:val="0"/>
            <w:vAlign w:val="center"/>
          </w:tcPr>
          <w:p w14:paraId="4ED3B10E">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3957" w:type="dxa"/>
            <w:noWrap w:val="0"/>
            <w:vAlign w:val="center"/>
          </w:tcPr>
          <w:p w14:paraId="6A23279B">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700C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3BF0F4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造价管理</w:t>
            </w:r>
          </w:p>
        </w:tc>
        <w:tc>
          <w:tcPr>
            <w:tcW w:w="1418" w:type="dxa"/>
            <w:noWrap w:val="0"/>
            <w:vAlign w:val="center"/>
          </w:tcPr>
          <w:p w14:paraId="5C5970E6">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387" w:type="dxa"/>
            <w:noWrap w:val="0"/>
            <w:vAlign w:val="center"/>
          </w:tcPr>
          <w:p w14:paraId="1FA8D307">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176" w:type="dxa"/>
            <w:noWrap w:val="0"/>
            <w:vAlign w:val="center"/>
          </w:tcPr>
          <w:p w14:paraId="7ED8A027">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3957" w:type="dxa"/>
            <w:noWrap w:val="0"/>
            <w:vAlign w:val="center"/>
          </w:tcPr>
          <w:p w14:paraId="4EE346C7">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445E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1" w:type="dxa"/>
            <w:vMerge w:val="restart"/>
            <w:noWrap w:val="0"/>
            <w:vAlign w:val="center"/>
          </w:tcPr>
          <w:p w14:paraId="07F585A6">
            <w:pPr>
              <w:pStyle w:val="37"/>
              <w:keepNext/>
              <w:adjustRightInd w:val="0"/>
              <w:spacing w:after="60"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质量管理</w:t>
            </w:r>
          </w:p>
        </w:tc>
        <w:tc>
          <w:tcPr>
            <w:tcW w:w="1418" w:type="dxa"/>
            <w:noWrap w:val="0"/>
            <w:vAlign w:val="center"/>
          </w:tcPr>
          <w:p w14:paraId="61885B2E">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387" w:type="dxa"/>
            <w:noWrap w:val="0"/>
            <w:vAlign w:val="center"/>
          </w:tcPr>
          <w:p w14:paraId="0280829F">
            <w:pPr>
              <w:pStyle w:val="37"/>
              <w:keepNext/>
              <w:adjustRightInd w:val="0"/>
              <w:spacing w:line="440" w:lineRule="exact"/>
              <w:ind w:left="63" w:leftChars="30" w:right="63" w:rightChars="30"/>
              <w:jc w:val="center"/>
              <w:textAlignment w:val="baseline"/>
              <w:rPr>
                <w:rFonts w:hint="eastAsia" w:ascii="Times New Roman" w:hAnsi="Times New Roman" w:eastAsia="仿宋_GB2312" w:cs="Times New Roman"/>
                <w:color w:val="auto"/>
                <w:sz w:val="28"/>
                <w:szCs w:val="28"/>
                <w:lang w:eastAsia="zh-CN"/>
              </w:rPr>
            </w:pPr>
          </w:p>
        </w:tc>
        <w:tc>
          <w:tcPr>
            <w:tcW w:w="1176" w:type="dxa"/>
            <w:noWrap w:val="0"/>
            <w:vAlign w:val="center"/>
          </w:tcPr>
          <w:p w14:paraId="2D45F8E5">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3957" w:type="dxa"/>
            <w:noWrap w:val="0"/>
            <w:vAlign w:val="center"/>
          </w:tcPr>
          <w:p w14:paraId="185FD7AF">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041D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448FC86">
            <w:pPr>
              <w:pStyle w:val="37"/>
              <w:keepNext/>
              <w:adjustRightInd w:val="0"/>
              <w:spacing w:after="60" w:line="440" w:lineRule="exact"/>
              <w:ind w:left="63" w:leftChars="30" w:right="63" w:rightChars="30"/>
              <w:jc w:val="center"/>
              <w:textAlignment w:val="baseline"/>
              <w:rPr>
                <w:rFonts w:ascii="Times New Roman" w:hAnsi="Times New Roman" w:eastAsia="仿宋_GB2312"/>
                <w:color w:val="auto"/>
                <w:sz w:val="28"/>
                <w:szCs w:val="28"/>
              </w:rPr>
            </w:pPr>
          </w:p>
        </w:tc>
        <w:tc>
          <w:tcPr>
            <w:tcW w:w="1418" w:type="dxa"/>
            <w:noWrap w:val="0"/>
            <w:vAlign w:val="center"/>
          </w:tcPr>
          <w:p w14:paraId="3539030D">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387" w:type="dxa"/>
            <w:noWrap w:val="0"/>
            <w:vAlign w:val="center"/>
          </w:tcPr>
          <w:p w14:paraId="46DFE6BD">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176" w:type="dxa"/>
            <w:noWrap w:val="0"/>
            <w:vAlign w:val="center"/>
          </w:tcPr>
          <w:p w14:paraId="41DEE7FB">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3957" w:type="dxa"/>
            <w:noWrap w:val="0"/>
            <w:vAlign w:val="center"/>
          </w:tcPr>
          <w:p w14:paraId="3848B016">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1288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49EA7E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p>
        </w:tc>
        <w:tc>
          <w:tcPr>
            <w:tcW w:w="1418" w:type="dxa"/>
            <w:noWrap w:val="0"/>
            <w:vAlign w:val="center"/>
          </w:tcPr>
          <w:p w14:paraId="73E4E0AB">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387" w:type="dxa"/>
            <w:noWrap w:val="0"/>
            <w:vAlign w:val="center"/>
          </w:tcPr>
          <w:p w14:paraId="06F0A3C3">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176" w:type="dxa"/>
            <w:noWrap w:val="0"/>
            <w:vAlign w:val="center"/>
          </w:tcPr>
          <w:p w14:paraId="52C26951">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3957" w:type="dxa"/>
            <w:noWrap w:val="0"/>
            <w:vAlign w:val="center"/>
          </w:tcPr>
          <w:p w14:paraId="0EBB4CD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2858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4A0DCC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材料管理</w:t>
            </w:r>
          </w:p>
        </w:tc>
        <w:tc>
          <w:tcPr>
            <w:tcW w:w="1418" w:type="dxa"/>
            <w:noWrap w:val="0"/>
            <w:vAlign w:val="center"/>
          </w:tcPr>
          <w:p w14:paraId="4BE53C18">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387" w:type="dxa"/>
            <w:noWrap w:val="0"/>
            <w:vAlign w:val="center"/>
          </w:tcPr>
          <w:p w14:paraId="1F6A7B69">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176" w:type="dxa"/>
            <w:noWrap w:val="0"/>
            <w:vAlign w:val="center"/>
          </w:tcPr>
          <w:p w14:paraId="454B9405">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3957" w:type="dxa"/>
            <w:noWrap w:val="0"/>
            <w:vAlign w:val="center"/>
          </w:tcPr>
          <w:p w14:paraId="08245475">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2F3D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67A793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计划管理</w:t>
            </w:r>
          </w:p>
        </w:tc>
        <w:tc>
          <w:tcPr>
            <w:tcW w:w="1418" w:type="dxa"/>
            <w:noWrap w:val="0"/>
            <w:vAlign w:val="center"/>
          </w:tcPr>
          <w:p w14:paraId="76536E46">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387" w:type="dxa"/>
            <w:noWrap w:val="0"/>
            <w:vAlign w:val="center"/>
          </w:tcPr>
          <w:p w14:paraId="16D8CDBF">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176" w:type="dxa"/>
            <w:noWrap w:val="0"/>
            <w:vAlign w:val="center"/>
          </w:tcPr>
          <w:p w14:paraId="1BD0D04D">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3957" w:type="dxa"/>
            <w:noWrap w:val="0"/>
            <w:vAlign w:val="center"/>
          </w:tcPr>
          <w:p w14:paraId="48493797">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4B6E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4AAC07D7">
            <w:pPr>
              <w:pStyle w:val="37"/>
              <w:keepNext/>
              <w:adjustRightInd w:val="0"/>
              <w:spacing w:after="60"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安全管理</w:t>
            </w:r>
          </w:p>
        </w:tc>
        <w:tc>
          <w:tcPr>
            <w:tcW w:w="1418" w:type="dxa"/>
            <w:noWrap w:val="0"/>
            <w:vAlign w:val="center"/>
          </w:tcPr>
          <w:p w14:paraId="75B62C89">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387" w:type="dxa"/>
            <w:noWrap w:val="0"/>
            <w:vAlign w:val="center"/>
          </w:tcPr>
          <w:p w14:paraId="1A1515C4">
            <w:pPr>
              <w:pStyle w:val="37"/>
              <w:keepNext/>
              <w:adjustRightInd w:val="0"/>
              <w:spacing w:line="440" w:lineRule="exact"/>
              <w:ind w:left="63" w:leftChars="30" w:right="63" w:rightChars="30"/>
              <w:jc w:val="center"/>
              <w:textAlignment w:val="baseline"/>
              <w:rPr>
                <w:rFonts w:hint="eastAsia" w:ascii="Times New Roman" w:hAnsi="Times New Roman" w:eastAsia="仿宋_GB2312" w:cs="Times New Roman"/>
                <w:color w:val="auto"/>
                <w:sz w:val="28"/>
                <w:szCs w:val="28"/>
                <w:lang w:eastAsia="zh-CN"/>
              </w:rPr>
            </w:pPr>
          </w:p>
        </w:tc>
        <w:tc>
          <w:tcPr>
            <w:tcW w:w="1176" w:type="dxa"/>
            <w:noWrap w:val="0"/>
            <w:vAlign w:val="center"/>
          </w:tcPr>
          <w:p w14:paraId="78827CE2">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3957" w:type="dxa"/>
            <w:noWrap w:val="0"/>
            <w:vAlign w:val="center"/>
          </w:tcPr>
          <w:p w14:paraId="12BF22CC">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7321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1" w:type="dxa"/>
            <w:vMerge w:val="continue"/>
            <w:noWrap w:val="0"/>
            <w:vAlign w:val="center"/>
          </w:tcPr>
          <w:p w14:paraId="10DFAB4D">
            <w:pPr>
              <w:pStyle w:val="37"/>
              <w:keepNext/>
              <w:adjustRightInd w:val="0"/>
              <w:spacing w:after="60" w:line="440" w:lineRule="exact"/>
              <w:ind w:left="63" w:leftChars="30" w:right="63" w:rightChars="30"/>
              <w:jc w:val="center"/>
              <w:textAlignment w:val="baseline"/>
              <w:rPr>
                <w:rFonts w:ascii="Times New Roman" w:hAnsi="Times New Roman" w:eastAsia="仿宋_GB2312"/>
                <w:color w:val="auto"/>
                <w:sz w:val="28"/>
                <w:szCs w:val="28"/>
              </w:rPr>
            </w:pPr>
          </w:p>
        </w:tc>
        <w:tc>
          <w:tcPr>
            <w:tcW w:w="1418" w:type="dxa"/>
            <w:noWrap w:val="0"/>
            <w:vAlign w:val="center"/>
          </w:tcPr>
          <w:p w14:paraId="2F9D1125">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387" w:type="dxa"/>
            <w:noWrap w:val="0"/>
            <w:vAlign w:val="center"/>
          </w:tcPr>
          <w:p w14:paraId="3E75FFB1">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176" w:type="dxa"/>
            <w:noWrap w:val="0"/>
            <w:vAlign w:val="center"/>
          </w:tcPr>
          <w:p w14:paraId="3738FBDF">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3957" w:type="dxa"/>
            <w:noWrap w:val="0"/>
            <w:vAlign w:val="center"/>
          </w:tcPr>
          <w:p w14:paraId="4780EB20">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576B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1" w:type="dxa"/>
            <w:vMerge w:val="continue"/>
            <w:noWrap w:val="0"/>
            <w:vAlign w:val="center"/>
          </w:tcPr>
          <w:p w14:paraId="4544F825">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p>
        </w:tc>
        <w:tc>
          <w:tcPr>
            <w:tcW w:w="1418" w:type="dxa"/>
            <w:noWrap w:val="0"/>
            <w:vAlign w:val="center"/>
          </w:tcPr>
          <w:p w14:paraId="7EBB5B27">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387" w:type="dxa"/>
            <w:noWrap w:val="0"/>
            <w:vAlign w:val="center"/>
          </w:tcPr>
          <w:p w14:paraId="524A5682">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176" w:type="dxa"/>
            <w:noWrap w:val="0"/>
            <w:vAlign w:val="center"/>
          </w:tcPr>
          <w:p w14:paraId="75A99EF3">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3957" w:type="dxa"/>
            <w:noWrap w:val="0"/>
            <w:vAlign w:val="center"/>
          </w:tcPr>
          <w:p w14:paraId="4EFDA97C">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6DF0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09F1806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其他人员</w:t>
            </w:r>
          </w:p>
        </w:tc>
        <w:tc>
          <w:tcPr>
            <w:tcW w:w="1418" w:type="dxa"/>
            <w:noWrap w:val="0"/>
            <w:vAlign w:val="center"/>
          </w:tcPr>
          <w:p w14:paraId="79D4B9F8">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387" w:type="dxa"/>
            <w:noWrap w:val="0"/>
            <w:vAlign w:val="center"/>
          </w:tcPr>
          <w:p w14:paraId="6709B308">
            <w:pPr>
              <w:pStyle w:val="37"/>
              <w:keepNext/>
              <w:adjustRightInd w:val="0"/>
              <w:spacing w:line="440" w:lineRule="exact"/>
              <w:ind w:left="63" w:leftChars="30" w:right="63" w:rightChars="30"/>
              <w:jc w:val="center"/>
              <w:textAlignment w:val="baseline"/>
              <w:rPr>
                <w:rFonts w:hint="eastAsia" w:ascii="Times New Roman" w:hAnsi="Times New Roman" w:eastAsia="仿宋_GB2312" w:cs="Times New Roman"/>
                <w:color w:val="auto"/>
                <w:sz w:val="28"/>
                <w:szCs w:val="28"/>
                <w:lang w:eastAsia="zh-CN"/>
              </w:rPr>
            </w:pPr>
          </w:p>
        </w:tc>
        <w:tc>
          <w:tcPr>
            <w:tcW w:w="1176" w:type="dxa"/>
            <w:noWrap w:val="0"/>
            <w:vAlign w:val="center"/>
          </w:tcPr>
          <w:p w14:paraId="678FF900">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3957" w:type="dxa"/>
            <w:noWrap w:val="0"/>
            <w:vAlign w:val="center"/>
          </w:tcPr>
          <w:p w14:paraId="5B0CD6CB">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6B522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1F76731">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p>
        </w:tc>
        <w:tc>
          <w:tcPr>
            <w:tcW w:w="1418" w:type="dxa"/>
            <w:noWrap w:val="0"/>
            <w:vAlign w:val="center"/>
          </w:tcPr>
          <w:p w14:paraId="73DCCF4E">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387" w:type="dxa"/>
            <w:noWrap w:val="0"/>
            <w:vAlign w:val="center"/>
          </w:tcPr>
          <w:p w14:paraId="432F7A3A">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1176" w:type="dxa"/>
            <w:noWrap w:val="0"/>
            <w:vAlign w:val="center"/>
          </w:tcPr>
          <w:p w14:paraId="392BA03E">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rPr>
            </w:pPr>
          </w:p>
        </w:tc>
        <w:tc>
          <w:tcPr>
            <w:tcW w:w="3957" w:type="dxa"/>
            <w:noWrap w:val="0"/>
            <w:vAlign w:val="center"/>
          </w:tcPr>
          <w:p w14:paraId="5D57BDF7">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555A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5751C2C">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p>
        </w:tc>
        <w:tc>
          <w:tcPr>
            <w:tcW w:w="1418" w:type="dxa"/>
            <w:noWrap w:val="0"/>
            <w:vAlign w:val="center"/>
          </w:tcPr>
          <w:p w14:paraId="7F8D5C44">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p>
        </w:tc>
        <w:tc>
          <w:tcPr>
            <w:tcW w:w="1387" w:type="dxa"/>
            <w:noWrap w:val="0"/>
            <w:vAlign w:val="center"/>
          </w:tcPr>
          <w:p w14:paraId="29023AD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176" w:type="dxa"/>
            <w:noWrap w:val="0"/>
            <w:vAlign w:val="center"/>
          </w:tcPr>
          <w:p w14:paraId="7D83819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3957" w:type="dxa"/>
            <w:noWrap w:val="0"/>
            <w:vAlign w:val="center"/>
          </w:tcPr>
          <w:p w14:paraId="75114A15">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4C55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1" w:type="dxa"/>
            <w:vMerge w:val="continue"/>
            <w:noWrap w:val="0"/>
            <w:vAlign w:val="center"/>
          </w:tcPr>
          <w:p w14:paraId="16CF5D9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p>
        </w:tc>
        <w:tc>
          <w:tcPr>
            <w:tcW w:w="1418" w:type="dxa"/>
            <w:noWrap w:val="0"/>
            <w:vAlign w:val="center"/>
          </w:tcPr>
          <w:p w14:paraId="6ABA8D47">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p>
        </w:tc>
        <w:tc>
          <w:tcPr>
            <w:tcW w:w="1387" w:type="dxa"/>
            <w:noWrap w:val="0"/>
            <w:vAlign w:val="center"/>
          </w:tcPr>
          <w:p w14:paraId="4DA8A620">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176" w:type="dxa"/>
            <w:noWrap w:val="0"/>
            <w:vAlign w:val="center"/>
          </w:tcPr>
          <w:p w14:paraId="1A5AD4C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3957" w:type="dxa"/>
            <w:noWrap w:val="0"/>
            <w:vAlign w:val="center"/>
          </w:tcPr>
          <w:p w14:paraId="4A29230F">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bl>
    <w:p w14:paraId="50C66092">
      <w:pPr>
        <w:pStyle w:val="37"/>
        <w:spacing w:line="440" w:lineRule="exact"/>
        <w:ind w:firstLine="600" w:firstLineChars="200"/>
        <w:rPr>
          <w:rFonts w:ascii="Times New Roman" w:hAnsi="Times New Roman" w:eastAsia="黑体"/>
          <w:color w:val="auto"/>
          <w:sz w:val="30"/>
          <w:szCs w:val="30"/>
        </w:rPr>
      </w:pPr>
      <w:r>
        <w:rPr>
          <w:rFonts w:ascii="Times New Roman" w:hAnsi="Times New Roman" w:eastAsia="仿宋_GB2312"/>
          <w:color w:val="auto"/>
          <w:sz w:val="30"/>
          <w:szCs w:val="30"/>
        </w:rPr>
        <w:br w:type="page"/>
      </w:r>
      <w:r>
        <w:rPr>
          <w:rFonts w:hint="eastAsia" w:ascii="Times New Roman" w:hAnsi="Times New Roman" w:eastAsia="仿宋_GB2312" w:cs="仿宋_GB2312"/>
          <w:color w:val="auto"/>
          <w:sz w:val="30"/>
          <w:szCs w:val="30"/>
        </w:rPr>
        <w:t>附</w:t>
      </w:r>
      <w:bookmarkStart w:id="1188" w:name="_Toc296944568"/>
      <w:bookmarkStart w:id="1189" w:name="_Toc296503229"/>
      <w:bookmarkStart w:id="1190" w:name="_Toc296891057"/>
      <w:bookmarkStart w:id="1191" w:name="_Toc296346730"/>
      <w:bookmarkStart w:id="1192" w:name="_Toc296891269"/>
      <w:bookmarkStart w:id="1193" w:name="_Toc296347228"/>
      <w:r>
        <w:rPr>
          <w:rFonts w:hint="eastAsia" w:ascii="Times New Roman" w:hAnsi="Times New Roman" w:eastAsia="仿宋_GB2312" w:cs="仿宋_GB2312"/>
          <w:color w:val="auto"/>
          <w:sz w:val="30"/>
          <w:szCs w:val="30"/>
        </w:rPr>
        <w:t>件</w:t>
      </w:r>
      <w:r>
        <w:rPr>
          <w:rFonts w:hint="eastAsia" w:ascii="Times New Roman" w:hAnsi="Times New Roman" w:eastAsia="仿宋_GB2312"/>
          <w:color w:val="auto"/>
          <w:sz w:val="30"/>
          <w:szCs w:val="30"/>
        </w:rPr>
        <w:t>6</w:t>
      </w:r>
      <w:r>
        <w:rPr>
          <w:rFonts w:hint="eastAsia" w:ascii="Times New Roman" w:hAnsi="Times New Roman" w:eastAsia="仿宋_GB2312" w:cs="仿宋_GB2312"/>
          <w:color w:val="auto"/>
          <w:sz w:val="30"/>
          <w:szCs w:val="30"/>
        </w:rPr>
        <w:t>：</w:t>
      </w:r>
    </w:p>
    <w:bookmarkEnd w:id="1188"/>
    <w:bookmarkEnd w:id="1189"/>
    <w:bookmarkEnd w:id="1190"/>
    <w:bookmarkEnd w:id="1191"/>
    <w:bookmarkEnd w:id="1192"/>
    <w:bookmarkEnd w:id="1193"/>
    <w:p w14:paraId="287FF214">
      <w:pPr>
        <w:pStyle w:val="37"/>
        <w:spacing w:before="156" w:beforeLines="50" w:after="156" w:afterLines="50" w:line="440" w:lineRule="exact"/>
        <w:ind w:firstLine="600" w:firstLineChars="200"/>
        <w:jc w:val="center"/>
        <w:rPr>
          <w:rFonts w:ascii="Times New Roman" w:hAnsi="Times New Roman" w:eastAsia="黑体"/>
          <w:color w:val="auto"/>
          <w:sz w:val="30"/>
          <w:szCs w:val="30"/>
        </w:rPr>
      </w:pPr>
      <w:r>
        <w:rPr>
          <w:rFonts w:hint="eastAsia" w:ascii="Times New Roman" w:hAnsi="Times New Roman" w:eastAsia="黑体" w:cs="黑体"/>
          <w:color w:val="auto"/>
          <w:sz w:val="30"/>
          <w:szCs w:val="30"/>
        </w:rPr>
        <w:t>分包人主要施工管理人员表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39ACB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0ADB52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名</w:t>
            </w:r>
            <w:r>
              <w:rPr>
                <w:rFonts w:ascii="Times New Roman" w:hAnsi="Times New Roman" w:eastAsia="仿宋_GB2312"/>
                <w:color w:val="auto"/>
                <w:sz w:val="28"/>
                <w:szCs w:val="28"/>
              </w:rPr>
              <w:t xml:space="preserve">    </w:t>
            </w:r>
            <w:r>
              <w:rPr>
                <w:rFonts w:hint="eastAsia" w:ascii="Times New Roman" w:hAnsi="Times New Roman" w:eastAsia="仿宋_GB2312" w:cs="仿宋_GB2312"/>
                <w:color w:val="auto"/>
                <w:sz w:val="28"/>
                <w:szCs w:val="28"/>
              </w:rPr>
              <w:t>称</w:t>
            </w:r>
          </w:p>
        </w:tc>
        <w:tc>
          <w:tcPr>
            <w:tcW w:w="1418" w:type="dxa"/>
            <w:noWrap w:val="0"/>
            <w:vAlign w:val="center"/>
          </w:tcPr>
          <w:p w14:paraId="1C8D39F7">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姓名</w:t>
            </w:r>
          </w:p>
        </w:tc>
        <w:tc>
          <w:tcPr>
            <w:tcW w:w="1134" w:type="dxa"/>
            <w:noWrap w:val="0"/>
            <w:vAlign w:val="center"/>
          </w:tcPr>
          <w:p w14:paraId="20EDA00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r>
              <w:rPr>
                <w:rFonts w:hint="eastAsia" w:ascii="Times New Roman" w:hAnsi="Times New Roman" w:eastAsia="仿宋_GB2312" w:cs="仿宋_GB2312"/>
                <w:color w:val="auto"/>
                <w:sz w:val="30"/>
                <w:szCs w:val="30"/>
              </w:rPr>
              <w:t>职务</w:t>
            </w:r>
          </w:p>
        </w:tc>
        <w:tc>
          <w:tcPr>
            <w:tcW w:w="1134" w:type="dxa"/>
            <w:noWrap w:val="0"/>
            <w:vAlign w:val="center"/>
          </w:tcPr>
          <w:p w14:paraId="3926BE26">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r>
              <w:rPr>
                <w:rFonts w:hint="eastAsia" w:ascii="Times New Roman" w:hAnsi="Times New Roman" w:eastAsia="仿宋_GB2312" w:cs="仿宋_GB2312"/>
                <w:color w:val="auto"/>
                <w:sz w:val="30"/>
                <w:szCs w:val="30"/>
              </w:rPr>
              <w:t>职称</w:t>
            </w:r>
          </w:p>
        </w:tc>
        <w:tc>
          <w:tcPr>
            <w:tcW w:w="4252" w:type="dxa"/>
            <w:noWrap w:val="0"/>
            <w:vAlign w:val="center"/>
          </w:tcPr>
          <w:p w14:paraId="19D4348C">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r>
              <w:rPr>
                <w:rFonts w:hint="eastAsia" w:ascii="Times New Roman" w:hAnsi="Times New Roman" w:eastAsia="仿宋_GB2312" w:cs="仿宋_GB2312"/>
                <w:color w:val="auto"/>
                <w:sz w:val="30"/>
                <w:szCs w:val="30"/>
              </w:rPr>
              <w:t>主要资历、经验及承担过的项目</w:t>
            </w:r>
          </w:p>
        </w:tc>
      </w:tr>
      <w:tr w14:paraId="093C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0F3319B7">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一、总部人员</w:t>
            </w:r>
          </w:p>
        </w:tc>
      </w:tr>
      <w:tr w14:paraId="6FC5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CDFC44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项目主管</w:t>
            </w:r>
          </w:p>
        </w:tc>
        <w:tc>
          <w:tcPr>
            <w:tcW w:w="1418" w:type="dxa"/>
            <w:noWrap w:val="0"/>
            <w:vAlign w:val="center"/>
          </w:tcPr>
          <w:p w14:paraId="17969067">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p>
        </w:tc>
        <w:tc>
          <w:tcPr>
            <w:tcW w:w="1134" w:type="dxa"/>
            <w:noWrap w:val="0"/>
            <w:vAlign w:val="center"/>
          </w:tcPr>
          <w:p w14:paraId="78279DFB">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134" w:type="dxa"/>
            <w:noWrap w:val="0"/>
            <w:vAlign w:val="center"/>
          </w:tcPr>
          <w:p w14:paraId="3BCF564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4252" w:type="dxa"/>
            <w:noWrap w:val="0"/>
            <w:vAlign w:val="center"/>
          </w:tcPr>
          <w:p w14:paraId="701C40F6">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33A03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2CA5DBDF">
            <w:pPr>
              <w:pStyle w:val="37"/>
              <w:keepNext/>
              <w:adjustRightInd w:val="0"/>
              <w:spacing w:after="60"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其他人员</w:t>
            </w:r>
          </w:p>
        </w:tc>
        <w:tc>
          <w:tcPr>
            <w:tcW w:w="1418" w:type="dxa"/>
            <w:noWrap w:val="0"/>
            <w:vAlign w:val="center"/>
          </w:tcPr>
          <w:p w14:paraId="77F0A4D6">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p>
        </w:tc>
        <w:tc>
          <w:tcPr>
            <w:tcW w:w="1134" w:type="dxa"/>
            <w:noWrap w:val="0"/>
            <w:vAlign w:val="center"/>
          </w:tcPr>
          <w:p w14:paraId="1CEBAAE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134" w:type="dxa"/>
            <w:noWrap w:val="0"/>
            <w:vAlign w:val="center"/>
          </w:tcPr>
          <w:p w14:paraId="5387CDC2">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4252" w:type="dxa"/>
            <w:noWrap w:val="0"/>
            <w:vAlign w:val="center"/>
          </w:tcPr>
          <w:p w14:paraId="2F13BB5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29B2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8098C2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p>
        </w:tc>
        <w:tc>
          <w:tcPr>
            <w:tcW w:w="1418" w:type="dxa"/>
            <w:noWrap w:val="0"/>
            <w:vAlign w:val="center"/>
          </w:tcPr>
          <w:p w14:paraId="306D2CE2">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p>
        </w:tc>
        <w:tc>
          <w:tcPr>
            <w:tcW w:w="1134" w:type="dxa"/>
            <w:noWrap w:val="0"/>
            <w:vAlign w:val="center"/>
          </w:tcPr>
          <w:p w14:paraId="26ABA660">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134" w:type="dxa"/>
            <w:noWrap w:val="0"/>
            <w:vAlign w:val="center"/>
          </w:tcPr>
          <w:p w14:paraId="332CEDA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4252" w:type="dxa"/>
            <w:noWrap w:val="0"/>
            <w:vAlign w:val="center"/>
          </w:tcPr>
          <w:p w14:paraId="791422F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27B3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22762B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p>
        </w:tc>
        <w:tc>
          <w:tcPr>
            <w:tcW w:w="1418" w:type="dxa"/>
            <w:noWrap w:val="0"/>
            <w:vAlign w:val="center"/>
          </w:tcPr>
          <w:p w14:paraId="777F36E2">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p>
        </w:tc>
        <w:tc>
          <w:tcPr>
            <w:tcW w:w="1134" w:type="dxa"/>
            <w:noWrap w:val="0"/>
            <w:vAlign w:val="center"/>
          </w:tcPr>
          <w:p w14:paraId="118004F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134" w:type="dxa"/>
            <w:noWrap w:val="0"/>
            <w:vAlign w:val="center"/>
          </w:tcPr>
          <w:p w14:paraId="4A611174">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4252" w:type="dxa"/>
            <w:noWrap w:val="0"/>
            <w:vAlign w:val="center"/>
          </w:tcPr>
          <w:p w14:paraId="67AC4C0F">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23AB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101DCBE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二、现场人员</w:t>
            </w:r>
          </w:p>
        </w:tc>
      </w:tr>
      <w:tr w14:paraId="2620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B7DF8E6">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项目经理</w:t>
            </w:r>
          </w:p>
        </w:tc>
        <w:tc>
          <w:tcPr>
            <w:tcW w:w="1418" w:type="dxa"/>
            <w:noWrap w:val="0"/>
            <w:vAlign w:val="center"/>
          </w:tcPr>
          <w:p w14:paraId="4B3C71F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p>
        </w:tc>
        <w:tc>
          <w:tcPr>
            <w:tcW w:w="1134" w:type="dxa"/>
            <w:noWrap w:val="0"/>
            <w:vAlign w:val="center"/>
          </w:tcPr>
          <w:p w14:paraId="1EDB084B">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134" w:type="dxa"/>
            <w:noWrap w:val="0"/>
            <w:vAlign w:val="center"/>
          </w:tcPr>
          <w:p w14:paraId="52CF13A6">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4252" w:type="dxa"/>
            <w:noWrap w:val="0"/>
            <w:vAlign w:val="center"/>
          </w:tcPr>
          <w:p w14:paraId="77AD1736">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6EC8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5E1EF14">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项目副经理</w:t>
            </w:r>
          </w:p>
        </w:tc>
        <w:tc>
          <w:tcPr>
            <w:tcW w:w="1418" w:type="dxa"/>
            <w:noWrap w:val="0"/>
            <w:vAlign w:val="center"/>
          </w:tcPr>
          <w:p w14:paraId="65546E9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p>
        </w:tc>
        <w:tc>
          <w:tcPr>
            <w:tcW w:w="1134" w:type="dxa"/>
            <w:noWrap w:val="0"/>
            <w:vAlign w:val="center"/>
          </w:tcPr>
          <w:p w14:paraId="09B99107">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134" w:type="dxa"/>
            <w:noWrap w:val="0"/>
            <w:vAlign w:val="center"/>
          </w:tcPr>
          <w:p w14:paraId="41934FF0">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4252" w:type="dxa"/>
            <w:noWrap w:val="0"/>
            <w:vAlign w:val="center"/>
          </w:tcPr>
          <w:p w14:paraId="2EF33B6F">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209E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F58CDFF">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技术负责人</w:t>
            </w:r>
          </w:p>
        </w:tc>
        <w:tc>
          <w:tcPr>
            <w:tcW w:w="1418" w:type="dxa"/>
            <w:noWrap w:val="0"/>
            <w:vAlign w:val="center"/>
          </w:tcPr>
          <w:p w14:paraId="73D4E0E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p>
        </w:tc>
        <w:tc>
          <w:tcPr>
            <w:tcW w:w="1134" w:type="dxa"/>
            <w:noWrap w:val="0"/>
            <w:vAlign w:val="center"/>
          </w:tcPr>
          <w:p w14:paraId="2884E03B">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134" w:type="dxa"/>
            <w:noWrap w:val="0"/>
            <w:vAlign w:val="center"/>
          </w:tcPr>
          <w:p w14:paraId="4558ACE1">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4252" w:type="dxa"/>
            <w:noWrap w:val="0"/>
            <w:vAlign w:val="center"/>
          </w:tcPr>
          <w:p w14:paraId="60DFE36F">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10FB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3622FF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造价管理</w:t>
            </w:r>
          </w:p>
        </w:tc>
        <w:tc>
          <w:tcPr>
            <w:tcW w:w="1418" w:type="dxa"/>
            <w:noWrap w:val="0"/>
            <w:vAlign w:val="center"/>
          </w:tcPr>
          <w:p w14:paraId="405CCE5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p>
        </w:tc>
        <w:tc>
          <w:tcPr>
            <w:tcW w:w="1134" w:type="dxa"/>
            <w:noWrap w:val="0"/>
            <w:vAlign w:val="center"/>
          </w:tcPr>
          <w:p w14:paraId="516CDE5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134" w:type="dxa"/>
            <w:noWrap w:val="0"/>
            <w:vAlign w:val="center"/>
          </w:tcPr>
          <w:p w14:paraId="54BB888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4252" w:type="dxa"/>
            <w:noWrap w:val="0"/>
            <w:vAlign w:val="center"/>
          </w:tcPr>
          <w:p w14:paraId="24341A61">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4674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B4735E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质量管理</w:t>
            </w:r>
          </w:p>
        </w:tc>
        <w:tc>
          <w:tcPr>
            <w:tcW w:w="1418" w:type="dxa"/>
            <w:noWrap w:val="0"/>
            <w:vAlign w:val="center"/>
          </w:tcPr>
          <w:p w14:paraId="76F6BC32">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p>
        </w:tc>
        <w:tc>
          <w:tcPr>
            <w:tcW w:w="1134" w:type="dxa"/>
            <w:noWrap w:val="0"/>
            <w:vAlign w:val="center"/>
          </w:tcPr>
          <w:p w14:paraId="18D87875">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134" w:type="dxa"/>
            <w:noWrap w:val="0"/>
            <w:vAlign w:val="center"/>
          </w:tcPr>
          <w:p w14:paraId="2B46259B">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4252" w:type="dxa"/>
            <w:noWrap w:val="0"/>
            <w:vAlign w:val="center"/>
          </w:tcPr>
          <w:p w14:paraId="0CC894E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0590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214F49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材料管理</w:t>
            </w:r>
          </w:p>
        </w:tc>
        <w:tc>
          <w:tcPr>
            <w:tcW w:w="1418" w:type="dxa"/>
            <w:noWrap w:val="0"/>
            <w:vAlign w:val="center"/>
          </w:tcPr>
          <w:p w14:paraId="16E4B024">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p>
        </w:tc>
        <w:tc>
          <w:tcPr>
            <w:tcW w:w="1134" w:type="dxa"/>
            <w:noWrap w:val="0"/>
            <w:vAlign w:val="center"/>
          </w:tcPr>
          <w:p w14:paraId="0E639BD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134" w:type="dxa"/>
            <w:noWrap w:val="0"/>
            <w:vAlign w:val="center"/>
          </w:tcPr>
          <w:p w14:paraId="5D6D6B8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4252" w:type="dxa"/>
            <w:noWrap w:val="0"/>
            <w:vAlign w:val="center"/>
          </w:tcPr>
          <w:p w14:paraId="61068F42">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00EB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DD0447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计划管理</w:t>
            </w:r>
          </w:p>
        </w:tc>
        <w:tc>
          <w:tcPr>
            <w:tcW w:w="1418" w:type="dxa"/>
            <w:noWrap w:val="0"/>
            <w:vAlign w:val="center"/>
          </w:tcPr>
          <w:p w14:paraId="381BA83C">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p>
        </w:tc>
        <w:tc>
          <w:tcPr>
            <w:tcW w:w="1134" w:type="dxa"/>
            <w:noWrap w:val="0"/>
            <w:vAlign w:val="center"/>
          </w:tcPr>
          <w:p w14:paraId="76CE0854">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134" w:type="dxa"/>
            <w:noWrap w:val="0"/>
            <w:vAlign w:val="center"/>
          </w:tcPr>
          <w:p w14:paraId="3437AA46">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4252" w:type="dxa"/>
            <w:noWrap w:val="0"/>
            <w:vAlign w:val="center"/>
          </w:tcPr>
          <w:p w14:paraId="3F5D0CF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12B0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36046E1">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安全管理</w:t>
            </w:r>
          </w:p>
        </w:tc>
        <w:tc>
          <w:tcPr>
            <w:tcW w:w="1418" w:type="dxa"/>
            <w:noWrap w:val="0"/>
            <w:vAlign w:val="center"/>
          </w:tcPr>
          <w:p w14:paraId="4F56C4B7">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p>
        </w:tc>
        <w:tc>
          <w:tcPr>
            <w:tcW w:w="1134" w:type="dxa"/>
            <w:noWrap w:val="0"/>
            <w:vAlign w:val="center"/>
          </w:tcPr>
          <w:p w14:paraId="21F7D6A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134" w:type="dxa"/>
            <w:noWrap w:val="0"/>
            <w:vAlign w:val="center"/>
          </w:tcPr>
          <w:p w14:paraId="48092E3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4252" w:type="dxa"/>
            <w:noWrap w:val="0"/>
            <w:vAlign w:val="center"/>
          </w:tcPr>
          <w:p w14:paraId="3D4A0530">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08EF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101B91DF">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其他人员</w:t>
            </w:r>
          </w:p>
        </w:tc>
        <w:tc>
          <w:tcPr>
            <w:tcW w:w="1418" w:type="dxa"/>
            <w:noWrap w:val="0"/>
            <w:vAlign w:val="center"/>
          </w:tcPr>
          <w:p w14:paraId="3CBA1675">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p>
        </w:tc>
        <w:tc>
          <w:tcPr>
            <w:tcW w:w="1134" w:type="dxa"/>
            <w:noWrap w:val="0"/>
            <w:vAlign w:val="center"/>
          </w:tcPr>
          <w:p w14:paraId="5AEE4CA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134" w:type="dxa"/>
            <w:noWrap w:val="0"/>
            <w:vAlign w:val="center"/>
          </w:tcPr>
          <w:p w14:paraId="3F31EEB6">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4252" w:type="dxa"/>
            <w:noWrap w:val="0"/>
            <w:vAlign w:val="center"/>
          </w:tcPr>
          <w:p w14:paraId="4D3947C2">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3F67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EDCB9A0">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p>
        </w:tc>
        <w:tc>
          <w:tcPr>
            <w:tcW w:w="1418" w:type="dxa"/>
            <w:noWrap w:val="0"/>
            <w:vAlign w:val="center"/>
          </w:tcPr>
          <w:p w14:paraId="22C57F70">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p>
        </w:tc>
        <w:tc>
          <w:tcPr>
            <w:tcW w:w="1134" w:type="dxa"/>
            <w:noWrap w:val="0"/>
            <w:vAlign w:val="center"/>
          </w:tcPr>
          <w:p w14:paraId="44BC623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134" w:type="dxa"/>
            <w:noWrap w:val="0"/>
            <w:vAlign w:val="center"/>
          </w:tcPr>
          <w:p w14:paraId="7912384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4252" w:type="dxa"/>
            <w:noWrap w:val="0"/>
            <w:vAlign w:val="center"/>
          </w:tcPr>
          <w:p w14:paraId="110A079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1883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E05CAF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p>
        </w:tc>
        <w:tc>
          <w:tcPr>
            <w:tcW w:w="1418" w:type="dxa"/>
            <w:noWrap w:val="0"/>
            <w:vAlign w:val="center"/>
          </w:tcPr>
          <w:p w14:paraId="28810B0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p>
        </w:tc>
        <w:tc>
          <w:tcPr>
            <w:tcW w:w="1134" w:type="dxa"/>
            <w:noWrap w:val="0"/>
            <w:vAlign w:val="center"/>
          </w:tcPr>
          <w:p w14:paraId="582DEA0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134" w:type="dxa"/>
            <w:noWrap w:val="0"/>
            <w:vAlign w:val="center"/>
          </w:tcPr>
          <w:p w14:paraId="4680A197">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4252" w:type="dxa"/>
            <w:noWrap w:val="0"/>
            <w:vAlign w:val="center"/>
          </w:tcPr>
          <w:p w14:paraId="6EEB5C77">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09CB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22D14E6">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p>
        </w:tc>
        <w:tc>
          <w:tcPr>
            <w:tcW w:w="1418" w:type="dxa"/>
            <w:noWrap w:val="0"/>
            <w:vAlign w:val="center"/>
          </w:tcPr>
          <w:p w14:paraId="06FC7AA5">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p>
        </w:tc>
        <w:tc>
          <w:tcPr>
            <w:tcW w:w="1134" w:type="dxa"/>
            <w:noWrap w:val="0"/>
            <w:vAlign w:val="center"/>
          </w:tcPr>
          <w:p w14:paraId="31C9AA02">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134" w:type="dxa"/>
            <w:noWrap w:val="0"/>
            <w:vAlign w:val="center"/>
          </w:tcPr>
          <w:p w14:paraId="2F3EEBF0">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4252" w:type="dxa"/>
            <w:noWrap w:val="0"/>
            <w:vAlign w:val="center"/>
          </w:tcPr>
          <w:p w14:paraId="5AC6AD1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7979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9FDD43B">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p>
        </w:tc>
        <w:tc>
          <w:tcPr>
            <w:tcW w:w="1418" w:type="dxa"/>
            <w:noWrap w:val="0"/>
            <w:vAlign w:val="center"/>
          </w:tcPr>
          <w:p w14:paraId="1A638891">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p>
        </w:tc>
        <w:tc>
          <w:tcPr>
            <w:tcW w:w="1134" w:type="dxa"/>
            <w:noWrap w:val="0"/>
            <w:vAlign w:val="center"/>
          </w:tcPr>
          <w:p w14:paraId="22C97175">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134" w:type="dxa"/>
            <w:noWrap w:val="0"/>
            <w:vAlign w:val="center"/>
          </w:tcPr>
          <w:p w14:paraId="561FFD80">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4252" w:type="dxa"/>
            <w:noWrap w:val="0"/>
            <w:vAlign w:val="center"/>
          </w:tcPr>
          <w:p w14:paraId="2EB62A6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r w14:paraId="63F7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A15443C">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p>
        </w:tc>
        <w:tc>
          <w:tcPr>
            <w:tcW w:w="1418" w:type="dxa"/>
            <w:noWrap w:val="0"/>
            <w:vAlign w:val="center"/>
          </w:tcPr>
          <w:p w14:paraId="43A7F0C4">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rPr>
            </w:pPr>
          </w:p>
        </w:tc>
        <w:tc>
          <w:tcPr>
            <w:tcW w:w="1134" w:type="dxa"/>
            <w:noWrap w:val="0"/>
            <w:vAlign w:val="center"/>
          </w:tcPr>
          <w:p w14:paraId="061B929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1134" w:type="dxa"/>
            <w:noWrap w:val="0"/>
            <w:vAlign w:val="center"/>
          </w:tcPr>
          <w:p w14:paraId="1A48C19B">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c>
          <w:tcPr>
            <w:tcW w:w="4252" w:type="dxa"/>
            <w:noWrap w:val="0"/>
            <w:vAlign w:val="center"/>
          </w:tcPr>
          <w:p w14:paraId="003E954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rPr>
            </w:pPr>
          </w:p>
        </w:tc>
      </w:tr>
    </w:tbl>
    <w:p w14:paraId="4989E6A2">
      <w:pPr>
        <w:pStyle w:val="37"/>
        <w:spacing w:line="440" w:lineRule="exact"/>
        <w:ind w:firstLine="600" w:firstLineChars="200"/>
        <w:rPr>
          <w:rFonts w:ascii="Times New Roman" w:hAnsi="Times New Roman" w:eastAsia="黑体"/>
          <w:color w:val="auto"/>
          <w:sz w:val="30"/>
          <w:szCs w:val="30"/>
        </w:rPr>
      </w:pPr>
      <w:r>
        <w:rPr>
          <w:rFonts w:ascii="Times New Roman" w:hAnsi="Times New Roman" w:eastAsia="仿宋_GB2312"/>
          <w:color w:val="auto"/>
          <w:sz w:val="30"/>
          <w:szCs w:val="30"/>
        </w:rPr>
        <w:br w:type="page"/>
      </w:r>
      <w:bookmarkStart w:id="1194" w:name="_Toc267261701"/>
      <w:r>
        <w:rPr>
          <w:rFonts w:hint="eastAsia" w:ascii="Times New Roman" w:hAnsi="Times New Roman" w:eastAsia="仿宋_GB2312" w:cs="仿宋_GB2312"/>
          <w:color w:val="auto"/>
          <w:sz w:val="30"/>
          <w:szCs w:val="30"/>
        </w:rPr>
        <w:t>附</w:t>
      </w:r>
      <w:bookmarkStart w:id="1195" w:name="_Toc296346732"/>
      <w:bookmarkStart w:id="1196" w:name="_Toc296891059"/>
      <w:bookmarkStart w:id="1197" w:name="_Toc296503231"/>
      <w:bookmarkStart w:id="1198" w:name="_Toc296347230"/>
      <w:bookmarkStart w:id="1199" w:name="_Toc296944570"/>
      <w:bookmarkStart w:id="1200" w:name="_Toc296891271"/>
      <w:r>
        <w:rPr>
          <w:rFonts w:hint="eastAsia" w:ascii="Times New Roman" w:hAnsi="Times New Roman" w:eastAsia="仿宋_GB2312" w:cs="仿宋_GB2312"/>
          <w:color w:val="auto"/>
          <w:sz w:val="30"/>
          <w:szCs w:val="30"/>
        </w:rPr>
        <w:t>件</w:t>
      </w:r>
      <w:r>
        <w:rPr>
          <w:rFonts w:hint="eastAsia" w:ascii="Times New Roman" w:hAnsi="Times New Roman" w:eastAsia="仿宋_GB2312"/>
          <w:color w:val="auto"/>
          <w:sz w:val="30"/>
          <w:szCs w:val="30"/>
        </w:rPr>
        <w:t>7</w:t>
      </w:r>
      <w:r>
        <w:rPr>
          <w:rFonts w:hint="eastAsia" w:ascii="Times New Roman" w:hAnsi="Times New Roman" w:eastAsia="仿宋_GB2312" w:cs="仿宋_GB2312"/>
          <w:color w:val="auto"/>
          <w:sz w:val="30"/>
          <w:szCs w:val="30"/>
        </w:rPr>
        <w:t>：</w:t>
      </w:r>
    </w:p>
    <w:bookmarkEnd w:id="1194"/>
    <w:bookmarkEnd w:id="1195"/>
    <w:bookmarkEnd w:id="1196"/>
    <w:bookmarkEnd w:id="1197"/>
    <w:bookmarkEnd w:id="1198"/>
    <w:bookmarkEnd w:id="1199"/>
    <w:bookmarkEnd w:id="1200"/>
    <w:p w14:paraId="2D31325D">
      <w:pPr>
        <w:pStyle w:val="37"/>
        <w:spacing w:before="156" w:beforeLines="50" w:after="156" w:afterLines="50" w:line="440" w:lineRule="exact"/>
        <w:ind w:firstLine="600" w:firstLineChars="200"/>
        <w:jc w:val="center"/>
        <w:rPr>
          <w:rFonts w:ascii="Times New Roman" w:hAnsi="Times New Roman" w:eastAsia="黑体"/>
          <w:color w:val="auto"/>
          <w:sz w:val="30"/>
          <w:szCs w:val="30"/>
        </w:rPr>
      </w:pPr>
      <w:r>
        <w:rPr>
          <w:rFonts w:hint="eastAsia" w:ascii="Times New Roman" w:hAnsi="Times New Roman" w:eastAsia="黑体" w:cs="黑体"/>
          <w:color w:val="auto"/>
          <w:sz w:val="30"/>
          <w:szCs w:val="30"/>
        </w:rPr>
        <w:t>履约担保</w:t>
      </w:r>
    </w:p>
    <w:p w14:paraId="602400EA">
      <w:pPr>
        <w:pStyle w:val="37"/>
        <w:spacing w:line="360" w:lineRule="auto"/>
        <w:rPr>
          <w:rFonts w:ascii="Times New Roman" w:hAnsi="Times New Roman"/>
          <w:color w:val="auto"/>
          <w:szCs w:val="21"/>
          <w:u w:val="single"/>
        </w:rPr>
      </w:pPr>
    </w:p>
    <w:p w14:paraId="28538D7E">
      <w:pPr>
        <w:pStyle w:val="37"/>
        <w:spacing w:line="360" w:lineRule="auto"/>
        <w:ind w:firstLine="420" w:firstLineChars="200"/>
        <w:rPr>
          <w:rFonts w:ascii="Times New Roman" w:hAnsi="Times New Roman"/>
          <w:color w:val="auto"/>
          <w:szCs w:val="21"/>
        </w:rPr>
      </w:pPr>
      <w:r>
        <w:rPr>
          <w:rFonts w:ascii="Times New Roman" w:hAnsi="Times New Roman"/>
          <w:color w:val="auto"/>
          <w:szCs w:val="21"/>
          <w:u w:val="single"/>
        </w:rPr>
        <w:t xml:space="preserve">                          </w:t>
      </w:r>
      <w:r>
        <w:rPr>
          <w:rFonts w:hint="eastAsia" w:ascii="Times New Roman" w:hAnsi="宋体" w:cs="宋体"/>
          <w:color w:val="auto"/>
          <w:szCs w:val="21"/>
        </w:rPr>
        <w:t>（发包人名称）：</w:t>
      </w:r>
    </w:p>
    <w:p w14:paraId="395D2D1D">
      <w:pPr>
        <w:pStyle w:val="37"/>
        <w:spacing w:line="360" w:lineRule="auto"/>
        <w:ind w:firstLine="420" w:firstLineChars="200"/>
        <w:rPr>
          <w:rFonts w:ascii="Times New Roman" w:hAnsi="Times New Roman"/>
          <w:color w:val="auto"/>
          <w:szCs w:val="21"/>
        </w:rPr>
      </w:pPr>
      <w:r>
        <w:rPr>
          <w:rFonts w:hint="eastAsia" w:ascii="Times New Roman" w:hAnsi="宋体" w:cs="宋体"/>
          <w:color w:val="auto"/>
          <w:szCs w:val="21"/>
        </w:rPr>
        <w:t>鉴于</w:t>
      </w:r>
      <w:r>
        <w:rPr>
          <w:rFonts w:ascii="Times New Roman" w:hAnsi="Times New Roman"/>
          <w:color w:val="auto"/>
          <w:szCs w:val="21"/>
          <w:u w:val="single"/>
        </w:rPr>
        <w:t xml:space="preserve">                                        </w:t>
      </w:r>
      <w:r>
        <w:rPr>
          <w:rFonts w:hint="eastAsia" w:ascii="Times New Roman" w:hAnsi="宋体" w:cs="宋体"/>
          <w:color w:val="auto"/>
          <w:szCs w:val="21"/>
        </w:rPr>
        <w:t>（发包人名称，以下简称</w:t>
      </w:r>
      <w:r>
        <w:rPr>
          <w:rFonts w:ascii="Times New Roman" w:hAnsi="Times New Roman"/>
          <w:color w:val="auto"/>
          <w:szCs w:val="21"/>
        </w:rPr>
        <w:t>“</w:t>
      </w:r>
      <w:r>
        <w:rPr>
          <w:rFonts w:hint="eastAsia" w:ascii="Times New Roman" w:hAnsi="宋体" w:cs="宋体"/>
          <w:color w:val="auto"/>
          <w:szCs w:val="21"/>
        </w:rPr>
        <w:t>发包人</w:t>
      </w:r>
      <w:r>
        <w:rPr>
          <w:rFonts w:ascii="Times New Roman" w:hAnsi="Times New Roman"/>
          <w:color w:val="auto"/>
          <w:szCs w:val="21"/>
        </w:rPr>
        <w:t>”</w:t>
      </w:r>
      <w:r>
        <w:rPr>
          <w:rFonts w:hint="eastAsia" w:ascii="Times New Roman" w:hAnsi="宋体" w:cs="宋体"/>
          <w:color w:val="auto"/>
          <w:szCs w:val="21"/>
        </w:rPr>
        <w:t>）</w:t>
      </w:r>
      <w:r>
        <w:rPr>
          <w:rFonts w:ascii="Times New Roman" w:hAnsi="宋体"/>
          <w:color w:val="auto"/>
          <w:szCs w:val="21"/>
        </w:rPr>
        <w:t xml:space="preserve"> </w:t>
      </w:r>
      <w:r>
        <w:rPr>
          <w:rFonts w:hint="eastAsia" w:ascii="Times New Roman" w:hAnsi="宋体" w:cs="宋体"/>
          <w:color w:val="auto"/>
          <w:szCs w:val="21"/>
        </w:rPr>
        <w:t>已于</w:t>
      </w:r>
      <w:r>
        <w:rPr>
          <w:rFonts w:ascii="Times New Roman" w:hAnsi="Times New Roman"/>
          <w:color w:val="auto"/>
          <w:szCs w:val="21"/>
          <w:u w:val="single"/>
        </w:rPr>
        <w:t xml:space="preserve">           </w:t>
      </w:r>
      <w:r>
        <w:rPr>
          <w:rFonts w:hint="eastAsia" w:ascii="Times New Roman" w:hAnsi="宋体" w:cs="宋体"/>
          <w:color w:val="auto"/>
          <w:szCs w:val="21"/>
        </w:rPr>
        <w:t>年</w:t>
      </w:r>
      <w:r>
        <w:rPr>
          <w:rFonts w:ascii="Times New Roman" w:hAnsi="Times New Roman"/>
          <w:color w:val="auto"/>
          <w:szCs w:val="21"/>
          <w:u w:val="single"/>
        </w:rPr>
        <w:t xml:space="preserve">      </w:t>
      </w:r>
      <w:r>
        <w:rPr>
          <w:rFonts w:hint="eastAsia" w:ascii="Times New Roman" w:hAnsi="宋体" w:cs="宋体"/>
          <w:color w:val="auto"/>
          <w:szCs w:val="21"/>
        </w:rPr>
        <w:t>月</w:t>
      </w:r>
      <w:r>
        <w:rPr>
          <w:rFonts w:ascii="Times New Roman" w:hAnsi="Times New Roman"/>
          <w:color w:val="auto"/>
          <w:szCs w:val="21"/>
          <w:u w:val="single"/>
        </w:rPr>
        <w:t xml:space="preserve">      </w:t>
      </w:r>
      <w:r>
        <w:rPr>
          <w:rFonts w:hint="eastAsia" w:ascii="Times New Roman" w:hAnsi="宋体" w:cs="宋体"/>
          <w:color w:val="auto"/>
          <w:szCs w:val="21"/>
        </w:rPr>
        <w:t>日发放成交通知书，明确</w:t>
      </w:r>
      <w:r>
        <w:rPr>
          <w:rFonts w:ascii="Times New Roman" w:hAnsi="Times New Roman"/>
          <w:color w:val="auto"/>
          <w:szCs w:val="21"/>
          <w:u w:val="single"/>
        </w:rPr>
        <w:t xml:space="preserve">                           </w:t>
      </w:r>
      <w:r>
        <w:rPr>
          <w:rFonts w:hint="eastAsia" w:ascii="Times New Roman" w:hAnsi="宋体" w:cs="宋体"/>
          <w:color w:val="auto"/>
          <w:szCs w:val="21"/>
        </w:rPr>
        <w:t>（承包人名称）（以下</w:t>
      </w:r>
      <w:r>
        <w:rPr>
          <w:rFonts w:hint="eastAsia"/>
          <w:color w:val="auto"/>
          <w:lang w:val="en-US" w:eastAsia="zh-CN"/>
        </w:rPr>
        <w:t>简</w:t>
      </w:r>
      <w:r>
        <w:rPr>
          <w:rFonts w:hint="eastAsia" w:ascii="Times New Roman" w:hAnsi="宋体" w:cs="宋体"/>
          <w:color w:val="auto"/>
          <w:szCs w:val="21"/>
        </w:rPr>
        <w:t>称</w:t>
      </w:r>
      <w:r>
        <w:rPr>
          <w:rFonts w:ascii="Times New Roman" w:hAnsi="Times New Roman"/>
          <w:color w:val="auto"/>
          <w:szCs w:val="21"/>
        </w:rPr>
        <w:t>“</w:t>
      </w:r>
      <w:r>
        <w:rPr>
          <w:rFonts w:hint="eastAsia" w:ascii="Times New Roman" w:hAnsi="宋体" w:cs="宋体"/>
          <w:color w:val="auto"/>
          <w:szCs w:val="21"/>
        </w:rPr>
        <w:t>承包人</w:t>
      </w:r>
      <w:r>
        <w:rPr>
          <w:rFonts w:ascii="Times New Roman" w:hAnsi="Times New Roman"/>
          <w:color w:val="auto"/>
          <w:szCs w:val="21"/>
        </w:rPr>
        <w:t>”</w:t>
      </w:r>
      <w:r>
        <w:rPr>
          <w:rFonts w:hint="eastAsia" w:ascii="Times New Roman" w:hAnsi="宋体" w:cs="宋体"/>
          <w:color w:val="auto"/>
          <w:szCs w:val="21"/>
        </w:rPr>
        <w:t>）于</w:t>
      </w:r>
      <w:r>
        <w:rPr>
          <w:rFonts w:ascii="Times New Roman" w:hAnsi="Times New Roman"/>
          <w:color w:val="auto"/>
          <w:szCs w:val="21"/>
          <w:u w:val="single"/>
        </w:rPr>
        <w:t xml:space="preserve">           </w:t>
      </w:r>
      <w:r>
        <w:rPr>
          <w:rFonts w:hint="eastAsia" w:ascii="Times New Roman" w:hAnsi="宋体" w:cs="宋体"/>
          <w:color w:val="auto"/>
          <w:szCs w:val="21"/>
        </w:rPr>
        <w:t>年</w:t>
      </w:r>
      <w:r>
        <w:rPr>
          <w:rFonts w:ascii="Times New Roman" w:hAnsi="Times New Roman"/>
          <w:color w:val="auto"/>
          <w:szCs w:val="21"/>
          <w:u w:val="single"/>
        </w:rPr>
        <w:t xml:space="preserve">      </w:t>
      </w:r>
      <w:r>
        <w:rPr>
          <w:rFonts w:hint="eastAsia" w:ascii="Times New Roman" w:hAnsi="宋体" w:cs="宋体"/>
          <w:color w:val="auto"/>
          <w:szCs w:val="21"/>
        </w:rPr>
        <w:t>月</w:t>
      </w:r>
      <w:r>
        <w:rPr>
          <w:rFonts w:ascii="Times New Roman" w:hAnsi="Times New Roman"/>
          <w:color w:val="auto"/>
          <w:szCs w:val="21"/>
          <w:u w:val="single"/>
        </w:rPr>
        <w:t xml:space="preserve">      </w:t>
      </w:r>
      <w:r>
        <w:rPr>
          <w:rFonts w:hint="eastAsia" w:ascii="Times New Roman" w:hAnsi="宋体" w:cs="宋体"/>
          <w:color w:val="auto"/>
          <w:szCs w:val="21"/>
        </w:rPr>
        <w:t>日为</w:t>
      </w:r>
      <w:r>
        <w:rPr>
          <w:rFonts w:ascii="Times New Roman" w:hAnsi="Times New Roman"/>
          <w:color w:val="auto"/>
          <w:szCs w:val="21"/>
          <w:u w:val="single"/>
        </w:rPr>
        <w:t xml:space="preserve">                       </w:t>
      </w:r>
      <w:r>
        <w:rPr>
          <w:rFonts w:hint="eastAsia" w:ascii="Times New Roman" w:hAnsi="宋体" w:cs="宋体"/>
          <w:color w:val="auto"/>
          <w:szCs w:val="21"/>
        </w:rPr>
        <w:t>（工程名称）的成交人。我方愿意无条件地、不可撤销地就承包人履行与你方签订的合同，向你方提供连带责任担保。</w:t>
      </w:r>
      <w:r>
        <w:rPr>
          <w:rFonts w:ascii="Times New Roman" w:hAnsi="Times New Roman"/>
          <w:color w:val="auto"/>
          <w:szCs w:val="21"/>
        </w:rPr>
        <w:t xml:space="preserve"> </w:t>
      </w:r>
    </w:p>
    <w:p w14:paraId="7F7AEFE6">
      <w:pPr>
        <w:pStyle w:val="37"/>
        <w:spacing w:line="360" w:lineRule="auto"/>
        <w:ind w:firstLine="420" w:firstLineChars="200"/>
        <w:rPr>
          <w:rFonts w:ascii="Times New Roman" w:hAnsi="Times New Roman"/>
          <w:color w:val="auto"/>
          <w:szCs w:val="21"/>
        </w:rPr>
      </w:pPr>
      <w:r>
        <w:rPr>
          <w:rFonts w:ascii="Times New Roman" w:hAnsi="Times New Roman"/>
          <w:color w:val="auto"/>
          <w:szCs w:val="21"/>
        </w:rPr>
        <w:t xml:space="preserve">1. </w:t>
      </w:r>
      <w:r>
        <w:rPr>
          <w:rFonts w:hint="eastAsia" w:ascii="Times New Roman" w:hAnsi="宋体" w:cs="宋体"/>
          <w:color w:val="auto"/>
          <w:szCs w:val="21"/>
        </w:rPr>
        <w:t>担保金额人民币（大写）</w:t>
      </w:r>
      <w:r>
        <w:rPr>
          <w:rFonts w:ascii="Times New Roman" w:hAnsi="Times New Roman"/>
          <w:color w:val="auto"/>
          <w:szCs w:val="21"/>
          <w:u w:val="single"/>
        </w:rPr>
        <w:t xml:space="preserve">                 </w:t>
      </w:r>
      <w:r>
        <w:rPr>
          <w:rFonts w:hint="eastAsia" w:ascii="Times New Roman" w:hAnsi="宋体" w:cs="宋体"/>
          <w:color w:val="auto"/>
          <w:szCs w:val="21"/>
        </w:rPr>
        <w:t>（</w:t>
      </w:r>
      <w:r>
        <w:rPr>
          <w:rFonts w:ascii="Times New Roman" w:hAnsi="Times New Roman"/>
          <w:color w:val="auto"/>
          <w:szCs w:val="21"/>
        </w:rPr>
        <w:t>¥</w:t>
      </w:r>
      <w:r>
        <w:rPr>
          <w:rFonts w:ascii="Times New Roman" w:hAnsi="Times New Roman"/>
          <w:color w:val="auto"/>
          <w:szCs w:val="21"/>
          <w:u w:val="single"/>
        </w:rPr>
        <w:t xml:space="preserve">             </w:t>
      </w:r>
      <w:r>
        <w:rPr>
          <w:rFonts w:hint="eastAsia" w:ascii="Times New Roman" w:hAnsi="宋体" w:cs="宋体"/>
          <w:color w:val="auto"/>
          <w:szCs w:val="21"/>
        </w:rPr>
        <w:t>）。</w:t>
      </w:r>
    </w:p>
    <w:p w14:paraId="46486E1D">
      <w:pPr>
        <w:pStyle w:val="37"/>
        <w:spacing w:line="360" w:lineRule="auto"/>
        <w:ind w:firstLine="420" w:firstLineChars="200"/>
        <w:rPr>
          <w:rFonts w:ascii="Times New Roman" w:hAnsi="Times New Roman"/>
          <w:color w:val="auto"/>
          <w:szCs w:val="21"/>
        </w:rPr>
      </w:pPr>
      <w:r>
        <w:rPr>
          <w:rFonts w:ascii="Times New Roman" w:hAnsi="Times New Roman"/>
          <w:color w:val="auto"/>
          <w:szCs w:val="21"/>
        </w:rPr>
        <w:t xml:space="preserve">2. </w:t>
      </w:r>
      <w:r>
        <w:rPr>
          <w:rFonts w:hint="eastAsia" w:ascii="Times New Roman" w:hAnsi="宋体" w:cs="宋体"/>
          <w:color w:val="auto"/>
          <w:szCs w:val="21"/>
        </w:rPr>
        <w:t>担保有效期自你方与承包人签订的合同生效之日起至你方签发或应签发工程接收证书之日止。</w:t>
      </w:r>
    </w:p>
    <w:p w14:paraId="6F6F0956">
      <w:pPr>
        <w:pStyle w:val="37"/>
        <w:spacing w:line="360" w:lineRule="auto"/>
        <w:ind w:firstLine="420" w:firstLineChars="200"/>
        <w:rPr>
          <w:rFonts w:ascii="Times New Roman" w:hAnsi="Times New Roman"/>
          <w:color w:val="auto"/>
          <w:szCs w:val="21"/>
        </w:rPr>
      </w:pPr>
      <w:r>
        <w:rPr>
          <w:rFonts w:ascii="Times New Roman" w:hAnsi="Times New Roman"/>
          <w:color w:val="auto"/>
          <w:szCs w:val="21"/>
        </w:rPr>
        <w:t xml:space="preserve">3. </w:t>
      </w:r>
      <w:r>
        <w:rPr>
          <w:rFonts w:hint="eastAsia" w:ascii="Times New Roman" w:hAnsi="宋体" w:cs="宋体"/>
          <w:color w:val="auto"/>
          <w:szCs w:val="21"/>
        </w:rPr>
        <w:t>在本担保有效期内，因承包人违反合同约定的义务给你方造成经济损失时，我方在收到你方以书面形式提出的在担保金额内的赔偿要求后，在</w:t>
      </w:r>
      <w:r>
        <w:rPr>
          <w:rFonts w:ascii="Times New Roman" w:hAnsi="Times New Roman"/>
          <w:color w:val="auto"/>
          <w:szCs w:val="21"/>
        </w:rPr>
        <w:t>7</w:t>
      </w:r>
      <w:r>
        <w:rPr>
          <w:rFonts w:hint="eastAsia" w:ascii="Times New Roman" w:hAnsi="宋体" w:cs="宋体"/>
          <w:color w:val="auto"/>
          <w:szCs w:val="21"/>
        </w:rPr>
        <w:t>天内无条件支付。</w:t>
      </w:r>
    </w:p>
    <w:p w14:paraId="526B05D6">
      <w:pPr>
        <w:pStyle w:val="37"/>
        <w:spacing w:line="360" w:lineRule="auto"/>
        <w:ind w:firstLine="420" w:firstLineChars="200"/>
        <w:rPr>
          <w:rFonts w:ascii="Times New Roman" w:hAnsi="Times New Roman"/>
          <w:color w:val="auto"/>
          <w:szCs w:val="21"/>
        </w:rPr>
      </w:pPr>
      <w:r>
        <w:rPr>
          <w:rFonts w:ascii="Times New Roman" w:hAnsi="Times New Roman"/>
          <w:color w:val="auto"/>
          <w:szCs w:val="21"/>
        </w:rPr>
        <w:t xml:space="preserve">4. </w:t>
      </w:r>
      <w:r>
        <w:rPr>
          <w:rFonts w:hint="eastAsia" w:ascii="Times New Roman" w:hAnsi="宋体" w:cs="宋体"/>
          <w:color w:val="auto"/>
          <w:szCs w:val="21"/>
        </w:rPr>
        <w:t>你方和承包人按合同约定变更合同时，我方承担本担保规定的义务不变。</w:t>
      </w:r>
    </w:p>
    <w:p w14:paraId="4E7845C5">
      <w:pPr>
        <w:pStyle w:val="37"/>
        <w:spacing w:line="360" w:lineRule="auto"/>
        <w:ind w:firstLine="420" w:firstLineChars="200"/>
        <w:rPr>
          <w:rFonts w:ascii="Times New Roman" w:hAnsi="Times New Roman"/>
          <w:color w:val="auto"/>
          <w:szCs w:val="21"/>
        </w:rPr>
      </w:pPr>
      <w:r>
        <w:rPr>
          <w:rFonts w:ascii="Times New Roman" w:hAnsi="Times New Roman"/>
          <w:color w:val="auto"/>
          <w:szCs w:val="21"/>
        </w:rPr>
        <w:t xml:space="preserve">5. </w:t>
      </w:r>
      <w:r>
        <w:rPr>
          <w:rFonts w:hint="eastAsia" w:ascii="Times New Roman" w:hAnsi="宋体" w:cs="宋体"/>
          <w:color w:val="auto"/>
          <w:szCs w:val="21"/>
        </w:rPr>
        <w:t>因本保函发生的纠纷，可由双方协商解决，协商不成的，任何一方均可提请</w:t>
      </w:r>
      <w:r>
        <w:rPr>
          <w:rFonts w:ascii="Times New Roman" w:hAnsi="Times New Roman"/>
          <w:color w:val="auto"/>
          <w:szCs w:val="21"/>
          <w:u w:val="single"/>
        </w:rPr>
        <w:t xml:space="preserve">      </w:t>
      </w:r>
      <w:r>
        <w:rPr>
          <w:rFonts w:hint="eastAsia" w:ascii="Times New Roman" w:hAnsi="宋体" w:cs="宋体"/>
          <w:color w:val="auto"/>
          <w:szCs w:val="21"/>
        </w:rPr>
        <w:t>仲裁委员会仲裁。</w:t>
      </w:r>
    </w:p>
    <w:p w14:paraId="09BCA493">
      <w:pPr>
        <w:pStyle w:val="37"/>
        <w:spacing w:line="360" w:lineRule="auto"/>
        <w:ind w:firstLine="420" w:firstLineChars="200"/>
        <w:rPr>
          <w:rFonts w:ascii="Times New Roman" w:hAnsi="Times New Roman"/>
          <w:color w:val="auto"/>
          <w:szCs w:val="21"/>
        </w:rPr>
      </w:pPr>
      <w:r>
        <w:rPr>
          <w:rFonts w:ascii="Times New Roman" w:hAnsi="Times New Roman"/>
          <w:color w:val="auto"/>
          <w:szCs w:val="21"/>
        </w:rPr>
        <w:t xml:space="preserve">6. </w:t>
      </w:r>
      <w:r>
        <w:rPr>
          <w:rFonts w:hint="eastAsia" w:ascii="Times New Roman" w:hAnsi="宋体" w:cs="宋体"/>
          <w:color w:val="auto"/>
          <w:szCs w:val="21"/>
        </w:rPr>
        <w:t>本保函自我方法定代表人（或其授权代理人）签字并加盖公章之日起生效。</w:t>
      </w:r>
    </w:p>
    <w:p w14:paraId="4CB7E8C1">
      <w:pPr>
        <w:pStyle w:val="37"/>
        <w:spacing w:line="360" w:lineRule="auto"/>
        <w:rPr>
          <w:rFonts w:ascii="Times New Roman" w:hAnsi="Times New Roman"/>
          <w:color w:val="auto"/>
          <w:szCs w:val="21"/>
        </w:rPr>
      </w:pPr>
    </w:p>
    <w:p w14:paraId="0B8EF03B">
      <w:pPr>
        <w:pStyle w:val="37"/>
        <w:spacing w:line="360" w:lineRule="auto"/>
        <w:ind w:firstLine="420" w:firstLineChars="200"/>
        <w:rPr>
          <w:rFonts w:ascii="Times New Roman" w:hAnsi="Times New Roman"/>
          <w:color w:val="auto"/>
          <w:szCs w:val="21"/>
        </w:rPr>
      </w:pPr>
      <w:r>
        <w:rPr>
          <w:rFonts w:hint="eastAsia" w:ascii="Times New Roman" w:hAnsi="宋体" w:cs="宋体"/>
          <w:color w:val="auto"/>
          <w:szCs w:val="21"/>
        </w:rPr>
        <w:t>担</w:t>
      </w:r>
      <w:r>
        <w:rPr>
          <w:rFonts w:ascii="Times New Roman" w:hAnsi="Times New Roman"/>
          <w:color w:val="auto"/>
          <w:szCs w:val="21"/>
        </w:rPr>
        <w:t xml:space="preserve"> </w:t>
      </w:r>
      <w:r>
        <w:rPr>
          <w:rFonts w:hint="eastAsia" w:ascii="Times New Roman" w:hAnsi="宋体" w:cs="宋体"/>
          <w:color w:val="auto"/>
          <w:szCs w:val="21"/>
        </w:rPr>
        <w:t>保</w:t>
      </w:r>
      <w:r>
        <w:rPr>
          <w:rFonts w:ascii="Times New Roman" w:hAnsi="Times New Roman"/>
          <w:color w:val="auto"/>
          <w:szCs w:val="21"/>
        </w:rPr>
        <w:t xml:space="preserve"> </w:t>
      </w:r>
      <w:r>
        <w:rPr>
          <w:rFonts w:hint="eastAsia" w:ascii="Times New Roman" w:hAnsi="宋体" w:cs="宋体"/>
          <w:color w:val="auto"/>
          <w:szCs w:val="21"/>
        </w:rPr>
        <w:t>人：</w:t>
      </w:r>
      <w:r>
        <w:rPr>
          <w:rFonts w:ascii="Times New Roman" w:hAnsi="Times New Roman"/>
          <w:color w:val="auto"/>
          <w:szCs w:val="21"/>
          <w:u w:val="single"/>
        </w:rPr>
        <w:t xml:space="preserve">                           </w:t>
      </w:r>
      <w:r>
        <w:rPr>
          <w:rFonts w:hint="eastAsia" w:ascii="Times New Roman" w:hAnsi="宋体" w:cs="宋体"/>
          <w:color w:val="auto"/>
          <w:szCs w:val="21"/>
        </w:rPr>
        <w:t>（盖单位章）</w:t>
      </w:r>
    </w:p>
    <w:p w14:paraId="23406E99">
      <w:pPr>
        <w:pStyle w:val="37"/>
        <w:spacing w:line="360" w:lineRule="auto"/>
        <w:ind w:firstLine="420" w:firstLineChars="200"/>
        <w:rPr>
          <w:rFonts w:ascii="Times New Roman" w:hAnsi="Times New Roman"/>
          <w:color w:val="auto"/>
          <w:szCs w:val="21"/>
        </w:rPr>
      </w:pPr>
      <w:r>
        <w:rPr>
          <w:rFonts w:hint="eastAsia" w:ascii="Times New Roman" w:hAnsi="宋体" w:cs="宋体"/>
          <w:color w:val="auto"/>
          <w:szCs w:val="21"/>
        </w:rPr>
        <w:t>法定代表人或其委托代理人：</w:t>
      </w:r>
      <w:r>
        <w:rPr>
          <w:rFonts w:ascii="Times New Roman" w:hAnsi="Times New Roman"/>
          <w:color w:val="auto"/>
          <w:szCs w:val="21"/>
          <w:u w:val="single"/>
        </w:rPr>
        <w:t xml:space="preserve">               </w:t>
      </w:r>
      <w:r>
        <w:rPr>
          <w:rFonts w:hint="eastAsia" w:ascii="Times New Roman" w:hAnsi="宋体" w:cs="宋体"/>
          <w:color w:val="auto"/>
          <w:szCs w:val="21"/>
        </w:rPr>
        <w:t>（签字）</w:t>
      </w:r>
    </w:p>
    <w:p w14:paraId="7BE26144">
      <w:pPr>
        <w:pStyle w:val="37"/>
        <w:spacing w:line="360" w:lineRule="auto"/>
        <w:ind w:firstLine="420" w:firstLineChars="200"/>
        <w:rPr>
          <w:rFonts w:ascii="Times New Roman" w:hAnsi="Times New Roman"/>
          <w:color w:val="auto"/>
          <w:szCs w:val="21"/>
        </w:rPr>
      </w:pPr>
      <w:r>
        <w:rPr>
          <w:rFonts w:hint="eastAsia" w:ascii="Times New Roman" w:hAnsi="宋体" w:cs="宋体"/>
          <w:color w:val="auto"/>
          <w:szCs w:val="21"/>
        </w:rPr>
        <w:t>地</w:t>
      </w:r>
      <w:r>
        <w:rPr>
          <w:rFonts w:ascii="Times New Roman" w:hAnsi="Times New Roman"/>
          <w:color w:val="auto"/>
          <w:szCs w:val="21"/>
        </w:rPr>
        <w:t xml:space="preserve">    </w:t>
      </w:r>
      <w:r>
        <w:rPr>
          <w:rFonts w:hint="eastAsia" w:ascii="Times New Roman" w:hAnsi="宋体" w:cs="宋体"/>
          <w:color w:val="auto"/>
          <w:szCs w:val="21"/>
        </w:rPr>
        <w:t>址：</w:t>
      </w:r>
      <w:r>
        <w:rPr>
          <w:rFonts w:ascii="Times New Roman" w:hAnsi="Times New Roman"/>
          <w:color w:val="auto"/>
          <w:szCs w:val="21"/>
          <w:u w:val="single"/>
        </w:rPr>
        <w:t xml:space="preserve">                                      </w:t>
      </w:r>
    </w:p>
    <w:p w14:paraId="162291F5">
      <w:pPr>
        <w:pStyle w:val="37"/>
        <w:spacing w:line="360" w:lineRule="auto"/>
        <w:ind w:firstLine="420" w:firstLineChars="200"/>
        <w:rPr>
          <w:rFonts w:ascii="Times New Roman" w:hAnsi="Times New Roman"/>
          <w:color w:val="auto"/>
          <w:szCs w:val="21"/>
        </w:rPr>
      </w:pPr>
      <w:r>
        <w:rPr>
          <w:rFonts w:hint="eastAsia" w:ascii="Times New Roman" w:hAnsi="宋体" w:cs="宋体"/>
          <w:color w:val="auto"/>
          <w:szCs w:val="21"/>
        </w:rPr>
        <w:t>邮政编码：</w:t>
      </w:r>
      <w:r>
        <w:rPr>
          <w:rFonts w:ascii="Times New Roman" w:hAnsi="Times New Roman"/>
          <w:color w:val="auto"/>
          <w:szCs w:val="21"/>
          <w:u w:val="single"/>
        </w:rPr>
        <w:t xml:space="preserve">                                      </w:t>
      </w:r>
    </w:p>
    <w:p w14:paraId="4DE98D71">
      <w:pPr>
        <w:pStyle w:val="37"/>
        <w:spacing w:line="360" w:lineRule="auto"/>
        <w:ind w:firstLine="420" w:firstLineChars="200"/>
        <w:rPr>
          <w:rFonts w:ascii="Times New Roman" w:hAnsi="Times New Roman"/>
          <w:color w:val="auto"/>
          <w:szCs w:val="21"/>
          <w:u w:val="single"/>
        </w:rPr>
      </w:pPr>
      <w:r>
        <w:rPr>
          <w:rFonts w:hint="eastAsia" w:ascii="Times New Roman" w:hAnsi="宋体" w:cs="宋体"/>
          <w:color w:val="auto"/>
          <w:szCs w:val="21"/>
        </w:rPr>
        <w:t>电</w:t>
      </w:r>
      <w:r>
        <w:rPr>
          <w:rFonts w:ascii="Times New Roman" w:hAnsi="Times New Roman"/>
          <w:color w:val="auto"/>
          <w:szCs w:val="21"/>
        </w:rPr>
        <w:t xml:space="preserve">    </w:t>
      </w:r>
      <w:r>
        <w:rPr>
          <w:rFonts w:hint="eastAsia" w:ascii="Times New Roman" w:hAnsi="宋体" w:cs="宋体"/>
          <w:color w:val="auto"/>
          <w:szCs w:val="21"/>
        </w:rPr>
        <w:t>话：</w:t>
      </w:r>
      <w:r>
        <w:rPr>
          <w:rFonts w:ascii="Times New Roman" w:hAnsi="Times New Roman"/>
          <w:color w:val="auto"/>
          <w:szCs w:val="21"/>
          <w:u w:val="single"/>
        </w:rPr>
        <w:t xml:space="preserve">                                      </w:t>
      </w:r>
    </w:p>
    <w:p w14:paraId="6F6EFF40">
      <w:pPr>
        <w:pStyle w:val="37"/>
        <w:spacing w:line="360" w:lineRule="auto"/>
        <w:ind w:firstLine="420" w:firstLineChars="200"/>
        <w:rPr>
          <w:rFonts w:ascii="Times New Roman" w:hAnsi="Times New Roman"/>
          <w:color w:val="auto"/>
          <w:szCs w:val="21"/>
          <w:u w:val="single"/>
        </w:rPr>
      </w:pPr>
      <w:r>
        <w:rPr>
          <w:rFonts w:hint="eastAsia" w:ascii="Times New Roman" w:hAnsi="宋体" w:cs="宋体"/>
          <w:color w:val="auto"/>
          <w:szCs w:val="21"/>
        </w:rPr>
        <w:t>传</w:t>
      </w:r>
      <w:r>
        <w:rPr>
          <w:rFonts w:ascii="Times New Roman" w:hAnsi="Times New Roman"/>
          <w:color w:val="auto"/>
          <w:szCs w:val="21"/>
        </w:rPr>
        <w:t xml:space="preserve">    </w:t>
      </w:r>
      <w:r>
        <w:rPr>
          <w:rFonts w:hint="eastAsia" w:ascii="Times New Roman" w:hAnsi="宋体" w:cs="宋体"/>
          <w:color w:val="auto"/>
          <w:szCs w:val="21"/>
        </w:rPr>
        <w:t>真：</w:t>
      </w:r>
      <w:r>
        <w:rPr>
          <w:rFonts w:ascii="Times New Roman" w:hAnsi="Times New Roman"/>
          <w:color w:val="auto"/>
          <w:szCs w:val="21"/>
          <w:u w:val="single"/>
        </w:rPr>
        <w:t xml:space="preserve">                                      </w:t>
      </w:r>
    </w:p>
    <w:p w14:paraId="3F3C3975">
      <w:pPr>
        <w:pStyle w:val="37"/>
        <w:spacing w:line="360" w:lineRule="auto"/>
        <w:ind w:left="1329" w:firstLine="420" w:firstLineChars="200"/>
        <w:rPr>
          <w:rFonts w:ascii="Times New Roman" w:hAnsi="Times New Roman"/>
          <w:color w:val="auto"/>
          <w:szCs w:val="21"/>
        </w:rPr>
      </w:pPr>
      <w:r>
        <w:rPr>
          <w:rFonts w:ascii="Times New Roman" w:hAnsi="Times New Roman"/>
          <w:color w:val="auto"/>
          <w:szCs w:val="21"/>
        </w:rPr>
        <w:t xml:space="preserve">               </w:t>
      </w:r>
      <w:r>
        <w:rPr>
          <w:rFonts w:ascii="Times New Roman" w:hAnsi="Times New Roman"/>
          <w:color w:val="auto"/>
          <w:szCs w:val="21"/>
          <w:u w:val="single"/>
        </w:rPr>
        <w:t xml:space="preserve">           </w:t>
      </w:r>
      <w:r>
        <w:rPr>
          <w:rFonts w:hint="eastAsia" w:ascii="Times New Roman" w:hAnsi="宋体" w:cs="宋体"/>
          <w:color w:val="auto"/>
          <w:szCs w:val="21"/>
        </w:rPr>
        <w:t>年</w:t>
      </w:r>
      <w:r>
        <w:rPr>
          <w:rFonts w:ascii="Times New Roman" w:hAnsi="Times New Roman"/>
          <w:color w:val="auto"/>
          <w:szCs w:val="21"/>
          <w:u w:val="single"/>
        </w:rPr>
        <w:t xml:space="preserve">        </w:t>
      </w:r>
      <w:r>
        <w:rPr>
          <w:rFonts w:hint="eastAsia" w:ascii="Times New Roman" w:hAnsi="宋体" w:cs="宋体"/>
          <w:color w:val="auto"/>
          <w:szCs w:val="21"/>
        </w:rPr>
        <w:t>月</w:t>
      </w:r>
      <w:r>
        <w:rPr>
          <w:rFonts w:ascii="Times New Roman" w:hAnsi="Times New Roman"/>
          <w:color w:val="auto"/>
          <w:szCs w:val="21"/>
          <w:u w:val="single"/>
        </w:rPr>
        <w:t xml:space="preserve">        </w:t>
      </w:r>
      <w:r>
        <w:rPr>
          <w:rFonts w:hint="eastAsia" w:ascii="Times New Roman" w:hAnsi="宋体" w:cs="宋体"/>
          <w:color w:val="auto"/>
          <w:szCs w:val="21"/>
        </w:rPr>
        <w:t>日</w:t>
      </w:r>
    </w:p>
    <w:p w14:paraId="5E4FBB57">
      <w:pPr>
        <w:pStyle w:val="37"/>
        <w:spacing w:line="360" w:lineRule="auto"/>
        <w:ind w:left="1329" w:hanging="1329" w:hangingChars="633"/>
        <w:rPr>
          <w:rFonts w:ascii="Times New Roman" w:hAnsi="Times New Roman"/>
          <w:color w:val="auto"/>
          <w:szCs w:val="21"/>
        </w:rPr>
      </w:pPr>
    </w:p>
    <w:p w14:paraId="51E4A017">
      <w:pPr>
        <w:pStyle w:val="37"/>
        <w:spacing w:line="360" w:lineRule="auto"/>
        <w:ind w:right="150" w:firstLine="420" w:firstLineChars="200"/>
        <w:jc w:val="left"/>
        <w:rPr>
          <w:rFonts w:ascii="仿宋_GB2312" w:hAnsi="宋体" w:cs="宋体"/>
          <w:color w:val="auto"/>
          <w:szCs w:val="21"/>
        </w:rPr>
      </w:pPr>
      <w:r>
        <w:rPr>
          <w:rFonts w:hint="eastAsia" w:ascii="Times New Roman" w:hAnsi="宋体" w:cs="宋体"/>
          <w:color w:val="auto"/>
          <w:szCs w:val="21"/>
        </w:rPr>
        <w:t>（备注</w:t>
      </w:r>
      <w:r>
        <w:rPr>
          <w:rFonts w:ascii="Times New Roman" w:hAnsi="宋体" w:cs="宋体"/>
          <w:color w:val="auto"/>
          <w:szCs w:val="21"/>
        </w:rPr>
        <w:t>：</w:t>
      </w:r>
      <w:r>
        <w:rPr>
          <w:rFonts w:hint="eastAsia" w:ascii="Times New Roman" w:hAnsi="宋体" w:cs="宋体"/>
          <w:color w:val="auto"/>
          <w:szCs w:val="21"/>
        </w:rPr>
        <w:t>银行、保险公司和担保公司出具的</w:t>
      </w:r>
      <w:r>
        <w:rPr>
          <w:rFonts w:hint="eastAsia" w:ascii="仿宋_GB2312" w:hAnsi="宋体" w:cs="宋体"/>
          <w:color w:val="auto"/>
          <w:szCs w:val="21"/>
        </w:rPr>
        <w:t>保函格式和文本可</w:t>
      </w:r>
      <w:r>
        <w:rPr>
          <w:rFonts w:ascii="仿宋_GB2312" w:hAnsi="宋体" w:cs="宋体"/>
          <w:color w:val="auto"/>
          <w:szCs w:val="21"/>
        </w:rPr>
        <w:t>以自拟，</w:t>
      </w:r>
      <w:r>
        <w:rPr>
          <w:rFonts w:hint="eastAsia" w:ascii="仿宋_GB2312" w:hAnsi="宋体" w:cs="宋体"/>
          <w:color w:val="auto"/>
          <w:szCs w:val="21"/>
        </w:rPr>
        <w:t>但是必须包含以上条款所列全部内容</w:t>
      </w:r>
      <w:r>
        <w:rPr>
          <w:rFonts w:ascii="仿宋_GB2312" w:hAnsi="宋体" w:cs="宋体"/>
          <w:color w:val="auto"/>
          <w:szCs w:val="21"/>
        </w:rPr>
        <w:t>）</w:t>
      </w:r>
    </w:p>
    <w:p w14:paraId="5CD90FD5">
      <w:pPr>
        <w:ind w:firstLine="600" w:firstLineChars="200"/>
        <w:rPr>
          <w:rFonts w:hint="eastAsia" w:ascii="Times New Roman" w:hAnsi="Times New Roman" w:eastAsia="仿宋_GB2312" w:cs="仿宋_GB2312"/>
          <w:color w:val="auto"/>
          <w:sz w:val="30"/>
          <w:szCs w:val="30"/>
        </w:rPr>
      </w:pPr>
      <w:r>
        <w:rPr>
          <w:rFonts w:hint="eastAsia" w:ascii="Times New Roman" w:hAnsi="Times New Roman" w:eastAsia="仿宋_GB2312" w:cs="仿宋_GB2312"/>
          <w:color w:val="auto"/>
          <w:sz w:val="30"/>
          <w:szCs w:val="30"/>
        </w:rPr>
        <w:br w:type="page"/>
      </w:r>
    </w:p>
    <w:p w14:paraId="30D12AED">
      <w:pPr>
        <w:pStyle w:val="37"/>
        <w:spacing w:line="360" w:lineRule="auto"/>
        <w:ind w:firstLine="600" w:firstLineChars="200"/>
        <w:rPr>
          <w:rFonts w:ascii="Times New Roman" w:hAnsi="Times New Roman" w:eastAsia="黑体"/>
          <w:color w:val="auto"/>
          <w:sz w:val="30"/>
          <w:szCs w:val="30"/>
        </w:rPr>
      </w:pPr>
      <w:r>
        <w:rPr>
          <w:rFonts w:hint="eastAsia" w:ascii="Times New Roman" w:hAnsi="Times New Roman" w:eastAsia="仿宋_GB2312" w:cs="仿宋_GB2312"/>
          <w:color w:val="auto"/>
          <w:sz w:val="30"/>
          <w:szCs w:val="30"/>
        </w:rPr>
        <w:t>附件</w:t>
      </w:r>
      <w:r>
        <w:rPr>
          <w:rFonts w:hint="eastAsia" w:ascii="Times New Roman" w:hAnsi="Times New Roman" w:eastAsia="仿宋_GB2312"/>
          <w:color w:val="auto"/>
          <w:sz w:val="30"/>
          <w:szCs w:val="30"/>
        </w:rPr>
        <w:t>8</w:t>
      </w:r>
      <w:r>
        <w:rPr>
          <w:rFonts w:hint="eastAsia" w:ascii="Times New Roman" w:hAnsi="Times New Roman" w:eastAsia="仿宋_GB2312" w:cs="仿宋_GB2312"/>
          <w:color w:val="auto"/>
          <w:sz w:val="30"/>
          <w:szCs w:val="30"/>
        </w:rPr>
        <w:t>：</w:t>
      </w:r>
    </w:p>
    <w:p w14:paraId="2C39C9EA">
      <w:pPr>
        <w:pStyle w:val="37"/>
        <w:spacing w:before="156" w:beforeLines="50" w:after="156" w:afterLines="50" w:line="440" w:lineRule="exact"/>
        <w:ind w:firstLine="600" w:firstLineChars="200"/>
        <w:jc w:val="center"/>
        <w:rPr>
          <w:rFonts w:ascii="Times New Roman" w:hAnsi="Times New Roman" w:eastAsia="黑体"/>
          <w:color w:val="auto"/>
          <w:sz w:val="30"/>
          <w:szCs w:val="30"/>
        </w:rPr>
      </w:pPr>
      <w:r>
        <w:rPr>
          <w:rFonts w:hint="eastAsia" w:ascii="Times New Roman" w:hAnsi="Times New Roman" w:eastAsia="黑体" w:cs="黑体"/>
          <w:color w:val="auto"/>
          <w:sz w:val="30"/>
          <w:szCs w:val="30"/>
        </w:rPr>
        <w:t>预付款担保</w:t>
      </w:r>
    </w:p>
    <w:p w14:paraId="3554CCBA">
      <w:pPr>
        <w:pStyle w:val="37"/>
        <w:spacing w:line="360" w:lineRule="auto"/>
        <w:ind w:firstLine="420" w:firstLineChars="200"/>
        <w:rPr>
          <w:rFonts w:ascii="Times New Roman" w:hAnsi="Times New Roman"/>
          <w:color w:val="auto"/>
          <w:szCs w:val="21"/>
        </w:rPr>
      </w:pPr>
      <w:r>
        <w:rPr>
          <w:rFonts w:ascii="Times New Roman" w:hAnsi="Times New Roman"/>
          <w:color w:val="auto"/>
          <w:szCs w:val="21"/>
          <w:u w:val="single"/>
        </w:rPr>
        <w:t xml:space="preserve">                    </w:t>
      </w:r>
      <w:r>
        <w:rPr>
          <w:rFonts w:ascii="Times New Roman" w:hAnsi="Times New Roman"/>
          <w:color w:val="auto"/>
          <w:szCs w:val="21"/>
        </w:rPr>
        <w:t xml:space="preserve"> </w:t>
      </w:r>
      <w:r>
        <w:rPr>
          <w:rFonts w:hint="eastAsia" w:ascii="Times New Roman" w:hAnsi="宋体" w:cs="宋体"/>
          <w:color w:val="auto"/>
          <w:szCs w:val="21"/>
        </w:rPr>
        <w:t>（发包人名称）：</w:t>
      </w:r>
    </w:p>
    <w:p w14:paraId="13444052">
      <w:pPr>
        <w:pStyle w:val="37"/>
        <w:spacing w:line="360" w:lineRule="auto"/>
        <w:ind w:firstLine="420" w:firstLineChars="200"/>
        <w:rPr>
          <w:rFonts w:ascii="Times New Roman" w:hAnsi="Times New Roman"/>
          <w:color w:val="auto"/>
          <w:szCs w:val="21"/>
        </w:rPr>
      </w:pPr>
      <w:r>
        <w:rPr>
          <w:rFonts w:hint="eastAsia" w:ascii="Times New Roman" w:hAnsi="宋体" w:cs="宋体"/>
          <w:color w:val="auto"/>
          <w:szCs w:val="21"/>
        </w:rPr>
        <w:t>根据</w:t>
      </w:r>
      <w:r>
        <w:rPr>
          <w:rFonts w:ascii="Times New Roman" w:hAnsi="Times New Roman"/>
          <w:color w:val="auto"/>
          <w:szCs w:val="21"/>
          <w:u w:val="single"/>
        </w:rPr>
        <w:t xml:space="preserve">                 </w:t>
      </w:r>
      <w:r>
        <w:rPr>
          <w:rFonts w:hint="eastAsia" w:ascii="Times New Roman" w:hAnsi="宋体" w:cs="宋体"/>
          <w:color w:val="auto"/>
          <w:szCs w:val="21"/>
        </w:rPr>
        <w:t>（承包人名称）（以下</w:t>
      </w:r>
      <w:r>
        <w:rPr>
          <w:rFonts w:hint="eastAsia" w:ascii="Times New Roman" w:hAnsi="宋体" w:cs="宋体"/>
          <w:color w:val="auto"/>
          <w:szCs w:val="21"/>
          <w:lang w:val="en-US" w:eastAsia="zh-CN"/>
        </w:rPr>
        <w:t>简</w:t>
      </w:r>
      <w:r>
        <w:rPr>
          <w:rFonts w:hint="eastAsia" w:ascii="Times New Roman" w:hAnsi="宋体" w:cs="宋体"/>
          <w:color w:val="auto"/>
          <w:szCs w:val="21"/>
        </w:rPr>
        <w:t>称</w:t>
      </w:r>
      <w:r>
        <w:rPr>
          <w:rFonts w:ascii="Times New Roman" w:hAnsi="Times New Roman"/>
          <w:color w:val="auto"/>
          <w:szCs w:val="21"/>
        </w:rPr>
        <w:t>“</w:t>
      </w:r>
      <w:r>
        <w:rPr>
          <w:rFonts w:hint="eastAsia" w:ascii="Times New Roman" w:hAnsi="宋体" w:cs="宋体"/>
          <w:color w:val="auto"/>
          <w:szCs w:val="21"/>
        </w:rPr>
        <w:t>承包人</w:t>
      </w:r>
      <w:r>
        <w:rPr>
          <w:rFonts w:ascii="Times New Roman" w:hAnsi="Times New Roman"/>
          <w:color w:val="auto"/>
          <w:szCs w:val="21"/>
        </w:rPr>
        <w:t>”</w:t>
      </w:r>
      <w:r>
        <w:rPr>
          <w:rFonts w:hint="eastAsia" w:ascii="Times New Roman" w:hAnsi="宋体" w:cs="宋体"/>
          <w:color w:val="auto"/>
          <w:szCs w:val="21"/>
        </w:rPr>
        <w:t>）与</w:t>
      </w:r>
      <w:r>
        <w:rPr>
          <w:rFonts w:ascii="Times New Roman" w:hAnsi="Times New Roman"/>
          <w:color w:val="auto"/>
          <w:szCs w:val="21"/>
          <w:u w:val="single"/>
        </w:rPr>
        <w:t xml:space="preserve">                        </w:t>
      </w:r>
      <w:r>
        <w:rPr>
          <w:rFonts w:hint="eastAsia" w:ascii="Times New Roman" w:hAnsi="宋体" w:cs="宋体"/>
          <w:color w:val="auto"/>
          <w:szCs w:val="21"/>
        </w:rPr>
        <w:t>（发包人名称）（以下简称</w:t>
      </w:r>
      <w:r>
        <w:rPr>
          <w:rFonts w:ascii="Times New Roman" w:hAnsi="Times New Roman"/>
          <w:color w:val="auto"/>
          <w:szCs w:val="21"/>
        </w:rPr>
        <w:t>“</w:t>
      </w:r>
      <w:r>
        <w:rPr>
          <w:rFonts w:hint="eastAsia" w:ascii="Times New Roman" w:hAnsi="宋体" w:cs="宋体"/>
          <w:color w:val="auto"/>
          <w:szCs w:val="21"/>
        </w:rPr>
        <w:t>发包人</w:t>
      </w:r>
      <w:r>
        <w:rPr>
          <w:rFonts w:ascii="Times New Roman" w:hAnsi="Times New Roman"/>
          <w:color w:val="auto"/>
          <w:szCs w:val="21"/>
        </w:rPr>
        <w:t>”</w:t>
      </w:r>
      <w:r>
        <w:rPr>
          <w:rFonts w:hint="eastAsia" w:ascii="Times New Roman" w:hAnsi="宋体" w:cs="宋体"/>
          <w:color w:val="auto"/>
          <w:szCs w:val="21"/>
        </w:rPr>
        <w:t>）于</w:t>
      </w:r>
      <w:r>
        <w:rPr>
          <w:rFonts w:ascii="Times New Roman" w:hAnsi="Times New Roman"/>
          <w:color w:val="auto"/>
          <w:szCs w:val="21"/>
          <w:u w:val="single"/>
        </w:rPr>
        <w:t xml:space="preserve">           </w:t>
      </w:r>
      <w:r>
        <w:rPr>
          <w:rFonts w:hint="eastAsia" w:ascii="Times New Roman" w:hAnsi="宋体" w:cs="宋体"/>
          <w:color w:val="auto"/>
          <w:szCs w:val="21"/>
        </w:rPr>
        <w:t>年</w:t>
      </w:r>
      <w:r>
        <w:rPr>
          <w:rFonts w:ascii="Times New Roman" w:hAnsi="Times New Roman"/>
          <w:color w:val="auto"/>
          <w:szCs w:val="21"/>
          <w:u w:val="single"/>
        </w:rPr>
        <w:t xml:space="preserve">    </w:t>
      </w:r>
      <w:r>
        <w:rPr>
          <w:rFonts w:hint="eastAsia" w:ascii="Times New Roman" w:hAnsi="宋体" w:cs="宋体"/>
          <w:color w:val="auto"/>
          <w:szCs w:val="21"/>
        </w:rPr>
        <w:t>月</w:t>
      </w:r>
      <w:r>
        <w:rPr>
          <w:rFonts w:ascii="Times New Roman" w:hAnsi="Times New Roman"/>
          <w:color w:val="auto"/>
          <w:szCs w:val="21"/>
          <w:u w:val="single"/>
        </w:rPr>
        <w:t xml:space="preserve">    </w:t>
      </w:r>
      <w:r>
        <w:rPr>
          <w:rFonts w:hint="eastAsia" w:ascii="Times New Roman" w:hAnsi="宋体" w:cs="宋体"/>
          <w:color w:val="auto"/>
          <w:szCs w:val="21"/>
        </w:rPr>
        <w:t>日签订的</w:t>
      </w:r>
      <w:r>
        <w:rPr>
          <w:rFonts w:ascii="Times New Roman" w:hAnsi="Times New Roman"/>
          <w:color w:val="auto"/>
          <w:szCs w:val="21"/>
          <w:u w:val="single"/>
        </w:rPr>
        <w:t xml:space="preserve">                   </w:t>
      </w:r>
      <w:r>
        <w:rPr>
          <w:rFonts w:hint="eastAsia" w:ascii="Times New Roman" w:hAnsi="宋体" w:cs="宋体"/>
          <w:color w:val="auto"/>
          <w:szCs w:val="21"/>
        </w:rPr>
        <w:t>（工程名称）《建设工程施工合同》，承包人按约定的金额向你方提交一份预付款担保，即有权得到你方支付相等金额的预付款。我方愿意就你方提供给承包人的预付款为承包人提供连带责任担保。</w:t>
      </w:r>
    </w:p>
    <w:p w14:paraId="1B970D61">
      <w:pPr>
        <w:pStyle w:val="37"/>
        <w:spacing w:line="360" w:lineRule="auto"/>
        <w:ind w:firstLine="420" w:firstLineChars="200"/>
        <w:rPr>
          <w:rFonts w:ascii="Times New Roman" w:hAnsi="Times New Roman"/>
          <w:color w:val="auto"/>
          <w:szCs w:val="21"/>
        </w:rPr>
      </w:pPr>
      <w:r>
        <w:rPr>
          <w:rFonts w:ascii="Times New Roman" w:hAnsi="Times New Roman"/>
          <w:color w:val="auto"/>
          <w:szCs w:val="21"/>
        </w:rPr>
        <w:t xml:space="preserve">1. </w:t>
      </w:r>
      <w:r>
        <w:rPr>
          <w:rFonts w:hint="eastAsia" w:ascii="Times New Roman" w:hAnsi="宋体" w:cs="宋体"/>
          <w:color w:val="auto"/>
          <w:szCs w:val="21"/>
        </w:rPr>
        <w:t>担保金额人民币（大写）</w:t>
      </w:r>
      <w:r>
        <w:rPr>
          <w:rFonts w:ascii="Times New Roman" w:hAnsi="Times New Roman"/>
          <w:color w:val="auto"/>
          <w:szCs w:val="21"/>
          <w:u w:val="single"/>
        </w:rPr>
        <w:t xml:space="preserve">                </w:t>
      </w:r>
      <w:r>
        <w:rPr>
          <w:rFonts w:hint="eastAsia" w:ascii="Times New Roman" w:hAnsi="宋体" w:cs="宋体"/>
          <w:color w:val="auto"/>
          <w:szCs w:val="21"/>
        </w:rPr>
        <w:t>（</w:t>
      </w:r>
      <w:r>
        <w:rPr>
          <w:rFonts w:ascii="Times New Roman" w:hAnsi="Times New Roman"/>
          <w:color w:val="auto"/>
          <w:szCs w:val="21"/>
        </w:rPr>
        <w:t>¥</w:t>
      </w:r>
      <w:r>
        <w:rPr>
          <w:rFonts w:ascii="Times New Roman" w:hAnsi="Times New Roman"/>
          <w:color w:val="auto"/>
          <w:szCs w:val="21"/>
          <w:u w:val="single"/>
        </w:rPr>
        <w:t xml:space="preserve">             </w:t>
      </w:r>
      <w:r>
        <w:rPr>
          <w:rFonts w:hint="eastAsia" w:ascii="Times New Roman" w:hAnsi="宋体" w:cs="宋体"/>
          <w:color w:val="auto"/>
          <w:szCs w:val="21"/>
        </w:rPr>
        <w:t>）。</w:t>
      </w:r>
    </w:p>
    <w:p w14:paraId="41652F28">
      <w:pPr>
        <w:pStyle w:val="37"/>
        <w:spacing w:line="360" w:lineRule="auto"/>
        <w:ind w:firstLine="420" w:firstLineChars="200"/>
        <w:rPr>
          <w:rFonts w:ascii="Times New Roman" w:hAnsi="Times New Roman"/>
          <w:color w:val="auto"/>
          <w:szCs w:val="21"/>
        </w:rPr>
      </w:pPr>
      <w:r>
        <w:rPr>
          <w:rFonts w:ascii="Times New Roman" w:hAnsi="Times New Roman"/>
          <w:color w:val="auto"/>
          <w:szCs w:val="21"/>
        </w:rPr>
        <w:t xml:space="preserve">2. </w:t>
      </w:r>
      <w:r>
        <w:rPr>
          <w:rFonts w:hint="eastAsia" w:ascii="Times New Roman" w:hAnsi="宋体" w:cs="宋体"/>
          <w:color w:val="auto"/>
          <w:szCs w:val="21"/>
        </w:rPr>
        <w:t>担保有效期自预付款支付给承包人起生效，至你方签发的进度款支付证书说明已完全扣清止。</w:t>
      </w:r>
    </w:p>
    <w:p w14:paraId="091E2982">
      <w:pPr>
        <w:pStyle w:val="37"/>
        <w:spacing w:line="360" w:lineRule="auto"/>
        <w:ind w:firstLine="420" w:firstLineChars="200"/>
        <w:rPr>
          <w:rFonts w:ascii="Times New Roman" w:hAnsi="Times New Roman"/>
          <w:color w:val="auto"/>
          <w:szCs w:val="21"/>
        </w:rPr>
      </w:pPr>
      <w:r>
        <w:rPr>
          <w:rFonts w:ascii="Times New Roman" w:hAnsi="Times New Roman"/>
          <w:color w:val="auto"/>
          <w:szCs w:val="21"/>
        </w:rPr>
        <w:t xml:space="preserve">3. </w:t>
      </w:r>
      <w:r>
        <w:rPr>
          <w:rFonts w:hint="eastAsia" w:ascii="Times New Roman" w:hAnsi="宋体" w:cs="宋体"/>
          <w:color w:val="auto"/>
          <w:szCs w:val="21"/>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424EE54F">
      <w:pPr>
        <w:pStyle w:val="37"/>
        <w:spacing w:line="360" w:lineRule="auto"/>
        <w:ind w:firstLine="420" w:firstLineChars="200"/>
        <w:rPr>
          <w:rFonts w:ascii="Times New Roman" w:hAnsi="Times New Roman"/>
          <w:color w:val="auto"/>
          <w:szCs w:val="21"/>
        </w:rPr>
      </w:pPr>
      <w:r>
        <w:rPr>
          <w:rFonts w:ascii="Times New Roman" w:hAnsi="Times New Roman"/>
          <w:color w:val="auto"/>
          <w:szCs w:val="21"/>
        </w:rPr>
        <w:t xml:space="preserve">4. </w:t>
      </w:r>
      <w:r>
        <w:rPr>
          <w:rFonts w:hint="eastAsia" w:ascii="Times New Roman" w:hAnsi="宋体" w:cs="宋体"/>
          <w:color w:val="auto"/>
          <w:szCs w:val="21"/>
        </w:rPr>
        <w:t>你方和承包人按合同约定变更合同时，我方承担本保函规定的义务不变。</w:t>
      </w:r>
    </w:p>
    <w:p w14:paraId="0116B40D">
      <w:pPr>
        <w:pStyle w:val="37"/>
        <w:spacing w:line="360" w:lineRule="auto"/>
        <w:ind w:firstLine="420" w:firstLineChars="200"/>
        <w:rPr>
          <w:rFonts w:ascii="Times New Roman" w:hAnsi="Times New Roman"/>
          <w:color w:val="auto"/>
          <w:szCs w:val="21"/>
        </w:rPr>
      </w:pPr>
      <w:r>
        <w:rPr>
          <w:rFonts w:ascii="Times New Roman" w:hAnsi="Times New Roman"/>
          <w:color w:val="auto"/>
          <w:szCs w:val="21"/>
        </w:rPr>
        <w:t xml:space="preserve">5. </w:t>
      </w:r>
      <w:r>
        <w:rPr>
          <w:rFonts w:hint="eastAsia" w:ascii="Times New Roman" w:hAnsi="宋体" w:cs="宋体"/>
          <w:color w:val="auto"/>
          <w:szCs w:val="21"/>
        </w:rPr>
        <w:t>因本保函发生的纠纷，可由双方协商解决，协商不成的，任何一方均可提请</w:t>
      </w:r>
      <w:r>
        <w:rPr>
          <w:rFonts w:ascii="Times New Roman" w:hAnsi="Times New Roman"/>
          <w:color w:val="auto"/>
          <w:szCs w:val="21"/>
          <w:u w:val="single"/>
        </w:rPr>
        <w:t xml:space="preserve">      </w:t>
      </w:r>
      <w:r>
        <w:rPr>
          <w:rFonts w:hint="eastAsia" w:ascii="Times New Roman" w:hAnsi="宋体" w:cs="宋体"/>
          <w:color w:val="auto"/>
          <w:szCs w:val="21"/>
        </w:rPr>
        <w:t>仲裁委员会仲裁。</w:t>
      </w:r>
    </w:p>
    <w:p w14:paraId="016AC54B">
      <w:pPr>
        <w:pStyle w:val="37"/>
        <w:spacing w:line="360" w:lineRule="auto"/>
        <w:ind w:firstLine="420" w:firstLineChars="200"/>
        <w:jc w:val="left"/>
        <w:rPr>
          <w:rFonts w:ascii="Times New Roman" w:hAnsi="Times New Roman"/>
          <w:color w:val="auto"/>
          <w:szCs w:val="21"/>
        </w:rPr>
      </w:pPr>
      <w:r>
        <w:rPr>
          <w:rFonts w:ascii="Times New Roman" w:hAnsi="Times New Roman"/>
          <w:color w:val="auto"/>
          <w:szCs w:val="21"/>
        </w:rPr>
        <w:t xml:space="preserve">6. </w:t>
      </w:r>
      <w:r>
        <w:rPr>
          <w:rFonts w:hint="eastAsia" w:ascii="Times New Roman" w:hAnsi="宋体" w:cs="宋体"/>
          <w:color w:val="auto"/>
          <w:szCs w:val="21"/>
        </w:rPr>
        <w:t>本保函自我方法定代表人（或其授权代理人）签字并加盖公章之日起生效。</w:t>
      </w:r>
    </w:p>
    <w:p w14:paraId="5A5BFF89">
      <w:pPr>
        <w:pStyle w:val="37"/>
        <w:spacing w:line="360" w:lineRule="auto"/>
        <w:rPr>
          <w:rFonts w:ascii="Times New Roman" w:hAnsi="Times New Roman"/>
          <w:color w:val="auto"/>
          <w:szCs w:val="21"/>
        </w:rPr>
      </w:pPr>
    </w:p>
    <w:p w14:paraId="589272AA">
      <w:pPr>
        <w:pStyle w:val="37"/>
        <w:spacing w:line="360" w:lineRule="auto"/>
        <w:ind w:firstLine="420" w:firstLineChars="200"/>
        <w:rPr>
          <w:rFonts w:ascii="Times New Roman" w:hAnsi="Times New Roman"/>
          <w:color w:val="auto"/>
          <w:szCs w:val="21"/>
        </w:rPr>
      </w:pPr>
      <w:r>
        <w:rPr>
          <w:rFonts w:hint="eastAsia" w:ascii="Times New Roman" w:hAnsi="宋体" w:cs="宋体"/>
          <w:color w:val="auto"/>
          <w:szCs w:val="21"/>
        </w:rPr>
        <w:t>担保人：</w:t>
      </w:r>
      <w:r>
        <w:rPr>
          <w:rFonts w:ascii="Times New Roman" w:hAnsi="Times New Roman"/>
          <w:color w:val="auto"/>
          <w:szCs w:val="21"/>
          <w:u w:val="single"/>
        </w:rPr>
        <w:t xml:space="preserve">                          </w:t>
      </w:r>
      <w:r>
        <w:rPr>
          <w:rFonts w:hint="eastAsia" w:ascii="Times New Roman" w:hAnsi="宋体" w:cs="宋体"/>
          <w:color w:val="auto"/>
          <w:szCs w:val="21"/>
        </w:rPr>
        <w:t>（盖单位章）</w:t>
      </w:r>
    </w:p>
    <w:p w14:paraId="463AE3C4">
      <w:pPr>
        <w:pStyle w:val="37"/>
        <w:spacing w:line="360" w:lineRule="auto"/>
        <w:ind w:firstLine="420" w:firstLineChars="200"/>
        <w:rPr>
          <w:rFonts w:ascii="Times New Roman" w:hAnsi="Times New Roman"/>
          <w:color w:val="auto"/>
          <w:szCs w:val="21"/>
        </w:rPr>
      </w:pPr>
      <w:r>
        <w:rPr>
          <w:rFonts w:hint="eastAsia" w:ascii="Times New Roman" w:hAnsi="宋体" w:cs="宋体"/>
          <w:color w:val="auto"/>
          <w:szCs w:val="21"/>
        </w:rPr>
        <w:t>法定代表人或其委托代理人：</w:t>
      </w:r>
      <w:r>
        <w:rPr>
          <w:rFonts w:ascii="Times New Roman" w:hAnsi="Times New Roman"/>
          <w:color w:val="auto"/>
          <w:szCs w:val="21"/>
          <w:u w:val="single"/>
        </w:rPr>
        <w:t xml:space="preserve">            </w:t>
      </w:r>
      <w:r>
        <w:rPr>
          <w:rFonts w:hint="eastAsia" w:ascii="Times New Roman" w:hAnsi="宋体" w:cs="宋体"/>
          <w:color w:val="auto"/>
          <w:szCs w:val="21"/>
        </w:rPr>
        <w:t>（签字）</w:t>
      </w:r>
    </w:p>
    <w:p w14:paraId="3A7BCD67">
      <w:pPr>
        <w:pStyle w:val="37"/>
        <w:spacing w:line="360" w:lineRule="auto"/>
        <w:ind w:firstLine="420" w:firstLineChars="200"/>
        <w:rPr>
          <w:rFonts w:ascii="Times New Roman" w:hAnsi="Times New Roman"/>
          <w:color w:val="auto"/>
          <w:szCs w:val="21"/>
        </w:rPr>
      </w:pPr>
      <w:r>
        <w:rPr>
          <w:rFonts w:hint="eastAsia" w:ascii="Times New Roman" w:hAnsi="宋体" w:cs="宋体"/>
          <w:color w:val="auto"/>
          <w:szCs w:val="21"/>
        </w:rPr>
        <w:t>地</w:t>
      </w:r>
      <w:r>
        <w:rPr>
          <w:rFonts w:ascii="Times New Roman" w:hAnsi="Times New Roman"/>
          <w:color w:val="auto"/>
          <w:szCs w:val="21"/>
        </w:rPr>
        <w:t xml:space="preserve">    </w:t>
      </w:r>
      <w:r>
        <w:rPr>
          <w:rFonts w:hint="eastAsia" w:ascii="Times New Roman" w:hAnsi="宋体" w:cs="宋体"/>
          <w:color w:val="auto"/>
          <w:szCs w:val="21"/>
        </w:rPr>
        <w:t>址：</w:t>
      </w:r>
      <w:r>
        <w:rPr>
          <w:rFonts w:ascii="Times New Roman" w:hAnsi="Times New Roman"/>
          <w:color w:val="auto"/>
          <w:szCs w:val="21"/>
          <w:u w:val="single"/>
        </w:rPr>
        <w:t xml:space="preserve">                            </w:t>
      </w:r>
    </w:p>
    <w:p w14:paraId="330138C2">
      <w:pPr>
        <w:pStyle w:val="37"/>
        <w:spacing w:line="360" w:lineRule="auto"/>
        <w:ind w:firstLine="420" w:firstLineChars="200"/>
        <w:rPr>
          <w:rFonts w:ascii="Times New Roman" w:hAnsi="Times New Roman"/>
          <w:color w:val="auto"/>
          <w:szCs w:val="21"/>
          <w:u w:val="single"/>
        </w:rPr>
      </w:pPr>
      <w:r>
        <w:rPr>
          <w:rFonts w:hint="eastAsia" w:ascii="Times New Roman" w:hAnsi="宋体" w:cs="宋体"/>
          <w:color w:val="auto"/>
          <w:szCs w:val="21"/>
        </w:rPr>
        <w:t>邮政编码：</w:t>
      </w:r>
      <w:r>
        <w:rPr>
          <w:rFonts w:ascii="Times New Roman" w:hAnsi="Times New Roman"/>
          <w:color w:val="auto"/>
          <w:szCs w:val="21"/>
          <w:u w:val="single"/>
        </w:rPr>
        <w:t xml:space="preserve">                            </w:t>
      </w:r>
    </w:p>
    <w:p w14:paraId="424D565E">
      <w:pPr>
        <w:pStyle w:val="37"/>
        <w:spacing w:line="360" w:lineRule="auto"/>
        <w:ind w:firstLine="420" w:firstLineChars="200"/>
        <w:rPr>
          <w:rFonts w:ascii="Times New Roman" w:hAnsi="Times New Roman"/>
          <w:color w:val="auto"/>
          <w:szCs w:val="21"/>
          <w:u w:val="single"/>
        </w:rPr>
      </w:pPr>
      <w:r>
        <w:rPr>
          <w:rFonts w:hint="eastAsia" w:ascii="Times New Roman" w:hAnsi="宋体" w:cs="宋体"/>
          <w:color w:val="auto"/>
          <w:szCs w:val="21"/>
        </w:rPr>
        <w:t>电</w:t>
      </w:r>
      <w:r>
        <w:rPr>
          <w:rFonts w:ascii="Times New Roman" w:hAnsi="Times New Roman"/>
          <w:color w:val="auto"/>
          <w:szCs w:val="21"/>
        </w:rPr>
        <w:t xml:space="preserve">    </w:t>
      </w:r>
      <w:r>
        <w:rPr>
          <w:rFonts w:hint="eastAsia" w:ascii="Times New Roman" w:hAnsi="宋体" w:cs="宋体"/>
          <w:color w:val="auto"/>
          <w:szCs w:val="21"/>
        </w:rPr>
        <w:t>话：</w:t>
      </w:r>
      <w:r>
        <w:rPr>
          <w:rFonts w:ascii="Times New Roman" w:hAnsi="Times New Roman"/>
          <w:color w:val="auto"/>
          <w:szCs w:val="21"/>
          <w:u w:val="single"/>
        </w:rPr>
        <w:t xml:space="preserve">                            </w:t>
      </w:r>
    </w:p>
    <w:p w14:paraId="08E3D962">
      <w:pPr>
        <w:pStyle w:val="37"/>
        <w:spacing w:line="360" w:lineRule="auto"/>
        <w:ind w:firstLine="420" w:firstLineChars="200"/>
        <w:rPr>
          <w:rFonts w:ascii="Times New Roman" w:hAnsi="Times New Roman"/>
          <w:color w:val="auto"/>
          <w:szCs w:val="21"/>
          <w:u w:val="single"/>
        </w:rPr>
      </w:pPr>
      <w:r>
        <w:rPr>
          <w:rFonts w:hint="eastAsia" w:ascii="Times New Roman" w:hAnsi="宋体" w:cs="宋体"/>
          <w:color w:val="auto"/>
          <w:szCs w:val="21"/>
        </w:rPr>
        <w:t>传</w:t>
      </w:r>
      <w:r>
        <w:rPr>
          <w:rFonts w:ascii="Times New Roman" w:hAnsi="Times New Roman"/>
          <w:color w:val="auto"/>
          <w:szCs w:val="21"/>
        </w:rPr>
        <w:t xml:space="preserve">    </w:t>
      </w:r>
      <w:r>
        <w:rPr>
          <w:rFonts w:hint="eastAsia" w:ascii="Times New Roman" w:hAnsi="宋体" w:cs="宋体"/>
          <w:color w:val="auto"/>
          <w:szCs w:val="21"/>
        </w:rPr>
        <w:t>真：</w:t>
      </w:r>
      <w:r>
        <w:rPr>
          <w:rFonts w:ascii="Times New Roman" w:hAnsi="Times New Roman"/>
          <w:color w:val="auto"/>
          <w:szCs w:val="21"/>
          <w:u w:val="single"/>
        </w:rPr>
        <w:t xml:space="preserve">                            </w:t>
      </w:r>
    </w:p>
    <w:p w14:paraId="5E0AB159">
      <w:pPr>
        <w:pStyle w:val="37"/>
        <w:spacing w:line="360" w:lineRule="auto"/>
        <w:ind w:firstLine="420" w:firstLineChars="200"/>
        <w:rPr>
          <w:rFonts w:ascii="Times New Roman" w:hAnsi="宋体"/>
          <w:color w:val="auto"/>
          <w:szCs w:val="21"/>
        </w:rPr>
      </w:pPr>
      <w:r>
        <w:rPr>
          <w:rFonts w:ascii="Times New Roman" w:hAnsi="Times New Roman"/>
          <w:color w:val="auto"/>
          <w:szCs w:val="21"/>
        </w:rPr>
        <w:t xml:space="preserve">            </w:t>
      </w:r>
      <w:r>
        <w:rPr>
          <w:rFonts w:ascii="Times New Roman" w:hAnsi="Times New Roman"/>
          <w:color w:val="auto"/>
          <w:szCs w:val="21"/>
          <w:u w:val="single"/>
        </w:rPr>
        <w:t xml:space="preserve">               </w:t>
      </w:r>
      <w:r>
        <w:rPr>
          <w:rFonts w:hint="eastAsia" w:ascii="Times New Roman" w:hAnsi="宋体" w:cs="宋体"/>
          <w:color w:val="auto"/>
          <w:szCs w:val="21"/>
        </w:rPr>
        <w:t>年</w:t>
      </w:r>
      <w:r>
        <w:rPr>
          <w:rFonts w:ascii="Times New Roman" w:hAnsi="Times New Roman"/>
          <w:color w:val="auto"/>
          <w:szCs w:val="21"/>
          <w:u w:val="single"/>
        </w:rPr>
        <w:t xml:space="preserve">      </w:t>
      </w:r>
      <w:r>
        <w:rPr>
          <w:rFonts w:hint="eastAsia" w:ascii="Times New Roman" w:hAnsi="宋体" w:cs="宋体"/>
          <w:color w:val="auto"/>
          <w:szCs w:val="21"/>
        </w:rPr>
        <w:t>月</w:t>
      </w:r>
      <w:r>
        <w:rPr>
          <w:rFonts w:ascii="Times New Roman" w:hAnsi="Times New Roman"/>
          <w:color w:val="auto"/>
          <w:szCs w:val="21"/>
          <w:u w:val="single"/>
        </w:rPr>
        <w:t xml:space="preserve">      </w:t>
      </w:r>
      <w:r>
        <w:rPr>
          <w:rFonts w:hint="eastAsia" w:ascii="Times New Roman" w:hAnsi="宋体" w:cs="宋体"/>
          <w:color w:val="auto"/>
          <w:szCs w:val="21"/>
        </w:rPr>
        <w:t>日</w:t>
      </w:r>
    </w:p>
    <w:p w14:paraId="28906CC4">
      <w:pPr>
        <w:pStyle w:val="37"/>
        <w:spacing w:line="360" w:lineRule="auto"/>
        <w:ind w:right="150" w:firstLine="420" w:firstLineChars="200"/>
        <w:jc w:val="left"/>
        <w:rPr>
          <w:rFonts w:ascii="仿宋_GB2312" w:hAnsi="宋体" w:cs="宋体"/>
          <w:color w:val="auto"/>
          <w:szCs w:val="21"/>
        </w:rPr>
      </w:pPr>
      <w:r>
        <w:rPr>
          <w:rFonts w:hint="eastAsia" w:ascii="Times New Roman" w:hAnsi="宋体" w:cs="宋体"/>
          <w:color w:val="auto"/>
          <w:szCs w:val="21"/>
        </w:rPr>
        <w:t>（备注</w:t>
      </w:r>
      <w:r>
        <w:rPr>
          <w:rFonts w:ascii="Times New Roman" w:hAnsi="宋体" w:cs="宋体"/>
          <w:color w:val="auto"/>
          <w:szCs w:val="21"/>
        </w:rPr>
        <w:t>：</w:t>
      </w:r>
      <w:r>
        <w:rPr>
          <w:rFonts w:hint="eastAsia" w:ascii="Times New Roman" w:hAnsi="宋体" w:cs="宋体"/>
          <w:color w:val="auto"/>
          <w:szCs w:val="21"/>
        </w:rPr>
        <w:t>银行、保险公司和担保公司出具的</w:t>
      </w:r>
      <w:r>
        <w:rPr>
          <w:rFonts w:hint="eastAsia" w:ascii="仿宋_GB2312" w:hAnsi="宋体" w:cs="宋体"/>
          <w:color w:val="auto"/>
          <w:szCs w:val="21"/>
        </w:rPr>
        <w:t>保函格式和文本可</w:t>
      </w:r>
      <w:r>
        <w:rPr>
          <w:rFonts w:ascii="仿宋_GB2312" w:hAnsi="宋体" w:cs="宋体"/>
          <w:color w:val="auto"/>
          <w:szCs w:val="21"/>
        </w:rPr>
        <w:t>以自拟，</w:t>
      </w:r>
      <w:r>
        <w:rPr>
          <w:rFonts w:hint="eastAsia" w:ascii="仿宋_GB2312" w:hAnsi="宋体" w:cs="宋体"/>
          <w:color w:val="auto"/>
          <w:szCs w:val="21"/>
        </w:rPr>
        <w:t>但是必须包含以上条款所列全部内容</w:t>
      </w:r>
      <w:r>
        <w:rPr>
          <w:rFonts w:ascii="仿宋_GB2312" w:hAnsi="宋体" w:cs="宋体"/>
          <w:color w:val="auto"/>
          <w:szCs w:val="21"/>
        </w:rPr>
        <w:t>）</w:t>
      </w:r>
    </w:p>
    <w:p w14:paraId="3C05F55E">
      <w:pPr>
        <w:pStyle w:val="37"/>
        <w:spacing w:line="360" w:lineRule="auto"/>
        <w:ind w:right="150" w:firstLine="420" w:firstLineChars="200"/>
        <w:jc w:val="left"/>
        <w:rPr>
          <w:rFonts w:ascii="仿宋_GB2312" w:hAnsi="宋体" w:cs="宋体"/>
          <w:color w:val="auto"/>
          <w:szCs w:val="21"/>
        </w:rPr>
      </w:pPr>
    </w:p>
    <w:p w14:paraId="728A451B">
      <w:pPr>
        <w:pStyle w:val="37"/>
        <w:spacing w:line="440" w:lineRule="exact"/>
        <w:jc w:val="left"/>
        <w:rPr>
          <w:rFonts w:hint="eastAsia" w:ascii="Times New Roman" w:hAnsi="Times New Roman" w:eastAsia="仿宋_GB2312" w:cs="仿宋_GB2312"/>
          <w:color w:val="auto"/>
          <w:sz w:val="30"/>
          <w:szCs w:val="30"/>
        </w:rPr>
      </w:pPr>
    </w:p>
    <w:p w14:paraId="4417BFD9">
      <w:pPr>
        <w:pStyle w:val="37"/>
        <w:spacing w:line="440" w:lineRule="exact"/>
        <w:jc w:val="left"/>
        <w:rPr>
          <w:rFonts w:hint="eastAsia" w:ascii="Times New Roman" w:hAnsi="Times New Roman" w:eastAsia="仿宋_GB2312" w:cs="仿宋_GB2312"/>
          <w:color w:val="auto"/>
          <w:sz w:val="30"/>
          <w:szCs w:val="30"/>
        </w:rPr>
      </w:pPr>
    </w:p>
    <w:p w14:paraId="2D39C50D">
      <w:pPr>
        <w:pStyle w:val="37"/>
        <w:spacing w:line="440" w:lineRule="exact"/>
        <w:ind w:firstLine="600" w:firstLineChars="200"/>
        <w:jc w:val="left"/>
        <w:rPr>
          <w:rFonts w:ascii="Times New Roman" w:hAnsi="Times New Roman" w:eastAsia="黑体"/>
          <w:color w:val="auto"/>
          <w:sz w:val="30"/>
          <w:szCs w:val="30"/>
        </w:rPr>
      </w:pPr>
      <w:r>
        <w:rPr>
          <w:rFonts w:hint="eastAsia" w:ascii="Times New Roman" w:hAnsi="Times New Roman" w:eastAsia="仿宋_GB2312" w:cs="仿宋_GB2312"/>
          <w:color w:val="auto"/>
          <w:sz w:val="30"/>
          <w:szCs w:val="30"/>
        </w:rPr>
        <w:t>附件</w:t>
      </w:r>
      <w:r>
        <w:rPr>
          <w:rFonts w:hint="eastAsia" w:ascii="Times New Roman" w:hAnsi="Times New Roman" w:eastAsia="仿宋_GB2312"/>
          <w:color w:val="auto"/>
          <w:sz w:val="30"/>
          <w:szCs w:val="30"/>
        </w:rPr>
        <w:t>9</w:t>
      </w:r>
      <w:r>
        <w:rPr>
          <w:rFonts w:hint="eastAsia" w:ascii="Times New Roman" w:hAnsi="Times New Roman" w:eastAsia="仿宋_GB2312" w:cs="仿宋_GB2312"/>
          <w:color w:val="auto"/>
          <w:sz w:val="30"/>
          <w:szCs w:val="30"/>
        </w:rPr>
        <w:t>：</w:t>
      </w:r>
    </w:p>
    <w:p w14:paraId="0B5C2BDF">
      <w:pPr>
        <w:pStyle w:val="37"/>
        <w:spacing w:before="156" w:beforeLines="50" w:after="156" w:afterLines="50" w:line="440" w:lineRule="exact"/>
        <w:ind w:firstLine="600" w:firstLineChars="200"/>
        <w:jc w:val="center"/>
        <w:rPr>
          <w:rFonts w:ascii="Times New Roman" w:hAnsi="Times New Roman" w:eastAsia="黑体"/>
          <w:color w:val="auto"/>
          <w:sz w:val="30"/>
          <w:szCs w:val="30"/>
        </w:rPr>
      </w:pPr>
      <w:r>
        <w:rPr>
          <w:rFonts w:hint="eastAsia" w:ascii="Times New Roman" w:hAnsi="Times New Roman" w:eastAsia="黑体" w:cs="黑体"/>
          <w:color w:val="auto"/>
          <w:sz w:val="30"/>
          <w:szCs w:val="30"/>
        </w:rPr>
        <w:t>支付担保</w:t>
      </w:r>
    </w:p>
    <w:p w14:paraId="5FADC4FC">
      <w:pPr>
        <w:pStyle w:val="37"/>
        <w:spacing w:line="360" w:lineRule="auto"/>
        <w:ind w:firstLine="420" w:firstLineChars="200"/>
        <w:jc w:val="left"/>
        <w:rPr>
          <w:rFonts w:ascii="Times New Roman" w:hAnsi="Times New Roman"/>
          <w:color w:val="auto"/>
          <w:szCs w:val="21"/>
        </w:rPr>
      </w:pPr>
      <w:r>
        <w:rPr>
          <w:rFonts w:ascii="Times New Roman" w:hAnsi="Times New Roman"/>
          <w:color w:val="auto"/>
          <w:szCs w:val="21"/>
          <w:u w:val="single"/>
        </w:rPr>
        <w:t xml:space="preserve">                     </w:t>
      </w:r>
      <w:r>
        <w:rPr>
          <w:rFonts w:hint="eastAsia" w:ascii="Times New Roman" w:hAnsi="宋体" w:cs="宋体"/>
          <w:color w:val="auto"/>
          <w:szCs w:val="21"/>
        </w:rPr>
        <w:t>（承包人）：</w:t>
      </w:r>
    </w:p>
    <w:p w14:paraId="5FD8073C">
      <w:pPr>
        <w:pStyle w:val="37"/>
        <w:spacing w:line="360" w:lineRule="auto"/>
        <w:ind w:firstLine="420" w:firstLineChars="200"/>
        <w:jc w:val="left"/>
        <w:rPr>
          <w:rFonts w:ascii="Times New Roman" w:hAnsi="宋体"/>
          <w:color w:val="auto"/>
          <w:szCs w:val="21"/>
        </w:rPr>
      </w:pPr>
      <w:r>
        <w:rPr>
          <w:rFonts w:hint="eastAsia" w:ascii="Times New Roman" w:hAnsi="宋体" w:cs="宋体"/>
          <w:color w:val="auto"/>
          <w:szCs w:val="21"/>
        </w:rPr>
        <w:t>鉴于你方作为承包人已经与</w:t>
      </w:r>
      <w:r>
        <w:rPr>
          <w:rFonts w:ascii="Times New Roman" w:hAnsi="Times New Roman"/>
          <w:color w:val="auto"/>
          <w:szCs w:val="21"/>
          <w:u w:val="single"/>
        </w:rPr>
        <w:t xml:space="preserve">           </w:t>
      </w:r>
      <w:r>
        <w:rPr>
          <w:rFonts w:hint="eastAsia" w:ascii="Times New Roman" w:hAnsi="宋体" w:cs="宋体"/>
          <w:color w:val="auto"/>
          <w:szCs w:val="21"/>
        </w:rPr>
        <w:t>（发包人名称）（以下</w:t>
      </w:r>
      <w:r>
        <w:rPr>
          <w:rFonts w:hint="eastAsia" w:ascii="Times New Roman" w:hAnsi="宋体" w:cs="宋体"/>
          <w:color w:val="auto"/>
          <w:szCs w:val="21"/>
          <w:lang w:val="en-US" w:eastAsia="zh-CN"/>
        </w:rPr>
        <w:t>简</w:t>
      </w:r>
      <w:r>
        <w:rPr>
          <w:rFonts w:hint="eastAsia" w:ascii="Times New Roman" w:hAnsi="宋体" w:cs="宋体"/>
          <w:color w:val="auto"/>
          <w:szCs w:val="21"/>
        </w:rPr>
        <w:t>称</w:t>
      </w:r>
      <w:r>
        <w:rPr>
          <w:rFonts w:ascii="Times New Roman" w:hAnsi="Times New Roman"/>
          <w:color w:val="auto"/>
          <w:szCs w:val="21"/>
        </w:rPr>
        <w:t>“</w:t>
      </w:r>
      <w:r>
        <w:rPr>
          <w:rFonts w:hint="eastAsia" w:ascii="Times New Roman" w:hAnsi="宋体" w:cs="宋体"/>
          <w:color w:val="auto"/>
          <w:szCs w:val="21"/>
        </w:rPr>
        <w:t>发包人</w:t>
      </w:r>
      <w:r>
        <w:rPr>
          <w:rFonts w:ascii="Times New Roman" w:hAnsi="Times New Roman"/>
          <w:color w:val="auto"/>
          <w:szCs w:val="21"/>
        </w:rPr>
        <w:t>”</w:t>
      </w:r>
      <w:r>
        <w:rPr>
          <w:rFonts w:hint="eastAsia" w:ascii="Times New Roman" w:hAnsi="宋体" w:cs="宋体"/>
          <w:color w:val="auto"/>
          <w:szCs w:val="21"/>
        </w:rPr>
        <w:t>）于</w:t>
      </w:r>
      <w:r>
        <w:rPr>
          <w:rFonts w:ascii="Times New Roman" w:hAnsi="Times New Roman"/>
          <w:color w:val="auto"/>
          <w:szCs w:val="21"/>
          <w:u w:val="single"/>
        </w:rPr>
        <w:t xml:space="preserve">      </w:t>
      </w:r>
      <w:r>
        <w:rPr>
          <w:rFonts w:hint="eastAsia" w:ascii="Times New Roman" w:hAnsi="宋体" w:cs="宋体"/>
          <w:color w:val="auto"/>
          <w:szCs w:val="21"/>
        </w:rPr>
        <w:t>年</w:t>
      </w:r>
      <w:r>
        <w:rPr>
          <w:rFonts w:ascii="Times New Roman" w:hAnsi="Times New Roman"/>
          <w:color w:val="auto"/>
          <w:szCs w:val="21"/>
          <w:u w:val="single"/>
        </w:rPr>
        <w:t xml:space="preserve">   </w:t>
      </w:r>
      <w:r>
        <w:rPr>
          <w:rFonts w:hint="eastAsia" w:ascii="Times New Roman" w:hAnsi="宋体" w:cs="宋体"/>
          <w:color w:val="auto"/>
          <w:szCs w:val="21"/>
        </w:rPr>
        <w:t>月</w:t>
      </w:r>
      <w:r>
        <w:rPr>
          <w:rFonts w:ascii="Times New Roman" w:hAnsi="Times New Roman"/>
          <w:color w:val="auto"/>
          <w:szCs w:val="21"/>
          <w:u w:val="single"/>
        </w:rPr>
        <w:t xml:space="preserve">    </w:t>
      </w:r>
      <w:r>
        <w:rPr>
          <w:rFonts w:hint="eastAsia" w:ascii="Times New Roman" w:hAnsi="宋体" w:cs="宋体"/>
          <w:color w:val="auto"/>
          <w:szCs w:val="21"/>
        </w:rPr>
        <w:t>日签订了</w:t>
      </w:r>
      <w:r>
        <w:rPr>
          <w:rFonts w:ascii="Times New Roman" w:hAnsi="Times New Roman"/>
          <w:color w:val="auto"/>
          <w:szCs w:val="21"/>
          <w:u w:val="single"/>
        </w:rPr>
        <w:t xml:space="preserve">                          </w:t>
      </w:r>
      <w:r>
        <w:rPr>
          <w:rFonts w:hint="eastAsia" w:ascii="Times New Roman" w:hAnsi="宋体" w:cs="宋体"/>
          <w:color w:val="auto"/>
          <w:szCs w:val="21"/>
        </w:rPr>
        <w:t>（工程名称）《建设工程施工合同》（以下</w:t>
      </w:r>
      <w:r>
        <w:rPr>
          <w:rFonts w:hint="eastAsia"/>
          <w:color w:val="auto"/>
          <w:lang w:val="en-US" w:eastAsia="zh-CN"/>
        </w:rPr>
        <w:t>简</w:t>
      </w:r>
      <w:r>
        <w:rPr>
          <w:rFonts w:hint="eastAsia" w:ascii="Times New Roman" w:hAnsi="宋体" w:cs="宋体"/>
          <w:color w:val="auto"/>
          <w:szCs w:val="21"/>
        </w:rPr>
        <w:t>称</w:t>
      </w:r>
      <w:r>
        <w:rPr>
          <w:rFonts w:ascii="Times New Roman" w:hAnsi="Times New Roman"/>
          <w:color w:val="auto"/>
          <w:szCs w:val="21"/>
        </w:rPr>
        <w:t>“</w:t>
      </w:r>
      <w:r>
        <w:rPr>
          <w:rFonts w:hint="eastAsia" w:ascii="Times New Roman" w:hAnsi="宋体" w:cs="宋体"/>
          <w:color w:val="auto"/>
          <w:szCs w:val="21"/>
        </w:rPr>
        <w:t>主合同</w:t>
      </w:r>
      <w:r>
        <w:rPr>
          <w:rFonts w:ascii="Times New Roman" w:hAnsi="Times New Roman"/>
          <w:color w:val="auto"/>
          <w:szCs w:val="21"/>
        </w:rPr>
        <w:t>”</w:t>
      </w:r>
      <w:r>
        <w:rPr>
          <w:rFonts w:hint="eastAsia" w:ascii="Times New Roman" w:hAnsi="宋体" w:cs="宋体"/>
          <w:color w:val="auto"/>
          <w:szCs w:val="21"/>
        </w:rPr>
        <w:t>），应发包人的申请，我方愿就发包人履行主合同约定的工程款支付义务以保证的方式向你方提供如下担保：</w:t>
      </w:r>
    </w:p>
    <w:p w14:paraId="2FEF409E">
      <w:pPr>
        <w:pStyle w:val="37"/>
        <w:spacing w:line="360" w:lineRule="auto"/>
        <w:ind w:firstLine="420" w:firstLineChars="200"/>
        <w:jc w:val="left"/>
        <w:rPr>
          <w:rFonts w:ascii="黑体" w:hAnsi="Times New Roman" w:eastAsia="黑体"/>
          <w:color w:val="auto"/>
          <w:szCs w:val="21"/>
        </w:rPr>
      </w:pPr>
      <w:r>
        <w:rPr>
          <w:rFonts w:hint="eastAsia" w:ascii="黑体" w:hAnsi="宋体" w:eastAsia="黑体" w:cs="黑体"/>
          <w:color w:val="auto"/>
          <w:szCs w:val="21"/>
        </w:rPr>
        <w:t>一、保证的范围及保证金额</w:t>
      </w:r>
    </w:p>
    <w:p w14:paraId="26DB9875">
      <w:pPr>
        <w:pStyle w:val="37"/>
        <w:spacing w:line="360" w:lineRule="auto"/>
        <w:ind w:firstLine="420" w:firstLineChars="200"/>
        <w:jc w:val="left"/>
        <w:rPr>
          <w:rFonts w:ascii="Times New Roman" w:hAnsi="Times New Roman"/>
          <w:color w:val="auto"/>
          <w:szCs w:val="21"/>
        </w:rPr>
      </w:pPr>
      <w:r>
        <w:rPr>
          <w:rFonts w:ascii="Times New Roman" w:hAnsi="Times New Roman"/>
          <w:color w:val="auto"/>
          <w:szCs w:val="21"/>
        </w:rPr>
        <w:t xml:space="preserve">1. </w:t>
      </w:r>
      <w:r>
        <w:rPr>
          <w:rFonts w:hint="eastAsia" w:ascii="Times New Roman" w:hAnsi="宋体" w:cs="宋体"/>
          <w:color w:val="auto"/>
          <w:szCs w:val="21"/>
        </w:rPr>
        <w:t>我方的保证范围是主合同约定的工程款。</w:t>
      </w:r>
    </w:p>
    <w:p w14:paraId="25C80206">
      <w:pPr>
        <w:pStyle w:val="37"/>
        <w:spacing w:line="360" w:lineRule="auto"/>
        <w:ind w:firstLine="420" w:firstLineChars="200"/>
        <w:jc w:val="left"/>
        <w:rPr>
          <w:rFonts w:ascii="Times New Roman" w:hAnsi="Times New Roman"/>
          <w:color w:val="auto"/>
          <w:szCs w:val="21"/>
        </w:rPr>
      </w:pPr>
      <w:r>
        <w:rPr>
          <w:rFonts w:ascii="Times New Roman" w:hAnsi="Times New Roman"/>
          <w:color w:val="auto"/>
          <w:szCs w:val="21"/>
        </w:rPr>
        <w:t xml:space="preserve">2. </w:t>
      </w:r>
      <w:r>
        <w:rPr>
          <w:rFonts w:hint="eastAsia" w:ascii="Times New Roman" w:hAnsi="宋体" w:cs="宋体"/>
          <w:color w:val="auto"/>
          <w:szCs w:val="21"/>
        </w:rPr>
        <w:t>本保函所称主合同约定的工程款是指主合同约定的除工程质量保证金以外的合同价款。</w:t>
      </w:r>
    </w:p>
    <w:p w14:paraId="142BEE0D">
      <w:pPr>
        <w:pStyle w:val="37"/>
        <w:spacing w:line="360" w:lineRule="auto"/>
        <w:ind w:firstLine="420" w:firstLineChars="200"/>
        <w:jc w:val="left"/>
        <w:rPr>
          <w:rFonts w:ascii="Times New Roman" w:hAnsi="Times New Roman"/>
          <w:color w:val="auto"/>
          <w:szCs w:val="21"/>
        </w:rPr>
      </w:pPr>
      <w:r>
        <w:rPr>
          <w:rFonts w:ascii="Times New Roman" w:hAnsi="Times New Roman"/>
          <w:color w:val="auto"/>
          <w:szCs w:val="21"/>
        </w:rPr>
        <w:t xml:space="preserve">3. </w:t>
      </w:r>
      <w:r>
        <w:rPr>
          <w:rFonts w:hint="eastAsia" w:ascii="Times New Roman" w:hAnsi="宋体" w:cs="宋体"/>
          <w:color w:val="auto"/>
          <w:szCs w:val="21"/>
        </w:rPr>
        <w:t>我方保证的金额是主合同约定的工程款的</w:t>
      </w:r>
      <w:r>
        <w:rPr>
          <w:rFonts w:ascii="Times New Roman" w:hAnsi="Times New Roman"/>
          <w:color w:val="auto"/>
          <w:szCs w:val="21"/>
          <w:u w:val="single"/>
        </w:rPr>
        <w:t xml:space="preserve">      </w:t>
      </w:r>
      <w:r>
        <w:rPr>
          <w:rFonts w:ascii="Times New Roman" w:hAnsi="Times New Roman"/>
          <w:color w:val="auto"/>
          <w:szCs w:val="21"/>
        </w:rPr>
        <w:t>%</w:t>
      </w:r>
      <w:r>
        <w:rPr>
          <w:rFonts w:hint="eastAsia" w:ascii="Times New Roman" w:hAnsi="宋体" w:cs="宋体"/>
          <w:color w:val="auto"/>
          <w:szCs w:val="21"/>
        </w:rPr>
        <w:t>，数额最高不超过人民币</w:t>
      </w:r>
      <w:r>
        <w:rPr>
          <w:rFonts w:hint="eastAsia" w:ascii="Times New Roman" w:hAnsi="宋体" w:cs="宋体"/>
          <w:color w:val="auto"/>
          <w:szCs w:val="21"/>
          <w:lang w:eastAsia="zh-CN"/>
        </w:rPr>
        <w:t>（</w:t>
      </w:r>
      <w:r>
        <w:rPr>
          <w:rFonts w:hint="eastAsia" w:ascii="Times New Roman" w:hAnsi="宋体" w:cs="宋体"/>
          <w:color w:val="auto"/>
          <w:szCs w:val="21"/>
        </w:rPr>
        <w:t>大写</w:t>
      </w:r>
      <w:r>
        <w:rPr>
          <w:rFonts w:hint="eastAsia" w:ascii="Times New Roman" w:hAnsi="宋体" w:cs="宋体"/>
          <w:color w:val="auto"/>
          <w:szCs w:val="21"/>
          <w:u w:val="single"/>
          <w:lang w:eastAsia="zh-CN"/>
        </w:rPr>
        <w:t>）</w:t>
      </w:r>
      <w:r>
        <w:rPr>
          <w:rFonts w:hint="eastAsia" w:ascii="Times New Roman" w:hAnsi="宋体" w:cs="宋体"/>
          <w:color w:val="auto"/>
          <w:szCs w:val="21"/>
          <w:u w:val="single"/>
          <w:lang w:val="en-US" w:eastAsia="zh-CN"/>
        </w:rPr>
        <w:t xml:space="preserve">             </w:t>
      </w:r>
      <w:r>
        <w:rPr>
          <w:rFonts w:hint="eastAsia" w:ascii="Times New Roman" w:hAnsi="宋体" w:cs="宋体"/>
          <w:color w:val="auto"/>
          <w:szCs w:val="21"/>
        </w:rPr>
        <w:t>（</w:t>
      </w:r>
      <w:r>
        <w:rPr>
          <w:rFonts w:hint="eastAsia" w:hAnsi="宋体" w:cs="宋体"/>
          <w:color w:val="auto"/>
          <w:szCs w:val="21"/>
          <w:lang w:val="en-US" w:eastAsia="zh-CN"/>
        </w:rPr>
        <w:t>小写</w:t>
      </w:r>
      <w:r>
        <w:rPr>
          <w:rFonts w:hint="eastAsia" w:hAnsi="宋体" w:cs="宋体"/>
          <w:color w:val="auto"/>
          <w:szCs w:val="21"/>
          <w:lang w:eastAsia="zh-CN"/>
        </w:rPr>
        <w:t>）（</w:t>
      </w:r>
      <w:r>
        <w:rPr>
          <w:rFonts w:hint="default" w:ascii="Arial" w:hAnsi="Arial" w:cs="Arial"/>
          <w:color w:val="auto"/>
          <w:szCs w:val="21"/>
          <w:lang w:eastAsia="zh-CN"/>
        </w:rPr>
        <w:t>¥</w:t>
      </w:r>
      <w:r>
        <w:rPr>
          <w:rFonts w:ascii="Times New Roman" w:hAnsi="Times New Roman"/>
          <w:color w:val="auto"/>
          <w:szCs w:val="21"/>
          <w:u w:val="single"/>
        </w:rPr>
        <w:t xml:space="preserve">        </w:t>
      </w:r>
      <w:r>
        <w:rPr>
          <w:rFonts w:hint="eastAsia" w:ascii="Times New Roman" w:hAnsi="宋体" w:cs="宋体"/>
          <w:color w:val="auto"/>
          <w:szCs w:val="21"/>
        </w:rPr>
        <w:t>）。</w:t>
      </w:r>
    </w:p>
    <w:p w14:paraId="1A46D42B">
      <w:pPr>
        <w:pStyle w:val="37"/>
        <w:spacing w:line="360" w:lineRule="auto"/>
        <w:ind w:firstLine="420" w:firstLineChars="200"/>
        <w:jc w:val="left"/>
        <w:rPr>
          <w:rFonts w:ascii="黑体" w:hAnsi="Times New Roman" w:eastAsia="黑体"/>
          <w:color w:val="auto"/>
          <w:szCs w:val="21"/>
        </w:rPr>
      </w:pPr>
      <w:r>
        <w:rPr>
          <w:rFonts w:hint="eastAsia" w:ascii="黑体" w:hAnsi="宋体" w:eastAsia="黑体" w:cs="黑体"/>
          <w:color w:val="auto"/>
          <w:szCs w:val="21"/>
        </w:rPr>
        <w:t>二、保证的方式及保证期间</w:t>
      </w:r>
    </w:p>
    <w:p w14:paraId="0E6499E7">
      <w:pPr>
        <w:pStyle w:val="37"/>
        <w:spacing w:line="360" w:lineRule="auto"/>
        <w:ind w:firstLine="420" w:firstLineChars="200"/>
        <w:jc w:val="left"/>
        <w:rPr>
          <w:rFonts w:ascii="Times New Roman" w:hAnsi="Times New Roman"/>
          <w:color w:val="auto"/>
          <w:szCs w:val="21"/>
        </w:rPr>
      </w:pPr>
      <w:r>
        <w:rPr>
          <w:rFonts w:ascii="Times New Roman" w:hAnsi="Times New Roman"/>
          <w:color w:val="auto"/>
          <w:szCs w:val="21"/>
        </w:rPr>
        <w:t xml:space="preserve">1. </w:t>
      </w:r>
      <w:r>
        <w:rPr>
          <w:rFonts w:hint="eastAsia" w:ascii="Times New Roman" w:hAnsi="宋体" w:cs="宋体"/>
          <w:color w:val="auto"/>
          <w:szCs w:val="21"/>
        </w:rPr>
        <w:t>我方保证的方式为：连带责任保证。</w:t>
      </w:r>
    </w:p>
    <w:p w14:paraId="0136031B">
      <w:pPr>
        <w:pStyle w:val="37"/>
        <w:spacing w:line="360" w:lineRule="auto"/>
        <w:ind w:firstLine="420" w:firstLineChars="200"/>
        <w:jc w:val="left"/>
        <w:rPr>
          <w:rFonts w:ascii="Times New Roman" w:hAnsi="Times New Roman"/>
          <w:color w:val="auto"/>
          <w:szCs w:val="21"/>
        </w:rPr>
      </w:pPr>
      <w:r>
        <w:rPr>
          <w:rFonts w:ascii="Times New Roman" w:hAnsi="Times New Roman"/>
          <w:color w:val="auto"/>
          <w:szCs w:val="21"/>
        </w:rPr>
        <w:t xml:space="preserve">2. </w:t>
      </w:r>
      <w:r>
        <w:rPr>
          <w:rFonts w:hint="eastAsia" w:ascii="Times New Roman" w:hAnsi="宋体" w:cs="宋体"/>
          <w:color w:val="auto"/>
          <w:szCs w:val="21"/>
        </w:rPr>
        <w:t>我方保证的期间为：自本合同生效之日起至主合同约定的工程款支付完毕之日后</w:t>
      </w:r>
      <w:r>
        <w:rPr>
          <w:rFonts w:ascii="Times New Roman" w:hAnsi="Times New Roman"/>
          <w:color w:val="auto"/>
          <w:szCs w:val="21"/>
          <w:u w:val="single"/>
        </w:rPr>
        <w:t xml:space="preserve">    </w:t>
      </w:r>
      <w:r>
        <w:rPr>
          <w:rFonts w:hint="eastAsia" w:ascii="Times New Roman" w:hAnsi="宋体" w:cs="宋体"/>
          <w:color w:val="auto"/>
          <w:szCs w:val="21"/>
        </w:rPr>
        <w:t>日内。</w:t>
      </w:r>
    </w:p>
    <w:p w14:paraId="028437DB">
      <w:pPr>
        <w:pStyle w:val="37"/>
        <w:spacing w:line="360" w:lineRule="auto"/>
        <w:ind w:firstLine="420" w:firstLineChars="200"/>
        <w:jc w:val="left"/>
        <w:rPr>
          <w:rFonts w:ascii="Times New Roman" w:hAnsi="Times New Roman"/>
          <w:color w:val="auto"/>
          <w:szCs w:val="21"/>
        </w:rPr>
      </w:pPr>
      <w:r>
        <w:rPr>
          <w:rFonts w:ascii="Times New Roman" w:hAnsi="Times New Roman"/>
          <w:color w:val="auto"/>
          <w:szCs w:val="21"/>
        </w:rPr>
        <w:t xml:space="preserve">3. </w:t>
      </w:r>
      <w:r>
        <w:rPr>
          <w:rFonts w:hint="eastAsia" w:ascii="Times New Roman" w:hAnsi="宋体" w:cs="宋体"/>
          <w:color w:val="auto"/>
          <w:szCs w:val="21"/>
        </w:rPr>
        <w:t>你方与发包人协议变更工程款支付日期的，经我方书面同意后，保证期间按照变更后的支付日期做相应调整。</w:t>
      </w:r>
    </w:p>
    <w:p w14:paraId="6B055757">
      <w:pPr>
        <w:pStyle w:val="37"/>
        <w:spacing w:line="360" w:lineRule="auto"/>
        <w:ind w:firstLine="420" w:firstLineChars="200"/>
        <w:jc w:val="left"/>
        <w:rPr>
          <w:rFonts w:ascii="黑体" w:hAnsi="Times New Roman" w:eastAsia="黑体"/>
          <w:color w:val="auto"/>
          <w:szCs w:val="21"/>
        </w:rPr>
      </w:pPr>
      <w:r>
        <w:rPr>
          <w:rFonts w:hint="eastAsia" w:ascii="黑体" w:hAnsi="宋体" w:eastAsia="黑体" w:cs="黑体"/>
          <w:color w:val="auto"/>
          <w:szCs w:val="21"/>
        </w:rPr>
        <w:t>三、承担保证责任的形式</w:t>
      </w:r>
    </w:p>
    <w:p w14:paraId="4BD163DA">
      <w:pPr>
        <w:pStyle w:val="37"/>
        <w:spacing w:line="360" w:lineRule="auto"/>
        <w:ind w:firstLine="420" w:firstLineChars="200"/>
        <w:jc w:val="left"/>
        <w:rPr>
          <w:rFonts w:ascii="Times New Roman" w:hAnsi="Times New Roman"/>
          <w:color w:val="auto"/>
          <w:szCs w:val="21"/>
        </w:rPr>
      </w:pPr>
      <w:r>
        <w:rPr>
          <w:rFonts w:hint="eastAsia" w:ascii="Times New Roman" w:hAnsi="宋体" w:cs="宋体"/>
          <w:color w:val="auto"/>
          <w:szCs w:val="21"/>
        </w:rPr>
        <w:t>我方承担保证责任的形式是代为支付。发包人未按主合同约定向你方支付工程款的，由我方在保证金额内代为支付。</w:t>
      </w:r>
    </w:p>
    <w:p w14:paraId="0526FCAD">
      <w:pPr>
        <w:pStyle w:val="37"/>
        <w:spacing w:line="360" w:lineRule="auto"/>
        <w:ind w:firstLine="420" w:firstLineChars="200"/>
        <w:jc w:val="left"/>
        <w:rPr>
          <w:rFonts w:ascii="黑体" w:hAnsi="Times New Roman" w:eastAsia="黑体"/>
          <w:color w:val="auto"/>
          <w:szCs w:val="21"/>
        </w:rPr>
      </w:pPr>
      <w:r>
        <w:rPr>
          <w:rFonts w:hint="eastAsia" w:ascii="黑体" w:hAnsi="宋体" w:eastAsia="黑体" w:cs="黑体"/>
          <w:color w:val="auto"/>
          <w:szCs w:val="21"/>
        </w:rPr>
        <w:t>四、代偿的安排</w:t>
      </w:r>
    </w:p>
    <w:p w14:paraId="29A4B3A7">
      <w:pPr>
        <w:pStyle w:val="37"/>
        <w:spacing w:line="360" w:lineRule="auto"/>
        <w:ind w:firstLine="420" w:firstLineChars="200"/>
        <w:jc w:val="left"/>
        <w:rPr>
          <w:rFonts w:ascii="Times New Roman" w:hAnsi="Times New Roman"/>
          <w:color w:val="auto"/>
          <w:szCs w:val="21"/>
        </w:rPr>
      </w:pPr>
      <w:r>
        <w:rPr>
          <w:rFonts w:ascii="Times New Roman" w:hAnsi="Times New Roman"/>
          <w:color w:val="auto"/>
          <w:szCs w:val="21"/>
        </w:rPr>
        <w:t xml:space="preserve">1. </w:t>
      </w:r>
      <w:r>
        <w:rPr>
          <w:rFonts w:hint="eastAsia" w:ascii="Times New Roman" w:hAnsi="宋体" w:cs="宋体"/>
          <w:color w:val="auto"/>
          <w:szCs w:val="21"/>
        </w:rPr>
        <w:t>你方要求我方承担保证责任的，应向我方发出书面索赔通知及发包人未支付主合同约定工程款的证明材料。索赔通知应写明要求索赔的金额，支付款项应到达的账号。</w:t>
      </w:r>
    </w:p>
    <w:p w14:paraId="71791189">
      <w:pPr>
        <w:pStyle w:val="37"/>
        <w:spacing w:line="360" w:lineRule="auto"/>
        <w:ind w:firstLine="420" w:firstLineChars="200"/>
        <w:jc w:val="left"/>
        <w:rPr>
          <w:rFonts w:ascii="Times New Roman" w:hAnsi="Times New Roman"/>
          <w:color w:val="auto"/>
          <w:szCs w:val="21"/>
        </w:rPr>
      </w:pPr>
      <w:r>
        <w:rPr>
          <w:rFonts w:ascii="Times New Roman" w:hAnsi="Times New Roman"/>
          <w:color w:val="auto"/>
          <w:szCs w:val="21"/>
        </w:rPr>
        <w:t xml:space="preserve">2. </w:t>
      </w:r>
      <w:r>
        <w:rPr>
          <w:rFonts w:hint="eastAsia" w:ascii="Times New Roman" w:hAnsi="宋体" w:cs="宋体"/>
          <w:color w:val="auto"/>
          <w:szCs w:val="21"/>
        </w:rPr>
        <w:t>在出现你方与发包人因工程质量发生争议，发包人拒绝向你方支付工程款的情形时，你方要求我方履行保证责任代为支付的，需提供符合相应条件要求的工程质量检测机构出具的质量说明材料。</w:t>
      </w:r>
    </w:p>
    <w:p w14:paraId="12807AB3">
      <w:pPr>
        <w:pStyle w:val="37"/>
        <w:spacing w:line="360" w:lineRule="auto"/>
        <w:ind w:firstLine="420" w:firstLineChars="200"/>
        <w:jc w:val="left"/>
        <w:rPr>
          <w:rFonts w:ascii="Times New Roman" w:hAnsi="Times New Roman"/>
          <w:color w:val="auto"/>
          <w:szCs w:val="21"/>
        </w:rPr>
      </w:pPr>
      <w:r>
        <w:rPr>
          <w:rFonts w:ascii="Times New Roman" w:hAnsi="Times New Roman"/>
          <w:color w:val="auto"/>
          <w:szCs w:val="21"/>
        </w:rPr>
        <w:t xml:space="preserve">3. </w:t>
      </w:r>
      <w:r>
        <w:rPr>
          <w:rFonts w:hint="eastAsia" w:ascii="Times New Roman" w:hAnsi="宋体" w:cs="宋体"/>
          <w:color w:val="auto"/>
          <w:szCs w:val="21"/>
        </w:rPr>
        <w:t>我方收到你方的书面索赔通知及相应的证明材料后７天内无条件支付。</w:t>
      </w:r>
    </w:p>
    <w:p w14:paraId="5607526F">
      <w:pPr>
        <w:pStyle w:val="37"/>
        <w:spacing w:line="360" w:lineRule="auto"/>
        <w:ind w:firstLine="420" w:firstLineChars="200"/>
        <w:jc w:val="left"/>
        <w:rPr>
          <w:rFonts w:ascii="黑体" w:hAnsi="Times New Roman" w:eastAsia="黑体"/>
          <w:color w:val="auto"/>
          <w:szCs w:val="21"/>
        </w:rPr>
      </w:pPr>
      <w:r>
        <w:rPr>
          <w:rFonts w:hint="eastAsia" w:ascii="黑体" w:hAnsi="宋体" w:eastAsia="黑体" w:cs="黑体"/>
          <w:color w:val="auto"/>
          <w:szCs w:val="21"/>
        </w:rPr>
        <w:t>五、保证责任的解除</w:t>
      </w:r>
    </w:p>
    <w:p w14:paraId="730CFF5C">
      <w:pPr>
        <w:pStyle w:val="37"/>
        <w:spacing w:line="360" w:lineRule="auto"/>
        <w:ind w:firstLine="420" w:firstLineChars="200"/>
        <w:jc w:val="left"/>
        <w:rPr>
          <w:rFonts w:ascii="Times New Roman" w:hAnsi="Times New Roman"/>
          <w:color w:val="auto"/>
          <w:szCs w:val="21"/>
        </w:rPr>
      </w:pPr>
      <w:r>
        <w:rPr>
          <w:rFonts w:ascii="Times New Roman" w:hAnsi="Times New Roman"/>
          <w:color w:val="auto"/>
          <w:szCs w:val="21"/>
        </w:rPr>
        <w:t xml:space="preserve">1. </w:t>
      </w:r>
      <w:r>
        <w:rPr>
          <w:rFonts w:hint="eastAsia" w:ascii="Times New Roman" w:hAnsi="宋体" w:cs="宋体"/>
          <w:color w:val="auto"/>
          <w:szCs w:val="21"/>
        </w:rPr>
        <w:t>在本保函承诺的保证期间内，你方未书面向我方主张保证责任的，自保证期间届满次日起，我方保证责任解除。</w:t>
      </w:r>
    </w:p>
    <w:p w14:paraId="6B369290">
      <w:pPr>
        <w:pStyle w:val="37"/>
        <w:spacing w:line="360" w:lineRule="auto"/>
        <w:ind w:firstLine="420" w:firstLineChars="200"/>
        <w:jc w:val="left"/>
        <w:rPr>
          <w:rFonts w:ascii="Times New Roman" w:hAnsi="Times New Roman"/>
          <w:color w:val="auto"/>
          <w:szCs w:val="21"/>
        </w:rPr>
      </w:pPr>
      <w:r>
        <w:rPr>
          <w:rFonts w:ascii="Times New Roman" w:hAnsi="Times New Roman"/>
          <w:color w:val="auto"/>
          <w:szCs w:val="21"/>
        </w:rPr>
        <w:t xml:space="preserve">2. </w:t>
      </w:r>
      <w:r>
        <w:rPr>
          <w:rFonts w:hint="eastAsia" w:ascii="Times New Roman" w:hAnsi="宋体" w:cs="宋体"/>
          <w:color w:val="auto"/>
          <w:szCs w:val="21"/>
        </w:rPr>
        <w:t>发包人按主合同约定履行了工程款的全部支付义务的，自本保函承诺的保证期间届满次日起，我方保证责任解除。</w:t>
      </w:r>
    </w:p>
    <w:p w14:paraId="046C5283">
      <w:pPr>
        <w:pStyle w:val="37"/>
        <w:spacing w:line="360" w:lineRule="auto"/>
        <w:ind w:firstLine="420" w:firstLineChars="200"/>
        <w:jc w:val="left"/>
        <w:rPr>
          <w:rFonts w:ascii="Times New Roman" w:hAnsi="Times New Roman"/>
          <w:color w:val="auto"/>
          <w:szCs w:val="21"/>
        </w:rPr>
      </w:pPr>
      <w:r>
        <w:rPr>
          <w:rFonts w:ascii="Times New Roman" w:hAnsi="Times New Roman"/>
          <w:color w:val="auto"/>
          <w:szCs w:val="21"/>
        </w:rPr>
        <w:t xml:space="preserve">3. </w:t>
      </w:r>
      <w:r>
        <w:rPr>
          <w:rFonts w:hint="eastAsia" w:ascii="Times New Roman" w:hAnsi="宋体" w:cs="宋体"/>
          <w:color w:val="auto"/>
          <w:szCs w:val="21"/>
        </w:rPr>
        <w:t>我方按照本保函向你方履行保证责任所支付金额达到本保函保证金额时，自我方向你方支付（支付款项从我方账户划出）之日起，保证责任即解除。</w:t>
      </w:r>
    </w:p>
    <w:p w14:paraId="673102DB">
      <w:pPr>
        <w:pStyle w:val="37"/>
        <w:spacing w:line="360" w:lineRule="auto"/>
        <w:ind w:firstLine="420" w:firstLineChars="200"/>
        <w:jc w:val="left"/>
        <w:rPr>
          <w:rFonts w:ascii="Times New Roman" w:hAnsi="Times New Roman"/>
          <w:color w:val="auto"/>
          <w:szCs w:val="21"/>
        </w:rPr>
      </w:pPr>
      <w:r>
        <w:rPr>
          <w:rFonts w:ascii="Times New Roman" w:hAnsi="Times New Roman"/>
          <w:color w:val="auto"/>
          <w:szCs w:val="21"/>
        </w:rPr>
        <w:t xml:space="preserve">4. </w:t>
      </w:r>
      <w:r>
        <w:rPr>
          <w:rFonts w:hint="eastAsia" w:ascii="Times New Roman" w:hAnsi="宋体" w:cs="宋体"/>
          <w:color w:val="auto"/>
          <w:szCs w:val="21"/>
        </w:rPr>
        <w:t>按照法律法规的规定或出现应解除我方保证责任的其他情形的，我方在本保函项下的保证责任亦解除。</w:t>
      </w:r>
    </w:p>
    <w:p w14:paraId="587B8720">
      <w:pPr>
        <w:pStyle w:val="37"/>
        <w:spacing w:line="360" w:lineRule="auto"/>
        <w:ind w:firstLine="420" w:firstLineChars="200"/>
        <w:jc w:val="left"/>
        <w:rPr>
          <w:rFonts w:ascii="Times New Roman" w:hAnsi="Times New Roman"/>
          <w:color w:val="auto"/>
          <w:szCs w:val="21"/>
        </w:rPr>
      </w:pPr>
      <w:r>
        <w:rPr>
          <w:rFonts w:ascii="Times New Roman" w:hAnsi="Times New Roman"/>
          <w:color w:val="auto"/>
          <w:szCs w:val="21"/>
        </w:rPr>
        <w:t xml:space="preserve">5. </w:t>
      </w:r>
      <w:r>
        <w:rPr>
          <w:rFonts w:hint="eastAsia" w:ascii="Times New Roman" w:hAnsi="宋体" w:cs="宋体"/>
          <w:color w:val="auto"/>
          <w:szCs w:val="21"/>
        </w:rPr>
        <w:t>我方解除保证责任后，你方应自我方保证责任解除之日起</w:t>
      </w:r>
      <w:r>
        <w:rPr>
          <w:rFonts w:ascii="Times New Roman" w:hAnsi="Times New Roman"/>
          <w:color w:val="auto"/>
          <w:szCs w:val="21"/>
          <w:u w:val="single"/>
        </w:rPr>
        <w:t xml:space="preserve">  </w:t>
      </w:r>
      <w:r>
        <w:rPr>
          <w:rFonts w:hint="eastAsia" w:ascii="Times New Roman" w:hAnsi="宋体" w:cs="宋体"/>
          <w:color w:val="auto"/>
          <w:szCs w:val="21"/>
        </w:rPr>
        <w:t>个工作日内，将本保函原件返还我方。</w:t>
      </w:r>
    </w:p>
    <w:p w14:paraId="7C15CA2C">
      <w:pPr>
        <w:pStyle w:val="37"/>
        <w:spacing w:line="360" w:lineRule="auto"/>
        <w:ind w:firstLine="420" w:firstLineChars="200"/>
        <w:jc w:val="left"/>
        <w:rPr>
          <w:rFonts w:ascii="黑体" w:hAnsi="Times New Roman" w:eastAsia="黑体"/>
          <w:color w:val="auto"/>
          <w:szCs w:val="21"/>
        </w:rPr>
      </w:pPr>
      <w:r>
        <w:rPr>
          <w:rFonts w:hint="eastAsia" w:ascii="黑体" w:hAnsi="宋体" w:eastAsia="黑体" w:cs="黑体"/>
          <w:color w:val="auto"/>
          <w:szCs w:val="21"/>
        </w:rPr>
        <w:t>六、免责条款</w:t>
      </w:r>
    </w:p>
    <w:p w14:paraId="2D077590">
      <w:pPr>
        <w:pStyle w:val="37"/>
        <w:spacing w:line="360" w:lineRule="auto"/>
        <w:ind w:firstLine="420" w:firstLineChars="200"/>
        <w:jc w:val="left"/>
        <w:rPr>
          <w:rFonts w:ascii="Times New Roman" w:hAnsi="Times New Roman"/>
          <w:color w:val="auto"/>
          <w:szCs w:val="21"/>
        </w:rPr>
      </w:pPr>
      <w:r>
        <w:rPr>
          <w:rFonts w:ascii="Times New Roman" w:hAnsi="Times New Roman"/>
          <w:color w:val="auto"/>
          <w:szCs w:val="21"/>
        </w:rPr>
        <w:t xml:space="preserve">1. </w:t>
      </w:r>
      <w:r>
        <w:rPr>
          <w:rFonts w:hint="eastAsia" w:ascii="Times New Roman" w:hAnsi="宋体" w:cs="宋体"/>
          <w:color w:val="auto"/>
          <w:szCs w:val="21"/>
        </w:rPr>
        <w:t>因你方违约致使发包人不能履行义务的，我方不承担保证责任。</w:t>
      </w:r>
    </w:p>
    <w:p w14:paraId="444AE596">
      <w:pPr>
        <w:pStyle w:val="37"/>
        <w:spacing w:line="360" w:lineRule="auto"/>
        <w:ind w:firstLine="420" w:firstLineChars="200"/>
        <w:jc w:val="left"/>
        <w:rPr>
          <w:rFonts w:ascii="Times New Roman" w:hAnsi="Times New Roman"/>
          <w:color w:val="auto"/>
          <w:szCs w:val="21"/>
        </w:rPr>
      </w:pPr>
      <w:r>
        <w:rPr>
          <w:rFonts w:ascii="Times New Roman" w:hAnsi="Times New Roman"/>
          <w:color w:val="auto"/>
          <w:szCs w:val="21"/>
        </w:rPr>
        <w:t xml:space="preserve">2. </w:t>
      </w:r>
      <w:r>
        <w:rPr>
          <w:rFonts w:hint="eastAsia" w:ascii="Times New Roman" w:hAnsi="宋体" w:cs="宋体"/>
          <w:color w:val="auto"/>
          <w:szCs w:val="21"/>
        </w:rPr>
        <w:t>依照法律法规的规定或你方与发包人的另行约定，免除发包人部分或全部义务的，我方亦免除其相应的保证责任。</w:t>
      </w:r>
    </w:p>
    <w:p w14:paraId="79DAD0A0">
      <w:pPr>
        <w:pStyle w:val="37"/>
        <w:spacing w:line="360" w:lineRule="auto"/>
        <w:ind w:firstLine="420" w:firstLineChars="200"/>
        <w:jc w:val="left"/>
        <w:rPr>
          <w:rFonts w:ascii="Times New Roman" w:hAnsi="Times New Roman"/>
          <w:color w:val="auto"/>
          <w:szCs w:val="21"/>
        </w:rPr>
      </w:pPr>
      <w:r>
        <w:rPr>
          <w:rFonts w:ascii="Times New Roman" w:hAnsi="Times New Roman"/>
          <w:color w:val="auto"/>
          <w:szCs w:val="21"/>
        </w:rPr>
        <w:t xml:space="preserve">3. </w:t>
      </w:r>
      <w:r>
        <w:rPr>
          <w:rFonts w:hint="eastAsia" w:ascii="Times New Roman" w:hAnsi="宋体" w:cs="宋体"/>
          <w:color w:val="auto"/>
          <w:szCs w:val="21"/>
        </w:rPr>
        <w:t>你方与发包人协议变更主合同的，如加重发包人责任致使我方保证责任加重的，需征得我方书面同意，否则我方不再承担因此而加重部分的保证责任，但主合同第</w:t>
      </w:r>
      <w:r>
        <w:rPr>
          <w:rFonts w:ascii="Times New Roman" w:hAnsi="Times New Roman"/>
          <w:color w:val="auto"/>
          <w:szCs w:val="21"/>
        </w:rPr>
        <w:t>10</w:t>
      </w:r>
      <w:r>
        <w:rPr>
          <w:rFonts w:hint="eastAsia" w:ascii="Times New Roman" w:hAnsi="宋体" w:cs="宋体"/>
          <w:color w:val="auto"/>
          <w:szCs w:val="21"/>
        </w:rPr>
        <w:t>条〔变更〕约定的变更不受本款限制。</w:t>
      </w:r>
    </w:p>
    <w:p w14:paraId="6C53A426">
      <w:pPr>
        <w:pStyle w:val="37"/>
        <w:spacing w:line="360" w:lineRule="auto"/>
        <w:ind w:firstLine="420" w:firstLineChars="200"/>
        <w:jc w:val="left"/>
        <w:rPr>
          <w:rFonts w:ascii="Times New Roman" w:hAnsi="Times New Roman"/>
          <w:color w:val="auto"/>
          <w:szCs w:val="21"/>
        </w:rPr>
      </w:pPr>
      <w:r>
        <w:rPr>
          <w:rFonts w:ascii="Times New Roman" w:hAnsi="Times New Roman"/>
          <w:color w:val="auto"/>
          <w:szCs w:val="21"/>
        </w:rPr>
        <w:t xml:space="preserve">4. </w:t>
      </w:r>
      <w:r>
        <w:rPr>
          <w:rFonts w:hint="eastAsia" w:ascii="Times New Roman" w:hAnsi="宋体" w:cs="宋体"/>
          <w:color w:val="auto"/>
          <w:szCs w:val="21"/>
        </w:rPr>
        <w:t>因不可抗力造成发包人不能履行义务的，我方不承担保证责任。</w:t>
      </w:r>
    </w:p>
    <w:p w14:paraId="7D229F41">
      <w:pPr>
        <w:pStyle w:val="37"/>
        <w:spacing w:line="360" w:lineRule="auto"/>
        <w:ind w:firstLine="420" w:firstLineChars="200"/>
        <w:jc w:val="left"/>
        <w:rPr>
          <w:rFonts w:ascii="黑体" w:hAnsi="Times New Roman" w:eastAsia="黑体"/>
          <w:color w:val="auto"/>
          <w:szCs w:val="21"/>
        </w:rPr>
      </w:pPr>
      <w:r>
        <w:rPr>
          <w:rFonts w:hint="eastAsia" w:ascii="黑体" w:hAnsi="宋体" w:eastAsia="黑体" w:cs="黑体"/>
          <w:color w:val="auto"/>
          <w:szCs w:val="21"/>
        </w:rPr>
        <w:t>七、争议解决</w:t>
      </w:r>
    </w:p>
    <w:p w14:paraId="39EA7171">
      <w:pPr>
        <w:pStyle w:val="37"/>
        <w:spacing w:line="360" w:lineRule="auto"/>
        <w:ind w:firstLine="420" w:firstLineChars="200"/>
        <w:rPr>
          <w:rFonts w:ascii="Times New Roman" w:hAnsi="Times New Roman"/>
          <w:color w:val="auto"/>
          <w:szCs w:val="21"/>
        </w:rPr>
      </w:pPr>
      <w:r>
        <w:rPr>
          <w:rFonts w:hint="eastAsia" w:ascii="Times New Roman" w:hAnsi="宋体" w:cs="宋体"/>
          <w:color w:val="auto"/>
          <w:szCs w:val="21"/>
        </w:rPr>
        <w:t>因本保函或本保函相关事项发生的纠纷，可由双方协商解决，协商不成的，按下列第</w:t>
      </w:r>
      <w:r>
        <w:rPr>
          <w:rFonts w:ascii="Times New Roman" w:hAnsi="Times New Roman"/>
          <w:color w:val="auto"/>
          <w:szCs w:val="21"/>
          <w:u w:val="single"/>
        </w:rPr>
        <w:t xml:space="preserve">     </w:t>
      </w:r>
      <w:r>
        <w:rPr>
          <w:rFonts w:hint="eastAsia" w:ascii="Times New Roman" w:hAnsi="宋体" w:cs="宋体"/>
          <w:color w:val="auto"/>
          <w:szCs w:val="21"/>
        </w:rPr>
        <w:t>种方式解决：</w:t>
      </w:r>
    </w:p>
    <w:p w14:paraId="6B9F5F04">
      <w:pPr>
        <w:pStyle w:val="37"/>
        <w:spacing w:line="360" w:lineRule="auto"/>
        <w:ind w:firstLine="420" w:firstLineChars="200"/>
        <w:jc w:val="left"/>
        <w:rPr>
          <w:rFonts w:ascii="Times New Roman" w:hAnsi="Times New Roman"/>
          <w:color w:val="auto"/>
          <w:szCs w:val="21"/>
        </w:rPr>
      </w:pPr>
      <w:r>
        <w:rPr>
          <w:rFonts w:hint="eastAsia" w:ascii="Times New Roman" w:hAnsi="宋体" w:cs="宋体"/>
          <w:color w:val="auto"/>
          <w:szCs w:val="21"/>
        </w:rPr>
        <w:t>（</w:t>
      </w:r>
      <w:r>
        <w:rPr>
          <w:rFonts w:ascii="Times New Roman" w:hAnsi="Times New Roman"/>
          <w:color w:val="auto"/>
          <w:szCs w:val="21"/>
        </w:rPr>
        <w:t>1</w:t>
      </w:r>
      <w:r>
        <w:rPr>
          <w:rFonts w:hint="eastAsia" w:ascii="Times New Roman" w:hAnsi="宋体" w:cs="宋体"/>
          <w:color w:val="auto"/>
          <w:szCs w:val="21"/>
        </w:rPr>
        <w:t>）向</w:t>
      </w:r>
      <w:r>
        <w:rPr>
          <w:rFonts w:ascii="Times New Roman" w:hAnsi="Times New Roman"/>
          <w:color w:val="auto"/>
          <w:szCs w:val="21"/>
          <w:u w:val="single"/>
        </w:rPr>
        <w:t xml:space="preserve">               </w:t>
      </w:r>
      <w:r>
        <w:rPr>
          <w:rFonts w:hint="eastAsia" w:ascii="Times New Roman" w:hAnsi="宋体" w:cs="宋体"/>
          <w:color w:val="auto"/>
          <w:szCs w:val="21"/>
        </w:rPr>
        <w:t>仲裁委员会申请仲裁；（</w:t>
      </w:r>
      <w:r>
        <w:rPr>
          <w:rFonts w:ascii="Times New Roman" w:hAnsi="Times New Roman"/>
          <w:color w:val="auto"/>
          <w:szCs w:val="21"/>
        </w:rPr>
        <w:t>2</w:t>
      </w:r>
      <w:r>
        <w:rPr>
          <w:rFonts w:hint="eastAsia" w:ascii="Times New Roman" w:hAnsi="宋体" w:cs="宋体"/>
          <w:color w:val="auto"/>
          <w:szCs w:val="21"/>
        </w:rPr>
        <w:t>）向</w:t>
      </w:r>
      <w:r>
        <w:rPr>
          <w:rFonts w:ascii="Times New Roman" w:hAnsi="Times New Roman"/>
          <w:color w:val="auto"/>
          <w:szCs w:val="21"/>
          <w:u w:val="single"/>
        </w:rPr>
        <w:t xml:space="preserve">                 </w:t>
      </w:r>
      <w:r>
        <w:rPr>
          <w:rFonts w:hint="eastAsia" w:ascii="Times New Roman" w:hAnsi="宋体" w:cs="宋体"/>
          <w:color w:val="auto"/>
          <w:szCs w:val="21"/>
        </w:rPr>
        <w:t>人民法院起诉。</w:t>
      </w:r>
    </w:p>
    <w:p w14:paraId="0DFBDF18">
      <w:pPr>
        <w:pStyle w:val="37"/>
        <w:spacing w:line="360" w:lineRule="auto"/>
        <w:ind w:firstLine="420" w:firstLineChars="200"/>
        <w:jc w:val="left"/>
        <w:rPr>
          <w:rFonts w:ascii="黑体" w:hAnsi="Times New Roman" w:eastAsia="黑体"/>
          <w:color w:val="auto"/>
          <w:szCs w:val="21"/>
        </w:rPr>
      </w:pPr>
      <w:r>
        <w:rPr>
          <w:rFonts w:hint="eastAsia" w:ascii="黑体" w:hAnsi="宋体" w:eastAsia="黑体" w:cs="黑体"/>
          <w:color w:val="auto"/>
          <w:szCs w:val="21"/>
        </w:rPr>
        <w:t>八、保函的生效</w:t>
      </w:r>
    </w:p>
    <w:p w14:paraId="05EDF0A1">
      <w:pPr>
        <w:pStyle w:val="37"/>
        <w:spacing w:line="360" w:lineRule="auto"/>
        <w:ind w:firstLine="420" w:firstLineChars="200"/>
        <w:jc w:val="left"/>
        <w:rPr>
          <w:rFonts w:ascii="Times New Roman" w:hAnsi="Times New Roman"/>
          <w:color w:val="auto"/>
          <w:szCs w:val="21"/>
        </w:rPr>
      </w:pPr>
      <w:r>
        <w:rPr>
          <w:rFonts w:hint="eastAsia" w:ascii="Times New Roman" w:hAnsi="宋体" w:cs="宋体"/>
          <w:color w:val="auto"/>
          <w:szCs w:val="21"/>
        </w:rPr>
        <w:t>本保函自我方法定代表人（或其授权代理人）签字并加盖公章之日起生效。</w:t>
      </w:r>
    </w:p>
    <w:p w14:paraId="6B2FF37A">
      <w:pPr>
        <w:pStyle w:val="37"/>
        <w:spacing w:line="360" w:lineRule="auto"/>
        <w:ind w:right="600" w:firstLine="420" w:firstLineChars="200"/>
        <w:jc w:val="left"/>
        <w:rPr>
          <w:rFonts w:ascii="Times New Roman" w:hAnsi="Times New Roman"/>
          <w:color w:val="auto"/>
          <w:szCs w:val="21"/>
        </w:rPr>
      </w:pPr>
      <w:r>
        <w:rPr>
          <w:rFonts w:hint="eastAsia" w:ascii="Times New Roman" w:hAnsi="宋体" w:cs="宋体"/>
          <w:color w:val="auto"/>
          <w:szCs w:val="21"/>
        </w:rPr>
        <w:t>担保人：</w:t>
      </w:r>
      <w:r>
        <w:rPr>
          <w:rFonts w:ascii="Times New Roman" w:hAnsi="Times New Roman"/>
          <w:color w:val="auto"/>
          <w:szCs w:val="21"/>
          <w:u w:val="single"/>
        </w:rPr>
        <w:t xml:space="preserve">                                   </w:t>
      </w:r>
      <w:r>
        <w:rPr>
          <w:rFonts w:hint="eastAsia" w:ascii="Times New Roman" w:hAnsi="宋体" w:cs="宋体"/>
          <w:color w:val="auto"/>
          <w:szCs w:val="21"/>
        </w:rPr>
        <w:t>（盖章）</w:t>
      </w:r>
    </w:p>
    <w:p w14:paraId="0D247718">
      <w:pPr>
        <w:pStyle w:val="37"/>
        <w:spacing w:line="360" w:lineRule="auto"/>
        <w:ind w:right="1200" w:firstLine="420" w:firstLineChars="200"/>
        <w:rPr>
          <w:rFonts w:ascii="Times New Roman" w:hAnsi="Times New Roman"/>
          <w:color w:val="auto"/>
          <w:szCs w:val="21"/>
        </w:rPr>
      </w:pPr>
      <w:r>
        <w:rPr>
          <w:rFonts w:hint="eastAsia" w:ascii="Times New Roman" w:hAnsi="宋体" w:cs="宋体"/>
          <w:color w:val="auto"/>
          <w:szCs w:val="21"/>
        </w:rPr>
        <w:t>法定代表人或委托代理人：</w:t>
      </w:r>
      <w:r>
        <w:rPr>
          <w:rFonts w:ascii="Times New Roman" w:hAnsi="Times New Roman"/>
          <w:color w:val="auto"/>
          <w:szCs w:val="21"/>
          <w:u w:val="single"/>
        </w:rPr>
        <w:t xml:space="preserve">                   </w:t>
      </w:r>
      <w:r>
        <w:rPr>
          <w:rFonts w:hint="eastAsia" w:ascii="Times New Roman" w:hAnsi="宋体" w:cs="宋体"/>
          <w:color w:val="auto"/>
          <w:szCs w:val="21"/>
        </w:rPr>
        <w:t>（签字）</w:t>
      </w:r>
    </w:p>
    <w:p w14:paraId="53348A46">
      <w:pPr>
        <w:pStyle w:val="37"/>
        <w:spacing w:line="360" w:lineRule="auto"/>
        <w:ind w:firstLine="420" w:firstLineChars="200"/>
        <w:jc w:val="left"/>
        <w:rPr>
          <w:rFonts w:ascii="Times New Roman" w:hAnsi="Times New Roman"/>
          <w:color w:val="auto"/>
          <w:szCs w:val="21"/>
        </w:rPr>
      </w:pPr>
      <w:r>
        <w:rPr>
          <w:rFonts w:hint="eastAsia" w:ascii="Times New Roman" w:hAnsi="宋体" w:cs="宋体"/>
          <w:color w:val="auto"/>
          <w:szCs w:val="21"/>
        </w:rPr>
        <w:t>地</w:t>
      </w:r>
      <w:r>
        <w:rPr>
          <w:rFonts w:ascii="Times New Roman" w:hAnsi="Times New Roman"/>
          <w:color w:val="auto"/>
          <w:szCs w:val="21"/>
        </w:rPr>
        <w:t xml:space="preserve">    </w:t>
      </w:r>
      <w:r>
        <w:rPr>
          <w:rFonts w:hint="eastAsia" w:ascii="Times New Roman" w:hAnsi="宋体" w:cs="宋体"/>
          <w:color w:val="auto"/>
          <w:szCs w:val="21"/>
        </w:rPr>
        <w:t>址：</w:t>
      </w:r>
      <w:r>
        <w:rPr>
          <w:rFonts w:ascii="Times New Roman" w:hAnsi="Times New Roman"/>
          <w:color w:val="auto"/>
          <w:szCs w:val="21"/>
          <w:u w:val="single"/>
        </w:rPr>
        <w:t xml:space="preserve">                                        </w:t>
      </w:r>
    </w:p>
    <w:p w14:paraId="11348A7C">
      <w:pPr>
        <w:pStyle w:val="37"/>
        <w:spacing w:line="360" w:lineRule="auto"/>
        <w:ind w:firstLine="420" w:firstLineChars="200"/>
        <w:jc w:val="left"/>
        <w:rPr>
          <w:rFonts w:ascii="Times New Roman" w:hAnsi="Times New Roman"/>
          <w:color w:val="auto"/>
          <w:szCs w:val="21"/>
        </w:rPr>
      </w:pPr>
      <w:r>
        <w:rPr>
          <w:rFonts w:hint="eastAsia" w:ascii="Times New Roman" w:hAnsi="宋体" w:cs="宋体"/>
          <w:color w:val="auto"/>
          <w:szCs w:val="21"/>
        </w:rPr>
        <w:t>邮政编码：</w:t>
      </w:r>
      <w:r>
        <w:rPr>
          <w:rFonts w:ascii="Times New Roman" w:hAnsi="Times New Roman"/>
          <w:color w:val="auto"/>
          <w:szCs w:val="21"/>
          <w:u w:val="single"/>
        </w:rPr>
        <w:t xml:space="preserve">                                        </w:t>
      </w:r>
    </w:p>
    <w:p w14:paraId="224BEC54">
      <w:pPr>
        <w:pStyle w:val="37"/>
        <w:spacing w:line="360" w:lineRule="auto"/>
        <w:ind w:firstLine="420" w:firstLineChars="200"/>
        <w:jc w:val="left"/>
        <w:rPr>
          <w:rFonts w:ascii="Times New Roman" w:hAnsi="Times New Roman"/>
          <w:color w:val="auto"/>
          <w:szCs w:val="21"/>
          <w:u w:val="single"/>
        </w:rPr>
      </w:pPr>
      <w:r>
        <w:rPr>
          <w:rFonts w:hint="eastAsia" w:ascii="Times New Roman" w:hAnsi="宋体" w:cs="宋体"/>
          <w:color w:val="auto"/>
          <w:szCs w:val="21"/>
        </w:rPr>
        <w:t>传</w:t>
      </w:r>
      <w:r>
        <w:rPr>
          <w:rFonts w:ascii="Times New Roman" w:hAnsi="Times New Roman"/>
          <w:color w:val="auto"/>
          <w:szCs w:val="21"/>
        </w:rPr>
        <w:t xml:space="preserve">    </w:t>
      </w:r>
      <w:r>
        <w:rPr>
          <w:rFonts w:hint="eastAsia" w:ascii="Times New Roman" w:hAnsi="宋体" w:cs="宋体"/>
          <w:color w:val="auto"/>
          <w:szCs w:val="21"/>
        </w:rPr>
        <w:t>真：</w:t>
      </w:r>
      <w:r>
        <w:rPr>
          <w:rFonts w:ascii="Times New Roman" w:hAnsi="Times New Roman"/>
          <w:color w:val="auto"/>
          <w:szCs w:val="21"/>
          <w:u w:val="single"/>
        </w:rPr>
        <w:t xml:space="preserve">                                        </w:t>
      </w:r>
    </w:p>
    <w:p w14:paraId="0BF5969D">
      <w:pPr>
        <w:pStyle w:val="37"/>
        <w:spacing w:line="360" w:lineRule="auto"/>
        <w:ind w:right="150" w:firstLine="420" w:firstLineChars="200"/>
        <w:jc w:val="left"/>
        <w:rPr>
          <w:rFonts w:ascii="Times New Roman" w:hAnsi="宋体" w:cs="宋体"/>
          <w:color w:val="auto"/>
          <w:szCs w:val="21"/>
        </w:rPr>
      </w:pPr>
      <w:r>
        <w:rPr>
          <w:rFonts w:ascii="Times New Roman" w:hAnsi="Times New Roman"/>
          <w:color w:val="auto"/>
          <w:szCs w:val="21"/>
        </w:rPr>
        <w:t xml:space="preserve">             </w:t>
      </w:r>
      <w:r>
        <w:rPr>
          <w:rFonts w:hint="eastAsia" w:ascii="Times New Roman" w:hAnsi="Times New Roman"/>
          <w:color w:val="auto"/>
          <w:szCs w:val="21"/>
          <w:lang w:val="en-US" w:eastAsia="zh-CN"/>
        </w:rPr>
        <w:t xml:space="preserve">                                 </w:t>
      </w:r>
      <w:r>
        <w:rPr>
          <w:rFonts w:ascii="Times New Roman" w:hAnsi="Times New Roman"/>
          <w:color w:val="auto"/>
          <w:szCs w:val="21"/>
          <w:u w:val="single"/>
        </w:rPr>
        <w:t xml:space="preserve">             </w:t>
      </w:r>
      <w:r>
        <w:rPr>
          <w:rFonts w:hint="eastAsia" w:ascii="Times New Roman" w:hAnsi="宋体" w:cs="宋体"/>
          <w:color w:val="auto"/>
          <w:szCs w:val="21"/>
        </w:rPr>
        <w:t>年</w:t>
      </w:r>
      <w:r>
        <w:rPr>
          <w:rFonts w:ascii="Times New Roman" w:hAnsi="Times New Roman"/>
          <w:color w:val="auto"/>
          <w:szCs w:val="21"/>
          <w:u w:val="single"/>
        </w:rPr>
        <w:t xml:space="preserve">      </w:t>
      </w:r>
      <w:r>
        <w:rPr>
          <w:rFonts w:hint="eastAsia" w:ascii="Times New Roman" w:hAnsi="宋体" w:cs="宋体"/>
          <w:color w:val="auto"/>
          <w:szCs w:val="21"/>
        </w:rPr>
        <w:t>月</w:t>
      </w:r>
      <w:r>
        <w:rPr>
          <w:rFonts w:ascii="Times New Roman" w:hAnsi="Times New Roman"/>
          <w:color w:val="auto"/>
          <w:szCs w:val="21"/>
          <w:u w:val="single"/>
        </w:rPr>
        <w:t xml:space="preserve">      </w:t>
      </w:r>
      <w:r>
        <w:rPr>
          <w:rFonts w:hint="eastAsia" w:ascii="Times New Roman" w:hAnsi="宋体" w:cs="宋体"/>
          <w:color w:val="auto"/>
          <w:szCs w:val="21"/>
        </w:rPr>
        <w:t>日</w:t>
      </w:r>
    </w:p>
    <w:p w14:paraId="5682EAAA">
      <w:pPr>
        <w:pStyle w:val="37"/>
        <w:spacing w:line="360" w:lineRule="auto"/>
        <w:ind w:right="150" w:firstLine="420" w:firstLineChars="200"/>
        <w:jc w:val="left"/>
        <w:rPr>
          <w:rFonts w:ascii="仿宋_GB2312" w:hAnsi="宋体" w:cs="宋体"/>
          <w:color w:val="auto"/>
          <w:szCs w:val="21"/>
        </w:rPr>
      </w:pPr>
      <w:r>
        <w:rPr>
          <w:rFonts w:hint="eastAsia" w:ascii="Times New Roman" w:hAnsi="宋体" w:cs="宋体"/>
          <w:color w:val="auto"/>
          <w:szCs w:val="21"/>
        </w:rPr>
        <w:t>（备注</w:t>
      </w:r>
      <w:r>
        <w:rPr>
          <w:rFonts w:ascii="Times New Roman" w:hAnsi="宋体" w:cs="宋体"/>
          <w:color w:val="auto"/>
          <w:szCs w:val="21"/>
        </w:rPr>
        <w:t>：</w:t>
      </w:r>
      <w:r>
        <w:rPr>
          <w:rFonts w:hint="eastAsia" w:ascii="Times New Roman" w:hAnsi="宋体" w:cs="宋体"/>
          <w:color w:val="auto"/>
          <w:szCs w:val="21"/>
        </w:rPr>
        <w:t>银行、保险公司和担保公司出具的</w:t>
      </w:r>
      <w:r>
        <w:rPr>
          <w:rFonts w:hint="eastAsia" w:ascii="仿宋_GB2312" w:hAnsi="宋体" w:cs="宋体"/>
          <w:color w:val="auto"/>
          <w:szCs w:val="21"/>
        </w:rPr>
        <w:t>保函格式和文本可</w:t>
      </w:r>
      <w:r>
        <w:rPr>
          <w:rFonts w:ascii="仿宋_GB2312" w:hAnsi="宋体" w:cs="宋体"/>
          <w:color w:val="auto"/>
          <w:szCs w:val="21"/>
        </w:rPr>
        <w:t>以自拟，</w:t>
      </w:r>
      <w:r>
        <w:rPr>
          <w:rFonts w:hint="eastAsia" w:ascii="仿宋_GB2312" w:hAnsi="宋体" w:cs="宋体"/>
          <w:color w:val="auto"/>
          <w:szCs w:val="21"/>
        </w:rPr>
        <w:t>但是必须包含以上条款所列全部内容</w:t>
      </w:r>
      <w:r>
        <w:rPr>
          <w:rFonts w:ascii="仿宋_GB2312" w:hAnsi="宋体" w:cs="宋体"/>
          <w:color w:val="auto"/>
          <w:szCs w:val="21"/>
        </w:rPr>
        <w:t>）</w:t>
      </w:r>
    </w:p>
    <w:p w14:paraId="326FD989">
      <w:pPr>
        <w:pStyle w:val="37"/>
        <w:spacing w:line="360" w:lineRule="auto"/>
        <w:ind w:right="150" w:firstLine="420" w:firstLineChars="200"/>
        <w:jc w:val="left"/>
        <w:rPr>
          <w:rFonts w:ascii="仿宋_GB2312" w:hAnsi="宋体" w:cs="宋体"/>
          <w:color w:val="auto"/>
          <w:szCs w:val="21"/>
        </w:rPr>
      </w:pPr>
    </w:p>
    <w:p w14:paraId="76632CEE">
      <w:pPr>
        <w:pStyle w:val="37"/>
        <w:spacing w:line="360" w:lineRule="auto"/>
        <w:ind w:right="150" w:firstLine="420" w:firstLineChars="200"/>
        <w:jc w:val="left"/>
        <w:rPr>
          <w:rFonts w:ascii="仿宋_GB2312" w:hAnsi="宋体" w:cs="宋体"/>
          <w:color w:val="auto"/>
          <w:szCs w:val="21"/>
        </w:rPr>
      </w:pPr>
    </w:p>
    <w:p w14:paraId="066EE070">
      <w:pPr>
        <w:pStyle w:val="37"/>
        <w:spacing w:line="360" w:lineRule="auto"/>
        <w:ind w:right="150" w:firstLine="420" w:firstLineChars="200"/>
        <w:jc w:val="left"/>
        <w:rPr>
          <w:rFonts w:ascii="仿宋_GB2312" w:hAnsi="宋体" w:cs="宋体"/>
          <w:color w:val="auto"/>
          <w:szCs w:val="21"/>
        </w:rPr>
      </w:pPr>
    </w:p>
    <w:p w14:paraId="78A5849B">
      <w:pPr>
        <w:pStyle w:val="37"/>
        <w:ind w:firstLine="600" w:firstLineChars="200"/>
        <w:jc w:val="left"/>
        <w:rPr>
          <w:rFonts w:hint="eastAsia" w:ascii="Times New Roman" w:hAnsi="宋体" w:cs="宋体"/>
          <w:color w:val="auto"/>
          <w:sz w:val="30"/>
          <w:szCs w:val="30"/>
        </w:rPr>
      </w:pPr>
      <w:r>
        <w:rPr>
          <w:rFonts w:hint="eastAsia" w:ascii="Times New Roman" w:hAnsi="宋体" w:cs="宋体"/>
          <w:color w:val="auto"/>
          <w:sz w:val="30"/>
          <w:szCs w:val="30"/>
        </w:rPr>
        <w:t>附件10：</w:t>
      </w:r>
    </w:p>
    <w:p w14:paraId="79009B8D">
      <w:pPr>
        <w:pStyle w:val="37"/>
        <w:ind w:firstLine="723" w:firstLineChars="200"/>
        <w:jc w:val="center"/>
        <w:rPr>
          <w:rFonts w:hint="eastAsia" w:ascii="Times New Roman" w:hAnsi="Times New Roman"/>
          <w:b/>
          <w:color w:val="auto"/>
          <w:sz w:val="36"/>
          <w:szCs w:val="36"/>
        </w:rPr>
      </w:pPr>
      <w:r>
        <w:rPr>
          <w:rFonts w:hint="eastAsia" w:ascii="Times New Roman" w:hAnsi="Times New Roman"/>
          <w:b/>
          <w:color w:val="auto"/>
          <w:sz w:val="36"/>
          <w:szCs w:val="36"/>
        </w:rPr>
        <w:t>预付款支付申请（核准）表</w:t>
      </w:r>
    </w:p>
    <w:p w14:paraId="35811C6C">
      <w:pPr>
        <w:pStyle w:val="37"/>
        <w:ind w:firstLine="480" w:firstLineChars="200"/>
        <w:rPr>
          <w:rFonts w:hint="eastAsia" w:ascii="Times New Roman" w:hAnsi="Times New Roman"/>
          <w:color w:val="auto"/>
          <w:sz w:val="24"/>
          <w:szCs w:val="24"/>
        </w:rPr>
      </w:pPr>
      <w:r>
        <w:rPr>
          <w:rFonts w:hint="eastAsia" w:ascii="Times New Roman" w:hAnsi="Times New Roman"/>
          <w:color w:val="auto"/>
          <w:sz w:val="24"/>
          <w:szCs w:val="24"/>
        </w:rPr>
        <w:t>工程名称：                                             编号：</w:t>
      </w:r>
    </w:p>
    <w:tbl>
      <w:tblPr>
        <w:tblStyle w:val="22"/>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5"/>
      </w:tblGrid>
      <w:tr w14:paraId="4C2E8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8" w:hRule="atLeast"/>
          <w:jc w:val="center"/>
        </w:trPr>
        <w:tc>
          <w:tcPr>
            <w:tcW w:w="9185" w:type="dxa"/>
            <w:noWrap w:val="0"/>
            <w:vAlign w:val="top"/>
          </w:tcPr>
          <w:p w14:paraId="23926010">
            <w:pPr>
              <w:pStyle w:val="37"/>
              <w:spacing w:line="480" w:lineRule="exact"/>
              <w:ind w:left="313" w:leftChars="149" w:firstLine="420" w:firstLineChars="200"/>
              <w:rPr>
                <w:rFonts w:hint="eastAsia" w:ascii="Times New Roman" w:hAnsi="Times New Roman"/>
                <w:color w:val="auto"/>
                <w:szCs w:val="21"/>
                <w:u w:val="single"/>
              </w:rPr>
            </w:pPr>
            <w:r>
              <w:rPr>
                <w:rFonts w:hint="eastAsia" w:ascii="Times New Roman" w:hAnsi="Times New Roman"/>
                <w:color w:val="auto"/>
                <w:szCs w:val="21"/>
              </w:rPr>
              <w:t>致：</w:t>
            </w:r>
            <w:r>
              <w:rPr>
                <w:rFonts w:hint="eastAsia" w:ascii="Times New Roman" w:hAnsi="Times New Roman"/>
                <w:color w:val="auto"/>
                <w:szCs w:val="21"/>
                <w:u w:val="single"/>
              </w:rPr>
              <w:t xml:space="preserve">                                   （发包人全称）</w:t>
            </w:r>
          </w:p>
          <w:p w14:paraId="4C0D9537">
            <w:pPr>
              <w:pStyle w:val="37"/>
              <w:spacing w:line="400" w:lineRule="exact"/>
              <w:ind w:left="-4" w:leftChars="-2" w:firstLine="420" w:firstLineChars="200"/>
              <w:rPr>
                <w:rFonts w:hint="eastAsia" w:ascii="Times New Roman" w:hAnsi="Times New Roman"/>
                <w:color w:val="auto"/>
                <w:szCs w:val="21"/>
              </w:rPr>
            </w:pPr>
            <w:r>
              <w:rPr>
                <w:rFonts w:hint="eastAsia" w:ascii="Times New Roman" w:hAnsi="Times New Roman"/>
                <w:color w:val="auto"/>
                <w:szCs w:val="21"/>
              </w:rPr>
              <w:t>我方根据施工合同的约定，现申请支付工程预付款额为</w:t>
            </w:r>
            <w:r>
              <w:rPr>
                <w:rFonts w:hint="eastAsia" w:ascii="Times New Roman" w:hAnsi="Times New Roman"/>
                <w:color w:val="auto"/>
                <w:szCs w:val="21"/>
                <w:lang w:eastAsia="zh-CN"/>
              </w:rPr>
              <w:t>（</w:t>
            </w:r>
            <w:r>
              <w:rPr>
                <w:rFonts w:hint="eastAsia" w:ascii="Times New Roman" w:hAnsi="Times New Roman"/>
                <w:color w:val="auto"/>
                <w:szCs w:val="21"/>
              </w:rPr>
              <w:t>大写</w:t>
            </w:r>
            <w:r>
              <w:rPr>
                <w:rFonts w:hint="eastAsia" w:ascii="Times New Roman" w:hAnsi="Times New Roman"/>
                <w:color w:val="auto"/>
                <w:szCs w:val="21"/>
                <w:lang w:eastAsia="zh-CN"/>
              </w:rPr>
              <w:t>）</w:t>
            </w:r>
            <w:r>
              <w:rPr>
                <w:rFonts w:hint="eastAsia" w:ascii="Times New Roman" w:hAnsi="Times New Roman"/>
                <w:color w:val="auto"/>
                <w:szCs w:val="21"/>
                <w:u w:val="single"/>
              </w:rPr>
              <w:t xml:space="preserve">            </w:t>
            </w:r>
            <w:r>
              <w:rPr>
                <w:rFonts w:hint="eastAsia" w:ascii="Times New Roman" w:hAnsi="Times New Roman"/>
                <w:color w:val="auto"/>
                <w:szCs w:val="21"/>
              </w:rPr>
              <w:t>元，</w:t>
            </w:r>
            <w:r>
              <w:rPr>
                <w:rFonts w:hint="eastAsia" w:ascii="Times New Roman" w:hAnsi="Times New Roman"/>
                <w:color w:val="auto"/>
                <w:szCs w:val="21"/>
                <w:lang w:eastAsia="zh-CN"/>
              </w:rPr>
              <w:t>（</w:t>
            </w:r>
            <w:r>
              <w:rPr>
                <w:rFonts w:hint="eastAsia" w:ascii="Times New Roman" w:hAnsi="Times New Roman"/>
                <w:color w:val="auto"/>
                <w:szCs w:val="21"/>
              </w:rPr>
              <w:t>小写</w:t>
            </w:r>
            <w:r>
              <w:rPr>
                <w:rFonts w:hint="eastAsia" w:ascii="Times New Roman" w:hAnsi="Times New Roman"/>
                <w:color w:val="auto"/>
                <w:szCs w:val="21"/>
                <w:lang w:eastAsia="zh-CN"/>
              </w:rPr>
              <w:t>）</w:t>
            </w:r>
          </w:p>
          <w:p w14:paraId="282F869D">
            <w:pPr>
              <w:pStyle w:val="37"/>
              <w:spacing w:line="400" w:lineRule="exact"/>
              <w:ind w:firstLine="420" w:firstLineChars="200"/>
              <w:rPr>
                <w:rFonts w:hint="eastAsia" w:ascii="Times New Roman" w:hAnsi="Times New Roman"/>
                <w:color w:val="auto"/>
                <w:szCs w:val="21"/>
              </w:rPr>
            </w:pPr>
            <w:r>
              <w:rPr>
                <w:rFonts w:hint="eastAsia" w:ascii="Times New Roman" w:hAnsi="Times New Roman"/>
                <w:color w:val="auto"/>
                <w:szCs w:val="21"/>
                <w:u w:val="single"/>
              </w:rPr>
              <w:t xml:space="preserve">         </w:t>
            </w:r>
            <w:r>
              <w:rPr>
                <w:rFonts w:hint="eastAsia" w:ascii="Times New Roman" w:hAnsi="Times New Roman"/>
                <w:color w:val="auto"/>
                <w:szCs w:val="21"/>
              </w:rPr>
              <w:t>元，请予核准。</w:t>
            </w:r>
          </w:p>
          <w:tbl>
            <w:tblPr>
              <w:tblStyle w:val="22"/>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764"/>
              <w:gridCol w:w="2240"/>
              <w:gridCol w:w="1080"/>
            </w:tblGrid>
            <w:tr w14:paraId="7802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9" w:hRule="atLeast"/>
              </w:trPr>
              <w:tc>
                <w:tcPr>
                  <w:tcW w:w="535" w:type="dxa"/>
                  <w:noWrap w:val="0"/>
                  <w:vAlign w:val="center"/>
                </w:tcPr>
                <w:p w14:paraId="3F907901">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序号</w:t>
                  </w:r>
                </w:p>
              </w:tc>
              <w:tc>
                <w:tcPr>
                  <w:tcW w:w="3340" w:type="dxa"/>
                  <w:noWrap w:val="0"/>
                  <w:vAlign w:val="center"/>
                </w:tcPr>
                <w:p w14:paraId="4AA11ED8">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名      称</w:t>
                  </w:r>
                </w:p>
              </w:tc>
              <w:tc>
                <w:tcPr>
                  <w:tcW w:w="1764" w:type="dxa"/>
                  <w:noWrap w:val="0"/>
                  <w:vAlign w:val="center"/>
                </w:tcPr>
                <w:p w14:paraId="3C343AB9">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申请金额（元）</w:t>
                  </w:r>
                </w:p>
              </w:tc>
              <w:tc>
                <w:tcPr>
                  <w:tcW w:w="2240" w:type="dxa"/>
                  <w:noWrap w:val="0"/>
                  <w:vAlign w:val="center"/>
                </w:tcPr>
                <w:p w14:paraId="5BF67CC0">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复核金额（元）</w:t>
                  </w:r>
                </w:p>
              </w:tc>
              <w:tc>
                <w:tcPr>
                  <w:tcW w:w="1080" w:type="dxa"/>
                  <w:noWrap w:val="0"/>
                  <w:vAlign w:val="center"/>
                </w:tcPr>
                <w:p w14:paraId="12D0910D">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备注</w:t>
                  </w:r>
                </w:p>
              </w:tc>
            </w:tr>
            <w:tr w14:paraId="1DFD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F5BC0B8">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1</w:t>
                  </w:r>
                </w:p>
              </w:tc>
              <w:tc>
                <w:tcPr>
                  <w:tcW w:w="3340" w:type="dxa"/>
                  <w:noWrap w:val="0"/>
                  <w:vAlign w:val="top"/>
                </w:tcPr>
                <w:p w14:paraId="207DC2FE">
                  <w:pPr>
                    <w:pStyle w:val="37"/>
                    <w:spacing w:line="280" w:lineRule="exact"/>
                    <w:rPr>
                      <w:rFonts w:hint="eastAsia" w:ascii="Times New Roman" w:hAnsi="Times New Roman"/>
                      <w:color w:val="auto"/>
                      <w:szCs w:val="21"/>
                    </w:rPr>
                  </w:pPr>
                  <w:r>
                    <w:rPr>
                      <w:rFonts w:hint="eastAsia" w:ascii="Times New Roman" w:hAnsi="Times New Roman"/>
                      <w:color w:val="auto"/>
                      <w:szCs w:val="21"/>
                    </w:rPr>
                    <w:t>已签约合同价款金额</w:t>
                  </w:r>
                </w:p>
              </w:tc>
              <w:tc>
                <w:tcPr>
                  <w:tcW w:w="1764" w:type="dxa"/>
                  <w:noWrap w:val="0"/>
                  <w:vAlign w:val="top"/>
                </w:tcPr>
                <w:p w14:paraId="52D4E500">
                  <w:pPr>
                    <w:pStyle w:val="37"/>
                    <w:spacing w:line="280" w:lineRule="exact"/>
                    <w:rPr>
                      <w:rFonts w:hint="eastAsia" w:ascii="Times New Roman" w:hAnsi="Times New Roman"/>
                      <w:color w:val="auto"/>
                      <w:szCs w:val="21"/>
                    </w:rPr>
                  </w:pPr>
                </w:p>
              </w:tc>
              <w:tc>
                <w:tcPr>
                  <w:tcW w:w="2240" w:type="dxa"/>
                  <w:noWrap w:val="0"/>
                  <w:vAlign w:val="top"/>
                </w:tcPr>
                <w:p w14:paraId="5A52C871">
                  <w:pPr>
                    <w:pStyle w:val="37"/>
                    <w:spacing w:line="280" w:lineRule="exact"/>
                    <w:rPr>
                      <w:rFonts w:hint="eastAsia" w:ascii="Times New Roman" w:hAnsi="Times New Roman"/>
                      <w:color w:val="auto"/>
                      <w:szCs w:val="21"/>
                    </w:rPr>
                  </w:pPr>
                </w:p>
              </w:tc>
              <w:tc>
                <w:tcPr>
                  <w:tcW w:w="1080" w:type="dxa"/>
                  <w:noWrap w:val="0"/>
                  <w:vAlign w:val="top"/>
                </w:tcPr>
                <w:p w14:paraId="76C3DFAB">
                  <w:pPr>
                    <w:pStyle w:val="37"/>
                    <w:spacing w:line="280" w:lineRule="exact"/>
                    <w:rPr>
                      <w:rFonts w:hint="eastAsia" w:ascii="Times New Roman" w:hAnsi="Times New Roman"/>
                      <w:color w:val="auto"/>
                      <w:szCs w:val="21"/>
                    </w:rPr>
                  </w:pPr>
                </w:p>
              </w:tc>
            </w:tr>
            <w:tr w14:paraId="37A4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7E5F24E">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2</w:t>
                  </w:r>
                </w:p>
              </w:tc>
              <w:tc>
                <w:tcPr>
                  <w:tcW w:w="3340" w:type="dxa"/>
                  <w:noWrap w:val="0"/>
                  <w:vAlign w:val="top"/>
                </w:tcPr>
                <w:p w14:paraId="17369931">
                  <w:pPr>
                    <w:pStyle w:val="37"/>
                    <w:spacing w:line="280" w:lineRule="exact"/>
                    <w:rPr>
                      <w:rFonts w:hint="eastAsia" w:ascii="Times New Roman" w:hAnsi="Times New Roman"/>
                      <w:color w:val="auto"/>
                      <w:szCs w:val="21"/>
                    </w:rPr>
                  </w:pPr>
                  <w:r>
                    <w:rPr>
                      <w:rFonts w:hint="eastAsia" w:ascii="Times New Roman" w:hAnsi="Times New Roman"/>
                      <w:color w:val="auto"/>
                      <w:szCs w:val="21"/>
                    </w:rPr>
                    <w:t>其中：安全文明施工费</w:t>
                  </w:r>
                </w:p>
              </w:tc>
              <w:tc>
                <w:tcPr>
                  <w:tcW w:w="1764" w:type="dxa"/>
                  <w:noWrap w:val="0"/>
                  <w:vAlign w:val="top"/>
                </w:tcPr>
                <w:p w14:paraId="28F3CACA">
                  <w:pPr>
                    <w:pStyle w:val="37"/>
                    <w:spacing w:line="280" w:lineRule="exact"/>
                    <w:rPr>
                      <w:rFonts w:hint="eastAsia" w:ascii="Times New Roman" w:hAnsi="Times New Roman"/>
                      <w:color w:val="auto"/>
                      <w:szCs w:val="21"/>
                    </w:rPr>
                  </w:pPr>
                </w:p>
              </w:tc>
              <w:tc>
                <w:tcPr>
                  <w:tcW w:w="2240" w:type="dxa"/>
                  <w:noWrap w:val="0"/>
                  <w:vAlign w:val="top"/>
                </w:tcPr>
                <w:p w14:paraId="3755835A">
                  <w:pPr>
                    <w:pStyle w:val="37"/>
                    <w:spacing w:line="280" w:lineRule="exact"/>
                    <w:rPr>
                      <w:rFonts w:hint="eastAsia" w:ascii="Times New Roman" w:hAnsi="Times New Roman"/>
                      <w:color w:val="auto"/>
                      <w:szCs w:val="21"/>
                    </w:rPr>
                  </w:pPr>
                </w:p>
              </w:tc>
              <w:tc>
                <w:tcPr>
                  <w:tcW w:w="1080" w:type="dxa"/>
                  <w:noWrap w:val="0"/>
                  <w:vAlign w:val="top"/>
                </w:tcPr>
                <w:p w14:paraId="399F0881">
                  <w:pPr>
                    <w:pStyle w:val="37"/>
                    <w:spacing w:line="280" w:lineRule="exact"/>
                    <w:rPr>
                      <w:rFonts w:hint="eastAsia" w:ascii="Times New Roman" w:hAnsi="Times New Roman"/>
                      <w:color w:val="auto"/>
                      <w:szCs w:val="21"/>
                    </w:rPr>
                  </w:pPr>
                </w:p>
              </w:tc>
            </w:tr>
            <w:tr w14:paraId="02A91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61295D6">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3</w:t>
                  </w:r>
                </w:p>
              </w:tc>
              <w:tc>
                <w:tcPr>
                  <w:tcW w:w="3340" w:type="dxa"/>
                  <w:noWrap w:val="0"/>
                  <w:vAlign w:val="top"/>
                </w:tcPr>
                <w:p w14:paraId="55AC858B">
                  <w:pPr>
                    <w:pStyle w:val="37"/>
                    <w:spacing w:line="280" w:lineRule="exact"/>
                    <w:rPr>
                      <w:rFonts w:hint="eastAsia" w:ascii="Times New Roman" w:hAnsi="Times New Roman"/>
                      <w:color w:val="auto"/>
                      <w:szCs w:val="21"/>
                    </w:rPr>
                  </w:pPr>
                  <w:r>
                    <w:rPr>
                      <w:rFonts w:hint="eastAsia" w:ascii="Times New Roman" w:hAnsi="Times New Roman"/>
                      <w:color w:val="auto"/>
                      <w:szCs w:val="21"/>
                    </w:rPr>
                    <w:t>应支付的预付款</w:t>
                  </w:r>
                </w:p>
              </w:tc>
              <w:tc>
                <w:tcPr>
                  <w:tcW w:w="1764" w:type="dxa"/>
                  <w:noWrap w:val="0"/>
                  <w:vAlign w:val="top"/>
                </w:tcPr>
                <w:p w14:paraId="1BD499BC">
                  <w:pPr>
                    <w:pStyle w:val="37"/>
                    <w:spacing w:line="280" w:lineRule="exact"/>
                    <w:rPr>
                      <w:rFonts w:hint="eastAsia" w:ascii="Times New Roman" w:hAnsi="Times New Roman"/>
                      <w:color w:val="auto"/>
                      <w:szCs w:val="21"/>
                    </w:rPr>
                  </w:pPr>
                </w:p>
              </w:tc>
              <w:tc>
                <w:tcPr>
                  <w:tcW w:w="2240" w:type="dxa"/>
                  <w:noWrap w:val="0"/>
                  <w:vAlign w:val="top"/>
                </w:tcPr>
                <w:p w14:paraId="016556F1">
                  <w:pPr>
                    <w:pStyle w:val="37"/>
                    <w:spacing w:line="280" w:lineRule="exact"/>
                    <w:rPr>
                      <w:rFonts w:hint="eastAsia" w:ascii="Times New Roman" w:hAnsi="Times New Roman"/>
                      <w:color w:val="auto"/>
                      <w:szCs w:val="21"/>
                    </w:rPr>
                  </w:pPr>
                </w:p>
              </w:tc>
              <w:tc>
                <w:tcPr>
                  <w:tcW w:w="1080" w:type="dxa"/>
                  <w:noWrap w:val="0"/>
                  <w:vAlign w:val="top"/>
                </w:tcPr>
                <w:p w14:paraId="71CA9B4A">
                  <w:pPr>
                    <w:pStyle w:val="37"/>
                    <w:spacing w:line="280" w:lineRule="exact"/>
                    <w:rPr>
                      <w:rFonts w:hint="eastAsia" w:ascii="Times New Roman" w:hAnsi="Times New Roman"/>
                      <w:color w:val="auto"/>
                      <w:szCs w:val="21"/>
                    </w:rPr>
                  </w:pPr>
                </w:p>
              </w:tc>
            </w:tr>
            <w:tr w14:paraId="25EC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2EB650F">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4</w:t>
                  </w:r>
                </w:p>
              </w:tc>
              <w:tc>
                <w:tcPr>
                  <w:tcW w:w="3340" w:type="dxa"/>
                  <w:noWrap w:val="0"/>
                  <w:vAlign w:val="top"/>
                </w:tcPr>
                <w:p w14:paraId="6848F813">
                  <w:pPr>
                    <w:pStyle w:val="37"/>
                    <w:spacing w:line="280" w:lineRule="exact"/>
                    <w:rPr>
                      <w:rFonts w:hint="eastAsia" w:ascii="Times New Roman" w:hAnsi="Times New Roman"/>
                      <w:color w:val="auto"/>
                      <w:szCs w:val="21"/>
                    </w:rPr>
                  </w:pPr>
                  <w:r>
                    <w:rPr>
                      <w:rFonts w:hint="eastAsia" w:ascii="Times New Roman" w:hAnsi="Times New Roman"/>
                      <w:color w:val="auto"/>
                      <w:szCs w:val="21"/>
                    </w:rPr>
                    <w:t>应支付的安全文明施工费预付款</w:t>
                  </w:r>
                </w:p>
              </w:tc>
              <w:tc>
                <w:tcPr>
                  <w:tcW w:w="1764" w:type="dxa"/>
                  <w:noWrap w:val="0"/>
                  <w:vAlign w:val="top"/>
                </w:tcPr>
                <w:p w14:paraId="09A1C03C">
                  <w:pPr>
                    <w:pStyle w:val="37"/>
                    <w:spacing w:line="280" w:lineRule="exact"/>
                    <w:rPr>
                      <w:rFonts w:hint="eastAsia" w:ascii="Times New Roman" w:hAnsi="Times New Roman"/>
                      <w:color w:val="auto"/>
                      <w:szCs w:val="21"/>
                    </w:rPr>
                  </w:pPr>
                </w:p>
              </w:tc>
              <w:tc>
                <w:tcPr>
                  <w:tcW w:w="2240" w:type="dxa"/>
                  <w:noWrap w:val="0"/>
                  <w:vAlign w:val="top"/>
                </w:tcPr>
                <w:p w14:paraId="69E45713">
                  <w:pPr>
                    <w:pStyle w:val="37"/>
                    <w:spacing w:line="280" w:lineRule="exact"/>
                    <w:rPr>
                      <w:rFonts w:hint="eastAsia" w:ascii="Times New Roman" w:hAnsi="Times New Roman"/>
                      <w:color w:val="auto"/>
                      <w:szCs w:val="21"/>
                    </w:rPr>
                  </w:pPr>
                </w:p>
              </w:tc>
              <w:tc>
                <w:tcPr>
                  <w:tcW w:w="1080" w:type="dxa"/>
                  <w:noWrap w:val="0"/>
                  <w:vAlign w:val="top"/>
                </w:tcPr>
                <w:p w14:paraId="31C57896">
                  <w:pPr>
                    <w:pStyle w:val="37"/>
                    <w:spacing w:line="280" w:lineRule="exact"/>
                    <w:rPr>
                      <w:rFonts w:hint="eastAsia" w:ascii="Times New Roman" w:hAnsi="Times New Roman"/>
                      <w:color w:val="auto"/>
                      <w:szCs w:val="21"/>
                    </w:rPr>
                  </w:pPr>
                </w:p>
              </w:tc>
            </w:tr>
            <w:tr w14:paraId="2C87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1CA1E3D">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5</w:t>
                  </w:r>
                </w:p>
              </w:tc>
              <w:tc>
                <w:tcPr>
                  <w:tcW w:w="3340" w:type="dxa"/>
                  <w:noWrap w:val="0"/>
                  <w:vAlign w:val="top"/>
                </w:tcPr>
                <w:p w14:paraId="3B832D1C">
                  <w:pPr>
                    <w:pStyle w:val="37"/>
                    <w:spacing w:line="280" w:lineRule="exact"/>
                    <w:rPr>
                      <w:rFonts w:hint="eastAsia" w:ascii="Times New Roman" w:hAnsi="Times New Roman"/>
                      <w:color w:val="auto"/>
                      <w:szCs w:val="21"/>
                    </w:rPr>
                  </w:pPr>
                  <w:r>
                    <w:rPr>
                      <w:rFonts w:hint="eastAsia" w:ascii="Times New Roman" w:hAnsi="Times New Roman"/>
                      <w:color w:val="auto"/>
                      <w:szCs w:val="21"/>
                    </w:rPr>
                    <w:t>合计应支付的预付款</w:t>
                  </w:r>
                </w:p>
              </w:tc>
              <w:tc>
                <w:tcPr>
                  <w:tcW w:w="1764" w:type="dxa"/>
                  <w:noWrap w:val="0"/>
                  <w:vAlign w:val="top"/>
                </w:tcPr>
                <w:p w14:paraId="75FF3BD8">
                  <w:pPr>
                    <w:pStyle w:val="37"/>
                    <w:spacing w:line="280" w:lineRule="exact"/>
                    <w:rPr>
                      <w:rFonts w:hint="eastAsia" w:ascii="Times New Roman" w:hAnsi="Times New Roman"/>
                      <w:color w:val="auto"/>
                      <w:szCs w:val="21"/>
                    </w:rPr>
                  </w:pPr>
                </w:p>
              </w:tc>
              <w:tc>
                <w:tcPr>
                  <w:tcW w:w="2240" w:type="dxa"/>
                  <w:noWrap w:val="0"/>
                  <w:vAlign w:val="top"/>
                </w:tcPr>
                <w:p w14:paraId="5BBCDD80">
                  <w:pPr>
                    <w:pStyle w:val="37"/>
                    <w:spacing w:line="280" w:lineRule="exact"/>
                    <w:rPr>
                      <w:rFonts w:hint="eastAsia" w:ascii="Times New Roman" w:hAnsi="Times New Roman"/>
                      <w:color w:val="auto"/>
                      <w:szCs w:val="21"/>
                    </w:rPr>
                  </w:pPr>
                </w:p>
              </w:tc>
              <w:tc>
                <w:tcPr>
                  <w:tcW w:w="1080" w:type="dxa"/>
                  <w:noWrap w:val="0"/>
                  <w:vAlign w:val="top"/>
                </w:tcPr>
                <w:p w14:paraId="23E88C29">
                  <w:pPr>
                    <w:pStyle w:val="37"/>
                    <w:spacing w:line="280" w:lineRule="exact"/>
                    <w:rPr>
                      <w:rFonts w:hint="eastAsia" w:ascii="Times New Roman" w:hAnsi="Times New Roman"/>
                      <w:color w:val="auto"/>
                      <w:szCs w:val="21"/>
                    </w:rPr>
                  </w:pPr>
                </w:p>
              </w:tc>
            </w:tr>
            <w:tr w14:paraId="655A4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F8E8217">
                  <w:pPr>
                    <w:pStyle w:val="37"/>
                    <w:spacing w:line="280" w:lineRule="exact"/>
                    <w:jc w:val="center"/>
                    <w:rPr>
                      <w:rFonts w:hint="eastAsia" w:ascii="Times New Roman" w:hAnsi="Times New Roman"/>
                      <w:color w:val="auto"/>
                      <w:szCs w:val="21"/>
                    </w:rPr>
                  </w:pPr>
                </w:p>
              </w:tc>
              <w:tc>
                <w:tcPr>
                  <w:tcW w:w="3340" w:type="dxa"/>
                  <w:noWrap w:val="0"/>
                  <w:vAlign w:val="top"/>
                </w:tcPr>
                <w:p w14:paraId="475CCA60">
                  <w:pPr>
                    <w:pStyle w:val="37"/>
                    <w:spacing w:line="280" w:lineRule="exact"/>
                    <w:rPr>
                      <w:rFonts w:hint="eastAsia" w:ascii="Times New Roman" w:hAnsi="Times New Roman"/>
                      <w:color w:val="auto"/>
                      <w:szCs w:val="21"/>
                    </w:rPr>
                  </w:pPr>
                </w:p>
              </w:tc>
              <w:tc>
                <w:tcPr>
                  <w:tcW w:w="1764" w:type="dxa"/>
                  <w:noWrap w:val="0"/>
                  <w:vAlign w:val="top"/>
                </w:tcPr>
                <w:p w14:paraId="584791A7">
                  <w:pPr>
                    <w:pStyle w:val="37"/>
                    <w:spacing w:line="280" w:lineRule="exact"/>
                    <w:rPr>
                      <w:rFonts w:hint="eastAsia" w:ascii="Times New Roman" w:hAnsi="Times New Roman"/>
                      <w:color w:val="auto"/>
                      <w:szCs w:val="21"/>
                    </w:rPr>
                  </w:pPr>
                </w:p>
              </w:tc>
              <w:tc>
                <w:tcPr>
                  <w:tcW w:w="2240" w:type="dxa"/>
                  <w:noWrap w:val="0"/>
                  <w:vAlign w:val="top"/>
                </w:tcPr>
                <w:p w14:paraId="5C5D1BF2">
                  <w:pPr>
                    <w:pStyle w:val="37"/>
                    <w:spacing w:line="280" w:lineRule="exact"/>
                    <w:rPr>
                      <w:rFonts w:hint="eastAsia" w:ascii="Times New Roman" w:hAnsi="Times New Roman"/>
                      <w:color w:val="auto"/>
                      <w:szCs w:val="21"/>
                    </w:rPr>
                  </w:pPr>
                </w:p>
              </w:tc>
              <w:tc>
                <w:tcPr>
                  <w:tcW w:w="1080" w:type="dxa"/>
                  <w:noWrap w:val="0"/>
                  <w:vAlign w:val="top"/>
                </w:tcPr>
                <w:p w14:paraId="084B9FC6">
                  <w:pPr>
                    <w:pStyle w:val="37"/>
                    <w:spacing w:line="280" w:lineRule="exact"/>
                    <w:rPr>
                      <w:rFonts w:hint="eastAsia" w:ascii="Times New Roman" w:hAnsi="Times New Roman"/>
                      <w:color w:val="auto"/>
                      <w:szCs w:val="21"/>
                    </w:rPr>
                  </w:pPr>
                </w:p>
              </w:tc>
            </w:tr>
          </w:tbl>
          <w:p w14:paraId="6F59F477">
            <w:pPr>
              <w:pStyle w:val="37"/>
              <w:wordWrap w:val="0"/>
              <w:spacing w:line="400" w:lineRule="exact"/>
              <w:ind w:right="420"/>
              <w:rPr>
                <w:rFonts w:hint="eastAsia" w:ascii="Times New Roman" w:hAnsi="Times New Roman"/>
                <w:color w:val="auto"/>
                <w:szCs w:val="21"/>
              </w:rPr>
            </w:pPr>
          </w:p>
          <w:p w14:paraId="190B6018">
            <w:pPr>
              <w:pStyle w:val="37"/>
              <w:wordWrap w:val="0"/>
              <w:spacing w:line="400" w:lineRule="exact"/>
              <w:ind w:right="420" w:firstLine="420" w:firstLineChars="200"/>
              <w:rPr>
                <w:rFonts w:hint="eastAsia" w:ascii="Times New Roman" w:hAnsi="Times New Roman"/>
                <w:color w:val="auto"/>
                <w:szCs w:val="21"/>
              </w:rPr>
            </w:pPr>
            <w:r>
              <w:rPr>
                <w:rFonts w:hint="eastAsia" w:ascii="Times New Roman" w:hAnsi="Times New Roman"/>
                <w:color w:val="auto"/>
                <w:szCs w:val="21"/>
              </w:rPr>
              <w:t xml:space="preserve">                                            承包人（章）             </w:t>
            </w:r>
          </w:p>
          <w:p w14:paraId="329CAB0C">
            <w:pPr>
              <w:pStyle w:val="37"/>
              <w:spacing w:line="400" w:lineRule="exact"/>
              <w:ind w:right="420" w:firstLine="420" w:firstLineChars="200"/>
              <w:rPr>
                <w:rFonts w:hint="eastAsia" w:ascii="Times New Roman" w:hAnsi="Times New Roman"/>
                <w:color w:val="auto"/>
                <w:szCs w:val="21"/>
                <w:u w:val="single"/>
              </w:rPr>
            </w:pPr>
            <w:r>
              <w:rPr>
                <w:rFonts w:hint="eastAsia" w:ascii="Times New Roman" w:hAnsi="Times New Roman"/>
                <w:color w:val="auto"/>
                <w:szCs w:val="21"/>
              </w:rPr>
              <w:t>承包人代表</w:t>
            </w:r>
            <w:r>
              <w:rPr>
                <w:rFonts w:hint="eastAsia" w:ascii="Times New Roman" w:hAnsi="Times New Roman"/>
                <w:color w:val="auto"/>
                <w:szCs w:val="21"/>
                <w:u w:val="single"/>
              </w:rPr>
              <w:t xml:space="preserve">               </w:t>
            </w:r>
          </w:p>
          <w:p w14:paraId="6F563782">
            <w:pPr>
              <w:pStyle w:val="37"/>
              <w:spacing w:line="400" w:lineRule="exact"/>
              <w:ind w:right="420" w:firstLine="420" w:firstLineChars="200"/>
              <w:rPr>
                <w:rFonts w:hint="eastAsia" w:ascii="Times New Roman" w:hAnsi="Times New Roman"/>
                <w:color w:val="auto"/>
                <w:szCs w:val="21"/>
              </w:rPr>
            </w:pPr>
            <w:r>
              <w:rPr>
                <w:rFonts w:hint="eastAsia" w:ascii="Times New Roman" w:hAnsi="Times New Roman"/>
                <w:color w:val="auto"/>
                <w:szCs w:val="21"/>
              </w:rPr>
              <w:t>日      期</w:t>
            </w:r>
            <w:r>
              <w:rPr>
                <w:rFonts w:hint="eastAsia" w:ascii="Times New Roman" w:hAnsi="Times New Roman"/>
                <w:color w:val="auto"/>
                <w:szCs w:val="21"/>
                <w:u w:val="single"/>
              </w:rPr>
              <w:t xml:space="preserve">               </w:t>
            </w:r>
          </w:p>
        </w:tc>
      </w:tr>
      <w:tr w14:paraId="0248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9185" w:type="dxa"/>
            <w:noWrap w:val="0"/>
            <w:vAlign w:val="top"/>
          </w:tcPr>
          <w:p w14:paraId="65EEAB06">
            <w:pPr>
              <w:pStyle w:val="37"/>
              <w:spacing w:line="360" w:lineRule="exact"/>
              <w:ind w:firstLine="420" w:firstLineChars="200"/>
              <w:rPr>
                <w:rFonts w:hint="eastAsia" w:ascii="Times New Roman" w:hAnsi="Times New Roman"/>
                <w:color w:val="auto"/>
                <w:szCs w:val="21"/>
              </w:rPr>
            </w:pPr>
            <w:r>
              <w:rPr>
                <w:rFonts w:hint="eastAsia" w:ascii="Times New Roman" w:hAnsi="Times New Roman"/>
                <w:color w:val="auto"/>
                <w:szCs w:val="21"/>
              </w:rPr>
              <w:t>复核意见：</w:t>
            </w:r>
          </w:p>
          <w:p w14:paraId="07C57443">
            <w:pPr>
              <w:pStyle w:val="37"/>
              <w:spacing w:line="360" w:lineRule="exact"/>
              <w:ind w:firstLine="420" w:firstLineChars="200"/>
              <w:rPr>
                <w:rFonts w:hint="eastAsia" w:ascii="Times New Roman" w:hAnsi="Times New Roman"/>
                <w:color w:val="auto"/>
                <w:szCs w:val="21"/>
              </w:rPr>
            </w:pPr>
            <w:r>
              <w:rPr>
                <w:rFonts w:hint="eastAsia" w:ascii="Times New Roman" w:hAnsi="Times New Roman"/>
                <w:color w:val="auto"/>
                <w:szCs w:val="21"/>
              </w:rPr>
              <w:t>□与合同约定不相符，修改意见见附件。</w:t>
            </w:r>
          </w:p>
          <w:p w14:paraId="7830FC85">
            <w:pPr>
              <w:pStyle w:val="37"/>
              <w:spacing w:line="360" w:lineRule="exact"/>
              <w:ind w:firstLine="420" w:firstLineChars="200"/>
              <w:rPr>
                <w:rFonts w:hint="eastAsia" w:ascii="Times New Roman" w:hAnsi="Times New Roman"/>
                <w:color w:val="auto"/>
                <w:szCs w:val="21"/>
              </w:rPr>
            </w:pPr>
            <w:r>
              <w:rPr>
                <w:rFonts w:hint="eastAsia" w:ascii="Times New Roman" w:hAnsi="Times New Roman"/>
                <w:color w:val="auto"/>
                <w:szCs w:val="21"/>
              </w:rPr>
              <w:t>□与合同约定相符，具体金额由造价工程师复核。</w:t>
            </w:r>
          </w:p>
          <w:p w14:paraId="3F56D29F">
            <w:pPr>
              <w:pStyle w:val="37"/>
              <w:spacing w:line="360" w:lineRule="exact"/>
              <w:ind w:firstLine="435"/>
              <w:jc w:val="right"/>
              <w:rPr>
                <w:rFonts w:hint="eastAsia" w:ascii="Times New Roman" w:hAnsi="Times New Roman"/>
                <w:color w:val="auto"/>
                <w:szCs w:val="21"/>
              </w:rPr>
            </w:pPr>
          </w:p>
          <w:p w14:paraId="64746830">
            <w:pPr>
              <w:pStyle w:val="37"/>
              <w:spacing w:line="360" w:lineRule="exact"/>
              <w:ind w:firstLine="420" w:firstLineChars="200"/>
              <w:jc w:val="center"/>
              <w:rPr>
                <w:rFonts w:hint="eastAsia" w:ascii="Times New Roman" w:hAnsi="Times New Roman"/>
                <w:color w:val="auto"/>
                <w:szCs w:val="21"/>
                <w:u w:val="single"/>
              </w:rPr>
            </w:pPr>
            <w:r>
              <w:rPr>
                <w:rFonts w:ascii="Times New Roman" w:hAnsi="Times New Roman"/>
                <w:color w:val="auto"/>
                <w:szCs w:val="21"/>
              </w:rPr>
              <w:t xml:space="preserve">    </w:t>
            </w:r>
            <w:r>
              <w:rPr>
                <w:rFonts w:hint="eastAsia" w:ascii="Times New Roman" w:hAnsi="Times New Roman"/>
                <w:color w:val="auto"/>
                <w:szCs w:val="21"/>
              </w:rPr>
              <w:t xml:space="preserve">     监理工程师</w:t>
            </w:r>
            <w:r>
              <w:rPr>
                <w:rFonts w:hint="eastAsia" w:ascii="Times New Roman" w:hAnsi="Times New Roman"/>
                <w:color w:val="auto"/>
                <w:szCs w:val="21"/>
                <w:u w:val="single"/>
              </w:rPr>
              <w:t xml:space="preserve">           </w:t>
            </w:r>
          </w:p>
          <w:p w14:paraId="1268F089">
            <w:pPr>
              <w:pStyle w:val="37"/>
              <w:spacing w:line="360" w:lineRule="exact"/>
              <w:ind w:firstLine="420" w:firstLineChars="200"/>
              <w:jc w:val="center"/>
              <w:rPr>
                <w:rFonts w:hint="eastAsia" w:ascii="Times New Roman" w:hAnsi="Times New Roman"/>
                <w:color w:val="auto"/>
                <w:szCs w:val="21"/>
                <w:u w:val="single"/>
              </w:rPr>
            </w:pPr>
            <w:r>
              <w:rPr>
                <w:rFonts w:ascii="Times New Roman" w:hAnsi="Times New Roman"/>
                <w:color w:val="auto"/>
                <w:szCs w:val="21"/>
              </w:rPr>
              <w:t xml:space="preserve">    </w:t>
            </w:r>
            <w:r>
              <w:rPr>
                <w:rFonts w:hint="eastAsia" w:ascii="Times New Roman" w:hAnsi="Times New Roman"/>
                <w:color w:val="auto"/>
                <w:szCs w:val="21"/>
              </w:rPr>
              <w:t xml:space="preserve">    </w:t>
            </w:r>
            <w:r>
              <w:rPr>
                <w:rFonts w:hint="eastAsia" w:ascii="Times New Roman" w:hAnsi="Times New Roman"/>
                <w:color w:val="auto"/>
                <w:szCs w:val="21"/>
                <w:lang w:val="en-US" w:eastAsia="zh-CN"/>
              </w:rPr>
              <w:t xml:space="preserve"> </w:t>
            </w:r>
            <w:r>
              <w:rPr>
                <w:rFonts w:hint="eastAsia" w:ascii="Times New Roman" w:hAnsi="Times New Roman"/>
                <w:color w:val="auto"/>
                <w:szCs w:val="21"/>
              </w:rPr>
              <w:t>日      期</w:t>
            </w:r>
            <w:r>
              <w:rPr>
                <w:rFonts w:hint="eastAsia" w:ascii="Times New Roman" w:hAnsi="Times New Roman"/>
                <w:color w:val="auto"/>
                <w:szCs w:val="21"/>
                <w:u w:val="single"/>
              </w:rPr>
              <w:t xml:space="preserve">           </w:t>
            </w:r>
          </w:p>
        </w:tc>
      </w:tr>
      <w:tr w14:paraId="1012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185" w:type="dxa"/>
            <w:noWrap w:val="0"/>
            <w:vAlign w:val="top"/>
          </w:tcPr>
          <w:p w14:paraId="35C5FD16">
            <w:pPr>
              <w:pStyle w:val="37"/>
              <w:spacing w:line="400" w:lineRule="exact"/>
              <w:ind w:firstLine="420" w:firstLineChars="200"/>
              <w:rPr>
                <w:rFonts w:hint="eastAsia" w:ascii="Times New Roman" w:hAnsi="Times New Roman"/>
                <w:color w:val="auto"/>
                <w:szCs w:val="21"/>
              </w:rPr>
            </w:pPr>
            <w:r>
              <w:rPr>
                <w:rFonts w:hint="eastAsia" w:ascii="Times New Roman" w:hAnsi="Times New Roman"/>
                <w:color w:val="auto"/>
                <w:szCs w:val="21"/>
              </w:rPr>
              <w:t>审核意见：</w:t>
            </w:r>
          </w:p>
          <w:p w14:paraId="174B6FB5">
            <w:pPr>
              <w:pStyle w:val="37"/>
              <w:spacing w:line="400" w:lineRule="exact"/>
              <w:ind w:firstLine="420" w:firstLineChars="200"/>
              <w:rPr>
                <w:rFonts w:hint="eastAsia" w:ascii="Times New Roman" w:hAnsi="Times New Roman"/>
                <w:color w:val="auto"/>
                <w:szCs w:val="21"/>
              </w:rPr>
            </w:pPr>
            <w:r>
              <w:rPr>
                <w:rFonts w:hint="eastAsia" w:ascii="Times New Roman" w:hAnsi="Times New Roman"/>
                <w:color w:val="auto"/>
                <w:szCs w:val="21"/>
              </w:rPr>
              <w:t>□不同意。</w:t>
            </w:r>
          </w:p>
          <w:p w14:paraId="1F8C34E0">
            <w:pPr>
              <w:pStyle w:val="37"/>
              <w:spacing w:line="400" w:lineRule="exact"/>
              <w:ind w:firstLine="420" w:firstLineChars="200"/>
              <w:rPr>
                <w:rFonts w:hint="eastAsia" w:ascii="Times New Roman" w:hAnsi="Times New Roman"/>
                <w:color w:val="auto"/>
                <w:szCs w:val="21"/>
              </w:rPr>
            </w:pPr>
            <w:r>
              <w:rPr>
                <w:rFonts w:hint="eastAsia" w:ascii="Times New Roman" w:hAnsi="Times New Roman"/>
                <w:color w:val="auto"/>
                <w:szCs w:val="21"/>
              </w:rPr>
              <w:t>□同意。</w:t>
            </w:r>
          </w:p>
          <w:p w14:paraId="679BA6B1">
            <w:pPr>
              <w:pStyle w:val="37"/>
              <w:wordWrap w:val="0"/>
              <w:spacing w:line="400" w:lineRule="exact"/>
              <w:ind w:firstLine="420" w:firstLineChars="200"/>
              <w:jc w:val="right"/>
              <w:rPr>
                <w:rFonts w:hint="eastAsia" w:ascii="Times New Roman" w:hAnsi="Times New Roman"/>
                <w:color w:val="auto"/>
                <w:szCs w:val="21"/>
              </w:rPr>
            </w:pPr>
            <w:r>
              <w:rPr>
                <w:rFonts w:hint="eastAsia" w:ascii="Times New Roman" w:hAnsi="Times New Roman"/>
                <w:color w:val="auto"/>
                <w:szCs w:val="21"/>
              </w:rPr>
              <w:t xml:space="preserve">发包人（章）           </w:t>
            </w:r>
          </w:p>
          <w:p w14:paraId="2CD027AF">
            <w:pPr>
              <w:pStyle w:val="37"/>
              <w:wordWrap w:val="0"/>
              <w:spacing w:line="400" w:lineRule="exact"/>
              <w:ind w:firstLine="420" w:firstLineChars="200"/>
              <w:jc w:val="right"/>
              <w:rPr>
                <w:rFonts w:hint="eastAsia" w:ascii="Times New Roman" w:hAnsi="Times New Roman"/>
                <w:color w:val="auto"/>
                <w:szCs w:val="21"/>
                <w:u w:val="single"/>
              </w:rPr>
            </w:pPr>
            <w:r>
              <w:rPr>
                <w:rFonts w:hint="eastAsia" w:ascii="Times New Roman" w:hAnsi="Times New Roman"/>
                <w:color w:val="auto"/>
                <w:szCs w:val="21"/>
              </w:rPr>
              <w:t>发包人代表</w:t>
            </w:r>
            <w:r>
              <w:rPr>
                <w:rFonts w:hint="eastAsia" w:ascii="Times New Roman" w:hAnsi="Times New Roman"/>
                <w:color w:val="auto"/>
                <w:szCs w:val="21"/>
                <w:u w:val="single"/>
              </w:rPr>
              <w:t xml:space="preserve">             </w:t>
            </w:r>
          </w:p>
          <w:p w14:paraId="40698273">
            <w:pPr>
              <w:pStyle w:val="37"/>
              <w:wordWrap w:val="0"/>
              <w:spacing w:line="400" w:lineRule="exact"/>
              <w:ind w:firstLine="420" w:firstLineChars="200"/>
              <w:jc w:val="right"/>
              <w:rPr>
                <w:rFonts w:hint="eastAsia" w:ascii="Times New Roman" w:hAnsi="Times New Roman"/>
                <w:color w:val="auto"/>
                <w:szCs w:val="21"/>
                <w:u w:val="single"/>
              </w:rPr>
            </w:pPr>
            <w:r>
              <w:rPr>
                <w:rFonts w:hint="eastAsia" w:ascii="Times New Roman" w:hAnsi="Times New Roman"/>
                <w:color w:val="auto"/>
                <w:szCs w:val="21"/>
              </w:rPr>
              <w:t>日      期</w:t>
            </w:r>
            <w:r>
              <w:rPr>
                <w:rFonts w:hint="eastAsia" w:ascii="Times New Roman" w:hAnsi="Times New Roman"/>
                <w:color w:val="auto"/>
                <w:szCs w:val="21"/>
                <w:u w:val="single"/>
              </w:rPr>
              <w:t xml:space="preserve">             </w:t>
            </w:r>
          </w:p>
        </w:tc>
      </w:tr>
    </w:tbl>
    <w:p w14:paraId="7E85D90C">
      <w:pPr>
        <w:pStyle w:val="37"/>
        <w:spacing w:before="156" w:beforeLines="50"/>
        <w:ind w:firstLine="360" w:firstLineChars="200"/>
        <w:rPr>
          <w:rFonts w:hint="eastAsia" w:ascii="Times New Roman" w:hAnsi="Times New Roman"/>
          <w:color w:val="auto"/>
          <w:sz w:val="18"/>
          <w:szCs w:val="18"/>
        </w:rPr>
      </w:pPr>
      <w:r>
        <w:rPr>
          <w:rFonts w:hint="eastAsia" w:ascii="Times New Roman" w:hAnsi="Times New Roman"/>
          <w:color w:val="auto"/>
          <w:sz w:val="18"/>
          <w:szCs w:val="18"/>
        </w:rPr>
        <w:t xml:space="preserve">注：1.在选择栏中的“□”内作标识“√”。 </w:t>
      </w:r>
    </w:p>
    <w:p w14:paraId="329FEEFB">
      <w:pPr>
        <w:pStyle w:val="37"/>
        <w:spacing w:before="156" w:beforeLines="50"/>
        <w:ind w:firstLine="540" w:firstLineChars="300"/>
        <w:rPr>
          <w:rFonts w:hint="eastAsia" w:ascii="Times New Roman" w:hAnsi="Times New Roman" w:eastAsia="仿宋_GB2312"/>
          <w:color w:val="auto"/>
          <w:sz w:val="30"/>
          <w:szCs w:val="30"/>
        </w:rPr>
      </w:pPr>
      <w:r>
        <w:rPr>
          <w:rFonts w:hint="eastAsia" w:ascii="Times New Roman" w:hAnsi="Times New Roman"/>
          <w:color w:val="auto"/>
          <w:sz w:val="18"/>
          <w:szCs w:val="18"/>
        </w:rPr>
        <w:t xml:space="preserve"> 2.本表一式</w:t>
      </w:r>
      <w:r>
        <w:rPr>
          <w:rFonts w:hint="eastAsia" w:ascii="Times New Roman" w:hAnsi="Times New Roman"/>
          <w:color w:val="auto"/>
          <w:sz w:val="18"/>
          <w:szCs w:val="18"/>
          <w:lang w:val="en-US" w:eastAsia="zh-CN"/>
        </w:rPr>
        <w:t>叁</w:t>
      </w:r>
      <w:r>
        <w:rPr>
          <w:rFonts w:hint="eastAsia" w:ascii="Times New Roman" w:hAnsi="Times New Roman"/>
          <w:color w:val="auto"/>
          <w:sz w:val="18"/>
          <w:szCs w:val="18"/>
        </w:rPr>
        <w:t>份，由承包人填报，发包人、监理人、承包人各存一份。</w:t>
      </w:r>
    </w:p>
    <w:p w14:paraId="1E168ECD">
      <w:pPr>
        <w:pStyle w:val="37"/>
        <w:spacing w:before="156" w:beforeLines="50"/>
        <w:ind w:left="1200" w:firstLine="600" w:firstLineChars="200"/>
        <w:rPr>
          <w:rFonts w:hint="eastAsia" w:ascii="Times New Roman" w:hAnsi="Times New Roman" w:eastAsia="仿宋_GB2312"/>
          <w:color w:val="auto"/>
          <w:sz w:val="30"/>
          <w:szCs w:val="30"/>
        </w:rPr>
      </w:pPr>
      <w:r>
        <w:rPr>
          <w:rFonts w:hint="eastAsia" w:ascii="Times New Roman" w:hAnsi="Times New Roman" w:eastAsia="仿宋_GB2312"/>
          <w:color w:val="auto"/>
          <w:sz w:val="30"/>
          <w:szCs w:val="30"/>
        </w:rPr>
        <w:t>附件11：</w:t>
      </w:r>
    </w:p>
    <w:p w14:paraId="7D04DE06">
      <w:pPr>
        <w:pStyle w:val="37"/>
        <w:ind w:firstLine="723" w:firstLineChars="200"/>
        <w:jc w:val="center"/>
        <w:rPr>
          <w:rFonts w:hint="eastAsia" w:ascii="Times New Roman" w:hAnsi="Times New Roman"/>
          <w:b/>
          <w:color w:val="auto"/>
          <w:sz w:val="36"/>
          <w:szCs w:val="36"/>
        </w:rPr>
      </w:pPr>
      <w:r>
        <w:rPr>
          <w:rFonts w:hint="eastAsia" w:ascii="Times New Roman" w:hAnsi="Times New Roman"/>
          <w:b/>
          <w:color w:val="auto"/>
          <w:sz w:val="36"/>
          <w:szCs w:val="36"/>
        </w:rPr>
        <w:t>进度款支付申请（核准）表</w:t>
      </w:r>
    </w:p>
    <w:p w14:paraId="5A023E15">
      <w:pPr>
        <w:pStyle w:val="37"/>
        <w:ind w:firstLine="480" w:firstLineChars="200"/>
        <w:rPr>
          <w:rFonts w:hint="eastAsia" w:ascii="Times New Roman" w:hAnsi="Times New Roman"/>
          <w:color w:val="auto"/>
          <w:sz w:val="24"/>
          <w:szCs w:val="24"/>
        </w:rPr>
      </w:pPr>
      <w:r>
        <w:rPr>
          <w:rFonts w:hint="eastAsia" w:ascii="Times New Roman" w:hAnsi="Times New Roman"/>
          <w:color w:val="auto"/>
          <w:sz w:val="24"/>
          <w:szCs w:val="24"/>
        </w:rPr>
        <w:t>工程名称：                                             编号：</w:t>
      </w:r>
    </w:p>
    <w:tbl>
      <w:tblPr>
        <w:tblStyle w:val="2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2CB4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noWrap w:val="0"/>
            <w:vAlign w:val="top"/>
          </w:tcPr>
          <w:p w14:paraId="7B1A4E9C">
            <w:pPr>
              <w:pStyle w:val="37"/>
              <w:spacing w:line="480" w:lineRule="exact"/>
              <w:ind w:left="313" w:leftChars="149" w:firstLine="420" w:firstLineChars="200"/>
              <w:rPr>
                <w:rFonts w:hint="eastAsia" w:ascii="Times New Roman" w:hAnsi="Times New Roman"/>
                <w:color w:val="auto"/>
                <w:szCs w:val="21"/>
                <w:u w:val="single"/>
              </w:rPr>
            </w:pPr>
            <w:r>
              <w:rPr>
                <w:rFonts w:hint="eastAsia" w:ascii="Times New Roman" w:hAnsi="Times New Roman"/>
                <w:color w:val="auto"/>
                <w:szCs w:val="21"/>
              </w:rPr>
              <w:t>致：</w:t>
            </w:r>
            <w:r>
              <w:rPr>
                <w:rFonts w:hint="eastAsia" w:ascii="Times New Roman" w:hAnsi="Times New Roman"/>
                <w:color w:val="auto"/>
                <w:szCs w:val="21"/>
                <w:u w:val="single"/>
              </w:rPr>
              <w:t xml:space="preserve">                                   （发包人全称）</w:t>
            </w:r>
          </w:p>
          <w:p w14:paraId="00F91AB0">
            <w:pPr>
              <w:pStyle w:val="37"/>
              <w:spacing w:line="400" w:lineRule="exact"/>
              <w:ind w:left="-4" w:leftChars="-2" w:firstLine="420" w:firstLineChars="200"/>
              <w:rPr>
                <w:rFonts w:hint="eastAsia" w:ascii="Times New Roman" w:hAnsi="Times New Roman"/>
                <w:color w:val="auto"/>
                <w:szCs w:val="21"/>
              </w:rPr>
            </w:pPr>
            <w:r>
              <w:rPr>
                <w:rFonts w:hint="eastAsia" w:ascii="Times New Roman" w:hAnsi="Times New Roman"/>
                <w:color w:val="auto"/>
                <w:szCs w:val="21"/>
              </w:rPr>
              <w:t>我方于</w:t>
            </w:r>
            <w:r>
              <w:rPr>
                <w:rFonts w:hint="eastAsia" w:ascii="Times New Roman" w:hAnsi="Times New Roman"/>
                <w:color w:val="auto"/>
                <w:szCs w:val="21"/>
                <w:u w:val="single"/>
              </w:rPr>
              <w:t xml:space="preserve">         </w:t>
            </w:r>
            <w:r>
              <w:rPr>
                <w:rFonts w:hint="eastAsia" w:ascii="Times New Roman" w:hAnsi="Times New Roman"/>
                <w:color w:val="auto"/>
                <w:szCs w:val="21"/>
              </w:rPr>
              <w:t>至</w:t>
            </w:r>
            <w:r>
              <w:rPr>
                <w:rFonts w:hint="eastAsia" w:ascii="Times New Roman" w:hAnsi="Times New Roman"/>
                <w:color w:val="auto"/>
                <w:szCs w:val="21"/>
                <w:u w:val="single"/>
              </w:rPr>
              <w:t xml:space="preserve">          </w:t>
            </w:r>
            <w:r>
              <w:rPr>
                <w:rFonts w:hint="eastAsia" w:ascii="Times New Roman" w:hAnsi="Times New Roman"/>
                <w:color w:val="auto"/>
                <w:szCs w:val="21"/>
              </w:rPr>
              <w:t>期间已完成了</w:t>
            </w:r>
            <w:r>
              <w:rPr>
                <w:rFonts w:hint="eastAsia" w:ascii="Times New Roman" w:hAnsi="Times New Roman"/>
                <w:color w:val="auto"/>
                <w:szCs w:val="21"/>
                <w:u w:val="single"/>
              </w:rPr>
              <w:t xml:space="preserve">               </w:t>
            </w:r>
            <w:r>
              <w:rPr>
                <w:rFonts w:hint="eastAsia" w:ascii="Times New Roman" w:hAnsi="Times New Roman"/>
                <w:color w:val="auto"/>
                <w:szCs w:val="21"/>
              </w:rPr>
              <w:t>工作，根据施工合同的约定，现申请支付本期的合同款额为</w:t>
            </w:r>
            <w:r>
              <w:rPr>
                <w:rFonts w:hint="eastAsia" w:ascii="Times New Roman" w:hAnsi="Times New Roman"/>
                <w:color w:val="auto"/>
                <w:szCs w:val="21"/>
                <w:lang w:eastAsia="zh-CN"/>
              </w:rPr>
              <w:t>（</w:t>
            </w:r>
            <w:r>
              <w:rPr>
                <w:rFonts w:hint="eastAsia" w:ascii="Times New Roman" w:hAnsi="Times New Roman"/>
                <w:color w:val="auto"/>
                <w:szCs w:val="21"/>
              </w:rPr>
              <w:t>大写</w:t>
            </w:r>
            <w:r>
              <w:rPr>
                <w:rFonts w:hint="eastAsia" w:ascii="Times New Roman" w:hAnsi="Times New Roman"/>
                <w:color w:val="auto"/>
                <w:szCs w:val="21"/>
                <w:lang w:eastAsia="zh-CN"/>
              </w:rPr>
              <w:t>）</w:t>
            </w:r>
            <w:r>
              <w:rPr>
                <w:rFonts w:hint="eastAsia" w:ascii="Times New Roman" w:hAnsi="Times New Roman"/>
                <w:color w:val="auto"/>
                <w:szCs w:val="21"/>
                <w:u w:val="single"/>
              </w:rPr>
              <w:t xml:space="preserve">            </w:t>
            </w:r>
            <w:r>
              <w:rPr>
                <w:rFonts w:hint="eastAsia" w:ascii="Times New Roman" w:hAnsi="Times New Roman"/>
                <w:color w:val="auto"/>
                <w:szCs w:val="21"/>
              </w:rPr>
              <w:t>元，</w:t>
            </w:r>
            <w:r>
              <w:rPr>
                <w:rFonts w:hint="eastAsia" w:ascii="Times New Roman" w:hAnsi="Times New Roman"/>
                <w:color w:val="auto"/>
                <w:szCs w:val="21"/>
                <w:lang w:eastAsia="zh-CN"/>
              </w:rPr>
              <w:t>（</w:t>
            </w:r>
            <w:r>
              <w:rPr>
                <w:rFonts w:hint="eastAsia" w:ascii="Times New Roman" w:hAnsi="Times New Roman"/>
                <w:color w:val="auto"/>
                <w:szCs w:val="21"/>
              </w:rPr>
              <w:t>小写</w:t>
            </w:r>
            <w:r>
              <w:rPr>
                <w:rFonts w:hint="eastAsia" w:ascii="Times New Roman" w:hAnsi="Times New Roman"/>
                <w:color w:val="auto"/>
                <w:szCs w:val="21"/>
                <w:lang w:eastAsia="zh-CN"/>
              </w:rPr>
              <w:t>）</w:t>
            </w:r>
            <w:r>
              <w:rPr>
                <w:rFonts w:hint="eastAsia" w:ascii="Times New Roman" w:hAnsi="Times New Roman"/>
                <w:color w:val="auto"/>
                <w:szCs w:val="21"/>
                <w:u w:val="single"/>
              </w:rPr>
              <w:t xml:space="preserve">         </w:t>
            </w:r>
            <w:r>
              <w:rPr>
                <w:rFonts w:hint="eastAsia" w:ascii="Times New Roman" w:hAnsi="Times New Roman"/>
                <w:color w:val="auto"/>
                <w:szCs w:val="21"/>
              </w:rPr>
              <w:t>元，请予核准。</w:t>
            </w:r>
          </w:p>
          <w:tbl>
            <w:tblPr>
              <w:tblStyle w:val="22"/>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276"/>
              <w:gridCol w:w="1328"/>
              <w:gridCol w:w="1426"/>
              <w:gridCol w:w="1250"/>
              <w:gridCol w:w="919"/>
            </w:tblGrid>
            <w:tr w14:paraId="42B39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4" w:type="dxa"/>
                  <w:noWrap w:val="0"/>
                  <w:vAlign w:val="center"/>
                </w:tcPr>
                <w:p w14:paraId="3A42BAC4">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序号</w:t>
                  </w:r>
                </w:p>
              </w:tc>
              <w:tc>
                <w:tcPr>
                  <w:tcW w:w="3276" w:type="dxa"/>
                  <w:noWrap w:val="0"/>
                  <w:vAlign w:val="center"/>
                </w:tcPr>
                <w:p w14:paraId="26D8272B">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名      称</w:t>
                  </w:r>
                </w:p>
              </w:tc>
              <w:tc>
                <w:tcPr>
                  <w:tcW w:w="1328" w:type="dxa"/>
                  <w:noWrap w:val="0"/>
                  <w:vAlign w:val="center"/>
                </w:tcPr>
                <w:p w14:paraId="2328A232">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实际金额（元）</w:t>
                  </w:r>
                </w:p>
              </w:tc>
              <w:tc>
                <w:tcPr>
                  <w:tcW w:w="1426" w:type="dxa"/>
                  <w:noWrap w:val="0"/>
                  <w:vAlign w:val="center"/>
                </w:tcPr>
                <w:p w14:paraId="214DA6EB">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申请金额（元）</w:t>
                  </w:r>
                </w:p>
              </w:tc>
              <w:tc>
                <w:tcPr>
                  <w:tcW w:w="1250" w:type="dxa"/>
                  <w:noWrap w:val="0"/>
                  <w:vAlign w:val="center"/>
                </w:tcPr>
                <w:p w14:paraId="6BE7A68B">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复核金额（元）</w:t>
                  </w:r>
                </w:p>
              </w:tc>
              <w:tc>
                <w:tcPr>
                  <w:tcW w:w="919" w:type="dxa"/>
                  <w:noWrap w:val="0"/>
                  <w:vAlign w:val="center"/>
                </w:tcPr>
                <w:p w14:paraId="705AF3C6">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备注</w:t>
                  </w:r>
                </w:p>
              </w:tc>
            </w:tr>
            <w:tr w14:paraId="7A21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top"/>
                </w:tcPr>
                <w:p w14:paraId="34BBEED0">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1</w:t>
                  </w:r>
                </w:p>
              </w:tc>
              <w:tc>
                <w:tcPr>
                  <w:tcW w:w="3276" w:type="dxa"/>
                  <w:noWrap w:val="0"/>
                  <w:vAlign w:val="top"/>
                </w:tcPr>
                <w:p w14:paraId="12A9B6DE">
                  <w:pPr>
                    <w:pStyle w:val="37"/>
                    <w:spacing w:line="280" w:lineRule="exact"/>
                    <w:rPr>
                      <w:rFonts w:hint="eastAsia" w:ascii="Times New Roman" w:hAnsi="Times New Roman"/>
                      <w:color w:val="auto"/>
                      <w:szCs w:val="21"/>
                    </w:rPr>
                  </w:pPr>
                  <w:r>
                    <w:rPr>
                      <w:rFonts w:hint="eastAsia" w:ascii="Times New Roman" w:hAnsi="Times New Roman"/>
                      <w:color w:val="auto"/>
                      <w:szCs w:val="21"/>
                    </w:rPr>
                    <w:t>累计已完成的工程价款</w:t>
                  </w:r>
                </w:p>
              </w:tc>
              <w:tc>
                <w:tcPr>
                  <w:tcW w:w="1328" w:type="dxa"/>
                  <w:noWrap w:val="0"/>
                  <w:vAlign w:val="top"/>
                </w:tcPr>
                <w:p w14:paraId="65FE1415">
                  <w:pPr>
                    <w:pStyle w:val="37"/>
                    <w:spacing w:line="280" w:lineRule="exact"/>
                    <w:rPr>
                      <w:rFonts w:hint="eastAsia" w:ascii="Times New Roman" w:hAnsi="Times New Roman"/>
                      <w:color w:val="auto"/>
                      <w:szCs w:val="21"/>
                    </w:rPr>
                  </w:pPr>
                </w:p>
              </w:tc>
              <w:tc>
                <w:tcPr>
                  <w:tcW w:w="1426" w:type="dxa"/>
                  <w:noWrap w:val="0"/>
                  <w:vAlign w:val="top"/>
                </w:tcPr>
                <w:p w14:paraId="3624244A">
                  <w:pPr>
                    <w:pStyle w:val="37"/>
                    <w:spacing w:line="280" w:lineRule="exact"/>
                    <w:rPr>
                      <w:rFonts w:hint="eastAsia" w:ascii="Times New Roman" w:hAnsi="Times New Roman"/>
                      <w:color w:val="auto"/>
                      <w:szCs w:val="21"/>
                    </w:rPr>
                  </w:pPr>
                </w:p>
              </w:tc>
              <w:tc>
                <w:tcPr>
                  <w:tcW w:w="1250" w:type="dxa"/>
                  <w:noWrap w:val="0"/>
                  <w:vAlign w:val="top"/>
                </w:tcPr>
                <w:p w14:paraId="33C7DA7E">
                  <w:pPr>
                    <w:pStyle w:val="37"/>
                    <w:spacing w:line="280" w:lineRule="exact"/>
                    <w:rPr>
                      <w:rFonts w:hint="eastAsia" w:ascii="Times New Roman" w:hAnsi="Times New Roman"/>
                      <w:color w:val="auto"/>
                      <w:szCs w:val="21"/>
                    </w:rPr>
                  </w:pPr>
                </w:p>
              </w:tc>
              <w:tc>
                <w:tcPr>
                  <w:tcW w:w="919" w:type="dxa"/>
                  <w:noWrap w:val="0"/>
                  <w:vAlign w:val="top"/>
                </w:tcPr>
                <w:p w14:paraId="32D05D2E">
                  <w:pPr>
                    <w:pStyle w:val="37"/>
                    <w:spacing w:line="280" w:lineRule="exact"/>
                    <w:rPr>
                      <w:rFonts w:hint="eastAsia" w:ascii="Times New Roman" w:hAnsi="Times New Roman"/>
                      <w:color w:val="auto"/>
                      <w:szCs w:val="21"/>
                    </w:rPr>
                  </w:pPr>
                </w:p>
              </w:tc>
            </w:tr>
            <w:tr w14:paraId="30CA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top"/>
                </w:tcPr>
                <w:p w14:paraId="56B75095">
                  <w:pPr>
                    <w:pStyle w:val="37"/>
                    <w:spacing w:line="280" w:lineRule="exact"/>
                    <w:jc w:val="center"/>
                    <w:rPr>
                      <w:rFonts w:hint="eastAsia" w:ascii="Times New Roman" w:hAnsi="Times New Roman"/>
                      <w:color w:val="auto"/>
                      <w:szCs w:val="21"/>
                    </w:rPr>
                  </w:pPr>
                </w:p>
              </w:tc>
              <w:tc>
                <w:tcPr>
                  <w:tcW w:w="3276" w:type="dxa"/>
                  <w:noWrap w:val="0"/>
                  <w:vAlign w:val="top"/>
                </w:tcPr>
                <w:p w14:paraId="64727471">
                  <w:pPr>
                    <w:pStyle w:val="37"/>
                    <w:spacing w:line="280" w:lineRule="exact"/>
                    <w:rPr>
                      <w:rFonts w:hint="eastAsia" w:ascii="Times New Roman" w:hAnsi="Times New Roman"/>
                      <w:color w:val="auto"/>
                      <w:szCs w:val="21"/>
                    </w:rPr>
                  </w:pPr>
                  <w:r>
                    <w:rPr>
                      <w:rFonts w:hint="eastAsia" w:ascii="Times New Roman" w:hAnsi="Times New Roman"/>
                      <w:color w:val="auto"/>
                      <w:szCs w:val="21"/>
                    </w:rPr>
                    <w:t>其中：人工费</w:t>
                  </w:r>
                </w:p>
              </w:tc>
              <w:tc>
                <w:tcPr>
                  <w:tcW w:w="1328" w:type="dxa"/>
                  <w:noWrap w:val="0"/>
                  <w:vAlign w:val="top"/>
                </w:tcPr>
                <w:p w14:paraId="04E5145C">
                  <w:pPr>
                    <w:pStyle w:val="37"/>
                    <w:spacing w:line="280" w:lineRule="exact"/>
                    <w:rPr>
                      <w:rFonts w:hint="eastAsia" w:ascii="Times New Roman" w:hAnsi="Times New Roman"/>
                      <w:color w:val="auto"/>
                      <w:szCs w:val="21"/>
                    </w:rPr>
                  </w:pPr>
                </w:p>
              </w:tc>
              <w:tc>
                <w:tcPr>
                  <w:tcW w:w="1426" w:type="dxa"/>
                  <w:noWrap w:val="0"/>
                  <w:vAlign w:val="top"/>
                </w:tcPr>
                <w:p w14:paraId="6199E305">
                  <w:pPr>
                    <w:pStyle w:val="37"/>
                    <w:spacing w:line="280" w:lineRule="exact"/>
                    <w:rPr>
                      <w:rFonts w:hint="eastAsia" w:ascii="Times New Roman" w:hAnsi="Times New Roman"/>
                      <w:color w:val="auto"/>
                      <w:szCs w:val="21"/>
                    </w:rPr>
                  </w:pPr>
                </w:p>
              </w:tc>
              <w:tc>
                <w:tcPr>
                  <w:tcW w:w="1250" w:type="dxa"/>
                  <w:noWrap w:val="0"/>
                  <w:vAlign w:val="top"/>
                </w:tcPr>
                <w:p w14:paraId="32693C41">
                  <w:pPr>
                    <w:pStyle w:val="37"/>
                    <w:spacing w:line="280" w:lineRule="exact"/>
                    <w:rPr>
                      <w:rFonts w:hint="eastAsia" w:ascii="Times New Roman" w:hAnsi="Times New Roman"/>
                      <w:color w:val="auto"/>
                      <w:szCs w:val="21"/>
                    </w:rPr>
                  </w:pPr>
                </w:p>
              </w:tc>
              <w:tc>
                <w:tcPr>
                  <w:tcW w:w="919" w:type="dxa"/>
                  <w:noWrap w:val="0"/>
                  <w:vAlign w:val="top"/>
                </w:tcPr>
                <w:p w14:paraId="6383C26E">
                  <w:pPr>
                    <w:pStyle w:val="37"/>
                    <w:spacing w:line="280" w:lineRule="exact"/>
                    <w:rPr>
                      <w:rFonts w:hint="eastAsia" w:ascii="Times New Roman" w:hAnsi="Times New Roman"/>
                      <w:color w:val="auto"/>
                      <w:szCs w:val="21"/>
                    </w:rPr>
                  </w:pPr>
                </w:p>
              </w:tc>
            </w:tr>
            <w:tr w14:paraId="6EA9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top"/>
                </w:tcPr>
                <w:p w14:paraId="48394F3F">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2</w:t>
                  </w:r>
                </w:p>
              </w:tc>
              <w:tc>
                <w:tcPr>
                  <w:tcW w:w="3276" w:type="dxa"/>
                  <w:noWrap w:val="0"/>
                  <w:vAlign w:val="top"/>
                </w:tcPr>
                <w:p w14:paraId="389CAFAC">
                  <w:pPr>
                    <w:pStyle w:val="37"/>
                    <w:spacing w:line="280" w:lineRule="exact"/>
                    <w:rPr>
                      <w:rFonts w:hint="eastAsia" w:ascii="Times New Roman" w:hAnsi="Times New Roman"/>
                      <w:color w:val="auto"/>
                      <w:szCs w:val="21"/>
                    </w:rPr>
                  </w:pPr>
                  <w:r>
                    <w:rPr>
                      <w:rFonts w:hint="eastAsia" w:ascii="Times New Roman" w:hAnsi="Times New Roman"/>
                      <w:color w:val="auto"/>
                      <w:szCs w:val="21"/>
                    </w:rPr>
                    <w:t>累计已实际支付的工程价款</w:t>
                  </w:r>
                </w:p>
              </w:tc>
              <w:tc>
                <w:tcPr>
                  <w:tcW w:w="1328" w:type="dxa"/>
                  <w:noWrap w:val="0"/>
                  <w:vAlign w:val="top"/>
                </w:tcPr>
                <w:p w14:paraId="45F0B92A">
                  <w:pPr>
                    <w:pStyle w:val="37"/>
                    <w:spacing w:line="280" w:lineRule="exact"/>
                    <w:rPr>
                      <w:rFonts w:hint="eastAsia" w:ascii="Times New Roman" w:hAnsi="Times New Roman"/>
                      <w:color w:val="auto"/>
                      <w:szCs w:val="21"/>
                    </w:rPr>
                  </w:pPr>
                </w:p>
              </w:tc>
              <w:tc>
                <w:tcPr>
                  <w:tcW w:w="1426" w:type="dxa"/>
                  <w:noWrap w:val="0"/>
                  <w:vAlign w:val="top"/>
                </w:tcPr>
                <w:p w14:paraId="174871F3">
                  <w:pPr>
                    <w:pStyle w:val="37"/>
                    <w:spacing w:line="280" w:lineRule="exact"/>
                    <w:rPr>
                      <w:rFonts w:hint="eastAsia" w:ascii="Times New Roman" w:hAnsi="Times New Roman"/>
                      <w:color w:val="auto"/>
                      <w:szCs w:val="21"/>
                    </w:rPr>
                  </w:pPr>
                </w:p>
              </w:tc>
              <w:tc>
                <w:tcPr>
                  <w:tcW w:w="1250" w:type="dxa"/>
                  <w:noWrap w:val="0"/>
                  <w:vAlign w:val="top"/>
                </w:tcPr>
                <w:p w14:paraId="20240DC5">
                  <w:pPr>
                    <w:pStyle w:val="37"/>
                    <w:spacing w:line="280" w:lineRule="exact"/>
                    <w:rPr>
                      <w:rFonts w:hint="eastAsia" w:ascii="Times New Roman" w:hAnsi="Times New Roman"/>
                      <w:color w:val="auto"/>
                      <w:szCs w:val="21"/>
                    </w:rPr>
                  </w:pPr>
                </w:p>
              </w:tc>
              <w:tc>
                <w:tcPr>
                  <w:tcW w:w="919" w:type="dxa"/>
                  <w:noWrap w:val="0"/>
                  <w:vAlign w:val="top"/>
                </w:tcPr>
                <w:p w14:paraId="75D38F1C">
                  <w:pPr>
                    <w:pStyle w:val="37"/>
                    <w:spacing w:line="280" w:lineRule="exact"/>
                    <w:rPr>
                      <w:rFonts w:hint="eastAsia" w:ascii="Times New Roman" w:hAnsi="Times New Roman"/>
                      <w:color w:val="auto"/>
                      <w:szCs w:val="21"/>
                    </w:rPr>
                  </w:pPr>
                </w:p>
              </w:tc>
            </w:tr>
            <w:tr w14:paraId="4013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top"/>
                </w:tcPr>
                <w:p w14:paraId="460AE5C2">
                  <w:pPr>
                    <w:pStyle w:val="37"/>
                    <w:spacing w:line="280" w:lineRule="exact"/>
                    <w:jc w:val="center"/>
                    <w:rPr>
                      <w:rFonts w:hint="eastAsia" w:ascii="Times New Roman" w:hAnsi="Times New Roman"/>
                      <w:color w:val="auto"/>
                      <w:szCs w:val="21"/>
                    </w:rPr>
                  </w:pPr>
                </w:p>
              </w:tc>
              <w:tc>
                <w:tcPr>
                  <w:tcW w:w="3276" w:type="dxa"/>
                  <w:noWrap w:val="0"/>
                  <w:vAlign w:val="top"/>
                </w:tcPr>
                <w:p w14:paraId="5CD243C6">
                  <w:pPr>
                    <w:pStyle w:val="37"/>
                    <w:spacing w:line="280" w:lineRule="exact"/>
                    <w:rPr>
                      <w:rFonts w:hint="eastAsia" w:ascii="Times New Roman" w:hAnsi="Times New Roman"/>
                      <w:color w:val="auto"/>
                      <w:szCs w:val="21"/>
                    </w:rPr>
                  </w:pPr>
                  <w:r>
                    <w:rPr>
                      <w:rFonts w:hint="eastAsia" w:ascii="Times New Roman" w:hAnsi="Times New Roman"/>
                      <w:color w:val="auto"/>
                      <w:szCs w:val="21"/>
                    </w:rPr>
                    <w:t>其中：人工费</w:t>
                  </w:r>
                </w:p>
              </w:tc>
              <w:tc>
                <w:tcPr>
                  <w:tcW w:w="1328" w:type="dxa"/>
                  <w:noWrap w:val="0"/>
                  <w:vAlign w:val="top"/>
                </w:tcPr>
                <w:p w14:paraId="2B98EE68">
                  <w:pPr>
                    <w:pStyle w:val="37"/>
                    <w:spacing w:line="280" w:lineRule="exact"/>
                    <w:rPr>
                      <w:rFonts w:hint="eastAsia" w:ascii="Times New Roman" w:hAnsi="Times New Roman"/>
                      <w:color w:val="auto"/>
                      <w:szCs w:val="21"/>
                    </w:rPr>
                  </w:pPr>
                </w:p>
              </w:tc>
              <w:tc>
                <w:tcPr>
                  <w:tcW w:w="1426" w:type="dxa"/>
                  <w:noWrap w:val="0"/>
                  <w:vAlign w:val="top"/>
                </w:tcPr>
                <w:p w14:paraId="28C21D88">
                  <w:pPr>
                    <w:pStyle w:val="37"/>
                    <w:spacing w:line="280" w:lineRule="exact"/>
                    <w:rPr>
                      <w:rFonts w:hint="eastAsia" w:ascii="Times New Roman" w:hAnsi="Times New Roman"/>
                      <w:color w:val="auto"/>
                      <w:szCs w:val="21"/>
                    </w:rPr>
                  </w:pPr>
                </w:p>
              </w:tc>
              <w:tc>
                <w:tcPr>
                  <w:tcW w:w="1250" w:type="dxa"/>
                  <w:noWrap w:val="0"/>
                  <w:vAlign w:val="top"/>
                </w:tcPr>
                <w:p w14:paraId="2F86F011">
                  <w:pPr>
                    <w:pStyle w:val="37"/>
                    <w:spacing w:line="280" w:lineRule="exact"/>
                    <w:rPr>
                      <w:rFonts w:hint="eastAsia" w:ascii="Times New Roman" w:hAnsi="Times New Roman"/>
                      <w:color w:val="auto"/>
                      <w:szCs w:val="21"/>
                    </w:rPr>
                  </w:pPr>
                </w:p>
              </w:tc>
              <w:tc>
                <w:tcPr>
                  <w:tcW w:w="919" w:type="dxa"/>
                  <w:noWrap w:val="0"/>
                  <w:vAlign w:val="top"/>
                </w:tcPr>
                <w:p w14:paraId="7889677B">
                  <w:pPr>
                    <w:pStyle w:val="37"/>
                    <w:spacing w:line="280" w:lineRule="exact"/>
                    <w:rPr>
                      <w:rFonts w:hint="eastAsia" w:ascii="Times New Roman" w:hAnsi="Times New Roman"/>
                      <w:color w:val="auto"/>
                      <w:szCs w:val="21"/>
                    </w:rPr>
                  </w:pPr>
                </w:p>
              </w:tc>
            </w:tr>
            <w:tr w14:paraId="10C51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top"/>
                </w:tcPr>
                <w:p w14:paraId="35716A77">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3</w:t>
                  </w:r>
                </w:p>
              </w:tc>
              <w:tc>
                <w:tcPr>
                  <w:tcW w:w="3276" w:type="dxa"/>
                  <w:noWrap w:val="0"/>
                  <w:vAlign w:val="top"/>
                </w:tcPr>
                <w:p w14:paraId="719E0488">
                  <w:pPr>
                    <w:pStyle w:val="37"/>
                    <w:spacing w:line="280" w:lineRule="exact"/>
                    <w:rPr>
                      <w:rFonts w:hint="eastAsia" w:ascii="Times New Roman" w:hAnsi="Times New Roman"/>
                      <w:color w:val="auto"/>
                      <w:szCs w:val="21"/>
                    </w:rPr>
                  </w:pPr>
                  <w:r>
                    <w:rPr>
                      <w:rFonts w:hint="eastAsia" w:ascii="Times New Roman" w:hAnsi="Times New Roman"/>
                      <w:color w:val="auto"/>
                      <w:szCs w:val="21"/>
                    </w:rPr>
                    <w:t>本周期已完成的工程价款</w:t>
                  </w:r>
                </w:p>
              </w:tc>
              <w:tc>
                <w:tcPr>
                  <w:tcW w:w="1328" w:type="dxa"/>
                  <w:noWrap w:val="0"/>
                  <w:vAlign w:val="top"/>
                </w:tcPr>
                <w:p w14:paraId="0BD540B4">
                  <w:pPr>
                    <w:pStyle w:val="37"/>
                    <w:spacing w:line="280" w:lineRule="exact"/>
                    <w:rPr>
                      <w:rFonts w:hint="eastAsia" w:ascii="Times New Roman" w:hAnsi="Times New Roman"/>
                      <w:color w:val="auto"/>
                      <w:szCs w:val="21"/>
                    </w:rPr>
                  </w:pPr>
                </w:p>
              </w:tc>
              <w:tc>
                <w:tcPr>
                  <w:tcW w:w="1426" w:type="dxa"/>
                  <w:noWrap w:val="0"/>
                  <w:vAlign w:val="top"/>
                </w:tcPr>
                <w:p w14:paraId="578624E0">
                  <w:pPr>
                    <w:pStyle w:val="37"/>
                    <w:spacing w:line="280" w:lineRule="exact"/>
                    <w:rPr>
                      <w:rFonts w:hint="eastAsia" w:ascii="Times New Roman" w:hAnsi="Times New Roman"/>
                      <w:color w:val="auto"/>
                      <w:szCs w:val="21"/>
                    </w:rPr>
                  </w:pPr>
                </w:p>
              </w:tc>
              <w:tc>
                <w:tcPr>
                  <w:tcW w:w="1250" w:type="dxa"/>
                  <w:noWrap w:val="0"/>
                  <w:vAlign w:val="top"/>
                </w:tcPr>
                <w:p w14:paraId="2A61701E">
                  <w:pPr>
                    <w:pStyle w:val="37"/>
                    <w:spacing w:line="280" w:lineRule="exact"/>
                    <w:rPr>
                      <w:rFonts w:hint="eastAsia" w:ascii="Times New Roman" w:hAnsi="Times New Roman"/>
                      <w:color w:val="auto"/>
                      <w:szCs w:val="21"/>
                    </w:rPr>
                  </w:pPr>
                </w:p>
              </w:tc>
              <w:tc>
                <w:tcPr>
                  <w:tcW w:w="919" w:type="dxa"/>
                  <w:noWrap w:val="0"/>
                  <w:vAlign w:val="top"/>
                </w:tcPr>
                <w:p w14:paraId="5976665A">
                  <w:pPr>
                    <w:pStyle w:val="37"/>
                    <w:spacing w:line="280" w:lineRule="exact"/>
                    <w:rPr>
                      <w:rFonts w:hint="eastAsia" w:ascii="Times New Roman" w:hAnsi="Times New Roman"/>
                      <w:color w:val="auto"/>
                      <w:szCs w:val="21"/>
                    </w:rPr>
                  </w:pPr>
                </w:p>
              </w:tc>
            </w:tr>
            <w:tr w14:paraId="1A52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top"/>
                </w:tcPr>
                <w:p w14:paraId="25BCC599">
                  <w:pPr>
                    <w:pStyle w:val="37"/>
                    <w:spacing w:line="280" w:lineRule="exact"/>
                    <w:jc w:val="center"/>
                    <w:rPr>
                      <w:rFonts w:hint="eastAsia" w:ascii="Times New Roman" w:hAnsi="Times New Roman"/>
                      <w:color w:val="auto"/>
                      <w:szCs w:val="21"/>
                    </w:rPr>
                  </w:pPr>
                </w:p>
              </w:tc>
              <w:tc>
                <w:tcPr>
                  <w:tcW w:w="3276" w:type="dxa"/>
                  <w:noWrap w:val="0"/>
                  <w:vAlign w:val="top"/>
                </w:tcPr>
                <w:p w14:paraId="0E17287C">
                  <w:pPr>
                    <w:pStyle w:val="37"/>
                    <w:spacing w:line="280" w:lineRule="exact"/>
                    <w:rPr>
                      <w:rFonts w:hint="eastAsia" w:ascii="Times New Roman" w:hAnsi="Times New Roman"/>
                      <w:color w:val="auto"/>
                      <w:szCs w:val="21"/>
                    </w:rPr>
                  </w:pPr>
                  <w:r>
                    <w:rPr>
                      <w:rFonts w:hint="eastAsia" w:ascii="Times New Roman" w:hAnsi="Times New Roman"/>
                      <w:color w:val="auto"/>
                      <w:szCs w:val="21"/>
                    </w:rPr>
                    <w:t>其中：人工费</w:t>
                  </w:r>
                </w:p>
              </w:tc>
              <w:tc>
                <w:tcPr>
                  <w:tcW w:w="1328" w:type="dxa"/>
                  <w:noWrap w:val="0"/>
                  <w:vAlign w:val="top"/>
                </w:tcPr>
                <w:p w14:paraId="27788184">
                  <w:pPr>
                    <w:pStyle w:val="37"/>
                    <w:spacing w:line="280" w:lineRule="exact"/>
                    <w:rPr>
                      <w:rFonts w:hint="eastAsia" w:ascii="Times New Roman" w:hAnsi="Times New Roman"/>
                      <w:color w:val="auto"/>
                      <w:szCs w:val="21"/>
                    </w:rPr>
                  </w:pPr>
                </w:p>
              </w:tc>
              <w:tc>
                <w:tcPr>
                  <w:tcW w:w="1426" w:type="dxa"/>
                  <w:noWrap w:val="0"/>
                  <w:vAlign w:val="top"/>
                </w:tcPr>
                <w:p w14:paraId="3857AF6B">
                  <w:pPr>
                    <w:pStyle w:val="37"/>
                    <w:spacing w:line="280" w:lineRule="exact"/>
                    <w:rPr>
                      <w:rFonts w:hint="eastAsia" w:ascii="Times New Roman" w:hAnsi="Times New Roman"/>
                      <w:color w:val="auto"/>
                      <w:szCs w:val="21"/>
                    </w:rPr>
                  </w:pPr>
                </w:p>
              </w:tc>
              <w:tc>
                <w:tcPr>
                  <w:tcW w:w="1250" w:type="dxa"/>
                  <w:noWrap w:val="0"/>
                  <w:vAlign w:val="top"/>
                </w:tcPr>
                <w:p w14:paraId="0AD64FCF">
                  <w:pPr>
                    <w:pStyle w:val="37"/>
                    <w:spacing w:line="280" w:lineRule="exact"/>
                    <w:rPr>
                      <w:rFonts w:hint="eastAsia" w:ascii="Times New Roman" w:hAnsi="Times New Roman"/>
                      <w:color w:val="auto"/>
                      <w:szCs w:val="21"/>
                    </w:rPr>
                  </w:pPr>
                </w:p>
              </w:tc>
              <w:tc>
                <w:tcPr>
                  <w:tcW w:w="919" w:type="dxa"/>
                  <w:noWrap w:val="0"/>
                  <w:vAlign w:val="top"/>
                </w:tcPr>
                <w:p w14:paraId="109111A7">
                  <w:pPr>
                    <w:pStyle w:val="37"/>
                    <w:spacing w:line="280" w:lineRule="exact"/>
                    <w:rPr>
                      <w:rFonts w:hint="eastAsia" w:ascii="Times New Roman" w:hAnsi="Times New Roman"/>
                      <w:color w:val="auto"/>
                      <w:szCs w:val="21"/>
                    </w:rPr>
                  </w:pPr>
                </w:p>
              </w:tc>
            </w:tr>
            <w:tr w14:paraId="0237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top"/>
                </w:tcPr>
                <w:p w14:paraId="30A32CFB">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4</w:t>
                  </w:r>
                </w:p>
              </w:tc>
              <w:tc>
                <w:tcPr>
                  <w:tcW w:w="3276" w:type="dxa"/>
                  <w:noWrap w:val="0"/>
                  <w:vAlign w:val="top"/>
                </w:tcPr>
                <w:p w14:paraId="21DEED0C">
                  <w:pPr>
                    <w:pStyle w:val="37"/>
                    <w:spacing w:line="280" w:lineRule="exact"/>
                    <w:rPr>
                      <w:rFonts w:hint="eastAsia" w:ascii="Times New Roman" w:hAnsi="Times New Roman"/>
                      <w:color w:val="auto"/>
                      <w:szCs w:val="21"/>
                    </w:rPr>
                  </w:pPr>
                  <w:r>
                    <w:rPr>
                      <w:rFonts w:hint="eastAsia" w:ascii="Times New Roman" w:hAnsi="Times New Roman"/>
                      <w:color w:val="auto"/>
                      <w:szCs w:val="21"/>
                    </w:rPr>
                    <w:t>本周期应扣减的金额</w:t>
                  </w:r>
                </w:p>
              </w:tc>
              <w:tc>
                <w:tcPr>
                  <w:tcW w:w="1328" w:type="dxa"/>
                  <w:noWrap w:val="0"/>
                  <w:vAlign w:val="top"/>
                </w:tcPr>
                <w:p w14:paraId="78424FB2">
                  <w:pPr>
                    <w:pStyle w:val="37"/>
                    <w:spacing w:line="280" w:lineRule="exact"/>
                    <w:rPr>
                      <w:rFonts w:hint="eastAsia" w:ascii="Times New Roman" w:hAnsi="Times New Roman"/>
                      <w:color w:val="auto"/>
                      <w:szCs w:val="21"/>
                    </w:rPr>
                  </w:pPr>
                </w:p>
              </w:tc>
              <w:tc>
                <w:tcPr>
                  <w:tcW w:w="1426" w:type="dxa"/>
                  <w:noWrap w:val="0"/>
                  <w:vAlign w:val="top"/>
                </w:tcPr>
                <w:p w14:paraId="59741F0A">
                  <w:pPr>
                    <w:pStyle w:val="37"/>
                    <w:spacing w:line="280" w:lineRule="exact"/>
                    <w:rPr>
                      <w:rFonts w:hint="eastAsia" w:ascii="Times New Roman" w:hAnsi="Times New Roman"/>
                      <w:color w:val="auto"/>
                      <w:szCs w:val="21"/>
                    </w:rPr>
                  </w:pPr>
                </w:p>
              </w:tc>
              <w:tc>
                <w:tcPr>
                  <w:tcW w:w="1250" w:type="dxa"/>
                  <w:noWrap w:val="0"/>
                  <w:vAlign w:val="top"/>
                </w:tcPr>
                <w:p w14:paraId="1EF8397F">
                  <w:pPr>
                    <w:pStyle w:val="37"/>
                    <w:spacing w:line="280" w:lineRule="exact"/>
                    <w:rPr>
                      <w:rFonts w:hint="eastAsia" w:ascii="Times New Roman" w:hAnsi="Times New Roman"/>
                      <w:color w:val="auto"/>
                      <w:szCs w:val="21"/>
                    </w:rPr>
                  </w:pPr>
                </w:p>
              </w:tc>
              <w:tc>
                <w:tcPr>
                  <w:tcW w:w="919" w:type="dxa"/>
                  <w:noWrap w:val="0"/>
                  <w:vAlign w:val="top"/>
                </w:tcPr>
                <w:p w14:paraId="2719C16D">
                  <w:pPr>
                    <w:pStyle w:val="37"/>
                    <w:spacing w:line="280" w:lineRule="exact"/>
                    <w:rPr>
                      <w:rFonts w:hint="eastAsia" w:ascii="Times New Roman" w:hAnsi="Times New Roman"/>
                      <w:color w:val="auto"/>
                      <w:szCs w:val="21"/>
                    </w:rPr>
                  </w:pPr>
                </w:p>
              </w:tc>
            </w:tr>
            <w:tr w14:paraId="3EB2D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top"/>
                </w:tcPr>
                <w:p w14:paraId="1B7AA9F3">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4.1</w:t>
                  </w:r>
                </w:p>
              </w:tc>
              <w:tc>
                <w:tcPr>
                  <w:tcW w:w="3276" w:type="dxa"/>
                  <w:noWrap w:val="0"/>
                  <w:vAlign w:val="top"/>
                </w:tcPr>
                <w:p w14:paraId="68A4481E">
                  <w:pPr>
                    <w:pStyle w:val="37"/>
                    <w:spacing w:line="280" w:lineRule="exact"/>
                    <w:rPr>
                      <w:rFonts w:hint="eastAsia" w:ascii="Times New Roman" w:hAnsi="Times New Roman"/>
                      <w:color w:val="auto"/>
                      <w:szCs w:val="21"/>
                    </w:rPr>
                  </w:pPr>
                  <w:r>
                    <w:rPr>
                      <w:rFonts w:hint="eastAsia" w:ascii="Times New Roman" w:hAnsi="Times New Roman"/>
                      <w:color w:val="auto"/>
                      <w:szCs w:val="21"/>
                    </w:rPr>
                    <w:t>本周期实际应抵扣的预付款</w:t>
                  </w:r>
                </w:p>
              </w:tc>
              <w:tc>
                <w:tcPr>
                  <w:tcW w:w="1328" w:type="dxa"/>
                  <w:noWrap w:val="0"/>
                  <w:vAlign w:val="top"/>
                </w:tcPr>
                <w:p w14:paraId="14CFD749">
                  <w:pPr>
                    <w:pStyle w:val="37"/>
                    <w:spacing w:line="280" w:lineRule="exact"/>
                    <w:rPr>
                      <w:rFonts w:hint="eastAsia" w:ascii="Times New Roman" w:hAnsi="Times New Roman"/>
                      <w:color w:val="auto"/>
                      <w:szCs w:val="21"/>
                    </w:rPr>
                  </w:pPr>
                </w:p>
              </w:tc>
              <w:tc>
                <w:tcPr>
                  <w:tcW w:w="1426" w:type="dxa"/>
                  <w:noWrap w:val="0"/>
                  <w:vAlign w:val="top"/>
                </w:tcPr>
                <w:p w14:paraId="72B5235B">
                  <w:pPr>
                    <w:pStyle w:val="37"/>
                    <w:spacing w:line="280" w:lineRule="exact"/>
                    <w:rPr>
                      <w:rFonts w:hint="eastAsia" w:ascii="Times New Roman" w:hAnsi="Times New Roman"/>
                      <w:color w:val="auto"/>
                      <w:szCs w:val="21"/>
                    </w:rPr>
                  </w:pPr>
                </w:p>
              </w:tc>
              <w:tc>
                <w:tcPr>
                  <w:tcW w:w="1250" w:type="dxa"/>
                  <w:noWrap w:val="0"/>
                  <w:vAlign w:val="top"/>
                </w:tcPr>
                <w:p w14:paraId="14F834B7">
                  <w:pPr>
                    <w:pStyle w:val="37"/>
                    <w:spacing w:line="280" w:lineRule="exact"/>
                    <w:rPr>
                      <w:rFonts w:hint="eastAsia" w:ascii="Times New Roman" w:hAnsi="Times New Roman"/>
                      <w:color w:val="auto"/>
                      <w:szCs w:val="21"/>
                    </w:rPr>
                  </w:pPr>
                </w:p>
              </w:tc>
              <w:tc>
                <w:tcPr>
                  <w:tcW w:w="919" w:type="dxa"/>
                  <w:noWrap w:val="0"/>
                  <w:vAlign w:val="top"/>
                </w:tcPr>
                <w:p w14:paraId="2F638A90">
                  <w:pPr>
                    <w:pStyle w:val="37"/>
                    <w:spacing w:line="280" w:lineRule="exact"/>
                    <w:rPr>
                      <w:rFonts w:hint="eastAsia" w:ascii="Times New Roman" w:hAnsi="Times New Roman"/>
                      <w:color w:val="auto"/>
                      <w:szCs w:val="21"/>
                    </w:rPr>
                  </w:pPr>
                </w:p>
              </w:tc>
            </w:tr>
            <w:tr w14:paraId="6E09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top"/>
                </w:tcPr>
                <w:p w14:paraId="18FDBCAD">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4.2</w:t>
                  </w:r>
                </w:p>
              </w:tc>
              <w:tc>
                <w:tcPr>
                  <w:tcW w:w="3276" w:type="dxa"/>
                  <w:noWrap w:val="0"/>
                  <w:vAlign w:val="top"/>
                </w:tcPr>
                <w:p w14:paraId="465C982C">
                  <w:pPr>
                    <w:pStyle w:val="37"/>
                    <w:spacing w:line="280" w:lineRule="exact"/>
                    <w:rPr>
                      <w:rFonts w:hint="eastAsia" w:ascii="Times New Roman" w:hAnsi="Times New Roman"/>
                      <w:color w:val="auto"/>
                      <w:szCs w:val="21"/>
                    </w:rPr>
                  </w:pPr>
                  <w:r>
                    <w:rPr>
                      <w:rFonts w:hint="eastAsia" w:ascii="Times New Roman" w:hAnsi="Times New Roman"/>
                      <w:color w:val="auto"/>
                      <w:szCs w:val="21"/>
                    </w:rPr>
                    <w:t>本周期应扣减的金额</w:t>
                  </w:r>
                </w:p>
              </w:tc>
              <w:tc>
                <w:tcPr>
                  <w:tcW w:w="1328" w:type="dxa"/>
                  <w:noWrap w:val="0"/>
                  <w:vAlign w:val="top"/>
                </w:tcPr>
                <w:p w14:paraId="1867FAB8">
                  <w:pPr>
                    <w:pStyle w:val="37"/>
                    <w:spacing w:line="280" w:lineRule="exact"/>
                    <w:rPr>
                      <w:rFonts w:hint="eastAsia" w:ascii="Times New Roman" w:hAnsi="Times New Roman"/>
                      <w:color w:val="auto"/>
                      <w:szCs w:val="21"/>
                    </w:rPr>
                  </w:pPr>
                </w:p>
              </w:tc>
              <w:tc>
                <w:tcPr>
                  <w:tcW w:w="1426" w:type="dxa"/>
                  <w:noWrap w:val="0"/>
                  <w:vAlign w:val="top"/>
                </w:tcPr>
                <w:p w14:paraId="64255C06">
                  <w:pPr>
                    <w:pStyle w:val="37"/>
                    <w:spacing w:line="280" w:lineRule="exact"/>
                    <w:rPr>
                      <w:rFonts w:hint="eastAsia" w:ascii="Times New Roman" w:hAnsi="Times New Roman"/>
                      <w:color w:val="auto"/>
                      <w:szCs w:val="21"/>
                    </w:rPr>
                  </w:pPr>
                </w:p>
              </w:tc>
              <w:tc>
                <w:tcPr>
                  <w:tcW w:w="1250" w:type="dxa"/>
                  <w:noWrap w:val="0"/>
                  <w:vAlign w:val="top"/>
                </w:tcPr>
                <w:p w14:paraId="38015F57">
                  <w:pPr>
                    <w:pStyle w:val="37"/>
                    <w:spacing w:line="280" w:lineRule="exact"/>
                    <w:rPr>
                      <w:rFonts w:hint="eastAsia" w:ascii="Times New Roman" w:hAnsi="Times New Roman"/>
                      <w:color w:val="auto"/>
                      <w:szCs w:val="21"/>
                    </w:rPr>
                  </w:pPr>
                </w:p>
              </w:tc>
              <w:tc>
                <w:tcPr>
                  <w:tcW w:w="919" w:type="dxa"/>
                  <w:noWrap w:val="0"/>
                  <w:vAlign w:val="top"/>
                </w:tcPr>
                <w:p w14:paraId="33056D2E">
                  <w:pPr>
                    <w:pStyle w:val="37"/>
                    <w:spacing w:line="280" w:lineRule="exact"/>
                    <w:rPr>
                      <w:rFonts w:hint="eastAsia" w:ascii="Times New Roman" w:hAnsi="Times New Roman"/>
                      <w:color w:val="auto"/>
                      <w:szCs w:val="21"/>
                    </w:rPr>
                  </w:pPr>
                </w:p>
              </w:tc>
            </w:tr>
            <w:tr w14:paraId="1664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top"/>
                </w:tcPr>
                <w:p w14:paraId="5C7ED5AD">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5</w:t>
                  </w:r>
                </w:p>
              </w:tc>
              <w:tc>
                <w:tcPr>
                  <w:tcW w:w="3276" w:type="dxa"/>
                  <w:noWrap w:val="0"/>
                  <w:vAlign w:val="top"/>
                </w:tcPr>
                <w:p w14:paraId="54D6DA96">
                  <w:pPr>
                    <w:pStyle w:val="37"/>
                    <w:spacing w:line="280" w:lineRule="exact"/>
                    <w:rPr>
                      <w:rFonts w:hint="eastAsia" w:ascii="Times New Roman" w:hAnsi="Times New Roman"/>
                      <w:color w:val="auto"/>
                      <w:szCs w:val="21"/>
                    </w:rPr>
                  </w:pPr>
                  <w:r>
                    <w:rPr>
                      <w:rFonts w:hint="eastAsia" w:ascii="Times New Roman" w:hAnsi="Times New Roman"/>
                      <w:color w:val="auto"/>
                      <w:szCs w:val="21"/>
                    </w:rPr>
                    <w:t>本周期应支付的合同价款</w:t>
                  </w:r>
                </w:p>
              </w:tc>
              <w:tc>
                <w:tcPr>
                  <w:tcW w:w="1328" w:type="dxa"/>
                  <w:noWrap w:val="0"/>
                  <w:vAlign w:val="top"/>
                </w:tcPr>
                <w:p w14:paraId="4CD81863">
                  <w:pPr>
                    <w:pStyle w:val="37"/>
                    <w:spacing w:line="280" w:lineRule="exact"/>
                    <w:rPr>
                      <w:rFonts w:hint="eastAsia" w:ascii="Times New Roman" w:hAnsi="Times New Roman"/>
                      <w:color w:val="auto"/>
                      <w:szCs w:val="21"/>
                    </w:rPr>
                  </w:pPr>
                </w:p>
              </w:tc>
              <w:tc>
                <w:tcPr>
                  <w:tcW w:w="1426" w:type="dxa"/>
                  <w:noWrap w:val="0"/>
                  <w:vAlign w:val="top"/>
                </w:tcPr>
                <w:p w14:paraId="2B5B0A95">
                  <w:pPr>
                    <w:pStyle w:val="37"/>
                    <w:spacing w:line="280" w:lineRule="exact"/>
                    <w:rPr>
                      <w:rFonts w:hint="eastAsia" w:ascii="Times New Roman" w:hAnsi="Times New Roman"/>
                      <w:color w:val="auto"/>
                      <w:szCs w:val="21"/>
                    </w:rPr>
                  </w:pPr>
                </w:p>
              </w:tc>
              <w:tc>
                <w:tcPr>
                  <w:tcW w:w="1250" w:type="dxa"/>
                  <w:noWrap w:val="0"/>
                  <w:vAlign w:val="top"/>
                </w:tcPr>
                <w:p w14:paraId="33199DBE">
                  <w:pPr>
                    <w:pStyle w:val="37"/>
                    <w:spacing w:line="280" w:lineRule="exact"/>
                    <w:rPr>
                      <w:rFonts w:hint="eastAsia" w:ascii="Times New Roman" w:hAnsi="Times New Roman"/>
                      <w:color w:val="auto"/>
                      <w:szCs w:val="21"/>
                    </w:rPr>
                  </w:pPr>
                </w:p>
              </w:tc>
              <w:tc>
                <w:tcPr>
                  <w:tcW w:w="919" w:type="dxa"/>
                  <w:noWrap w:val="0"/>
                  <w:vAlign w:val="top"/>
                </w:tcPr>
                <w:p w14:paraId="0259FCAA">
                  <w:pPr>
                    <w:pStyle w:val="37"/>
                    <w:spacing w:line="280" w:lineRule="exact"/>
                    <w:rPr>
                      <w:rFonts w:hint="eastAsia" w:ascii="Times New Roman" w:hAnsi="Times New Roman"/>
                      <w:color w:val="auto"/>
                      <w:szCs w:val="21"/>
                    </w:rPr>
                  </w:pPr>
                </w:p>
              </w:tc>
            </w:tr>
            <w:tr w14:paraId="215D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top"/>
                </w:tcPr>
                <w:p w14:paraId="63A949F2">
                  <w:pPr>
                    <w:pStyle w:val="37"/>
                    <w:spacing w:line="280" w:lineRule="exact"/>
                    <w:jc w:val="center"/>
                    <w:rPr>
                      <w:rFonts w:hint="eastAsia" w:ascii="Times New Roman" w:hAnsi="Times New Roman"/>
                      <w:color w:val="auto"/>
                      <w:szCs w:val="21"/>
                    </w:rPr>
                  </w:pPr>
                </w:p>
              </w:tc>
              <w:tc>
                <w:tcPr>
                  <w:tcW w:w="3276" w:type="dxa"/>
                  <w:noWrap w:val="0"/>
                  <w:vAlign w:val="top"/>
                </w:tcPr>
                <w:p w14:paraId="6419D328">
                  <w:pPr>
                    <w:pStyle w:val="37"/>
                    <w:spacing w:line="280" w:lineRule="exact"/>
                    <w:rPr>
                      <w:rFonts w:hint="eastAsia" w:ascii="Times New Roman" w:hAnsi="Times New Roman"/>
                      <w:color w:val="auto"/>
                      <w:szCs w:val="21"/>
                    </w:rPr>
                  </w:pPr>
                  <w:r>
                    <w:rPr>
                      <w:rFonts w:hint="eastAsia" w:ascii="Times New Roman" w:hAnsi="Times New Roman"/>
                      <w:color w:val="auto"/>
                      <w:szCs w:val="21"/>
                    </w:rPr>
                    <w:t>其中：人工费</w:t>
                  </w:r>
                </w:p>
              </w:tc>
              <w:tc>
                <w:tcPr>
                  <w:tcW w:w="1328" w:type="dxa"/>
                  <w:noWrap w:val="0"/>
                  <w:vAlign w:val="top"/>
                </w:tcPr>
                <w:p w14:paraId="7E9835FB">
                  <w:pPr>
                    <w:pStyle w:val="37"/>
                    <w:spacing w:line="280" w:lineRule="exact"/>
                    <w:rPr>
                      <w:rFonts w:hint="eastAsia" w:ascii="Times New Roman" w:hAnsi="Times New Roman"/>
                      <w:color w:val="auto"/>
                      <w:szCs w:val="21"/>
                    </w:rPr>
                  </w:pPr>
                </w:p>
              </w:tc>
              <w:tc>
                <w:tcPr>
                  <w:tcW w:w="1426" w:type="dxa"/>
                  <w:noWrap w:val="0"/>
                  <w:vAlign w:val="top"/>
                </w:tcPr>
                <w:p w14:paraId="72C8E91E">
                  <w:pPr>
                    <w:pStyle w:val="37"/>
                    <w:spacing w:line="280" w:lineRule="exact"/>
                    <w:rPr>
                      <w:rFonts w:hint="eastAsia" w:ascii="Times New Roman" w:hAnsi="Times New Roman"/>
                      <w:color w:val="auto"/>
                      <w:szCs w:val="21"/>
                    </w:rPr>
                  </w:pPr>
                </w:p>
              </w:tc>
              <w:tc>
                <w:tcPr>
                  <w:tcW w:w="1250" w:type="dxa"/>
                  <w:noWrap w:val="0"/>
                  <w:vAlign w:val="top"/>
                </w:tcPr>
                <w:p w14:paraId="21F618F5">
                  <w:pPr>
                    <w:pStyle w:val="37"/>
                    <w:spacing w:line="280" w:lineRule="exact"/>
                    <w:rPr>
                      <w:rFonts w:hint="eastAsia" w:ascii="Times New Roman" w:hAnsi="Times New Roman"/>
                      <w:color w:val="auto"/>
                      <w:szCs w:val="21"/>
                    </w:rPr>
                  </w:pPr>
                </w:p>
              </w:tc>
              <w:tc>
                <w:tcPr>
                  <w:tcW w:w="919" w:type="dxa"/>
                  <w:noWrap w:val="0"/>
                  <w:vAlign w:val="top"/>
                </w:tcPr>
                <w:p w14:paraId="792BBFB4">
                  <w:pPr>
                    <w:pStyle w:val="37"/>
                    <w:spacing w:line="280" w:lineRule="exact"/>
                    <w:rPr>
                      <w:rFonts w:hint="eastAsia" w:ascii="Times New Roman" w:hAnsi="Times New Roman"/>
                      <w:color w:val="auto"/>
                      <w:szCs w:val="21"/>
                    </w:rPr>
                  </w:pPr>
                </w:p>
              </w:tc>
            </w:tr>
          </w:tbl>
          <w:p w14:paraId="3E4553E3">
            <w:pPr>
              <w:pStyle w:val="37"/>
              <w:wordWrap w:val="0"/>
              <w:spacing w:line="400" w:lineRule="exact"/>
              <w:ind w:right="420" w:firstLine="420" w:firstLineChars="200"/>
              <w:rPr>
                <w:rFonts w:hint="eastAsia" w:ascii="Times New Roman" w:hAnsi="Times New Roman"/>
                <w:color w:val="auto"/>
                <w:szCs w:val="21"/>
              </w:rPr>
            </w:pPr>
            <w:r>
              <w:rPr>
                <w:rFonts w:hint="eastAsia" w:ascii="Times New Roman" w:hAnsi="Times New Roman"/>
                <w:color w:val="auto"/>
                <w:szCs w:val="21"/>
              </w:rPr>
              <w:t>附：上述3、4详见附件清单。</w:t>
            </w:r>
          </w:p>
          <w:p w14:paraId="3C62C479">
            <w:pPr>
              <w:pStyle w:val="37"/>
              <w:wordWrap w:val="0"/>
              <w:spacing w:line="400" w:lineRule="exact"/>
              <w:ind w:right="420" w:firstLine="420" w:firstLineChars="200"/>
              <w:rPr>
                <w:rFonts w:hint="eastAsia" w:ascii="Times New Roman" w:hAnsi="Times New Roman"/>
                <w:color w:val="auto"/>
                <w:szCs w:val="21"/>
              </w:rPr>
            </w:pPr>
            <w:r>
              <w:rPr>
                <w:rFonts w:hint="eastAsia" w:ascii="Times New Roman" w:hAnsi="Times New Roman"/>
                <w:color w:val="auto"/>
                <w:szCs w:val="21"/>
              </w:rPr>
              <w:t xml:space="preserve">                                      承包人（章）             </w:t>
            </w:r>
          </w:p>
          <w:p w14:paraId="58A37448">
            <w:pPr>
              <w:pStyle w:val="37"/>
              <w:spacing w:line="400" w:lineRule="exact"/>
              <w:ind w:right="420" w:firstLine="420" w:firstLineChars="200"/>
              <w:rPr>
                <w:rFonts w:hint="eastAsia" w:ascii="Times New Roman" w:hAnsi="Times New Roman"/>
                <w:color w:val="auto"/>
                <w:szCs w:val="21"/>
              </w:rPr>
            </w:pPr>
            <w:r>
              <w:rPr>
                <w:rFonts w:hint="eastAsia" w:ascii="Times New Roman" w:hAnsi="Times New Roman"/>
                <w:color w:val="auto"/>
                <w:szCs w:val="21"/>
                <w:lang w:val="en-US" w:eastAsia="zh-CN"/>
              </w:rPr>
              <w:t xml:space="preserve">                                 </w:t>
            </w:r>
            <w:r>
              <w:rPr>
                <w:rFonts w:hint="eastAsia" w:ascii="Times New Roman" w:hAnsi="Times New Roman"/>
                <w:color w:val="auto"/>
                <w:szCs w:val="21"/>
              </w:rPr>
              <w:t>承包人代表</w:t>
            </w:r>
            <w:r>
              <w:rPr>
                <w:rFonts w:hint="eastAsia" w:ascii="Times New Roman" w:hAnsi="Times New Roman"/>
                <w:color w:val="auto"/>
                <w:szCs w:val="21"/>
                <w:u w:val="single"/>
              </w:rPr>
              <w:t xml:space="preserve">               </w:t>
            </w:r>
            <w:r>
              <w:rPr>
                <w:rFonts w:hint="eastAsia" w:ascii="Times New Roman" w:hAnsi="Times New Roman"/>
                <w:color w:val="auto"/>
                <w:szCs w:val="21"/>
              </w:rPr>
              <w:t>日      期</w:t>
            </w:r>
            <w:r>
              <w:rPr>
                <w:rFonts w:hint="eastAsia" w:ascii="Times New Roman" w:hAnsi="Times New Roman"/>
                <w:color w:val="auto"/>
                <w:szCs w:val="21"/>
                <w:u w:val="single"/>
              </w:rPr>
              <w:t xml:space="preserve">               </w:t>
            </w:r>
          </w:p>
        </w:tc>
      </w:tr>
      <w:tr w14:paraId="581E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9072" w:type="dxa"/>
            <w:noWrap w:val="0"/>
            <w:vAlign w:val="top"/>
          </w:tcPr>
          <w:p w14:paraId="4577A57A">
            <w:pPr>
              <w:pStyle w:val="37"/>
              <w:spacing w:line="360" w:lineRule="exact"/>
              <w:ind w:firstLine="420" w:firstLineChars="200"/>
              <w:rPr>
                <w:rFonts w:hint="eastAsia" w:ascii="Times New Roman" w:hAnsi="Times New Roman"/>
                <w:color w:val="auto"/>
                <w:szCs w:val="21"/>
              </w:rPr>
            </w:pPr>
            <w:r>
              <w:rPr>
                <w:rFonts w:hint="eastAsia" w:ascii="Times New Roman" w:hAnsi="Times New Roman"/>
                <w:color w:val="auto"/>
                <w:szCs w:val="21"/>
              </w:rPr>
              <w:t>复核意见：</w:t>
            </w:r>
          </w:p>
          <w:p w14:paraId="2FC1F997">
            <w:pPr>
              <w:pStyle w:val="37"/>
              <w:spacing w:line="360" w:lineRule="exact"/>
              <w:ind w:firstLine="420" w:firstLineChars="200"/>
              <w:rPr>
                <w:rFonts w:hint="eastAsia" w:ascii="Times New Roman" w:hAnsi="Times New Roman"/>
                <w:color w:val="auto"/>
                <w:szCs w:val="21"/>
              </w:rPr>
            </w:pPr>
            <w:r>
              <w:rPr>
                <w:rFonts w:hint="eastAsia" w:ascii="Times New Roman" w:hAnsi="Times New Roman"/>
                <w:color w:val="auto"/>
                <w:szCs w:val="21"/>
              </w:rPr>
              <w:t>□与实际施工情况不相符，修改意见见附件。</w:t>
            </w:r>
          </w:p>
          <w:p w14:paraId="466A3EC6">
            <w:pPr>
              <w:pStyle w:val="37"/>
              <w:spacing w:line="360" w:lineRule="exact"/>
              <w:ind w:firstLine="420" w:firstLineChars="200"/>
              <w:rPr>
                <w:rFonts w:hint="eastAsia" w:ascii="Times New Roman" w:hAnsi="Times New Roman"/>
                <w:color w:val="auto"/>
                <w:szCs w:val="21"/>
              </w:rPr>
            </w:pPr>
            <w:r>
              <w:rPr>
                <w:rFonts w:hint="eastAsia" w:ascii="Times New Roman" w:hAnsi="Times New Roman"/>
                <w:color w:val="auto"/>
                <w:szCs w:val="21"/>
              </w:rPr>
              <w:t>□与实际施工情况相符，具体金额由造价工程师复核。</w:t>
            </w:r>
          </w:p>
          <w:p w14:paraId="7538E60F">
            <w:pPr>
              <w:pStyle w:val="37"/>
              <w:spacing w:line="360" w:lineRule="exact"/>
              <w:ind w:firstLine="435"/>
              <w:jc w:val="right"/>
              <w:rPr>
                <w:rFonts w:hint="eastAsia" w:ascii="Times New Roman" w:hAnsi="Times New Roman"/>
                <w:color w:val="auto"/>
                <w:szCs w:val="21"/>
              </w:rPr>
            </w:pPr>
          </w:p>
          <w:p w14:paraId="7CD1EDCC">
            <w:pPr>
              <w:pStyle w:val="37"/>
              <w:spacing w:line="360" w:lineRule="exact"/>
              <w:ind w:firstLine="420" w:firstLineChars="200"/>
              <w:jc w:val="center"/>
              <w:rPr>
                <w:rFonts w:hint="eastAsia" w:ascii="Times New Roman" w:hAnsi="Times New Roman"/>
                <w:color w:val="auto"/>
                <w:szCs w:val="21"/>
                <w:u w:val="single"/>
              </w:rPr>
            </w:pPr>
            <w:r>
              <w:rPr>
                <w:rFonts w:ascii="Times New Roman" w:hAnsi="Times New Roman"/>
                <w:color w:val="auto"/>
                <w:szCs w:val="21"/>
              </w:rPr>
              <w:t xml:space="preserve">    </w:t>
            </w:r>
            <w:r>
              <w:rPr>
                <w:rFonts w:hint="eastAsia" w:ascii="Times New Roman" w:hAnsi="Times New Roman"/>
                <w:color w:val="auto"/>
                <w:szCs w:val="21"/>
              </w:rPr>
              <w:t xml:space="preserve">     监理工程师</w:t>
            </w:r>
            <w:r>
              <w:rPr>
                <w:rFonts w:hint="eastAsia" w:ascii="Times New Roman" w:hAnsi="Times New Roman"/>
                <w:color w:val="auto"/>
                <w:szCs w:val="21"/>
                <w:u w:val="single"/>
              </w:rPr>
              <w:t xml:space="preserve">           </w:t>
            </w:r>
          </w:p>
          <w:p w14:paraId="3417C3B2">
            <w:pPr>
              <w:pStyle w:val="37"/>
              <w:spacing w:line="360" w:lineRule="exact"/>
              <w:ind w:firstLine="420" w:firstLineChars="200"/>
              <w:jc w:val="center"/>
              <w:rPr>
                <w:rFonts w:hint="eastAsia" w:ascii="Times New Roman" w:hAnsi="Times New Roman"/>
                <w:color w:val="auto"/>
                <w:szCs w:val="21"/>
                <w:u w:val="single"/>
              </w:rPr>
            </w:pPr>
            <w:r>
              <w:rPr>
                <w:rFonts w:ascii="Times New Roman" w:hAnsi="Times New Roman"/>
                <w:color w:val="auto"/>
                <w:szCs w:val="21"/>
              </w:rPr>
              <w:t xml:space="preserve">    </w:t>
            </w:r>
            <w:r>
              <w:rPr>
                <w:rFonts w:hint="eastAsia" w:ascii="Times New Roman" w:hAnsi="Times New Roman"/>
                <w:color w:val="auto"/>
                <w:szCs w:val="21"/>
              </w:rPr>
              <w:t xml:space="preserve">    日      期</w:t>
            </w:r>
            <w:r>
              <w:rPr>
                <w:rFonts w:hint="eastAsia" w:ascii="Times New Roman" w:hAnsi="Times New Roman"/>
                <w:color w:val="auto"/>
                <w:szCs w:val="21"/>
                <w:u w:val="single"/>
              </w:rPr>
              <w:t xml:space="preserve">           </w:t>
            </w:r>
          </w:p>
          <w:p w14:paraId="585C2E51">
            <w:pPr>
              <w:pStyle w:val="37"/>
              <w:spacing w:line="360" w:lineRule="exact"/>
              <w:ind w:firstLine="435"/>
              <w:jc w:val="both"/>
              <w:rPr>
                <w:rFonts w:hint="eastAsia" w:ascii="Times New Roman" w:hAnsi="Times New Roman"/>
                <w:color w:val="auto"/>
                <w:szCs w:val="21"/>
                <w:u w:val="single"/>
              </w:rPr>
            </w:pPr>
          </w:p>
        </w:tc>
      </w:tr>
      <w:tr w14:paraId="286D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noWrap w:val="0"/>
            <w:vAlign w:val="top"/>
          </w:tcPr>
          <w:p w14:paraId="1BED4183">
            <w:pPr>
              <w:pStyle w:val="37"/>
              <w:spacing w:line="400" w:lineRule="exact"/>
              <w:ind w:firstLine="420" w:firstLineChars="200"/>
              <w:rPr>
                <w:rFonts w:hint="eastAsia" w:ascii="Times New Roman" w:hAnsi="Times New Roman"/>
                <w:color w:val="auto"/>
                <w:szCs w:val="21"/>
              </w:rPr>
            </w:pPr>
            <w:r>
              <w:rPr>
                <w:rFonts w:hint="eastAsia" w:ascii="Times New Roman" w:hAnsi="Times New Roman"/>
                <w:color w:val="auto"/>
                <w:szCs w:val="21"/>
              </w:rPr>
              <w:t>审核意见：</w:t>
            </w:r>
          </w:p>
          <w:p w14:paraId="68DFDFC9">
            <w:pPr>
              <w:pStyle w:val="37"/>
              <w:spacing w:line="400" w:lineRule="exact"/>
              <w:ind w:firstLine="420" w:firstLineChars="200"/>
              <w:rPr>
                <w:rFonts w:hint="eastAsia" w:ascii="Times New Roman" w:hAnsi="Times New Roman"/>
                <w:color w:val="auto"/>
                <w:szCs w:val="21"/>
              </w:rPr>
            </w:pPr>
            <w:r>
              <w:rPr>
                <w:rFonts w:hint="eastAsia" w:ascii="Times New Roman" w:hAnsi="Times New Roman"/>
                <w:color w:val="auto"/>
                <w:szCs w:val="21"/>
              </w:rPr>
              <w:t>□不同意。</w:t>
            </w:r>
          </w:p>
          <w:p w14:paraId="4149C2B1">
            <w:pPr>
              <w:pStyle w:val="37"/>
              <w:spacing w:line="400" w:lineRule="exact"/>
              <w:ind w:firstLine="420" w:firstLineChars="200"/>
              <w:rPr>
                <w:rFonts w:hint="eastAsia" w:ascii="Times New Roman" w:hAnsi="Times New Roman"/>
                <w:color w:val="auto"/>
                <w:szCs w:val="21"/>
              </w:rPr>
            </w:pPr>
            <w:r>
              <w:rPr>
                <w:rFonts w:hint="eastAsia" w:ascii="Times New Roman" w:hAnsi="Times New Roman"/>
                <w:color w:val="auto"/>
                <w:szCs w:val="21"/>
              </w:rPr>
              <w:t>□同意。</w:t>
            </w:r>
          </w:p>
          <w:p w14:paraId="69E21592">
            <w:pPr>
              <w:pStyle w:val="37"/>
              <w:wordWrap w:val="0"/>
              <w:spacing w:line="400" w:lineRule="exact"/>
              <w:ind w:firstLine="420" w:firstLineChars="200"/>
              <w:jc w:val="right"/>
              <w:rPr>
                <w:rFonts w:hint="eastAsia" w:ascii="Times New Roman" w:hAnsi="Times New Roman"/>
                <w:color w:val="auto"/>
                <w:szCs w:val="21"/>
              </w:rPr>
            </w:pPr>
            <w:r>
              <w:rPr>
                <w:rFonts w:hint="eastAsia" w:ascii="Times New Roman" w:hAnsi="Times New Roman"/>
                <w:color w:val="auto"/>
                <w:szCs w:val="21"/>
              </w:rPr>
              <w:t xml:space="preserve">发包人（章）           </w:t>
            </w:r>
          </w:p>
          <w:p w14:paraId="33FDEA28">
            <w:pPr>
              <w:pStyle w:val="37"/>
              <w:wordWrap w:val="0"/>
              <w:spacing w:line="400" w:lineRule="exact"/>
              <w:ind w:firstLine="420" w:firstLineChars="200"/>
              <w:jc w:val="right"/>
              <w:rPr>
                <w:rFonts w:hint="eastAsia" w:ascii="Times New Roman" w:hAnsi="Times New Roman"/>
                <w:color w:val="auto"/>
                <w:szCs w:val="21"/>
                <w:u w:val="single"/>
              </w:rPr>
            </w:pPr>
            <w:r>
              <w:rPr>
                <w:rFonts w:hint="eastAsia" w:ascii="Times New Roman" w:hAnsi="Times New Roman"/>
                <w:color w:val="auto"/>
                <w:szCs w:val="21"/>
              </w:rPr>
              <w:t>发包人代表</w:t>
            </w:r>
            <w:r>
              <w:rPr>
                <w:rFonts w:hint="eastAsia" w:ascii="Times New Roman" w:hAnsi="Times New Roman"/>
                <w:color w:val="auto"/>
                <w:szCs w:val="21"/>
                <w:u w:val="single"/>
              </w:rPr>
              <w:t xml:space="preserve">             </w:t>
            </w:r>
          </w:p>
          <w:p w14:paraId="2091F5EB">
            <w:pPr>
              <w:pStyle w:val="37"/>
              <w:wordWrap w:val="0"/>
              <w:spacing w:line="400" w:lineRule="exact"/>
              <w:ind w:firstLine="420" w:firstLineChars="200"/>
              <w:jc w:val="right"/>
              <w:rPr>
                <w:rFonts w:hint="eastAsia" w:ascii="Times New Roman" w:hAnsi="Times New Roman"/>
                <w:color w:val="auto"/>
                <w:szCs w:val="21"/>
                <w:u w:val="single"/>
              </w:rPr>
            </w:pPr>
            <w:r>
              <w:rPr>
                <w:rFonts w:hint="eastAsia" w:ascii="Times New Roman" w:hAnsi="Times New Roman"/>
                <w:color w:val="auto"/>
                <w:szCs w:val="21"/>
              </w:rPr>
              <w:t>日      期</w:t>
            </w:r>
            <w:r>
              <w:rPr>
                <w:rFonts w:hint="eastAsia" w:ascii="Times New Roman" w:hAnsi="Times New Roman"/>
                <w:color w:val="auto"/>
                <w:szCs w:val="21"/>
                <w:u w:val="single"/>
              </w:rPr>
              <w:t xml:space="preserve">             </w:t>
            </w:r>
          </w:p>
        </w:tc>
      </w:tr>
    </w:tbl>
    <w:p w14:paraId="2BE6DF04">
      <w:pPr>
        <w:pStyle w:val="37"/>
        <w:spacing w:before="156" w:beforeLines="50"/>
        <w:ind w:firstLine="360" w:firstLineChars="200"/>
        <w:rPr>
          <w:rFonts w:hint="eastAsia" w:ascii="Times New Roman" w:hAnsi="Times New Roman"/>
          <w:color w:val="auto"/>
          <w:sz w:val="18"/>
          <w:szCs w:val="18"/>
        </w:rPr>
      </w:pPr>
      <w:r>
        <w:rPr>
          <w:rFonts w:hint="eastAsia" w:ascii="Times New Roman" w:hAnsi="Times New Roman"/>
          <w:color w:val="auto"/>
          <w:sz w:val="18"/>
          <w:szCs w:val="18"/>
        </w:rPr>
        <w:t xml:space="preserve">注：1.在选择栏中的“□”内作标识“√”。 </w:t>
      </w:r>
    </w:p>
    <w:p w14:paraId="1659377C">
      <w:pPr>
        <w:pStyle w:val="37"/>
        <w:spacing w:before="156" w:beforeLines="50"/>
        <w:ind w:firstLine="540" w:firstLineChars="300"/>
        <w:rPr>
          <w:rFonts w:hint="eastAsia" w:ascii="Times New Roman" w:hAnsi="Times New Roman"/>
          <w:color w:val="auto"/>
          <w:sz w:val="18"/>
          <w:szCs w:val="18"/>
        </w:rPr>
      </w:pPr>
      <w:r>
        <w:rPr>
          <w:rFonts w:hint="eastAsia" w:ascii="Times New Roman" w:hAnsi="Times New Roman"/>
          <w:color w:val="auto"/>
          <w:sz w:val="18"/>
          <w:szCs w:val="18"/>
        </w:rPr>
        <w:t>2.本表一式</w:t>
      </w:r>
      <w:r>
        <w:rPr>
          <w:rFonts w:hint="eastAsia" w:ascii="Times New Roman" w:hAnsi="Times New Roman"/>
          <w:color w:val="auto"/>
          <w:sz w:val="18"/>
          <w:szCs w:val="18"/>
          <w:lang w:val="en-US" w:eastAsia="zh-CN"/>
        </w:rPr>
        <w:t>叁</w:t>
      </w:r>
      <w:r>
        <w:rPr>
          <w:rFonts w:hint="eastAsia" w:ascii="Times New Roman" w:hAnsi="Times New Roman"/>
          <w:color w:val="auto"/>
          <w:sz w:val="18"/>
          <w:szCs w:val="18"/>
        </w:rPr>
        <w:t>份，由承包人填报，发包人、监理人、承包人各存一份。</w:t>
      </w:r>
    </w:p>
    <w:p w14:paraId="4E823FC3">
      <w:pPr>
        <w:pStyle w:val="37"/>
        <w:ind w:firstLine="600" w:firstLineChars="200"/>
        <w:jc w:val="left"/>
        <w:rPr>
          <w:rFonts w:hint="eastAsia" w:ascii="Times New Roman" w:hAnsi="Times New Roman"/>
          <w:color w:val="auto"/>
          <w:sz w:val="30"/>
          <w:szCs w:val="30"/>
        </w:rPr>
      </w:pPr>
      <w:r>
        <w:rPr>
          <w:rFonts w:hint="eastAsia" w:ascii="Times New Roman" w:hAnsi="Times New Roman"/>
          <w:color w:val="auto"/>
          <w:sz w:val="30"/>
          <w:szCs w:val="30"/>
        </w:rPr>
        <w:t>附件12</w:t>
      </w:r>
    </w:p>
    <w:p w14:paraId="67B648C1">
      <w:pPr>
        <w:pStyle w:val="37"/>
        <w:ind w:firstLine="723" w:firstLineChars="200"/>
        <w:jc w:val="center"/>
        <w:rPr>
          <w:rFonts w:hint="eastAsia" w:ascii="Times New Roman" w:hAnsi="Times New Roman"/>
          <w:b/>
          <w:color w:val="auto"/>
          <w:sz w:val="36"/>
          <w:szCs w:val="36"/>
        </w:rPr>
      </w:pPr>
      <w:r>
        <w:rPr>
          <w:rFonts w:hint="eastAsia" w:ascii="Times New Roman" w:hAnsi="Times New Roman"/>
          <w:b/>
          <w:color w:val="auto"/>
          <w:sz w:val="36"/>
          <w:szCs w:val="36"/>
        </w:rPr>
        <w:t>竣工结算款支付申请（核准）表</w:t>
      </w:r>
    </w:p>
    <w:p w14:paraId="27D4E410">
      <w:pPr>
        <w:pStyle w:val="37"/>
        <w:ind w:firstLine="480" w:firstLineChars="200"/>
        <w:rPr>
          <w:rFonts w:hint="eastAsia" w:ascii="Times New Roman" w:hAnsi="Times New Roman"/>
          <w:color w:val="auto"/>
          <w:sz w:val="24"/>
          <w:szCs w:val="24"/>
        </w:rPr>
      </w:pPr>
      <w:r>
        <w:rPr>
          <w:rFonts w:hint="eastAsia" w:ascii="Times New Roman" w:hAnsi="Times New Roman"/>
          <w:color w:val="auto"/>
          <w:sz w:val="24"/>
          <w:szCs w:val="24"/>
        </w:rPr>
        <w:t>工程名称：                                              编号：</w:t>
      </w:r>
    </w:p>
    <w:tbl>
      <w:tblPr>
        <w:tblStyle w:val="2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4639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072" w:type="dxa"/>
            <w:noWrap w:val="0"/>
            <w:vAlign w:val="top"/>
          </w:tcPr>
          <w:p w14:paraId="19525D9D">
            <w:pPr>
              <w:pStyle w:val="37"/>
              <w:spacing w:line="480" w:lineRule="exact"/>
              <w:ind w:left="313" w:leftChars="149" w:firstLine="420" w:firstLineChars="200"/>
              <w:rPr>
                <w:rFonts w:hint="eastAsia" w:ascii="Times New Roman" w:hAnsi="Times New Roman"/>
                <w:color w:val="auto"/>
                <w:szCs w:val="21"/>
                <w:u w:val="single"/>
              </w:rPr>
            </w:pPr>
            <w:r>
              <w:rPr>
                <w:rFonts w:hint="eastAsia" w:ascii="Times New Roman" w:hAnsi="Times New Roman"/>
                <w:color w:val="auto"/>
                <w:szCs w:val="21"/>
              </w:rPr>
              <w:t>致：</w:t>
            </w:r>
            <w:r>
              <w:rPr>
                <w:rFonts w:hint="eastAsia" w:ascii="Times New Roman" w:hAnsi="Times New Roman"/>
                <w:color w:val="auto"/>
                <w:szCs w:val="21"/>
                <w:u w:val="single"/>
              </w:rPr>
              <w:t xml:space="preserve">                                   （发包人全称）</w:t>
            </w:r>
          </w:p>
          <w:p w14:paraId="210A22BF">
            <w:pPr>
              <w:pStyle w:val="37"/>
              <w:spacing w:line="400" w:lineRule="exact"/>
              <w:ind w:left="-4" w:leftChars="-2" w:firstLine="420" w:firstLineChars="200"/>
              <w:rPr>
                <w:rFonts w:hint="eastAsia" w:ascii="Times New Roman" w:hAnsi="Times New Roman"/>
                <w:color w:val="auto"/>
                <w:szCs w:val="21"/>
              </w:rPr>
            </w:pPr>
            <w:r>
              <w:rPr>
                <w:rFonts w:hint="eastAsia" w:ascii="Times New Roman" w:hAnsi="Times New Roman"/>
                <w:color w:val="auto"/>
                <w:szCs w:val="21"/>
              </w:rPr>
              <w:t>我方于</w:t>
            </w:r>
            <w:r>
              <w:rPr>
                <w:rFonts w:hint="eastAsia" w:ascii="Times New Roman" w:hAnsi="Times New Roman"/>
                <w:color w:val="auto"/>
                <w:szCs w:val="21"/>
                <w:u w:val="single"/>
              </w:rPr>
              <w:t xml:space="preserve">         </w:t>
            </w:r>
            <w:r>
              <w:rPr>
                <w:rFonts w:hint="eastAsia" w:ascii="Times New Roman" w:hAnsi="Times New Roman"/>
                <w:color w:val="auto"/>
                <w:szCs w:val="21"/>
              </w:rPr>
              <w:t>至</w:t>
            </w:r>
            <w:r>
              <w:rPr>
                <w:rFonts w:hint="eastAsia" w:ascii="Times New Roman" w:hAnsi="Times New Roman"/>
                <w:color w:val="auto"/>
                <w:szCs w:val="21"/>
                <w:u w:val="single"/>
              </w:rPr>
              <w:t xml:space="preserve">          </w:t>
            </w:r>
            <w:r>
              <w:rPr>
                <w:rFonts w:hint="eastAsia" w:ascii="Times New Roman" w:hAnsi="Times New Roman"/>
                <w:color w:val="auto"/>
                <w:szCs w:val="21"/>
              </w:rPr>
              <w:t>期间已完成了合同约定的工作，根据施工合同的约定，现申请支付竣工结算的工程款额为</w:t>
            </w:r>
            <w:r>
              <w:rPr>
                <w:rFonts w:hint="eastAsia" w:ascii="Times New Roman" w:hAnsi="Times New Roman"/>
                <w:color w:val="auto"/>
                <w:szCs w:val="21"/>
                <w:lang w:eastAsia="zh-CN"/>
              </w:rPr>
              <w:t>（</w:t>
            </w:r>
            <w:r>
              <w:rPr>
                <w:rFonts w:hint="eastAsia" w:ascii="Times New Roman" w:hAnsi="Times New Roman"/>
                <w:color w:val="auto"/>
                <w:szCs w:val="21"/>
              </w:rPr>
              <w:t>大写</w:t>
            </w:r>
            <w:r>
              <w:rPr>
                <w:rFonts w:hint="eastAsia" w:ascii="Times New Roman" w:hAnsi="Times New Roman"/>
                <w:color w:val="auto"/>
                <w:szCs w:val="21"/>
                <w:lang w:eastAsia="zh-CN"/>
              </w:rPr>
              <w:t>）</w:t>
            </w:r>
            <w:r>
              <w:rPr>
                <w:rFonts w:hint="eastAsia" w:ascii="Times New Roman" w:hAnsi="Times New Roman"/>
                <w:color w:val="auto"/>
                <w:szCs w:val="21"/>
                <w:u w:val="single"/>
              </w:rPr>
              <w:t xml:space="preserve">            </w:t>
            </w:r>
            <w:r>
              <w:rPr>
                <w:rFonts w:hint="eastAsia" w:ascii="Times New Roman" w:hAnsi="Times New Roman"/>
                <w:color w:val="auto"/>
                <w:szCs w:val="21"/>
              </w:rPr>
              <w:t>元，</w:t>
            </w:r>
            <w:r>
              <w:rPr>
                <w:rFonts w:hint="eastAsia" w:ascii="Times New Roman" w:hAnsi="Times New Roman"/>
                <w:color w:val="auto"/>
                <w:szCs w:val="21"/>
                <w:lang w:eastAsia="zh-CN"/>
              </w:rPr>
              <w:t>（</w:t>
            </w:r>
            <w:r>
              <w:rPr>
                <w:rFonts w:hint="eastAsia" w:ascii="Times New Roman" w:hAnsi="Times New Roman"/>
                <w:color w:val="auto"/>
                <w:szCs w:val="21"/>
              </w:rPr>
              <w:t>小写</w:t>
            </w:r>
            <w:r>
              <w:rPr>
                <w:rFonts w:hint="eastAsia" w:ascii="Times New Roman" w:hAnsi="Times New Roman"/>
                <w:color w:val="auto"/>
                <w:szCs w:val="21"/>
                <w:lang w:eastAsia="zh-CN"/>
              </w:rPr>
              <w:t>）</w:t>
            </w:r>
            <w:r>
              <w:rPr>
                <w:rFonts w:hint="eastAsia" w:ascii="Times New Roman" w:hAnsi="Times New Roman"/>
                <w:color w:val="auto"/>
                <w:szCs w:val="21"/>
                <w:u w:val="single"/>
              </w:rPr>
              <w:t xml:space="preserve">         </w:t>
            </w:r>
            <w:r>
              <w:rPr>
                <w:rFonts w:hint="eastAsia" w:ascii="Times New Roman" w:hAnsi="Times New Roman"/>
                <w:color w:val="auto"/>
                <w:szCs w:val="21"/>
              </w:rPr>
              <w:t>元，请予核准。</w:t>
            </w:r>
          </w:p>
          <w:tbl>
            <w:tblPr>
              <w:tblStyle w:val="22"/>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3362"/>
              <w:gridCol w:w="1605"/>
              <w:gridCol w:w="1605"/>
              <w:gridCol w:w="1628"/>
            </w:tblGrid>
            <w:tr w14:paraId="2225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3" w:type="dxa"/>
                  <w:noWrap w:val="0"/>
                  <w:vAlign w:val="center"/>
                </w:tcPr>
                <w:p w14:paraId="09BF41AC">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序号</w:t>
                  </w:r>
                </w:p>
              </w:tc>
              <w:tc>
                <w:tcPr>
                  <w:tcW w:w="3362" w:type="dxa"/>
                  <w:noWrap w:val="0"/>
                  <w:vAlign w:val="center"/>
                </w:tcPr>
                <w:p w14:paraId="060E2859">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名      称</w:t>
                  </w:r>
                </w:p>
              </w:tc>
              <w:tc>
                <w:tcPr>
                  <w:tcW w:w="1605" w:type="dxa"/>
                  <w:noWrap w:val="0"/>
                  <w:vAlign w:val="center"/>
                </w:tcPr>
                <w:p w14:paraId="3143B958">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申请金额（元）</w:t>
                  </w:r>
                </w:p>
              </w:tc>
              <w:tc>
                <w:tcPr>
                  <w:tcW w:w="1605" w:type="dxa"/>
                  <w:noWrap w:val="0"/>
                  <w:vAlign w:val="center"/>
                </w:tcPr>
                <w:p w14:paraId="7FB652EC">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复核金额（元）</w:t>
                  </w:r>
                </w:p>
              </w:tc>
              <w:tc>
                <w:tcPr>
                  <w:tcW w:w="1628" w:type="dxa"/>
                  <w:noWrap w:val="0"/>
                  <w:vAlign w:val="center"/>
                </w:tcPr>
                <w:p w14:paraId="78E53B52">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备注</w:t>
                  </w:r>
                </w:p>
              </w:tc>
            </w:tr>
            <w:tr w14:paraId="1F70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3C9A141A">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1</w:t>
                  </w:r>
                </w:p>
              </w:tc>
              <w:tc>
                <w:tcPr>
                  <w:tcW w:w="3362" w:type="dxa"/>
                  <w:noWrap w:val="0"/>
                  <w:vAlign w:val="top"/>
                </w:tcPr>
                <w:p w14:paraId="088B145E">
                  <w:pPr>
                    <w:pStyle w:val="37"/>
                    <w:spacing w:line="280" w:lineRule="exact"/>
                    <w:rPr>
                      <w:rFonts w:hint="eastAsia" w:ascii="Times New Roman" w:hAnsi="Times New Roman"/>
                      <w:color w:val="auto"/>
                      <w:szCs w:val="21"/>
                    </w:rPr>
                  </w:pPr>
                  <w:r>
                    <w:rPr>
                      <w:rFonts w:hint="eastAsia" w:ascii="Times New Roman" w:hAnsi="Times New Roman"/>
                      <w:color w:val="auto"/>
                      <w:szCs w:val="21"/>
                    </w:rPr>
                    <w:t>竣工结算合同价款总额</w:t>
                  </w:r>
                </w:p>
              </w:tc>
              <w:tc>
                <w:tcPr>
                  <w:tcW w:w="1605" w:type="dxa"/>
                  <w:noWrap w:val="0"/>
                  <w:vAlign w:val="top"/>
                </w:tcPr>
                <w:p w14:paraId="51CFDCCE">
                  <w:pPr>
                    <w:pStyle w:val="37"/>
                    <w:spacing w:line="280" w:lineRule="exact"/>
                    <w:rPr>
                      <w:rFonts w:hint="eastAsia" w:ascii="Times New Roman" w:hAnsi="Times New Roman"/>
                      <w:color w:val="auto"/>
                      <w:szCs w:val="21"/>
                    </w:rPr>
                  </w:pPr>
                </w:p>
              </w:tc>
              <w:tc>
                <w:tcPr>
                  <w:tcW w:w="1605" w:type="dxa"/>
                  <w:noWrap w:val="0"/>
                  <w:vAlign w:val="top"/>
                </w:tcPr>
                <w:p w14:paraId="1D1DB29B">
                  <w:pPr>
                    <w:pStyle w:val="37"/>
                    <w:spacing w:line="280" w:lineRule="exact"/>
                    <w:rPr>
                      <w:rFonts w:hint="eastAsia" w:ascii="Times New Roman" w:hAnsi="Times New Roman"/>
                      <w:color w:val="auto"/>
                      <w:szCs w:val="21"/>
                    </w:rPr>
                  </w:pPr>
                </w:p>
              </w:tc>
              <w:tc>
                <w:tcPr>
                  <w:tcW w:w="1628" w:type="dxa"/>
                  <w:noWrap w:val="0"/>
                  <w:vAlign w:val="top"/>
                </w:tcPr>
                <w:p w14:paraId="0BEB2C5C">
                  <w:pPr>
                    <w:pStyle w:val="37"/>
                    <w:spacing w:line="280" w:lineRule="exact"/>
                    <w:rPr>
                      <w:rFonts w:hint="eastAsia" w:ascii="Times New Roman" w:hAnsi="Times New Roman"/>
                      <w:color w:val="auto"/>
                      <w:szCs w:val="21"/>
                    </w:rPr>
                  </w:pPr>
                </w:p>
              </w:tc>
            </w:tr>
            <w:tr w14:paraId="2B997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6DF84F50">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2</w:t>
                  </w:r>
                </w:p>
              </w:tc>
              <w:tc>
                <w:tcPr>
                  <w:tcW w:w="3362" w:type="dxa"/>
                  <w:noWrap w:val="0"/>
                  <w:vAlign w:val="top"/>
                </w:tcPr>
                <w:p w14:paraId="3653CC0B">
                  <w:pPr>
                    <w:pStyle w:val="37"/>
                    <w:spacing w:line="280" w:lineRule="exact"/>
                    <w:rPr>
                      <w:rFonts w:hint="eastAsia" w:ascii="Times New Roman" w:hAnsi="Times New Roman"/>
                      <w:color w:val="auto"/>
                      <w:szCs w:val="21"/>
                    </w:rPr>
                  </w:pPr>
                  <w:r>
                    <w:rPr>
                      <w:rFonts w:hint="eastAsia" w:ascii="Times New Roman" w:hAnsi="Times New Roman"/>
                      <w:color w:val="auto"/>
                      <w:szCs w:val="21"/>
                    </w:rPr>
                    <w:t>累计已实际支付的合同价款</w:t>
                  </w:r>
                </w:p>
              </w:tc>
              <w:tc>
                <w:tcPr>
                  <w:tcW w:w="1605" w:type="dxa"/>
                  <w:noWrap w:val="0"/>
                  <w:vAlign w:val="top"/>
                </w:tcPr>
                <w:p w14:paraId="294C6640">
                  <w:pPr>
                    <w:pStyle w:val="37"/>
                    <w:spacing w:line="280" w:lineRule="exact"/>
                    <w:rPr>
                      <w:rFonts w:hint="eastAsia" w:ascii="Times New Roman" w:hAnsi="Times New Roman"/>
                      <w:color w:val="auto"/>
                      <w:szCs w:val="21"/>
                    </w:rPr>
                  </w:pPr>
                </w:p>
              </w:tc>
              <w:tc>
                <w:tcPr>
                  <w:tcW w:w="1605" w:type="dxa"/>
                  <w:noWrap w:val="0"/>
                  <w:vAlign w:val="top"/>
                </w:tcPr>
                <w:p w14:paraId="5D50A7A3">
                  <w:pPr>
                    <w:pStyle w:val="37"/>
                    <w:spacing w:line="280" w:lineRule="exact"/>
                    <w:rPr>
                      <w:rFonts w:hint="eastAsia" w:ascii="Times New Roman" w:hAnsi="Times New Roman"/>
                      <w:color w:val="auto"/>
                      <w:szCs w:val="21"/>
                    </w:rPr>
                  </w:pPr>
                </w:p>
              </w:tc>
              <w:tc>
                <w:tcPr>
                  <w:tcW w:w="1628" w:type="dxa"/>
                  <w:noWrap w:val="0"/>
                  <w:vAlign w:val="top"/>
                </w:tcPr>
                <w:p w14:paraId="1C2D5CB0">
                  <w:pPr>
                    <w:pStyle w:val="37"/>
                    <w:spacing w:line="280" w:lineRule="exact"/>
                    <w:rPr>
                      <w:rFonts w:hint="eastAsia" w:ascii="Times New Roman" w:hAnsi="Times New Roman"/>
                      <w:color w:val="auto"/>
                      <w:szCs w:val="21"/>
                    </w:rPr>
                  </w:pPr>
                </w:p>
              </w:tc>
            </w:tr>
            <w:tr w14:paraId="5E6E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741F810C">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3</w:t>
                  </w:r>
                </w:p>
              </w:tc>
              <w:tc>
                <w:tcPr>
                  <w:tcW w:w="3362" w:type="dxa"/>
                  <w:noWrap w:val="0"/>
                  <w:vAlign w:val="top"/>
                </w:tcPr>
                <w:p w14:paraId="086E430D">
                  <w:pPr>
                    <w:pStyle w:val="37"/>
                    <w:spacing w:line="280" w:lineRule="exact"/>
                    <w:rPr>
                      <w:rFonts w:hint="eastAsia" w:ascii="Times New Roman" w:hAnsi="Times New Roman"/>
                      <w:color w:val="auto"/>
                      <w:szCs w:val="21"/>
                    </w:rPr>
                  </w:pPr>
                  <w:r>
                    <w:rPr>
                      <w:rFonts w:hint="eastAsia" w:ascii="Times New Roman" w:hAnsi="Times New Roman"/>
                      <w:color w:val="auto"/>
                      <w:szCs w:val="21"/>
                    </w:rPr>
                    <w:t>应预留的质量保证金</w:t>
                  </w:r>
                </w:p>
              </w:tc>
              <w:tc>
                <w:tcPr>
                  <w:tcW w:w="1605" w:type="dxa"/>
                  <w:noWrap w:val="0"/>
                  <w:vAlign w:val="top"/>
                </w:tcPr>
                <w:p w14:paraId="028BD156">
                  <w:pPr>
                    <w:pStyle w:val="37"/>
                    <w:spacing w:line="280" w:lineRule="exact"/>
                    <w:rPr>
                      <w:rFonts w:hint="eastAsia" w:ascii="Times New Roman" w:hAnsi="Times New Roman"/>
                      <w:color w:val="auto"/>
                      <w:szCs w:val="21"/>
                    </w:rPr>
                  </w:pPr>
                </w:p>
              </w:tc>
              <w:tc>
                <w:tcPr>
                  <w:tcW w:w="1605" w:type="dxa"/>
                  <w:noWrap w:val="0"/>
                  <w:vAlign w:val="top"/>
                </w:tcPr>
                <w:p w14:paraId="4B7C8E0A">
                  <w:pPr>
                    <w:pStyle w:val="37"/>
                    <w:spacing w:line="280" w:lineRule="exact"/>
                    <w:rPr>
                      <w:rFonts w:hint="eastAsia" w:ascii="Times New Roman" w:hAnsi="Times New Roman"/>
                      <w:color w:val="auto"/>
                      <w:szCs w:val="21"/>
                    </w:rPr>
                  </w:pPr>
                </w:p>
              </w:tc>
              <w:tc>
                <w:tcPr>
                  <w:tcW w:w="1628" w:type="dxa"/>
                  <w:noWrap w:val="0"/>
                  <w:vAlign w:val="top"/>
                </w:tcPr>
                <w:p w14:paraId="3723F4BD">
                  <w:pPr>
                    <w:pStyle w:val="37"/>
                    <w:spacing w:line="280" w:lineRule="exact"/>
                    <w:rPr>
                      <w:rFonts w:hint="eastAsia" w:ascii="Times New Roman" w:hAnsi="Times New Roman"/>
                      <w:color w:val="auto"/>
                      <w:szCs w:val="21"/>
                    </w:rPr>
                  </w:pPr>
                </w:p>
              </w:tc>
            </w:tr>
            <w:tr w14:paraId="4CED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0151A735">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4</w:t>
                  </w:r>
                </w:p>
              </w:tc>
              <w:tc>
                <w:tcPr>
                  <w:tcW w:w="3362" w:type="dxa"/>
                  <w:noWrap w:val="0"/>
                  <w:vAlign w:val="top"/>
                </w:tcPr>
                <w:p w14:paraId="129E449C">
                  <w:pPr>
                    <w:pStyle w:val="37"/>
                    <w:spacing w:line="280" w:lineRule="exact"/>
                    <w:rPr>
                      <w:rFonts w:hint="eastAsia" w:ascii="Times New Roman" w:hAnsi="Times New Roman"/>
                      <w:color w:val="auto"/>
                      <w:szCs w:val="21"/>
                    </w:rPr>
                  </w:pPr>
                  <w:r>
                    <w:rPr>
                      <w:rFonts w:hint="eastAsia" w:ascii="Times New Roman" w:hAnsi="Times New Roman"/>
                      <w:color w:val="auto"/>
                      <w:szCs w:val="21"/>
                    </w:rPr>
                    <w:t>应支付的竣工结算款金额</w:t>
                  </w:r>
                </w:p>
              </w:tc>
              <w:tc>
                <w:tcPr>
                  <w:tcW w:w="1605" w:type="dxa"/>
                  <w:noWrap w:val="0"/>
                  <w:vAlign w:val="top"/>
                </w:tcPr>
                <w:p w14:paraId="5921CEDD">
                  <w:pPr>
                    <w:pStyle w:val="37"/>
                    <w:spacing w:line="280" w:lineRule="exact"/>
                    <w:rPr>
                      <w:rFonts w:hint="eastAsia" w:ascii="Times New Roman" w:hAnsi="Times New Roman"/>
                      <w:color w:val="auto"/>
                      <w:szCs w:val="21"/>
                    </w:rPr>
                  </w:pPr>
                </w:p>
              </w:tc>
              <w:tc>
                <w:tcPr>
                  <w:tcW w:w="1605" w:type="dxa"/>
                  <w:noWrap w:val="0"/>
                  <w:vAlign w:val="top"/>
                </w:tcPr>
                <w:p w14:paraId="45BCCB3E">
                  <w:pPr>
                    <w:pStyle w:val="37"/>
                    <w:spacing w:line="280" w:lineRule="exact"/>
                    <w:rPr>
                      <w:rFonts w:hint="eastAsia" w:ascii="Times New Roman" w:hAnsi="Times New Roman"/>
                      <w:color w:val="auto"/>
                      <w:szCs w:val="21"/>
                    </w:rPr>
                  </w:pPr>
                </w:p>
              </w:tc>
              <w:tc>
                <w:tcPr>
                  <w:tcW w:w="1628" w:type="dxa"/>
                  <w:noWrap w:val="0"/>
                  <w:vAlign w:val="top"/>
                </w:tcPr>
                <w:p w14:paraId="350A63D3">
                  <w:pPr>
                    <w:pStyle w:val="37"/>
                    <w:spacing w:line="280" w:lineRule="exact"/>
                    <w:rPr>
                      <w:rFonts w:hint="eastAsia" w:ascii="Times New Roman" w:hAnsi="Times New Roman"/>
                      <w:color w:val="auto"/>
                      <w:szCs w:val="21"/>
                    </w:rPr>
                  </w:pPr>
                </w:p>
              </w:tc>
            </w:tr>
            <w:tr w14:paraId="7C0A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24C96F46">
                  <w:pPr>
                    <w:pStyle w:val="37"/>
                    <w:spacing w:line="280" w:lineRule="exact"/>
                    <w:jc w:val="center"/>
                    <w:rPr>
                      <w:rFonts w:hint="eastAsia" w:ascii="Times New Roman" w:hAnsi="Times New Roman"/>
                      <w:color w:val="auto"/>
                      <w:szCs w:val="21"/>
                    </w:rPr>
                  </w:pPr>
                </w:p>
              </w:tc>
              <w:tc>
                <w:tcPr>
                  <w:tcW w:w="3362" w:type="dxa"/>
                  <w:noWrap w:val="0"/>
                  <w:vAlign w:val="top"/>
                </w:tcPr>
                <w:p w14:paraId="27B03060">
                  <w:pPr>
                    <w:pStyle w:val="37"/>
                    <w:spacing w:line="280" w:lineRule="exact"/>
                    <w:rPr>
                      <w:rFonts w:hint="eastAsia" w:ascii="Times New Roman" w:hAnsi="Times New Roman"/>
                      <w:color w:val="auto"/>
                      <w:szCs w:val="21"/>
                    </w:rPr>
                  </w:pPr>
                </w:p>
              </w:tc>
              <w:tc>
                <w:tcPr>
                  <w:tcW w:w="1605" w:type="dxa"/>
                  <w:noWrap w:val="0"/>
                  <w:vAlign w:val="top"/>
                </w:tcPr>
                <w:p w14:paraId="33B645D0">
                  <w:pPr>
                    <w:pStyle w:val="37"/>
                    <w:spacing w:line="280" w:lineRule="exact"/>
                    <w:rPr>
                      <w:rFonts w:hint="eastAsia" w:ascii="Times New Roman" w:hAnsi="Times New Roman"/>
                      <w:color w:val="auto"/>
                      <w:szCs w:val="21"/>
                    </w:rPr>
                  </w:pPr>
                </w:p>
              </w:tc>
              <w:tc>
                <w:tcPr>
                  <w:tcW w:w="1605" w:type="dxa"/>
                  <w:noWrap w:val="0"/>
                  <w:vAlign w:val="top"/>
                </w:tcPr>
                <w:p w14:paraId="16444685">
                  <w:pPr>
                    <w:pStyle w:val="37"/>
                    <w:spacing w:line="280" w:lineRule="exact"/>
                    <w:rPr>
                      <w:rFonts w:hint="eastAsia" w:ascii="Times New Roman" w:hAnsi="Times New Roman"/>
                      <w:color w:val="auto"/>
                      <w:szCs w:val="21"/>
                    </w:rPr>
                  </w:pPr>
                </w:p>
              </w:tc>
              <w:tc>
                <w:tcPr>
                  <w:tcW w:w="1628" w:type="dxa"/>
                  <w:noWrap w:val="0"/>
                  <w:vAlign w:val="top"/>
                </w:tcPr>
                <w:p w14:paraId="0F9C31E0">
                  <w:pPr>
                    <w:pStyle w:val="37"/>
                    <w:spacing w:line="280" w:lineRule="exact"/>
                    <w:rPr>
                      <w:rFonts w:hint="eastAsia" w:ascii="Times New Roman" w:hAnsi="Times New Roman"/>
                      <w:color w:val="auto"/>
                      <w:szCs w:val="21"/>
                    </w:rPr>
                  </w:pPr>
                </w:p>
              </w:tc>
            </w:tr>
            <w:tr w14:paraId="2AF8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20941003">
                  <w:pPr>
                    <w:pStyle w:val="37"/>
                    <w:spacing w:line="280" w:lineRule="exact"/>
                    <w:jc w:val="center"/>
                    <w:rPr>
                      <w:rFonts w:hint="eastAsia" w:ascii="Times New Roman" w:hAnsi="Times New Roman"/>
                      <w:color w:val="auto"/>
                      <w:szCs w:val="21"/>
                    </w:rPr>
                  </w:pPr>
                </w:p>
              </w:tc>
              <w:tc>
                <w:tcPr>
                  <w:tcW w:w="3362" w:type="dxa"/>
                  <w:noWrap w:val="0"/>
                  <w:vAlign w:val="top"/>
                </w:tcPr>
                <w:p w14:paraId="171572DD">
                  <w:pPr>
                    <w:pStyle w:val="37"/>
                    <w:spacing w:line="280" w:lineRule="exact"/>
                    <w:rPr>
                      <w:rFonts w:hint="eastAsia" w:ascii="Times New Roman" w:hAnsi="Times New Roman"/>
                      <w:color w:val="auto"/>
                      <w:szCs w:val="21"/>
                    </w:rPr>
                  </w:pPr>
                </w:p>
              </w:tc>
              <w:tc>
                <w:tcPr>
                  <w:tcW w:w="1605" w:type="dxa"/>
                  <w:noWrap w:val="0"/>
                  <w:vAlign w:val="top"/>
                </w:tcPr>
                <w:p w14:paraId="42F40DA3">
                  <w:pPr>
                    <w:pStyle w:val="37"/>
                    <w:spacing w:line="280" w:lineRule="exact"/>
                    <w:rPr>
                      <w:rFonts w:hint="eastAsia" w:ascii="Times New Roman" w:hAnsi="Times New Roman"/>
                      <w:color w:val="auto"/>
                      <w:szCs w:val="21"/>
                    </w:rPr>
                  </w:pPr>
                </w:p>
              </w:tc>
              <w:tc>
                <w:tcPr>
                  <w:tcW w:w="1605" w:type="dxa"/>
                  <w:noWrap w:val="0"/>
                  <w:vAlign w:val="top"/>
                </w:tcPr>
                <w:p w14:paraId="6613F7CA">
                  <w:pPr>
                    <w:pStyle w:val="37"/>
                    <w:spacing w:line="280" w:lineRule="exact"/>
                    <w:rPr>
                      <w:rFonts w:hint="eastAsia" w:ascii="Times New Roman" w:hAnsi="Times New Roman"/>
                      <w:color w:val="auto"/>
                      <w:szCs w:val="21"/>
                    </w:rPr>
                  </w:pPr>
                </w:p>
              </w:tc>
              <w:tc>
                <w:tcPr>
                  <w:tcW w:w="1628" w:type="dxa"/>
                  <w:noWrap w:val="0"/>
                  <w:vAlign w:val="top"/>
                </w:tcPr>
                <w:p w14:paraId="1EC78B44">
                  <w:pPr>
                    <w:pStyle w:val="37"/>
                    <w:spacing w:line="280" w:lineRule="exact"/>
                    <w:rPr>
                      <w:rFonts w:hint="eastAsia" w:ascii="Times New Roman" w:hAnsi="Times New Roman"/>
                      <w:color w:val="auto"/>
                      <w:szCs w:val="21"/>
                    </w:rPr>
                  </w:pPr>
                </w:p>
              </w:tc>
            </w:tr>
            <w:tr w14:paraId="51C3A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5792AB91">
                  <w:pPr>
                    <w:pStyle w:val="37"/>
                    <w:spacing w:line="280" w:lineRule="exact"/>
                    <w:jc w:val="center"/>
                    <w:rPr>
                      <w:rFonts w:hint="eastAsia" w:ascii="Times New Roman" w:hAnsi="Times New Roman"/>
                      <w:color w:val="auto"/>
                      <w:szCs w:val="21"/>
                    </w:rPr>
                  </w:pPr>
                </w:p>
              </w:tc>
              <w:tc>
                <w:tcPr>
                  <w:tcW w:w="3362" w:type="dxa"/>
                  <w:noWrap w:val="0"/>
                  <w:vAlign w:val="top"/>
                </w:tcPr>
                <w:p w14:paraId="75BD5872">
                  <w:pPr>
                    <w:pStyle w:val="37"/>
                    <w:spacing w:line="280" w:lineRule="exact"/>
                    <w:rPr>
                      <w:rFonts w:hint="eastAsia" w:ascii="Times New Roman" w:hAnsi="Times New Roman"/>
                      <w:color w:val="auto"/>
                      <w:szCs w:val="21"/>
                    </w:rPr>
                  </w:pPr>
                </w:p>
              </w:tc>
              <w:tc>
                <w:tcPr>
                  <w:tcW w:w="1605" w:type="dxa"/>
                  <w:noWrap w:val="0"/>
                  <w:vAlign w:val="top"/>
                </w:tcPr>
                <w:p w14:paraId="5CED3395">
                  <w:pPr>
                    <w:pStyle w:val="37"/>
                    <w:spacing w:line="280" w:lineRule="exact"/>
                    <w:rPr>
                      <w:rFonts w:hint="eastAsia" w:ascii="Times New Roman" w:hAnsi="Times New Roman"/>
                      <w:color w:val="auto"/>
                      <w:szCs w:val="21"/>
                    </w:rPr>
                  </w:pPr>
                </w:p>
              </w:tc>
              <w:tc>
                <w:tcPr>
                  <w:tcW w:w="1605" w:type="dxa"/>
                  <w:noWrap w:val="0"/>
                  <w:vAlign w:val="top"/>
                </w:tcPr>
                <w:p w14:paraId="4BB6C60F">
                  <w:pPr>
                    <w:pStyle w:val="37"/>
                    <w:spacing w:line="280" w:lineRule="exact"/>
                    <w:rPr>
                      <w:rFonts w:hint="eastAsia" w:ascii="Times New Roman" w:hAnsi="Times New Roman"/>
                      <w:color w:val="auto"/>
                      <w:szCs w:val="21"/>
                    </w:rPr>
                  </w:pPr>
                </w:p>
              </w:tc>
              <w:tc>
                <w:tcPr>
                  <w:tcW w:w="1628" w:type="dxa"/>
                  <w:noWrap w:val="0"/>
                  <w:vAlign w:val="top"/>
                </w:tcPr>
                <w:p w14:paraId="6568781B">
                  <w:pPr>
                    <w:pStyle w:val="37"/>
                    <w:spacing w:line="280" w:lineRule="exact"/>
                    <w:rPr>
                      <w:rFonts w:hint="eastAsia" w:ascii="Times New Roman" w:hAnsi="Times New Roman"/>
                      <w:color w:val="auto"/>
                      <w:szCs w:val="21"/>
                    </w:rPr>
                  </w:pPr>
                </w:p>
              </w:tc>
            </w:tr>
            <w:tr w14:paraId="7440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73785295">
                  <w:pPr>
                    <w:pStyle w:val="37"/>
                    <w:spacing w:line="280" w:lineRule="exact"/>
                    <w:jc w:val="center"/>
                    <w:rPr>
                      <w:rFonts w:hint="eastAsia" w:ascii="Times New Roman" w:hAnsi="Times New Roman"/>
                      <w:color w:val="auto"/>
                      <w:szCs w:val="21"/>
                    </w:rPr>
                  </w:pPr>
                </w:p>
              </w:tc>
              <w:tc>
                <w:tcPr>
                  <w:tcW w:w="3362" w:type="dxa"/>
                  <w:noWrap w:val="0"/>
                  <w:vAlign w:val="top"/>
                </w:tcPr>
                <w:p w14:paraId="2C612EFF">
                  <w:pPr>
                    <w:pStyle w:val="37"/>
                    <w:spacing w:line="280" w:lineRule="exact"/>
                    <w:rPr>
                      <w:rFonts w:hint="eastAsia" w:ascii="Times New Roman" w:hAnsi="Times New Roman"/>
                      <w:color w:val="auto"/>
                      <w:szCs w:val="21"/>
                    </w:rPr>
                  </w:pPr>
                </w:p>
              </w:tc>
              <w:tc>
                <w:tcPr>
                  <w:tcW w:w="1605" w:type="dxa"/>
                  <w:noWrap w:val="0"/>
                  <w:vAlign w:val="top"/>
                </w:tcPr>
                <w:p w14:paraId="4EA4126E">
                  <w:pPr>
                    <w:pStyle w:val="37"/>
                    <w:spacing w:line="280" w:lineRule="exact"/>
                    <w:rPr>
                      <w:rFonts w:hint="eastAsia" w:ascii="Times New Roman" w:hAnsi="Times New Roman"/>
                      <w:color w:val="auto"/>
                      <w:szCs w:val="21"/>
                    </w:rPr>
                  </w:pPr>
                </w:p>
              </w:tc>
              <w:tc>
                <w:tcPr>
                  <w:tcW w:w="1605" w:type="dxa"/>
                  <w:noWrap w:val="0"/>
                  <w:vAlign w:val="top"/>
                </w:tcPr>
                <w:p w14:paraId="62FBE854">
                  <w:pPr>
                    <w:pStyle w:val="37"/>
                    <w:spacing w:line="280" w:lineRule="exact"/>
                    <w:rPr>
                      <w:rFonts w:hint="eastAsia" w:ascii="Times New Roman" w:hAnsi="Times New Roman"/>
                      <w:color w:val="auto"/>
                      <w:szCs w:val="21"/>
                    </w:rPr>
                  </w:pPr>
                </w:p>
              </w:tc>
              <w:tc>
                <w:tcPr>
                  <w:tcW w:w="1628" w:type="dxa"/>
                  <w:noWrap w:val="0"/>
                  <w:vAlign w:val="top"/>
                </w:tcPr>
                <w:p w14:paraId="40630BF2">
                  <w:pPr>
                    <w:pStyle w:val="37"/>
                    <w:spacing w:line="280" w:lineRule="exact"/>
                    <w:rPr>
                      <w:rFonts w:hint="eastAsia" w:ascii="Times New Roman" w:hAnsi="Times New Roman"/>
                      <w:color w:val="auto"/>
                      <w:szCs w:val="21"/>
                    </w:rPr>
                  </w:pPr>
                </w:p>
              </w:tc>
            </w:tr>
            <w:tr w14:paraId="32B4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0C6EDEC7">
                  <w:pPr>
                    <w:pStyle w:val="37"/>
                    <w:spacing w:line="280" w:lineRule="exact"/>
                    <w:jc w:val="center"/>
                    <w:rPr>
                      <w:rFonts w:hint="eastAsia" w:ascii="Times New Roman" w:hAnsi="Times New Roman"/>
                      <w:color w:val="auto"/>
                      <w:szCs w:val="21"/>
                    </w:rPr>
                  </w:pPr>
                </w:p>
              </w:tc>
              <w:tc>
                <w:tcPr>
                  <w:tcW w:w="3362" w:type="dxa"/>
                  <w:noWrap w:val="0"/>
                  <w:vAlign w:val="top"/>
                </w:tcPr>
                <w:p w14:paraId="4D3C61F3">
                  <w:pPr>
                    <w:pStyle w:val="37"/>
                    <w:spacing w:line="280" w:lineRule="exact"/>
                    <w:rPr>
                      <w:rFonts w:hint="eastAsia" w:ascii="Times New Roman" w:hAnsi="Times New Roman"/>
                      <w:color w:val="auto"/>
                      <w:szCs w:val="21"/>
                    </w:rPr>
                  </w:pPr>
                </w:p>
              </w:tc>
              <w:tc>
                <w:tcPr>
                  <w:tcW w:w="1605" w:type="dxa"/>
                  <w:noWrap w:val="0"/>
                  <w:vAlign w:val="top"/>
                </w:tcPr>
                <w:p w14:paraId="27CFA7BA">
                  <w:pPr>
                    <w:pStyle w:val="37"/>
                    <w:spacing w:line="280" w:lineRule="exact"/>
                    <w:rPr>
                      <w:rFonts w:hint="eastAsia" w:ascii="Times New Roman" w:hAnsi="Times New Roman"/>
                      <w:color w:val="auto"/>
                      <w:szCs w:val="21"/>
                    </w:rPr>
                  </w:pPr>
                </w:p>
              </w:tc>
              <w:tc>
                <w:tcPr>
                  <w:tcW w:w="1605" w:type="dxa"/>
                  <w:noWrap w:val="0"/>
                  <w:vAlign w:val="top"/>
                </w:tcPr>
                <w:p w14:paraId="72E42836">
                  <w:pPr>
                    <w:pStyle w:val="37"/>
                    <w:spacing w:line="280" w:lineRule="exact"/>
                    <w:rPr>
                      <w:rFonts w:hint="eastAsia" w:ascii="Times New Roman" w:hAnsi="Times New Roman"/>
                      <w:color w:val="auto"/>
                      <w:szCs w:val="21"/>
                    </w:rPr>
                  </w:pPr>
                </w:p>
              </w:tc>
              <w:tc>
                <w:tcPr>
                  <w:tcW w:w="1628" w:type="dxa"/>
                  <w:noWrap w:val="0"/>
                  <w:vAlign w:val="top"/>
                </w:tcPr>
                <w:p w14:paraId="521BEB9F">
                  <w:pPr>
                    <w:pStyle w:val="37"/>
                    <w:spacing w:line="280" w:lineRule="exact"/>
                    <w:rPr>
                      <w:rFonts w:hint="eastAsia" w:ascii="Times New Roman" w:hAnsi="Times New Roman"/>
                      <w:color w:val="auto"/>
                      <w:szCs w:val="21"/>
                    </w:rPr>
                  </w:pPr>
                </w:p>
              </w:tc>
            </w:tr>
          </w:tbl>
          <w:p w14:paraId="40BBED12">
            <w:pPr>
              <w:pStyle w:val="37"/>
              <w:spacing w:line="400" w:lineRule="exact"/>
              <w:ind w:right="420" w:firstLine="435"/>
              <w:jc w:val="center"/>
              <w:rPr>
                <w:rFonts w:hint="eastAsia" w:ascii="Times New Roman" w:hAnsi="Times New Roman"/>
                <w:color w:val="auto"/>
                <w:szCs w:val="21"/>
              </w:rPr>
            </w:pPr>
          </w:p>
          <w:p w14:paraId="20E65A63">
            <w:pPr>
              <w:pStyle w:val="37"/>
              <w:spacing w:line="400" w:lineRule="exact"/>
              <w:ind w:right="420" w:firstLine="420" w:firstLineChars="200"/>
              <w:jc w:val="center"/>
              <w:rPr>
                <w:rFonts w:hint="eastAsia" w:ascii="Times New Roman" w:hAnsi="Times New Roman"/>
                <w:color w:val="auto"/>
                <w:szCs w:val="21"/>
              </w:rPr>
            </w:pPr>
            <w:r>
              <w:rPr>
                <w:rFonts w:hint="eastAsia" w:ascii="Times New Roman" w:hAnsi="Times New Roman"/>
                <w:color w:val="auto"/>
                <w:szCs w:val="21"/>
              </w:rPr>
              <w:t xml:space="preserve">                                            承包人（章）             </w:t>
            </w:r>
          </w:p>
          <w:p w14:paraId="6C2B76DD">
            <w:pPr>
              <w:pStyle w:val="37"/>
              <w:spacing w:line="400" w:lineRule="exact"/>
              <w:ind w:right="420" w:firstLine="420" w:firstLineChars="200"/>
              <w:rPr>
                <w:rFonts w:hint="eastAsia" w:ascii="Times New Roman" w:hAnsi="Times New Roman"/>
                <w:color w:val="auto"/>
                <w:szCs w:val="21"/>
              </w:rPr>
            </w:pPr>
            <w:r>
              <w:rPr>
                <w:rFonts w:hint="eastAsia" w:ascii="Times New Roman" w:hAnsi="Times New Roman"/>
                <w:color w:val="auto"/>
                <w:szCs w:val="21"/>
              </w:rPr>
              <w:t>造价人员</w:t>
            </w:r>
            <w:r>
              <w:rPr>
                <w:rFonts w:hint="eastAsia" w:ascii="Times New Roman" w:hAnsi="Times New Roman"/>
                <w:color w:val="auto"/>
                <w:szCs w:val="21"/>
                <w:u w:val="single"/>
              </w:rPr>
              <w:t xml:space="preserve">               </w:t>
            </w:r>
            <w:r>
              <w:rPr>
                <w:rFonts w:hint="eastAsia" w:ascii="Times New Roman" w:hAnsi="Times New Roman"/>
                <w:color w:val="auto"/>
                <w:szCs w:val="21"/>
              </w:rPr>
              <w:t>承包人代表</w:t>
            </w:r>
            <w:r>
              <w:rPr>
                <w:rFonts w:hint="eastAsia" w:ascii="Times New Roman" w:hAnsi="Times New Roman"/>
                <w:color w:val="auto"/>
                <w:szCs w:val="21"/>
                <w:u w:val="single"/>
              </w:rPr>
              <w:t xml:space="preserve">               </w:t>
            </w:r>
            <w:r>
              <w:rPr>
                <w:rFonts w:hint="eastAsia" w:ascii="Times New Roman" w:hAnsi="Times New Roman"/>
                <w:color w:val="auto"/>
                <w:szCs w:val="21"/>
              </w:rPr>
              <w:t>日      期</w:t>
            </w:r>
            <w:r>
              <w:rPr>
                <w:rFonts w:hint="eastAsia" w:ascii="Times New Roman" w:hAnsi="Times New Roman"/>
                <w:color w:val="auto"/>
                <w:szCs w:val="21"/>
                <w:u w:val="single"/>
              </w:rPr>
              <w:t xml:space="preserve">               </w:t>
            </w:r>
          </w:p>
        </w:tc>
      </w:tr>
      <w:tr w14:paraId="4F93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9072" w:type="dxa"/>
            <w:noWrap w:val="0"/>
            <w:vAlign w:val="top"/>
          </w:tcPr>
          <w:p w14:paraId="15DA2FA3">
            <w:pPr>
              <w:pStyle w:val="37"/>
              <w:spacing w:line="360" w:lineRule="exact"/>
              <w:ind w:firstLine="420" w:firstLineChars="200"/>
              <w:rPr>
                <w:rFonts w:hint="eastAsia" w:ascii="Times New Roman" w:hAnsi="Times New Roman"/>
                <w:color w:val="auto"/>
                <w:szCs w:val="21"/>
              </w:rPr>
            </w:pPr>
            <w:r>
              <w:rPr>
                <w:rFonts w:hint="eastAsia" w:ascii="Times New Roman" w:hAnsi="Times New Roman"/>
                <w:color w:val="auto"/>
                <w:szCs w:val="21"/>
              </w:rPr>
              <w:t>复核意见：</w:t>
            </w:r>
          </w:p>
          <w:p w14:paraId="536C74DB">
            <w:pPr>
              <w:pStyle w:val="37"/>
              <w:spacing w:line="360" w:lineRule="exact"/>
              <w:ind w:firstLine="420" w:firstLineChars="200"/>
              <w:rPr>
                <w:rFonts w:hint="eastAsia" w:ascii="Times New Roman" w:hAnsi="Times New Roman"/>
                <w:color w:val="auto"/>
                <w:szCs w:val="21"/>
              </w:rPr>
            </w:pPr>
            <w:r>
              <w:rPr>
                <w:rFonts w:hint="eastAsia" w:ascii="Times New Roman" w:hAnsi="Times New Roman"/>
                <w:color w:val="auto"/>
                <w:szCs w:val="21"/>
              </w:rPr>
              <w:t>□与实际施工情况不相符，修改意见见附件。</w:t>
            </w:r>
          </w:p>
          <w:p w14:paraId="257C0EDD">
            <w:pPr>
              <w:pStyle w:val="37"/>
              <w:spacing w:line="360" w:lineRule="exact"/>
              <w:ind w:firstLine="420" w:firstLineChars="200"/>
              <w:rPr>
                <w:rFonts w:hint="eastAsia" w:ascii="Times New Roman" w:hAnsi="Times New Roman"/>
                <w:color w:val="auto"/>
                <w:szCs w:val="21"/>
              </w:rPr>
            </w:pPr>
            <w:r>
              <w:rPr>
                <w:rFonts w:hint="eastAsia" w:ascii="Times New Roman" w:hAnsi="Times New Roman"/>
                <w:color w:val="auto"/>
                <w:szCs w:val="21"/>
              </w:rPr>
              <w:t>□与实际施工情况相符，具体金额由造价工程师复核。</w:t>
            </w:r>
          </w:p>
          <w:p w14:paraId="1B43AC3D">
            <w:pPr>
              <w:pStyle w:val="37"/>
              <w:spacing w:line="360" w:lineRule="exact"/>
              <w:ind w:firstLine="435"/>
              <w:jc w:val="right"/>
              <w:rPr>
                <w:rFonts w:hint="eastAsia" w:ascii="Times New Roman" w:hAnsi="Times New Roman"/>
                <w:color w:val="auto"/>
                <w:szCs w:val="21"/>
              </w:rPr>
            </w:pPr>
          </w:p>
          <w:p w14:paraId="4647091A">
            <w:pPr>
              <w:pStyle w:val="37"/>
              <w:spacing w:line="360" w:lineRule="exact"/>
              <w:ind w:firstLine="435"/>
              <w:jc w:val="right"/>
              <w:rPr>
                <w:rFonts w:hint="eastAsia" w:ascii="Times New Roman" w:hAnsi="Times New Roman"/>
                <w:color w:val="auto"/>
                <w:szCs w:val="21"/>
              </w:rPr>
            </w:pPr>
          </w:p>
          <w:p w14:paraId="3C4236C7">
            <w:pPr>
              <w:pStyle w:val="37"/>
              <w:spacing w:line="360" w:lineRule="exact"/>
              <w:ind w:firstLine="420" w:firstLineChars="200"/>
              <w:jc w:val="center"/>
              <w:rPr>
                <w:rFonts w:hint="eastAsia" w:ascii="Times New Roman" w:hAnsi="Times New Roman"/>
                <w:color w:val="auto"/>
                <w:szCs w:val="21"/>
              </w:rPr>
            </w:pPr>
            <w:r>
              <w:rPr>
                <w:rFonts w:ascii="Times New Roman" w:hAnsi="Times New Roman"/>
                <w:color w:val="auto"/>
                <w:szCs w:val="21"/>
              </w:rPr>
              <w:t xml:space="preserve">    </w:t>
            </w:r>
            <w:r>
              <w:rPr>
                <w:rFonts w:hint="eastAsia" w:ascii="Times New Roman" w:hAnsi="Times New Roman"/>
                <w:color w:val="auto"/>
                <w:szCs w:val="21"/>
              </w:rPr>
              <w:t xml:space="preserve">     </w:t>
            </w:r>
          </w:p>
          <w:p w14:paraId="0DB25E66">
            <w:pPr>
              <w:pStyle w:val="37"/>
              <w:spacing w:line="360" w:lineRule="exact"/>
              <w:ind w:firstLine="420" w:firstLineChars="200"/>
              <w:jc w:val="center"/>
              <w:rPr>
                <w:rFonts w:hint="eastAsia" w:ascii="Times New Roman" w:hAnsi="Times New Roman"/>
                <w:color w:val="auto"/>
                <w:szCs w:val="21"/>
                <w:u w:val="single"/>
              </w:rPr>
            </w:pPr>
            <w:r>
              <w:rPr>
                <w:rFonts w:hint="eastAsia" w:ascii="Times New Roman" w:hAnsi="Times New Roman"/>
                <w:color w:val="auto"/>
                <w:szCs w:val="21"/>
              </w:rPr>
              <w:t xml:space="preserve">      监理工程师</w:t>
            </w:r>
            <w:r>
              <w:rPr>
                <w:rFonts w:hint="eastAsia" w:ascii="Times New Roman" w:hAnsi="Times New Roman"/>
                <w:color w:val="auto"/>
                <w:szCs w:val="21"/>
                <w:u w:val="single"/>
              </w:rPr>
              <w:t xml:space="preserve">           </w:t>
            </w:r>
          </w:p>
          <w:p w14:paraId="5970ED41">
            <w:pPr>
              <w:pStyle w:val="37"/>
              <w:spacing w:line="360" w:lineRule="exact"/>
              <w:ind w:firstLine="420" w:firstLineChars="200"/>
              <w:jc w:val="center"/>
              <w:rPr>
                <w:rFonts w:hint="eastAsia" w:ascii="Times New Roman" w:hAnsi="Times New Roman"/>
                <w:color w:val="auto"/>
                <w:szCs w:val="21"/>
                <w:u w:val="single"/>
              </w:rPr>
            </w:pPr>
            <w:r>
              <w:rPr>
                <w:rFonts w:ascii="Times New Roman" w:hAnsi="Times New Roman"/>
                <w:color w:val="auto"/>
                <w:szCs w:val="21"/>
              </w:rPr>
              <w:t xml:space="preserve">    </w:t>
            </w:r>
            <w:r>
              <w:rPr>
                <w:rFonts w:hint="eastAsia" w:ascii="Times New Roman" w:hAnsi="Times New Roman"/>
                <w:color w:val="auto"/>
                <w:szCs w:val="21"/>
              </w:rPr>
              <w:t xml:space="preserve">  日      期</w:t>
            </w:r>
            <w:r>
              <w:rPr>
                <w:rFonts w:hint="eastAsia" w:ascii="Times New Roman" w:hAnsi="Times New Roman"/>
                <w:color w:val="auto"/>
                <w:szCs w:val="21"/>
                <w:u w:val="single"/>
              </w:rPr>
              <w:t xml:space="preserve">           </w:t>
            </w:r>
          </w:p>
        </w:tc>
      </w:tr>
      <w:tr w14:paraId="342AA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noWrap w:val="0"/>
            <w:vAlign w:val="top"/>
          </w:tcPr>
          <w:p w14:paraId="47F10ED2">
            <w:pPr>
              <w:pStyle w:val="37"/>
              <w:spacing w:line="400" w:lineRule="exact"/>
              <w:ind w:firstLine="420" w:firstLineChars="200"/>
              <w:rPr>
                <w:rFonts w:hint="eastAsia" w:ascii="Times New Roman" w:hAnsi="Times New Roman"/>
                <w:color w:val="auto"/>
                <w:szCs w:val="21"/>
              </w:rPr>
            </w:pPr>
            <w:r>
              <w:rPr>
                <w:rFonts w:hint="eastAsia" w:ascii="Times New Roman" w:hAnsi="Times New Roman"/>
                <w:color w:val="auto"/>
                <w:szCs w:val="21"/>
              </w:rPr>
              <w:t>审核意见：</w:t>
            </w:r>
          </w:p>
          <w:p w14:paraId="47993E0D">
            <w:pPr>
              <w:pStyle w:val="37"/>
              <w:spacing w:line="400" w:lineRule="exact"/>
              <w:ind w:firstLine="420" w:firstLineChars="200"/>
              <w:rPr>
                <w:rFonts w:hint="eastAsia" w:ascii="Times New Roman" w:hAnsi="Times New Roman"/>
                <w:color w:val="auto"/>
                <w:szCs w:val="21"/>
              </w:rPr>
            </w:pPr>
            <w:r>
              <w:rPr>
                <w:rFonts w:hint="eastAsia" w:ascii="Times New Roman" w:hAnsi="Times New Roman"/>
                <w:color w:val="auto"/>
                <w:szCs w:val="21"/>
              </w:rPr>
              <w:t>□不同意。</w:t>
            </w:r>
          </w:p>
          <w:p w14:paraId="12C40B35">
            <w:pPr>
              <w:pStyle w:val="37"/>
              <w:spacing w:line="400" w:lineRule="exact"/>
              <w:ind w:firstLine="420" w:firstLineChars="200"/>
              <w:rPr>
                <w:rFonts w:hint="eastAsia" w:ascii="Times New Roman" w:hAnsi="Times New Roman"/>
                <w:color w:val="auto"/>
                <w:szCs w:val="21"/>
              </w:rPr>
            </w:pPr>
            <w:r>
              <w:rPr>
                <w:rFonts w:hint="eastAsia" w:ascii="Times New Roman" w:hAnsi="Times New Roman"/>
                <w:color w:val="auto"/>
                <w:szCs w:val="21"/>
              </w:rPr>
              <w:t>□同意。</w:t>
            </w:r>
          </w:p>
          <w:p w14:paraId="0C14B1CF">
            <w:pPr>
              <w:pStyle w:val="37"/>
              <w:wordWrap w:val="0"/>
              <w:spacing w:line="400" w:lineRule="exact"/>
              <w:ind w:firstLine="420" w:firstLineChars="200"/>
              <w:jc w:val="right"/>
              <w:rPr>
                <w:rFonts w:hint="eastAsia" w:ascii="Times New Roman" w:hAnsi="Times New Roman"/>
                <w:color w:val="auto"/>
                <w:szCs w:val="21"/>
              </w:rPr>
            </w:pPr>
            <w:r>
              <w:rPr>
                <w:rFonts w:hint="eastAsia" w:ascii="Times New Roman" w:hAnsi="Times New Roman"/>
                <w:color w:val="auto"/>
                <w:szCs w:val="21"/>
              </w:rPr>
              <w:t xml:space="preserve">发包人（章）           </w:t>
            </w:r>
          </w:p>
          <w:p w14:paraId="705836CE">
            <w:pPr>
              <w:pStyle w:val="37"/>
              <w:wordWrap w:val="0"/>
              <w:spacing w:line="400" w:lineRule="exact"/>
              <w:ind w:firstLine="420" w:firstLineChars="200"/>
              <w:jc w:val="right"/>
              <w:rPr>
                <w:rFonts w:hint="eastAsia" w:ascii="Times New Roman" w:hAnsi="Times New Roman"/>
                <w:color w:val="auto"/>
                <w:szCs w:val="21"/>
                <w:u w:val="single"/>
              </w:rPr>
            </w:pPr>
            <w:r>
              <w:rPr>
                <w:rFonts w:hint="eastAsia" w:ascii="Times New Roman" w:hAnsi="Times New Roman"/>
                <w:color w:val="auto"/>
                <w:szCs w:val="21"/>
              </w:rPr>
              <w:t>发包人代表</w:t>
            </w:r>
            <w:r>
              <w:rPr>
                <w:rFonts w:hint="eastAsia" w:ascii="Times New Roman" w:hAnsi="Times New Roman"/>
                <w:color w:val="auto"/>
                <w:szCs w:val="21"/>
                <w:u w:val="single"/>
              </w:rPr>
              <w:t xml:space="preserve">             </w:t>
            </w:r>
          </w:p>
          <w:p w14:paraId="5166AF2E">
            <w:pPr>
              <w:pStyle w:val="37"/>
              <w:wordWrap w:val="0"/>
              <w:spacing w:line="400" w:lineRule="exact"/>
              <w:ind w:firstLine="420" w:firstLineChars="200"/>
              <w:jc w:val="right"/>
              <w:rPr>
                <w:rFonts w:hint="eastAsia" w:ascii="Times New Roman" w:hAnsi="Times New Roman"/>
                <w:color w:val="auto"/>
                <w:szCs w:val="21"/>
                <w:u w:val="single"/>
              </w:rPr>
            </w:pPr>
            <w:r>
              <w:rPr>
                <w:rFonts w:hint="eastAsia" w:ascii="Times New Roman" w:hAnsi="Times New Roman"/>
                <w:color w:val="auto"/>
                <w:szCs w:val="21"/>
              </w:rPr>
              <w:t>日      期</w:t>
            </w:r>
            <w:r>
              <w:rPr>
                <w:rFonts w:hint="eastAsia" w:ascii="Times New Roman" w:hAnsi="Times New Roman"/>
                <w:color w:val="auto"/>
                <w:szCs w:val="21"/>
                <w:u w:val="single"/>
              </w:rPr>
              <w:t xml:space="preserve">             </w:t>
            </w:r>
          </w:p>
        </w:tc>
      </w:tr>
    </w:tbl>
    <w:p w14:paraId="17A7FAF3">
      <w:pPr>
        <w:pStyle w:val="37"/>
        <w:spacing w:before="156" w:beforeLines="50"/>
        <w:ind w:firstLine="360" w:firstLineChars="200"/>
        <w:rPr>
          <w:rFonts w:hint="eastAsia" w:ascii="Times New Roman" w:hAnsi="Times New Roman"/>
          <w:color w:val="auto"/>
          <w:sz w:val="18"/>
          <w:szCs w:val="18"/>
        </w:rPr>
      </w:pPr>
      <w:r>
        <w:rPr>
          <w:rFonts w:hint="eastAsia" w:ascii="Times New Roman" w:hAnsi="Times New Roman"/>
          <w:color w:val="auto"/>
          <w:sz w:val="18"/>
          <w:szCs w:val="18"/>
        </w:rPr>
        <w:t xml:space="preserve">注：1.在选择栏中的“□”内作标识“√”。 </w:t>
      </w:r>
    </w:p>
    <w:p w14:paraId="69C7A3D9">
      <w:pPr>
        <w:pStyle w:val="37"/>
        <w:spacing w:before="156" w:beforeLines="50"/>
        <w:ind w:firstLine="720" w:firstLineChars="400"/>
        <w:rPr>
          <w:rFonts w:hint="eastAsia" w:ascii="Times New Roman" w:hAnsi="Times New Roman"/>
          <w:color w:val="auto"/>
          <w:sz w:val="18"/>
          <w:szCs w:val="18"/>
        </w:rPr>
      </w:pPr>
      <w:r>
        <w:rPr>
          <w:rFonts w:hint="eastAsia" w:ascii="Times New Roman" w:hAnsi="Times New Roman"/>
          <w:color w:val="auto"/>
          <w:sz w:val="18"/>
          <w:szCs w:val="18"/>
        </w:rPr>
        <w:t>2.本表一式</w:t>
      </w:r>
      <w:r>
        <w:rPr>
          <w:rFonts w:hint="eastAsia" w:ascii="Times New Roman" w:hAnsi="Times New Roman"/>
          <w:color w:val="auto"/>
          <w:sz w:val="18"/>
          <w:szCs w:val="18"/>
          <w:lang w:val="en-US" w:eastAsia="zh-CN"/>
        </w:rPr>
        <w:t>叁</w:t>
      </w:r>
      <w:r>
        <w:rPr>
          <w:rFonts w:hint="eastAsia" w:ascii="Times New Roman" w:hAnsi="Times New Roman"/>
          <w:color w:val="auto"/>
          <w:sz w:val="18"/>
          <w:szCs w:val="18"/>
        </w:rPr>
        <w:t>份，由承包人填报，发包人、监理人、承包人各存一份。</w:t>
      </w:r>
    </w:p>
    <w:p w14:paraId="703A0F96">
      <w:pPr>
        <w:pStyle w:val="37"/>
        <w:ind w:right="360" w:firstLine="360" w:firstLineChars="200"/>
        <w:rPr>
          <w:rFonts w:hint="eastAsia" w:ascii="Times New Roman" w:hAnsi="Times New Roman"/>
          <w:color w:val="auto"/>
          <w:sz w:val="18"/>
          <w:szCs w:val="18"/>
        </w:rPr>
      </w:pPr>
      <w:r>
        <w:rPr>
          <w:rFonts w:hint="eastAsia" w:ascii="Times New Roman" w:hAnsi="Times New Roman"/>
          <w:color w:val="auto"/>
          <w:sz w:val="18"/>
          <w:szCs w:val="18"/>
        </w:rPr>
        <w:t xml:space="preserve">                                                                                            </w:t>
      </w:r>
    </w:p>
    <w:p w14:paraId="7415CF70">
      <w:pPr>
        <w:pStyle w:val="37"/>
        <w:ind w:firstLine="600" w:firstLineChars="200"/>
        <w:jc w:val="left"/>
        <w:rPr>
          <w:rFonts w:hint="eastAsia" w:ascii="Times New Roman" w:hAnsi="Times New Roman"/>
          <w:b/>
          <w:color w:val="auto"/>
          <w:sz w:val="30"/>
          <w:szCs w:val="30"/>
        </w:rPr>
      </w:pPr>
      <w:r>
        <w:rPr>
          <w:rFonts w:hint="eastAsia" w:ascii="Times New Roman" w:hAnsi="宋体" w:cs="宋体"/>
          <w:color w:val="auto"/>
          <w:sz w:val="30"/>
          <w:szCs w:val="30"/>
        </w:rPr>
        <w:t>附件13：</w:t>
      </w:r>
    </w:p>
    <w:p w14:paraId="0A0854C2">
      <w:pPr>
        <w:pStyle w:val="37"/>
        <w:ind w:firstLine="723" w:firstLineChars="200"/>
        <w:jc w:val="center"/>
        <w:rPr>
          <w:rFonts w:hint="eastAsia" w:ascii="Times New Roman" w:hAnsi="Times New Roman"/>
          <w:b/>
          <w:color w:val="auto"/>
          <w:sz w:val="36"/>
          <w:szCs w:val="36"/>
        </w:rPr>
      </w:pPr>
      <w:r>
        <w:rPr>
          <w:rFonts w:hint="eastAsia" w:ascii="Times New Roman" w:hAnsi="Times New Roman"/>
          <w:b/>
          <w:color w:val="auto"/>
          <w:sz w:val="36"/>
          <w:szCs w:val="36"/>
        </w:rPr>
        <w:t>最终结算款支付申请（核准）表</w:t>
      </w:r>
    </w:p>
    <w:p w14:paraId="1533C280">
      <w:pPr>
        <w:pStyle w:val="37"/>
        <w:ind w:firstLine="480" w:firstLineChars="200"/>
        <w:rPr>
          <w:rFonts w:hint="eastAsia" w:ascii="Times New Roman" w:hAnsi="Times New Roman"/>
          <w:color w:val="auto"/>
          <w:sz w:val="24"/>
          <w:szCs w:val="24"/>
        </w:rPr>
      </w:pPr>
      <w:r>
        <w:rPr>
          <w:rFonts w:hint="eastAsia" w:ascii="Times New Roman" w:hAnsi="Times New Roman"/>
          <w:color w:val="auto"/>
          <w:sz w:val="24"/>
          <w:szCs w:val="24"/>
        </w:rPr>
        <w:t>工程名称：                                             编号：</w:t>
      </w:r>
    </w:p>
    <w:tbl>
      <w:tblPr>
        <w:tblStyle w:val="2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7271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072" w:type="dxa"/>
            <w:noWrap w:val="0"/>
            <w:vAlign w:val="top"/>
          </w:tcPr>
          <w:p w14:paraId="5503D593">
            <w:pPr>
              <w:pStyle w:val="37"/>
              <w:spacing w:line="480" w:lineRule="exact"/>
              <w:ind w:left="313" w:leftChars="149" w:firstLine="420" w:firstLineChars="200"/>
              <w:rPr>
                <w:rFonts w:hint="eastAsia" w:ascii="Times New Roman" w:hAnsi="Times New Roman"/>
                <w:color w:val="auto"/>
                <w:szCs w:val="21"/>
                <w:u w:val="single"/>
              </w:rPr>
            </w:pPr>
            <w:r>
              <w:rPr>
                <w:rFonts w:hint="eastAsia" w:ascii="Times New Roman" w:hAnsi="Times New Roman"/>
                <w:color w:val="auto"/>
                <w:szCs w:val="21"/>
              </w:rPr>
              <w:t>致：</w:t>
            </w:r>
            <w:r>
              <w:rPr>
                <w:rFonts w:hint="eastAsia" w:ascii="Times New Roman" w:hAnsi="Times New Roman"/>
                <w:color w:val="auto"/>
                <w:szCs w:val="21"/>
                <w:u w:val="single"/>
              </w:rPr>
              <w:t xml:space="preserve">                                   （发包人全称）</w:t>
            </w:r>
          </w:p>
          <w:p w14:paraId="015D57DE">
            <w:pPr>
              <w:pStyle w:val="37"/>
              <w:spacing w:line="400" w:lineRule="exact"/>
              <w:ind w:left="-4" w:leftChars="-2" w:firstLine="420" w:firstLineChars="200"/>
              <w:rPr>
                <w:rFonts w:hint="eastAsia" w:ascii="Times New Roman" w:hAnsi="Times New Roman"/>
                <w:color w:val="auto"/>
                <w:szCs w:val="21"/>
              </w:rPr>
            </w:pPr>
            <w:r>
              <w:rPr>
                <w:rFonts w:hint="eastAsia" w:ascii="Times New Roman" w:hAnsi="Times New Roman"/>
                <w:color w:val="auto"/>
                <w:szCs w:val="21"/>
              </w:rPr>
              <w:t>我方于</w:t>
            </w:r>
            <w:r>
              <w:rPr>
                <w:rFonts w:hint="eastAsia" w:ascii="Times New Roman" w:hAnsi="Times New Roman"/>
                <w:color w:val="auto"/>
                <w:szCs w:val="21"/>
                <w:u w:val="single"/>
              </w:rPr>
              <w:t xml:space="preserve">         </w:t>
            </w:r>
            <w:r>
              <w:rPr>
                <w:rFonts w:hint="eastAsia" w:ascii="Times New Roman" w:hAnsi="Times New Roman"/>
                <w:color w:val="auto"/>
                <w:szCs w:val="21"/>
              </w:rPr>
              <w:t>至</w:t>
            </w:r>
            <w:r>
              <w:rPr>
                <w:rFonts w:hint="eastAsia" w:ascii="Times New Roman" w:hAnsi="Times New Roman"/>
                <w:color w:val="auto"/>
                <w:szCs w:val="21"/>
                <w:u w:val="single"/>
              </w:rPr>
              <w:t xml:space="preserve">          </w:t>
            </w:r>
            <w:r>
              <w:rPr>
                <w:rFonts w:hint="eastAsia" w:ascii="Times New Roman" w:hAnsi="Times New Roman"/>
                <w:color w:val="auto"/>
                <w:szCs w:val="21"/>
              </w:rPr>
              <w:t>期间已完成了缺陷修复工作，根据施工合同的约定，现申请支付最终结清合同款额为</w:t>
            </w:r>
            <w:r>
              <w:rPr>
                <w:rFonts w:hint="eastAsia" w:ascii="Times New Roman" w:hAnsi="Times New Roman"/>
                <w:color w:val="auto"/>
                <w:szCs w:val="21"/>
                <w:lang w:eastAsia="zh-CN"/>
              </w:rPr>
              <w:t>（</w:t>
            </w:r>
            <w:r>
              <w:rPr>
                <w:rFonts w:hint="eastAsia" w:ascii="Times New Roman" w:hAnsi="Times New Roman"/>
                <w:color w:val="auto"/>
                <w:szCs w:val="21"/>
              </w:rPr>
              <w:t>大写</w:t>
            </w:r>
            <w:r>
              <w:rPr>
                <w:rFonts w:hint="eastAsia" w:ascii="Times New Roman" w:hAnsi="Times New Roman"/>
                <w:color w:val="auto"/>
                <w:szCs w:val="21"/>
                <w:lang w:eastAsia="zh-CN"/>
              </w:rPr>
              <w:t>）</w:t>
            </w:r>
            <w:r>
              <w:rPr>
                <w:rFonts w:hint="eastAsia" w:ascii="Times New Roman" w:hAnsi="Times New Roman"/>
                <w:color w:val="auto"/>
                <w:szCs w:val="21"/>
                <w:u w:val="single"/>
              </w:rPr>
              <w:t xml:space="preserve">            </w:t>
            </w:r>
            <w:r>
              <w:rPr>
                <w:rFonts w:hint="eastAsia" w:ascii="Times New Roman" w:hAnsi="Times New Roman"/>
                <w:color w:val="auto"/>
                <w:szCs w:val="21"/>
              </w:rPr>
              <w:t>元，</w:t>
            </w:r>
            <w:r>
              <w:rPr>
                <w:rFonts w:hint="eastAsia" w:ascii="Times New Roman" w:hAnsi="Times New Roman"/>
                <w:color w:val="auto"/>
                <w:szCs w:val="21"/>
                <w:lang w:eastAsia="zh-CN"/>
              </w:rPr>
              <w:t>（</w:t>
            </w:r>
            <w:r>
              <w:rPr>
                <w:rFonts w:hint="eastAsia" w:ascii="Times New Roman" w:hAnsi="Times New Roman"/>
                <w:color w:val="auto"/>
                <w:szCs w:val="21"/>
              </w:rPr>
              <w:t>小写</w:t>
            </w:r>
            <w:r>
              <w:rPr>
                <w:rFonts w:hint="eastAsia" w:ascii="Times New Roman" w:hAnsi="Times New Roman"/>
                <w:color w:val="auto"/>
                <w:szCs w:val="21"/>
                <w:lang w:eastAsia="zh-CN"/>
              </w:rPr>
              <w:t>）</w:t>
            </w:r>
            <w:r>
              <w:rPr>
                <w:rFonts w:hint="eastAsia" w:ascii="Times New Roman" w:hAnsi="Times New Roman"/>
                <w:color w:val="auto"/>
                <w:szCs w:val="21"/>
                <w:u w:val="single"/>
              </w:rPr>
              <w:t xml:space="preserve">         </w:t>
            </w:r>
            <w:r>
              <w:rPr>
                <w:rFonts w:hint="eastAsia" w:ascii="Times New Roman" w:hAnsi="Times New Roman"/>
                <w:color w:val="auto"/>
                <w:szCs w:val="21"/>
              </w:rPr>
              <w:t>元，请予核准。</w:t>
            </w:r>
          </w:p>
          <w:tbl>
            <w:tblPr>
              <w:tblStyle w:val="22"/>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3364"/>
              <w:gridCol w:w="1605"/>
              <w:gridCol w:w="1605"/>
              <w:gridCol w:w="1627"/>
            </w:tblGrid>
            <w:tr w14:paraId="75F1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2" w:type="dxa"/>
                  <w:noWrap w:val="0"/>
                  <w:vAlign w:val="center"/>
                </w:tcPr>
                <w:p w14:paraId="658DE486">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序号</w:t>
                  </w:r>
                </w:p>
              </w:tc>
              <w:tc>
                <w:tcPr>
                  <w:tcW w:w="3364" w:type="dxa"/>
                  <w:noWrap w:val="0"/>
                  <w:vAlign w:val="center"/>
                </w:tcPr>
                <w:p w14:paraId="13F8EC8B">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名      称</w:t>
                  </w:r>
                </w:p>
              </w:tc>
              <w:tc>
                <w:tcPr>
                  <w:tcW w:w="1605" w:type="dxa"/>
                  <w:noWrap w:val="0"/>
                  <w:vAlign w:val="center"/>
                </w:tcPr>
                <w:p w14:paraId="0D67E599">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申请金额（元）</w:t>
                  </w:r>
                </w:p>
              </w:tc>
              <w:tc>
                <w:tcPr>
                  <w:tcW w:w="1605" w:type="dxa"/>
                  <w:noWrap w:val="0"/>
                  <w:vAlign w:val="center"/>
                </w:tcPr>
                <w:p w14:paraId="1CBD2EAC">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复核金额（元）</w:t>
                  </w:r>
                </w:p>
              </w:tc>
              <w:tc>
                <w:tcPr>
                  <w:tcW w:w="1627" w:type="dxa"/>
                  <w:noWrap w:val="0"/>
                  <w:vAlign w:val="center"/>
                </w:tcPr>
                <w:p w14:paraId="79F0C1D7">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备注</w:t>
                  </w:r>
                </w:p>
              </w:tc>
            </w:tr>
            <w:tr w14:paraId="242F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noWrap w:val="0"/>
                  <w:vAlign w:val="top"/>
                </w:tcPr>
                <w:p w14:paraId="087C8C4B">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1</w:t>
                  </w:r>
                </w:p>
              </w:tc>
              <w:tc>
                <w:tcPr>
                  <w:tcW w:w="3364" w:type="dxa"/>
                  <w:noWrap w:val="0"/>
                  <w:vAlign w:val="top"/>
                </w:tcPr>
                <w:p w14:paraId="44254D1C">
                  <w:pPr>
                    <w:pStyle w:val="37"/>
                    <w:spacing w:line="280" w:lineRule="exact"/>
                    <w:rPr>
                      <w:rFonts w:hint="eastAsia" w:ascii="Times New Roman" w:hAnsi="Times New Roman"/>
                      <w:color w:val="auto"/>
                      <w:szCs w:val="21"/>
                    </w:rPr>
                  </w:pPr>
                  <w:r>
                    <w:rPr>
                      <w:rFonts w:hint="eastAsia" w:ascii="Times New Roman" w:hAnsi="Times New Roman"/>
                      <w:color w:val="auto"/>
                      <w:szCs w:val="21"/>
                    </w:rPr>
                    <w:t>已预留的质量保证金</w:t>
                  </w:r>
                </w:p>
              </w:tc>
              <w:tc>
                <w:tcPr>
                  <w:tcW w:w="1605" w:type="dxa"/>
                  <w:noWrap w:val="0"/>
                  <w:vAlign w:val="top"/>
                </w:tcPr>
                <w:p w14:paraId="038E493F">
                  <w:pPr>
                    <w:pStyle w:val="37"/>
                    <w:spacing w:line="280" w:lineRule="exact"/>
                    <w:rPr>
                      <w:rFonts w:hint="eastAsia" w:ascii="Times New Roman" w:hAnsi="Times New Roman"/>
                      <w:color w:val="auto"/>
                      <w:szCs w:val="21"/>
                    </w:rPr>
                  </w:pPr>
                </w:p>
              </w:tc>
              <w:tc>
                <w:tcPr>
                  <w:tcW w:w="1605" w:type="dxa"/>
                  <w:noWrap w:val="0"/>
                  <w:vAlign w:val="top"/>
                </w:tcPr>
                <w:p w14:paraId="33BCFF1A">
                  <w:pPr>
                    <w:pStyle w:val="37"/>
                    <w:spacing w:line="280" w:lineRule="exact"/>
                    <w:rPr>
                      <w:rFonts w:hint="eastAsia" w:ascii="Times New Roman" w:hAnsi="Times New Roman"/>
                      <w:color w:val="auto"/>
                      <w:szCs w:val="21"/>
                    </w:rPr>
                  </w:pPr>
                </w:p>
              </w:tc>
              <w:tc>
                <w:tcPr>
                  <w:tcW w:w="1627" w:type="dxa"/>
                  <w:noWrap w:val="0"/>
                  <w:vAlign w:val="top"/>
                </w:tcPr>
                <w:p w14:paraId="2E63E95D">
                  <w:pPr>
                    <w:pStyle w:val="37"/>
                    <w:spacing w:line="280" w:lineRule="exact"/>
                    <w:rPr>
                      <w:rFonts w:hint="eastAsia" w:ascii="Times New Roman" w:hAnsi="Times New Roman"/>
                      <w:color w:val="auto"/>
                      <w:szCs w:val="21"/>
                    </w:rPr>
                  </w:pPr>
                </w:p>
              </w:tc>
            </w:tr>
            <w:tr w14:paraId="6846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noWrap w:val="0"/>
                  <w:vAlign w:val="top"/>
                </w:tcPr>
                <w:p w14:paraId="0885E27C">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2</w:t>
                  </w:r>
                </w:p>
              </w:tc>
              <w:tc>
                <w:tcPr>
                  <w:tcW w:w="3364" w:type="dxa"/>
                  <w:noWrap w:val="0"/>
                  <w:vAlign w:val="top"/>
                </w:tcPr>
                <w:p w14:paraId="3A0E7551">
                  <w:pPr>
                    <w:pStyle w:val="37"/>
                    <w:spacing w:line="280" w:lineRule="exact"/>
                    <w:rPr>
                      <w:rFonts w:hint="eastAsia" w:ascii="Times New Roman" w:hAnsi="Times New Roman"/>
                      <w:color w:val="auto"/>
                      <w:szCs w:val="21"/>
                    </w:rPr>
                  </w:pPr>
                  <w:r>
                    <w:rPr>
                      <w:rFonts w:hint="eastAsia" w:ascii="Times New Roman" w:hAnsi="Times New Roman"/>
                      <w:color w:val="auto"/>
                      <w:szCs w:val="21"/>
                    </w:rPr>
                    <w:t>应增加因发包人原因造成缺陷的修复金额</w:t>
                  </w:r>
                </w:p>
              </w:tc>
              <w:tc>
                <w:tcPr>
                  <w:tcW w:w="1605" w:type="dxa"/>
                  <w:noWrap w:val="0"/>
                  <w:vAlign w:val="top"/>
                </w:tcPr>
                <w:p w14:paraId="1749134D">
                  <w:pPr>
                    <w:pStyle w:val="37"/>
                    <w:spacing w:line="280" w:lineRule="exact"/>
                    <w:rPr>
                      <w:rFonts w:hint="eastAsia" w:ascii="Times New Roman" w:hAnsi="Times New Roman"/>
                      <w:color w:val="auto"/>
                      <w:szCs w:val="21"/>
                    </w:rPr>
                  </w:pPr>
                </w:p>
              </w:tc>
              <w:tc>
                <w:tcPr>
                  <w:tcW w:w="1605" w:type="dxa"/>
                  <w:noWrap w:val="0"/>
                  <w:vAlign w:val="top"/>
                </w:tcPr>
                <w:p w14:paraId="264F8445">
                  <w:pPr>
                    <w:pStyle w:val="37"/>
                    <w:spacing w:line="280" w:lineRule="exact"/>
                    <w:rPr>
                      <w:rFonts w:hint="eastAsia" w:ascii="Times New Roman" w:hAnsi="Times New Roman"/>
                      <w:color w:val="auto"/>
                      <w:szCs w:val="21"/>
                    </w:rPr>
                  </w:pPr>
                </w:p>
              </w:tc>
              <w:tc>
                <w:tcPr>
                  <w:tcW w:w="1627" w:type="dxa"/>
                  <w:noWrap w:val="0"/>
                  <w:vAlign w:val="top"/>
                </w:tcPr>
                <w:p w14:paraId="7DF7086A">
                  <w:pPr>
                    <w:pStyle w:val="37"/>
                    <w:spacing w:line="280" w:lineRule="exact"/>
                    <w:rPr>
                      <w:rFonts w:hint="eastAsia" w:ascii="Times New Roman" w:hAnsi="Times New Roman"/>
                      <w:color w:val="auto"/>
                      <w:szCs w:val="21"/>
                    </w:rPr>
                  </w:pPr>
                </w:p>
              </w:tc>
            </w:tr>
            <w:tr w14:paraId="6CCE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noWrap w:val="0"/>
                  <w:vAlign w:val="top"/>
                </w:tcPr>
                <w:p w14:paraId="1051F465">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3</w:t>
                  </w:r>
                </w:p>
              </w:tc>
              <w:tc>
                <w:tcPr>
                  <w:tcW w:w="3364" w:type="dxa"/>
                  <w:noWrap w:val="0"/>
                  <w:vAlign w:val="top"/>
                </w:tcPr>
                <w:p w14:paraId="223E932F">
                  <w:pPr>
                    <w:pStyle w:val="37"/>
                    <w:spacing w:line="280" w:lineRule="exact"/>
                    <w:rPr>
                      <w:rFonts w:hint="eastAsia" w:ascii="Times New Roman" w:hAnsi="Times New Roman"/>
                      <w:color w:val="auto"/>
                      <w:szCs w:val="21"/>
                    </w:rPr>
                  </w:pPr>
                  <w:r>
                    <w:rPr>
                      <w:rFonts w:hint="eastAsia" w:ascii="Times New Roman" w:hAnsi="Times New Roman"/>
                      <w:color w:val="auto"/>
                      <w:szCs w:val="21"/>
                    </w:rPr>
                    <w:t>应扣减承包人不修复缺陷、发包人组织修复的金额</w:t>
                  </w:r>
                </w:p>
              </w:tc>
              <w:tc>
                <w:tcPr>
                  <w:tcW w:w="1605" w:type="dxa"/>
                  <w:noWrap w:val="0"/>
                  <w:vAlign w:val="top"/>
                </w:tcPr>
                <w:p w14:paraId="3EC8C649">
                  <w:pPr>
                    <w:pStyle w:val="37"/>
                    <w:spacing w:line="280" w:lineRule="exact"/>
                    <w:rPr>
                      <w:rFonts w:hint="eastAsia" w:ascii="Times New Roman" w:hAnsi="Times New Roman"/>
                      <w:color w:val="auto"/>
                      <w:szCs w:val="21"/>
                    </w:rPr>
                  </w:pPr>
                </w:p>
              </w:tc>
              <w:tc>
                <w:tcPr>
                  <w:tcW w:w="1605" w:type="dxa"/>
                  <w:noWrap w:val="0"/>
                  <w:vAlign w:val="top"/>
                </w:tcPr>
                <w:p w14:paraId="71E09568">
                  <w:pPr>
                    <w:pStyle w:val="37"/>
                    <w:spacing w:line="280" w:lineRule="exact"/>
                    <w:rPr>
                      <w:rFonts w:hint="eastAsia" w:ascii="Times New Roman" w:hAnsi="Times New Roman"/>
                      <w:color w:val="auto"/>
                      <w:szCs w:val="21"/>
                    </w:rPr>
                  </w:pPr>
                </w:p>
              </w:tc>
              <w:tc>
                <w:tcPr>
                  <w:tcW w:w="1627" w:type="dxa"/>
                  <w:noWrap w:val="0"/>
                  <w:vAlign w:val="top"/>
                </w:tcPr>
                <w:p w14:paraId="51D4C86D">
                  <w:pPr>
                    <w:pStyle w:val="37"/>
                    <w:spacing w:line="280" w:lineRule="exact"/>
                    <w:rPr>
                      <w:rFonts w:hint="eastAsia" w:ascii="Times New Roman" w:hAnsi="Times New Roman"/>
                      <w:color w:val="auto"/>
                      <w:szCs w:val="21"/>
                    </w:rPr>
                  </w:pPr>
                </w:p>
              </w:tc>
            </w:tr>
            <w:tr w14:paraId="1406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2" w:type="dxa"/>
                  <w:noWrap w:val="0"/>
                  <w:vAlign w:val="top"/>
                </w:tcPr>
                <w:p w14:paraId="0336F408">
                  <w:pPr>
                    <w:pStyle w:val="37"/>
                    <w:spacing w:line="280" w:lineRule="exact"/>
                    <w:jc w:val="center"/>
                    <w:rPr>
                      <w:rFonts w:hint="eastAsia" w:ascii="Times New Roman" w:hAnsi="Times New Roman"/>
                      <w:color w:val="auto"/>
                      <w:szCs w:val="21"/>
                    </w:rPr>
                  </w:pPr>
                  <w:r>
                    <w:rPr>
                      <w:rFonts w:hint="eastAsia" w:ascii="Times New Roman" w:hAnsi="Times New Roman"/>
                      <w:color w:val="auto"/>
                      <w:szCs w:val="21"/>
                    </w:rPr>
                    <w:t>4</w:t>
                  </w:r>
                </w:p>
              </w:tc>
              <w:tc>
                <w:tcPr>
                  <w:tcW w:w="3364" w:type="dxa"/>
                  <w:noWrap w:val="0"/>
                  <w:vAlign w:val="top"/>
                </w:tcPr>
                <w:p w14:paraId="460B7E20">
                  <w:pPr>
                    <w:pStyle w:val="37"/>
                    <w:spacing w:line="280" w:lineRule="exact"/>
                    <w:rPr>
                      <w:rFonts w:hint="eastAsia" w:ascii="Times New Roman" w:hAnsi="Times New Roman"/>
                      <w:color w:val="auto"/>
                      <w:szCs w:val="21"/>
                    </w:rPr>
                  </w:pPr>
                  <w:r>
                    <w:rPr>
                      <w:rFonts w:hint="eastAsia" w:ascii="Times New Roman" w:hAnsi="Times New Roman"/>
                      <w:color w:val="auto"/>
                      <w:szCs w:val="21"/>
                    </w:rPr>
                    <w:t>最终应支付的合同价款</w:t>
                  </w:r>
                </w:p>
              </w:tc>
              <w:tc>
                <w:tcPr>
                  <w:tcW w:w="1605" w:type="dxa"/>
                  <w:noWrap w:val="0"/>
                  <w:vAlign w:val="top"/>
                </w:tcPr>
                <w:p w14:paraId="72C96777">
                  <w:pPr>
                    <w:pStyle w:val="37"/>
                    <w:spacing w:line="280" w:lineRule="exact"/>
                    <w:rPr>
                      <w:rFonts w:hint="eastAsia" w:ascii="Times New Roman" w:hAnsi="Times New Roman"/>
                      <w:color w:val="auto"/>
                      <w:szCs w:val="21"/>
                    </w:rPr>
                  </w:pPr>
                </w:p>
              </w:tc>
              <w:tc>
                <w:tcPr>
                  <w:tcW w:w="1605" w:type="dxa"/>
                  <w:noWrap w:val="0"/>
                  <w:vAlign w:val="top"/>
                </w:tcPr>
                <w:p w14:paraId="53E556E1">
                  <w:pPr>
                    <w:pStyle w:val="37"/>
                    <w:spacing w:line="280" w:lineRule="exact"/>
                    <w:rPr>
                      <w:rFonts w:hint="eastAsia" w:ascii="Times New Roman" w:hAnsi="Times New Roman"/>
                      <w:color w:val="auto"/>
                      <w:szCs w:val="21"/>
                    </w:rPr>
                  </w:pPr>
                </w:p>
              </w:tc>
              <w:tc>
                <w:tcPr>
                  <w:tcW w:w="1627" w:type="dxa"/>
                  <w:noWrap w:val="0"/>
                  <w:vAlign w:val="top"/>
                </w:tcPr>
                <w:p w14:paraId="6FEA5553">
                  <w:pPr>
                    <w:pStyle w:val="37"/>
                    <w:spacing w:line="280" w:lineRule="exact"/>
                    <w:rPr>
                      <w:rFonts w:hint="eastAsia" w:ascii="Times New Roman" w:hAnsi="Times New Roman"/>
                      <w:color w:val="auto"/>
                      <w:szCs w:val="21"/>
                    </w:rPr>
                  </w:pPr>
                </w:p>
              </w:tc>
            </w:tr>
            <w:tr w14:paraId="1900C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noWrap w:val="0"/>
                  <w:vAlign w:val="top"/>
                </w:tcPr>
                <w:p w14:paraId="3280F389">
                  <w:pPr>
                    <w:pStyle w:val="37"/>
                    <w:spacing w:line="280" w:lineRule="exact"/>
                    <w:jc w:val="center"/>
                    <w:rPr>
                      <w:rFonts w:hint="eastAsia" w:ascii="Times New Roman" w:hAnsi="Times New Roman"/>
                      <w:color w:val="auto"/>
                      <w:szCs w:val="21"/>
                    </w:rPr>
                  </w:pPr>
                </w:p>
              </w:tc>
              <w:tc>
                <w:tcPr>
                  <w:tcW w:w="3364" w:type="dxa"/>
                  <w:noWrap w:val="0"/>
                  <w:vAlign w:val="top"/>
                </w:tcPr>
                <w:p w14:paraId="69FAB146">
                  <w:pPr>
                    <w:pStyle w:val="37"/>
                    <w:spacing w:line="280" w:lineRule="exact"/>
                    <w:rPr>
                      <w:rFonts w:hint="eastAsia" w:ascii="Times New Roman" w:hAnsi="Times New Roman"/>
                      <w:color w:val="auto"/>
                      <w:szCs w:val="21"/>
                    </w:rPr>
                  </w:pPr>
                </w:p>
              </w:tc>
              <w:tc>
                <w:tcPr>
                  <w:tcW w:w="1605" w:type="dxa"/>
                  <w:noWrap w:val="0"/>
                  <w:vAlign w:val="top"/>
                </w:tcPr>
                <w:p w14:paraId="0D62EEB7">
                  <w:pPr>
                    <w:pStyle w:val="37"/>
                    <w:spacing w:line="280" w:lineRule="exact"/>
                    <w:rPr>
                      <w:rFonts w:hint="eastAsia" w:ascii="Times New Roman" w:hAnsi="Times New Roman"/>
                      <w:color w:val="auto"/>
                      <w:szCs w:val="21"/>
                    </w:rPr>
                  </w:pPr>
                </w:p>
              </w:tc>
              <w:tc>
                <w:tcPr>
                  <w:tcW w:w="1605" w:type="dxa"/>
                  <w:noWrap w:val="0"/>
                  <w:vAlign w:val="top"/>
                </w:tcPr>
                <w:p w14:paraId="3FE0A396">
                  <w:pPr>
                    <w:pStyle w:val="37"/>
                    <w:spacing w:line="280" w:lineRule="exact"/>
                    <w:rPr>
                      <w:rFonts w:hint="eastAsia" w:ascii="Times New Roman" w:hAnsi="Times New Roman"/>
                      <w:color w:val="auto"/>
                      <w:szCs w:val="21"/>
                    </w:rPr>
                  </w:pPr>
                </w:p>
              </w:tc>
              <w:tc>
                <w:tcPr>
                  <w:tcW w:w="1627" w:type="dxa"/>
                  <w:noWrap w:val="0"/>
                  <w:vAlign w:val="top"/>
                </w:tcPr>
                <w:p w14:paraId="14C4D828">
                  <w:pPr>
                    <w:pStyle w:val="37"/>
                    <w:spacing w:line="280" w:lineRule="exact"/>
                    <w:rPr>
                      <w:rFonts w:hint="eastAsia" w:ascii="Times New Roman" w:hAnsi="Times New Roman"/>
                      <w:color w:val="auto"/>
                      <w:szCs w:val="21"/>
                    </w:rPr>
                  </w:pPr>
                </w:p>
              </w:tc>
            </w:tr>
            <w:tr w14:paraId="04E6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noWrap w:val="0"/>
                  <w:vAlign w:val="top"/>
                </w:tcPr>
                <w:p w14:paraId="0C9802A3">
                  <w:pPr>
                    <w:pStyle w:val="37"/>
                    <w:spacing w:line="280" w:lineRule="exact"/>
                    <w:jc w:val="center"/>
                    <w:rPr>
                      <w:rFonts w:hint="eastAsia" w:ascii="Times New Roman" w:hAnsi="Times New Roman"/>
                      <w:color w:val="auto"/>
                      <w:szCs w:val="21"/>
                    </w:rPr>
                  </w:pPr>
                </w:p>
              </w:tc>
              <w:tc>
                <w:tcPr>
                  <w:tcW w:w="3364" w:type="dxa"/>
                  <w:noWrap w:val="0"/>
                  <w:vAlign w:val="top"/>
                </w:tcPr>
                <w:p w14:paraId="5F5FCA1A">
                  <w:pPr>
                    <w:pStyle w:val="37"/>
                    <w:spacing w:line="280" w:lineRule="exact"/>
                    <w:rPr>
                      <w:rFonts w:hint="eastAsia" w:ascii="Times New Roman" w:hAnsi="Times New Roman"/>
                      <w:color w:val="auto"/>
                      <w:szCs w:val="21"/>
                    </w:rPr>
                  </w:pPr>
                </w:p>
              </w:tc>
              <w:tc>
                <w:tcPr>
                  <w:tcW w:w="1605" w:type="dxa"/>
                  <w:noWrap w:val="0"/>
                  <w:vAlign w:val="top"/>
                </w:tcPr>
                <w:p w14:paraId="3EB0E422">
                  <w:pPr>
                    <w:pStyle w:val="37"/>
                    <w:spacing w:line="280" w:lineRule="exact"/>
                    <w:rPr>
                      <w:rFonts w:hint="eastAsia" w:ascii="Times New Roman" w:hAnsi="Times New Roman"/>
                      <w:color w:val="auto"/>
                      <w:szCs w:val="21"/>
                    </w:rPr>
                  </w:pPr>
                </w:p>
              </w:tc>
              <w:tc>
                <w:tcPr>
                  <w:tcW w:w="1605" w:type="dxa"/>
                  <w:noWrap w:val="0"/>
                  <w:vAlign w:val="top"/>
                </w:tcPr>
                <w:p w14:paraId="575E6345">
                  <w:pPr>
                    <w:pStyle w:val="37"/>
                    <w:spacing w:line="280" w:lineRule="exact"/>
                    <w:rPr>
                      <w:rFonts w:hint="eastAsia" w:ascii="Times New Roman" w:hAnsi="Times New Roman"/>
                      <w:color w:val="auto"/>
                      <w:szCs w:val="21"/>
                    </w:rPr>
                  </w:pPr>
                </w:p>
              </w:tc>
              <w:tc>
                <w:tcPr>
                  <w:tcW w:w="1627" w:type="dxa"/>
                  <w:noWrap w:val="0"/>
                  <w:vAlign w:val="top"/>
                </w:tcPr>
                <w:p w14:paraId="45E4CC0F">
                  <w:pPr>
                    <w:pStyle w:val="37"/>
                    <w:spacing w:line="280" w:lineRule="exact"/>
                    <w:rPr>
                      <w:rFonts w:hint="eastAsia" w:ascii="Times New Roman" w:hAnsi="Times New Roman"/>
                      <w:color w:val="auto"/>
                      <w:szCs w:val="21"/>
                    </w:rPr>
                  </w:pPr>
                </w:p>
              </w:tc>
            </w:tr>
            <w:tr w14:paraId="76231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2" w:type="dxa"/>
                  <w:noWrap w:val="0"/>
                  <w:vAlign w:val="top"/>
                </w:tcPr>
                <w:p w14:paraId="5BEA6E0E">
                  <w:pPr>
                    <w:pStyle w:val="37"/>
                    <w:spacing w:line="280" w:lineRule="exact"/>
                    <w:jc w:val="center"/>
                    <w:rPr>
                      <w:rFonts w:hint="eastAsia" w:ascii="Times New Roman" w:hAnsi="Times New Roman"/>
                      <w:color w:val="auto"/>
                      <w:szCs w:val="21"/>
                    </w:rPr>
                  </w:pPr>
                </w:p>
              </w:tc>
              <w:tc>
                <w:tcPr>
                  <w:tcW w:w="3364" w:type="dxa"/>
                  <w:noWrap w:val="0"/>
                  <w:vAlign w:val="top"/>
                </w:tcPr>
                <w:p w14:paraId="5FA4E72D">
                  <w:pPr>
                    <w:pStyle w:val="37"/>
                    <w:spacing w:line="280" w:lineRule="exact"/>
                    <w:rPr>
                      <w:rFonts w:hint="eastAsia" w:ascii="Times New Roman" w:hAnsi="Times New Roman"/>
                      <w:color w:val="auto"/>
                      <w:szCs w:val="21"/>
                    </w:rPr>
                  </w:pPr>
                </w:p>
              </w:tc>
              <w:tc>
                <w:tcPr>
                  <w:tcW w:w="1605" w:type="dxa"/>
                  <w:noWrap w:val="0"/>
                  <w:vAlign w:val="top"/>
                </w:tcPr>
                <w:p w14:paraId="26F5BD84">
                  <w:pPr>
                    <w:pStyle w:val="37"/>
                    <w:spacing w:line="280" w:lineRule="exact"/>
                    <w:rPr>
                      <w:rFonts w:hint="eastAsia" w:ascii="Times New Roman" w:hAnsi="Times New Roman"/>
                      <w:color w:val="auto"/>
                      <w:szCs w:val="21"/>
                    </w:rPr>
                  </w:pPr>
                </w:p>
              </w:tc>
              <w:tc>
                <w:tcPr>
                  <w:tcW w:w="1605" w:type="dxa"/>
                  <w:noWrap w:val="0"/>
                  <w:vAlign w:val="top"/>
                </w:tcPr>
                <w:p w14:paraId="322B1AF5">
                  <w:pPr>
                    <w:pStyle w:val="37"/>
                    <w:spacing w:line="280" w:lineRule="exact"/>
                    <w:rPr>
                      <w:rFonts w:hint="eastAsia" w:ascii="Times New Roman" w:hAnsi="Times New Roman"/>
                      <w:color w:val="auto"/>
                      <w:szCs w:val="21"/>
                    </w:rPr>
                  </w:pPr>
                </w:p>
              </w:tc>
              <w:tc>
                <w:tcPr>
                  <w:tcW w:w="1627" w:type="dxa"/>
                  <w:noWrap w:val="0"/>
                  <w:vAlign w:val="top"/>
                </w:tcPr>
                <w:p w14:paraId="24016D09">
                  <w:pPr>
                    <w:pStyle w:val="37"/>
                    <w:spacing w:line="280" w:lineRule="exact"/>
                    <w:rPr>
                      <w:rFonts w:hint="eastAsia" w:ascii="Times New Roman" w:hAnsi="Times New Roman"/>
                      <w:color w:val="auto"/>
                      <w:szCs w:val="21"/>
                    </w:rPr>
                  </w:pPr>
                </w:p>
              </w:tc>
            </w:tr>
            <w:tr w14:paraId="6127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noWrap w:val="0"/>
                  <w:vAlign w:val="top"/>
                </w:tcPr>
                <w:p w14:paraId="49FFD399">
                  <w:pPr>
                    <w:pStyle w:val="37"/>
                    <w:spacing w:line="280" w:lineRule="exact"/>
                    <w:jc w:val="center"/>
                    <w:rPr>
                      <w:rFonts w:hint="eastAsia" w:ascii="Times New Roman" w:hAnsi="Times New Roman"/>
                      <w:color w:val="auto"/>
                      <w:szCs w:val="21"/>
                    </w:rPr>
                  </w:pPr>
                </w:p>
              </w:tc>
              <w:tc>
                <w:tcPr>
                  <w:tcW w:w="3364" w:type="dxa"/>
                  <w:noWrap w:val="0"/>
                  <w:vAlign w:val="top"/>
                </w:tcPr>
                <w:p w14:paraId="2D8D1873">
                  <w:pPr>
                    <w:pStyle w:val="37"/>
                    <w:spacing w:line="280" w:lineRule="exact"/>
                    <w:rPr>
                      <w:rFonts w:hint="eastAsia" w:ascii="Times New Roman" w:hAnsi="Times New Roman"/>
                      <w:color w:val="auto"/>
                      <w:szCs w:val="21"/>
                    </w:rPr>
                  </w:pPr>
                </w:p>
              </w:tc>
              <w:tc>
                <w:tcPr>
                  <w:tcW w:w="1605" w:type="dxa"/>
                  <w:noWrap w:val="0"/>
                  <w:vAlign w:val="top"/>
                </w:tcPr>
                <w:p w14:paraId="6886B4F4">
                  <w:pPr>
                    <w:pStyle w:val="37"/>
                    <w:spacing w:line="280" w:lineRule="exact"/>
                    <w:rPr>
                      <w:rFonts w:hint="eastAsia" w:ascii="Times New Roman" w:hAnsi="Times New Roman"/>
                      <w:color w:val="auto"/>
                      <w:szCs w:val="21"/>
                    </w:rPr>
                  </w:pPr>
                </w:p>
              </w:tc>
              <w:tc>
                <w:tcPr>
                  <w:tcW w:w="1605" w:type="dxa"/>
                  <w:noWrap w:val="0"/>
                  <w:vAlign w:val="top"/>
                </w:tcPr>
                <w:p w14:paraId="4B331365">
                  <w:pPr>
                    <w:pStyle w:val="37"/>
                    <w:spacing w:line="280" w:lineRule="exact"/>
                    <w:rPr>
                      <w:rFonts w:hint="eastAsia" w:ascii="Times New Roman" w:hAnsi="Times New Roman"/>
                      <w:color w:val="auto"/>
                      <w:szCs w:val="21"/>
                    </w:rPr>
                  </w:pPr>
                </w:p>
              </w:tc>
              <w:tc>
                <w:tcPr>
                  <w:tcW w:w="1627" w:type="dxa"/>
                  <w:noWrap w:val="0"/>
                  <w:vAlign w:val="top"/>
                </w:tcPr>
                <w:p w14:paraId="61E9782C">
                  <w:pPr>
                    <w:pStyle w:val="37"/>
                    <w:spacing w:line="280" w:lineRule="exact"/>
                    <w:rPr>
                      <w:rFonts w:hint="eastAsia" w:ascii="Times New Roman" w:hAnsi="Times New Roman"/>
                      <w:color w:val="auto"/>
                      <w:szCs w:val="21"/>
                    </w:rPr>
                  </w:pPr>
                </w:p>
              </w:tc>
            </w:tr>
          </w:tbl>
          <w:p w14:paraId="4501C122">
            <w:pPr>
              <w:pStyle w:val="37"/>
              <w:spacing w:line="400" w:lineRule="exact"/>
              <w:ind w:right="420" w:firstLine="420" w:firstLineChars="200"/>
              <w:jc w:val="center"/>
              <w:rPr>
                <w:rFonts w:hint="eastAsia" w:ascii="Times New Roman" w:hAnsi="Times New Roman"/>
                <w:color w:val="auto"/>
                <w:szCs w:val="21"/>
              </w:rPr>
            </w:pPr>
            <w:r>
              <w:rPr>
                <w:rFonts w:hint="eastAsia" w:ascii="Times New Roman" w:hAnsi="Times New Roman"/>
                <w:color w:val="auto"/>
                <w:szCs w:val="21"/>
              </w:rPr>
              <w:t xml:space="preserve">                                            承包人（章）             </w:t>
            </w:r>
          </w:p>
          <w:p w14:paraId="0988E254">
            <w:pPr>
              <w:pStyle w:val="37"/>
              <w:spacing w:line="400" w:lineRule="exact"/>
              <w:ind w:right="420" w:firstLine="420" w:firstLineChars="200"/>
              <w:rPr>
                <w:rFonts w:hint="eastAsia" w:ascii="Times New Roman" w:hAnsi="Times New Roman"/>
                <w:color w:val="auto"/>
                <w:szCs w:val="21"/>
              </w:rPr>
            </w:pPr>
            <w:r>
              <w:rPr>
                <w:rFonts w:hint="eastAsia" w:ascii="Times New Roman" w:hAnsi="Times New Roman"/>
                <w:color w:val="auto"/>
                <w:szCs w:val="21"/>
              </w:rPr>
              <w:t>承包人代表</w:t>
            </w:r>
            <w:r>
              <w:rPr>
                <w:rFonts w:hint="eastAsia" w:ascii="Times New Roman" w:hAnsi="Times New Roman"/>
                <w:color w:val="auto"/>
                <w:szCs w:val="21"/>
                <w:u w:val="single"/>
              </w:rPr>
              <w:t xml:space="preserve">               </w:t>
            </w:r>
            <w:r>
              <w:rPr>
                <w:rFonts w:hint="eastAsia" w:ascii="Times New Roman" w:hAnsi="Times New Roman"/>
                <w:color w:val="auto"/>
                <w:szCs w:val="21"/>
              </w:rPr>
              <w:t>日      期</w:t>
            </w:r>
            <w:r>
              <w:rPr>
                <w:rFonts w:hint="eastAsia" w:ascii="Times New Roman" w:hAnsi="Times New Roman"/>
                <w:color w:val="auto"/>
                <w:szCs w:val="21"/>
                <w:u w:val="single"/>
              </w:rPr>
              <w:t xml:space="preserve">               </w:t>
            </w:r>
          </w:p>
        </w:tc>
      </w:tr>
      <w:tr w14:paraId="2DA0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9072" w:type="dxa"/>
            <w:noWrap w:val="0"/>
            <w:vAlign w:val="top"/>
          </w:tcPr>
          <w:p w14:paraId="12FBF636">
            <w:pPr>
              <w:pStyle w:val="37"/>
              <w:spacing w:line="360" w:lineRule="exact"/>
              <w:ind w:firstLine="420" w:firstLineChars="200"/>
              <w:rPr>
                <w:rFonts w:hint="eastAsia" w:ascii="Times New Roman" w:hAnsi="Times New Roman"/>
                <w:color w:val="auto"/>
                <w:szCs w:val="21"/>
              </w:rPr>
            </w:pPr>
            <w:r>
              <w:rPr>
                <w:rFonts w:hint="eastAsia" w:ascii="Times New Roman" w:hAnsi="Times New Roman"/>
                <w:color w:val="auto"/>
                <w:szCs w:val="21"/>
              </w:rPr>
              <w:t>复核意见：</w:t>
            </w:r>
          </w:p>
          <w:p w14:paraId="66A1CD20">
            <w:pPr>
              <w:pStyle w:val="37"/>
              <w:spacing w:line="360" w:lineRule="exact"/>
              <w:ind w:firstLine="420" w:firstLineChars="200"/>
              <w:rPr>
                <w:rFonts w:hint="eastAsia" w:ascii="Times New Roman" w:hAnsi="Times New Roman"/>
                <w:color w:val="auto"/>
                <w:szCs w:val="21"/>
              </w:rPr>
            </w:pPr>
            <w:r>
              <w:rPr>
                <w:rFonts w:hint="eastAsia" w:ascii="Times New Roman" w:hAnsi="Times New Roman"/>
                <w:color w:val="auto"/>
                <w:szCs w:val="21"/>
              </w:rPr>
              <w:t>□与实际施工情况不相符，修改意见见附件。</w:t>
            </w:r>
          </w:p>
          <w:p w14:paraId="39756EFF">
            <w:pPr>
              <w:pStyle w:val="37"/>
              <w:spacing w:line="360" w:lineRule="exact"/>
              <w:ind w:firstLine="420" w:firstLineChars="200"/>
              <w:rPr>
                <w:rFonts w:hint="eastAsia" w:ascii="Times New Roman" w:hAnsi="Times New Roman"/>
                <w:color w:val="auto"/>
                <w:szCs w:val="21"/>
              </w:rPr>
            </w:pPr>
            <w:r>
              <w:rPr>
                <w:rFonts w:hint="eastAsia" w:ascii="Times New Roman" w:hAnsi="Times New Roman"/>
                <w:color w:val="auto"/>
                <w:szCs w:val="21"/>
              </w:rPr>
              <w:t>□与实际施工情况相符，具体金额由造价工程师复核。</w:t>
            </w:r>
          </w:p>
          <w:p w14:paraId="187FD7A4">
            <w:pPr>
              <w:pStyle w:val="37"/>
              <w:spacing w:line="360" w:lineRule="exact"/>
              <w:ind w:firstLine="435"/>
              <w:jc w:val="right"/>
              <w:rPr>
                <w:rFonts w:hint="eastAsia" w:ascii="Times New Roman" w:hAnsi="Times New Roman"/>
                <w:color w:val="auto"/>
                <w:szCs w:val="21"/>
              </w:rPr>
            </w:pPr>
          </w:p>
          <w:p w14:paraId="2DBB8174">
            <w:pPr>
              <w:pStyle w:val="37"/>
              <w:spacing w:line="360" w:lineRule="exact"/>
              <w:ind w:firstLine="435"/>
              <w:jc w:val="right"/>
              <w:rPr>
                <w:rFonts w:hint="eastAsia" w:ascii="Times New Roman" w:hAnsi="Times New Roman"/>
                <w:color w:val="auto"/>
                <w:szCs w:val="21"/>
              </w:rPr>
            </w:pPr>
          </w:p>
          <w:p w14:paraId="12BBCC4E">
            <w:pPr>
              <w:pStyle w:val="37"/>
              <w:spacing w:line="360" w:lineRule="exact"/>
              <w:ind w:firstLine="420" w:firstLineChars="200"/>
              <w:jc w:val="center"/>
              <w:rPr>
                <w:rFonts w:hint="eastAsia" w:ascii="Times New Roman" w:hAnsi="Times New Roman"/>
                <w:color w:val="auto"/>
                <w:szCs w:val="21"/>
              </w:rPr>
            </w:pPr>
            <w:r>
              <w:rPr>
                <w:rFonts w:ascii="Times New Roman" w:hAnsi="Times New Roman"/>
                <w:color w:val="auto"/>
                <w:szCs w:val="21"/>
              </w:rPr>
              <w:t xml:space="preserve">    </w:t>
            </w:r>
            <w:r>
              <w:rPr>
                <w:rFonts w:hint="eastAsia" w:ascii="Times New Roman" w:hAnsi="Times New Roman"/>
                <w:color w:val="auto"/>
                <w:szCs w:val="21"/>
              </w:rPr>
              <w:t xml:space="preserve">     </w:t>
            </w:r>
          </w:p>
          <w:p w14:paraId="53C1D8A4">
            <w:pPr>
              <w:pStyle w:val="37"/>
              <w:spacing w:line="360" w:lineRule="exact"/>
              <w:ind w:firstLine="420" w:firstLineChars="200"/>
              <w:jc w:val="center"/>
              <w:rPr>
                <w:rFonts w:hint="eastAsia" w:ascii="Times New Roman" w:hAnsi="Times New Roman"/>
                <w:color w:val="auto"/>
                <w:szCs w:val="21"/>
                <w:u w:val="single"/>
              </w:rPr>
            </w:pPr>
            <w:r>
              <w:rPr>
                <w:rFonts w:hint="eastAsia" w:ascii="Times New Roman" w:hAnsi="Times New Roman"/>
                <w:color w:val="auto"/>
                <w:szCs w:val="21"/>
              </w:rPr>
              <w:t xml:space="preserve">        监理工程师</w:t>
            </w:r>
            <w:r>
              <w:rPr>
                <w:rFonts w:hint="eastAsia" w:ascii="Times New Roman" w:hAnsi="Times New Roman"/>
                <w:color w:val="auto"/>
                <w:szCs w:val="21"/>
                <w:u w:val="single"/>
              </w:rPr>
              <w:t xml:space="preserve">           </w:t>
            </w:r>
          </w:p>
          <w:p w14:paraId="78C7ED3D">
            <w:pPr>
              <w:pStyle w:val="37"/>
              <w:spacing w:line="360" w:lineRule="exact"/>
              <w:ind w:firstLine="420" w:firstLineChars="200"/>
              <w:jc w:val="center"/>
              <w:rPr>
                <w:rFonts w:hint="eastAsia" w:ascii="Times New Roman" w:hAnsi="Times New Roman"/>
                <w:color w:val="auto"/>
                <w:szCs w:val="21"/>
                <w:u w:val="single"/>
              </w:rPr>
            </w:pPr>
            <w:r>
              <w:rPr>
                <w:rFonts w:ascii="Times New Roman" w:hAnsi="Times New Roman"/>
                <w:color w:val="auto"/>
                <w:szCs w:val="21"/>
              </w:rPr>
              <w:t xml:space="preserve">    </w:t>
            </w:r>
            <w:r>
              <w:rPr>
                <w:rFonts w:hint="eastAsia" w:ascii="Times New Roman" w:hAnsi="Times New Roman"/>
                <w:color w:val="auto"/>
                <w:szCs w:val="21"/>
              </w:rPr>
              <w:t xml:space="preserve">    日      期</w:t>
            </w:r>
            <w:r>
              <w:rPr>
                <w:rFonts w:hint="eastAsia" w:ascii="Times New Roman" w:hAnsi="Times New Roman"/>
                <w:color w:val="auto"/>
                <w:szCs w:val="21"/>
                <w:u w:val="single"/>
              </w:rPr>
              <w:t xml:space="preserve">           </w:t>
            </w:r>
          </w:p>
        </w:tc>
      </w:tr>
      <w:tr w14:paraId="26EF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noWrap w:val="0"/>
            <w:vAlign w:val="top"/>
          </w:tcPr>
          <w:p w14:paraId="4FC6D5E7">
            <w:pPr>
              <w:pStyle w:val="37"/>
              <w:spacing w:line="400" w:lineRule="exact"/>
              <w:ind w:firstLine="420" w:firstLineChars="200"/>
              <w:rPr>
                <w:rFonts w:hint="eastAsia" w:ascii="Times New Roman" w:hAnsi="Times New Roman"/>
                <w:color w:val="auto"/>
                <w:szCs w:val="21"/>
              </w:rPr>
            </w:pPr>
            <w:r>
              <w:rPr>
                <w:rFonts w:hint="eastAsia" w:ascii="Times New Roman" w:hAnsi="Times New Roman"/>
                <w:color w:val="auto"/>
                <w:szCs w:val="21"/>
              </w:rPr>
              <w:t>审核意见：</w:t>
            </w:r>
          </w:p>
          <w:p w14:paraId="753E1CA9">
            <w:pPr>
              <w:pStyle w:val="37"/>
              <w:spacing w:line="400" w:lineRule="exact"/>
              <w:ind w:firstLine="420" w:firstLineChars="200"/>
              <w:rPr>
                <w:rFonts w:hint="eastAsia" w:ascii="Times New Roman" w:hAnsi="Times New Roman"/>
                <w:color w:val="auto"/>
                <w:szCs w:val="21"/>
              </w:rPr>
            </w:pPr>
            <w:r>
              <w:rPr>
                <w:rFonts w:hint="eastAsia" w:ascii="Times New Roman" w:hAnsi="Times New Roman"/>
                <w:color w:val="auto"/>
                <w:szCs w:val="21"/>
              </w:rPr>
              <w:t>□不同意。</w:t>
            </w:r>
          </w:p>
          <w:p w14:paraId="6A50C276">
            <w:pPr>
              <w:pStyle w:val="37"/>
              <w:spacing w:line="400" w:lineRule="exact"/>
              <w:ind w:firstLine="420" w:firstLineChars="200"/>
              <w:rPr>
                <w:rFonts w:hint="eastAsia" w:ascii="Times New Roman" w:hAnsi="Times New Roman"/>
                <w:color w:val="auto"/>
                <w:szCs w:val="21"/>
              </w:rPr>
            </w:pPr>
            <w:r>
              <w:rPr>
                <w:rFonts w:hint="eastAsia" w:ascii="Times New Roman" w:hAnsi="Times New Roman"/>
                <w:color w:val="auto"/>
                <w:szCs w:val="21"/>
              </w:rPr>
              <w:t>□同意。</w:t>
            </w:r>
          </w:p>
          <w:p w14:paraId="7266693E">
            <w:pPr>
              <w:pStyle w:val="37"/>
              <w:wordWrap w:val="0"/>
              <w:spacing w:line="400" w:lineRule="exact"/>
              <w:ind w:firstLine="420" w:firstLineChars="200"/>
              <w:jc w:val="right"/>
              <w:rPr>
                <w:rFonts w:hint="eastAsia" w:ascii="Times New Roman" w:hAnsi="Times New Roman"/>
                <w:color w:val="auto"/>
                <w:szCs w:val="21"/>
              </w:rPr>
            </w:pPr>
            <w:r>
              <w:rPr>
                <w:rFonts w:hint="eastAsia" w:ascii="Times New Roman" w:hAnsi="Times New Roman"/>
                <w:color w:val="auto"/>
                <w:szCs w:val="21"/>
              </w:rPr>
              <w:t xml:space="preserve">发包人（章）           </w:t>
            </w:r>
          </w:p>
          <w:p w14:paraId="23940C53">
            <w:pPr>
              <w:pStyle w:val="37"/>
              <w:wordWrap w:val="0"/>
              <w:spacing w:line="400" w:lineRule="exact"/>
              <w:ind w:firstLine="420" w:firstLineChars="200"/>
              <w:jc w:val="right"/>
              <w:rPr>
                <w:rFonts w:hint="eastAsia" w:ascii="Times New Roman" w:hAnsi="Times New Roman"/>
                <w:color w:val="auto"/>
                <w:szCs w:val="21"/>
                <w:u w:val="single"/>
              </w:rPr>
            </w:pPr>
            <w:r>
              <w:rPr>
                <w:rFonts w:hint="eastAsia" w:ascii="Times New Roman" w:hAnsi="Times New Roman"/>
                <w:color w:val="auto"/>
                <w:szCs w:val="21"/>
              </w:rPr>
              <w:t>发包人代表</w:t>
            </w:r>
            <w:r>
              <w:rPr>
                <w:rFonts w:hint="eastAsia" w:ascii="Times New Roman" w:hAnsi="Times New Roman"/>
                <w:color w:val="auto"/>
                <w:szCs w:val="21"/>
                <w:u w:val="single"/>
              </w:rPr>
              <w:t xml:space="preserve">             </w:t>
            </w:r>
          </w:p>
          <w:p w14:paraId="08522D39">
            <w:pPr>
              <w:pStyle w:val="37"/>
              <w:wordWrap w:val="0"/>
              <w:spacing w:line="400" w:lineRule="exact"/>
              <w:ind w:firstLine="420" w:firstLineChars="200"/>
              <w:jc w:val="right"/>
              <w:rPr>
                <w:rFonts w:hint="eastAsia" w:ascii="Times New Roman" w:hAnsi="Times New Roman"/>
                <w:color w:val="auto"/>
                <w:szCs w:val="21"/>
                <w:u w:val="single"/>
              </w:rPr>
            </w:pPr>
            <w:r>
              <w:rPr>
                <w:rFonts w:hint="eastAsia" w:ascii="Times New Roman" w:hAnsi="Times New Roman"/>
                <w:color w:val="auto"/>
                <w:szCs w:val="21"/>
              </w:rPr>
              <w:t>日      期</w:t>
            </w:r>
            <w:r>
              <w:rPr>
                <w:rFonts w:hint="eastAsia" w:ascii="Times New Roman" w:hAnsi="Times New Roman"/>
                <w:color w:val="auto"/>
                <w:szCs w:val="21"/>
                <w:u w:val="single"/>
              </w:rPr>
              <w:t xml:space="preserve">             </w:t>
            </w:r>
          </w:p>
        </w:tc>
      </w:tr>
    </w:tbl>
    <w:p w14:paraId="0188FD6F">
      <w:pPr>
        <w:pStyle w:val="37"/>
        <w:spacing w:before="156" w:beforeLines="50"/>
        <w:ind w:firstLine="360" w:firstLineChars="200"/>
        <w:rPr>
          <w:rFonts w:hint="eastAsia" w:ascii="Times New Roman" w:hAnsi="Times New Roman"/>
          <w:color w:val="auto"/>
          <w:sz w:val="18"/>
          <w:szCs w:val="18"/>
        </w:rPr>
      </w:pPr>
      <w:r>
        <w:rPr>
          <w:rFonts w:hint="eastAsia" w:ascii="Times New Roman" w:hAnsi="Times New Roman"/>
          <w:color w:val="auto"/>
          <w:sz w:val="18"/>
          <w:szCs w:val="18"/>
        </w:rPr>
        <w:t>注：1.在选择栏中的“□”内作标识“√”。 如监理人已退场，监理工程师栏可空缺。</w:t>
      </w:r>
    </w:p>
    <w:p w14:paraId="59D07D2C">
      <w:pPr>
        <w:pStyle w:val="37"/>
        <w:spacing w:before="156" w:beforeLines="50"/>
        <w:ind w:firstLine="720" w:firstLineChars="400"/>
        <w:rPr>
          <w:rFonts w:hint="eastAsia" w:ascii="Times New Roman" w:hAnsi="Times New Roman"/>
          <w:color w:val="auto"/>
          <w:sz w:val="30"/>
          <w:szCs w:val="30"/>
        </w:rPr>
      </w:pPr>
      <w:r>
        <w:rPr>
          <w:rFonts w:hint="eastAsia" w:ascii="Times New Roman" w:hAnsi="Times New Roman"/>
          <w:color w:val="auto"/>
          <w:sz w:val="18"/>
          <w:szCs w:val="18"/>
        </w:rPr>
        <w:t>2.本表一式</w:t>
      </w:r>
      <w:r>
        <w:rPr>
          <w:rFonts w:hint="eastAsia" w:ascii="Times New Roman" w:hAnsi="Times New Roman"/>
          <w:color w:val="auto"/>
          <w:sz w:val="18"/>
          <w:szCs w:val="18"/>
          <w:lang w:val="en-US" w:eastAsia="zh-CN"/>
        </w:rPr>
        <w:t>叁</w:t>
      </w:r>
      <w:r>
        <w:rPr>
          <w:rFonts w:hint="eastAsia" w:ascii="Times New Roman" w:hAnsi="Times New Roman"/>
          <w:color w:val="auto"/>
          <w:sz w:val="18"/>
          <w:szCs w:val="18"/>
        </w:rPr>
        <w:t>份，由承包人填报，发包人、监理人、承包人各存一份。</w:t>
      </w:r>
    </w:p>
    <w:p w14:paraId="70AC64C0">
      <w:pPr>
        <w:pStyle w:val="37"/>
        <w:spacing w:line="360" w:lineRule="auto"/>
        <w:jc w:val="left"/>
        <w:rPr>
          <w:rFonts w:hint="eastAsia" w:ascii="Times New Roman" w:hAnsi="Times New Roman"/>
          <w:color w:val="auto"/>
          <w:sz w:val="30"/>
          <w:szCs w:val="30"/>
        </w:rPr>
      </w:pPr>
    </w:p>
    <w:p w14:paraId="3B6EB157">
      <w:pPr>
        <w:pStyle w:val="37"/>
        <w:spacing w:line="360" w:lineRule="auto"/>
        <w:ind w:firstLine="600" w:firstLineChars="200"/>
        <w:jc w:val="left"/>
        <w:rPr>
          <w:rFonts w:hint="eastAsia" w:ascii="Times New Roman" w:hAnsi="宋体" w:cs="宋体"/>
          <w:color w:val="auto"/>
          <w:sz w:val="30"/>
          <w:szCs w:val="30"/>
        </w:rPr>
      </w:pPr>
      <w:r>
        <w:rPr>
          <w:rFonts w:hint="eastAsia" w:ascii="Times New Roman" w:hAnsi="Times New Roman"/>
          <w:color w:val="auto"/>
          <w:sz w:val="30"/>
          <w:szCs w:val="30"/>
        </w:rPr>
        <w:t>附件14：</w:t>
      </w:r>
    </w:p>
    <w:p w14:paraId="30F9E5EB">
      <w:pPr>
        <w:pStyle w:val="37"/>
        <w:spacing w:line="360" w:lineRule="auto"/>
        <w:ind w:firstLine="720" w:firstLineChars="200"/>
        <w:jc w:val="center"/>
        <w:rPr>
          <w:rFonts w:hint="eastAsia" w:ascii="宋体" w:hAnsi="宋体" w:cs="宋体"/>
          <w:color w:val="auto"/>
          <w:kern w:val="0"/>
          <w:sz w:val="36"/>
          <w:szCs w:val="36"/>
        </w:rPr>
      </w:pPr>
      <w:r>
        <w:rPr>
          <w:rFonts w:hint="eastAsia" w:ascii="宋体" w:hAnsi="宋体" w:cs="宋体"/>
          <w:color w:val="auto"/>
          <w:kern w:val="0"/>
          <w:sz w:val="36"/>
          <w:szCs w:val="36"/>
        </w:rPr>
        <w:t>总价合同进度款支付分解表</w:t>
      </w:r>
    </w:p>
    <w:p w14:paraId="13527BAB">
      <w:pPr>
        <w:pStyle w:val="37"/>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工程名称：</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3119"/>
        <w:gridCol w:w="675"/>
        <w:gridCol w:w="2268"/>
        <w:gridCol w:w="1276"/>
      </w:tblGrid>
      <w:tr w14:paraId="18F6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1736B87B">
            <w:pPr>
              <w:pStyle w:val="37"/>
              <w:spacing w:line="360" w:lineRule="auto"/>
              <w:jc w:val="center"/>
              <w:rPr>
                <w:rFonts w:hint="eastAsia" w:ascii="宋体" w:hAnsi="宋体" w:cs="宋体"/>
                <w:color w:val="auto"/>
                <w:kern w:val="0"/>
                <w:szCs w:val="21"/>
              </w:rPr>
            </w:pPr>
            <w:r>
              <w:rPr>
                <w:rFonts w:hint="eastAsia" w:ascii="宋体" w:hAnsi="宋体" w:cs="宋体"/>
                <w:color w:val="auto"/>
                <w:kern w:val="0"/>
                <w:szCs w:val="21"/>
              </w:rPr>
              <w:t>进度款期次</w:t>
            </w:r>
          </w:p>
        </w:tc>
        <w:tc>
          <w:tcPr>
            <w:tcW w:w="3794" w:type="dxa"/>
            <w:gridSpan w:val="2"/>
            <w:noWrap w:val="0"/>
            <w:vAlign w:val="top"/>
          </w:tcPr>
          <w:p w14:paraId="241439C9">
            <w:pPr>
              <w:pStyle w:val="37"/>
              <w:spacing w:line="360" w:lineRule="auto"/>
              <w:jc w:val="center"/>
              <w:rPr>
                <w:rFonts w:hint="eastAsia" w:ascii="宋体" w:hAnsi="宋体" w:cs="宋体"/>
                <w:color w:val="auto"/>
                <w:kern w:val="0"/>
                <w:szCs w:val="21"/>
              </w:rPr>
            </w:pPr>
            <w:r>
              <w:rPr>
                <w:rFonts w:hint="eastAsia" w:ascii="宋体" w:hAnsi="宋体" w:cs="宋体"/>
                <w:color w:val="auto"/>
                <w:kern w:val="0"/>
                <w:szCs w:val="21"/>
              </w:rPr>
              <w:t>形象进度</w:t>
            </w:r>
          </w:p>
        </w:tc>
        <w:tc>
          <w:tcPr>
            <w:tcW w:w="2268" w:type="dxa"/>
            <w:noWrap w:val="0"/>
            <w:vAlign w:val="top"/>
          </w:tcPr>
          <w:p w14:paraId="09B0C16F">
            <w:pPr>
              <w:pStyle w:val="37"/>
              <w:spacing w:line="360" w:lineRule="auto"/>
              <w:jc w:val="center"/>
              <w:rPr>
                <w:rFonts w:hint="eastAsia" w:ascii="宋体" w:hAnsi="宋体" w:cs="宋体"/>
                <w:color w:val="auto"/>
                <w:kern w:val="0"/>
                <w:szCs w:val="21"/>
              </w:rPr>
            </w:pPr>
            <w:r>
              <w:rPr>
                <w:rFonts w:hint="eastAsia" w:ascii="宋体" w:hAnsi="宋体" w:cs="宋体"/>
                <w:color w:val="auto"/>
                <w:kern w:val="0"/>
                <w:szCs w:val="21"/>
              </w:rPr>
              <w:t>进度款付款金额（元）</w:t>
            </w:r>
          </w:p>
        </w:tc>
        <w:tc>
          <w:tcPr>
            <w:tcW w:w="1276" w:type="dxa"/>
            <w:noWrap w:val="0"/>
            <w:vAlign w:val="top"/>
          </w:tcPr>
          <w:p w14:paraId="649EB41C">
            <w:pPr>
              <w:pStyle w:val="37"/>
              <w:spacing w:line="360" w:lineRule="auto"/>
              <w:jc w:val="center"/>
              <w:rPr>
                <w:rFonts w:hint="eastAsia" w:ascii="宋体" w:hAnsi="宋体" w:cs="宋体"/>
                <w:color w:val="auto"/>
                <w:kern w:val="0"/>
                <w:szCs w:val="21"/>
              </w:rPr>
            </w:pPr>
            <w:r>
              <w:rPr>
                <w:rFonts w:hint="eastAsia" w:ascii="宋体" w:hAnsi="宋体" w:cs="宋体"/>
                <w:color w:val="auto"/>
                <w:kern w:val="0"/>
                <w:szCs w:val="21"/>
              </w:rPr>
              <w:t>备注</w:t>
            </w:r>
          </w:p>
        </w:tc>
      </w:tr>
      <w:tr w14:paraId="6F05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1E79BEA7">
            <w:pPr>
              <w:pStyle w:val="37"/>
              <w:spacing w:line="360" w:lineRule="auto"/>
              <w:jc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预付款</w:t>
            </w:r>
          </w:p>
        </w:tc>
        <w:tc>
          <w:tcPr>
            <w:tcW w:w="3794" w:type="dxa"/>
            <w:gridSpan w:val="2"/>
            <w:noWrap w:val="0"/>
            <w:vAlign w:val="top"/>
          </w:tcPr>
          <w:p w14:paraId="2D7610A2">
            <w:pPr>
              <w:pStyle w:val="37"/>
              <w:spacing w:line="360" w:lineRule="auto"/>
              <w:jc w:val="center"/>
              <w:rPr>
                <w:rFonts w:hint="eastAsia" w:ascii="宋体" w:hAnsi="宋体" w:cs="宋体"/>
                <w:color w:val="auto"/>
                <w:kern w:val="0"/>
                <w:szCs w:val="21"/>
              </w:rPr>
            </w:pPr>
          </w:p>
        </w:tc>
        <w:tc>
          <w:tcPr>
            <w:tcW w:w="2268" w:type="dxa"/>
            <w:noWrap w:val="0"/>
            <w:vAlign w:val="top"/>
          </w:tcPr>
          <w:p w14:paraId="694BC421">
            <w:pPr>
              <w:pStyle w:val="37"/>
              <w:spacing w:line="360" w:lineRule="auto"/>
              <w:jc w:val="center"/>
              <w:rPr>
                <w:rFonts w:hint="eastAsia" w:ascii="宋体" w:hAnsi="宋体" w:cs="宋体"/>
                <w:color w:val="auto"/>
                <w:kern w:val="0"/>
                <w:szCs w:val="21"/>
              </w:rPr>
            </w:pPr>
          </w:p>
        </w:tc>
        <w:tc>
          <w:tcPr>
            <w:tcW w:w="1276" w:type="dxa"/>
            <w:noWrap w:val="0"/>
            <w:vAlign w:val="top"/>
          </w:tcPr>
          <w:p w14:paraId="7EEBA275">
            <w:pPr>
              <w:pStyle w:val="37"/>
              <w:spacing w:line="360" w:lineRule="auto"/>
              <w:jc w:val="center"/>
              <w:rPr>
                <w:rFonts w:hint="eastAsia" w:ascii="宋体" w:hAnsi="宋体" w:cs="宋体"/>
                <w:color w:val="auto"/>
                <w:kern w:val="0"/>
                <w:szCs w:val="21"/>
              </w:rPr>
            </w:pPr>
          </w:p>
        </w:tc>
      </w:tr>
      <w:tr w14:paraId="5595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6DF5D1F0">
            <w:pPr>
              <w:pStyle w:val="37"/>
              <w:spacing w:line="360" w:lineRule="auto"/>
              <w:jc w:val="center"/>
              <w:rPr>
                <w:rFonts w:hint="eastAsia" w:ascii="宋体" w:hAnsi="宋体" w:cs="宋体"/>
                <w:color w:val="auto"/>
                <w:kern w:val="0"/>
                <w:szCs w:val="21"/>
              </w:rPr>
            </w:pPr>
            <w:r>
              <w:rPr>
                <w:rFonts w:hint="eastAsia" w:ascii="宋体" w:hAnsi="宋体" w:cs="宋体"/>
                <w:color w:val="auto"/>
                <w:kern w:val="0"/>
                <w:szCs w:val="21"/>
              </w:rPr>
              <w:t>第一期</w:t>
            </w:r>
          </w:p>
        </w:tc>
        <w:tc>
          <w:tcPr>
            <w:tcW w:w="3794" w:type="dxa"/>
            <w:gridSpan w:val="2"/>
            <w:noWrap w:val="0"/>
            <w:vAlign w:val="top"/>
          </w:tcPr>
          <w:p w14:paraId="3411F4E8">
            <w:pPr>
              <w:pStyle w:val="37"/>
              <w:spacing w:line="360" w:lineRule="auto"/>
              <w:jc w:val="center"/>
              <w:rPr>
                <w:rFonts w:hint="eastAsia" w:ascii="宋体" w:hAnsi="宋体" w:cs="宋体"/>
                <w:color w:val="auto"/>
                <w:kern w:val="0"/>
                <w:szCs w:val="21"/>
              </w:rPr>
            </w:pPr>
          </w:p>
        </w:tc>
        <w:tc>
          <w:tcPr>
            <w:tcW w:w="2268" w:type="dxa"/>
            <w:noWrap w:val="0"/>
            <w:vAlign w:val="top"/>
          </w:tcPr>
          <w:p w14:paraId="52196B12">
            <w:pPr>
              <w:pStyle w:val="37"/>
              <w:spacing w:line="360" w:lineRule="auto"/>
              <w:jc w:val="center"/>
              <w:rPr>
                <w:rFonts w:hint="eastAsia" w:ascii="宋体" w:hAnsi="宋体" w:cs="宋体"/>
                <w:color w:val="auto"/>
                <w:kern w:val="0"/>
                <w:szCs w:val="21"/>
              </w:rPr>
            </w:pPr>
          </w:p>
        </w:tc>
        <w:tc>
          <w:tcPr>
            <w:tcW w:w="1276" w:type="dxa"/>
            <w:noWrap w:val="0"/>
            <w:vAlign w:val="top"/>
          </w:tcPr>
          <w:p w14:paraId="6B9C0DE1">
            <w:pPr>
              <w:pStyle w:val="37"/>
              <w:spacing w:line="360" w:lineRule="auto"/>
              <w:jc w:val="center"/>
              <w:rPr>
                <w:rFonts w:hint="eastAsia" w:ascii="宋体" w:hAnsi="宋体" w:cs="宋体"/>
                <w:color w:val="auto"/>
                <w:kern w:val="0"/>
                <w:szCs w:val="21"/>
              </w:rPr>
            </w:pPr>
          </w:p>
        </w:tc>
      </w:tr>
      <w:tr w14:paraId="5FB0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0F57D086">
            <w:pPr>
              <w:pStyle w:val="37"/>
              <w:spacing w:line="360" w:lineRule="auto"/>
              <w:jc w:val="center"/>
              <w:rPr>
                <w:rFonts w:hint="eastAsia" w:ascii="宋体" w:hAnsi="宋体" w:cs="宋体"/>
                <w:color w:val="auto"/>
                <w:kern w:val="0"/>
                <w:szCs w:val="21"/>
              </w:rPr>
            </w:pPr>
            <w:r>
              <w:rPr>
                <w:rFonts w:hint="eastAsia" w:ascii="宋体" w:hAnsi="宋体" w:cs="宋体"/>
                <w:color w:val="auto"/>
                <w:kern w:val="0"/>
                <w:szCs w:val="21"/>
              </w:rPr>
              <w:t>第二期</w:t>
            </w:r>
          </w:p>
        </w:tc>
        <w:tc>
          <w:tcPr>
            <w:tcW w:w="3794" w:type="dxa"/>
            <w:gridSpan w:val="2"/>
            <w:noWrap w:val="0"/>
            <w:vAlign w:val="top"/>
          </w:tcPr>
          <w:p w14:paraId="75499947">
            <w:pPr>
              <w:pStyle w:val="37"/>
              <w:spacing w:line="360" w:lineRule="auto"/>
              <w:jc w:val="center"/>
              <w:rPr>
                <w:rFonts w:hint="eastAsia" w:ascii="宋体" w:hAnsi="宋体" w:cs="宋体"/>
                <w:color w:val="auto"/>
                <w:kern w:val="0"/>
                <w:szCs w:val="21"/>
              </w:rPr>
            </w:pPr>
          </w:p>
        </w:tc>
        <w:tc>
          <w:tcPr>
            <w:tcW w:w="2268" w:type="dxa"/>
            <w:noWrap w:val="0"/>
            <w:vAlign w:val="top"/>
          </w:tcPr>
          <w:p w14:paraId="24A9E2D8">
            <w:pPr>
              <w:pStyle w:val="37"/>
              <w:spacing w:line="360" w:lineRule="auto"/>
              <w:jc w:val="center"/>
              <w:rPr>
                <w:rFonts w:hint="eastAsia" w:ascii="宋体" w:hAnsi="宋体" w:cs="宋体"/>
                <w:color w:val="auto"/>
                <w:kern w:val="0"/>
                <w:szCs w:val="21"/>
              </w:rPr>
            </w:pPr>
          </w:p>
        </w:tc>
        <w:tc>
          <w:tcPr>
            <w:tcW w:w="1276" w:type="dxa"/>
            <w:noWrap w:val="0"/>
            <w:vAlign w:val="top"/>
          </w:tcPr>
          <w:p w14:paraId="0AF87D2A">
            <w:pPr>
              <w:pStyle w:val="37"/>
              <w:spacing w:line="360" w:lineRule="auto"/>
              <w:jc w:val="center"/>
              <w:rPr>
                <w:rFonts w:hint="eastAsia" w:ascii="宋体" w:hAnsi="宋体" w:cs="宋体"/>
                <w:color w:val="auto"/>
                <w:kern w:val="0"/>
                <w:szCs w:val="21"/>
              </w:rPr>
            </w:pPr>
          </w:p>
        </w:tc>
      </w:tr>
      <w:tr w14:paraId="32A8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69C03119">
            <w:pPr>
              <w:pStyle w:val="37"/>
              <w:spacing w:line="360" w:lineRule="auto"/>
              <w:jc w:val="center"/>
              <w:rPr>
                <w:rFonts w:hint="eastAsia" w:ascii="宋体" w:hAnsi="宋体" w:cs="宋体"/>
                <w:color w:val="auto"/>
                <w:kern w:val="0"/>
                <w:szCs w:val="21"/>
              </w:rPr>
            </w:pPr>
            <w:r>
              <w:rPr>
                <w:rFonts w:hint="eastAsia" w:ascii="宋体" w:hAnsi="宋体" w:cs="宋体"/>
                <w:color w:val="auto"/>
                <w:kern w:val="0"/>
                <w:szCs w:val="21"/>
              </w:rPr>
              <w:t>第三期</w:t>
            </w:r>
          </w:p>
        </w:tc>
        <w:tc>
          <w:tcPr>
            <w:tcW w:w="3794" w:type="dxa"/>
            <w:gridSpan w:val="2"/>
            <w:noWrap w:val="0"/>
            <w:vAlign w:val="top"/>
          </w:tcPr>
          <w:p w14:paraId="6A0D8EC8">
            <w:pPr>
              <w:pStyle w:val="37"/>
              <w:spacing w:line="360" w:lineRule="auto"/>
              <w:jc w:val="center"/>
              <w:rPr>
                <w:rFonts w:hint="eastAsia" w:ascii="宋体" w:hAnsi="宋体" w:cs="宋体"/>
                <w:color w:val="auto"/>
                <w:kern w:val="0"/>
                <w:szCs w:val="21"/>
              </w:rPr>
            </w:pPr>
          </w:p>
        </w:tc>
        <w:tc>
          <w:tcPr>
            <w:tcW w:w="2268" w:type="dxa"/>
            <w:noWrap w:val="0"/>
            <w:vAlign w:val="top"/>
          </w:tcPr>
          <w:p w14:paraId="2CA4FB72">
            <w:pPr>
              <w:pStyle w:val="37"/>
              <w:spacing w:line="360" w:lineRule="auto"/>
              <w:jc w:val="center"/>
              <w:rPr>
                <w:rFonts w:hint="eastAsia" w:ascii="宋体" w:hAnsi="宋体" w:cs="宋体"/>
                <w:color w:val="auto"/>
                <w:kern w:val="0"/>
                <w:szCs w:val="21"/>
              </w:rPr>
            </w:pPr>
          </w:p>
        </w:tc>
        <w:tc>
          <w:tcPr>
            <w:tcW w:w="1276" w:type="dxa"/>
            <w:noWrap w:val="0"/>
            <w:vAlign w:val="top"/>
          </w:tcPr>
          <w:p w14:paraId="3D2D1F51">
            <w:pPr>
              <w:pStyle w:val="37"/>
              <w:spacing w:line="360" w:lineRule="auto"/>
              <w:jc w:val="center"/>
              <w:rPr>
                <w:rFonts w:hint="eastAsia" w:ascii="宋体" w:hAnsi="宋体" w:cs="宋体"/>
                <w:color w:val="auto"/>
                <w:kern w:val="0"/>
                <w:szCs w:val="21"/>
              </w:rPr>
            </w:pPr>
          </w:p>
        </w:tc>
      </w:tr>
      <w:tr w14:paraId="5BDC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544A4947">
            <w:pPr>
              <w:pStyle w:val="37"/>
              <w:spacing w:line="360" w:lineRule="auto"/>
              <w:jc w:val="center"/>
              <w:rPr>
                <w:rFonts w:hint="eastAsia" w:ascii="宋体" w:hAnsi="宋体" w:cs="宋体"/>
                <w:color w:val="auto"/>
                <w:kern w:val="0"/>
                <w:szCs w:val="21"/>
              </w:rPr>
            </w:pPr>
            <w:r>
              <w:rPr>
                <w:rFonts w:ascii="宋体" w:hAnsi="宋体" w:cs="宋体"/>
                <w:color w:val="auto"/>
                <w:kern w:val="0"/>
                <w:szCs w:val="21"/>
              </w:rPr>
              <w:t>……</w:t>
            </w:r>
          </w:p>
        </w:tc>
        <w:tc>
          <w:tcPr>
            <w:tcW w:w="3794" w:type="dxa"/>
            <w:gridSpan w:val="2"/>
            <w:noWrap w:val="0"/>
            <w:vAlign w:val="top"/>
          </w:tcPr>
          <w:p w14:paraId="2F2CF9B2">
            <w:pPr>
              <w:pStyle w:val="37"/>
              <w:spacing w:line="360" w:lineRule="auto"/>
              <w:jc w:val="center"/>
              <w:rPr>
                <w:rFonts w:hint="eastAsia" w:ascii="宋体" w:hAnsi="宋体" w:cs="宋体"/>
                <w:color w:val="auto"/>
                <w:kern w:val="0"/>
                <w:szCs w:val="21"/>
              </w:rPr>
            </w:pPr>
          </w:p>
        </w:tc>
        <w:tc>
          <w:tcPr>
            <w:tcW w:w="2268" w:type="dxa"/>
            <w:noWrap w:val="0"/>
            <w:vAlign w:val="top"/>
          </w:tcPr>
          <w:p w14:paraId="595E9F13">
            <w:pPr>
              <w:pStyle w:val="37"/>
              <w:spacing w:line="360" w:lineRule="auto"/>
              <w:jc w:val="center"/>
              <w:rPr>
                <w:rFonts w:hint="eastAsia" w:ascii="宋体" w:hAnsi="宋体" w:cs="宋体"/>
                <w:color w:val="auto"/>
                <w:kern w:val="0"/>
                <w:szCs w:val="21"/>
              </w:rPr>
            </w:pPr>
          </w:p>
        </w:tc>
        <w:tc>
          <w:tcPr>
            <w:tcW w:w="1276" w:type="dxa"/>
            <w:noWrap w:val="0"/>
            <w:vAlign w:val="top"/>
          </w:tcPr>
          <w:p w14:paraId="38F20931">
            <w:pPr>
              <w:pStyle w:val="37"/>
              <w:spacing w:line="360" w:lineRule="auto"/>
              <w:jc w:val="center"/>
              <w:rPr>
                <w:rFonts w:hint="eastAsia" w:ascii="宋体" w:hAnsi="宋体" w:cs="宋体"/>
                <w:color w:val="auto"/>
                <w:kern w:val="0"/>
                <w:szCs w:val="21"/>
              </w:rPr>
            </w:pPr>
          </w:p>
        </w:tc>
      </w:tr>
      <w:tr w14:paraId="6E60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4536" w:type="dxa"/>
            <w:gridSpan w:val="2"/>
            <w:noWrap w:val="0"/>
            <w:vAlign w:val="top"/>
          </w:tcPr>
          <w:p w14:paraId="7092F26A">
            <w:pPr>
              <w:pStyle w:val="37"/>
              <w:spacing w:line="360" w:lineRule="exact"/>
              <w:ind w:firstLine="435"/>
              <w:jc w:val="right"/>
              <w:rPr>
                <w:rFonts w:hint="eastAsia" w:ascii="Times New Roman" w:hAnsi="Times New Roman"/>
                <w:color w:val="auto"/>
                <w:szCs w:val="21"/>
              </w:rPr>
            </w:pPr>
          </w:p>
          <w:p w14:paraId="492E159D">
            <w:pPr>
              <w:pStyle w:val="37"/>
              <w:spacing w:line="360" w:lineRule="exact"/>
              <w:ind w:firstLine="435"/>
              <w:jc w:val="center"/>
              <w:rPr>
                <w:rFonts w:hint="eastAsia" w:ascii="Times New Roman" w:hAnsi="Times New Roman"/>
                <w:color w:val="auto"/>
                <w:szCs w:val="21"/>
              </w:rPr>
            </w:pPr>
          </w:p>
          <w:p w14:paraId="6ED6A18C">
            <w:pPr>
              <w:pStyle w:val="37"/>
              <w:spacing w:line="360" w:lineRule="exact"/>
              <w:ind w:firstLine="420" w:firstLineChars="200"/>
              <w:jc w:val="center"/>
              <w:rPr>
                <w:rFonts w:hint="eastAsia" w:ascii="Times New Roman" w:hAnsi="Times New Roman"/>
                <w:color w:val="auto"/>
                <w:szCs w:val="21"/>
              </w:rPr>
            </w:pPr>
            <w:r>
              <w:rPr>
                <w:rFonts w:hint="eastAsia" w:ascii="Times New Roman" w:hAnsi="Times New Roman"/>
                <w:color w:val="auto"/>
                <w:szCs w:val="21"/>
              </w:rPr>
              <w:t>发包人代表签字：</w:t>
            </w:r>
          </w:p>
          <w:p w14:paraId="48FC56D0">
            <w:pPr>
              <w:pStyle w:val="37"/>
              <w:spacing w:line="360" w:lineRule="exact"/>
              <w:ind w:firstLine="435"/>
              <w:jc w:val="center"/>
              <w:rPr>
                <w:rFonts w:hint="eastAsia" w:ascii="Times New Roman" w:hAnsi="Times New Roman"/>
                <w:color w:val="auto"/>
                <w:szCs w:val="21"/>
              </w:rPr>
            </w:pPr>
          </w:p>
          <w:p w14:paraId="0D57083E">
            <w:pPr>
              <w:pStyle w:val="37"/>
              <w:spacing w:line="360" w:lineRule="exact"/>
              <w:ind w:firstLine="420" w:firstLineChars="200"/>
              <w:jc w:val="center"/>
              <w:rPr>
                <w:rFonts w:hint="eastAsia" w:ascii="Times New Roman" w:hAnsi="Times New Roman"/>
                <w:color w:val="auto"/>
                <w:szCs w:val="21"/>
              </w:rPr>
            </w:pPr>
            <w:r>
              <w:rPr>
                <w:rFonts w:hint="eastAsia" w:ascii="Times New Roman" w:hAnsi="Times New Roman"/>
                <w:color w:val="auto"/>
                <w:szCs w:val="21"/>
              </w:rPr>
              <w:t>发包人（盖公章）</w:t>
            </w:r>
          </w:p>
          <w:p w14:paraId="154A6BF0">
            <w:pPr>
              <w:pStyle w:val="37"/>
              <w:spacing w:line="360" w:lineRule="exact"/>
              <w:ind w:firstLine="435"/>
              <w:jc w:val="center"/>
              <w:rPr>
                <w:rFonts w:hint="eastAsia" w:ascii="Times New Roman" w:hAnsi="Times New Roman"/>
                <w:color w:val="auto"/>
                <w:szCs w:val="21"/>
              </w:rPr>
            </w:pPr>
          </w:p>
          <w:p w14:paraId="7179D6B3">
            <w:pPr>
              <w:pStyle w:val="37"/>
              <w:spacing w:line="360" w:lineRule="exact"/>
              <w:ind w:firstLine="420" w:firstLineChars="200"/>
              <w:jc w:val="center"/>
              <w:rPr>
                <w:rFonts w:hint="eastAsia" w:ascii="Times New Roman" w:hAnsi="Times New Roman"/>
                <w:color w:val="auto"/>
                <w:szCs w:val="21"/>
                <w:u w:val="single"/>
              </w:rPr>
            </w:pPr>
            <w:r>
              <w:rPr>
                <w:rFonts w:ascii="Times New Roman" w:hAnsi="Times New Roman"/>
                <w:color w:val="auto"/>
                <w:szCs w:val="21"/>
              </w:rPr>
              <w:t xml:space="preserve">    </w:t>
            </w:r>
            <w:r>
              <w:rPr>
                <w:rFonts w:hint="eastAsia" w:ascii="Times New Roman" w:hAnsi="Times New Roman"/>
                <w:color w:val="auto"/>
                <w:szCs w:val="21"/>
              </w:rPr>
              <w:t xml:space="preserve">    日      期 </w:t>
            </w:r>
            <w:r>
              <w:rPr>
                <w:rFonts w:hint="eastAsia" w:ascii="Times New Roman" w:hAnsi="Times New Roman"/>
                <w:color w:val="auto"/>
                <w:szCs w:val="21"/>
                <w:u w:val="single"/>
              </w:rPr>
              <w:t xml:space="preserve">          </w:t>
            </w:r>
          </w:p>
        </w:tc>
        <w:tc>
          <w:tcPr>
            <w:tcW w:w="4219" w:type="dxa"/>
            <w:gridSpan w:val="3"/>
            <w:noWrap w:val="0"/>
            <w:vAlign w:val="top"/>
          </w:tcPr>
          <w:p w14:paraId="6031D63E">
            <w:pPr>
              <w:pStyle w:val="37"/>
              <w:spacing w:line="360" w:lineRule="exact"/>
              <w:ind w:firstLine="435"/>
              <w:jc w:val="center"/>
              <w:rPr>
                <w:rFonts w:hint="eastAsia" w:ascii="Times New Roman" w:hAnsi="Times New Roman"/>
                <w:color w:val="auto"/>
                <w:szCs w:val="21"/>
              </w:rPr>
            </w:pPr>
          </w:p>
          <w:p w14:paraId="7AA26CDF">
            <w:pPr>
              <w:pStyle w:val="37"/>
              <w:spacing w:line="360" w:lineRule="exact"/>
              <w:ind w:firstLine="435"/>
              <w:jc w:val="center"/>
              <w:rPr>
                <w:rFonts w:hint="eastAsia" w:ascii="Times New Roman" w:hAnsi="Times New Roman"/>
                <w:color w:val="auto"/>
                <w:szCs w:val="21"/>
                <w:u w:val="single"/>
              </w:rPr>
            </w:pPr>
          </w:p>
          <w:p w14:paraId="04F99356">
            <w:pPr>
              <w:pStyle w:val="37"/>
              <w:spacing w:line="360" w:lineRule="exact"/>
              <w:ind w:firstLine="420" w:firstLineChars="200"/>
              <w:jc w:val="center"/>
              <w:rPr>
                <w:rFonts w:hint="eastAsia" w:ascii="Times New Roman" w:hAnsi="Times New Roman"/>
                <w:color w:val="auto"/>
                <w:szCs w:val="21"/>
              </w:rPr>
            </w:pPr>
            <w:r>
              <w:rPr>
                <w:rFonts w:hint="eastAsia" w:ascii="Times New Roman" w:hAnsi="Times New Roman"/>
                <w:color w:val="auto"/>
                <w:szCs w:val="21"/>
              </w:rPr>
              <w:t>承包人代表签字：</w:t>
            </w:r>
          </w:p>
          <w:p w14:paraId="6E8A5E49">
            <w:pPr>
              <w:pStyle w:val="37"/>
              <w:spacing w:line="360" w:lineRule="exact"/>
              <w:ind w:firstLine="435"/>
              <w:jc w:val="center"/>
              <w:rPr>
                <w:rFonts w:hint="eastAsia" w:ascii="Times New Roman" w:hAnsi="Times New Roman"/>
                <w:color w:val="auto"/>
                <w:szCs w:val="21"/>
              </w:rPr>
            </w:pPr>
          </w:p>
          <w:p w14:paraId="03E3CD59">
            <w:pPr>
              <w:pStyle w:val="37"/>
              <w:spacing w:line="360" w:lineRule="exact"/>
              <w:ind w:firstLine="420" w:firstLineChars="200"/>
              <w:jc w:val="center"/>
              <w:rPr>
                <w:rFonts w:hint="eastAsia" w:ascii="Times New Roman" w:hAnsi="Times New Roman"/>
                <w:color w:val="auto"/>
                <w:szCs w:val="21"/>
              </w:rPr>
            </w:pPr>
            <w:r>
              <w:rPr>
                <w:rFonts w:hint="eastAsia" w:ascii="Times New Roman" w:hAnsi="Times New Roman"/>
                <w:color w:val="auto"/>
                <w:szCs w:val="21"/>
              </w:rPr>
              <w:t>承包人（盖公章）</w:t>
            </w:r>
          </w:p>
          <w:p w14:paraId="1F0B2A5E">
            <w:pPr>
              <w:pStyle w:val="37"/>
              <w:spacing w:line="360" w:lineRule="exact"/>
              <w:ind w:firstLine="435"/>
              <w:jc w:val="center"/>
              <w:rPr>
                <w:rFonts w:hint="eastAsia" w:ascii="Times New Roman" w:hAnsi="Times New Roman"/>
                <w:color w:val="auto"/>
                <w:szCs w:val="21"/>
              </w:rPr>
            </w:pPr>
          </w:p>
          <w:p w14:paraId="7F6D27D4">
            <w:pPr>
              <w:pStyle w:val="37"/>
              <w:spacing w:line="360" w:lineRule="exact"/>
              <w:ind w:firstLine="420" w:firstLineChars="200"/>
              <w:jc w:val="center"/>
              <w:rPr>
                <w:rFonts w:hint="eastAsia" w:ascii="Times New Roman" w:hAnsi="Times New Roman"/>
                <w:color w:val="auto"/>
                <w:szCs w:val="21"/>
                <w:u w:val="single"/>
              </w:rPr>
            </w:pPr>
            <w:r>
              <w:rPr>
                <w:rFonts w:ascii="Times New Roman" w:hAnsi="Times New Roman"/>
                <w:color w:val="auto"/>
                <w:szCs w:val="21"/>
              </w:rPr>
              <w:t xml:space="preserve">    </w:t>
            </w:r>
            <w:r>
              <w:rPr>
                <w:rFonts w:hint="eastAsia" w:ascii="Times New Roman" w:hAnsi="Times New Roman"/>
                <w:color w:val="auto"/>
                <w:szCs w:val="21"/>
              </w:rPr>
              <w:t xml:space="preserve">    日      期</w:t>
            </w:r>
            <w:r>
              <w:rPr>
                <w:rFonts w:hint="eastAsia" w:ascii="Times New Roman" w:hAnsi="Times New Roman"/>
                <w:color w:val="auto"/>
                <w:szCs w:val="21"/>
                <w:u w:val="single"/>
              </w:rPr>
              <w:t xml:space="preserve">        </w:t>
            </w:r>
          </w:p>
        </w:tc>
      </w:tr>
    </w:tbl>
    <w:p w14:paraId="7FDB5E0C">
      <w:pPr>
        <w:pStyle w:val="14"/>
        <w:rPr>
          <w:color w:val="auto"/>
        </w:rPr>
      </w:pPr>
    </w:p>
    <w:p w14:paraId="59875670">
      <w:pPr>
        <w:pStyle w:val="14"/>
        <w:rPr>
          <w:color w:val="auto"/>
        </w:rPr>
      </w:pPr>
    </w:p>
    <w:p w14:paraId="663A8997">
      <w:pPr>
        <w:pStyle w:val="14"/>
        <w:rPr>
          <w:color w:val="auto"/>
        </w:rPr>
      </w:pPr>
    </w:p>
    <w:p w14:paraId="56A0C701">
      <w:pPr>
        <w:pStyle w:val="14"/>
        <w:rPr>
          <w:color w:val="auto"/>
        </w:rPr>
      </w:pPr>
    </w:p>
    <w:p w14:paraId="00C289F7">
      <w:pPr>
        <w:pStyle w:val="14"/>
        <w:rPr>
          <w:color w:val="auto"/>
        </w:rPr>
      </w:pPr>
    </w:p>
    <w:p w14:paraId="670A91A4">
      <w:pPr>
        <w:pStyle w:val="14"/>
        <w:rPr>
          <w:color w:val="auto"/>
        </w:rPr>
      </w:pPr>
    </w:p>
    <w:p w14:paraId="5A226B80">
      <w:pPr>
        <w:pStyle w:val="14"/>
        <w:rPr>
          <w:color w:val="auto"/>
        </w:rPr>
      </w:pPr>
    </w:p>
    <w:p w14:paraId="17746B0E">
      <w:pPr>
        <w:pStyle w:val="14"/>
        <w:rPr>
          <w:color w:val="auto"/>
        </w:rPr>
      </w:pPr>
    </w:p>
    <w:p w14:paraId="6DAB8792">
      <w:pPr>
        <w:pStyle w:val="14"/>
        <w:rPr>
          <w:color w:val="auto"/>
        </w:rPr>
      </w:pPr>
    </w:p>
    <w:p w14:paraId="28BED418">
      <w:pPr>
        <w:pStyle w:val="14"/>
        <w:rPr>
          <w:color w:val="auto"/>
        </w:rPr>
      </w:pPr>
    </w:p>
    <w:p w14:paraId="0A5FB661">
      <w:pPr>
        <w:pStyle w:val="14"/>
        <w:rPr>
          <w:color w:val="auto"/>
        </w:rPr>
      </w:pPr>
    </w:p>
    <w:p w14:paraId="13BA1616">
      <w:pPr>
        <w:pStyle w:val="14"/>
        <w:rPr>
          <w:color w:val="auto"/>
        </w:rPr>
      </w:pPr>
    </w:p>
    <w:p w14:paraId="7E5A5D38">
      <w:pPr>
        <w:pStyle w:val="14"/>
        <w:rPr>
          <w:color w:val="auto"/>
        </w:rPr>
      </w:pPr>
    </w:p>
    <w:p w14:paraId="59C9FB8D">
      <w:pPr>
        <w:pStyle w:val="14"/>
        <w:rPr>
          <w:color w:val="auto"/>
        </w:rPr>
      </w:pPr>
    </w:p>
    <w:p w14:paraId="350C6A76">
      <w:pPr>
        <w:pStyle w:val="14"/>
        <w:rPr>
          <w:color w:val="auto"/>
        </w:rPr>
      </w:pPr>
    </w:p>
    <w:p w14:paraId="3C60D140">
      <w:pPr>
        <w:pStyle w:val="14"/>
        <w:rPr>
          <w:color w:val="auto"/>
        </w:rPr>
      </w:pPr>
    </w:p>
    <w:p w14:paraId="242AC04E">
      <w:pPr>
        <w:pStyle w:val="14"/>
        <w:rPr>
          <w:color w:val="auto"/>
        </w:rPr>
      </w:pPr>
    </w:p>
    <w:p w14:paraId="63977795">
      <w:pPr>
        <w:pStyle w:val="14"/>
        <w:rPr>
          <w:color w:val="auto"/>
        </w:rPr>
      </w:pPr>
    </w:p>
    <w:p w14:paraId="43726E9F">
      <w:pPr>
        <w:pStyle w:val="14"/>
        <w:rPr>
          <w:color w:val="auto"/>
        </w:rPr>
      </w:pPr>
    </w:p>
    <w:p w14:paraId="15F9A20F">
      <w:pPr>
        <w:pStyle w:val="14"/>
        <w:rPr>
          <w:color w:val="auto"/>
        </w:rPr>
      </w:pPr>
    </w:p>
    <w:p w14:paraId="729573CC">
      <w:pPr>
        <w:pStyle w:val="14"/>
        <w:rPr>
          <w:color w:val="auto"/>
        </w:rPr>
      </w:pPr>
    </w:p>
    <w:p w14:paraId="356C2922">
      <w:pPr>
        <w:pStyle w:val="14"/>
        <w:rPr>
          <w:color w:val="auto"/>
        </w:rPr>
      </w:pPr>
    </w:p>
    <w:p w14:paraId="470D04B8">
      <w:pPr>
        <w:pStyle w:val="14"/>
        <w:rPr>
          <w:color w:val="auto"/>
        </w:rPr>
      </w:pPr>
    </w:p>
    <w:p w14:paraId="59F295AE">
      <w:pPr>
        <w:pStyle w:val="14"/>
        <w:rPr>
          <w:color w:val="auto"/>
        </w:rPr>
      </w:pPr>
    </w:p>
    <w:p w14:paraId="42EA8D4F">
      <w:pPr>
        <w:pStyle w:val="14"/>
        <w:rPr>
          <w:color w:val="auto"/>
        </w:rPr>
      </w:pPr>
    </w:p>
    <w:p w14:paraId="59B78118">
      <w:pPr>
        <w:pStyle w:val="14"/>
        <w:rPr>
          <w:color w:val="auto"/>
        </w:rPr>
      </w:pPr>
    </w:p>
    <w:p w14:paraId="162C51F6">
      <w:pPr>
        <w:pStyle w:val="14"/>
        <w:rPr>
          <w:color w:val="auto"/>
        </w:rPr>
      </w:pPr>
    </w:p>
    <w:p w14:paraId="23D9D5C2">
      <w:pPr>
        <w:pStyle w:val="14"/>
        <w:rPr>
          <w:color w:val="auto"/>
        </w:rPr>
      </w:pPr>
    </w:p>
    <w:p w14:paraId="2A161B0F">
      <w:pPr>
        <w:pStyle w:val="14"/>
        <w:rPr>
          <w:color w:val="auto"/>
        </w:rPr>
      </w:pPr>
    </w:p>
    <w:p w14:paraId="7F1F22D8">
      <w:pPr>
        <w:pStyle w:val="14"/>
        <w:rPr>
          <w:color w:val="auto"/>
        </w:rPr>
      </w:pPr>
    </w:p>
    <w:p w14:paraId="2B4CB7EA">
      <w:pPr>
        <w:pStyle w:val="14"/>
        <w:rPr>
          <w:color w:val="auto"/>
        </w:rPr>
      </w:pPr>
    </w:p>
    <w:p w14:paraId="7C41375E">
      <w:pPr>
        <w:pStyle w:val="14"/>
        <w:rPr>
          <w:color w:val="auto"/>
        </w:rPr>
      </w:pPr>
    </w:p>
    <w:p w14:paraId="50F9B31A">
      <w:pPr>
        <w:pStyle w:val="37"/>
        <w:spacing w:line="360" w:lineRule="auto"/>
        <w:ind w:firstLine="600" w:firstLineChars="200"/>
        <w:jc w:val="left"/>
        <w:rPr>
          <w:rFonts w:hint="eastAsia" w:ascii="Times New Roman" w:hAnsi="Times New Roman"/>
          <w:color w:val="auto"/>
          <w:sz w:val="30"/>
          <w:szCs w:val="30"/>
        </w:rPr>
      </w:pPr>
      <w:r>
        <w:rPr>
          <w:rFonts w:hint="eastAsia" w:ascii="Times New Roman" w:hAnsi="Times New Roman"/>
          <w:color w:val="auto"/>
          <w:sz w:val="30"/>
          <w:szCs w:val="30"/>
        </w:rPr>
        <w:t>附件1</w:t>
      </w:r>
      <w:r>
        <w:rPr>
          <w:rFonts w:hint="eastAsia" w:ascii="Times New Roman" w:hAnsi="Times New Roman"/>
          <w:color w:val="auto"/>
          <w:sz w:val="30"/>
          <w:szCs w:val="30"/>
          <w:lang w:val="en-US" w:eastAsia="zh-CN"/>
        </w:rPr>
        <w:t>5</w:t>
      </w:r>
      <w:r>
        <w:rPr>
          <w:rFonts w:hint="eastAsia" w:ascii="Times New Roman" w:hAnsi="Times New Roman"/>
          <w:color w:val="auto"/>
          <w:sz w:val="30"/>
          <w:szCs w:val="30"/>
        </w:rPr>
        <w:t>：</w:t>
      </w:r>
    </w:p>
    <w:p w14:paraId="420153AA">
      <w:pPr>
        <w:ind w:firstLine="880" w:firstLineChars="200"/>
        <w:jc w:val="center"/>
        <w:rPr>
          <w:rFonts w:hint="eastAsia" w:ascii="宋体" w:hAnsi="宋体" w:eastAsia="宋体" w:cs="宋体"/>
          <w:color w:val="auto"/>
          <w:sz w:val="44"/>
          <w:szCs w:val="44"/>
          <w:u w:val="none"/>
          <w:lang w:val="en-US" w:eastAsia="zh-CN"/>
        </w:rPr>
      </w:pPr>
      <w:r>
        <w:rPr>
          <w:rFonts w:hint="eastAsia" w:ascii="宋体" w:hAnsi="宋体" w:cs="宋体"/>
          <w:color w:val="auto"/>
          <w:sz w:val="44"/>
          <w:szCs w:val="44"/>
          <w:u w:val="none"/>
          <w:lang w:val="en-US" w:eastAsia="zh-CN"/>
        </w:rPr>
        <w:t>欠薪</w:t>
      </w:r>
      <w:r>
        <w:rPr>
          <w:rFonts w:hint="eastAsia" w:ascii="宋体" w:hAnsi="宋体" w:eastAsia="宋体" w:cs="宋体"/>
          <w:color w:val="auto"/>
          <w:sz w:val="44"/>
          <w:szCs w:val="44"/>
          <w:u w:val="none"/>
          <w:lang w:val="en-US" w:eastAsia="zh-CN"/>
        </w:rPr>
        <w:t>催函</w:t>
      </w:r>
    </w:p>
    <w:p w14:paraId="11285422">
      <w:pPr>
        <w:rPr>
          <w:rFonts w:hint="eastAsia" w:ascii="宋体" w:hAnsi="宋体" w:eastAsia="宋体" w:cs="宋体"/>
          <w:color w:val="auto"/>
          <w:sz w:val="44"/>
          <w:szCs w:val="44"/>
          <w:u w:val="none"/>
          <w:lang w:val="en-US" w:eastAsia="zh-CN"/>
        </w:rPr>
      </w:pPr>
    </w:p>
    <w:p w14:paraId="0AE289DE">
      <w:p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公司：</w:t>
      </w:r>
    </w:p>
    <w:p w14:paraId="307530EB">
      <w:p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由贵公司承包的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项目，经发现：</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人名），工种：</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，做工时间：</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，工资：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元，未按时支付。现要求贵公司收到此函之日起限于15日内足额支付该人工工资。否则，我方将根据与贵方签订的合同“第16.2.2承包人违约的责任第（1）条第⑨款：承包方要按时足额支付人工工资。因承包方原因拖欠人工工资的，一经发现，发包人有权将承包人纳入黑名单，十年内不得参与包括但不限于港口区教育系统的基建项目工程承包活动，并由发包人将其违约行为告知防城港市港口区民政局，作为承包方不良记录纳入建筑市场信用信息管理系统”之约定执行。</w:t>
      </w:r>
    </w:p>
    <w:p w14:paraId="7D1EB073">
      <w:p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特此函告。</w:t>
      </w:r>
    </w:p>
    <w:p w14:paraId="568EFD65">
      <w:pPr>
        <w:ind w:firstLine="640" w:firstLineChars="200"/>
        <w:rPr>
          <w:rFonts w:hint="eastAsia" w:ascii="仿宋_GB2312" w:hAnsi="仿宋_GB2312" w:eastAsia="仿宋_GB2312" w:cs="仿宋_GB2312"/>
          <w:color w:val="auto"/>
          <w:sz w:val="32"/>
          <w:szCs w:val="32"/>
          <w:u w:val="none"/>
          <w:lang w:val="en-US" w:eastAsia="zh-CN"/>
        </w:rPr>
      </w:pPr>
    </w:p>
    <w:p w14:paraId="25E03EAC">
      <w:pPr>
        <w:ind w:firstLine="640" w:firstLineChars="200"/>
        <w:rPr>
          <w:rFonts w:hint="eastAsia" w:ascii="仿宋_GB2312" w:hAnsi="仿宋_GB2312" w:eastAsia="仿宋_GB2312" w:cs="仿宋_GB2312"/>
          <w:color w:val="auto"/>
          <w:sz w:val="32"/>
          <w:szCs w:val="32"/>
          <w:u w:val="none"/>
          <w:lang w:val="en-US" w:eastAsia="zh-CN"/>
        </w:rPr>
      </w:pPr>
    </w:p>
    <w:p w14:paraId="7D5728FF">
      <w:p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防城港市港口区民政局</w:t>
      </w:r>
    </w:p>
    <w:p w14:paraId="08354DF4">
      <w:p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年   月   日</w:t>
      </w:r>
    </w:p>
    <w:p w14:paraId="119FF304">
      <w:pPr>
        <w:ind w:firstLine="640" w:firstLineChars="200"/>
        <w:rPr>
          <w:rFonts w:hint="eastAsia" w:ascii="仿宋_GB2312" w:hAnsi="仿宋_GB2312" w:eastAsia="仿宋_GB2312" w:cs="仿宋_GB2312"/>
          <w:color w:val="auto"/>
          <w:sz w:val="32"/>
          <w:szCs w:val="32"/>
          <w:u w:val="none"/>
          <w:lang w:val="en-US" w:eastAsia="zh-CN"/>
        </w:rPr>
      </w:pPr>
    </w:p>
    <w:p w14:paraId="6AEC295E">
      <w:pPr>
        <w:ind w:firstLine="640" w:firstLineChars="200"/>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（联系人及电话：***，0770-******）</w:t>
      </w:r>
    </w:p>
    <w:p w14:paraId="7175E315">
      <w:pPr>
        <w:pStyle w:val="37"/>
        <w:spacing w:line="360" w:lineRule="auto"/>
        <w:jc w:val="left"/>
        <w:rPr>
          <w:rFonts w:hint="eastAsia" w:ascii="Times New Roman" w:hAnsi="Times New Roman"/>
          <w:color w:val="auto"/>
          <w:sz w:val="30"/>
          <w:szCs w:val="30"/>
        </w:rPr>
      </w:pPr>
    </w:p>
    <w:p w14:paraId="6CA04416">
      <w:pPr>
        <w:pStyle w:val="14"/>
        <w:rPr>
          <w:color w:val="auto"/>
        </w:rPr>
      </w:pPr>
    </w:p>
    <w:p w14:paraId="39BE0F9C">
      <w:pPr>
        <w:rPr>
          <w:rFonts w:hint="eastAsia"/>
          <w:color w:val="auto"/>
          <w:lang w:val="en-US" w:eastAsia="zh-CN"/>
        </w:rPr>
      </w:pPr>
      <w:r>
        <w:rPr>
          <w:rFonts w:hint="eastAsia"/>
          <w:color w:val="auto"/>
          <w:lang w:val="en-US" w:eastAsia="zh-CN"/>
        </w:rPr>
        <w:br w:type="page"/>
      </w:r>
    </w:p>
    <w:p w14:paraId="775A0529">
      <w:pPr>
        <w:ind w:firstLine="420" w:firstLineChars="200"/>
        <w:rPr>
          <w:rFonts w:hint="eastAsia"/>
          <w:color w:val="auto"/>
          <w:lang w:val="en-US" w:eastAsia="zh-CN"/>
        </w:rPr>
      </w:pPr>
      <w:r>
        <w:rPr>
          <w:rFonts w:hint="eastAsia"/>
          <w:color w:val="auto"/>
          <w:lang w:val="en-US" w:eastAsia="zh-CN"/>
        </w:rPr>
        <w:t>附件16：</w:t>
      </w:r>
    </w:p>
    <w:p w14:paraId="6836A3BC">
      <w:pPr>
        <w:ind w:firstLine="420" w:firstLineChars="200"/>
        <w:rPr>
          <w:rFonts w:hint="eastAsia"/>
          <w:color w:val="auto"/>
          <w:sz w:val="44"/>
          <w:szCs w:val="44"/>
          <w:lang w:val="en-US" w:eastAsia="zh-CN"/>
        </w:rPr>
      </w:pPr>
      <w:r>
        <w:rPr>
          <w:rFonts w:hint="eastAsia"/>
          <w:color w:val="auto"/>
          <w:lang w:val="en-US" w:eastAsia="zh-CN"/>
        </w:rPr>
        <w:t xml:space="preserve">      </w:t>
      </w:r>
      <w:r>
        <w:rPr>
          <w:rFonts w:hint="eastAsia"/>
          <w:color w:val="auto"/>
          <w:sz w:val="44"/>
          <w:szCs w:val="44"/>
          <w:u w:val="single"/>
          <w:lang w:val="en-US" w:eastAsia="zh-CN"/>
        </w:rPr>
        <w:t xml:space="preserve">       </w:t>
      </w:r>
      <w:r>
        <w:rPr>
          <w:rFonts w:hint="eastAsia"/>
          <w:color w:val="auto"/>
          <w:sz w:val="44"/>
          <w:szCs w:val="44"/>
          <w:u w:val="none"/>
          <w:lang w:val="en-US" w:eastAsia="zh-CN"/>
        </w:rPr>
        <w:t>项目</w:t>
      </w:r>
      <w:r>
        <w:rPr>
          <w:rFonts w:hint="eastAsia"/>
          <w:color w:val="auto"/>
          <w:sz w:val="44"/>
          <w:szCs w:val="44"/>
          <w:lang w:val="en-US" w:eastAsia="zh-CN"/>
        </w:rPr>
        <w:t>安全文明施工费使用明细表</w:t>
      </w:r>
    </w:p>
    <w:p w14:paraId="5635D91B">
      <w:pPr>
        <w:ind w:firstLine="640" w:firstLineChars="200"/>
        <w:rPr>
          <w:rFonts w:hint="default"/>
          <w:color w:val="auto"/>
          <w:sz w:val="32"/>
          <w:szCs w:val="32"/>
          <w:lang w:val="en-US" w:eastAsia="zh-CN"/>
        </w:rPr>
      </w:pPr>
      <w:r>
        <w:rPr>
          <w:rFonts w:hint="eastAsia"/>
          <w:color w:val="auto"/>
          <w:sz w:val="32"/>
          <w:szCs w:val="32"/>
          <w:lang w:val="en-US" w:eastAsia="zh-CN"/>
        </w:rPr>
        <w:t>施工单位（盖章）：     填表人：             日期：</w:t>
      </w:r>
    </w:p>
    <w:tbl>
      <w:tblPr>
        <w:tblStyle w:val="23"/>
        <w:tblpPr w:leftFromText="180" w:rightFromText="180" w:vertAnchor="page" w:horzAnchor="page" w:tblpX="1018" w:tblpY="2793"/>
        <w:tblOverlap w:val="never"/>
        <w:tblW w:w="101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746"/>
        <w:gridCol w:w="1470"/>
        <w:gridCol w:w="1305"/>
        <w:gridCol w:w="1425"/>
        <w:gridCol w:w="1155"/>
        <w:gridCol w:w="1338"/>
      </w:tblGrid>
      <w:tr w14:paraId="3F5F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738" w:type="dxa"/>
            <w:vAlign w:val="center"/>
          </w:tcPr>
          <w:p w14:paraId="3DFAA83F">
            <w:pPr>
              <w:jc w:val="center"/>
              <w:rPr>
                <w:rFonts w:hint="eastAsia" w:eastAsiaTheme="minorEastAsia"/>
                <w:color w:val="auto"/>
                <w:sz w:val="32"/>
                <w:szCs w:val="32"/>
                <w:vertAlign w:val="baseline"/>
                <w:lang w:val="en-US" w:eastAsia="zh-CN"/>
              </w:rPr>
            </w:pPr>
            <w:r>
              <w:rPr>
                <w:rFonts w:hint="eastAsia"/>
                <w:color w:val="auto"/>
                <w:sz w:val="32"/>
                <w:szCs w:val="32"/>
                <w:vertAlign w:val="baseline"/>
                <w:lang w:val="en-US" w:eastAsia="zh-CN"/>
              </w:rPr>
              <w:t>序号</w:t>
            </w:r>
          </w:p>
        </w:tc>
        <w:tc>
          <w:tcPr>
            <w:tcW w:w="2746" w:type="dxa"/>
            <w:vAlign w:val="center"/>
          </w:tcPr>
          <w:p w14:paraId="44E5C862">
            <w:pPr>
              <w:jc w:val="center"/>
              <w:rPr>
                <w:rFonts w:hint="eastAsia" w:eastAsiaTheme="minorEastAsia"/>
                <w:color w:val="auto"/>
                <w:sz w:val="32"/>
                <w:szCs w:val="32"/>
                <w:vertAlign w:val="baseline"/>
                <w:lang w:val="en-US" w:eastAsia="zh-CN"/>
              </w:rPr>
            </w:pPr>
            <w:r>
              <w:rPr>
                <w:rFonts w:hint="eastAsia"/>
                <w:color w:val="auto"/>
                <w:sz w:val="32"/>
                <w:szCs w:val="32"/>
                <w:vertAlign w:val="baseline"/>
                <w:lang w:val="en-US" w:eastAsia="zh-CN"/>
              </w:rPr>
              <w:t>内容</w:t>
            </w:r>
          </w:p>
        </w:tc>
        <w:tc>
          <w:tcPr>
            <w:tcW w:w="1470" w:type="dxa"/>
            <w:vAlign w:val="center"/>
          </w:tcPr>
          <w:p w14:paraId="77019DD4">
            <w:pPr>
              <w:jc w:val="center"/>
              <w:rPr>
                <w:rFonts w:hint="eastAsia" w:eastAsiaTheme="minorEastAsia"/>
                <w:color w:val="auto"/>
                <w:sz w:val="32"/>
                <w:szCs w:val="32"/>
                <w:vertAlign w:val="baseline"/>
                <w:lang w:val="en-US" w:eastAsia="zh-CN"/>
              </w:rPr>
            </w:pPr>
            <w:r>
              <w:rPr>
                <w:rFonts w:hint="eastAsia"/>
                <w:color w:val="auto"/>
                <w:sz w:val="32"/>
                <w:szCs w:val="32"/>
                <w:vertAlign w:val="baseline"/>
                <w:lang w:val="en-US" w:eastAsia="zh-CN"/>
              </w:rPr>
              <w:t>规格</w:t>
            </w:r>
          </w:p>
        </w:tc>
        <w:tc>
          <w:tcPr>
            <w:tcW w:w="1305" w:type="dxa"/>
            <w:vAlign w:val="center"/>
          </w:tcPr>
          <w:p w14:paraId="35FF38AF">
            <w:pPr>
              <w:jc w:val="center"/>
              <w:rPr>
                <w:rFonts w:hint="eastAsia" w:eastAsiaTheme="minorEastAsia"/>
                <w:color w:val="auto"/>
                <w:sz w:val="32"/>
                <w:szCs w:val="32"/>
                <w:vertAlign w:val="baseline"/>
                <w:lang w:val="en-US" w:eastAsia="zh-CN"/>
              </w:rPr>
            </w:pPr>
            <w:r>
              <w:rPr>
                <w:rFonts w:hint="eastAsia"/>
                <w:color w:val="auto"/>
                <w:sz w:val="32"/>
                <w:szCs w:val="32"/>
                <w:vertAlign w:val="baseline"/>
                <w:lang w:val="en-US" w:eastAsia="zh-CN"/>
              </w:rPr>
              <w:t>材质</w:t>
            </w:r>
          </w:p>
        </w:tc>
        <w:tc>
          <w:tcPr>
            <w:tcW w:w="1425" w:type="dxa"/>
            <w:vAlign w:val="center"/>
          </w:tcPr>
          <w:p w14:paraId="55A0518E">
            <w:pPr>
              <w:jc w:val="center"/>
              <w:rPr>
                <w:rFonts w:hint="default"/>
                <w:color w:val="auto"/>
                <w:sz w:val="32"/>
                <w:szCs w:val="32"/>
                <w:vertAlign w:val="baseline"/>
                <w:lang w:val="en-US" w:eastAsia="zh-CN"/>
              </w:rPr>
            </w:pPr>
            <w:r>
              <w:rPr>
                <w:rFonts w:hint="eastAsia"/>
                <w:color w:val="auto"/>
                <w:sz w:val="32"/>
                <w:szCs w:val="32"/>
                <w:vertAlign w:val="baseline"/>
                <w:lang w:val="en-US" w:eastAsia="zh-CN"/>
              </w:rPr>
              <w:t>数量</w:t>
            </w:r>
          </w:p>
        </w:tc>
        <w:tc>
          <w:tcPr>
            <w:tcW w:w="1155" w:type="dxa"/>
            <w:vAlign w:val="center"/>
          </w:tcPr>
          <w:p w14:paraId="75FF5197">
            <w:pPr>
              <w:jc w:val="center"/>
              <w:rPr>
                <w:rFonts w:hint="eastAsia" w:eastAsiaTheme="minorEastAsia"/>
                <w:color w:val="auto"/>
                <w:sz w:val="32"/>
                <w:szCs w:val="32"/>
                <w:vertAlign w:val="baseline"/>
                <w:lang w:val="en-US" w:eastAsia="zh-CN"/>
              </w:rPr>
            </w:pPr>
            <w:r>
              <w:rPr>
                <w:rFonts w:hint="eastAsia"/>
                <w:color w:val="auto"/>
                <w:sz w:val="32"/>
                <w:szCs w:val="32"/>
                <w:vertAlign w:val="baseline"/>
                <w:lang w:val="en-US" w:eastAsia="zh-CN"/>
              </w:rPr>
              <w:t>费用（元）</w:t>
            </w:r>
          </w:p>
        </w:tc>
        <w:tc>
          <w:tcPr>
            <w:tcW w:w="1338" w:type="dxa"/>
            <w:vAlign w:val="center"/>
          </w:tcPr>
          <w:p w14:paraId="07C964AB">
            <w:pPr>
              <w:jc w:val="center"/>
              <w:rPr>
                <w:rFonts w:hint="eastAsia" w:eastAsiaTheme="minorEastAsia"/>
                <w:color w:val="auto"/>
                <w:sz w:val="32"/>
                <w:szCs w:val="32"/>
                <w:vertAlign w:val="baseline"/>
                <w:lang w:val="en-US" w:eastAsia="zh-CN"/>
              </w:rPr>
            </w:pPr>
            <w:r>
              <w:rPr>
                <w:rFonts w:hint="eastAsia"/>
                <w:color w:val="auto"/>
                <w:sz w:val="32"/>
                <w:szCs w:val="32"/>
                <w:vertAlign w:val="baseline"/>
                <w:lang w:val="en-US" w:eastAsia="zh-CN"/>
              </w:rPr>
              <w:t>备注</w:t>
            </w:r>
          </w:p>
        </w:tc>
      </w:tr>
      <w:tr w14:paraId="4C75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738" w:type="dxa"/>
            <w:vAlign w:val="center"/>
          </w:tcPr>
          <w:p w14:paraId="5FA1499E">
            <w:pPr>
              <w:jc w:val="center"/>
              <w:rPr>
                <w:rFonts w:hint="eastAsia" w:eastAsiaTheme="minorEastAsia"/>
                <w:color w:val="auto"/>
                <w:vertAlign w:val="baseline"/>
                <w:lang w:val="en-US" w:eastAsia="zh-CN"/>
              </w:rPr>
            </w:pPr>
            <w:r>
              <w:rPr>
                <w:rFonts w:hint="eastAsia"/>
                <w:color w:val="auto"/>
                <w:vertAlign w:val="baseline"/>
                <w:lang w:val="en-US" w:eastAsia="zh-CN"/>
              </w:rPr>
              <w:t>1</w:t>
            </w:r>
          </w:p>
        </w:tc>
        <w:tc>
          <w:tcPr>
            <w:tcW w:w="2746" w:type="dxa"/>
            <w:vAlign w:val="center"/>
          </w:tcPr>
          <w:p w14:paraId="37799167">
            <w:pPr>
              <w:jc w:val="center"/>
              <w:rPr>
                <w:color w:val="auto"/>
                <w:vertAlign w:val="baseline"/>
              </w:rPr>
            </w:pPr>
          </w:p>
        </w:tc>
        <w:tc>
          <w:tcPr>
            <w:tcW w:w="1470" w:type="dxa"/>
            <w:vAlign w:val="center"/>
          </w:tcPr>
          <w:p w14:paraId="0BBEC77C">
            <w:pPr>
              <w:jc w:val="center"/>
              <w:rPr>
                <w:color w:val="auto"/>
                <w:vertAlign w:val="baseline"/>
              </w:rPr>
            </w:pPr>
          </w:p>
        </w:tc>
        <w:tc>
          <w:tcPr>
            <w:tcW w:w="1305" w:type="dxa"/>
            <w:vAlign w:val="center"/>
          </w:tcPr>
          <w:p w14:paraId="01A277EF">
            <w:pPr>
              <w:jc w:val="center"/>
              <w:rPr>
                <w:color w:val="auto"/>
                <w:vertAlign w:val="baseline"/>
              </w:rPr>
            </w:pPr>
          </w:p>
        </w:tc>
        <w:tc>
          <w:tcPr>
            <w:tcW w:w="1425" w:type="dxa"/>
            <w:vAlign w:val="center"/>
          </w:tcPr>
          <w:p w14:paraId="4D827F18">
            <w:pPr>
              <w:jc w:val="center"/>
              <w:rPr>
                <w:color w:val="auto"/>
                <w:vertAlign w:val="baseline"/>
              </w:rPr>
            </w:pPr>
          </w:p>
        </w:tc>
        <w:tc>
          <w:tcPr>
            <w:tcW w:w="1155" w:type="dxa"/>
            <w:vAlign w:val="center"/>
          </w:tcPr>
          <w:p w14:paraId="318B41B6">
            <w:pPr>
              <w:jc w:val="center"/>
              <w:rPr>
                <w:color w:val="auto"/>
                <w:vertAlign w:val="baseline"/>
              </w:rPr>
            </w:pPr>
          </w:p>
        </w:tc>
        <w:tc>
          <w:tcPr>
            <w:tcW w:w="1338" w:type="dxa"/>
            <w:vAlign w:val="center"/>
          </w:tcPr>
          <w:p w14:paraId="102092D1">
            <w:pPr>
              <w:jc w:val="center"/>
              <w:rPr>
                <w:color w:val="auto"/>
                <w:vertAlign w:val="baseline"/>
              </w:rPr>
            </w:pPr>
          </w:p>
        </w:tc>
      </w:tr>
      <w:tr w14:paraId="7979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38" w:type="dxa"/>
            <w:vAlign w:val="center"/>
          </w:tcPr>
          <w:p w14:paraId="2964A3F1">
            <w:pPr>
              <w:jc w:val="center"/>
              <w:rPr>
                <w:rFonts w:hint="eastAsia" w:eastAsiaTheme="minorEastAsia"/>
                <w:color w:val="auto"/>
                <w:vertAlign w:val="baseline"/>
                <w:lang w:val="en-US" w:eastAsia="zh-CN"/>
              </w:rPr>
            </w:pPr>
            <w:r>
              <w:rPr>
                <w:rFonts w:hint="eastAsia"/>
                <w:color w:val="auto"/>
                <w:vertAlign w:val="baseline"/>
                <w:lang w:val="en-US" w:eastAsia="zh-CN"/>
              </w:rPr>
              <w:t>2</w:t>
            </w:r>
          </w:p>
        </w:tc>
        <w:tc>
          <w:tcPr>
            <w:tcW w:w="2746" w:type="dxa"/>
            <w:vAlign w:val="center"/>
          </w:tcPr>
          <w:p w14:paraId="07C46CD6">
            <w:pPr>
              <w:jc w:val="center"/>
              <w:rPr>
                <w:color w:val="auto"/>
                <w:vertAlign w:val="baseline"/>
              </w:rPr>
            </w:pPr>
          </w:p>
        </w:tc>
        <w:tc>
          <w:tcPr>
            <w:tcW w:w="1470" w:type="dxa"/>
            <w:vAlign w:val="center"/>
          </w:tcPr>
          <w:p w14:paraId="7FEB2F0E">
            <w:pPr>
              <w:jc w:val="center"/>
              <w:rPr>
                <w:color w:val="auto"/>
                <w:vertAlign w:val="baseline"/>
              </w:rPr>
            </w:pPr>
          </w:p>
        </w:tc>
        <w:tc>
          <w:tcPr>
            <w:tcW w:w="1305" w:type="dxa"/>
            <w:vAlign w:val="center"/>
          </w:tcPr>
          <w:p w14:paraId="5E382481">
            <w:pPr>
              <w:jc w:val="center"/>
              <w:rPr>
                <w:color w:val="auto"/>
                <w:vertAlign w:val="baseline"/>
              </w:rPr>
            </w:pPr>
          </w:p>
        </w:tc>
        <w:tc>
          <w:tcPr>
            <w:tcW w:w="1425" w:type="dxa"/>
            <w:vAlign w:val="center"/>
          </w:tcPr>
          <w:p w14:paraId="59F69ACB">
            <w:pPr>
              <w:jc w:val="center"/>
              <w:rPr>
                <w:color w:val="auto"/>
                <w:vertAlign w:val="baseline"/>
              </w:rPr>
            </w:pPr>
          </w:p>
        </w:tc>
        <w:tc>
          <w:tcPr>
            <w:tcW w:w="1155" w:type="dxa"/>
            <w:vAlign w:val="center"/>
          </w:tcPr>
          <w:p w14:paraId="77809523">
            <w:pPr>
              <w:jc w:val="center"/>
              <w:rPr>
                <w:color w:val="auto"/>
                <w:vertAlign w:val="baseline"/>
              </w:rPr>
            </w:pPr>
          </w:p>
        </w:tc>
        <w:tc>
          <w:tcPr>
            <w:tcW w:w="1338" w:type="dxa"/>
            <w:vAlign w:val="center"/>
          </w:tcPr>
          <w:p w14:paraId="4BB2F758">
            <w:pPr>
              <w:jc w:val="center"/>
              <w:rPr>
                <w:color w:val="auto"/>
                <w:vertAlign w:val="baseline"/>
              </w:rPr>
            </w:pPr>
          </w:p>
        </w:tc>
      </w:tr>
      <w:tr w14:paraId="6438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738" w:type="dxa"/>
            <w:vAlign w:val="center"/>
          </w:tcPr>
          <w:p w14:paraId="70DC5DCD">
            <w:pPr>
              <w:jc w:val="center"/>
              <w:rPr>
                <w:rFonts w:hint="eastAsia" w:eastAsiaTheme="minorEastAsia"/>
                <w:color w:val="auto"/>
                <w:vertAlign w:val="baseline"/>
                <w:lang w:val="en-US" w:eastAsia="zh-CN"/>
              </w:rPr>
            </w:pPr>
            <w:r>
              <w:rPr>
                <w:rFonts w:hint="eastAsia"/>
                <w:color w:val="auto"/>
                <w:vertAlign w:val="baseline"/>
                <w:lang w:val="en-US" w:eastAsia="zh-CN"/>
              </w:rPr>
              <w:t>3</w:t>
            </w:r>
          </w:p>
        </w:tc>
        <w:tc>
          <w:tcPr>
            <w:tcW w:w="2746" w:type="dxa"/>
            <w:vAlign w:val="center"/>
          </w:tcPr>
          <w:p w14:paraId="57FCD937">
            <w:pPr>
              <w:jc w:val="center"/>
              <w:rPr>
                <w:color w:val="auto"/>
                <w:vertAlign w:val="baseline"/>
              </w:rPr>
            </w:pPr>
          </w:p>
        </w:tc>
        <w:tc>
          <w:tcPr>
            <w:tcW w:w="1470" w:type="dxa"/>
            <w:vAlign w:val="center"/>
          </w:tcPr>
          <w:p w14:paraId="5A88598B">
            <w:pPr>
              <w:jc w:val="center"/>
              <w:rPr>
                <w:color w:val="auto"/>
                <w:vertAlign w:val="baseline"/>
              </w:rPr>
            </w:pPr>
          </w:p>
        </w:tc>
        <w:tc>
          <w:tcPr>
            <w:tcW w:w="1305" w:type="dxa"/>
            <w:vAlign w:val="center"/>
          </w:tcPr>
          <w:p w14:paraId="27EB3856">
            <w:pPr>
              <w:jc w:val="center"/>
              <w:rPr>
                <w:color w:val="auto"/>
                <w:vertAlign w:val="baseline"/>
              </w:rPr>
            </w:pPr>
          </w:p>
        </w:tc>
        <w:tc>
          <w:tcPr>
            <w:tcW w:w="1425" w:type="dxa"/>
            <w:vAlign w:val="center"/>
          </w:tcPr>
          <w:p w14:paraId="7124ACB6">
            <w:pPr>
              <w:jc w:val="center"/>
              <w:rPr>
                <w:color w:val="auto"/>
                <w:vertAlign w:val="baseline"/>
              </w:rPr>
            </w:pPr>
          </w:p>
        </w:tc>
        <w:tc>
          <w:tcPr>
            <w:tcW w:w="1155" w:type="dxa"/>
            <w:vAlign w:val="center"/>
          </w:tcPr>
          <w:p w14:paraId="26CAA004">
            <w:pPr>
              <w:jc w:val="center"/>
              <w:rPr>
                <w:color w:val="auto"/>
                <w:vertAlign w:val="baseline"/>
              </w:rPr>
            </w:pPr>
          </w:p>
        </w:tc>
        <w:tc>
          <w:tcPr>
            <w:tcW w:w="1338" w:type="dxa"/>
            <w:vAlign w:val="center"/>
          </w:tcPr>
          <w:p w14:paraId="7AB7E9E5">
            <w:pPr>
              <w:jc w:val="center"/>
              <w:rPr>
                <w:color w:val="auto"/>
                <w:vertAlign w:val="baseline"/>
              </w:rPr>
            </w:pPr>
          </w:p>
        </w:tc>
      </w:tr>
      <w:tr w14:paraId="0173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38" w:type="dxa"/>
            <w:vAlign w:val="center"/>
          </w:tcPr>
          <w:p w14:paraId="2B83ACEE">
            <w:pPr>
              <w:jc w:val="center"/>
              <w:rPr>
                <w:rFonts w:hint="eastAsia" w:eastAsiaTheme="minorEastAsia"/>
                <w:color w:val="auto"/>
                <w:vertAlign w:val="baseline"/>
                <w:lang w:val="en-US" w:eastAsia="zh-CN"/>
              </w:rPr>
            </w:pPr>
            <w:r>
              <w:rPr>
                <w:rFonts w:hint="eastAsia"/>
                <w:color w:val="auto"/>
                <w:vertAlign w:val="baseline"/>
                <w:lang w:val="en-US" w:eastAsia="zh-CN"/>
              </w:rPr>
              <w:t>4</w:t>
            </w:r>
          </w:p>
        </w:tc>
        <w:tc>
          <w:tcPr>
            <w:tcW w:w="2746" w:type="dxa"/>
            <w:vAlign w:val="center"/>
          </w:tcPr>
          <w:p w14:paraId="376EAF5C">
            <w:pPr>
              <w:jc w:val="center"/>
              <w:rPr>
                <w:color w:val="auto"/>
                <w:vertAlign w:val="baseline"/>
              </w:rPr>
            </w:pPr>
          </w:p>
        </w:tc>
        <w:tc>
          <w:tcPr>
            <w:tcW w:w="1470" w:type="dxa"/>
            <w:vAlign w:val="center"/>
          </w:tcPr>
          <w:p w14:paraId="3B16685B">
            <w:pPr>
              <w:jc w:val="center"/>
              <w:rPr>
                <w:color w:val="auto"/>
                <w:vertAlign w:val="baseline"/>
              </w:rPr>
            </w:pPr>
          </w:p>
        </w:tc>
        <w:tc>
          <w:tcPr>
            <w:tcW w:w="1305" w:type="dxa"/>
            <w:vAlign w:val="center"/>
          </w:tcPr>
          <w:p w14:paraId="5684DEC3">
            <w:pPr>
              <w:jc w:val="center"/>
              <w:rPr>
                <w:color w:val="auto"/>
                <w:vertAlign w:val="baseline"/>
              </w:rPr>
            </w:pPr>
          </w:p>
        </w:tc>
        <w:tc>
          <w:tcPr>
            <w:tcW w:w="1425" w:type="dxa"/>
            <w:vAlign w:val="center"/>
          </w:tcPr>
          <w:p w14:paraId="54D03430">
            <w:pPr>
              <w:jc w:val="center"/>
              <w:rPr>
                <w:color w:val="auto"/>
                <w:vertAlign w:val="baseline"/>
              </w:rPr>
            </w:pPr>
          </w:p>
        </w:tc>
        <w:tc>
          <w:tcPr>
            <w:tcW w:w="1155" w:type="dxa"/>
            <w:vAlign w:val="center"/>
          </w:tcPr>
          <w:p w14:paraId="109B09BA">
            <w:pPr>
              <w:jc w:val="center"/>
              <w:rPr>
                <w:color w:val="auto"/>
                <w:vertAlign w:val="baseline"/>
              </w:rPr>
            </w:pPr>
          </w:p>
        </w:tc>
        <w:tc>
          <w:tcPr>
            <w:tcW w:w="1338" w:type="dxa"/>
            <w:vAlign w:val="center"/>
          </w:tcPr>
          <w:p w14:paraId="4CB06664">
            <w:pPr>
              <w:jc w:val="center"/>
              <w:rPr>
                <w:color w:val="auto"/>
                <w:vertAlign w:val="baseline"/>
              </w:rPr>
            </w:pPr>
          </w:p>
        </w:tc>
      </w:tr>
      <w:tr w14:paraId="51C3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2" w:hRule="atLeast"/>
        </w:trPr>
        <w:tc>
          <w:tcPr>
            <w:tcW w:w="738" w:type="dxa"/>
            <w:vAlign w:val="center"/>
          </w:tcPr>
          <w:p w14:paraId="0FD8503E">
            <w:pPr>
              <w:jc w:val="center"/>
              <w:rPr>
                <w:rFonts w:hint="eastAsia" w:eastAsiaTheme="minorEastAsia"/>
                <w:color w:val="auto"/>
                <w:vertAlign w:val="baseline"/>
                <w:lang w:val="en-US" w:eastAsia="zh-CN"/>
              </w:rPr>
            </w:pPr>
            <w:r>
              <w:rPr>
                <w:rFonts w:hint="eastAsia"/>
                <w:color w:val="auto"/>
                <w:vertAlign w:val="baseline"/>
                <w:lang w:val="en-US" w:eastAsia="zh-CN"/>
              </w:rPr>
              <w:t>5</w:t>
            </w:r>
          </w:p>
        </w:tc>
        <w:tc>
          <w:tcPr>
            <w:tcW w:w="2746" w:type="dxa"/>
            <w:vAlign w:val="center"/>
          </w:tcPr>
          <w:p w14:paraId="1D45F658">
            <w:pPr>
              <w:jc w:val="center"/>
              <w:rPr>
                <w:color w:val="auto"/>
                <w:vertAlign w:val="baseline"/>
              </w:rPr>
            </w:pPr>
          </w:p>
        </w:tc>
        <w:tc>
          <w:tcPr>
            <w:tcW w:w="1470" w:type="dxa"/>
            <w:vAlign w:val="center"/>
          </w:tcPr>
          <w:p w14:paraId="168FFBAB">
            <w:pPr>
              <w:jc w:val="center"/>
              <w:rPr>
                <w:color w:val="auto"/>
                <w:vertAlign w:val="baseline"/>
              </w:rPr>
            </w:pPr>
          </w:p>
        </w:tc>
        <w:tc>
          <w:tcPr>
            <w:tcW w:w="1305" w:type="dxa"/>
            <w:vAlign w:val="center"/>
          </w:tcPr>
          <w:p w14:paraId="74C2C433">
            <w:pPr>
              <w:jc w:val="center"/>
              <w:rPr>
                <w:color w:val="auto"/>
                <w:vertAlign w:val="baseline"/>
              </w:rPr>
            </w:pPr>
          </w:p>
        </w:tc>
        <w:tc>
          <w:tcPr>
            <w:tcW w:w="1425" w:type="dxa"/>
            <w:vAlign w:val="center"/>
          </w:tcPr>
          <w:p w14:paraId="58F6CAA1">
            <w:pPr>
              <w:jc w:val="center"/>
              <w:rPr>
                <w:color w:val="auto"/>
                <w:vertAlign w:val="baseline"/>
              </w:rPr>
            </w:pPr>
          </w:p>
        </w:tc>
        <w:tc>
          <w:tcPr>
            <w:tcW w:w="1155" w:type="dxa"/>
            <w:vAlign w:val="center"/>
          </w:tcPr>
          <w:p w14:paraId="18697706">
            <w:pPr>
              <w:jc w:val="center"/>
              <w:rPr>
                <w:color w:val="auto"/>
                <w:vertAlign w:val="baseline"/>
              </w:rPr>
            </w:pPr>
          </w:p>
        </w:tc>
        <w:tc>
          <w:tcPr>
            <w:tcW w:w="1338" w:type="dxa"/>
            <w:vAlign w:val="center"/>
          </w:tcPr>
          <w:p w14:paraId="58961130">
            <w:pPr>
              <w:jc w:val="center"/>
              <w:rPr>
                <w:color w:val="auto"/>
                <w:vertAlign w:val="baseline"/>
              </w:rPr>
            </w:pPr>
          </w:p>
        </w:tc>
      </w:tr>
    </w:tbl>
    <w:p w14:paraId="7BBCB3F1">
      <w:pPr>
        <w:rPr>
          <w:rFonts w:hint="eastAsia"/>
          <w:color w:val="auto"/>
          <w:lang w:val="en-US" w:eastAsia="zh-CN"/>
        </w:rPr>
      </w:pPr>
    </w:p>
    <w:p w14:paraId="0994AE3D">
      <w:pPr>
        <w:ind w:firstLine="420" w:firstLineChars="200"/>
        <w:rPr>
          <w:rFonts w:hint="default"/>
          <w:color w:val="auto"/>
          <w:lang w:val="en-US" w:eastAsia="zh-CN"/>
        </w:rPr>
      </w:pPr>
      <w:r>
        <w:rPr>
          <w:rFonts w:hint="eastAsia"/>
          <w:color w:val="auto"/>
          <w:lang w:val="en-US" w:eastAsia="zh-CN"/>
        </w:rPr>
        <w:t>注：1.此表作为施工方结算安全文明施工费的依据，不提供的该费用不予结算。2.在申请工程款时一并提交，并附上现场图片。3.监理单位负有审核责任，因监理不到位按合同相关条款约定追究责任。4.</w:t>
      </w:r>
      <w:r>
        <w:rPr>
          <w:rFonts w:hint="eastAsia" w:ascii="宋体" w:hAnsi="宋体" w:eastAsia="宋体" w:cs="宋体"/>
          <w:i w:val="0"/>
          <w:iCs w:val="0"/>
          <w:color w:val="auto"/>
          <w:kern w:val="0"/>
          <w:sz w:val="22"/>
          <w:szCs w:val="22"/>
          <w:u w:val="none"/>
          <w:lang w:val="en-US" w:eastAsia="zh-CN" w:bidi="ar"/>
        </w:rPr>
        <w:t>施工单位对该表的真实性负责，因弄虚作假后果自负。</w:t>
      </w:r>
    </w:p>
    <w:p w14:paraId="72E5373D">
      <w:pPr>
        <w:rPr>
          <w:color w:val="auto"/>
        </w:rPr>
      </w:pPr>
    </w:p>
    <w:p w14:paraId="49C0B7FC">
      <w:pPr>
        <w:rPr>
          <w:color w:val="auto"/>
        </w:rPr>
      </w:pPr>
    </w:p>
    <w:p w14:paraId="6E837D16">
      <w:pPr>
        <w:rPr>
          <w:color w:val="auto"/>
        </w:rPr>
      </w:pPr>
    </w:p>
    <w:p w14:paraId="2EECA971">
      <w:pPr>
        <w:rPr>
          <w:color w:val="auto"/>
        </w:rPr>
      </w:pPr>
    </w:p>
    <w:p w14:paraId="6345CF5D">
      <w:pPr>
        <w:rPr>
          <w:color w:val="auto"/>
        </w:rPr>
      </w:pPr>
    </w:p>
    <w:p w14:paraId="5BEC50B1">
      <w:pPr>
        <w:rPr>
          <w:color w:val="auto"/>
        </w:rPr>
      </w:pPr>
    </w:p>
    <w:p w14:paraId="593F34E0">
      <w:pPr>
        <w:rPr>
          <w:color w:val="auto"/>
        </w:rPr>
      </w:pPr>
    </w:p>
    <w:p w14:paraId="0489DFDE">
      <w:pPr>
        <w:rPr>
          <w:color w:val="auto"/>
        </w:rPr>
      </w:pPr>
    </w:p>
    <w:p w14:paraId="1D897796">
      <w:pPr>
        <w:rPr>
          <w:color w:val="auto"/>
        </w:rPr>
      </w:pPr>
    </w:p>
    <w:p w14:paraId="2DB6AF54">
      <w:pPr>
        <w:rPr>
          <w:color w:val="auto"/>
        </w:rPr>
      </w:pPr>
    </w:p>
    <w:p w14:paraId="5AEF6EF1">
      <w:pPr>
        <w:rPr>
          <w:color w:val="auto"/>
        </w:rPr>
      </w:pPr>
    </w:p>
    <w:p w14:paraId="63862F84">
      <w:pPr>
        <w:ind w:firstLine="420" w:firstLineChars="200"/>
        <w:rPr>
          <w:rFonts w:hint="eastAsia"/>
          <w:color w:val="auto"/>
          <w:lang w:val="en-US" w:eastAsia="zh-CN"/>
        </w:rPr>
      </w:pPr>
      <w:r>
        <w:rPr>
          <w:rFonts w:hint="eastAsia"/>
          <w:color w:val="auto"/>
          <w:lang w:val="en-US" w:eastAsia="zh-CN"/>
        </w:rPr>
        <w:br w:type="page"/>
      </w:r>
    </w:p>
    <w:p w14:paraId="02EB6723">
      <w:pPr>
        <w:ind w:firstLine="420" w:firstLineChars="200"/>
        <w:rPr>
          <w:rFonts w:hint="default" w:eastAsia="宋体"/>
          <w:color w:val="auto"/>
          <w:lang w:val="en-US" w:eastAsia="zh-CN"/>
        </w:rPr>
      </w:pPr>
      <w:r>
        <w:rPr>
          <w:rFonts w:hint="eastAsia"/>
          <w:color w:val="auto"/>
          <w:lang w:val="en-US" w:eastAsia="zh-CN"/>
        </w:rPr>
        <w:t>附件17：</w:t>
      </w:r>
    </w:p>
    <w:tbl>
      <w:tblPr>
        <w:tblStyle w:val="22"/>
        <w:tblW w:w="8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705"/>
        <w:gridCol w:w="705"/>
        <w:gridCol w:w="705"/>
        <w:gridCol w:w="705"/>
        <w:gridCol w:w="705"/>
        <w:gridCol w:w="705"/>
        <w:gridCol w:w="705"/>
        <w:gridCol w:w="705"/>
        <w:gridCol w:w="705"/>
        <w:gridCol w:w="705"/>
        <w:gridCol w:w="705"/>
      </w:tblGrid>
      <w:tr w14:paraId="4A1A9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8460" w:type="dxa"/>
            <w:gridSpan w:val="12"/>
            <w:tcBorders>
              <w:top w:val="nil"/>
              <w:left w:val="nil"/>
              <w:bottom w:val="nil"/>
              <w:right w:val="nil"/>
            </w:tcBorders>
            <w:shd w:val="clear" w:color="auto" w:fill="auto"/>
            <w:vAlign w:val="center"/>
          </w:tcPr>
          <w:p w14:paraId="23A42429">
            <w:pPr>
              <w:keepNext w:val="0"/>
              <w:keepLines w:val="0"/>
              <w:widowControl/>
              <w:suppressLineNumbers w:val="0"/>
              <w:jc w:val="center"/>
              <w:textAlignment w:val="center"/>
              <w:rPr>
                <w:rFonts w:hint="eastAsia" w:ascii="宋体" w:hAnsi="宋体" w:eastAsia="宋体" w:cs="宋体"/>
                <w:i w:val="0"/>
                <w:iCs w:val="0"/>
                <w:color w:val="auto"/>
                <w:sz w:val="36"/>
                <w:szCs w:val="36"/>
                <w:u w:val="single"/>
              </w:rPr>
            </w:pPr>
            <w:r>
              <w:rPr>
                <w:rFonts w:hint="eastAsia" w:ascii="宋体" w:hAnsi="宋体" w:eastAsia="宋体" w:cs="宋体"/>
                <w:i w:val="0"/>
                <w:iCs w:val="0"/>
                <w:color w:val="auto"/>
                <w:kern w:val="0"/>
                <w:sz w:val="36"/>
                <w:szCs w:val="36"/>
                <w:u w:val="single"/>
                <w:lang w:val="en-US" w:eastAsia="zh-CN" w:bidi="ar"/>
              </w:rPr>
              <w:t xml:space="preserve">                   </w:t>
            </w:r>
            <w:r>
              <w:rPr>
                <w:rFonts w:hint="eastAsia" w:ascii="宋体" w:hAnsi="宋体" w:eastAsia="宋体" w:cs="宋体"/>
                <w:i w:val="0"/>
                <w:iCs w:val="0"/>
                <w:color w:val="auto"/>
                <w:kern w:val="0"/>
                <w:sz w:val="36"/>
                <w:szCs w:val="36"/>
                <w:u w:val="none"/>
                <w:lang w:val="en-US" w:eastAsia="zh-CN" w:bidi="ar"/>
              </w:rPr>
              <w:t>项目原材料进场登记表</w:t>
            </w:r>
          </w:p>
        </w:tc>
      </w:tr>
      <w:tr w14:paraId="44AD0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115" w:type="dxa"/>
            <w:gridSpan w:val="3"/>
            <w:tcBorders>
              <w:top w:val="nil"/>
              <w:left w:val="nil"/>
              <w:bottom w:val="nil"/>
              <w:right w:val="nil"/>
            </w:tcBorders>
            <w:shd w:val="clear" w:color="auto" w:fill="auto"/>
            <w:vAlign w:val="center"/>
          </w:tcPr>
          <w:p w14:paraId="3ACC4E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施工单位（盖章）：</w:t>
            </w:r>
          </w:p>
        </w:tc>
        <w:tc>
          <w:tcPr>
            <w:tcW w:w="705" w:type="dxa"/>
            <w:tcBorders>
              <w:top w:val="nil"/>
              <w:left w:val="nil"/>
              <w:bottom w:val="nil"/>
              <w:right w:val="nil"/>
            </w:tcBorders>
            <w:shd w:val="clear" w:color="auto" w:fill="auto"/>
            <w:vAlign w:val="center"/>
          </w:tcPr>
          <w:p w14:paraId="04D5DFEE">
            <w:pPr>
              <w:jc w:val="center"/>
              <w:rPr>
                <w:rFonts w:hint="eastAsia" w:ascii="宋体" w:hAnsi="宋体" w:eastAsia="宋体" w:cs="宋体"/>
                <w:i w:val="0"/>
                <w:iCs w:val="0"/>
                <w:color w:val="auto"/>
                <w:sz w:val="22"/>
                <w:szCs w:val="22"/>
                <w:u w:val="none"/>
              </w:rPr>
            </w:pPr>
          </w:p>
        </w:tc>
        <w:tc>
          <w:tcPr>
            <w:tcW w:w="705" w:type="dxa"/>
            <w:tcBorders>
              <w:top w:val="nil"/>
              <w:left w:val="nil"/>
              <w:bottom w:val="nil"/>
              <w:right w:val="nil"/>
            </w:tcBorders>
            <w:shd w:val="clear" w:color="auto" w:fill="auto"/>
            <w:vAlign w:val="center"/>
          </w:tcPr>
          <w:p w14:paraId="6144C8AC">
            <w:pPr>
              <w:jc w:val="center"/>
              <w:rPr>
                <w:rFonts w:hint="eastAsia" w:ascii="宋体" w:hAnsi="宋体" w:eastAsia="宋体" w:cs="宋体"/>
                <w:i w:val="0"/>
                <w:iCs w:val="0"/>
                <w:color w:val="auto"/>
                <w:sz w:val="22"/>
                <w:szCs w:val="22"/>
                <w:u w:val="none"/>
              </w:rPr>
            </w:pPr>
          </w:p>
        </w:tc>
        <w:tc>
          <w:tcPr>
            <w:tcW w:w="705" w:type="dxa"/>
            <w:tcBorders>
              <w:top w:val="nil"/>
              <w:left w:val="nil"/>
              <w:bottom w:val="nil"/>
              <w:right w:val="nil"/>
            </w:tcBorders>
            <w:shd w:val="clear" w:color="auto" w:fill="auto"/>
            <w:vAlign w:val="center"/>
          </w:tcPr>
          <w:p w14:paraId="5D6CE65B">
            <w:pPr>
              <w:jc w:val="center"/>
              <w:rPr>
                <w:rFonts w:hint="eastAsia" w:ascii="宋体" w:hAnsi="宋体" w:eastAsia="宋体" w:cs="宋体"/>
                <w:i w:val="0"/>
                <w:iCs w:val="0"/>
                <w:color w:val="auto"/>
                <w:sz w:val="22"/>
                <w:szCs w:val="22"/>
                <w:u w:val="none"/>
              </w:rPr>
            </w:pPr>
          </w:p>
        </w:tc>
        <w:tc>
          <w:tcPr>
            <w:tcW w:w="705" w:type="dxa"/>
            <w:tcBorders>
              <w:top w:val="nil"/>
              <w:left w:val="nil"/>
              <w:bottom w:val="nil"/>
              <w:right w:val="nil"/>
            </w:tcBorders>
            <w:shd w:val="clear" w:color="auto" w:fill="auto"/>
            <w:vAlign w:val="center"/>
          </w:tcPr>
          <w:p w14:paraId="682843B0">
            <w:pPr>
              <w:jc w:val="center"/>
              <w:rPr>
                <w:rFonts w:hint="eastAsia" w:ascii="宋体" w:hAnsi="宋体" w:eastAsia="宋体" w:cs="宋体"/>
                <w:i w:val="0"/>
                <w:iCs w:val="0"/>
                <w:color w:val="auto"/>
                <w:sz w:val="22"/>
                <w:szCs w:val="22"/>
                <w:u w:val="none"/>
              </w:rPr>
            </w:pPr>
          </w:p>
        </w:tc>
        <w:tc>
          <w:tcPr>
            <w:tcW w:w="705" w:type="dxa"/>
            <w:tcBorders>
              <w:top w:val="nil"/>
              <w:left w:val="nil"/>
              <w:bottom w:val="nil"/>
              <w:right w:val="nil"/>
            </w:tcBorders>
            <w:shd w:val="clear" w:color="auto" w:fill="auto"/>
            <w:vAlign w:val="center"/>
          </w:tcPr>
          <w:p w14:paraId="16E316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登记人：</w:t>
            </w:r>
          </w:p>
        </w:tc>
        <w:tc>
          <w:tcPr>
            <w:tcW w:w="705" w:type="dxa"/>
            <w:tcBorders>
              <w:top w:val="nil"/>
              <w:left w:val="nil"/>
              <w:bottom w:val="nil"/>
              <w:right w:val="nil"/>
            </w:tcBorders>
            <w:shd w:val="clear" w:color="auto" w:fill="auto"/>
            <w:vAlign w:val="center"/>
          </w:tcPr>
          <w:p w14:paraId="45408AFD">
            <w:pPr>
              <w:jc w:val="center"/>
              <w:rPr>
                <w:rFonts w:hint="eastAsia" w:ascii="宋体" w:hAnsi="宋体" w:eastAsia="宋体" w:cs="宋体"/>
                <w:i w:val="0"/>
                <w:iCs w:val="0"/>
                <w:color w:val="auto"/>
                <w:sz w:val="22"/>
                <w:szCs w:val="22"/>
                <w:u w:val="none"/>
              </w:rPr>
            </w:pPr>
          </w:p>
        </w:tc>
        <w:tc>
          <w:tcPr>
            <w:tcW w:w="705" w:type="dxa"/>
            <w:tcBorders>
              <w:top w:val="nil"/>
              <w:left w:val="nil"/>
              <w:bottom w:val="nil"/>
              <w:right w:val="nil"/>
            </w:tcBorders>
            <w:shd w:val="clear" w:color="auto" w:fill="auto"/>
            <w:vAlign w:val="center"/>
          </w:tcPr>
          <w:p w14:paraId="25C5C9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日期：</w:t>
            </w:r>
          </w:p>
        </w:tc>
        <w:tc>
          <w:tcPr>
            <w:tcW w:w="705" w:type="dxa"/>
            <w:tcBorders>
              <w:top w:val="nil"/>
              <w:left w:val="nil"/>
              <w:bottom w:val="nil"/>
              <w:right w:val="nil"/>
            </w:tcBorders>
            <w:shd w:val="clear" w:color="auto" w:fill="auto"/>
            <w:vAlign w:val="center"/>
          </w:tcPr>
          <w:p w14:paraId="51B78034">
            <w:pPr>
              <w:jc w:val="center"/>
              <w:rPr>
                <w:rFonts w:hint="eastAsia" w:ascii="宋体" w:hAnsi="宋体" w:eastAsia="宋体" w:cs="宋体"/>
                <w:i w:val="0"/>
                <w:iCs w:val="0"/>
                <w:color w:val="auto"/>
                <w:sz w:val="22"/>
                <w:szCs w:val="22"/>
                <w:u w:val="none"/>
              </w:rPr>
            </w:pPr>
          </w:p>
        </w:tc>
        <w:tc>
          <w:tcPr>
            <w:tcW w:w="705" w:type="dxa"/>
            <w:tcBorders>
              <w:top w:val="nil"/>
              <w:left w:val="nil"/>
              <w:bottom w:val="nil"/>
              <w:right w:val="nil"/>
            </w:tcBorders>
            <w:shd w:val="clear" w:color="auto" w:fill="auto"/>
            <w:vAlign w:val="center"/>
          </w:tcPr>
          <w:p w14:paraId="71B641F5">
            <w:pPr>
              <w:jc w:val="center"/>
              <w:rPr>
                <w:rFonts w:hint="eastAsia" w:ascii="宋体" w:hAnsi="宋体" w:eastAsia="宋体" w:cs="宋体"/>
                <w:i w:val="0"/>
                <w:iCs w:val="0"/>
                <w:color w:val="auto"/>
                <w:sz w:val="22"/>
                <w:szCs w:val="22"/>
                <w:u w:val="none"/>
              </w:rPr>
            </w:pPr>
          </w:p>
        </w:tc>
      </w:tr>
      <w:tr w14:paraId="4C538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6D7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631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时间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D7E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品种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844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品牌</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496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A72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等级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2BB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规格</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DA0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型号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96B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材质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E23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施工人员签字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BC9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监理人员签字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D80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备注</w:t>
            </w:r>
          </w:p>
        </w:tc>
      </w:tr>
      <w:tr w14:paraId="27103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A974">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9DDE">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7361">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F49E">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124C">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6523">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7A54">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A101">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1359">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D9FE">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00E6">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418D">
            <w:pPr>
              <w:jc w:val="center"/>
              <w:rPr>
                <w:rFonts w:hint="eastAsia" w:ascii="宋体" w:hAnsi="宋体" w:eastAsia="宋体" w:cs="宋体"/>
                <w:i w:val="0"/>
                <w:iCs w:val="0"/>
                <w:color w:val="auto"/>
                <w:sz w:val="22"/>
                <w:szCs w:val="22"/>
                <w:u w:val="none"/>
              </w:rPr>
            </w:pPr>
          </w:p>
        </w:tc>
      </w:tr>
      <w:tr w14:paraId="0E988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17FB">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1CDC">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6920">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6A9F">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0D0D">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2F47">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4F8E">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803D">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B4AE">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01D4">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5923">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F9FC">
            <w:pPr>
              <w:jc w:val="center"/>
              <w:rPr>
                <w:rFonts w:hint="eastAsia" w:ascii="宋体" w:hAnsi="宋体" w:eastAsia="宋体" w:cs="宋体"/>
                <w:i w:val="0"/>
                <w:iCs w:val="0"/>
                <w:color w:val="auto"/>
                <w:sz w:val="22"/>
                <w:szCs w:val="22"/>
                <w:u w:val="none"/>
              </w:rPr>
            </w:pPr>
          </w:p>
        </w:tc>
      </w:tr>
      <w:tr w14:paraId="11C24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5DB7">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893F">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69FA">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44A2">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BF9B">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534E">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3FCC">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3F5C">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6844">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458E">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925E">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A0A5">
            <w:pPr>
              <w:jc w:val="center"/>
              <w:rPr>
                <w:rFonts w:hint="eastAsia" w:ascii="宋体" w:hAnsi="宋体" w:eastAsia="宋体" w:cs="宋体"/>
                <w:i w:val="0"/>
                <w:iCs w:val="0"/>
                <w:color w:val="auto"/>
                <w:sz w:val="22"/>
                <w:szCs w:val="22"/>
                <w:u w:val="none"/>
              </w:rPr>
            </w:pPr>
          </w:p>
        </w:tc>
      </w:tr>
      <w:tr w14:paraId="16911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E653">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7B35">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4275">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BFA6">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105B">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8884">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6D1D">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1BA5">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B29C">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1026">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00E3">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75E0">
            <w:pPr>
              <w:jc w:val="center"/>
              <w:rPr>
                <w:rFonts w:hint="eastAsia" w:ascii="宋体" w:hAnsi="宋体" w:eastAsia="宋体" w:cs="宋体"/>
                <w:i w:val="0"/>
                <w:iCs w:val="0"/>
                <w:color w:val="auto"/>
                <w:sz w:val="22"/>
                <w:szCs w:val="22"/>
                <w:u w:val="none"/>
              </w:rPr>
            </w:pPr>
          </w:p>
        </w:tc>
      </w:tr>
      <w:tr w14:paraId="0E812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2480">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E89C">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792D">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CB25">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8C80">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5F4D">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C44F">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8AF0">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318C">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2875">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3504">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7C60">
            <w:pPr>
              <w:jc w:val="center"/>
              <w:rPr>
                <w:rFonts w:hint="eastAsia" w:ascii="宋体" w:hAnsi="宋体" w:eastAsia="宋体" w:cs="宋体"/>
                <w:i w:val="0"/>
                <w:iCs w:val="0"/>
                <w:color w:val="auto"/>
                <w:sz w:val="22"/>
                <w:szCs w:val="22"/>
                <w:u w:val="none"/>
              </w:rPr>
            </w:pPr>
          </w:p>
        </w:tc>
      </w:tr>
      <w:tr w14:paraId="02453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5B7A">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06A6">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49C5">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0B0E">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37CD">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FFDA">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7EC9">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FD0B">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4B2A">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389F">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21D4">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7255">
            <w:pPr>
              <w:jc w:val="center"/>
              <w:rPr>
                <w:rFonts w:hint="eastAsia" w:ascii="宋体" w:hAnsi="宋体" w:eastAsia="宋体" w:cs="宋体"/>
                <w:i w:val="0"/>
                <w:iCs w:val="0"/>
                <w:color w:val="auto"/>
                <w:sz w:val="22"/>
                <w:szCs w:val="22"/>
                <w:u w:val="none"/>
              </w:rPr>
            </w:pPr>
          </w:p>
        </w:tc>
      </w:tr>
      <w:tr w14:paraId="23FA7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F241">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DFA1">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06B1">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8652">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4214">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3CB1">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5F25">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9801">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86D0">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AC97">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6425">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4F39">
            <w:pPr>
              <w:jc w:val="center"/>
              <w:rPr>
                <w:rFonts w:hint="eastAsia" w:ascii="宋体" w:hAnsi="宋体" w:eastAsia="宋体" w:cs="宋体"/>
                <w:i w:val="0"/>
                <w:iCs w:val="0"/>
                <w:color w:val="auto"/>
                <w:sz w:val="22"/>
                <w:szCs w:val="22"/>
                <w:u w:val="none"/>
              </w:rPr>
            </w:pPr>
          </w:p>
        </w:tc>
      </w:tr>
      <w:tr w14:paraId="28121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7E50">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F099">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455D">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6218">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DF9C">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16C9">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08BB">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2967">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0CE9">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6F26">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B23D">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AD4B">
            <w:pPr>
              <w:jc w:val="center"/>
              <w:rPr>
                <w:rFonts w:hint="eastAsia" w:ascii="宋体" w:hAnsi="宋体" w:eastAsia="宋体" w:cs="宋体"/>
                <w:i w:val="0"/>
                <w:iCs w:val="0"/>
                <w:color w:val="auto"/>
                <w:sz w:val="22"/>
                <w:szCs w:val="22"/>
                <w:u w:val="none"/>
              </w:rPr>
            </w:pPr>
          </w:p>
        </w:tc>
      </w:tr>
      <w:tr w14:paraId="7EDDB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1AB7">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5C7C">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3DA4">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F3B7">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8E38">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4B50">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193C">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251B">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EEF9">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A36A">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D44D">
            <w:pPr>
              <w:jc w:val="center"/>
              <w:rPr>
                <w:rFonts w:hint="eastAsia" w:ascii="宋体" w:hAnsi="宋体" w:eastAsia="宋体" w:cs="宋体"/>
                <w:i w:val="0"/>
                <w:iCs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0F0B">
            <w:pPr>
              <w:jc w:val="center"/>
              <w:rPr>
                <w:rFonts w:hint="eastAsia" w:ascii="宋体" w:hAnsi="宋体" w:eastAsia="宋体" w:cs="宋体"/>
                <w:i w:val="0"/>
                <w:iCs w:val="0"/>
                <w:color w:val="auto"/>
                <w:sz w:val="22"/>
                <w:szCs w:val="22"/>
                <w:u w:val="none"/>
              </w:rPr>
            </w:pPr>
          </w:p>
        </w:tc>
      </w:tr>
      <w:tr w14:paraId="78298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460" w:type="dxa"/>
            <w:gridSpan w:val="12"/>
            <w:tcBorders>
              <w:top w:val="nil"/>
              <w:left w:val="nil"/>
              <w:bottom w:val="nil"/>
              <w:right w:val="nil"/>
            </w:tcBorders>
            <w:shd w:val="clear" w:color="auto" w:fill="auto"/>
            <w:vAlign w:val="center"/>
          </w:tcPr>
          <w:p w14:paraId="2F47F164">
            <w:pPr>
              <w:keepNext w:val="0"/>
              <w:keepLines w:val="0"/>
              <w:widowControl/>
              <w:suppressLineNumbers w:val="0"/>
              <w:jc w:val="left"/>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注：该表作为工程款申请附件，与请款函一并提交1</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施工方原材料进场要提前通知监理方、现场监督管理员。2.施工方要提供原材料相关合格证、采购单、出货单等，将以上资料发给业主审核存档。3.</w:t>
            </w:r>
            <w:r>
              <w:rPr>
                <w:rFonts w:hint="eastAsia"/>
                <w:color w:val="auto"/>
                <w:lang w:val="en-US" w:eastAsia="zh-CN"/>
              </w:rPr>
              <w:t>监理单位负有审核责任，因监理不到位按合同相关条款约定追究责任。</w:t>
            </w:r>
            <w:r>
              <w:rPr>
                <w:rFonts w:hint="eastAsia" w:ascii="宋体" w:hAnsi="宋体" w:eastAsia="宋体" w:cs="宋体"/>
                <w:i w:val="0"/>
                <w:iCs w:val="0"/>
                <w:color w:val="auto"/>
                <w:kern w:val="0"/>
                <w:sz w:val="22"/>
                <w:szCs w:val="22"/>
                <w:u w:val="none"/>
                <w:lang w:val="en-US" w:eastAsia="zh-CN" w:bidi="ar"/>
              </w:rPr>
              <w:t>4.施工单位对该表的真实性负责，因弄虚作假后果自负。</w:t>
            </w:r>
          </w:p>
        </w:tc>
      </w:tr>
    </w:tbl>
    <w:p w14:paraId="09979747">
      <w:pPr>
        <w:rPr>
          <w:color w:val="auto"/>
        </w:rPr>
      </w:pPr>
    </w:p>
    <w:p w14:paraId="4C3C8FDB">
      <w:pPr>
        <w:rPr>
          <w:color w:val="auto"/>
        </w:rPr>
      </w:pPr>
    </w:p>
    <w:p w14:paraId="3FF51C55">
      <w:pPr>
        <w:rPr>
          <w:color w:val="auto"/>
        </w:rPr>
      </w:pPr>
    </w:p>
    <w:p w14:paraId="56237627">
      <w:pPr>
        <w:rPr>
          <w:color w:val="auto"/>
        </w:rPr>
      </w:pPr>
    </w:p>
    <w:p w14:paraId="371D5365">
      <w:pPr>
        <w:rPr>
          <w:color w:val="auto"/>
        </w:rPr>
      </w:pPr>
    </w:p>
    <w:p w14:paraId="70112FBC">
      <w:pPr>
        <w:rPr>
          <w:color w:val="auto"/>
        </w:rPr>
      </w:pPr>
    </w:p>
    <w:p w14:paraId="4DD769A0">
      <w:pPr>
        <w:rPr>
          <w:color w:val="auto"/>
        </w:rPr>
      </w:pPr>
    </w:p>
    <w:p w14:paraId="26098247">
      <w:pPr>
        <w:rPr>
          <w:color w:val="auto"/>
        </w:rPr>
      </w:pPr>
    </w:p>
    <w:p w14:paraId="6F6C71CD">
      <w:pPr>
        <w:ind w:firstLine="420" w:firstLineChars="200"/>
        <w:rPr>
          <w:rFonts w:hint="default" w:eastAsia="宋体"/>
          <w:color w:val="auto"/>
          <w:sz w:val="30"/>
          <w:szCs w:val="30"/>
          <w:lang w:val="en-US" w:eastAsia="zh-CN"/>
        </w:rPr>
      </w:pPr>
      <w:r>
        <w:rPr>
          <w:rFonts w:hint="eastAsia"/>
          <w:color w:val="auto"/>
          <w:lang w:val="en-US" w:eastAsia="zh-CN"/>
        </w:rPr>
        <w:t>附件18：</w:t>
      </w:r>
    </w:p>
    <w:tbl>
      <w:tblPr>
        <w:tblStyle w:val="22"/>
        <w:tblW w:w="92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0"/>
        <w:gridCol w:w="1380"/>
        <w:gridCol w:w="1080"/>
        <w:gridCol w:w="1080"/>
        <w:gridCol w:w="1080"/>
        <w:gridCol w:w="1080"/>
        <w:gridCol w:w="1080"/>
        <w:gridCol w:w="1245"/>
        <w:gridCol w:w="630"/>
      </w:tblGrid>
      <w:tr w14:paraId="5FF49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285" w:type="dxa"/>
            <w:gridSpan w:val="9"/>
            <w:tcBorders>
              <w:top w:val="nil"/>
              <w:left w:val="nil"/>
              <w:bottom w:val="nil"/>
              <w:right w:val="nil"/>
            </w:tcBorders>
            <w:shd w:val="clear" w:color="auto" w:fill="auto"/>
            <w:noWrap/>
            <w:vAlign w:val="center"/>
          </w:tcPr>
          <w:p w14:paraId="2C9E2397">
            <w:pPr>
              <w:keepNext w:val="0"/>
              <w:keepLines w:val="0"/>
              <w:widowControl/>
              <w:suppressLineNumbers w:val="0"/>
              <w:jc w:val="center"/>
              <w:textAlignment w:val="center"/>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single"/>
                <w:lang w:val="en-US" w:eastAsia="zh-CN" w:bidi="ar"/>
              </w:rPr>
              <w:t xml:space="preserve">                    </w:t>
            </w:r>
            <w:r>
              <w:rPr>
                <w:rFonts w:hint="eastAsia" w:ascii="宋体" w:hAnsi="宋体" w:eastAsia="宋体" w:cs="宋体"/>
                <w:i w:val="0"/>
                <w:iCs w:val="0"/>
                <w:color w:val="auto"/>
                <w:kern w:val="0"/>
                <w:sz w:val="30"/>
                <w:szCs w:val="30"/>
                <w:u w:val="none"/>
                <w:lang w:val="en-US" w:eastAsia="zh-CN" w:bidi="ar"/>
              </w:rPr>
              <w:t xml:space="preserve"> 项目农民工工资发放登记表</w:t>
            </w:r>
          </w:p>
        </w:tc>
      </w:tr>
      <w:tr w14:paraId="0B2B3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gridSpan w:val="9"/>
            <w:tcBorders>
              <w:top w:val="nil"/>
              <w:left w:val="nil"/>
              <w:bottom w:val="nil"/>
              <w:right w:val="nil"/>
            </w:tcBorders>
            <w:shd w:val="clear" w:color="auto" w:fill="auto"/>
            <w:noWrap/>
            <w:vAlign w:val="center"/>
          </w:tcPr>
          <w:p w14:paraId="0A594D5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施工单位（盖章）</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 xml:space="preserve">                 填表人：               日期：</w:t>
            </w:r>
          </w:p>
        </w:tc>
      </w:tr>
      <w:tr w14:paraId="577FE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02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4C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农民工姓名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35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电话号码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DB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2E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做工时间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EB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应付工钱（元）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9C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已付工钱（元）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6B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农民工签字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EC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备注</w:t>
            </w:r>
          </w:p>
        </w:tc>
      </w:tr>
      <w:tr w14:paraId="2ABB6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C3FA">
            <w:pPr>
              <w:jc w:val="center"/>
              <w:rPr>
                <w:rFonts w:hint="eastAsia" w:ascii="宋体" w:hAnsi="宋体" w:eastAsia="宋体" w:cs="宋体"/>
                <w:i w:val="0"/>
                <w:iCs w:val="0"/>
                <w:color w:val="auto"/>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47EB">
            <w:pPr>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C788">
            <w:pPr>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1AA3">
            <w:pPr>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ABDA">
            <w:pPr>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C675">
            <w:pPr>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E966">
            <w:pPr>
              <w:jc w:val="center"/>
              <w:rPr>
                <w:rFonts w:hint="eastAsia" w:ascii="宋体" w:hAnsi="宋体" w:eastAsia="宋体" w:cs="宋体"/>
                <w:i w:val="0"/>
                <w:iCs w:val="0"/>
                <w:color w:val="auto"/>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9786">
            <w:pPr>
              <w:jc w:val="center"/>
              <w:rPr>
                <w:rFonts w:hint="eastAsia" w:ascii="宋体" w:hAnsi="宋体" w:eastAsia="宋体" w:cs="宋体"/>
                <w:i w:val="0"/>
                <w:iCs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D738">
            <w:pPr>
              <w:jc w:val="center"/>
              <w:rPr>
                <w:rFonts w:hint="eastAsia" w:ascii="宋体" w:hAnsi="宋体" w:eastAsia="宋体" w:cs="宋体"/>
                <w:i w:val="0"/>
                <w:iCs w:val="0"/>
                <w:color w:val="auto"/>
                <w:sz w:val="22"/>
                <w:szCs w:val="22"/>
                <w:u w:val="none"/>
              </w:rPr>
            </w:pPr>
          </w:p>
        </w:tc>
      </w:tr>
      <w:tr w14:paraId="0A8A3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4E6F">
            <w:pPr>
              <w:jc w:val="center"/>
              <w:rPr>
                <w:rFonts w:hint="eastAsia" w:ascii="宋体" w:hAnsi="宋体" w:eastAsia="宋体" w:cs="宋体"/>
                <w:i w:val="0"/>
                <w:iCs w:val="0"/>
                <w:color w:val="auto"/>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C693">
            <w:pPr>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CA3C">
            <w:pPr>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A4BB">
            <w:pPr>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718E">
            <w:pPr>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BD61">
            <w:pPr>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15CC">
            <w:pPr>
              <w:jc w:val="center"/>
              <w:rPr>
                <w:rFonts w:hint="eastAsia" w:ascii="宋体" w:hAnsi="宋体" w:eastAsia="宋体" w:cs="宋体"/>
                <w:i w:val="0"/>
                <w:iCs w:val="0"/>
                <w:color w:val="auto"/>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D1D2">
            <w:pPr>
              <w:jc w:val="center"/>
              <w:rPr>
                <w:rFonts w:hint="eastAsia" w:ascii="宋体" w:hAnsi="宋体" w:eastAsia="宋体" w:cs="宋体"/>
                <w:i w:val="0"/>
                <w:iCs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D4C2">
            <w:pPr>
              <w:jc w:val="center"/>
              <w:rPr>
                <w:rFonts w:hint="eastAsia" w:ascii="宋体" w:hAnsi="宋体" w:eastAsia="宋体" w:cs="宋体"/>
                <w:i w:val="0"/>
                <w:iCs w:val="0"/>
                <w:color w:val="auto"/>
                <w:sz w:val="22"/>
                <w:szCs w:val="22"/>
                <w:u w:val="none"/>
              </w:rPr>
            </w:pPr>
          </w:p>
        </w:tc>
      </w:tr>
      <w:tr w14:paraId="04F64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38DE">
            <w:pPr>
              <w:jc w:val="center"/>
              <w:rPr>
                <w:rFonts w:hint="eastAsia" w:ascii="宋体" w:hAnsi="宋体" w:eastAsia="宋体" w:cs="宋体"/>
                <w:i w:val="0"/>
                <w:iCs w:val="0"/>
                <w:color w:val="auto"/>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7351">
            <w:pPr>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4F98">
            <w:pPr>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6C41">
            <w:pPr>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8DE9">
            <w:pPr>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CE90">
            <w:pPr>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E96D">
            <w:pPr>
              <w:jc w:val="center"/>
              <w:rPr>
                <w:rFonts w:hint="eastAsia" w:ascii="宋体" w:hAnsi="宋体" w:eastAsia="宋体" w:cs="宋体"/>
                <w:i w:val="0"/>
                <w:iCs w:val="0"/>
                <w:color w:val="auto"/>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21E3">
            <w:pPr>
              <w:jc w:val="center"/>
              <w:rPr>
                <w:rFonts w:hint="eastAsia" w:ascii="宋体" w:hAnsi="宋体" w:eastAsia="宋体" w:cs="宋体"/>
                <w:i w:val="0"/>
                <w:iCs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BE05">
            <w:pPr>
              <w:jc w:val="center"/>
              <w:rPr>
                <w:rFonts w:hint="eastAsia" w:ascii="宋体" w:hAnsi="宋体" w:eastAsia="宋体" w:cs="宋体"/>
                <w:i w:val="0"/>
                <w:iCs w:val="0"/>
                <w:color w:val="auto"/>
                <w:sz w:val="22"/>
                <w:szCs w:val="22"/>
                <w:u w:val="none"/>
              </w:rPr>
            </w:pPr>
          </w:p>
        </w:tc>
      </w:tr>
      <w:tr w14:paraId="3D1E6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2DBF">
            <w:pPr>
              <w:jc w:val="center"/>
              <w:rPr>
                <w:rFonts w:hint="eastAsia" w:ascii="宋体" w:hAnsi="宋体" w:eastAsia="宋体" w:cs="宋体"/>
                <w:i w:val="0"/>
                <w:iCs w:val="0"/>
                <w:color w:val="auto"/>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A4D0">
            <w:pPr>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A4BA">
            <w:pPr>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6775">
            <w:pPr>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307F">
            <w:pPr>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AF9C">
            <w:pPr>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3690">
            <w:pPr>
              <w:jc w:val="center"/>
              <w:rPr>
                <w:rFonts w:hint="eastAsia" w:ascii="宋体" w:hAnsi="宋体" w:eastAsia="宋体" w:cs="宋体"/>
                <w:i w:val="0"/>
                <w:iCs w:val="0"/>
                <w:color w:val="auto"/>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E847">
            <w:pPr>
              <w:jc w:val="center"/>
              <w:rPr>
                <w:rFonts w:hint="eastAsia" w:ascii="宋体" w:hAnsi="宋体" w:eastAsia="宋体" w:cs="宋体"/>
                <w:i w:val="0"/>
                <w:iCs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EFD4">
            <w:pPr>
              <w:jc w:val="center"/>
              <w:rPr>
                <w:rFonts w:hint="eastAsia" w:ascii="宋体" w:hAnsi="宋体" w:eastAsia="宋体" w:cs="宋体"/>
                <w:i w:val="0"/>
                <w:iCs w:val="0"/>
                <w:color w:val="auto"/>
                <w:sz w:val="22"/>
                <w:szCs w:val="22"/>
                <w:u w:val="none"/>
              </w:rPr>
            </w:pPr>
          </w:p>
        </w:tc>
      </w:tr>
      <w:tr w14:paraId="3EA26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8860">
            <w:pPr>
              <w:jc w:val="center"/>
              <w:rPr>
                <w:rFonts w:hint="eastAsia" w:ascii="宋体" w:hAnsi="宋体" w:eastAsia="宋体" w:cs="宋体"/>
                <w:i w:val="0"/>
                <w:iCs w:val="0"/>
                <w:color w:val="auto"/>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1127">
            <w:pPr>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A480">
            <w:pPr>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65E5">
            <w:pPr>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F690">
            <w:pPr>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F5A2">
            <w:pPr>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2D07">
            <w:pPr>
              <w:jc w:val="center"/>
              <w:rPr>
                <w:rFonts w:hint="eastAsia" w:ascii="宋体" w:hAnsi="宋体" w:eastAsia="宋体" w:cs="宋体"/>
                <w:i w:val="0"/>
                <w:iCs w:val="0"/>
                <w:color w:val="auto"/>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9A5B">
            <w:pPr>
              <w:jc w:val="center"/>
              <w:rPr>
                <w:rFonts w:hint="eastAsia" w:ascii="宋体" w:hAnsi="宋体" w:eastAsia="宋体" w:cs="宋体"/>
                <w:i w:val="0"/>
                <w:iCs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AB65">
            <w:pPr>
              <w:jc w:val="center"/>
              <w:rPr>
                <w:rFonts w:hint="eastAsia" w:ascii="宋体" w:hAnsi="宋体" w:eastAsia="宋体" w:cs="宋体"/>
                <w:i w:val="0"/>
                <w:iCs w:val="0"/>
                <w:color w:val="auto"/>
                <w:sz w:val="22"/>
                <w:szCs w:val="22"/>
                <w:u w:val="none"/>
              </w:rPr>
            </w:pPr>
          </w:p>
        </w:tc>
      </w:tr>
      <w:tr w14:paraId="3DE1A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538F">
            <w:pPr>
              <w:jc w:val="center"/>
              <w:rPr>
                <w:rFonts w:hint="eastAsia" w:ascii="宋体" w:hAnsi="宋体" w:eastAsia="宋体" w:cs="宋体"/>
                <w:i w:val="0"/>
                <w:iCs w:val="0"/>
                <w:color w:val="auto"/>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C62B">
            <w:pPr>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2A50">
            <w:pPr>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30DA">
            <w:pPr>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514A">
            <w:pPr>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EC12">
            <w:pPr>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15C1">
            <w:pPr>
              <w:jc w:val="center"/>
              <w:rPr>
                <w:rFonts w:hint="eastAsia" w:ascii="宋体" w:hAnsi="宋体" w:eastAsia="宋体" w:cs="宋体"/>
                <w:i w:val="0"/>
                <w:iCs w:val="0"/>
                <w:color w:val="auto"/>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3117">
            <w:pPr>
              <w:jc w:val="center"/>
              <w:rPr>
                <w:rFonts w:hint="eastAsia" w:ascii="宋体" w:hAnsi="宋体" w:eastAsia="宋体" w:cs="宋体"/>
                <w:i w:val="0"/>
                <w:iCs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B3B2">
            <w:pPr>
              <w:jc w:val="center"/>
              <w:rPr>
                <w:rFonts w:hint="eastAsia" w:ascii="宋体" w:hAnsi="宋体" w:eastAsia="宋体" w:cs="宋体"/>
                <w:i w:val="0"/>
                <w:iCs w:val="0"/>
                <w:color w:val="auto"/>
                <w:sz w:val="22"/>
                <w:szCs w:val="22"/>
                <w:u w:val="none"/>
              </w:rPr>
            </w:pPr>
          </w:p>
        </w:tc>
      </w:tr>
      <w:tr w14:paraId="262D4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E458">
            <w:pPr>
              <w:jc w:val="center"/>
              <w:rPr>
                <w:rFonts w:hint="eastAsia" w:ascii="宋体" w:hAnsi="宋体" w:eastAsia="宋体" w:cs="宋体"/>
                <w:i w:val="0"/>
                <w:iCs w:val="0"/>
                <w:color w:val="auto"/>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AD21">
            <w:pPr>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9666">
            <w:pPr>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2216">
            <w:pPr>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4CCF">
            <w:pPr>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B849">
            <w:pPr>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942A">
            <w:pPr>
              <w:jc w:val="center"/>
              <w:rPr>
                <w:rFonts w:hint="eastAsia" w:ascii="宋体" w:hAnsi="宋体" w:eastAsia="宋体" w:cs="宋体"/>
                <w:i w:val="0"/>
                <w:iCs w:val="0"/>
                <w:color w:val="auto"/>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4F95">
            <w:pPr>
              <w:jc w:val="center"/>
              <w:rPr>
                <w:rFonts w:hint="eastAsia" w:ascii="宋体" w:hAnsi="宋体" w:eastAsia="宋体" w:cs="宋体"/>
                <w:i w:val="0"/>
                <w:iCs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5659">
            <w:pPr>
              <w:jc w:val="center"/>
              <w:rPr>
                <w:rFonts w:hint="eastAsia" w:ascii="宋体" w:hAnsi="宋体" w:eastAsia="宋体" w:cs="宋体"/>
                <w:i w:val="0"/>
                <w:iCs w:val="0"/>
                <w:color w:val="auto"/>
                <w:sz w:val="22"/>
                <w:szCs w:val="22"/>
                <w:u w:val="none"/>
              </w:rPr>
            </w:pPr>
          </w:p>
        </w:tc>
      </w:tr>
      <w:tr w14:paraId="357D4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9285" w:type="dxa"/>
            <w:gridSpan w:val="9"/>
            <w:tcBorders>
              <w:top w:val="nil"/>
              <w:left w:val="nil"/>
              <w:bottom w:val="nil"/>
              <w:right w:val="nil"/>
            </w:tcBorders>
            <w:shd w:val="clear" w:color="auto" w:fill="auto"/>
            <w:vAlign w:val="center"/>
          </w:tcPr>
          <w:p w14:paraId="0B12BAB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注：1.该表与请款函一并提交。2.请款函要分列材料费和人工费，所列人工费要足额按时发放。3.工资发放凭证一并提交。4.</w:t>
            </w:r>
            <w:r>
              <w:rPr>
                <w:rFonts w:hint="eastAsia"/>
                <w:color w:val="auto"/>
                <w:lang w:val="en-US" w:eastAsia="zh-CN"/>
              </w:rPr>
              <w:t>监理单位负有审核责任，因监理不到位按合同相关条款约定追究责任。5.</w:t>
            </w:r>
            <w:r>
              <w:rPr>
                <w:rFonts w:hint="eastAsia" w:ascii="宋体" w:hAnsi="宋体" w:eastAsia="宋体" w:cs="宋体"/>
                <w:i w:val="0"/>
                <w:iCs w:val="0"/>
                <w:color w:val="auto"/>
                <w:kern w:val="0"/>
                <w:sz w:val="22"/>
                <w:szCs w:val="22"/>
                <w:u w:val="none"/>
                <w:lang w:val="en-US" w:eastAsia="zh-CN" w:bidi="ar"/>
              </w:rPr>
              <w:t>施工单位对该表的真实性负责，因弄虚作假后果自负。</w:t>
            </w:r>
          </w:p>
        </w:tc>
      </w:tr>
    </w:tbl>
    <w:p w14:paraId="6C6BC2B4">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br w:type="page"/>
      </w:r>
    </w:p>
    <w:p w14:paraId="263B2B5B">
      <w:pPr>
        <w:shd w:val="clear" w:color="auto" w:fill="FFFFFF"/>
        <w:spacing w:line="600" w:lineRule="exact"/>
        <w:ind w:firstLine="723" w:firstLineChars="200"/>
        <w:jc w:val="center"/>
        <w:outlineLvl w:val="0"/>
        <w:rPr>
          <w:rFonts w:hint="eastAsia" w:ascii="宋体" w:hAnsi="宋体" w:eastAsia="宋体" w:cs="宋体"/>
          <w:b/>
          <w:bCs/>
          <w:color w:val="auto"/>
          <w:sz w:val="36"/>
          <w:szCs w:val="36"/>
          <w:highlight w:val="none"/>
        </w:rPr>
      </w:pPr>
      <w:bookmarkStart w:id="1201" w:name="_Toc13291"/>
      <w:r>
        <w:rPr>
          <w:rFonts w:hint="eastAsia" w:ascii="宋体" w:hAnsi="宋体" w:eastAsia="宋体" w:cs="宋体"/>
          <w:b/>
          <w:bCs/>
          <w:color w:val="auto"/>
          <w:sz w:val="36"/>
          <w:szCs w:val="36"/>
          <w:highlight w:val="none"/>
        </w:rPr>
        <w:t>第五章 响应文件格式</w:t>
      </w:r>
      <w:bookmarkEnd w:id="1201"/>
    </w:p>
    <w:p w14:paraId="642C4350">
      <w:pPr>
        <w:spacing w:line="480" w:lineRule="auto"/>
        <w:ind w:left="361" w:leftChars="172" w:firstLine="960" w:firstLineChars="200"/>
        <w:jc w:val="center"/>
        <w:rPr>
          <w:rFonts w:hint="eastAsia" w:ascii="宋体" w:hAnsi="宋体" w:eastAsia="宋体" w:cs="宋体"/>
          <w:color w:val="auto"/>
          <w:sz w:val="48"/>
          <w:szCs w:val="48"/>
          <w:highlight w:val="none"/>
        </w:rPr>
      </w:pPr>
    </w:p>
    <w:p w14:paraId="70F33330">
      <w:pPr>
        <w:spacing w:line="480" w:lineRule="auto"/>
        <w:ind w:left="361" w:leftChars="172" w:firstLine="960" w:firstLineChars="20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响应文件</w:t>
      </w:r>
    </w:p>
    <w:p w14:paraId="494D5F3C">
      <w:pPr>
        <w:snapToGrid w:val="0"/>
        <w:spacing w:before="156" w:beforeLines="50" w:after="50"/>
        <w:ind w:firstLine="420" w:firstLineChars="200"/>
        <w:jc w:val="center"/>
        <w:rPr>
          <w:rFonts w:hint="eastAsia" w:ascii="宋体" w:hAnsi="宋体"/>
          <w:bCs/>
          <w:color w:val="auto"/>
          <w:highlight w:val="none"/>
        </w:rPr>
      </w:pPr>
    </w:p>
    <w:p w14:paraId="0D8038E1">
      <w:pPr>
        <w:snapToGrid w:val="0"/>
        <w:spacing w:before="156" w:beforeLines="50" w:after="50"/>
        <w:ind w:firstLine="420" w:firstLineChars="200"/>
        <w:jc w:val="center"/>
        <w:rPr>
          <w:rFonts w:hint="eastAsia" w:ascii="宋体" w:hAnsi="宋体"/>
          <w:color w:val="auto"/>
          <w:sz w:val="24"/>
          <w:szCs w:val="20"/>
          <w:highlight w:val="none"/>
        </w:rPr>
      </w:pPr>
      <w:r>
        <w:rPr>
          <w:rFonts w:hint="eastAsia" w:ascii="宋体" w:hAnsi="宋体"/>
          <w:bCs/>
          <w:color w:val="auto"/>
          <w:highlight w:val="none"/>
        </w:rPr>
        <w:t>全流程电子文件</w:t>
      </w:r>
    </w:p>
    <w:p w14:paraId="772560DC">
      <w:pPr>
        <w:pStyle w:val="12"/>
        <w:spacing w:line="480" w:lineRule="auto"/>
        <w:ind w:firstLine="600" w:firstLineChars="200"/>
        <w:rPr>
          <w:rFonts w:hint="eastAsia" w:ascii="宋体" w:hAnsi="宋体" w:eastAsia="宋体" w:cs="宋体"/>
          <w:color w:val="auto"/>
          <w:sz w:val="30"/>
          <w:szCs w:val="30"/>
          <w:highlight w:val="none"/>
        </w:rPr>
      </w:pPr>
    </w:p>
    <w:p w14:paraId="3F9C062F">
      <w:pPr>
        <w:pStyle w:val="12"/>
        <w:spacing w:line="480" w:lineRule="auto"/>
        <w:ind w:firstLine="600" w:firstLineChars="200"/>
        <w:rPr>
          <w:rFonts w:hint="eastAsia" w:ascii="宋体" w:hAnsi="宋体" w:eastAsia="宋体" w:cs="宋体"/>
          <w:color w:val="auto"/>
          <w:sz w:val="30"/>
          <w:szCs w:val="30"/>
          <w:highlight w:val="none"/>
        </w:rPr>
      </w:pPr>
    </w:p>
    <w:p w14:paraId="60D28A3D">
      <w:pPr>
        <w:pStyle w:val="12"/>
        <w:spacing w:line="48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352EC012">
      <w:pPr>
        <w:pStyle w:val="12"/>
        <w:spacing w:line="48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434668A7">
      <w:pPr>
        <w:pStyle w:val="12"/>
        <w:spacing w:line="48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供应商名称：</w:t>
      </w:r>
    </w:p>
    <w:p w14:paraId="36763F73">
      <w:pPr>
        <w:pStyle w:val="12"/>
        <w:spacing w:line="48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日     期：      年   月   日</w:t>
      </w:r>
    </w:p>
    <w:p w14:paraId="118800AC">
      <w:pPr>
        <w:pStyle w:val="31"/>
        <w:ind w:firstLine="680" w:firstLineChars="200"/>
        <w:jc w:val="center"/>
        <w:rPr>
          <w:rFonts w:hint="eastAsia" w:ascii="宋体" w:hAnsi="宋体" w:cs="仿宋_GB2312"/>
          <w:bCs/>
          <w:color w:val="auto"/>
          <w:sz w:val="32"/>
          <w:szCs w:val="32"/>
          <w:highlight w:val="none"/>
        </w:rPr>
      </w:pPr>
    </w:p>
    <w:p w14:paraId="28D95665">
      <w:pPr>
        <w:pStyle w:val="31"/>
        <w:ind w:firstLine="680" w:firstLineChars="200"/>
        <w:jc w:val="center"/>
        <w:rPr>
          <w:rFonts w:hint="eastAsia" w:ascii="宋体" w:hAnsi="宋体" w:cs="仿宋_GB2312"/>
          <w:bCs/>
          <w:color w:val="auto"/>
          <w:sz w:val="32"/>
          <w:szCs w:val="32"/>
          <w:highlight w:val="none"/>
        </w:rPr>
      </w:pPr>
    </w:p>
    <w:p w14:paraId="47E4FE9C">
      <w:pPr>
        <w:pStyle w:val="31"/>
        <w:ind w:firstLine="680" w:firstLineChars="200"/>
        <w:jc w:val="center"/>
        <w:rPr>
          <w:rFonts w:hint="eastAsia" w:ascii="宋体" w:hAnsi="宋体" w:eastAsia="宋体" w:cs="宋体"/>
          <w:color w:val="auto"/>
          <w:szCs w:val="21"/>
          <w:highlight w:val="none"/>
          <w:lang w:val="en-US" w:eastAsia="zh-CN"/>
        </w:rPr>
      </w:pPr>
      <w:r>
        <w:rPr>
          <w:rFonts w:hint="eastAsia" w:ascii="宋体" w:hAnsi="宋体" w:cs="仿宋_GB2312"/>
          <w:bCs/>
          <w:color w:val="auto"/>
          <w:sz w:val="32"/>
          <w:szCs w:val="32"/>
          <w:highlight w:val="none"/>
        </w:rPr>
        <w:t>首次响应文件提交截止时间前不得解密</w:t>
      </w:r>
    </w:p>
    <w:p w14:paraId="026B0C90">
      <w:pPr>
        <w:spacing w:line="480" w:lineRule="auto"/>
        <w:ind w:left="361" w:leftChars="172" w:firstLine="960" w:firstLineChars="200"/>
        <w:jc w:val="center"/>
        <w:rPr>
          <w:rFonts w:hint="eastAsia" w:ascii="宋体" w:hAnsi="宋体" w:eastAsia="宋体" w:cs="宋体"/>
          <w:color w:val="auto"/>
          <w:sz w:val="48"/>
          <w:szCs w:val="48"/>
          <w:highlight w:val="none"/>
        </w:rPr>
      </w:pPr>
    </w:p>
    <w:p w14:paraId="57DE6529">
      <w:pPr>
        <w:spacing w:line="480" w:lineRule="auto"/>
        <w:ind w:left="361" w:leftChars="172" w:firstLine="960" w:firstLineChars="200"/>
        <w:jc w:val="center"/>
        <w:rPr>
          <w:rFonts w:hint="eastAsia" w:ascii="宋体" w:hAnsi="宋体" w:eastAsia="宋体" w:cs="宋体"/>
          <w:color w:val="auto"/>
          <w:sz w:val="48"/>
          <w:szCs w:val="48"/>
          <w:highlight w:val="none"/>
        </w:rPr>
      </w:pPr>
    </w:p>
    <w:p w14:paraId="420176EA">
      <w:pPr>
        <w:spacing w:line="480" w:lineRule="auto"/>
        <w:ind w:left="361" w:leftChars="172" w:firstLine="960" w:firstLineChars="200"/>
        <w:jc w:val="center"/>
        <w:rPr>
          <w:rFonts w:hint="eastAsia" w:ascii="宋体" w:hAnsi="宋体" w:eastAsia="宋体" w:cs="宋体"/>
          <w:color w:val="auto"/>
          <w:sz w:val="48"/>
          <w:szCs w:val="48"/>
          <w:highlight w:val="none"/>
        </w:rPr>
      </w:pPr>
    </w:p>
    <w:p w14:paraId="21F0AC22">
      <w:pPr>
        <w:spacing w:line="480" w:lineRule="auto"/>
        <w:ind w:left="361" w:leftChars="172" w:firstLine="960" w:firstLineChars="200"/>
        <w:jc w:val="center"/>
        <w:rPr>
          <w:rFonts w:hint="eastAsia" w:ascii="宋体" w:hAnsi="宋体" w:eastAsia="宋体" w:cs="宋体"/>
          <w:color w:val="auto"/>
          <w:sz w:val="48"/>
          <w:szCs w:val="48"/>
          <w:highlight w:val="none"/>
        </w:rPr>
      </w:pPr>
    </w:p>
    <w:p w14:paraId="4B973C01">
      <w:pPr>
        <w:spacing w:line="480" w:lineRule="auto"/>
        <w:ind w:left="361" w:leftChars="172" w:firstLine="960" w:firstLineChars="200"/>
        <w:jc w:val="center"/>
        <w:rPr>
          <w:rFonts w:hint="eastAsia" w:ascii="宋体" w:hAnsi="宋体" w:eastAsia="宋体" w:cs="宋体"/>
          <w:color w:val="auto"/>
          <w:sz w:val="48"/>
          <w:szCs w:val="48"/>
          <w:highlight w:val="none"/>
        </w:rPr>
      </w:pPr>
    </w:p>
    <w:p w14:paraId="5E9D9BB6">
      <w:pPr>
        <w:spacing w:line="480" w:lineRule="auto"/>
        <w:ind w:left="361" w:leftChars="172" w:firstLine="960" w:firstLineChars="200"/>
        <w:jc w:val="center"/>
        <w:rPr>
          <w:rFonts w:hint="eastAsia" w:ascii="宋体" w:hAnsi="宋体" w:eastAsia="宋体" w:cs="宋体"/>
          <w:color w:val="auto"/>
          <w:sz w:val="48"/>
          <w:szCs w:val="48"/>
          <w:highlight w:val="none"/>
        </w:rPr>
      </w:pPr>
    </w:p>
    <w:p w14:paraId="1D3B19D9">
      <w:pPr>
        <w:spacing w:line="480" w:lineRule="auto"/>
        <w:jc w:val="both"/>
        <w:rPr>
          <w:rFonts w:hint="eastAsia" w:ascii="宋体" w:hAnsi="宋体" w:eastAsia="宋体" w:cs="宋体"/>
          <w:color w:val="auto"/>
          <w:sz w:val="48"/>
          <w:szCs w:val="48"/>
          <w:highlight w:val="none"/>
        </w:rPr>
      </w:pPr>
    </w:p>
    <w:p w14:paraId="16D6B2C3">
      <w:pPr>
        <w:spacing w:line="480" w:lineRule="auto"/>
        <w:ind w:left="361" w:leftChars="172" w:firstLine="960" w:firstLineChars="200"/>
        <w:jc w:val="center"/>
        <w:rPr>
          <w:rFonts w:hint="eastAsia" w:ascii="宋体" w:hAnsi="宋体" w:eastAsia="宋体" w:cs="宋体"/>
          <w:color w:val="auto"/>
          <w:sz w:val="48"/>
          <w:szCs w:val="48"/>
          <w:highlight w:val="none"/>
        </w:rPr>
      </w:pPr>
    </w:p>
    <w:p w14:paraId="26634355">
      <w:pPr>
        <w:spacing w:line="480" w:lineRule="auto"/>
        <w:ind w:left="361" w:leftChars="172" w:firstLine="960" w:firstLineChars="20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响应文件</w:t>
      </w:r>
    </w:p>
    <w:p w14:paraId="68E8AA17">
      <w:pPr>
        <w:spacing w:line="480" w:lineRule="auto"/>
        <w:ind w:left="361" w:leftChars="172" w:firstLine="720" w:firstLineChars="200"/>
        <w:jc w:val="center"/>
        <w:rPr>
          <w:rFonts w:hint="eastAsia" w:ascii="宋体" w:hAnsi="宋体" w:eastAsia="宋体" w:cs="宋体"/>
          <w:color w:val="auto"/>
          <w:sz w:val="36"/>
          <w:szCs w:val="36"/>
          <w:highlight w:val="none"/>
          <w:lang w:val="en-US" w:eastAsia="zh-CN"/>
        </w:rPr>
      </w:pPr>
    </w:p>
    <w:p w14:paraId="0647E751">
      <w:pPr>
        <w:spacing w:line="480" w:lineRule="auto"/>
        <w:ind w:left="361" w:leftChars="172" w:firstLine="720" w:firstLineChars="200"/>
        <w:jc w:val="center"/>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lang w:val="en-US" w:eastAsia="zh-CN"/>
        </w:rPr>
        <w:t>资格审查</w:t>
      </w:r>
      <w:r>
        <w:rPr>
          <w:rFonts w:hint="eastAsia" w:ascii="宋体" w:hAnsi="宋体" w:cs="宋体"/>
          <w:color w:val="auto"/>
          <w:sz w:val="36"/>
          <w:szCs w:val="36"/>
          <w:highlight w:val="none"/>
          <w:lang w:val="en-US" w:eastAsia="zh-CN"/>
        </w:rPr>
        <w:t>文件</w:t>
      </w:r>
    </w:p>
    <w:p w14:paraId="67BE2E6C">
      <w:pPr>
        <w:pStyle w:val="12"/>
        <w:spacing w:line="480" w:lineRule="auto"/>
        <w:ind w:firstLine="600" w:firstLineChars="200"/>
        <w:rPr>
          <w:rFonts w:hint="eastAsia" w:ascii="宋体" w:hAnsi="宋体" w:eastAsia="宋体" w:cs="宋体"/>
          <w:color w:val="auto"/>
          <w:sz w:val="30"/>
          <w:szCs w:val="30"/>
          <w:highlight w:val="none"/>
        </w:rPr>
      </w:pPr>
    </w:p>
    <w:p w14:paraId="70169D45">
      <w:pPr>
        <w:pStyle w:val="12"/>
        <w:spacing w:line="48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3EEAB806">
      <w:pPr>
        <w:pStyle w:val="12"/>
        <w:spacing w:line="48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346CF674">
      <w:pPr>
        <w:pStyle w:val="12"/>
        <w:spacing w:line="48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供应商名称：</w:t>
      </w:r>
    </w:p>
    <w:p w14:paraId="21001632">
      <w:pPr>
        <w:pStyle w:val="12"/>
        <w:spacing w:line="48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日     期：      年   月   日</w:t>
      </w:r>
    </w:p>
    <w:p w14:paraId="4DD9E94A">
      <w:pPr>
        <w:pStyle w:val="31"/>
        <w:ind w:firstLine="680" w:firstLineChars="200"/>
        <w:jc w:val="center"/>
        <w:rPr>
          <w:rFonts w:hint="eastAsia" w:ascii="宋体" w:hAnsi="宋体" w:cs="仿宋_GB2312"/>
          <w:bCs/>
          <w:color w:val="auto"/>
          <w:sz w:val="32"/>
          <w:szCs w:val="32"/>
          <w:highlight w:val="none"/>
        </w:rPr>
      </w:pPr>
    </w:p>
    <w:p w14:paraId="40B2D7CE">
      <w:pPr>
        <w:pStyle w:val="31"/>
        <w:ind w:firstLine="680" w:firstLineChars="200"/>
        <w:jc w:val="center"/>
        <w:rPr>
          <w:rFonts w:hint="eastAsia" w:ascii="宋体" w:hAnsi="宋体" w:eastAsia="宋体" w:cs="宋体"/>
          <w:b/>
          <w:color w:val="auto"/>
          <w:sz w:val="24"/>
          <w:szCs w:val="24"/>
          <w:highlight w:val="none"/>
        </w:rPr>
      </w:pPr>
      <w:r>
        <w:rPr>
          <w:rFonts w:hint="eastAsia" w:ascii="宋体" w:hAnsi="宋体" w:cs="仿宋_GB2312"/>
          <w:bCs/>
          <w:color w:val="auto"/>
          <w:sz w:val="32"/>
          <w:szCs w:val="32"/>
          <w:highlight w:val="none"/>
        </w:rPr>
        <w:t>首次响应文件提交截止时间前不得解密</w:t>
      </w:r>
    </w:p>
    <w:p w14:paraId="1AC1649C">
      <w:pPr>
        <w:spacing w:line="360" w:lineRule="auto"/>
        <w:ind w:firstLine="643" w:firstLineChars="200"/>
        <w:jc w:val="center"/>
        <w:rPr>
          <w:rFonts w:hint="eastAsia" w:ascii="宋体" w:hAnsi="宋体"/>
          <w:b/>
          <w:bCs w:val="0"/>
          <w:color w:val="auto"/>
          <w:sz w:val="32"/>
          <w:szCs w:val="32"/>
          <w:highlight w:val="none"/>
          <w:lang w:val="en-US" w:eastAsia="zh-CN"/>
        </w:rPr>
      </w:pPr>
    </w:p>
    <w:p w14:paraId="221E678D">
      <w:pPr>
        <w:spacing w:line="360" w:lineRule="auto"/>
        <w:ind w:firstLine="643" w:firstLineChars="200"/>
        <w:jc w:val="center"/>
        <w:rPr>
          <w:rFonts w:hint="eastAsia" w:ascii="宋体" w:hAnsi="宋体"/>
          <w:b/>
          <w:bCs w:val="0"/>
          <w:color w:val="auto"/>
          <w:sz w:val="32"/>
          <w:szCs w:val="32"/>
          <w:highlight w:val="none"/>
          <w:lang w:val="en-US" w:eastAsia="zh-CN"/>
        </w:rPr>
      </w:pPr>
    </w:p>
    <w:p w14:paraId="7E059D6F">
      <w:pPr>
        <w:spacing w:line="360" w:lineRule="auto"/>
        <w:ind w:firstLine="643" w:firstLineChars="200"/>
        <w:jc w:val="center"/>
        <w:rPr>
          <w:rFonts w:hint="eastAsia" w:ascii="宋体" w:hAnsi="宋体"/>
          <w:b/>
          <w:bCs w:val="0"/>
          <w:color w:val="auto"/>
          <w:sz w:val="32"/>
          <w:szCs w:val="32"/>
          <w:highlight w:val="none"/>
          <w:lang w:val="en-US" w:eastAsia="zh-CN"/>
        </w:rPr>
      </w:pPr>
    </w:p>
    <w:p w14:paraId="28A5524B">
      <w:pPr>
        <w:spacing w:line="360" w:lineRule="auto"/>
        <w:ind w:firstLine="643" w:firstLineChars="200"/>
        <w:jc w:val="center"/>
        <w:rPr>
          <w:rFonts w:hint="eastAsia" w:ascii="宋体" w:hAnsi="宋体"/>
          <w:b/>
          <w:bCs w:val="0"/>
          <w:color w:val="auto"/>
          <w:sz w:val="32"/>
          <w:szCs w:val="32"/>
          <w:highlight w:val="none"/>
          <w:lang w:val="en-US" w:eastAsia="zh-CN"/>
        </w:rPr>
      </w:pPr>
    </w:p>
    <w:p w14:paraId="38CA0482">
      <w:pPr>
        <w:spacing w:line="360" w:lineRule="auto"/>
        <w:jc w:val="both"/>
        <w:rPr>
          <w:rFonts w:hint="eastAsia" w:ascii="宋体" w:hAnsi="宋体"/>
          <w:b/>
          <w:bCs w:val="0"/>
          <w:color w:val="auto"/>
          <w:sz w:val="32"/>
          <w:szCs w:val="32"/>
          <w:highlight w:val="none"/>
          <w:lang w:val="en-US" w:eastAsia="zh-CN"/>
        </w:rPr>
      </w:pPr>
    </w:p>
    <w:p w14:paraId="2DF8BFCE">
      <w:pPr>
        <w:rPr>
          <w:rFonts w:hint="eastAsia" w:ascii="宋体" w:hAnsi="宋体"/>
          <w:b/>
          <w:bCs w:val="0"/>
          <w:color w:val="auto"/>
          <w:sz w:val="32"/>
          <w:szCs w:val="32"/>
          <w:highlight w:val="none"/>
          <w:lang w:val="en-US" w:eastAsia="zh-CN"/>
        </w:rPr>
      </w:pPr>
      <w:r>
        <w:rPr>
          <w:rFonts w:hint="eastAsia" w:ascii="宋体" w:hAnsi="宋体"/>
          <w:b/>
          <w:bCs w:val="0"/>
          <w:color w:val="auto"/>
          <w:sz w:val="32"/>
          <w:szCs w:val="32"/>
          <w:highlight w:val="none"/>
          <w:lang w:val="en-US" w:eastAsia="zh-CN"/>
        </w:rPr>
        <w:br w:type="page"/>
      </w:r>
    </w:p>
    <w:p w14:paraId="5CF9D874">
      <w:pPr>
        <w:spacing w:line="360" w:lineRule="auto"/>
        <w:ind w:firstLine="643" w:firstLineChars="200"/>
        <w:jc w:val="both"/>
        <w:rPr>
          <w:rFonts w:hint="eastAsia" w:ascii="宋体" w:hAnsi="宋体"/>
          <w:b/>
          <w:bCs w:val="0"/>
          <w:color w:val="auto"/>
          <w:sz w:val="32"/>
          <w:szCs w:val="32"/>
          <w:highlight w:val="none"/>
        </w:rPr>
      </w:pPr>
      <w:r>
        <w:rPr>
          <w:rFonts w:hint="eastAsia" w:ascii="宋体" w:hAnsi="宋体"/>
          <w:b/>
          <w:bCs w:val="0"/>
          <w:color w:val="auto"/>
          <w:sz w:val="32"/>
          <w:szCs w:val="32"/>
          <w:highlight w:val="none"/>
          <w:lang w:val="en-US" w:eastAsia="zh-CN"/>
        </w:rPr>
        <w:t>资格审查文件</w:t>
      </w:r>
      <w:r>
        <w:rPr>
          <w:rFonts w:hint="eastAsia" w:ascii="宋体" w:hAnsi="宋体"/>
          <w:b/>
          <w:bCs w:val="0"/>
          <w:color w:val="auto"/>
          <w:sz w:val="32"/>
          <w:szCs w:val="32"/>
          <w:highlight w:val="none"/>
        </w:rPr>
        <w:t>目录自拟</w:t>
      </w:r>
    </w:p>
    <w:p w14:paraId="43D13A55">
      <w:pPr>
        <w:pStyle w:val="12"/>
        <w:shd w:val="clear" w:color="auto" w:fill="FFFFFF"/>
        <w:spacing w:before="160" w:beforeLines="50" w:line="360" w:lineRule="exact"/>
        <w:ind w:firstLine="482" w:firstLineChars="200"/>
        <w:rPr>
          <w:rFonts w:hint="eastAsia" w:ascii="宋体" w:hAnsi="宋体" w:eastAsia="宋体" w:cs="宋体"/>
          <w:b/>
          <w:color w:val="auto"/>
          <w:sz w:val="24"/>
          <w:szCs w:val="24"/>
          <w:highlight w:val="none"/>
        </w:rPr>
      </w:pPr>
    </w:p>
    <w:p w14:paraId="137580D2">
      <w:pPr>
        <w:shd w:val="clear" w:color="auto" w:fill="FFFFFF"/>
        <w:spacing w:before="160" w:beforeLines="50"/>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6D1DDF67">
      <w:pPr>
        <w:pStyle w:val="12"/>
        <w:shd w:val="clear" w:color="auto" w:fill="FFFFFF"/>
        <w:spacing w:before="160" w:beforeLines="50" w:line="3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1.法定代表人身份证明书（格式）</w:t>
      </w:r>
    </w:p>
    <w:p w14:paraId="1FDD0BD6">
      <w:pPr>
        <w:shd w:val="clear" w:color="auto" w:fill="FFFFFF"/>
        <w:spacing w:line="360" w:lineRule="exact"/>
        <w:ind w:firstLine="420" w:firstLineChars="200"/>
        <w:rPr>
          <w:rFonts w:hint="eastAsia" w:ascii="宋体" w:hAnsi="宋体" w:eastAsia="宋体" w:cs="宋体"/>
          <w:color w:val="auto"/>
          <w:szCs w:val="21"/>
          <w:highlight w:val="none"/>
        </w:rPr>
      </w:pPr>
    </w:p>
    <w:p w14:paraId="29D51D45">
      <w:pPr>
        <w:shd w:val="clear" w:color="auto" w:fill="FFFFFF"/>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p>
    <w:p w14:paraId="51F0342D">
      <w:pPr>
        <w:shd w:val="clear" w:color="auto" w:fill="FFFFFF"/>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407E762B">
      <w:pPr>
        <w:shd w:val="clear" w:color="auto" w:fill="FFFFFF"/>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p>
    <w:p w14:paraId="36658FEE">
      <w:pPr>
        <w:shd w:val="clear" w:color="auto" w:fill="FFFFFF"/>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5878385">
      <w:pPr>
        <w:shd w:val="clear" w:color="auto" w:fill="FFFFFF"/>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经营期限：</w:t>
      </w:r>
      <w:r>
        <w:rPr>
          <w:rFonts w:hint="eastAsia" w:ascii="宋体" w:hAnsi="宋体" w:eastAsia="宋体" w:cs="宋体"/>
          <w:color w:val="auto"/>
          <w:szCs w:val="21"/>
          <w:highlight w:val="none"/>
          <w:u w:val="single"/>
        </w:rPr>
        <w:t xml:space="preserve">                                                        </w:t>
      </w:r>
    </w:p>
    <w:p w14:paraId="11A6BA80">
      <w:pPr>
        <w:shd w:val="clear" w:color="auto" w:fill="FFFFFF"/>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    别：</w:t>
      </w:r>
      <w:r>
        <w:rPr>
          <w:rFonts w:hint="eastAsia" w:ascii="宋体" w:hAnsi="宋体" w:eastAsia="宋体" w:cs="宋体"/>
          <w:color w:val="auto"/>
          <w:szCs w:val="21"/>
          <w:highlight w:val="none"/>
          <w:u w:val="single"/>
        </w:rPr>
        <w:t xml:space="preserve">             </w:t>
      </w:r>
    </w:p>
    <w:p w14:paraId="065F02F0">
      <w:pPr>
        <w:shd w:val="clear" w:color="auto" w:fill="FFFFFF"/>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年    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    务：</w:t>
      </w:r>
      <w:r>
        <w:rPr>
          <w:rFonts w:hint="eastAsia" w:ascii="宋体" w:hAnsi="宋体" w:eastAsia="宋体" w:cs="宋体"/>
          <w:color w:val="auto"/>
          <w:szCs w:val="21"/>
          <w:highlight w:val="none"/>
          <w:u w:val="single"/>
        </w:rPr>
        <w:t xml:space="preserve">             </w:t>
      </w:r>
    </w:p>
    <w:p w14:paraId="5E11A47E">
      <w:pPr>
        <w:shd w:val="clear" w:color="auto" w:fill="FFFFFF"/>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p>
    <w:p w14:paraId="7DC0B16B">
      <w:pPr>
        <w:shd w:val="clear" w:color="auto" w:fill="FFFFFF"/>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（供应商名称）的法定代表人。</w:t>
      </w:r>
    </w:p>
    <w:p w14:paraId="27C3CB10">
      <w:pPr>
        <w:pStyle w:val="12"/>
        <w:shd w:val="clear" w:color="auto" w:fill="FFFFFF"/>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特此证明。</w:t>
      </w:r>
    </w:p>
    <w:p w14:paraId="5BF147E0">
      <w:pPr>
        <w:pStyle w:val="12"/>
        <w:shd w:val="clear" w:color="auto" w:fill="FFFFFF"/>
        <w:spacing w:line="360" w:lineRule="exact"/>
        <w:ind w:firstLine="420" w:firstLineChars="200"/>
        <w:jc w:val="right"/>
        <w:rPr>
          <w:rFonts w:hint="eastAsia" w:ascii="宋体" w:hAnsi="宋体" w:eastAsia="宋体" w:cs="宋体"/>
          <w:color w:val="auto"/>
          <w:highlight w:val="none"/>
        </w:rPr>
      </w:pPr>
    </w:p>
    <w:p w14:paraId="44C987D2">
      <w:pPr>
        <w:pStyle w:val="12"/>
        <w:shd w:val="clear" w:color="auto" w:fill="FFFFFF"/>
        <w:spacing w:line="360" w:lineRule="exact"/>
        <w:ind w:firstLine="420" w:firstLineChars="200"/>
        <w:jc w:val="right"/>
        <w:rPr>
          <w:rFonts w:hint="eastAsia" w:ascii="宋体" w:hAnsi="宋体" w:eastAsia="宋体" w:cs="宋体"/>
          <w:color w:val="auto"/>
          <w:highlight w:val="none"/>
        </w:rPr>
      </w:pPr>
    </w:p>
    <w:p w14:paraId="26C88F13">
      <w:pPr>
        <w:pStyle w:val="12"/>
        <w:shd w:val="clear" w:color="auto" w:fill="FFFFFF"/>
        <w:spacing w:line="360" w:lineRule="exact"/>
        <w:ind w:firstLine="420" w:firstLineChars="200"/>
        <w:jc w:val="right"/>
        <w:rPr>
          <w:rFonts w:hint="eastAsia" w:ascii="宋体" w:hAnsi="宋体" w:eastAsia="宋体" w:cs="宋体"/>
          <w:color w:val="auto"/>
          <w:highlight w:val="none"/>
        </w:rPr>
      </w:pPr>
    </w:p>
    <w:p w14:paraId="65626EEE">
      <w:pPr>
        <w:pStyle w:val="12"/>
        <w:shd w:val="clear" w:color="auto" w:fill="FFFFFF"/>
        <w:spacing w:line="360" w:lineRule="exact"/>
        <w:ind w:firstLine="420" w:firstLineChars="200"/>
        <w:jc w:val="right"/>
        <w:rPr>
          <w:rFonts w:hint="eastAsia" w:ascii="宋体" w:hAnsi="宋体" w:eastAsia="宋体" w:cs="宋体"/>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（电子</w:t>
      </w:r>
      <w:r>
        <w:rPr>
          <w:rFonts w:hint="eastAsia" w:hAnsi="宋体" w:cs="宋体"/>
          <w:color w:val="auto"/>
          <w:highlight w:val="none"/>
          <w:lang w:val="en-US" w:eastAsia="zh-CN"/>
        </w:rPr>
        <w:t>印</w:t>
      </w:r>
      <w:r>
        <w:rPr>
          <w:rFonts w:hint="eastAsia" w:ascii="宋体" w:hAnsi="宋体" w:eastAsia="宋体" w:cs="宋体"/>
          <w:color w:val="auto"/>
          <w:highlight w:val="none"/>
        </w:rPr>
        <w:t>章）</w:t>
      </w:r>
    </w:p>
    <w:p w14:paraId="330366C3">
      <w:pPr>
        <w:pStyle w:val="12"/>
        <w:shd w:val="clear" w:color="auto" w:fill="FFFFFF"/>
        <w:spacing w:line="360" w:lineRule="exact"/>
        <w:ind w:firstLine="420" w:firstLineChars="200"/>
        <w:jc w:val="right"/>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0C6CB682">
      <w:pPr>
        <w:pStyle w:val="12"/>
        <w:shd w:val="clear" w:color="auto" w:fill="FFFFFF"/>
        <w:spacing w:line="360" w:lineRule="exact"/>
        <w:ind w:firstLine="602" w:firstLineChars="200"/>
        <w:jc w:val="center"/>
        <w:rPr>
          <w:rFonts w:hint="eastAsia" w:ascii="宋体" w:hAnsi="宋体" w:eastAsia="宋体" w:cs="宋体"/>
          <w:b/>
          <w:color w:val="auto"/>
          <w:sz w:val="30"/>
          <w:szCs w:val="30"/>
          <w:highlight w:val="none"/>
        </w:rPr>
      </w:pPr>
    </w:p>
    <w:p w14:paraId="51549407">
      <w:pPr>
        <w:pStyle w:val="12"/>
        <w:shd w:val="clear" w:color="auto" w:fill="FFFFFF"/>
        <w:spacing w:line="360" w:lineRule="exact"/>
        <w:ind w:firstLine="602" w:firstLineChars="200"/>
        <w:jc w:val="center"/>
        <w:rPr>
          <w:rFonts w:hint="eastAsia" w:ascii="宋体" w:hAnsi="宋体" w:eastAsia="宋体" w:cs="宋体"/>
          <w:b/>
          <w:color w:val="auto"/>
          <w:sz w:val="30"/>
          <w:szCs w:val="30"/>
          <w:highlight w:val="none"/>
        </w:rPr>
      </w:pPr>
    </w:p>
    <w:p w14:paraId="0DA2A73C">
      <w:pPr>
        <w:pStyle w:val="12"/>
        <w:shd w:val="clear" w:color="auto" w:fill="FFFFFF"/>
        <w:spacing w:line="360" w:lineRule="exact"/>
        <w:ind w:firstLine="602" w:firstLineChars="200"/>
        <w:jc w:val="center"/>
        <w:rPr>
          <w:rFonts w:hint="eastAsia" w:ascii="宋体" w:hAnsi="宋体" w:eastAsia="宋体" w:cs="宋体"/>
          <w:b/>
          <w:color w:val="auto"/>
          <w:sz w:val="30"/>
          <w:szCs w:val="30"/>
          <w:highlight w:val="none"/>
        </w:rPr>
      </w:pPr>
    </w:p>
    <w:p w14:paraId="22FBBC60">
      <w:pPr>
        <w:pStyle w:val="12"/>
        <w:shd w:val="clear" w:color="auto" w:fill="FFFFFF"/>
        <w:spacing w:line="360" w:lineRule="exact"/>
        <w:ind w:firstLine="602" w:firstLineChars="20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法定代表人有效身份证正反面复印件</w:t>
      </w:r>
    </w:p>
    <w:p w14:paraId="3E6A2FBB">
      <w:pPr>
        <w:pStyle w:val="12"/>
        <w:shd w:val="clear" w:color="auto" w:fill="FFFFFF"/>
        <w:spacing w:line="360" w:lineRule="exact"/>
        <w:ind w:firstLine="482" w:firstLineChars="200"/>
        <w:rPr>
          <w:rFonts w:hint="eastAsia" w:ascii="宋体" w:hAnsi="宋体" w:eastAsia="宋体" w:cs="宋体"/>
          <w:b/>
          <w:color w:val="auto"/>
          <w:sz w:val="24"/>
          <w:szCs w:val="24"/>
          <w:highlight w:val="none"/>
        </w:rPr>
      </w:pPr>
    </w:p>
    <w:p w14:paraId="5A9A6B70">
      <w:pPr>
        <w:pStyle w:val="12"/>
        <w:shd w:val="clear" w:color="auto" w:fill="FFFFFF"/>
        <w:spacing w:line="360" w:lineRule="exact"/>
        <w:ind w:firstLine="482" w:firstLineChars="200"/>
        <w:rPr>
          <w:rFonts w:hint="eastAsia" w:ascii="宋体" w:hAnsi="宋体" w:eastAsia="宋体" w:cs="宋体"/>
          <w:b/>
          <w:color w:val="auto"/>
          <w:sz w:val="24"/>
          <w:szCs w:val="24"/>
          <w:highlight w:val="none"/>
        </w:rPr>
      </w:pPr>
    </w:p>
    <w:p w14:paraId="34F4EDE4">
      <w:pPr>
        <w:pStyle w:val="12"/>
        <w:shd w:val="clear" w:color="auto" w:fill="FFFFFF"/>
        <w:spacing w:line="360" w:lineRule="exact"/>
        <w:rPr>
          <w:rFonts w:hint="eastAsia" w:ascii="宋体" w:hAnsi="宋体" w:eastAsia="宋体" w:cs="宋体"/>
          <w:b/>
          <w:color w:val="auto"/>
          <w:sz w:val="24"/>
          <w:szCs w:val="24"/>
          <w:highlight w:val="none"/>
        </w:rPr>
      </w:pPr>
    </w:p>
    <w:p w14:paraId="0982C084">
      <w:pPr>
        <w:pStyle w:val="12"/>
        <w:shd w:val="clear" w:color="auto" w:fill="FFFFFF"/>
        <w:spacing w:line="360" w:lineRule="exact"/>
        <w:ind w:firstLine="482" w:firstLineChars="200"/>
        <w:rPr>
          <w:rFonts w:hint="eastAsia" w:ascii="宋体" w:hAnsi="宋体" w:eastAsia="宋体" w:cs="宋体"/>
          <w:b/>
          <w:color w:val="auto"/>
          <w:sz w:val="24"/>
          <w:szCs w:val="24"/>
          <w:highlight w:val="none"/>
        </w:rPr>
      </w:pPr>
    </w:p>
    <w:p w14:paraId="73E3F2E4">
      <w:pPr>
        <w:pStyle w:val="12"/>
        <w:shd w:val="clear" w:color="auto" w:fill="FFFFFF"/>
        <w:spacing w:line="360" w:lineRule="exact"/>
        <w:ind w:firstLine="482" w:firstLineChars="200"/>
        <w:rPr>
          <w:rFonts w:hint="eastAsia" w:ascii="宋体" w:hAnsi="宋体" w:eastAsia="宋体" w:cs="宋体"/>
          <w:b/>
          <w:color w:val="auto"/>
          <w:sz w:val="24"/>
          <w:szCs w:val="24"/>
          <w:highlight w:val="none"/>
        </w:rPr>
      </w:pPr>
    </w:p>
    <w:p w14:paraId="352CD5D6">
      <w:pPr>
        <w:pStyle w:val="12"/>
        <w:shd w:val="clear" w:color="auto" w:fill="FFFFFF"/>
        <w:spacing w:line="360" w:lineRule="exact"/>
        <w:ind w:firstLine="482" w:firstLineChars="200"/>
        <w:rPr>
          <w:rFonts w:hint="eastAsia" w:ascii="宋体" w:hAnsi="宋体" w:eastAsia="宋体" w:cs="宋体"/>
          <w:b/>
          <w:color w:val="auto"/>
          <w:sz w:val="24"/>
          <w:szCs w:val="24"/>
          <w:highlight w:val="none"/>
        </w:rPr>
      </w:pPr>
    </w:p>
    <w:p w14:paraId="4F1896AE">
      <w:pPr>
        <w:pStyle w:val="12"/>
        <w:shd w:val="clear" w:color="auto" w:fill="FFFFFF"/>
        <w:spacing w:line="360" w:lineRule="exact"/>
        <w:ind w:firstLine="482" w:firstLineChars="200"/>
        <w:rPr>
          <w:rFonts w:hint="eastAsia" w:ascii="宋体" w:hAnsi="宋体" w:eastAsia="宋体" w:cs="宋体"/>
          <w:b/>
          <w:color w:val="auto"/>
          <w:sz w:val="24"/>
          <w:szCs w:val="24"/>
          <w:highlight w:val="none"/>
        </w:rPr>
      </w:pPr>
    </w:p>
    <w:p w14:paraId="78DEC079">
      <w:pPr>
        <w:pStyle w:val="12"/>
        <w:shd w:val="clear" w:color="auto" w:fill="FFFFFF"/>
        <w:spacing w:line="360" w:lineRule="exact"/>
        <w:ind w:firstLine="482" w:firstLineChars="200"/>
        <w:rPr>
          <w:rFonts w:hint="eastAsia" w:ascii="宋体" w:hAnsi="宋体" w:eastAsia="宋体" w:cs="宋体"/>
          <w:b/>
          <w:color w:val="auto"/>
          <w:sz w:val="24"/>
          <w:szCs w:val="24"/>
          <w:highlight w:val="none"/>
        </w:rPr>
      </w:pPr>
    </w:p>
    <w:p w14:paraId="6683DA17">
      <w:pPr>
        <w:pStyle w:val="12"/>
        <w:shd w:val="clear" w:color="auto" w:fill="FFFFFF"/>
        <w:spacing w:line="360" w:lineRule="exact"/>
        <w:ind w:firstLine="482" w:firstLineChars="200"/>
        <w:rPr>
          <w:rFonts w:hint="eastAsia" w:ascii="宋体" w:hAnsi="宋体" w:eastAsia="宋体" w:cs="宋体"/>
          <w:b/>
          <w:color w:val="auto"/>
          <w:sz w:val="24"/>
          <w:szCs w:val="24"/>
          <w:highlight w:val="none"/>
        </w:rPr>
      </w:pPr>
    </w:p>
    <w:p w14:paraId="3ED9B726">
      <w:pPr>
        <w:pStyle w:val="12"/>
        <w:shd w:val="clear" w:color="auto" w:fill="FFFFFF"/>
        <w:spacing w:line="360" w:lineRule="exact"/>
        <w:ind w:firstLine="482" w:firstLineChars="200"/>
        <w:rPr>
          <w:rFonts w:hint="eastAsia" w:ascii="宋体" w:hAnsi="宋体" w:eastAsia="宋体" w:cs="宋体"/>
          <w:b/>
          <w:color w:val="auto"/>
          <w:sz w:val="24"/>
          <w:szCs w:val="24"/>
          <w:highlight w:val="none"/>
        </w:rPr>
      </w:pPr>
    </w:p>
    <w:p w14:paraId="224DBE22">
      <w:pPr>
        <w:pStyle w:val="12"/>
        <w:shd w:val="clear" w:color="auto" w:fill="FFFFFF"/>
        <w:spacing w:line="360" w:lineRule="exact"/>
        <w:ind w:firstLine="482" w:firstLineChars="200"/>
        <w:rPr>
          <w:rFonts w:hint="eastAsia" w:ascii="宋体" w:hAnsi="宋体" w:eastAsia="宋体" w:cs="宋体"/>
          <w:b/>
          <w:color w:val="auto"/>
          <w:sz w:val="24"/>
          <w:szCs w:val="24"/>
          <w:highlight w:val="none"/>
        </w:rPr>
      </w:pPr>
    </w:p>
    <w:p w14:paraId="4749B9FD">
      <w:pPr>
        <w:pStyle w:val="12"/>
        <w:shd w:val="clear" w:color="auto" w:fill="FFFFFF"/>
        <w:spacing w:line="360" w:lineRule="exact"/>
        <w:ind w:firstLine="482" w:firstLineChars="200"/>
        <w:rPr>
          <w:rFonts w:hint="eastAsia" w:ascii="宋体" w:hAnsi="宋体" w:eastAsia="宋体" w:cs="宋体"/>
          <w:b/>
          <w:color w:val="auto"/>
          <w:sz w:val="24"/>
          <w:szCs w:val="24"/>
          <w:highlight w:val="none"/>
        </w:rPr>
      </w:pPr>
    </w:p>
    <w:p w14:paraId="3AD44BCB">
      <w:pPr>
        <w:pStyle w:val="12"/>
        <w:shd w:val="clear" w:color="auto" w:fill="FFFFFF"/>
        <w:spacing w:line="360" w:lineRule="exact"/>
        <w:ind w:firstLine="482" w:firstLineChars="200"/>
        <w:rPr>
          <w:rFonts w:hint="eastAsia" w:ascii="宋体" w:hAnsi="宋体" w:eastAsia="宋体" w:cs="宋体"/>
          <w:b/>
          <w:color w:val="auto"/>
          <w:sz w:val="24"/>
          <w:szCs w:val="24"/>
          <w:highlight w:val="none"/>
        </w:rPr>
      </w:pPr>
    </w:p>
    <w:p w14:paraId="547F2579">
      <w:pPr>
        <w:pStyle w:val="12"/>
        <w:shd w:val="clear" w:color="auto" w:fill="FFFFFF"/>
        <w:spacing w:line="360" w:lineRule="exact"/>
        <w:ind w:firstLine="482" w:firstLineChars="200"/>
        <w:rPr>
          <w:rFonts w:hint="eastAsia" w:ascii="宋体" w:hAnsi="宋体" w:eastAsia="宋体" w:cs="宋体"/>
          <w:b/>
          <w:color w:val="auto"/>
          <w:sz w:val="24"/>
          <w:szCs w:val="24"/>
          <w:highlight w:val="none"/>
        </w:rPr>
      </w:pPr>
    </w:p>
    <w:p w14:paraId="1FB23246">
      <w:pPr>
        <w:pStyle w:val="12"/>
        <w:shd w:val="clear" w:color="auto" w:fill="FFFFFF"/>
        <w:spacing w:line="360" w:lineRule="exact"/>
        <w:rPr>
          <w:rFonts w:hint="eastAsia" w:ascii="宋体" w:hAnsi="宋体" w:eastAsia="宋体" w:cs="宋体"/>
          <w:b/>
          <w:color w:val="auto"/>
          <w:sz w:val="24"/>
          <w:szCs w:val="24"/>
          <w:highlight w:val="none"/>
        </w:rPr>
      </w:pPr>
    </w:p>
    <w:p w14:paraId="34DB59B7">
      <w:pPr>
        <w:shd w:val="clear" w:color="auto" w:fill="FFFFFF"/>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265F83C6">
      <w:pPr>
        <w:pStyle w:val="12"/>
        <w:shd w:val="clear" w:color="auto" w:fill="FFFFFF"/>
        <w:spacing w:line="3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2.授权委托书（格式）</w:t>
      </w:r>
    </w:p>
    <w:p w14:paraId="2B6A4733">
      <w:pPr>
        <w:pStyle w:val="12"/>
        <w:shd w:val="clear" w:color="auto" w:fill="FFFFFF"/>
        <w:spacing w:line="360" w:lineRule="exact"/>
        <w:ind w:firstLine="420" w:firstLineChars="200"/>
        <w:rPr>
          <w:rFonts w:hint="eastAsia" w:ascii="宋体" w:hAnsi="宋体" w:eastAsia="宋体" w:cs="宋体"/>
          <w:color w:val="auto"/>
          <w:highlight w:val="none"/>
        </w:rPr>
      </w:pPr>
    </w:p>
    <w:p w14:paraId="1E9672C8">
      <w:pPr>
        <w:pStyle w:val="12"/>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本授权委托书声明：我</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(供应商名称)的法定代表人，现授权委托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(姓名)为我单位代理人，以本单位的名义参加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代理的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w:t>
      </w:r>
      <w:r>
        <w:rPr>
          <w:rFonts w:hint="eastAsia" w:hAnsi="宋体" w:cs="宋体"/>
          <w:color w:val="auto"/>
          <w:highlight w:val="none"/>
          <w:lang w:eastAsia="zh-CN"/>
        </w:rPr>
        <w:t>磋商</w:t>
      </w:r>
      <w:r>
        <w:rPr>
          <w:rFonts w:hint="eastAsia" w:ascii="宋体" w:hAnsi="宋体" w:eastAsia="宋体" w:cs="宋体"/>
          <w:color w:val="auto"/>
          <w:highlight w:val="none"/>
        </w:rPr>
        <w:t>活动，代理人在</w:t>
      </w:r>
      <w:r>
        <w:rPr>
          <w:rFonts w:hint="eastAsia" w:hAnsi="宋体" w:cs="宋体"/>
          <w:color w:val="auto"/>
          <w:highlight w:val="none"/>
          <w:lang w:eastAsia="zh-CN"/>
        </w:rPr>
        <w:t>磋商</w:t>
      </w:r>
      <w:r>
        <w:rPr>
          <w:rFonts w:hint="eastAsia" w:ascii="宋体" w:hAnsi="宋体" w:eastAsia="宋体" w:cs="宋体"/>
          <w:color w:val="auto"/>
          <w:highlight w:val="none"/>
        </w:rPr>
        <w:t>过程中所签署的一切文件和处理与之有关的一切事务，我均予以承认。</w:t>
      </w:r>
    </w:p>
    <w:p w14:paraId="765FD479">
      <w:pPr>
        <w:pStyle w:val="12"/>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代理人无转委权</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特此委托。</w:t>
      </w:r>
    </w:p>
    <w:p w14:paraId="0FA73358">
      <w:pPr>
        <w:pStyle w:val="12"/>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附：代理人有效身份证正反面复印件</w:t>
      </w:r>
    </w:p>
    <w:p w14:paraId="5D01E792">
      <w:pPr>
        <w:pStyle w:val="12"/>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rPr>
        <w:t>代理人：</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u w:val="single"/>
        </w:rPr>
        <w:t>(签字)</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rPr>
        <w:t xml:space="preserve">      性别：</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rPr>
        <w:t xml:space="preserve">      年龄：</w:t>
      </w:r>
      <w:r>
        <w:rPr>
          <w:rFonts w:hint="eastAsia" w:hAnsi="宋体" w:cs="宋体"/>
          <w:color w:val="auto"/>
          <w:highlight w:val="none"/>
          <w:u w:val="none"/>
          <w:lang w:val="en-US" w:eastAsia="zh-CN"/>
        </w:rPr>
        <w:t xml:space="preserve">       </w:t>
      </w:r>
    </w:p>
    <w:p w14:paraId="3D8E9811">
      <w:pPr>
        <w:pStyle w:val="12"/>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单位：</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部门：</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rPr>
        <w:t xml:space="preserve">      职务：</w:t>
      </w:r>
      <w:r>
        <w:rPr>
          <w:rFonts w:hint="eastAsia" w:hAnsi="宋体" w:cs="宋体"/>
          <w:color w:val="auto"/>
          <w:highlight w:val="none"/>
          <w:u w:val="single"/>
          <w:lang w:val="en-US" w:eastAsia="zh-CN"/>
        </w:rPr>
        <w:t xml:space="preserve">       </w:t>
      </w:r>
    </w:p>
    <w:p w14:paraId="44583EF6">
      <w:pPr>
        <w:pStyle w:val="12"/>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rPr>
        <w:t>身份证号码：</w:t>
      </w:r>
      <w:r>
        <w:rPr>
          <w:rFonts w:hint="eastAsia" w:hAnsi="宋体" w:cs="宋体"/>
          <w:color w:val="auto"/>
          <w:highlight w:val="none"/>
          <w:u w:val="none"/>
          <w:lang w:val="en-US" w:eastAsia="zh-CN"/>
        </w:rPr>
        <w:t xml:space="preserve">       </w:t>
      </w:r>
    </w:p>
    <w:p w14:paraId="5C54306B">
      <w:pPr>
        <w:pStyle w:val="12"/>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供应商：(电子</w:t>
      </w:r>
      <w:r>
        <w:rPr>
          <w:rFonts w:hint="eastAsia" w:hAnsi="宋体" w:cs="宋体"/>
          <w:color w:val="auto"/>
          <w:highlight w:val="none"/>
          <w:lang w:val="en-US" w:eastAsia="zh-CN"/>
        </w:rPr>
        <w:t>印</w:t>
      </w:r>
      <w:r>
        <w:rPr>
          <w:rFonts w:hint="eastAsia" w:ascii="宋体" w:hAnsi="宋体" w:eastAsia="宋体" w:cs="宋体"/>
          <w:color w:val="auto"/>
          <w:highlight w:val="none"/>
        </w:rPr>
        <w:t>章)</w:t>
      </w:r>
      <w:r>
        <w:rPr>
          <w:rFonts w:hint="eastAsia" w:hAnsi="宋体" w:cs="宋体"/>
          <w:color w:val="auto"/>
          <w:highlight w:val="none"/>
          <w:u w:val="single"/>
          <w:lang w:val="en-US" w:eastAsia="zh-CN"/>
        </w:rPr>
        <w:t xml:space="preserve">       </w:t>
      </w:r>
    </w:p>
    <w:p w14:paraId="12661007">
      <w:pPr>
        <w:pStyle w:val="12"/>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u w:val="single"/>
        </w:rPr>
        <w:t>(签字)</w:t>
      </w:r>
      <w:r>
        <w:rPr>
          <w:rFonts w:hint="eastAsia" w:hAnsi="宋体" w:cs="宋体"/>
          <w:color w:val="auto"/>
          <w:highlight w:val="none"/>
          <w:u w:val="single"/>
          <w:lang w:val="en-US" w:eastAsia="zh-CN"/>
        </w:rPr>
        <w:t xml:space="preserve">       </w:t>
      </w:r>
    </w:p>
    <w:p w14:paraId="506BC768">
      <w:pPr>
        <w:pStyle w:val="12"/>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委托期限：</w:t>
      </w:r>
      <w:r>
        <w:rPr>
          <w:rFonts w:hint="eastAsia" w:ascii="宋体" w:hAnsi="宋体" w:eastAsia="宋体" w:cs="宋体"/>
          <w:color w:val="auto"/>
          <w:highlight w:val="none"/>
          <w:u w:val="single"/>
        </w:rPr>
        <w:t xml:space="preserve">     年  月  日</w:t>
      </w:r>
      <w:r>
        <w:rPr>
          <w:rFonts w:hint="eastAsia" w:ascii="宋体" w:hAnsi="宋体" w:eastAsia="宋体" w:cs="宋体"/>
          <w:color w:val="auto"/>
          <w:highlight w:val="none"/>
        </w:rPr>
        <w:t xml:space="preserve"> 至</w:t>
      </w:r>
      <w:r>
        <w:rPr>
          <w:rFonts w:hint="eastAsia" w:ascii="宋体" w:hAnsi="宋体" w:eastAsia="宋体" w:cs="宋体"/>
          <w:color w:val="auto"/>
          <w:highlight w:val="none"/>
          <w:u w:val="single"/>
        </w:rPr>
        <w:t xml:space="preserve">     年  月  日</w:t>
      </w:r>
    </w:p>
    <w:p w14:paraId="4D1EFB9C">
      <w:pPr>
        <w:pStyle w:val="12"/>
        <w:shd w:val="clear" w:color="auto" w:fill="FFFFFF"/>
        <w:spacing w:line="360" w:lineRule="exact"/>
        <w:ind w:firstLine="5250" w:firstLineChars="2500"/>
        <w:jc w:val="left"/>
        <w:rPr>
          <w:rFonts w:hint="eastAsia" w:ascii="宋体" w:hAnsi="宋体" w:eastAsia="宋体" w:cs="宋体"/>
          <w:color w:val="auto"/>
          <w:highlight w:val="none"/>
        </w:rPr>
      </w:pPr>
    </w:p>
    <w:p w14:paraId="0782DC75">
      <w:pPr>
        <w:pStyle w:val="12"/>
        <w:shd w:val="clear" w:color="auto" w:fill="FFFFFF"/>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48CD851C">
      <w:pPr>
        <w:pStyle w:val="12"/>
        <w:shd w:val="clear" w:color="auto" w:fill="FFFFFF"/>
        <w:spacing w:line="360" w:lineRule="exact"/>
        <w:ind w:firstLine="643" w:firstLineChars="200"/>
        <w:jc w:val="center"/>
        <w:rPr>
          <w:rFonts w:hint="eastAsia" w:ascii="宋体" w:hAnsi="宋体" w:eastAsia="宋体" w:cs="宋体"/>
          <w:b/>
          <w:bCs/>
          <w:color w:val="auto"/>
          <w:sz w:val="32"/>
          <w:szCs w:val="32"/>
          <w:highlight w:val="none"/>
        </w:rPr>
      </w:pPr>
    </w:p>
    <w:p w14:paraId="65F33DAA">
      <w:pPr>
        <w:pStyle w:val="12"/>
        <w:shd w:val="clear" w:color="auto" w:fill="FFFFFF"/>
        <w:spacing w:line="360" w:lineRule="exact"/>
        <w:ind w:firstLine="643" w:firstLineChars="200"/>
        <w:jc w:val="center"/>
        <w:rPr>
          <w:rFonts w:hint="eastAsia" w:ascii="宋体" w:hAnsi="宋体" w:eastAsia="宋体" w:cs="宋体"/>
          <w:b/>
          <w:bCs/>
          <w:color w:val="auto"/>
          <w:sz w:val="32"/>
          <w:szCs w:val="32"/>
          <w:highlight w:val="none"/>
        </w:rPr>
      </w:pPr>
    </w:p>
    <w:p w14:paraId="18F96264">
      <w:pPr>
        <w:pStyle w:val="12"/>
        <w:shd w:val="clear" w:color="auto" w:fill="FFFFFF"/>
        <w:spacing w:line="360" w:lineRule="exact"/>
        <w:ind w:firstLine="643" w:firstLineChars="2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授权委托代理人有效身份证正反面复印件</w:t>
      </w:r>
    </w:p>
    <w:p w14:paraId="5BBE9A23">
      <w:pPr>
        <w:pStyle w:val="12"/>
        <w:shd w:val="clear" w:color="auto" w:fill="FFFFFF"/>
        <w:spacing w:before="160" w:beforeLines="50" w:line="360" w:lineRule="exact"/>
        <w:ind w:firstLine="482" w:firstLineChars="200"/>
        <w:rPr>
          <w:rFonts w:hint="eastAsia" w:hAnsi="宋体" w:cs="宋体"/>
          <w:b/>
          <w:color w:val="auto"/>
          <w:sz w:val="24"/>
          <w:szCs w:val="24"/>
          <w:highlight w:val="none"/>
          <w:lang w:val="en-US" w:eastAsia="zh-CN"/>
        </w:rPr>
      </w:pPr>
    </w:p>
    <w:p w14:paraId="5ED05AFF">
      <w:pPr>
        <w:pStyle w:val="12"/>
        <w:shd w:val="clear" w:color="auto" w:fill="FFFFFF"/>
        <w:spacing w:before="160" w:beforeLines="50" w:line="360" w:lineRule="exact"/>
        <w:ind w:firstLine="482" w:firstLineChars="200"/>
        <w:rPr>
          <w:rFonts w:hint="eastAsia" w:hAnsi="宋体" w:cs="宋体"/>
          <w:b/>
          <w:color w:val="auto"/>
          <w:sz w:val="24"/>
          <w:szCs w:val="24"/>
          <w:highlight w:val="none"/>
          <w:lang w:val="en-US" w:eastAsia="zh-CN"/>
        </w:rPr>
      </w:pPr>
    </w:p>
    <w:p w14:paraId="11F9652E">
      <w:pPr>
        <w:pStyle w:val="12"/>
        <w:shd w:val="clear" w:color="auto" w:fill="FFFFFF"/>
        <w:spacing w:before="160" w:beforeLines="50" w:line="360" w:lineRule="exact"/>
        <w:ind w:firstLine="482" w:firstLineChars="200"/>
        <w:rPr>
          <w:rFonts w:hint="eastAsia" w:hAnsi="宋体" w:cs="宋体"/>
          <w:b/>
          <w:color w:val="auto"/>
          <w:sz w:val="24"/>
          <w:szCs w:val="24"/>
          <w:highlight w:val="none"/>
          <w:lang w:val="en-US" w:eastAsia="zh-CN"/>
        </w:rPr>
      </w:pPr>
    </w:p>
    <w:p w14:paraId="7358C2AC">
      <w:pPr>
        <w:pStyle w:val="12"/>
        <w:shd w:val="clear" w:color="auto" w:fill="FFFFFF"/>
        <w:spacing w:before="160" w:beforeLines="50" w:line="360" w:lineRule="exact"/>
        <w:ind w:firstLine="482" w:firstLineChars="200"/>
        <w:rPr>
          <w:rFonts w:hint="eastAsia" w:hAnsi="宋体" w:cs="宋体"/>
          <w:b/>
          <w:color w:val="auto"/>
          <w:sz w:val="24"/>
          <w:szCs w:val="24"/>
          <w:highlight w:val="none"/>
          <w:lang w:val="en-US" w:eastAsia="zh-CN"/>
        </w:rPr>
      </w:pPr>
    </w:p>
    <w:p w14:paraId="420FFFB1">
      <w:pPr>
        <w:pStyle w:val="12"/>
        <w:shd w:val="clear" w:color="auto" w:fill="FFFFFF"/>
        <w:spacing w:before="160" w:beforeLines="50" w:line="360" w:lineRule="exact"/>
        <w:ind w:firstLine="482" w:firstLineChars="200"/>
        <w:rPr>
          <w:rFonts w:hint="eastAsia" w:ascii="宋体" w:hAnsi="宋体" w:eastAsia="宋体" w:cs="宋体"/>
          <w:b/>
          <w:color w:val="auto"/>
          <w:sz w:val="24"/>
          <w:szCs w:val="24"/>
          <w:highlight w:val="none"/>
          <w:lang w:val="en-US" w:eastAsia="zh-CN"/>
        </w:rPr>
      </w:pPr>
      <w:r>
        <w:rPr>
          <w:rFonts w:hint="eastAsia" w:hAnsi="宋体" w:cs="宋体"/>
          <w:b/>
          <w:color w:val="auto"/>
          <w:sz w:val="24"/>
          <w:szCs w:val="24"/>
          <w:highlight w:val="none"/>
          <w:lang w:val="en-US" w:eastAsia="zh-CN"/>
        </w:rPr>
        <w:t>3</w:t>
      </w:r>
      <w:r>
        <w:rPr>
          <w:rFonts w:hint="eastAsia" w:ascii="宋体" w:hAnsi="宋体" w:eastAsia="宋体" w:cs="宋体"/>
          <w:b/>
          <w:color w:val="auto"/>
          <w:sz w:val="24"/>
          <w:szCs w:val="24"/>
          <w:highlight w:val="none"/>
        </w:rPr>
        <w:t>.有效营业执照、资质证书、企业安全生产许可证复印件</w:t>
      </w:r>
    </w:p>
    <w:p w14:paraId="03672D08">
      <w:pPr>
        <w:pStyle w:val="12"/>
        <w:shd w:val="clear" w:color="auto" w:fill="FFFFFF"/>
        <w:spacing w:before="160" w:beforeLines="50" w:line="360" w:lineRule="exact"/>
        <w:ind w:firstLine="482" w:firstLineChars="200"/>
        <w:rPr>
          <w:rFonts w:hint="eastAsia" w:hAnsi="宋体" w:cs="宋体"/>
          <w:b/>
          <w:color w:val="auto"/>
          <w:sz w:val="24"/>
          <w:szCs w:val="24"/>
          <w:highlight w:val="none"/>
          <w:lang w:val="en-US" w:eastAsia="zh-CN"/>
        </w:rPr>
      </w:pPr>
    </w:p>
    <w:p w14:paraId="2C06F3AD">
      <w:pPr>
        <w:pStyle w:val="12"/>
        <w:shd w:val="clear" w:color="auto" w:fill="FFFFFF"/>
        <w:spacing w:before="160" w:beforeLines="50" w:line="360" w:lineRule="exact"/>
        <w:ind w:firstLine="482" w:firstLineChars="200"/>
        <w:rPr>
          <w:rFonts w:hint="eastAsia" w:hAnsi="宋体" w:cs="宋体"/>
          <w:b/>
          <w:color w:val="auto"/>
          <w:sz w:val="24"/>
          <w:szCs w:val="24"/>
          <w:highlight w:val="none"/>
          <w:lang w:val="en-US" w:eastAsia="zh-CN"/>
        </w:rPr>
      </w:pPr>
    </w:p>
    <w:p w14:paraId="4F3AAFEA">
      <w:pPr>
        <w:pStyle w:val="12"/>
        <w:shd w:val="clear" w:color="auto" w:fill="FFFFFF"/>
        <w:spacing w:before="160" w:beforeLines="50" w:line="360" w:lineRule="exact"/>
        <w:ind w:firstLine="482" w:firstLineChars="200"/>
        <w:rPr>
          <w:rFonts w:hint="eastAsia" w:ascii="宋体" w:hAnsi="宋体" w:eastAsia="宋体" w:cs="宋体"/>
          <w:b/>
          <w:color w:val="auto"/>
          <w:sz w:val="24"/>
          <w:szCs w:val="24"/>
          <w:highlight w:val="none"/>
          <w:lang w:val="en-US" w:eastAsia="zh-CN"/>
        </w:rPr>
      </w:pPr>
      <w:r>
        <w:rPr>
          <w:rFonts w:hint="eastAsia" w:hAnsi="宋体" w:cs="宋体"/>
          <w:b/>
          <w:color w:val="auto"/>
          <w:sz w:val="24"/>
          <w:szCs w:val="24"/>
          <w:highlight w:val="none"/>
          <w:lang w:val="en-US" w:eastAsia="zh-CN"/>
        </w:rPr>
        <w:t>4</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项目经理资格：拟投入</w:t>
      </w:r>
      <w:bookmarkStart w:id="1202" w:name="OLE_LINK37"/>
      <w:r>
        <w:rPr>
          <w:rFonts w:hint="eastAsia" w:ascii="宋体" w:hAnsi="宋体" w:eastAsia="宋体" w:cs="宋体"/>
          <w:b/>
          <w:color w:val="auto"/>
          <w:sz w:val="24"/>
          <w:szCs w:val="24"/>
          <w:highlight w:val="none"/>
          <w:lang w:val="en-US" w:eastAsia="zh-CN"/>
        </w:rPr>
        <w:t>本项目的项目经理的有效第二代</w:t>
      </w:r>
      <w:bookmarkEnd w:id="1202"/>
      <w:r>
        <w:rPr>
          <w:rFonts w:hint="eastAsia" w:ascii="宋体" w:hAnsi="宋体" w:eastAsia="宋体" w:cs="宋体"/>
          <w:b/>
          <w:color w:val="auto"/>
          <w:sz w:val="24"/>
          <w:szCs w:val="24"/>
          <w:highlight w:val="none"/>
          <w:lang w:val="en-US" w:eastAsia="zh-CN"/>
        </w:rPr>
        <w:t>身份证正反面复印件、注册建造师证书复印件及安全生产考核合格证（B证）证件复印件</w:t>
      </w:r>
    </w:p>
    <w:p w14:paraId="731D67D3">
      <w:pPr>
        <w:pStyle w:val="12"/>
        <w:shd w:val="clear" w:color="auto" w:fill="FFFFFF"/>
        <w:spacing w:before="160" w:beforeLines="50" w:line="360" w:lineRule="exact"/>
        <w:ind w:firstLine="482" w:firstLineChars="200"/>
        <w:rPr>
          <w:rFonts w:hint="eastAsia" w:hAnsi="宋体" w:cs="宋体"/>
          <w:b/>
          <w:color w:val="auto"/>
          <w:sz w:val="24"/>
          <w:szCs w:val="24"/>
          <w:highlight w:val="none"/>
          <w:lang w:val="en-US" w:eastAsia="zh-CN"/>
        </w:rPr>
      </w:pPr>
    </w:p>
    <w:p w14:paraId="1DEDD2A5">
      <w:pPr>
        <w:pStyle w:val="12"/>
        <w:shd w:val="clear" w:color="auto" w:fill="FFFFFF"/>
        <w:spacing w:before="160" w:beforeLines="50" w:line="360" w:lineRule="exact"/>
        <w:ind w:firstLine="482" w:firstLineChars="200"/>
        <w:rPr>
          <w:rFonts w:hint="eastAsia" w:hAnsi="宋体" w:cs="宋体"/>
          <w:b/>
          <w:color w:val="auto"/>
          <w:sz w:val="24"/>
          <w:szCs w:val="24"/>
          <w:highlight w:val="none"/>
          <w:lang w:val="en-US" w:eastAsia="zh-CN"/>
        </w:rPr>
      </w:pPr>
    </w:p>
    <w:p w14:paraId="1565F234">
      <w:pPr>
        <w:pStyle w:val="12"/>
        <w:shd w:val="clear" w:color="auto" w:fill="FFFFFF"/>
        <w:spacing w:before="160" w:beforeLines="50" w:line="360" w:lineRule="exact"/>
        <w:rPr>
          <w:rFonts w:hint="eastAsia" w:hAnsi="宋体" w:cs="宋体"/>
          <w:b/>
          <w:color w:val="auto"/>
          <w:sz w:val="24"/>
          <w:szCs w:val="24"/>
          <w:highlight w:val="none"/>
          <w:lang w:val="en-US" w:eastAsia="zh-CN"/>
        </w:rPr>
      </w:pPr>
    </w:p>
    <w:p w14:paraId="5FE034FF">
      <w:pPr>
        <w:pStyle w:val="12"/>
        <w:shd w:val="clear" w:color="auto" w:fill="FFFFFF"/>
        <w:spacing w:before="160" w:beforeLines="50" w:line="360" w:lineRule="exact"/>
        <w:ind w:firstLine="482" w:firstLineChars="200"/>
        <w:rPr>
          <w:rFonts w:hint="eastAsia" w:ascii="宋体" w:hAnsi="宋体" w:eastAsia="宋体" w:cs="宋体"/>
          <w:b/>
          <w:color w:val="auto"/>
          <w:sz w:val="24"/>
          <w:szCs w:val="24"/>
          <w:highlight w:val="none"/>
          <w:lang w:val="en-US" w:eastAsia="zh-CN"/>
        </w:rPr>
      </w:pPr>
      <w:r>
        <w:rPr>
          <w:rFonts w:hint="eastAsia" w:hAnsi="宋体" w:cs="宋体"/>
          <w:b/>
          <w:color w:val="auto"/>
          <w:sz w:val="24"/>
          <w:szCs w:val="24"/>
          <w:highlight w:val="none"/>
          <w:lang w:val="en-US" w:eastAsia="zh-CN"/>
        </w:rPr>
        <w:t>5</w:t>
      </w:r>
      <w:r>
        <w:rPr>
          <w:rFonts w:hint="eastAsia" w:ascii="宋体" w:hAnsi="宋体" w:eastAsia="宋体" w:cs="宋体"/>
          <w:b/>
          <w:color w:val="auto"/>
          <w:sz w:val="24"/>
          <w:szCs w:val="24"/>
          <w:highlight w:val="none"/>
          <w:lang w:val="en-US" w:eastAsia="zh-CN"/>
        </w:rPr>
        <w:t>.项目经理无在建承诺书</w:t>
      </w:r>
    </w:p>
    <w:p w14:paraId="63F529F9">
      <w:pPr>
        <w:shd w:val="clear" w:color="auto" w:fill="FFFFFF"/>
        <w:spacing w:line="48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名称）：</w:t>
      </w:r>
    </w:p>
    <w:p w14:paraId="0B4DC314">
      <w:pPr>
        <w:shd w:val="clear" w:color="auto" w:fill="FFFFFF"/>
        <w:spacing w:line="360" w:lineRule="auto"/>
        <w:ind w:left="-10" w:firstLine="420" w:firstLineChars="200"/>
        <w:jc w:val="left"/>
        <w:rPr>
          <w:rFonts w:hint="eastAsia" w:ascii="宋体" w:hAnsi="宋体" w:eastAsia="宋体" w:cs="宋体"/>
          <w:color w:val="auto"/>
          <w:highlight w:val="none"/>
        </w:rPr>
      </w:pPr>
      <w:r>
        <w:rPr>
          <w:rFonts w:hint="eastAsia" w:ascii="宋体" w:hAnsi="宋体" w:cs="宋体"/>
          <w:color w:val="auto"/>
          <w:szCs w:val="21"/>
          <w:highlight w:val="none"/>
        </w:rPr>
        <w:t>现承诺我单位投入本工程的项目经理是本单位的在岗人员，且不在任何在建工程（时间从中标公示之日起至完工验收鉴定书或竣工验收鉴定书标明的验收日期）中担任任何管理职务。如我单位有不符合上述要求的，采购人有权取消我单位成交资格，我单位自愿接受，对</w:t>
      </w:r>
      <w:r>
        <w:rPr>
          <w:rFonts w:hint="eastAsia" w:ascii="宋体" w:hAnsi="宋体" w:cs="宋体"/>
          <w:color w:val="auto"/>
          <w:szCs w:val="21"/>
          <w:highlight w:val="none"/>
          <w:lang w:val="en-US" w:eastAsia="zh-CN"/>
        </w:rPr>
        <w:t>建筑</w:t>
      </w:r>
      <w:r>
        <w:rPr>
          <w:rFonts w:hint="eastAsia" w:ascii="宋体" w:hAnsi="宋体" w:cs="宋体"/>
          <w:color w:val="auto"/>
          <w:szCs w:val="21"/>
          <w:highlight w:val="none"/>
        </w:rPr>
        <w:t>工程建设主管部门对我单位本次</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人员重挂的不良行为的处理不持异议</w:t>
      </w:r>
    </w:p>
    <w:p w14:paraId="6AF681EF">
      <w:pPr>
        <w:shd w:val="clear" w:color="auto" w:fill="FFFFFF"/>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 xml:space="preserve">                （电子</w:t>
      </w:r>
      <w:r>
        <w:rPr>
          <w:rFonts w:hint="eastAsia" w:ascii="宋体" w:hAnsi="宋体" w:eastAsia="宋体" w:cs="宋体"/>
          <w:color w:val="auto"/>
          <w:highlight w:val="none"/>
          <w:u w:val="single"/>
          <w:lang w:val="en-US" w:eastAsia="zh-CN"/>
        </w:rPr>
        <w:t>印</w:t>
      </w:r>
      <w:r>
        <w:rPr>
          <w:rFonts w:hint="eastAsia" w:ascii="宋体" w:hAnsi="宋体" w:eastAsia="宋体" w:cs="宋体"/>
          <w:color w:val="auto"/>
          <w:highlight w:val="none"/>
          <w:u w:val="single"/>
        </w:rPr>
        <w:t>章）</w:t>
      </w:r>
    </w:p>
    <w:p w14:paraId="18D07F76">
      <w:pPr>
        <w:shd w:val="clear" w:color="auto" w:fill="FFFFFF"/>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法定代表人或授权代理人：</w:t>
      </w:r>
      <w:r>
        <w:rPr>
          <w:rFonts w:hint="eastAsia" w:ascii="宋体" w:hAnsi="宋体" w:eastAsia="宋体" w:cs="宋体"/>
          <w:color w:val="auto"/>
          <w:highlight w:val="none"/>
          <w:u w:val="single"/>
        </w:rPr>
        <w:t xml:space="preserve">              （签字）</w:t>
      </w:r>
    </w:p>
    <w:p w14:paraId="43086421">
      <w:pPr>
        <w:shd w:val="clear" w:color="auto" w:fill="FFFFFF"/>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536C0B9">
      <w:pPr>
        <w:pStyle w:val="7"/>
        <w:shd w:val="clear" w:color="auto" w:fill="FFFFFF"/>
        <w:overflowPunct w:val="0"/>
        <w:spacing w:line="360" w:lineRule="exact"/>
        <w:ind w:left="0" w:leftChars="0" w:firstLine="482" w:firstLineChars="200"/>
        <w:rPr>
          <w:rFonts w:hint="eastAsia" w:ascii="宋体" w:hAnsi="宋体" w:cs="宋体"/>
          <w:b/>
          <w:color w:val="auto"/>
          <w:sz w:val="24"/>
          <w:szCs w:val="24"/>
          <w:highlight w:val="none"/>
          <w:lang w:val="en-US" w:eastAsia="zh-CN"/>
        </w:rPr>
      </w:pPr>
    </w:p>
    <w:p w14:paraId="3F99E57B">
      <w:pPr>
        <w:pStyle w:val="7"/>
        <w:shd w:val="clear" w:color="auto" w:fill="FFFFFF"/>
        <w:overflowPunct w:val="0"/>
        <w:spacing w:line="360" w:lineRule="exact"/>
        <w:ind w:left="0" w:leftChars="0" w:firstLine="482" w:firstLineChars="200"/>
        <w:rPr>
          <w:rFonts w:hint="eastAsia" w:ascii="宋体" w:hAnsi="宋体" w:cs="宋体"/>
          <w:b/>
          <w:color w:val="auto"/>
          <w:sz w:val="24"/>
          <w:szCs w:val="24"/>
          <w:highlight w:val="none"/>
          <w:lang w:val="en-US" w:eastAsia="zh-CN"/>
        </w:rPr>
      </w:pPr>
    </w:p>
    <w:p w14:paraId="0BBF6C97">
      <w:pPr>
        <w:pStyle w:val="7"/>
        <w:shd w:val="clear" w:color="auto" w:fill="FFFFFF"/>
        <w:overflowPunct w:val="0"/>
        <w:spacing w:line="360" w:lineRule="exact"/>
        <w:ind w:left="0" w:leftChars="0" w:firstLine="482" w:firstLineChars="200"/>
        <w:rPr>
          <w:rFonts w:hint="eastAsia" w:ascii="宋体" w:hAnsi="宋体" w:cs="宋体"/>
          <w:b/>
          <w:color w:val="auto"/>
          <w:sz w:val="24"/>
          <w:szCs w:val="24"/>
          <w:highlight w:val="none"/>
          <w:lang w:val="en-US" w:eastAsia="zh-CN"/>
        </w:rPr>
      </w:pPr>
    </w:p>
    <w:p w14:paraId="370CEF49">
      <w:pPr>
        <w:spacing w:line="240" w:lineRule="auto"/>
        <w:ind w:firstLine="482" w:firstLineChars="200"/>
        <w:rPr>
          <w:rFonts w:ascii="宋体" w:eastAsia="宋体" w:cs="宋体"/>
          <w:b/>
          <w:color w:val="auto"/>
          <w:kern w:val="0"/>
          <w:sz w:val="28"/>
          <w:szCs w:val="28"/>
          <w:highlight w:val="none"/>
        </w:rPr>
      </w:pPr>
      <w:r>
        <w:rPr>
          <w:rFonts w:hint="eastAsia" w:ascii="宋体" w:hAnsi="宋体" w:cs="宋体"/>
          <w:b/>
          <w:color w:val="auto"/>
          <w:sz w:val="24"/>
          <w:szCs w:val="24"/>
          <w:highlight w:val="none"/>
          <w:lang w:val="en-US" w:eastAsia="zh-CN"/>
        </w:rPr>
        <w:br w:type="page"/>
      </w:r>
      <w:r>
        <w:rPr>
          <w:rFonts w:hint="eastAsia" w:ascii="宋体" w:hAnsi="宋体" w:cs="宋体"/>
          <w:b/>
          <w:color w:val="auto"/>
          <w:sz w:val="24"/>
          <w:szCs w:val="24"/>
          <w:highlight w:val="none"/>
          <w:lang w:val="en-US" w:eastAsia="zh-CN"/>
        </w:rPr>
        <w:t>6</w:t>
      </w:r>
      <w:r>
        <w:rPr>
          <w:rFonts w:hint="eastAsia" w:ascii="宋体" w:hAnsi="宋体" w:eastAsia="宋体" w:cs="宋体"/>
          <w:b/>
          <w:color w:val="auto"/>
          <w:sz w:val="24"/>
          <w:szCs w:val="24"/>
          <w:highlight w:val="none"/>
        </w:rPr>
        <w:t>.</w:t>
      </w:r>
      <w:r>
        <w:rPr>
          <w:rFonts w:hint="eastAsia" w:ascii="宋体" w:eastAsia="宋体" w:cs="宋体"/>
          <w:b/>
          <w:color w:val="auto"/>
          <w:kern w:val="0"/>
          <w:sz w:val="28"/>
          <w:szCs w:val="28"/>
          <w:highlight w:val="none"/>
        </w:rPr>
        <w:t>防城港市政府采购供应商信用承诺函（格式）</w:t>
      </w:r>
    </w:p>
    <w:p w14:paraId="553C5B0A">
      <w:pPr>
        <w:spacing w:line="520" w:lineRule="exact"/>
        <w:jc w:val="center"/>
        <w:rPr>
          <w:rFonts w:ascii="宋体" w:eastAsia="宋体" w:cs="宋体"/>
          <w:b/>
          <w:color w:val="auto"/>
          <w:kern w:val="0"/>
          <w:sz w:val="28"/>
          <w:szCs w:val="28"/>
          <w:highlight w:val="none"/>
        </w:rPr>
      </w:pPr>
    </w:p>
    <w:p w14:paraId="1BB034F6">
      <w:pPr>
        <w:spacing w:line="520" w:lineRule="exact"/>
        <w:jc w:val="center"/>
        <w:rPr>
          <w:rFonts w:ascii="方正小标宋简体" w:eastAsia="方正小标宋简体"/>
          <w:color w:val="auto"/>
          <w:sz w:val="36"/>
          <w:szCs w:val="36"/>
          <w:highlight w:val="none"/>
        </w:rPr>
      </w:pPr>
    </w:p>
    <w:p w14:paraId="1192439E">
      <w:pPr>
        <w:spacing w:line="520" w:lineRule="exact"/>
        <w:ind w:firstLine="720" w:firstLineChars="200"/>
        <w:jc w:val="center"/>
        <w:rPr>
          <w:rFonts w:ascii="方正小标宋简体" w:eastAsia="方正小标宋简体"/>
          <w:color w:val="auto"/>
          <w:sz w:val="36"/>
          <w:szCs w:val="36"/>
          <w:highlight w:val="none"/>
        </w:rPr>
      </w:pPr>
      <w:r>
        <w:rPr>
          <w:rFonts w:hint="eastAsia" w:ascii="方正小标宋简体" w:eastAsia="方正小标宋简体"/>
          <w:color w:val="auto"/>
          <w:sz w:val="36"/>
          <w:szCs w:val="36"/>
          <w:highlight w:val="none"/>
        </w:rPr>
        <w:t>防城港市政府采购供应商信用承诺函（格式</w:t>
      </w:r>
      <w:r>
        <w:rPr>
          <w:rFonts w:ascii="方正小标宋简体" w:eastAsia="方正小标宋简体"/>
          <w:color w:val="auto"/>
          <w:sz w:val="36"/>
          <w:szCs w:val="36"/>
          <w:highlight w:val="none"/>
        </w:rPr>
        <w:t>）</w:t>
      </w:r>
    </w:p>
    <w:p w14:paraId="7B3AB620">
      <w:pPr>
        <w:spacing w:line="520" w:lineRule="exact"/>
        <w:ind w:firstLine="640" w:firstLineChars="200"/>
        <w:rPr>
          <w:rFonts w:ascii="仿宋_GB2312" w:eastAsia="仿宋_GB2312"/>
          <w:color w:val="auto"/>
          <w:sz w:val="32"/>
          <w:szCs w:val="32"/>
          <w:highlight w:val="none"/>
        </w:rPr>
      </w:pPr>
    </w:p>
    <w:p w14:paraId="0E6602B5">
      <w:pPr>
        <w:spacing w:line="52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致（采购人或采购代理机构）</w:t>
      </w:r>
      <w:r>
        <w:rPr>
          <w:rFonts w:ascii="仿宋_GB2312" w:eastAsia="仿宋_GB2312"/>
          <w:color w:val="auto"/>
          <w:sz w:val="28"/>
          <w:szCs w:val="28"/>
          <w:highlight w:val="none"/>
        </w:rPr>
        <w:t xml:space="preserve"> ：</w:t>
      </w:r>
    </w:p>
    <w:p w14:paraId="1020B117">
      <w:pPr>
        <w:spacing w:line="52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我方自愿参加</w:t>
      </w:r>
      <w:r>
        <w:rPr>
          <w:rFonts w:hint="eastAsia" w:ascii="仿宋_GB2312" w:eastAsia="仿宋_GB2312"/>
          <w:color w:val="auto"/>
          <w:sz w:val="28"/>
          <w:szCs w:val="28"/>
          <w:highlight w:val="none"/>
          <w:u w:val="single"/>
        </w:rPr>
        <w:t xml:space="preserve"> （项目名称） </w:t>
      </w:r>
      <w:r>
        <w:rPr>
          <w:rFonts w:hint="eastAsia" w:ascii="仿宋_GB2312" w:eastAsia="仿宋_GB2312"/>
          <w:color w:val="auto"/>
          <w:sz w:val="28"/>
          <w:szCs w:val="28"/>
          <w:highlight w:val="none"/>
        </w:rPr>
        <w:t>项目（</w:t>
      </w:r>
      <w:r>
        <w:rPr>
          <w:rFonts w:hint="eastAsia" w:ascii="仿宋_GB2312" w:eastAsia="仿宋_GB2312"/>
          <w:color w:val="auto"/>
          <w:sz w:val="28"/>
          <w:szCs w:val="28"/>
          <w:highlight w:val="none"/>
          <w:u w:val="single"/>
        </w:rPr>
        <w:t xml:space="preserve">项目编号：         </w:t>
      </w:r>
      <w:r>
        <w:rPr>
          <w:rFonts w:hint="eastAsia" w:ascii="仿宋_GB2312" w:eastAsia="仿宋_GB2312"/>
          <w:color w:val="auto"/>
          <w:sz w:val="28"/>
          <w:szCs w:val="28"/>
          <w:highlight w:val="none"/>
        </w:rPr>
        <w:t xml:space="preserve">）的政府采购活动，严格遵守《中华人民共和国政府采购法》及相关法律法规，依法诚信经营，无条件遵守本次政府采购活动的各项规定，并郑重承诺： </w:t>
      </w:r>
    </w:p>
    <w:p w14:paraId="751F9DE6">
      <w:pPr>
        <w:spacing w:line="52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1.我方具有符合采购文件资格要求的财务状况报告。 </w:t>
      </w:r>
    </w:p>
    <w:p w14:paraId="35492282">
      <w:pPr>
        <w:spacing w:line="52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2.我方具有符合采购文件资格要求的依法缴纳税收和社会保障资金的良好记录。 </w:t>
      </w:r>
    </w:p>
    <w:p w14:paraId="382D4F36">
      <w:pPr>
        <w:spacing w:line="52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3.我方参加政府采购活动前三年内在经营活动中没有重大违法记录。 </w:t>
      </w:r>
    </w:p>
    <w:p w14:paraId="76350B82">
      <w:pPr>
        <w:spacing w:line="520" w:lineRule="exact"/>
        <w:ind w:firstLine="560" w:firstLineChars="200"/>
        <w:rPr>
          <w:color w:val="auto"/>
          <w:sz w:val="20"/>
          <w:szCs w:val="21"/>
          <w:highlight w:val="none"/>
        </w:rPr>
      </w:pPr>
      <w:r>
        <w:rPr>
          <w:rFonts w:hint="eastAsia" w:ascii="仿宋_GB2312" w:eastAsia="仿宋_GB2312"/>
          <w:color w:val="auto"/>
          <w:sz w:val="28"/>
          <w:szCs w:val="28"/>
          <w:highlight w:val="none"/>
        </w:rPr>
        <w:t>我方对以上承诺内容的真实性负责。如有虚假，将依法承担相应责任。</w:t>
      </w:r>
    </w:p>
    <w:p w14:paraId="6361F05C">
      <w:pPr>
        <w:spacing w:line="520" w:lineRule="exact"/>
        <w:ind w:firstLine="3220" w:firstLineChars="1150"/>
        <w:rPr>
          <w:rFonts w:ascii="仿宋_GB2312" w:eastAsia="仿宋_GB2312"/>
          <w:color w:val="auto"/>
          <w:sz w:val="28"/>
          <w:szCs w:val="28"/>
          <w:highlight w:val="none"/>
        </w:rPr>
      </w:pPr>
    </w:p>
    <w:p w14:paraId="3822025D">
      <w:pPr>
        <w:spacing w:line="520" w:lineRule="exact"/>
        <w:ind w:firstLine="3220" w:firstLineChars="1150"/>
        <w:rPr>
          <w:rFonts w:ascii="仿宋_GB2312" w:eastAsia="仿宋_GB2312"/>
          <w:color w:val="auto"/>
          <w:sz w:val="28"/>
          <w:szCs w:val="28"/>
          <w:highlight w:val="none"/>
        </w:rPr>
      </w:pPr>
    </w:p>
    <w:p w14:paraId="681C0BA2">
      <w:pPr>
        <w:spacing w:line="52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供应商名称（公章）：</w:t>
      </w:r>
    </w:p>
    <w:p w14:paraId="3F42B984">
      <w:pPr>
        <w:spacing w:line="60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统一社会信用代码：</w:t>
      </w:r>
    </w:p>
    <w:p w14:paraId="128FE1C6">
      <w:pPr>
        <w:spacing w:line="52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法定代表人或授权代表</w:t>
      </w:r>
      <w:r>
        <w:rPr>
          <w:rFonts w:hint="eastAsia" w:ascii="仿宋_GB2312" w:eastAsia="仿宋_GB2312"/>
          <w:color w:val="auto"/>
          <w:sz w:val="28"/>
          <w:szCs w:val="28"/>
          <w:highlight w:val="none"/>
          <w:lang w:eastAsia="zh-CN"/>
        </w:rPr>
        <w:t>（</w:t>
      </w:r>
      <w:r>
        <w:rPr>
          <w:rFonts w:ascii="仿宋_GB2312" w:eastAsia="仿宋_GB2312"/>
          <w:color w:val="auto"/>
          <w:sz w:val="28"/>
          <w:szCs w:val="28"/>
          <w:highlight w:val="none"/>
        </w:rPr>
        <w:t>签</w:t>
      </w:r>
      <w:r>
        <w:rPr>
          <w:rFonts w:hint="eastAsia" w:ascii="仿宋_GB2312" w:eastAsia="仿宋_GB2312"/>
          <w:color w:val="auto"/>
          <w:sz w:val="28"/>
          <w:szCs w:val="28"/>
          <w:highlight w:val="none"/>
        </w:rPr>
        <w:t>名</w:t>
      </w:r>
      <w:r>
        <w:rPr>
          <w:rFonts w:hint="eastAsia" w:ascii="仿宋_GB2312" w:eastAsia="仿宋_GB2312"/>
          <w:color w:val="auto"/>
          <w:sz w:val="28"/>
          <w:szCs w:val="28"/>
          <w:highlight w:val="none"/>
          <w:lang w:eastAsia="zh-CN"/>
        </w:rPr>
        <w:t>）</w:t>
      </w:r>
      <w:r>
        <w:rPr>
          <w:rFonts w:ascii="仿宋_GB2312" w:eastAsia="仿宋_GB2312"/>
          <w:color w:val="auto"/>
          <w:sz w:val="28"/>
          <w:szCs w:val="28"/>
          <w:highlight w:val="none"/>
        </w:rPr>
        <w:t>：</w:t>
      </w:r>
    </w:p>
    <w:p w14:paraId="74518638">
      <w:pPr>
        <w:spacing w:line="52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日期：</w:t>
      </w:r>
      <w:r>
        <w:rPr>
          <w:rFonts w:ascii="仿宋_GB2312" w:eastAsia="仿宋_GB2312"/>
          <w:color w:val="auto"/>
          <w:sz w:val="28"/>
          <w:szCs w:val="28"/>
          <w:highlight w:val="none"/>
        </w:rPr>
        <w:t xml:space="preserve"> 年 月 日</w:t>
      </w:r>
    </w:p>
    <w:p w14:paraId="60CA2EFC">
      <w:pPr>
        <w:spacing w:line="600" w:lineRule="exact"/>
        <w:ind w:firstLine="560" w:firstLineChars="200"/>
        <w:rPr>
          <w:rFonts w:ascii="仿宋_GB2312" w:eastAsia="仿宋_GB2312"/>
          <w:color w:val="auto"/>
          <w:sz w:val="28"/>
          <w:szCs w:val="28"/>
          <w:highlight w:val="none"/>
        </w:rPr>
      </w:pPr>
    </w:p>
    <w:p w14:paraId="309D0BE7">
      <w:pPr>
        <w:spacing w:line="60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注：</w:t>
      </w:r>
      <w:r>
        <w:rPr>
          <w:rFonts w:ascii="仿宋_GB2312" w:eastAsia="仿宋_GB2312"/>
          <w:color w:val="auto"/>
          <w:sz w:val="28"/>
          <w:szCs w:val="28"/>
          <w:highlight w:val="none"/>
        </w:rPr>
        <w:t>1.供应商须在投标</w:t>
      </w:r>
      <w:r>
        <w:rPr>
          <w:rFonts w:hint="eastAsia" w:ascii="仿宋_GB2312" w:eastAsia="仿宋_GB2312"/>
          <w:color w:val="auto"/>
          <w:sz w:val="28"/>
          <w:szCs w:val="28"/>
          <w:highlight w:val="none"/>
        </w:rPr>
        <w:t>（响应）</w:t>
      </w:r>
      <w:r>
        <w:rPr>
          <w:rFonts w:ascii="仿宋_GB2312" w:eastAsia="仿宋_GB2312"/>
          <w:color w:val="auto"/>
          <w:sz w:val="28"/>
          <w:szCs w:val="28"/>
          <w:highlight w:val="none"/>
        </w:rPr>
        <w:t>文件中按此模板提供承诺函，未提供</w:t>
      </w:r>
      <w:r>
        <w:rPr>
          <w:rFonts w:hint="eastAsia" w:ascii="仿宋_GB2312" w:eastAsia="仿宋_GB2312"/>
          <w:color w:val="auto"/>
          <w:sz w:val="28"/>
          <w:szCs w:val="28"/>
          <w:highlight w:val="none"/>
        </w:rPr>
        <w:t>视为未实质性响应招标（采购）文件要求，按无效投标（响应）处理。</w:t>
      </w:r>
    </w:p>
    <w:p w14:paraId="3BE6D268">
      <w:pPr>
        <w:spacing w:line="600" w:lineRule="exact"/>
        <w:ind w:firstLine="560" w:firstLineChars="200"/>
        <w:rPr>
          <w:color w:val="auto"/>
          <w:highlight w:val="none"/>
        </w:rPr>
      </w:pPr>
      <w:r>
        <w:rPr>
          <w:rFonts w:ascii="仿宋_GB2312" w:eastAsia="仿宋_GB2312"/>
          <w:color w:val="auto"/>
          <w:sz w:val="28"/>
          <w:szCs w:val="28"/>
          <w:highlight w:val="none"/>
        </w:rPr>
        <w:t>2.供应商的法定代表人（其他组织的为负责人）或者授</w:t>
      </w:r>
      <w:r>
        <w:rPr>
          <w:rFonts w:hint="eastAsia" w:ascii="仿宋_GB2312" w:eastAsia="仿宋_GB2312"/>
          <w:color w:val="auto"/>
          <w:sz w:val="28"/>
          <w:szCs w:val="28"/>
          <w:highlight w:val="none"/>
        </w:rPr>
        <w:t>权代表的签名或盖章应真实、有效，如由授权代表签名或盖章的，应提供“法定代表人授权书”。</w:t>
      </w:r>
    </w:p>
    <w:p w14:paraId="414E1912">
      <w:pPr>
        <w:numPr>
          <w:ilvl w:val="0"/>
          <w:numId w:val="0"/>
        </w:numPr>
        <w:shd w:val="clear" w:color="auto" w:fill="FFFFFF"/>
        <w:spacing w:before="160" w:beforeLines="50" w:line="360" w:lineRule="auto"/>
        <w:rPr>
          <w:rFonts w:hint="eastAsia" w:ascii="宋体" w:hAnsi="宋体" w:eastAsia="宋体" w:cs="宋体"/>
          <w:b/>
          <w:bCs w:val="0"/>
          <w:color w:val="auto"/>
          <w:spacing w:val="0"/>
          <w:kern w:val="2"/>
          <w:sz w:val="24"/>
          <w:szCs w:val="24"/>
          <w:highlight w:val="none"/>
          <w:lang w:val="en-US" w:eastAsia="zh-CN" w:bidi="ar-SA"/>
        </w:rPr>
      </w:pPr>
    </w:p>
    <w:p w14:paraId="007AD279">
      <w:pPr>
        <w:numPr>
          <w:ilvl w:val="0"/>
          <w:numId w:val="0"/>
        </w:numPr>
        <w:shd w:val="clear" w:color="auto" w:fill="FFFFFF"/>
        <w:spacing w:before="160" w:beforeLines="50" w:line="360" w:lineRule="auto"/>
        <w:ind w:firstLine="482" w:firstLineChars="200"/>
        <w:rPr>
          <w:rFonts w:hint="eastAsia" w:ascii="宋体" w:hAnsi="宋体" w:eastAsia="宋体" w:cs="宋体"/>
          <w:b/>
          <w:bCs w:val="0"/>
          <w:color w:val="auto"/>
          <w:spacing w:val="0"/>
          <w:kern w:val="2"/>
          <w:sz w:val="24"/>
          <w:szCs w:val="24"/>
          <w:highlight w:val="none"/>
          <w:lang w:val="en-US" w:eastAsia="zh-CN" w:bidi="ar-SA"/>
        </w:rPr>
      </w:pPr>
      <w:r>
        <w:rPr>
          <w:rFonts w:hint="eastAsia" w:ascii="宋体" w:hAnsi="宋体" w:cs="宋体"/>
          <w:b/>
          <w:bCs w:val="0"/>
          <w:color w:val="auto"/>
          <w:spacing w:val="0"/>
          <w:kern w:val="2"/>
          <w:sz w:val="24"/>
          <w:szCs w:val="24"/>
          <w:highlight w:val="none"/>
          <w:lang w:val="en-US" w:eastAsia="zh-CN" w:bidi="ar-SA"/>
        </w:rPr>
        <w:t>7</w:t>
      </w:r>
      <w:r>
        <w:rPr>
          <w:rFonts w:hint="eastAsia" w:ascii="宋体" w:hAnsi="宋体" w:eastAsia="宋体" w:cs="宋体"/>
          <w:b/>
          <w:bCs w:val="0"/>
          <w:color w:val="auto"/>
          <w:spacing w:val="0"/>
          <w:kern w:val="2"/>
          <w:sz w:val="24"/>
          <w:szCs w:val="24"/>
          <w:highlight w:val="none"/>
          <w:lang w:val="en-US" w:eastAsia="zh-CN" w:bidi="ar-SA"/>
        </w:rPr>
        <w:t>.中小企业声明函或者残疾人福利性单位声明函或者</w:t>
      </w:r>
      <w:r>
        <w:rPr>
          <w:rFonts w:hint="eastAsia" w:ascii="宋体" w:hAnsi="宋体" w:cs="宋体"/>
          <w:b/>
          <w:bCs w:val="0"/>
          <w:color w:val="auto"/>
          <w:spacing w:val="0"/>
          <w:kern w:val="2"/>
          <w:sz w:val="24"/>
          <w:szCs w:val="24"/>
          <w:highlight w:val="none"/>
          <w:lang w:val="en-US" w:eastAsia="zh-CN" w:bidi="ar-SA"/>
        </w:rPr>
        <w:t>供应商</w:t>
      </w:r>
      <w:r>
        <w:rPr>
          <w:rFonts w:hint="eastAsia" w:ascii="宋体" w:hAnsi="宋体" w:eastAsia="宋体" w:cs="宋体"/>
          <w:b/>
          <w:bCs w:val="0"/>
          <w:color w:val="auto"/>
          <w:spacing w:val="0"/>
          <w:kern w:val="2"/>
          <w:sz w:val="24"/>
          <w:szCs w:val="24"/>
          <w:highlight w:val="none"/>
          <w:lang w:val="en-US" w:eastAsia="zh-CN" w:bidi="ar-SA"/>
        </w:rPr>
        <w:t>属于监狱企业的证明材料原件复印件（格式）</w:t>
      </w:r>
    </w:p>
    <w:p w14:paraId="3FE24497">
      <w:pPr>
        <w:pStyle w:val="19"/>
        <w:widowControl w:val="0"/>
        <w:shd w:val="clear" w:color="auto" w:fill="FFFFFF"/>
        <w:adjustRightInd w:val="0"/>
        <w:snapToGrid w:val="0"/>
        <w:spacing w:before="160" w:beforeLines="50" w:beforeAutospacing="0" w:after="0" w:afterAutospacing="0" w:line="360" w:lineRule="exact"/>
        <w:ind w:firstLine="675" w:firstLineChars="20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spacing w:val="8"/>
          <w:kern w:val="2"/>
          <w:sz w:val="32"/>
          <w:highlight w:val="none"/>
        </w:rPr>
        <w:t>中小企业声明函</w:t>
      </w:r>
    </w:p>
    <w:p w14:paraId="1791D18D">
      <w:pPr>
        <w:keepNext w:val="0"/>
        <w:keepLines w:val="0"/>
        <w:pageBreakBefore w:val="0"/>
        <w:widowControl w:val="0"/>
        <w:kinsoku/>
        <w:wordWrap/>
        <w:overflowPunct/>
        <w:topLinePunct w:val="0"/>
        <w:autoSpaceDE/>
        <w:autoSpaceDN/>
        <w:bidi w:val="0"/>
        <w:adjustRightInd/>
        <w:snapToGrid/>
        <w:spacing w:line="420" w:lineRule="exact"/>
        <w:ind w:firstLine="512" w:firstLineChars="200"/>
        <w:jc w:val="left"/>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本公司</w:t>
      </w:r>
      <w:r>
        <w:rPr>
          <w:rFonts w:hint="eastAsia" w:ascii="宋体" w:hAnsi="宋体" w:eastAsia="宋体" w:cs="宋体"/>
          <w:color w:val="auto"/>
          <w:sz w:val="24"/>
          <w:szCs w:val="24"/>
          <w:highlight w:val="none"/>
          <w:u w:val="single"/>
        </w:rPr>
        <w:t>（联合体）</w:t>
      </w:r>
      <w:r>
        <w:rPr>
          <w:rFonts w:hint="eastAsia" w:ascii="宋体" w:hAnsi="宋体" w:eastAsia="宋体" w:cs="宋体"/>
          <w:color w:val="auto"/>
          <w:spacing w:val="8"/>
          <w:sz w:val="24"/>
          <w:szCs w:val="24"/>
          <w:highlight w:val="none"/>
        </w:rPr>
        <w:t>郑重声明，根据《政府采购促进中小企业发展管理办法》（财库﹝2020﹞46号）的规定，本公司</w:t>
      </w:r>
      <w:r>
        <w:rPr>
          <w:rFonts w:hint="eastAsia" w:ascii="宋体" w:hAnsi="宋体" w:eastAsia="宋体" w:cs="宋体"/>
          <w:color w:val="auto"/>
          <w:sz w:val="24"/>
          <w:szCs w:val="24"/>
          <w:highlight w:val="none"/>
          <w:u w:val="single"/>
        </w:rPr>
        <w:t>（联合体）</w:t>
      </w:r>
      <w:r>
        <w:rPr>
          <w:rFonts w:hint="eastAsia" w:ascii="宋体" w:hAnsi="宋体" w:eastAsia="宋体" w:cs="宋体"/>
          <w:color w:val="auto"/>
          <w:spacing w:val="8"/>
          <w:sz w:val="24"/>
          <w:szCs w:val="24"/>
          <w:highlight w:val="none"/>
        </w:rPr>
        <w:t>参加</w:t>
      </w:r>
      <w:r>
        <w:rPr>
          <w:rFonts w:hint="eastAsia" w:ascii="宋体" w:hAnsi="宋体" w:eastAsia="宋体" w:cs="宋体"/>
          <w:color w:val="auto"/>
          <w:spacing w:val="8"/>
          <w:sz w:val="24"/>
          <w:szCs w:val="24"/>
          <w:highlight w:val="none"/>
          <w:u w:val="single"/>
        </w:rPr>
        <w:t>（单位名称）</w:t>
      </w:r>
      <w:r>
        <w:rPr>
          <w:rFonts w:hint="eastAsia" w:ascii="宋体" w:hAnsi="宋体" w:eastAsia="宋体" w:cs="宋体"/>
          <w:color w:val="auto"/>
          <w:spacing w:val="8"/>
          <w:sz w:val="24"/>
          <w:szCs w:val="24"/>
          <w:highlight w:val="none"/>
        </w:rPr>
        <w:t>的</w:t>
      </w:r>
      <w:r>
        <w:rPr>
          <w:rFonts w:hint="eastAsia" w:ascii="宋体" w:hAnsi="宋体" w:eastAsia="宋体" w:cs="宋体"/>
          <w:color w:val="auto"/>
          <w:spacing w:val="8"/>
          <w:sz w:val="24"/>
          <w:szCs w:val="24"/>
          <w:highlight w:val="none"/>
          <w:u w:val="single"/>
        </w:rPr>
        <w:t>（项目名称）</w:t>
      </w:r>
      <w:r>
        <w:rPr>
          <w:rFonts w:hint="eastAsia" w:ascii="宋体" w:hAnsi="宋体" w:cs="宋体"/>
          <w:color w:val="auto"/>
          <w:spacing w:val="8"/>
          <w:sz w:val="24"/>
          <w:szCs w:val="24"/>
          <w:highlight w:val="none"/>
          <w:lang w:val="en-US" w:eastAsia="zh-CN"/>
        </w:rPr>
        <w:t>采购</w:t>
      </w:r>
      <w:r>
        <w:rPr>
          <w:rFonts w:hint="eastAsia" w:ascii="宋体" w:hAnsi="宋体" w:eastAsia="宋体" w:cs="宋体"/>
          <w:color w:val="auto"/>
          <w:spacing w:val="8"/>
          <w:sz w:val="24"/>
          <w:szCs w:val="24"/>
          <w:highlight w:val="none"/>
        </w:rPr>
        <w:t>活动，工程的施工单位全部为符合政策要求的中小企业（或者：服务全部由符合政策要求的中小企业承接）。相关企业（含联合体中的中小企业、签订分包意向协议的中小企业）的具体情况如下：</w:t>
      </w:r>
    </w:p>
    <w:p w14:paraId="7F448CAF">
      <w:pPr>
        <w:keepNext w:val="0"/>
        <w:keepLines w:val="0"/>
        <w:pageBreakBefore w:val="0"/>
        <w:widowControl w:val="0"/>
        <w:kinsoku/>
        <w:wordWrap/>
        <w:overflowPunct/>
        <w:topLinePunct w:val="0"/>
        <w:autoSpaceDE/>
        <w:autoSpaceDN/>
        <w:bidi w:val="0"/>
        <w:adjustRightInd/>
        <w:snapToGrid/>
        <w:spacing w:line="420" w:lineRule="exact"/>
        <w:ind w:firstLine="512" w:firstLineChars="200"/>
        <w:jc w:val="left"/>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1.</w:t>
      </w:r>
      <w:r>
        <w:rPr>
          <w:rFonts w:hint="eastAsia" w:ascii="宋体" w:hAnsi="宋体" w:eastAsia="宋体" w:cs="宋体"/>
          <w:color w:val="auto"/>
          <w:spacing w:val="8"/>
          <w:sz w:val="24"/>
          <w:szCs w:val="24"/>
          <w:highlight w:val="none"/>
          <w:u w:val="single"/>
        </w:rPr>
        <w:t>（</w:t>
      </w:r>
      <w:r>
        <w:rPr>
          <w:rFonts w:hint="eastAsia" w:ascii="宋体" w:hAnsi="宋体" w:eastAsia="宋体" w:cs="宋体"/>
          <w:color w:val="auto"/>
          <w:spacing w:val="8"/>
          <w:sz w:val="24"/>
          <w:szCs w:val="24"/>
          <w:highlight w:val="none"/>
          <w:u w:val="single"/>
          <w:lang w:val="en-US" w:eastAsia="zh-CN"/>
        </w:rPr>
        <w:t>项目</w:t>
      </w:r>
      <w:r>
        <w:rPr>
          <w:rFonts w:hint="eastAsia" w:ascii="宋体" w:hAnsi="宋体" w:eastAsia="宋体" w:cs="宋体"/>
          <w:color w:val="auto"/>
          <w:spacing w:val="8"/>
          <w:sz w:val="24"/>
          <w:szCs w:val="24"/>
          <w:highlight w:val="none"/>
          <w:u w:val="single"/>
        </w:rPr>
        <w:t>名称）</w:t>
      </w:r>
      <w:r>
        <w:rPr>
          <w:rFonts w:hint="eastAsia" w:ascii="宋体" w:hAnsi="宋体" w:eastAsia="宋体" w:cs="宋体"/>
          <w:color w:val="auto"/>
          <w:spacing w:val="8"/>
          <w:sz w:val="24"/>
          <w:szCs w:val="24"/>
          <w:highlight w:val="none"/>
        </w:rPr>
        <w:t>，属于</w:t>
      </w:r>
      <w:r>
        <w:rPr>
          <w:rFonts w:hint="eastAsia" w:ascii="宋体" w:hAnsi="宋体" w:eastAsia="宋体" w:cs="宋体"/>
          <w:color w:val="auto"/>
          <w:spacing w:val="8"/>
          <w:sz w:val="24"/>
          <w:szCs w:val="24"/>
          <w:highlight w:val="none"/>
          <w:u w:val="single"/>
        </w:rPr>
        <w:t>（</w:t>
      </w:r>
      <w:r>
        <w:rPr>
          <w:rFonts w:hint="eastAsia" w:ascii="宋体" w:hAnsi="宋体" w:eastAsia="宋体" w:cs="宋体"/>
          <w:color w:val="auto"/>
          <w:spacing w:val="8"/>
          <w:sz w:val="24"/>
          <w:szCs w:val="24"/>
          <w:highlight w:val="none"/>
          <w:u w:val="single"/>
          <w:lang w:val="en-US" w:eastAsia="zh-CN"/>
        </w:rPr>
        <w:t>采购</w:t>
      </w:r>
      <w:r>
        <w:rPr>
          <w:rFonts w:hint="eastAsia" w:ascii="宋体" w:hAnsi="宋体" w:eastAsia="宋体" w:cs="宋体"/>
          <w:color w:val="auto"/>
          <w:spacing w:val="8"/>
          <w:sz w:val="24"/>
          <w:szCs w:val="24"/>
          <w:highlight w:val="none"/>
          <w:u w:val="single"/>
        </w:rPr>
        <w:t>文件中明确的所属行业）</w:t>
      </w:r>
      <w:r>
        <w:rPr>
          <w:rFonts w:hint="eastAsia" w:ascii="宋体" w:hAnsi="宋体" w:eastAsia="宋体" w:cs="宋体"/>
          <w:color w:val="auto"/>
          <w:spacing w:val="8"/>
          <w:sz w:val="24"/>
          <w:szCs w:val="24"/>
          <w:highlight w:val="none"/>
        </w:rPr>
        <w:t>；承建（承接）企业为</w:t>
      </w:r>
      <w:r>
        <w:rPr>
          <w:rFonts w:hint="eastAsia" w:ascii="宋体" w:hAnsi="宋体" w:eastAsia="宋体" w:cs="宋体"/>
          <w:color w:val="auto"/>
          <w:spacing w:val="8"/>
          <w:sz w:val="24"/>
          <w:szCs w:val="24"/>
          <w:highlight w:val="none"/>
          <w:u w:val="single"/>
        </w:rPr>
        <w:t>（企业名称），</w:t>
      </w:r>
      <w:r>
        <w:rPr>
          <w:rFonts w:hint="eastAsia" w:ascii="宋体" w:hAnsi="宋体" w:eastAsia="宋体" w:cs="宋体"/>
          <w:color w:val="auto"/>
          <w:spacing w:val="8"/>
          <w:sz w:val="24"/>
          <w:szCs w:val="24"/>
          <w:highlight w:val="none"/>
        </w:rPr>
        <w:t>从业人员</w:t>
      </w:r>
      <w:r>
        <w:rPr>
          <w:rFonts w:hint="eastAsia" w:ascii="宋体" w:hAnsi="宋体" w:eastAsia="宋体" w:cs="宋体"/>
          <w:color w:val="auto"/>
          <w:spacing w:val="8"/>
          <w:sz w:val="24"/>
          <w:szCs w:val="24"/>
          <w:highlight w:val="none"/>
          <w:u w:val="single"/>
        </w:rPr>
        <w:tab/>
      </w:r>
      <w:r>
        <w:rPr>
          <w:rFonts w:hint="eastAsia" w:ascii="宋体" w:hAnsi="宋体" w:eastAsia="宋体" w:cs="宋体"/>
          <w:color w:val="auto"/>
          <w:spacing w:val="8"/>
          <w:sz w:val="24"/>
          <w:szCs w:val="24"/>
          <w:highlight w:val="none"/>
        </w:rPr>
        <w:t>人，营业收入为</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万元，资产总额为</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万元，属于</w:t>
      </w:r>
      <w:r>
        <w:rPr>
          <w:rFonts w:hint="eastAsia" w:ascii="宋体" w:hAnsi="宋体" w:eastAsia="宋体" w:cs="宋体"/>
          <w:color w:val="auto"/>
          <w:spacing w:val="8"/>
          <w:sz w:val="24"/>
          <w:szCs w:val="24"/>
          <w:highlight w:val="none"/>
          <w:u w:val="single"/>
        </w:rPr>
        <w:t>（中型企业、小型企业、微型企业）</w:t>
      </w:r>
      <w:r>
        <w:rPr>
          <w:rFonts w:hint="eastAsia" w:ascii="宋体" w:hAnsi="宋体" w:eastAsia="宋体" w:cs="宋体"/>
          <w:color w:val="auto"/>
          <w:spacing w:val="8"/>
          <w:sz w:val="24"/>
          <w:szCs w:val="24"/>
          <w:highlight w:val="none"/>
        </w:rPr>
        <w:t>；</w:t>
      </w:r>
    </w:p>
    <w:p w14:paraId="66B48AAD">
      <w:pPr>
        <w:keepNext w:val="0"/>
        <w:keepLines w:val="0"/>
        <w:pageBreakBefore w:val="0"/>
        <w:widowControl w:val="0"/>
        <w:kinsoku/>
        <w:wordWrap/>
        <w:overflowPunct/>
        <w:topLinePunct w:val="0"/>
        <w:autoSpaceDE/>
        <w:autoSpaceDN/>
        <w:bidi w:val="0"/>
        <w:adjustRightInd/>
        <w:snapToGrid/>
        <w:spacing w:line="420" w:lineRule="exact"/>
        <w:ind w:firstLine="512" w:firstLineChars="200"/>
        <w:jc w:val="left"/>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w:t>
      </w:r>
    </w:p>
    <w:p w14:paraId="67862C66">
      <w:pPr>
        <w:keepNext w:val="0"/>
        <w:keepLines w:val="0"/>
        <w:pageBreakBefore w:val="0"/>
        <w:widowControl w:val="0"/>
        <w:kinsoku/>
        <w:wordWrap/>
        <w:overflowPunct/>
        <w:topLinePunct w:val="0"/>
        <w:autoSpaceDE/>
        <w:autoSpaceDN/>
        <w:bidi w:val="0"/>
        <w:adjustRightInd/>
        <w:snapToGrid/>
        <w:spacing w:line="420" w:lineRule="exact"/>
        <w:ind w:firstLine="512" w:firstLineChars="200"/>
        <w:jc w:val="left"/>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以上企业，不属于大企业的分支机构，不存在控股股东为大企业的情形，也不存在与大企业的负责人为同一人的情形。</w:t>
      </w:r>
    </w:p>
    <w:p w14:paraId="0FD28D9B">
      <w:pPr>
        <w:keepNext w:val="0"/>
        <w:keepLines w:val="0"/>
        <w:pageBreakBefore w:val="0"/>
        <w:widowControl w:val="0"/>
        <w:kinsoku/>
        <w:wordWrap/>
        <w:overflowPunct/>
        <w:topLinePunct w:val="0"/>
        <w:autoSpaceDE/>
        <w:autoSpaceDN/>
        <w:bidi w:val="0"/>
        <w:adjustRightInd/>
        <w:snapToGrid/>
        <w:spacing w:line="420" w:lineRule="exact"/>
        <w:ind w:firstLine="512" w:firstLineChars="200"/>
        <w:jc w:val="left"/>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本企业对上述声明内容的真实性负责。如有虚假，将依法承担相应责任。</w:t>
      </w:r>
    </w:p>
    <w:p w14:paraId="1F40CF46">
      <w:pPr>
        <w:spacing w:before="46" w:line="276" w:lineRule="auto"/>
        <w:ind w:right="2499" w:firstLine="512" w:firstLineChars="200"/>
        <w:jc w:val="right"/>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企业名称（电子</w:t>
      </w:r>
      <w:r>
        <w:rPr>
          <w:rFonts w:hint="eastAsia" w:ascii="宋体" w:hAnsi="宋体" w:eastAsia="宋体" w:cs="宋体"/>
          <w:color w:val="auto"/>
          <w:spacing w:val="8"/>
          <w:sz w:val="24"/>
          <w:szCs w:val="24"/>
          <w:highlight w:val="none"/>
          <w:lang w:val="en-US" w:eastAsia="zh-CN"/>
        </w:rPr>
        <w:t>印</w:t>
      </w:r>
      <w:r>
        <w:rPr>
          <w:rFonts w:hint="eastAsia" w:ascii="宋体" w:hAnsi="宋体" w:eastAsia="宋体" w:cs="宋体"/>
          <w:color w:val="auto"/>
          <w:spacing w:val="8"/>
          <w:sz w:val="24"/>
          <w:szCs w:val="24"/>
          <w:highlight w:val="none"/>
        </w:rPr>
        <w:t>章）：</w:t>
      </w:r>
    </w:p>
    <w:p w14:paraId="5C300768">
      <w:pPr>
        <w:spacing w:before="46" w:line="276" w:lineRule="auto"/>
        <w:ind w:right="2499" w:firstLine="512" w:firstLineChars="200"/>
        <w:jc w:val="right"/>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日期:</w:t>
      </w:r>
    </w:p>
    <w:p w14:paraId="0E1BD4B3">
      <w:pPr>
        <w:numPr>
          <w:ilvl w:val="0"/>
          <w:numId w:val="0"/>
        </w:numPr>
        <w:shd w:val="clear" w:color="auto" w:fill="FFFFFF"/>
        <w:spacing w:before="160" w:beforeLines="50" w:line="360" w:lineRule="auto"/>
        <w:ind w:firstLine="512" w:firstLineChars="200"/>
        <w:rPr>
          <w:rFonts w:hint="default" w:ascii="宋体" w:hAnsi="宋体" w:cs="宋体"/>
          <w:b/>
          <w:bCs w:val="0"/>
          <w:color w:val="auto"/>
          <w:spacing w:val="0"/>
          <w:kern w:val="2"/>
          <w:sz w:val="24"/>
          <w:szCs w:val="24"/>
          <w:highlight w:val="none"/>
          <w:lang w:val="en-US" w:eastAsia="zh-CN" w:bidi="ar-SA"/>
        </w:rPr>
      </w:pPr>
      <w:r>
        <w:rPr>
          <w:rFonts w:hint="eastAsia" w:ascii="宋体" w:hAnsi="宋体" w:eastAsia="宋体" w:cs="宋体"/>
          <w:color w:val="auto"/>
          <w:spacing w:val="8"/>
          <w:sz w:val="24"/>
          <w:szCs w:val="24"/>
          <w:highlight w:val="none"/>
        </w:rPr>
        <w:t>注：</w:t>
      </w:r>
      <w:r>
        <w:rPr>
          <w:rFonts w:hint="eastAsia" w:ascii="宋体" w:hAnsi="宋体" w:eastAsia="宋体" w:cs="宋体"/>
          <w:color w:val="auto"/>
          <w:spacing w:val="8"/>
          <w:sz w:val="24"/>
          <w:szCs w:val="24"/>
          <w:highlight w:val="none"/>
          <w:lang w:val="en-US" w:eastAsia="zh-CN"/>
        </w:rPr>
        <w:t>（1）</w:t>
      </w:r>
      <w:r>
        <w:rPr>
          <w:rFonts w:hint="eastAsia" w:ascii="宋体" w:hAnsi="宋体" w:eastAsia="宋体" w:cs="宋体"/>
          <w:color w:val="auto"/>
          <w:kern w:val="0"/>
          <w:sz w:val="24"/>
          <w:szCs w:val="24"/>
          <w:highlight w:val="none"/>
        </w:rPr>
        <w:t>从业人员、营业收入、资产总额填报上一年度数据，无上一年度数据的新成立企业可不填报。</w:t>
      </w:r>
    </w:p>
    <w:p w14:paraId="593366F2">
      <w:pPr>
        <w:numPr>
          <w:ilvl w:val="0"/>
          <w:numId w:val="0"/>
        </w:numPr>
        <w:shd w:val="clear" w:color="auto" w:fill="FFFFFF"/>
        <w:spacing w:before="160" w:beforeLines="50" w:line="360" w:lineRule="auto"/>
        <w:ind w:firstLine="482" w:firstLineChars="200"/>
        <w:rPr>
          <w:rFonts w:hint="eastAsia" w:ascii="宋体" w:hAnsi="宋体" w:cs="宋体"/>
          <w:b/>
          <w:bCs w:val="0"/>
          <w:color w:val="auto"/>
          <w:spacing w:val="0"/>
          <w:kern w:val="2"/>
          <w:sz w:val="24"/>
          <w:szCs w:val="24"/>
          <w:highlight w:val="none"/>
          <w:lang w:val="en-US" w:eastAsia="zh-CN" w:bidi="ar-SA"/>
        </w:rPr>
      </w:pP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2</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本项目</w:t>
      </w:r>
      <w:r>
        <w:rPr>
          <w:rFonts w:hint="eastAsia" w:ascii="宋体" w:hAnsi="宋体" w:eastAsia="宋体" w:cs="宋体"/>
          <w:b/>
          <w:bCs/>
          <w:color w:val="auto"/>
          <w:kern w:val="0"/>
          <w:sz w:val="24"/>
          <w:szCs w:val="24"/>
          <w:highlight w:val="none"/>
          <w:lang w:eastAsia="zh-CN"/>
        </w:rPr>
        <w:t>对应的中小企业划分标准所属行业</w:t>
      </w:r>
      <w:r>
        <w:rPr>
          <w:rFonts w:hint="eastAsia" w:ascii="宋体" w:hAnsi="宋体" w:eastAsia="宋体" w:cs="宋体"/>
          <w:b/>
          <w:bCs/>
          <w:color w:val="auto"/>
          <w:kern w:val="0"/>
          <w:sz w:val="24"/>
          <w:szCs w:val="24"/>
          <w:highlight w:val="none"/>
        </w:rPr>
        <w:t>为</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u w:val="single"/>
          <w:lang w:val="en-US" w:eastAsia="zh-CN"/>
        </w:rPr>
        <w:t>建筑业</w:t>
      </w:r>
      <w:r>
        <w:rPr>
          <w:rFonts w:hint="eastAsia" w:ascii="宋体" w:hAnsi="宋体" w:eastAsia="宋体" w:cs="宋体"/>
          <w:b/>
          <w:bCs/>
          <w:color w:val="auto"/>
          <w:kern w:val="0"/>
          <w:sz w:val="24"/>
          <w:szCs w:val="24"/>
          <w:highlight w:val="none"/>
        </w:rPr>
        <w:t>。</w:t>
      </w:r>
    </w:p>
    <w:p w14:paraId="55578E32">
      <w:pPr>
        <w:snapToGrid w:val="0"/>
        <w:spacing w:before="120" w:beforeLines="50" w:after="50"/>
        <w:ind w:left="142" w:firstLine="482" w:firstLineChars="200"/>
        <w:jc w:val="left"/>
        <w:rPr>
          <w:rFonts w:hint="eastAsia" w:ascii="宋体" w:hAnsi="宋体" w:eastAsia="宋体" w:cs="宋体"/>
          <w:b/>
          <w:color w:val="auto"/>
          <w:sz w:val="24"/>
          <w:highlight w:val="none"/>
        </w:rPr>
      </w:pPr>
    </w:p>
    <w:p w14:paraId="3D059E89">
      <w:pPr>
        <w:snapToGrid w:val="0"/>
        <w:spacing w:before="120" w:beforeLines="50" w:after="50"/>
        <w:ind w:left="142" w:firstLine="482" w:firstLineChars="200"/>
        <w:jc w:val="left"/>
        <w:rPr>
          <w:rFonts w:hint="eastAsia" w:ascii="宋体" w:hAnsi="宋体" w:eastAsia="宋体" w:cs="宋体"/>
          <w:b/>
          <w:color w:val="auto"/>
          <w:sz w:val="24"/>
          <w:highlight w:val="none"/>
        </w:rPr>
      </w:pPr>
    </w:p>
    <w:p w14:paraId="6A4FD9DB">
      <w:pPr>
        <w:snapToGrid w:val="0"/>
        <w:spacing w:before="120" w:beforeLines="50" w:after="50"/>
        <w:ind w:left="142" w:firstLine="482" w:firstLineChars="200"/>
        <w:jc w:val="left"/>
        <w:rPr>
          <w:rFonts w:hint="eastAsia" w:ascii="宋体" w:hAnsi="宋体" w:eastAsia="宋体" w:cs="宋体"/>
          <w:b/>
          <w:color w:val="auto"/>
          <w:sz w:val="24"/>
          <w:highlight w:val="none"/>
        </w:rPr>
      </w:pPr>
    </w:p>
    <w:p w14:paraId="0F243B8B">
      <w:pPr>
        <w:snapToGrid w:val="0"/>
        <w:spacing w:before="120" w:beforeLines="50" w:after="50"/>
        <w:ind w:left="142" w:firstLine="482" w:firstLineChars="200"/>
        <w:jc w:val="left"/>
        <w:rPr>
          <w:rFonts w:hint="eastAsia" w:ascii="宋体" w:hAnsi="宋体" w:eastAsia="宋体" w:cs="宋体"/>
          <w:b/>
          <w:color w:val="auto"/>
          <w:sz w:val="24"/>
          <w:highlight w:val="none"/>
        </w:rPr>
      </w:pPr>
    </w:p>
    <w:p w14:paraId="20651278">
      <w:pPr>
        <w:snapToGrid w:val="0"/>
        <w:spacing w:before="120" w:beforeLines="50" w:after="50"/>
        <w:ind w:left="142" w:firstLine="482" w:firstLineChars="200"/>
        <w:jc w:val="left"/>
        <w:rPr>
          <w:rFonts w:hint="eastAsia" w:ascii="宋体" w:hAnsi="宋体" w:eastAsia="宋体" w:cs="宋体"/>
          <w:b/>
          <w:color w:val="auto"/>
          <w:sz w:val="24"/>
          <w:highlight w:val="none"/>
        </w:rPr>
      </w:pPr>
    </w:p>
    <w:p w14:paraId="59C4C347">
      <w:pPr>
        <w:snapToGrid w:val="0"/>
        <w:spacing w:before="120" w:beforeLines="50" w:after="50"/>
        <w:ind w:left="142" w:firstLine="482" w:firstLineChars="200"/>
        <w:jc w:val="left"/>
        <w:rPr>
          <w:rFonts w:hint="eastAsia" w:ascii="宋体" w:hAnsi="宋体" w:eastAsia="宋体" w:cs="宋体"/>
          <w:b/>
          <w:color w:val="auto"/>
          <w:sz w:val="24"/>
          <w:highlight w:val="none"/>
        </w:rPr>
      </w:pPr>
    </w:p>
    <w:p w14:paraId="1E0282B3">
      <w:pPr>
        <w:snapToGrid w:val="0"/>
        <w:spacing w:before="120" w:beforeLines="50" w:after="50"/>
        <w:ind w:left="142" w:firstLine="482" w:firstLineChars="200"/>
        <w:jc w:val="left"/>
        <w:rPr>
          <w:rFonts w:hint="eastAsia" w:ascii="宋体" w:hAnsi="宋体" w:eastAsia="宋体" w:cs="宋体"/>
          <w:b/>
          <w:color w:val="auto"/>
          <w:sz w:val="24"/>
          <w:highlight w:val="none"/>
        </w:rPr>
      </w:pPr>
    </w:p>
    <w:p w14:paraId="7725C6F6">
      <w:pPr>
        <w:snapToGrid w:val="0"/>
        <w:spacing w:before="120" w:beforeLines="50" w:after="50"/>
        <w:ind w:left="142" w:firstLine="482" w:firstLineChars="200"/>
        <w:jc w:val="left"/>
        <w:rPr>
          <w:rFonts w:hint="eastAsia" w:ascii="宋体" w:hAnsi="宋体" w:eastAsia="宋体" w:cs="宋体"/>
          <w:b/>
          <w:color w:val="auto"/>
          <w:sz w:val="24"/>
          <w:highlight w:val="none"/>
        </w:rPr>
      </w:pPr>
    </w:p>
    <w:p w14:paraId="735668CB">
      <w:pPr>
        <w:snapToGrid w:val="0"/>
        <w:spacing w:before="120" w:beforeLines="50" w:after="50"/>
        <w:ind w:left="142" w:firstLine="482" w:firstLineChars="200"/>
        <w:jc w:val="left"/>
        <w:rPr>
          <w:rFonts w:hint="eastAsia" w:ascii="宋体" w:hAnsi="宋体" w:eastAsia="宋体" w:cs="宋体"/>
          <w:b/>
          <w:color w:val="auto"/>
          <w:sz w:val="24"/>
          <w:highlight w:val="none"/>
        </w:rPr>
      </w:pPr>
    </w:p>
    <w:p w14:paraId="235F0040">
      <w:pPr>
        <w:snapToGrid w:val="0"/>
        <w:spacing w:before="120" w:beforeLines="50" w:after="50"/>
        <w:ind w:left="142" w:firstLine="482" w:firstLineChars="200"/>
        <w:jc w:val="left"/>
        <w:rPr>
          <w:rFonts w:hint="eastAsia" w:ascii="宋体" w:hAnsi="宋体" w:eastAsia="宋体" w:cs="宋体"/>
          <w:b/>
          <w:color w:val="auto"/>
          <w:sz w:val="24"/>
          <w:highlight w:val="none"/>
        </w:rPr>
      </w:pPr>
    </w:p>
    <w:p w14:paraId="49E09840">
      <w:pPr>
        <w:snapToGrid w:val="0"/>
        <w:spacing w:before="120" w:beforeLines="50" w:after="50"/>
        <w:ind w:left="142" w:firstLine="482" w:firstLineChars="200"/>
        <w:jc w:val="left"/>
        <w:rPr>
          <w:rFonts w:hint="eastAsia" w:ascii="宋体" w:hAnsi="宋体" w:eastAsia="宋体" w:cs="宋体"/>
          <w:b/>
          <w:color w:val="auto"/>
          <w:sz w:val="24"/>
          <w:highlight w:val="none"/>
        </w:rPr>
      </w:pPr>
    </w:p>
    <w:p w14:paraId="7F8E126B">
      <w:pPr>
        <w:snapToGrid w:val="0"/>
        <w:spacing w:before="120" w:beforeLines="50" w:after="50"/>
        <w:ind w:left="142"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残疾人福利性单位声明函格式</w:t>
      </w:r>
    </w:p>
    <w:p w14:paraId="74F38921">
      <w:pPr>
        <w:spacing w:line="588" w:lineRule="exact"/>
        <w:ind w:firstLine="667" w:firstLineChars="200"/>
        <w:jc w:val="center"/>
        <w:rPr>
          <w:rFonts w:hint="eastAsia" w:ascii="宋体" w:hAnsi="宋体" w:eastAsia="宋体" w:cs="宋体"/>
          <w:b/>
          <w:color w:val="auto"/>
          <w:spacing w:val="6"/>
          <w:sz w:val="32"/>
          <w:szCs w:val="32"/>
          <w:highlight w:val="none"/>
        </w:rPr>
      </w:pPr>
      <w:bookmarkStart w:id="1203" w:name="OLE_LINK13"/>
      <w:bookmarkStart w:id="1204" w:name="OLE_LINK14"/>
      <w:r>
        <w:rPr>
          <w:rFonts w:hint="eastAsia" w:ascii="宋体" w:hAnsi="宋体" w:eastAsia="宋体" w:cs="宋体"/>
          <w:b/>
          <w:color w:val="auto"/>
          <w:spacing w:val="6"/>
          <w:sz w:val="32"/>
          <w:szCs w:val="32"/>
          <w:highlight w:val="none"/>
        </w:rPr>
        <w:t>残疾人福利性单位声明函</w:t>
      </w:r>
    </w:p>
    <w:bookmarkEnd w:id="1203"/>
    <w:bookmarkEnd w:id="1204"/>
    <w:p w14:paraId="6B56FC84">
      <w:pPr>
        <w:spacing w:line="588" w:lineRule="exact"/>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highlight w:val="none"/>
        </w:rPr>
        <w:t>〔2017〕 141</w:t>
      </w:r>
      <w:r>
        <w:rPr>
          <w:rFonts w:hint="eastAsia" w:ascii="宋体" w:hAnsi="宋体" w:eastAsia="宋体" w:cs="宋体"/>
          <w:color w:val="auto"/>
          <w:spacing w:val="6"/>
          <w:sz w:val="24"/>
          <w:highlight w:val="none"/>
        </w:rPr>
        <w:t>号）的规定，本单位为符合条件的残疾人福利性单位，且本单位参加______单位的______项目</w:t>
      </w:r>
      <w:r>
        <w:rPr>
          <w:rFonts w:hint="eastAsia" w:ascii="宋体" w:hAnsi="宋体" w:cs="宋体"/>
          <w:color w:val="auto"/>
          <w:spacing w:val="6"/>
          <w:sz w:val="24"/>
          <w:highlight w:val="none"/>
          <w:lang w:val="en-US" w:eastAsia="zh-CN"/>
        </w:rPr>
        <w:t>采购</w:t>
      </w:r>
      <w:r>
        <w:rPr>
          <w:rFonts w:hint="eastAsia" w:ascii="宋体" w:hAnsi="宋体" w:eastAsia="宋体" w:cs="宋体"/>
          <w:color w:val="auto"/>
          <w:spacing w:val="6"/>
          <w:sz w:val="24"/>
          <w:highlight w:val="none"/>
        </w:rPr>
        <w:t>活动由本单位承担工程</w:t>
      </w:r>
      <w:r>
        <w:rPr>
          <w:rFonts w:hint="eastAsia" w:ascii="宋体" w:hAnsi="宋体" w:eastAsia="宋体" w:cs="宋体"/>
          <w:color w:val="auto"/>
          <w:spacing w:val="-6"/>
          <w:sz w:val="24"/>
          <w:highlight w:val="none"/>
        </w:rPr>
        <w:t>。</w:t>
      </w:r>
    </w:p>
    <w:p w14:paraId="2F7D6FB0">
      <w:pPr>
        <w:spacing w:line="588" w:lineRule="exact"/>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本单位对上述声明的真实性负责。如有虚假，将依法承担相应责任。</w:t>
      </w:r>
    </w:p>
    <w:p w14:paraId="522C193D">
      <w:pPr>
        <w:tabs>
          <w:tab w:val="left" w:pos="4860"/>
        </w:tabs>
        <w:spacing w:line="588" w:lineRule="exact"/>
        <w:ind w:right="1560" w:firstLine="504" w:firstLineChars="200"/>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单位名称（电子</w:t>
      </w:r>
      <w:r>
        <w:rPr>
          <w:rFonts w:hint="eastAsia" w:ascii="宋体" w:hAnsi="宋体" w:eastAsia="宋体" w:cs="宋体"/>
          <w:color w:val="auto"/>
          <w:spacing w:val="6"/>
          <w:sz w:val="24"/>
          <w:highlight w:val="none"/>
          <w:lang w:val="en-US" w:eastAsia="zh-CN"/>
        </w:rPr>
        <w:t>印</w:t>
      </w:r>
      <w:r>
        <w:rPr>
          <w:rFonts w:hint="eastAsia" w:ascii="宋体" w:hAnsi="宋体" w:eastAsia="宋体" w:cs="宋体"/>
          <w:color w:val="auto"/>
          <w:spacing w:val="6"/>
          <w:sz w:val="24"/>
          <w:highlight w:val="none"/>
        </w:rPr>
        <w:t>章）：</w:t>
      </w:r>
    </w:p>
    <w:p w14:paraId="75587CDC">
      <w:pPr>
        <w:tabs>
          <w:tab w:val="left" w:pos="4860"/>
        </w:tabs>
        <w:spacing w:line="588" w:lineRule="exact"/>
        <w:ind w:right="1560" w:firstLine="504" w:firstLineChars="200"/>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日  期：</w:t>
      </w:r>
    </w:p>
    <w:p w14:paraId="1295F2C5">
      <w:pPr>
        <w:ind w:firstLine="480" w:firstLineChars="200"/>
        <w:rPr>
          <w:rFonts w:hint="eastAsia" w:ascii="宋体" w:hAnsi="宋体" w:eastAsia="宋体" w:cs="宋体"/>
          <w:color w:val="auto"/>
          <w:sz w:val="24"/>
          <w:highlight w:val="none"/>
        </w:rPr>
      </w:pPr>
    </w:p>
    <w:p w14:paraId="5694CA8C">
      <w:pPr>
        <w:ind w:firstLine="480" w:firstLineChars="200"/>
        <w:rPr>
          <w:rFonts w:hint="eastAsia" w:ascii="宋体" w:hAnsi="宋体" w:cs="宋体"/>
          <w:b/>
          <w:bCs w:val="0"/>
          <w:color w:val="auto"/>
          <w:spacing w:val="0"/>
          <w:kern w:val="2"/>
          <w:sz w:val="24"/>
          <w:szCs w:val="24"/>
          <w:highlight w:val="none"/>
          <w:lang w:val="en-US" w:eastAsia="zh-CN" w:bidi="ar-SA"/>
        </w:rPr>
      </w:pPr>
      <w:r>
        <w:rPr>
          <w:rFonts w:hint="eastAsia" w:ascii="宋体" w:hAnsi="宋体" w:eastAsia="宋体" w:cs="宋体"/>
          <w:color w:val="auto"/>
          <w:sz w:val="24"/>
          <w:highlight w:val="none"/>
        </w:rPr>
        <w:t>注：请根据自己的真实情况出具《残疾人福利性单位声明函》。依法享受中小企业</w:t>
      </w:r>
      <w:r>
        <w:rPr>
          <w:rFonts w:hint="eastAsia" w:ascii="宋体" w:hAnsi="宋体" w:cs="宋体"/>
          <w:color w:val="auto"/>
          <w:sz w:val="24"/>
          <w:highlight w:val="none"/>
          <w:lang w:val="en-US" w:eastAsia="zh-CN"/>
        </w:rPr>
        <w:t>扶持</w:t>
      </w:r>
      <w:r>
        <w:rPr>
          <w:rFonts w:hint="eastAsia" w:ascii="宋体" w:hAnsi="宋体" w:eastAsia="宋体" w:cs="宋体"/>
          <w:color w:val="auto"/>
          <w:sz w:val="24"/>
          <w:highlight w:val="none"/>
        </w:rPr>
        <w:t>政策的，</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或者</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代理机构在公告</w:t>
      </w:r>
      <w:r>
        <w:rPr>
          <w:rFonts w:hint="eastAsia" w:ascii="宋体" w:hAnsi="宋体" w:cs="宋体"/>
          <w:color w:val="auto"/>
          <w:sz w:val="24"/>
          <w:highlight w:val="none"/>
          <w:lang w:val="en-US" w:eastAsia="zh-CN"/>
        </w:rPr>
        <w:t>成交</w:t>
      </w:r>
      <w:r>
        <w:rPr>
          <w:rFonts w:hint="eastAsia" w:ascii="宋体" w:hAnsi="宋体" w:eastAsia="宋体" w:cs="宋体"/>
          <w:color w:val="auto"/>
          <w:sz w:val="24"/>
          <w:highlight w:val="none"/>
        </w:rPr>
        <w:t>结果时，同时公告其《残疾人福利性单位声明函》，接受社会监督。</w:t>
      </w:r>
    </w:p>
    <w:p w14:paraId="737487FD">
      <w:pPr>
        <w:numPr>
          <w:ilvl w:val="0"/>
          <w:numId w:val="0"/>
        </w:numPr>
        <w:shd w:val="clear" w:color="auto" w:fill="FFFFFF"/>
        <w:spacing w:before="160" w:beforeLines="50" w:line="360" w:lineRule="auto"/>
        <w:ind w:firstLine="482" w:firstLineChars="200"/>
        <w:rPr>
          <w:rFonts w:hint="eastAsia" w:ascii="宋体" w:hAnsi="宋体" w:cs="宋体"/>
          <w:b/>
          <w:bCs w:val="0"/>
          <w:color w:val="auto"/>
          <w:spacing w:val="0"/>
          <w:kern w:val="2"/>
          <w:sz w:val="24"/>
          <w:szCs w:val="24"/>
          <w:highlight w:val="none"/>
          <w:lang w:val="en-US" w:eastAsia="zh-CN" w:bidi="ar-SA"/>
        </w:rPr>
      </w:pPr>
    </w:p>
    <w:p w14:paraId="66A83E1A">
      <w:pPr>
        <w:numPr>
          <w:ilvl w:val="0"/>
          <w:numId w:val="0"/>
        </w:numPr>
        <w:shd w:val="clear" w:color="auto" w:fill="FFFFFF"/>
        <w:spacing w:before="160" w:beforeLines="50" w:line="360" w:lineRule="auto"/>
        <w:ind w:firstLine="482" w:firstLineChars="200"/>
        <w:rPr>
          <w:rFonts w:hint="eastAsia" w:ascii="宋体" w:hAnsi="宋体" w:cs="宋体"/>
          <w:b/>
          <w:bCs w:val="0"/>
          <w:color w:val="auto"/>
          <w:spacing w:val="0"/>
          <w:kern w:val="2"/>
          <w:sz w:val="24"/>
          <w:szCs w:val="24"/>
          <w:highlight w:val="none"/>
          <w:lang w:val="en-US" w:eastAsia="zh-CN" w:bidi="ar-SA"/>
        </w:rPr>
      </w:pPr>
    </w:p>
    <w:p w14:paraId="558426AD">
      <w:pPr>
        <w:numPr>
          <w:ilvl w:val="0"/>
          <w:numId w:val="0"/>
        </w:numPr>
        <w:shd w:val="clear" w:color="auto" w:fill="FFFFFF"/>
        <w:spacing w:before="160" w:beforeLines="50" w:line="360" w:lineRule="auto"/>
        <w:ind w:firstLine="482" w:firstLineChars="200"/>
        <w:rPr>
          <w:rFonts w:hint="eastAsia" w:ascii="宋体" w:hAnsi="宋体" w:eastAsia="宋体" w:cs="宋体"/>
          <w:b/>
          <w:bCs w:val="0"/>
          <w:color w:val="auto"/>
          <w:spacing w:val="0"/>
          <w:kern w:val="2"/>
          <w:sz w:val="24"/>
          <w:szCs w:val="24"/>
          <w:highlight w:val="none"/>
          <w:lang w:val="en-US" w:eastAsia="zh-CN" w:bidi="ar-SA"/>
        </w:rPr>
      </w:pPr>
      <w:r>
        <w:rPr>
          <w:rFonts w:hint="eastAsia" w:ascii="宋体" w:hAnsi="宋体" w:cs="宋体"/>
          <w:b/>
          <w:bCs w:val="0"/>
          <w:color w:val="auto"/>
          <w:spacing w:val="0"/>
          <w:kern w:val="2"/>
          <w:sz w:val="24"/>
          <w:szCs w:val="24"/>
          <w:highlight w:val="none"/>
          <w:lang w:val="en-US" w:eastAsia="zh-CN" w:bidi="ar-SA"/>
        </w:rPr>
        <w:t>8.</w:t>
      </w:r>
      <w:r>
        <w:rPr>
          <w:rFonts w:hint="eastAsia" w:ascii="宋体" w:hAnsi="宋体" w:eastAsia="宋体" w:cs="宋体"/>
          <w:b/>
          <w:bCs w:val="0"/>
          <w:color w:val="auto"/>
          <w:spacing w:val="0"/>
          <w:kern w:val="2"/>
          <w:sz w:val="24"/>
          <w:szCs w:val="24"/>
          <w:highlight w:val="none"/>
          <w:lang w:val="en-US" w:eastAsia="zh-CN" w:bidi="ar-SA"/>
        </w:rPr>
        <w:t>除磋商文件规定必须提供以外，供应商认为需要提供的其他证明材料</w:t>
      </w:r>
    </w:p>
    <w:p w14:paraId="65207F4A">
      <w:pPr>
        <w:spacing w:line="480" w:lineRule="auto"/>
        <w:ind w:left="361" w:leftChars="172" w:firstLine="964" w:firstLineChars="200"/>
        <w:jc w:val="center"/>
        <w:rPr>
          <w:rFonts w:hint="eastAsia" w:ascii="宋体" w:hAnsi="宋体" w:eastAsia="宋体" w:cs="宋体"/>
          <w:b/>
          <w:bCs/>
          <w:color w:val="auto"/>
          <w:sz w:val="48"/>
          <w:szCs w:val="48"/>
          <w:highlight w:val="none"/>
        </w:rPr>
      </w:pPr>
    </w:p>
    <w:p w14:paraId="02237A63">
      <w:pPr>
        <w:spacing w:line="480" w:lineRule="auto"/>
        <w:ind w:left="361" w:leftChars="172" w:firstLine="964" w:firstLineChars="200"/>
        <w:jc w:val="center"/>
        <w:rPr>
          <w:rFonts w:hint="eastAsia" w:ascii="宋体" w:hAnsi="宋体" w:eastAsia="宋体" w:cs="宋体"/>
          <w:b/>
          <w:bCs/>
          <w:color w:val="auto"/>
          <w:sz w:val="48"/>
          <w:szCs w:val="48"/>
          <w:highlight w:val="none"/>
        </w:rPr>
      </w:pPr>
    </w:p>
    <w:p w14:paraId="6BB37741">
      <w:pPr>
        <w:spacing w:line="480" w:lineRule="auto"/>
        <w:ind w:left="361" w:leftChars="172" w:firstLine="964" w:firstLineChars="200"/>
        <w:jc w:val="center"/>
        <w:rPr>
          <w:rFonts w:hint="eastAsia" w:ascii="宋体" w:hAnsi="宋体" w:eastAsia="宋体" w:cs="宋体"/>
          <w:b/>
          <w:bCs/>
          <w:color w:val="auto"/>
          <w:sz w:val="48"/>
          <w:szCs w:val="48"/>
          <w:highlight w:val="none"/>
        </w:rPr>
      </w:pPr>
    </w:p>
    <w:p w14:paraId="0F6E8181">
      <w:pPr>
        <w:spacing w:line="480" w:lineRule="auto"/>
        <w:ind w:left="361" w:leftChars="172" w:firstLine="964" w:firstLineChars="200"/>
        <w:jc w:val="center"/>
        <w:rPr>
          <w:rFonts w:hint="eastAsia" w:ascii="宋体" w:hAnsi="宋体" w:eastAsia="宋体" w:cs="宋体"/>
          <w:b/>
          <w:bCs/>
          <w:color w:val="auto"/>
          <w:sz w:val="48"/>
          <w:szCs w:val="48"/>
          <w:highlight w:val="none"/>
        </w:rPr>
      </w:pPr>
    </w:p>
    <w:p w14:paraId="053E2A06">
      <w:pPr>
        <w:spacing w:line="480" w:lineRule="auto"/>
        <w:ind w:left="361" w:leftChars="172" w:firstLine="964" w:firstLineChars="200"/>
        <w:jc w:val="center"/>
        <w:rPr>
          <w:rFonts w:hint="eastAsia" w:ascii="宋体" w:hAnsi="宋体" w:eastAsia="宋体" w:cs="宋体"/>
          <w:b/>
          <w:bCs/>
          <w:color w:val="auto"/>
          <w:sz w:val="48"/>
          <w:szCs w:val="48"/>
          <w:highlight w:val="none"/>
        </w:rPr>
      </w:pPr>
    </w:p>
    <w:p w14:paraId="2C131B3C">
      <w:pPr>
        <w:spacing w:line="480" w:lineRule="auto"/>
        <w:ind w:left="361" w:leftChars="172" w:firstLine="964" w:firstLineChars="200"/>
        <w:jc w:val="center"/>
        <w:rPr>
          <w:rFonts w:hint="eastAsia" w:ascii="宋体" w:hAnsi="宋体" w:eastAsia="宋体" w:cs="宋体"/>
          <w:b/>
          <w:bCs/>
          <w:color w:val="auto"/>
          <w:sz w:val="48"/>
          <w:szCs w:val="48"/>
          <w:highlight w:val="none"/>
        </w:rPr>
      </w:pPr>
    </w:p>
    <w:p w14:paraId="69337D3B">
      <w:pPr>
        <w:spacing w:line="480" w:lineRule="auto"/>
        <w:ind w:left="361" w:leftChars="172" w:firstLine="964" w:firstLineChars="200"/>
        <w:jc w:val="center"/>
        <w:rPr>
          <w:rFonts w:hint="eastAsia" w:ascii="宋体" w:hAnsi="宋体" w:eastAsia="宋体" w:cs="宋体"/>
          <w:b/>
          <w:bCs/>
          <w:color w:val="auto"/>
          <w:sz w:val="48"/>
          <w:szCs w:val="48"/>
          <w:highlight w:val="none"/>
        </w:rPr>
      </w:pPr>
    </w:p>
    <w:p w14:paraId="533ED6BD">
      <w:pPr>
        <w:spacing w:line="480" w:lineRule="auto"/>
        <w:ind w:left="361" w:leftChars="172" w:firstLine="964" w:firstLineChars="200"/>
        <w:jc w:val="center"/>
        <w:rPr>
          <w:rFonts w:hint="eastAsia" w:ascii="宋体" w:hAnsi="宋体" w:eastAsia="宋体" w:cs="宋体"/>
          <w:b/>
          <w:bCs/>
          <w:color w:val="auto"/>
          <w:sz w:val="48"/>
          <w:szCs w:val="48"/>
          <w:highlight w:val="none"/>
        </w:rPr>
      </w:pPr>
    </w:p>
    <w:p w14:paraId="240564D2">
      <w:pPr>
        <w:spacing w:line="480" w:lineRule="auto"/>
        <w:ind w:left="361" w:leftChars="172" w:firstLine="964" w:firstLineChars="200"/>
        <w:jc w:val="center"/>
        <w:rPr>
          <w:rFonts w:hint="eastAsia" w:ascii="宋体" w:hAnsi="宋体" w:eastAsia="宋体" w:cs="宋体"/>
          <w:b/>
          <w:bCs/>
          <w:color w:val="auto"/>
          <w:sz w:val="48"/>
          <w:szCs w:val="48"/>
          <w:highlight w:val="none"/>
        </w:rPr>
      </w:pPr>
    </w:p>
    <w:p w14:paraId="106D1E2F">
      <w:pPr>
        <w:spacing w:line="480" w:lineRule="auto"/>
        <w:ind w:left="361" w:leftChars="172" w:firstLine="964" w:firstLineChars="200"/>
        <w:jc w:val="center"/>
        <w:rPr>
          <w:rFonts w:hint="eastAsia" w:ascii="宋体" w:hAnsi="宋体" w:eastAsia="宋体" w:cs="宋体"/>
          <w:b/>
          <w:bCs/>
          <w:color w:val="auto"/>
          <w:sz w:val="48"/>
          <w:szCs w:val="48"/>
          <w:highlight w:val="none"/>
        </w:rPr>
      </w:pPr>
    </w:p>
    <w:p w14:paraId="21043A6D">
      <w:pPr>
        <w:spacing w:line="480" w:lineRule="auto"/>
        <w:ind w:left="361" w:leftChars="172" w:firstLine="964" w:firstLineChars="200"/>
        <w:jc w:val="center"/>
        <w:rPr>
          <w:rFonts w:hint="eastAsia" w:ascii="宋体" w:hAnsi="宋体" w:eastAsia="宋体" w:cs="宋体"/>
          <w:b/>
          <w:bCs/>
          <w:color w:val="auto"/>
          <w:sz w:val="48"/>
          <w:szCs w:val="48"/>
          <w:highlight w:val="none"/>
        </w:rPr>
      </w:pPr>
    </w:p>
    <w:p w14:paraId="560D9E53">
      <w:pPr>
        <w:spacing w:line="480" w:lineRule="auto"/>
        <w:ind w:left="361" w:leftChars="172" w:firstLine="964" w:firstLineChars="200"/>
        <w:jc w:val="center"/>
        <w:rPr>
          <w:rFonts w:hint="eastAsia" w:ascii="宋体" w:hAnsi="宋体" w:eastAsia="宋体" w:cs="宋体"/>
          <w:b/>
          <w:bCs/>
          <w:color w:val="auto"/>
          <w:sz w:val="48"/>
          <w:szCs w:val="48"/>
          <w:highlight w:val="none"/>
        </w:rPr>
      </w:pPr>
    </w:p>
    <w:p w14:paraId="7A13DBC1">
      <w:pPr>
        <w:spacing w:line="480" w:lineRule="auto"/>
        <w:ind w:left="361" w:leftChars="172" w:firstLine="964" w:firstLineChars="20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响应文件</w:t>
      </w:r>
    </w:p>
    <w:p w14:paraId="495A9E30">
      <w:pPr>
        <w:spacing w:line="480" w:lineRule="auto"/>
        <w:ind w:left="361" w:leftChars="172" w:firstLine="723" w:firstLineChars="200"/>
        <w:jc w:val="center"/>
        <w:rPr>
          <w:rFonts w:hint="eastAsia" w:ascii="宋体" w:hAnsi="宋体" w:eastAsia="宋体" w:cs="宋体"/>
          <w:b/>
          <w:bCs/>
          <w:color w:val="auto"/>
          <w:sz w:val="36"/>
          <w:szCs w:val="36"/>
          <w:highlight w:val="none"/>
          <w:lang w:val="en-US" w:eastAsia="zh-CN"/>
        </w:rPr>
      </w:pPr>
    </w:p>
    <w:p w14:paraId="1000B6D6">
      <w:pPr>
        <w:spacing w:line="480" w:lineRule="auto"/>
        <w:ind w:left="361" w:leftChars="172" w:firstLine="723" w:firstLineChars="200"/>
        <w:jc w:val="center"/>
        <w:rPr>
          <w:rFonts w:hint="eastAsia" w:ascii="宋体" w:hAnsi="宋体" w:eastAsia="宋体" w:cs="宋体"/>
          <w:b/>
          <w:bCs/>
          <w:color w:val="auto"/>
          <w:sz w:val="36"/>
          <w:szCs w:val="36"/>
          <w:highlight w:val="none"/>
          <w:lang w:val="en-US" w:eastAsia="zh-CN"/>
        </w:rPr>
      </w:pPr>
    </w:p>
    <w:p w14:paraId="42537015">
      <w:pPr>
        <w:spacing w:line="480" w:lineRule="auto"/>
        <w:ind w:left="361" w:leftChars="172" w:firstLine="723" w:firstLineChars="200"/>
        <w:jc w:val="center"/>
        <w:rPr>
          <w:rFonts w:hint="default" w:ascii="宋体" w:hAnsi="宋体" w:eastAsia="宋体" w:cs="宋体"/>
          <w:b/>
          <w:bCs/>
          <w:color w:val="auto"/>
          <w:sz w:val="36"/>
          <w:szCs w:val="36"/>
          <w:highlight w:val="none"/>
          <w:lang w:val="en-US" w:eastAsia="zh-CN"/>
        </w:rPr>
      </w:pPr>
      <w:r>
        <w:rPr>
          <w:rFonts w:hint="eastAsia" w:ascii="宋体" w:hAnsi="宋体" w:cs="宋体"/>
          <w:b/>
          <w:bCs/>
          <w:color w:val="auto"/>
          <w:sz w:val="36"/>
          <w:szCs w:val="36"/>
          <w:highlight w:val="none"/>
          <w:lang w:val="en-US" w:eastAsia="zh-CN"/>
        </w:rPr>
        <w:t>报价文件</w:t>
      </w:r>
    </w:p>
    <w:p w14:paraId="26C7A48D">
      <w:pPr>
        <w:pStyle w:val="12"/>
        <w:spacing w:line="480" w:lineRule="auto"/>
        <w:ind w:firstLine="600" w:firstLineChars="200"/>
        <w:rPr>
          <w:rFonts w:hint="eastAsia" w:ascii="宋体" w:hAnsi="宋体" w:eastAsia="宋体" w:cs="宋体"/>
          <w:b w:val="0"/>
          <w:bCs w:val="0"/>
          <w:color w:val="auto"/>
          <w:sz w:val="30"/>
          <w:szCs w:val="30"/>
          <w:highlight w:val="none"/>
        </w:rPr>
      </w:pPr>
    </w:p>
    <w:p w14:paraId="1B85ECEA">
      <w:pPr>
        <w:pStyle w:val="12"/>
        <w:spacing w:line="480" w:lineRule="auto"/>
        <w:ind w:firstLine="600" w:firstLineChars="200"/>
        <w:rPr>
          <w:rFonts w:hint="eastAsia" w:ascii="宋体" w:hAnsi="宋体" w:eastAsia="宋体" w:cs="宋体"/>
          <w:b w:val="0"/>
          <w:bCs w:val="0"/>
          <w:color w:val="auto"/>
          <w:sz w:val="30"/>
          <w:szCs w:val="30"/>
          <w:highlight w:val="none"/>
        </w:rPr>
      </w:pPr>
    </w:p>
    <w:p w14:paraId="73F72362">
      <w:pPr>
        <w:pStyle w:val="12"/>
        <w:spacing w:line="480" w:lineRule="auto"/>
        <w:ind w:firstLine="600" w:firstLineChars="200"/>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项目名称：</w:t>
      </w:r>
    </w:p>
    <w:p w14:paraId="3F531DE1">
      <w:pPr>
        <w:pStyle w:val="12"/>
        <w:spacing w:line="480" w:lineRule="auto"/>
        <w:ind w:firstLine="600" w:firstLineChars="200"/>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项目编号：</w:t>
      </w:r>
    </w:p>
    <w:p w14:paraId="3C5D892B">
      <w:pPr>
        <w:pStyle w:val="12"/>
        <w:spacing w:line="480" w:lineRule="auto"/>
        <w:ind w:firstLine="600" w:firstLineChars="200"/>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供应商名称：</w:t>
      </w:r>
    </w:p>
    <w:p w14:paraId="0D44B7C1">
      <w:pPr>
        <w:pStyle w:val="12"/>
        <w:spacing w:line="480" w:lineRule="auto"/>
        <w:ind w:firstLine="600" w:firstLineChars="200"/>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日     期：      年   月   日</w:t>
      </w:r>
    </w:p>
    <w:p w14:paraId="2FF8F2FB">
      <w:pPr>
        <w:shd w:val="clear" w:color="auto" w:fill="FFFFFF"/>
        <w:ind w:firstLine="643" w:firstLineChars="200"/>
        <w:jc w:val="center"/>
        <w:rPr>
          <w:rFonts w:hint="eastAsia" w:ascii="宋体" w:hAnsi="宋体" w:eastAsia="宋体"/>
          <w:b/>
          <w:bCs w:val="0"/>
          <w:color w:val="auto"/>
          <w:sz w:val="32"/>
          <w:szCs w:val="32"/>
          <w:highlight w:val="none"/>
          <w:lang w:val="en-US" w:eastAsia="zh-CN"/>
        </w:rPr>
      </w:pPr>
      <w:bookmarkStart w:id="1205" w:name="_Toc424307488"/>
      <w:bookmarkStart w:id="1206" w:name="_Toc424307759"/>
    </w:p>
    <w:p w14:paraId="5AA74437">
      <w:pPr>
        <w:shd w:val="clear" w:color="auto" w:fill="FFFFFF"/>
        <w:ind w:firstLine="643" w:firstLineChars="200"/>
        <w:jc w:val="center"/>
        <w:rPr>
          <w:rFonts w:hint="eastAsia" w:ascii="宋体" w:hAnsi="宋体" w:eastAsia="宋体"/>
          <w:b/>
          <w:bCs w:val="0"/>
          <w:color w:val="auto"/>
          <w:sz w:val="32"/>
          <w:szCs w:val="32"/>
          <w:highlight w:val="none"/>
          <w:lang w:val="en-US" w:eastAsia="zh-CN"/>
        </w:rPr>
      </w:pPr>
    </w:p>
    <w:p w14:paraId="31A62579">
      <w:pPr>
        <w:shd w:val="clear" w:color="auto" w:fill="FFFFFF"/>
        <w:ind w:firstLine="643" w:firstLineChars="200"/>
        <w:jc w:val="center"/>
        <w:rPr>
          <w:rFonts w:hint="eastAsia" w:ascii="宋体" w:hAnsi="宋体" w:eastAsia="宋体"/>
          <w:b/>
          <w:bCs w:val="0"/>
          <w:color w:val="auto"/>
          <w:sz w:val="32"/>
          <w:szCs w:val="32"/>
          <w:highlight w:val="none"/>
          <w:lang w:val="en-US" w:eastAsia="zh-CN"/>
        </w:rPr>
      </w:pPr>
    </w:p>
    <w:p w14:paraId="4E1C61C9">
      <w:pPr>
        <w:shd w:val="clear" w:color="auto" w:fill="FFFFFF"/>
        <w:ind w:firstLine="643" w:firstLineChars="200"/>
        <w:jc w:val="center"/>
        <w:rPr>
          <w:rFonts w:hint="eastAsia" w:ascii="宋体" w:hAnsi="宋体" w:eastAsia="宋体"/>
          <w:b/>
          <w:bCs w:val="0"/>
          <w:color w:val="auto"/>
          <w:sz w:val="32"/>
          <w:szCs w:val="32"/>
          <w:highlight w:val="none"/>
          <w:lang w:val="en-US" w:eastAsia="zh-CN"/>
        </w:rPr>
      </w:pPr>
    </w:p>
    <w:p w14:paraId="74BE61B6">
      <w:pPr>
        <w:shd w:val="clear" w:color="auto" w:fill="FFFFFF"/>
        <w:ind w:firstLine="643" w:firstLineChars="200"/>
        <w:jc w:val="center"/>
        <w:rPr>
          <w:rFonts w:hint="eastAsia" w:ascii="宋体" w:hAnsi="宋体" w:eastAsia="宋体"/>
          <w:b/>
          <w:bCs w:val="0"/>
          <w:color w:val="auto"/>
          <w:sz w:val="32"/>
          <w:szCs w:val="32"/>
          <w:highlight w:val="none"/>
          <w:lang w:val="en-US" w:eastAsia="zh-CN"/>
        </w:rPr>
      </w:pPr>
    </w:p>
    <w:p w14:paraId="64C08D05">
      <w:pPr>
        <w:shd w:val="clear" w:color="auto" w:fill="FFFFFF"/>
        <w:ind w:firstLine="643" w:firstLineChars="200"/>
        <w:jc w:val="center"/>
        <w:rPr>
          <w:rFonts w:hint="eastAsia" w:ascii="宋体" w:hAnsi="宋体" w:eastAsia="宋体"/>
          <w:b/>
          <w:bCs w:val="0"/>
          <w:color w:val="auto"/>
          <w:sz w:val="32"/>
          <w:szCs w:val="32"/>
          <w:highlight w:val="none"/>
          <w:lang w:val="en-US" w:eastAsia="zh-CN"/>
        </w:rPr>
      </w:pPr>
    </w:p>
    <w:p w14:paraId="1E5F83B7">
      <w:pPr>
        <w:shd w:val="clear" w:color="auto" w:fill="FFFFFF"/>
        <w:ind w:firstLine="643" w:firstLineChars="200"/>
        <w:jc w:val="center"/>
        <w:rPr>
          <w:rFonts w:hint="eastAsia" w:ascii="宋体" w:hAnsi="宋体" w:eastAsia="宋体"/>
          <w:b/>
          <w:bCs w:val="0"/>
          <w:color w:val="auto"/>
          <w:sz w:val="32"/>
          <w:szCs w:val="32"/>
          <w:highlight w:val="none"/>
          <w:lang w:val="en-US" w:eastAsia="zh-CN"/>
        </w:rPr>
      </w:pPr>
    </w:p>
    <w:p w14:paraId="6B24A263">
      <w:pPr>
        <w:shd w:val="clear" w:color="auto" w:fill="FFFFFF"/>
        <w:ind w:firstLine="643" w:firstLineChars="200"/>
        <w:jc w:val="center"/>
        <w:rPr>
          <w:rFonts w:hint="eastAsia" w:ascii="宋体" w:hAnsi="宋体" w:eastAsia="宋体"/>
          <w:b/>
          <w:bCs w:val="0"/>
          <w:color w:val="auto"/>
          <w:sz w:val="32"/>
          <w:szCs w:val="32"/>
          <w:highlight w:val="none"/>
          <w:lang w:val="en-US" w:eastAsia="zh-CN"/>
        </w:rPr>
      </w:pPr>
    </w:p>
    <w:p w14:paraId="181E7EB2">
      <w:pPr>
        <w:shd w:val="clear" w:color="auto" w:fill="FFFFFF"/>
        <w:ind w:firstLine="643" w:firstLineChars="200"/>
        <w:jc w:val="center"/>
        <w:rPr>
          <w:rFonts w:hint="eastAsia" w:ascii="宋体" w:hAnsi="宋体" w:eastAsia="宋体"/>
          <w:b/>
          <w:bCs w:val="0"/>
          <w:color w:val="auto"/>
          <w:sz w:val="32"/>
          <w:szCs w:val="32"/>
          <w:highlight w:val="none"/>
          <w:lang w:val="en-US" w:eastAsia="zh-CN"/>
        </w:rPr>
      </w:pPr>
    </w:p>
    <w:p w14:paraId="49590043">
      <w:pPr>
        <w:shd w:val="clear" w:color="auto" w:fill="FFFFFF"/>
        <w:jc w:val="both"/>
        <w:rPr>
          <w:rFonts w:hint="eastAsia" w:ascii="宋体" w:hAnsi="宋体" w:eastAsia="宋体"/>
          <w:b/>
          <w:bCs w:val="0"/>
          <w:color w:val="auto"/>
          <w:sz w:val="32"/>
          <w:szCs w:val="32"/>
          <w:highlight w:val="none"/>
          <w:lang w:val="en-US" w:eastAsia="zh-CN"/>
        </w:rPr>
      </w:pPr>
    </w:p>
    <w:p w14:paraId="7CB879AE">
      <w:pPr>
        <w:shd w:val="clear" w:color="auto" w:fill="FFFFFF"/>
        <w:ind w:firstLine="643" w:firstLineChars="200"/>
        <w:jc w:val="both"/>
        <w:rPr>
          <w:rFonts w:hint="eastAsia" w:ascii="宋体" w:hAnsi="宋体" w:eastAsia="宋体" w:cs="宋体"/>
          <w:color w:val="auto"/>
          <w:spacing w:val="8"/>
          <w:sz w:val="32"/>
          <w:highlight w:val="none"/>
        </w:rPr>
      </w:pPr>
      <w:r>
        <w:rPr>
          <w:rFonts w:hint="eastAsia" w:ascii="宋体" w:hAnsi="宋体" w:eastAsia="宋体"/>
          <w:b/>
          <w:bCs w:val="0"/>
          <w:color w:val="auto"/>
          <w:sz w:val="32"/>
          <w:szCs w:val="32"/>
          <w:highlight w:val="none"/>
          <w:lang w:val="en-US" w:eastAsia="zh-CN"/>
        </w:rPr>
        <w:t>报价文件</w:t>
      </w:r>
      <w:r>
        <w:rPr>
          <w:rFonts w:hint="eastAsia" w:ascii="宋体" w:hAnsi="宋体" w:eastAsia="宋体"/>
          <w:b/>
          <w:bCs w:val="0"/>
          <w:color w:val="auto"/>
          <w:sz w:val="32"/>
          <w:szCs w:val="32"/>
          <w:highlight w:val="none"/>
        </w:rPr>
        <w:t>目录自</w:t>
      </w:r>
      <w:r>
        <w:rPr>
          <w:rFonts w:hint="eastAsia" w:ascii="宋体" w:hAnsi="宋体"/>
          <w:b/>
          <w:bCs w:val="0"/>
          <w:color w:val="auto"/>
          <w:sz w:val="32"/>
          <w:szCs w:val="32"/>
          <w:highlight w:val="none"/>
        </w:rPr>
        <w:t>拟</w:t>
      </w:r>
    </w:p>
    <w:p w14:paraId="2F2E425F">
      <w:pPr>
        <w:numPr>
          <w:ilvl w:val="0"/>
          <w:numId w:val="0"/>
        </w:numPr>
        <w:shd w:val="clear" w:color="auto" w:fill="FFFFFF"/>
        <w:spacing w:before="160" w:beforeLines="50" w:line="360" w:lineRule="auto"/>
        <w:ind w:firstLine="482" w:firstLineChars="200"/>
        <w:rPr>
          <w:rFonts w:hint="eastAsia" w:ascii="宋体" w:hAnsi="宋体" w:eastAsia="宋体" w:cs="宋体"/>
          <w:b/>
          <w:bCs w:val="0"/>
          <w:color w:val="auto"/>
          <w:spacing w:val="0"/>
          <w:kern w:val="2"/>
          <w:sz w:val="24"/>
          <w:szCs w:val="24"/>
          <w:highlight w:val="none"/>
          <w:lang w:val="en-US" w:eastAsia="zh-CN" w:bidi="ar-SA"/>
        </w:rPr>
      </w:pPr>
      <w:r>
        <w:rPr>
          <w:rFonts w:hint="eastAsia" w:ascii="宋体" w:hAnsi="宋体" w:cs="宋体"/>
          <w:b/>
          <w:color w:val="auto"/>
          <w:spacing w:val="0"/>
          <w:sz w:val="24"/>
          <w:highlight w:val="none"/>
          <w:lang w:val="en-US" w:eastAsia="zh-CN"/>
        </w:rPr>
        <w:t>1.</w:t>
      </w:r>
      <w:r>
        <w:rPr>
          <w:rFonts w:hint="eastAsia" w:ascii="宋体" w:hAnsi="宋体" w:eastAsia="宋体" w:cs="宋体"/>
          <w:b/>
          <w:bCs w:val="0"/>
          <w:color w:val="auto"/>
          <w:spacing w:val="0"/>
          <w:kern w:val="2"/>
          <w:sz w:val="24"/>
          <w:szCs w:val="24"/>
          <w:highlight w:val="none"/>
          <w:lang w:val="en-US" w:eastAsia="zh-CN" w:bidi="ar-SA"/>
        </w:rPr>
        <w:t>磋商</w:t>
      </w:r>
      <w:bookmarkEnd w:id="1205"/>
      <w:bookmarkEnd w:id="1206"/>
      <w:r>
        <w:rPr>
          <w:rFonts w:hint="eastAsia" w:ascii="宋体" w:hAnsi="宋体" w:eastAsia="宋体" w:cs="宋体"/>
          <w:b/>
          <w:bCs w:val="0"/>
          <w:color w:val="auto"/>
          <w:spacing w:val="0"/>
          <w:kern w:val="2"/>
          <w:sz w:val="24"/>
          <w:szCs w:val="24"/>
          <w:highlight w:val="none"/>
          <w:lang w:val="en-US" w:eastAsia="zh-CN" w:bidi="ar-SA"/>
        </w:rPr>
        <w:t>函</w:t>
      </w:r>
    </w:p>
    <w:p w14:paraId="19779930">
      <w:pPr>
        <w:spacing w:line="400" w:lineRule="exact"/>
        <w:ind w:firstLine="420" w:firstLineChars="200"/>
        <w:rPr>
          <w:rFonts w:hint="eastAsia" w:ascii="宋体" w:hAnsi="宋体" w:eastAsia="宋体" w:cs="宋体"/>
          <w:color w:val="auto"/>
          <w:highlight w:val="none"/>
          <w:u w:val="single"/>
          <w:lang w:eastAsia="zh-CN"/>
        </w:rPr>
      </w:pPr>
      <w:bookmarkStart w:id="1207" w:name="_Toc424307760"/>
      <w:bookmarkStart w:id="1208" w:name="_Toc424307489"/>
      <w:r>
        <w:rPr>
          <w:rFonts w:hint="eastAsia" w:ascii="宋体" w:hAnsi="宋体" w:cs="宋体"/>
          <w:color w:val="auto"/>
          <w:highlight w:val="none"/>
        </w:rPr>
        <w:t>致：</w:t>
      </w:r>
      <w:r>
        <w:rPr>
          <w:rFonts w:hint="eastAsia" w:ascii="宋体" w:hAnsi="宋体" w:cs="宋体"/>
          <w:color w:val="auto"/>
          <w:highlight w:val="none"/>
          <w:u w:val="single"/>
          <w:lang w:eastAsia="zh-CN"/>
        </w:rPr>
        <w:t>广西协弘项目管理有限公司</w:t>
      </w:r>
    </w:p>
    <w:p w14:paraId="4EB413EA">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根据已收到的</w:t>
      </w:r>
      <w:r>
        <w:rPr>
          <w:rFonts w:hint="eastAsia" w:ascii="宋体" w:hAnsi="宋体" w:eastAsia="宋体" w:cs="宋体"/>
          <w:color w:val="auto"/>
          <w:szCs w:val="21"/>
          <w:highlight w:val="none"/>
          <w:u w:val="single"/>
        </w:rPr>
        <w:t xml:space="preserve">        （工程名称）                      </w:t>
      </w:r>
      <w:r>
        <w:rPr>
          <w:rFonts w:hint="eastAsia" w:ascii="宋体" w:hAnsi="宋体" w:eastAsia="宋体" w:cs="宋体"/>
          <w:color w:val="auto"/>
          <w:szCs w:val="21"/>
          <w:highlight w:val="none"/>
        </w:rPr>
        <w:t>工程的竞争性</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文件，我方经考察现场和研究贵方的竞争性</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文件后</w:t>
      </w:r>
      <w:r>
        <w:rPr>
          <w:rFonts w:hint="eastAsia" w:ascii="宋体" w:hAnsi="宋体" w:eastAsia="宋体" w:cs="宋体"/>
          <w:color w:val="auto"/>
          <w:highlight w:val="none"/>
        </w:rPr>
        <w:t>，</w:t>
      </w:r>
      <w:r>
        <w:rPr>
          <w:rFonts w:hint="eastAsia" w:ascii="宋体" w:hAnsi="宋体" w:eastAsia="宋体" w:cs="宋体"/>
          <w:color w:val="auto"/>
          <w:szCs w:val="21"/>
          <w:highlight w:val="none"/>
        </w:rPr>
        <w:t>我方愿以</w:t>
      </w:r>
      <w:r>
        <w:rPr>
          <w:rFonts w:hint="eastAsia" w:ascii="宋体" w:hAnsi="宋体" w:eastAsia="宋体" w:cs="宋体"/>
          <w:color w:val="auto"/>
          <w:highlight w:val="none"/>
        </w:rPr>
        <w:t>：</w:t>
      </w:r>
      <w:r>
        <w:rPr>
          <w:rFonts w:hint="eastAsia" w:ascii="宋体" w:hAnsi="宋体" w:cs="宋体"/>
          <w:b/>
          <w:color w:val="auto"/>
          <w:highlight w:val="none"/>
          <w:lang w:eastAsia="zh-CN"/>
        </w:rPr>
        <w:t>磋商</w:t>
      </w:r>
      <w:r>
        <w:rPr>
          <w:rFonts w:hint="eastAsia" w:ascii="宋体" w:hAnsi="宋体" w:eastAsia="宋体" w:cs="宋体"/>
          <w:b/>
          <w:color w:val="auto"/>
          <w:highlight w:val="none"/>
        </w:rPr>
        <w:t>总报价为：</w:t>
      </w:r>
      <w:r>
        <w:rPr>
          <w:rFonts w:hint="eastAsia" w:ascii="宋体" w:hAnsi="宋体" w:eastAsia="宋体" w:cs="宋体"/>
          <w:color w:val="auto"/>
          <w:highlight w:val="none"/>
          <w:u w:val="single"/>
        </w:rPr>
        <w:t>人民币(大写)</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w:t>
      </w:r>
      <w:r>
        <w:rPr>
          <w:rFonts w:hint="eastAsia" w:ascii="宋体" w:hAnsi="宋体" w:eastAsia="宋体" w:cs="宋体"/>
          <w:color w:val="auto"/>
          <w:highlight w:val="none"/>
        </w:rPr>
        <w:t>RMB</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r>
        <w:rPr>
          <w:rFonts w:hint="eastAsia" w:ascii="宋体" w:hAnsi="宋体" w:eastAsia="宋体" w:cs="宋体"/>
          <w:color w:val="auto"/>
          <w:szCs w:val="21"/>
          <w:highlight w:val="none"/>
        </w:rPr>
        <w:t>的</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报价并按上述合同条款、工程建设标准的条件要求承包上述工程的施工、竣工，并承担任何质量缺陷保修责任。我方保证工程质量达到国家质量标准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等级。</w:t>
      </w:r>
    </w:p>
    <w:p w14:paraId="62E8B9C3">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right="97" w:rightChars="46"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我方已详细审核全部</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文件，包括修改文件（如有时）及有关附件。</w:t>
      </w:r>
    </w:p>
    <w:p w14:paraId="12558E2E">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right="97" w:rightChars="46"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一旦我方成交，我方保证按合同协议书中规定的工期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日历天内完成并移交全部工程。</w:t>
      </w:r>
    </w:p>
    <w:p w14:paraId="24AAF3FD">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right="97" w:rightChars="46"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我方同意所提交的响应文件在</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文件的</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须知规定的</w:t>
      </w:r>
      <w:r>
        <w:rPr>
          <w:rFonts w:hint="eastAsia" w:ascii="宋体" w:hAnsi="宋体" w:cs="宋体"/>
          <w:color w:val="auto"/>
          <w:szCs w:val="21"/>
          <w:highlight w:val="none"/>
          <w:lang w:eastAsia="zh-CN"/>
        </w:rPr>
        <w:t>竞标有效期</w:t>
      </w:r>
      <w:r>
        <w:rPr>
          <w:rFonts w:hint="eastAsia" w:ascii="宋体" w:hAnsi="宋体" w:eastAsia="宋体" w:cs="宋体"/>
          <w:color w:val="auto"/>
          <w:szCs w:val="21"/>
          <w:highlight w:val="none"/>
        </w:rPr>
        <w:t>内有效，在此期间内如果成交，我方将受此约束。</w:t>
      </w:r>
    </w:p>
    <w:p w14:paraId="248112DA">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right="97" w:rightChars="46"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除非另外达成协议并生效，你方的成交通知书和本响应文件将成为约束双方的合同文件的组成部分。</w:t>
      </w:r>
    </w:p>
    <w:p w14:paraId="7AAF1D55">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firstLine="42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6</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我方将与本</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函一起，提交人民币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元作为</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 xml:space="preserve">担保。     </w:t>
      </w:r>
    </w:p>
    <w:p w14:paraId="4DB7DA06">
      <w:pPr>
        <w:numPr>
          <w:ilvl w:val="0"/>
          <w:numId w:val="0"/>
        </w:numPr>
        <w:spacing w:line="4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据此函，</w:t>
      </w:r>
      <w:r>
        <w:rPr>
          <w:rFonts w:hint="eastAsia" w:ascii="宋体" w:hAnsi="宋体" w:cs="宋体"/>
          <w:color w:val="auto"/>
          <w:szCs w:val="21"/>
          <w:highlight w:val="none"/>
          <w:lang w:val="en-US" w:eastAsia="zh-CN"/>
        </w:rPr>
        <w:t>我方</w:t>
      </w:r>
      <w:r>
        <w:rPr>
          <w:rFonts w:hint="eastAsia" w:ascii="宋体" w:hAnsi="宋体" w:eastAsia="宋体" w:cs="宋体"/>
          <w:color w:val="auto"/>
          <w:szCs w:val="21"/>
          <w:highlight w:val="none"/>
        </w:rPr>
        <w:t>宣布同意如下</w:t>
      </w:r>
      <w:r>
        <w:rPr>
          <w:rFonts w:hint="eastAsia" w:ascii="宋体" w:hAnsi="宋体" w:eastAsia="宋体" w:cs="宋体"/>
          <w:color w:val="auto"/>
          <w:szCs w:val="21"/>
          <w:highlight w:val="none"/>
          <w:lang w:eastAsia="zh-CN"/>
        </w:rPr>
        <w:t>：</w:t>
      </w:r>
    </w:p>
    <w:p w14:paraId="3A1FCC29">
      <w:pPr>
        <w:numPr>
          <w:ilvl w:val="0"/>
          <w:numId w:val="0"/>
        </w:numPr>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我方在此声明，所递交的</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文件及有关资料内容完整、真实和准确。</w:t>
      </w:r>
    </w:p>
    <w:p w14:paraId="01E5C01F">
      <w:pPr>
        <w:pStyle w:val="12"/>
        <w:numPr>
          <w:ilvl w:val="0"/>
          <w:numId w:val="0"/>
        </w:num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我方承诺已经具备《中华人民共和国政府采购法》中规定的参加政府采购活动的供应商应当具备的条件：</w:t>
      </w:r>
    </w:p>
    <w:p w14:paraId="43987626">
      <w:pPr>
        <w:pStyle w:val="12"/>
        <w:numPr>
          <w:ilvl w:val="0"/>
          <w:numId w:val="0"/>
        </w:numPr>
        <w:spacing w:line="400" w:lineRule="exact"/>
        <w:ind w:left="42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具有独立承担民事责任的能力；</w:t>
      </w:r>
    </w:p>
    <w:p w14:paraId="63071CD3">
      <w:pPr>
        <w:pStyle w:val="12"/>
        <w:numPr>
          <w:ilvl w:val="0"/>
          <w:numId w:val="0"/>
        </w:numPr>
        <w:spacing w:line="400" w:lineRule="exact"/>
        <w:ind w:left="42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具有良好的商业信誉和健全的财务会计制度；</w:t>
      </w:r>
    </w:p>
    <w:p w14:paraId="71C7691A">
      <w:pPr>
        <w:pStyle w:val="12"/>
        <w:numPr>
          <w:ilvl w:val="0"/>
          <w:numId w:val="0"/>
        </w:numPr>
        <w:spacing w:line="400" w:lineRule="exact"/>
        <w:ind w:left="42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具有履行合同所必需的设备和专业技术能力；</w:t>
      </w:r>
    </w:p>
    <w:p w14:paraId="3016F109">
      <w:pPr>
        <w:pStyle w:val="12"/>
        <w:numPr>
          <w:ilvl w:val="0"/>
          <w:numId w:val="0"/>
        </w:numPr>
        <w:spacing w:line="400" w:lineRule="exact"/>
        <w:ind w:left="42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有依法缴纳税收和社会保障资金的良好记录；</w:t>
      </w:r>
    </w:p>
    <w:p w14:paraId="41313E94">
      <w:pPr>
        <w:pStyle w:val="12"/>
        <w:numPr>
          <w:ilvl w:val="0"/>
          <w:numId w:val="0"/>
        </w:numPr>
        <w:spacing w:line="400" w:lineRule="exact"/>
        <w:ind w:left="42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参加政府采购活动前三年内，在经营活动中没有重大违法记录；</w:t>
      </w:r>
    </w:p>
    <w:p w14:paraId="0BEADCE8">
      <w:pPr>
        <w:pStyle w:val="12"/>
        <w:numPr>
          <w:ilvl w:val="0"/>
          <w:numId w:val="0"/>
        </w:numPr>
        <w:spacing w:line="400" w:lineRule="exact"/>
        <w:ind w:left="42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法律、行政法规规定的其他条件。</w:t>
      </w:r>
    </w:p>
    <w:p w14:paraId="5FFA1242">
      <w:pPr>
        <w:pStyle w:val="12"/>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szCs w:val="21"/>
          <w:highlight w:val="none"/>
        </w:rPr>
        <w:t>如本项目采购内容涉及须符合国家强制规定的，我方承诺我方本次</w:t>
      </w:r>
      <w:r>
        <w:rPr>
          <w:rFonts w:hint="eastAsia" w:hAnsi="宋体" w:cs="宋体"/>
          <w:color w:val="auto"/>
          <w:szCs w:val="21"/>
          <w:highlight w:val="none"/>
          <w:lang w:eastAsia="zh-CN"/>
        </w:rPr>
        <w:t>磋商</w:t>
      </w:r>
      <w:r>
        <w:rPr>
          <w:rFonts w:hint="eastAsia" w:ascii="宋体" w:hAnsi="宋体" w:eastAsia="宋体" w:cs="宋体"/>
          <w:color w:val="auto"/>
          <w:szCs w:val="21"/>
          <w:highlight w:val="none"/>
        </w:rPr>
        <w:t>（包括资格条件和所</w:t>
      </w:r>
      <w:r>
        <w:rPr>
          <w:rFonts w:hint="eastAsia" w:hAnsi="宋体" w:cs="宋体"/>
          <w:color w:val="auto"/>
          <w:szCs w:val="21"/>
          <w:highlight w:val="none"/>
          <w:lang w:eastAsia="zh-CN"/>
        </w:rPr>
        <w:t>磋商</w:t>
      </w:r>
      <w:r>
        <w:rPr>
          <w:rFonts w:hint="eastAsia" w:ascii="宋体" w:hAnsi="宋体" w:eastAsia="宋体" w:cs="宋体"/>
          <w:color w:val="auto"/>
          <w:szCs w:val="21"/>
          <w:highlight w:val="none"/>
        </w:rPr>
        <w:t>产品）均符合国家有关强制规定。</w:t>
      </w:r>
    </w:p>
    <w:p w14:paraId="2D531169">
      <w:pPr>
        <w:pStyle w:val="12"/>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如我方</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，我方承诺在收到</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通知书后，在</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通知书规定的期限内，根据</w:t>
      </w:r>
      <w:r>
        <w:rPr>
          <w:rFonts w:hint="eastAsia" w:ascii="宋体" w:hAnsi="宋体" w:eastAsia="宋体" w:cs="宋体"/>
          <w:color w:val="auto"/>
          <w:highlight w:val="none"/>
          <w:lang w:eastAsia="zh-CN"/>
        </w:rPr>
        <w:t>竞争性</w:t>
      </w:r>
      <w:r>
        <w:rPr>
          <w:rFonts w:hint="eastAsia" w:hAnsi="宋体" w:cs="宋体"/>
          <w:color w:val="auto"/>
          <w:highlight w:val="none"/>
          <w:lang w:eastAsia="zh-CN"/>
        </w:rPr>
        <w:t>磋商</w:t>
      </w:r>
      <w:r>
        <w:rPr>
          <w:rFonts w:hint="eastAsia" w:ascii="宋体" w:hAnsi="宋体" w:eastAsia="宋体" w:cs="宋体"/>
          <w:color w:val="auto"/>
          <w:highlight w:val="none"/>
        </w:rPr>
        <w:t>文件、我方的</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文件及有关澄清承诺书的要求按第</w:t>
      </w:r>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章“合同条款及格式”与采购人订立书面合同，并按照合同约定承担完成合同的责任和义务。</w:t>
      </w:r>
    </w:p>
    <w:p w14:paraId="4B6706DC">
      <w:pPr>
        <w:pStyle w:val="12"/>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我方已详细审核</w:t>
      </w:r>
      <w:r>
        <w:rPr>
          <w:rFonts w:hint="eastAsia" w:ascii="宋体" w:hAnsi="宋体" w:eastAsia="宋体" w:cs="宋体"/>
          <w:color w:val="auto"/>
          <w:highlight w:val="none"/>
          <w:lang w:eastAsia="zh-CN"/>
        </w:rPr>
        <w:t>竞争性</w:t>
      </w:r>
      <w:r>
        <w:rPr>
          <w:rFonts w:hint="eastAsia" w:hAnsi="宋体" w:cs="宋体"/>
          <w:color w:val="auto"/>
          <w:highlight w:val="none"/>
          <w:lang w:eastAsia="zh-CN"/>
        </w:rPr>
        <w:t>磋商</w:t>
      </w:r>
      <w:r>
        <w:rPr>
          <w:rFonts w:hint="eastAsia" w:ascii="宋体" w:hAnsi="宋体" w:eastAsia="宋体" w:cs="宋体"/>
          <w:color w:val="auto"/>
          <w:highlight w:val="none"/>
        </w:rPr>
        <w:t>文件，我方知道必须放弃提出含糊不清或误解问题的权利。</w:t>
      </w:r>
    </w:p>
    <w:p w14:paraId="6C27C094">
      <w:pPr>
        <w:pStyle w:val="12"/>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我方同意应贵方要求提供与本</w:t>
      </w:r>
      <w:r>
        <w:rPr>
          <w:rFonts w:hint="eastAsia" w:hAnsi="宋体" w:cs="宋体"/>
          <w:color w:val="auto"/>
          <w:highlight w:val="none"/>
          <w:lang w:eastAsia="zh-CN"/>
        </w:rPr>
        <w:t>磋商</w:t>
      </w:r>
      <w:r>
        <w:rPr>
          <w:rFonts w:hint="eastAsia" w:ascii="宋体" w:hAnsi="宋体" w:eastAsia="宋体" w:cs="宋体"/>
          <w:color w:val="auto"/>
          <w:highlight w:val="none"/>
        </w:rPr>
        <w:t>有关的任何数据或资料。若贵方需要，我方愿意提供我方作出的一切承诺的证明材料。</w:t>
      </w:r>
    </w:p>
    <w:p w14:paraId="2861A43B">
      <w:pPr>
        <w:pStyle w:val="12"/>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3E22495">
      <w:pPr>
        <w:pStyle w:val="12"/>
        <w:numPr>
          <w:ilvl w:val="0"/>
          <w:numId w:val="0"/>
        </w:numPr>
        <w:spacing w:line="400" w:lineRule="exact"/>
        <w:ind w:left="42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提供虚假材料谋取中标、成交的；</w:t>
      </w:r>
    </w:p>
    <w:p w14:paraId="03400046">
      <w:pPr>
        <w:pStyle w:val="12"/>
        <w:numPr>
          <w:ilvl w:val="0"/>
          <w:numId w:val="0"/>
        </w:numPr>
        <w:spacing w:line="400" w:lineRule="exact"/>
        <w:ind w:left="42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采取不正当手段诋毁、排挤其他供应商的；</w:t>
      </w:r>
    </w:p>
    <w:p w14:paraId="0C97798B">
      <w:pPr>
        <w:pStyle w:val="12"/>
        <w:numPr>
          <w:ilvl w:val="0"/>
          <w:numId w:val="0"/>
        </w:numPr>
        <w:spacing w:line="400" w:lineRule="exact"/>
        <w:ind w:left="42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与采购人、其他供应商或者采购代理机构恶意串通的；</w:t>
      </w:r>
    </w:p>
    <w:p w14:paraId="61032108">
      <w:pPr>
        <w:pStyle w:val="12"/>
        <w:numPr>
          <w:ilvl w:val="0"/>
          <w:numId w:val="0"/>
        </w:numPr>
        <w:spacing w:line="400" w:lineRule="exact"/>
        <w:ind w:left="42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向采购人、采购代理机构行贿或者提供其他不正当利益的；</w:t>
      </w:r>
    </w:p>
    <w:p w14:paraId="24283121">
      <w:pPr>
        <w:pStyle w:val="12"/>
        <w:numPr>
          <w:ilvl w:val="0"/>
          <w:numId w:val="0"/>
        </w:numPr>
        <w:spacing w:line="400" w:lineRule="exact"/>
        <w:ind w:left="42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在招标采购过程中与采购人进行协商</w:t>
      </w:r>
      <w:r>
        <w:rPr>
          <w:rFonts w:hint="eastAsia" w:hAnsi="宋体" w:cs="宋体"/>
          <w:color w:val="auto"/>
          <w:highlight w:val="none"/>
          <w:lang w:eastAsia="zh-CN"/>
        </w:rPr>
        <w:t>磋商</w:t>
      </w:r>
      <w:r>
        <w:rPr>
          <w:rFonts w:hint="eastAsia" w:ascii="宋体" w:hAnsi="宋体" w:eastAsia="宋体" w:cs="宋体"/>
          <w:color w:val="auto"/>
          <w:highlight w:val="none"/>
        </w:rPr>
        <w:t>的；</w:t>
      </w:r>
    </w:p>
    <w:p w14:paraId="1D0AD6AE">
      <w:pPr>
        <w:pStyle w:val="12"/>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6）拒绝有关部门监督检查或提供虚假情况的。</w:t>
      </w:r>
    </w:p>
    <w:p w14:paraId="5B094907">
      <w:pPr>
        <w:pStyle w:val="12"/>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以上事项如有虚假或隐瞒，我方愿意承担一切后果，并不再寻求任何旨在减轻或免除法律责任的辩解。</w:t>
      </w:r>
    </w:p>
    <w:p w14:paraId="731F304A">
      <w:pPr>
        <w:snapToGrid w:val="0"/>
        <w:spacing w:line="370" w:lineRule="exact"/>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（9）</w:t>
      </w:r>
      <w:r>
        <w:rPr>
          <w:rFonts w:hint="eastAsia" w:ascii="宋体" w:hAnsi="宋体" w:eastAsia="宋体" w:cs="宋体"/>
          <w:color w:val="auto"/>
          <w:highlight w:val="none"/>
        </w:rPr>
        <w:t>我方</w:t>
      </w:r>
      <w:r>
        <w:rPr>
          <w:rFonts w:hint="eastAsia" w:ascii="宋体" w:hAnsi="宋体" w:eastAsia="宋体" w:cs="宋体"/>
          <w:b w:val="0"/>
          <w:bCs/>
          <w:color w:val="auto"/>
          <w:szCs w:val="21"/>
          <w:highlight w:val="none"/>
        </w:rPr>
        <w:t>同意本</w:t>
      </w:r>
      <w:r>
        <w:rPr>
          <w:rFonts w:hint="eastAsia" w:ascii="宋体" w:hAnsi="宋体" w:eastAsia="宋体" w:cs="宋体"/>
          <w:b w:val="0"/>
          <w:bCs/>
          <w:color w:val="auto"/>
          <w:szCs w:val="21"/>
          <w:highlight w:val="none"/>
          <w:lang w:eastAsia="zh-CN"/>
        </w:rPr>
        <w:t>响应</w:t>
      </w:r>
      <w:r>
        <w:rPr>
          <w:rFonts w:hint="eastAsia" w:ascii="宋体" w:hAnsi="宋体" w:eastAsia="宋体" w:cs="宋体"/>
          <w:b w:val="0"/>
          <w:bCs/>
          <w:color w:val="auto"/>
          <w:szCs w:val="21"/>
          <w:highlight w:val="none"/>
        </w:rPr>
        <w:t>文件中</w:t>
      </w:r>
      <w:r>
        <w:rPr>
          <w:rFonts w:hint="eastAsia" w:ascii="宋体" w:hAnsi="宋体" w:eastAsia="宋体" w:cs="宋体"/>
          <w:b w:val="0"/>
          <w:bCs/>
          <w:color w:val="auto"/>
          <w:szCs w:val="21"/>
          <w:highlight w:val="none"/>
          <w:lang w:eastAsia="zh-CN"/>
        </w:rPr>
        <w:t>报价文件</w:t>
      </w:r>
      <w:r>
        <w:rPr>
          <w:rFonts w:hint="eastAsia" w:ascii="宋体" w:hAnsi="宋体" w:eastAsia="宋体" w:cs="宋体"/>
          <w:b w:val="0"/>
          <w:bCs/>
          <w:color w:val="auto"/>
          <w:szCs w:val="21"/>
          <w:highlight w:val="none"/>
        </w:rPr>
        <w:t>和</w:t>
      </w:r>
      <w:r>
        <w:rPr>
          <w:rFonts w:hint="eastAsia" w:ascii="宋体" w:hAnsi="宋体" w:eastAsia="宋体" w:cs="宋体"/>
          <w:b w:val="0"/>
          <w:bCs/>
          <w:color w:val="auto"/>
          <w:szCs w:val="21"/>
          <w:highlight w:val="none"/>
          <w:lang w:eastAsia="zh-CN"/>
        </w:rPr>
        <w:t>成交</w:t>
      </w:r>
      <w:r>
        <w:rPr>
          <w:rFonts w:hint="eastAsia" w:ascii="宋体" w:hAnsi="宋体" w:eastAsia="宋体" w:cs="宋体"/>
          <w:b w:val="0"/>
          <w:bCs/>
          <w:color w:val="auto"/>
          <w:szCs w:val="21"/>
          <w:highlight w:val="none"/>
        </w:rPr>
        <w:t>后签订的采购合同可用于公示，其中所有内容不涉及</w:t>
      </w:r>
      <w:r>
        <w:rPr>
          <w:rFonts w:hint="eastAsia" w:ascii="宋体" w:hAnsi="宋体" w:eastAsia="宋体" w:cs="宋体"/>
          <w:b w:val="0"/>
          <w:bCs/>
          <w:color w:val="auto"/>
          <w:szCs w:val="21"/>
          <w:highlight w:val="none"/>
          <w:lang w:eastAsia="zh-CN"/>
        </w:rPr>
        <w:t>供应商</w:t>
      </w:r>
      <w:r>
        <w:rPr>
          <w:rFonts w:hint="eastAsia" w:ascii="宋体" w:hAnsi="宋体" w:eastAsia="宋体" w:cs="宋体"/>
          <w:b w:val="0"/>
          <w:bCs/>
          <w:color w:val="auto"/>
          <w:szCs w:val="21"/>
          <w:highlight w:val="none"/>
        </w:rPr>
        <w:t>商业秘密，并承诺可向</w:t>
      </w:r>
      <w:r>
        <w:rPr>
          <w:rFonts w:hint="eastAsia" w:ascii="宋体" w:hAnsi="宋体" w:eastAsia="宋体" w:cs="宋体"/>
          <w:b w:val="0"/>
          <w:bCs/>
          <w:color w:val="auto"/>
          <w:szCs w:val="21"/>
          <w:highlight w:val="none"/>
          <w:lang w:eastAsia="zh-CN"/>
        </w:rPr>
        <w:t>采购代理机构</w:t>
      </w:r>
      <w:r>
        <w:rPr>
          <w:rFonts w:hint="eastAsia" w:ascii="宋体" w:hAnsi="宋体" w:eastAsia="宋体" w:cs="宋体"/>
          <w:b w:val="0"/>
          <w:bCs/>
          <w:color w:val="auto"/>
          <w:szCs w:val="21"/>
          <w:highlight w:val="none"/>
        </w:rPr>
        <w:t>提供相关电子文档。</w:t>
      </w:r>
    </w:p>
    <w:p w14:paraId="5C00E70C">
      <w:pPr>
        <w:numPr>
          <w:ilvl w:val="0"/>
          <w:numId w:val="0"/>
        </w:numPr>
        <w:spacing w:line="460" w:lineRule="exact"/>
        <w:ind w:left="420" w:leftChars="0"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highlight w:val="none"/>
          <w:lang w:val="en-US" w:eastAsia="zh-CN"/>
        </w:rPr>
        <w:t>（10）</w:t>
      </w:r>
      <w:r>
        <w:rPr>
          <w:rFonts w:hint="eastAsia" w:ascii="宋体" w:hAnsi="宋体" w:eastAsia="宋体" w:cs="宋体"/>
          <w:color w:val="auto"/>
          <w:szCs w:val="21"/>
          <w:highlight w:val="none"/>
        </w:rPr>
        <w:t>与本</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有关的一切正式往来信函请寄：</w:t>
      </w:r>
      <w:r>
        <w:rPr>
          <w:rFonts w:hint="eastAsia" w:ascii="宋体" w:hAnsi="宋体" w:eastAsia="宋体" w:cs="宋体"/>
          <w:color w:val="auto"/>
          <w:szCs w:val="21"/>
          <w:highlight w:val="none"/>
          <w:u w:val="single"/>
        </w:rPr>
        <w:t xml:space="preserve">                                 </w:t>
      </w:r>
    </w:p>
    <w:p w14:paraId="1BF3C209">
      <w:pPr>
        <w:snapToGrid w:val="0"/>
        <w:spacing w:line="37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电话：</w:t>
      </w:r>
      <w:r>
        <w:rPr>
          <w:rFonts w:hint="eastAsia" w:ascii="宋体" w:hAnsi="宋体" w:eastAsia="宋体" w:cs="宋体"/>
          <w:color w:val="auto"/>
          <w:szCs w:val="21"/>
          <w:highlight w:val="none"/>
          <w:u w:val="single"/>
        </w:rPr>
        <w:t xml:space="preserve">                </w:t>
      </w:r>
    </w:p>
    <w:p w14:paraId="2276BEF2">
      <w:pPr>
        <w:spacing w:line="400" w:lineRule="exact"/>
        <w:ind w:left="0"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lang w:eastAsia="zh-CN"/>
        </w:rPr>
        <w:t>电子邮箱：</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2EE2D8A9">
      <w:pPr>
        <w:spacing w:line="400" w:lineRule="exact"/>
        <w:ind w:left="0"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lang w:eastAsia="zh-CN"/>
        </w:rPr>
        <w:t>供应商</w:t>
      </w:r>
      <w:r>
        <w:rPr>
          <w:rFonts w:hint="eastAsia" w:ascii="宋体" w:hAnsi="宋体" w:eastAsia="宋体" w:cs="宋体"/>
          <w:color w:val="auto"/>
          <w:szCs w:val="21"/>
          <w:highlight w:val="none"/>
        </w:rPr>
        <w:t>代表姓名：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p w14:paraId="43BDFE89">
      <w:pPr>
        <w:spacing w:line="400" w:lineRule="exact"/>
        <w:ind w:left="0"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 xml:space="preserve">   （全称）                             （电子</w:t>
      </w:r>
      <w:r>
        <w:rPr>
          <w:rFonts w:hint="eastAsia" w:ascii="宋体" w:hAnsi="宋体" w:cs="宋体"/>
          <w:color w:val="auto"/>
          <w:highlight w:val="none"/>
          <w:u w:val="single"/>
          <w:lang w:val="en-US" w:eastAsia="zh-CN"/>
        </w:rPr>
        <w:t>印</w:t>
      </w:r>
      <w:r>
        <w:rPr>
          <w:rFonts w:hint="eastAsia" w:ascii="宋体" w:hAnsi="宋体" w:eastAsia="宋体" w:cs="宋体"/>
          <w:color w:val="auto"/>
          <w:highlight w:val="none"/>
          <w:u w:val="single"/>
        </w:rPr>
        <w:t>章）</w:t>
      </w:r>
    </w:p>
    <w:p w14:paraId="2E346B62">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统一社会信用代码：</w:t>
      </w:r>
      <w:r>
        <w:rPr>
          <w:rFonts w:hint="eastAsia" w:ascii="宋体" w:hAnsi="宋体" w:eastAsia="宋体" w:cs="宋体"/>
          <w:color w:val="auto"/>
          <w:szCs w:val="21"/>
          <w:highlight w:val="none"/>
          <w:u w:val="single"/>
        </w:rPr>
        <w:t xml:space="preserve">                                    </w:t>
      </w:r>
    </w:p>
    <w:p w14:paraId="028B047A">
      <w:pPr>
        <w:spacing w:line="400" w:lineRule="exact"/>
        <w:ind w:left="0"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单位地址：</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p>
    <w:p w14:paraId="76E795DE">
      <w:pPr>
        <w:snapToGrid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开票信息：</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（填“专票”或“普票”）</w:t>
      </w:r>
      <w:r>
        <w:rPr>
          <w:rFonts w:hint="eastAsia" w:ascii="宋体" w:hAnsi="宋体" w:eastAsia="宋体" w:cs="宋体"/>
          <w:color w:val="auto"/>
          <w:szCs w:val="21"/>
          <w:highlight w:val="none"/>
          <w:u w:val="single"/>
        </w:rPr>
        <w:t xml:space="preserve">                                </w:t>
      </w:r>
    </w:p>
    <w:p w14:paraId="07E98780">
      <w:pPr>
        <w:snapToGrid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纳税人识别号：</w:t>
      </w:r>
      <w:r>
        <w:rPr>
          <w:rFonts w:hint="eastAsia" w:ascii="宋体" w:hAnsi="宋体" w:eastAsia="宋体" w:cs="宋体"/>
          <w:color w:val="auto"/>
          <w:szCs w:val="21"/>
          <w:highlight w:val="none"/>
          <w:u w:val="single"/>
        </w:rPr>
        <w:t xml:space="preserve">                               </w:t>
      </w:r>
    </w:p>
    <w:p w14:paraId="08C2BCAF">
      <w:pPr>
        <w:spacing w:line="400" w:lineRule="exact"/>
        <w:ind w:left="0"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开户银行名称：</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p>
    <w:p w14:paraId="785CF6CF">
      <w:pPr>
        <w:spacing w:line="400" w:lineRule="exact"/>
        <w:ind w:left="0" w:firstLine="420" w:firstLineChars="200"/>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rPr>
        <w:t>开户银行账号：</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lang w:val="en-US" w:eastAsia="zh-CN"/>
        </w:rPr>
        <w:t xml:space="preserve">    </w:t>
      </w:r>
    </w:p>
    <w:p w14:paraId="589A130E">
      <w:pPr>
        <w:spacing w:line="400" w:lineRule="exact"/>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开户银行地址：</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p>
    <w:p w14:paraId="58CC87D2">
      <w:pPr>
        <w:spacing w:line="400" w:lineRule="exact"/>
        <w:ind w:left="0"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开户银行电话：</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p>
    <w:p w14:paraId="005EEDBF">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法定代表人姓名：</w:t>
      </w:r>
      <w:r>
        <w:rPr>
          <w:rFonts w:hint="eastAsia" w:ascii="宋体" w:hAnsi="宋体" w:eastAsia="宋体" w:cs="宋体"/>
          <w:color w:val="auto"/>
          <w:szCs w:val="21"/>
          <w:highlight w:val="none"/>
          <w:u w:val="single"/>
        </w:rPr>
        <w:t xml:space="preserve">         　　　　　　　　　  　      </w:t>
      </w:r>
    </w:p>
    <w:p w14:paraId="0BE68F5A">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法定代表人身份证号码：</w:t>
      </w:r>
      <w:r>
        <w:rPr>
          <w:rFonts w:hint="eastAsia" w:ascii="宋体" w:hAnsi="宋体" w:eastAsia="宋体" w:cs="宋体"/>
          <w:color w:val="auto"/>
          <w:szCs w:val="21"/>
          <w:highlight w:val="none"/>
          <w:u w:val="single"/>
        </w:rPr>
        <w:t xml:space="preserve">               　　　　        </w:t>
      </w:r>
    </w:p>
    <w:p w14:paraId="5405B729">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授权委托代理人姓名：</w:t>
      </w:r>
      <w:r>
        <w:rPr>
          <w:rFonts w:hint="eastAsia" w:ascii="宋体" w:hAnsi="宋体" w:eastAsia="宋体" w:cs="宋体"/>
          <w:color w:val="auto"/>
          <w:szCs w:val="21"/>
          <w:highlight w:val="none"/>
          <w:u w:val="single"/>
        </w:rPr>
        <w:t xml:space="preserve">        　　　　　　　　　　     </w:t>
      </w:r>
    </w:p>
    <w:p w14:paraId="41314147">
      <w:pPr>
        <w:snapToGrid w:val="0"/>
        <w:spacing w:line="420" w:lineRule="exact"/>
        <w:ind w:left="0" w:firstLine="420" w:firstLineChars="200"/>
        <w:rPr>
          <w:rFonts w:hint="eastAsia" w:ascii="宋体" w:hAnsi="宋体" w:eastAsia="宋体" w:cs="宋体"/>
          <w:color w:val="auto"/>
          <w:highlight w:val="none"/>
          <w:u w:val="single"/>
        </w:rPr>
      </w:pPr>
      <w:r>
        <w:rPr>
          <w:rFonts w:hint="eastAsia" w:ascii="宋体" w:hAnsi="宋体" w:eastAsia="宋体" w:cs="宋体"/>
          <w:color w:val="auto"/>
          <w:szCs w:val="21"/>
          <w:highlight w:val="none"/>
        </w:rPr>
        <w:t>授权委托代理人身份证号码：</w:t>
      </w:r>
      <w:r>
        <w:rPr>
          <w:rFonts w:hint="eastAsia" w:ascii="宋体" w:hAnsi="宋体" w:eastAsia="宋体" w:cs="宋体"/>
          <w:color w:val="auto"/>
          <w:szCs w:val="21"/>
          <w:highlight w:val="none"/>
          <w:u w:val="single"/>
        </w:rPr>
        <w:t xml:space="preserve">             　            </w:t>
      </w:r>
    </w:p>
    <w:p w14:paraId="1A9BB614">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（签字）</w:t>
      </w:r>
    </w:p>
    <w:p w14:paraId="2C33FF7D">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p>
    <w:p w14:paraId="74FCE247">
      <w:pPr>
        <w:spacing w:line="400" w:lineRule="exact"/>
        <w:rPr>
          <w:rFonts w:hint="eastAsia" w:ascii="宋体" w:hAnsi="宋体" w:eastAsia="宋体" w:cs="宋体"/>
          <w:b/>
          <w:bCs w:val="0"/>
          <w:color w:val="auto"/>
          <w:spacing w:val="0"/>
          <w:kern w:val="2"/>
          <w:sz w:val="24"/>
          <w:szCs w:val="24"/>
          <w:highlight w:val="none"/>
          <w:lang w:val="en-US" w:eastAsia="zh-CN" w:bidi="ar-SA"/>
        </w:rPr>
      </w:pPr>
    </w:p>
    <w:p w14:paraId="4580799C">
      <w:pPr>
        <w:spacing w:line="400" w:lineRule="exact"/>
        <w:rPr>
          <w:rFonts w:hint="eastAsia" w:ascii="宋体" w:hAnsi="宋体" w:eastAsia="宋体" w:cs="宋体"/>
          <w:b/>
          <w:bCs w:val="0"/>
          <w:color w:val="auto"/>
          <w:spacing w:val="0"/>
          <w:kern w:val="2"/>
          <w:sz w:val="24"/>
          <w:szCs w:val="24"/>
          <w:highlight w:val="none"/>
          <w:lang w:val="en-US" w:eastAsia="zh-CN" w:bidi="ar-SA"/>
        </w:rPr>
      </w:pPr>
    </w:p>
    <w:p w14:paraId="278AAC88">
      <w:pPr>
        <w:spacing w:line="400" w:lineRule="exact"/>
        <w:rPr>
          <w:rFonts w:hint="eastAsia" w:ascii="宋体" w:hAnsi="宋体" w:eastAsia="宋体" w:cs="宋体"/>
          <w:b/>
          <w:bCs w:val="0"/>
          <w:color w:val="auto"/>
          <w:spacing w:val="0"/>
          <w:kern w:val="2"/>
          <w:sz w:val="24"/>
          <w:szCs w:val="24"/>
          <w:highlight w:val="none"/>
          <w:lang w:val="en-US" w:eastAsia="zh-CN" w:bidi="ar-SA"/>
        </w:rPr>
      </w:pPr>
    </w:p>
    <w:bookmarkEnd w:id="1207"/>
    <w:bookmarkEnd w:id="1208"/>
    <w:p w14:paraId="3D91FBD3">
      <w:pPr>
        <w:shd w:val="clear" w:color="auto" w:fill="FFFFFF"/>
        <w:spacing w:after="96" w:afterLines="30"/>
        <w:ind w:firstLine="482" w:firstLineChars="200"/>
        <w:rPr>
          <w:rFonts w:hint="eastAsia" w:ascii="宋体" w:hAnsi="宋体" w:eastAsia="宋体" w:cs="宋体"/>
          <w:b/>
          <w:bCs/>
          <w:color w:val="auto"/>
          <w:sz w:val="24"/>
          <w:szCs w:val="24"/>
          <w:highlight w:val="none"/>
        </w:rPr>
      </w:pPr>
      <w:bookmarkStart w:id="1209" w:name="_Toc349215560"/>
      <w:bookmarkStart w:id="1210" w:name="_Toc349639687"/>
      <w:bookmarkStart w:id="1211" w:name="_Toc349558044"/>
      <w:bookmarkStart w:id="1212" w:name="_Toc349557654"/>
      <w:bookmarkStart w:id="1213" w:name="_Toc389065358"/>
      <w:bookmarkStart w:id="1214" w:name="_Toc349555832"/>
      <w:bookmarkStart w:id="1215" w:name="_Toc349640339"/>
      <w:bookmarkStart w:id="1216" w:name="_Toc424307761"/>
      <w:bookmarkStart w:id="1217" w:name="_Toc424307490"/>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.已标价工程量清单报价</w:t>
      </w:r>
    </w:p>
    <w:p w14:paraId="6BD04BD2">
      <w:pPr>
        <w:pStyle w:val="2"/>
        <w:pageBreakBefore w:val="0"/>
        <w:widowControl w:val="0"/>
        <w:kinsoku/>
        <w:wordWrap/>
        <w:overflowPunct/>
        <w:topLinePunct w:val="0"/>
        <w:autoSpaceDE/>
        <w:autoSpaceDN/>
        <w:bidi w:val="0"/>
        <w:adjustRightInd/>
        <w:snapToGrid/>
        <w:spacing w:before="0" w:after="0" w:line="240" w:lineRule="auto"/>
        <w:ind w:firstLine="596" w:firstLineChars="20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w w:val="99"/>
          <w:kern w:val="0"/>
          <w:sz w:val="30"/>
          <w:szCs w:val="32"/>
        </w:rPr>
        <w:t>已标价的工程量清单（含报价编制说明、分项报价表等）（必须提供）</w:t>
      </w:r>
    </w:p>
    <w:p w14:paraId="0575C078">
      <w:pPr>
        <w:pStyle w:val="2"/>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
          <w:bCs/>
          <w:color w:val="auto"/>
          <w:kern w:val="2"/>
          <w:sz w:val="24"/>
          <w:szCs w:val="24"/>
          <w:highlight w:val="none"/>
          <w:lang w:val="en-US" w:eastAsia="zh-CN" w:bidi="ar-SA"/>
        </w:rPr>
      </w:pPr>
    </w:p>
    <w:p w14:paraId="3A92CA82">
      <w:pPr>
        <w:pStyle w:val="2"/>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
          <w:bCs/>
          <w:color w:val="auto"/>
          <w:kern w:val="2"/>
          <w:sz w:val="24"/>
          <w:szCs w:val="24"/>
          <w:highlight w:val="none"/>
          <w:lang w:val="en-US" w:eastAsia="zh-CN" w:bidi="ar-SA"/>
        </w:rPr>
      </w:pPr>
    </w:p>
    <w:p w14:paraId="5A9454AB">
      <w:pPr>
        <w:pStyle w:val="2"/>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
          <w:bCs/>
          <w:color w:val="auto"/>
          <w:kern w:val="2"/>
          <w:sz w:val="24"/>
          <w:szCs w:val="24"/>
          <w:highlight w:val="none"/>
          <w:lang w:val="en-US" w:eastAsia="zh-CN" w:bidi="ar-SA"/>
        </w:rPr>
      </w:pPr>
    </w:p>
    <w:p w14:paraId="42EF7406">
      <w:pPr>
        <w:shd w:val="clear" w:color="auto" w:fill="FFFFFF"/>
        <w:spacing w:after="96" w:afterLines="30"/>
        <w:rPr>
          <w:rFonts w:hint="eastAsia" w:ascii="宋体" w:hAnsi="宋体" w:eastAsia="宋体" w:cs="宋体"/>
          <w:b/>
          <w:bCs/>
          <w:color w:val="auto"/>
          <w:szCs w:val="21"/>
          <w:highlight w:val="none"/>
          <w:lang w:val="en-US" w:eastAsia="zh-CN"/>
        </w:rPr>
      </w:pPr>
    </w:p>
    <w:bookmarkEnd w:id="1209"/>
    <w:bookmarkEnd w:id="1210"/>
    <w:bookmarkEnd w:id="1211"/>
    <w:bookmarkEnd w:id="1212"/>
    <w:bookmarkEnd w:id="1213"/>
    <w:bookmarkEnd w:id="1214"/>
    <w:bookmarkEnd w:id="1215"/>
    <w:p w14:paraId="7B245286">
      <w:pPr>
        <w:pStyle w:val="14"/>
        <w:rPr>
          <w:rFonts w:hint="eastAsia"/>
          <w:color w:val="auto"/>
          <w:lang w:val="en-US" w:eastAsia="zh-CN"/>
        </w:rPr>
      </w:pPr>
    </w:p>
    <w:p w14:paraId="2E3DDF3D">
      <w:pPr>
        <w:shd w:val="clear" w:color="auto" w:fill="FFFFFF"/>
        <w:spacing w:after="96" w:afterLines="30"/>
        <w:ind w:firstLine="422" w:firstLineChars="200"/>
        <w:rPr>
          <w:rFonts w:hint="eastAsia" w:ascii="宋体" w:hAnsi="宋体" w:cs="宋体"/>
          <w:b/>
          <w:bCs/>
          <w:color w:val="auto"/>
          <w:szCs w:val="21"/>
          <w:highlight w:val="none"/>
          <w:lang w:val="en-US" w:eastAsia="zh-CN"/>
        </w:rPr>
      </w:pPr>
    </w:p>
    <w:p w14:paraId="06AE6E63">
      <w:pPr>
        <w:shd w:val="clear" w:color="auto" w:fill="FFFFFF"/>
        <w:spacing w:after="96" w:afterLines="30"/>
        <w:ind w:firstLine="422" w:firstLineChars="200"/>
        <w:rPr>
          <w:rFonts w:hint="eastAsia" w:ascii="宋体" w:hAnsi="宋体" w:cs="宋体"/>
          <w:b/>
          <w:bCs/>
          <w:color w:val="auto"/>
          <w:szCs w:val="21"/>
          <w:highlight w:val="none"/>
          <w:lang w:val="en-US" w:eastAsia="zh-CN"/>
        </w:rPr>
      </w:pPr>
    </w:p>
    <w:p w14:paraId="030234A6">
      <w:pPr>
        <w:shd w:val="clear" w:color="auto" w:fill="FFFFFF"/>
        <w:spacing w:after="96" w:afterLines="30"/>
        <w:ind w:firstLine="422" w:firstLineChars="200"/>
        <w:rPr>
          <w:rFonts w:hint="eastAsia" w:ascii="宋体" w:hAnsi="宋体" w:cs="宋体"/>
          <w:b/>
          <w:bCs/>
          <w:color w:val="auto"/>
          <w:szCs w:val="21"/>
          <w:highlight w:val="none"/>
          <w:lang w:val="en-US" w:eastAsia="zh-CN"/>
        </w:rPr>
      </w:pPr>
    </w:p>
    <w:p w14:paraId="732C1F96">
      <w:pPr>
        <w:shd w:val="clear" w:color="auto" w:fill="FFFFFF"/>
        <w:spacing w:after="96" w:afterLines="30"/>
        <w:ind w:firstLine="0" w:firstLineChars="0"/>
        <w:rPr>
          <w:rFonts w:hint="eastAsia" w:ascii="宋体" w:hAnsi="宋体" w:cs="宋体"/>
          <w:b/>
          <w:bCs/>
          <w:color w:val="auto"/>
          <w:szCs w:val="21"/>
          <w:highlight w:val="none"/>
          <w:lang w:val="en-US" w:eastAsia="zh-CN"/>
        </w:rPr>
      </w:pPr>
    </w:p>
    <w:bookmarkEnd w:id="1216"/>
    <w:bookmarkEnd w:id="1217"/>
    <w:p w14:paraId="4CC21A76">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br w:type="page"/>
      </w:r>
    </w:p>
    <w:p w14:paraId="675CAAB5">
      <w:pPr>
        <w:numPr>
          <w:ilvl w:val="0"/>
          <w:numId w:val="14"/>
        </w:numPr>
        <w:shd w:val="clear" w:color="auto" w:fill="FFFFFF"/>
        <w:spacing w:after="96" w:afterLines="30"/>
        <w:ind w:firstLine="482" w:firstLineChars="20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竞标报价表</w:t>
      </w:r>
    </w:p>
    <w:p w14:paraId="68B8D7D4">
      <w:pPr>
        <w:numPr>
          <w:ilvl w:val="0"/>
          <w:numId w:val="0"/>
        </w:numPr>
        <w:shd w:val="clear" w:color="auto" w:fill="FFFFFF"/>
        <w:spacing w:after="96" w:afterLines="30"/>
        <w:jc w:val="cente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竞标报价表</w:t>
      </w:r>
    </w:p>
    <w:p w14:paraId="5C6A9511">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0FDC119C">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项目名称：</w:t>
      </w:r>
    </w:p>
    <w:p w14:paraId="7BB74F62">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项目编号：</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2776"/>
        <w:gridCol w:w="5008"/>
      </w:tblGrid>
      <w:tr w14:paraId="3CE0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3644" w:type="dxa"/>
            <w:gridSpan w:val="2"/>
            <w:vAlign w:val="center"/>
          </w:tcPr>
          <w:p w14:paraId="59A32BA2">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总价</w:t>
            </w:r>
          </w:p>
        </w:tc>
        <w:tc>
          <w:tcPr>
            <w:tcW w:w="5008" w:type="dxa"/>
            <w:vAlign w:val="center"/>
          </w:tcPr>
          <w:p w14:paraId="5C15AB6D">
            <w:pPr>
              <w:keepNext w:val="0"/>
              <w:keepLines w:val="0"/>
              <w:widowControl/>
              <w:suppressLineNumbers w:val="0"/>
              <w:jc w:val="both"/>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大写：</w:t>
            </w:r>
          </w:p>
          <w:p w14:paraId="4BC6B2D1">
            <w:pPr>
              <w:keepNext w:val="0"/>
              <w:keepLines w:val="0"/>
              <w:widowControl/>
              <w:suppressLineNumbers w:val="0"/>
              <w:jc w:val="both"/>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小写：</w:t>
            </w:r>
          </w:p>
        </w:tc>
      </w:tr>
      <w:tr w14:paraId="0429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restart"/>
            <w:vAlign w:val="center"/>
          </w:tcPr>
          <w:p w14:paraId="4E998CC3">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其中</w:t>
            </w:r>
          </w:p>
        </w:tc>
        <w:tc>
          <w:tcPr>
            <w:tcW w:w="2776" w:type="dxa"/>
            <w:vAlign w:val="center"/>
          </w:tcPr>
          <w:p w14:paraId="08A68C11">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安全文明施工费</w:t>
            </w:r>
          </w:p>
        </w:tc>
        <w:tc>
          <w:tcPr>
            <w:tcW w:w="5008" w:type="dxa"/>
            <w:vAlign w:val="center"/>
          </w:tcPr>
          <w:p w14:paraId="512DFA16">
            <w:pPr>
              <w:keepNext w:val="0"/>
              <w:keepLines w:val="0"/>
              <w:widowControl/>
              <w:suppressLineNumbers w:val="0"/>
              <w:jc w:val="both"/>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大写：</w:t>
            </w:r>
          </w:p>
          <w:p w14:paraId="1DCE1D95">
            <w:pPr>
              <w:keepNext w:val="0"/>
              <w:keepLines w:val="0"/>
              <w:widowControl/>
              <w:suppressLineNumbers w:val="0"/>
              <w:jc w:val="both"/>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小写：</w:t>
            </w:r>
          </w:p>
        </w:tc>
      </w:tr>
      <w:tr w14:paraId="0F9C1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vAlign w:val="center"/>
          </w:tcPr>
          <w:p w14:paraId="0E445EA8">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p>
        </w:tc>
        <w:tc>
          <w:tcPr>
            <w:tcW w:w="2776" w:type="dxa"/>
            <w:vAlign w:val="center"/>
          </w:tcPr>
          <w:p w14:paraId="27397487">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发包人提供材料（设备）暂估</w:t>
            </w:r>
          </w:p>
          <w:p w14:paraId="1559F7B4">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价（如有）</w:t>
            </w:r>
          </w:p>
        </w:tc>
        <w:tc>
          <w:tcPr>
            <w:tcW w:w="5008" w:type="dxa"/>
            <w:vAlign w:val="center"/>
          </w:tcPr>
          <w:p w14:paraId="63CAC757">
            <w:pPr>
              <w:keepNext w:val="0"/>
              <w:keepLines w:val="0"/>
              <w:widowControl/>
              <w:suppressLineNumbers w:val="0"/>
              <w:jc w:val="both"/>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大写：</w:t>
            </w:r>
          </w:p>
          <w:p w14:paraId="52F6D1C0">
            <w:pPr>
              <w:keepNext w:val="0"/>
              <w:keepLines w:val="0"/>
              <w:widowControl/>
              <w:suppressLineNumbers w:val="0"/>
              <w:jc w:val="both"/>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小写：</w:t>
            </w:r>
          </w:p>
        </w:tc>
      </w:tr>
      <w:tr w14:paraId="79BC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vAlign w:val="center"/>
          </w:tcPr>
          <w:p w14:paraId="48DD809C">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p>
        </w:tc>
        <w:tc>
          <w:tcPr>
            <w:tcW w:w="2776" w:type="dxa"/>
            <w:vAlign w:val="center"/>
          </w:tcPr>
          <w:p w14:paraId="070C44F9">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专业工程暂估价（如有）</w:t>
            </w:r>
          </w:p>
        </w:tc>
        <w:tc>
          <w:tcPr>
            <w:tcW w:w="5008" w:type="dxa"/>
            <w:vAlign w:val="center"/>
          </w:tcPr>
          <w:p w14:paraId="346C775C">
            <w:pPr>
              <w:keepNext w:val="0"/>
              <w:keepLines w:val="0"/>
              <w:widowControl/>
              <w:suppressLineNumbers w:val="0"/>
              <w:jc w:val="both"/>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大写：</w:t>
            </w:r>
          </w:p>
          <w:p w14:paraId="0E2A6B20">
            <w:pPr>
              <w:keepNext w:val="0"/>
              <w:keepLines w:val="0"/>
              <w:widowControl/>
              <w:suppressLineNumbers w:val="0"/>
              <w:jc w:val="both"/>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小写：</w:t>
            </w:r>
          </w:p>
        </w:tc>
      </w:tr>
      <w:tr w14:paraId="4678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vAlign w:val="center"/>
          </w:tcPr>
          <w:p w14:paraId="55B5D0B5">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p>
        </w:tc>
        <w:tc>
          <w:tcPr>
            <w:tcW w:w="2776" w:type="dxa"/>
            <w:vAlign w:val="center"/>
          </w:tcPr>
          <w:p w14:paraId="188B5D3D">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暂列金额（如有）</w:t>
            </w:r>
          </w:p>
        </w:tc>
        <w:tc>
          <w:tcPr>
            <w:tcW w:w="5008" w:type="dxa"/>
            <w:vAlign w:val="center"/>
          </w:tcPr>
          <w:p w14:paraId="7FFDBAE1">
            <w:pPr>
              <w:keepNext w:val="0"/>
              <w:keepLines w:val="0"/>
              <w:widowControl/>
              <w:suppressLineNumbers w:val="0"/>
              <w:jc w:val="both"/>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大写：</w:t>
            </w:r>
          </w:p>
          <w:p w14:paraId="4E94C9C4">
            <w:pPr>
              <w:keepNext w:val="0"/>
              <w:keepLines w:val="0"/>
              <w:widowControl/>
              <w:suppressLineNumbers w:val="0"/>
              <w:jc w:val="both"/>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小写：</w:t>
            </w:r>
          </w:p>
        </w:tc>
      </w:tr>
      <w:tr w14:paraId="4FE0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vAlign w:val="center"/>
          </w:tcPr>
          <w:p w14:paraId="7783B85B">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p>
        </w:tc>
        <w:tc>
          <w:tcPr>
            <w:tcW w:w="2776" w:type="dxa"/>
            <w:vAlign w:val="center"/>
          </w:tcPr>
          <w:p w14:paraId="79D60D81">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安全生产责任保险费暂估价</w:t>
            </w:r>
          </w:p>
        </w:tc>
        <w:tc>
          <w:tcPr>
            <w:tcW w:w="5008" w:type="dxa"/>
            <w:vAlign w:val="center"/>
          </w:tcPr>
          <w:p w14:paraId="5DE1EF5F">
            <w:pPr>
              <w:keepNext w:val="0"/>
              <w:keepLines w:val="0"/>
              <w:widowControl/>
              <w:suppressLineNumbers w:val="0"/>
              <w:jc w:val="both"/>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大写：</w:t>
            </w:r>
          </w:p>
          <w:p w14:paraId="7326168F">
            <w:pPr>
              <w:keepNext w:val="0"/>
              <w:keepLines w:val="0"/>
              <w:widowControl/>
              <w:suppressLineNumbers w:val="0"/>
              <w:jc w:val="both"/>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小写：</w:t>
            </w:r>
          </w:p>
        </w:tc>
      </w:tr>
      <w:tr w14:paraId="25404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4" w:type="dxa"/>
            <w:gridSpan w:val="2"/>
            <w:vAlign w:val="center"/>
          </w:tcPr>
          <w:p w14:paraId="46EC767B">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工期</w:t>
            </w:r>
          </w:p>
        </w:tc>
        <w:tc>
          <w:tcPr>
            <w:tcW w:w="5008" w:type="dxa"/>
            <w:vAlign w:val="center"/>
          </w:tcPr>
          <w:p w14:paraId="7009FF35">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p>
        </w:tc>
      </w:tr>
    </w:tbl>
    <w:p w14:paraId="316E0A5D">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CF04793">
      <w:pPr>
        <w:numPr>
          <w:ilvl w:val="0"/>
          <w:numId w:val="0"/>
        </w:numPr>
        <w:shd w:val="clear" w:color="auto" w:fill="FFFFFF"/>
        <w:spacing w:after="96" w:afterLines="30"/>
        <w:rPr>
          <w:rFonts w:hint="default" w:ascii="宋体" w:hAnsi="宋体" w:cs="宋体"/>
          <w:b/>
          <w:bCs/>
          <w:color w:val="auto"/>
          <w:sz w:val="24"/>
          <w:szCs w:val="24"/>
          <w:highlight w:val="none"/>
          <w:lang w:val="en-US" w:eastAsia="zh-CN"/>
        </w:rPr>
      </w:pPr>
    </w:p>
    <w:p w14:paraId="3C5E7649">
      <w:pPr>
        <w:shd w:val="clear" w:color="auto" w:fill="FFFFFF"/>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pacing w:val="8"/>
          <w:highlight w:val="none"/>
        </w:rPr>
        <w:t>电子</w:t>
      </w:r>
      <w:r>
        <w:rPr>
          <w:rFonts w:hint="eastAsia" w:ascii="宋体" w:hAnsi="宋体" w:cs="宋体"/>
          <w:color w:val="auto"/>
          <w:spacing w:val="8"/>
          <w:highlight w:val="none"/>
          <w:lang w:val="en-US" w:eastAsia="zh-CN"/>
        </w:rPr>
        <w:t>印</w:t>
      </w:r>
      <w:r>
        <w:rPr>
          <w:rFonts w:hint="eastAsia" w:ascii="宋体" w:hAnsi="宋体" w:eastAsia="宋体" w:cs="宋体"/>
          <w:color w:val="auto"/>
          <w:spacing w:val="8"/>
          <w:highlight w:val="none"/>
        </w:rPr>
        <w:t>章</w:t>
      </w:r>
      <w:r>
        <w:rPr>
          <w:rFonts w:hint="eastAsia" w:ascii="宋体" w:hAnsi="宋体" w:eastAsia="宋体" w:cs="宋体"/>
          <w:color w:val="auto"/>
          <w:szCs w:val="21"/>
          <w:highlight w:val="none"/>
        </w:rPr>
        <w:t>）：</w:t>
      </w:r>
    </w:p>
    <w:p w14:paraId="11820182">
      <w:pPr>
        <w:shd w:val="clear" w:color="auto" w:fill="FFFFFF"/>
        <w:spacing w:line="48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FF900DA">
      <w:pPr>
        <w:numPr>
          <w:ilvl w:val="-1"/>
          <w:numId w:val="0"/>
        </w:numPr>
        <w:shd w:val="clear" w:color="auto" w:fill="FFFFFF"/>
        <w:spacing w:after="96" w:afterLines="30"/>
        <w:ind w:firstLine="0" w:firstLineChars="0"/>
        <w:rPr>
          <w:rFonts w:hint="default" w:ascii="宋体" w:hAnsi="宋体" w:eastAsia="宋体" w:cs="宋体"/>
          <w:b/>
          <w:bCs/>
          <w:color w:val="auto"/>
          <w:szCs w:val="21"/>
          <w:highlight w:val="none"/>
          <w:lang w:val="en-US" w:eastAsia="zh-CN"/>
        </w:rPr>
      </w:pPr>
    </w:p>
    <w:p w14:paraId="61B46B9F">
      <w:pPr>
        <w:shd w:val="clear" w:color="auto" w:fill="FFFFFF"/>
        <w:spacing w:after="96" w:afterLines="30"/>
        <w:ind w:firstLine="482" w:firstLineChars="200"/>
        <w:rPr>
          <w:rFonts w:hint="eastAsia" w:ascii="宋体" w:hAnsi="宋体" w:cs="宋体"/>
          <w:b/>
          <w:bCs/>
          <w:color w:val="auto"/>
          <w:sz w:val="24"/>
          <w:szCs w:val="24"/>
          <w:highlight w:val="none"/>
          <w:lang w:val="en-US" w:eastAsia="zh-CN"/>
        </w:rPr>
      </w:pPr>
    </w:p>
    <w:p w14:paraId="6EEDD9BB">
      <w:pPr>
        <w:shd w:val="clear" w:color="auto" w:fill="FFFFFF"/>
        <w:spacing w:after="96" w:afterLines="30"/>
        <w:ind w:firstLine="482" w:firstLineChars="200"/>
        <w:rPr>
          <w:rFonts w:hint="eastAsia" w:ascii="宋体" w:hAnsi="宋体" w:cs="宋体"/>
          <w:b/>
          <w:bCs/>
          <w:color w:val="auto"/>
          <w:sz w:val="24"/>
          <w:szCs w:val="24"/>
          <w:highlight w:val="none"/>
          <w:lang w:val="en-US" w:eastAsia="zh-CN"/>
        </w:rPr>
      </w:pPr>
    </w:p>
    <w:p w14:paraId="1726E600">
      <w:pPr>
        <w:shd w:val="clear" w:color="auto" w:fill="FFFFFF"/>
        <w:spacing w:after="96" w:afterLines="30"/>
        <w:ind w:firstLine="482" w:firstLineChars="200"/>
        <w:rPr>
          <w:rFonts w:hint="eastAsia" w:ascii="宋体" w:hAnsi="宋体" w:cs="宋体"/>
          <w:b/>
          <w:bCs/>
          <w:color w:val="auto"/>
          <w:sz w:val="24"/>
          <w:szCs w:val="24"/>
          <w:highlight w:val="none"/>
          <w:lang w:val="en-US" w:eastAsia="zh-CN"/>
        </w:rPr>
      </w:pPr>
    </w:p>
    <w:p w14:paraId="36AE690D">
      <w:pPr>
        <w:shd w:val="clear" w:color="auto" w:fill="FFFFFF"/>
        <w:spacing w:after="96" w:afterLines="30"/>
        <w:ind w:firstLine="482" w:firstLineChars="200"/>
        <w:rPr>
          <w:rFonts w:hint="eastAsia" w:ascii="宋体" w:hAnsi="宋体" w:cs="宋体"/>
          <w:b/>
          <w:bCs/>
          <w:color w:val="auto"/>
          <w:sz w:val="24"/>
          <w:szCs w:val="24"/>
          <w:highlight w:val="none"/>
          <w:lang w:val="en-US" w:eastAsia="zh-CN"/>
        </w:rPr>
      </w:pPr>
    </w:p>
    <w:p w14:paraId="2F03E390">
      <w:pPr>
        <w:shd w:val="clear" w:color="auto" w:fill="FFFFFF"/>
        <w:spacing w:after="96" w:afterLines="30"/>
        <w:ind w:firstLine="482" w:firstLineChars="2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除</w:t>
      </w:r>
      <w:r>
        <w:rPr>
          <w:rFonts w:hint="eastAsia" w:ascii="宋体" w:hAnsi="宋体" w:cs="宋体"/>
          <w:b/>
          <w:bCs/>
          <w:color w:val="auto"/>
          <w:sz w:val="24"/>
          <w:szCs w:val="24"/>
          <w:highlight w:val="none"/>
          <w:lang w:val="en-US" w:eastAsia="zh-CN"/>
        </w:rPr>
        <w:t>竞争性</w:t>
      </w:r>
      <w:r>
        <w:rPr>
          <w:rFonts w:hint="eastAsia" w:ascii="宋体" w:hAnsi="宋体" w:eastAsia="宋体" w:cs="宋体"/>
          <w:b/>
          <w:bCs/>
          <w:color w:val="auto"/>
          <w:sz w:val="24"/>
          <w:szCs w:val="24"/>
          <w:highlight w:val="none"/>
        </w:rPr>
        <w:t>磋商文件规定必须提供以外，供应商认为需要提供的</w:t>
      </w:r>
      <w:r>
        <w:rPr>
          <w:rFonts w:hint="eastAsia" w:ascii="宋体" w:hAnsi="宋体" w:eastAsia="宋体" w:cs="宋体"/>
          <w:b/>
          <w:bCs/>
          <w:color w:val="auto"/>
          <w:sz w:val="24"/>
          <w:szCs w:val="24"/>
          <w:highlight w:val="none"/>
          <w:lang w:eastAsia="zh-CN"/>
        </w:rPr>
        <w:t>其他</w:t>
      </w:r>
      <w:r>
        <w:rPr>
          <w:rFonts w:hint="eastAsia" w:ascii="宋体" w:hAnsi="宋体" w:eastAsia="宋体" w:cs="宋体"/>
          <w:b/>
          <w:bCs/>
          <w:color w:val="auto"/>
          <w:sz w:val="24"/>
          <w:szCs w:val="24"/>
          <w:highlight w:val="none"/>
        </w:rPr>
        <w:t>证明材料</w:t>
      </w:r>
      <w:r>
        <w:rPr>
          <w:rFonts w:hint="eastAsia" w:ascii="宋体" w:hAnsi="宋体" w:eastAsia="宋体" w:cs="宋体"/>
          <w:b/>
          <w:bCs/>
          <w:color w:val="auto"/>
          <w:sz w:val="24"/>
          <w:szCs w:val="24"/>
          <w:highlight w:val="none"/>
          <w:lang w:eastAsia="zh-CN"/>
        </w:rPr>
        <w:t>。</w:t>
      </w:r>
    </w:p>
    <w:p w14:paraId="38058F35">
      <w:pPr>
        <w:spacing w:line="480" w:lineRule="auto"/>
        <w:ind w:left="361" w:leftChars="172" w:firstLine="964" w:firstLineChars="200"/>
        <w:jc w:val="center"/>
        <w:rPr>
          <w:rFonts w:hint="eastAsia" w:ascii="宋体" w:hAnsi="宋体" w:eastAsia="宋体" w:cs="宋体"/>
          <w:b/>
          <w:bCs/>
          <w:color w:val="auto"/>
          <w:sz w:val="48"/>
          <w:szCs w:val="48"/>
          <w:highlight w:val="none"/>
        </w:rPr>
      </w:pPr>
    </w:p>
    <w:p w14:paraId="2347C671">
      <w:pPr>
        <w:spacing w:line="480" w:lineRule="auto"/>
        <w:jc w:val="both"/>
        <w:rPr>
          <w:rFonts w:hint="eastAsia" w:ascii="宋体" w:hAnsi="宋体" w:eastAsia="宋体" w:cs="宋体"/>
          <w:b/>
          <w:bCs/>
          <w:color w:val="auto"/>
          <w:sz w:val="48"/>
          <w:szCs w:val="48"/>
          <w:highlight w:val="none"/>
        </w:rPr>
      </w:pPr>
    </w:p>
    <w:p w14:paraId="3324AB27">
      <w:pPr>
        <w:spacing w:line="480" w:lineRule="auto"/>
        <w:jc w:val="both"/>
        <w:rPr>
          <w:rFonts w:hint="eastAsia" w:ascii="宋体" w:hAnsi="宋体" w:eastAsia="宋体" w:cs="宋体"/>
          <w:b/>
          <w:bCs/>
          <w:color w:val="auto"/>
          <w:sz w:val="48"/>
          <w:szCs w:val="48"/>
          <w:highlight w:val="none"/>
        </w:rPr>
      </w:pPr>
    </w:p>
    <w:p w14:paraId="744897CB">
      <w:pPr>
        <w:spacing w:line="480" w:lineRule="auto"/>
        <w:ind w:left="361" w:leftChars="172" w:firstLine="964" w:firstLineChars="200"/>
        <w:jc w:val="center"/>
        <w:rPr>
          <w:rFonts w:hint="eastAsia" w:ascii="宋体" w:hAnsi="宋体" w:eastAsia="宋体" w:cs="宋体"/>
          <w:b/>
          <w:bCs/>
          <w:color w:val="auto"/>
          <w:sz w:val="48"/>
          <w:szCs w:val="48"/>
          <w:highlight w:val="none"/>
        </w:rPr>
      </w:pPr>
    </w:p>
    <w:p w14:paraId="0F963F88">
      <w:pPr>
        <w:spacing w:line="480" w:lineRule="auto"/>
        <w:ind w:left="361" w:leftChars="172" w:firstLine="964" w:firstLineChars="200"/>
        <w:jc w:val="center"/>
        <w:rPr>
          <w:rFonts w:hint="eastAsia" w:ascii="宋体" w:hAnsi="宋体" w:eastAsia="宋体" w:cs="宋体"/>
          <w:b/>
          <w:bCs/>
          <w:color w:val="auto"/>
          <w:sz w:val="48"/>
          <w:szCs w:val="48"/>
          <w:highlight w:val="none"/>
        </w:rPr>
      </w:pPr>
    </w:p>
    <w:p w14:paraId="65A7CB68">
      <w:pPr>
        <w:spacing w:line="480" w:lineRule="auto"/>
        <w:ind w:left="361" w:leftChars="172" w:firstLine="964" w:firstLineChars="200"/>
        <w:jc w:val="center"/>
        <w:rPr>
          <w:rFonts w:hint="eastAsia" w:ascii="宋体" w:hAnsi="宋体" w:eastAsia="宋体" w:cs="宋体"/>
          <w:b/>
          <w:bCs/>
          <w:color w:val="auto"/>
          <w:sz w:val="48"/>
          <w:szCs w:val="48"/>
          <w:highlight w:val="none"/>
        </w:rPr>
      </w:pPr>
    </w:p>
    <w:p w14:paraId="4AEB1004">
      <w:pPr>
        <w:spacing w:line="480" w:lineRule="auto"/>
        <w:ind w:left="361" w:leftChars="172" w:firstLine="964" w:firstLineChars="20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响应文件</w:t>
      </w:r>
    </w:p>
    <w:p w14:paraId="5F60C11D">
      <w:pPr>
        <w:spacing w:line="480" w:lineRule="auto"/>
        <w:ind w:left="361" w:leftChars="172" w:firstLine="723" w:firstLineChars="200"/>
        <w:jc w:val="center"/>
        <w:rPr>
          <w:rFonts w:hint="eastAsia" w:ascii="宋体" w:hAnsi="宋体" w:eastAsia="宋体" w:cs="宋体"/>
          <w:b/>
          <w:bCs/>
          <w:color w:val="auto"/>
          <w:sz w:val="36"/>
          <w:szCs w:val="36"/>
          <w:highlight w:val="none"/>
        </w:rPr>
      </w:pPr>
    </w:p>
    <w:p w14:paraId="117A3DFF">
      <w:pPr>
        <w:spacing w:line="480" w:lineRule="auto"/>
        <w:ind w:left="361" w:leftChars="172" w:firstLine="723" w:firstLineChars="200"/>
        <w:jc w:val="center"/>
        <w:rPr>
          <w:rFonts w:hint="eastAsia" w:ascii="宋体" w:hAnsi="宋体" w:eastAsia="宋体" w:cs="宋体"/>
          <w:b/>
          <w:bCs/>
          <w:color w:val="auto"/>
          <w:sz w:val="36"/>
          <w:szCs w:val="36"/>
          <w:highlight w:val="none"/>
        </w:rPr>
      </w:pPr>
    </w:p>
    <w:p w14:paraId="13C33D6B">
      <w:pPr>
        <w:spacing w:line="480" w:lineRule="auto"/>
        <w:ind w:left="361" w:leftChars="172" w:firstLine="723" w:firstLineChars="200"/>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val="en-US" w:eastAsia="zh-CN"/>
        </w:rPr>
        <w:t>商务</w:t>
      </w:r>
      <w:r>
        <w:rPr>
          <w:rFonts w:hint="eastAsia" w:ascii="宋体" w:hAnsi="宋体" w:eastAsia="宋体" w:cs="宋体"/>
          <w:b/>
          <w:bCs/>
          <w:color w:val="auto"/>
          <w:sz w:val="36"/>
          <w:szCs w:val="36"/>
          <w:highlight w:val="none"/>
        </w:rPr>
        <w:t>技术</w:t>
      </w:r>
      <w:r>
        <w:rPr>
          <w:rFonts w:hint="eastAsia" w:ascii="宋体" w:hAnsi="宋体" w:cs="宋体"/>
          <w:b/>
          <w:bCs/>
          <w:color w:val="auto"/>
          <w:sz w:val="36"/>
          <w:szCs w:val="36"/>
          <w:highlight w:val="none"/>
          <w:lang w:val="en-US" w:eastAsia="zh-CN"/>
        </w:rPr>
        <w:t>标文件</w:t>
      </w:r>
    </w:p>
    <w:p w14:paraId="6748749D">
      <w:pPr>
        <w:pStyle w:val="12"/>
        <w:spacing w:line="480" w:lineRule="auto"/>
        <w:ind w:firstLine="600" w:firstLineChars="200"/>
        <w:rPr>
          <w:rFonts w:hint="eastAsia" w:ascii="宋体" w:hAnsi="宋体" w:eastAsia="宋体" w:cs="宋体"/>
          <w:color w:val="auto"/>
          <w:sz w:val="30"/>
          <w:szCs w:val="30"/>
          <w:highlight w:val="none"/>
        </w:rPr>
      </w:pPr>
    </w:p>
    <w:p w14:paraId="51A513E4">
      <w:pPr>
        <w:pStyle w:val="12"/>
        <w:spacing w:line="480" w:lineRule="auto"/>
        <w:ind w:firstLine="600" w:firstLineChars="200"/>
        <w:rPr>
          <w:rFonts w:hint="eastAsia" w:ascii="宋体" w:hAnsi="宋体" w:eastAsia="宋体" w:cs="宋体"/>
          <w:color w:val="auto"/>
          <w:sz w:val="30"/>
          <w:szCs w:val="30"/>
          <w:highlight w:val="none"/>
        </w:rPr>
      </w:pPr>
    </w:p>
    <w:p w14:paraId="2CDDB2F4">
      <w:pPr>
        <w:pStyle w:val="12"/>
        <w:spacing w:line="48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21101919">
      <w:pPr>
        <w:pStyle w:val="12"/>
        <w:spacing w:line="48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2828F6F3">
      <w:pPr>
        <w:pStyle w:val="12"/>
        <w:spacing w:line="48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供应商名称：</w:t>
      </w:r>
    </w:p>
    <w:p w14:paraId="38446951">
      <w:pPr>
        <w:pStyle w:val="12"/>
        <w:spacing w:line="48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日     期：      年   月   日</w:t>
      </w:r>
    </w:p>
    <w:p w14:paraId="1765D6DF">
      <w:pPr>
        <w:shd w:val="clear" w:color="auto" w:fill="FFFFFF"/>
        <w:spacing w:line="440" w:lineRule="exact"/>
        <w:jc w:val="both"/>
        <w:rPr>
          <w:rFonts w:hint="eastAsia" w:ascii="宋体" w:hAnsi="宋体" w:eastAsia="宋体" w:cs="宋体"/>
          <w:b/>
          <w:bCs/>
          <w:color w:val="auto"/>
          <w:sz w:val="24"/>
          <w:szCs w:val="24"/>
          <w:highlight w:val="none"/>
        </w:rPr>
        <w:sectPr>
          <w:headerReference r:id="rId5" w:type="default"/>
          <w:footerReference r:id="rId6" w:type="default"/>
          <w:pgSz w:w="11906" w:h="16838"/>
          <w:pgMar w:top="1020" w:right="1191" w:bottom="1021" w:left="1304" w:header="1247" w:footer="850" w:gutter="0"/>
          <w:pgNumType w:fmt="decimal"/>
          <w:cols w:space="720" w:num="1"/>
          <w:docGrid w:type="lines" w:linePitch="320" w:charSpace="0"/>
        </w:sectPr>
      </w:pPr>
      <w:bookmarkStart w:id="1218" w:name="_Toc424307492"/>
      <w:bookmarkStart w:id="1219" w:name="_Toc424307764"/>
    </w:p>
    <w:bookmarkEnd w:id="1218"/>
    <w:bookmarkEnd w:id="1219"/>
    <w:p w14:paraId="364EE797">
      <w:pPr>
        <w:numPr>
          <w:ilvl w:val="-1"/>
          <w:numId w:val="0"/>
        </w:numPr>
        <w:shd w:val="clear" w:color="auto" w:fill="FFFFFF"/>
        <w:spacing w:after="96" w:afterLines="30"/>
        <w:ind w:firstLine="482" w:firstLineChars="200"/>
        <w:rPr>
          <w:rFonts w:hint="eastAsia" w:ascii="宋体" w:hAnsi="宋体" w:eastAsia="宋体" w:cs="宋体"/>
          <w:b/>
          <w:bCs/>
          <w:color w:val="auto"/>
          <w:sz w:val="24"/>
          <w:szCs w:val="24"/>
          <w:highlight w:val="none"/>
          <w:lang w:val="en-US" w:eastAsia="zh-CN"/>
        </w:rPr>
      </w:pPr>
      <w:bookmarkStart w:id="1220" w:name="_Toc424307769"/>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农民工工资保障承诺书（格式自拟）</w:t>
      </w:r>
    </w:p>
    <w:p w14:paraId="47BEC843">
      <w:pPr>
        <w:spacing w:line="400" w:lineRule="exact"/>
        <w:rPr>
          <w:rFonts w:hint="eastAsia" w:ascii="宋体" w:hAnsi="宋体" w:cs="宋体"/>
          <w:b/>
          <w:bCs/>
          <w:color w:val="auto"/>
          <w:sz w:val="24"/>
          <w:szCs w:val="24"/>
          <w:highlight w:val="none"/>
          <w:lang w:val="en-US" w:eastAsia="zh-CN"/>
        </w:rPr>
      </w:pPr>
    </w:p>
    <w:p w14:paraId="1FD54015">
      <w:pPr>
        <w:spacing w:line="400" w:lineRule="exact"/>
        <w:ind w:firstLine="482" w:firstLineChars="200"/>
        <w:rPr>
          <w:rFonts w:hint="eastAsia" w:ascii="宋体" w:hAnsi="宋体" w:eastAsia="宋体" w:cs="宋体"/>
          <w:b/>
          <w:bCs w:val="0"/>
          <w:color w:val="auto"/>
          <w:spacing w:val="0"/>
          <w:kern w:val="2"/>
          <w:sz w:val="24"/>
          <w:szCs w:val="24"/>
          <w:highlight w:val="none"/>
          <w:lang w:val="en-US" w:eastAsia="zh-CN" w:bidi="ar-SA"/>
        </w:rPr>
      </w:pPr>
      <w:r>
        <w:rPr>
          <w:rFonts w:hint="eastAsia" w:ascii="宋体" w:hAnsi="宋体" w:cs="宋体"/>
          <w:b/>
          <w:bCs/>
          <w:color w:val="auto"/>
          <w:sz w:val="24"/>
          <w:szCs w:val="24"/>
          <w:highlight w:val="none"/>
          <w:lang w:val="en-US" w:eastAsia="zh-CN"/>
        </w:rPr>
        <w:t>2.</w:t>
      </w:r>
      <w:r>
        <w:rPr>
          <w:rFonts w:hint="eastAsia" w:ascii="宋体" w:hAnsi="宋体" w:eastAsia="宋体" w:cs="宋体"/>
          <w:b/>
          <w:bCs w:val="0"/>
          <w:color w:val="auto"/>
          <w:spacing w:val="0"/>
          <w:kern w:val="2"/>
          <w:sz w:val="24"/>
          <w:szCs w:val="24"/>
          <w:highlight w:val="none"/>
          <w:lang w:val="en-US" w:eastAsia="zh-CN" w:bidi="ar-SA"/>
        </w:rPr>
        <w:t>磋商函附录</w:t>
      </w:r>
    </w:p>
    <w:p w14:paraId="6F61821A">
      <w:pPr>
        <w:shd w:val="clear" w:color="auto" w:fill="FFFFFF"/>
        <w:spacing w:after="96" w:afterLines="30"/>
        <w:ind w:firstLine="420" w:firstLineChars="200"/>
        <w:rPr>
          <w:rFonts w:hint="eastAsia" w:ascii="宋体" w:hAnsi="宋体" w:eastAsia="宋体" w:cs="宋体"/>
          <w:color w:val="auto"/>
          <w:szCs w:val="21"/>
          <w:highlight w:val="none"/>
        </w:rPr>
      </w:pPr>
    </w:p>
    <w:p w14:paraId="4B9D3B88">
      <w:pPr>
        <w:shd w:val="clear" w:color="auto" w:fill="FFFFFF"/>
        <w:spacing w:after="96" w:afterLines="30"/>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工程名称：</w:t>
      </w:r>
      <w:r>
        <w:rPr>
          <w:rFonts w:hint="eastAsia" w:ascii="宋体" w:hAnsi="宋体" w:eastAsia="宋体" w:cs="宋体"/>
          <w:color w:val="auto"/>
          <w:szCs w:val="21"/>
          <w:highlight w:val="none"/>
          <w:u w:val="single"/>
        </w:rPr>
        <w:t xml:space="preserve">                                            </w:t>
      </w:r>
    </w:p>
    <w:tbl>
      <w:tblPr>
        <w:tblStyle w:val="22"/>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143"/>
        <w:gridCol w:w="2295"/>
        <w:gridCol w:w="2142"/>
        <w:gridCol w:w="1989"/>
      </w:tblGrid>
      <w:tr w14:paraId="1CF0B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noWrap w:val="0"/>
            <w:vAlign w:val="center"/>
          </w:tcPr>
          <w:p w14:paraId="2061104B">
            <w:pPr>
              <w:shd w:val="clear" w:color="auto" w:fill="FFFFFF"/>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 号</w:t>
            </w:r>
          </w:p>
        </w:tc>
        <w:tc>
          <w:tcPr>
            <w:tcW w:w="2143" w:type="dxa"/>
            <w:noWrap w:val="0"/>
            <w:vAlign w:val="center"/>
          </w:tcPr>
          <w:p w14:paraId="179127A5">
            <w:pPr>
              <w:shd w:val="clear" w:color="auto" w:fill="FFFFFF"/>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条款内容</w:t>
            </w:r>
          </w:p>
        </w:tc>
        <w:tc>
          <w:tcPr>
            <w:tcW w:w="2295" w:type="dxa"/>
            <w:noWrap w:val="0"/>
            <w:vAlign w:val="center"/>
          </w:tcPr>
          <w:p w14:paraId="4AAF7CEE">
            <w:pPr>
              <w:shd w:val="clear" w:color="auto" w:fill="FFFFFF"/>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合同条款号</w:t>
            </w:r>
          </w:p>
        </w:tc>
        <w:tc>
          <w:tcPr>
            <w:tcW w:w="2142" w:type="dxa"/>
            <w:noWrap w:val="0"/>
            <w:vAlign w:val="center"/>
          </w:tcPr>
          <w:p w14:paraId="0758291D">
            <w:pPr>
              <w:shd w:val="clear" w:color="auto" w:fill="FFFFFF"/>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约定内容</w:t>
            </w:r>
          </w:p>
        </w:tc>
        <w:tc>
          <w:tcPr>
            <w:tcW w:w="1989" w:type="dxa"/>
            <w:noWrap w:val="0"/>
            <w:vAlign w:val="center"/>
          </w:tcPr>
          <w:p w14:paraId="556ACCED">
            <w:pPr>
              <w:shd w:val="clear" w:color="auto" w:fill="FFFFFF"/>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4EBF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noWrap w:val="0"/>
            <w:vAlign w:val="center"/>
          </w:tcPr>
          <w:p w14:paraId="5B25C03F">
            <w:pPr>
              <w:shd w:val="clear" w:color="auto" w:fill="FFFFFF"/>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143" w:type="dxa"/>
            <w:noWrap w:val="0"/>
            <w:vAlign w:val="center"/>
          </w:tcPr>
          <w:p w14:paraId="2785233E">
            <w:pPr>
              <w:shd w:val="clear" w:color="auto" w:fill="FFFFFF"/>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2295" w:type="dxa"/>
            <w:noWrap w:val="0"/>
            <w:tcMar>
              <w:left w:w="170" w:type="dxa"/>
            </w:tcMar>
            <w:vAlign w:val="center"/>
          </w:tcPr>
          <w:p w14:paraId="03D68D1E">
            <w:pPr>
              <w:shd w:val="clear" w:color="auto" w:fill="FFFFFF"/>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专用条款</w:t>
            </w:r>
          </w:p>
        </w:tc>
        <w:tc>
          <w:tcPr>
            <w:tcW w:w="2142" w:type="dxa"/>
            <w:noWrap w:val="0"/>
            <w:vAlign w:val="center"/>
          </w:tcPr>
          <w:p w14:paraId="627D8939">
            <w:pPr>
              <w:shd w:val="clear" w:color="auto" w:fill="FFFFFF"/>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p>
        </w:tc>
        <w:tc>
          <w:tcPr>
            <w:tcW w:w="1989" w:type="dxa"/>
            <w:noWrap w:val="0"/>
            <w:vAlign w:val="center"/>
          </w:tcPr>
          <w:p w14:paraId="0CAD5F8C">
            <w:pPr>
              <w:shd w:val="clear" w:color="auto" w:fill="FFFFFF"/>
              <w:jc w:val="center"/>
              <w:rPr>
                <w:rFonts w:hint="eastAsia" w:ascii="宋体" w:hAnsi="宋体" w:eastAsia="宋体" w:cs="宋体"/>
                <w:color w:val="auto"/>
                <w:szCs w:val="21"/>
                <w:highlight w:val="none"/>
              </w:rPr>
            </w:pPr>
          </w:p>
        </w:tc>
      </w:tr>
      <w:tr w14:paraId="3421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noWrap w:val="0"/>
            <w:vAlign w:val="center"/>
          </w:tcPr>
          <w:p w14:paraId="20293C56">
            <w:pPr>
              <w:shd w:val="clear" w:color="auto" w:fill="FFFFFF"/>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143" w:type="dxa"/>
            <w:noWrap w:val="0"/>
            <w:vAlign w:val="center"/>
          </w:tcPr>
          <w:p w14:paraId="3345B260">
            <w:pPr>
              <w:shd w:val="clear" w:color="auto" w:fill="FFFFFF"/>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竞标有效期</w:t>
            </w:r>
          </w:p>
        </w:tc>
        <w:tc>
          <w:tcPr>
            <w:tcW w:w="2295" w:type="dxa"/>
            <w:noWrap w:val="0"/>
            <w:tcMar>
              <w:left w:w="170" w:type="dxa"/>
            </w:tcMar>
            <w:vAlign w:val="center"/>
          </w:tcPr>
          <w:p w14:paraId="105B9298">
            <w:pPr>
              <w:shd w:val="clear" w:color="auto" w:fill="FFFFFF"/>
              <w:rPr>
                <w:rFonts w:hint="eastAsia" w:ascii="宋体" w:hAnsi="宋体" w:eastAsia="宋体" w:cs="宋体"/>
                <w:color w:val="auto"/>
                <w:szCs w:val="21"/>
                <w:highlight w:val="none"/>
              </w:rPr>
            </w:pPr>
          </w:p>
        </w:tc>
        <w:tc>
          <w:tcPr>
            <w:tcW w:w="2142" w:type="dxa"/>
            <w:noWrap w:val="0"/>
            <w:vAlign w:val="center"/>
          </w:tcPr>
          <w:p w14:paraId="5BD22C95">
            <w:pPr>
              <w:shd w:val="clear" w:color="auto" w:fill="FFFFFF"/>
              <w:jc w:val="center"/>
              <w:rPr>
                <w:rFonts w:hint="eastAsia" w:ascii="宋体" w:hAnsi="宋体" w:eastAsia="宋体" w:cs="宋体"/>
                <w:color w:val="auto"/>
                <w:szCs w:val="21"/>
                <w:highlight w:val="none"/>
                <w:u w:val="single"/>
                <w:lang w:eastAsia="zh-CN"/>
              </w:rPr>
            </w:pPr>
          </w:p>
        </w:tc>
        <w:tc>
          <w:tcPr>
            <w:tcW w:w="1989" w:type="dxa"/>
            <w:noWrap w:val="0"/>
            <w:vAlign w:val="center"/>
          </w:tcPr>
          <w:p w14:paraId="2042EED4">
            <w:pPr>
              <w:shd w:val="clear" w:color="auto" w:fill="FFFFFF"/>
              <w:jc w:val="center"/>
              <w:rPr>
                <w:rFonts w:hint="eastAsia" w:ascii="宋体" w:hAnsi="宋体" w:eastAsia="宋体" w:cs="宋体"/>
                <w:color w:val="auto"/>
                <w:szCs w:val="21"/>
                <w:highlight w:val="none"/>
              </w:rPr>
            </w:pPr>
          </w:p>
        </w:tc>
      </w:tr>
      <w:tr w14:paraId="6686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noWrap w:val="0"/>
            <w:vAlign w:val="center"/>
          </w:tcPr>
          <w:p w14:paraId="05AF255C">
            <w:pPr>
              <w:shd w:val="clear" w:color="auto" w:fill="FFFFFF"/>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143" w:type="dxa"/>
            <w:noWrap w:val="0"/>
            <w:vAlign w:val="center"/>
          </w:tcPr>
          <w:p w14:paraId="256B6631">
            <w:pPr>
              <w:shd w:val="clear" w:color="auto" w:fill="FFFFFF"/>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w:t>
            </w:r>
          </w:p>
        </w:tc>
        <w:tc>
          <w:tcPr>
            <w:tcW w:w="2295" w:type="dxa"/>
            <w:noWrap w:val="0"/>
            <w:tcMar>
              <w:left w:w="170" w:type="dxa"/>
            </w:tcMar>
            <w:vAlign w:val="center"/>
          </w:tcPr>
          <w:p w14:paraId="1E79F8DF">
            <w:pPr>
              <w:shd w:val="clear" w:color="auto" w:fill="FFFFFF"/>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专用条款</w:t>
            </w:r>
          </w:p>
        </w:tc>
        <w:tc>
          <w:tcPr>
            <w:tcW w:w="2142" w:type="dxa"/>
            <w:noWrap w:val="0"/>
            <w:vAlign w:val="center"/>
          </w:tcPr>
          <w:p w14:paraId="4C3915F2">
            <w:pPr>
              <w:shd w:val="clear" w:color="auto" w:fill="FFFFFF"/>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日历天</w:t>
            </w:r>
          </w:p>
        </w:tc>
        <w:tc>
          <w:tcPr>
            <w:tcW w:w="1989" w:type="dxa"/>
            <w:noWrap w:val="0"/>
            <w:vAlign w:val="center"/>
          </w:tcPr>
          <w:p w14:paraId="4328F7CB">
            <w:pPr>
              <w:shd w:val="clear" w:color="auto" w:fill="FFFFFF"/>
              <w:jc w:val="center"/>
              <w:rPr>
                <w:rFonts w:hint="eastAsia" w:ascii="宋体" w:hAnsi="宋体" w:eastAsia="宋体" w:cs="宋体"/>
                <w:color w:val="auto"/>
                <w:szCs w:val="21"/>
                <w:highlight w:val="none"/>
              </w:rPr>
            </w:pPr>
          </w:p>
        </w:tc>
      </w:tr>
      <w:tr w14:paraId="15C0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noWrap w:val="0"/>
            <w:vAlign w:val="center"/>
          </w:tcPr>
          <w:p w14:paraId="2F92AF3A">
            <w:pPr>
              <w:shd w:val="clear" w:color="auto" w:fill="FFFFFF"/>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143" w:type="dxa"/>
            <w:noWrap w:val="0"/>
            <w:vAlign w:val="center"/>
          </w:tcPr>
          <w:p w14:paraId="2944DAEF">
            <w:pPr>
              <w:shd w:val="clear" w:color="auto" w:fill="FFFFFF"/>
              <w:rPr>
                <w:rFonts w:hint="eastAsia" w:ascii="宋体" w:hAnsi="宋体" w:eastAsia="宋体" w:cs="宋体"/>
                <w:color w:val="auto"/>
                <w:szCs w:val="21"/>
                <w:highlight w:val="none"/>
              </w:rPr>
            </w:pPr>
            <w:r>
              <w:rPr>
                <w:rFonts w:hint="eastAsia" w:ascii="宋体" w:hAnsi="宋体" w:eastAsia="宋体" w:cs="宋体"/>
                <w:color w:val="auto"/>
                <w:szCs w:val="21"/>
                <w:highlight w:val="none"/>
              </w:rPr>
              <w:t>缺陷责任期</w:t>
            </w:r>
          </w:p>
        </w:tc>
        <w:tc>
          <w:tcPr>
            <w:tcW w:w="2295" w:type="dxa"/>
            <w:noWrap w:val="0"/>
            <w:tcMar>
              <w:left w:w="170" w:type="dxa"/>
            </w:tcMar>
            <w:vAlign w:val="center"/>
          </w:tcPr>
          <w:p w14:paraId="0CAA2365">
            <w:pPr>
              <w:shd w:val="clear" w:color="auto" w:fill="FFFFFF"/>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专用条款</w:t>
            </w:r>
          </w:p>
        </w:tc>
        <w:tc>
          <w:tcPr>
            <w:tcW w:w="2142" w:type="dxa"/>
            <w:noWrap w:val="0"/>
            <w:vAlign w:val="center"/>
          </w:tcPr>
          <w:p w14:paraId="25643467">
            <w:pPr>
              <w:shd w:val="clear" w:color="auto" w:fill="FFFFFF"/>
              <w:jc w:val="center"/>
              <w:rPr>
                <w:rFonts w:hint="eastAsia" w:ascii="宋体" w:hAnsi="宋体" w:eastAsia="宋体" w:cs="宋体"/>
                <w:color w:val="auto"/>
                <w:szCs w:val="21"/>
                <w:highlight w:val="none"/>
              </w:rPr>
            </w:pPr>
          </w:p>
        </w:tc>
        <w:tc>
          <w:tcPr>
            <w:tcW w:w="1989" w:type="dxa"/>
            <w:noWrap w:val="0"/>
            <w:vAlign w:val="center"/>
          </w:tcPr>
          <w:p w14:paraId="3FDDA8CF">
            <w:pPr>
              <w:shd w:val="clear" w:color="auto" w:fill="FFFFFF"/>
              <w:jc w:val="center"/>
              <w:rPr>
                <w:rFonts w:hint="eastAsia" w:ascii="宋体" w:hAnsi="宋体" w:eastAsia="宋体" w:cs="宋体"/>
                <w:color w:val="auto"/>
                <w:szCs w:val="21"/>
                <w:highlight w:val="none"/>
              </w:rPr>
            </w:pPr>
          </w:p>
        </w:tc>
      </w:tr>
      <w:tr w14:paraId="73384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noWrap w:val="0"/>
            <w:vAlign w:val="center"/>
          </w:tcPr>
          <w:p w14:paraId="4EFD75DB">
            <w:pPr>
              <w:shd w:val="clear" w:color="auto" w:fill="FFFFFF"/>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2143" w:type="dxa"/>
            <w:noWrap w:val="0"/>
            <w:vAlign w:val="center"/>
          </w:tcPr>
          <w:p w14:paraId="3A3CEC57">
            <w:pPr>
              <w:shd w:val="clear" w:color="auto" w:fill="FFFFFF"/>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w:t>
            </w:r>
          </w:p>
        </w:tc>
        <w:tc>
          <w:tcPr>
            <w:tcW w:w="2295" w:type="dxa"/>
            <w:noWrap w:val="0"/>
            <w:tcMar>
              <w:left w:w="170" w:type="dxa"/>
            </w:tcMar>
            <w:vAlign w:val="center"/>
          </w:tcPr>
          <w:p w14:paraId="3CE2AA48">
            <w:pPr>
              <w:shd w:val="clear" w:color="auto" w:fill="FFFFFF"/>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专用条款</w:t>
            </w:r>
          </w:p>
        </w:tc>
        <w:tc>
          <w:tcPr>
            <w:tcW w:w="2142" w:type="dxa"/>
            <w:noWrap w:val="0"/>
            <w:vAlign w:val="center"/>
          </w:tcPr>
          <w:p w14:paraId="3EB037EF">
            <w:pPr>
              <w:shd w:val="clear" w:color="auto" w:fill="FFFFFF"/>
              <w:jc w:val="center"/>
              <w:rPr>
                <w:rFonts w:hint="eastAsia" w:ascii="宋体" w:hAnsi="宋体" w:eastAsia="宋体" w:cs="宋体"/>
                <w:color w:val="auto"/>
                <w:szCs w:val="21"/>
                <w:highlight w:val="none"/>
              </w:rPr>
            </w:pPr>
          </w:p>
        </w:tc>
        <w:tc>
          <w:tcPr>
            <w:tcW w:w="1989" w:type="dxa"/>
            <w:noWrap w:val="0"/>
            <w:vAlign w:val="center"/>
          </w:tcPr>
          <w:p w14:paraId="3BB3E517">
            <w:pPr>
              <w:shd w:val="clear" w:color="auto" w:fill="FFFFFF"/>
              <w:jc w:val="center"/>
              <w:rPr>
                <w:rFonts w:hint="eastAsia" w:ascii="宋体" w:hAnsi="宋体" w:eastAsia="宋体" w:cs="宋体"/>
                <w:color w:val="auto"/>
                <w:szCs w:val="21"/>
                <w:highlight w:val="none"/>
              </w:rPr>
            </w:pPr>
          </w:p>
        </w:tc>
      </w:tr>
      <w:tr w14:paraId="519B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noWrap w:val="0"/>
            <w:vAlign w:val="center"/>
          </w:tcPr>
          <w:p w14:paraId="1D833158">
            <w:pPr>
              <w:shd w:val="clear" w:color="auto" w:fill="FFFFFF"/>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2143" w:type="dxa"/>
            <w:noWrap w:val="0"/>
            <w:vAlign w:val="center"/>
          </w:tcPr>
          <w:p w14:paraId="7E78A48F">
            <w:pPr>
              <w:shd w:val="clear" w:color="auto" w:fill="FFFFFF"/>
              <w:rPr>
                <w:rFonts w:hint="eastAsia" w:ascii="宋体" w:hAnsi="宋体" w:eastAsia="宋体" w:cs="宋体"/>
                <w:color w:val="auto"/>
                <w:szCs w:val="21"/>
                <w:highlight w:val="none"/>
              </w:rPr>
            </w:pPr>
            <w:r>
              <w:rPr>
                <w:rFonts w:hint="eastAsia" w:ascii="宋体" w:hAnsi="宋体" w:eastAsia="宋体" w:cs="宋体"/>
                <w:color w:val="auto"/>
                <w:szCs w:val="21"/>
                <w:highlight w:val="none"/>
              </w:rPr>
              <w:t>逾期竣工违约金</w:t>
            </w:r>
          </w:p>
        </w:tc>
        <w:tc>
          <w:tcPr>
            <w:tcW w:w="2295" w:type="dxa"/>
            <w:noWrap w:val="0"/>
            <w:tcMar>
              <w:left w:w="170" w:type="dxa"/>
            </w:tcMar>
            <w:vAlign w:val="center"/>
          </w:tcPr>
          <w:p w14:paraId="5F2D8169">
            <w:pPr>
              <w:shd w:val="clear" w:color="auto" w:fill="FFFFFF"/>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专用条款</w:t>
            </w:r>
          </w:p>
        </w:tc>
        <w:tc>
          <w:tcPr>
            <w:tcW w:w="2142" w:type="dxa"/>
            <w:noWrap w:val="0"/>
            <w:vAlign w:val="center"/>
          </w:tcPr>
          <w:p w14:paraId="1F560037">
            <w:pPr>
              <w:shd w:val="clear" w:color="auto" w:fill="FFFFFF"/>
              <w:rPr>
                <w:rFonts w:hint="eastAsia" w:ascii="宋体" w:hAnsi="宋体" w:eastAsia="宋体" w:cs="宋体"/>
                <w:color w:val="auto"/>
                <w:szCs w:val="21"/>
                <w:highlight w:val="none"/>
                <w:lang w:val="en-US" w:eastAsia="zh-CN"/>
              </w:rPr>
            </w:pPr>
          </w:p>
        </w:tc>
        <w:tc>
          <w:tcPr>
            <w:tcW w:w="1989" w:type="dxa"/>
            <w:noWrap w:val="0"/>
            <w:vAlign w:val="center"/>
          </w:tcPr>
          <w:p w14:paraId="23E00380">
            <w:pPr>
              <w:shd w:val="clear" w:color="auto" w:fill="FFFFFF"/>
              <w:jc w:val="center"/>
              <w:rPr>
                <w:rFonts w:hint="eastAsia" w:ascii="宋体" w:hAnsi="宋体" w:eastAsia="宋体" w:cs="宋体"/>
                <w:color w:val="auto"/>
                <w:szCs w:val="21"/>
                <w:highlight w:val="none"/>
              </w:rPr>
            </w:pPr>
          </w:p>
        </w:tc>
      </w:tr>
      <w:tr w14:paraId="3024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noWrap w:val="0"/>
            <w:vAlign w:val="center"/>
          </w:tcPr>
          <w:p w14:paraId="43964A66">
            <w:pPr>
              <w:shd w:val="clear" w:color="auto" w:fill="FFFFFF"/>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2143" w:type="dxa"/>
            <w:noWrap w:val="0"/>
            <w:vAlign w:val="center"/>
          </w:tcPr>
          <w:p w14:paraId="32559F8B">
            <w:pPr>
              <w:shd w:val="clear" w:color="auto" w:fill="FFFFFF"/>
              <w:rPr>
                <w:rFonts w:hint="eastAsia" w:ascii="宋体" w:hAnsi="宋体" w:eastAsia="宋体" w:cs="宋体"/>
                <w:color w:val="auto"/>
                <w:szCs w:val="21"/>
                <w:highlight w:val="none"/>
              </w:rPr>
            </w:pPr>
            <w:r>
              <w:rPr>
                <w:rFonts w:hint="eastAsia" w:ascii="宋体" w:hAnsi="宋体" w:eastAsia="宋体" w:cs="宋体"/>
                <w:color w:val="auto"/>
                <w:szCs w:val="21"/>
                <w:highlight w:val="none"/>
              </w:rPr>
              <w:t>逾期竣工违约金最高限额</w:t>
            </w:r>
          </w:p>
        </w:tc>
        <w:tc>
          <w:tcPr>
            <w:tcW w:w="2295" w:type="dxa"/>
            <w:noWrap w:val="0"/>
            <w:tcMar>
              <w:left w:w="170" w:type="dxa"/>
            </w:tcMar>
            <w:vAlign w:val="center"/>
          </w:tcPr>
          <w:p w14:paraId="313A5D60">
            <w:pPr>
              <w:shd w:val="clear" w:color="auto" w:fill="FFFFFF"/>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专用条款</w:t>
            </w:r>
          </w:p>
        </w:tc>
        <w:tc>
          <w:tcPr>
            <w:tcW w:w="2142" w:type="dxa"/>
            <w:noWrap w:val="0"/>
            <w:vAlign w:val="center"/>
          </w:tcPr>
          <w:p w14:paraId="120EED26">
            <w:pPr>
              <w:shd w:val="clear" w:color="auto" w:fill="FFFFFF"/>
              <w:rPr>
                <w:rFonts w:hint="eastAsia" w:ascii="宋体" w:hAnsi="宋体" w:eastAsia="宋体" w:cs="宋体"/>
                <w:color w:val="auto"/>
                <w:szCs w:val="21"/>
                <w:highlight w:val="none"/>
              </w:rPr>
            </w:pPr>
          </w:p>
        </w:tc>
        <w:tc>
          <w:tcPr>
            <w:tcW w:w="1989" w:type="dxa"/>
            <w:noWrap w:val="0"/>
            <w:vAlign w:val="center"/>
          </w:tcPr>
          <w:p w14:paraId="51CAFE30">
            <w:pPr>
              <w:shd w:val="clear" w:color="auto" w:fill="FFFFFF"/>
              <w:jc w:val="center"/>
              <w:rPr>
                <w:rFonts w:hint="eastAsia" w:ascii="宋体" w:hAnsi="宋体" w:eastAsia="宋体" w:cs="宋体"/>
                <w:color w:val="auto"/>
                <w:szCs w:val="21"/>
                <w:highlight w:val="none"/>
              </w:rPr>
            </w:pPr>
          </w:p>
        </w:tc>
      </w:tr>
      <w:tr w14:paraId="7757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noWrap w:val="0"/>
            <w:vAlign w:val="center"/>
          </w:tcPr>
          <w:p w14:paraId="4C5C813E">
            <w:pPr>
              <w:shd w:val="clear" w:color="auto" w:fill="FFFFFF"/>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2143" w:type="dxa"/>
            <w:noWrap w:val="0"/>
            <w:vAlign w:val="center"/>
          </w:tcPr>
          <w:p w14:paraId="1EAA9E12">
            <w:pPr>
              <w:shd w:val="clear" w:color="auto" w:fill="FFFFFF"/>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2295" w:type="dxa"/>
            <w:noWrap w:val="0"/>
            <w:tcMar>
              <w:left w:w="170" w:type="dxa"/>
            </w:tcMar>
            <w:vAlign w:val="center"/>
          </w:tcPr>
          <w:p w14:paraId="697757FD">
            <w:pPr>
              <w:shd w:val="clear" w:color="auto" w:fill="FFFFFF"/>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专用条款</w:t>
            </w:r>
          </w:p>
        </w:tc>
        <w:tc>
          <w:tcPr>
            <w:tcW w:w="2142" w:type="dxa"/>
            <w:noWrap w:val="0"/>
            <w:vAlign w:val="center"/>
          </w:tcPr>
          <w:p w14:paraId="084FC6D6">
            <w:pPr>
              <w:shd w:val="clear" w:color="auto" w:fill="FFFFFF"/>
              <w:jc w:val="center"/>
              <w:rPr>
                <w:rFonts w:hint="eastAsia" w:ascii="宋体" w:hAnsi="宋体" w:eastAsia="宋体" w:cs="宋体"/>
                <w:color w:val="auto"/>
                <w:szCs w:val="21"/>
                <w:highlight w:val="none"/>
              </w:rPr>
            </w:pPr>
          </w:p>
        </w:tc>
        <w:tc>
          <w:tcPr>
            <w:tcW w:w="1989" w:type="dxa"/>
            <w:noWrap w:val="0"/>
            <w:vAlign w:val="center"/>
          </w:tcPr>
          <w:p w14:paraId="0642E416">
            <w:pPr>
              <w:shd w:val="clear" w:color="auto" w:fill="FFFFFF"/>
              <w:jc w:val="center"/>
              <w:rPr>
                <w:rFonts w:hint="eastAsia" w:ascii="宋体" w:hAnsi="宋体" w:eastAsia="宋体" w:cs="宋体"/>
                <w:color w:val="auto"/>
                <w:szCs w:val="21"/>
                <w:highlight w:val="none"/>
              </w:rPr>
            </w:pPr>
          </w:p>
        </w:tc>
      </w:tr>
      <w:tr w14:paraId="1B11E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noWrap w:val="0"/>
            <w:vAlign w:val="center"/>
          </w:tcPr>
          <w:p w14:paraId="28DC0683">
            <w:pPr>
              <w:shd w:val="clear" w:color="auto" w:fill="FFFFFF"/>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2143" w:type="dxa"/>
            <w:noWrap w:val="0"/>
            <w:vAlign w:val="center"/>
          </w:tcPr>
          <w:p w14:paraId="5512CFD5">
            <w:pPr>
              <w:shd w:val="clear" w:color="auto" w:fill="FFFFFF"/>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预付款额度</w:t>
            </w:r>
          </w:p>
        </w:tc>
        <w:tc>
          <w:tcPr>
            <w:tcW w:w="2295" w:type="dxa"/>
            <w:noWrap w:val="0"/>
            <w:tcMar>
              <w:left w:w="170" w:type="dxa"/>
            </w:tcMar>
            <w:vAlign w:val="center"/>
          </w:tcPr>
          <w:p w14:paraId="180C9530">
            <w:pPr>
              <w:shd w:val="clear" w:color="auto" w:fill="FFFFFF"/>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专用条款</w:t>
            </w:r>
          </w:p>
        </w:tc>
        <w:tc>
          <w:tcPr>
            <w:tcW w:w="2142" w:type="dxa"/>
            <w:noWrap w:val="0"/>
            <w:vAlign w:val="center"/>
          </w:tcPr>
          <w:p w14:paraId="52C9ABAB">
            <w:pPr>
              <w:shd w:val="clear" w:color="auto" w:fill="FFFFFF"/>
              <w:jc w:val="center"/>
              <w:rPr>
                <w:rFonts w:hint="default" w:ascii="宋体" w:hAnsi="宋体" w:eastAsia="宋体" w:cs="宋体"/>
                <w:color w:val="auto"/>
                <w:szCs w:val="21"/>
                <w:highlight w:val="none"/>
                <w:lang w:val="en-US" w:eastAsia="zh-CN"/>
              </w:rPr>
            </w:pPr>
          </w:p>
        </w:tc>
        <w:tc>
          <w:tcPr>
            <w:tcW w:w="1989" w:type="dxa"/>
            <w:noWrap w:val="0"/>
            <w:vAlign w:val="center"/>
          </w:tcPr>
          <w:p w14:paraId="6BB3FAA4">
            <w:pPr>
              <w:shd w:val="clear" w:color="auto" w:fill="FFFFFF"/>
              <w:jc w:val="center"/>
              <w:rPr>
                <w:rFonts w:hint="eastAsia" w:ascii="宋体" w:hAnsi="宋体" w:eastAsia="宋体" w:cs="宋体"/>
                <w:color w:val="auto"/>
                <w:szCs w:val="21"/>
                <w:highlight w:val="none"/>
              </w:rPr>
            </w:pPr>
          </w:p>
        </w:tc>
      </w:tr>
      <w:tr w14:paraId="4A8F8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noWrap w:val="0"/>
            <w:vAlign w:val="center"/>
          </w:tcPr>
          <w:p w14:paraId="408FA76E">
            <w:pPr>
              <w:shd w:val="clear" w:color="auto" w:fill="FFFFFF"/>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0</w:t>
            </w:r>
          </w:p>
        </w:tc>
        <w:tc>
          <w:tcPr>
            <w:tcW w:w="2143" w:type="dxa"/>
            <w:noWrap w:val="0"/>
            <w:vAlign w:val="center"/>
          </w:tcPr>
          <w:p w14:paraId="45EFE043">
            <w:pPr>
              <w:shd w:val="clear" w:color="auto" w:fill="FFFFFF"/>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预付款保函金额</w:t>
            </w:r>
          </w:p>
        </w:tc>
        <w:tc>
          <w:tcPr>
            <w:tcW w:w="2295" w:type="dxa"/>
            <w:noWrap w:val="0"/>
            <w:tcMar>
              <w:left w:w="170" w:type="dxa"/>
            </w:tcMar>
            <w:vAlign w:val="center"/>
          </w:tcPr>
          <w:p w14:paraId="2D23563F">
            <w:pPr>
              <w:shd w:val="clear" w:color="auto" w:fill="FFFFFF"/>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专用条款</w:t>
            </w:r>
          </w:p>
        </w:tc>
        <w:tc>
          <w:tcPr>
            <w:tcW w:w="2142" w:type="dxa"/>
            <w:noWrap w:val="0"/>
            <w:vAlign w:val="center"/>
          </w:tcPr>
          <w:p w14:paraId="456268B1">
            <w:pPr>
              <w:shd w:val="clear" w:color="auto" w:fill="FFFFFF"/>
              <w:jc w:val="center"/>
              <w:rPr>
                <w:rFonts w:hint="eastAsia" w:ascii="宋体" w:hAnsi="宋体" w:eastAsia="宋体" w:cs="宋体"/>
                <w:color w:val="auto"/>
                <w:szCs w:val="21"/>
                <w:highlight w:val="none"/>
                <w:lang w:val="en-US" w:eastAsia="zh-CN"/>
              </w:rPr>
            </w:pPr>
          </w:p>
        </w:tc>
        <w:tc>
          <w:tcPr>
            <w:tcW w:w="1989" w:type="dxa"/>
            <w:noWrap w:val="0"/>
            <w:vAlign w:val="center"/>
          </w:tcPr>
          <w:p w14:paraId="0F7E398B">
            <w:pPr>
              <w:shd w:val="clear" w:color="auto" w:fill="FFFFFF"/>
              <w:jc w:val="center"/>
              <w:rPr>
                <w:rFonts w:hint="eastAsia" w:ascii="宋体" w:hAnsi="宋体" w:eastAsia="宋体" w:cs="宋体"/>
                <w:color w:val="auto"/>
                <w:szCs w:val="21"/>
                <w:highlight w:val="none"/>
              </w:rPr>
            </w:pPr>
          </w:p>
        </w:tc>
      </w:tr>
      <w:tr w14:paraId="322F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noWrap w:val="0"/>
            <w:vAlign w:val="center"/>
          </w:tcPr>
          <w:p w14:paraId="156B12CC">
            <w:pPr>
              <w:shd w:val="clear" w:color="auto" w:fill="FFFFFF"/>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p>
        </w:tc>
        <w:tc>
          <w:tcPr>
            <w:tcW w:w="2143" w:type="dxa"/>
            <w:noWrap w:val="0"/>
            <w:vAlign w:val="center"/>
          </w:tcPr>
          <w:p w14:paraId="01737320">
            <w:pPr>
              <w:shd w:val="clear" w:color="auto" w:fill="FFFFFF"/>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质量保证金额度</w:t>
            </w:r>
          </w:p>
        </w:tc>
        <w:tc>
          <w:tcPr>
            <w:tcW w:w="2295" w:type="dxa"/>
            <w:noWrap w:val="0"/>
            <w:tcMar>
              <w:left w:w="170" w:type="dxa"/>
            </w:tcMar>
            <w:vAlign w:val="center"/>
          </w:tcPr>
          <w:p w14:paraId="732BF6C2">
            <w:pPr>
              <w:shd w:val="clear" w:color="auto" w:fill="FFFFFF"/>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专用条款</w:t>
            </w:r>
          </w:p>
        </w:tc>
        <w:tc>
          <w:tcPr>
            <w:tcW w:w="2142" w:type="dxa"/>
            <w:noWrap w:val="0"/>
            <w:vAlign w:val="center"/>
          </w:tcPr>
          <w:p w14:paraId="53AC9E5A">
            <w:pPr>
              <w:shd w:val="clear" w:color="auto" w:fill="FFFFFF"/>
              <w:jc w:val="center"/>
              <w:rPr>
                <w:rFonts w:hint="eastAsia" w:ascii="宋体" w:hAnsi="宋体" w:eastAsia="宋体" w:cs="宋体"/>
                <w:color w:val="auto"/>
                <w:szCs w:val="21"/>
                <w:highlight w:val="none"/>
              </w:rPr>
            </w:pPr>
          </w:p>
        </w:tc>
        <w:tc>
          <w:tcPr>
            <w:tcW w:w="1989" w:type="dxa"/>
            <w:noWrap w:val="0"/>
            <w:vAlign w:val="center"/>
          </w:tcPr>
          <w:p w14:paraId="052680C8">
            <w:pPr>
              <w:shd w:val="clear" w:color="auto" w:fill="FFFFFF"/>
              <w:jc w:val="center"/>
              <w:rPr>
                <w:rFonts w:hint="eastAsia" w:ascii="宋体" w:hAnsi="宋体" w:eastAsia="宋体" w:cs="宋体"/>
                <w:color w:val="auto"/>
                <w:szCs w:val="21"/>
                <w:highlight w:val="none"/>
              </w:rPr>
            </w:pPr>
          </w:p>
        </w:tc>
      </w:tr>
      <w:tr w14:paraId="161B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noWrap w:val="0"/>
            <w:vAlign w:val="center"/>
          </w:tcPr>
          <w:p w14:paraId="0CCFB955">
            <w:pPr>
              <w:shd w:val="clear" w:color="auto" w:fill="FFFFFF"/>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143" w:type="dxa"/>
            <w:noWrap w:val="0"/>
            <w:vAlign w:val="center"/>
          </w:tcPr>
          <w:p w14:paraId="3BC1A615">
            <w:pPr>
              <w:shd w:val="clear" w:color="auto" w:fill="FFFFFF"/>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295" w:type="dxa"/>
            <w:noWrap w:val="0"/>
            <w:tcMar>
              <w:left w:w="170" w:type="dxa"/>
            </w:tcMar>
            <w:vAlign w:val="center"/>
          </w:tcPr>
          <w:p w14:paraId="3BD22408">
            <w:pPr>
              <w:shd w:val="clear" w:color="auto" w:fill="FFFFFF"/>
              <w:rPr>
                <w:rFonts w:hint="eastAsia" w:ascii="宋体" w:hAnsi="宋体" w:eastAsia="宋体" w:cs="宋体"/>
                <w:color w:val="auto"/>
                <w:szCs w:val="21"/>
                <w:highlight w:val="none"/>
              </w:rPr>
            </w:pPr>
          </w:p>
        </w:tc>
        <w:tc>
          <w:tcPr>
            <w:tcW w:w="2142" w:type="dxa"/>
            <w:noWrap w:val="0"/>
            <w:vAlign w:val="center"/>
          </w:tcPr>
          <w:p w14:paraId="3C465B5E">
            <w:pPr>
              <w:shd w:val="clear" w:color="auto" w:fill="FFFFFF"/>
              <w:jc w:val="center"/>
              <w:rPr>
                <w:rFonts w:hint="eastAsia" w:ascii="宋体" w:hAnsi="宋体" w:eastAsia="宋体" w:cs="宋体"/>
                <w:color w:val="auto"/>
                <w:szCs w:val="21"/>
                <w:highlight w:val="none"/>
              </w:rPr>
            </w:pPr>
          </w:p>
        </w:tc>
        <w:tc>
          <w:tcPr>
            <w:tcW w:w="1989" w:type="dxa"/>
            <w:noWrap w:val="0"/>
            <w:vAlign w:val="center"/>
          </w:tcPr>
          <w:p w14:paraId="19318503">
            <w:pPr>
              <w:shd w:val="clear" w:color="auto" w:fill="FFFFFF"/>
              <w:jc w:val="center"/>
              <w:rPr>
                <w:rFonts w:hint="eastAsia" w:ascii="宋体" w:hAnsi="宋体" w:eastAsia="宋体" w:cs="宋体"/>
                <w:color w:val="auto"/>
                <w:szCs w:val="21"/>
                <w:highlight w:val="none"/>
              </w:rPr>
            </w:pPr>
          </w:p>
        </w:tc>
      </w:tr>
      <w:tr w14:paraId="56E3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9639" w:type="dxa"/>
            <w:gridSpan w:val="5"/>
            <w:noWrap w:val="0"/>
            <w:vAlign w:val="center"/>
          </w:tcPr>
          <w:p w14:paraId="08D3A0CB">
            <w:pPr>
              <w:shd w:val="clear" w:color="auto" w:fill="FFFFFF"/>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备注：供应商在响应</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文件中规定的实质性要求和条件的基础上，可做出其他有利于采购人的承诺。此类承诺可在本表中予以补充填写。</w:t>
            </w:r>
          </w:p>
        </w:tc>
      </w:tr>
    </w:tbl>
    <w:p w14:paraId="132786FA">
      <w:pPr>
        <w:pStyle w:val="31"/>
        <w:ind w:firstLine="460" w:firstLineChars="200"/>
        <w:jc w:val="left"/>
        <w:rPr>
          <w:rFonts w:hint="eastAsia" w:ascii="宋体" w:hAnsi="宋体" w:cs="宋体"/>
          <w:color w:val="auto"/>
          <w:sz w:val="21"/>
          <w:szCs w:val="21"/>
          <w:highlight w:val="none"/>
        </w:rPr>
      </w:pPr>
    </w:p>
    <w:p w14:paraId="6BF48BCA">
      <w:pPr>
        <w:pStyle w:val="31"/>
        <w:ind w:firstLine="460" w:firstLineChars="200"/>
        <w:jc w:val="left"/>
        <w:rPr>
          <w:rFonts w:hint="eastAsia" w:ascii="宋体" w:hAnsi="宋体" w:eastAsia="宋体" w:cs="宋体"/>
          <w:color w:val="auto"/>
          <w:szCs w:val="21"/>
          <w:highlight w:val="none"/>
          <w:u w:val="single"/>
        </w:rPr>
      </w:pPr>
      <w:r>
        <w:rPr>
          <w:rFonts w:hint="eastAsia" w:ascii="宋体" w:hAnsi="宋体" w:cs="宋体"/>
          <w:color w:val="auto"/>
          <w:sz w:val="21"/>
          <w:szCs w:val="21"/>
          <w:highlight w:val="none"/>
        </w:rPr>
        <w:t>注：供应商可提出优于竞争性</w:t>
      </w:r>
      <w:r>
        <w:rPr>
          <w:rFonts w:hint="eastAsia" w:ascii="宋体" w:hAnsi="宋体" w:cs="宋体"/>
          <w:color w:val="auto"/>
          <w:sz w:val="21"/>
          <w:szCs w:val="21"/>
          <w:highlight w:val="none"/>
          <w:lang w:val="en-US" w:eastAsia="zh-CN"/>
        </w:rPr>
        <w:t>磋商</w:t>
      </w:r>
      <w:r>
        <w:rPr>
          <w:rFonts w:hint="eastAsia" w:ascii="宋体" w:hAnsi="宋体" w:cs="宋体"/>
          <w:color w:val="auto"/>
          <w:sz w:val="21"/>
          <w:szCs w:val="21"/>
          <w:highlight w:val="none"/>
        </w:rPr>
        <w:t>文件要求的承诺</w:t>
      </w:r>
    </w:p>
    <w:p w14:paraId="04E723AA">
      <w:pPr>
        <w:shd w:val="clear" w:color="auto" w:fill="FFFFFF"/>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pacing w:val="8"/>
          <w:highlight w:val="none"/>
        </w:rPr>
        <w:t>电子</w:t>
      </w:r>
      <w:r>
        <w:rPr>
          <w:rFonts w:hint="eastAsia" w:ascii="宋体" w:hAnsi="宋体" w:cs="宋体"/>
          <w:color w:val="auto"/>
          <w:spacing w:val="8"/>
          <w:highlight w:val="none"/>
          <w:lang w:val="en-US" w:eastAsia="zh-CN"/>
        </w:rPr>
        <w:t>印</w:t>
      </w:r>
      <w:r>
        <w:rPr>
          <w:rFonts w:hint="eastAsia" w:ascii="宋体" w:hAnsi="宋体" w:eastAsia="宋体" w:cs="宋体"/>
          <w:color w:val="auto"/>
          <w:spacing w:val="8"/>
          <w:highlight w:val="none"/>
        </w:rPr>
        <w:t>章</w:t>
      </w:r>
      <w:r>
        <w:rPr>
          <w:rFonts w:hint="eastAsia" w:ascii="宋体" w:hAnsi="宋体" w:eastAsia="宋体" w:cs="宋体"/>
          <w:color w:val="auto"/>
          <w:szCs w:val="21"/>
          <w:highlight w:val="none"/>
        </w:rPr>
        <w:t>）：</w:t>
      </w:r>
    </w:p>
    <w:p w14:paraId="410B7045">
      <w:pPr>
        <w:shd w:val="clear" w:color="auto" w:fill="FFFFFF"/>
        <w:spacing w:line="48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1803406">
      <w:pPr>
        <w:numPr>
          <w:ilvl w:val="-1"/>
          <w:numId w:val="0"/>
        </w:numPr>
        <w:shd w:val="clear" w:color="auto" w:fill="FFFFFF"/>
        <w:spacing w:after="96" w:afterLines="30"/>
        <w:ind w:firstLine="0" w:firstLineChars="0"/>
        <w:rPr>
          <w:rFonts w:hint="default" w:ascii="宋体" w:hAnsi="宋体" w:eastAsia="宋体" w:cs="宋体"/>
          <w:b/>
          <w:bCs/>
          <w:color w:val="auto"/>
          <w:szCs w:val="21"/>
          <w:highlight w:val="none"/>
          <w:lang w:val="en-US" w:eastAsia="zh-CN"/>
        </w:rPr>
      </w:pPr>
    </w:p>
    <w:p w14:paraId="3AC4914E">
      <w:pPr>
        <w:shd w:val="clear" w:color="auto" w:fill="FFFFFF"/>
        <w:spacing w:after="96" w:afterLines="30"/>
        <w:ind w:firstLine="422" w:firstLineChars="200"/>
        <w:rPr>
          <w:rFonts w:hint="eastAsia" w:ascii="宋体" w:hAnsi="宋体" w:eastAsia="宋体" w:cs="宋体"/>
          <w:b/>
          <w:bCs/>
          <w:color w:val="auto"/>
          <w:szCs w:val="21"/>
          <w:highlight w:val="none"/>
        </w:rPr>
      </w:pPr>
    </w:p>
    <w:p w14:paraId="616F90FB">
      <w:pPr>
        <w:shd w:val="clear" w:color="auto" w:fill="FFFFFF"/>
        <w:spacing w:after="96" w:afterLines="30"/>
        <w:ind w:firstLine="0" w:firstLineChars="0"/>
        <w:rPr>
          <w:rFonts w:hint="eastAsia" w:ascii="宋体" w:hAnsi="宋体" w:eastAsia="宋体" w:cs="宋体"/>
          <w:b/>
          <w:bCs/>
          <w:color w:val="auto"/>
          <w:szCs w:val="21"/>
          <w:highlight w:val="none"/>
        </w:rPr>
      </w:pPr>
    </w:p>
    <w:p w14:paraId="735E7B59">
      <w:pPr>
        <w:shd w:val="clear" w:color="auto" w:fill="FFFFFF"/>
        <w:spacing w:after="96" w:afterLines="30"/>
        <w:ind w:firstLine="0" w:firstLineChars="0"/>
        <w:rPr>
          <w:rFonts w:hint="eastAsia" w:ascii="宋体" w:hAnsi="宋体" w:eastAsia="宋体" w:cs="宋体"/>
          <w:b/>
          <w:bCs/>
          <w:color w:val="auto"/>
          <w:szCs w:val="21"/>
          <w:highlight w:val="none"/>
        </w:rPr>
      </w:pPr>
    </w:p>
    <w:p w14:paraId="2EC66C42">
      <w:pPr>
        <w:shd w:val="clear" w:color="auto" w:fill="FFFFFF"/>
        <w:spacing w:after="96" w:afterLines="30"/>
        <w:ind w:firstLine="482" w:firstLineChars="2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施工组织设计</w:t>
      </w:r>
    </w:p>
    <w:p w14:paraId="03F0045F">
      <w:pPr>
        <w:spacing w:after="50" w:afterLines="0" w:line="440" w:lineRule="exact"/>
        <w:ind w:firstLine="420" w:firstLineChars="200"/>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供应商应编制施工组织设计。编制具体要求是：编制时应采用文字并结合图表形式说明施工方法；拟投入的主要施工机械设备情况、劳动力计划等；结合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14:paraId="1B00D08A">
      <w:pPr>
        <w:spacing w:after="50" w:afterLines="0" w:line="440" w:lineRule="exact"/>
        <w:ind w:firstLine="420" w:firstLineChars="200"/>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施工组织设计除采用文字表述外可附下列图表，图表及格式要求附后，表格可扩展。</w:t>
      </w:r>
    </w:p>
    <w:p w14:paraId="695F4E48">
      <w:pPr>
        <w:spacing w:after="50" w:afterLines="0"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附表一  拟投入的主要施工设备表</w:t>
      </w:r>
    </w:p>
    <w:p w14:paraId="0377C95D">
      <w:pPr>
        <w:spacing w:after="50" w:afterLines="0"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附表二  劳动力计划表</w:t>
      </w:r>
    </w:p>
    <w:p w14:paraId="3D5A8A09">
      <w:pPr>
        <w:spacing w:after="50" w:afterLines="0"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附表三  计划开、竣工日期和施工进度横道图</w:t>
      </w:r>
    </w:p>
    <w:p w14:paraId="42C6C2BA">
      <w:pPr>
        <w:spacing w:after="50" w:afterLines="0"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附表四  施工总平面图</w:t>
      </w:r>
    </w:p>
    <w:p w14:paraId="7EED8446">
      <w:pPr>
        <w:spacing w:after="50" w:afterLines="0" w:line="440" w:lineRule="exact"/>
        <w:ind w:firstLine="420" w:firstLineChars="200"/>
        <w:rPr>
          <w:rFonts w:hint="eastAsia" w:ascii="宋体" w:hAnsi="宋体" w:cs="宋体"/>
          <w:color w:val="auto"/>
          <w:sz w:val="24"/>
          <w:highlight w:val="none"/>
        </w:rPr>
      </w:pPr>
      <w:r>
        <w:rPr>
          <w:rFonts w:hint="eastAsia" w:ascii="宋体" w:hAnsi="宋体" w:cs="宋体"/>
          <w:color w:val="auto"/>
          <w:highlight w:val="none"/>
        </w:rPr>
        <w:t>附表五  临时用地表</w:t>
      </w:r>
    </w:p>
    <w:p w14:paraId="24946505">
      <w:pPr>
        <w:spacing w:after="50" w:afterLines="0" w:line="400" w:lineRule="exact"/>
        <w:ind w:firstLine="482" w:firstLineChars="200"/>
        <w:rPr>
          <w:rFonts w:hint="eastAsia" w:ascii="宋体" w:hAnsi="宋体" w:cs="宋体"/>
          <w:b/>
          <w:bCs/>
          <w:color w:val="auto"/>
          <w:sz w:val="24"/>
          <w:highlight w:val="none"/>
        </w:rPr>
      </w:pPr>
    </w:p>
    <w:p w14:paraId="7F05B431">
      <w:pPr>
        <w:spacing w:after="50" w:afterLines="0" w:line="4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附表一  ⑴拟投入的主要施工机械设备表</w:t>
      </w:r>
    </w:p>
    <w:p w14:paraId="4F1FEE80">
      <w:pPr>
        <w:ind w:firstLine="482" w:firstLineChars="200"/>
        <w:jc w:val="center"/>
        <w:rPr>
          <w:rFonts w:hint="eastAsia" w:ascii="宋体" w:hAnsi="宋体" w:cs="宋体"/>
          <w:b/>
          <w:bCs/>
          <w:color w:val="auto"/>
          <w:sz w:val="24"/>
          <w:highlight w:val="none"/>
        </w:rPr>
      </w:pPr>
      <w:r>
        <w:rPr>
          <w:rFonts w:hint="eastAsia" w:ascii="宋体" w:hAnsi="宋体" w:cs="宋体"/>
          <w:b/>
          <w:bCs/>
          <w:color w:val="auto"/>
          <w:sz w:val="24"/>
          <w:highlight w:val="none"/>
        </w:rPr>
        <w:t>拟投入的主要施工机械设备表（格式）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784"/>
        <w:gridCol w:w="1154"/>
        <w:gridCol w:w="735"/>
        <w:gridCol w:w="1154"/>
        <w:gridCol w:w="735"/>
        <w:gridCol w:w="1102"/>
        <w:gridCol w:w="1104"/>
        <w:gridCol w:w="840"/>
      </w:tblGrid>
      <w:tr w14:paraId="6625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36" w:type="dxa"/>
            <w:noWrap w:val="0"/>
            <w:vAlign w:val="center"/>
          </w:tcPr>
          <w:p w14:paraId="3E36FA2F">
            <w:pPr>
              <w:spacing w:after="50" w:afterLines="0" w:line="400" w:lineRule="exact"/>
              <w:jc w:val="center"/>
              <w:rPr>
                <w:rFonts w:hint="eastAsia" w:ascii="宋体" w:hAnsi="宋体" w:cs="宋体"/>
                <w:color w:val="auto"/>
                <w:highlight w:val="none"/>
              </w:rPr>
            </w:pPr>
            <w:r>
              <w:rPr>
                <w:rFonts w:hint="eastAsia" w:ascii="宋体" w:hAnsi="宋体" w:cs="宋体"/>
                <w:color w:val="auto"/>
                <w:highlight w:val="none"/>
              </w:rPr>
              <w:t>序号</w:t>
            </w:r>
          </w:p>
        </w:tc>
        <w:tc>
          <w:tcPr>
            <w:tcW w:w="1784" w:type="dxa"/>
            <w:noWrap w:val="0"/>
            <w:vAlign w:val="center"/>
          </w:tcPr>
          <w:p w14:paraId="107076BD">
            <w:pPr>
              <w:spacing w:after="50" w:afterLines="0" w:line="400" w:lineRule="exact"/>
              <w:jc w:val="center"/>
              <w:rPr>
                <w:rFonts w:hint="eastAsia" w:ascii="宋体" w:hAnsi="宋体" w:cs="宋体"/>
                <w:color w:val="auto"/>
                <w:highlight w:val="none"/>
              </w:rPr>
            </w:pPr>
            <w:r>
              <w:rPr>
                <w:rFonts w:hint="eastAsia" w:ascii="宋体" w:hAnsi="宋体" w:cs="宋体"/>
                <w:color w:val="auto"/>
                <w:highlight w:val="none"/>
              </w:rPr>
              <w:t>机械或设备名称</w:t>
            </w:r>
          </w:p>
        </w:tc>
        <w:tc>
          <w:tcPr>
            <w:tcW w:w="1154" w:type="dxa"/>
            <w:noWrap w:val="0"/>
            <w:vAlign w:val="center"/>
          </w:tcPr>
          <w:p w14:paraId="36296B4F">
            <w:pPr>
              <w:spacing w:after="50" w:afterLines="0" w:line="400" w:lineRule="exact"/>
              <w:jc w:val="center"/>
              <w:rPr>
                <w:rFonts w:hint="eastAsia" w:ascii="宋体" w:hAnsi="宋体" w:cs="宋体"/>
                <w:color w:val="auto"/>
                <w:highlight w:val="none"/>
              </w:rPr>
            </w:pPr>
            <w:r>
              <w:rPr>
                <w:rFonts w:hint="eastAsia" w:ascii="宋体" w:hAnsi="宋体" w:cs="宋体"/>
                <w:color w:val="auto"/>
                <w:highlight w:val="none"/>
              </w:rPr>
              <w:t>型号规格</w:t>
            </w:r>
          </w:p>
        </w:tc>
        <w:tc>
          <w:tcPr>
            <w:tcW w:w="735" w:type="dxa"/>
            <w:noWrap w:val="0"/>
            <w:vAlign w:val="center"/>
          </w:tcPr>
          <w:p w14:paraId="3A41FABB">
            <w:pPr>
              <w:spacing w:after="50" w:afterLines="0" w:line="400" w:lineRule="exact"/>
              <w:jc w:val="center"/>
              <w:rPr>
                <w:rFonts w:hint="eastAsia" w:ascii="宋体" w:hAnsi="宋体" w:cs="宋体"/>
                <w:color w:val="auto"/>
                <w:highlight w:val="none"/>
              </w:rPr>
            </w:pPr>
            <w:r>
              <w:rPr>
                <w:rFonts w:hint="eastAsia" w:ascii="宋体" w:hAnsi="宋体" w:cs="宋体"/>
                <w:color w:val="auto"/>
                <w:highlight w:val="none"/>
              </w:rPr>
              <w:t>数量</w:t>
            </w:r>
          </w:p>
        </w:tc>
        <w:tc>
          <w:tcPr>
            <w:tcW w:w="1154" w:type="dxa"/>
            <w:noWrap w:val="0"/>
            <w:vAlign w:val="center"/>
          </w:tcPr>
          <w:p w14:paraId="39AE88F1">
            <w:pPr>
              <w:spacing w:after="50" w:afterLines="0" w:line="400" w:lineRule="exact"/>
              <w:jc w:val="center"/>
              <w:rPr>
                <w:rFonts w:hint="eastAsia" w:ascii="宋体" w:hAnsi="宋体" w:cs="宋体"/>
                <w:color w:val="auto"/>
                <w:highlight w:val="none"/>
              </w:rPr>
            </w:pPr>
            <w:r>
              <w:rPr>
                <w:rFonts w:hint="eastAsia" w:ascii="宋体" w:hAnsi="宋体" w:cs="宋体"/>
                <w:color w:val="auto"/>
                <w:highlight w:val="none"/>
              </w:rPr>
              <w:t>国别产地</w:t>
            </w:r>
          </w:p>
        </w:tc>
        <w:tc>
          <w:tcPr>
            <w:tcW w:w="735" w:type="dxa"/>
            <w:noWrap w:val="0"/>
            <w:vAlign w:val="center"/>
          </w:tcPr>
          <w:p w14:paraId="0AB6D6D4">
            <w:pPr>
              <w:spacing w:after="50" w:afterLines="0" w:line="400" w:lineRule="exact"/>
              <w:jc w:val="center"/>
              <w:rPr>
                <w:rFonts w:hint="eastAsia" w:ascii="宋体" w:hAnsi="宋体" w:cs="宋体"/>
                <w:color w:val="auto"/>
                <w:highlight w:val="none"/>
              </w:rPr>
            </w:pPr>
            <w:r>
              <w:rPr>
                <w:rFonts w:hint="eastAsia" w:ascii="宋体" w:hAnsi="宋体" w:cs="宋体"/>
                <w:color w:val="auto"/>
                <w:highlight w:val="none"/>
              </w:rPr>
              <w:t>制造年份</w:t>
            </w:r>
          </w:p>
        </w:tc>
        <w:tc>
          <w:tcPr>
            <w:tcW w:w="1102" w:type="dxa"/>
            <w:noWrap w:val="0"/>
            <w:vAlign w:val="center"/>
          </w:tcPr>
          <w:p w14:paraId="2E27749D">
            <w:pPr>
              <w:spacing w:after="50" w:afterLines="0" w:line="400" w:lineRule="exact"/>
              <w:jc w:val="center"/>
              <w:rPr>
                <w:rFonts w:hint="eastAsia" w:ascii="宋体" w:hAnsi="宋体" w:cs="宋体"/>
                <w:color w:val="auto"/>
                <w:highlight w:val="none"/>
              </w:rPr>
            </w:pPr>
            <w:r>
              <w:rPr>
                <w:rFonts w:hint="eastAsia" w:ascii="宋体" w:hAnsi="宋体" w:cs="宋体"/>
                <w:color w:val="auto"/>
                <w:highlight w:val="none"/>
              </w:rPr>
              <w:t>额定功率（KW）</w:t>
            </w:r>
          </w:p>
        </w:tc>
        <w:tc>
          <w:tcPr>
            <w:tcW w:w="1104" w:type="dxa"/>
            <w:noWrap w:val="0"/>
            <w:vAlign w:val="center"/>
          </w:tcPr>
          <w:p w14:paraId="583AB637">
            <w:pPr>
              <w:spacing w:after="50" w:afterLines="0" w:line="400" w:lineRule="exact"/>
              <w:jc w:val="center"/>
              <w:rPr>
                <w:rFonts w:hint="eastAsia" w:ascii="宋体" w:hAnsi="宋体" w:cs="宋体"/>
                <w:color w:val="auto"/>
                <w:highlight w:val="none"/>
              </w:rPr>
            </w:pPr>
            <w:r>
              <w:rPr>
                <w:rFonts w:hint="eastAsia" w:ascii="宋体" w:hAnsi="宋体" w:cs="宋体"/>
                <w:color w:val="auto"/>
                <w:highlight w:val="none"/>
              </w:rPr>
              <w:t>生产能力</w:t>
            </w:r>
          </w:p>
        </w:tc>
        <w:tc>
          <w:tcPr>
            <w:tcW w:w="840" w:type="dxa"/>
            <w:tcBorders>
              <w:left w:val="single" w:color="auto" w:sz="4" w:space="0"/>
            </w:tcBorders>
            <w:noWrap w:val="0"/>
            <w:vAlign w:val="center"/>
          </w:tcPr>
          <w:p w14:paraId="30F836AD">
            <w:pPr>
              <w:spacing w:after="50" w:afterLines="0" w:line="400" w:lineRule="exact"/>
              <w:jc w:val="center"/>
              <w:rPr>
                <w:rFonts w:hint="eastAsia" w:ascii="宋体" w:hAnsi="宋体" w:cs="宋体"/>
                <w:color w:val="auto"/>
                <w:highlight w:val="none"/>
              </w:rPr>
            </w:pPr>
            <w:r>
              <w:rPr>
                <w:rFonts w:hint="eastAsia" w:ascii="宋体" w:hAnsi="宋体" w:cs="宋体"/>
                <w:color w:val="auto"/>
                <w:highlight w:val="none"/>
              </w:rPr>
              <w:t>备注</w:t>
            </w:r>
          </w:p>
        </w:tc>
      </w:tr>
      <w:tr w14:paraId="689E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36" w:type="dxa"/>
            <w:noWrap w:val="0"/>
            <w:vAlign w:val="top"/>
          </w:tcPr>
          <w:p w14:paraId="732E8440">
            <w:pPr>
              <w:spacing w:after="50" w:afterLines="0" w:line="400" w:lineRule="exact"/>
              <w:rPr>
                <w:rFonts w:hint="eastAsia" w:ascii="宋体" w:hAnsi="宋体" w:cs="宋体"/>
                <w:color w:val="auto"/>
                <w:highlight w:val="none"/>
              </w:rPr>
            </w:pPr>
          </w:p>
        </w:tc>
        <w:tc>
          <w:tcPr>
            <w:tcW w:w="1784" w:type="dxa"/>
            <w:noWrap w:val="0"/>
            <w:vAlign w:val="top"/>
          </w:tcPr>
          <w:p w14:paraId="0BF86E70">
            <w:pPr>
              <w:spacing w:after="50" w:afterLines="0" w:line="400" w:lineRule="exact"/>
              <w:rPr>
                <w:rFonts w:hint="eastAsia" w:ascii="宋体" w:hAnsi="宋体" w:cs="宋体"/>
                <w:color w:val="auto"/>
                <w:highlight w:val="none"/>
              </w:rPr>
            </w:pPr>
          </w:p>
        </w:tc>
        <w:tc>
          <w:tcPr>
            <w:tcW w:w="1154" w:type="dxa"/>
            <w:noWrap w:val="0"/>
            <w:vAlign w:val="top"/>
          </w:tcPr>
          <w:p w14:paraId="3A291FF5">
            <w:pPr>
              <w:spacing w:after="50" w:afterLines="0" w:line="400" w:lineRule="exact"/>
              <w:rPr>
                <w:rFonts w:hint="eastAsia" w:ascii="宋体" w:hAnsi="宋体" w:cs="宋体"/>
                <w:color w:val="auto"/>
                <w:highlight w:val="none"/>
              </w:rPr>
            </w:pPr>
          </w:p>
        </w:tc>
        <w:tc>
          <w:tcPr>
            <w:tcW w:w="735" w:type="dxa"/>
            <w:noWrap w:val="0"/>
            <w:vAlign w:val="top"/>
          </w:tcPr>
          <w:p w14:paraId="213B781A">
            <w:pPr>
              <w:spacing w:after="50" w:afterLines="0" w:line="400" w:lineRule="exact"/>
              <w:rPr>
                <w:rFonts w:hint="eastAsia" w:ascii="宋体" w:hAnsi="宋体" w:cs="宋体"/>
                <w:color w:val="auto"/>
                <w:highlight w:val="none"/>
              </w:rPr>
            </w:pPr>
          </w:p>
        </w:tc>
        <w:tc>
          <w:tcPr>
            <w:tcW w:w="1154" w:type="dxa"/>
            <w:noWrap w:val="0"/>
            <w:vAlign w:val="top"/>
          </w:tcPr>
          <w:p w14:paraId="0DE90C12">
            <w:pPr>
              <w:spacing w:after="50" w:afterLines="0" w:line="400" w:lineRule="exact"/>
              <w:rPr>
                <w:rFonts w:hint="eastAsia" w:ascii="宋体" w:hAnsi="宋体" w:cs="宋体"/>
                <w:color w:val="auto"/>
                <w:highlight w:val="none"/>
              </w:rPr>
            </w:pPr>
          </w:p>
        </w:tc>
        <w:tc>
          <w:tcPr>
            <w:tcW w:w="735" w:type="dxa"/>
            <w:noWrap w:val="0"/>
            <w:vAlign w:val="top"/>
          </w:tcPr>
          <w:p w14:paraId="04DF7588">
            <w:pPr>
              <w:spacing w:after="50" w:afterLines="0" w:line="400" w:lineRule="exact"/>
              <w:rPr>
                <w:rFonts w:hint="eastAsia" w:ascii="宋体" w:hAnsi="宋体" w:cs="宋体"/>
                <w:color w:val="auto"/>
                <w:highlight w:val="none"/>
              </w:rPr>
            </w:pPr>
          </w:p>
        </w:tc>
        <w:tc>
          <w:tcPr>
            <w:tcW w:w="1102" w:type="dxa"/>
            <w:noWrap w:val="0"/>
            <w:vAlign w:val="top"/>
          </w:tcPr>
          <w:p w14:paraId="1E3F82CB">
            <w:pPr>
              <w:spacing w:after="50" w:afterLines="0" w:line="400" w:lineRule="exact"/>
              <w:rPr>
                <w:rFonts w:hint="eastAsia" w:ascii="宋体" w:hAnsi="宋体" w:cs="宋体"/>
                <w:color w:val="auto"/>
                <w:highlight w:val="none"/>
              </w:rPr>
            </w:pPr>
          </w:p>
        </w:tc>
        <w:tc>
          <w:tcPr>
            <w:tcW w:w="1104" w:type="dxa"/>
            <w:noWrap w:val="0"/>
            <w:vAlign w:val="top"/>
          </w:tcPr>
          <w:p w14:paraId="37BD4BBF">
            <w:pPr>
              <w:spacing w:after="50" w:afterLines="0" w:line="400" w:lineRule="exact"/>
              <w:rPr>
                <w:rFonts w:hint="eastAsia" w:ascii="宋体" w:hAnsi="宋体" w:cs="宋体"/>
                <w:color w:val="auto"/>
                <w:highlight w:val="none"/>
              </w:rPr>
            </w:pPr>
          </w:p>
        </w:tc>
        <w:tc>
          <w:tcPr>
            <w:tcW w:w="840" w:type="dxa"/>
            <w:tcBorders>
              <w:left w:val="single" w:color="auto" w:sz="4" w:space="0"/>
            </w:tcBorders>
            <w:noWrap w:val="0"/>
            <w:vAlign w:val="top"/>
          </w:tcPr>
          <w:p w14:paraId="6BB05E1C">
            <w:pPr>
              <w:spacing w:after="50" w:afterLines="0" w:line="400" w:lineRule="exact"/>
              <w:rPr>
                <w:rFonts w:hint="eastAsia" w:ascii="宋体" w:hAnsi="宋体" w:cs="宋体"/>
                <w:color w:val="auto"/>
                <w:highlight w:val="none"/>
              </w:rPr>
            </w:pPr>
          </w:p>
        </w:tc>
      </w:tr>
      <w:tr w14:paraId="440A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36" w:type="dxa"/>
            <w:noWrap w:val="0"/>
            <w:vAlign w:val="top"/>
          </w:tcPr>
          <w:p w14:paraId="59E586D4">
            <w:pPr>
              <w:spacing w:after="50" w:afterLines="0" w:line="400" w:lineRule="exact"/>
              <w:rPr>
                <w:rFonts w:hint="eastAsia" w:ascii="宋体" w:hAnsi="宋体" w:cs="宋体"/>
                <w:color w:val="auto"/>
                <w:highlight w:val="none"/>
              </w:rPr>
            </w:pPr>
          </w:p>
        </w:tc>
        <w:tc>
          <w:tcPr>
            <w:tcW w:w="1784" w:type="dxa"/>
            <w:noWrap w:val="0"/>
            <w:vAlign w:val="top"/>
          </w:tcPr>
          <w:p w14:paraId="5E52DF77">
            <w:pPr>
              <w:spacing w:after="50" w:afterLines="0" w:line="400" w:lineRule="exact"/>
              <w:rPr>
                <w:rFonts w:hint="eastAsia" w:ascii="宋体" w:hAnsi="宋体" w:cs="宋体"/>
                <w:color w:val="auto"/>
                <w:highlight w:val="none"/>
              </w:rPr>
            </w:pPr>
          </w:p>
        </w:tc>
        <w:tc>
          <w:tcPr>
            <w:tcW w:w="1154" w:type="dxa"/>
            <w:noWrap w:val="0"/>
            <w:vAlign w:val="top"/>
          </w:tcPr>
          <w:p w14:paraId="242CECF5">
            <w:pPr>
              <w:spacing w:after="50" w:afterLines="0" w:line="400" w:lineRule="exact"/>
              <w:rPr>
                <w:rFonts w:hint="eastAsia" w:ascii="宋体" w:hAnsi="宋体" w:cs="宋体"/>
                <w:color w:val="auto"/>
                <w:highlight w:val="none"/>
              </w:rPr>
            </w:pPr>
          </w:p>
        </w:tc>
        <w:tc>
          <w:tcPr>
            <w:tcW w:w="735" w:type="dxa"/>
            <w:noWrap w:val="0"/>
            <w:vAlign w:val="top"/>
          </w:tcPr>
          <w:p w14:paraId="4798CE6E">
            <w:pPr>
              <w:spacing w:after="50" w:afterLines="0" w:line="400" w:lineRule="exact"/>
              <w:rPr>
                <w:rFonts w:hint="eastAsia" w:ascii="宋体" w:hAnsi="宋体" w:cs="宋体"/>
                <w:color w:val="auto"/>
                <w:highlight w:val="none"/>
              </w:rPr>
            </w:pPr>
          </w:p>
        </w:tc>
        <w:tc>
          <w:tcPr>
            <w:tcW w:w="1154" w:type="dxa"/>
            <w:noWrap w:val="0"/>
            <w:vAlign w:val="top"/>
          </w:tcPr>
          <w:p w14:paraId="0FCAC40B">
            <w:pPr>
              <w:spacing w:after="50" w:afterLines="0" w:line="400" w:lineRule="exact"/>
              <w:rPr>
                <w:rFonts w:hint="eastAsia" w:ascii="宋体" w:hAnsi="宋体" w:cs="宋体"/>
                <w:color w:val="auto"/>
                <w:highlight w:val="none"/>
              </w:rPr>
            </w:pPr>
          </w:p>
        </w:tc>
        <w:tc>
          <w:tcPr>
            <w:tcW w:w="735" w:type="dxa"/>
            <w:noWrap w:val="0"/>
            <w:vAlign w:val="top"/>
          </w:tcPr>
          <w:p w14:paraId="14DD3862">
            <w:pPr>
              <w:spacing w:after="50" w:afterLines="0" w:line="400" w:lineRule="exact"/>
              <w:rPr>
                <w:rFonts w:hint="eastAsia" w:ascii="宋体" w:hAnsi="宋体" w:cs="宋体"/>
                <w:color w:val="auto"/>
                <w:highlight w:val="none"/>
              </w:rPr>
            </w:pPr>
          </w:p>
        </w:tc>
        <w:tc>
          <w:tcPr>
            <w:tcW w:w="1102" w:type="dxa"/>
            <w:noWrap w:val="0"/>
            <w:vAlign w:val="top"/>
          </w:tcPr>
          <w:p w14:paraId="16A30006">
            <w:pPr>
              <w:spacing w:after="50" w:afterLines="0" w:line="400" w:lineRule="exact"/>
              <w:rPr>
                <w:rFonts w:hint="eastAsia" w:ascii="宋体" w:hAnsi="宋体" w:cs="宋体"/>
                <w:color w:val="auto"/>
                <w:highlight w:val="none"/>
              </w:rPr>
            </w:pPr>
          </w:p>
        </w:tc>
        <w:tc>
          <w:tcPr>
            <w:tcW w:w="1104" w:type="dxa"/>
            <w:noWrap w:val="0"/>
            <w:vAlign w:val="top"/>
          </w:tcPr>
          <w:p w14:paraId="645F165E">
            <w:pPr>
              <w:spacing w:after="50" w:afterLines="0" w:line="400" w:lineRule="exact"/>
              <w:rPr>
                <w:rFonts w:hint="eastAsia" w:ascii="宋体" w:hAnsi="宋体" w:cs="宋体"/>
                <w:color w:val="auto"/>
                <w:highlight w:val="none"/>
              </w:rPr>
            </w:pPr>
          </w:p>
        </w:tc>
        <w:tc>
          <w:tcPr>
            <w:tcW w:w="840" w:type="dxa"/>
            <w:tcBorders>
              <w:left w:val="single" w:color="auto" w:sz="4" w:space="0"/>
            </w:tcBorders>
            <w:noWrap w:val="0"/>
            <w:vAlign w:val="top"/>
          </w:tcPr>
          <w:p w14:paraId="2A79D6D8">
            <w:pPr>
              <w:spacing w:after="50" w:afterLines="0" w:line="400" w:lineRule="exact"/>
              <w:rPr>
                <w:rFonts w:hint="eastAsia" w:ascii="宋体" w:hAnsi="宋体" w:cs="宋体"/>
                <w:color w:val="auto"/>
                <w:highlight w:val="none"/>
              </w:rPr>
            </w:pPr>
          </w:p>
        </w:tc>
      </w:tr>
      <w:tr w14:paraId="2CA5D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36" w:type="dxa"/>
            <w:noWrap w:val="0"/>
            <w:vAlign w:val="top"/>
          </w:tcPr>
          <w:p w14:paraId="6B12AEB8">
            <w:pPr>
              <w:spacing w:after="50" w:afterLines="0" w:line="400" w:lineRule="exact"/>
              <w:rPr>
                <w:rFonts w:hint="eastAsia" w:ascii="宋体" w:hAnsi="宋体" w:cs="宋体"/>
                <w:color w:val="auto"/>
                <w:highlight w:val="none"/>
              </w:rPr>
            </w:pPr>
          </w:p>
        </w:tc>
        <w:tc>
          <w:tcPr>
            <w:tcW w:w="1784" w:type="dxa"/>
            <w:noWrap w:val="0"/>
            <w:vAlign w:val="top"/>
          </w:tcPr>
          <w:p w14:paraId="4FB4441A">
            <w:pPr>
              <w:spacing w:after="50" w:afterLines="0" w:line="400" w:lineRule="exact"/>
              <w:rPr>
                <w:rFonts w:hint="eastAsia" w:ascii="宋体" w:hAnsi="宋体" w:cs="宋体"/>
                <w:color w:val="auto"/>
                <w:highlight w:val="none"/>
              </w:rPr>
            </w:pPr>
          </w:p>
        </w:tc>
        <w:tc>
          <w:tcPr>
            <w:tcW w:w="1154" w:type="dxa"/>
            <w:noWrap w:val="0"/>
            <w:vAlign w:val="top"/>
          </w:tcPr>
          <w:p w14:paraId="10ABAB11">
            <w:pPr>
              <w:spacing w:after="50" w:afterLines="0" w:line="400" w:lineRule="exact"/>
              <w:rPr>
                <w:rFonts w:hint="eastAsia" w:ascii="宋体" w:hAnsi="宋体" w:cs="宋体"/>
                <w:color w:val="auto"/>
                <w:highlight w:val="none"/>
              </w:rPr>
            </w:pPr>
          </w:p>
        </w:tc>
        <w:tc>
          <w:tcPr>
            <w:tcW w:w="735" w:type="dxa"/>
            <w:noWrap w:val="0"/>
            <w:vAlign w:val="top"/>
          </w:tcPr>
          <w:p w14:paraId="0040A954">
            <w:pPr>
              <w:spacing w:after="50" w:afterLines="0" w:line="400" w:lineRule="exact"/>
              <w:rPr>
                <w:rFonts w:hint="eastAsia" w:ascii="宋体" w:hAnsi="宋体" w:cs="宋体"/>
                <w:color w:val="auto"/>
                <w:highlight w:val="none"/>
              </w:rPr>
            </w:pPr>
          </w:p>
        </w:tc>
        <w:tc>
          <w:tcPr>
            <w:tcW w:w="1154" w:type="dxa"/>
            <w:noWrap w:val="0"/>
            <w:vAlign w:val="top"/>
          </w:tcPr>
          <w:p w14:paraId="754B5EF7">
            <w:pPr>
              <w:spacing w:after="50" w:afterLines="0" w:line="400" w:lineRule="exact"/>
              <w:rPr>
                <w:rFonts w:hint="eastAsia" w:ascii="宋体" w:hAnsi="宋体" w:cs="宋体"/>
                <w:color w:val="auto"/>
                <w:highlight w:val="none"/>
              </w:rPr>
            </w:pPr>
          </w:p>
        </w:tc>
        <w:tc>
          <w:tcPr>
            <w:tcW w:w="735" w:type="dxa"/>
            <w:noWrap w:val="0"/>
            <w:vAlign w:val="top"/>
          </w:tcPr>
          <w:p w14:paraId="037CDC47">
            <w:pPr>
              <w:spacing w:after="50" w:afterLines="0" w:line="400" w:lineRule="exact"/>
              <w:rPr>
                <w:rFonts w:hint="eastAsia" w:ascii="宋体" w:hAnsi="宋体" w:cs="宋体"/>
                <w:color w:val="auto"/>
                <w:highlight w:val="none"/>
              </w:rPr>
            </w:pPr>
          </w:p>
        </w:tc>
        <w:tc>
          <w:tcPr>
            <w:tcW w:w="1102" w:type="dxa"/>
            <w:noWrap w:val="0"/>
            <w:vAlign w:val="top"/>
          </w:tcPr>
          <w:p w14:paraId="5E5D6CD8">
            <w:pPr>
              <w:pStyle w:val="48"/>
              <w:spacing w:after="50" w:afterLines="0" w:line="400" w:lineRule="exact"/>
              <w:rPr>
                <w:rFonts w:hint="eastAsia" w:hAnsi="宋体" w:cs="宋体"/>
                <w:color w:val="auto"/>
                <w:szCs w:val="24"/>
                <w:highlight w:val="none"/>
              </w:rPr>
            </w:pPr>
          </w:p>
        </w:tc>
        <w:tc>
          <w:tcPr>
            <w:tcW w:w="1104" w:type="dxa"/>
            <w:noWrap w:val="0"/>
            <w:vAlign w:val="top"/>
          </w:tcPr>
          <w:p w14:paraId="0B7F4394">
            <w:pPr>
              <w:spacing w:after="50" w:afterLines="0" w:line="400" w:lineRule="exact"/>
              <w:rPr>
                <w:rFonts w:hint="eastAsia" w:ascii="宋体" w:hAnsi="宋体" w:cs="宋体"/>
                <w:color w:val="auto"/>
                <w:highlight w:val="none"/>
              </w:rPr>
            </w:pPr>
          </w:p>
        </w:tc>
        <w:tc>
          <w:tcPr>
            <w:tcW w:w="840" w:type="dxa"/>
            <w:tcBorders>
              <w:left w:val="single" w:color="auto" w:sz="4" w:space="0"/>
            </w:tcBorders>
            <w:noWrap w:val="0"/>
            <w:vAlign w:val="top"/>
          </w:tcPr>
          <w:p w14:paraId="402C671D">
            <w:pPr>
              <w:spacing w:after="50" w:afterLines="0" w:line="400" w:lineRule="exact"/>
              <w:rPr>
                <w:rFonts w:hint="eastAsia" w:ascii="宋体" w:hAnsi="宋体" w:cs="宋体"/>
                <w:color w:val="auto"/>
                <w:highlight w:val="none"/>
              </w:rPr>
            </w:pPr>
          </w:p>
        </w:tc>
      </w:tr>
      <w:tr w14:paraId="30F8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36" w:type="dxa"/>
            <w:noWrap w:val="0"/>
            <w:vAlign w:val="top"/>
          </w:tcPr>
          <w:p w14:paraId="7DE68B27">
            <w:pPr>
              <w:spacing w:after="50" w:afterLines="0" w:line="400" w:lineRule="exact"/>
              <w:rPr>
                <w:rFonts w:hint="eastAsia" w:ascii="宋体" w:hAnsi="宋体" w:cs="宋体"/>
                <w:color w:val="auto"/>
                <w:highlight w:val="none"/>
              </w:rPr>
            </w:pPr>
          </w:p>
        </w:tc>
        <w:tc>
          <w:tcPr>
            <w:tcW w:w="1784" w:type="dxa"/>
            <w:noWrap w:val="0"/>
            <w:vAlign w:val="top"/>
          </w:tcPr>
          <w:p w14:paraId="71904894">
            <w:pPr>
              <w:spacing w:after="50" w:afterLines="0" w:line="400" w:lineRule="exact"/>
              <w:rPr>
                <w:rFonts w:hint="eastAsia" w:ascii="宋体" w:hAnsi="宋体" w:cs="宋体"/>
                <w:color w:val="auto"/>
                <w:highlight w:val="none"/>
              </w:rPr>
            </w:pPr>
          </w:p>
        </w:tc>
        <w:tc>
          <w:tcPr>
            <w:tcW w:w="1154" w:type="dxa"/>
            <w:noWrap w:val="0"/>
            <w:vAlign w:val="top"/>
          </w:tcPr>
          <w:p w14:paraId="6B9B6CA7">
            <w:pPr>
              <w:spacing w:after="50" w:afterLines="0" w:line="400" w:lineRule="exact"/>
              <w:rPr>
                <w:rFonts w:hint="eastAsia" w:ascii="宋体" w:hAnsi="宋体" w:cs="宋体"/>
                <w:color w:val="auto"/>
                <w:highlight w:val="none"/>
              </w:rPr>
            </w:pPr>
          </w:p>
        </w:tc>
        <w:tc>
          <w:tcPr>
            <w:tcW w:w="735" w:type="dxa"/>
            <w:noWrap w:val="0"/>
            <w:vAlign w:val="top"/>
          </w:tcPr>
          <w:p w14:paraId="07399BA1">
            <w:pPr>
              <w:spacing w:after="50" w:afterLines="0" w:line="400" w:lineRule="exact"/>
              <w:rPr>
                <w:rFonts w:hint="eastAsia" w:ascii="宋体" w:hAnsi="宋体" w:cs="宋体"/>
                <w:color w:val="auto"/>
                <w:highlight w:val="none"/>
              </w:rPr>
            </w:pPr>
          </w:p>
        </w:tc>
        <w:tc>
          <w:tcPr>
            <w:tcW w:w="1154" w:type="dxa"/>
            <w:noWrap w:val="0"/>
            <w:vAlign w:val="top"/>
          </w:tcPr>
          <w:p w14:paraId="0844FE7C">
            <w:pPr>
              <w:spacing w:after="50" w:afterLines="0" w:line="400" w:lineRule="exact"/>
              <w:rPr>
                <w:rFonts w:hint="eastAsia" w:ascii="宋体" w:hAnsi="宋体" w:cs="宋体"/>
                <w:color w:val="auto"/>
                <w:highlight w:val="none"/>
              </w:rPr>
            </w:pPr>
          </w:p>
        </w:tc>
        <w:tc>
          <w:tcPr>
            <w:tcW w:w="735" w:type="dxa"/>
            <w:noWrap w:val="0"/>
            <w:vAlign w:val="top"/>
          </w:tcPr>
          <w:p w14:paraId="5B641E88">
            <w:pPr>
              <w:spacing w:after="50" w:afterLines="0" w:line="400" w:lineRule="exact"/>
              <w:rPr>
                <w:rFonts w:hint="eastAsia" w:ascii="宋体" w:hAnsi="宋体" w:cs="宋体"/>
                <w:color w:val="auto"/>
                <w:highlight w:val="none"/>
              </w:rPr>
            </w:pPr>
          </w:p>
        </w:tc>
        <w:tc>
          <w:tcPr>
            <w:tcW w:w="1102" w:type="dxa"/>
            <w:noWrap w:val="0"/>
            <w:vAlign w:val="top"/>
          </w:tcPr>
          <w:p w14:paraId="3B5CFF26">
            <w:pPr>
              <w:pStyle w:val="48"/>
              <w:spacing w:after="50" w:afterLines="0" w:line="400" w:lineRule="exact"/>
              <w:rPr>
                <w:rFonts w:hint="eastAsia" w:hAnsi="宋体" w:cs="宋体"/>
                <w:color w:val="auto"/>
                <w:szCs w:val="24"/>
                <w:highlight w:val="none"/>
              </w:rPr>
            </w:pPr>
          </w:p>
        </w:tc>
        <w:tc>
          <w:tcPr>
            <w:tcW w:w="1104" w:type="dxa"/>
            <w:noWrap w:val="0"/>
            <w:vAlign w:val="top"/>
          </w:tcPr>
          <w:p w14:paraId="5531B2B1">
            <w:pPr>
              <w:spacing w:after="50" w:afterLines="0" w:line="400" w:lineRule="exact"/>
              <w:rPr>
                <w:rFonts w:hint="eastAsia" w:ascii="宋体" w:hAnsi="宋体" w:cs="宋体"/>
                <w:color w:val="auto"/>
                <w:highlight w:val="none"/>
              </w:rPr>
            </w:pPr>
          </w:p>
        </w:tc>
        <w:tc>
          <w:tcPr>
            <w:tcW w:w="840" w:type="dxa"/>
            <w:tcBorders>
              <w:left w:val="single" w:color="auto" w:sz="4" w:space="0"/>
            </w:tcBorders>
            <w:noWrap w:val="0"/>
            <w:vAlign w:val="top"/>
          </w:tcPr>
          <w:p w14:paraId="62423E74">
            <w:pPr>
              <w:spacing w:after="50" w:afterLines="0" w:line="400" w:lineRule="exact"/>
              <w:rPr>
                <w:rFonts w:hint="eastAsia" w:ascii="宋体" w:hAnsi="宋体" w:cs="宋体"/>
                <w:color w:val="auto"/>
                <w:highlight w:val="none"/>
              </w:rPr>
            </w:pPr>
          </w:p>
        </w:tc>
      </w:tr>
      <w:tr w14:paraId="1F44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36" w:type="dxa"/>
            <w:noWrap w:val="0"/>
            <w:vAlign w:val="top"/>
          </w:tcPr>
          <w:p w14:paraId="16BFEA6B">
            <w:pPr>
              <w:spacing w:after="50" w:afterLines="0" w:line="400" w:lineRule="exact"/>
              <w:rPr>
                <w:rFonts w:hint="eastAsia" w:ascii="宋体" w:hAnsi="宋体" w:cs="宋体"/>
                <w:color w:val="auto"/>
                <w:highlight w:val="none"/>
              </w:rPr>
            </w:pPr>
          </w:p>
        </w:tc>
        <w:tc>
          <w:tcPr>
            <w:tcW w:w="1784" w:type="dxa"/>
            <w:noWrap w:val="0"/>
            <w:vAlign w:val="top"/>
          </w:tcPr>
          <w:p w14:paraId="46FD55F7">
            <w:pPr>
              <w:spacing w:after="50" w:afterLines="0" w:line="400" w:lineRule="exact"/>
              <w:rPr>
                <w:rFonts w:hint="eastAsia" w:ascii="宋体" w:hAnsi="宋体" w:cs="宋体"/>
                <w:color w:val="auto"/>
                <w:highlight w:val="none"/>
              </w:rPr>
            </w:pPr>
          </w:p>
        </w:tc>
        <w:tc>
          <w:tcPr>
            <w:tcW w:w="1154" w:type="dxa"/>
            <w:noWrap w:val="0"/>
            <w:vAlign w:val="top"/>
          </w:tcPr>
          <w:p w14:paraId="5CF99E90">
            <w:pPr>
              <w:spacing w:after="50" w:afterLines="0" w:line="400" w:lineRule="exact"/>
              <w:rPr>
                <w:rFonts w:hint="eastAsia" w:ascii="宋体" w:hAnsi="宋体" w:cs="宋体"/>
                <w:color w:val="auto"/>
                <w:highlight w:val="none"/>
              </w:rPr>
            </w:pPr>
          </w:p>
        </w:tc>
        <w:tc>
          <w:tcPr>
            <w:tcW w:w="735" w:type="dxa"/>
            <w:noWrap w:val="0"/>
            <w:vAlign w:val="top"/>
          </w:tcPr>
          <w:p w14:paraId="512D8238">
            <w:pPr>
              <w:spacing w:after="50" w:afterLines="0" w:line="400" w:lineRule="exact"/>
              <w:rPr>
                <w:rFonts w:hint="eastAsia" w:ascii="宋体" w:hAnsi="宋体" w:cs="宋体"/>
                <w:color w:val="auto"/>
                <w:highlight w:val="none"/>
              </w:rPr>
            </w:pPr>
          </w:p>
        </w:tc>
        <w:tc>
          <w:tcPr>
            <w:tcW w:w="1154" w:type="dxa"/>
            <w:noWrap w:val="0"/>
            <w:vAlign w:val="top"/>
          </w:tcPr>
          <w:p w14:paraId="76B66EAD">
            <w:pPr>
              <w:spacing w:after="50" w:afterLines="0" w:line="400" w:lineRule="exact"/>
              <w:rPr>
                <w:rFonts w:hint="eastAsia" w:ascii="宋体" w:hAnsi="宋体" w:cs="宋体"/>
                <w:color w:val="auto"/>
                <w:highlight w:val="none"/>
              </w:rPr>
            </w:pPr>
          </w:p>
        </w:tc>
        <w:tc>
          <w:tcPr>
            <w:tcW w:w="735" w:type="dxa"/>
            <w:noWrap w:val="0"/>
            <w:vAlign w:val="top"/>
          </w:tcPr>
          <w:p w14:paraId="51AC6403">
            <w:pPr>
              <w:spacing w:after="50" w:afterLines="0" w:line="400" w:lineRule="exact"/>
              <w:rPr>
                <w:rFonts w:hint="eastAsia" w:ascii="宋体" w:hAnsi="宋体" w:cs="宋体"/>
                <w:color w:val="auto"/>
                <w:highlight w:val="none"/>
              </w:rPr>
            </w:pPr>
          </w:p>
        </w:tc>
        <w:tc>
          <w:tcPr>
            <w:tcW w:w="1102" w:type="dxa"/>
            <w:noWrap w:val="0"/>
            <w:vAlign w:val="top"/>
          </w:tcPr>
          <w:p w14:paraId="21117EC6">
            <w:pPr>
              <w:pStyle w:val="48"/>
              <w:spacing w:after="50" w:afterLines="0" w:line="400" w:lineRule="exact"/>
              <w:rPr>
                <w:rFonts w:hint="eastAsia" w:hAnsi="宋体" w:cs="宋体"/>
                <w:color w:val="auto"/>
                <w:szCs w:val="24"/>
                <w:highlight w:val="none"/>
              </w:rPr>
            </w:pPr>
          </w:p>
        </w:tc>
        <w:tc>
          <w:tcPr>
            <w:tcW w:w="1104" w:type="dxa"/>
            <w:noWrap w:val="0"/>
            <w:vAlign w:val="top"/>
          </w:tcPr>
          <w:p w14:paraId="00F78B1B">
            <w:pPr>
              <w:spacing w:after="50" w:afterLines="0" w:line="400" w:lineRule="exact"/>
              <w:rPr>
                <w:rFonts w:hint="eastAsia" w:ascii="宋体" w:hAnsi="宋体" w:cs="宋体"/>
                <w:color w:val="auto"/>
                <w:highlight w:val="none"/>
              </w:rPr>
            </w:pPr>
          </w:p>
        </w:tc>
        <w:tc>
          <w:tcPr>
            <w:tcW w:w="840" w:type="dxa"/>
            <w:tcBorders>
              <w:left w:val="single" w:color="auto" w:sz="4" w:space="0"/>
            </w:tcBorders>
            <w:noWrap w:val="0"/>
            <w:vAlign w:val="top"/>
          </w:tcPr>
          <w:p w14:paraId="2B921C22">
            <w:pPr>
              <w:spacing w:after="50" w:afterLines="0" w:line="400" w:lineRule="exact"/>
              <w:rPr>
                <w:rFonts w:hint="eastAsia" w:ascii="宋体" w:hAnsi="宋体" w:cs="宋体"/>
                <w:color w:val="auto"/>
                <w:highlight w:val="none"/>
              </w:rPr>
            </w:pPr>
          </w:p>
        </w:tc>
      </w:tr>
    </w:tbl>
    <w:p w14:paraId="11CF13EC">
      <w:pPr>
        <w:spacing w:after="50" w:afterLines="0" w:line="400" w:lineRule="exact"/>
        <w:ind w:firstLine="482" w:firstLineChars="200"/>
        <w:rPr>
          <w:rFonts w:hint="eastAsia" w:ascii="宋体" w:hAnsi="宋体" w:cs="宋体"/>
          <w:b/>
          <w:bCs/>
          <w:color w:val="auto"/>
          <w:sz w:val="24"/>
          <w:highlight w:val="none"/>
        </w:rPr>
      </w:pPr>
    </w:p>
    <w:p w14:paraId="73EDBA29">
      <w:pPr>
        <w:spacing w:after="50" w:afterLines="0" w:line="4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附表二  ⑵劳动力计划表</w:t>
      </w:r>
    </w:p>
    <w:p w14:paraId="5F2EBCD9">
      <w:pPr>
        <w:ind w:firstLine="482" w:firstLineChars="200"/>
        <w:jc w:val="center"/>
        <w:rPr>
          <w:rFonts w:hint="eastAsia" w:ascii="宋体" w:hAnsi="宋体" w:cs="宋体"/>
          <w:b/>
          <w:color w:val="auto"/>
          <w:sz w:val="24"/>
          <w:highlight w:val="none"/>
        </w:rPr>
      </w:pPr>
      <w:r>
        <w:rPr>
          <w:rFonts w:hint="eastAsia" w:ascii="宋体" w:hAnsi="宋体" w:cs="宋体"/>
          <w:b/>
          <w:color w:val="auto"/>
          <w:sz w:val="24"/>
          <w:highlight w:val="none"/>
        </w:rPr>
        <w:t>劳动力计划表（格式）</w:t>
      </w:r>
    </w:p>
    <w:p w14:paraId="6594E7EA">
      <w:pPr>
        <w:spacing w:after="50" w:afterLines="0"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单位： 人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096"/>
        <w:gridCol w:w="1096"/>
        <w:gridCol w:w="1096"/>
        <w:gridCol w:w="1096"/>
        <w:gridCol w:w="1279"/>
        <w:gridCol w:w="1279"/>
        <w:gridCol w:w="1380"/>
      </w:tblGrid>
      <w:tr w14:paraId="4DF8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22" w:type="dxa"/>
            <w:vMerge w:val="restart"/>
            <w:noWrap w:val="0"/>
            <w:vAlign w:val="center"/>
          </w:tcPr>
          <w:p w14:paraId="0DDBEDBC">
            <w:pPr>
              <w:spacing w:after="50" w:afterLines="0" w:line="400" w:lineRule="exact"/>
              <w:rPr>
                <w:rFonts w:hint="eastAsia" w:ascii="宋体" w:hAnsi="宋体" w:cs="宋体"/>
                <w:color w:val="auto"/>
                <w:highlight w:val="none"/>
              </w:rPr>
            </w:pPr>
            <w:r>
              <w:rPr>
                <w:rFonts w:hint="eastAsia" w:ascii="宋体" w:hAnsi="宋体" w:cs="宋体"/>
                <w:color w:val="auto"/>
                <w:highlight w:val="none"/>
              </w:rPr>
              <w:t>工种</w:t>
            </w:r>
          </w:p>
        </w:tc>
        <w:tc>
          <w:tcPr>
            <w:tcW w:w="8322" w:type="dxa"/>
            <w:gridSpan w:val="7"/>
            <w:noWrap w:val="0"/>
            <w:vAlign w:val="center"/>
          </w:tcPr>
          <w:p w14:paraId="6CC97D0C">
            <w:pPr>
              <w:spacing w:after="50" w:afterLines="0" w:line="400" w:lineRule="exact"/>
              <w:rPr>
                <w:rFonts w:hint="eastAsia" w:ascii="宋体" w:hAnsi="宋体" w:cs="宋体"/>
                <w:color w:val="auto"/>
                <w:highlight w:val="none"/>
              </w:rPr>
            </w:pPr>
            <w:r>
              <w:rPr>
                <w:rFonts w:hint="eastAsia" w:ascii="宋体" w:hAnsi="宋体" w:cs="宋体"/>
                <w:color w:val="auto"/>
                <w:highlight w:val="none"/>
              </w:rPr>
              <w:t>按</w:t>
            </w:r>
            <w:r>
              <w:rPr>
                <w:rFonts w:hint="eastAsia" w:ascii="宋体" w:hAnsi="宋体" w:cs="宋体"/>
                <w:color w:val="auto"/>
                <w:szCs w:val="20"/>
                <w:highlight w:val="none"/>
              </w:rPr>
              <w:t>项目</w:t>
            </w:r>
            <w:r>
              <w:rPr>
                <w:rFonts w:hint="eastAsia" w:ascii="宋体" w:hAnsi="宋体" w:cs="宋体"/>
                <w:color w:val="auto"/>
                <w:highlight w:val="none"/>
              </w:rPr>
              <w:t>施工阶段投入劳动力情况</w:t>
            </w:r>
          </w:p>
        </w:tc>
      </w:tr>
      <w:tr w14:paraId="07C9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22" w:type="dxa"/>
            <w:vMerge w:val="continue"/>
            <w:noWrap w:val="0"/>
            <w:vAlign w:val="center"/>
          </w:tcPr>
          <w:p w14:paraId="37BDB024">
            <w:pPr>
              <w:spacing w:after="50" w:afterLines="0" w:line="400" w:lineRule="exact"/>
              <w:rPr>
                <w:rFonts w:hint="eastAsia" w:ascii="宋体" w:hAnsi="宋体" w:cs="宋体"/>
                <w:color w:val="auto"/>
                <w:sz w:val="24"/>
                <w:highlight w:val="none"/>
              </w:rPr>
            </w:pPr>
          </w:p>
        </w:tc>
        <w:tc>
          <w:tcPr>
            <w:tcW w:w="1096" w:type="dxa"/>
            <w:noWrap w:val="0"/>
            <w:vAlign w:val="center"/>
          </w:tcPr>
          <w:p w14:paraId="25767970">
            <w:pPr>
              <w:spacing w:after="50" w:afterLines="0" w:line="400" w:lineRule="exact"/>
              <w:rPr>
                <w:rFonts w:hint="eastAsia" w:ascii="宋体" w:hAnsi="宋体" w:cs="宋体"/>
                <w:color w:val="auto"/>
                <w:sz w:val="24"/>
                <w:highlight w:val="none"/>
              </w:rPr>
            </w:pPr>
          </w:p>
        </w:tc>
        <w:tc>
          <w:tcPr>
            <w:tcW w:w="1096" w:type="dxa"/>
            <w:noWrap w:val="0"/>
            <w:vAlign w:val="center"/>
          </w:tcPr>
          <w:p w14:paraId="0DA38030">
            <w:pPr>
              <w:spacing w:after="50" w:afterLines="0" w:line="400" w:lineRule="exact"/>
              <w:rPr>
                <w:rFonts w:hint="eastAsia" w:ascii="宋体" w:hAnsi="宋体" w:cs="宋体"/>
                <w:color w:val="auto"/>
                <w:sz w:val="24"/>
                <w:highlight w:val="none"/>
              </w:rPr>
            </w:pPr>
          </w:p>
        </w:tc>
        <w:tc>
          <w:tcPr>
            <w:tcW w:w="1096" w:type="dxa"/>
            <w:noWrap w:val="0"/>
            <w:vAlign w:val="center"/>
          </w:tcPr>
          <w:p w14:paraId="70E503DF">
            <w:pPr>
              <w:spacing w:after="50" w:afterLines="0" w:line="400" w:lineRule="exact"/>
              <w:rPr>
                <w:rFonts w:hint="eastAsia" w:ascii="宋体" w:hAnsi="宋体" w:cs="宋体"/>
                <w:color w:val="auto"/>
                <w:sz w:val="24"/>
                <w:highlight w:val="none"/>
              </w:rPr>
            </w:pPr>
          </w:p>
        </w:tc>
        <w:tc>
          <w:tcPr>
            <w:tcW w:w="1096" w:type="dxa"/>
            <w:noWrap w:val="0"/>
            <w:vAlign w:val="center"/>
          </w:tcPr>
          <w:p w14:paraId="1A10DFFE">
            <w:pPr>
              <w:spacing w:after="50" w:afterLines="0" w:line="400" w:lineRule="exact"/>
              <w:rPr>
                <w:rFonts w:hint="eastAsia" w:ascii="宋体" w:hAnsi="宋体" w:cs="宋体"/>
                <w:color w:val="auto"/>
                <w:sz w:val="24"/>
                <w:highlight w:val="none"/>
              </w:rPr>
            </w:pPr>
          </w:p>
        </w:tc>
        <w:tc>
          <w:tcPr>
            <w:tcW w:w="1279" w:type="dxa"/>
            <w:noWrap w:val="0"/>
            <w:vAlign w:val="center"/>
          </w:tcPr>
          <w:p w14:paraId="7367EB2B">
            <w:pPr>
              <w:spacing w:after="50" w:afterLines="0" w:line="400" w:lineRule="exact"/>
              <w:rPr>
                <w:rFonts w:hint="eastAsia" w:ascii="宋体" w:hAnsi="宋体" w:cs="宋体"/>
                <w:color w:val="auto"/>
                <w:sz w:val="24"/>
                <w:highlight w:val="none"/>
              </w:rPr>
            </w:pPr>
          </w:p>
        </w:tc>
        <w:tc>
          <w:tcPr>
            <w:tcW w:w="1279" w:type="dxa"/>
            <w:noWrap w:val="0"/>
            <w:vAlign w:val="center"/>
          </w:tcPr>
          <w:p w14:paraId="6A2DDF2E">
            <w:pPr>
              <w:spacing w:after="50" w:afterLines="0" w:line="400" w:lineRule="exact"/>
              <w:rPr>
                <w:rFonts w:hint="eastAsia" w:ascii="宋体" w:hAnsi="宋体" w:cs="宋体"/>
                <w:color w:val="auto"/>
                <w:sz w:val="24"/>
                <w:highlight w:val="none"/>
              </w:rPr>
            </w:pPr>
          </w:p>
        </w:tc>
        <w:tc>
          <w:tcPr>
            <w:tcW w:w="1380" w:type="dxa"/>
            <w:noWrap w:val="0"/>
            <w:vAlign w:val="center"/>
          </w:tcPr>
          <w:p w14:paraId="0C5D86DE">
            <w:pPr>
              <w:spacing w:after="50" w:afterLines="0" w:line="400" w:lineRule="exact"/>
              <w:rPr>
                <w:rFonts w:hint="eastAsia" w:ascii="宋体" w:hAnsi="宋体" w:cs="宋体"/>
                <w:color w:val="auto"/>
                <w:sz w:val="24"/>
                <w:highlight w:val="none"/>
              </w:rPr>
            </w:pPr>
          </w:p>
        </w:tc>
      </w:tr>
      <w:tr w14:paraId="1BF3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noWrap w:val="0"/>
            <w:vAlign w:val="top"/>
          </w:tcPr>
          <w:p w14:paraId="5B66D2CB">
            <w:pPr>
              <w:spacing w:after="50" w:afterLines="0" w:line="400" w:lineRule="exact"/>
              <w:rPr>
                <w:rFonts w:hint="eastAsia" w:ascii="宋体" w:hAnsi="宋体" w:cs="宋体"/>
                <w:color w:val="auto"/>
                <w:sz w:val="24"/>
                <w:highlight w:val="none"/>
              </w:rPr>
            </w:pPr>
          </w:p>
        </w:tc>
        <w:tc>
          <w:tcPr>
            <w:tcW w:w="1096" w:type="dxa"/>
            <w:noWrap w:val="0"/>
            <w:vAlign w:val="top"/>
          </w:tcPr>
          <w:p w14:paraId="6F31BF86">
            <w:pPr>
              <w:spacing w:after="50" w:afterLines="0" w:line="400" w:lineRule="exact"/>
              <w:rPr>
                <w:rFonts w:hint="eastAsia" w:ascii="宋体" w:hAnsi="宋体" w:cs="宋体"/>
                <w:color w:val="auto"/>
                <w:sz w:val="24"/>
                <w:highlight w:val="none"/>
              </w:rPr>
            </w:pPr>
          </w:p>
        </w:tc>
        <w:tc>
          <w:tcPr>
            <w:tcW w:w="1096" w:type="dxa"/>
            <w:noWrap w:val="0"/>
            <w:vAlign w:val="top"/>
          </w:tcPr>
          <w:p w14:paraId="40C409FB">
            <w:pPr>
              <w:spacing w:after="50" w:afterLines="0" w:line="400" w:lineRule="exact"/>
              <w:rPr>
                <w:rFonts w:hint="eastAsia" w:ascii="宋体" w:hAnsi="宋体" w:cs="宋体"/>
                <w:color w:val="auto"/>
                <w:sz w:val="24"/>
                <w:highlight w:val="none"/>
              </w:rPr>
            </w:pPr>
          </w:p>
        </w:tc>
        <w:tc>
          <w:tcPr>
            <w:tcW w:w="1096" w:type="dxa"/>
            <w:noWrap w:val="0"/>
            <w:vAlign w:val="top"/>
          </w:tcPr>
          <w:p w14:paraId="081A7AFC">
            <w:pPr>
              <w:spacing w:after="50" w:afterLines="0" w:line="400" w:lineRule="exact"/>
              <w:rPr>
                <w:rFonts w:hint="eastAsia" w:ascii="宋体" w:hAnsi="宋体" w:cs="宋体"/>
                <w:color w:val="auto"/>
                <w:sz w:val="24"/>
                <w:highlight w:val="none"/>
              </w:rPr>
            </w:pPr>
          </w:p>
        </w:tc>
        <w:tc>
          <w:tcPr>
            <w:tcW w:w="1096" w:type="dxa"/>
            <w:noWrap w:val="0"/>
            <w:vAlign w:val="top"/>
          </w:tcPr>
          <w:p w14:paraId="2E69C1EE">
            <w:pPr>
              <w:spacing w:after="50" w:afterLines="0" w:line="400" w:lineRule="exact"/>
              <w:rPr>
                <w:rFonts w:hint="eastAsia" w:ascii="宋体" w:hAnsi="宋体" w:cs="宋体"/>
                <w:color w:val="auto"/>
                <w:sz w:val="24"/>
                <w:highlight w:val="none"/>
              </w:rPr>
            </w:pPr>
          </w:p>
        </w:tc>
        <w:tc>
          <w:tcPr>
            <w:tcW w:w="1279" w:type="dxa"/>
            <w:noWrap w:val="0"/>
            <w:vAlign w:val="top"/>
          </w:tcPr>
          <w:p w14:paraId="7579CA98">
            <w:pPr>
              <w:spacing w:after="50" w:afterLines="0" w:line="400" w:lineRule="exact"/>
              <w:rPr>
                <w:rFonts w:hint="eastAsia" w:ascii="宋体" w:hAnsi="宋体" w:cs="宋体"/>
                <w:color w:val="auto"/>
                <w:sz w:val="24"/>
                <w:highlight w:val="none"/>
              </w:rPr>
            </w:pPr>
          </w:p>
        </w:tc>
        <w:tc>
          <w:tcPr>
            <w:tcW w:w="1279" w:type="dxa"/>
            <w:noWrap w:val="0"/>
            <w:vAlign w:val="top"/>
          </w:tcPr>
          <w:p w14:paraId="4C98F92E">
            <w:pPr>
              <w:spacing w:after="50" w:afterLines="0" w:line="400" w:lineRule="exact"/>
              <w:rPr>
                <w:rFonts w:hint="eastAsia" w:ascii="宋体" w:hAnsi="宋体" w:cs="宋体"/>
                <w:color w:val="auto"/>
                <w:sz w:val="24"/>
                <w:highlight w:val="none"/>
              </w:rPr>
            </w:pPr>
          </w:p>
        </w:tc>
        <w:tc>
          <w:tcPr>
            <w:tcW w:w="1380" w:type="dxa"/>
            <w:noWrap w:val="0"/>
            <w:vAlign w:val="top"/>
          </w:tcPr>
          <w:p w14:paraId="1DD472D1">
            <w:pPr>
              <w:spacing w:after="50" w:afterLines="0" w:line="400" w:lineRule="exact"/>
              <w:rPr>
                <w:rFonts w:hint="eastAsia" w:ascii="宋体" w:hAnsi="宋体" w:cs="宋体"/>
                <w:color w:val="auto"/>
                <w:sz w:val="24"/>
                <w:highlight w:val="none"/>
              </w:rPr>
            </w:pPr>
          </w:p>
        </w:tc>
      </w:tr>
      <w:tr w14:paraId="0622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noWrap w:val="0"/>
            <w:vAlign w:val="top"/>
          </w:tcPr>
          <w:p w14:paraId="69534087">
            <w:pPr>
              <w:spacing w:after="50" w:afterLines="0" w:line="400" w:lineRule="exact"/>
              <w:rPr>
                <w:rFonts w:hint="eastAsia" w:ascii="宋体" w:hAnsi="宋体" w:cs="宋体"/>
                <w:color w:val="auto"/>
                <w:sz w:val="24"/>
                <w:highlight w:val="none"/>
              </w:rPr>
            </w:pPr>
          </w:p>
        </w:tc>
        <w:tc>
          <w:tcPr>
            <w:tcW w:w="1096" w:type="dxa"/>
            <w:noWrap w:val="0"/>
            <w:vAlign w:val="top"/>
          </w:tcPr>
          <w:p w14:paraId="14A4EFD3">
            <w:pPr>
              <w:spacing w:after="50" w:afterLines="0" w:line="400" w:lineRule="exact"/>
              <w:rPr>
                <w:rFonts w:hint="eastAsia" w:ascii="宋体" w:hAnsi="宋体" w:cs="宋体"/>
                <w:color w:val="auto"/>
                <w:sz w:val="24"/>
                <w:highlight w:val="none"/>
              </w:rPr>
            </w:pPr>
          </w:p>
        </w:tc>
        <w:tc>
          <w:tcPr>
            <w:tcW w:w="1096" w:type="dxa"/>
            <w:noWrap w:val="0"/>
            <w:vAlign w:val="top"/>
          </w:tcPr>
          <w:p w14:paraId="1F15B2FF">
            <w:pPr>
              <w:spacing w:after="50" w:afterLines="0" w:line="400" w:lineRule="exact"/>
              <w:rPr>
                <w:rFonts w:hint="eastAsia" w:ascii="宋体" w:hAnsi="宋体" w:cs="宋体"/>
                <w:color w:val="auto"/>
                <w:sz w:val="24"/>
                <w:highlight w:val="none"/>
              </w:rPr>
            </w:pPr>
          </w:p>
        </w:tc>
        <w:tc>
          <w:tcPr>
            <w:tcW w:w="1096" w:type="dxa"/>
            <w:noWrap w:val="0"/>
            <w:vAlign w:val="top"/>
          </w:tcPr>
          <w:p w14:paraId="2E88365E">
            <w:pPr>
              <w:spacing w:after="50" w:afterLines="0" w:line="400" w:lineRule="exact"/>
              <w:rPr>
                <w:rFonts w:hint="eastAsia" w:ascii="宋体" w:hAnsi="宋体" w:cs="宋体"/>
                <w:color w:val="auto"/>
                <w:sz w:val="24"/>
                <w:highlight w:val="none"/>
              </w:rPr>
            </w:pPr>
          </w:p>
        </w:tc>
        <w:tc>
          <w:tcPr>
            <w:tcW w:w="1096" w:type="dxa"/>
            <w:noWrap w:val="0"/>
            <w:vAlign w:val="top"/>
          </w:tcPr>
          <w:p w14:paraId="169145C7">
            <w:pPr>
              <w:spacing w:after="50" w:afterLines="0" w:line="400" w:lineRule="exact"/>
              <w:rPr>
                <w:rFonts w:hint="eastAsia" w:ascii="宋体" w:hAnsi="宋体" w:cs="宋体"/>
                <w:color w:val="auto"/>
                <w:sz w:val="24"/>
                <w:highlight w:val="none"/>
              </w:rPr>
            </w:pPr>
          </w:p>
        </w:tc>
        <w:tc>
          <w:tcPr>
            <w:tcW w:w="1279" w:type="dxa"/>
            <w:noWrap w:val="0"/>
            <w:vAlign w:val="top"/>
          </w:tcPr>
          <w:p w14:paraId="4B2ED1D4">
            <w:pPr>
              <w:pStyle w:val="17"/>
              <w:tabs>
                <w:tab w:val="right" w:leader="dot" w:pos="9174"/>
              </w:tabs>
              <w:rPr>
                <w:rFonts w:hint="eastAsia" w:ascii="宋体" w:hAnsi="宋体" w:cs="宋体"/>
                <w:color w:val="auto"/>
                <w:highlight w:val="none"/>
              </w:rPr>
            </w:pPr>
          </w:p>
        </w:tc>
        <w:tc>
          <w:tcPr>
            <w:tcW w:w="1279" w:type="dxa"/>
            <w:noWrap w:val="0"/>
            <w:vAlign w:val="top"/>
          </w:tcPr>
          <w:p w14:paraId="7793B2E0">
            <w:pPr>
              <w:spacing w:after="50" w:afterLines="0" w:line="400" w:lineRule="exact"/>
              <w:rPr>
                <w:rFonts w:hint="eastAsia" w:ascii="宋体" w:hAnsi="宋体" w:cs="宋体"/>
                <w:color w:val="auto"/>
                <w:sz w:val="24"/>
                <w:highlight w:val="none"/>
              </w:rPr>
            </w:pPr>
          </w:p>
        </w:tc>
        <w:tc>
          <w:tcPr>
            <w:tcW w:w="1380" w:type="dxa"/>
            <w:noWrap w:val="0"/>
            <w:vAlign w:val="top"/>
          </w:tcPr>
          <w:p w14:paraId="61268A4E">
            <w:pPr>
              <w:spacing w:after="50" w:afterLines="0" w:line="400" w:lineRule="exact"/>
              <w:rPr>
                <w:rFonts w:hint="eastAsia" w:ascii="宋体" w:hAnsi="宋体" w:cs="宋体"/>
                <w:color w:val="auto"/>
                <w:sz w:val="24"/>
                <w:highlight w:val="none"/>
              </w:rPr>
            </w:pPr>
          </w:p>
        </w:tc>
      </w:tr>
      <w:tr w14:paraId="4EFD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noWrap w:val="0"/>
            <w:vAlign w:val="top"/>
          </w:tcPr>
          <w:p w14:paraId="04BA3F16">
            <w:pPr>
              <w:spacing w:after="50" w:afterLines="0" w:line="400" w:lineRule="exact"/>
              <w:rPr>
                <w:rFonts w:hint="eastAsia" w:ascii="宋体" w:hAnsi="宋体" w:cs="宋体"/>
                <w:color w:val="auto"/>
                <w:sz w:val="24"/>
                <w:highlight w:val="none"/>
              </w:rPr>
            </w:pPr>
          </w:p>
        </w:tc>
        <w:tc>
          <w:tcPr>
            <w:tcW w:w="1096" w:type="dxa"/>
            <w:noWrap w:val="0"/>
            <w:vAlign w:val="top"/>
          </w:tcPr>
          <w:p w14:paraId="134F315D">
            <w:pPr>
              <w:spacing w:after="50" w:afterLines="0" w:line="400" w:lineRule="exact"/>
              <w:rPr>
                <w:rFonts w:hint="eastAsia" w:ascii="宋体" w:hAnsi="宋体" w:cs="宋体"/>
                <w:color w:val="auto"/>
                <w:sz w:val="24"/>
                <w:highlight w:val="none"/>
              </w:rPr>
            </w:pPr>
          </w:p>
        </w:tc>
        <w:tc>
          <w:tcPr>
            <w:tcW w:w="1096" w:type="dxa"/>
            <w:noWrap w:val="0"/>
            <w:vAlign w:val="top"/>
          </w:tcPr>
          <w:p w14:paraId="2C37C7E5">
            <w:pPr>
              <w:spacing w:after="50" w:afterLines="0" w:line="400" w:lineRule="exact"/>
              <w:rPr>
                <w:rFonts w:hint="eastAsia" w:ascii="宋体" w:hAnsi="宋体" w:cs="宋体"/>
                <w:color w:val="auto"/>
                <w:sz w:val="24"/>
                <w:highlight w:val="none"/>
              </w:rPr>
            </w:pPr>
          </w:p>
        </w:tc>
        <w:tc>
          <w:tcPr>
            <w:tcW w:w="1096" w:type="dxa"/>
            <w:noWrap w:val="0"/>
            <w:vAlign w:val="top"/>
          </w:tcPr>
          <w:p w14:paraId="24F98CC1">
            <w:pPr>
              <w:spacing w:after="50" w:afterLines="0" w:line="400" w:lineRule="exact"/>
              <w:rPr>
                <w:rFonts w:hint="eastAsia" w:ascii="宋体" w:hAnsi="宋体" w:cs="宋体"/>
                <w:color w:val="auto"/>
                <w:sz w:val="24"/>
                <w:highlight w:val="none"/>
              </w:rPr>
            </w:pPr>
          </w:p>
        </w:tc>
        <w:tc>
          <w:tcPr>
            <w:tcW w:w="1096" w:type="dxa"/>
            <w:noWrap w:val="0"/>
            <w:vAlign w:val="top"/>
          </w:tcPr>
          <w:p w14:paraId="1BD4AD57">
            <w:pPr>
              <w:spacing w:after="50" w:afterLines="0" w:line="400" w:lineRule="exact"/>
              <w:rPr>
                <w:rFonts w:hint="eastAsia" w:ascii="宋体" w:hAnsi="宋体" w:cs="宋体"/>
                <w:color w:val="auto"/>
                <w:sz w:val="24"/>
                <w:highlight w:val="none"/>
              </w:rPr>
            </w:pPr>
          </w:p>
        </w:tc>
        <w:tc>
          <w:tcPr>
            <w:tcW w:w="1279" w:type="dxa"/>
            <w:noWrap w:val="0"/>
            <w:vAlign w:val="top"/>
          </w:tcPr>
          <w:p w14:paraId="3600DD25">
            <w:pPr>
              <w:spacing w:after="50" w:afterLines="0" w:line="400" w:lineRule="exact"/>
              <w:rPr>
                <w:rFonts w:hint="eastAsia" w:ascii="宋体" w:hAnsi="宋体" w:cs="宋体"/>
                <w:color w:val="auto"/>
                <w:sz w:val="24"/>
                <w:highlight w:val="none"/>
              </w:rPr>
            </w:pPr>
          </w:p>
        </w:tc>
        <w:tc>
          <w:tcPr>
            <w:tcW w:w="1279" w:type="dxa"/>
            <w:noWrap w:val="0"/>
            <w:vAlign w:val="top"/>
          </w:tcPr>
          <w:p w14:paraId="24429F86">
            <w:pPr>
              <w:spacing w:after="50" w:afterLines="0" w:line="400" w:lineRule="exact"/>
              <w:rPr>
                <w:rFonts w:hint="eastAsia" w:ascii="宋体" w:hAnsi="宋体" w:cs="宋体"/>
                <w:color w:val="auto"/>
                <w:sz w:val="24"/>
                <w:highlight w:val="none"/>
              </w:rPr>
            </w:pPr>
          </w:p>
        </w:tc>
        <w:tc>
          <w:tcPr>
            <w:tcW w:w="1380" w:type="dxa"/>
            <w:noWrap w:val="0"/>
            <w:vAlign w:val="top"/>
          </w:tcPr>
          <w:p w14:paraId="13F576C2">
            <w:pPr>
              <w:spacing w:after="50" w:afterLines="0" w:line="400" w:lineRule="exact"/>
              <w:rPr>
                <w:rFonts w:hint="eastAsia" w:ascii="宋体" w:hAnsi="宋体" w:cs="宋体"/>
                <w:color w:val="auto"/>
                <w:sz w:val="24"/>
                <w:highlight w:val="none"/>
              </w:rPr>
            </w:pPr>
          </w:p>
        </w:tc>
      </w:tr>
      <w:tr w14:paraId="51A4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noWrap w:val="0"/>
            <w:vAlign w:val="top"/>
          </w:tcPr>
          <w:p w14:paraId="373BCCA8">
            <w:pPr>
              <w:spacing w:after="50" w:afterLines="0" w:line="400" w:lineRule="exact"/>
              <w:rPr>
                <w:rFonts w:hint="eastAsia" w:ascii="宋体" w:hAnsi="宋体" w:cs="宋体"/>
                <w:color w:val="auto"/>
                <w:sz w:val="24"/>
                <w:highlight w:val="none"/>
              </w:rPr>
            </w:pPr>
          </w:p>
        </w:tc>
        <w:tc>
          <w:tcPr>
            <w:tcW w:w="1096" w:type="dxa"/>
            <w:noWrap w:val="0"/>
            <w:vAlign w:val="top"/>
          </w:tcPr>
          <w:p w14:paraId="00B4BE7D">
            <w:pPr>
              <w:spacing w:after="50" w:afterLines="0" w:line="400" w:lineRule="exact"/>
              <w:rPr>
                <w:rFonts w:hint="eastAsia" w:ascii="宋体" w:hAnsi="宋体" w:cs="宋体"/>
                <w:color w:val="auto"/>
                <w:sz w:val="24"/>
                <w:highlight w:val="none"/>
              </w:rPr>
            </w:pPr>
          </w:p>
        </w:tc>
        <w:tc>
          <w:tcPr>
            <w:tcW w:w="1096" w:type="dxa"/>
            <w:noWrap w:val="0"/>
            <w:vAlign w:val="top"/>
          </w:tcPr>
          <w:p w14:paraId="50A765D6">
            <w:pPr>
              <w:spacing w:after="50" w:afterLines="0" w:line="400" w:lineRule="exact"/>
              <w:rPr>
                <w:rFonts w:hint="eastAsia" w:ascii="宋体" w:hAnsi="宋体" w:cs="宋体"/>
                <w:color w:val="auto"/>
                <w:sz w:val="24"/>
                <w:highlight w:val="none"/>
              </w:rPr>
            </w:pPr>
          </w:p>
        </w:tc>
        <w:tc>
          <w:tcPr>
            <w:tcW w:w="1096" w:type="dxa"/>
            <w:noWrap w:val="0"/>
            <w:vAlign w:val="top"/>
          </w:tcPr>
          <w:p w14:paraId="73E43A32">
            <w:pPr>
              <w:spacing w:after="50" w:afterLines="0" w:line="400" w:lineRule="exact"/>
              <w:rPr>
                <w:rFonts w:hint="eastAsia" w:ascii="宋体" w:hAnsi="宋体" w:cs="宋体"/>
                <w:color w:val="auto"/>
                <w:sz w:val="24"/>
                <w:highlight w:val="none"/>
              </w:rPr>
            </w:pPr>
          </w:p>
        </w:tc>
        <w:tc>
          <w:tcPr>
            <w:tcW w:w="1096" w:type="dxa"/>
            <w:noWrap w:val="0"/>
            <w:vAlign w:val="top"/>
          </w:tcPr>
          <w:p w14:paraId="45C988A4">
            <w:pPr>
              <w:spacing w:after="50" w:afterLines="0" w:line="400" w:lineRule="exact"/>
              <w:rPr>
                <w:rFonts w:hint="eastAsia" w:ascii="宋体" w:hAnsi="宋体" w:cs="宋体"/>
                <w:color w:val="auto"/>
                <w:sz w:val="24"/>
                <w:highlight w:val="none"/>
              </w:rPr>
            </w:pPr>
          </w:p>
        </w:tc>
        <w:tc>
          <w:tcPr>
            <w:tcW w:w="1279" w:type="dxa"/>
            <w:noWrap w:val="0"/>
            <w:vAlign w:val="top"/>
          </w:tcPr>
          <w:p w14:paraId="394C8FD8">
            <w:pPr>
              <w:spacing w:after="50" w:afterLines="0" w:line="400" w:lineRule="exact"/>
              <w:rPr>
                <w:rFonts w:hint="eastAsia" w:ascii="宋体" w:hAnsi="宋体" w:cs="宋体"/>
                <w:color w:val="auto"/>
                <w:sz w:val="24"/>
                <w:highlight w:val="none"/>
              </w:rPr>
            </w:pPr>
          </w:p>
        </w:tc>
        <w:tc>
          <w:tcPr>
            <w:tcW w:w="1279" w:type="dxa"/>
            <w:noWrap w:val="0"/>
            <w:vAlign w:val="top"/>
          </w:tcPr>
          <w:p w14:paraId="25683B4A">
            <w:pPr>
              <w:spacing w:after="50" w:afterLines="0" w:line="400" w:lineRule="exact"/>
              <w:rPr>
                <w:rFonts w:hint="eastAsia" w:ascii="宋体" w:hAnsi="宋体" w:cs="宋体"/>
                <w:color w:val="auto"/>
                <w:sz w:val="24"/>
                <w:highlight w:val="none"/>
              </w:rPr>
            </w:pPr>
          </w:p>
        </w:tc>
        <w:tc>
          <w:tcPr>
            <w:tcW w:w="1380" w:type="dxa"/>
            <w:noWrap w:val="0"/>
            <w:vAlign w:val="top"/>
          </w:tcPr>
          <w:p w14:paraId="1A91687F">
            <w:pPr>
              <w:spacing w:after="50" w:afterLines="0" w:line="400" w:lineRule="exact"/>
              <w:rPr>
                <w:rFonts w:hint="eastAsia" w:ascii="宋体" w:hAnsi="宋体" w:cs="宋体"/>
                <w:color w:val="auto"/>
                <w:sz w:val="24"/>
                <w:highlight w:val="none"/>
              </w:rPr>
            </w:pPr>
          </w:p>
        </w:tc>
      </w:tr>
      <w:tr w14:paraId="0E01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noWrap w:val="0"/>
            <w:vAlign w:val="top"/>
          </w:tcPr>
          <w:p w14:paraId="60CBC781">
            <w:pPr>
              <w:spacing w:after="50" w:afterLines="0" w:line="400" w:lineRule="exact"/>
              <w:rPr>
                <w:rFonts w:hint="eastAsia" w:ascii="宋体" w:hAnsi="宋体" w:cs="宋体"/>
                <w:color w:val="auto"/>
                <w:sz w:val="24"/>
                <w:highlight w:val="none"/>
              </w:rPr>
            </w:pPr>
          </w:p>
        </w:tc>
        <w:tc>
          <w:tcPr>
            <w:tcW w:w="1096" w:type="dxa"/>
            <w:noWrap w:val="0"/>
            <w:vAlign w:val="top"/>
          </w:tcPr>
          <w:p w14:paraId="415FE30A">
            <w:pPr>
              <w:spacing w:after="50" w:afterLines="0" w:line="400" w:lineRule="exact"/>
              <w:rPr>
                <w:rFonts w:hint="eastAsia" w:ascii="宋体" w:hAnsi="宋体" w:cs="宋体"/>
                <w:color w:val="auto"/>
                <w:sz w:val="24"/>
                <w:highlight w:val="none"/>
              </w:rPr>
            </w:pPr>
          </w:p>
        </w:tc>
        <w:tc>
          <w:tcPr>
            <w:tcW w:w="1096" w:type="dxa"/>
            <w:noWrap w:val="0"/>
            <w:vAlign w:val="top"/>
          </w:tcPr>
          <w:p w14:paraId="6C2550C0">
            <w:pPr>
              <w:spacing w:after="50" w:afterLines="0" w:line="400" w:lineRule="exact"/>
              <w:rPr>
                <w:rFonts w:hint="eastAsia" w:ascii="宋体" w:hAnsi="宋体" w:cs="宋体"/>
                <w:color w:val="auto"/>
                <w:sz w:val="24"/>
                <w:highlight w:val="none"/>
              </w:rPr>
            </w:pPr>
          </w:p>
        </w:tc>
        <w:tc>
          <w:tcPr>
            <w:tcW w:w="1096" w:type="dxa"/>
            <w:noWrap w:val="0"/>
            <w:vAlign w:val="top"/>
          </w:tcPr>
          <w:p w14:paraId="589A88B3">
            <w:pPr>
              <w:spacing w:after="50" w:afterLines="0" w:line="400" w:lineRule="exact"/>
              <w:rPr>
                <w:rFonts w:hint="eastAsia" w:ascii="宋体" w:hAnsi="宋体" w:cs="宋体"/>
                <w:color w:val="auto"/>
                <w:sz w:val="24"/>
                <w:highlight w:val="none"/>
              </w:rPr>
            </w:pPr>
          </w:p>
        </w:tc>
        <w:tc>
          <w:tcPr>
            <w:tcW w:w="1096" w:type="dxa"/>
            <w:noWrap w:val="0"/>
            <w:vAlign w:val="top"/>
          </w:tcPr>
          <w:p w14:paraId="147F67F2">
            <w:pPr>
              <w:spacing w:after="50" w:afterLines="0" w:line="400" w:lineRule="exact"/>
              <w:rPr>
                <w:rFonts w:hint="eastAsia" w:ascii="宋体" w:hAnsi="宋体" w:cs="宋体"/>
                <w:color w:val="auto"/>
                <w:sz w:val="24"/>
                <w:highlight w:val="none"/>
              </w:rPr>
            </w:pPr>
          </w:p>
        </w:tc>
        <w:tc>
          <w:tcPr>
            <w:tcW w:w="1279" w:type="dxa"/>
            <w:noWrap w:val="0"/>
            <w:vAlign w:val="top"/>
          </w:tcPr>
          <w:p w14:paraId="669FF8A4">
            <w:pPr>
              <w:spacing w:after="50" w:afterLines="0" w:line="400" w:lineRule="exact"/>
              <w:rPr>
                <w:rFonts w:hint="eastAsia" w:ascii="宋体" w:hAnsi="宋体" w:cs="宋体"/>
                <w:color w:val="auto"/>
                <w:sz w:val="24"/>
                <w:highlight w:val="none"/>
              </w:rPr>
            </w:pPr>
          </w:p>
        </w:tc>
        <w:tc>
          <w:tcPr>
            <w:tcW w:w="1279" w:type="dxa"/>
            <w:noWrap w:val="0"/>
            <w:vAlign w:val="top"/>
          </w:tcPr>
          <w:p w14:paraId="318F10A4">
            <w:pPr>
              <w:spacing w:after="50" w:afterLines="0" w:line="400" w:lineRule="exact"/>
              <w:rPr>
                <w:rFonts w:hint="eastAsia" w:ascii="宋体" w:hAnsi="宋体" w:cs="宋体"/>
                <w:color w:val="auto"/>
                <w:sz w:val="24"/>
                <w:highlight w:val="none"/>
              </w:rPr>
            </w:pPr>
          </w:p>
        </w:tc>
        <w:tc>
          <w:tcPr>
            <w:tcW w:w="1380" w:type="dxa"/>
            <w:noWrap w:val="0"/>
            <w:vAlign w:val="top"/>
          </w:tcPr>
          <w:p w14:paraId="50B5C48A">
            <w:pPr>
              <w:spacing w:after="50" w:afterLines="0" w:line="400" w:lineRule="exact"/>
              <w:rPr>
                <w:rFonts w:hint="eastAsia" w:ascii="宋体" w:hAnsi="宋体" w:cs="宋体"/>
                <w:color w:val="auto"/>
                <w:sz w:val="24"/>
                <w:highlight w:val="none"/>
              </w:rPr>
            </w:pPr>
          </w:p>
        </w:tc>
      </w:tr>
    </w:tbl>
    <w:p w14:paraId="6398C762">
      <w:pPr>
        <w:spacing w:after="50" w:afterLines="0" w:line="400" w:lineRule="exact"/>
        <w:ind w:firstLine="420" w:firstLineChars="200"/>
        <w:rPr>
          <w:rFonts w:hint="eastAsia" w:ascii="宋体" w:hAnsi="宋体" w:cs="宋体"/>
          <w:snapToGrid w:val="0"/>
          <w:color w:val="auto"/>
          <w:kern w:val="0"/>
          <w:highlight w:val="none"/>
        </w:rPr>
      </w:pPr>
      <w:r>
        <w:rPr>
          <w:rFonts w:hint="eastAsia" w:ascii="宋体" w:hAnsi="宋体" w:cs="宋体"/>
          <w:snapToGrid w:val="0"/>
          <w:color w:val="auto"/>
          <w:kern w:val="0"/>
          <w:highlight w:val="none"/>
        </w:rPr>
        <w:t>注：1.供应商应按所列格式提交包括分包人在内的估计劳动力计划表。</w:t>
      </w:r>
    </w:p>
    <w:p w14:paraId="5B336E78">
      <w:pPr>
        <w:numPr>
          <w:ilvl w:val="0"/>
          <w:numId w:val="15"/>
        </w:numPr>
        <w:spacing w:after="50" w:afterLines="0" w:line="400" w:lineRule="exact"/>
        <w:ind w:firstLine="424" w:firstLineChars="200"/>
        <w:rPr>
          <w:rFonts w:hint="eastAsia" w:ascii="宋体" w:hAnsi="宋体" w:cs="宋体"/>
          <w:snapToGrid w:val="0"/>
          <w:color w:val="auto"/>
          <w:highlight w:val="none"/>
        </w:rPr>
      </w:pPr>
      <w:r>
        <w:rPr>
          <w:rFonts w:hint="eastAsia" w:ascii="宋体" w:hAnsi="宋体" w:cs="宋体"/>
          <w:snapToGrid w:val="0"/>
          <w:color w:val="auto"/>
          <w:spacing w:val="1"/>
          <w:highlight w:val="none"/>
        </w:rPr>
        <w:t>本计划表是以每班八小时工作制为基础编制</w:t>
      </w:r>
      <w:r>
        <w:rPr>
          <w:rFonts w:hint="eastAsia" w:ascii="宋体" w:hAnsi="宋体" w:cs="宋体"/>
          <w:snapToGrid w:val="0"/>
          <w:color w:val="auto"/>
          <w:spacing w:val="-7"/>
          <w:highlight w:val="none"/>
        </w:rPr>
        <w:t>的</w:t>
      </w:r>
      <w:r>
        <w:rPr>
          <w:rFonts w:hint="eastAsia" w:ascii="宋体" w:hAnsi="宋体" w:cs="宋体"/>
          <w:snapToGrid w:val="0"/>
          <w:color w:val="auto"/>
          <w:highlight w:val="none"/>
        </w:rPr>
        <w:t>。</w:t>
      </w:r>
    </w:p>
    <w:p w14:paraId="611531E4">
      <w:pPr>
        <w:spacing w:after="50" w:afterLines="0" w:line="400" w:lineRule="exact"/>
        <w:ind w:firstLine="482" w:firstLineChars="200"/>
        <w:rPr>
          <w:rFonts w:hint="eastAsia" w:ascii="宋体" w:hAnsi="宋体" w:cs="宋体"/>
          <w:b/>
          <w:snapToGrid w:val="0"/>
          <w:color w:val="auto"/>
          <w:sz w:val="24"/>
          <w:highlight w:val="none"/>
        </w:rPr>
      </w:pPr>
    </w:p>
    <w:p w14:paraId="6B7B2510">
      <w:pPr>
        <w:spacing w:after="50" w:afterLines="0" w:line="400" w:lineRule="exact"/>
        <w:ind w:firstLine="482" w:firstLineChars="200"/>
        <w:rPr>
          <w:rFonts w:hint="eastAsia" w:ascii="宋体" w:hAnsi="宋体" w:cs="宋体"/>
          <w:b/>
          <w:bCs/>
          <w:color w:val="auto"/>
          <w:sz w:val="24"/>
          <w:highlight w:val="none"/>
        </w:rPr>
      </w:pPr>
      <w:r>
        <w:rPr>
          <w:rFonts w:hint="eastAsia" w:ascii="宋体" w:hAnsi="宋体" w:cs="宋体"/>
          <w:b/>
          <w:snapToGrid w:val="0"/>
          <w:color w:val="auto"/>
          <w:sz w:val="24"/>
          <w:highlight w:val="none"/>
        </w:rPr>
        <w:t>附表三  ⑶</w:t>
      </w:r>
      <w:r>
        <w:rPr>
          <w:rFonts w:hint="eastAsia" w:ascii="宋体" w:hAnsi="宋体" w:cs="宋体"/>
          <w:b/>
          <w:bCs/>
          <w:color w:val="auto"/>
          <w:sz w:val="24"/>
          <w:highlight w:val="none"/>
        </w:rPr>
        <w:t>计划开、竣工日期和施工进度横道图</w:t>
      </w:r>
    </w:p>
    <w:p w14:paraId="402ED6EB">
      <w:pPr>
        <w:spacing w:after="156" w:afterLines="5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1.供应商应提交施工进度横道图或施工进度表，说明按竞争性磋商采购文件要求的工期进行施工的各个关键日期。成交的供应商还应按合同条件有关条款的要求提交详细的施工进度计划。</w:t>
      </w:r>
    </w:p>
    <w:p w14:paraId="5C3A14BA">
      <w:pPr>
        <w:spacing w:after="156" w:afterLines="5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2.施工进度表可采用横道图表示，说明计划开工日期和各分项工程各阶段的完工日期和分包合同签订的日期。</w:t>
      </w:r>
    </w:p>
    <w:p w14:paraId="25F59F1E">
      <w:pPr>
        <w:spacing w:after="156" w:afterLines="50" w:line="400" w:lineRule="exact"/>
        <w:ind w:firstLine="420" w:firstLineChars="200"/>
        <w:rPr>
          <w:rFonts w:hint="eastAsia" w:ascii="宋体" w:hAnsi="宋体" w:cs="宋体"/>
          <w:b/>
          <w:bCs/>
          <w:color w:val="auto"/>
          <w:sz w:val="24"/>
          <w:highlight w:val="none"/>
        </w:rPr>
      </w:pPr>
      <w:r>
        <w:rPr>
          <w:rFonts w:hint="eastAsia" w:ascii="宋体" w:hAnsi="宋体" w:cs="宋体"/>
          <w:color w:val="auto"/>
          <w:highlight w:val="none"/>
        </w:rPr>
        <w:t>3.施工进度计划应与施工组织设计相适应。</w:t>
      </w:r>
    </w:p>
    <w:p w14:paraId="12F41568">
      <w:pPr>
        <w:spacing w:after="50" w:afterLines="0" w:line="400" w:lineRule="exact"/>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附表四  ⑷施工总平面图</w:t>
      </w:r>
    </w:p>
    <w:p w14:paraId="00FF8813">
      <w:pPr>
        <w:pStyle w:val="18"/>
        <w:ind w:firstLine="420" w:firstLineChars="200"/>
        <w:rPr>
          <w:rFonts w:hint="eastAsia" w:ascii="宋体" w:hAnsi="宋体" w:cs="宋体"/>
          <w:b/>
          <w:bCs/>
          <w:color w:val="auto"/>
          <w:sz w:val="24"/>
          <w:highlight w:val="none"/>
        </w:rPr>
      </w:pPr>
      <w:r>
        <w:rPr>
          <w:rFonts w:hint="eastAsia" w:hAnsi="宋体" w:cs="宋体"/>
          <w:color w:val="auto"/>
          <w:highlight w:val="none"/>
        </w:rPr>
        <w:t>供应商应提交一份施工总平面图，绘出现场临时设施布置图表并附文字说明，说明临时设施、加工车间、现场办公、设备及仓储、供电、供水、卫生、生活等设施的情况和布置。</w:t>
      </w:r>
    </w:p>
    <w:p w14:paraId="6E9973B5">
      <w:pPr>
        <w:spacing w:after="50" w:afterLines="0" w:line="4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附表五  ⑸临时用地表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5"/>
        <w:gridCol w:w="2366"/>
        <w:gridCol w:w="2336"/>
        <w:gridCol w:w="2336"/>
      </w:tblGrid>
      <w:tr w14:paraId="1746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335" w:type="dxa"/>
            <w:noWrap w:val="0"/>
            <w:vAlign w:val="center"/>
          </w:tcPr>
          <w:p w14:paraId="08B63377">
            <w:pPr>
              <w:spacing w:after="50" w:afterLines="0" w:line="400" w:lineRule="exact"/>
              <w:jc w:val="center"/>
              <w:rPr>
                <w:rFonts w:hint="eastAsia" w:ascii="宋体" w:hAnsi="宋体" w:cs="宋体"/>
                <w:color w:val="auto"/>
                <w:highlight w:val="none"/>
              </w:rPr>
            </w:pPr>
            <w:r>
              <w:rPr>
                <w:rFonts w:hint="eastAsia" w:ascii="宋体" w:hAnsi="宋体" w:cs="宋体"/>
                <w:color w:val="auto"/>
                <w:highlight w:val="none"/>
              </w:rPr>
              <w:t>用 途</w:t>
            </w:r>
          </w:p>
        </w:tc>
        <w:tc>
          <w:tcPr>
            <w:tcW w:w="2366" w:type="dxa"/>
            <w:noWrap w:val="0"/>
            <w:vAlign w:val="center"/>
          </w:tcPr>
          <w:p w14:paraId="2762843D">
            <w:pPr>
              <w:spacing w:after="50" w:afterLines="0" w:line="400" w:lineRule="exact"/>
              <w:jc w:val="center"/>
              <w:rPr>
                <w:rFonts w:hint="eastAsia" w:ascii="宋体" w:hAnsi="宋体" w:cs="宋体"/>
                <w:color w:val="auto"/>
                <w:highlight w:val="none"/>
              </w:rPr>
            </w:pPr>
            <w:r>
              <w:rPr>
                <w:rFonts w:hint="eastAsia" w:ascii="宋体" w:hAnsi="宋体" w:cs="宋体"/>
                <w:color w:val="auto"/>
                <w:highlight w:val="none"/>
              </w:rPr>
              <w:t>面 积（平方米）</w:t>
            </w:r>
          </w:p>
        </w:tc>
        <w:tc>
          <w:tcPr>
            <w:tcW w:w="2336" w:type="dxa"/>
            <w:noWrap w:val="0"/>
            <w:vAlign w:val="center"/>
          </w:tcPr>
          <w:p w14:paraId="2880CE0B">
            <w:pPr>
              <w:spacing w:after="50" w:afterLines="0" w:line="400" w:lineRule="exact"/>
              <w:jc w:val="center"/>
              <w:rPr>
                <w:rFonts w:hint="eastAsia" w:ascii="宋体" w:hAnsi="宋体" w:cs="宋体"/>
                <w:color w:val="auto"/>
                <w:highlight w:val="none"/>
              </w:rPr>
            </w:pPr>
            <w:r>
              <w:rPr>
                <w:rFonts w:hint="eastAsia" w:ascii="宋体" w:hAnsi="宋体" w:cs="宋体"/>
                <w:color w:val="auto"/>
                <w:highlight w:val="none"/>
              </w:rPr>
              <w:t>位 置</w:t>
            </w:r>
          </w:p>
        </w:tc>
        <w:tc>
          <w:tcPr>
            <w:tcW w:w="2336" w:type="dxa"/>
            <w:noWrap w:val="0"/>
            <w:vAlign w:val="center"/>
          </w:tcPr>
          <w:p w14:paraId="43F8076F">
            <w:pPr>
              <w:spacing w:after="50" w:afterLines="0" w:line="400" w:lineRule="exact"/>
              <w:jc w:val="center"/>
              <w:rPr>
                <w:rFonts w:hint="eastAsia" w:ascii="宋体" w:hAnsi="宋体" w:cs="宋体"/>
                <w:color w:val="auto"/>
                <w:highlight w:val="none"/>
              </w:rPr>
            </w:pPr>
            <w:r>
              <w:rPr>
                <w:rFonts w:hint="eastAsia" w:ascii="宋体" w:hAnsi="宋体" w:cs="宋体"/>
                <w:color w:val="auto"/>
                <w:highlight w:val="none"/>
              </w:rPr>
              <w:t>需用时间</w:t>
            </w:r>
          </w:p>
        </w:tc>
      </w:tr>
      <w:tr w14:paraId="0A6F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335" w:type="dxa"/>
            <w:noWrap w:val="0"/>
            <w:vAlign w:val="center"/>
          </w:tcPr>
          <w:p w14:paraId="52ED747E">
            <w:pPr>
              <w:spacing w:after="50" w:afterLines="0" w:line="400" w:lineRule="exact"/>
              <w:rPr>
                <w:rFonts w:hint="eastAsia" w:ascii="宋体" w:hAnsi="宋体" w:cs="宋体"/>
                <w:color w:val="auto"/>
                <w:highlight w:val="none"/>
              </w:rPr>
            </w:pPr>
          </w:p>
        </w:tc>
        <w:tc>
          <w:tcPr>
            <w:tcW w:w="2366" w:type="dxa"/>
            <w:noWrap w:val="0"/>
            <w:vAlign w:val="center"/>
          </w:tcPr>
          <w:p w14:paraId="6B6CEA32">
            <w:pPr>
              <w:spacing w:after="50" w:afterLines="0" w:line="400" w:lineRule="exact"/>
              <w:rPr>
                <w:rFonts w:hint="eastAsia" w:ascii="宋体" w:hAnsi="宋体" w:cs="宋体"/>
                <w:color w:val="auto"/>
                <w:highlight w:val="none"/>
              </w:rPr>
            </w:pPr>
          </w:p>
        </w:tc>
        <w:tc>
          <w:tcPr>
            <w:tcW w:w="2336" w:type="dxa"/>
            <w:noWrap w:val="0"/>
            <w:vAlign w:val="center"/>
          </w:tcPr>
          <w:p w14:paraId="6046B98D">
            <w:pPr>
              <w:spacing w:after="50" w:afterLines="0" w:line="400" w:lineRule="exact"/>
              <w:rPr>
                <w:rFonts w:hint="eastAsia" w:ascii="宋体" w:hAnsi="宋体" w:cs="宋体"/>
                <w:color w:val="auto"/>
                <w:highlight w:val="none"/>
              </w:rPr>
            </w:pPr>
          </w:p>
        </w:tc>
        <w:tc>
          <w:tcPr>
            <w:tcW w:w="2336" w:type="dxa"/>
            <w:noWrap w:val="0"/>
            <w:vAlign w:val="center"/>
          </w:tcPr>
          <w:p w14:paraId="426D74C8">
            <w:pPr>
              <w:spacing w:after="50" w:afterLines="0" w:line="400" w:lineRule="exact"/>
              <w:rPr>
                <w:rFonts w:hint="eastAsia" w:ascii="宋体" w:hAnsi="宋体" w:cs="宋体"/>
                <w:color w:val="auto"/>
                <w:highlight w:val="none"/>
              </w:rPr>
            </w:pPr>
          </w:p>
        </w:tc>
      </w:tr>
      <w:tr w14:paraId="2C386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335" w:type="dxa"/>
            <w:noWrap w:val="0"/>
            <w:vAlign w:val="center"/>
          </w:tcPr>
          <w:p w14:paraId="41145577">
            <w:pPr>
              <w:spacing w:after="50" w:afterLines="0" w:line="400" w:lineRule="exact"/>
              <w:rPr>
                <w:rFonts w:hint="eastAsia" w:ascii="宋体" w:hAnsi="宋体" w:cs="宋体"/>
                <w:color w:val="auto"/>
                <w:highlight w:val="none"/>
              </w:rPr>
            </w:pPr>
          </w:p>
        </w:tc>
        <w:tc>
          <w:tcPr>
            <w:tcW w:w="2366" w:type="dxa"/>
            <w:noWrap w:val="0"/>
            <w:vAlign w:val="center"/>
          </w:tcPr>
          <w:p w14:paraId="63A64211">
            <w:pPr>
              <w:spacing w:after="50" w:afterLines="0" w:line="400" w:lineRule="exact"/>
              <w:rPr>
                <w:rFonts w:hint="eastAsia" w:ascii="宋体" w:hAnsi="宋体" w:cs="宋体"/>
                <w:color w:val="auto"/>
                <w:highlight w:val="none"/>
              </w:rPr>
            </w:pPr>
          </w:p>
        </w:tc>
        <w:tc>
          <w:tcPr>
            <w:tcW w:w="2336" w:type="dxa"/>
            <w:noWrap w:val="0"/>
            <w:vAlign w:val="center"/>
          </w:tcPr>
          <w:p w14:paraId="09324CFB">
            <w:pPr>
              <w:spacing w:after="50" w:afterLines="0" w:line="400" w:lineRule="exact"/>
              <w:rPr>
                <w:rFonts w:hint="eastAsia" w:ascii="宋体" w:hAnsi="宋体" w:cs="宋体"/>
                <w:color w:val="auto"/>
                <w:highlight w:val="none"/>
              </w:rPr>
            </w:pPr>
          </w:p>
        </w:tc>
        <w:tc>
          <w:tcPr>
            <w:tcW w:w="2336" w:type="dxa"/>
            <w:noWrap w:val="0"/>
            <w:vAlign w:val="center"/>
          </w:tcPr>
          <w:p w14:paraId="120321DB">
            <w:pPr>
              <w:spacing w:after="50" w:afterLines="0" w:line="400" w:lineRule="exact"/>
              <w:rPr>
                <w:rFonts w:hint="eastAsia" w:ascii="宋体" w:hAnsi="宋体" w:cs="宋体"/>
                <w:color w:val="auto"/>
                <w:highlight w:val="none"/>
              </w:rPr>
            </w:pPr>
          </w:p>
        </w:tc>
      </w:tr>
      <w:tr w14:paraId="7065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335" w:type="dxa"/>
            <w:noWrap w:val="0"/>
            <w:vAlign w:val="center"/>
          </w:tcPr>
          <w:p w14:paraId="04AC3647">
            <w:pPr>
              <w:spacing w:after="50" w:afterLines="0" w:line="400" w:lineRule="exact"/>
              <w:rPr>
                <w:rFonts w:hint="eastAsia" w:ascii="宋体" w:hAnsi="宋体" w:cs="宋体"/>
                <w:color w:val="auto"/>
                <w:highlight w:val="none"/>
              </w:rPr>
            </w:pPr>
          </w:p>
        </w:tc>
        <w:tc>
          <w:tcPr>
            <w:tcW w:w="2366" w:type="dxa"/>
            <w:noWrap w:val="0"/>
            <w:vAlign w:val="center"/>
          </w:tcPr>
          <w:p w14:paraId="16C31A53">
            <w:pPr>
              <w:spacing w:after="50" w:afterLines="0" w:line="400" w:lineRule="exact"/>
              <w:rPr>
                <w:rFonts w:hint="eastAsia" w:ascii="宋体" w:hAnsi="宋体" w:cs="宋体"/>
                <w:color w:val="auto"/>
                <w:highlight w:val="none"/>
              </w:rPr>
            </w:pPr>
          </w:p>
        </w:tc>
        <w:tc>
          <w:tcPr>
            <w:tcW w:w="2336" w:type="dxa"/>
            <w:noWrap w:val="0"/>
            <w:vAlign w:val="center"/>
          </w:tcPr>
          <w:p w14:paraId="307202B0">
            <w:pPr>
              <w:spacing w:after="50" w:afterLines="0" w:line="400" w:lineRule="exact"/>
              <w:rPr>
                <w:rFonts w:hint="eastAsia" w:ascii="宋体" w:hAnsi="宋体" w:cs="宋体"/>
                <w:color w:val="auto"/>
                <w:highlight w:val="none"/>
              </w:rPr>
            </w:pPr>
          </w:p>
        </w:tc>
        <w:tc>
          <w:tcPr>
            <w:tcW w:w="2336" w:type="dxa"/>
            <w:noWrap w:val="0"/>
            <w:vAlign w:val="center"/>
          </w:tcPr>
          <w:p w14:paraId="385DA785">
            <w:pPr>
              <w:spacing w:after="50" w:afterLines="0" w:line="400" w:lineRule="exact"/>
              <w:rPr>
                <w:rFonts w:hint="eastAsia" w:ascii="宋体" w:hAnsi="宋体" w:cs="宋体"/>
                <w:color w:val="auto"/>
                <w:highlight w:val="none"/>
              </w:rPr>
            </w:pPr>
          </w:p>
        </w:tc>
      </w:tr>
      <w:tr w14:paraId="0ABA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335" w:type="dxa"/>
            <w:noWrap w:val="0"/>
            <w:vAlign w:val="center"/>
          </w:tcPr>
          <w:p w14:paraId="4067C9E1">
            <w:pPr>
              <w:spacing w:after="50" w:afterLines="0" w:line="400" w:lineRule="exact"/>
              <w:jc w:val="center"/>
              <w:rPr>
                <w:rFonts w:hint="eastAsia" w:ascii="宋体" w:hAnsi="宋体" w:cs="宋体"/>
                <w:color w:val="auto"/>
                <w:highlight w:val="none"/>
              </w:rPr>
            </w:pPr>
            <w:r>
              <w:rPr>
                <w:rFonts w:hint="eastAsia" w:ascii="宋体" w:hAnsi="宋体" w:cs="宋体"/>
                <w:color w:val="auto"/>
                <w:highlight w:val="none"/>
              </w:rPr>
              <w:t>合 计</w:t>
            </w:r>
          </w:p>
        </w:tc>
        <w:tc>
          <w:tcPr>
            <w:tcW w:w="2366" w:type="dxa"/>
            <w:noWrap w:val="0"/>
            <w:vAlign w:val="center"/>
          </w:tcPr>
          <w:p w14:paraId="630A8257">
            <w:pPr>
              <w:spacing w:after="50" w:afterLines="0" w:line="400" w:lineRule="exact"/>
              <w:rPr>
                <w:rFonts w:hint="eastAsia" w:ascii="宋体" w:hAnsi="宋体" w:cs="宋体"/>
                <w:color w:val="auto"/>
                <w:highlight w:val="none"/>
              </w:rPr>
            </w:pPr>
          </w:p>
        </w:tc>
        <w:tc>
          <w:tcPr>
            <w:tcW w:w="2336" w:type="dxa"/>
            <w:noWrap w:val="0"/>
            <w:vAlign w:val="center"/>
          </w:tcPr>
          <w:p w14:paraId="55C04666">
            <w:pPr>
              <w:spacing w:after="50" w:afterLines="0" w:line="400" w:lineRule="exact"/>
              <w:rPr>
                <w:rFonts w:hint="eastAsia" w:ascii="宋体" w:hAnsi="宋体" w:cs="宋体"/>
                <w:color w:val="auto"/>
                <w:highlight w:val="none"/>
              </w:rPr>
            </w:pPr>
          </w:p>
        </w:tc>
        <w:tc>
          <w:tcPr>
            <w:tcW w:w="2336" w:type="dxa"/>
            <w:noWrap w:val="0"/>
            <w:vAlign w:val="center"/>
          </w:tcPr>
          <w:p w14:paraId="417715FE">
            <w:pPr>
              <w:spacing w:after="50" w:afterLines="0" w:line="400" w:lineRule="exact"/>
              <w:rPr>
                <w:rFonts w:hint="eastAsia" w:ascii="宋体" w:hAnsi="宋体" w:cs="宋体"/>
                <w:color w:val="auto"/>
                <w:highlight w:val="none"/>
              </w:rPr>
            </w:pPr>
          </w:p>
        </w:tc>
      </w:tr>
    </w:tbl>
    <w:p w14:paraId="52C2AB2F">
      <w:pPr>
        <w:spacing w:after="156" w:afterLines="5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注：1.供应商应逐项填写本表，指出全部临时设施用地面积以及详细用途。</w:t>
      </w:r>
    </w:p>
    <w:p w14:paraId="20FC19AD">
      <w:pPr>
        <w:spacing w:after="156" w:afterLines="5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2.若本表不够，可加附页。</w:t>
      </w:r>
    </w:p>
    <w:p w14:paraId="2C8D83FD">
      <w:pPr>
        <w:shd w:val="clear" w:color="auto" w:fill="FFFFFF"/>
        <w:jc w:val="both"/>
        <w:rPr>
          <w:rFonts w:hint="eastAsia" w:ascii="宋体" w:hAnsi="宋体" w:eastAsia="宋体" w:cs="宋体"/>
          <w:b/>
          <w:bCs/>
          <w:color w:val="auto"/>
          <w:sz w:val="24"/>
          <w:highlight w:val="none"/>
        </w:rPr>
        <w:sectPr>
          <w:headerReference r:id="rId7" w:type="default"/>
          <w:footerReference r:id="rId8" w:type="default"/>
          <w:pgSz w:w="11906" w:h="16838"/>
          <w:pgMar w:top="1758" w:right="1304" w:bottom="1021" w:left="1304" w:header="1247" w:footer="850" w:gutter="0"/>
          <w:pgNumType w:fmt="decimal"/>
          <w:cols w:space="720" w:num="1"/>
          <w:docGrid w:type="lines" w:linePitch="320" w:charSpace="0"/>
        </w:sectPr>
      </w:pPr>
    </w:p>
    <w:p w14:paraId="32E6A045">
      <w:pPr>
        <w:shd w:val="clear" w:color="auto" w:fill="FFFFFF"/>
        <w:ind w:firstLine="482" w:firstLineChars="200"/>
        <w:jc w:val="both"/>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4.项目管理机构及人员配备</w:t>
      </w:r>
    </w:p>
    <w:p w14:paraId="6F19877E">
      <w:pPr>
        <w:ind w:firstLine="482" w:firstLineChars="200"/>
        <w:jc w:val="center"/>
        <w:rPr>
          <w:rFonts w:hint="eastAsia" w:ascii="宋体" w:hAnsi="宋体" w:cs="宋体"/>
          <w:b/>
          <w:color w:val="auto"/>
          <w:sz w:val="24"/>
          <w:highlight w:val="none"/>
        </w:rPr>
      </w:pPr>
    </w:p>
    <w:p w14:paraId="21080695">
      <w:pPr>
        <w:ind w:firstLine="482" w:firstLineChars="200"/>
        <w:jc w:val="center"/>
        <w:rPr>
          <w:rFonts w:hint="eastAsia" w:ascii="宋体" w:hAnsi="宋体" w:cs="宋体"/>
          <w:b/>
          <w:color w:val="auto"/>
          <w:sz w:val="24"/>
          <w:highlight w:val="none"/>
        </w:rPr>
      </w:pPr>
      <w:r>
        <w:rPr>
          <w:rFonts w:hint="eastAsia" w:ascii="宋体" w:hAnsi="宋体" w:cs="宋体"/>
          <w:b/>
          <w:color w:val="auto"/>
          <w:sz w:val="24"/>
          <w:highlight w:val="none"/>
        </w:rPr>
        <w:t>项目管理机构配备情况表（格式）</w:t>
      </w:r>
    </w:p>
    <w:tbl>
      <w:tblPr>
        <w:tblStyle w:val="22"/>
        <w:tblW w:w="0" w:type="auto"/>
        <w:jc w:val="center"/>
        <w:tblLayout w:type="fixed"/>
        <w:tblCellMar>
          <w:top w:w="0" w:type="dxa"/>
          <w:left w:w="0" w:type="dxa"/>
          <w:bottom w:w="0" w:type="dxa"/>
          <w:right w:w="0" w:type="dxa"/>
        </w:tblCellMar>
      </w:tblPr>
      <w:tblGrid>
        <w:gridCol w:w="2835"/>
        <w:gridCol w:w="899"/>
        <w:gridCol w:w="751"/>
        <w:gridCol w:w="619"/>
        <w:gridCol w:w="708"/>
        <w:gridCol w:w="744"/>
        <w:gridCol w:w="1173"/>
        <w:gridCol w:w="735"/>
        <w:gridCol w:w="881"/>
      </w:tblGrid>
      <w:tr w14:paraId="54F1EEF2">
        <w:tblPrEx>
          <w:tblCellMar>
            <w:top w:w="0" w:type="dxa"/>
            <w:left w:w="0" w:type="dxa"/>
            <w:bottom w:w="0" w:type="dxa"/>
            <w:right w:w="0" w:type="dxa"/>
          </w:tblCellMar>
        </w:tblPrEx>
        <w:trPr>
          <w:trHeight w:val="1419" w:hRule="exact"/>
          <w:jc w:val="center"/>
        </w:trPr>
        <w:tc>
          <w:tcPr>
            <w:tcW w:w="28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44B1EFB">
            <w:pPr>
              <w:adjustRightIn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工作岗位名称</w:t>
            </w:r>
          </w:p>
        </w:tc>
        <w:tc>
          <w:tcPr>
            <w:tcW w:w="89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C22CA42">
            <w:pPr>
              <w:adjustRightIn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姓  名</w:t>
            </w:r>
          </w:p>
        </w:tc>
        <w:tc>
          <w:tcPr>
            <w:tcW w:w="75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6ACB83E">
            <w:pPr>
              <w:adjustRightIn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性别</w:t>
            </w:r>
          </w:p>
        </w:tc>
        <w:tc>
          <w:tcPr>
            <w:tcW w:w="61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3B83C68">
            <w:pPr>
              <w:adjustRightIn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工作职责</w:t>
            </w:r>
          </w:p>
        </w:tc>
        <w:tc>
          <w:tcPr>
            <w:tcW w:w="70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0F6595B">
            <w:pPr>
              <w:adjustRightIn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职  称</w:t>
            </w:r>
          </w:p>
        </w:tc>
        <w:tc>
          <w:tcPr>
            <w:tcW w:w="74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EA036F5">
            <w:pPr>
              <w:adjustRightIn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专  业</w:t>
            </w:r>
          </w:p>
        </w:tc>
        <w:tc>
          <w:tcPr>
            <w:tcW w:w="117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E2CDC74">
            <w:pPr>
              <w:adjustRightInd w:val="0"/>
              <w:spacing w:line="320" w:lineRule="exact"/>
              <w:jc w:val="center"/>
              <w:rPr>
                <w:rFonts w:hint="eastAsia" w:ascii="宋体" w:hAnsi="宋体" w:cs="宋体"/>
                <w:color w:val="auto"/>
                <w:szCs w:val="21"/>
                <w:highlight w:val="none"/>
              </w:rPr>
            </w:pPr>
            <w:r>
              <w:rPr>
                <w:rFonts w:hint="eastAsia" w:ascii="宋体" w:hAnsi="宋体" w:cs="宋体"/>
                <w:bCs/>
                <w:color w:val="auto"/>
                <w:szCs w:val="21"/>
                <w:highlight w:val="none"/>
              </w:rPr>
              <w:t>相关证书名称及编号</w:t>
            </w:r>
          </w:p>
        </w:tc>
        <w:tc>
          <w:tcPr>
            <w:tcW w:w="73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B33A41B">
            <w:pPr>
              <w:adjustRightIn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相关工作年限</w:t>
            </w:r>
          </w:p>
        </w:tc>
        <w:tc>
          <w:tcPr>
            <w:tcW w:w="88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CE84144">
            <w:pPr>
              <w:adjustRightInd w:val="0"/>
              <w:spacing w:line="320" w:lineRule="exact"/>
              <w:ind w:firstLine="420" w:firstLineChars="200"/>
              <w:jc w:val="center"/>
              <w:rPr>
                <w:rFonts w:hint="eastAsia" w:ascii="宋体" w:hAnsi="宋体" w:cs="宋体"/>
                <w:color w:val="auto"/>
                <w:szCs w:val="21"/>
                <w:highlight w:val="none"/>
              </w:rPr>
            </w:pPr>
            <w:r>
              <w:rPr>
                <w:rFonts w:hint="eastAsia" w:ascii="宋体" w:hAnsi="宋体" w:cs="宋体"/>
                <w:color w:val="auto"/>
                <w:szCs w:val="21"/>
                <w:highlight w:val="none"/>
              </w:rPr>
              <w:t>工作</w:t>
            </w:r>
          </w:p>
          <w:p w14:paraId="270E27FC">
            <w:pPr>
              <w:adjustRightInd w:val="0"/>
              <w:spacing w:line="320" w:lineRule="exact"/>
              <w:ind w:firstLine="420" w:firstLineChars="200"/>
              <w:jc w:val="center"/>
              <w:rPr>
                <w:rFonts w:hint="eastAsia" w:ascii="宋体" w:hAnsi="宋体" w:cs="宋体"/>
                <w:color w:val="auto"/>
                <w:szCs w:val="21"/>
                <w:highlight w:val="none"/>
              </w:rPr>
            </w:pPr>
            <w:r>
              <w:rPr>
                <w:rFonts w:hint="eastAsia" w:ascii="宋体" w:hAnsi="宋体" w:cs="宋体"/>
                <w:color w:val="auto"/>
                <w:szCs w:val="21"/>
                <w:highlight w:val="none"/>
              </w:rPr>
              <w:t>简历</w:t>
            </w:r>
          </w:p>
        </w:tc>
      </w:tr>
      <w:tr w14:paraId="49FAEE0D">
        <w:tblPrEx>
          <w:tblCellMar>
            <w:top w:w="0" w:type="dxa"/>
            <w:left w:w="0" w:type="dxa"/>
            <w:bottom w:w="0" w:type="dxa"/>
            <w:right w:w="0" w:type="dxa"/>
          </w:tblCellMar>
        </w:tblPrEx>
        <w:trPr>
          <w:trHeight w:val="698" w:hRule="exact"/>
          <w:jc w:val="center"/>
        </w:trPr>
        <w:tc>
          <w:tcPr>
            <w:tcW w:w="2835"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416860E">
            <w:pPr>
              <w:adjustRightIn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1、项目经理</w:t>
            </w:r>
          </w:p>
        </w:tc>
        <w:tc>
          <w:tcPr>
            <w:tcW w:w="89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B9B1906">
            <w:pPr>
              <w:adjustRightInd w:val="0"/>
              <w:spacing w:line="320" w:lineRule="exact"/>
              <w:rPr>
                <w:rFonts w:hint="eastAsia" w:ascii="宋体" w:hAnsi="宋体" w:cs="宋体"/>
                <w:color w:val="auto"/>
                <w:szCs w:val="21"/>
                <w:highlight w:val="none"/>
              </w:rPr>
            </w:pPr>
          </w:p>
        </w:tc>
        <w:tc>
          <w:tcPr>
            <w:tcW w:w="75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D6AFB73">
            <w:pPr>
              <w:adjustRightInd w:val="0"/>
              <w:spacing w:line="320" w:lineRule="exact"/>
              <w:rPr>
                <w:rFonts w:hint="eastAsia" w:ascii="宋体" w:hAnsi="宋体" w:cs="宋体"/>
                <w:color w:val="auto"/>
                <w:szCs w:val="21"/>
                <w:highlight w:val="none"/>
              </w:rPr>
            </w:pPr>
          </w:p>
        </w:tc>
        <w:tc>
          <w:tcPr>
            <w:tcW w:w="61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15F57BD">
            <w:pPr>
              <w:adjustRightInd w:val="0"/>
              <w:spacing w:line="320" w:lineRule="exact"/>
              <w:rPr>
                <w:rFonts w:hint="eastAsia" w:ascii="宋体" w:hAnsi="宋体" w:cs="宋体"/>
                <w:color w:val="auto"/>
                <w:szCs w:val="21"/>
                <w:highlight w:val="none"/>
              </w:rPr>
            </w:pPr>
          </w:p>
        </w:tc>
        <w:tc>
          <w:tcPr>
            <w:tcW w:w="70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99D5841">
            <w:pPr>
              <w:adjustRightInd w:val="0"/>
              <w:spacing w:line="320" w:lineRule="exact"/>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4B91D83">
            <w:pPr>
              <w:adjustRightInd w:val="0"/>
              <w:spacing w:line="320" w:lineRule="exact"/>
              <w:rPr>
                <w:rFonts w:hint="eastAsia" w:ascii="宋体" w:hAnsi="宋体" w:cs="宋体"/>
                <w:color w:val="auto"/>
                <w:szCs w:val="21"/>
                <w:highlight w:val="none"/>
              </w:rPr>
            </w:pPr>
          </w:p>
        </w:tc>
        <w:tc>
          <w:tcPr>
            <w:tcW w:w="117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6B7161C">
            <w:pPr>
              <w:adjustRightInd w:val="0"/>
              <w:spacing w:line="320" w:lineRule="exact"/>
              <w:rPr>
                <w:rFonts w:hint="eastAsia" w:ascii="宋体" w:hAnsi="宋体" w:cs="宋体"/>
                <w:color w:val="auto"/>
                <w:szCs w:val="21"/>
                <w:highlight w:val="none"/>
              </w:rPr>
            </w:pPr>
          </w:p>
        </w:tc>
        <w:tc>
          <w:tcPr>
            <w:tcW w:w="73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F33B170">
            <w:pPr>
              <w:adjustRightInd w:val="0"/>
              <w:spacing w:line="320" w:lineRule="exact"/>
              <w:rPr>
                <w:rFonts w:hint="eastAsia" w:ascii="宋体" w:hAnsi="宋体" w:cs="宋体"/>
                <w:color w:val="auto"/>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FF766E7">
            <w:pPr>
              <w:adjustRightInd w:val="0"/>
              <w:spacing w:line="320" w:lineRule="exact"/>
              <w:rPr>
                <w:rFonts w:hint="eastAsia" w:ascii="宋体" w:hAnsi="宋体" w:cs="宋体"/>
                <w:color w:val="auto"/>
                <w:szCs w:val="21"/>
                <w:highlight w:val="none"/>
              </w:rPr>
            </w:pPr>
          </w:p>
        </w:tc>
      </w:tr>
      <w:tr w14:paraId="0A8A95E2">
        <w:tblPrEx>
          <w:tblCellMar>
            <w:top w:w="0" w:type="dxa"/>
            <w:left w:w="0" w:type="dxa"/>
            <w:bottom w:w="0" w:type="dxa"/>
            <w:right w:w="0" w:type="dxa"/>
          </w:tblCellMar>
        </w:tblPrEx>
        <w:trPr>
          <w:trHeight w:val="698" w:hRule="exact"/>
          <w:jc w:val="center"/>
        </w:trPr>
        <w:tc>
          <w:tcPr>
            <w:tcW w:w="2835"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1FE3C85">
            <w:pPr>
              <w:adjustRightInd w:val="0"/>
              <w:spacing w:line="32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w:t>
            </w:r>
          </w:p>
        </w:tc>
        <w:tc>
          <w:tcPr>
            <w:tcW w:w="89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9BA905D">
            <w:pPr>
              <w:adjustRightInd w:val="0"/>
              <w:spacing w:line="320" w:lineRule="exact"/>
              <w:rPr>
                <w:rFonts w:hint="eastAsia" w:ascii="宋体" w:hAnsi="宋体" w:cs="宋体"/>
                <w:color w:val="auto"/>
                <w:szCs w:val="21"/>
                <w:highlight w:val="none"/>
              </w:rPr>
            </w:pPr>
          </w:p>
        </w:tc>
        <w:tc>
          <w:tcPr>
            <w:tcW w:w="75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EBD1F83">
            <w:pPr>
              <w:adjustRightInd w:val="0"/>
              <w:spacing w:line="320" w:lineRule="exact"/>
              <w:rPr>
                <w:rFonts w:hint="eastAsia" w:ascii="宋体" w:hAnsi="宋体" w:cs="宋体"/>
                <w:color w:val="auto"/>
                <w:szCs w:val="21"/>
                <w:highlight w:val="none"/>
              </w:rPr>
            </w:pPr>
          </w:p>
        </w:tc>
        <w:tc>
          <w:tcPr>
            <w:tcW w:w="61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190F241">
            <w:pPr>
              <w:adjustRightInd w:val="0"/>
              <w:spacing w:line="320" w:lineRule="exact"/>
              <w:rPr>
                <w:rFonts w:hint="eastAsia" w:ascii="宋体" w:hAnsi="宋体" w:cs="宋体"/>
                <w:color w:val="auto"/>
                <w:szCs w:val="21"/>
                <w:highlight w:val="none"/>
              </w:rPr>
            </w:pPr>
          </w:p>
        </w:tc>
        <w:tc>
          <w:tcPr>
            <w:tcW w:w="70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3915D39">
            <w:pPr>
              <w:adjustRightInd w:val="0"/>
              <w:spacing w:line="320" w:lineRule="exact"/>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C2FD96B">
            <w:pPr>
              <w:adjustRightInd w:val="0"/>
              <w:spacing w:line="320" w:lineRule="exact"/>
              <w:rPr>
                <w:rFonts w:hint="eastAsia" w:ascii="宋体" w:hAnsi="宋体" w:cs="宋体"/>
                <w:color w:val="auto"/>
                <w:szCs w:val="21"/>
                <w:highlight w:val="none"/>
              </w:rPr>
            </w:pPr>
          </w:p>
        </w:tc>
        <w:tc>
          <w:tcPr>
            <w:tcW w:w="117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1C81269">
            <w:pPr>
              <w:adjustRightInd w:val="0"/>
              <w:spacing w:line="320" w:lineRule="exact"/>
              <w:rPr>
                <w:rFonts w:hint="eastAsia" w:ascii="宋体" w:hAnsi="宋体" w:cs="宋体"/>
                <w:color w:val="auto"/>
                <w:szCs w:val="21"/>
                <w:highlight w:val="none"/>
              </w:rPr>
            </w:pPr>
          </w:p>
        </w:tc>
        <w:tc>
          <w:tcPr>
            <w:tcW w:w="73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B524110">
            <w:pPr>
              <w:adjustRightInd w:val="0"/>
              <w:spacing w:line="320" w:lineRule="exact"/>
              <w:rPr>
                <w:rFonts w:hint="eastAsia" w:ascii="宋体" w:hAnsi="宋体" w:cs="宋体"/>
                <w:color w:val="auto"/>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CE1BA19">
            <w:pPr>
              <w:adjustRightInd w:val="0"/>
              <w:spacing w:line="320" w:lineRule="exact"/>
              <w:rPr>
                <w:rFonts w:hint="eastAsia" w:ascii="宋体" w:hAnsi="宋体" w:cs="宋体"/>
                <w:color w:val="auto"/>
                <w:szCs w:val="21"/>
                <w:highlight w:val="none"/>
              </w:rPr>
            </w:pPr>
          </w:p>
        </w:tc>
      </w:tr>
      <w:tr w14:paraId="44F937F2">
        <w:tblPrEx>
          <w:tblCellMar>
            <w:top w:w="0" w:type="dxa"/>
            <w:left w:w="0" w:type="dxa"/>
            <w:bottom w:w="0" w:type="dxa"/>
            <w:right w:w="0" w:type="dxa"/>
          </w:tblCellMar>
        </w:tblPrEx>
        <w:trPr>
          <w:trHeight w:val="702" w:hRule="exact"/>
          <w:jc w:val="center"/>
        </w:trPr>
        <w:tc>
          <w:tcPr>
            <w:tcW w:w="28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F9FC4C7">
            <w:pPr>
              <w:adjustRightInd w:val="0"/>
              <w:spacing w:line="32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89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751664A">
            <w:pPr>
              <w:adjustRightInd w:val="0"/>
              <w:spacing w:line="320" w:lineRule="exact"/>
              <w:rPr>
                <w:rFonts w:hint="eastAsia" w:ascii="宋体" w:hAnsi="宋体" w:cs="宋体"/>
                <w:color w:val="auto"/>
                <w:szCs w:val="21"/>
                <w:highlight w:val="none"/>
              </w:rPr>
            </w:pPr>
          </w:p>
        </w:tc>
        <w:tc>
          <w:tcPr>
            <w:tcW w:w="75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79C819D">
            <w:pPr>
              <w:adjustRightInd w:val="0"/>
              <w:spacing w:line="320" w:lineRule="exact"/>
              <w:rPr>
                <w:rFonts w:hint="eastAsia" w:ascii="宋体" w:hAnsi="宋体" w:cs="宋体"/>
                <w:color w:val="auto"/>
                <w:szCs w:val="21"/>
                <w:highlight w:val="none"/>
              </w:rPr>
            </w:pPr>
          </w:p>
        </w:tc>
        <w:tc>
          <w:tcPr>
            <w:tcW w:w="61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4ECD95B">
            <w:pPr>
              <w:adjustRightInd w:val="0"/>
              <w:spacing w:line="320" w:lineRule="exact"/>
              <w:rPr>
                <w:rFonts w:hint="eastAsia" w:ascii="宋体" w:hAnsi="宋体" w:cs="宋体"/>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E3EA54B">
            <w:pPr>
              <w:adjustRightInd w:val="0"/>
              <w:spacing w:line="320" w:lineRule="exact"/>
              <w:rPr>
                <w:rFonts w:hint="eastAsia" w:ascii="宋体" w:hAnsi="宋体" w:cs="宋体"/>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FAEDF7D">
            <w:pPr>
              <w:adjustRightInd w:val="0"/>
              <w:spacing w:line="320" w:lineRule="exact"/>
              <w:rPr>
                <w:rFonts w:hint="eastAsia" w:ascii="宋体" w:hAnsi="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20A5FA9">
            <w:pPr>
              <w:adjustRightInd w:val="0"/>
              <w:spacing w:line="320" w:lineRule="exact"/>
              <w:rPr>
                <w:rFonts w:hint="eastAsia" w:ascii="宋体" w:hAnsi="宋体" w:cs="宋体"/>
                <w:color w:val="auto"/>
                <w:szCs w:val="21"/>
                <w:highlight w:val="none"/>
              </w:rPr>
            </w:pPr>
          </w:p>
        </w:tc>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226ACF5">
            <w:pPr>
              <w:adjustRightInd w:val="0"/>
              <w:spacing w:line="320" w:lineRule="exact"/>
              <w:rPr>
                <w:rFonts w:hint="eastAsia" w:ascii="宋体" w:hAnsi="宋体" w:cs="宋体"/>
                <w:color w:val="auto"/>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6588951">
            <w:pPr>
              <w:adjustRightInd w:val="0"/>
              <w:spacing w:line="320" w:lineRule="exact"/>
              <w:rPr>
                <w:rFonts w:hint="eastAsia" w:ascii="宋体" w:hAnsi="宋体" w:cs="宋体"/>
                <w:color w:val="auto"/>
                <w:szCs w:val="21"/>
                <w:highlight w:val="none"/>
              </w:rPr>
            </w:pPr>
          </w:p>
        </w:tc>
      </w:tr>
      <w:tr w14:paraId="696BE7B7">
        <w:tblPrEx>
          <w:tblCellMar>
            <w:top w:w="0" w:type="dxa"/>
            <w:left w:w="0" w:type="dxa"/>
            <w:bottom w:w="0" w:type="dxa"/>
            <w:right w:w="0" w:type="dxa"/>
          </w:tblCellMar>
        </w:tblPrEx>
        <w:trPr>
          <w:trHeight w:val="733" w:hRule="exact"/>
          <w:jc w:val="center"/>
        </w:trPr>
        <w:tc>
          <w:tcPr>
            <w:tcW w:w="28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188C7A2">
            <w:pPr>
              <w:adjustRightInd w:val="0"/>
              <w:spacing w:line="320" w:lineRule="exact"/>
              <w:rPr>
                <w:rFonts w:hint="eastAsia" w:ascii="宋体" w:hAnsi="宋体" w:cs="宋体"/>
                <w:color w:val="auto"/>
                <w:szCs w:val="21"/>
                <w:highlight w:val="none"/>
              </w:rPr>
            </w:pPr>
          </w:p>
        </w:tc>
        <w:tc>
          <w:tcPr>
            <w:tcW w:w="89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D888F45">
            <w:pPr>
              <w:adjustRightInd w:val="0"/>
              <w:spacing w:line="320" w:lineRule="exact"/>
              <w:rPr>
                <w:rFonts w:hint="eastAsia" w:ascii="宋体" w:hAnsi="宋体" w:cs="宋体"/>
                <w:color w:val="auto"/>
                <w:szCs w:val="21"/>
                <w:highlight w:val="none"/>
              </w:rPr>
            </w:pPr>
          </w:p>
        </w:tc>
        <w:tc>
          <w:tcPr>
            <w:tcW w:w="75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76BC49B">
            <w:pPr>
              <w:adjustRightInd w:val="0"/>
              <w:spacing w:line="320" w:lineRule="exact"/>
              <w:rPr>
                <w:rFonts w:hint="eastAsia" w:ascii="宋体" w:hAnsi="宋体" w:cs="宋体"/>
                <w:color w:val="auto"/>
                <w:szCs w:val="21"/>
                <w:highlight w:val="none"/>
              </w:rPr>
            </w:pPr>
          </w:p>
        </w:tc>
        <w:tc>
          <w:tcPr>
            <w:tcW w:w="61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0365F6F">
            <w:pPr>
              <w:adjustRightInd w:val="0"/>
              <w:spacing w:line="320" w:lineRule="exact"/>
              <w:rPr>
                <w:rFonts w:hint="eastAsia" w:ascii="宋体" w:hAnsi="宋体" w:cs="宋体"/>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EB05DBB">
            <w:pPr>
              <w:adjustRightInd w:val="0"/>
              <w:spacing w:line="320" w:lineRule="exact"/>
              <w:rPr>
                <w:rFonts w:hint="eastAsia" w:ascii="宋体" w:hAnsi="宋体" w:cs="宋体"/>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340406D">
            <w:pPr>
              <w:adjustRightInd w:val="0"/>
              <w:spacing w:line="320" w:lineRule="exact"/>
              <w:rPr>
                <w:rFonts w:hint="eastAsia" w:ascii="宋体" w:hAnsi="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CB2E3CB">
            <w:pPr>
              <w:adjustRightInd w:val="0"/>
              <w:spacing w:line="320" w:lineRule="exact"/>
              <w:rPr>
                <w:rFonts w:hint="eastAsia" w:ascii="宋体" w:hAnsi="宋体" w:cs="宋体"/>
                <w:color w:val="auto"/>
                <w:szCs w:val="21"/>
                <w:highlight w:val="none"/>
              </w:rPr>
            </w:pPr>
          </w:p>
        </w:tc>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E8D97EB">
            <w:pPr>
              <w:adjustRightInd w:val="0"/>
              <w:spacing w:line="320" w:lineRule="exact"/>
              <w:rPr>
                <w:rFonts w:hint="eastAsia" w:ascii="宋体" w:hAnsi="宋体" w:cs="宋体"/>
                <w:color w:val="auto"/>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147B217">
            <w:pPr>
              <w:adjustRightInd w:val="0"/>
              <w:spacing w:line="320" w:lineRule="exact"/>
              <w:rPr>
                <w:rFonts w:hint="eastAsia" w:ascii="宋体" w:hAnsi="宋体" w:cs="宋体"/>
                <w:color w:val="auto"/>
                <w:szCs w:val="21"/>
                <w:highlight w:val="none"/>
              </w:rPr>
            </w:pPr>
          </w:p>
        </w:tc>
      </w:tr>
      <w:tr w14:paraId="15B2874D">
        <w:tblPrEx>
          <w:tblCellMar>
            <w:top w:w="0" w:type="dxa"/>
            <w:left w:w="0" w:type="dxa"/>
            <w:bottom w:w="0" w:type="dxa"/>
            <w:right w:w="0" w:type="dxa"/>
          </w:tblCellMar>
        </w:tblPrEx>
        <w:trPr>
          <w:trHeight w:val="679" w:hRule="exact"/>
          <w:jc w:val="center"/>
        </w:trPr>
        <w:tc>
          <w:tcPr>
            <w:tcW w:w="28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E02DC79">
            <w:pPr>
              <w:adjustRightInd w:val="0"/>
              <w:spacing w:line="320" w:lineRule="exact"/>
              <w:rPr>
                <w:rFonts w:hint="eastAsia" w:ascii="宋体" w:hAnsi="宋体" w:cs="宋体"/>
                <w:color w:val="auto"/>
                <w:szCs w:val="21"/>
                <w:highlight w:val="none"/>
              </w:rPr>
            </w:pPr>
          </w:p>
        </w:tc>
        <w:tc>
          <w:tcPr>
            <w:tcW w:w="89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E8BDCCC">
            <w:pPr>
              <w:adjustRightInd w:val="0"/>
              <w:spacing w:line="320" w:lineRule="exact"/>
              <w:rPr>
                <w:rFonts w:hint="eastAsia" w:ascii="宋体" w:hAnsi="宋体" w:cs="宋体"/>
                <w:color w:val="auto"/>
                <w:szCs w:val="21"/>
                <w:highlight w:val="none"/>
              </w:rPr>
            </w:pPr>
          </w:p>
        </w:tc>
        <w:tc>
          <w:tcPr>
            <w:tcW w:w="75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24B658D">
            <w:pPr>
              <w:adjustRightInd w:val="0"/>
              <w:spacing w:line="320" w:lineRule="exact"/>
              <w:rPr>
                <w:rFonts w:hint="eastAsia" w:ascii="宋体" w:hAnsi="宋体" w:cs="宋体"/>
                <w:color w:val="auto"/>
                <w:szCs w:val="21"/>
                <w:highlight w:val="none"/>
              </w:rPr>
            </w:pPr>
          </w:p>
        </w:tc>
        <w:tc>
          <w:tcPr>
            <w:tcW w:w="61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01147F5">
            <w:pPr>
              <w:adjustRightInd w:val="0"/>
              <w:spacing w:line="320" w:lineRule="exact"/>
              <w:rPr>
                <w:rFonts w:hint="eastAsia" w:ascii="宋体" w:hAnsi="宋体" w:cs="宋体"/>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B053422">
            <w:pPr>
              <w:pStyle w:val="47"/>
              <w:widowControl w:val="0"/>
              <w:overflowPunct/>
              <w:autoSpaceDE/>
              <w:autoSpaceDN/>
              <w:spacing w:before="0" w:beforeLines="0" w:line="320" w:lineRule="exact"/>
              <w:textAlignment w:val="auto"/>
              <w:rPr>
                <w:rFonts w:hint="eastAsia" w:ascii="宋体" w:hAnsi="宋体" w:cs="宋体"/>
                <w:color w:val="auto"/>
                <w:kern w:val="2"/>
                <w:sz w:val="21"/>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52E96CE">
            <w:pPr>
              <w:adjustRightInd w:val="0"/>
              <w:spacing w:line="320" w:lineRule="exact"/>
              <w:rPr>
                <w:rFonts w:hint="eastAsia" w:ascii="宋体" w:hAnsi="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AB2BA06">
            <w:pPr>
              <w:adjustRightInd w:val="0"/>
              <w:spacing w:line="320" w:lineRule="exact"/>
              <w:rPr>
                <w:rFonts w:hint="eastAsia" w:ascii="宋体" w:hAnsi="宋体" w:cs="宋体"/>
                <w:color w:val="auto"/>
                <w:szCs w:val="21"/>
                <w:highlight w:val="none"/>
              </w:rPr>
            </w:pPr>
          </w:p>
        </w:tc>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DC6AD24">
            <w:pPr>
              <w:adjustRightInd w:val="0"/>
              <w:spacing w:line="320" w:lineRule="exact"/>
              <w:rPr>
                <w:rFonts w:hint="eastAsia" w:ascii="宋体" w:hAnsi="宋体" w:cs="宋体"/>
                <w:color w:val="auto"/>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28E22D3">
            <w:pPr>
              <w:adjustRightInd w:val="0"/>
              <w:spacing w:line="320" w:lineRule="exact"/>
              <w:rPr>
                <w:rFonts w:hint="eastAsia" w:ascii="宋体" w:hAnsi="宋体" w:cs="宋体"/>
                <w:color w:val="auto"/>
                <w:szCs w:val="21"/>
                <w:highlight w:val="none"/>
              </w:rPr>
            </w:pPr>
          </w:p>
        </w:tc>
      </w:tr>
      <w:tr w14:paraId="60ECAD91">
        <w:tblPrEx>
          <w:tblCellMar>
            <w:top w:w="0" w:type="dxa"/>
            <w:left w:w="0" w:type="dxa"/>
            <w:bottom w:w="0" w:type="dxa"/>
            <w:right w:w="0" w:type="dxa"/>
          </w:tblCellMar>
        </w:tblPrEx>
        <w:trPr>
          <w:trHeight w:val="725" w:hRule="exact"/>
          <w:jc w:val="center"/>
        </w:trPr>
        <w:tc>
          <w:tcPr>
            <w:tcW w:w="28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99A6E87">
            <w:pPr>
              <w:adjustRightInd w:val="0"/>
              <w:spacing w:line="320" w:lineRule="exact"/>
              <w:rPr>
                <w:rFonts w:hint="eastAsia" w:ascii="宋体" w:hAnsi="宋体" w:cs="宋体"/>
                <w:color w:val="auto"/>
                <w:szCs w:val="21"/>
                <w:highlight w:val="none"/>
              </w:rPr>
            </w:pPr>
          </w:p>
        </w:tc>
        <w:tc>
          <w:tcPr>
            <w:tcW w:w="89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F87619F">
            <w:pPr>
              <w:adjustRightInd w:val="0"/>
              <w:spacing w:line="320" w:lineRule="exact"/>
              <w:rPr>
                <w:rFonts w:hint="eastAsia" w:ascii="宋体" w:hAnsi="宋体" w:cs="宋体"/>
                <w:color w:val="auto"/>
                <w:szCs w:val="21"/>
                <w:highlight w:val="none"/>
              </w:rPr>
            </w:pPr>
          </w:p>
        </w:tc>
        <w:tc>
          <w:tcPr>
            <w:tcW w:w="75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E264E91">
            <w:pPr>
              <w:adjustRightInd w:val="0"/>
              <w:spacing w:line="320" w:lineRule="exact"/>
              <w:rPr>
                <w:rFonts w:hint="eastAsia" w:ascii="宋体" w:hAnsi="宋体" w:cs="宋体"/>
                <w:color w:val="auto"/>
                <w:szCs w:val="21"/>
                <w:highlight w:val="none"/>
              </w:rPr>
            </w:pPr>
          </w:p>
        </w:tc>
        <w:tc>
          <w:tcPr>
            <w:tcW w:w="61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8824AFC">
            <w:pPr>
              <w:adjustRightInd w:val="0"/>
              <w:spacing w:line="320" w:lineRule="exact"/>
              <w:rPr>
                <w:rFonts w:hint="eastAsia" w:ascii="宋体" w:hAnsi="宋体" w:cs="宋体"/>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6B06249">
            <w:pPr>
              <w:adjustRightInd w:val="0"/>
              <w:spacing w:line="320" w:lineRule="exact"/>
              <w:rPr>
                <w:rFonts w:hint="eastAsia" w:ascii="宋体" w:hAnsi="宋体" w:cs="宋体"/>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137647A">
            <w:pPr>
              <w:adjustRightInd w:val="0"/>
              <w:spacing w:line="320" w:lineRule="exact"/>
              <w:rPr>
                <w:rFonts w:hint="eastAsia" w:ascii="宋体" w:hAnsi="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81BCD9F">
            <w:pPr>
              <w:adjustRightInd w:val="0"/>
              <w:spacing w:line="320" w:lineRule="exact"/>
              <w:rPr>
                <w:rFonts w:hint="eastAsia" w:ascii="宋体" w:hAnsi="宋体" w:cs="宋体"/>
                <w:color w:val="auto"/>
                <w:szCs w:val="21"/>
                <w:highlight w:val="none"/>
              </w:rPr>
            </w:pPr>
          </w:p>
        </w:tc>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A3384CB">
            <w:pPr>
              <w:adjustRightInd w:val="0"/>
              <w:spacing w:line="320" w:lineRule="exact"/>
              <w:rPr>
                <w:rFonts w:hint="eastAsia" w:ascii="宋体" w:hAnsi="宋体" w:cs="宋体"/>
                <w:color w:val="auto"/>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21CD27C">
            <w:pPr>
              <w:adjustRightInd w:val="0"/>
              <w:spacing w:line="320" w:lineRule="exact"/>
              <w:rPr>
                <w:rFonts w:hint="eastAsia" w:ascii="宋体" w:hAnsi="宋体" w:cs="宋体"/>
                <w:color w:val="auto"/>
                <w:szCs w:val="21"/>
                <w:highlight w:val="none"/>
              </w:rPr>
            </w:pPr>
          </w:p>
        </w:tc>
      </w:tr>
    </w:tbl>
    <w:p w14:paraId="359AA83F">
      <w:pPr>
        <w:shd w:val="clear" w:color="auto" w:fill="FFFFFF"/>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pacing w:val="8"/>
          <w:highlight w:val="none"/>
        </w:rPr>
        <w:t>电子</w:t>
      </w:r>
      <w:r>
        <w:rPr>
          <w:rFonts w:hint="eastAsia" w:ascii="宋体" w:hAnsi="宋体" w:cs="宋体"/>
          <w:color w:val="auto"/>
          <w:spacing w:val="8"/>
          <w:highlight w:val="none"/>
          <w:lang w:val="en-US" w:eastAsia="zh-CN"/>
        </w:rPr>
        <w:t>印</w:t>
      </w:r>
      <w:r>
        <w:rPr>
          <w:rFonts w:hint="eastAsia" w:ascii="宋体" w:hAnsi="宋体" w:eastAsia="宋体" w:cs="宋体"/>
          <w:color w:val="auto"/>
          <w:spacing w:val="8"/>
          <w:highlight w:val="none"/>
        </w:rPr>
        <w:t>章</w:t>
      </w:r>
      <w:r>
        <w:rPr>
          <w:rFonts w:hint="eastAsia" w:ascii="宋体" w:hAnsi="宋体" w:eastAsia="宋体" w:cs="宋体"/>
          <w:color w:val="auto"/>
          <w:szCs w:val="21"/>
          <w:highlight w:val="none"/>
        </w:rPr>
        <w:t>）：</w:t>
      </w:r>
    </w:p>
    <w:p w14:paraId="1F96C8F3">
      <w:pPr>
        <w:shd w:val="clear" w:color="auto" w:fill="FFFFFF"/>
        <w:spacing w:line="48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87FA734">
      <w:pPr>
        <w:adjustRightInd w:val="0"/>
        <w:spacing w:line="320" w:lineRule="exact"/>
        <w:ind w:firstLine="361" w:firstLineChars="200"/>
        <w:rPr>
          <w:rFonts w:hint="eastAsia" w:ascii="宋体" w:hAnsi="宋体" w:cs="宋体"/>
          <w:b/>
          <w:color w:val="auto"/>
          <w:sz w:val="18"/>
          <w:szCs w:val="18"/>
          <w:highlight w:val="none"/>
        </w:rPr>
      </w:pPr>
      <w:r>
        <w:rPr>
          <w:rFonts w:hint="eastAsia" w:ascii="宋体" w:hAnsi="宋体" w:cs="宋体"/>
          <w:b/>
          <w:color w:val="auto"/>
          <w:sz w:val="18"/>
          <w:szCs w:val="18"/>
          <w:highlight w:val="none"/>
        </w:rPr>
        <w:t>说明：</w:t>
      </w:r>
    </w:p>
    <w:p w14:paraId="678AC318">
      <w:pPr>
        <w:adjustRightInd w:val="0"/>
        <w:spacing w:line="320" w:lineRule="exact"/>
        <w:ind w:firstLine="361" w:firstLineChars="200"/>
        <w:jc w:val="left"/>
        <w:rPr>
          <w:rFonts w:hint="eastAsia" w:ascii="宋体" w:hAnsi="宋体" w:cs="宋体"/>
          <w:b/>
          <w:color w:val="auto"/>
          <w:sz w:val="18"/>
          <w:szCs w:val="18"/>
          <w:highlight w:val="none"/>
        </w:rPr>
      </w:pPr>
      <w:r>
        <w:rPr>
          <w:rFonts w:hint="eastAsia" w:ascii="宋体" w:hAnsi="宋体" w:cs="宋体"/>
          <w:b/>
          <w:color w:val="auto"/>
          <w:sz w:val="18"/>
          <w:szCs w:val="18"/>
          <w:highlight w:val="none"/>
        </w:rPr>
        <w:t>1、本表所列岗位的所有管理人员的情况均应如实填写。可按以上格式扩展为多页填写，每一页均应加盖供应商单位</w:t>
      </w:r>
      <w:r>
        <w:rPr>
          <w:rFonts w:hint="eastAsia" w:ascii="宋体" w:hAnsi="宋体" w:cs="宋体"/>
          <w:b/>
          <w:color w:val="auto"/>
          <w:sz w:val="18"/>
          <w:szCs w:val="18"/>
          <w:highlight w:val="none"/>
          <w:lang w:val="en-US" w:eastAsia="zh-CN"/>
        </w:rPr>
        <w:t>电子印章</w:t>
      </w:r>
      <w:r>
        <w:rPr>
          <w:rFonts w:hint="eastAsia" w:ascii="宋体" w:hAnsi="宋体" w:cs="宋体"/>
          <w:b/>
          <w:color w:val="auto"/>
          <w:sz w:val="18"/>
          <w:szCs w:val="18"/>
          <w:highlight w:val="none"/>
        </w:rPr>
        <w:t>。</w:t>
      </w:r>
    </w:p>
    <w:p w14:paraId="11CB0FAA">
      <w:pPr>
        <w:shd w:val="clear" w:color="auto" w:fill="FFFFFF"/>
        <w:ind w:firstLine="361" w:firstLineChars="200"/>
        <w:jc w:val="left"/>
        <w:rPr>
          <w:rFonts w:hint="eastAsia" w:ascii="宋体" w:hAnsi="宋体" w:cs="宋体"/>
          <w:b/>
          <w:bCs/>
          <w:color w:val="auto"/>
          <w:sz w:val="24"/>
          <w:highlight w:val="none"/>
          <w:lang w:val="en-US" w:eastAsia="zh-CN"/>
        </w:rPr>
      </w:pPr>
      <w:r>
        <w:rPr>
          <w:rFonts w:hint="eastAsia" w:ascii="宋体" w:hAnsi="宋体" w:cs="宋体"/>
          <w:b/>
          <w:color w:val="auto"/>
          <w:sz w:val="18"/>
          <w:szCs w:val="18"/>
          <w:highlight w:val="none"/>
        </w:rPr>
        <w:t>2、本表后应附本表所列岗位的所有管理人员的身份证、相关证书</w:t>
      </w:r>
      <w:r>
        <w:rPr>
          <w:rFonts w:hint="eastAsia" w:ascii="宋体" w:hAnsi="宋体" w:cs="宋体"/>
          <w:b/>
          <w:color w:val="auto"/>
          <w:sz w:val="18"/>
          <w:szCs w:val="18"/>
          <w:highlight w:val="none"/>
          <w:lang w:eastAsia="zh-CN"/>
        </w:rPr>
        <w:t>（</w:t>
      </w:r>
      <w:r>
        <w:rPr>
          <w:rFonts w:hint="eastAsia" w:ascii="宋体" w:hAnsi="宋体" w:cs="宋体"/>
          <w:b/>
          <w:color w:val="auto"/>
          <w:sz w:val="18"/>
          <w:szCs w:val="18"/>
          <w:highlight w:val="none"/>
          <w:lang w:val="en-US" w:eastAsia="zh-CN"/>
        </w:rPr>
        <w:t>如有</w:t>
      </w:r>
      <w:r>
        <w:rPr>
          <w:rFonts w:hint="eastAsia" w:ascii="宋体" w:hAnsi="宋体" w:cs="宋体"/>
          <w:b/>
          <w:color w:val="auto"/>
          <w:sz w:val="18"/>
          <w:szCs w:val="18"/>
          <w:highlight w:val="none"/>
          <w:lang w:eastAsia="zh-CN"/>
        </w:rPr>
        <w:t>）</w:t>
      </w:r>
      <w:r>
        <w:rPr>
          <w:rFonts w:hint="eastAsia" w:ascii="宋体" w:hAnsi="宋体" w:cs="宋体"/>
          <w:b/>
          <w:color w:val="auto"/>
          <w:sz w:val="18"/>
          <w:szCs w:val="18"/>
          <w:highlight w:val="none"/>
        </w:rPr>
        <w:t>的复印件，项目经理还须附上资格审查条件所要求其他相关证书（如建造师注册证书、安全生产考核合格证书等）的复印件，复印件均需加盖供应商</w:t>
      </w:r>
      <w:r>
        <w:rPr>
          <w:rFonts w:hint="eastAsia" w:ascii="宋体" w:hAnsi="宋体" w:cs="宋体"/>
          <w:b/>
          <w:color w:val="auto"/>
          <w:sz w:val="18"/>
          <w:szCs w:val="18"/>
          <w:highlight w:val="none"/>
          <w:lang w:val="en-US" w:eastAsia="zh-CN"/>
        </w:rPr>
        <w:t>电子印章</w:t>
      </w:r>
      <w:r>
        <w:rPr>
          <w:rFonts w:hint="eastAsia" w:ascii="宋体" w:hAnsi="宋体" w:cs="宋体"/>
          <w:b/>
          <w:color w:val="auto"/>
          <w:sz w:val="18"/>
          <w:szCs w:val="18"/>
          <w:highlight w:val="none"/>
        </w:rPr>
        <w:t>。</w:t>
      </w:r>
    </w:p>
    <w:p w14:paraId="3DBB8F0B">
      <w:pPr>
        <w:shd w:val="clear" w:color="auto" w:fill="FFFFFF"/>
        <w:ind w:firstLine="482" w:firstLineChars="200"/>
        <w:jc w:val="center"/>
        <w:rPr>
          <w:rFonts w:hint="eastAsia" w:ascii="宋体" w:hAnsi="宋体" w:eastAsia="宋体" w:cs="宋体"/>
          <w:b/>
          <w:bCs/>
          <w:color w:val="auto"/>
          <w:sz w:val="24"/>
          <w:highlight w:val="none"/>
        </w:rPr>
      </w:pPr>
    </w:p>
    <w:p w14:paraId="414A0D68">
      <w:pPr>
        <w:shd w:val="clear" w:color="auto" w:fill="FFFFFF"/>
        <w:ind w:firstLine="482" w:firstLineChars="200"/>
        <w:jc w:val="center"/>
        <w:rPr>
          <w:rFonts w:hint="eastAsia" w:ascii="宋体" w:hAnsi="宋体" w:eastAsia="宋体" w:cs="宋体"/>
          <w:b/>
          <w:bCs/>
          <w:color w:val="auto"/>
          <w:sz w:val="24"/>
          <w:highlight w:val="none"/>
        </w:rPr>
      </w:pPr>
    </w:p>
    <w:p w14:paraId="4D8CBB0F">
      <w:pPr>
        <w:shd w:val="clear" w:color="auto" w:fill="FFFFFF"/>
        <w:ind w:firstLine="482" w:firstLineChars="200"/>
        <w:jc w:val="center"/>
        <w:rPr>
          <w:rFonts w:hint="eastAsia" w:ascii="宋体" w:hAnsi="宋体" w:eastAsia="宋体" w:cs="宋体"/>
          <w:b/>
          <w:bCs/>
          <w:color w:val="auto"/>
          <w:sz w:val="24"/>
          <w:highlight w:val="none"/>
        </w:rPr>
      </w:pPr>
    </w:p>
    <w:p w14:paraId="65B1A353">
      <w:pPr>
        <w:shd w:val="clear" w:color="auto" w:fill="FFFFFF"/>
        <w:ind w:firstLine="482" w:firstLineChars="200"/>
        <w:jc w:val="both"/>
        <w:rPr>
          <w:rFonts w:hint="eastAsia" w:ascii="宋体" w:hAnsi="宋体" w:eastAsia="宋体" w:cs="宋体"/>
          <w:b/>
          <w:bCs/>
          <w:color w:val="auto"/>
          <w:sz w:val="24"/>
          <w:highlight w:val="none"/>
        </w:rPr>
      </w:pPr>
    </w:p>
    <w:p w14:paraId="312E9532">
      <w:pPr>
        <w:shd w:val="clear" w:color="auto" w:fill="FFFFFF"/>
        <w:ind w:firstLine="482" w:firstLineChars="200"/>
        <w:jc w:val="both"/>
        <w:rPr>
          <w:rFonts w:hint="eastAsia" w:ascii="宋体" w:hAnsi="宋体" w:eastAsia="宋体" w:cs="宋体"/>
          <w:b/>
          <w:bCs/>
          <w:color w:val="auto"/>
          <w:sz w:val="24"/>
          <w:highlight w:val="none"/>
        </w:rPr>
      </w:pP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除</w:t>
      </w:r>
      <w:r>
        <w:rPr>
          <w:rFonts w:hint="eastAsia" w:ascii="宋体" w:hAnsi="宋体" w:cs="宋体"/>
          <w:b/>
          <w:bCs/>
          <w:color w:val="auto"/>
          <w:sz w:val="24"/>
          <w:szCs w:val="24"/>
          <w:highlight w:val="none"/>
          <w:lang w:val="en-US" w:eastAsia="zh-CN"/>
        </w:rPr>
        <w:t>竞争性磋商</w:t>
      </w:r>
      <w:r>
        <w:rPr>
          <w:rFonts w:hint="eastAsia" w:ascii="宋体" w:hAnsi="宋体" w:cs="宋体"/>
          <w:b/>
          <w:bCs/>
          <w:color w:val="auto"/>
          <w:sz w:val="24"/>
          <w:szCs w:val="24"/>
          <w:highlight w:val="none"/>
        </w:rPr>
        <w:t>文件规定必须提供以外，供应商认为需要提供的</w:t>
      </w:r>
      <w:r>
        <w:rPr>
          <w:rFonts w:hint="eastAsia" w:ascii="宋体" w:hAnsi="宋体" w:cs="宋体"/>
          <w:b/>
          <w:bCs/>
          <w:color w:val="auto"/>
          <w:sz w:val="24"/>
          <w:szCs w:val="24"/>
          <w:highlight w:val="none"/>
          <w:lang w:eastAsia="zh-CN"/>
        </w:rPr>
        <w:t>其他</w:t>
      </w:r>
      <w:r>
        <w:rPr>
          <w:rFonts w:hint="eastAsia" w:ascii="宋体" w:hAnsi="宋体" w:cs="宋体"/>
          <w:b/>
          <w:bCs/>
          <w:color w:val="auto"/>
          <w:sz w:val="24"/>
          <w:szCs w:val="24"/>
          <w:highlight w:val="none"/>
        </w:rPr>
        <w:t>证明材料</w:t>
      </w:r>
      <w:r>
        <w:rPr>
          <w:rFonts w:hint="eastAsia" w:ascii="宋体" w:hAnsi="宋体" w:cs="宋体"/>
          <w:b/>
          <w:bCs/>
          <w:color w:val="auto"/>
          <w:sz w:val="24"/>
          <w:szCs w:val="24"/>
          <w:highlight w:val="none"/>
          <w:lang w:eastAsia="zh-CN"/>
        </w:rPr>
        <w:t>。</w:t>
      </w:r>
    </w:p>
    <w:p w14:paraId="532B6155">
      <w:pPr>
        <w:shd w:val="clear" w:color="auto" w:fill="FFFFFF"/>
        <w:ind w:firstLine="482" w:firstLineChars="200"/>
        <w:jc w:val="center"/>
        <w:rPr>
          <w:rFonts w:hint="eastAsia" w:ascii="宋体" w:hAnsi="宋体" w:eastAsia="宋体" w:cs="宋体"/>
          <w:b/>
          <w:bCs/>
          <w:color w:val="auto"/>
          <w:sz w:val="24"/>
          <w:highlight w:val="none"/>
        </w:rPr>
      </w:pPr>
    </w:p>
    <w:p w14:paraId="2C02BC87">
      <w:pPr>
        <w:shd w:val="clear" w:color="auto" w:fill="FFFFFF"/>
        <w:ind w:firstLine="482" w:firstLineChars="200"/>
        <w:jc w:val="center"/>
        <w:rPr>
          <w:rFonts w:hint="eastAsia" w:ascii="宋体" w:hAnsi="宋体" w:eastAsia="宋体" w:cs="宋体"/>
          <w:b/>
          <w:bCs/>
          <w:color w:val="auto"/>
          <w:sz w:val="24"/>
          <w:highlight w:val="none"/>
        </w:rPr>
      </w:pPr>
    </w:p>
    <w:p w14:paraId="0E4BBCBC">
      <w:pPr>
        <w:shd w:val="clear" w:color="auto" w:fill="FFFFFF"/>
        <w:ind w:firstLine="482" w:firstLineChars="200"/>
        <w:jc w:val="center"/>
        <w:rPr>
          <w:rFonts w:hint="eastAsia" w:ascii="宋体" w:hAnsi="宋体" w:eastAsia="宋体" w:cs="宋体"/>
          <w:b/>
          <w:bCs/>
          <w:color w:val="auto"/>
          <w:sz w:val="24"/>
          <w:highlight w:val="none"/>
        </w:rPr>
      </w:pPr>
    </w:p>
    <w:p w14:paraId="52614247">
      <w:pPr>
        <w:shd w:val="clear" w:color="auto" w:fill="FFFFFF"/>
        <w:ind w:firstLine="482" w:firstLineChars="200"/>
        <w:jc w:val="center"/>
        <w:rPr>
          <w:rFonts w:hint="eastAsia" w:ascii="宋体" w:hAnsi="宋体" w:eastAsia="宋体" w:cs="宋体"/>
          <w:b/>
          <w:bCs/>
          <w:color w:val="auto"/>
          <w:sz w:val="24"/>
          <w:highlight w:val="none"/>
        </w:rPr>
      </w:pPr>
    </w:p>
    <w:p w14:paraId="422BAF55">
      <w:pPr>
        <w:shd w:val="clear" w:color="auto" w:fill="FFFFFF"/>
        <w:ind w:firstLine="482" w:firstLineChars="200"/>
        <w:jc w:val="center"/>
        <w:rPr>
          <w:rFonts w:hint="eastAsia" w:ascii="宋体" w:hAnsi="宋体" w:eastAsia="宋体" w:cs="宋体"/>
          <w:b/>
          <w:bCs/>
          <w:color w:val="auto"/>
          <w:sz w:val="24"/>
          <w:highlight w:val="none"/>
        </w:rPr>
      </w:pPr>
    </w:p>
    <w:p w14:paraId="2A2955C7">
      <w:pPr>
        <w:shd w:val="clear" w:color="auto" w:fill="FFFFFF"/>
        <w:ind w:firstLine="482" w:firstLineChars="200"/>
        <w:jc w:val="center"/>
        <w:rPr>
          <w:rFonts w:hint="eastAsia" w:ascii="宋体" w:hAnsi="宋体" w:eastAsia="宋体" w:cs="宋体"/>
          <w:b/>
          <w:bCs/>
          <w:color w:val="auto"/>
          <w:sz w:val="24"/>
          <w:highlight w:val="none"/>
        </w:rPr>
      </w:pPr>
    </w:p>
    <w:p w14:paraId="17E838B0">
      <w:pPr>
        <w:shd w:val="clear" w:color="auto" w:fill="FFFFFF"/>
        <w:ind w:firstLine="482" w:firstLineChars="200"/>
        <w:jc w:val="center"/>
        <w:rPr>
          <w:rFonts w:hint="eastAsia" w:ascii="宋体" w:hAnsi="宋体" w:eastAsia="宋体" w:cs="宋体"/>
          <w:b/>
          <w:bCs/>
          <w:color w:val="auto"/>
          <w:sz w:val="24"/>
          <w:highlight w:val="none"/>
        </w:rPr>
      </w:pPr>
    </w:p>
    <w:p w14:paraId="4004D08D">
      <w:pPr>
        <w:shd w:val="clear" w:color="auto" w:fill="FFFFFF"/>
        <w:ind w:firstLine="482" w:firstLineChars="200"/>
        <w:jc w:val="center"/>
        <w:rPr>
          <w:rFonts w:hint="eastAsia" w:ascii="宋体" w:hAnsi="宋体" w:eastAsia="宋体" w:cs="宋体"/>
          <w:b/>
          <w:bCs/>
          <w:color w:val="auto"/>
          <w:sz w:val="24"/>
          <w:highlight w:val="none"/>
        </w:rPr>
      </w:pPr>
    </w:p>
    <w:p w14:paraId="5934445D">
      <w:pPr>
        <w:shd w:val="clear" w:color="auto" w:fill="FFFFFF"/>
        <w:ind w:firstLine="482" w:firstLineChars="200"/>
        <w:jc w:val="center"/>
        <w:rPr>
          <w:rFonts w:hint="eastAsia" w:ascii="宋体" w:hAnsi="宋体" w:eastAsia="宋体" w:cs="宋体"/>
          <w:b/>
          <w:bCs/>
          <w:color w:val="auto"/>
          <w:sz w:val="24"/>
          <w:highlight w:val="none"/>
        </w:rPr>
      </w:pPr>
    </w:p>
    <w:p w14:paraId="3698C367">
      <w:pPr>
        <w:shd w:val="clear" w:color="auto" w:fill="FFFFFF"/>
        <w:jc w:val="both"/>
        <w:rPr>
          <w:rFonts w:hint="eastAsia" w:ascii="宋体" w:hAnsi="宋体" w:eastAsia="宋体" w:cs="宋体"/>
          <w:b/>
          <w:bCs/>
          <w:color w:val="auto"/>
          <w:sz w:val="24"/>
          <w:highlight w:val="none"/>
        </w:rPr>
      </w:pPr>
    </w:p>
    <w:p w14:paraId="461F9DD6">
      <w:pPr>
        <w:shd w:val="clear" w:color="auto" w:fill="FFFFFF"/>
        <w:ind w:firstLine="482" w:firstLineChars="200"/>
        <w:jc w:val="center"/>
        <w:rPr>
          <w:rFonts w:hint="eastAsia" w:ascii="宋体" w:hAnsi="宋体" w:eastAsia="宋体" w:cs="宋体"/>
          <w:b/>
          <w:bCs/>
          <w:color w:val="auto"/>
          <w:sz w:val="24"/>
          <w:highlight w:val="none"/>
        </w:rPr>
      </w:pPr>
    </w:p>
    <w:p w14:paraId="43D446A1">
      <w:pPr>
        <w:shd w:val="clear" w:color="auto" w:fill="FFFFFF"/>
        <w:ind w:firstLine="482" w:firstLineChars="20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（桂建质【2015】16号文附件一）</w:t>
      </w:r>
    </w:p>
    <w:p w14:paraId="7EA5FBC7">
      <w:pPr>
        <w:shd w:val="clear" w:color="auto" w:fill="FFFFFF"/>
        <w:ind w:firstLine="562" w:firstLine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广西壮族自治区建筑工程安全防护、文明施工措施项目清单内容</w:t>
      </w:r>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5EC24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738" w:type="dxa"/>
            <w:noWrap w:val="0"/>
            <w:vAlign w:val="center"/>
          </w:tcPr>
          <w:p w14:paraId="2099BE79">
            <w:pPr>
              <w:pStyle w:val="44"/>
              <w:shd w:val="clear" w:color="auto" w:fill="FFFFFF"/>
              <w:spacing w:line="3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类别</w:t>
            </w:r>
          </w:p>
        </w:tc>
        <w:tc>
          <w:tcPr>
            <w:tcW w:w="2070" w:type="dxa"/>
            <w:gridSpan w:val="2"/>
            <w:noWrap w:val="0"/>
            <w:vAlign w:val="center"/>
          </w:tcPr>
          <w:p w14:paraId="6DC9F86A">
            <w:pPr>
              <w:pStyle w:val="44"/>
              <w:shd w:val="clear" w:color="auto" w:fill="FFFFFF"/>
              <w:spacing w:line="3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项目名称</w:t>
            </w:r>
          </w:p>
        </w:tc>
        <w:tc>
          <w:tcPr>
            <w:tcW w:w="6645" w:type="dxa"/>
            <w:noWrap w:val="0"/>
            <w:vAlign w:val="center"/>
          </w:tcPr>
          <w:p w14:paraId="14EDE4E4">
            <w:pPr>
              <w:pStyle w:val="44"/>
              <w:shd w:val="clear" w:color="auto" w:fill="FFFFFF"/>
              <w:spacing w:line="3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主要内容和要求</w:t>
            </w:r>
          </w:p>
        </w:tc>
      </w:tr>
      <w:tr w14:paraId="3C0D53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70E16AB6">
            <w:pPr>
              <w:pStyle w:val="44"/>
              <w:shd w:val="clear" w:color="auto" w:fill="FFFFFF"/>
              <w:spacing w:line="300" w:lineRule="exac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文明</w:t>
            </w:r>
          </w:p>
          <w:p w14:paraId="17A02A9C">
            <w:pPr>
              <w:pStyle w:val="44"/>
              <w:shd w:val="clear" w:color="auto" w:fill="FFFFFF"/>
              <w:spacing w:line="300" w:lineRule="exac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w:t>
            </w:r>
          </w:p>
          <w:p w14:paraId="36460BBF">
            <w:pPr>
              <w:pStyle w:val="44"/>
              <w:shd w:val="clear" w:color="auto" w:fill="FFFFFF"/>
              <w:spacing w:line="300" w:lineRule="exac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环境</w:t>
            </w:r>
          </w:p>
          <w:p w14:paraId="158BEF44">
            <w:pPr>
              <w:pStyle w:val="44"/>
              <w:shd w:val="clear" w:color="auto" w:fill="FFFFFF"/>
              <w:spacing w:line="300" w:lineRule="exac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保护</w:t>
            </w:r>
          </w:p>
        </w:tc>
        <w:tc>
          <w:tcPr>
            <w:tcW w:w="2070" w:type="dxa"/>
            <w:gridSpan w:val="2"/>
            <w:noWrap w:val="0"/>
            <w:vAlign w:val="center"/>
          </w:tcPr>
          <w:p w14:paraId="405EAF33">
            <w:pPr>
              <w:pStyle w:val="44"/>
              <w:shd w:val="clear" w:color="auto" w:fill="FFFFFF"/>
              <w:spacing w:line="300" w:lineRule="exact"/>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安全警示</w:t>
            </w:r>
          </w:p>
          <w:p w14:paraId="410F3FBE">
            <w:pPr>
              <w:pStyle w:val="44"/>
              <w:shd w:val="clear" w:color="auto" w:fill="FFFFFF"/>
              <w:spacing w:line="300" w:lineRule="exact"/>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标志牌</w:t>
            </w:r>
          </w:p>
        </w:tc>
        <w:tc>
          <w:tcPr>
            <w:tcW w:w="6645" w:type="dxa"/>
            <w:noWrap w:val="0"/>
            <w:vAlign w:val="center"/>
          </w:tcPr>
          <w:p w14:paraId="2A702C96">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在易发伤亡事故（或危险）处设置明显的、符合国家标准要求的安全警示标志牌。</w:t>
            </w:r>
          </w:p>
        </w:tc>
      </w:tr>
      <w:tr w14:paraId="51D329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CF96356">
            <w:pPr>
              <w:pStyle w:val="44"/>
              <w:shd w:val="clear" w:color="auto" w:fill="FFFFFF"/>
              <w:spacing w:line="300" w:lineRule="exact"/>
              <w:jc w:val="center"/>
              <w:rPr>
                <w:rFonts w:hint="eastAsia" w:ascii="宋体" w:hAnsi="宋体" w:eastAsia="宋体" w:cs="宋体"/>
                <w:color w:val="auto"/>
                <w:szCs w:val="21"/>
                <w:highlight w:val="none"/>
              </w:rPr>
            </w:pPr>
          </w:p>
        </w:tc>
        <w:tc>
          <w:tcPr>
            <w:tcW w:w="2070" w:type="dxa"/>
            <w:gridSpan w:val="2"/>
            <w:noWrap w:val="0"/>
            <w:vAlign w:val="center"/>
          </w:tcPr>
          <w:p w14:paraId="68A4724E">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现场围挡</w:t>
            </w:r>
          </w:p>
        </w:tc>
        <w:tc>
          <w:tcPr>
            <w:tcW w:w="6645" w:type="dxa"/>
            <w:noWrap w:val="0"/>
            <w:vAlign w:val="center"/>
          </w:tcPr>
          <w:p w14:paraId="40FDFB5B">
            <w:pPr>
              <w:pStyle w:val="44"/>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现场采用封闭围挡，高度不小于1.8m。</w:t>
            </w:r>
          </w:p>
          <w:p w14:paraId="0CF6A086">
            <w:pPr>
              <w:pStyle w:val="44"/>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围挡材料可用彩色、定型钢板，砌块等墙体。</w:t>
            </w:r>
          </w:p>
        </w:tc>
      </w:tr>
      <w:tr w14:paraId="596DCB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AA69C20">
            <w:pPr>
              <w:pStyle w:val="44"/>
              <w:shd w:val="clear" w:color="auto" w:fill="FFFFFF"/>
              <w:spacing w:line="300" w:lineRule="exact"/>
              <w:jc w:val="center"/>
              <w:rPr>
                <w:rFonts w:hint="eastAsia" w:ascii="宋体" w:hAnsi="宋体" w:eastAsia="宋体" w:cs="宋体"/>
                <w:color w:val="auto"/>
                <w:szCs w:val="21"/>
                <w:highlight w:val="none"/>
              </w:rPr>
            </w:pPr>
          </w:p>
        </w:tc>
        <w:tc>
          <w:tcPr>
            <w:tcW w:w="2070" w:type="dxa"/>
            <w:gridSpan w:val="2"/>
            <w:noWrap w:val="0"/>
            <w:vAlign w:val="center"/>
          </w:tcPr>
          <w:p w14:paraId="7572BDC2">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七牌二图</w:t>
            </w:r>
          </w:p>
        </w:tc>
        <w:tc>
          <w:tcPr>
            <w:tcW w:w="6645" w:type="dxa"/>
            <w:noWrap w:val="0"/>
            <w:vAlign w:val="center"/>
          </w:tcPr>
          <w:p w14:paraId="50BFC09E">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在进门处悬挂工程概况、现场出入制度、管理人员名单及监督电话、安全生产规定、文明施工、消防保卫、节能公示等七牌以及施工现场总平面图、工程效果图。</w:t>
            </w:r>
          </w:p>
        </w:tc>
      </w:tr>
      <w:tr w14:paraId="63A1EC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noWrap w:val="0"/>
            <w:vAlign w:val="center"/>
          </w:tcPr>
          <w:p w14:paraId="58D91E7A">
            <w:pPr>
              <w:pStyle w:val="44"/>
              <w:shd w:val="clear" w:color="auto" w:fill="FFFFFF"/>
              <w:spacing w:line="300" w:lineRule="exact"/>
              <w:jc w:val="center"/>
              <w:rPr>
                <w:rFonts w:hint="eastAsia" w:ascii="宋体" w:hAnsi="宋体" w:eastAsia="宋体" w:cs="宋体"/>
                <w:color w:val="auto"/>
                <w:szCs w:val="21"/>
                <w:highlight w:val="none"/>
              </w:rPr>
            </w:pPr>
          </w:p>
        </w:tc>
        <w:tc>
          <w:tcPr>
            <w:tcW w:w="2070" w:type="dxa"/>
            <w:gridSpan w:val="2"/>
            <w:noWrap w:val="0"/>
            <w:vAlign w:val="center"/>
          </w:tcPr>
          <w:p w14:paraId="3D3C60D9">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企业标志</w:t>
            </w:r>
          </w:p>
        </w:tc>
        <w:tc>
          <w:tcPr>
            <w:tcW w:w="6645" w:type="dxa"/>
            <w:noWrap w:val="0"/>
            <w:vAlign w:val="center"/>
          </w:tcPr>
          <w:p w14:paraId="0B716FF1">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现场出入的大门应设有本企业标志或企业标识。</w:t>
            </w:r>
          </w:p>
        </w:tc>
      </w:tr>
      <w:tr w14:paraId="10A906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8D3D0E7">
            <w:pPr>
              <w:pStyle w:val="44"/>
              <w:shd w:val="clear" w:color="auto" w:fill="FFFFFF"/>
              <w:spacing w:line="300" w:lineRule="exact"/>
              <w:jc w:val="center"/>
              <w:rPr>
                <w:rFonts w:hint="eastAsia" w:ascii="宋体" w:hAnsi="宋体" w:eastAsia="宋体" w:cs="宋体"/>
                <w:color w:val="auto"/>
                <w:szCs w:val="21"/>
                <w:highlight w:val="none"/>
              </w:rPr>
            </w:pPr>
          </w:p>
        </w:tc>
        <w:tc>
          <w:tcPr>
            <w:tcW w:w="2070" w:type="dxa"/>
            <w:gridSpan w:val="2"/>
            <w:noWrap w:val="0"/>
            <w:vAlign w:val="center"/>
          </w:tcPr>
          <w:p w14:paraId="46D4DB58">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场容场貌</w:t>
            </w:r>
          </w:p>
        </w:tc>
        <w:tc>
          <w:tcPr>
            <w:tcW w:w="6645" w:type="dxa"/>
            <w:noWrap w:val="0"/>
            <w:vAlign w:val="center"/>
          </w:tcPr>
          <w:p w14:paraId="6C1C2224">
            <w:pPr>
              <w:pStyle w:val="44"/>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道路畅通。</w:t>
            </w:r>
          </w:p>
          <w:p w14:paraId="6FFA4864">
            <w:pPr>
              <w:pStyle w:val="44"/>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排水设施齐全畅通。</w:t>
            </w:r>
          </w:p>
          <w:p w14:paraId="24595B55">
            <w:pPr>
              <w:pStyle w:val="44"/>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工地地面硬化处理（办公区、生活区、现场道路、材料堆放、混凝土搅拌、砂浆搅拌、钢筋加工等场地和外脚手架基础等）。</w:t>
            </w:r>
          </w:p>
        </w:tc>
      </w:tr>
      <w:tr w14:paraId="55ABA8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B6500B1">
            <w:pPr>
              <w:pStyle w:val="44"/>
              <w:shd w:val="clear" w:color="auto" w:fill="FFFFFF"/>
              <w:spacing w:line="300" w:lineRule="exact"/>
              <w:jc w:val="center"/>
              <w:rPr>
                <w:rFonts w:hint="eastAsia" w:ascii="宋体" w:hAnsi="宋体" w:eastAsia="宋体" w:cs="宋体"/>
                <w:color w:val="auto"/>
                <w:szCs w:val="21"/>
                <w:highlight w:val="none"/>
              </w:rPr>
            </w:pPr>
          </w:p>
        </w:tc>
        <w:tc>
          <w:tcPr>
            <w:tcW w:w="2070" w:type="dxa"/>
            <w:gridSpan w:val="2"/>
            <w:noWrap w:val="0"/>
            <w:vAlign w:val="center"/>
          </w:tcPr>
          <w:p w14:paraId="50A9A776">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材料堆放</w:t>
            </w:r>
          </w:p>
        </w:tc>
        <w:tc>
          <w:tcPr>
            <w:tcW w:w="6645" w:type="dxa"/>
            <w:noWrap w:val="0"/>
            <w:vAlign w:val="center"/>
          </w:tcPr>
          <w:p w14:paraId="1B8B162F">
            <w:pPr>
              <w:pStyle w:val="44"/>
              <w:numPr>
                <w:ilvl w:val="0"/>
                <w:numId w:val="16"/>
              </w:numPr>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材料、构件、料具等堆放时，应有名称、品种、规格等标牌。</w:t>
            </w:r>
          </w:p>
          <w:p w14:paraId="33FFFC4C">
            <w:pPr>
              <w:pStyle w:val="44"/>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水泥和其它易飞扬细颗粒建筑材料应封闭存放或采取覆盖等措施。</w:t>
            </w:r>
          </w:p>
          <w:p w14:paraId="63DE2F04">
            <w:pPr>
              <w:pStyle w:val="44"/>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易燃、易爆和有毒有害物品分类存放。</w:t>
            </w:r>
          </w:p>
        </w:tc>
      </w:tr>
      <w:tr w14:paraId="21E74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70D58DBB">
            <w:pPr>
              <w:pStyle w:val="44"/>
              <w:shd w:val="clear" w:color="auto" w:fill="FFFFFF"/>
              <w:spacing w:line="300" w:lineRule="exact"/>
              <w:jc w:val="center"/>
              <w:rPr>
                <w:rFonts w:hint="eastAsia" w:ascii="宋体" w:hAnsi="宋体" w:eastAsia="宋体" w:cs="宋体"/>
                <w:color w:val="auto"/>
                <w:szCs w:val="21"/>
                <w:highlight w:val="none"/>
              </w:rPr>
            </w:pPr>
          </w:p>
        </w:tc>
        <w:tc>
          <w:tcPr>
            <w:tcW w:w="2070" w:type="dxa"/>
            <w:gridSpan w:val="2"/>
            <w:noWrap w:val="0"/>
            <w:vAlign w:val="center"/>
          </w:tcPr>
          <w:p w14:paraId="6EFD8F54">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现场防火</w:t>
            </w:r>
          </w:p>
        </w:tc>
        <w:tc>
          <w:tcPr>
            <w:tcW w:w="6645" w:type="dxa"/>
            <w:noWrap w:val="0"/>
            <w:vAlign w:val="center"/>
          </w:tcPr>
          <w:p w14:paraId="3EEECEE8">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消防器材配置合理，符合消防要求。</w:t>
            </w:r>
          </w:p>
        </w:tc>
      </w:tr>
      <w:tr w14:paraId="254B8D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0FDE259A">
            <w:pPr>
              <w:pStyle w:val="44"/>
              <w:shd w:val="clear" w:color="auto" w:fill="FFFFFF"/>
              <w:spacing w:line="300" w:lineRule="exact"/>
              <w:jc w:val="center"/>
              <w:rPr>
                <w:rFonts w:hint="eastAsia" w:ascii="宋体" w:hAnsi="宋体" w:eastAsia="宋体" w:cs="宋体"/>
                <w:color w:val="auto"/>
                <w:szCs w:val="21"/>
                <w:highlight w:val="none"/>
              </w:rPr>
            </w:pPr>
          </w:p>
        </w:tc>
        <w:tc>
          <w:tcPr>
            <w:tcW w:w="2070" w:type="dxa"/>
            <w:gridSpan w:val="2"/>
            <w:noWrap w:val="0"/>
            <w:vAlign w:val="center"/>
          </w:tcPr>
          <w:p w14:paraId="54D446EF">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垃圾清运</w:t>
            </w:r>
          </w:p>
        </w:tc>
        <w:tc>
          <w:tcPr>
            <w:tcW w:w="6645" w:type="dxa"/>
            <w:noWrap w:val="0"/>
            <w:vAlign w:val="center"/>
          </w:tcPr>
          <w:p w14:paraId="7D960396">
            <w:pPr>
              <w:pStyle w:val="44"/>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施工现场应设置密闭式垃圾站，施工垃圾、生活垃圾应分类存放。</w:t>
            </w:r>
          </w:p>
          <w:p w14:paraId="15F9A6B9">
            <w:pPr>
              <w:pStyle w:val="44"/>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施工垃圾必须采用相应容器或管道运输。</w:t>
            </w:r>
          </w:p>
        </w:tc>
      </w:tr>
      <w:tr w14:paraId="1E972B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7C0C450">
            <w:pPr>
              <w:pStyle w:val="44"/>
              <w:shd w:val="clear" w:color="auto" w:fill="FFFFFF"/>
              <w:spacing w:line="300" w:lineRule="exact"/>
              <w:jc w:val="center"/>
              <w:rPr>
                <w:rFonts w:hint="eastAsia" w:ascii="宋体" w:hAnsi="宋体" w:eastAsia="宋体" w:cs="宋体"/>
                <w:color w:val="auto"/>
                <w:szCs w:val="21"/>
                <w:highlight w:val="none"/>
              </w:rPr>
            </w:pPr>
          </w:p>
        </w:tc>
        <w:tc>
          <w:tcPr>
            <w:tcW w:w="2070" w:type="dxa"/>
            <w:gridSpan w:val="2"/>
            <w:noWrap w:val="0"/>
            <w:vAlign w:val="center"/>
          </w:tcPr>
          <w:p w14:paraId="5AFDCCFD">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宣传栏、环保及不扰民措施</w:t>
            </w:r>
          </w:p>
        </w:tc>
        <w:tc>
          <w:tcPr>
            <w:tcW w:w="6645" w:type="dxa"/>
            <w:noWrap w:val="0"/>
            <w:vAlign w:val="center"/>
          </w:tcPr>
          <w:p w14:paraId="349FA40C">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宣传栏、安全宣传标语等，洗车（防止污染市区道路）、粉尘、噪声控制和排污（污水、废气）措施等。</w:t>
            </w:r>
          </w:p>
        </w:tc>
      </w:tr>
      <w:tr w14:paraId="26C46E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1DA1333E">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临时设施</w:t>
            </w:r>
          </w:p>
        </w:tc>
        <w:tc>
          <w:tcPr>
            <w:tcW w:w="2070" w:type="dxa"/>
            <w:gridSpan w:val="2"/>
            <w:noWrap w:val="0"/>
            <w:vAlign w:val="center"/>
          </w:tcPr>
          <w:p w14:paraId="232A7476">
            <w:pPr>
              <w:pStyle w:val="44"/>
              <w:shd w:val="clear" w:color="auto" w:fill="FFFFFF"/>
              <w:spacing w:line="300" w:lineRule="exact"/>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现场办公</w:t>
            </w:r>
          </w:p>
          <w:p w14:paraId="46A472EB">
            <w:pPr>
              <w:pStyle w:val="44"/>
              <w:shd w:val="clear" w:color="auto" w:fill="FFFFFF"/>
              <w:spacing w:line="300" w:lineRule="exact"/>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生活设施</w:t>
            </w:r>
          </w:p>
        </w:tc>
        <w:tc>
          <w:tcPr>
            <w:tcW w:w="6645" w:type="dxa"/>
            <w:noWrap w:val="0"/>
            <w:vAlign w:val="center"/>
          </w:tcPr>
          <w:p w14:paraId="132CDAD2">
            <w:pPr>
              <w:pStyle w:val="44"/>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施工现场办公、生活区与作业区分开设置，保持安全距离。</w:t>
            </w:r>
          </w:p>
          <w:p w14:paraId="4801C17A">
            <w:pPr>
              <w:pStyle w:val="44"/>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工地办公室、现场宿舍、食堂、厕所、饮水、沐浴、休息场所等符合卫生、消防安全要求。</w:t>
            </w:r>
          </w:p>
        </w:tc>
      </w:tr>
      <w:tr w14:paraId="7F5DD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FDAA333">
            <w:pPr>
              <w:pStyle w:val="44"/>
              <w:shd w:val="clear" w:color="auto" w:fill="FFFFFF"/>
              <w:spacing w:line="300" w:lineRule="exact"/>
              <w:jc w:val="center"/>
              <w:rPr>
                <w:rFonts w:hint="eastAsia" w:ascii="宋体" w:hAnsi="宋体" w:eastAsia="宋体" w:cs="宋体"/>
                <w:color w:val="auto"/>
                <w:szCs w:val="21"/>
                <w:highlight w:val="none"/>
              </w:rPr>
            </w:pPr>
          </w:p>
        </w:tc>
        <w:tc>
          <w:tcPr>
            <w:tcW w:w="525" w:type="dxa"/>
            <w:vMerge w:val="restart"/>
            <w:noWrap w:val="0"/>
            <w:vAlign w:val="center"/>
          </w:tcPr>
          <w:p w14:paraId="7703795E">
            <w:pPr>
              <w:pStyle w:val="44"/>
              <w:shd w:val="clear" w:color="auto" w:fill="FFFFFF"/>
              <w:spacing w:line="300" w:lineRule="exact"/>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施工现场</w:t>
            </w:r>
          </w:p>
          <w:p w14:paraId="5C488663">
            <w:pPr>
              <w:pStyle w:val="44"/>
              <w:shd w:val="clear" w:color="auto" w:fill="FFFFFF"/>
              <w:spacing w:line="300" w:lineRule="exact"/>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临时用电</w:t>
            </w:r>
          </w:p>
        </w:tc>
        <w:tc>
          <w:tcPr>
            <w:tcW w:w="1545" w:type="dxa"/>
            <w:noWrap w:val="0"/>
            <w:vAlign w:val="center"/>
          </w:tcPr>
          <w:p w14:paraId="44B6623A">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配电线路</w:t>
            </w:r>
          </w:p>
        </w:tc>
        <w:tc>
          <w:tcPr>
            <w:tcW w:w="6645" w:type="dxa"/>
            <w:noWrap w:val="0"/>
            <w:vAlign w:val="center"/>
          </w:tcPr>
          <w:p w14:paraId="7BB03D7D">
            <w:pPr>
              <w:pStyle w:val="44"/>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按照TN-S系统要求配备五芯电缆、四芯电缆和三芯电缆。</w:t>
            </w:r>
          </w:p>
          <w:p w14:paraId="3D848087">
            <w:pPr>
              <w:pStyle w:val="44"/>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按要求架设临时用电线路的电杆、横担、瓷夹、瓷瓶等，或电缆埋地的地沟。</w:t>
            </w:r>
          </w:p>
          <w:p w14:paraId="671FADE1">
            <w:pPr>
              <w:pStyle w:val="44"/>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对靠近施工现场的外电线路，设置木质、塑料等绝缘体的防护设施。</w:t>
            </w:r>
          </w:p>
        </w:tc>
      </w:tr>
      <w:tr w14:paraId="31635A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704A856">
            <w:pPr>
              <w:pStyle w:val="44"/>
              <w:shd w:val="clear" w:color="auto" w:fill="FFFFFF"/>
              <w:spacing w:line="300" w:lineRule="exact"/>
              <w:jc w:val="center"/>
              <w:rPr>
                <w:rFonts w:hint="eastAsia" w:ascii="宋体" w:hAnsi="宋体" w:eastAsia="宋体" w:cs="宋体"/>
                <w:color w:val="auto"/>
                <w:szCs w:val="21"/>
                <w:highlight w:val="none"/>
              </w:rPr>
            </w:pPr>
          </w:p>
        </w:tc>
        <w:tc>
          <w:tcPr>
            <w:tcW w:w="525" w:type="dxa"/>
            <w:vMerge w:val="continue"/>
            <w:noWrap w:val="0"/>
            <w:vAlign w:val="center"/>
          </w:tcPr>
          <w:p w14:paraId="5BB9014C">
            <w:pPr>
              <w:pStyle w:val="44"/>
              <w:shd w:val="clear" w:color="auto" w:fill="FFFFFF"/>
              <w:spacing w:line="300" w:lineRule="exact"/>
              <w:jc w:val="center"/>
              <w:rPr>
                <w:rFonts w:hint="eastAsia" w:ascii="宋体" w:hAnsi="宋体" w:eastAsia="宋体" w:cs="宋体"/>
                <w:color w:val="auto"/>
                <w:szCs w:val="21"/>
                <w:highlight w:val="none"/>
              </w:rPr>
            </w:pPr>
          </w:p>
        </w:tc>
        <w:tc>
          <w:tcPr>
            <w:tcW w:w="1545" w:type="dxa"/>
            <w:noWrap w:val="0"/>
            <w:vAlign w:val="center"/>
          </w:tcPr>
          <w:p w14:paraId="6D53F2F3">
            <w:pPr>
              <w:pStyle w:val="44"/>
              <w:shd w:val="clear" w:color="auto" w:fill="FFFFFF"/>
              <w:spacing w:line="300" w:lineRule="exact"/>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配电箱</w:t>
            </w:r>
          </w:p>
          <w:p w14:paraId="799819F9">
            <w:pPr>
              <w:pStyle w:val="44"/>
              <w:shd w:val="clear" w:color="auto" w:fill="FFFFFF"/>
              <w:spacing w:line="300" w:lineRule="exact"/>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开关箱</w:t>
            </w:r>
          </w:p>
        </w:tc>
        <w:tc>
          <w:tcPr>
            <w:tcW w:w="6645" w:type="dxa"/>
            <w:noWrap w:val="0"/>
            <w:vAlign w:val="center"/>
          </w:tcPr>
          <w:p w14:paraId="625C1430">
            <w:pPr>
              <w:pStyle w:val="44"/>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按三级配电要求，配备总配电箱、分配电箱、开关箱三类（铁质）标准电箱，开关箱应符合“一机、一箱、一闸、一漏”，三类电箱中的各类电器应是合格品。</w:t>
            </w:r>
          </w:p>
          <w:p w14:paraId="00DAFE1D">
            <w:pPr>
              <w:pStyle w:val="44"/>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按两级保护的要求，选取符合容量要求和质量合格的总配电箱和开关箱中的漏电保护器。</w:t>
            </w:r>
          </w:p>
          <w:p w14:paraId="2D327AC5">
            <w:pPr>
              <w:pStyle w:val="44"/>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对大型、落地式分配电箱、开关箱设置防护棚和通透式围挡。</w:t>
            </w:r>
          </w:p>
        </w:tc>
      </w:tr>
      <w:tr w14:paraId="276B93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noWrap w:val="0"/>
            <w:vAlign w:val="center"/>
          </w:tcPr>
          <w:p w14:paraId="43C862C4">
            <w:pPr>
              <w:pStyle w:val="44"/>
              <w:shd w:val="clear" w:color="auto" w:fill="FFFFFF"/>
              <w:spacing w:line="300" w:lineRule="exact"/>
              <w:jc w:val="center"/>
              <w:rPr>
                <w:rFonts w:hint="eastAsia" w:ascii="宋体" w:hAnsi="宋体" w:eastAsia="宋体" w:cs="宋体"/>
                <w:color w:val="auto"/>
                <w:szCs w:val="21"/>
                <w:highlight w:val="none"/>
              </w:rPr>
            </w:pPr>
          </w:p>
        </w:tc>
        <w:tc>
          <w:tcPr>
            <w:tcW w:w="525" w:type="dxa"/>
            <w:vMerge w:val="continue"/>
            <w:noWrap w:val="0"/>
            <w:vAlign w:val="center"/>
          </w:tcPr>
          <w:p w14:paraId="7E5592C4">
            <w:pPr>
              <w:pStyle w:val="44"/>
              <w:shd w:val="clear" w:color="auto" w:fill="FFFFFF"/>
              <w:spacing w:line="300" w:lineRule="exact"/>
              <w:jc w:val="center"/>
              <w:rPr>
                <w:rFonts w:hint="eastAsia" w:ascii="宋体" w:hAnsi="宋体" w:eastAsia="宋体" w:cs="宋体"/>
                <w:color w:val="auto"/>
                <w:szCs w:val="21"/>
                <w:highlight w:val="none"/>
              </w:rPr>
            </w:pPr>
          </w:p>
        </w:tc>
        <w:tc>
          <w:tcPr>
            <w:tcW w:w="1545" w:type="dxa"/>
            <w:noWrap w:val="0"/>
            <w:vAlign w:val="center"/>
          </w:tcPr>
          <w:p w14:paraId="2F0CE167">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接地装置</w:t>
            </w:r>
          </w:p>
        </w:tc>
        <w:tc>
          <w:tcPr>
            <w:tcW w:w="6645" w:type="dxa"/>
            <w:noWrap w:val="0"/>
            <w:vAlign w:val="center"/>
          </w:tcPr>
          <w:p w14:paraId="1E89F31C">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施工现场应设置不少于三处的重复接地装置。</w:t>
            </w:r>
          </w:p>
        </w:tc>
      </w:tr>
      <w:tr w14:paraId="3D096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noWrap w:val="0"/>
            <w:vAlign w:val="center"/>
          </w:tcPr>
          <w:p w14:paraId="30EADE30">
            <w:pPr>
              <w:pStyle w:val="44"/>
              <w:shd w:val="clear" w:color="auto" w:fill="FFFFFF"/>
              <w:spacing w:line="300" w:lineRule="exact"/>
              <w:jc w:val="center"/>
              <w:rPr>
                <w:rFonts w:hint="eastAsia" w:ascii="宋体" w:hAnsi="宋体" w:eastAsia="宋体" w:cs="宋体"/>
                <w:color w:val="auto"/>
                <w:szCs w:val="21"/>
                <w:highlight w:val="none"/>
              </w:rPr>
            </w:pPr>
          </w:p>
        </w:tc>
        <w:tc>
          <w:tcPr>
            <w:tcW w:w="525" w:type="dxa"/>
            <w:vMerge w:val="continue"/>
            <w:noWrap w:val="0"/>
            <w:vAlign w:val="center"/>
          </w:tcPr>
          <w:p w14:paraId="3EE56C45">
            <w:pPr>
              <w:pStyle w:val="44"/>
              <w:shd w:val="clear" w:color="auto" w:fill="FFFFFF"/>
              <w:spacing w:line="300" w:lineRule="exact"/>
              <w:jc w:val="center"/>
              <w:rPr>
                <w:rFonts w:hint="eastAsia" w:ascii="宋体" w:hAnsi="宋体" w:eastAsia="宋体" w:cs="宋体"/>
                <w:color w:val="auto"/>
                <w:szCs w:val="21"/>
                <w:highlight w:val="none"/>
              </w:rPr>
            </w:pPr>
          </w:p>
        </w:tc>
        <w:tc>
          <w:tcPr>
            <w:tcW w:w="1545" w:type="dxa"/>
            <w:noWrap w:val="0"/>
            <w:vAlign w:val="center"/>
          </w:tcPr>
          <w:p w14:paraId="33B73BC7">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现场变配电装置</w:t>
            </w:r>
          </w:p>
        </w:tc>
        <w:tc>
          <w:tcPr>
            <w:tcW w:w="6645" w:type="dxa"/>
            <w:noWrap w:val="0"/>
            <w:vAlign w:val="center"/>
          </w:tcPr>
          <w:p w14:paraId="2C1ACEDF">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总配电房建筑材料必须达到消防防火要求，室内做硬地坪、电缆沟。</w:t>
            </w:r>
          </w:p>
        </w:tc>
      </w:tr>
      <w:tr w14:paraId="3794C9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738" w:type="dxa"/>
            <w:noWrap w:val="0"/>
            <w:vAlign w:val="center"/>
          </w:tcPr>
          <w:p w14:paraId="38D6F070">
            <w:pPr>
              <w:pStyle w:val="44"/>
              <w:shd w:val="clear" w:color="auto" w:fill="FFFFFF"/>
              <w:spacing w:line="3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类别</w:t>
            </w:r>
          </w:p>
        </w:tc>
        <w:tc>
          <w:tcPr>
            <w:tcW w:w="2070" w:type="dxa"/>
            <w:gridSpan w:val="2"/>
            <w:noWrap w:val="0"/>
            <w:vAlign w:val="center"/>
          </w:tcPr>
          <w:p w14:paraId="146B9061">
            <w:pPr>
              <w:pStyle w:val="44"/>
              <w:shd w:val="clear" w:color="auto" w:fill="FFFFFF"/>
              <w:spacing w:line="3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项目名称</w:t>
            </w:r>
          </w:p>
        </w:tc>
        <w:tc>
          <w:tcPr>
            <w:tcW w:w="6645" w:type="dxa"/>
            <w:noWrap w:val="0"/>
            <w:vAlign w:val="center"/>
          </w:tcPr>
          <w:p w14:paraId="5A7321E7">
            <w:pPr>
              <w:pStyle w:val="44"/>
              <w:shd w:val="clear" w:color="auto" w:fill="FFFFFF"/>
              <w:spacing w:line="3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主要内容和要求</w:t>
            </w:r>
          </w:p>
        </w:tc>
      </w:tr>
      <w:tr w14:paraId="4AE820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29B7847E">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安全施工</w:t>
            </w:r>
          </w:p>
        </w:tc>
        <w:tc>
          <w:tcPr>
            <w:tcW w:w="525" w:type="dxa"/>
            <w:vMerge w:val="restart"/>
            <w:noWrap w:val="0"/>
            <w:vAlign w:val="center"/>
          </w:tcPr>
          <w:p w14:paraId="65D5E6D0">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高处作业防护</w:t>
            </w:r>
          </w:p>
        </w:tc>
        <w:tc>
          <w:tcPr>
            <w:tcW w:w="1545" w:type="dxa"/>
            <w:noWrap w:val="0"/>
            <w:vAlign w:val="center"/>
          </w:tcPr>
          <w:p w14:paraId="14CC0A78">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楼层、屋面、阳台等临边</w:t>
            </w:r>
          </w:p>
        </w:tc>
        <w:tc>
          <w:tcPr>
            <w:tcW w:w="6645" w:type="dxa"/>
            <w:noWrap w:val="0"/>
            <w:vAlign w:val="center"/>
          </w:tcPr>
          <w:p w14:paraId="672D5F26">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设两道防护栏杆和18cm高的踢脚板，用密目式安全立网全封闭。</w:t>
            </w:r>
          </w:p>
        </w:tc>
      </w:tr>
      <w:tr w14:paraId="205417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01D88BD0">
            <w:pPr>
              <w:pStyle w:val="44"/>
              <w:shd w:val="clear" w:color="auto" w:fill="FFFFFF"/>
              <w:spacing w:line="300" w:lineRule="exact"/>
              <w:jc w:val="center"/>
              <w:rPr>
                <w:rFonts w:hint="eastAsia" w:ascii="宋体" w:hAnsi="宋体" w:eastAsia="宋体" w:cs="宋体"/>
                <w:color w:val="auto"/>
                <w:szCs w:val="21"/>
                <w:highlight w:val="none"/>
              </w:rPr>
            </w:pPr>
          </w:p>
        </w:tc>
        <w:tc>
          <w:tcPr>
            <w:tcW w:w="525" w:type="dxa"/>
            <w:vMerge w:val="continue"/>
            <w:noWrap w:val="0"/>
            <w:vAlign w:val="center"/>
          </w:tcPr>
          <w:p w14:paraId="547E16E8">
            <w:pPr>
              <w:pStyle w:val="44"/>
              <w:shd w:val="clear" w:color="auto" w:fill="FFFFFF"/>
              <w:spacing w:line="300" w:lineRule="exact"/>
              <w:jc w:val="center"/>
              <w:rPr>
                <w:rFonts w:hint="eastAsia" w:ascii="宋体" w:hAnsi="宋体" w:eastAsia="宋体" w:cs="宋体"/>
                <w:color w:val="auto"/>
                <w:szCs w:val="21"/>
                <w:highlight w:val="none"/>
              </w:rPr>
            </w:pPr>
          </w:p>
        </w:tc>
        <w:tc>
          <w:tcPr>
            <w:tcW w:w="1545" w:type="dxa"/>
            <w:noWrap w:val="0"/>
            <w:vAlign w:val="center"/>
          </w:tcPr>
          <w:p w14:paraId="793CB10E">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通道口</w:t>
            </w:r>
          </w:p>
        </w:tc>
        <w:tc>
          <w:tcPr>
            <w:tcW w:w="6645" w:type="dxa"/>
            <w:noWrap w:val="0"/>
            <w:vAlign w:val="center"/>
          </w:tcPr>
          <w:p w14:paraId="37706323">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设防护棚，防护棚应为不小于5cm厚的木板或两道相距50cm的竹笆。两侧应沿栏杆架用密目式安全网封闭。</w:t>
            </w:r>
          </w:p>
        </w:tc>
      </w:tr>
      <w:tr w14:paraId="39D7FB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9C2D022">
            <w:pPr>
              <w:pStyle w:val="44"/>
              <w:shd w:val="clear" w:color="auto" w:fill="FFFFFF"/>
              <w:spacing w:line="300" w:lineRule="exact"/>
              <w:jc w:val="center"/>
              <w:rPr>
                <w:rFonts w:hint="eastAsia" w:ascii="宋体" w:hAnsi="宋体" w:eastAsia="宋体" w:cs="宋体"/>
                <w:color w:val="auto"/>
                <w:szCs w:val="21"/>
                <w:highlight w:val="none"/>
              </w:rPr>
            </w:pPr>
          </w:p>
        </w:tc>
        <w:tc>
          <w:tcPr>
            <w:tcW w:w="525" w:type="dxa"/>
            <w:vMerge w:val="continue"/>
            <w:noWrap w:val="0"/>
            <w:vAlign w:val="center"/>
          </w:tcPr>
          <w:p w14:paraId="05E606C0">
            <w:pPr>
              <w:pStyle w:val="44"/>
              <w:shd w:val="clear" w:color="auto" w:fill="FFFFFF"/>
              <w:spacing w:line="300" w:lineRule="exact"/>
              <w:jc w:val="center"/>
              <w:rPr>
                <w:rFonts w:hint="eastAsia" w:ascii="宋体" w:hAnsi="宋体" w:eastAsia="宋体" w:cs="宋体"/>
                <w:color w:val="auto"/>
                <w:szCs w:val="21"/>
                <w:highlight w:val="none"/>
              </w:rPr>
            </w:pPr>
          </w:p>
        </w:tc>
        <w:tc>
          <w:tcPr>
            <w:tcW w:w="1545" w:type="dxa"/>
            <w:noWrap w:val="0"/>
            <w:vAlign w:val="center"/>
          </w:tcPr>
          <w:p w14:paraId="77A6054C">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预留洞口</w:t>
            </w:r>
          </w:p>
        </w:tc>
        <w:tc>
          <w:tcPr>
            <w:tcW w:w="6645" w:type="dxa"/>
            <w:noWrap w:val="0"/>
            <w:vAlign w:val="center"/>
          </w:tcPr>
          <w:p w14:paraId="399685ED">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用硬质材料全封闭，短边超过1.5m长的洞口，除封闭外四周还应设有防护栏杆。</w:t>
            </w:r>
          </w:p>
        </w:tc>
      </w:tr>
      <w:tr w14:paraId="5AFA31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noWrap w:val="0"/>
            <w:vAlign w:val="center"/>
          </w:tcPr>
          <w:p w14:paraId="5542C162">
            <w:pPr>
              <w:pStyle w:val="44"/>
              <w:shd w:val="clear" w:color="auto" w:fill="FFFFFF"/>
              <w:spacing w:line="300" w:lineRule="exact"/>
              <w:jc w:val="center"/>
              <w:rPr>
                <w:rFonts w:hint="eastAsia" w:ascii="宋体" w:hAnsi="宋体" w:eastAsia="宋体" w:cs="宋体"/>
                <w:color w:val="auto"/>
                <w:szCs w:val="21"/>
                <w:highlight w:val="none"/>
              </w:rPr>
            </w:pPr>
          </w:p>
        </w:tc>
        <w:tc>
          <w:tcPr>
            <w:tcW w:w="525" w:type="dxa"/>
            <w:vMerge w:val="continue"/>
            <w:noWrap w:val="0"/>
            <w:vAlign w:val="center"/>
          </w:tcPr>
          <w:p w14:paraId="7A49DAC2">
            <w:pPr>
              <w:pStyle w:val="44"/>
              <w:shd w:val="clear" w:color="auto" w:fill="FFFFFF"/>
              <w:spacing w:line="300" w:lineRule="exact"/>
              <w:jc w:val="center"/>
              <w:rPr>
                <w:rFonts w:hint="eastAsia" w:ascii="宋体" w:hAnsi="宋体" w:eastAsia="宋体" w:cs="宋体"/>
                <w:color w:val="auto"/>
                <w:szCs w:val="21"/>
                <w:highlight w:val="none"/>
              </w:rPr>
            </w:pPr>
          </w:p>
        </w:tc>
        <w:tc>
          <w:tcPr>
            <w:tcW w:w="1545" w:type="dxa"/>
            <w:noWrap w:val="0"/>
            <w:vAlign w:val="center"/>
          </w:tcPr>
          <w:p w14:paraId="543211F7">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电梯井口</w:t>
            </w:r>
          </w:p>
        </w:tc>
        <w:tc>
          <w:tcPr>
            <w:tcW w:w="6645" w:type="dxa"/>
            <w:noWrap w:val="0"/>
            <w:vAlign w:val="center"/>
          </w:tcPr>
          <w:p w14:paraId="65D08A15">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设置定型化、工具化的防护门，在电梯井内每隔2层（不大于10m）设置一道水平防护。</w:t>
            </w:r>
          </w:p>
        </w:tc>
      </w:tr>
      <w:tr w14:paraId="53E52F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083F018D">
            <w:pPr>
              <w:pStyle w:val="44"/>
              <w:shd w:val="clear" w:color="auto" w:fill="FFFFFF"/>
              <w:spacing w:line="300" w:lineRule="exact"/>
              <w:jc w:val="center"/>
              <w:rPr>
                <w:rFonts w:hint="eastAsia" w:ascii="宋体" w:hAnsi="宋体" w:eastAsia="宋体" w:cs="宋体"/>
                <w:color w:val="auto"/>
                <w:szCs w:val="21"/>
                <w:highlight w:val="none"/>
              </w:rPr>
            </w:pPr>
          </w:p>
        </w:tc>
        <w:tc>
          <w:tcPr>
            <w:tcW w:w="525" w:type="dxa"/>
            <w:vMerge w:val="continue"/>
            <w:noWrap w:val="0"/>
            <w:vAlign w:val="center"/>
          </w:tcPr>
          <w:p w14:paraId="7F6EFC63">
            <w:pPr>
              <w:pStyle w:val="44"/>
              <w:shd w:val="clear" w:color="auto" w:fill="FFFFFF"/>
              <w:spacing w:line="300" w:lineRule="exact"/>
              <w:jc w:val="center"/>
              <w:rPr>
                <w:rFonts w:hint="eastAsia" w:ascii="宋体" w:hAnsi="宋体" w:eastAsia="宋体" w:cs="宋体"/>
                <w:color w:val="auto"/>
                <w:szCs w:val="21"/>
                <w:highlight w:val="none"/>
              </w:rPr>
            </w:pPr>
          </w:p>
        </w:tc>
        <w:tc>
          <w:tcPr>
            <w:tcW w:w="1545" w:type="dxa"/>
            <w:noWrap w:val="0"/>
            <w:vAlign w:val="center"/>
          </w:tcPr>
          <w:p w14:paraId="3D5B167E">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楼梯边</w:t>
            </w:r>
          </w:p>
        </w:tc>
        <w:tc>
          <w:tcPr>
            <w:tcW w:w="6645" w:type="dxa"/>
            <w:noWrap w:val="0"/>
            <w:vAlign w:val="center"/>
          </w:tcPr>
          <w:p w14:paraId="5ACA7F4E">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设1.2m高的定型化、工具化的防护栏，18cm高的踢脚板。</w:t>
            </w:r>
          </w:p>
        </w:tc>
      </w:tr>
      <w:tr w14:paraId="1B9B33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A4E604C">
            <w:pPr>
              <w:pStyle w:val="44"/>
              <w:shd w:val="clear" w:color="auto" w:fill="FFFFFF"/>
              <w:spacing w:line="300" w:lineRule="exact"/>
              <w:jc w:val="center"/>
              <w:rPr>
                <w:rFonts w:hint="eastAsia" w:ascii="宋体" w:hAnsi="宋体" w:eastAsia="宋体" w:cs="宋体"/>
                <w:color w:val="auto"/>
                <w:szCs w:val="21"/>
                <w:highlight w:val="none"/>
              </w:rPr>
            </w:pPr>
          </w:p>
        </w:tc>
        <w:tc>
          <w:tcPr>
            <w:tcW w:w="525" w:type="dxa"/>
            <w:vMerge w:val="continue"/>
            <w:noWrap w:val="0"/>
            <w:vAlign w:val="center"/>
          </w:tcPr>
          <w:p w14:paraId="161BA1A3">
            <w:pPr>
              <w:pStyle w:val="44"/>
              <w:shd w:val="clear" w:color="auto" w:fill="FFFFFF"/>
              <w:spacing w:line="300" w:lineRule="exact"/>
              <w:jc w:val="center"/>
              <w:rPr>
                <w:rFonts w:hint="eastAsia" w:ascii="宋体" w:hAnsi="宋体" w:eastAsia="宋体" w:cs="宋体"/>
                <w:color w:val="auto"/>
                <w:szCs w:val="21"/>
                <w:highlight w:val="none"/>
              </w:rPr>
            </w:pPr>
          </w:p>
        </w:tc>
        <w:tc>
          <w:tcPr>
            <w:tcW w:w="1545" w:type="dxa"/>
            <w:noWrap w:val="0"/>
            <w:vAlign w:val="center"/>
          </w:tcPr>
          <w:p w14:paraId="7F8F255A">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垂直方向交叉作业</w:t>
            </w:r>
          </w:p>
        </w:tc>
        <w:tc>
          <w:tcPr>
            <w:tcW w:w="6645" w:type="dxa"/>
            <w:noWrap w:val="0"/>
            <w:vAlign w:val="center"/>
          </w:tcPr>
          <w:p w14:paraId="229D0883">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设置防护隔离棚或其它设施。</w:t>
            </w:r>
          </w:p>
        </w:tc>
      </w:tr>
      <w:tr w14:paraId="429F26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9DF579E">
            <w:pPr>
              <w:pStyle w:val="44"/>
              <w:shd w:val="clear" w:color="auto" w:fill="FFFFFF"/>
              <w:spacing w:line="300" w:lineRule="exact"/>
              <w:jc w:val="center"/>
              <w:rPr>
                <w:rFonts w:hint="eastAsia" w:ascii="宋体" w:hAnsi="宋体" w:eastAsia="宋体" w:cs="宋体"/>
                <w:color w:val="auto"/>
                <w:szCs w:val="21"/>
                <w:highlight w:val="none"/>
              </w:rPr>
            </w:pPr>
          </w:p>
        </w:tc>
        <w:tc>
          <w:tcPr>
            <w:tcW w:w="525" w:type="dxa"/>
            <w:vMerge w:val="continue"/>
            <w:noWrap w:val="0"/>
            <w:vAlign w:val="center"/>
          </w:tcPr>
          <w:p w14:paraId="0020EDC4">
            <w:pPr>
              <w:pStyle w:val="44"/>
              <w:shd w:val="clear" w:color="auto" w:fill="FFFFFF"/>
              <w:spacing w:line="300" w:lineRule="exact"/>
              <w:jc w:val="center"/>
              <w:rPr>
                <w:rFonts w:hint="eastAsia" w:ascii="宋体" w:hAnsi="宋体" w:eastAsia="宋体" w:cs="宋体"/>
                <w:color w:val="auto"/>
                <w:szCs w:val="21"/>
                <w:highlight w:val="none"/>
              </w:rPr>
            </w:pPr>
          </w:p>
        </w:tc>
        <w:tc>
          <w:tcPr>
            <w:tcW w:w="1545" w:type="dxa"/>
            <w:noWrap w:val="0"/>
            <w:vAlign w:val="center"/>
          </w:tcPr>
          <w:p w14:paraId="698BFDFB">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高处作业</w:t>
            </w:r>
          </w:p>
        </w:tc>
        <w:tc>
          <w:tcPr>
            <w:tcW w:w="6645" w:type="dxa"/>
            <w:noWrap w:val="0"/>
            <w:vAlign w:val="center"/>
          </w:tcPr>
          <w:p w14:paraId="791C7E48">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有悬挂安全带的悬索或其它设施，有操作平台，有上下的梯子或其它形式的通道。</w:t>
            </w:r>
          </w:p>
        </w:tc>
      </w:tr>
      <w:tr w14:paraId="04D1D5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7FCF3E6">
            <w:pPr>
              <w:pStyle w:val="44"/>
              <w:shd w:val="clear" w:color="auto" w:fill="FFFFFF"/>
              <w:spacing w:line="300" w:lineRule="exact"/>
              <w:jc w:val="center"/>
              <w:rPr>
                <w:rFonts w:hint="eastAsia" w:ascii="宋体" w:hAnsi="宋体" w:eastAsia="宋体" w:cs="宋体"/>
                <w:color w:val="auto"/>
                <w:szCs w:val="21"/>
                <w:highlight w:val="none"/>
              </w:rPr>
            </w:pPr>
          </w:p>
        </w:tc>
        <w:tc>
          <w:tcPr>
            <w:tcW w:w="525" w:type="dxa"/>
            <w:vMerge w:val="continue"/>
            <w:noWrap w:val="0"/>
            <w:vAlign w:val="center"/>
          </w:tcPr>
          <w:p w14:paraId="7481CDFC">
            <w:pPr>
              <w:pStyle w:val="44"/>
              <w:shd w:val="clear" w:color="auto" w:fill="FFFFFF"/>
              <w:spacing w:line="300" w:lineRule="exact"/>
              <w:jc w:val="center"/>
              <w:rPr>
                <w:rFonts w:hint="eastAsia" w:ascii="宋体" w:hAnsi="宋体" w:eastAsia="宋体" w:cs="宋体"/>
                <w:color w:val="auto"/>
                <w:szCs w:val="21"/>
                <w:highlight w:val="none"/>
              </w:rPr>
            </w:pPr>
          </w:p>
        </w:tc>
        <w:tc>
          <w:tcPr>
            <w:tcW w:w="1545" w:type="dxa"/>
            <w:noWrap w:val="0"/>
            <w:vAlign w:val="center"/>
          </w:tcPr>
          <w:p w14:paraId="7B182393">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基坑、物料平台</w:t>
            </w:r>
          </w:p>
        </w:tc>
        <w:tc>
          <w:tcPr>
            <w:tcW w:w="6645" w:type="dxa"/>
            <w:noWrap w:val="0"/>
            <w:vAlign w:val="center"/>
          </w:tcPr>
          <w:p w14:paraId="70E243B0">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设1.2m高标准化的防护栏，用密目式安全立网封闭，悬挂标识。</w:t>
            </w:r>
          </w:p>
        </w:tc>
      </w:tr>
      <w:tr w14:paraId="635BB9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0086BCCF">
            <w:pPr>
              <w:pStyle w:val="44"/>
              <w:shd w:val="clear" w:color="auto" w:fill="FFFFFF"/>
              <w:spacing w:line="300" w:lineRule="exact"/>
              <w:jc w:val="center"/>
              <w:rPr>
                <w:rFonts w:hint="eastAsia" w:ascii="宋体" w:hAnsi="宋体" w:eastAsia="宋体" w:cs="宋体"/>
                <w:color w:val="auto"/>
                <w:szCs w:val="21"/>
                <w:highlight w:val="none"/>
              </w:rPr>
            </w:pPr>
          </w:p>
        </w:tc>
        <w:tc>
          <w:tcPr>
            <w:tcW w:w="2070" w:type="dxa"/>
            <w:gridSpan w:val="2"/>
            <w:noWrap w:val="0"/>
            <w:vAlign w:val="center"/>
          </w:tcPr>
          <w:p w14:paraId="58899056">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安全防护用品</w:t>
            </w:r>
          </w:p>
        </w:tc>
        <w:tc>
          <w:tcPr>
            <w:tcW w:w="6645" w:type="dxa"/>
            <w:noWrap w:val="0"/>
            <w:vAlign w:val="center"/>
          </w:tcPr>
          <w:p w14:paraId="47A401B5">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安全帽、安全带、特种作业人员（电工、焊工、架子工等）防护服装、用品等。</w:t>
            </w:r>
          </w:p>
        </w:tc>
      </w:tr>
      <w:tr w14:paraId="78B9F8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noWrap w:val="0"/>
            <w:vAlign w:val="center"/>
          </w:tcPr>
          <w:p w14:paraId="1D5B828B">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其它</w:t>
            </w:r>
          </w:p>
        </w:tc>
        <w:tc>
          <w:tcPr>
            <w:tcW w:w="525" w:type="dxa"/>
            <w:vMerge w:val="restart"/>
            <w:noWrap w:val="0"/>
            <w:vAlign w:val="center"/>
          </w:tcPr>
          <w:p w14:paraId="55BCEEBE">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机械设备防护</w:t>
            </w:r>
          </w:p>
        </w:tc>
        <w:tc>
          <w:tcPr>
            <w:tcW w:w="1545" w:type="dxa"/>
            <w:noWrap w:val="0"/>
            <w:vAlign w:val="center"/>
          </w:tcPr>
          <w:p w14:paraId="546E1DBC">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中小型机械</w:t>
            </w:r>
          </w:p>
        </w:tc>
        <w:tc>
          <w:tcPr>
            <w:tcW w:w="6645" w:type="dxa"/>
            <w:noWrap w:val="0"/>
            <w:vAlign w:val="center"/>
          </w:tcPr>
          <w:p w14:paraId="2D89D5D4">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设防护棚（同通道口防护并有防雨措施）。</w:t>
            </w:r>
          </w:p>
        </w:tc>
      </w:tr>
      <w:tr w14:paraId="2805A8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2822674">
            <w:pPr>
              <w:pStyle w:val="44"/>
              <w:shd w:val="clear" w:color="auto" w:fill="FFFFFF"/>
              <w:spacing w:line="300" w:lineRule="exact"/>
              <w:jc w:val="center"/>
              <w:rPr>
                <w:rFonts w:hint="eastAsia" w:ascii="宋体" w:hAnsi="宋体" w:eastAsia="宋体" w:cs="宋体"/>
                <w:color w:val="auto"/>
                <w:szCs w:val="21"/>
                <w:highlight w:val="none"/>
              </w:rPr>
            </w:pPr>
          </w:p>
        </w:tc>
        <w:tc>
          <w:tcPr>
            <w:tcW w:w="525" w:type="dxa"/>
            <w:vMerge w:val="continue"/>
            <w:noWrap w:val="0"/>
            <w:vAlign w:val="center"/>
          </w:tcPr>
          <w:p w14:paraId="26EBD264">
            <w:pPr>
              <w:pStyle w:val="44"/>
              <w:shd w:val="clear" w:color="auto" w:fill="FFFFFF"/>
              <w:spacing w:line="300" w:lineRule="exact"/>
              <w:jc w:val="center"/>
              <w:rPr>
                <w:rFonts w:hint="eastAsia" w:ascii="宋体" w:hAnsi="宋体" w:eastAsia="宋体" w:cs="宋体"/>
                <w:color w:val="auto"/>
                <w:szCs w:val="21"/>
                <w:highlight w:val="none"/>
              </w:rPr>
            </w:pPr>
          </w:p>
        </w:tc>
        <w:tc>
          <w:tcPr>
            <w:tcW w:w="1545" w:type="dxa"/>
            <w:noWrap w:val="0"/>
            <w:vAlign w:val="center"/>
          </w:tcPr>
          <w:p w14:paraId="375F6F05">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垂直运输设备</w:t>
            </w:r>
          </w:p>
        </w:tc>
        <w:tc>
          <w:tcPr>
            <w:tcW w:w="6645" w:type="dxa"/>
            <w:noWrap w:val="0"/>
            <w:vAlign w:val="center"/>
          </w:tcPr>
          <w:p w14:paraId="40768CD2">
            <w:pPr>
              <w:pStyle w:val="44"/>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垂直运输设备检测、检验、日常维护、保养等。</w:t>
            </w:r>
          </w:p>
          <w:p w14:paraId="6C36BEDA">
            <w:pPr>
              <w:pStyle w:val="44"/>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物料提升机、施工电梯等物料平台搭设、外侧用密目式安全立网全封闭，有安全通道、安全防护门、防护棚等。</w:t>
            </w:r>
          </w:p>
        </w:tc>
      </w:tr>
      <w:tr w14:paraId="267EC7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3A2C27BC">
            <w:pPr>
              <w:pStyle w:val="44"/>
              <w:shd w:val="clear" w:color="auto" w:fill="FFFFFF"/>
              <w:spacing w:line="300" w:lineRule="exact"/>
              <w:jc w:val="center"/>
              <w:rPr>
                <w:rFonts w:hint="eastAsia" w:ascii="宋体" w:hAnsi="宋体" w:eastAsia="宋体" w:cs="宋体"/>
                <w:color w:val="auto"/>
                <w:szCs w:val="21"/>
                <w:highlight w:val="none"/>
              </w:rPr>
            </w:pPr>
          </w:p>
        </w:tc>
        <w:tc>
          <w:tcPr>
            <w:tcW w:w="2070" w:type="dxa"/>
            <w:gridSpan w:val="2"/>
            <w:noWrap w:val="0"/>
            <w:vAlign w:val="center"/>
          </w:tcPr>
          <w:p w14:paraId="22547872">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专家论证审查</w:t>
            </w:r>
          </w:p>
        </w:tc>
        <w:tc>
          <w:tcPr>
            <w:tcW w:w="6645" w:type="dxa"/>
            <w:noWrap w:val="0"/>
            <w:vAlign w:val="center"/>
          </w:tcPr>
          <w:p w14:paraId="24734AE3">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超过一定规模的危险性较大分部分项工程专家论证审查。</w:t>
            </w:r>
          </w:p>
        </w:tc>
      </w:tr>
      <w:tr w14:paraId="6C2792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294AB52D">
            <w:pPr>
              <w:pStyle w:val="44"/>
              <w:shd w:val="clear" w:color="auto" w:fill="FFFFFF"/>
              <w:spacing w:line="300" w:lineRule="exact"/>
              <w:jc w:val="center"/>
              <w:rPr>
                <w:rFonts w:hint="eastAsia" w:ascii="宋体" w:hAnsi="宋体" w:eastAsia="宋体" w:cs="宋体"/>
                <w:color w:val="auto"/>
                <w:szCs w:val="21"/>
                <w:highlight w:val="none"/>
              </w:rPr>
            </w:pPr>
          </w:p>
        </w:tc>
        <w:tc>
          <w:tcPr>
            <w:tcW w:w="2070" w:type="dxa"/>
            <w:gridSpan w:val="2"/>
            <w:noWrap w:val="0"/>
            <w:vAlign w:val="center"/>
          </w:tcPr>
          <w:p w14:paraId="5711216E">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应急救援预案</w:t>
            </w:r>
          </w:p>
        </w:tc>
        <w:tc>
          <w:tcPr>
            <w:tcW w:w="6645" w:type="dxa"/>
            <w:noWrap w:val="0"/>
            <w:vAlign w:val="center"/>
          </w:tcPr>
          <w:p w14:paraId="2ACC40D5">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救援器材准备及演练等。</w:t>
            </w:r>
          </w:p>
        </w:tc>
      </w:tr>
      <w:tr w14:paraId="027CB3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6BC5BF0">
            <w:pPr>
              <w:pStyle w:val="44"/>
              <w:shd w:val="clear" w:color="auto" w:fill="FFFFFF"/>
              <w:spacing w:line="300" w:lineRule="exact"/>
              <w:jc w:val="center"/>
              <w:rPr>
                <w:rFonts w:hint="eastAsia" w:ascii="宋体" w:hAnsi="宋体" w:eastAsia="宋体" w:cs="宋体"/>
                <w:color w:val="auto"/>
                <w:szCs w:val="21"/>
                <w:highlight w:val="none"/>
              </w:rPr>
            </w:pPr>
          </w:p>
        </w:tc>
        <w:tc>
          <w:tcPr>
            <w:tcW w:w="2070" w:type="dxa"/>
            <w:gridSpan w:val="2"/>
            <w:noWrap w:val="0"/>
            <w:vAlign w:val="center"/>
          </w:tcPr>
          <w:p w14:paraId="3CFAB41F">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非正常情况施工</w:t>
            </w:r>
          </w:p>
        </w:tc>
        <w:tc>
          <w:tcPr>
            <w:tcW w:w="6645" w:type="dxa"/>
            <w:noWrap w:val="0"/>
            <w:vAlign w:val="center"/>
          </w:tcPr>
          <w:p w14:paraId="46431164">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其它特殊情况下的防护费用，如：城市主干道、人流密集、河边等处施工及文物、古建筑、古树保护等。</w:t>
            </w:r>
          </w:p>
        </w:tc>
      </w:tr>
    </w:tbl>
    <w:p w14:paraId="4C753387">
      <w:pPr>
        <w:pStyle w:val="12"/>
        <w:shd w:val="clear" w:color="auto" w:fill="FFFFFF"/>
        <w:ind w:firstLine="422" w:firstLineChars="200"/>
        <w:jc w:val="center"/>
        <w:rPr>
          <w:rFonts w:hint="eastAsia" w:ascii="宋体" w:hAnsi="宋体" w:eastAsia="宋体" w:cs="宋体"/>
          <w:b/>
          <w:color w:val="auto"/>
          <w:highlight w:val="none"/>
        </w:rPr>
      </w:pPr>
      <w:r>
        <w:rPr>
          <w:rFonts w:hint="eastAsia" w:ascii="宋体" w:hAnsi="宋体" w:eastAsia="宋体" w:cs="宋体"/>
          <w:b/>
          <w:color w:val="auto"/>
          <w:highlight w:val="none"/>
        </w:rPr>
        <w:t>注：本表所列建筑工程安全防护、文明施工措施项目，是依据现行法律法规及标准规范确定的。如法律法规和标准规范修订，本表所列项目应按照修订后的法律法规和标准规范进行调整。</w:t>
      </w:r>
    </w:p>
    <w:p w14:paraId="1A19CE1F">
      <w:pPr>
        <w:rPr>
          <w:rFonts w:hint="eastAsia" w:ascii="宋体" w:hAnsi="宋体" w:eastAsia="宋体" w:cs="宋体"/>
          <w:b/>
          <w:color w:val="auto"/>
          <w:highlight w:val="none"/>
        </w:rPr>
      </w:pPr>
    </w:p>
    <w:p w14:paraId="5D790596">
      <w:pPr>
        <w:pStyle w:val="14"/>
        <w:rPr>
          <w:rFonts w:hint="eastAsia" w:ascii="宋体" w:hAnsi="宋体" w:eastAsia="宋体" w:cs="宋体"/>
          <w:b/>
          <w:color w:val="auto"/>
          <w:highlight w:val="none"/>
        </w:rPr>
      </w:pPr>
    </w:p>
    <w:p w14:paraId="0C4A483E">
      <w:pPr>
        <w:rPr>
          <w:rFonts w:hint="eastAsia" w:ascii="宋体" w:hAnsi="宋体" w:eastAsia="宋体" w:cs="宋体"/>
          <w:b/>
          <w:color w:val="auto"/>
          <w:highlight w:val="none"/>
        </w:rPr>
      </w:pPr>
    </w:p>
    <w:p w14:paraId="7D738E36">
      <w:pPr>
        <w:pStyle w:val="14"/>
        <w:rPr>
          <w:rFonts w:hint="eastAsia" w:ascii="宋体" w:hAnsi="宋体" w:eastAsia="宋体" w:cs="宋体"/>
          <w:b/>
          <w:color w:val="auto"/>
          <w:highlight w:val="none"/>
        </w:rPr>
      </w:pPr>
    </w:p>
    <w:p w14:paraId="2F56A3BE">
      <w:pPr>
        <w:rPr>
          <w:rFonts w:hint="eastAsia" w:ascii="宋体" w:hAnsi="宋体" w:eastAsia="宋体" w:cs="宋体"/>
          <w:b/>
          <w:color w:val="auto"/>
          <w:highlight w:val="none"/>
        </w:rPr>
      </w:pPr>
    </w:p>
    <w:p w14:paraId="4CF7692B">
      <w:pPr>
        <w:pStyle w:val="14"/>
        <w:rPr>
          <w:rFonts w:hint="eastAsia" w:ascii="宋体" w:hAnsi="宋体" w:eastAsia="宋体" w:cs="宋体"/>
          <w:b/>
          <w:color w:val="auto"/>
          <w:highlight w:val="none"/>
        </w:rPr>
      </w:pPr>
    </w:p>
    <w:p w14:paraId="6DC234DD">
      <w:pPr>
        <w:rPr>
          <w:rFonts w:hint="eastAsia" w:ascii="宋体" w:hAnsi="宋体" w:eastAsia="宋体" w:cs="宋体"/>
          <w:b/>
          <w:color w:val="auto"/>
          <w:highlight w:val="none"/>
        </w:rPr>
      </w:pPr>
    </w:p>
    <w:p w14:paraId="5560E7E5">
      <w:pPr>
        <w:pStyle w:val="14"/>
        <w:rPr>
          <w:rFonts w:hint="eastAsia" w:ascii="宋体" w:hAnsi="宋体" w:eastAsia="宋体" w:cs="宋体"/>
          <w:b/>
          <w:color w:val="auto"/>
          <w:highlight w:val="none"/>
        </w:rPr>
      </w:pPr>
    </w:p>
    <w:p w14:paraId="0C6AAE5F">
      <w:pPr>
        <w:rPr>
          <w:rFonts w:hint="eastAsia"/>
          <w:color w:val="auto"/>
        </w:rPr>
      </w:pPr>
    </w:p>
    <w:p w14:paraId="0A24D038">
      <w:pPr>
        <w:pStyle w:val="14"/>
        <w:rPr>
          <w:rFonts w:hint="eastAsia"/>
          <w:color w:val="auto"/>
        </w:rPr>
      </w:pPr>
    </w:p>
    <w:p w14:paraId="0D2F8549">
      <w:pPr>
        <w:numPr>
          <w:ilvl w:val="0"/>
          <w:numId w:val="17"/>
        </w:numPr>
        <w:shd w:val="clear" w:color="auto" w:fill="FFFFFF"/>
        <w:spacing w:line="600" w:lineRule="exact"/>
        <w:ind w:firstLine="723" w:firstLineChars="200"/>
        <w:jc w:val="center"/>
        <w:outlineLvl w:val="0"/>
        <w:rPr>
          <w:rFonts w:hint="eastAsia" w:ascii="宋体" w:hAnsi="宋体" w:eastAsia="宋体" w:cs="宋体"/>
          <w:b/>
          <w:color w:val="auto"/>
          <w:sz w:val="36"/>
          <w:szCs w:val="36"/>
          <w:highlight w:val="none"/>
        </w:rPr>
      </w:pPr>
      <w:bookmarkStart w:id="1221" w:name="_Toc2422"/>
      <w:bookmarkStart w:id="1222" w:name="OLE_LINK24"/>
      <w:r>
        <w:rPr>
          <w:rFonts w:hint="eastAsia" w:ascii="宋体" w:hAnsi="宋体" w:eastAsia="宋体" w:cs="宋体"/>
          <w:b/>
          <w:color w:val="auto"/>
          <w:sz w:val="36"/>
          <w:szCs w:val="36"/>
          <w:highlight w:val="none"/>
        </w:rPr>
        <w:t>工程量清单</w:t>
      </w:r>
      <w:bookmarkEnd w:id="1221"/>
    </w:p>
    <w:bookmarkEnd w:id="1222"/>
    <w:p w14:paraId="3BD41712">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jc w:val="both"/>
        <w:textAlignment w:val="auto"/>
        <w:outlineLvl w:val="0"/>
        <w:rPr>
          <w:rFonts w:hint="eastAsia" w:ascii="宋体" w:hAnsi="宋体" w:cs="宋体"/>
          <w:color w:val="auto"/>
          <w:sz w:val="24"/>
          <w:highlight w:val="yellow"/>
          <w:lang w:val="en-US" w:eastAsia="zh-CN"/>
        </w:rPr>
      </w:pPr>
      <w:bookmarkStart w:id="1223" w:name="_Toc29999"/>
    </w:p>
    <w:bookmarkEnd w:id="1223"/>
    <w:p w14:paraId="7A469A14">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643" w:firstLineChars="200"/>
        <w:jc w:val="center"/>
        <w:textAlignment w:val="auto"/>
        <w:outlineLvl w:val="0"/>
        <w:rPr>
          <w:rFonts w:hint="eastAsia" w:ascii="宋体" w:hAnsi="宋体" w:cs="宋体"/>
          <w:color w:val="auto"/>
          <w:sz w:val="24"/>
          <w:highlight w:val="yellow"/>
          <w:lang w:val="en-US" w:eastAsia="zh-CN"/>
        </w:rPr>
      </w:pP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另附</w:t>
      </w:r>
      <w:r>
        <w:rPr>
          <w:rFonts w:hint="eastAsia" w:ascii="宋体" w:hAnsi="宋体" w:eastAsia="宋体" w:cs="宋体"/>
          <w:b/>
          <w:color w:val="auto"/>
          <w:sz w:val="32"/>
          <w:szCs w:val="32"/>
          <w:highlight w:val="none"/>
          <w:lang w:eastAsia="zh-CN"/>
        </w:rPr>
        <w:t>）</w:t>
      </w:r>
    </w:p>
    <w:p w14:paraId="42418647">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jc w:val="both"/>
        <w:textAlignment w:val="auto"/>
        <w:outlineLvl w:val="0"/>
        <w:rPr>
          <w:rFonts w:hint="eastAsia" w:ascii="宋体" w:hAnsi="宋体" w:cs="宋体"/>
          <w:color w:val="auto"/>
          <w:sz w:val="24"/>
          <w:highlight w:val="yellow"/>
          <w:lang w:val="en-US" w:eastAsia="zh-CN"/>
        </w:rPr>
      </w:pPr>
    </w:p>
    <w:p w14:paraId="1B4F6FA3">
      <w:pPr>
        <w:pStyle w:val="2"/>
        <w:pageBreakBefore w:val="0"/>
        <w:widowControl w:val="0"/>
        <w:kinsoku/>
        <w:wordWrap/>
        <w:overflowPunct/>
        <w:topLinePunct w:val="0"/>
        <w:autoSpaceDE/>
        <w:autoSpaceDN/>
        <w:bidi w:val="0"/>
        <w:adjustRightInd/>
        <w:snapToGrid/>
        <w:spacing w:line="400" w:lineRule="exact"/>
        <w:ind w:firstLine="643" w:firstLineChars="200"/>
        <w:jc w:val="center"/>
        <w:textAlignment w:val="auto"/>
        <w:rPr>
          <w:rFonts w:hint="eastAsia" w:ascii="宋体" w:hAnsi="宋体" w:eastAsia="宋体" w:cs="宋体"/>
          <w:b/>
          <w:color w:val="auto"/>
          <w:sz w:val="32"/>
          <w:szCs w:val="32"/>
          <w:highlight w:val="none"/>
        </w:rPr>
      </w:pPr>
      <w:bookmarkStart w:id="1224" w:name="_Toc2377"/>
      <w:r>
        <w:rPr>
          <w:rFonts w:hint="eastAsia" w:ascii="宋体" w:hAnsi="宋体" w:eastAsia="宋体" w:cs="宋体"/>
          <w:b/>
          <w:color w:val="auto"/>
          <w:sz w:val="32"/>
          <w:szCs w:val="32"/>
          <w:highlight w:val="none"/>
          <w:lang w:val="en-US" w:eastAsia="zh-CN"/>
        </w:rPr>
        <w:t xml:space="preserve">第七章 </w:t>
      </w:r>
      <w:r>
        <w:rPr>
          <w:rFonts w:hint="eastAsia" w:ascii="宋体" w:hAnsi="宋体" w:eastAsia="宋体" w:cs="宋体"/>
          <w:b/>
          <w:color w:val="auto"/>
          <w:sz w:val="32"/>
          <w:szCs w:val="32"/>
          <w:highlight w:val="none"/>
        </w:rPr>
        <w:t>图纸</w:t>
      </w:r>
      <w:bookmarkEnd w:id="1224"/>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另附</w:t>
      </w:r>
      <w:r>
        <w:rPr>
          <w:rFonts w:hint="eastAsia" w:ascii="宋体" w:hAnsi="宋体" w:eastAsia="宋体" w:cs="宋体"/>
          <w:b/>
          <w:color w:val="auto"/>
          <w:sz w:val="32"/>
          <w:szCs w:val="32"/>
          <w:highlight w:val="none"/>
          <w:lang w:eastAsia="zh-CN"/>
        </w:rPr>
        <w:t>）</w:t>
      </w:r>
    </w:p>
    <w:p w14:paraId="3DA655C6">
      <w:pPr>
        <w:pStyle w:val="2"/>
        <w:pageBreakBefore w:val="0"/>
        <w:widowControl w:val="0"/>
        <w:kinsoku/>
        <w:wordWrap/>
        <w:overflowPunct/>
        <w:topLinePunct w:val="0"/>
        <w:autoSpaceDE/>
        <w:autoSpaceDN/>
        <w:bidi w:val="0"/>
        <w:adjustRightInd/>
        <w:snapToGrid/>
        <w:spacing w:line="400" w:lineRule="exact"/>
        <w:ind w:firstLine="643" w:firstLineChars="200"/>
        <w:jc w:val="center"/>
        <w:textAlignment w:val="auto"/>
        <w:rPr>
          <w:rFonts w:hint="eastAsia" w:ascii="宋体" w:hAnsi="宋体" w:eastAsia="宋体" w:cs="宋体"/>
          <w:b/>
          <w:color w:val="auto"/>
          <w:sz w:val="32"/>
          <w:szCs w:val="32"/>
          <w:highlight w:val="none"/>
        </w:rPr>
      </w:pPr>
      <w:bookmarkStart w:id="1225" w:name="_Toc29181"/>
    </w:p>
    <w:p w14:paraId="303B01EE">
      <w:pPr>
        <w:pStyle w:val="2"/>
        <w:pageBreakBefore w:val="0"/>
        <w:widowControl w:val="0"/>
        <w:kinsoku/>
        <w:wordWrap/>
        <w:overflowPunct/>
        <w:topLinePunct w:val="0"/>
        <w:autoSpaceDE/>
        <w:autoSpaceDN/>
        <w:bidi w:val="0"/>
        <w:adjustRightInd/>
        <w:snapToGrid/>
        <w:spacing w:line="400" w:lineRule="exact"/>
        <w:ind w:firstLine="643" w:firstLineChars="200"/>
        <w:jc w:val="center"/>
        <w:textAlignment w:val="auto"/>
        <w:rPr>
          <w:rFonts w:hint="eastAsia" w:ascii="宋体" w:hAnsi="宋体" w:eastAsia="宋体" w:cs="宋体"/>
          <w:b/>
          <w:color w:val="auto"/>
          <w:sz w:val="32"/>
          <w:szCs w:val="32"/>
          <w:highlight w:val="none"/>
        </w:rPr>
      </w:pPr>
    </w:p>
    <w:p w14:paraId="64E8A875">
      <w:pPr>
        <w:pStyle w:val="2"/>
        <w:pageBreakBefore w:val="0"/>
        <w:widowControl w:val="0"/>
        <w:kinsoku/>
        <w:wordWrap/>
        <w:overflowPunct/>
        <w:topLinePunct w:val="0"/>
        <w:autoSpaceDE/>
        <w:autoSpaceDN/>
        <w:bidi w:val="0"/>
        <w:adjustRightInd/>
        <w:snapToGrid/>
        <w:spacing w:line="400" w:lineRule="exact"/>
        <w:ind w:firstLine="643" w:firstLineChars="200"/>
        <w:jc w:val="center"/>
        <w:textAlignment w:val="auto"/>
        <w:rPr>
          <w:rFonts w:hint="eastAsia" w:ascii="宋体" w:hAnsi="宋体" w:eastAsia="宋体" w:cs="宋体"/>
          <w:b/>
          <w:color w:val="auto"/>
          <w:sz w:val="32"/>
          <w:szCs w:val="32"/>
          <w:highlight w:val="none"/>
        </w:rPr>
      </w:pPr>
    </w:p>
    <w:p w14:paraId="790B694D">
      <w:pPr>
        <w:pStyle w:val="2"/>
        <w:pageBreakBefore w:val="0"/>
        <w:widowControl w:val="0"/>
        <w:kinsoku/>
        <w:wordWrap/>
        <w:overflowPunct/>
        <w:topLinePunct w:val="0"/>
        <w:autoSpaceDE/>
        <w:autoSpaceDN/>
        <w:bidi w:val="0"/>
        <w:adjustRightInd/>
        <w:snapToGrid/>
        <w:spacing w:line="400" w:lineRule="exact"/>
        <w:ind w:firstLine="643" w:firstLineChars="200"/>
        <w:jc w:val="center"/>
        <w:textAlignment w:val="auto"/>
        <w:rPr>
          <w:rFonts w:hint="eastAsia" w:ascii="宋体" w:hAnsi="宋体" w:eastAsia="宋体" w:cs="宋体"/>
          <w:b/>
          <w:color w:val="auto"/>
          <w:sz w:val="32"/>
          <w:szCs w:val="32"/>
          <w:highlight w:val="none"/>
        </w:rPr>
      </w:pPr>
    </w:p>
    <w:p w14:paraId="6B400710">
      <w:pPr>
        <w:pStyle w:val="2"/>
        <w:pageBreakBefore w:val="0"/>
        <w:widowControl w:val="0"/>
        <w:kinsoku/>
        <w:wordWrap/>
        <w:overflowPunct/>
        <w:topLinePunct w:val="0"/>
        <w:autoSpaceDE/>
        <w:autoSpaceDN/>
        <w:bidi w:val="0"/>
        <w:adjustRightInd/>
        <w:snapToGrid/>
        <w:spacing w:line="400" w:lineRule="exact"/>
        <w:ind w:firstLine="643" w:firstLineChars="200"/>
        <w:jc w:val="center"/>
        <w:textAlignment w:val="auto"/>
        <w:rPr>
          <w:rFonts w:hint="eastAsia" w:ascii="宋体" w:hAnsi="宋体" w:eastAsia="宋体" w:cs="宋体"/>
          <w:b/>
          <w:color w:val="auto"/>
          <w:sz w:val="32"/>
          <w:szCs w:val="32"/>
          <w:highlight w:val="none"/>
        </w:rPr>
      </w:pPr>
    </w:p>
    <w:p w14:paraId="4D5EF556">
      <w:pPr>
        <w:pStyle w:val="2"/>
        <w:pageBreakBefore w:val="0"/>
        <w:widowControl w:val="0"/>
        <w:kinsoku/>
        <w:wordWrap/>
        <w:overflowPunct/>
        <w:topLinePunct w:val="0"/>
        <w:autoSpaceDE/>
        <w:autoSpaceDN/>
        <w:bidi w:val="0"/>
        <w:adjustRightInd/>
        <w:snapToGrid/>
        <w:spacing w:line="400" w:lineRule="exact"/>
        <w:ind w:firstLine="643" w:firstLineChars="200"/>
        <w:jc w:val="center"/>
        <w:textAlignment w:val="auto"/>
        <w:rPr>
          <w:rFonts w:hint="eastAsia" w:ascii="宋体" w:hAnsi="宋体" w:eastAsia="宋体" w:cs="宋体"/>
          <w:b/>
          <w:color w:val="auto"/>
          <w:sz w:val="32"/>
          <w:szCs w:val="32"/>
          <w:highlight w:val="none"/>
        </w:rPr>
      </w:pPr>
    </w:p>
    <w:p w14:paraId="0854AD9C">
      <w:pPr>
        <w:pStyle w:val="2"/>
        <w:pageBreakBefore w:val="0"/>
        <w:widowControl w:val="0"/>
        <w:kinsoku/>
        <w:wordWrap/>
        <w:overflowPunct/>
        <w:topLinePunct w:val="0"/>
        <w:autoSpaceDE/>
        <w:autoSpaceDN/>
        <w:bidi w:val="0"/>
        <w:adjustRightInd/>
        <w:snapToGrid/>
        <w:spacing w:line="400" w:lineRule="exact"/>
        <w:ind w:firstLine="643" w:firstLineChars="200"/>
        <w:jc w:val="center"/>
        <w:textAlignment w:val="auto"/>
        <w:rPr>
          <w:rFonts w:hint="eastAsia" w:ascii="宋体" w:hAnsi="宋体" w:eastAsia="宋体" w:cs="宋体"/>
          <w:b/>
          <w:color w:val="auto"/>
          <w:sz w:val="32"/>
          <w:szCs w:val="32"/>
          <w:highlight w:val="none"/>
        </w:rPr>
      </w:pPr>
    </w:p>
    <w:p w14:paraId="77E5D322">
      <w:pPr>
        <w:pStyle w:val="2"/>
        <w:pageBreakBefore w:val="0"/>
        <w:widowControl w:val="0"/>
        <w:kinsoku/>
        <w:wordWrap/>
        <w:overflowPunct/>
        <w:topLinePunct w:val="0"/>
        <w:autoSpaceDE/>
        <w:autoSpaceDN/>
        <w:bidi w:val="0"/>
        <w:adjustRightInd/>
        <w:snapToGrid/>
        <w:spacing w:line="400" w:lineRule="exact"/>
        <w:ind w:firstLine="643" w:firstLineChars="200"/>
        <w:jc w:val="center"/>
        <w:textAlignment w:val="auto"/>
        <w:rPr>
          <w:rFonts w:hint="eastAsia" w:ascii="宋体" w:hAnsi="宋体" w:eastAsia="宋体" w:cs="宋体"/>
          <w:b/>
          <w:color w:val="auto"/>
          <w:sz w:val="32"/>
          <w:szCs w:val="32"/>
          <w:highlight w:val="none"/>
        </w:rPr>
      </w:pPr>
    </w:p>
    <w:p w14:paraId="19592BEC">
      <w:pPr>
        <w:pStyle w:val="2"/>
        <w:pageBreakBefore w:val="0"/>
        <w:widowControl w:val="0"/>
        <w:kinsoku/>
        <w:wordWrap/>
        <w:overflowPunct/>
        <w:topLinePunct w:val="0"/>
        <w:autoSpaceDE/>
        <w:autoSpaceDN/>
        <w:bidi w:val="0"/>
        <w:adjustRightInd/>
        <w:snapToGrid/>
        <w:spacing w:line="400" w:lineRule="exact"/>
        <w:ind w:firstLine="643" w:firstLineChars="200"/>
        <w:jc w:val="center"/>
        <w:textAlignment w:val="auto"/>
        <w:rPr>
          <w:rFonts w:hint="eastAsia" w:ascii="宋体" w:hAnsi="宋体" w:eastAsia="宋体" w:cs="宋体"/>
          <w:b/>
          <w:color w:val="auto"/>
          <w:sz w:val="32"/>
          <w:szCs w:val="32"/>
          <w:highlight w:val="none"/>
        </w:rPr>
      </w:pPr>
    </w:p>
    <w:p w14:paraId="06243436">
      <w:pPr>
        <w:pStyle w:val="2"/>
        <w:pageBreakBefore w:val="0"/>
        <w:widowControl w:val="0"/>
        <w:kinsoku/>
        <w:wordWrap/>
        <w:overflowPunct/>
        <w:topLinePunct w:val="0"/>
        <w:autoSpaceDE/>
        <w:autoSpaceDN/>
        <w:bidi w:val="0"/>
        <w:adjustRightInd/>
        <w:snapToGrid/>
        <w:spacing w:line="400" w:lineRule="exact"/>
        <w:ind w:firstLine="643" w:firstLineChars="200"/>
        <w:jc w:val="center"/>
        <w:textAlignment w:val="auto"/>
        <w:rPr>
          <w:rFonts w:hint="eastAsia" w:ascii="宋体" w:hAnsi="宋体" w:eastAsia="宋体" w:cs="宋体"/>
          <w:b/>
          <w:color w:val="auto"/>
          <w:sz w:val="32"/>
          <w:szCs w:val="32"/>
          <w:highlight w:val="none"/>
        </w:rPr>
      </w:pPr>
    </w:p>
    <w:p w14:paraId="2E741485">
      <w:pPr>
        <w:pStyle w:val="2"/>
        <w:pageBreakBefore w:val="0"/>
        <w:widowControl w:val="0"/>
        <w:kinsoku/>
        <w:wordWrap/>
        <w:overflowPunct/>
        <w:topLinePunct w:val="0"/>
        <w:autoSpaceDE/>
        <w:autoSpaceDN/>
        <w:bidi w:val="0"/>
        <w:adjustRightInd/>
        <w:snapToGrid/>
        <w:spacing w:line="400" w:lineRule="exact"/>
        <w:ind w:firstLine="643" w:firstLineChars="200"/>
        <w:jc w:val="center"/>
        <w:textAlignment w:val="auto"/>
        <w:rPr>
          <w:rFonts w:hint="eastAsia" w:ascii="宋体" w:hAnsi="宋体" w:eastAsia="宋体" w:cs="宋体"/>
          <w:b/>
          <w:color w:val="auto"/>
          <w:sz w:val="32"/>
          <w:szCs w:val="32"/>
          <w:highlight w:val="none"/>
        </w:rPr>
      </w:pPr>
    </w:p>
    <w:p w14:paraId="28214255">
      <w:pPr>
        <w:pStyle w:val="2"/>
        <w:pageBreakBefore w:val="0"/>
        <w:widowControl w:val="0"/>
        <w:kinsoku/>
        <w:wordWrap/>
        <w:overflowPunct/>
        <w:topLinePunct w:val="0"/>
        <w:autoSpaceDE/>
        <w:autoSpaceDN/>
        <w:bidi w:val="0"/>
        <w:adjustRightInd/>
        <w:snapToGrid/>
        <w:spacing w:line="400" w:lineRule="exact"/>
        <w:ind w:firstLine="643" w:firstLineChars="200"/>
        <w:jc w:val="center"/>
        <w:textAlignment w:val="auto"/>
        <w:rPr>
          <w:rFonts w:hint="eastAsia" w:ascii="宋体" w:hAnsi="宋体" w:eastAsia="宋体" w:cs="宋体"/>
          <w:b/>
          <w:color w:val="auto"/>
          <w:sz w:val="32"/>
          <w:szCs w:val="32"/>
          <w:highlight w:val="none"/>
        </w:rPr>
      </w:pPr>
    </w:p>
    <w:p w14:paraId="56768D31">
      <w:pPr>
        <w:pStyle w:val="2"/>
        <w:pageBreakBefore w:val="0"/>
        <w:widowControl w:val="0"/>
        <w:kinsoku/>
        <w:wordWrap/>
        <w:overflowPunct/>
        <w:topLinePunct w:val="0"/>
        <w:autoSpaceDE/>
        <w:autoSpaceDN/>
        <w:bidi w:val="0"/>
        <w:adjustRightInd/>
        <w:snapToGrid/>
        <w:spacing w:line="400" w:lineRule="exact"/>
        <w:ind w:firstLine="643" w:firstLineChars="200"/>
        <w:jc w:val="center"/>
        <w:textAlignment w:val="auto"/>
        <w:rPr>
          <w:rFonts w:hint="eastAsia" w:ascii="宋体" w:hAnsi="宋体" w:eastAsia="宋体" w:cs="宋体"/>
          <w:b/>
          <w:color w:val="auto"/>
          <w:sz w:val="32"/>
          <w:szCs w:val="32"/>
          <w:highlight w:val="none"/>
        </w:rPr>
      </w:pPr>
    </w:p>
    <w:p w14:paraId="378110D3">
      <w:pPr>
        <w:rPr>
          <w:rFonts w:hint="eastAsia" w:ascii="宋体" w:hAnsi="宋体" w:eastAsia="宋体" w:cs="宋体"/>
          <w:b/>
          <w:color w:val="auto"/>
          <w:sz w:val="32"/>
          <w:szCs w:val="32"/>
          <w:highlight w:val="none"/>
        </w:rPr>
      </w:pPr>
    </w:p>
    <w:p w14:paraId="6697B207">
      <w:pPr>
        <w:pStyle w:val="14"/>
        <w:rPr>
          <w:rFonts w:hint="eastAsia" w:ascii="宋体" w:hAnsi="宋体" w:eastAsia="宋体" w:cs="宋体"/>
          <w:b/>
          <w:color w:val="auto"/>
          <w:sz w:val="32"/>
          <w:szCs w:val="32"/>
          <w:highlight w:val="none"/>
        </w:rPr>
      </w:pPr>
    </w:p>
    <w:p w14:paraId="1EEB7961">
      <w:pPr>
        <w:pStyle w:val="2"/>
        <w:pageBreakBefore w:val="0"/>
        <w:widowControl w:val="0"/>
        <w:kinsoku/>
        <w:wordWrap/>
        <w:overflowPunct/>
        <w:topLinePunct w:val="0"/>
        <w:autoSpaceDE/>
        <w:autoSpaceDN/>
        <w:bidi w:val="0"/>
        <w:adjustRightInd/>
        <w:snapToGrid/>
        <w:spacing w:line="400" w:lineRule="exact"/>
        <w:ind w:firstLine="643" w:firstLineChars="200"/>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w:t>
      </w:r>
      <w:r>
        <w:rPr>
          <w:rFonts w:hint="eastAsia" w:ascii="宋体" w:hAnsi="宋体" w:eastAsia="宋体" w:cs="宋体"/>
          <w:b/>
          <w:color w:val="auto"/>
          <w:sz w:val="32"/>
          <w:szCs w:val="32"/>
          <w:highlight w:val="none"/>
          <w:lang w:eastAsia="zh-CN"/>
        </w:rPr>
        <w:t>八</w:t>
      </w:r>
      <w:r>
        <w:rPr>
          <w:rFonts w:hint="eastAsia" w:ascii="宋体" w:hAnsi="宋体" w:eastAsia="宋体" w:cs="宋体"/>
          <w:b/>
          <w:color w:val="auto"/>
          <w:sz w:val="32"/>
          <w:szCs w:val="32"/>
          <w:highlight w:val="none"/>
        </w:rPr>
        <w:t>章  评定标准</w:t>
      </w:r>
      <w:bookmarkEnd w:id="1220"/>
      <w:bookmarkEnd w:id="1225"/>
    </w:p>
    <w:p w14:paraId="21F32A87">
      <w:pPr>
        <w:spacing w:line="360" w:lineRule="auto"/>
        <w:ind w:firstLine="643" w:firstLineChars="200"/>
        <w:jc w:val="center"/>
        <w:rPr>
          <w:rFonts w:hint="eastAsia" w:ascii="宋体" w:hAnsi="宋体" w:cs="Times New Roman"/>
          <w:b/>
          <w:color w:val="auto"/>
          <w:sz w:val="32"/>
          <w:szCs w:val="32"/>
          <w:highlight w:val="none"/>
        </w:rPr>
      </w:pPr>
      <w:bookmarkStart w:id="1226" w:name="_Toc6051"/>
      <w:bookmarkStart w:id="1227" w:name="_Toc29067"/>
      <w:bookmarkStart w:id="1228" w:name="_Toc80886938"/>
      <w:r>
        <w:rPr>
          <w:rFonts w:hint="eastAsia" w:ascii="宋体" w:hAnsi="宋体" w:cs="Times New Roman"/>
          <w:b/>
          <w:color w:val="auto"/>
          <w:sz w:val="32"/>
          <w:szCs w:val="32"/>
          <w:highlight w:val="none"/>
        </w:rPr>
        <w:t>第一节 评审程序和评审方法</w:t>
      </w:r>
      <w:bookmarkEnd w:id="1226"/>
      <w:bookmarkEnd w:id="1227"/>
      <w:bookmarkEnd w:id="1228"/>
    </w:p>
    <w:p w14:paraId="62B84844">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.确认磋商文件</w:t>
      </w:r>
    </w:p>
    <w:p w14:paraId="27ED5E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由磋商小组确认磋商文件。</w:t>
      </w:r>
    </w:p>
    <w:p w14:paraId="40948E2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2.资格审查</w:t>
      </w:r>
    </w:p>
    <w:p w14:paraId="2B61685B">
      <w:pPr>
        <w:snapToGrid w:val="0"/>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2.1</w:t>
      </w:r>
      <w:r>
        <w:rPr>
          <w:rFonts w:hint="eastAsia" w:ascii="宋体" w:hAnsi="宋体"/>
          <w:color w:val="auto"/>
          <w:szCs w:val="21"/>
          <w:highlight w:val="none"/>
        </w:rPr>
        <w:t>响应文件开启后，磋商小组依法对供应商的资格证明文件进行审查。</w:t>
      </w:r>
    </w:p>
    <w:p w14:paraId="35221AB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注：采购人或者采购代理机构在资格审查结束前，对供应商进行信用查询。</w:t>
      </w:r>
    </w:p>
    <w:p w14:paraId="05B9250B">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（1）查询渠道：</w:t>
      </w:r>
      <w:r>
        <w:rPr>
          <w:rFonts w:hint="eastAsia" w:ascii="宋体" w:hAnsi="宋体" w:eastAsia="宋体" w:cs="宋体"/>
          <w:b w:val="0"/>
          <w:bCs w:val="0"/>
          <w:color w:val="auto"/>
          <w:sz w:val="21"/>
          <w:szCs w:val="21"/>
          <w:highlight w:val="none"/>
          <w:lang w:val="en-US" w:eastAsia="zh-CN"/>
        </w:rPr>
        <w:t>广西政府采购云平台“信用中国”网站(</w:t>
      </w:r>
      <w:r>
        <w:rPr>
          <w:rFonts w:hint="eastAsia" w:ascii="宋体" w:hAnsi="宋体" w:eastAsia="宋体" w:cs="宋体"/>
          <w:b w:val="0"/>
          <w:bCs w:val="0"/>
          <w:color w:val="auto"/>
          <w:sz w:val="21"/>
          <w:szCs w:val="21"/>
          <w:highlight w:val="none"/>
          <w:lang w:val="en-US" w:eastAsia="zh-CN"/>
        </w:rPr>
        <w:fldChar w:fldCharType="begin"/>
      </w:r>
      <w:r>
        <w:rPr>
          <w:rFonts w:hint="eastAsia" w:ascii="宋体" w:hAnsi="宋体" w:eastAsia="宋体" w:cs="宋体"/>
          <w:b w:val="0"/>
          <w:bCs w:val="0"/>
          <w:color w:val="auto"/>
          <w:sz w:val="21"/>
          <w:szCs w:val="21"/>
          <w:highlight w:val="none"/>
          <w:lang w:val="en-US" w:eastAsia="zh-CN"/>
        </w:rPr>
        <w:instrText xml:space="preserve"> HYPERLINK "http://www.creditchina.gov.cn" </w:instrText>
      </w:r>
      <w:r>
        <w:rPr>
          <w:rFonts w:hint="eastAsia" w:ascii="宋体" w:hAnsi="宋体" w:eastAsia="宋体" w:cs="宋体"/>
          <w:b w:val="0"/>
          <w:bCs w:val="0"/>
          <w:color w:val="auto"/>
          <w:sz w:val="21"/>
          <w:szCs w:val="21"/>
          <w:highlight w:val="none"/>
          <w:lang w:val="en-US" w:eastAsia="zh-CN"/>
        </w:rPr>
        <w:fldChar w:fldCharType="separate"/>
      </w:r>
      <w:r>
        <w:rPr>
          <w:rFonts w:hint="eastAsia" w:ascii="宋体" w:hAnsi="宋体" w:eastAsia="宋体" w:cs="宋体"/>
          <w:b w:val="0"/>
          <w:bCs w:val="0"/>
          <w:color w:val="auto"/>
          <w:sz w:val="21"/>
          <w:szCs w:val="21"/>
          <w:highlight w:val="none"/>
          <w:lang w:val="en-US" w:eastAsia="zh-CN"/>
        </w:rPr>
        <w:t>www.creditchina.gov.cn</w:t>
      </w:r>
      <w:r>
        <w:rPr>
          <w:rFonts w:hint="eastAsia" w:ascii="宋体" w:hAnsi="宋体" w:eastAsia="宋体" w:cs="宋体"/>
          <w:b w:val="0"/>
          <w:bCs w:val="0"/>
          <w:color w:val="auto"/>
          <w:sz w:val="21"/>
          <w:szCs w:val="21"/>
          <w:highlight w:val="none"/>
          <w:lang w:val="en-US" w:eastAsia="zh-CN"/>
        </w:rPr>
        <w:fldChar w:fldCharType="end"/>
      </w:r>
      <w:r>
        <w:rPr>
          <w:rFonts w:hint="eastAsia" w:ascii="宋体" w:hAnsi="宋体" w:eastAsia="宋体" w:cs="宋体"/>
          <w:b w:val="0"/>
          <w:bCs w:val="0"/>
          <w:color w:val="auto"/>
          <w:sz w:val="21"/>
          <w:szCs w:val="21"/>
          <w:highlight w:val="none"/>
          <w:lang w:val="en-US" w:eastAsia="zh-CN"/>
        </w:rPr>
        <w:t>)、中国政府采购网(</w:t>
      </w:r>
      <w:r>
        <w:rPr>
          <w:rFonts w:hint="eastAsia" w:ascii="宋体" w:hAnsi="宋体" w:eastAsia="宋体" w:cs="宋体"/>
          <w:b w:val="0"/>
          <w:bCs w:val="0"/>
          <w:color w:val="auto"/>
          <w:sz w:val="21"/>
          <w:szCs w:val="21"/>
          <w:highlight w:val="none"/>
          <w:lang w:val="en-US" w:eastAsia="zh-CN"/>
        </w:rPr>
        <w:fldChar w:fldCharType="begin"/>
      </w:r>
      <w:r>
        <w:rPr>
          <w:rFonts w:hint="eastAsia" w:ascii="宋体" w:hAnsi="宋体" w:eastAsia="宋体" w:cs="宋体"/>
          <w:b w:val="0"/>
          <w:bCs w:val="0"/>
          <w:color w:val="auto"/>
          <w:sz w:val="21"/>
          <w:szCs w:val="21"/>
          <w:highlight w:val="none"/>
          <w:lang w:val="en-US" w:eastAsia="zh-CN"/>
        </w:rPr>
        <w:instrText xml:space="preserve"> HYPERLINK "http://www.ccgp.gov.cn" </w:instrText>
      </w:r>
      <w:r>
        <w:rPr>
          <w:rFonts w:hint="eastAsia" w:ascii="宋体" w:hAnsi="宋体" w:eastAsia="宋体" w:cs="宋体"/>
          <w:b w:val="0"/>
          <w:bCs w:val="0"/>
          <w:color w:val="auto"/>
          <w:sz w:val="21"/>
          <w:szCs w:val="21"/>
          <w:highlight w:val="none"/>
          <w:lang w:val="en-US" w:eastAsia="zh-CN"/>
        </w:rPr>
        <w:fldChar w:fldCharType="separate"/>
      </w:r>
      <w:r>
        <w:rPr>
          <w:rFonts w:hint="eastAsia" w:ascii="宋体" w:hAnsi="宋体" w:eastAsia="宋体" w:cs="宋体"/>
          <w:b w:val="0"/>
          <w:bCs w:val="0"/>
          <w:color w:val="auto"/>
          <w:sz w:val="21"/>
          <w:szCs w:val="21"/>
          <w:highlight w:val="none"/>
          <w:lang w:val="en-US" w:eastAsia="zh-CN"/>
        </w:rPr>
        <w:t>www.ccgp.gov.cn</w:t>
      </w:r>
      <w:r>
        <w:rPr>
          <w:rFonts w:hint="eastAsia" w:ascii="宋体" w:hAnsi="宋体" w:eastAsia="宋体" w:cs="宋体"/>
          <w:b w:val="0"/>
          <w:bCs w:val="0"/>
          <w:color w:val="auto"/>
          <w:sz w:val="21"/>
          <w:szCs w:val="21"/>
          <w:highlight w:val="none"/>
          <w:lang w:val="en-US" w:eastAsia="zh-CN"/>
        </w:rPr>
        <w:fldChar w:fldCharType="end"/>
      </w:r>
      <w:r>
        <w:rPr>
          <w:rFonts w:hint="eastAsia" w:ascii="宋体" w:hAnsi="宋体" w:eastAsia="宋体" w:cs="宋体"/>
          <w:b w:val="0"/>
          <w:bCs w:val="0"/>
          <w:color w:val="auto"/>
          <w:sz w:val="21"/>
          <w:szCs w:val="21"/>
          <w:highlight w:val="none"/>
          <w:lang w:val="en-US" w:eastAsia="zh-CN"/>
        </w:rPr>
        <w:t>)链接入口</w:t>
      </w:r>
      <w:r>
        <w:rPr>
          <w:rFonts w:hint="eastAsia" w:ascii="宋体" w:hAnsi="宋体" w:cs="宋体"/>
          <w:color w:val="auto"/>
          <w:szCs w:val="21"/>
          <w:highlight w:val="none"/>
        </w:rPr>
        <w:t>。</w:t>
      </w:r>
    </w:p>
    <w:p w14:paraId="2C6047C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38EA420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查询记录和证据留存方式：在查询网站中直接查询记录，截图另存为电子文档作为评审资料保存。</w:t>
      </w:r>
    </w:p>
    <w:p w14:paraId="056C1D9B">
      <w:pPr>
        <w:snapToGrid w:val="0"/>
        <w:spacing w:line="360" w:lineRule="auto"/>
        <w:ind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rPr>
        <w:t>（3）信用信息使用规则：对在“信用中国”网站(www.creditchina.gov.cn) 、中国政府采购网(www.ccgp.gov.cn)被列入失信被执行人、</w:t>
      </w:r>
      <w:r>
        <w:rPr>
          <w:rFonts w:hint="eastAsia" w:ascii="宋体" w:hAnsi="宋体" w:cs="Times New Roman"/>
          <w:color w:val="auto"/>
          <w:szCs w:val="21"/>
          <w:highlight w:val="none"/>
          <w:lang w:eastAsia="zh-CN"/>
        </w:rPr>
        <w:t>重大税收违法失信主体</w:t>
      </w:r>
      <w:r>
        <w:rPr>
          <w:rFonts w:hint="eastAsia" w:ascii="宋体" w:hAnsi="宋体" w:cs="Times New Roman"/>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19DF8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6D24F1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6B555A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08EECED2">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（2）响应文件未按磋商文件要求签署、盖章</w:t>
      </w:r>
      <w:r>
        <w:rPr>
          <w:rFonts w:hint="eastAsia" w:ascii="宋体" w:hAnsi="宋体" w:cs="宋体"/>
          <w:color w:val="auto"/>
          <w:szCs w:val="21"/>
          <w:highlight w:val="none"/>
          <w:lang w:eastAsia="zh-CN"/>
        </w:rPr>
        <w:t>；</w:t>
      </w:r>
    </w:p>
    <w:p w14:paraId="053901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响应文件未提供任一项“供应商须知</w:t>
      </w:r>
      <w:r>
        <w:rPr>
          <w:rFonts w:hint="eastAsia" w:ascii="宋体" w:hAnsi="宋体" w:cs="宋体"/>
          <w:color w:val="auto"/>
          <w:szCs w:val="21"/>
          <w:highlight w:val="none"/>
          <w:lang w:val="en-US" w:eastAsia="zh-CN"/>
        </w:rPr>
        <w:t>正文</w:t>
      </w:r>
      <w:r>
        <w:rPr>
          <w:rFonts w:hint="eastAsia" w:ascii="宋体" w:hAnsi="宋体" w:cs="宋体"/>
          <w:color w:val="auto"/>
          <w:szCs w:val="21"/>
          <w:highlight w:val="none"/>
        </w:rPr>
        <w:t>”资格证明文件规定的“必须提供”或者“委托时必须提供”的文件资料的；</w:t>
      </w:r>
    </w:p>
    <w:p w14:paraId="205680BD">
      <w:pPr>
        <w:spacing w:line="360" w:lineRule="auto"/>
        <w:ind w:firstLine="420" w:firstLineChars="200"/>
        <w:rPr>
          <w:rFonts w:hint="eastAsia" w:ascii="宋体" w:hAnsi="宋体" w:cs="宋体"/>
          <w:color w:val="auto"/>
          <w:szCs w:val="21"/>
          <w:highlight w:val="none"/>
        </w:rPr>
      </w:pPr>
      <w:bookmarkStart w:id="1229" w:name="_Hlk68601553"/>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委托代理人未能出具有效身份证明或者出具的身份证明与授权委托书中的信息不符； </w:t>
      </w:r>
    </w:p>
    <w:p w14:paraId="2761FB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供应商不按要求提交农民工工资保障承诺书的；</w:t>
      </w:r>
    </w:p>
    <w:p w14:paraId="5CAF3E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）提供虚假的项目负责人或者主要技术人员简历、劳动关系证明、社保证明等；</w:t>
      </w:r>
    </w:p>
    <w:p w14:paraId="4EFB43AC">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）响应文件提供的资格证明文件出现任一项不符合“供应商须知</w:t>
      </w:r>
      <w:r>
        <w:rPr>
          <w:rFonts w:hint="eastAsia" w:ascii="宋体" w:hAnsi="宋体" w:cs="宋体"/>
          <w:color w:val="auto"/>
          <w:szCs w:val="21"/>
          <w:highlight w:val="none"/>
          <w:lang w:val="en-US" w:eastAsia="zh-CN"/>
        </w:rPr>
        <w:t>正文</w:t>
      </w:r>
      <w:r>
        <w:rPr>
          <w:rFonts w:hint="eastAsia" w:ascii="宋体" w:hAnsi="宋体" w:cs="宋体"/>
          <w:color w:val="auto"/>
          <w:szCs w:val="21"/>
          <w:highlight w:val="none"/>
        </w:rPr>
        <w:t>”资格证明文件规定的“必须提供”或者“委托时必须提供”的文件资料要求或者无效的</w:t>
      </w:r>
      <w:r>
        <w:rPr>
          <w:rFonts w:hint="eastAsia" w:ascii="宋体" w:hAnsi="宋体" w:cs="宋体"/>
          <w:color w:val="auto"/>
          <w:szCs w:val="21"/>
          <w:highlight w:val="none"/>
          <w:lang w:eastAsia="zh-CN"/>
        </w:rPr>
        <w:t>；</w:t>
      </w:r>
    </w:p>
    <w:p w14:paraId="4E89D3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）属于“供应商须知正文”第</w:t>
      </w:r>
      <w:r>
        <w:rPr>
          <w:rFonts w:hint="eastAsia" w:ascii="宋体" w:hAnsi="宋体" w:cs="宋体"/>
          <w:color w:val="auto"/>
          <w:szCs w:val="21"/>
          <w:highlight w:val="none"/>
          <w:lang w:val="en-US" w:eastAsia="zh-CN"/>
        </w:rPr>
        <w:t>24.5、24.6</w:t>
      </w:r>
      <w:r>
        <w:rPr>
          <w:rFonts w:hint="eastAsia" w:ascii="宋体" w:hAnsi="宋体" w:cs="宋体"/>
          <w:color w:val="auto"/>
          <w:szCs w:val="21"/>
          <w:highlight w:val="none"/>
        </w:rPr>
        <w:t>条情形；</w:t>
      </w:r>
    </w:p>
    <w:p w14:paraId="78628C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w:t>
      </w:r>
      <w:bookmarkEnd w:id="1229"/>
    </w:p>
    <w:p w14:paraId="366F1B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w:t>
      </w:r>
      <w:r>
        <w:rPr>
          <w:rFonts w:hint="eastAsia" w:ascii="宋体" w:hAnsi="宋体"/>
          <w:color w:val="auto"/>
          <w:szCs w:val="21"/>
          <w:highlight w:val="none"/>
        </w:rPr>
        <w:t>应当重新开展采购活动。</w:t>
      </w:r>
    </w:p>
    <w:p w14:paraId="05BD552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3.符合性审查</w:t>
      </w:r>
    </w:p>
    <w:p w14:paraId="3B4E3C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由磋商小组</w:t>
      </w:r>
      <w:r>
        <w:rPr>
          <w:rFonts w:hint="eastAsia" w:ascii="宋体" w:hAnsi="宋体" w:eastAsia="宋体" w:cs="宋体"/>
          <w:color w:val="auto"/>
          <w:sz w:val="21"/>
          <w:szCs w:val="21"/>
          <w:highlight w:val="none"/>
        </w:rPr>
        <w:t>对符合资格的</w:t>
      </w:r>
      <w:r>
        <w:rPr>
          <w:rFonts w:hint="eastAsia" w:ascii="宋体" w:hAnsi="宋体"/>
          <w:color w:val="auto"/>
          <w:szCs w:val="21"/>
          <w:highlight w:val="none"/>
        </w:rPr>
        <w:t>供应商</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w:t>
      </w:r>
      <w:r>
        <w:rPr>
          <w:rFonts w:hint="eastAsia" w:ascii="宋体" w:hAnsi="宋体" w:eastAsia="宋体" w:cs="宋体"/>
          <w:color w:val="auto"/>
          <w:sz w:val="21"/>
          <w:szCs w:val="21"/>
          <w:highlight w:val="none"/>
        </w:rPr>
        <w:t>进行竞标报价、商务、技术等实质性要求符合性审查</w:t>
      </w:r>
      <w:r>
        <w:rPr>
          <w:rFonts w:hint="eastAsia" w:ascii="宋体" w:hAnsi="宋体" w:cs="宋体"/>
          <w:color w:val="auto"/>
          <w:szCs w:val="21"/>
          <w:highlight w:val="none"/>
        </w:rPr>
        <w:t>，以确定其是否满足磋商文件的实质性要求。</w:t>
      </w:r>
    </w:p>
    <w:p w14:paraId="6AFCAA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8240E2C">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w:t>
      </w:r>
      <w:r>
        <w:rPr>
          <w:rFonts w:hint="eastAsia" w:ascii="宋体" w:hAnsi="宋体" w:cs="宋体"/>
          <w:color w:val="auto"/>
          <w:szCs w:val="21"/>
          <w:highlight w:val="none"/>
          <w:lang w:val="en-US" w:eastAsia="zh-CN"/>
        </w:rPr>
        <w:t>以</w:t>
      </w:r>
      <w:r>
        <w:rPr>
          <w:rFonts w:hint="eastAsia" w:ascii="宋体" w:hAnsi="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w:t>
      </w:r>
      <w:r>
        <w:rPr>
          <w:rFonts w:hint="eastAsia" w:ascii="宋体" w:hAnsi="宋体" w:cs="宋体"/>
          <w:color w:val="auto"/>
          <w:szCs w:val="21"/>
          <w:highlight w:val="none"/>
          <w:lang w:eastAsia="zh-CN"/>
        </w:rPr>
        <w:t>电子印章</w:t>
      </w:r>
      <w:r>
        <w:rPr>
          <w:rFonts w:hint="eastAsia" w:ascii="宋体" w:hAnsi="宋体" w:cs="宋体"/>
          <w:color w:val="auto"/>
          <w:spacing w:val="-6"/>
          <w:szCs w:val="21"/>
          <w:highlight w:val="none"/>
        </w:rPr>
        <w:t>。供应商为自然人的，必须由本人签字并附身份证明。</w:t>
      </w:r>
    </w:p>
    <w:p w14:paraId="4E4631BE">
      <w:pPr>
        <w:spacing w:line="360" w:lineRule="auto"/>
        <w:ind w:firstLine="396" w:firstLineChars="200"/>
        <w:rPr>
          <w:rFonts w:hint="eastAsia" w:ascii="宋体" w:hAnsi="宋体" w:cs="宋体"/>
          <w:color w:val="auto"/>
          <w:szCs w:val="21"/>
          <w:highlight w:val="none"/>
        </w:rPr>
      </w:pPr>
      <w:r>
        <w:rPr>
          <w:rFonts w:hint="eastAsia" w:ascii="宋体" w:hAnsi="宋体" w:cs="宋体"/>
          <w:color w:val="auto"/>
          <w:spacing w:val="-6"/>
          <w:szCs w:val="21"/>
          <w:highlight w:val="none"/>
        </w:rPr>
        <w:t>3</w:t>
      </w:r>
      <w:r>
        <w:rPr>
          <w:rFonts w:ascii="宋体" w:hAnsi="宋体" w:cs="宋体"/>
          <w:color w:val="auto"/>
          <w:spacing w:val="-6"/>
          <w:szCs w:val="21"/>
          <w:highlight w:val="none"/>
        </w:rPr>
        <w:t>.4</w:t>
      </w:r>
      <w:r>
        <w:rPr>
          <w:rFonts w:hint="eastAsia" w:ascii="宋体" w:hAnsi="宋体" w:cs="宋体"/>
          <w:color w:val="auto"/>
          <w:szCs w:val="21"/>
          <w:highlight w:val="none"/>
        </w:rPr>
        <w:t xml:space="preserve">首次响应文件报价出现前后不一致的，按照下列规定修正： </w:t>
      </w:r>
    </w:p>
    <w:p w14:paraId="7A95D1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报价表内容与响应文件中相应内容不一致的，以</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报价表为准；</w:t>
      </w:r>
    </w:p>
    <w:p w14:paraId="5B08E1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58E7C7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报价表的总价为准，并修改单价；</w:t>
      </w:r>
    </w:p>
    <w:p w14:paraId="30FDDC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7E7AB9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3BA8BF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5</w:t>
      </w:r>
      <w:r>
        <w:rPr>
          <w:rFonts w:hint="eastAsia" w:ascii="宋体" w:hAnsi="宋体" w:cs="宋体"/>
          <w:color w:val="auto"/>
          <w:szCs w:val="21"/>
          <w:highlight w:val="none"/>
        </w:rPr>
        <w:t>报价</w:t>
      </w:r>
      <w:r>
        <w:rPr>
          <w:rFonts w:hint="eastAsia" w:ascii="宋体" w:hAnsi="宋体" w:cs="宋体"/>
          <w:color w:val="auto"/>
          <w:szCs w:val="21"/>
          <w:highlight w:val="none"/>
          <w:lang w:eastAsia="zh-CN"/>
        </w:rPr>
        <w:t>、</w:t>
      </w:r>
      <w:r>
        <w:rPr>
          <w:rFonts w:hint="eastAsia" w:ascii="宋体" w:hAnsi="宋体" w:cs="宋体"/>
          <w:color w:val="auto"/>
          <w:szCs w:val="21"/>
          <w:highlight w:val="none"/>
        </w:rPr>
        <w:t>商务技术评审</w:t>
      </w:r>
    </w:p>
    <w:p w14:paraId="5C91F6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368B1E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评审</w:t>
      </w:r>
    </w:p>
    <w:p w14:paraId="52C231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54AD4C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2）工程量清单</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总价（封面）</w:t>
      </w:r>
      <w:r>
        <w:rPr>
          <w:rFonts w:hint="eastAsia" w:ascii="宋体" w:hAnsi="宋体" w:eastAsia="宋体" w:cs="宋体"/>
          <w:color w:val="auto"/>
          <w:szCs w:val="21"/>
          <w:highlight w:val="none"/>
          <w:lang w:val="en-US" w:eastAsia="zh-CN"/>
        </w:rPr>
        <w:t>没有按规定盖章</w:t>
      </w:r>
      <w:r>
        <w:rPr>
          <w:rFonts w:hint="eastAsia" w:ascii="宋体" w:hAnsi="宋体" w:eastAsia="宋体" w:cs="宋体"/>
          <w:color w:val="auto"/>
          <w:szCs w:val="21"/>
          <w:highlight w:val="none"/>
        </w:rPr>
        <w:t>；</w:t>
      </w:r>
    </w:p>
    <w:p w14:paraId="4AA65B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）未采用人民币报价或者未按照磋商文件标明的币种报价；</w:t>
      </w:r>
    </w:p>
    <w:p w14:paraId="1585DB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供应商未就</w:t>
      </w:r>
      <w:r>
        <w:rPr>
          <w:rFonts w:hint="eastAsia" w:ascii="宋体" w:hAnsi="宋体" w:eastAsia="宋体" w:cs="宋体"/>
          <w:color w:val="auto"/>
          <w:szCs w:val="21"/>
          <w:highlight w:val="none"/>
          <w:lang w:eastAsia="zh-CN"/>
        </w:rPr>
        <w:t>所竞标项目</w:t>
      </w:r>
      <w:r>
        <w:rPr>
          <w:rFonts w:hint="eastAsia" w:ascii="宋体" w:hAnsi="宋体" w:eastAsia="宋体" w:cs="宋体"/>
          <w:color w:val="auto"/>
          <w:szCs w:val="21"/>
          <w:highlight w:val="none"/>
        </w:rPr>
        <w:t>进行报价或者存在漏项报价；供应商未就</w:t>
      </w:r>
      <w:r>
        <w:rPr>
          <w:rFonts w:hint="eastAsia" w:ascii="宋体" w:hAnsi="宋体" w:eastAsia="宋体" w:cs="宋体"/>
          <w:color w:val="auto"/>
          <w:szCs w:val="21"/>
          <w:highlight w:val="none"/>
          <w:lang w:eastAsia="zh-CN"/>
        </w:rPr>
        <w:t>所竞标项目</w:t>
      </w:r>
      <w:r>
        <w:rPr>
          <w:rFonts w:hint="eastAsia" w:ascii="宋体" w:hAnsi="宋体" w:eastAsia="宋体" w:cs="宋体"/>
          <w:color w:val="auto"/>
          <w:szCs w:val="21"/>
          <w:highlight w:val="none"/>
        </w:rPr>
        <w:t>的单项内容作唯一报价；供应商未就</w:t>
      </w:r>
      <w:r>
        <w:rPr>
          <w:rFonts w:hint="eastAsia" w:ascii="宋体" w:hAnsi="宋体" w:eastAsia="宋体" w:cs="宋体"/>
          <w:color w:val="auto"/>
          <w:szCs w:val="21"/>
          <w:highlight w:val="none"/>
          <w:lang w:eastAsia="zh-CN"/>
        </w:rPr>
        <w:t>所竞标项目</w:t>
      </w:r>
      <w:r>
        <w:rPr>
          <w:rFonts w:hint="eastAsia" w:ascii="宋体" w:hAnsi="宋体" w:eastAsia="宋体" w:cs="宋体"/>
          <w:color w:val="auto"/>
          <w:szCs w:val="21"/>
          <w:highlight w:val="none"/>
        </w:rPr>
        <w:t>的全部内容作唯一总价报价；供应商响应文件中存在有选择、有条件报价的（磋商文件允许有备选方案或者其他约定的除外）；</w:t>
      </w:r>
    </w:p>
    <w:p w14:paraId="0FC058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报价（包含首次报价、最后报价）超过</w:t>
      </w:r>
      <w:r>
        <w:rPr>
          <w:rFonts w:hint="eastAsia" w:ascii="宋体" w:hAnsi="宋体" w:cs="宋体"/>
          <w:color w:val="auto"/>
          <w:szCs w:val="21"/>
          <w:highlight w:val="none"/>
          <w:lang w:eastAsia="zh-CN"/>
        </w:rPr>
        <w:t>所竞标项目</w:t>
      </w:r>
      <w:r>
        <w:rPr>
          <w:rFonts w:hint="eastAsia" w:ascii="宋体" w:hAnsi="宋体" w:cs="宋体"/>
          <w:color w:val="auto"/>
          <w:szCs w:val="21"/>
          <w:highlight w:val="none"/>
        </w:rPr>
        <w:t>规定的采购预算金额或者最高限价的（如本项目公布了最高限价）；</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报价（包含首次报价、最后报价）超过磋商文件分项采购预算金额或者最高限价的（如本项目公布了最高限价）；</w:t>
      </w:r>
    </w:p>
    <w:p w14:paraId="2AD7816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）修正后的报价，供应商不确认的；或者经供应商确认修正后的</w:t>
      </w:r>
      <w:r>
        <w:rPr>
          <w:rFonts w:hint="eastAsia" w:ascii="宋体" w:hAnsi="宋体" w:cs="宋体"/>
          <w:color w:val="auto"/>
          <w:szCs w:val="21"/>
          <w:highlight w:val="none"/>
          <w:lang w:eastAsia="zh-CN"/>
        </w:rPr>
        <w:t>竞标报价</w:t>
      </w:r>
      <w:r>
        <w:rPr>
          <w:rFonts w:hint="eastAsia" w:ascii="宋体" w:hAnsi="宋体" w:cs="宋体"/>
          <w:color w:val="auto"/>
          <w:szCs w:val="21"/>
          <w:highlight w:val="none"/>
        </w:rPr>
        <w:t>（包含首次报价、最后报价）超过</w:t>
      </w:r>
      <w:r>
        <w:rPr>
          <w:rFonts w:hint="eastAsia" w:ascii="宋体" w:hAnsi="宋体" w:cs="宋体"/>
          <w:color w:val="auto"/>
          <w:szCs w:val="21"/>
          <w:highlight w:val="none"/>
          <w:lang w:eastAsia="zh-CN"/>
        </w:rPr>
        <w:t>所竞标项目</w:t>
      </w:r>
      <w:r>
        <w:rPr>
          <w:rFonts w:hint="eastAsia" w:ascii="宋体" w:hAnsi="宋体" w:cs="宋体"/>
          <w:color w:val="auto"/>
          <w:szCs w:val="21"/>
          <w:highlight w:val="none"/>
        </w:rPr>
        <w:t>规定的采购预算金额或者最高限价（如本项目公布了最高限价）；或者经供应商确认修正后</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报价（包含首次报价、最后报价）超过磋商文件分项采购预算金额或者最高限价的（如本项目公布了最高限价）。</w:t>
      </w:r>
    </w:p>
    <w:p w14:paraId="1F7C9D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）响应文件未提供任一项“供应商须知</w:t>
      </w:r>
      <w:r>
        <w:rPr>
          <w:rFonts w:hint="eastAsia" w:ascii="宋体" w:hAnsi="宋体" w:cs="宋体"/>
          <w:color w:val="auto"/>
          <w:szCs w:val="21"/>
          <w:highlight w:val="none"/>
          <w:lang w:val="en-US" w:eastAsia="zh-CN"/>
        </w:rPr>
        <w:t>正文</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报价</w:t>
      </w:r>
      <w:r>
        <w:rPr>
          <w:rFonts w:hint="eastAsia" w:ascii="宋体" w:hAnsi="宋体" w:cs="宋体"/>
          <w:color w:val="auto"/>
          <w:szCs w:val="21"/>
          <w:highlight w:val="none"/>
        </w:rPr>
        <w:t>文件中 “必须提供”的文件资料；响应文件提供的</w:t>
      </w:r>
      <w:r>
        <w:rPr>
          <w:rFonts w:hint="eastAsia" w:ascii="宋体" w:hAnsi="宋体" w:cs="宋体"/>
          <w:color w:val="auto"/>
          <w:szCs w:val="21"/>
          <w:highlight w:val="none"/>
          <w:lang w:val="en-US" w:eastAsia="zh-CN"/>
        </w:rPr>
        <w:t>报价</w:t>
      </w:r>
      <w:r>
        <w:rPr>
          <w:rFonts w:hint="eastAsia" w:ascii="宋体" w:hAnsi="宋体" w:cs="宋体"/>
          <w:color w:val="auto"/>
          <w:szCs w:val="21"/>
          <w:highlight w:val="none"/>
        </w:rPr>
        <w:t>文件出现任一项不符合“供应商须知前附表”</w:t>
      </w:r>
      <w:r>
        <w:rPr>
          <w:rFonts w:hint="eastAsia" w:ascii="宋体" w:hAnsi="宋体" w:cs="宋体"/>
          <w:color w:val="auto"/>
          <w:szCs w:val="21"/>
          <w:highlight w:val="none"/>
          <w:lang w:val="en-US" w:eastAsia="zh-CN"/>
        </w:rPr>
        <w:t>报价</w:t>
      </w:r>
      <w:r>
        <w:rPr>
          <w:rFonts w:hint="eastAsia" w:ascii="宋体" w:hAnsi="宋体" w:cs="宋体"/>
          <w:color w:val="auto"/>
          <w:szCs w:val="21"/>
          <w:highlight w:val="none"/>
        </w:rPr>
        <w:t>文件中 “必须提供”文件资料要求的规定或者提供的</w:t>
      </w:r>
      <w:r>
        <w:rPr>
          <w:rFonts w:hint="eastAsia" w:ascii="宋体" w:hAnsi="宋体" w:cs="宋体"/>
          <w:color w:val="auto"/>
          <w:szCs w:val="21"/>
          <w:highlight w:val="none"/>
          <w:lang w:val="en-US" w:eastAsia="zh-CN"/>
        </w:rPr>
        <w:t>报价</w:t>
      </w:r>
      <w:r>
        <w:rPr>
          <w:rFonts w:hint="eastAsia" w:ascii="宋体" w:hAnsi="宋体" w:cs="宋体"/>
          <w:color w:val="auto"/>
          <w:szCs w:val="21"/>
          <w:highlight w:val="none"/>
        </w:rPr>
        <w:t>文件无效。</w:t>
      </w:r>
    </w:p>
    <w:p w14:paraId="7A5B87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未对竞标有效期作出响应或者响应文件承诺的竞标有效期不满足磋商文件要求；</w:t>
      </w:r>
    </w:p>
    <w:p w14:paraId="3B87F9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）响应文件的实质性内容未使用中文表述、使用计量单位不符合磋商文件要求；</w:t>
      </w:r>
    </w:p>
    <w:p w14:paraId="4BD116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）响应文件中的文件资料因填写不齐全或者内容虚假或者出现其他情形而导致被磋商小组认定无效；</w:t>
      </w:r>
    </w:p>
    <w:p w14:paraId="1F4CCD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）响应文件含有采购人不能接受的附加条件；</w:t>
      </w:r>
    </w:p>
    <w:p w14:paraId="0B35CB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）属于“供应商须知正文”第</w:t>
      </w:r>
      <w:r>
        <w:rPr>
          <w:rFonts w:hint="eastAsia" w:ascii="宋体" w:hAnsi="宋体" w:cs="宋体"/>
          <w:color w:val="auto"/>
          <w:szCs w:val="21"/>
          <w:highlight w:val="none"/>
          <w:lang w:val="en-US" w:eastAsia="zh-CN"/>
        </w:rPr>
        <w:t>24.5、24.6</w:t>
      </w:r>
      <w:r>
        <w:rPr>
          <w:rFonts w:hint="eastAsia" w:ascii="宋体" w:hAnsi="宋体" w:cs="宋体"/>
          <w:color w:val="auto"/>
          <w:szCs w:val="21"/>
          <w:highlight w:val="none"/>
        </w:rPr>
        <w:t>条情形；</w:t>
      </w:r>
    </w:p>
    <w:p w14:paraId="3AC651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）虚假竞标，或者出现其他情形而导致被磋商小组认定无效；</w:t>
      </w:r>
    </w:p>
    <w:p w14:paraId="66DDB7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）响应文件标注的项目名称或者项目编号与竞争性磋商文件标注的项目名称或者项目编号不一致的；</w:t>
      </w:r>
    </w:p>
    <w:p w14:paraId="60302C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）未响应磋商文件实质性要求；</w:t>
      </w:r>
    </w:p>
    <w:p w14:paraId="4EA0EAE0">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w:t>
      </w:r>
      <w:r>
        <w:rPr>
          <w:rFonts w:hint="eastAsia" w:ascii="宋体" w:hAnsi="宋体" w:eastAsia="宋体" w:cs="宋体"/>
          <w:color w:val="auto"/>
          <w:szCs w:val="21"/>
          <w:highlight w:val="none"/>
        </w:rPr>
        <w:t>提交的磋商保证金无效的或者未按照磋商文件的规定提交磋商保证金；</w:t>
      </w:r>
    </w:p>
    <w:p w14:paraId="6A8678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）法律、法规和磋商文件规定的其他无效情形。</w:t>
      </w:r>
    </w:p>
    <w:p w14:paraId="42E07F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商务技术</w:t>
      </w:r>
      <w:r>
        <w:rPr>
          <w:rFonts w:hint="eastAsia" w:ascii="宋体" w:hAnsi="宋体" w:cs="宋体"/>
          <w:color w:val="auto"/>
          <w:szCs w:val="21"/>
          <w:highlight w:val="none"/>
        </w:rPr>
        <w:t>评审</w:t>
      </w:r>
    </w:p>
    <w:p w14:paraId="0C091B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响应文件未按磋商文件要求签署、盖章；</w:t>
      </w:r>
    </w:p>
    <w:p w14:paraId="3F5DE1F8">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2）响应文件未提供任一项“供应商须知</w:t>
      </w:r>
      <w:r>
        <w:rPr>
          <w:rFonts w:hint="eastAsia" w:ascii="宋体" w:hAnsi="宋体" w:cs="宋体"/>
          <w:color w:val="auto"/>
          <w:szCs w:val="21"/>
          <w:highlight w:val="none"/>
          <w:lang w:val="en-US" w:eastAsia="zh-CN"/>
        </w:rPr>
        <w:t>正文</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商务技术</w:t>
      </w:r>
      <w:r>
        <w:rPr>
          <w:rFonts w:hint="eastAsia" w:ascii="宋体" w:hAnsi="宋体" w:cs="宋体"/>
          <w:color w:val="auto"/>
          <w:szCs w:val="21"/>
          <w:highlight w:val="none"/>
        </w:rPr>
        <w:t>文件中 “必须提供”的文件资料；响应文件提供的</w:t>
      </w:r>
      <w:r>
        <w:rPr>
          <w:rFonts w:hint="eastAsia" w:ascii="宋体" w:hAnsi="宋体" w:cs="宋体"/>
          <w:color w:val="auto"/>
          <w:szCs w:val="21"/>
          <w:highlight w:val="none"/>
          <w:lang w:val="en-US" w:eastAsia="zh-CN"/>
        </w:rPr>
        <w:t>商务技术</w:t>
      </w:r>
      <w:r>
        <w:rPr>
          <w:rFonts w:hint="eastAsia" w:ascii="宋体" w:hAnsi="宋体" w:cs="宋体"/>
          <w:color w:val="auto"/>
          <w:szCs w:val="21"/>
          <w:highlight w:val="none"/>
        </w:rPr>
        <w:t>文件出现任一项不符合“供应商须知前附表”</w:t>
      </w:r>
      <w:r>
        <w:rPr>
          <w:rFonts w:hint="eastAsia" w:ascii="宋体" w:hAnsi="宋体" w:cs="宋体"/>
          <w:color w:val="auto"/>
          <w:szCs w:val="21"/>
          <w:highlight w:val="none"/>
          <w:lang w:val="en-US" w:eastAsia="zh-CN"/>
        </w:rPr>
        <w:t>商务技术</w:t>
      </w:r>
      <w:r>
        <w:rPr>
          <w:rFonts w:hint="eastAsia" w:ascii="宋体" w:hAnsi="宋体" w:cs="宋体"/>
          <w:color w:val="auto"/>
          <w:szCs w:val="21"/>
          <w:highlight w:val="none"/>
        </w:rPr>
        <w:t>文件中 “必须提供”文件资料要求的规定或者提供的</w:t>
      </w:r>
      <w:r>
        <w:rPr>
          <w:rFonts w:hint="eastAsia" w:ascii="宋体" w:hAnsi="宋体" w:cs="宋体"/>
          <w:color w:val="auto"/>
          <w:szCs w:val="21"/>
          <w:highlight w:val="none"/>
          <w:lang w:val="en-US" w:eastAsia="zh-CN"/>
        </w:rPr>
        <w:t>商务技术</w:t>
      </w:r>
      <w:r>
        <w:rPr>
          <w:rFonts w:hint="eastAsia" w:ascii="宋体" w:hAnsi="宋体" w:cs="宋体"/>
          <w:color w:val="auto"/>
          <w:szCs w:val="21"/>
          <w:highlight w:val="none"/>
        </w:rPr>
        <w:t>文件无效</w:t>
      </w:r>
      <w:r>
        <w:rPr>
          <w:rFonts w:hint="eastAsia" w:ascii="宋体" w:hAnsi="宋体" w:cs="宋体"/>
          <w:color w:val="auto"/>
          <w:szCs w:val="21"/>
          <w:highlight w:val="none"/>
          <w:lang w:eastAsia="zh-CN"/>
        </w:rPr>
        <w:t>；</w:t>
      </w:r>
    </w:p>
    <w:p w14:paraId="7CCA1F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）响应文件中的文件资料因填写不齐全或者内容虚假或者出现其他情形而导致被磋商小组认定无效；</w:t>
      </w:r>
    </w:p>
    <w:p w14:paraId="1DAAA6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）响应文件含有采购人不能接受的附加条件；</w:t>
      </w:r>
    </w:p>
    <w:p w14:paraId="736D162E">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属于“供应商须知正文”第</w:t>
      </w:r>
      <w:r>
        <w:rPr>
          <w:rFonts w:hint="eastAsia" w:ascii="宋体" w:hAnsi="宋体" w:cs="宋体"/>
          <w:color w:val="auto"/>
          <w:szCs w:val="21"/>
          <w:highlight w:val="none"/>
          <w:lang w:val="en-US" w:eastAsia="zh-CN"/>
        </w:rPr>
        <w:t>24.5、24.6</w:t>
      </w:r>
      <w:r>
        <w:rPr>
          <w:rFonts w:hint="eastAsia" w:ascii="宋体" w:hAnsi="宋体" w:cs="宋体"/>
          <w:color w:val="auto"/>
          <w:szCs w:val="21"/>
          <w:highlight w:val="none"/>
        </w:rPr>
        <w:t>条情形</w:t>
      </w:r>
      <w:r>
        <w:rPr>
          <w:rFonts w:hint="eastAsia" w:ascii="宋体" w:hAnsi="宋体" w:cs="宋体"/>
          <w:color w:val="auto"/>
          <w:szCs w:val="21"/>
          <w:highlight w:val="none"/>
          <w:lang w:eastAsia="zh-CN"/>
        </w:rPr>
        <w:t>；</w:t>
      </w:r>
    </w:p>
    <w:p w14:paraId="562924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虚假竞标，或者出现其他情形而导致被磋商小组认定无效；</w:t>
      </w:r>
    </w:p>
    <w:p w14:paraId="5A838C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）竞标技术方案不明确，磋商文件未允许</w:t>
      </w:r>
      <w:r>
        <w:rPr>
          <w:rFonts w:hint="eastAsia" w:ascii="宋体" w:hAnsi="宋体"/>
          <w:color w:val="auto"/>
          <w:szCs w:val="21"/>
          <w:highlight w:val="none"/>
        </w:rPr>
        <w:t>但响应文件中</w:t>
      </w:r>
      <w:r>
        <w:rPr>
          <w:rFonts w:hint="eastAsia" w:ascii="宋体" w:hAnsi="宋体" w:cs="宋体"/>
          <w:color w:val="auto"/>
          <w:szCs w:val="21"/>
          <w:highlight w:val="none"/>
        </w:rPr>
        <w:t>存在一个或者一个以上备选（替代）竞标方案；</w:t>
      </w:r>
    </w:p>
    <w:p w14:paraId="0B84AE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）响应文件标注的项目名称或者项目编号与竞争性磋商文件标注的项目名称或者项目编号不一致的；</w:t>
      </w:r>
    </w:p>
    <w:p w14:paraId="2AA458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）未响应磋商文件实质性要求；</w:t>
      </w:r>
    </w:p>
    <w:p w14:paraId="62A6FD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）法律、法规和磋商文件规定的其他无效情形。</w:t>
      </w:r>
    </w:p>
    <w:p w14:paraId="1FD070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9CA84F0">
      <w:pPr>
        <w:spacing w:line="360" w:lineRule="auto"/>
        <w:ind w:firstLine="420" w:firstLineChars="200"/>
        <w:rPr>
          <w:rFonts w:hint="eastAsia" w:ascii="黑体" w:hAnsi="黑体" w:eastAsia="黑体" w:cs="宋体"/>
          <w:b/>
          <w:bCs/>
          <w:color w:val="auto"/>
          <w:sz w:val="24"/>
          <w:highlight w:val="none"/>
        </w:rPr>
      </w:pPr>
      <w:bookmarkStart w:id="1230" w:name="OLE_LINK40"/>
      <w:r>
        <w:rPr>
          <w:rFonts w:hint="eastAsia" w:ascii="宋体" w:hAnsi="宋体" w:cs="宋体"/>
          <w:color w:val="auto"/>
          <w:szCs w:val="21"/>
          <w:highlight w:val="none"/>
        </w:rPr>
        <w:t>3</w:t>
      </w:r>
      <w:r>
        <w:rPr>
          <w:rFonts w:ascii="宋体" w:hAnsi="宋体" w:cs="宋体"/>
          <w:color w:val="auto"/>
          <w:szCs w:val="21"/>
          <w:highlight w:val="none"/>
        </w:rPr>
        <w:t>.7</w:t>
      </w:r>
      <w:bookmarkEnd w:id="1230"/>
      <w:r>
        <w:rPr>
          <w:rFonts w:hint="eastAsia" w:ascii="宋体" w:hAnsi="宋体" w:cs="宋体"/>
          <w:color w:val="auto"/>
          <w:szCs w:val="21"/>
          <w:highlight w:val="none"/>
        </w:rPr>
        <w:t>非</w:t>
      </w:r>
      <w:r>
        <w:rPr>
          <w:rFonts w:hint="eastAsia" w:ascii="宋体" w:hAnsi="宋体"/>
          <w:color w:val="auto"/>
          <w:szCs w:val="21"/>
          <w:highlight w:val="none"/>
        </w:rPr>
        <w:t>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36153BEE">
      <w:pPr>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4.磋商程序</w:t>
      </w:r>
    </w:p>
    <w:p w14:paraId="19BE1DF7">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D09F7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在磋商过程中，磋商小组可以根据磋商文件和磋商情况实质性变动</w:t>
      </w:r>
      <w:r>
        <w:rPr>
          <w:rFonts w:hint="eastAsia" w:ascii="宋体" w:hAnsi="宋体" w:cs="宋体"/>
          <w:color w:val="auto"/>
          <w:szCs w:val="21"/>
          <w:highlight w:val="none"/>
          <w:lang w:val="en-US" w:eastAsia="zh-CN"/>
        </w:rPr>
        <w:t>磋商文件</w:t>
      </w:r>
      <w:r>
        <w:rPr>
          <w:rFonts w:hint="eastAsia" w:ascii="宋体" w:hAnsi="宋体" w:cs="宋体"/>
          <w:color w:val="auto"/>
          <w:szCs w:val="21"/>
          <w:highlight w:val="none"/>
        </w:rPr>
        <w:t>中的技术、服务要求以及合同草案条款，但不得变动磋商文件中的其他内容。实质性变动的内容，须经采购人代表确认。可能实质性变动的内容为采购需求中的技术、服务要求以及合同草案条款。</w:t>
      </w:r>
    </w:p>
    <w:p w14:paraId="41255C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377584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.4</w:t>
      </w:r>
      <w:r>
        <w:rPr>
          <w:rFonts w:hint="eastAsia" w:ascii="宋体" w:hAnsi="宋体" w:cs="宋体"/>
          <w:color w:val="auto"/>
          <w:szCs w:val="21"/>
          <w:highlight w:val="none"/>
        </w:rPr>
        <w:t>供应商必须按照磋商文件的变动情况和磋商小组的要求以回函的形式重新提交响应文件，并加盖</w:t>
      </w:r>
      <w:r>
        <w:rPr>
          <w:rFonts w:hint="eastAsia" w:ascii="宋体" w:hAnsi="宋体" w:cs="宋体"/>
          <w:color w:val="auto"/>
          <w:szCs w:val="21"/>
          <w:highlight w:val="none"/>
          <w:lang w:eastAsia="zh-CN"/>
        </w:rPr>
        <w:t>电子印章</w:t>
      </w:r>
      <w:r>
        <w:rPr>
          <w:rFonts w:hint="eastAsia" w:ascii="宋体" w:hAnsi="宋体" w:cs="宋体"/>
          <w:color w:val="auto"/>
          <w:szCs w:val="21"/>
          <w:highlight w:val="none"/>
        </w:rPr>
        <w:t>。供应商为自然人的，必须由本人签字并附身份证明。参加磋商的供应商未在规定时间内重新提交响应文件的，视同退出磋商。</w:t>
      </w:r>
    </w:p>
    <w:p w14:paraId="0875D4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27ACC88A">
      <w:pPr>
        <w:widowControl/>
        <w:tabs>
          <w:tab w:val="left" w:pos="540"/>
        </w:tabs>
        <w:spacing w:line="360" w:lineRule="auto"/>
        <w:ind w:firstLine="420" w:firstLineChars="200"/>
        <w:jc w:val="left"/>
        <w:rPr>
          <w:rFonts w:hint="eastAsia" w:ascii="仿宋" w:hAnsi="仿宋" w:eastAsia="仿宋" w:cs="仿宋_GB2312"/>
          <w:b/>
          <w:color w:val="auto"/>
          <w:highlight w:val="none"/>
        </w:rPr>
      </w:pPr>
      <w:r>
        <w:rPr>
          <w:rFonts w:hint="eastAsia" w:ascii="宋体" w:hAnsi="宋体" w:cs="宋体"/>
          <w:color w:val="auto"/>
          <w:szCs w:val="21"/>
          <w:highlight w:val="none"/>
        </w:rPr>
        <w:t>4</w:t>
      </w:r>
      <w:r>
        <w:rPr>
          <w:rFonts w:ascii="宋体" w:hAnsi="宋体" w:cs="宋体"/>
          <w:color w:val="auto"/>
          <w:szCs w:val="21"/>
          <w:highlight w:val="none"/>
        </w:rPr>
        <w:t>.6</w:t>
      </w:r>
      <w:r>
        <w:rPr>
          <w:rFonts w:hint="eastAsia" w:ascii="宋体" w:hAnsi="宋体" w:cs="宋体"/>
          <w:color w:val="auto"/>
          <w:szCs w:val="21"/>
          <w:highlight w:val="none"/>
        </w:rPr>
        <w:t>磋商小组应对磋商过程和重要磋商内容进行记录，作为评标报告一部分，磋商小组在记录上签字确认。</w:t>
      </w:r>
      <w:r>
        <w:rPr>
          <w:rFonts w:hint="eastAsia" w:ascii="仿宋" w:hAnsi="仿宋" w:eastAsia="仿宋" w:cs="仿宋_GB2312"/>
          <w:b/>
          <w:color w:val="auto"/>
          <w:highlight w:val="none"/>
        </w:rPr>
        <w:t>主要内容包括：</w:t>
      </w:r>
    </w:p>
    <w:p w14:paraId="17E1D1F6">
      <w:pPr>
        <w:pStyle w:val="45"/>
        <w:spacing w:before="0"/>
        <w:ind w:firstLine="396" w:firstLineChars="200"/>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14:paraId="4D7E0837">
      <w:pPr>
        <w:pStyle w:val="45"/>
        <w:spacing w:before="0"/>
        <w:ind w:firstLine="396" w:firstLineChars="200"/>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14:paraId="55EABFC8">
      <w:pPr>
        <w:pStyle w:val="45"/>
        <w:spacing w:before="0"/>
        <w:ind w:firstLine="396" w:firstLineChars="200"/>
        <w:rPr>
          <w:rFonts w:hint="eastAsia"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14:paraId="64B8369D">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7</w:t>
      </w:r>
      <w:r>
        <w:rPr>
          <w:rFonts w:hint="eastAsia" w:ascii="宋体" w:hAnsi="宋体" w:cs="宋体"/>
          <w:color w:val="auto"/>
          <w:szCs w:val="21"/>
          <w:highlight w:val="none"/>
        </w:rPr>
        <w:t>磋商过程中重新提交的响应文件，供应商可以在开启前补充、修改。</w:t>
      </w:r>
    </w:p>
    <w:p w14:paraId="6980DC5B">
      <w:pPr>
        <w:tabs>
          <w:tab w:val="left" w:pos="2835"/>
        </w:tabs>
        <w:spacing w:line="360" w:lineRule="auto"/>
        <w:ind w:firstLine="420" w:firstLineChars="200"/>
        <w:rPr>
          <w:rFonts w:hint="eastAsia" w:ascii="黑体" w:hAnsi="黑体" w:eastAsia="黑体" w:cs="宋体"/>
          <w:b/>
          <w:bCs/>
          <w:color w:val="auto"/>
          <w:sz w:val="24"/>
          <w:highlight w:val="none"/>
        </w:rPr>
      </w:pPr>
      <w:r>
        <w:rPr>
          <w:rFonts w:hint="eastAsia" w:ascii="宋体" w:hAnsi="宋体" w:cs="宋体"/>
          <w:color w:val="auto"/>
          <w:szCs w:val="21"/>
          <w:highlight w:val="none"/>
        </w:rPr>
        <w:t>4</w:t>
      </w:r>
      <w:r>
        <w:rPr>
          <w:rFonts w:ascii="宋体" w:hAnsi="宋体" w:cs="宋体"/>
          <w:color w:val="auto"/>
          <w:szCs w:val="21"/>
          <w:highlight w:val="none"/>
        </w:rPr>
        <w:t>.8</w:t>
      </w:r>
      <w:r>
        <w:rPr>
          <w:rFonts w:hint="eastAsia" w:ascii="宋体" w:hAnsi="宋体"/>
          <w:color w:val="auto"/>
          <w:szCs w:val="21"/>
          <w:highlight w:val="none"/>
        </w:rPr>
        <w:t>对磋商过程提交的响应文件进行有效性、完整性和响应程度审查，通过审查的合格供应商不足3家的，应当重新开展采购活动。</w:t>
      </w:r>
    </w:p>
    <w:p w14:paraId="29C17517">
      <w:pPr>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 最后报价</w:t>
      </w:r>
    </w:p>
    <w:p w14:paraId="7D5B69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.1</w:t>
      </w:r>
      <w:r>
        <w:rPr>
          <w:rFonts w:hint="eastAsia" w:ascii="宋体" w:hAnsi="宋体" w:eastAsia="宋体" w:cs="宋体"/>
          <w:color w:val="auto"/>
          <w:szCs w:val="21"/>
          <w:highlight w:val="none"/>
        </w:rPr>
        <w:t>磋商结束后，由磋商小组要求所有继续参加磋商的供应商在规定时间内</w:t>
      </w:r>
      <w:r>
        <w:rPr>
          <w:rFonts w:hint="eastAsia" w:ascii="宋体" w:hAnsi="宋体" w:cs="宋体"/>
          <w:color w:val="auto"/>
          <w:szCs w:val="21"/>
          <w:highlight w:val="none"/>
          <w:lang w:val="en-US" w:eastAsia="zh-CN"/>
        </w:rPr>
        <w:t>加密在线</w:t>
      </w:r>
      <w:r>
        <w:rPr>
          <w:rFonts w:hint="eastAsia" w:ascii="宋体" w:hAnsi="宋体" w:cs="宋体"/>
          <w:color w:val="auto"/>
          <w:szCs w:val="21"/>
          <w:highlight w:val="none"/>
        </w:rPr>
        <w:t>提交最后报价</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lang w:eastAsia="zh-CN"/>
        </w:rPr>
        <w:t>最后</w:t>
      </w:r>
      <w:r>
        <w:rPr>
          <w:rFonts w:hint="eastAsia" w:ascii="宋体" w:hAnsi="宋体" w:eastAsia="宋体" w:cs="宋体"/>
          <w:b/>
          <w:bCs/>
          <w:color w:val="auto"/>
          <w:szCs w:val="21"/>
          <w:highlight w:val="none"/>
        </w:rPr>
        <w:t>报价如有变动必须按工程量清单报价文件的要求及格式编制</w:t>
      </w:r>
      <w:r>
        <w:rPr>
          <w:rFonts w:hint="eastAsia" w:ascii="宋体" w:hAnsi="宋体" w:cs="宋体"/>
          <w:b/>
          <w:bCs/>
          <w:color w:val="auto"/>
          <w:szCs w:val="21"/>
          <w:highlight w:val="none"/>
          <w:lang w:val="en-US" w:eastAsia="zh-CN"/>
        </w:rPr>
        <w:t>并加盖供应商电子印章及相关编制人员（如有要求）签字或盖章（此处所指“签字或盖章”为手写签字或盖章后扫描上传）</w:t>
      </w:r>
      <w:r>
        <w:rPr>
          <w:rFonts w:hint="eastAsia" w:ascii="宋体" w:hAnsi="宋体" w:eastAsia="宋体" w:cs="宋体"/>
          <w:b/>
          <w:bCs/>
          <w:color w:val="auto"/>
          <w:szCs w:val="21"/>
          <w:highlight w:val="none"/>
        </w:rPr>
        <w:t>，不得以总价下浮的方式做</w:t>
      </w:r>
      <w:r>
        <w:rPr>
          <w:rFonts w:hint="eastAsia" w:ascii="宋体" w:hAnsi="宋体" w:eastAsia="宋体" w:cs="宋体"/>
          <w:b/>
          <w:bCs/>
          <w:color w:val="auto"/>
          <w:szCs w:val="21"/>
          <w:highlight w:val="none"/>
          <w:lang w:eastAsia="zh-CN"/>
        </w:rPr>
        <w:t>最后</w:t>
      </w:r>
      <w:r>
        <w:rPr>
          <w:rFonts w:hint="eastAsia" w:ascii="宋体" w:hAnsi="宋体" w:eastAsia="宋体" w:cs="宋体"/>
          <w:b/>
          <w:bCs/>
          <w:color w:val="auto"/>
          <w:szCs w:val="21"/>
          <w:highlight w:val="none"/>
        </w:rPr>
        <w:t>报价，否则，作无效</w:t>
      </w:r>
      <w:r>
        <w:rPr>
          <w:rFonts w:hint="eastAsia" w:ascii="宋体" w:hAnsi="宋体" w:cs="宋体"/>
          <w:b/>
          <w:bCs/>
          <w:color w:val="auto"/>
          <w:szCs w:val="21"/>
          <w:highlight w:val="none"/>
          <w:lang w:val="en-US" w:eastAsia="zh-CN"/>
        </w:rPr>
        <w:t>磋商</w:t>
      </w:r>
      <w:r>
        <w:rPr>
          <w:rFonts w:hint="eastAsia" w:ascii="宋体" w:hAnsi="宋体" w:eastAsia="宋体" w:cs="宋体"/>
          <w:b/>
          <w:bCs/>
          <w:color w:val="auto"/>
          <w:szCs w:val="21"/>
          <w:highlight w:val="none"/>
        </w:rPr>
        <w:t>处理，供应商须提前做好相关准备并按时递交</w:t>
      </w:r>
      <w:r>
        <w:rPr>
          <w:rFonts w:hint="eastAsia" w:ascii="宋体" w:hAnsi="宋体" w:eastAsia="宋体" w:cs="宋体"/>
          <w:b/>
          <w:bCs/>
          <w:color w:val="auto"/>
          <w:szCs w:val="21"/>
          <w:highlight w:val="none"/>
          <w:lang w:eastAsia="zh-CN"/>
        </w:rPr>
        <w:t>最后</w:t>
      </w:r>
      <w:r>
        <w:rPr>
          <w:rFonts w:hint="eastAsia" w:ascii="宋体" w:hAnsi="宋体" w:eastAsia="宋体" w:cs="宋体"/>
          <w:b/>
          <w:bCs/>
          <w:color w:val="auto"/>
          <w:szCs w:val="21"/>
          <w:highlight w:val="none"/>
        </w:rPr>
        <w:t>报价文件</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以附件的方式上传</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最后</w:t>
      </w:r>
      <w:r>
        <w:rPr>
          <w:rFonts w:hint="eastAsia" w:ascii="宋体" w:hAnsi="宋体" w:eastAsia="宋体" w:cs="宋体"/>
          <w:b/>
          <w:bCs/>
          <w:color w:val="auto"/>
          <w:szCs w:val="21"/>
          <w:highlight w:val="none"/>
        </w:rPr>
        <w:t>报价高于采购预算控制价的响应文件将被拒绝。</w:t>
      </w:r>
      <w:r>
        <w:rPr>
          <w:rFonts w:hint="eastAsia" w:ascii="宋体" w:hAnsi="宋体" w:cs="宋体"/>
          <w:color w:val="auto"/>
          <w:szCs w:val="21"/>
          <w:highlight w:val="none"/>
        </w:rPr>
        <w:t>除本章第5</w:t>
      </w:r>
      <w:r>
        <w:rPr>
          <w:rFonts w:ascii="宋体" w:hAnsi="宋体" w:cs="宋体"/>
          <w:color w:val="auto"/>
          <w:szCs w:val="21"/>
          <w:highlight w:val="none"/>
        </w:rPr>
        <w:t>.3</w:t>
      </w:r>
      <w:r>
        <w:rPr>
          <w:rFonts w:hint="eastAsia" w:ascii="宋体" w:hAnsi="宋体" w:cs="宋体"/>
          <w:color w:val="auto"/>
          <w:szCs w:val="21"/>
          <w:highlight w:val="none"/>
        </w:rPr>
        <w:t>条外，提交最后报价的供应商不得少于3家，否则必须重新采购。</w:t>
      </w:r>
    </w:p>
    <w:p w14:paraId="3FC922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w:t>
      </w:r>
      <w:r>
        <w:rPr>
          <w:rFonts w:hint="eastAsia" w:ascii="宋体" w:hAnsi="宋体" w:cs="宋体"/>
          <w:color w:val="auto"/>
          <w:szCs w:val="21"/>
          <w:highlight w:val="none"/>
          <w:lang w:val="en-US" w:eastAsia="zh-CN"/>
        </w:rPr>
        <w:t>在线</w:t>
      </w:r>
      <w:r>
        <w:rPr>
          <w:rFonts w:hint="eastAsia" w:ascii="宋体" w:hAnsi="宋体" w:cs="宋体"/>
          <w:color w:val="auto"/>
          <w:szCs w:val="21"/>
          <w:highlight w:val="none"/>
        </w:rPr>
        <w:t>提交最后报价。</w:t>
      </w:r>
    </w:p>
    <w:p w14:paraId="6E0A4C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.3</w:t>
      </w:r>
      <w:r>
        <w:rPr>
          <w:rFonts w:hint="eastAsia" w:ascii="宋体" w:hAnsi="宋体" w:cs="宋体"/>
          <w:color w:val="auto"/>
          <w:szCs w:val="21"/>
          <w:highlight w:val="none"/>
        </w:rPr>
        <w:t xml:space="preserve"> </w:t>
      </w:r>
      <w:bookmarkStart w:id="1231" w:name="OLE_LINK66"/>
      <w:r>
        <w:rPr>
          <w:rFonts w:hint="eastAsia" w:ascii="宋体" w:hAnsi="宋体" w:cs="宋体"/>
          <w:color w:val="auto"/>
          <w:szCs w:val="21"/>
          <w:highlight w:val="none"/>
        </w:rPr>
        <w:t>最后报价是供应商响应文件的有效组成部分。符合《政府采购竞争性磋商采购方式管理暂行办法》（财库〔2014〕214号）第三条第四项“市场竞争不充分的科研项目，以及需要扶持的科技成果转化项目</w:t>
      </w:r>
      <w:bookmarkEnd w:id="1231"/>
      <w:r>
        <w:rPr>
          <w:rFonts w:hint="eastAsia" w:ascii="宋体" w:hAnsi="宋体" w:cs="宋体"/>
          <w:color w:val="auto"/>
          <w:szCs w:val="21"/>
          <w:highlight w:val="none"/>
        </w:rPr>
        <w:t>”的</w:t>
      </w:r>
      <w:r>
        <w:rPr>
          <w:rFonts w:hint="eastAsia" w:ascii="宋体" w:hAnsi="宋体"/>
          <w:color w:val="auto"/>
          <w:szCs w:val="21"/>
          <w:highlight w:val="none"/>
          <w:lang w:eastAsia="zh-CN"/>
        </w:rPr>
        <w:t>，</w:t>
      </w:r>
      <w:r>
        <w:rPr>
          <w:rFonts w:hint="eastAsia" w:ascii="宋体" w:hAnsi="宋体" w:cs="宋体"/>
          <w:color w:val="auto"/>
          <w:szCs w:val="21"/>
          <w:highlight w:val="none"/>
        </w:rPr>
        <w:t>提交最后报价的供应商可以为2家。</w:t>
      </w:r>
    </w:p>
    <w:p w14:paraId="1684360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w:t>
      </w:r>
    </w:p>
    <w:p w14:paraId="638E20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.5</w:t>
      </w:r>
      <w:r>
        <w:rPr>
          <w:rFonts w:hint="eastAsia" w:ascii="宋体" w:hAnsi="宋体" w:cs="宋体"/>
          <w:color w:val="auto"/>
          <w:szCs w:val="21"/>
          <w:highlight w:val="none"/>
        </w:rPr>
        <w:t>供应商未在规定时间内提交最后报价的，视为退出磋商，其响应文件作无效处理。</w:t>
      </w:r>
    </w:p>
    <w:p w14:paraId="49536F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.6</w:t>
      </w:r>
      <w:r>
        <w:rPr>
          <w:rFonts w:hint="eastAsia" w:ascii="宋体" w:hAnsi="宋体" w:cs="宋体"/>
          <w:color w:val="auto"/>
          <w:szCs w:val="21"/>
          <w:highlight w:val="none"/>
        </w:rPr>
        <w:t>磋商小组收齐</w:t>
      </w:r>
      <w:r>
        <w:rPr>
          <w:rFonts w:hint="eastAsia" w:ascii="宋体" w:hAnsi="宋体" w:cs="宋体"/>
          <w:color w:val="auto"/>
          <w:szCs w:val="21"/>
          <w:highlight w:val="none"/>
          <w:lang w:val="en-US" w:eastAsia="zh-CN"/>
        </w:rPr>
        <w:t>本项目</w:t>
      </w:r>
      <w:r>
        <w:rPr>
          <w:rFonts w:hint="eastAsia" w:ascii="宋体" w:hAnsi="宋体" w:cs="宋体"/>
          <w:color w:val="auto"/>
          <w:szCs w:val="21"/>
          <w:highlight w:val="none"/>
        </w:rPr>
        <w:t>最后报价后统一开启，磋商小组对最后报价进行有效性、完整性和响应程度的审查。</w:t>
      </w:r>
    </w:p>
    <w:p w14:paraId="5A7F79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.7</w:t>
      </w:r>
      <w:r>
        <w:rPr>
          <w:rFonts w:hint="eastAsia" w:ascii="宋体" w:hAnsi="宋体" w:cs="宋体"/>
          <w:color w:val="auto"/>
          <w:szCs w:val="21"/>
          <w:highlight w:val="none"/>
        </w:rPr>
        <w:t>最终响应文件的报价出现前后不一致的，按照</w:t>
      </w:r>
      <w:bookmarkStart w:id="1232" w:name="OLE_LINK41"/>
      <w:r>
        <w:rPr>
          <w:rFonts w:hint="eastAsia" w:ascii="宋体" w:hAnsi="宋体" w:cs="宋体"/>
          <w:color w:val="auto"/>
          <w:szCs w:val="21"/>
          <w:highlight w:val="none"/>
        </w:rPr>
        <w:t>本章第3</w:t>
      </w:r>
      <w:r>
        <w:rPr>
          <w:rFonts w:ascii="宋体" w:hAnsi="宋体" w:cs="宋体"/>
          <w:color w:val="auto"/>
          <w:szCs w:val="21"/>
          <w:highlight w:val="none"/>
        </w:rPr>
        <w:t>.4</w:t>
      </w:r>
      <w:r>
        <w:rPr>
          <w:rFonts w:hint="eastAsia" w:ascii="宋体" w:hAnsi="宋体" w:cs="宋体"/>
          <w:color w:val="auto"/>
          <w:szCs w:val="21"/>
          <w:highlight w:val="none"/>
        </w:rPr>
        <w:t>条</w:t>
      </w:r>
      <w:bookmarkEnd w:id="1232"/>
      <w:r>
        <w:rPr>
          <w:rFonts w:hint="eastAsia" w:ascii="宋体" w:hAnsi="宋体" w:cs="宋体"/>
          <w:color w:val="auto"/>
          <w:szCs w:val="21"/>
          <w:highlight w:val="none"/>
        </w:rPr>
        <w:t xml:space="preserve">的规定修正。 </w:t>
      </w:r>
    </w:p>
    <w:p w14:paraId="471E8F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.8</w:t>
      </w:r>
      <w:r>
        <w:rPr>
          <w:rFonts w:hint="eastAsia" w:ascii="宋体" w:hAnsi="宋体" w:cs="宋体"/>
          <w:color w:val="auto"/>
          <w:szCs w:val="21"/>
          <w:highlight w:val="none"/>
        </w:rPr>
        <w:t>修正后的报价出现下列情形的，按无效响应处理：</w:t>
      </w:r>
    </w:p>
    <w:p w14:paraId="304AD6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6EE454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w:t>
      </w:r>
      <w:r>
        <w:rPr>
          <w:rFonts w:hint="eastAsia" w:ascii="宋体" w:hAnsi="宋体" w:cs="宋体"/>
          <w:color w:val="auto"/>
          <w:szCs w:val="21"/>
          <w:highlight w:val="none"/>
          <w:lang w:eastAsia="zh-CN"/>
        </w:rPr>
        <w:t>竞标报价</w:t>
      </w:r>
      <w:r>
        <w:rPr>
          <w:rFonts w:hint="eastAsia" w:ascii="宋体" w:hAnsi="宋体" w:cs="宋体"/>
          <w:color w:val="auto"/>
          <w:szCs w:val="21"/>
          <w:highlight w:val="none"/>
        </w:rPr>
        <w:t>（包含首次报价、最后报价）超过</w:t>
      </w:r>
      <w:r>
        <w:rPr>
          <w:rFonts w:hint="eastAsia" w:ascii="宋体" w:hAnsi="宋体" w:cs="宋体"/>
          <w:color w:val="auto"/>
          <w:szCs w:val="21"/>
          <w:highlight w:val="none"/>
          <w:lang w:eastAsia="zh-CN"/>
        </w:rPr>
        <w:t>所竞标项目</w:t>
      </w:r>
      <w:r>
        <w:rPr>
          <w:rFonts w:hint="eastAsia" w:ascii="宋体" w:hAnsi="宋体" w:cs="宋体"/>
          <w:color w:val="auto"/>
          <w:szCs w:val="21"/>
          <w:highlight w:val="none"/>
        </w:rPr>
        <w:t>规定的采购预算金额或者最高限价的（如本项目公布了最高限价）；</w:t>
      </w:r>
    </w:p>
    <w:p w14:paraId="3BC53F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w:t>
      </w:r>
      <w:r>
        <w:rPr>
          <w:rFonts w:hint="eastAsia" w:ascii="宋体" w:hAnsi="宋体" w:cs="宋体"/>
          <w:color w:val="auto"/>
          <w:szCs w:val="21"/>
          <w:highlight w:val="none"/>
          <w:lang w:eastAsia="zh-CN"/>
        </w:rPr>
        <w:t>竞标报价</w:t>
      </w:r>
      <w:r>
        <w:rPr>
          <w:rFonts w:hint="eastAsia" w:ascii="宋体" w:hAnsi="宋体" w:cs="宋体"/>
          <w:color w:val="auto"/>
          <w:szCs w:val="21"/>
          <w:highlight w:val="none"/>
        </w:rPr>
        <w:t>（包含首次报价、最后报价）超过分项采购预算金额或者最高限价的（如本项目公布了最高限价）。</w:t>
      </w:r>
    </w:p>
    <w:p w14:paraId="7EA854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.9</w:t>
      </w:r>
      <w:r>
        <w:rPr>
          <w:rFonts w:hint="eastAsia" w:ascii="宋体" w:hAnsi="宋体" w:cs="宋体"/>
          <w:color w:val="auto"/>
          <w:szCs w:val="21"/>
          <w:highlight w:val="none"/>
        </w:rPr>
        <w:t>经供应商确认修正后的最后报价作为评审及签订合同的依据。</w:t>
      </w:r>
    </w:p>
    <w:p w14:paraId="55F317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29A4E88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1最后报价结束后，磋商小组不得再与供应商进行任何形式的商谈。</w:t>
      </w:r>
    </w:p>
    <w:p w14:paraId="10161BD6">
      <w:pPr>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6</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11218C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.1</w:t>
      </w:r>
      <w:r>
        <w:rPr>
          <w:rFonts w:hint="eastAsia" w:ascii="宋体" w:hAnsi="宋体" w:cs="宋体"/>
          <w:color w:val="auto"/>
          <w:szCs w:val="21"/>
          <w:highlight w:val="none"/>
        </w:rPr>
        <w:t>评审方法：综合评分法。</w:t>
      </w:r>
    </w:p>
    <w:p w14:paraId="31FA4B9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6.2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11B0239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6.3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463938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6261A1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2D02374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6.4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749F0637">
      <w:pPr>
        <w:spacing w:line="360" w:lineRule="auto"/>
        <w:ind w:firstLine="420" w:firstLineChars="200"/>
        <w:rPr>
          <w:rFonts w:hint="eastAsia" w:ascii="宋体" w:hAnsi="宋体"/>
          <w:color w:val="auto"/>
          <w:kern w:val="0"/>
          <w:szCs w:val="21"/>
          <w:highlight w:val="none"/>
        </w:rPr>
      </w:pPr>
      <w:r>
        <w:rPr>
          <w:rFonts w:ascii="宋体" w:hAnsi="宋体" w:cs="宋体"/>
          <w:color w:val="auto"/>
          <w:szCs w:val="21"/>
          <w:highlight w:val="none"/>
        </w:rPr>
        <w:t>6.5</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hint="eastAsia" w:ascii="宋体" w:hAnsi="宋体"/>
          <w:color w:val="auto"/>
          <w:kern w:val="0"/>
          <w:szCs w:val="21"/>
          <w:highlight w:val="none"/>
          <w:lang w:val="en-US" w:eastAsia="zh-CN"/>
        </w:rPr>
        <w:t>5</w:t>
      </w:r>
      <w:r>
        <w:rPr>
          <w:rFonts w:ascii="宋体" w:hAnsi="宋体"/>
          <w:color w:val="auto"/>
          <w:kern w:val="0"/>
          <w:szCs w:val="21"/>
          <w:highlight w:val="none"/>
        </w:rPr>
        <w:t>.3</w:t>
      </w:r>
      <w:r>
        <w:rPr>
          <w:rFonts w:hint="eastAsia" w:ascii="宋体" w:hAnsi="宋体"/>
          <w:color w:val="auto"/>
          <w:kern w:val="0"/>
          <w:szCs w:val="21"/>
          <w:highlight w:val="none"/>
        </w:rPr>
        <w:t>条情形的，可以推荐2家成交候选供应商。评审得分相同的，按照最后报价由低到高的顺序推荐。评审得分且最后报价相同的，按照技术指标优劣顺序推荐</w:t>
      </w:r>
      <w:r>
        <w:rPr>
          <w:rFonts w:hint="eastAsia" w:ascii="宋体" w:hAnsi="宋体" w:eastAsia="宋体" w:cs="宋体"/>
          <w:bCs/>
          <w:color w:val="auto"/>
          <w:szCs w:val="21"/>
          <w:highlight w:val="none"/>
        </w:rPr>
        <w:t>（按技术得分由高到低排序，技术得分相同的按照</w:t>
      </w:r>
      <w:r>
        <w:rPr>
          <w:rFonts w:hint="eastAsia" w:ascii="宋体" w:hAnsi="宋体" w:eastAsia="宋体" w:cs="宋体"/>
          <w:color w:val="auto"/>
          <w:highlight w:val="none"/>
          <w:lang w:eastAsia="zh-CN"/>
        </w:rPr>
        <w:t>承诺工期</w:t>
      </w:r>
      <w:r>
        <w:rPr>
          <w:rFonts w:hint="eastAsia" w:ascii="宋体" w:hAnsi="宋体" w:eastAsia="宋体" w:cs="宋体"/>
          <w:bCs/>
          <w:color w:val="auto"/>
          <w:szCs w:val="21"/>
          <w:highlight w:val="none"/>
          <w:lang w:eastAsia="zh-CN"/>
        </w:rPr>
        <w:t>优劣</w:t>
      </w:r>
      <w:r>
        <w:rPr>
          <w:rFonts w:hint="eastAsia" w:ascii="宋体" w:hAnsi="宋体" w:eastAsia="宋体" w:cs="宋体"/>
          <w:bCs/>
          <w:color w:val="auto"/>
          <w:szCs w:val="21"/>
          <w:highlight w:val="none"/>
        </w:rPr>
        <w:t>排序）。评审得分、最后报价（不计算价格折扣）、技术得分、</w:t>
      </w:r>
      <w:bookmarkStart w:id="1233" w:name="OLE_LINK42"/>
      <w:r>
        <w:rPr>
          <w:rFonts w:hint="eastAsia" w:ascii="宋体" w:hAnsi="宋体" w:eastAsia="宋体" w:cs="宋体"/>
          <w:color w:val="auto"/>
          <w:highlight w:val="none"/>
          <w:lang w:eastAsia="zh-CN"/>
        </w:rPr>
        <w:t>承诺工期</w:t>
      </w:r>
      <w:bookmarkEnd w:id="1233"/>
      <w:r>
        <w:rPr>
          <w:rFonts w:hint="eastAsia" w:ascii="宋体" w:hAnsi="宋体" w:eastAsia="宋体" w:cs="宋体"/>
          <w:bCs/>
          <w:color w:val="auto"/>
          <w:szCs w:val="21"/>
          <w:highlight w:val="none"/>
        </w:rPr>
        <w:t>均相同的，由磋商小组随机抽取推荐</w:t>
      </w:r>
      <w:r>
        <w:rPr>
          <w:rFonts w:hint="eastAsia" w:ascii="宋体" w:hAnsi="宋体"/>
          <w:color w:val="auto"/>
          <w:kern w:val="0"/>
          <w:szCs w:val="21"/>
          <w:highlight w:val="none"/>
        </w:rPr>
        <w:t>。</w:t>
      </w:r>
    </w:p>
    <w:p w14:paraId="40A9A14C">
      <w:pPr>
        <w:spacing w:line="360" w:lineRule="auto"/>
        <w:ind w:firstLine="420" w:firstLineChars="200"/>
        <w:rPr>
          <w:rFonts w:hint="eastAsia" w:ascii="宋体" w:hAnsi="宋体" w:cs="宋体"/>
          <w:color w:val="auto"/>
          <w:szCs w:val="21"/>
          <w:highlight w:val="none"/>
        </w:rPr>
      </w:pPr>
      <w:r>
        <w:rPr>
          <w:rFonts w:ascii="宋体" w:hAnsi="宋体"/>
          <w:color w:val="auto"/>
          <w:kern w:val="0"/>
          <w:szCs w:val="21"/>
          <w:highlight w:val="none"/>
        </w:rPr>
        <w:t>6.6</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E55CCE4">
      <w:pPr>
        <w:spacing w:line="360" w:lineRule="auto"/>
        <w:ind w:firstLine="643" w:firstLineChars="200"/>
        <w:jc w:val="center"/>
        <w:rPr>
          <w:rFonts w:hint="eastAsia" w:ascii="宋体" w:hAnsi="宋体"/>
          <w:b/>
          <w:color w:val="auto"/>
          <w:sz w:val="32"/>
          <w:szCs w:val="32"/>
          <w:highlight w:val="none"/>
        </w:rPr>
      </w:pPr>
    </w:p>
    <w:p w14:paraId="08FF13DA">
      <w:pPr>
        <w:spacing w:line="360" w:lineRule="auto"/>
        <w:ind w:firstLine="643" w:firstLineChars="200"/>
        <w:jc w:val="center"/>
        <w:rPr>
          <w:rFonts w:hint="eastAsia" w:ascii="宋体" w:hAnsi="宋体"/>
          <w:b/>
          <w:color w:val="auto"/>
          <w:sz w:val="32"/>
          <w:szCs w:val="32"/>
          <w:highlight w:val="none"/>
        </w:rPr>
      </w:pPr>
    </w:p>
    <w:p w14:paraId="7107B377">
      <w:pPr>
        <w:spacing w:line="360" w:lineRule="auto"/>
        <w:ind w:firstLine="643" w:firstLineChars="200"/>
        <w:jc w:val="center"/>
        <w:rPr>
          <w:rFonts w:ascii="宋体" w:hAnsi="宋体"/>
          <w:b/>
          <w:color w:val="auto"/>
          <w:sz w:val="32"/>
          <w:szCs w:val="32"/>
          <w:highlight w:val="none"/>
        </w:rPr>
      </w:pPr>
      <w:r>
        <w:rPr>
          <w:rFonts w:hint="eastAsia" w:ascii="宋体" w:hAnsi="宋体"/>
          <w:b/>
          <w:color w:val="auto"/>
          <w:sz w:val="32"/>
          <w:szCs w:val="32"/>
          <w:highlight w:val="none"/>
        </w:rPr>
        <w:t>二、评审标准</w:t>
      </w:r>
    </w:p>
    <w:p w14:paraId="4877A30A">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lang w:val="en-US" w:eastAsia="zh-CN"/>
        </w:rPr>
        <w:t>7</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评审依据：磋商小组将以磋商响应文件为评审依据，对供应商的报价、技术等方面内容按百分制打分。（计分方法按四舍五入取至百分位）</w:t>
      </w:r>
    </w:p>
    <w:tbl>
      <w:tblPr>
        <w:tblStyle w:val="22"/>
        <w:tblpPr w:leftFromText="180" w:rightFromText="180" w:vertAnchor="text" w:horzAnchor="page" w:tblpX="1511" w:tblpY="9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288"/>
        <w:gridCol w:w="851"/>
      </w:tblGrid>
      <w:tr w14:paraId="1D9E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3" w:type="dxa"/>
            <w:noWrap w:val="0"/>
            <w:vAlign w:val="center"/>
          </w:tcPr>
          <w:p w14:paraId="2FD021FF">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1418" w:type="dxa"/>
            <w:noWrap w:val="0"/>
            <w:vAlign w:val="center"/>
          </w:tcPr>
          <w:p w14:paraId="0258ACB8">
            <w:pPr>
              <w:widowControl/>
              <w:spacing w:line="360" w:lineRule="auto"/>
              <w:jc w:val="center"/>
              <w:rPr>
                <w:rFonts w:hint="eastAsia" w:ascii="宋体" w:hAnsi="宋体" w:eastAsia="宋体" w:cs="宋体"/>
                <w:b/>
                <w:bCs/>
                <w:color w:val="auto"/>
                <w:kern w:val="0"/>
                <w:szCs w:val="21"/>
                <w:highlight w:val="none"/>
              </w:rPr>
            </w:pPr>
            <w:bookmarkStart w:id="1234" w:name="OLE_LINK52"/>
            <w:r>
              <w:rPr>
                <w:rFonts w:hint="eastAsia" w:ascii="宋体" w:hAnsi="宋体" w:eastAsia="宋体" w:cs="宋体"/>
                <w:b/>
                <w:bCs/>
                <w:color w:val="auto"/>
                <w:kern w:val="0"/>
                <w:szCs w:val="21"/>
                <w:highlight w:val="none"/>
              </w:rPr>
              <w:t>评审因素</w:t>
            </w:r>
            <w:bookmarkEnd w:id="1234"/>
          </w:p>
        </w:tc>
        <w:tc>
          <w:tcPr>
            <w:tcW w:w="6288" w:type="dxa"/>
            <w:noWrap w:val="0"/>
            <w:vAlign w:val="center"/>
          </w:tcPr>
          <w:p w14:paraId="6E287B36">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评审因素具体内容</w:t>
            </w:r>
          </w:p>
        </w:tc>
        <w:tc>
          <w:tcPr>
            <w:tcW w:w="851" w:type="dxa"/>
            <w:noWrap w:val="0"/>
            <w:vAlign w:val="center"/>
          </w:tcPr>
          <w:p w14:paraId="59280596">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分值</w:t>
            </w:r>
          </w:p>
        </w:tc>
      </w:tr>
      <w:tr w14:paraId="439C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3" w:type="dxa"/>
            <w:noWrap w:val="0"/>
            <w:vAlign w:val="center"/>
          </w:tcPr>
          <w:p w14:paraId="27B04D9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18" w:type="dxa"/>
            <w:noWrap w:val="0"/>
            <w:vAlign w:val="center"/>
          </w:tcPr>
          <w:p w14:paraId="6F1EE90B">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价格分</w:t>
            </w:r>
            <w:r>
              <w:rPr>
                <w:rFonts w:hint="eastAsia" w:ascii="宋体" w:hAnsi="宋体" w:eastAsia="宋体" w:cs="宋体"/>
                <w:color w:val="auto"/>
                <w:kern w:val="0"/>
                <w:szCs w:val="21"/>
                <w:highlight w:val="none"/>
                <w:lang w:val="en-US" w:eastAsia="zh-CN"/>
              </w:rPr>
              <w:t>30分</w:t>
            </w:r>
          </w:p>
        </w:tc>
        <w:tc>
          <w:tcPr>
            <w:tcW w:w="6288" w:type="dxa"/>
            <w:noWrap w:val="0"/>
            <w:vAlign w:val="top"/>
          </w:tcPr>
          <w:p w14:paraId="09B6170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本项目为专门面向中小企业采购的项目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按照《政府采购促进中小企业发展管理办法》（财库〔2020〕46号）的规定</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highlight w:val="none"/>
                <w:lang w:eastAsia="zh-CN"/>
              </w:rPr>
              <w:t>不再执行价格评审优惠的扶持政策</w:t>
            </w:r>
            <w:r>
              <w:rPr>
                <w:rFonts w:hint="eastAsia" w:ascii="宋体" w:hAnsi="宋体" w:eastAsia="宋体" w:cs="宋体"/>
                <w:color w:val="auto"/>
                <w:sz w:val="21"/>
                <w:szCs w:val="21"/>
                <w:highlight w:val="none"/>
              </w:rPr>
              <w:t>。</w:t>
            </w:r>
          </w:p>
          <w:p w14:paraId="5EE605A7">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2.评审价为供应商的最后报价，评审价只是作为评审时使用。最终成交供应商的成交金额等于最后报价（如有修正，以确认修正后的最后报价为准）</w:t>
            </w:r>
            <w:r>
              <w:rPr>
                <w:rFonts w:hint="eastAsia" w:ascii="宋体" w:hAnsi="宋体" w:eastAsia="宋体" w:cs="宋体"/>
                <w:color w:val="auto"/>
                <w:sz w:val="21"/>
                <w:szCs w:val="21"/>
                <w:highlight w:val="none"/>
                <w:lang w:eastAsia="zh-CN"/>
              </w:rPr>
              <w:t>。</w:t>
            </w:r>
          </w:p>
          <w:p w14:paraId="2CD5D80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bookmarkStart w:id="1235" w:name="OLE_LINK43"/>
            <w:r>
              <w:rPr>
                <w:rFonts w:hint="eastAsia" w:ascii="宋体" w:hAnsi="宋体" w:eastAsia="宋体" w:cs="宋体"/>
                <w:color w:val="auto"/>
                <w:sz w:val="21"/>
                <w:szCs w:val="21"/>
                <w:highlight w:val="none"/>
              </w:rPr>
              <w:t>评审价</w:t>
            </w:r>
            <w:bookmarkEnd w:id="1235"/>
            <w:r>
              <w:rPr>
                <w:rFonts w:hint="eastAsia" w:ascii="宋体" w:hAnsi="宋体" w:eastAsia="宋体" w:cs="宋体"/>
                <w:color w:val="auto"/>
                <w:sz w:val="21"/>
                <w:szCs w:val="21"/>
                <w:highlight w:val="none"/>
              </w:rPr>
              <w:t>＝最后报价。</w:t>
            </w:r>
          </w:p>
          <w:p w14:paraId="695A3903">
            <w:pPr>
              <w:pStyle w:val="12"/>
              <w:spacing w:line="360" w:lineRule="auto"/>
              <w:ind w:firstLine="420" w:firstLineChars="200"/>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lang w:val="en-US" w:eastAsia="zh-CN"/>
              </w:rPr>
              <w:t>4.</w:t>
            </w:r>
            <w:r>
              <w:rPr>
                <w:rFonts w:hint="eastAsia" w:ascii="宋体" w:hAnsi="宋体" w:eastAsia="宋体" w:cs="宋体"/>
                <w:bCs/>
                <w:color w:val="auto"/>
                <w:kern w:val="2"/>
                <w:sz w:val="21"/>
                <w:highlight w:val="none"/>
              </w:rPr>
              <w:t>以进入比较与评价环节的最低的评审价为基准价，基准价得分为</w:t>
            </w:r>
            <w:r>
              <w:rPr>
                <w:rFonts w:hint="eastAsia" w:ascii="宋体" w:hAnsi="宋体" w:eastAsia="宋体" w:cs="宋体"/>
                <w:bCs/>
                <w:color w:val="auto"/>
                <w:kern w:val="2"/>
                <w:sz w:val="21"/>
                <w:highlight w:val="none"/>
                <w:u w:val="single"/>
                <w:lang w:val="en-US" w:eastAsia="zh-CN"/>
              </w:rPr>
              <w:t>30</w:t>
            </w:r>
            <w:r>
              <w:rPr>
                <w:rFonts w:hint="eastAsia" w:ascii="宋体" w:hAnsi="宋体" w:eastAsia="宋体" w:cs="宋体"/>
                <w:bCs/>
                <w:color w:val="auto"/>
                <w:kern w:val="2"/>
                <w:sz w:val="21"/>
                <w:szCs w:val="21"/>
                <w:highlight w:val="none"/>
                <w:u w:val="none"/>
              </w:rPr>
              <w:t>分</w:t>
            </w:r>
            <w:r>
              <w:rPr>
                <w:rFonts w:hint="eastAsia" w:ascii="宋体" w:hAnsi="宋体" w:eastAsia="宋体" w:cs="宋体"/>
                <w:bCs/>
                <w:color w:val="auto"/>
                <w:kern w:val="2"/>
                <w:sz w:val="21"/>
                <w:highlight w:val="none"/>
              </w:rPr>
              <w:t>。</w:t>
            </w:r>
          </w:p>
          <w:p w14:paraId="69355431">
            <w:pPr>
              <w:pStyle w:val="12"/>
              <w:spacing w:line="360" w:lineRule="auto"/>
              <w:ind w:firstLine="420" w:firstLineChars="200"/>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lang w:val="en-US" w:eastAsia="zh-CN"/>
              </w:rPr>
              <w:t>5.</w:t>
            </w:r>
            <w:r>
              <w:rPr>
                <w:rFonts w:hint="eastAsia" w:ascii="宋体" w:hAnsi="宋体" w:eastAsia="宋体" w:cs="宋体"/>
                <w:bCs/>
                <w:color w:val="auto"/>
                <w:kern w:val="2"/>
                <w:sz w:val="21"/>
                <w:highlight w:val="none"/>
              </w:rPr>
              <w:t>价格分计算公式：</w:t>
            </w:r>
          </w:p>
          <w:p w14:paraId="77E3CC1C">
            <w:pPr>
              <w:pStyle w:val="12"/>
              <w:spacing w:line="360" w:lineRule="auto"/>
              <w:ind w:firstLine="420" w:firstLineChars="200"/>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报价得分=（基准价/</w:t>
            </w:r>
            <w:r>
              <w:rPr>
                <w:rFonts w:hint="eastAsia" w:ascii="宋体" w:hAnsi="宋体" w:eastAsia="宋体" w:cs="宋体"/>
                <w:color w:val="auto"/>
                <w:sz w:val="21"/>
                <w:szCs w:val="21"/>
                <w:highlight w:val="none"/>
              </w:rPr>
              <w:t>评审价</w:t>
            </w:r>
            <w:r>
              <w:rPr>
                <w:rFonts w:hint="eastAsia" w:ascii="宋体" w:hAnsi="宋体" w:eastAsia="宋体" w:cs="宋体"/>
                <w:bCs/>
                <w:color w:val="auto"/>
                <w:kern w:val="2"/>
                <w:sz w:val="21"/>
                <w:highlight w:val="none"/>
              </w:rPr>
              <w:t>）×</w:t>
            </w:r>
            <w:r>
              <w:rPr>
                <w:rFonts w:hint="eastAsia" w:ascii="宋体" w:hAnsi="宋体" w:eastAsia="宋体" w:cs="宋体"/>
                <w:bCs/>
                <w:color w:val="auto"/>
                <w:kern w:val="2"/>
                <w:sz w:val="21"/>
                <w:highlight w:val="none"/>
                <w:u w:val="single"/>
                <w:lang w:val="en-US" w:eastAsia="zh-CN"/>
              </w:rPr>
              <w:t>30</w:t>
            </w:r>
            <w:r>
              <w:rPr>
                <w:rFonts w:hint="eastAsia" w:ascii="宋体" w:hAnsi="宋体" w:eastAsia="宋体" w:cs="宋体"/>
                <w:bCs/>
                <w:color w:val="auto"/>
                <w:kern w:val="2"/>
                <w:sz w:val="21"/>
                <w:highlight w:val="none"/>
                <w:u w:val="single"/>
              </w:rPr>
              <w:t xml:space="preserve"> </w:t>
            </w:r>
            <w:r>
              <w:rPr>
                <w:rFonts w:hint="eastAsia" w:ascii="宋体" w:hAnsi="宋体" w:eastAsia="宋体" w:cs="宋体"/>
                <w:bCs/>
                <w:color w:val="auto"/>
                <w:kern w:val="2"/>
                <w:sz w:val="21"/>
                <w:highlight w:val="none"/>
                <w:u w:val="none"/>
              </w:rPr>
              <w:t>分</w:t>
            </w:r>
          </w:p>
        </w:tc>
        <w:tc>
          <w:tcPr>
            <w:tcW w:w="851" w:type="dxa"/>
            <w:noWrap w:val="0"/>
            <w:vAlign w:val="center"/>
          </w:tcPr>
          <w:p w14:paraId="1904327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分</w:t>
            </w:r>
          </w:p>
        </w:tc>
      </w:tr>
      <w:tr w14:paraId="128A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3" w:type="dxa"/>
            <w:noWrap w:val="0"/>
            <w:vAlign w:val="center"/>
          </w:tcPr>
          <w:p w14:paraId="60BB509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2</w:t>
            </w:r>
          </w:p>
        </w:tc>
        <w:tc>
          <w:tcPr>
            <w:tcW w:w="1418" w:type="dxa"/>
            <w:noWrap w:val="0"/>
            <w:vAlign w:val="center"/>
          </w:tcPr>
          <w:p w14:paraId="4E44FB6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技术分</w:t>
            </w:r>
          </w:p>
        </w:tc>
        <w:tc>
          <w:tcPr>
            <w:tcW w:w="7139" w:type="dxa"/>
            <w:gridSpan w:val="2"/>
            <w:noWrap w:val="0"/>
            <w:vAlign w:val="top"/>
          </w:tcPr>
          <w:p w14:paraId="687BF20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评审因素</w:t>
            </w:r>
          </w:p>
        </w:tc>
      </w:tr>
      <w:tr w14:paraId="5349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33" w:type="dxa"/>
            <w:noWrap w:val="0"/>
            <w:vAlign w:val="center"/>
          </w:tcPr>
          <w:p w14:paraId="0C809EC5">
            <w:pPr>
              <w:adjustRightInd w:val="0"/>
              <w:spacing w:line="360" w:lineRule="auto"/>
              <w:ind w:left="-105" w:leftChars="-50" w:right="-105" w:rightChars="-50"/>
              <w:jc w:val="center"/>
              <w:textAlignment w:val="baseline"/>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2.1</w:t>
            </w:r>
          </w:p>
        </w:tc>
        <w:tc>
          <w:tcPr>
            <w:tcW w:w="1418" w:type="dxa"/>
            <w:noWrap w:val="0"/>
            <w:vAlign w:val="center"/>
          </w:tcPr>
          <w:p w14:paraId="138F9C4A">
            <w:pPr>
              <w:adjustRightInd w:val="0"/>
              <w:spacing w:line="360" w:lineRule="auto"/>
              <w:jc w:val="center"/>
              <w:textAlignment w:val="baseline"/>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项目实施方案分</w:t>
            </w:r>
            <w:r>
              <w:rPr>
                <w:rFonts w:hint="eastAsia" w:ascii="宋体" w:hAnsi="宋体" w:eastAsia="宋体" w:cs="宋体"/>
                <w:bCs/>
                <w:color w:val="auto"/>
                <w:kern w:val="0"/>
                <w:szCs w:val="21"/>
                <w:highlight w:val="none"/>
                <w:lang w:eastAsia="zh-CN"/>
              </w:rPr>
              <w:t>（满分</w:t>
            </w:r>
            <w:r>
              <w:rPr>
                <w:rFonts w:hint="eastAsia" w:ascii="宋体" w:hAnsi="宋体" w:cs="宋体"/>
                <w:bCs/>
                <w:color w:val="auto"/>
                <w:kern w:val="0"/>
                <w:szCs w:val="21"/>
                <w:highlight w:val="none"/>
                <w:lang w:val="en-US" w:eastAsia="zh-CN"/>
              </w:rPr>
              <w:t>70</w:t>
            </w:r>
            <w:r>
              <w:rPr>
                <w:rFonts w:hint="eastAsia" w:ascii="宋体" w:hAnsi="宋体" w:eastAsia="宋体" w:cs="宋体"/>
                <w:bCs/>
                <w:color w:val="auto"/>
                <w:kern w:val="0"/>
                <w:szCs w:val="21"/>
                <w:highlight w:val="none"/>
                <w:lang w:val="en-US" w:eastAsia="zh-CN"/>
              </w:rPr>
              <w:t>分</w:t>
            </w:r>
            <w:r>
              <w:rPr>
                <w:rFonts w:hint="eastAsia" w:ascii="宋体" w:hAnsi="宋体" w:eastAsia="宋体" w:cs="宋体"/>
                <w:bCs/>
                <w:color w:val="auto"/>
                <w:kern w:val="0"/>
                <w:szCs w:val="21"/>
                <w:highlight w:val="none"/>
                <w:lang w:eastAsia="zh-CN"/>
              </w:rPr>
              <w:t>）</w:t>
            </w:r>
          </w:p>
        </w:tc>
        <w:tc>
          <w:tcPr>
            <w:tcW w:w="6288" w:type="dxa"/>
            <w:noWrap w:val="0"/>
            <w:vAlign w:val="center"/>
          </w:tcPr>
          <w:p w14:paraId="4CE5C7E6">
            <w:pPr>
              <w:pStyle w:val="12"/>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由磋商小组</w:t>
            </w:r>
            <w:r>
              <w:rPr>
                <w:rFonts w:hint="eastAsia" w:ascii="宋体" w:hAnsi="宋体" w:eastAsia="宋体" w:cs="宋体"/>
                <w:color w:val="auto"/>
                <w:sz w:val="21"/>
                <w:highlight w:val="none"/>
                <w:lang w:val="en-US" w:eastAsia="zh-CN"/>
              </w:rPr>
              <w:t>各成员</w:t>
            </w:r>
            <w:r>
              <w:rPr>
                <w:rFonts w:hint="eastAsia" w:ascii="宋体" w:hAnsi="宋体" w:eastAsia="宋体" w:cs="宋体"/>
                <w:color w:val="auto"/>
                <w:sz w:val="21"/>
                <w:highlight w:val="none"/>
              </w:rPr>
              <w:t>根据</w:t>
            </w:r>
            <w:r>
              <w:rPr>
                <w:rFonts w:hint="eastAsia" w:ascii="宋体" w:hAnsi="宋体" w:eastAsia="宋体" w:cs="宋体"/>
                <w:b w:val="0"/>
                <w:bCs w:val="0"/>
                <w:color w:val="auto"/>
                <w:sz w:val="21"/>
                <w:highlight w:val="none"/>
              </w:rPr>
              <w:t>供应商提供的</w:t>
            </w:r>
            <w:r>
              <w:rPr>
                <w:rFonts w:hint="eastAsia" w:hAnsi="宋体" w:cs="宋体"/>
                <w:b w:val="0"/>
                <w:bCs w:val="0"/>
                <w:color w:val="auto"/>
                <w:sz w:val="21"/>
                <w:highlight w:val="none"/>
                <w:lang w:val="en-US" w:eastAsia="zh-CN"/>
              </w:rPr>
              <w:t>商务</w:t>
            </w:r>
            <w:r>
              <w:rPr>
                <w:rFonts w:hint="eastAsia" w:ascii="宋体" w:hAnsi="宋体" w:eastAsia="宋体" w:cs="宋体"/>
                <w:b w:val="0"/>
                <w:bCs w:val="0"/>
                <w:color w:val="auto"/>
                <w:sz w:val="21"/>
                <w:highlight w:val="none"/>
                <w:lang w:val="en-US" w:eastAsia="zh-CN"/>
              </w:rPr>
              <w:t>技术文件，就</w:t>
            </w:r>
            <w:r>
              <w:rPr>
                <w:rFonts w:hint="eastAsia" w:ascii="宋体" w:hAnsi="宋体" w:eastAsia="宋体" w:cs="宋体"/>
                <w:b w:val="0"/>
                <w:bCs w:val="0"/>
                <w:color w:val="auto"/>
                <w:highlight w:val="none"/>
              </w:rPr>
              <w:t>主要施工方法</w:t>
            </w:r>
            <w:r>
              <w:rPr>
                <w:rFonts w:hint="eastAsia" w:ascii="宋体" w:hAnsi="宋体" w:eastAsia="宋体" w:cs="宋体"/>
                <w:b w:val="0"/>
                <w:bCs w:val="0"/>
                <w:color w:val="auto"/>
                <w:sz w:val="21"/>
                <w:highlight w:val="none"/>
                <w:lang w:val="en-US" w:eastAsia="zh-CN"/>
              </w:rPr>
              <w:t>、</w:t>
            </w:r>
            <w:r>
              <w:rPr>
                <w:rFonts w:hint="eastAsia" w:ascii="宋体" w:hAnsi="宋体" w:eastAsia="宋体" w:cs="宋体"/>
                <w:b w:val="0"/>
                <w:bCs w:val="0"/>
                <w:color w:val="auto"/>
                <w:highlight w:val="none"/>
              </w:rPr>
              <w:t>主要物资计划、劳动力安排计划</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确保工程质量的技术组织措施</w:t>
            </w:r>
            <w:r>
              <w:rPr>
                <w:rFonts w:hint="eastAsia" w:ascii="宋体" w:hAnsi="宋体" w:eastAsia="宋体" w:cs="宋体"/>
                <w:b w:val="0"/>
                <w:bCs w:val="0"/>
                <w:color w:val="auto"/>
                <w:highlight w:val="none"/>
                <w:lang w:eastAsia="zh-CN"/>
              </w:rPr>
              <w:t>、</w:t>
            </w:r>
            <w:bookmarkStart w:id="1236" w:name="OLE_LINK48"/>
            <w:r>
              <w:rPr>
                <w:rFonts w:hint="eastAsia" w:ascii="宋体" w:hAnsi="宋体" w:eastAsia="宋体" w:cs="宋体"/>
                <w:b w:val="0"/>
                <w:bCs w:val="0"/>
                <w:color w:val="auto"/>
                <w:highlight w:val="none"/>
              </w:rPr>
              <w:t>确保安全生产的技术组织措施</w:t>
            </w:r>
            <w:bookmarkEnd w:id="1236"/>
            <w:r>
              <w:rPr>
                <w:rFonts w:hint="eastAsia" w:ascii="宋体" w:hAnsi="宋体" w:eastAsia="宋体" w:cs="宋体"/>
                <w:b w:val="0"/>
                <w:bCs w:val="0"/>
                <w:color w:val="auto"/>
                <w:highlight w:val="none"/>
                <w:lang w:eastAsia="zh-CN"/>
              </w:rPr>
              <w:t>、</w:t>
            </w:r>
            <w:bookmarkStart w:id="1237" w:name="OLE_LINK47"/>
            <w:r>
              <w:rPr>
                <w:rFonts w:hint="eastAsia" w:ascii="宋体" w:hAnsi="宋体" w:eastAsia="宋体" w:cs="宋体"/>
                <w:b w:val="0"/>
                <w:bCs w:val="0"/>
                <w:color w:val="auto"/>
                <w:highlight w:val="none"/>
              </w:rPr>
              <w:t>确保工期的技术组织措施</w:t>
            </w:r>
            <w:bookmarkEnd w:id="1237"/>
            <w:r>
              <w:rPr>
                <w:rFonts w:hint="eastAsia" w:ascii="宋体" w:hAnsi="宋体" w:eastAsia="宋体" w:cs="宋体"/>
                <w:b w:val="0"/>
                <w:bCs w:val="0"/>
                <w:color w:val="auto"/>
                <w:highlight w:val="none"/>
                <w:lang w:eastAsia="zh-CN"/>
              </w:rPr>
              <w:t>、</w:t>
            </w:r>
            <w:bookmarkStart w:id="1238" w:name="OLE_LINK46"/>
            <w:r>
              <w:rPr>
                <w:rFonts w:hint="eastAsia" w:ascii="宋体" w:hAnsi="宋体" w:eastAsia="宋体" w:cs="宋体"/>
                <w:b w:val="0"/>
                <w:bCs w:val="0"/>
                <w:color w:val="auto"/>
                <w:highlight w:val="none"/>
              </w:rPr>
              <w:t>确保文明施工的技术组织措施</w:t>
            </w:r>
            <w:bookmarkEnd w:id="1238"/>
            <w:r>
              <w:rPr>
                <w:rFonts w:hint="eastAsia" w:ascii="宋体" w:hAnsi="宋体" w:eastAsia="宋体" w:cs="宋体"/>
                <w:b w:val="0"/>
                <w:bCs w:val="0"/>
                <w:color w:val="auto"/>
                <w:sz w:val="21"/>
                <w:highlight w:val="none"/>
                <w:lang w:val="en-US" w:eastAsia="zh-CN"/>
              </w:rPr>
              <w:t>等内容</w:t>
            </w:r>
            <w:r>
              <w:rPr>
                <w:rFonts w:hint="eastAsia" w:ascii="宋体" w:hAnsi="宋体" w:eastAsia="宋体" w:cs="宋体"/>
                <w:b w:val="0"/>
                <w:bCs w:val="0"/>
                <w:color w:val="auto"/>
                <w:sz w:val="21"/>
                <w:highlight w:val="none"/>
              </w:rPr>
              <w:t>进行独立</w:t>
            </w:r>
            <w:r>
              <w:rPr>
                <w:rFonts w:hint="eastAsia" w:ascii="宋体" w:hAnsi="宋体" w:eastAsia="宋体" w:cs="宋体"/>
                <w:b w:val="0"/>
                <w:bCs w:val="0"/>
                <w:color w:val="auto"/>
                <w:sz w:val="21"/>
                <w:highlight w:val="none"/>
                <w:lang w:val="en-US" w:eastAsia="zh-CN"/>
              </w:rPr>
              <w:t>评审</w:t>
            </w:r>
            <w:r>
              <w:rPr>
                <w:rFonts w:hint="eastAsia" w:ascii="宋体" w:hAnsi="宋体" w:eastAsia="宋体" w:cs="宋体"/>
                <w:b w:val="0"/>
                <w:bCs w:val="0"/>
                <w:color w:val="auto"/>
                <w:sz w:val="21"/>
                <w:highlight w:val="none"/>
              </w:rPr>
              <w:t>打分。</w:t>
            </w:r>
          </w:p>
          <w:p w14:paraId="6CD1B221">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主要施工方法方案分（满分15分）</w:t>
            </w:r>
          </w:p>
          <w:p w14:paraId="6755EBB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一档（</w:t>
            </w:r>
            <w:r>
              <w:rPr>
                <w:rFonts w:hint="eastAsia" w:ascii="宋体" w:hAnsi="宋体" w:cs="宋体"/>
                <w:color w:val="auto"/>
                <w:highlight w:val="none"/>
                <w:lang w:val="en-US" w:eastAsia="zh-CN"/>
              </w:rPr>
              <w:t>3</w:t>
            </w:r>
            <w:r>
              <w:rPr>
                <w:rFonts w:hint="eastAsia" w:ascii="宋体" w:hAnsi="宋体" w:eastAsia="宋体" w:cs="宋体"/>
                <w:color w:val="auto"/>
                <w:highlight w:val="none"/>
              </w:rPr>
              <w:t xml:space="preserve">分）：各主要分部施工方法符合项目需求，有施工技术方案。 </w:t>
            </w:r>
          </w:p>
          <w:p w14:paraId="36AB5A3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二档（</w:t>
            </w:r>
            <w:r>
              <w:rPr>
                <w:rFonts w:hint="eastAsia" w:ascii="宋体" w:hAnsi="宋体" w:cs="宋体"/>
                <w:color w:val="auto"/>
                <w:highlight w:val="none"/>
                <w:lang w:val="en-US" w:eastAsia="zh-CN"/>
              </w:rPr>
              <w:t>7</w:t>
            </w:r>
            <w:r>
              <w:rPr>
                <w:rFonts w:hint="eastAsia" w:ascii="宋体" w:hAnsi="宋体" w:eastAsia="宋体" w:cs="宋体"/>
                <w:color w:val="auto"/>
                <w:highlight w:val="none"/>
              </w:rPr>
              <w:t>分）：各主要分部施工方法符合项目实际，有详</w:t>
            </w:r>
            <w:r>
              <w:rPr>
                <w:rFonts w:hint="eastAsia" w:ascii="宋体" w:hAnsi="宋体" w:cs="宋体"/>
                <w:color w:val="auto"/>
                <w:highlight w:val="none"/>
                <w:lang w:val="en-US" w:eastAsia="zh-CN"/>
              </w:rPr>
              <w:t>细</w:t>
            </w:r>
            <w:r>
              <w:rPr>
                <w:rFonts w:hint="eastAsia" w:ascii="宋体" w:hAnsi="宋体" w:eastAsia="宋体" w:cs="宋体"/>
                <w:color w:val="auto"/>
                <w:highlight w:val="none"/>
              </w:rPr>
              <w:t xml:space="preserve">的施工技术方案，有主要分部工程施工步骤、施工要点，能指导具体施工并确保安全。 </w:t>
            </w:r>
          </w:p>
          <w:p w14:paraId="5AF0F500">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三档（1</w:t>
            </w:r>
            <w:r>
              <w:rPr>
                <w:rFonts w:hint="eastAsia" w:ascii="宋体" w:hAnsi="宋体" w:cs="宋体"/>
                <w:color w:val="auto"/>
                <w:highlight w:val="none"/>
                <w:lang w:val="en-US" w:eastAsia="zh-CN"/>
              </w:rPr>
              <w:t>1</w:t>
            </w:r>
            <w:r>
              <w:rPr>
                <w:rFonts w:hint="eastAsia" w:ascii="宋体" w:hAnsi="宋体" w:eastAsia="宋体" w:cs="宋体"/>
                <w:color w:val="auto"/>
                <w:highlight w:val="none"/>
              </w:rPr>
              <w:t>分）：各主要分部施工方法符合项目实际，有详</w:t>
            </w:r>
            <w:r>
              <w:rPr>
                <w:rFonts w:hint="eastAsia" w:ascii="宋体" w:hAnsi="宋体" w:cs="宋体"/>
                <w:color w:val="auto"/>
                <w:highlight w:val="none"/>
                <w:lang w:val="en-US" w:eastAsia="zh-CN"/>
              </w:rPr>
              <w:t>细</w:t>
            </w:r>
            <w:r>
              <w:rPr>
                <w:rFonts w:hint="eastAsia" w:ascii="宋体" w:hAnsi="宋体" w:eastAsia="宋体" w:cs="宋体"/>
                <w:color w:val="auto"/>
                <w:highlight w:val="none"/>
              </w:rPr>
              <w:t>的施工技术方案，</w:t>
            </w:r>
            <w:r>
              <w:rPr>
                <w:rFonts w:hint="eastAsia" w:ascii="宋体" w:hAnsi="宋体" w:cs="宋体"/>
                <w:color w:val="auto"/>
                <w:highlight w:val="none"/>
                <w:lang w:val="en-US" w:eastAsia="zh-CN"/>
              </w:rPr>
              <w:t>有</w:t>
            </w:r>
            <w:r>
              <w:rPr>
                <w:rFonts w:hint="eastAsia" w:ascii="宋体" w:hAnsi="宋体" w:eastAsia="宋体" w:cs="宋体"/>
                <w:color w:val="auto"/>
                <w:highlight w:val="none"/>
              </w:rPr>
              <w:t>主要分部工程施工工序、施工步骤、施工要点、施工工艺方案，施工准备、技术准备或交底、各工种施工配合方案具有</w:t>
            </w:r>
            <w:r>
              <w:rPr>
                <w:rFonts w:hint="eastAsia" w:ascii="宋体" w:hAnsi="宋体" w:cs="宋体"/>
                <w:color w:val="auto"/>
                <w:highlight w:val="none"/>
                <w:lang w:val="en-US" w:eastAsia="zh-CN"/>
              </w:rPr>
              <w:t>科学合理</w:t>
            </w:r>
            <w:r>
              <w:rPr>
                <w:rFonts w:hint="eastAsia" w:ascii="宋体" w:hAnsi="宋体" w:eastAsia="宋体" w:cs="宋体"/>
                <w:color w:val="auto"/>
                <w:highlight w:val="none"/>
              </w:rPr>
              <w:t>，能指导具体施工并确保安全。</w:t>
            </w:r>
          </w:p>
          <w:p w14:paraId="581F4921">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cs="宋体"/>
                <w:color w:val="auto"/>
                <w:highlight w:val="none"/>
                <w:lang w:val="en-US" w:eastAsia="zh-CN"/>
              </w:rPr>
              <w:t>四</w:t>
            </w:r>
            <w:r>
              <w:rPr>
                <w:rFonts w:hint="eastAsia" w:ascii="宋体" w:hAnsi="宋体" w:eastAsia="宋体" w:cs="宋体"/>
                <w:color w:val="auto"/>
                <w:highlight w:val="none"/>
              </w:rPr>
              <w:t>档（15分）：各主要分部施工方法符合项目实际，有详</w:t>
            </w:r>
            <w:r>
              <w:rPr>
                <w:rFonts w:hint="eastAsia" w:ascii="宋体" w:hAnsi="宋体" w:cs="宋体"/>
                <w:color w:val="auto"/>
                <w:highlight w:val="none"/>
                <w:lang w:val="en-US" w:eastAsia="zh-CN"/>
              </w:rPr>
              <w:t>细</w:t>
            </w:r>
            <w:r>
              <w:rPr>
                <w:rFonts w:hint="eastAsia" w:ascii="宋体" w:hAnsi="宋体" w:eastAsia="宋体" w:cs="宋体"/>
                <w:color w:val="auto"/>
                <w:highlight w:val="none"/>
              </w:rPr>
              <w:t>的施工技术方案，</w:t>
            </w:r>
            <w:r>
              <w:rPr>
                <w:rFonts w:hint="eastAsia" w:ascii="宋体" w:hAnsi="宋体" w:cs="宋体"/>
                <w:color w:val="auto"/>
                <w:highlight w:val="none"/>
                <w:lang w:val="en-US" w:eastAsia="zh-CN"/>
              </w:rPr>
              <w:t>有</w:t>
            </w:r>
            <w:r>
              <w:rPr>
                <w:rFonts w:hint="eastAsia" w:ascii="宋体" w:hAnsi="宋体" w:eastAsia="宋体" w:cs="宋体"/>
                <w:color w:val="auto"/>
                <w:highlight w:val="none"/>
              </w:rPr>
              <w:t>主要分部工程施工工序、施工步骤、施工要点、施工工艺方案，施工准备、技术准备或交底、各工种施工配合方案具有针对性，能高效指导具体施工并确保安全。</w:t>
            </w:r>
          </w:p>
          <w:p w14:paraId="0547583A">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拟投入的主要物资计划、劳动力安排计划方案分（满分15分）</w:t>
            </w:r>
          </w:p>
          <w:p w14:paraId="5D37E4D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一档（</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分）：投入的施工材料有组织计划，基本满足施工需要。各主要施工工序有劳动力安排计划，有各工种劳动力安排计划，基本能满足施工需要。</w:t>
            </w:r>
          </w:p>
          <w:p w14:paraId="4C81DB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二档（</w:t>
            </w:r>
            <w:r>
              <w:rPr>
                <w:rFonts w:hint="eastAsia" w:ascii="宋体" w:hAnsi="宋体" w:cs="宋体"/>
                <w:color w:val="auto"/>
                <w:highlight w:val="none"/>
                <w:lang w:val="en-US" w:eastAsia="zh-CN"/>
              </w:rPr>
              <w:t>7</w:t>
            </w:r>
            <w:r>
              <w:rPr>
                <w:rFonts w:hint="eastAsia" w:ascii="宋体" w:hAnsi="宋体" w:eastAsia="宋体" w:cs="宋体"/>
                <w:color w:val="auto"/>
                <w:highlight w:val="none"/>
              </w:rPr>
              <w:t>分）：投入的主要物资计划与进度计划呼应，满足施工需要，定量定点堆放物资。各主要施工工序有周密的劳动力安排计划，不窝工，有各工种劳动力安排计划，能满足施工需要。</w:t>
            </w:r>
          </w:p>
          <w:p w14:paraId="49FD3EC4">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三档（1</w:t>
            </w:r>
            <w:r>
              <w:rPr>
                <w:rFonts w:hint="eastAsia" w:ascii="宋体" w:hAnsi="宋体" w:cs="宋体"/>
                <w:color w:val="auto"/>
                <w:highlight w:val="none"/>
                <w:lang w:val="en-US" w:eastAsia="zh-CN"/>
              </w:rPr>
              <w:t>1</w:t>
            </w:r>
            <w:r>
              <w:rPr>
                <w:rFonts w:hint="eastAsia" w:ascii="宋体" w:hAnsi="宋体" w:eastAsia="宋体" w:cs="宋体"/>
                <w:color w:val="auto"/>
                <w:highlight w:val="none"/>
              </w:rPr>
              <w:t>分）：投入的主要物资计划与进度计划呼应，满足施工需要，材料物资采购及供应保证措施，定量定点堆放物资。各主要施工工序有周密的劳动力安排计划，不窝工，各工种劳动力安排</w:t>
            </w:r>
            <w:r>
              <w:rPr>
                <w:rFonts w:hint="eastAsia" w:ascii="宋体" w:hAnsi="宋体" w:cs="宋体"/>
                <w:color w:val="auto"/>
                <w:highlight w:val="none"/>
                <w:lang w:val="en-US" w:eastAsia="zh-CN"/>
              </w:rPr>
              <w:t>合理</w:t>
            </w:r>
            <w:r>
              <w:rPr>
                <w:rFonts w:hint="eastAsia" w:ascii="宋体" w:hAnsi="宋体" w:eastAsia="宋体" w:cs="宋体"/>
                <w:color w:val="auto"/>
                <w:highlight w:val="none"/>
              </w:rPr>
              <w:t>，有劳动力保障措施，能满足施工需要。</w:t>
            </w:r>
          </w:p>
          <w:p w14:paraId="57354354">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cs="宋体"/>
                <w:color w:val="auto"/>
                <w:highlight w:val="none"/>
                <w:lang w:val="en-US" w:eastAsia="zh-CN"/>
              </w:rPr>
              <w:t>四</w:t>
            </w:r>
            <w:r>
              <w:rPr>
                <w:rFonts w:hint="eastAsia" w:ascii="宋体" w:hAnsi="宋体" w:eastAsia="宋体" w:cs="宋体"/>
                <w:color w:val="auto"/>
                <w:highlight w:val="none"/>
              </w:rPr>
              <w:t>档（15分）：投入的主要物资计划与进度计划呼应，满足施工需要，材料物资采购及供应保证措施，定量定点堆放物资。各主要施工工序有周密的劳动力安排计划，不窝工，各工种劳动力安排计划切实高效，有切实有效的劳动力保障措施，能满足施工需要且衔接得当。</w:t>
            </w:r>
          </w:p>
          <w:p w14:paraId="5DAA95D9">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highlight w:val="none"/>
              </w:rPr>
              <w:t>确保工程质量的技术组织措施方案分（满分15分）</w:t>
            </w:r>
          </w:p>
          <w:p w14:paraId="48EF4D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一档（</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分）：有质量技术管理班子和制度，主要工序有质量技术保证措施和手段。</w:t>
            </w:r>
          </w:p>
          <w:p w14:paraId="0C33E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二档（</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分）：有质量技术管理班子和制度，主要工序有质量技术保证措施和手段，</w:t>
            </w:r>
            <w:r>
              <w:rPr>
                <w:rFonts w:hint="eastAsia" w:ascii="宋体" w:hAnsi="宋体" w:eastAsia="宋体" w:cs="宋体"/>
                <w:color w:val="auto"/>
                <w:szCs w:val="21"/>
                <w:highlight w:val="none"/>
                <w:lang w:eastAsia="zh-CN"/>
              </w:rPr>
              <w:t>质量管理</w:t>
            </w:r>
            <w:r>
              <w:rPr>
                <w:rFonts w:hint="eastAsia" w:ascii="宋体" w:hAnsi="宋体" w:eastAsia="宋体" w:cs="宋体"/>
                <w:color w:val="auto"/>
                <w:szCs w:val="21"/>
                <w:highlight w:val="none"/>
              </w:rPr>
              <w:t>体系</w:t>
            </w:r>
            <w:r>
              <w:rPr>
                <w:rFonts w:hint="eastAsia" w:ascii="宋体" w:hAnsi="宋体" w:eastAsia="宋体" w:cs="宋体"/>
                <w:color w:val="auto"/>
                <w:szCs w:val="21"/>
                <w:highlight w:val="none"/>
                <w:lang w:val="en-US" w:eastAsia="zh-CN"/>
              </w:rPr>
              <w:t>内容详细</w:t>
            </w:r>
            <w:r>
              <w:rPr>
                <w:rFonts w:hint="eastAsia" w:ascii="宋体" w:hAnsi="宋体" w:eastAsia="宋体" w:cs="宋体"/>
                <w:color w:val="auto"/>
                <w:szCs w:val="21"/>
                <w:highlight w:val="none"/>
              </w:rPr>
              <w:t>，有施工准备阶段和施工过程质量控制措施，能保证技术质量，满足采购需求的质量要求及验收规范要求。</w:t>
            </w:r>
          </w:p>
          <w:p w14:paraId="546002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三档（</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分）：有质量技术管理班子和制度，明确管理班子质量责任，主要工序有质量技术保证措施和手段，</w:t>
            </w:r>
            <w:r>
              <w:rPr>
                <w:rFonts w:hint="eastAsia" w:ascii="宋体" w:hAnsi="宋体" w:eastAsia="宋体" w:cs="宋体"/>
                <w:color w:val="auto"/>
                <w:szCs w:val="21"/>
                <w:highlight w:val="none"/>
                <w:lang w:eastAsia="zh-CN"/>
              </w:rPr>
              <w:t>质量管理</w:t>
            </w:r>
            <w:r>
              <w:rPr>
                <w:rFonts w:hint="eastAsia" w:ascii="宋体" w:hAnsi="宋体" w:eastAsia="宋体" w:cs="宋体"/>
                <w:color w:val="auto"/>
                <w:szCs w:val="21"/>
                <w:highlight w:val="none"/>
              </w:rPr>
              <w:t>体系</w:t>
            </w:r>
            <w:r>
              <w:rPr>
                <w:rFonts w:hint="eastAsia" w:ascii="宋体" w:hAnsi="宋体" w:eastAsia="宋体" w:cs="宋体"/>
                <w:color w:val="auto"/>
                <w:szCs w:val="21"/>
                <w:highlight w:val="none"/>
                <w:lang w:val="en-US" w:eastAsia="zh-CN"/>
              </w:rPr>
              <w:t>内容详细、清晰</w:t>
            </w:r>
            <w:r>
              <w:rPr>
                <w:rFonts w:hint="eastAsia" w:ascii="宋体" w:hAnsi="宋体" w:eastAsia="宋体" w:cs="宋体"/>
                <w:color w:val="auto"/>
                <w:szCs w:val="21"/>
                <w:highlight w:val="none"/>
              </w:rPr>
              <w:t>，有施工准备阶段、施工过程、竣工验收方案，能有效保证技术质量，达到采购需求的质量要求及验收规范要求。</w:t>
            </w:r>
          </w:p>
          <w:p w14:paraId="58E1EECA">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四</w:t>
            </w:r>
            <w:r>
              <w:rPr>
                <w:rFonts w:hint="eastAsia" w:ascii="宋体" w:hAnsi="宋体" w:eastAsia="宋体" w:cs="宋体"/>
                <w:color w:val="auto"/>
                <w:szCs w:val="21"/>
                <w:highlight w:val="none"/>
              </w:rPr>
              <w:t>档（</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分）：有专门的质量技术管理班子和制度，明确管理班子质量责任，主要工序有质量技术保证措施和手段，</w:t>
            </w:r>
            <w:r>
              <w:rPr>
                <w:rFonts w:hint="eastAsia" w:ascii="宋体" w:hAnsi="宋体" w:eastAsia="宋体" w:cs="宋体"/>
                <w:color w:val="auto"/>
                <w:szCs w:val="21"/>
                <w:highlight w:val="none"/>
                <w:lang w:eastAsia="zh-CN"/>
              </w:rPr>
              <w:t>质量管理</w:t>
            </w:r>
            <w:r>
              <w:rPr>
                <w:rFonts w:hint="eastAsia" w:ascii="宋体" w:hAnsi="宋体" w:eastAsia="宋体" w:cs="宋体"/>
                <w:color w:val="auto"/>
                <w:szCs w:val="21"/>
                <w:highlight w:val="none"/>
              </w:rPr>
              <w:t>体系</w:t>
            </w:r>
            <w:r>
              <w:rPr>
                <w:rFonts w:hint="eastAsia" w:ascii="宋体" w:hAnsi="宋体" w:eastAsia="宋体" w:cs="宋体"/>
                <w:color w:val="auto"/>
                <w:szCs w:val="21"/>
                <w:highlight w:val="none"/>
                <w:lang w:val="en-US" w:eastAsia="zh-CN"/>
              </w:rPr>
              <w:t>内容详细、清晰</w:t>
            </w:r>
            <w:r>
              <w:rPr>
                <w:rFonts w:hint="eastAsia" w:ascii="宋体" w:hAnsi="宋体" w:eastAsia="宋体" w:cs="宋体"/>
                <w:color w:val="auto"/>
                <w:szCs w:val="21"/>
                <w:highlight w:val="none"/>
              </w:rPr>
              <w:t>，有施工准备阶段、施工过程、竣工验收及交工阶段质量控制措施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隐蔽工程检查制度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有施工质量验收制度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工程质量保修方案，能有效保证技术质量，达到承诺的质量标准及验收规范要求。</w:t>
            </w:r>
          </w:p>
          <w:p w14:paraId="1C06A5AF">
            <w:pPr>
              <w:spacing w:line="360" w:lineRule="auto"/>
              <w:ind w:firstLine="42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highlight w:val="none"/>
              </w:rPr>
              <w:t>确保安全生产的技术组织措施方案分（满分10分）</w:t>
            </w:r>
          </w:p>
          <w:p w14:paraId="0688448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一档（</w:t>
            </w:r>
            <w:r>
              <w:rPr>
                <w:rFonts w:hint="eastAsia" w:ascii="宋体" w:hAnsi="宋体" w:cs="宋体"/>
                <w:color w:val="auto"/>
                <w:highlight w:val="none"/>
                <w:lang w:val="en-US" w:eastAsia="zh-CN"/>
              </w:rPr>
              <w:t>4</w:t>
            </w:r>
            <w:r>
              <w:rPr>
                <w:rFonts w:hint="eastAsia" w:ascii="宋体" w:hAnsi="宋体" w:eastAsia="宋体" w:cs="宋体"/>
                <w:color w:val="auto"/>
                <w:highlight w:val="none"/>
              </w:rPr>
              <w:t>分）：</w:t>
            </w:r>
            <w:r>
              <w:rPr>
                <w:rFonts w:hint="eastAsia" w:ascii="宋体" w:hAnsi="宋体" w:eastAsia="宋体" w:cs="宋体"/>
                <w:color w:val="auto"/>
                <w:szCs w:val="21"/>
                <w:highlight w:val="none"/>
              </w:rPr>
              <w:t>有专门的安全管理人员和制度，有各道工序安全技术措施。</w:t>
            </w:r>
          </w:p>
          <w:p w14:paraId="6C8A3BB4">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二档（</w:t>
            </w:r>
            <w:r>
              <w:rPr>
                <w:rFonts w:hint="eastAsia" w:ascii="宋体" w:hAnsi="宋体" w:cs="宋体"/>
                <w:color w:val="auto"/>
                <w:highlight w:val="none"/>
                <w:lang w:val="en-US" w:eastAsia="zh-CN"/>
              </w:rPr>
              <w:t>6</w:t>
            </w:r>
            <w:r>
              <w:rPr>
                <w:rFonts w:hint="eastAsia" w:ascii="宋体" w:hAnsi="宋体" w:eastAsia="宋体" w:cs="宋体"/>
                <w:color w:val="auto"/>
                <w:highlight w:val="none"/>
              </w:rPr>
              <w:t>分）：</w:t>
            </w:r>
            <w:r>
              <w:rPr>
                <w:rFonts w:hint="eastAsia" w:ascii="宋体" w:hAnsi="宋体" w:eastAsia="宋体" w:cs="宋体"/>
                <w:color w:val="auto"/>
                <w:szCs w:val="21"/>
                <w:highlight w:val="none"/>
              </w:rPr>
              <w:t>有专门的安全管理人员和制度，有各道工序安全技术措施，确保</w:t>
            </w:r>
            <w:r>
              <w:rPr>
                <w:rFonts w:hint="eastAsia" w:ascii="宋体" w:hAnsi="宋体" w:eastAsia="宋体" w:cs="宋体"/>
                <w:bCs/>
                <w:color w:val="auto"/>
                <w:highlight w:val="none"/>
              </w:rPr>
              <w:t>工程质量的技术组织措施符合实际且满足有关安全技术标准要求。有现场防火、应急救援、社会治安安全措施。</w:t>
            </w:r>
          </w:p>
          <w:p w14:paraId="62AAD17F">
            <w:pPr>
              <w:widowControl/>
              <w:spacing w:line="360" w:lineRule="auto"/>
              <w:ind w:firstLine="420" w:firstLineChars="200"/>
              <w:jc w:val="left"/>
              <w:rPr>
                <w:rFonts w:hint="eastAsia" w:ascii="宋体" w:hAnsi="宋体" w:eastAsia="宋体" w:cs="宋体"/>
                <w:bCs/>
                <w:color w:val="auto"/>
                <w:highlight w:val="none"/>
              </w:rPr>
            </w:pPr>
            <w:r>
              <w:rPr>
                <w:rFonts w:hint="eastAsia" w:ascii="宋体" w:hAnsi="宋体" w:eastAsia="宋体" w:cs="宋体"/>
                <w:bCs/>
                <w:color w:val="auto"/>
                <w:highlight w:val="none"/>
              </w:rPr>
              <w:t>三档（</w:t>
            </w:r>
            <w:r>
              <w:rPr>
                <w:rFonts w:hint="eastAsia" w:ascii="宋体" w:hAnsi="宋体" w:cs="宋体"/>
                <w:bCs/>
                <w:color w:val="auto"/>
                <w:highlight w:val="none"/>
                <w:lang w:val="en-US" w:eastAsia="zh-CN"/>
              </w:rPr>
              <w:t>8</w:t>
            </w:r>
            <w:r>
              <w:rPr>
                <w:rFonts w:hint="eastAsia" w:ascii="宋体" w:hAnsi="宋体" w:eastAsia="宋体" w:cs="宋体"/>
                <w:bCs/>
                <w:color w:val="auto"/>
                <w:highlight w:val="none"/>
              </w:rPr>
              <w:t>分）：有专门的安全管理人员和制度，各道工序安全技术措施，确保工程质量的技术组织措施切合实际且优于有关安全技术标准要求。有现场防火、应急救援、社会治安安全措施。有安全生产责任、安全生产教育培训制度、施工现场临时用电方案及安全用电措施、安全管理目标。</w:t>
            </w:r>
          </w:p>
          <w:p w14:paraId="1333355A">
            <w:pPr>
              <w:widowControl/>
              <w:spacing w:line="360" w:lineRule="auto"/>
              <w:ind w:firstLine="420" w:firstLineChars="200"/>
              <w:jc w:val="left"/>
              <w:rPr>
                <w:rFonts w:hint="eastAsia" w:ascii="宋体" w:hAnsi="宋体" w:eastAsia="宋体" w:cs="宋体"/>
                <w:bCs/>
                <w:color w:val="auto"/>
                <w:highlight w:val="none"/>
              </w:rPr>
            </w:pPr>
            <w:r>
              <w:rPr>
                <w:rFonts w:hint="eastAsia" w:ascii="宋体" w:hAnsi="宋体" w:cs="宋体"/>
                <w:bCs/>
                <w:color w:val="auto"/>
                <w:highlight w:val="none"/>
                <w:lang w:val="en-US" w:eastAsia="zh-CN"/>
              </w:rPr>
              <w:t>四</w:t>
            </w:r>
            <w:r>
              <w:rPr>
                <w:rFonts w:hint="eastAsia" w:ascii="宋体" w:hAnsi="宋体" w:eastAsia="宋体" w:cs="宋体"/>
                <w:bCs/>
                <w:color w:val="auto"/>
                <w:highlight w:val="none"/>
              </w:rPr>
              <w:t>档（10分）：有专门的安全管理人员和制度，各道工序安全技术措施具有针对性，确保工程质量的技术组织措施切合实际且优于有关安全技术标准要求。有</w:t>
            </w:r>
            <w:r>
              <w:rPr>
                <w:rFonts w:hint="eastAsia" w:ascii="宋体" w:hAnsi="宋体" w:cs="宋体"/>
                <w:bCs/>
                <w:color w:val="auto"/>
                <w:highlight w:val="none"/>
                <w:lang w:val="en-US" w:eastAsia="zh-CN"/>
              </w:rPr>
              <w:t>有保障性</w:t>
            </w:r>
            <w:r>
              <w:rPr>
                <w:rFonts w:hint="eastAsia" w:ascii="宋体" w:hAnsi="宋体" w:eastAsia="宋体" w:cs="宋体"/>
                <w:bCs/>
                <w:color w:val="auto"/>
                <w:highlight w:val="none"/>
              </w:rPr>
              <w:t>的现场防火、应急救援、社会治安安全措施。有安全生产责任、安全生产教育培训制度、施工现场临时用电方案及安全用电措施、安全管理目标。</w:t>
            </w:r>
          </w:p>
          <w:p w14:paraId="3FC370A2">
            <w:pPr>
              <w:widowControl/>
              <w:spacing w:line="360" w:lineRule="auto"/>
              <w:ind w:firstLine="422" w:firstLineChars="200"/>
              <w:jc w:val="lef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lang w:eastAsia="zh-CN"/>
              </w:rPr>
              <w:t>）</w:t>
            </w:r>
            <w:bookmarkStart w:id="1239" w:name="OLE_LINK38"/>
            <w:r>
              <w:rPr>
                <w:rFonts w:hint="eastAsia" w:ascii="宋体" w:hAnsi="宋体" w:eastAsia="宋体" w:cs="宋体"/>
                <w:b/>
                <w:bCs/>
                <w:color w:val="auto"/>
                <w:highlight w:val="none"/>
              </w:rPr>
              <w:t>确保工期的技术组织措施</w:t>
            </w:r>
            <w:bookmarkEnd w:id="1239"/>
            <w:r>
              <w:rPr>
                <w:rFonts w:hint="eastAsia" w:ascii="宋体" w:hAnsi="宋体" w:eastAsia="宋体" w:cs="宋体"/>
                <w:b/>
                <w:bCs/>
                <w:color w:val="auto"/>
                <w:highlight w:val="none"/>
              </w:rPr>
              <w:t>方案</w:t>
            </w:r>
            <w:r>
              <w:rPr>
                <w:rFonts w:hint="eastAsia" w:ascii="宋体" w:hAnsi="宋体" w:eastAsia="宋体" w:cs="宋体"/>
                <w:b/>
                <w:bCs/>
                <w:color w:val="auto"/>
                <w:szCs w:val="21"/>
                <w:highlight w:val="none"/>
                <w:lang w:eastAsia="zh-CN"/>
              </w:rPr>
              <w:t>（满分</w:t>
            </w: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lang w:eastAsia="zh-CN"/>
              </w:rPr>
              <w:t>分）</w:t>
            </w:r>
          </w:p>
          <w:p w14:paraId="2A6CE60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一档（</w:t>
            </w:r>
            <w:r>
              <w:rPr>
                <w:rFonts w:hint="eastAsia" w:ascii="宋体" w:hAnsi="宋体" w:cs="宋体"/>
                <w:color w:val="auto"/>
                <w:highlight w:val="none"/>
                <w:lang w:val="en-US" w:eastAsia="zh-CN"/>
              </w:rPr>
              <w:t>2</w:t>
            </w:r>
            <w:r>
              <w:rPr>
                <w:rFonts w:hint="eastAsia" w:ascii="宋体" w:hAnsi="宋体" w:eastAsia="宋体" w:cs="宋体"/>
                <w:color w:val="auto"/>
                <w:highlight w:val="none"/>
              </w:rPr>
              <w:t>分）：在施工工艺、施工方法、材料选用、劳动力安排、技术方面有保证工期的措施。有控制工期的施工进度计划。</w:t>
            </w:r>
          </w:p>
          <w:p w14:paraId="600A52A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二档（</w:t>
            </w:r>
            <w:r>
              <w:rPr>
                <w:rFonts w:hint="eastAsia" w:ascii="宋体" w:hAnsi="宋体" w:cs="宋体"/>
                <w:color w:val="auto"/>
                <w:highlight w:val="none"/>
                <w:lang w:val="en-US" w:eastAsia="zh-CN"/>
              </w:rPr>
              <w:t>4</w:t>
            </w:r>
            <w:r>
              <w:rPr>
                <w:rFonts w:hint="eastAsia" w:ascii="宋体" w:hAnsi="宋体" w:eastAsia="宋体" w:cs="宋体"/>
                <w:color w:val="auto"/>
                <w:highlight w:val="none"/>
              </w:rPr>
              <w:t>分）：在施工工艺、施工方法、材料选用、劳动力安排、技术方面有保证工期的措施。有控制工期的施工进度计划。有施工总进度表或施工网络图。</w:t>
            </w:r>
          </w:p>
          <w:p w14:paraId="618A0453">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三档（</w:t>
            </w:r>
            <w:r>
              <w:rPr>
                <w:rFonts w:hint="eastAsia" w:ascii="宋体" w:hAnsi="宋体" w:cs="宋体"/>
                <w:color w:val="auto"/>
                <w:highlight w:val="none"/>
                <w:lang w:val="en-US" w:eastAsia="zh-CN"/>
              </w:rPr>
              <w:t>6</w:t>
            </w:r>
            <w:r>
              <w:rPr>
                <w:rFonts w:hint="eastAsia" w:ascii="宋体" w:hAnsi="宋体" w:eastAsia="宋体" w:cs="宋体"/>
                <w:color w:val="auto"/>
                <w:highlight w:val="none"/>
              </w:rPr>
              <w:t>分）：在施工工艺、施工方法、材料选用、劳动力安排、技术方面有保证工期的措施切实符合项目需求。有控制工期的施工进度计划</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施工进度计划的执行与控制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进度偏差管理措施。有施工总进度表或施工网络图。</w:t>
            </w:r>
          </w:p>
          <w:p w14:paraId="37E971BF">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cs="宋体"/>
                <w:color w:val="auto"/>
                <w:highlight w:val="none"/>
                <w:lang w:val="en-US" w:eastAsia="zh-CN"/>
              </w:rPr>
              <w:t>四</w:t>
            </w:r>
            <w:r>
              <w:rPr>
                <w:rFonts w:hint="eastAsia" w:ascii="宋体" w:hAnsi="宋体" w:eastAsia="宋体" w:cs="宋体"/>
                <w:color w:val="auto"/>
                <w:highlight w:val="none"/>
              </w:rPr>
              <w:t>档（</w:t>
            </w:r>
            <w:r>
              <w:rPr>
                <w:rFonts w:hint="eastAsia" w:ascii="宋体" w:hAnsi="宋体" w:cs="宋体"/>
                <w:color w:val="auto"/>
                <w:highlight w:val="none"/>
                <w:lang w:val="en-US" w:eastAsia="zh-CN"/>
              </w:rPr>
              <w:t>8</w:t>
            </w:r>
            <w:r>
              <w:rPr>
                <w:rFonts w:hint="eastAsia" w:ascii="宋体" w:hAnsi="宋体" w:eastAsia="宋体" w:cs="宋体"/>
                <w:color w:val="auto"/>
                <w:highlight w:val="none"/>
              </w:rPr>
              <w:t>分）：在施工工艺、施工方法、材料选用、劳动力安排、技术方面有保证工期的措施切实符合项目需求，具有针对性。有控制工期的施工进度计划</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施工进度计划的执行与控制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进度偏差管理措施。有施工总进度表或施工网络图，各项计划图表编制</w:t>
            </w:r>
            <w:r>
              <w:rPr>
                <w:rFonts w:hint="eastAsia" w:ascii="宋体" w:hAnsi="宋体" w:eastAsia="宋体" w:cs="宋体"/>
                <w:color w:val="auto"/>
                <w:highlight w:val="none"/>
                <w:lang w:val="en-US" w:eastAsia="zh-CN"/>
              </w:rPr>
              <w:t>详细</w:t>
            </w:r>
            <w:r>
              <w:rPr>
                <w:rFonts w:hint="eastAsia" w:ascii="宋体" w:hAnsi="宋体" w:eastAsia="宋体" w:cs="宋体"/>
                <w:color w:val="auto"/>
                <w:highlight w:val="none"/>
              </w:rPr>
              <w:t>。</w:t>
            </w:r>
          </w:p>
          <w:p w14:paraId="2F93AF08">
            <w:pPr>
              <w:widowControl/>
              <w:spacing w:line="360" w:lineRule="auto"/>
              <w:ind w:firstLine="422" w:firstLineChars="200"/>
              <w:jc w:val="lef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highlight w:val="none"/>
              </w:rPr>
              <w:t>确保文明施工的技术组织措施方案分</w:t>
            </w:r>
            <w:r>
              <w:rPr>
                <w:rFonts w:hint="eastAsia" w:ascii="宋体" w:hAnsi="宋体" w:eastAsia="宋体" w:cs="宋体"/>
                <w:b/>
                <w:bCs/>
                <w:color w:val="auto"/>
                <w:szCs w:val="21"/>
                <w:highlight w:val="none"/>
                <w:lang w:eastAsia="zh-CN"/>
              </w:rPr>
              <w:t>（满分</w:t>
            </w:r>
            <w:r>
              <w:rPr>
                <w:rFonts w:hint="eastAsia" w:ascii="宋体" w:hAnsi="宋体" w:cs="宋体"/>
                <w:b/>
                <w:bCs/>
                <w:color w:val="auto"/>
                <w:szCs w:val="21"/>
                <w:highlight w:val="none"/>
                <w:lang w:val="en-US" w:eastAsia="zh-CN"/>
              </w:rPr>
              <w:t>7</w:t>
            </w:r>
            <w:r>
              <w:rPr>
                <w:rFonts w:hint="eastAsia" w:ascii="宋体" w:hAnsi="宋体" w:eastAsia="宋体" w:cs="宋体"/>
                <w:b/>
                <w:bCs/>
                <w:color w:val="auto"/>
                <w:szCs w:val="21"/>
                <w:highlight w:val="none"/>
                <w:lang w:eastAsia="zh-CN"/>
              </w:rPr>
              <w:t>分）</w:t>
            </w:r>
          </w:p>
          <w:p w14:paraId="10E98A0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一档（</w:t>
            </w:r>
            <w:r>
              <w:rPr>
                <w:rFonts w:hint="eastAsia" w:ascii="宋体" w:hAnsi="宋体" w:cs="宋体"/>
                <w:color w:val="auto"/>
                <w:highlight w:val="none"/>
                <w:lang w:val="en-US" w:eastAsia="zh-CN"/>
              </w:rPr>
              <w:t>1</w:t>
            </w:r>
            <w:r>
              <w:rPr>
                <w:rFonts w:hint="eastAsia" w:ascii="宋体" w:hAnsi="宋体" w:eastAsia="宋体" w:cs="宋体"/>
                <w:color w:val="auto"/>
                <w:highlight w:val="none"/>
              </w:rPr>
              <w:t>分）：文明施工方案达到《建筑施工安全生产检查标准》（JGJ59-2011）合格标准。</w:t>
            </w:r>
          </w:p>
          <w:p w14:paraId="30BDF17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二档（</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分）：有现场文明施工措施，达到 《建筑施工安全生产检查标准》 （JGJ59-2011） 合格标准并符合《广西壮族自治区建筑工程文明施工导则》要求。</w:t>
            </w:r>
          </w:p>
          <w:p w14:paraId="43D97039">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三档（</w:t>
            </w:r>
            <w:r>
              <w:rPr>
                <w:rFonts w:hint="eastAsia" w:ascii="宋体" w:hAnsi="宋体" w:cs="宋体"/>
                <w:color w:val="auto"/>
                <w:highlight w:val="none"/>
                <w:lang w:val="en-US" w:eastAsia="zh-CN"/>
              </w:rPr>
              <w:t>5</w:t>
            </w:r>
            <w:r>
              <w:rPr>
                <w:rFonts w:hint="eastAsia" w:ascii="宋体" w:hAnsi="宋体" w:eastAsia="宋体" w:cs="宋体"/>
                <w:color w:val="auto"/>
                <w:highlight w:val="none"/>
              </w:rPr>
              <w:t>分）：针对本工程项目特点，有现场文明施工、环境保护措施，且措施内容达到《建筑施工安全生产检查标准》（JGJ59-2011）合格标准并符合《广西壮族自治区建筑工程文明施工导则》要求。各项措施切合项目需求。</w:t>
            </w:r>
          </w:p>
          <w:p w14:paraId="123AC10D">
            <w:pPr>
              <w:widowControl/>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四</w:t>
            </w:r>
            <w:r>
              <w:rPr>
                <w:rFonts w:hint="eastAsia" w:ascii="宋体" w:hAnsi="宋体" w:eastAsia="宋体" w:cs="宋体"/>
                <w:color w:val="auto"/>
                <w:highlight w:val="none"/>
              </w:rPr>
              <w:t>档（</w:t>
            </w:r>
            <w:r>
              <w:rPr>
                <w:rFonts w:hint="eastAsia" w:ascii="宋体" w:hAnsi="宋体" w:cs="宋体"/>
                <w:color w:val="auto"/>
                <w:highlight w:val="none"/>
                <w:lang w:val="en-US" w:eastAsia="zh-CN"/>
              </w:rPr>
              <w:t>7</w:t>
            </w:r>
            <w:r>
              <w:rPr>
                <w:rFonts w:hint="eastAsia" w:ascii="宋体" w:hAnsi="宋体" w:eastAsia="宋体" w:cs="宋体"/>
                <w:color w:val="auto"/>
                <w:highlight w:val="none"/>
              </w:rPr>
              <w:t>分）：针对本工程项目特点，有现场文明施工、环境保护措施，且措施内容达到《建筑施工安全生产检查标准》（JGJ59-2011）合格标准并符合《广西壮族自治区建筑工程文明施工导则》要求。各项措施切合项目需求，具有针对性。</w:t>
            </w:r>
          </w:p>
        </w:tc>
        <w:tc>
          <w:tcPr>
            <w:tcW w:w="851" w:type="dxa"/>
            <w:noWrap w:val="0"/>
            <w:vAlign w:val="center"/>
          </w:tcPr>
          <w:p w14:paraId="79E7B5C8">
            <w:pPr>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70</w:t>
            </w:r>
            <w:r>
              <w:rPr>
                <w:rFonts w:hint="eastAsia" w:ascii="宋体" w:hAnsi="宋体" w:eastAsia="宋体" w:cs="宋体"/>
                <w:color w:val="auto"/>
                <w:kern w:val="0"/>
                <w:szCs w:val="21"/>
                <w:highlight w:val="none"/>
                <w:lang w:eastAsia="zh-CN"/>
              </w:rPr>
              <w:t>分</w:t>
            </w:r>
          </w:p>
        </w:tc>
      </w:tr>
      <w:tr w14:paraId="5B51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239" w:type="dxa"/>
            <w:gridSpan w:val="3"/>
            <w:noWrap w:val="0"/>
            <w:vAlign w:val="top"/>
          </w:tcPr>
          <w:p w14:paraId="03BA7079">
            <w:pPr>
              <w:pStyle w:val="12"/>
              <w:spacing w:line="360" w:lineRule="auto"/>
              <w:ind w:firstLine="420" w:firstLineChars="200"/>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总得分＝1＋2</w:t>
            </w:r>
          </w:p>
        </w:tc>
        <w:tc>
          <w:tcPr>
            <w:tcW w:w="851" w:type="dxa"/>
            <w:noWrap w:val="0"/>
            <w:vAlign w:val="center"/>
          </w:tcPr>
          <w:p w14:paraId="33BB58F8">
            <w:pPr>
              <w:widowControl/>
              <w:spacing w:line="360" w:lineRule="auto"/>
              <w:jc w:val="center"/>
              <w:rPr>
                <w:rFonts w:hint="eastAsia" w:ascii="宋体" w:hAnsi="宋体" w:eastAsia="宋体" w:cs="宋体"/>
                <w:color w:val="auto"/>
                <w:kern w:val="0"/>
                <w:szCs w:val="21"/>
                <w:highlight w:val="none"/>
              </w:rPr>
            </w:pPr>
          </w:p>
        </w:tc>
      </w:tr>
    </w:tbl>
    <w:p w14:paraId="1B98746D">
      <w:pPr>
        <w:spacing w:line="480" w:lineRule="auto"/>
        <w:ind w:firstLine="420" w:firstLineChars="200"/>
        <w:rPr>
          <w:rFonts w:hint="eastAsia" w:ascii="宋体" w:hAnsi="宋体" w:eastAsia="宋体" w:cs="宋体"/>
          <w:color w:val="auto"/>
          <w:szCs w:val="21"/>
          <w:highlight w:val="none"/>
        </w:rPr>
      </w:pPr>
    </w:p>
    <w:p w14:paraId="077EFC29">
      <w:pPr>
        <w:spacing w:line="48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w:t>
      </w:r>
      <w:r>
        <w:rPr>
          <w:rFonts w:hint="eastAsia" w:ascii="宋体" w:hAnsi="宋体" w:cs="宋体"/>
          <w:color w:val="auto"/>
          <w:kern w:val="0"/>
          <w:szCs w:val="21"/>
          <w:highlight w:val="none"/>
          <w:lang w:val="en-US" w:eastAsia="zh-CN"/>
        </w:rPr>
        <w:t>5.3</w:t>
      </w:r>
      <w:r>
        <w:rPr>
          <w:rFonts w:hint="eastAsia" w:ascii="宋体" w:hAnsi="宋体" w:eastAsia="宋体" w:cs="宋体"/>
          <w:color w:val="auto"/>
          <w:kern w:val="0"/>
          <w:szCs w:val="21"/>
          <w:highlight w:val="none"/>
        </w:rPr>
        <w:t>条情形的，可以推荐2家成交候选供应商。</w:t>
      </w:r>
      <w:r>
        <w:rPr>
          <w:rFonts w:hint="eastAsia" w:ascii="宋体" w:hAnsi="宋体" w:eastAsia="宋体" w:cs="宋体"/>
          <w:bCs/>
          <w:color w:val="auto"/>
          <w:szCs w:val="21"/>
          <w:highlight w:val="none"/>
        </w:rPr>
        <w:t>评审得分相同的，按照最后报价（不计算价格折扣）由低到高的顺序推荐。评审得分且最后报价（不计算价格折扣）相同的，按照技术指标优劣顺序推荐（按技术得分由高到低排序，技术得分相同的按照</w:t>
      </w:r>
      <w:r>
        <w:rPr>
          <w:rFonts w:hint="eastAsia" w:ascii="宋体" w:hAnsi="宋体" w:eastAsia="宋体" w:cs="宋体"/>
          <w:color w:val="auto"/>
          <w:highlight w:val="none"/>
          <w:lang w:eastAsia="zh-CN"/>
        </w:rPr>
        <w:t>承</w:t>
      </w:r>
      <w:bookmarkStart w:id="1240" w:name="OLE_LINK49"/>
      <w:r>
        <w:rPr>
          <w:rFonts w:hint="eastAsia" w:ascii="宋体" w:hAnsi="宋体" w:eastAsia="宋体" w:cs="宋体"/>
          <w:color w:val="auto"/>
          <w:highlight w:val="none"/>
          <w:lang w:eastAsia="zh-CN"/>
        </w:rPr>
        <w:t>诺工期</w:t>
      </w:r>
      <w:r>
        <w:rPr>
          <w:rFonts w:hint="eastAsia" w:ascii="宋体" w:hAnsi="宋体" w:eastAsia="宋体" w:cs="宋体"/>
          <w:bCs/>
          <w:color w:val="auto"/>
          <w:szCs w:val="21"/>
          <w:highlight w:val="none"/>
          <w:lang w:eastAsia="zh-CN"/>
        </w:rPr>
        <w:t>优劣</w:t>
      </w:r>
      <w:bookmarkEnd w:id="1240"/>
      <w:r>
        <w:rPr>
          <w:rFonts w:hint="eastAsia" w:ascii="宋体" w:hAnsi="宋体" w:eastAsia="宋体" w:cs="宋体"/>
          <w:bCs/>
          <w:color w:val="auto"/>
          <w:szCs w:val="21"/>
          <w:highlight w:val="none"/>
        </w:rPr>
        <w:t>排序）。评审得分、最后报价（不计算价格折扣）、技术得分、</w:t>
      </w:r>
      <w:r>
        <w:rPr>
          <w:rFonts w:hint="eastAsia" w:ascii="宋体" w:hAnsi="宋体" w:eastAsia="宋体" w:cs="宋体"/>
          <w:color w:val="auto"/>
          <w:highlight w:val="none"/>
          <w:lang w:eastAsia="zh-CN"/>
        </w:rPr>
        <w:t>承诺工期</w:t>
      </w:r>
      <w:r>
        <w:rPr>
          <w:rFonts w:hint="eastAsia" w:ascii="宋体" w:hAnsi="宋体" w:eastAsia="宋体" w:cs="宋体"/>
          <w:bCs/>
          <w:color w:val="auto"/>
          <w:szCs w:val="21"/>
          <w:highlight w:val="none"/>
        </w:rPr>
        <w:t>均相同的，由磋商小组随机抽取推荐。</w:t>
      </w:r>
    </w:p>
    <w:p w14:paraId="4F20DFEC">
      <w:pPr>
        <w:pStyle w:val="14"/>
        <w:rPr>
          <w:rFonts w:hint="eastAsia" w:ascii="宋体" w:hAnsi="宋体" w:eastAsia="宋体" w:cs="宋体"/>
          <w:bCs/>
          <w:color w:val="auto"/>
          <w:szCs w:val="21"/>
          <w:highlight w:val="none"/>
        </w:rPr>
      </w:pPr>
    </w:p>
    <w:p w14:paraId="150771CF">
      <w:pPr>
        <w:rPr>
          <w:rFonts w:hint="eastAsia"/>
          <w:color w:val="auto"/>
        </w:rPr>
      </w:pPr>
    </w:p>
    <w:p w14:paraId="2824B031">
      <w:pPr>
        <w:pStyle w:val="14"/>
        <w:rPr>
          <w:rFonts w:hint="eastAsia" w:ascii="宋体" w:hAnsi="宋体" w:eastAsia="宋体" w:cs="宋体"/>
          <w:bCs/>
          <w:color w:val="auto"/>
          <w:szCs w:val="21"/>
          <w:highlight w:val="none"/>
        </w:rPr>
      </w:pPr>
    </w:p>
    <w:p w14:paraId="403B8ACE">
      <w:pPr>
        <w:rPr>
          <w:rFonts w:hint="eastAsia" w:ascii="宋体" w:hAnsi="宋体" w:eastAsia="宋体" w:cs="宋体"/>
          <w:bCs/>
          <w:color w:val="auto"/>
          <w:szCs w:val="21"/>
          <w:highlight w:val="none"/>
        </w:rPr>
      </w:pPr>
    </w:p>
    <w:p w14:paraId="62AED26F">
      <w:pPr>
        <w:pStyle w:val="2"/>
        <w:pageBreakBefore w:val="0"/>
        <w:widowControl w:val="0"/>
        <w:numPr>
          <w:ilvl w:val="0"/>
          <w:numId w:val="0"/>
        </w:numPr>
        <w:kinsoku/>
        <w:wordWrap/>
        <w:overflowPunct/>
        <w:topLinePunct w:val="0"/>
        <w:autoSpaceDE/>
        <w:autoSpaceDN/>
        <w:bidi w:val="0"/>
        <w:adjustRightInd/>
        <w:snapToGrid/>
        <w:spacing w:before="0" w:after="0" w:line="240" w:lineRule="auto"/>
        <w:ind w:leftChars="200"/>
        <w:jc w:val="both"/>
        <w:textAlignment w:val="auto"/>
        <w:rPr>
          <w:rFonts w:hint="eastAsia" w:ascii="宋体" w:hAnsi="宋体" w:cs="宋体"/>
          <w:b/>
          <w:color w:val="auto"/>
          <w:sz w:val="32"/>
          <w:szCs w:val="32"/>
          <w:highlight w:val="none"/>
          <w:lang w:val="en-US" w:eastAsia="zh-CN"/>
        </w:rPr>
      </w:pPr>
      <w:bookmarkStart w:id="1241" w:name="_Toc13011"/>
      <w:bookmarkStart w:id="1242" w:name="_Toc20915"/>
      <w:bookmarkStart w:id="1243" w:name="_Toc25850"/>
      <w:bookmarkStart w:id="1244" w:name="_Toc8963"/>
      <w:bookmarkStart w:id="1245" w:name="_Toc28283"/>
      <w:bookmarkStart w:id="1246" w:name="_Toc29624"/>
      <w:bookmarkStart w:id="1247" w:name="_Toc178"/>
      <w:bookmarkStart w:id="1248" w:name="_Toc80886951"/>
      <w:bookmarkStart w:id="1249" w:name="_Toc610"/>
    </w:p>
    <w:bookmarkEnd w:id="1241"/>
    <w:bookmarkEnd w:id="1242"/>
    <w:bookmarkEnd w:id="1243"/>
    <w:bookmarkEnd w:id="1244"/>
    <w:bookmarkEnd w:id="1245"/>
    <w:bookmarkEnd w:id="1246"/>
    <w:bookmarkEnd w:id="1247"/>
    <w:bookmarkEnd w:id="1248"/>
    <w:bookmarkEnd w:id="1249"/>
    <w:p w14:paraId="3A66F7FC">
      <w:pPr>
        <w:spacing w:line="360" w:lineRule="auto"/>
        <w:jc w:val="both"/>
        <w:rPr>
          <w:rFonts w:hint="eastAsia"/>
          <w:b/>
          <w:bCs/>
          <w:color w:val="auto"/>
          <w:sz w:val="32"/>
          <w:szCs w:val="32"/>
          <w:highlight w:val="none"/>
        </w:rPr>
      </w:pPr>
    </w:p>
    <w:p w14:paraId="0F00EF30">
      <w:pPr>
        <w:spacing w:line="360" w:lineRule="auto"/>
        <w:jc w:val="both"/>
        <w:rPr>
          <w:rFonts w:hint="eastAsia"/>
          <w:b/>
          <w:bCs/>
          <w:color w:val="auto"/>
          <w:sz w:val="32"/>
          <w:szCs w:val="32"/>
          <w:highlight w:val="none"/>
        </w:rPr>
      </w:pPr>
    </w:p>
    <w:p w14:paraId="5C0D86E3">
      <w:pPr>
        <w:spacing w:line="360" w:lineRule="auto"/>
        <w:jc w:val="both"/>
        <w:rPr>
          <w:rFonts w:hint="eastAsia"/>
          <w:b/>
          <w:bCs/>
          <w:color w:val="auto"/>
          <w:sz w:val="32"/>
          <w:szCs w:val="32"/>
          <w:highlight w:val="none"/>
        </w:rPr>
      </w:pPr>
    </w:p>
    <w:p w14:paraId="268A1605">
      <w:pPr>
        <w:spacing w:line="360" w:lineRule="auto"/>
        <w:jc w:val="both"/>
        <w:rPr>
          <w:rFonts w:hint="eastAsia"/>
          <w:b/>
          <w:bCs/>
          <w:color w:val="auto"/>
          <w:sz w:val="32"/>
          <w:szCs w:val="32"/>
          <w:highlight w:val="none"/>
        </w:rPr>
      </w:pPr>
    </w:p>
    <w:p w14:paraId="6E420019">
      <w:pPr>
        <w:spacing w:line="360" w:lineRule="auto"/>
        <w:jc w:val="both"/>
        <w:rPr>
          <w:rFonts w:hint="eastAsia"/>
          <w:b/>
          <w:bCs/>
          <w:color w:val="auto"/>
          <w:sz w:val="32"/>
          <w:szCs w:val="32"/>
          <w:highlight w:val="none"/>
        </w:rPr>
      </w:pPr>
    </w:p>
    <w:p w14:paraId="5FC9911A">
      <w:pPr>
        <w:spacing w:line="360" w:lineRule="auto"/>
        <w:jc w:val="both"/>
        <w:rPr>
          <w:rFonts w:hint="eastAsia"/>
          <w:b/>
          <w:bCs/>
          <w:color w:val="auto"/>
          <w:sz w:val="32"/>
          <w:szCs w:val="32"/>
          <w:highlight w:val="none"/>
        </w:rPr>
      </w:pPr>
    </w:p>
    <w:p w14:paraId="5A599759">
      <w:pPr>
        <w:spacing w:line="240" w:lineRule="auto"/>
        <w:ind w:firstLine="643" w:firstLineChars="200"/>
        <w:jc w:val="left"/>
        <w:rPr>
          <w:rFonts w:hint="eastAsia"/>
          <w:b/>
          <w:bCs/>
          <w:color w:val="auto"/>
          <w:sz w:val="32"/>
          <w:szCs w:val="32"/>
          <w:highlight w:val="none"/>
          <w:lang w:val="en-US" w:eastAsia="zh-CN"/>
        </w:rPr>
      </w:pPr>
      <w:r>
        <w:rPr>
          <w:rFonts w:hint="eastAsia"/>
          <w:b/>
          <w:bCs/>
          <w:color w:val="auto"/>
          <w:sz w:val="32"/>
          <w:szCs w:val="32"/>
          <w:highlight w:val="none"/>
          <w:lang w:val="en-US" w:eastAsia="zh-CN"/>
        </w:rPr>
        <w:br w:type="page"/>
      </w:r>
    </w:p>
    <w:p w14:paraId="31A75D80">
      <w:pPr>
        <w:spacing w:line="360" w:lineRule="auto"/>
        <w:ind w:firstLine="643" w:firstLineChars="200"/>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第九章质疑、投诉材料</w:t>
      </w:r>
    </w:p>
    <w:p w14:paraId="6D461DF4">
      <w:pPr>
        <w:spacing w:line="360" w:lineRule="auto"/>
        <w:jc w:val="both"/>
        <w:rPr>
          <w:rFonts w:hint="eastAsia"/>
          <w:b/>
          <w:bCs/>
          <w:color w:val="auto"/>
          <w:sz w:val="32"/>
          <w:szCs w:val="32"/>
          <w:highlight w:val="none"/>
        </w:rPr>
      </w:pPr>
    </w:p>
    <w:p w14:paraId="333C3036">
      <w:pPr>
        <w:spacing w:line="360" w:lineRule="auto"/>
        <w:ind w:firstLine="643" w:firstLineChars="200"/>
        <w:jc w:val="both"/>
        <w:rPr>
          <w:rFonts w:hint="eastAsia"/>
          <w:b/>
          <w:bCs/>
          <w:color w:val="auto"/>
          <w:sz w:val="32"/>
          <w:szCs w:val="32"/>
          <w:highlight w:val="none"/>
        </w:rPr>
      </w:pPr>
      <w:r>
        <w:rPr>
          <w:rFonts w:hint="eastAsia"/>
          <w:b/>
          <w:bCs/>
          <w:color w:val="auto"/>
          <w:sz w:val="32"/>
          <w:szCs w:val="32"/>
          <w:highlight w:val="none"/>
        </w:rPr>
        <w:t>质疑函（格式）</w:t>
      </w:r>
    </w:p>
    <w:p w14:paraId="375F1406">
      <w:pPr>
        <w:spacing w:line="360" w:lineRule="auto"/>
        <w:ind w:firstLine="482" w:firstLineChars="200"/>
        <w:contextualSpacing/>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一、质疑供应商基本信息：</w:t>
      </w:r>
    </w:p>
    <w:p w14:paraId="49A1847B">
      <w:pPr>
        <w:spacing w:line="360" w:lineRule="auto"/>
        <w:ind w:firstLine="480" w:firstLineChars="200"/>
        <w:contextualSpacing/>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质疑供应商：</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2DBE62CC">
      <w:pPr>
        <w:spacing w:line="360" w:lineRule="auto"/>
        <w:ind w:firstLine="480" w:firstLineChars="200"/>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7D215108">
      <w:pPr>
        <w:spacing w:line="360" w:lineRule="auto"/>
        <w:ind w:firstLine="480" w:firstLineChars="200"/>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联系人：</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7E75A002">
      <w:pPr>
        <w:spacing w:line="360" w:lineRule="auto"/>
        <w:ind w:firstLine="480" w:firstLineChars="200"/>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授权代表：</w:t>
      </w:r>
      <w:r>
        <w:rPr>
          <w:rFonts w:hint="eastAsia" w:ascii="宋体" w:hAnsi="宋体" w:eastAsia="宋体" w:cs="宋体"/>
          <w:bCs/>
          <w:color w:val="auto"/>
          <w:kern w:val="0"/>
          <w:sz w:val="24"/>
          <w:highlight w:val="none"/>
          <w:u w:val="single"/>
        </w:rPr>
        <w:t xml:space="preserve">                      </w:t>
      </w:r>
    </w:p>
    <w:p w14:paraId="1E3646BC">
      <w:pPr>
        <w:spacing w:line="360" w:lineRule="auto"/>
        <w:ind w:firstLine="480" w:firstLineChars="200"/>
        <w:contextualSpacing/>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3856C386">
      <w:pPr>
        <w:spacing w:line="360" w:lineRule="auto"/>
        <w:ind w:firstLine="480" w:firstLineChars="200"/>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1A9880E3">
      <w:pPr>
        <w:spacing w:line="360" w:lineRule="auto"/>
        <w:ind w:firstLine="482" w:firstLineChars="200"/>
        <w:contextualSpacing/>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二、质疑项目基本情况：</w:t>
      </w:r>
    </w:p>
    <w:p w14:paraId="280542EC">
      <w:pPr>
        <w:spacing w:line="360" w:lineRule="auto"/>
        <w:ind w:left="25" w:leftChars="12" w:firstLine="480" w:firstLineChars="200"/>
        <w:contextualSpacing/>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质疑</w:t>
      </w:r>
      <w:r>
        <w:rPr>
          <w:rFonts w:hint="eastAsia" w:ascii="宋体" w:hAnsi="宋体" w:eastAsia="宋体" w:cs="宋体"/>
          <w:color w:val="auto"/>
          <w:kern w:val="0"/>
          <w:sz w:val="24"/>
          <w:highlight w:val="none"/>
        </w:rPr>
        <w:t>项目的名称：</w:t>
      </w:r>
      <w:r>
        <w:rPr>
          <w:rFonts w:hint="eastAsia" w:ascii="宋体" w:hAnsi="宋体" w:eastAsia="宋体" w:cs="宋体"/>
          <w:bCs/>
          <w:color w:val="auto"/>
          <w:kern w:val="0"/>
          <w:sz w:val="24"/>
          <w:highlight w:val="none"/>
          <w:u w:val="single"/>
        </w:rPr>
        <w:t xml:space="preserve">                                     </w:t>
      </w:r>
    </w:p>
    <w:p w14:paraId="689DB487">
      <w:pPr>
        <w:spacing w:line="360" w:lineRule="auto"/>
        <w:ind w:left="25" w:leftChars="12" w:firstLine="480" w:firstLineChars="200"/>
        <w:contextualSpacing/>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质疑</w:t>
      </w:r>
      <w:r>
        <w:rPr>
          <w:rFonts w:hint="eastAsia" w:ascii="宋体" w:hAnsi="宋体" w:eastAsia="宋体" w:cs="宋体"/>
          <w:color w:val="auto"/>
          <w:kern w:val="0"/>
          <w:sz w:val="24"/>
          <w:highlight w:val="none"/>
        </w:rPr>
        <w:t>项目的编号：</w:t>
      </w:r>
      <w:r>
        <w:rPr>
          <w:rFonts w:hint="eastAsia" w:ascii="宋体" w:hAnsi="宋体" w:eastAsia="宋体" w:cs="宋体"/>
          <w:bCs/>
          <w:color w:val="auto"/>
          <w:kern w:val="0"/>
          <w:sz w:val="24"/>
          <w:highlight w:val="none"/>
          <w:u w:val="single"/>
        </w:rPr>
        <w:t xml:space="preserve">                                     </w:t>
      </w:r>
    </w:p>
    <w:p w14:paraId="446D3FB5">
      <w:pPr>
        <w:spacing w:line="360" w:lineRule="auto"/>
        <w:ind w:left="25" w:leftChars="12" w:firstLine="480" w:firstLineChars="200"/>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采购人名称：</w:t>
      </w:r>
      <w:r>
        <w:rPr>
          <w:rFonts w:hint="eastAsia" w:ascii="宋体" w:hAnsi="宋体" w:eastAsia="宋体" w:cs="宋体"/>
          <w:bCs/>
          <w:color w:val="auto"/>
          <w:kern w:val="0"/>
          <w:sz w:val="24"/>
          <w:highlight w:val="none"/>
          <w:u w:val="single"/>
        </w:rPr>
        <w:t xml:space="preserve">                                         </w:t>
      </w:r>
    </w:p>
    <w:p w14:paraId="17EAF079">
      <w:pPr>
        <w:spacing w:line="360" w:lineRule="auto"/>
        <w:ind w:left="25" w:leftChars="12" w:firstLine="480" w:firstLineChars="200"/>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质疑事项：</w:t>
      </w:r>
    </w:p>
    <w:p w14:paraId="0DFBAD95">
      <w:pPr>
        <w:spacing w:line="360" w:lineRule="auto"/>
        <w:ind w:left="25" w:leftChars="12" w:firstLine="480" w:firstLineChars="200"/>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□采购文件   采购文件获取日期：</w:t>
      </w:r>
      <w:r>
        <w:rPr>
          <w:rFonts w:hint="eastAsia" w:ascii="宋体" w:hAnsi="宋体" w:eastAsia="宋体" w:cs="宋体"/>
          <w:bCs/>
          <w:color w:val="auto"/>
          <w:kern w:val="0"/>
          <w:sz w:val="24"/>
          <w:highlight w:val="none"/>
          <w:u w:val="single"/>
        </w:rPr>
        <w:t xml:space="preserve">                                   </w:t>
      </w:r>
    </w:p>
    <w:p w14:paraId="632757EE">
      <w:pPr>
        <w:spacing w:line="360" w:lineRule="auto"/>
        <w:ind w:left="25" w:leftChars="12" w:firstLine="480" w:firstLineChars="200"/>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□采购过程   </w:t>
      </w:r>
    </w:p>
    <w:p w14:paraId="315888E4">
      <w:pPr>
        <w:spacing w:line="360" w:lineRule="auto"/>
        <w:ind w:left="25" w:leftChars="12" w:firstLine="480" w:firstLineChars="200"/>
        <w:contextualSpacing/>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 xml:space="preserve">□成交结果   </w:t>
      </w:r>
    </w:p>
    <w:p w14:paraId="62653217">
      <w:pPr>
        <w:spacing w:line="360" w:lineRule="auto"/>
        <w:ind w:left="25" w:leftChars="12" w:firstLine="482" w:firstLineChars="200"/>
        <w:contextualSpacing/>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三、质疑事项具体内容</w:t>
      </w:r>
    </w:p>
    <w:p w14:paraId="077B84AF">
      <w:pPr>
        <w:spacing w:line="360" w:lineRule="auto"/>
        <w:ind w:left="25" w:leftChars="12" w:firstLine="480" w:firstLineChars="200"/>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质疑事项1：</w:t>
      </w:r>
      <w:r>
        <w:rPr>
          <w:rFonts w:hint="eastAsia" w:ascii="宋体" w:hAnsi="宋体" w:eastAsia="宋体" w:cs="宋体"/>
          <w:bCs/>
          <w:color w:val="auto"/>
          <w:kern w:val="0"/>
          <w:sz w:val="24"/>
          <w:highlight w:val="none"/>
          <w:u w:val="single"/>
        </w:rPr>
        <w:t xml:space="preserve">                                                                    </w:t>
      </w:r>
    </w:p>
    <w:p w14:paraId="5561D921">
      <w:pPr>
        <w:spacing w:line="360" w:lineRule="auto"/>
        <w:ind w:left="25" w:leftChars="12" w:firstLine="480" w:firstLineChars="200"/>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事实依据：</w:t>
      </w:r>
      <w:r>
        <w:rPr>
          <w:rFonts w:hint="eastAsia" w:ascii="宋体" w:hAnsi="宋体" w:eastAsia="宋体" w:cs="宋体"/>
          <w:bCs/>
          <w:color w:val="auto"/>
          <w:kern w:val="0"/>
          <w:sz w:val="24"/>
          <w:highlight w:val="none"/>
          <w:u w:val="single"/>
        </w:rPr>
        <w:t xml:space="preserve">                                                                      </w:t>
      </w:r>
    </w:p>
    <w:p w14:paraId="0547E5C4">
      <w:pPr>
        <w:spacing w:line="360" w:lineRule="auto"/>
        <w:ind w:left="25" w:leftChars="12" w:firstLine="480" w:firstLineChars="200"/>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法律依据：</w:t>
      </w:r>
      <w:r>
        <w:rPr>
          <w:rFonts w:hint="eastAsia" w:ascii="宋体" w:hAnsi="宋体" w:eastAsia="宋体" w:cs="宋体"/>
          <w:color w:val="auto"/>
          <w:kern w:val="0"/>
          <w:sz w:val="24"/>
          <w:highlight w:val="none"/>
          <w:u w:val="single"/>
        </w:rPr>
        <w:t xml:space="preserve">                                                        </w:t>
      </w:r>
      <w:r>
        <w:rPr>
          <w:rFonts w:hint="eastAsia" w:ascii="宋体" w:hAnsi="宋体" w:eastAsia="宋体" w:cs="宋体"/>
          <w:bCs/>
          <w:color w:val="auto"/>
          <w:kern w:val="0"/>
          <w:sz w:val="24"/>
          <w:highlight w:val="none"/>
          <w:u w:val="single"/>
        </w:rPr>
        <w:t xml:space="preserve">               </w:t>
      </w:r>
    </w:p>
    <w:p w14:paraId="2212C1D4">
      <w:pPr>
        <w:spacing w:line="360" w:lineRule="auto"/>
        <w:ind w:left="25" w:leftChars="12" w:firstLine="480" w:firstLineChars="200"/>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质疑事项2</w:t>
      </w:r>
    </w:p>
    <w:p w14:paraId="45128C1B">
      <w:pPr>
        <w:spacing w:line="360" w:lineRule="auto"/>
        <w:ind w:left="25" w:leftChars="12" w:firstLine="480" w:firstLineChars="200"/>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14:paraId="02F4AAFC">
      <w:pPr>
        <w:spacing w:line="360" w:lineRule="auto"/>
        <w:ind w:left="25" w:leftChars="12" w:firstLine="480" w:firstLineChars="200"/>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四、与质疑事项相关的质疑请求：</w:t>
      </w:r>
    </w:p>
    <w:p w14:paraId="75DAA3F4">
      <w:pPr>
        <w:spacing w:line="360" w:lineRule="auto"/>
        <w:ind w:left="25" w:leftChars="12" w:firstLine="480" w:firstLineChars="200"/>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请求：</w:t>
      </w:r>
      <w:r>
        <w:rPr>
          <w:rFonts w:hint="eastAsia" w:ascii="宋体" w:hAnsi="宋体" w:eastAsia="宋体" w:cs="宋体"/>
          <w:bCs/>
          <w:color w:val="auto"/>
          <w:kern w:val="0"/>
          <w:sz w:val="24"/>
          <w:highlight w:val="none"/>
          <w:u w:val="single"/>
        </w:rPr>
        <w:t xml:space="preserve">                                                                </w:t>
      </w:r>
    </w:p>
    <w:p w14:paraId="1026373C">
      <w:pPr>
        <w:spacing w:line="360" w:lineRule="auto"/>
        <w:ind w:left="25" w:leftChars="12" w:firstLine="480" w:firstLineChars="200"/>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签字（签章）：                                       公章：</w:t>
      </w:r>
    </w:p>
    <w:p w14:paraId="05C9DC58">
      <w:pPr>
        <w:spacing w:line="360" w:lineRule="auto"/>
        <w:ind w:left="25" w:leftChars="12" w:firstLine="480" w:firstLineChars="200"/>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日期：</w:t>
      </w:r>
    </w:p>
    <w:p w14:paraId="3EF0CEEA">
      <w:pPr>
        <w:spacing w:line="360" w:lineRule="auto"/>
        <w:ind w:left="25" w:leftChars="12" w:firstLine="480" w:firstLineChars="200"/>
        <w:contextualSpacing/>
        <w:rPr>
          <w:rFonts w:hint="eastAsia" w:ascii="宋体" w:hAnsi="宋体" w:eastAsia="宋体" w:cs="宋体"/>
          <w:color w:val="auto"/>
          <w:kern w:val="0"/>
          <w:sz w:val="24"/>
          <w:highlight w:val="none"/>
        </w:rPr>
      </w:pPr>
    </w:p>
    <w:p w14:paraId="3EEA109F">
      <w:pPr>
        <w:spacing w:line="360" w:lineRule="auto"/>
        <w:ind w:firstLine="482" w:firstLineChars="200"/>
        <w:contextualSpacing/>
        <w:rPr>
          <w:rFonts w:hint="eastAsia"/>
          <w:b/>
          <w:color w:val="auto"/>
          <w:kern w:val="0"/>
          <w:sz w:val="24"/>
          <w:highlight w:val="none"/>
        </w:rPr>
      </w:pPr>
      <w:r>
        <w:rPr>
          <w:rFonts w:hint="eastAsia"/>
          <w:b/>
          <w:color w:val="auto"/>
          <w:kern w:val="0"/>
          <w:sz w:val="24"/>
          <w:highlight w:val="none"/>
        </w:rPr>
        <w:t>说明：</w:t>
      </w:r>
    </w:p>
    <w:p w14:paraId="68DF043A">
      <w:pPr>
        <w:spacing w:line="360" w:lineRule="auto"/>
        <w:ind w:left="25" w:leftChars="12" w:firstLine="482" w:firstLineChars="200"/>
        <w:contextualSpacing/>
        <w:rPr>
          <w:rFonts w:hint="eastAsia" w:ascii="宋体" w:hAnsi="宋体" w:eastAsia="宋体" w:cs="宋体"/>
          <w:b/>
          <w:bCs/>
          <w:color w:val="auto"/>
          <w:kern w:val="0"/>
          <w:sz w:val="24"/>
          <w:highlight w:val="none"/>
        </w:rPr>
      </w:pPr>
      <w:r>
        <w:rPr>
          <w:rFonts w:hint="eastAsia" w:ascii="宋体" w:hAnsi="宋体" w:eastAsia="宋体" w:cs="宋体"/>
          <w:b/>
          <w:color w:val="auto"/>
          <w:kern w:val="0"/>
          <w:sz w:val="24"/>
          <w:highlight w:val="none"/>
        </w:rPr>
        <w:t>1.供应商提出质疑时，应提交质疑函和必要的证明材料</w:t>
      </w:r>
      <w:r>
        <w:rPr>
          <w:rFonts w:hint="eastAsia" w:ascii="宋体" w:hAnsi="宋体" w:eastAsia="宋体" w:cs="宋体"/>
          <w:b/>
          <w:bCs/>
          <w:color w:val="auto"/>
          <w:kern w:val="0"/>
          <w:sz w:val="24"/>
          <w:highlight w:val="none"/>
        </w:rPr>
        <w:t>。</w:t>
      </w:r>
    </w:p>
    <w:p w14:paraId="63B2ADB2">
      <w:pPr>
        <w:spacing w:line="360" w:lineRule="auto"/>
        <w:ind w:left="25" w:leftChars="12" w:firstLine="482" w:firstLineChars="200"/>
        <w:contextualSpacing/>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FCA97D6">
      <w:pPr>
        <w:spacing w:line="360" w:lineRule="auto"/>
        <w:ind w:left="25" w:leftChars="12" w:firstLine="482" w:firstLineChars="200"/>
        <w:contextualSpacing/>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3.质疑函的质疑事项应具体、明确，并有必要的事实依据和法律依据。</w:t>
      </w:r>
    </w:p>
    <w:p w14:paraId="573EA2D9">
      <w:pPr>
        <w:spacing w:line="360" w:lineRule="auto"/>
        <w:ind w:left="25" w:leftChars="12" w:firstLine="482" w:firstLineChars="200"/>
        <w:contextualSpacing/>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4.质疑函的质疑请求应与质疑事项相关。</w:t>
      </w:r>
    </w:p>
    <w:p w14:paraId="46FB74A2">
      <w:pPr>
        <w:spacing w:line="360" w:lineRule="auto"/>
        <w:ind w:left="25" w:leftChars="12" w:firstLine="482" w:firstLineChars="200"/>
        <w:contextualSpacing/>
        <w:rPr>
          <w:rFonts w:hint="eastAsia" w:ascii="宋体" w:hAnsi="宋体" w:eastAsia="宋体" w:cs="宋体"/>
          <w:b/>
          <w:color w:val="auto"/>
          <w:kern w:val="0"/>
          <w:sz w:val="20"/>
          <w:szCs w:val="21"/>
          <w:highlight w:val="none"/>
        </w:rPr>
      </w:pPr>
      <w:r>
        <w:rPr>
          <w:rFonts w:hint="eastAsia" w:ascii="宋体" w:hAnsi="宋体" w:eastAsia="宋体" w:cs="宋体"/>
          <w:b/>
          <w:color w:val="auto"/>
          <w:kern w:val="0"/>
          <w:sz w:val="24"/>
          <w:highlight w:val="none"/>
        </w:rPr>
        <w:t>5.质疑供应商为法人或者其他组织的，质疑函应由法定代表人、主要负责人，或者其授权代表签字或者盖章，并加盖公章。</w:t>
      </w:r>
    </w:p>
    <w:p w14:paraId="69FA1A58">
      <w:pPr>
        <w:spacing w:line="460" w:lineRule="exact"/>
        <w:ind w:firstLine="880" w:firstLineChars="200"/>
        <w:jc w:val="center"/>
        <w:rPr>
          <w:rFonts w:hint="eastAsia" w:ascii="Calibri" w:hAnsi="Calibri" w:eastAsia="隶书"/>
          <w:color w:val="auto"/>
          <w:sz w:val="44"/>
          <w:highlight w:val="none"/>
        </w:rPr>
      </w:pPr>
      <w:r>
        <w:rPr>
          <w:rFonts w:ascii="Calibri" w:hAnsi="Calibri" w:eastAsia="隶书"/>
          <w:color w:val="auto"/>
          <w:sz w:val="44"/>
          <w:highlight w:val="none"/>
        </w:rPr>
        <w:br w:type="page"/>
      </w:r>
    </w:p>
    <w:p w14:paraId="36CDF3A7">
      <w:pPr>
        <w:spacing w:line="360" w:lineRule="auto"/>
        <w:ind w:firstLine="643" w:firstLineChars="200"/>
        <w:jc w:val="center"/>
        <w:rPr>
          <w:rFonts w:hint="eastAsia"/>
          <w:b/>
          <w:bCs/>
          <w:color w:val="auto"/>
          <w:sz w:val="32"/>
          <w:szCs w:val="32"/>
          <w:highlight w:val="none"/>
        </w:rPr>
      </w:pPr>
      <w:r>
        <w:rPr>
          <w:rFonts w:hint="eastAsia"/>
          <w:b/>
          <w:bCs/>
          <w:color w:val="auto"/>
          <w:sz w:val="32"/>
          <w:szCs w:val="32"/>
          <w:highlight w:val="none"/>
        </w:rPr>
        <w:t>投诉书（格式）</w:t>
      </w:r>
    </w:p>
    <w:p w14:paraId="488F8D73">
      <w:pPr>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一、投诉相关主体基本情况：</w:t>
      </w:r>
    </w:p>
    <w:p w14:paraId="44B7E81D">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供应商：</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3399D599">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19D2FE0B">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法定代表人/主要负责人：</w:t>
      </w:r>
      <w:r>
        <w:rPr>
          <w:rFonts w:hint="eastAsia" w:ascii="宋体" w:hAnsi="宋体" w:eastAsia="宋体" w:cs="宋体"/>
          <w:bCs/>
          <w:color w:val="auto"/>
          <w:kern w:val="0"/>
          <w:sz w:val="24"/>
          <w:highlight w:val="none"/>
          <w:u w:val="single"/>
        </w:rPr>
        <w:t xml:space="preserve">                                                         </w:t>
      </w:r>
    </w:p>
    <w:p w14:paraId="1B521023">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00E8F060">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授权代表：</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0A205736">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p>
    <w:p w14:paraId="46115FF4">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21C10FCE">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被投诉人1：</w:t>
      </w:r>
    </w:p>
    <w:p w14:paraId="42D583BF">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p>
    <w:p w14:paraId="55A51704">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32234018">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联系人：</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0CA65980">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被投诉人2：</w:t>
      </w:r>
    </w:p>
    <w:p w14:paraId="0AD28CDA">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w:t>
      </w:r>
    </w:p>
    <w:p w14:paraId="397D2756">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相关供应商：</w:t>
      </w:r>
      <w:r>
        <w:rPr>
          <w:rFonts w:hint="eastAsia" w:ascii="宋体" w:hAnsi="宋体" w:eastAsia="宋体" w:cs="宋体"/>
          <w:bCs/>
          <w:color w:val="auto"/>
          <w:kern w:val="0"/>
          <w:sz w:val="24"/>
          <w:highlight w:val="none"/>
          <w:u w:val="single"/>
        </w:rPr>
        <w:t xml:space="preserve">                                                                       </w:t>
      </w:r>
    </w:p>
    <w:p w14:paraId="5A9AEC89">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p>
    <w:p w14:paraId="6865183D">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联系人：</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733DACE7">
      <w:pPr>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二、投诉项目基本情况：</w:t>
      </w:r>
    </w:p>
    <w:p w14:paraId="7280C72E">
      <w:pPr>
        <w:spacing w:line="360" w:lineRule="auto"/>
        <w:ind w:left="25" w:leftChars="12" w:firstLine="480" w:firstLineChars="200"/>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采购</w:t>
      </w:r>
      <w:r>
        <w:rPr>
          <w:rFonts w:hint="eastAsia" w:ascii="宋体" w:hAnsi="宋体" w:eastAsia="宋体" w:cs="宋体"/>
          <w:color w:val="auto"/>
          <w:kern w:val="0"/>
          <w:sz w:val="24"/>
          <w:highlight w:val="none"/>
        </w:rPr>
        <w:t>项目的名称：</w:t>
      </w:r>
      <w:r>
        <w:rPr>
          <w:rFonts w:hint="eastAsia" w:ascii="宋体" w:hAnsi="宋体" w:eastAsia="宋体" w:cs="宋体"/>
          <w:bCs/>
          <w:color w:val="auto"/>
          <w:kern w:val="0"/>
          <w:sz w:val="24"/>
          <w:highlight w:val="none"/>
          <w:u w:val="single"/>
        </w:rPr>
        <w:t xml:space="preserve">                                                                   </w:t>
      </w:r>
    </w:p>
    <w:p w14:paraId="28F631BE">
      <w:pPr>
        <w:spacing w:line="360" w:lineRule="auto"/>
        <w:ind w:left="25" w:leftChars="12" w:firstLine="480" w:firstLineChars="200"/>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采购</w:t>
      </w:r>
      <w:r>
        <w:rPr>
          <w:rFonts w:hint="eastAsia" w:ascii="宋体" w:hAnsi="宋体" w:eastAsia="宋体" w:cs="宋体"/>
          <w:color w:val="auto"/>
          <w:kern w:val="0"/>
          <w:sz w:val="24"/>
          <w:highlight w:val="none"/>
        </w:rPr>
        <w:t>项目的编号：</w:t>
      </w:r>
      <w:r>
        <w:rPr>
          <w:rFonts w:hint="eastAsia" w:ascii="宋体" w:hAnsi="宋体" w:eastAsia="宋体" w:cs="宋体"/>
          <w:bCs/>
          <w:color w:val="auto"/>
          <w:kern w:val="0"/>
          <w:sz w:val="24"/>
          <w:highlight w:val="none"/>
          <w:u w:val="single"/>
        </w:rPr>
        <w:t xml:space="preserve">                                          </w:t>
      </w:r>
    </w:p>
    <w:p w14:paraId="60CDEC13">
      <w:pPr>
        <w:spacing w:line="360" w:lineRule="auto"/>
        <w:ind w:left="25" w:leftChars="12"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采购人名称：</w:t>
      </w:r>
      <w:r>
        <w:rPr>
          <w:rFonts w:hint="eastAsia" w:ascii="宋体" w:hAnsi="宋体" w:eastAsia="宋体" w:cs="宋体"/>
          <w:bCs/>
          <w:color w:val="auto"/>
          <w:kern w:val="0"/>
          <w:sz w:val="24"/>
          <w:highlight w:val="none"/>
          <w:u w:val="single"/>
        </w:rPr>
        <w:t xml:space="preserve">                                                                        </w:t>
      </w:r>
    </w:p>
    <w:p w14:paraId="429F9995">
      <w:pPr>
        <w:spacing w:line="360" w:lineRule="auto"/>
        <w:ind w:left="25" w:leftChars="12"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代理机构名称：</w:t>
      </w:r>
      <w:r>
        <w:rPr>
          <w:rFonts w:hint="eastAsia" w:ascii="宋体" w:hAnsi="宋体" w:eastAsia="宋体" w:cs="宋体"/>
          <w:bCs/>
          <w:color w:val="auto"/>
          <w:kern w:val="0"/>
          <w:sz w:val="24"/>
          <w:highlight w:val="none"/>
          <w:u w:val="single"/>
        </w:rPr>
        <w:t xml:space="preserve">                                                                      </w:t>
      </w:r>
    </w:p>
    <w:p w14:paraId="3F6DB9A7">
      <w:pPr>
        <w:spacing w:line="360" w:lineRule="auto"/>
        <w:ind w:left="25" w:leftChars="12"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lang w:eastAsia="zh-CN"/>
        </w:rPr>
        <w:t>采购</w:t>
      </w:r>
      <w:r>
        <w:rPr>
          <w:rFonts w:hint="eastAsia" w:ascii="宋体" w:hAnsi="宋体" w:eastAsia="宋体" w:cs="宋体"/>
          <w:bCs/>
          <w:color w:val="auto"/>
          <w:kern w:val="0"/>
          <w:sz w:val="24"/>
          <w:highlight w:val="none"/>
        </w:rPr>
        <w:t>文件公告：</w:t>
      </w:r>
      <w:r>
        <w:rPr>
          <w:rFonts w:hint="eastAsia" w:ascii="宋体" w:hAnsi="宋体" w:eastAsia="宋体" w:cs="宋体"/>
          <w:bCs/>
          <w:color w:val="auto"/>
          <w:kern w:val="0"/>
          <w:sz w:val="24"/>
          <w:highlight w:val="none"/>
          <w:u w:val="single"/>
        </w:rPr>
        <w:t>是/否</w:t>
      </w:r>
      <w:r>
        <w:rPr>
          <w:rFonts w:hint="eastAsia" w:ascii="宋体" w:hAnsi="宋体" w:eastAsia="宋体" w:cs="宋体"/>
          <w:bCs/>
          <w:color w:val="auto"/>
          <w:kern w:val="0"/>
          <w:sz w:val="24"/>
          <w:highlight w:val="none"/>
        </w:rPr>
        <w:t>公告期限：</w:t>
      </w:r>
      <w:r>
        <w:rPr>
          <w:rFonts w:hint="eastAsia" w:ascii="宋体" w:hAnsi="宋体" w:eastAsia="宋体" w:cs="宋体"/>
          <w:bCs/>
          <w:color w:val="auto"/>
          <w:kern w:val="0"/>
          <w:sz w:val="24"/>
          <w:highlight w:val="none"/>
          <w:u w:val="single"/>
        </w:rPr>
        <w:t xml:space="preserve">                                                       </w:t>
      </w:r>
    </w:p>
    <w:p w14:paraId="56506A37">
      <w:pPr>
        <w:spacing w:line="360" w:lineRule="auto"/>
        <w:ind w:left="25" w:leftChars="12" w:firstLine="480" w:firstLineChars="200"/>
        <w:rPr>
          <w:rFonts w:hint="eastAsia" w:ascii="宋体" w:hAnsi="宋体" w:eastAsia="宋体" w:cs="宋体"/>
          <w:b/>
          <w:color w:val="auto"/>
          <w:kern w:val="0"/>
          <w:sz w:val="24"/>
          <w:highlight w:val="none"/>
        </w:rPr>
      </w:pPr>
      <w:r>
        <w:rPr>
          <w:rFonts w:hint="eastAsia" w:ascii="宋体" w:hAnsi="宋体" w:eastAsia="宋体" w:cs="宋体"/>
          <w:bCs/>
          <w:color w:val="auto"/>
          <w:kern w:val="0"/>
          <w:sz w:val="24"/>
          <w:highlight w:val="none"/>
        </w:rPr>
        <w:t>采购结果公告：</w:t>
      </w:r>
      <w:r>
        <w:rPr>
          <w:rFonts w:hint="eastAsia" w:ascii="宋体" w:hAnsi="宋体" w:eastAsia="宋体" w:cs="宋体"/>
          <w:bCs/>
          <w:color w:val="auto"/>
          <w:kern w:val="0"/>
          <w:sz w:val="24"/>
          <w:highlight w:val="none"/>
          <w:u w:val="single"/>
        </w:rPr>
        <w:t>是/否</w:t>
      </w:r>
      <w:r>
        <w:rPr>
          <w:rFonts w:hint="eastAsia" w:ascii="宋体" w:hAnsi="宋体" w:eastAsia="宋体" w:cs="宋体"/>
          <w:bCs/>
          <w:color w:val="auto"/>
          <w:kern w:val="0"/>
          <w:sz w:val="24"/>
          <w:highlight w:val="none"/>
        </w:rPr>
        <w:t>公告期限：</w:t>
      </w:r>
      <w:r>
        <w:rPr>
          <w:rFonts w:hint="eastAsia" w:ascii="宋体" w:hAnsi="宋体" w:eastAsia="宋体" w:cs="宋体"/>
          <w:bCs/>
          <w:color w:val="auto"/>
          <w:kern w:val="0"/>
          <w:sz w:val="24"/>
          <w:highlight w:val="none"/>
          <w:u w:val="single"/>
        </w:rPr>
        <w:t xml:space="preserve">                                                       </w:t>
      </w:r>
    </w:p>
    <w:p w14:paraId="3646D192">
      <w:pPr>
        <w:spacing w:line="360" w:lineRule="auto"/>
        <w:ind w:left="25" w:leftChars="12"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三、质疑基本情况</w:t>
      </w:r>
    </w:p>
    <w:p w14:paraId="29776D70">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投诉人于</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日，向</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提出质疑，质疑事项为：</w:t>
      </w:r>
    </w:p>
    <w:p w14:paraId="251D230F">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u w:val="single"/>
        </w:rPr>
        <w:t>采购人/</w:t>
      </w:r>
      <w:r>
        <w:rPr>
          <w:rFonts w:hint="eastAsia" w:ascii="宋体" w:hAnsi="宋体" w:eastAsia="宋体" w:cs="宋体"/>
          <w:bCs/>
          <w:color w:val="auto"/>
          <w:kern w:val="0"/>
          <w:sz w:val="24"/>
          <w:highlight w:val="none"/>
          <w:u w:val="single"/>
          <w:lang w:eastAsia="zh-CN"/>
        </w:rPr>
        <w:t>采购</w:t>
      </w:r>
      <w:r>
        <w:rPr>
          <w:rFonts w:hint="eastAsia" w:ascii="宋体" w:hAnsi="宋体" w:eastAsia="宋体" w:cs="宋体"/>
          <w:bCs/>
          <w:color w:val="auto"/>
          <w:kern w:val="0"/>
          <w:sz w:val="24"/>
          <w:highlight w:val="none"/>
          <w:u w:val="single"/>
        </w:rPr>
        <w:t>代理机构</w:t>
      </w:r>
      <w:r>
        <w:rPr>
          <w:rFonts w:hint="eastAsia" w:ascii="宋体" w:hAnsi="宋体" w:eastAsia="宋体" w:cs="宋体"/>
          <w:bCs/>
          <w:color w:val="auto"/>
          <w:kern w:val="0"/>
          <w:sz w:val="24"/>
          <w:highlight w:val="none"/>
        </w:rPr>
        <w:t>于</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r>
        <w:rPr>
          <w:rFonts w:hint="eastAsia" w:ascii="宋体" w:hAnsi="宋体" w:eastAsia="宋体" w:cs="宋体"/>
          <w:bCs/>
          <w:color w:val="auto"/>
          <w:kern w:val="0"/>
          <w:sz w:val="24"/>
          <w:highlight w:val="none"/>
        </w:rPr>
        <w:t xml:space="preserve">就质疑事项作出了答复/没有在法定期限内作出答复。                                                                                             </w:t>
      </w:r>
    </w:p>
    <w:p w14:paraId="729D5EC9">
      <w:pPr>
        <w:spacing w:line="360" w:lineRule="auto"/>
        <w:ind w:left="25" w:leftChars="12"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四、投诉事项具体内容</w:t>
      </w:r>
    </w:p>
    <w:p w14:paraId="7B525FEA">
      <w:pPr>
        <w:spacing w:line="360" w:lineRule="auto"/>
        <w:ind w:left="25" w:leftChars="12"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投诉事项1：</w:t>
      </w:r>
      <w:r>
        <w:rPr>
          <w:rFonts w:hint="eastAsia" w:ascii="宋体" w:hAnsi="宋体" w:eastAsia="宋体" w:cs="宋体"/>
          <w:bCs/>
          <w:color w:val="auto"/>
          <w:kern w:val="0"/>
          <w:sz w:val="24"/>
          <w:highlight w:val="none"/>
          <w:u w:val="single"/>
        </w:rPr>
        <w:t xml:space="preserve">                                                                           </w:t>
      </w:r>
    </w:p>
    <w:p w14:paraId="5934B835">
      <w:pPr>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事实依据：</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64E69731">
      <w:pPr>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法律依据：</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008C2FCA">
      <w:pPr>
        <w:spacing w:line="360" w:lineRule="auto"/>
        <w:ind w:left="25" w:leftChars="12" w:firstLine="480" w:firstLineChars="200"/>
        <w:rPr>
          <w:rFonts w:hint="eastAsia" w:ascii="宋体" w:hAnsi="宋体" w:eastAsia="宋体" w:cs="宋体"/>
          <w:bCs/>
          <w:color w:val="auto"/>
          <w:kern w:val="0"/>
          <w:sz w:val="24"/>
          <w:highlight w:val="none"/>
        </w:rPr>
      </w:pPr>
      <w:r>
        <w:rPr>
          <w:rFonts w:hint="eastAsia" w:ascii="宋体" w:hAnsi="宋体" w:eastAsia="宋体" w:cs="宋体"/>
          <w:color w:val="auto"/>
          <w:kern w:val="0"/>
          <w:sz w:val="24"/>
          <w:highlight w:val="none"/>
        </w:rPr>
        <w:t xml:space="preserve">投诉事项2  </w:t>
      </w:r>
      <w:r>
        <w:rPr>
          <w:rFonts w:hint="eastAsia" w:ascii="宋体" w:hAnsi="宋体" w:eastAsia="宋体" w:cs="宋体"/>
          <w:bCs/>
          <w:color w:val="auto"/>
          <w:kern w:val="0"/>
          <w:sz w:val="24"/>
          <w:highlight w:val="none"/>
        </w:rPr>
        <w:t xml:space="preserve">   </w:t>
      </w:r>
    </w:p>
    <w:p w14:paraId="207E5EF5">
      <w:pPr>
        <w:spacing w:line="360" w:lineRule="auto"/>
        <w:ind w:left="25" w:leftChars="12"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w:t>
      </w:r>
    </w:p>
    <w:p w14:paraId="77374399">
      <w:pPr>
        <w:spacing w:line="360" w:lineRule="auto"/>
        <w:ind w:left="25" w:leftChars="12"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五、与投诉事项相关的投诉请求：</w:t>
      </w:r>
    </w:p>
    <w:p w14:paraId="34D22A40">
      <w:pPr>
        <w:spacing w:line="360" w:lineRule="auto"/>
        <w:ind w:left="25" w:leftChars="12"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请求：</w:t>
      </w:r>
      <w:r>
        <w:rPr>
          <w:rFonts w:hint="eastAsia" w:ascii="宋体" w:hAnsi="宋体" w:eastAsia="宋体" w:cs="宋体"/>
          <w:bCs/>
          <w:color w:val="auto"/>
          <w:kern w:val="0"/>
          <w:sz w:val="24"/>
          <w:highlight w:val="none"/>
          <w:u w:val="single"/>
        </w:rPr>
        <w:t xml:space="preserve">                                                                                 </w:t>
      </w:r>
    </w:p>
    <w:p w14:paraId="39C75BA9">
      <w:pPr>
        <w:spacing w:line="360" w:lineRule="auto"/>
        <w:ind w:left="25" w:leftChars="12"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签字（签章）：                                       公章：</w:t>
      </w:r>
    </w:p>
    <w:p w14:paraId="2C63730E">
      <w:pPr>
        <w:spacing w:line="360" w:lineRule="auto"/>
        <w:ind w:left="25" w:leftChars="12"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日期：</w:t>
      </w:r>
    </w:p>
    <w:p w14:paraId="3F20FD9A">
      <w:pPr>
        <w:snapToGrid w:val="0"/>
        <w:spacing w:line="360" w:lineRule="auto"/>
        <w:ind w:firstLine="482" w:firstLineChars="200"/>
        <w:rPr>
          <w:rFonts w:hint="eastAsia" w:ascii="宋体" w:hAnsi="宋体" w:eastAsia="宋体" w:cs="宋体"/>
          <w:b/>
          <w:color w:val="auto"/>
          <w:kern w:val="0"/>
          <w:sz w:val="24"/>
          <w:highlight w:val="none"/>
        </w:rPr>
      </w:pPr>
    </w:p>
    <w:p w14:paraId="76C2A682">
      <w:pPr>
        <w:snapToGrid w:val="0"/>
        <w:spacing w:line="360" w:lineRule="auto"/>
        <w:ind w:firstLine="482" w:firstLineChars="200"/>
        <w:rPr>
          <w:rFonts w:hint="eastAsia" w:ascii="宋体" w:hAnsi="宋体" w:eastAsia="宋体" w:cs="宋体"/>
          <w:b/>
          <w:color w:val="auto"/>
          <w:kern w:val="0"/>
          <w:sz w:val="24"/>
          <w:highlight w:val="none"/>
        </w:rPr>
      </w:pPr>
    </w:p>
    <w:p w14:paraId="0C4E3675">
      <w:pPr>
        <w:snapToGrid w:val="0"/>
        <w:spacing w:line="360" w:lineRule="auto"/>
        <w:ind w:firstLine="482" w:firstLineChars="200"/>
        <w:rPr>
          <w:rFonts w:hint="eastAsia" w:ascii="宋体" w:hAnsi="宋体" w:eastAsia="宋体" w:cs="宋体"/>
          <w:b/>
          <w:color w:val="auto"/>
          <w:kern w:val="0"/>
          <w:sz w:val="24"/>
          <w:highlight w:val="none"/>
        </w:rPr>
      </w:pPr>
    </w:p>
    <w:p w14:paraId="0760D036">
      <w:pPr>
        <w:snapToGrid w:val="0"/>
        <w:spacing w:line="360" w:lineRule="auto"/>
        <w:ind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说明：</w:t>
      </w:r>
    </w:p>
    <w:p w14:paraId="72AED5E4">
      <w:pPr>
        <w:spacing w:line="360" w:lineRule="auto"/>
        <w:ind w:left="25" w:leftChars="12" w:firstLine="482" w:firstLineChars="200"/>
        <w:rPr>
          <w:rFonts w:hint="eastAsia" w:ascii="宋体" w:hAnsi="宋体" w:eastAsia="宋体" w:cs="宋体"/>
          <w:b/>
          <w:bCs/>
          <w:color w:val="auto"/>
          <w:kern w:val="0"/>
          <w:sz w:val="24"/>
          <w:highlight w:val="none"/>
        </w:rPr>
      </w:pPr>
      <w:r>
        <w:rPr>
          <w:rFonts w:hint="eastAsia" w:ascii="宋体" w:hAnsi="宋体" w:eastAsia="宋体" w:cs="宋体"/>
          <w:b/>
          <w:color w:val="auto"/>
          <w:kern w:val="0"/>
          <w:sz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kern w:val="0"/>
          <w:sz w:val="24"/>
          <w:highlight w:val="none"/>
        </w:rPr>
        <w:t>。</w:t>
      </w:r>
    </w:p>
    <w:p w14:paraId="513B0F27">
      <w:pPr>
        <w:spacing w:line="360" w:lineRule="auto"/>
        <w:ind w:left="25" w:leftChars="12"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489948A">
      <w:pPr>
        <w:spacing w:line="360" w:lineRule="auto"/>
        <w:ind w:left="25" w:leftChars="12"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3.投诉书应简要列明质疑事项，质疑函、质疑答复等作为附件材料提供。</w:t>
      </w:r>
    </w:p>
    <w:p w14:paraId="545157EC">
      <w:pPr>
        <w:spacing w:line="360" w:lineRule="auto"/>
        <w:ind w:left="25" w:leftChars="12"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4.投诉书的投诉事项应具体、明确，并有必要的事实依据和法律依据。</w:t>
      </w:r>
    </w:p>
    <w:p w14:paraId="60B69588">
      <w:pPr>
        <w:spacing w:line="360" w:lineRule="auto"/>
        <w:ind w:left="25" w:leftChars="12"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5.投诉书的投诉请求应与投诉事项相关。</w:t>
      </w:r>
    </w:p>
    <w:p w14:paraId="47A81B0E">
      <w:pPr>
        <w:spacing w:line="360" w:lineRule="auto"/>
        <w:ind w:left="25" w:leftChars="12"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6.投诉人为法人或者其他组织的，投诉书应由法定代表人、主要负责人，或者其授权代表签字或者盖章，并加盖公章。</w:t>
      </w:r>
    </w:p>
    <w:p w14:paraId="08805AE1">
      <w:pPr>
        <w:pStyle w:val="12"/>
        <w:spacing w:line="320" w:lineRule="exact"/>
        <w:ind w:firstLine="482" w:firstLineChars="200"/>
        <w:rPr>
          <w:rFonts w:hint="eastAsia" w:ascii="宋体" w:hAnsi="宋体" w:eastAsia="宋体" w:cs="宋体"/>
          <w:b/>
          <w:bCs/>
          <w:color w:val="auto"/>
          <w:sz w:val="24"/>
          <w:highlight w:val="none"/>
          <w:lang w:eastAsia="zh-CN"/>
        </w:rPr>
      </w:pPr>
    </w:p>
    <w:p w14:paraId="5A13CD02">
      <w:pPr>
        <w:pStyle w:val="12"/>
        <w:spacing w:line="320" w:lineRule="exact"/>
        <w:ind w:firstLine="482" w:firstLineChars="200"/>
        <w:rPr>
          <w:rFonts w:hint="eastAsia" w:ascii="宋体" w:hAnsi="宋体" w:eastAsia="宋体" w:cs="宋体"/>
          <w:b/>
          <w:bCs/>
          <w:color w:val="auto"/>
          <w:sz w:val="24"/>
          <w:highlight w:val="none"/>
          <w:lang w:eastAsia="zh-CN"/>
        </w:rPr>
      </w:pPr>
    </w:p>
    <w:p w14:paraId="4443A800">
      <w:pPr>
        <w:pStyle w:val="12"/>
        <w:spacing w:line="320" w:lineRule="exact"/>
        <w:ind w:firstLine="482" w:firstLineChars="200"/>
        <w:rPr>
          <w:rFonts w:hint="eastAsia" w:ascii="宋体" w:hAnsi="宋体" w:eastAsia="宋体" w:cs="宋体"/>
          <w:b/>
          <w:bCs/>
          <w:color w:val="auto"/>
          <w:sz w:val="24"/>
          <w:highlight w:val="none"/>
          <w:lang w:eastAsia="zh-CN"/>
        </w:rPr>
      </w:pPr>
    </w:p>
    <w:p w14:paraId="176F4A54">
      <w:pPr>
        <w:pStyle w:val="12"/>
        <w:spacing w:line="320" w:lineRule="exact"/>
        <w:ind w:firstLine="482" w:firstLineChars="200"/>
        <w:rPr>
          <w:rFonts w:hint="eastAsia" w:ascii="宋体" w:hAnsi="宋体" w:eastAsia="宋体" w:cs="宋体"/>
          <w:b/>
          <w:bCs/>
          <w:color w:val="auto"/>
          <w:sz w:val="24"/>
          <w:highlight w:val="none"/>
          <w:lang w:eastAsia="zh-CN"/>
        </w:rPr>
      </w:pPr>
    </w:p>
    <w:p w14:paraId="4F59C93A">
      <w:pPr>
        <w:pStyle w:val="12"/>
        <w:spacing w:line="320" w:lineRule="exact"/>
        <w:ind w:firstLine="482" w:firstLineChars="200"/>
        <w:rPr>
          <w:rFonts w:hint="eastAsia" w:ascii="宋体" w:hAnsi="宋体" w:eastAsia="宋体" w:cs="宋体"/>
          <w:b/>
          <w:bCs/>
          <w:color w:val="auto"/>
          <w:sz w:val="24"/>
          <w:highlight w:val="none"/>
          <w:lang w:eastAsia="zh-CN"/>
        </w:rPr>
      </w:pPr>
    </w:p>
    <w:p w14:paraId="59A17B4C">
      <w:pPr>
        <w:pStyle w:val="12"/>
        <w:spacing w:line="320" w:lineRule="exact"/>
        <w:ind w:firstLine="482" w:firstLineChars="200"/>
        <w:rPr>
          <w:rFonts w:hint="eastAsia" w:ascii="宋体" w:hAnsi="宋体" w:eastAsia="宋体" w:cs="宋体"/>
          <w:b/>
          <w:bCs/>
          <w:color w:val="auto"/>
          <w:sz w:val="24"/>
          <w:highlight w:val="none"/>
          <w:lang w:eastAsia="zh-CN"/>
        </w:rPr>
      </w:pPr>
    </w:p>
    <w:p w14:paraId="021BEFF3">
      <w:pPr>
        <w:pStyle w:val="12"/>
        <w:spacing w:line="320" w:lineRule="exact"/>
        <w:rPr>
          <w:rFonts w:hint="eastAsia" w:ascii="宋体" w:hAnsi="宋体" w:eastAsia="宋体" w:cs="宋体"/>
          <w:b/>
          <w:bCs/>
          <w:color w:val="auto"/>
          <w:sz w:val="24"/>
          <w:highlight w:val="none"/>
          <w:lang w:eastAsia="zh-CN"/>
        </w:rPr>
      </w:pPr>
    </w:p>
    <w:p w14:paraId="62B12532">
      <w:pPr>
        <w:pStyle w:val="12"/>
        <w:spacing w:line="32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eastAsia="zh-CN"/>
        </w:rPr>
        <w:t>附件</w:t>
      </w:r>
      <w:r>
        <w:rPr>
          <w:rFonts w:hint="eastAsia" w:hAnsi="宋体" w:cs="宋体"/>
          <w:b/>
          <w:bCs/>
          <w:color w:val="auto"/>
          <w:sz w:val="24"/>
          <w:highlight w:val="none"/>
          <w:lang w:val="en-US" w:eastAsia="zh-CN"/>
        </w:rPr>
        <w:t>二</w:t>
      </w:r>
      <w:r>
        <w:rPr>
          <w:rFonts w:hint="eastAsia" w:ascii="宋体" w:hAnsi="宋体" w:eastAsia="宋体" w:cs="宋体"/>
          <w:color w:val="auto"/>
          <w:sz w:val="24"/>
          <w:highlight w:val="none"/>
        </w:rPr>
        <w:t>：</w:t>
      </w:r>
    </w:p>
    <w:p w14:paraId="76350944">
      <w:pPr>
        <w:pStyle w:val="12"/>
        <w:spacing w:line="320" w:lineRule="exact"/>
        <w:ind w:firstLine="482" w:firstLineChars="20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广西壮族自治区政府采购项目合同验收书（格式）</w:t>
      </w:r>
    </w:p>
    <w:p w14:paraId="0D7D21C7">
      <w:pPr>
        <w:snapToGrid w:val="0"/>
        <w:spacing w:before="100" w:beforeAutospacing="1" w:after="100" w:afterAutospacing="1" w:line="320" w:lineRule="exact"/>
        <w:ind w:left="-359" w:leftChars="-171"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根据政府采购项目（</w:t>
      </w:r>
      <w:r>
        <w:rPr>
          <w:rFonts w:hint="eastAsia" w:ascii="宋体" w:hAnsi="宋体" w:eastAsia="宋体" w:cs="宋体"/>
          <w:color w:val="auto"/>
          <w:szCs w:val="21"/>
          <w:highlight w:val="none"/>
          <w:u w:val="single"/>
        </w:rPr>
        <w:t>采购合同编号：</w:t>
      </w:r>
      <w:r>
        <w:rPr>
          <w:rFonts w:hint="eastAsia" w:ascii="宋体" w:hAnsi="宋体" w:eastAsia="宋体" w:cs="宋体"/>
          <w:color w:val="auto"/>
          <w:szCs w:val="21"/>
          <w:highlight w:val="none"/>
          <w:u w:val="single"/>
        </w:rPr>
        <w:softHyphen/>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）的约定，我单位对（</w:t>
      </w:r>
      <w:r>
        <w:rPr>
          <w:rFonts w:hint="eastAsia" w:ascii="宋体" w:hAnsi="宋体" w:eastAsia="宋体" w:cs="宋体"/>
          <w:color w:val="auto"/>
          <w:szCs w:val="21"/>
          <w:highlight w:val="none"/>
          <w:u w:val="single"/>
        </w:rPr>
        <w:t xml:space="preserve">  项目名称   ）       </w:t>
      </w:r>
      <w:r>
        <w:rPr>
          <w:rFonts w:hint="eastAsia" w:ascii="宋体" w:hAnsi="宋体" w:eastAsia="宋体" w:cs="宋体"/>
          <w:color w:val="auto"/>
          <w:szCs w:val="21"/>
          <w:highlight w:val="none"/>
        </w:rPr>
        <w:t>政府采购项目中标（或成交）供应商</w:t>
      </w:r>
      <w:r>
        <w:rPr>
          <w:rFonts w:hint="eastAsia" w:ascii="宋体" w:hAnsi="宋体" w:eastAsia="宋体" w:cs="宋体"/>
          <w:color w:val="auto"/>
          <w:szCs w:val="21"/>
          <w:highlight w:val="none"/>
          <w:u w:val="single"/>
        </w:rPr>
        <w:t xml:space="preserve">（            公司名称              ）       </w:t>
      </w:r>
      <w:r>
        <w:rPr>
          <w:rFonts w:hint="eastAsia" w:ascii="宋体" w:hAnsi="宋体" w:eastAsia="宋体" w:cs="宋体"/>
          <w:color w:val="auto"/>
          <w:szCs w:val="21"/>
          <w:highlight w:val="none"/>
        </w:rPr>
        <w:t>提供的工程进行了验收，验收情况如下：</w:t>
      </w:r>
    </w:p>
    <w:tbl>
      <w:tblPr>
        <w:tblStyle w:val="22"/>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2F01FC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821" w:type="dxa"/>
            <w:gridSpan w:val="2"/>
            <w:tcBorders>
              <w:top w:val="single" w:color="auto" w:sz="8" w:space="0"/>
              <w:left w:val="single" w:color="auto" w:sz="8" w:space="0"/>
              <w:bottom w:val="single" w:color="auto" w:sz="8" w:space="0"/>
              <w:right w:val="single" w:color="auto" w:sz="8" w:space="0"/>
            </w:tcBorders>
            <w:noWrap w:val="0"/>
            <w:vAlign w:val="center"/>
          </w:tcPr>
          <w:p w14:paraId="1CFA8D82">
            <w:pPr>
              <w:snapToGrid w:val="0"/>
              <w:spacing w:before="100" w:beforeAutospacing="1" w:after="100" w:afterAutospacing="1" w:line="320" w:lineRule="exact"/>
              <w:ind w:left="-3" w:firstLine="4" w:firstLineChars="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验收方式：</w:t>
            </w:r>
          </w:p>
        </w:tc>
        <w:tc>
          <w:tcPr>
            <w:tcW w:w="5806" w:type="dxa"/>
            <w:gridSpan w:val="5"/>
            <w:tcBorders>
              <w:top w:val="single" w:color="auto" w:sz="8" w:space="0"/>
              <w:left w:val="single" w:color="auto" w:sz="8" w:space="0"/>
              <w:bottom w:val="single" w:color="auto" w:sz="8" w:space="0"/>
              <w:right w:val="single" w:color="auto" w:sz="8" w:space="0"/>
            </w:tcBorders>
            <w:noWrap w:val="0"/>
            <w:vAlign w:val="center"/>
          </w:tcPr>
          <w:p w14:paraId="1B33B198">
            <w:pPr>
              <w:snapToGrid w:val="0"/>
              <w:spacing w:before="100" w:beforeAutospacing="1" w:after="100" w:afterAutospacing="1" w:line="320" w:lineRule="exact"/>
              <w:ind w:left="-3"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□自行验收         □委托验收</w:t>
            </w:r>
          </w:p>
        </w:tc>
      </w:tr>
      <w:tr w14:paraId="5FCBF5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6AFB9517">
            <w:pPr>
              <w:snapToGrid w:val="0"/>
              <w:spacing w:before="100" w:beforeAutospacing="1" w:after="100" w:afterAutospacing="1" w:line="320" w:lineRule="exact"/>
              <w:ind w:firstLine="2" w:firstLineChars="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294" w:type="dxa"/>
            <w:tcBorders>
              <w:top w:val="single" w:color="auto" w:sz="8" w:space="0"/>
              <w:left w:val="single" w:color="auto" w:sz="8" w:space="0"/>
              <w:bottom w:val="single" w:color="auto" w:sz="8" w:space="0"/>
              <w:right w:val="single" w:color="auto" w:sz="8" w:space="0"/>
            </w:tcBorders>
            <w:noWrap w:val="0"/>
            <w:vAlign w:val="center"/>
          </w:tcPr>
          <w:p w14:paraId="1815767A">
            <w:pPr>
              <w:snapToGrid w:val="0"/>
              <w:spacing w:before="100" w:beforeAutospacing="1" w:after="100" w:afterAutospacing="1" w:line="320" w:lineRule="exact"/>
              <w:ind w:left="-3" w:firstLine="2" w:firstLineChars="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48CA3110">
            <w:pPr>
              <w:snapToGrid w:val="0"/>
              <w:spacing w:before="100" w:beforeAutospacing="1" w:after="100" w:afterAutospacing="1" w:line="320" w:lineRule="exact"/>
              <w:ind w:left="-3" w:firstLine="2" w:firstLineChars="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货物型号规格、标准及配置等（或服务内容、标准）</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7CE7B692">
            <w:pPr>
              <w:snapToGrid w:val="0"/>
              <w:spacing w:before="100" w:beforeAutospacing="1" w:after="100" w:afterAutospacing="1"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367" w:type="dxa"/>
            <w:tcBorders>
              <w:top w:val="single" w:color="auto" w:sz="8" w:space="0"/>
              <w:left w:val="single" w:color="auto" w:sz="8" w:space="0"/>
              <w:bottom w:val="single" w:color="auto" w:sz="8" w:space="0"/>
              <w:right w:val="single" w:color="auto" w:sz="8" w:space="0"/>
            </w:tcBorders>
            <w:noWrap w:val="0"/>
            <w:vAlign w:val="center"/>
          </w:tcPr>
          <w:p w14:paraId="32C8332A">
            <w:pPr>
              <w:snapToGrid w:val="0"/>
              <w:spacing w:before="100" w:beforeAutospacing="1" w:after="100" w:afterAutospacing="1" w:line="320" w:lineRule="exact"/>
              <w:ind w:left="-3" w:firstLine="2" w:firstLineChars="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  额</w:t>
            </w:r>
          </w:p>
        </w:tc>
      </w:tr>
      <w:tr w14:paraId="4B9962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4570A309">
            <w:pPr>
              <w:snapToGrid w:val="0"/>
              <w:spacing w:before="100" w:beforeAutospacing="1" w:after="100" w:afterAutospacing="1" w:line="320" w:lineRule="exact"/>
              <w:ind w:left="-3" w:firstLine="4" w:firstLineChars="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94" w:type="dxa"/>
            <w:tcBorders>
              <w:top w:val="single" w:color="auto" w:sz="8" w:space="0"/>
              <w:left w:val="single" w:color="auto" w:sz="8" w:space="0"/>
              <w:bottom w:val="single" w:color="auto" w:sz="8" w:space="0"/>
              <w:right w:val="single" w:color="auto" w:sz="8" w:space="0"/>
            </w:tcBorders>
            <w:noWrap w:val="0"/>
            <w:vAlign w:val="center"/>
          </w:tcPr>
          <w:p w14:paraId="5AD079DB">
            <w:pPr>
              <w:snapToGrid w:val="0"/>
              <w:spacing w:before="100" w:beforeAutospacing="1" w:after="100" w:afterAutospacing="1" w:line="320" w:lineRule="exact"/>
              <w:ind w:left="-3"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482A6164">
            <w:pPr>
              <w:snapToGrid w:val="0"/>
              <w:spacing w:before="100" w:beforeAutospacing="1" w:after="100" w:afterAutospacing="1" w:line="320" w:lineRule="exact"/>
              <w:ind w:left="-3"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1737F1ED">
            <w:pPr>
              <w:snapToGrid w:val="0"/>
              <w:spacing w:before="100" w:beforeAutospacing="1" w:after="100" w:afterAutospacing="1" w:line="3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14:paraId="18260098">
            <w:pPr>
              <w:snapToGrid w:val="0"/>
              <w:spacing w:before="100" w:beforeAutospacing="1" w:after="100" w:afterAutospacing="1" w:line="3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5B1447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0F0B62AB">
            <w:pPr>
              <w:snapToGrid w:val="0"/>
              <w:spacing w:before="100" w:beforeAutospacing="1" w:after="100" w:afterAutospacing="1" w:line="320" w:lineRule="exact"/>
              <w:ind w:left="-3"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94" w:type="dxa"/>
            <w:tcBorders>
              <w:top w:val="single" w:color="auto" w:sz="8" w:space="0"/>
              <w:left w:val="single" w:color="auto" w:sz="8" w:space="0"/>
              <w:bottom w:val="single" w:color="auto" w:sz="8" w:space="0"/>
              <w:right w:val="single" w:color="auto" w:sz="8" w:space="0"/>
            </w:tcBorders>
            <w:noWrap w:val="0"/>
            <w:vAlign w:val="center"/>
          </w:tcPr>
          <w:p w14:paraId="6F46C50E">
            <w:pPr>
              <w:snapToGrid w:val="0"/>
              <w:spacing w:before="100" w:beforeAutospacing="1" w:after="100" w:afterAutospacing="1" w:line="320" w:lineRule="exact"/>
              <w:ind w:left="-3"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6557C575">
            <w:pPr>
              <w:snapToGrid w:val="0"/>
              <w:spacing w:before="100" w:beforeAutospacing="1" w:after="100" w:afterAutospacing="1" w:line="320" w:lineRule="exact"/>
              <w:ind w:left="-3"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03D5DA00">
            <w:pPr>
              <w:snapToGrid w:val="0"/>
              <w:spacing w:before="100" w:beforeAutospacing="1" w:after="100" w:afterAutospacing="1" w:line="3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14:paraId="4D3F9301">
            <w:pPr>
              <w:snapToGrid w:val="0"/>
              <w:spacing w:before="100" w:beforeAutospacing="1" w:after="100" w:afterAutospacing="1" w:line="3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68EBB7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7262" w:type="dxa"/>
            <w:gridSpan w:val="4"/>
            <w:tcBorders>
              <w:top w:val="single" w:color="auto" w:sz="8" w:space="0"/>
              <w:left w:val="single" w:color="auto" w:sz="8" w:space="0"/>
              <w:bottom w:val="single" w:color="auto" w:sz="8" w:space="0"/>
              <w:right w:val="single" w:color="auto" w:sz="8" w:space="0"/>
            </w:tcBorders>
            <w:noWrap w:val="0"/>
            <w:vAlign w:val="center"/>
          </w:tcPr>
          <w:p w14:paraId="60419A7C">
            <w:pPr>
              <w:snapToGrid w:val="0"/>
              <w:spacing w:before="100" w:beforeAutospacing="1" w:after="100" w:afterAutospacing="1" w:line="320" w:lineRule="exact"/>
              <w:ind w:left="-3" w:firstLine="4" w:firstLineChars="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        计</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78439D32">
            <w:pPr>
              <w:snapToGrid w:val="0"/>
              <w:spacing w:before="100" w:beforeAutospacing="1" w:after="100" w:afterAutospacing="1" w:line="3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14:paraId="6A5DD9D5">
            <w:pPr>
              <w:snapToGrid w:val="0"/>
              <w:spacing w:before="100" w:beforeAutospacing="1" w:after="100" w:afterAutospacing="1" w:line="3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26002F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9627" w:type="dxa"/>
            <w:gridSpan w:val="7"/>
            <w:tcBorders>
              <w:top w:val="single" w:color="auto" w:sz="8" w:space="0"/>
              <w:left w:val="single" w:color="auto" w:sz="8" w:space="0"/>
              <w:bottom w:val="single" w:color="auto" w:sz="8" w:space="0"/>
              <w:right w:val="single" w:color="auto" w:sz="8" w:space="0"/>
            </w:tcBorders>
            <w:noWrap w:val="0"/>
            <w:vAlign w:val="center"/>
          </w:tcPr>
          <w:p w14:paraId="578A9232">
            <w:pPr>
              <w:snapToGrid w:val="0"/>
              <w:spacing w:before="100" w:beforeAutospacing="1" w:after="100" w:afterAutospacing="1" w:line="320" w:lineRule="exact"/>
              <w:ind w:firstLine="2" w:firstLineChars="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合计大写金额：   仟    佰    拾    万    仟    佰    拾    元</w:t>
            </w:r>
          </w:p>
        </w:tc>
      </w:tr>
      <w:tr w14:paraId="4E853D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04698AC0">
            <w:pPr>
              <w:snapToGrid w:val="0"/>
              <w:spacing w:before="100" w:beforeAutospacing="1" w:after="100" w:afterAutospacing="1" w:line="320" w:lineRule="exact"/>
              <w:ind w:firstLine="2" w:firstLineChars="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实际供货日期</w:t>
            </w: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3BCBA6EC">
            <w:pPr>
              <w:snapToGrid w:val="0"/>
              <w:spacing w:before="100" w:beforeAutospacing="1" w:after="100" w:afterAutospacing="1" w:line="320" w:lineRule="exact"/>
              <w:ind w:firstLine="420" w:firstLineChars="200"/>
              <w:jc w:val="left"/>
              <w:rPr>
                <w:rFonts w:hint="eastAsia" w:ascii="宋体" w:hAnsi="宋体" w:eastAsia="宋体" w:cs="宋体"/>
                <w:color w:val="auto"/>
                <w:szCs w:val="21"/>
                <w:highlight w:val="none"/>
              </w:rPr>
            </w:pPr>
          </w:p>
        </w:tc>
        <w:tc>
          <w:tcPr>
            <w:tcW w:w="2700" w:type="dxa"/>
            <w:gridSpan w:val="2"/>
            <w:tcBorders>
              <w:top w:val="single" w:color="auto" w:sz="8" w:space="0"/>
              <w:left w:val="single" w:color="auto" w:sz="8" w:space="0"/>
              <w:bottom w:val="single" w:color="auto" w:sz="8" w:space="0"/>
              <w:right w:val="single" w:color="auto" w:sz="8" w:space="0"/>
            </w:tcBorders>
            <w:noWrap w:val="0"/>
            <w:vAlign w:val="center"/>
          </w:tcPr>
          <w:p w14:paraId="3F4FA075">
            <w:pPr>
              <w:snapToGrid w:val="0"/>
              <w:spacing w:before="100" w:beforeAutospacing="1" w:after="100" w:afterAutospacing="1" w:line="320" w:lineRule="exact"/>
              <w:ind w:firstLine="39" w:firstLineChars="19"/>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合同交货验收日期</w:t>
            </w:r>
          </w:p>
        </w:tc>
        <w:tc>
          <w:tcPr>
            <w:tcW w:w="2160" w:type="dxa"/>
            <w:gridSpan w:val="2"/>
            <w:tcBorders>
              <w:top w:val="single" w:color="auto" w:sz="8" w:space="0"/>
              <w:left w:val="single" w:color="auto" w:sz="8" w:space="0"/>
              <w:bottom w:val="single" w:color="auto" w:sz="8" w:space="0"/>
              <w:right w:val="single" w:color="auto" w:sz="8" w:space="0"/>
            </w:tcBorders>
            <w:noWrap w:val="0"/>
            <w:vAlign w:val="center"/>
          </w:tcPr>
          <w:p w14:paraId="2A743E29">
            <w:pPr>
              <w:snapToGrid w:val="0"/>
              <w:spacing w:before="100" w:beforeAutospacing="1" w:after="100" w:afterAutospacing="1" w:line="320" w:lineRule="exact"/>
              <w:ind w:firstLine="420" w:firstLineChars="200"/>
              <w:jc w:val="left"/>
              <w:rPr>
                <w:rFonts w:hint="eastAsia" w:ascii="宋体" w:hAnsi="宋体" w:eastAsia="宋体" w:cs="宋体"/>
                <w:color w:val="auto"/>
                <w:szCs w:val="21"/>
                <w:highlight w:val="none"/>
              </w:rPr>
            </w:pPr>
          </w:p>
        </w:tc>
      </w:tr>
      <w:tr w14:paraId="20D1C5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26D3C18E">
            <w:pPr>
              <w:snapToGrid w:val="0"/>
              <w:spacing w:before="100" w:beforeAutospacing="1" w:after="100" w:afterAutospacing="1" w:line="320" w:lineRule="exact"/>
              <w:ind w:firstLine="420" w:firstLineChars="200"/>
              <w:jc w:val="left"/>
              <w:rPr>
                <w:rFonts w:hint="eastAsia" w:ascii="宋体" w:hAnsi="宋体" w:eastAsia="宋体" w:cs="宋体"/>
                <w:color w:val="auto"/>
                <w:szCs w:val="21"/>
                <w:highlight w:val="none"/>
              </w:rPr>
            </w:pP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34760508">
            <w:pPr>
              <w:snapToGrid w:val="0"/>
              <w:spacing w:before="100" w:beforeAutospacing="1" w:after="100" w:afterAutospacing="1" w:line="320" w:lineRule="exact"/>
              <w:ind w:firstLine="420" w:firstLineChars="200"/>
              <w:jc w:val="left"/>
              <w:rPr>
                <w:rFonts w:hint="eastAsia" w:ascii="宋体" w:hAnsi="宋体" w:eastAsia="宋体" w:cs="宋体"/>
                <w:color w:val="auto"/>
                <w:szCs w:val="21"/>
                <w:highlight w:val="none"/>
              </w:rPr>
            </w:pPr>
          </w:p>
        </w:tc>
        <w:tc>
          <w:tcPr>
            <w:tcW w:w="2700" w:type="dxa"/>
            <w:gridSpan w:val="2"/>
            <w:tcBorders>
              <w:top w:val="single" w:color="auto" w:sz="8" w:space="0"/>
              <w:left w:val="single" w:color="auto" w:sz="8" w:space="0"/>
              <w:bottom w:val="single" w:color="auto" w:sz="8" w:space="0"/>
              <w:right w:val="single" w:color="auto" w:sz="8" w:space="0"/>
            </w:tcBorders>
            <w:noWrap w:val="0"/>
            <w:vAlign w:val="center"/>
          </w:tcPr>
          <w:p w14:paraId="72B012B2">
            <w:pPr>
              <w:snapToGrid w:val="0"/>
              <w:spacing w:before="100" w:beforeAutospacing="1" w:after="100" w:afterAutospacing="1" w:line="320" w:lineRule="exact"/>
              <w:ind w:left="590" w:firstLine="420" w:firstLineChars="200"/>
              <w:jc w:val="left"/>
              <w:rPr>
                <w:rFonts w:hint="eastAsia" w:ascii="宋体" w:hAnsi="宋体" w:eastAsia="宋体" w:cs="宋体"/>
                <w:color w:val="auto"/>
                <w:szCs w:val="21"/>
                <w:highlight w:val="none"/>
              </w:rPr>
            </w:pPr>
          </w:p>
        </w:tc>
        <w:tc>
          <w:tcPr>
            <w:tcW w:w="2160" w:type="dxa"/>
            <w:gridSpan w:val="2"/>
            <w:tcBorders>
              <w:top w:val="single" w:color="auto" w:sz="8" w:space="0"/>
              <w:left w:val="single" w:color="auto" w:sz="8" w:space="0"/>
              <w:bottom w:val="single" w:color="auto" w:sz="8" w:space="0"/>
              <w:right w:val="single" w:color="auto" w:sz="8" w:space="0"/>
            </w:tcBorders>
            <w:noWrap w:val="0"/>
            <w:vAlign w:val="center"/>
          </w:tcPr>
          <w:p w14:paraId="7E42542D">
            <w:pPr>
              <w:snapToGrid w:val="0"/>
              <w:spacing w:before="100" w:beforeAutospacing="1" w:after="100" w:afterAutospacing="1" w:line="320" w:lineRule="exact"/>
              <w:ind w:firstLine="420" w:firstLineChars="200"/>
              <w:jc w:val="left"/>
              <w:rPr>
                <w:rFonts w:hint="eastAsia" w:ascii="宋体" w:hAnsi="宋体" w:eastAsia="宋体" w:cs="宋体"/>
                <w:color w:val="auto"/>
                <w:szCs w:val="21"/>
                <w:highlight w:val="none"/>
              </w:rPr>
            </w:pPr>
          </w:p>
        </w:tc>
      </w:tr>
      <w:tr w14:paraId="4DEA77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DE4D188">
            <w:pPr>
              <w:snapToGrid w:val="0"/>
              <w:spacing w:before="100" w:beforeAutospacing="1" w:after="100" w:afterAutospacing="1"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B5F0DDD">
            <w:pPr>
              <w:snapToGrid w:val="0"/>
              <w:spacing w:before="100" w:beforeAutospacing="1" w:after="100" w:afterAutospacing="1"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按采购合同、采购文件、投标响应文件及验收方案等进行验收；并核对中标或者成交人在安装调试等方面是否违反合同约定或服务规范要求、提供的质量保证证明材料是否齐全、应有的配件及附件是否达到合同约定等。可附件)</w:t>
            </w:r>
          </w:p>
        </w:tc>
      </w:tr>
      <w:tr w14:paraId="1E16DE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91" w:hRule="atLeast"/>
          <w:jc w:val="center"/>
        </w:trPr>
        <w:tc>
          <w:tcPr>
            <w:tcW w:w="1527"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0AEA8C9">
            <w:pPr>
              <w:spacing w:before="100" w:beforeAutospacing="1" w:after="100" w:afterAutospacing="1"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noWrap w:val="0"/>
            <w:vAlign w:val="center"/>
          </w:tcPr>
          <w:p w14:paraId="247C52E5">
            <w:pPr>
              <w:spacing w:before="100" w:beforeAutospacing="1" w:after="100" w:afterAutospacing="1"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验收结论性意见：</w:t>
            </w:r>
          </w:p>
        </w:tc>
      </w:tr>
      <w:tr w14:paraId="2994E6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0" w:hRule="atLeast"/>
          <w:jc w:val="center"/>
        </w:trPr>
        <w:tc>
          <w:tcPr>
            <w:tcW w:w="1527" w:type="dxa"/>
            <w:vMerge w:val="continue"/>
            <w:tcBorders>
              <w:top w:val="single" w:color="auto" w:sz="8" w:space="0"/>
              <w:left w:val="single" w:color="auto" w:sz="8" w:space="0"/>
              <w:bottom w:val="single" w:color="auto" w:sz="8" w:space="0"/>
              <w:right w:val="single" w:color="auto" w:sz="8" w:space="0"/>
            </w:tcBorders>
            <w:noWrap w:val="0"/>
            <w:vAlign w:val="center"/>
          </w:tcPr>
          <w:p w14:paraId="16979740">
            <w:pPr>
              <w:spacing w:line="320" w:lineRule="exact"/>
              <w:jc w:val="left"/>
              <w:rPr>
                <w:rFonts w:hint="eastAsia" w:ascii="宋体" w:hAnsi="宋体" w:eastAsia="宋体" w:cs="宋体"/>
                <w:color w:val="auto"/>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noWrap w:val="0"/>
            <w:vAlign w:val="center"/>
          </w:tcPr>
          <w:p w14:paraId="6B4765A9">
            <w:pPr>
              <w:spacing w:before="100" w:beforeAutospacing="1" w:after="100" w:afterAutospacing="1" w:line="3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有异议的意见和说明理由：</w:t>
            </w:r>
          </w:p>
          <w:p w14:paraId="3B4CD94D">
            <w:pPr>
              <w:spacing w:before="100" w:beforeAutospacing="1" w:after="100" w:afterAutospacing="1" w:line="3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w:t>
            </w:r>
          </w:p>
        </w:tc>
      </w:tr>
      <w:tr w14:paraId="057C4A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7" w:hRule="atLeast"/>
          <w:jc w:val="center"/>
        </w:trPr>
        <w:tc>
          <w:tcPr>
            <w:tcW w:w="9627" w:type="dxa"/>
            <w:gridSpan w:val="7"/>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AA96DD1">
            <w:pPr>
              <w:spacing w:before="100" w:beforeAutospacing="1" w:after="100" w:afterAutospacing="1"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验收小组成员签字：</w:t>
            </w:r>
          </w:p>
        </w:tc>
      </w:tr>
      <w:tr w14:paraId="2CFF2A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6" w:hRule="atLeast"/>
          <w:jc w:val="center"/>
        </w:trPr>
        <w:tc>
          <w:tcPr>
            <w:tcW w:w="9627" w:type="dxa"/>
            <w:gridSpan w:val="7"/>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589C40B">
            <w:pPr>
              <w:spacing w:before="100" w:beforeAutospacing="1" w:after="100" w:afterAutospacing="1" w:line="3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监督人员或其他相关人员签字：</w:t>
            </w:r>
          </w:p>
          <w:p w14:paraId="059AC3DA">
            <w:pPr>
              <w:spacing w:before="100" w:beforeAutospacing="1" w:after="100" w:afterAutospacing="1" w:line="3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或受邀机构的意见（盖章）：</w:t>
            </w:r>
          </w:p>
        </w:tc>
      </w:tr>
      <w:tr w14:paraId="760DC6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75" w:hRule="atLeast"/>
          <w:jc w:val="center"/>
        </w:trPr>
        <w:tc>
          <w:tcPr>
            <w:tcW w:w="4767" w:type="dxa"/>
            <w:gridSpan w:val="3"/>
            <w:tcBorders>
              <w:top w:val="single" w:color="auto" w:sz="8" w:space="0"/>
              <w:left w:val="single" w:color="auto" w:sz="8" w:space="0"/>
              <w:bottom w:val="single" w:color="auto" w:sz="8" w:space="0"/>
              <w:right w:val="nil"/>
            </w:tcBorders>
            <w:noWrap w:val="0"/>
            <w:tcMar>
              <w:top w:w="0" w:type="dxa"/>
              <w:left w:w="108" w:type="dxa"/>
              <w:bottom w:w="0" w:type="dxa"/>
              <w:right w:w="108" w:type="dxa"/>
            </w:tcMar>
            <w:vAlign w:val="center"/>
          </w:tcPr>
          <w:p w14:paraId="38430AA0">
            <w:pPr>
              <w:spacing w:before="100" w:beforeAutospacing="1" w:after="100" w:afterAutospacing="1" w:line="3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中标或者成交人负责人签字或盖章：</w:t>
            </w:r>
          </w:p>
          <w:p w14:paraId="39392FF3">
            <w:pPr>
              <w:spacing w:before="100" w:beforeAutospacing="1" w:after="100" w:afterAutospacing="1" w:line="3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         年 月 日</w:t>
            </w:r>
          </w:p>
        </w:tc>
        <w:tc>
          <w:tcPr>
            <w:tcW w:w="4860" w:type="dxa"/>
            <w:gridSpan w:val="4"/>
            <w:tcBorders>
              <w:top w:val="single" w:color="auto" w:sz="8" w:space="0"/>
              <w:left w:val="nil"/>
              <w:bottom w:val="single" w:color="auto" w:sz="8" w:space="0"/>
              <w:right w:val="single" w:color="auto" w:sz="8" w:space="0"/>
            </w:tcBorders>
            <w:noWrap w:val="0"/>
            <w:vAlign w:val="center"/>
          </w:tcPr>
          <w:p w14:paraId="576AD776">
            <w:pPr>
              <w:spacing w:before="100" w:beforeAutospacing="1" w:after="100" w:afterAutospacing="1" w:line="3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采购人或受托机构的意见（盖章）：</w:t>
            </w:r>
          </w:p>
          <w:p w14:paraId="398B8752">
            <w:pPr>
              <w:spacing w:before="100" w:beforeAutospacing="1" w:after="100" w:afterAutospacing="1" w:line="3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                 年   月   日</w:t>
            </w:r>
          </w:p>
        </w:tc>
      </w:tr>
    </w:tbl>
    <w:p w14:paraId="2345A8A3">
      <w:pPr>
        <w:pStyle w:val="14"/>
        <w:rPr>
          <w:rFonts w:hint="eastAsia"/>
          <w:color w:val="auto"/>
          <w:highlight w:val="none"/>
        </w:rPr>
      </w:pPr>
    </w:p>
    <w:sectPr>
      <w:headerReference r:id="rId9" w:type="default"/>
      <w:footerReference r:id="rId10" w:type="default"/>
      <w:footerReference r:id="rId11" w:type="even"/>
      <w:pgSz w:w="11906" w:h="16838"/>
      <w:pgMar w:top="1758" w:right="1304" w:bottom="1021" w:left="1304" w:header="1247" w:footer="85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Ђ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Ìå">
    <w:altName w:val="Times New Roman"/>
    <w:panose1 w:val="00000000000000000000"/>
    <w:charset w:val="00"/>
    <w:family w:val="auto"/>
    <w:pitch w:val="default"/>
    <w:sig w:usb0="00000000" w:usb1="00000000" w:usb2="00000000" w:usb3="00000000" w:csb0="00000001" w:csb1="00000000"/>
  </w:font>
  <w:font w:name="方正小标宋简体">
    <w:altName w:val="黑体"/>
    <w:panose1 w:val="02000000000000000000"/>
    <w:charset w:val="86"/>
    <w:family w:val="script"/>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36187">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9AFF2">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DA9AFF2">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1B0FC">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B03329">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FB03329">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17B43">
    <w:pPr>
      <w:pStyle w:val="14"/>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07240B6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LOeaOPNAQAAmAMAAA4AAAAAAAAAAQAgAAAAHwEAAGRycy9l&#10;Mm9Eb2MueG1sUEsFBgAAAAAGAAYAWQEAAF4FAAAAAA==&#10;">
              <v:fill on="f" focussize="0,0"/>
              <v:stroke on="f"/>
              <v:imagedata o:title=""/>
              <o:lock v:ext="edit" aspectratio="f"/>
              <v:textbox inset="0mm,0mm,0mm,0mm" style="mso-fit-shape-to-text:t;">
                <w:txbxContent>
                  <w:p w14:paraId="07240B6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5DE4D">
    <w:pPr>
      <w:pStyle w:val="14"/>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3315839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OjxXbLNAQAAlgMAAA4AAAAAAAAAAQAgAAAAHwEAAGRycy9l&#10;Mm9Eb2MueG1sUEsFBgAAAAAGAAYAWQEAAF4FAAAAAA==&#10;">
              <v:fill on="f" focussize="0,0"/>
              <v:stroke on="f"/>
              <v:imagedata o:title=""/>
              <o:lock v:ext="edit" aspectratio="f"/>
              <v:textbox inset="0mm,0mm,0mm,0mm" style="mso-fit-shape-to-text:t;">
                <w:txbxContent>
                  <w:p w14:paraId="3315839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5A7D3">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011AC1B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V+SdAAAAADAQAADwAAAAAAAAABACAAAAAiAAAAZHJzL2Rvd25y&#10;ZXYueG1sUEsBAhQAFAAAAAgAh07iQJQa1WfNAQAAlwMAAA4AAAAAAAAAAQAgAAAAHwEAAGRycy9l&#10;Mm9Eb2MueG1sUEsFBgAAAAAGAAYAWQEAAF4FAAAAAA==&#10;">
              <v:fill on="f" focussize="0,0"/>
              <v:stroke on="f"/>
              <v:imagedata o:title=""/>
              <o:lock v:ext="edit" aspectratio="f"/>
              <v:textbox inset="0mm,0mm,0mm,0mm" style="mso-fit-shape-to-text:t;">
                <w:txbxContent>
                  <w:p w14:paraId="011AC1B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1CA3F">
    <w:pPr>
      <w:pStyle w:val="14"/>
      <w:framePr w:wrap="around" w:vAnchor="text" w:hAnchor="margin" w:xAlign="center" w:y="1"/>
      <w:rPr>
        <w:rStyle w:val="25"/>
      </w:rPr>
    </w:pPr>
    <w:r>
      <w:fldChar w:fldCharType="begin"/>
    </w:r>
    <w:r>
      <w:rPr>
        <w:rStyle w:val="25"/>
      </w:rPr>
      <w:instrText xml:space="preserve">PAGE  </w:instrText>
    </w:r>
    <w:r>
      <w:fldChar w:fldCharType="separate"/>
    </w:r>
    <w:r>
      <w:rPr>
        <w:rStyle w:val="25"/>
        <w:lang w:val="zh-CN"/>
      </w:rPr>
      <w:t>1</w:t>
    </w:r>
    <w:r>
      <w:fldChar w:fldCharType="end"/>
    </w:r>
  </w:p>
  <w:p w14:paraId="437A7925">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97248">
    <w:pPr>
      <w:pStyle w:val="16"/>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C4EC5">
    <w:pPr>
      <w:pStyle w:val="16"/>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31E4A">
    <w:pPr>
      <w:pStyle w:val="16"/>
      <w:pBdr>
        <w:bottom w:val="none" w:color="auto" w:sz="0" w:space="0"/>
      </w:pBdr>
      <w:jc w:val="both"/>
      <w:rPr>
        <w:rFonts w:hint="eastAsia"/>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BE982"/>
    <w:multiLevelType w:val="singleLevel"/>
    <w:tmpl w:val="B1ABE982"/>
    <w:lvl w:ilvl="0" w:tentative="0">
      <w:start w:val="6"/>
      <w:numFmt w:val="chineseCounting"/>
      <w:suff w:val="space"/>
      <w:lvlText w:val="第%1章"/>
      <w:lvlJc w:val="left"/>
      <w:rPr>
        <w:rFonts w:hint="eastAsia"/>
      </w:rPr>
    </w:lvl>
  </w:abstractNum>
  <w:abstractNum w:abstractNumId="1">
    <w:nsid w:val="00000007"/>
    <w:multiLevelType w:val="multilevel"/>
    <w:tmpl w:val="00000007"/>
    <w:lvl w:ilvl="0" w:tentative="0">
      <w:start w:val="1"/>
      <w:numFmt w:val="decimal"/>
      <w:pStyle w:val="52"/>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2"/>
      <w:numFmt w:val="decimal"/>
      <w:suff w:val="nothing"/>
      <w:lvlText w:val="%1."/>
      <w:lvlJc w:val="left"/>
    </w:lvl>
  </w:abstractNum>
  <w:abstractNum w:abstractNumId="3">
    <w:nsid w:val="174D14CB"/>
    <w:multiLevelType w:val="singleLevel"/>
    <w:tmpl w:val="174D14CB"/>
    <w:lvl w:ilvl="0" w:tentative="0">
      <w:start w:val="1"/>
      <w:numFmt w:val="chineseCounting"/>
      <w:suff w:val="space"/>
      <w:lvlText w:val="第%1章"/>
      <w:lvlJc w:val="left"/>
      <w:rPr>
        <w:rFonts w:hint="eastAsia"/>
      </w:rPr>
    </w:lvl>
  </w:abstractNum>
  <w:abstractNum w:abstractNumId="4">
    <w:nsid w:val="38DC7BE1"/>
    <w:multiLevelType w:val="singleLevel"/>
    <w:tmpl w:val="38DC7BE1"/>
    <w:lvl w:ilvl="0" w:tentative="0">
      <w:start w:val="3"/>
      <w:numFmt w:val="decimal"/>
      <w:lvlText w:val="%1."/>
      <w:lvlJc w:val="left"/>
      <w:pPr>
        <w:tabs>
          <w:tab w:val="left" w:pos="312"/>
        </w:tabs>
      </w:pPr>
    </w:lvl>
  </w:abstractNum>
  <w:abstractNum w:abstractNumId="5">
    <w:nsid w:val="3E5E7BC9"/>
    <w:multiLevelType w:val="singleLevel"/>
    <w:tmpl w:val="3E5E7BC9"/>
    <w:lvl w:ilvl="0" w:tentative="0">
      <w:start w:val="1"/>
      <w:numFmt w:val="decimal"/>
      <w:suff w:val="nothing"/>
      <w:lvlText w:val="（%1）"/>
      <w:lvlJc w:val="left"/>
    </w:lvl>
  </w:abstractNum>
  <w:abstractNum w:abstractNumId="6">
    <w:nsid w:val="55E62055"/>
    <w:multiLevelType w:val="singleLevel"/>
    <w:tmpl w:val="55E62055"/>
    <w:lvl w:ilvl="0" w:tentative="0">
      <w:start w:val="3"/>
      <w:numFmt w:val="chineseCounting"/>
      <w:suff w:val="space"/>
      <w:lvlText w:val="第%1章"/>
      <w:lvlJc w:val="left"/>
      <w:rPr>
        <w:rFonts w:hint="eastAsia"/>
      </w:rPr>
    </w:lvl>
  </w:abstractNum>
  <w:abstractNum w:abstractNumId="7">
    <w:nsid w:val="6EDD6596"/>
    <w:multiLevelType w:val="singleLevel"/>
    <w:tmpl w:val="6EDD6596"/>
    <w:lvl w:ilvl="0" w:tentative="0">
      <w:start w:val="1"/>
      <w:numFmt w:val="decimal"/>
      <w:suff w:val="space"/>
      <w:lvlText w:val="%1."/>
      <w:lvlJc w:val="left"/>
    </w:lvl>
  </w:abstractNum>
  <w:abstractNum w:abstractNumId="8">
    <w:nsid w:val="6EDD6597"/>
    <w:multiLevelType w:val="singleLevel"/>
    <w:tmpl w:val="6EDD6597"/>
    <w:lvl w:ilvl="0" w:tentative="0">
      <w:start w:val="1"/>
      <w:numFmt w:val="decimal"/>
      <w:suff w:val="nothing"/>
      <w:lvlText w:val="(%1)"/>
      <w:lvlJc w:val="left"/>
    </w:lvl>
  </w:abstractNum>
  <w:abstractNum w:abstractNumId="9">
    <w:nsid w:val="6EDD6598"/>
    <w:multiLevelType w:val="singleLevel"/>
    <w:tmpl w:val="6EDD6598"/>
    <w:lvl w:ilvl="0" w:tentative="0">
      <w:start w:val="11"/>
      <w:numFmt w:val="decimal"/>
      <w:suff w:val="space"/>
      <w:lvlText w:val="%1."/>
      <w:lvlJc w:val="left"/>
    </w:lvl>
  </w:abstractNum>
  <w:abstractNum w:abstractNumId="10">
    <w:nsid w:val="6EDD6599"/>
    <w:multiLevelType w:val="multilevel"/>
    <w:tmpl w:val="6EDD6599"/>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6EDD659A"/>
    <w:multiLevelType w:val="multilevel"/>
    <w:tmpl w:val="6EDD659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6EDD659B"/>
    <w:multiLevelType w:val="multilevel"/>
    <w:tmpl w:val="6EDD659B"/>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6EDD659C"/>
    <w:multiLevelType w:val="multilevel"/>
    <w:tmpl w:val="6EDD659C"/>
    <w:lvl w:ilvl="0" w:tentative="0">
      <w:start w:val="1"/>
      <w:numFmt w:val="decimal"/>
      <w:lvlText w:val="（%1）"/>
      <w:lvlJc w:val="left"/>
      <w:pPr>
        <w:ind w:left="1560" w:hanging="720"/>
      </w:pPr>
      <w:rPr>
        <w:rFonts w:hint="default"/>
      </w:rPr>
    </w:lvl>
    <w:lvl w:ilvl="1" w:tentative="0">
      <w:start w:val="1"/>
      <w:numFmt w:val="decimal"/>
      <w:lvlText w:val="%2)"/>
      <w:lvlJc w:val="left"/>
      <w:pPr>
        <w:ind w:left="1260" w:hanging="420"/>
      </w:pPr>
      <w:rPr>
        <w:rFonts w:hint="default"/>
      </w:rPr>
    </w:lvl>
    <w:lvl w:ilvl="2" w:tentative="0">
      <w:start w:val="1"/>
      <w:numFmt w:val="decimal"/>
      <w:lvlText w:val="%3、"/>
      <w:lvlJc w:val="left"/>
      <w:pPr>
        <w:ind w:left="1620" w:hanging="360"/>
      </w:pPr>
      <w:rPr>
        <w:rFonts w:hint="default"/>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6EDD659D"/>
    <w:multiLevelType w:val="multilevel"/>
    <w:tmpl w:val="6EDD659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6EDD659E"/>
    <w:multiLevelType w:val="multilevel"/>
    <w:tmpl w:val="6EDD659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6EDD659F"/>
    <w:multiLevelType w:val="multilevel"/>
    <w:tmpl w:val="6EDD659F"/>
    <w:lvl w:ilvl="0" w:tentative="0">
      <w:start w:val="1"/>
      <w:numFmt w:val="upperLetter"/>
      <w:lvlText w:val="%1."/>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3"/>
  </w:num>
  <w:num w:numId="3">
    <w:abstractNumId w:val="6"/>
  </w:num>
  <w:num w:numId="4">
    <w:abstractNumId w:val="8"/>
  </w:num>
  <w:num w:numId="5">
    <w:abstractNumId w:val="9"/>
  </w:num>
  <w:num w:numId="6">
    <w:abstractNumId w:val="10"/>
  </w:num>
  <w:num w:numId="7">
    <w:abstractNumId w:val="11"/>
  </w:num>
  <w:num w:numId="8">
    <w:abstractNumId w:val="12"/>
  </w:num>
  <w:num w:numId="9">
    <w:abstractNumId w:val="13"/>
  </w:num>
  <w:num w:numId="10">
    <w:abstractNumId w:val="14"/>
  </w:num>
  <w:num w:numId="11">
    <w:abstractNumId w:val="15"/>
  </w:num>
  <w:num w:numId="12">
    <w:abstractNumId w:val="16"/>
  </w:num>
  <w:num w:numId="13">
    <w:abstractNumId w:val="5"/>
  </w:num>
  <w:num w:numId="14">
    <w:abstractNumId w:val="4"/>
  </w:num>
  <w:num w:numId="15">
    <w:abstractNumId w:val="2"/>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ZGY0NGQ5OGEyODUzY2E3MWM2YjNkMTgwZWQ4MjkifQ=="/>
  </w:docVars>
  <w:rsids>
    <w:rsidRoot w:val="16344B64"/>
    <w:rsid w:val="000769C6"/>
    <w:rsid w:val="00292E98"/>
    <w:rsid w:val="00391CF2"/>
    <w:rsid w:val="00876B84"/>
    <w:rsid w:val="008C2C82"/>
    <w:rsid w:val="00B5103D"/>
    <w:rsid w:val="013363E4"/>
    <w:rsid w:val="01435D27"/>
    <w:rsid w:val="014B09B3"/>
    <w:rsid w:val="0165313D"/>
    <w:rsid w:val="01703541"/>
    <w:rsid w:val="019451CC"/>
    <w:rsid w:val="019A117A"/>
    <w:rsid w:val="01A52705"/>
    <w:rsid w:val="01D41215"/>
    <w:rsid w:val="01D42121"/>
    <w:rsid w:val="01E85CB8"/>
    <w:rsid w:val="01F64D0F"/>
    <w:rsid w:val="02057DBE"/>
    <w:rsid w:val="02224369"/>
    <w:rsid w:val="02333E82"/>
    <w:rsid w:val="023B4DEC"/>
    <w:rsid w:val="02453514"/>
    <w:rsid w:val="02460EB6"/>
    <w:rsid w:val="028A0DA9"/>
    <w:rsid w:val="02D169DB"/>
    <w:rsid w:val="03001EE1"/>
    <w:rsid w:val="035E59F6"/>
    <w:rsid w:val="038A7BB5"/>
    <w:rsid w:val="03972500"/>
    <w:rsid w:val="039F67AA"/>
    <w:rsid w:val="03A9358B"/>
    <w:rsid w:val="03D251CE"/>
    <w:rsid w:val="03E219EE"/>
    <w:rsid w:val="03EB220E"/>
    <w:rsid w:val="03ED7190"/>
    <w:rsid w:val="040E0AFD"/>
    <w:rsid w:val="04304467"/>
    <w:rsid w:val="043D01D6"/>
    <w:rsid w:val="043E6C3C"/>
    <w:rsid w:val="044E20D8"/>
    <w:rsid w:val="045D2E23"/>
    <w:rsid w:val="0469012C"/>
    <w:rsid w:val="04781A0B"/>
    <w:rsid w:val="04793104"/>
    <w:rsid w:val="047C0BCC"/>
    <w:rsid w:val="05033049"/>
    <w:rsid w:val="052A45EE"/>
    <w:rsid w:val="056D5429"/>
    <w:rsid w:val="05B30A98"/>
    <w:rsid w:val="05CE5247"/>
    <w:rsid w:val="05D2338D"/>
    <w:rsid w:val="05F94DCD"/>
    <w:rsid w:val="060D56D1"/>
    <w:rsid w:val="0644195F"/>
    <w:rsid w:val="06556B9B"/>
    <w:rsid w:val="067A36AA"/>
    <w:rsid w:val="068046A5"/>
    <w:rsid w:val="06867C76"/>
    <w:rsid w:val="0687062B"/>
    <w:rsid w:val="06A40442"/>
    <w:rsid w:val="06A55497"/>
    <w:rsid w:val="06B605BA"/>
    <w:rsid w:val="06BF3139"/>
    <w:rsid w:val="06F16788"/>
    <w:rsid w:val="070211A3"/>
    <w:rsid w:val="0733410C"/>
    <w:rsid w:val="07467D48"/>
    <w:rsid w:val="077D02B2"/>
    <w:rsid w:val="07AB560D"/>
    <w:rsid w:val="07B00DB5"/>
    <w:rsid w:val="07EE0856"/>
    <w:rsid w:val="07EF5437"/>
    <w:rsid w:val="082958EE"/>
    <w:rsid w:val="08382DE5"/>
    <w:rsid w:val="08590257"/>
    <w:rsid w:val="086B310B"/>
    <w:rsid w:val="08782A74"/>
    <w:rsid w:val="08EC40D2"/>
    <w:rsid w:val="09026A3E"/>
    <w:rsid w:val="09192DFD"/>
    <w:rsid w:val="09922E2F"/>
    <w:rsid w:val="09B7036B"/>
    <w:rsid w:val="0A1925F0"/>
    <w:rsid w:val="0A39280F"/>
    <w:rsid w:val="0A3D4A0C"/>
    <w:rsid w:val="0A4B5D54"/>
    <w:rsid w:val="0A57550F"/>
    <w:rsid w:val="0A6749FB"/>
    <w:rsid w:val="0A6C2012"/>
    <w:rsid w:val="0A6E2124"/>
    <w:rsid w:val="0A733489"/>
    <w:rsid w:val="0A7526BF"/>
    <w:rsid w:val="0A78296A"/>
    <w:rsid w:val="0A7A55CE"/>
    <w:rsid w:val="0A8C6F1B"/>
    <w:rsid w:val="0A912E56"/>
    <w:rsid w:val="0A9A26C8"/>
    <w:rsid w:val="0AAE65CC"/>
    <w:rsid w:val="0AB52C23"/>
    <w:rsid w:val="0AD83CD8"/>
    <w:rsid w:val="0AE16A2B"/>
    <w:rsid w:val="0AE21360"/>
    <w:rsid w:val="0B237BA9"/>
    <w:rsid w:val="0B2C193F"/>
    <w:rsid w:val="0B372620"/>
    <w:rsid w:val="0B3C6B2A"/>
    <w:rsid w:val="0B4934D4"/>
    <w:rsid w:val="0B7A5702"/>
    <w:rsid w:val="0B975623"/>
    <w:rsid w:val="0BC66934"/>
    <w:rsid w:val="0BD04408"/>
    <w:rsid w:val="0BD75F20"/>
    <w:rsid w:val="0C040834"/>
    <w:rsid w:val="0C0E3DC8"/>
    <w:rsid w:val="0C127A9F"/>
    <w:rsid w:val="0C421E03"/>
    <w:rsid w:val="0C4D22BF"/>
    <w:rsid w:val="0C783F77"/>
    <w:rsid w:val="0C8406AF"/>
    <w:rsid w:val="0C8F3EC5"/>
    <w:rsid w:val="0C9845FB"/>
    <w:rsid w:val="0C9E5BEF"/>
    <w:rsid w:val="0CB46FF3"/>
    <w:rsid w:val="0CC03127"/>
    <w:rsid w:val="0CC961F6"/>
    <w:rsid w:val="0CDD71F7"/>
    <w:rsid w:val="0CE53015"/>
    <w:rsid w:val="0CF652A1"/>
    <w:rsid w:val="0D3A6E59"/>
    <w:rsid w:val="0D4D2858"/>
    <w:rsid w:val="0D6D35A4"/>
    <w:rsid w:val="0D881D7B"/>
    <w:rsid w:val="0D8D2972"/>
    <w:rsid w:val="0D8F6463"/>
    <w:rsid w:val="0D903F33"/>
    <w:rsid w:val="0E1235A8"/>
    <w:rsid w:val="0E172295"/>
    <w:rsid w:val="0E1D072F"/>
    <w:rsid w:val="0E323F57"/>
    <w:rsid w:val="0E501BC4"/>
    <w:rsid w:val="0E713147"/>
    <w:rsid w:val="0E835165"/>
    <w:rsid w:val="0E896B1A"/>
    <w:rsid w:val="0E8D122A"/>
    <w:rsid w:val="0EB832CB"/>
    <w:rsid w:val="0EBC4225"/>
    <w:rsid w:val="0EC536A4"/>
    <w:rsid w:val="0EC54DF5"/>
    <w:rsid w:val="0EEB2F22"/>
    <w:rsid w:val="0F0D457E"/>
    <w:rsid w:val="0F137A6E"/>
    <w:rsid w:val="0F152AA6"/>
    <w:rsid w:val="0F166E28"/>
    <w:rsid w:val="0F1F407A"/>
    <w:rsid w:val="0F255D7B"/>
    <w:rsid w:val="0F292C57"/>
    <w:rsid w:val="0F3C72EE"/>
    <w:rsid w:val="0F582B65"/>
    <w:rsid w:val="0F711E78"/>
    <w:rsid w:val="0F9E4A0D"/>
    <w:rsid w:val="0FA568B9"/>
    <w:rsid w:val="0FA83B24"/>
    <w:rsid w:val="0FB326C7"/>
    <w:rsid w:val="0FCD285F"/>
    <w:rsid w:val="0FE91A0F"/>
    <w:rsid w:val="0FEB1231"/>
    <w:rsid w:val="0FEE7612"/>
    <w:rsid w:val="100B56B6"/>
    <w:rsid w:val="100E76C7"/>
    <w:rsid w:val="102706CA"/>
    <w:rsid w:val="103A1282"/>
    <w:rsid w:val="108D0181"/>
    <w:rsid w:val="10AD6AD9"/>
    <w:rsid w:val="10B178E5"/>
    <w:rsid w:val="10C4368F"/>
    <w:rsid w:val="10C85AC8"/>
    <w:rsid w:val="10C96446"/>
    <w:rsid w:val="110D46FC"/>
    <w:rsid w:val="110F721E"/>
    <w:rsid w:val="111C17C4"/>
    <w:rsid w:val="11242549"/>
    <w:rsid w:val="11350618"/>
    <w:rsid w:val="11704727"/>
    <w:rsid w:val="11797307"/>
    <w:rsid w:val="118B719F"/>
    <w:rsid w:val="11BE0577"/>
    <w:rsid w:val="11C139BB"/>
    <w:rsid w:val="11C15E5E"/>
    <w:rsid w:val="11C70925"/>
    <w:rsid w:val="12083E84"/>
    <w:rsid w:val="120D0882"/>
    <w:rsid w:val="12305553"/>
    <w:rsid w:val="123251FD"/>
    <w:rsid w:val="12357BFC"/>
    <w:rsid w:val="126747D0"/>
    <w:rsid w:val="126E0E31"/>
    <w:rsid w:val="12727028"/>
    <w:rsid w:val="12A9357F"/>
    <w:rsid w:val="130612C1"/>
    <w:rsid w:val="130F7236"/>
    <w:rsid w:val="13144FF5"/>
    <w:rsid w:val="13161C63"/>
    <w:rsid w:val="13475083"/>
    <w:rsid w:val="13477178"/>
    <w:rsid w:val="134961F2"/>
    <w:rsid w:val="13632396"/>
    <w:rsid w:val="13913395"/>
    <w:rsid w:val="13950464"/>
    <w:rsid w:val="139C0611"/>
    <w:rsid w:val="13E30B42"/>
    <w:rsid w:val="13EA6286"/>
    <w:rsid w:val="13F25D54"/>
    <w:rsid w:val="13F26814"/>
    <w:rsid w:val="14004C93"/>
    <w:rsid w:val="14305965"/>
    <w:rsid w:val="145511F1"/>
    <w:rsid w:val="146076B0"/>
    <w:rsid w:val="14972464"/>
    <w:rsid w:val="149809ED"/>
    <w:rsid w:val="14C1100B"/>
    <w:rsid w:val="14D05F3E"/>
    <w:rsid w:val="14D41A3E"/>
    <w:rsid w:val="14EC05ED"/>
    <w:rsid w:val="14F96B98"/>
    <w:rsid w:val="151170E1"/>
    <w:rsid w:val="15364883"/>
    <w:rsid w:val="153B2BB3"/>
    <w:rsid w:val="156469AC"/>
    <w:rsid w:val="156E6948"/>
    <w:rsid w:val="157B5BC9"/>
    <w:rsid w:val="158E235B"/>
    <w:rsid w:val="15977A11"/>
    <w:rsid w:val="15CE60D5"/>
    <w:rsid w:val="15D91999"/>
    <w:rsid w:val="15E41D29"/>
    <w:rsid w:val="15F84C59"/>
    <w:rsid w:val="160E205C"/>
    <w:rsid w:val="16344B64"/>
    <w:rsid w:val="163E6233"/>
    <w:rsid w:val="16457EB7"/>
    <w:rsid w:val="16514A32"/>
    <w:rsid w:val="1651790F"/>
    <w:rsid w:val="16644988"/>
    <w:rsid w:val="167D5C38"/>
    <w:rsid w:val="16AA1A1F"/>
    <w:rsid w:val="16AF1939"/>
    <w:rsid w:val="16BE4B10"/>
    <w:rsid w:val="16C97128"/>
    <w:rsid w:val="16D42C63"/>
    <w:rsid w:val="16D67B4D"/>
    <w:rsid w:val="16E6314C"/>
    <w:rsid w:val="16F16621"/>
    <w:rsid w:val="16F66562"/>
    <w:rsid w:val="17057AB0"/>
    <w:rsid w:val="1722662B"/>
    <w:rsid w:val="1728549D"/>
    <w:rsid w:val="173151C4"/>
    <w:rsid w:val="173C32B6"/>
    <w:rsid w:val="174316CF"/>
    <w:rsid w:val="17705F66"/>
    <w:rsid w:val="178176F0"/>
    <w:rsid w:val="17941A0B"/>
    <w:rsid w:val="17CA2D47"/>
    <w:rsid w:val="17DE7609"/>
    <w:rsid w:val="17E15EFC"/>
    <w:rsid w:val="17E46E8B"/>
    <w:rsid w:val="186326CD"/>
    <w:rsid w:val="189015C1"/>
    <w:rsid w:val="18B43502"/>
    <w:rsid w:val="18B90CB1"/>
    <w:rsid w:val="18CF0B5F"/>
    <w:rsid w:val="18DC4A8F"/>
    <w:rsid w:val="18DD46F6"/>
    <w:rsid w:val="18E52696"/>
    <w:rsid w:val="18E733F2"/>
    <w:rsid w:val="18EE6E9D"/>
    <w:rsid w:val="190855FC"/>
    <w:rsid w:val="19235F91"/>
    <w:rsid w:val="19373188"/>
    <w:rsid w:val="194014CF"/>
    <w:rsid w:val="19952838"/>
    <w:rsid w:val="19A246EC"/>
    <w:rsid w:val="19B4308D"/>
    <w:rsid w:val="19C812C8"/>
    <w:rsid w:val="19DB12ED"/>
    <w:rsid w:val="1A0A3AD8"/>
    <w:rsid w:val="1A547350"/>
    <w:rsid w:val="1A937147"/>
    <w:rsid w:val="1AA72C3B"/>
    <w:rsid w:val="1AAA0C58"/>
    <w:rsid w:val="1AAA10CE"/>
    <w:rsid w:val="1AB765E6"/>
    <w:rsid w:val="1AC3196F"/>
    <w:rsid w:val="1AC7726A"/>
    <w:rsid w:val="1AD82220"/>
    <w:rsid w:val="1B0D38D7"/>
    <w:rsid w:val="1B310344"/>
    <w:rsid w:val="1B334C64"/>
    <w:rsid w:val="1B540A26"/>
    <w:rsid w:val="1B6D7998"/>
    <w:rsid w:val="1B9F58CE"/>
    <w:rsid w:val="1BD657A9"/>
    <w:rsid w:val="1BFA2FC3"/>
    <w:rsid w:val="1C211E34"/>
    <w:rsid w:val="1C792991"/>
    <w:rsid w:val="1CA7489F"/>
    <w:rsid w:val="1D095F63"/>
    <w:rsid w:val="1D2B64AD"/>
    <w:rsid w:val="1D320E6E"/>
    <w:rsid w:val="1D3B1545"/>
    <w:rsid w:val="1D540E0F"/>
    <w:rsid w:val="1D6C6F35"/>
    <w:rsid w:val="1D72263D"/>
    <w:rsid w:val="1D79054E"/>
    <w:rsid w:val="1D7A4260"/>
    <w:rsid w:val="1D965BEF"/>
    <w:rsid w:val="1DA125C3"/>
    <w:rsid w:val="1DB45D52"/>
    <w:rsid w:val="1DBF10E6"/>
    <w:rsid w:val="1DC17C39"/>
    <w:rsid w:val="1E6D4AAE"/>
    <w:rsid w:val="1E8D59FB"/>
    <w:rsid w:val="1E8E1732"/>
    <w:rsid w:val="1E913906"/>
    <w:rsid w:val="1E9B1611"/>
    <w:rsid w:val="1EBD275C"/>
    <w:rsid w:val="1ECA0720"/>
    <w:rsid w:val="1EFE225E"/>
    <w:rsid w:val="1F0F3395"/>
    <w:rsid w:val="1F2E0AC9"/>
    <w:rsid w:val="1F3B6052"/>
    <w:rsid w:val="1F65056F"/>
    <w:rsid w:val="1F8563B1"/>
    <w:rsid w:val="1FA77EFE"/>
    <w:rsid w:val="1FAC7ADB"/>
    <w:rsid w:val="1FB57B5F"/>
    <w:rsid w:val="1FDA574F"/>
    <w:rsid w:val="1FDE32B5"/>
    <w:rsid w:val="2020053C"/>
    <w:rsid w:val="202D34A1"/>
    <w:rsid w:val="20310280"/>
    <w:rsid w:val="20323948"/>
    <w:rsid w:val="203A77D5"/>
    <w:rsid w:val="204408F1"/>
    <w:rsid w:val="20463296"/>
    <w:rsid w:val="2050445F"/>
    <w:rsid w:val="205D447F"/>
    <w:rsid w:val="20656879"/>
    <w:rsid w:val="207F6714"/>
    <w:rsid w:val="20B039D3"/>
    <w:rsid w:val="20BA6A7D"/>
    <w:rsid w:val="20BC4D54"/>
    <w:rsid w:val="20BE2C1F"/>
    <w:rsid w:val="20C12DDC"/>
    <w:rsid w:val="20D53AB5"/>
    <w:rsid w:val="21191420"/>
    <w:rsid w:val="211C0DBB"/>
    <w:rsid w:val="212F26E9"/>
    <w:rsid w:val="21462BEF"/>
    <w:rsid w:val="21495DF5"/>
    <w:rsid w:val="21724C17"/>
    <w:rsid w:val="2172749F"/>
    <w:rsid w:val="21753196"/>
    <w:rsid w:val="217F3D25"/>
    <w:rsid w:val="21B343B3"/>
    <w:rsid w:val="21D72FC6"/>
    <w:rsid w:val="21E64AA1"/>
    <w:rsid w:val="221D798C"/>
    <w:rsid w:val="223324D4"/>
    <w:rsid w:val="226664B7"/>
    <w:rsid w:val="2284740D"/>
    <w:rsid w:val="22A73B3E"/>
    <w:rsid w:val="22AA546F"/>
    <w:rsid w:val="22DA19B2"/>
    <w:rsid w:val="22F92EA7"/>
    <w:rsid w:val="230102B6"/>
    <w:rsid w:val="231B4679"/>
    <w:rsid w:val="23280110"/>
    <w:rsid w:val="234D2500"/>
    <w:rsid w:val="238B62C4"/>
    <w:rsid w:val="238B72AE"/>
    <w:rsid w:val="239756EE"/>
    <w:rsid w:val="23B428FE"/>
    <w:rsid w:val="23FF76F8"/>
    <w:rsid w:val="24336DA7"/>
    <w:rsid w:val="243E0123"/>
    <w:rsid w:val="24430D47"/>
    <w:rsid w:val="244A2F6C"/>
    <w:rsid w:val="244E1ECC"/>
    <w:rsid w:val="24567DD6"/>
    <w:rsid w:val="245B000B"/>
    <w:rsid w:val="247618AC"/>
    <w:rsid w:val="24921C2D"/>
    <w:rsid w:val="25070E5D"/>
    <w:rsid w:val="252407DE"/>
    <w:rsid w:val="25413A34"/>
    <w:rsid w:val="25445C0D"/>
    <w:rsid w:val="25535E50"/>
    <w:rsid w:val="255C04C8"/>
    <w:rsid w:val="255D282B"/>
    <w:rsid w:val="25651C1A"/>
    <w:rsid w:val="256576FC"/>
    <w:rsid w:val="256666C5"/>
    <w:rsid w:val="258129BE"/>
    <w:rsid w:val="258D1BD9"/>
    <w:rsid w:val="25994203"/>
    <w:rsid w:val="25AD3484"/>
    <w:rsid w:val="25B016CF"/>
    <w:rsid w:val="261047C5"/>
    <w:rsid w:val="264D1C3A"/>
    <w:rsid w:val="265044EA"/>
    <w:rsid w:val="265C0D35"/>
    <w:rsid w:val="266165C3"/>
    <w:rsid w:val="268D7140"/>
    <w:rsid w:val="269B0243"/>
    <w:rsid w:val="26AD20B1"/>
    <w:rsid w:val="26B612F4"/>
    <w:rsid w:val="26BE19EF"/>
    <w:rsid w:val="26D91416"/>
    <w:rsid w:val="26F80BAE"/>
    <w:rsid w:val="27274607"/>
    <w:rsid w:val="273D0F55"/>
    <w:rsid w:val="274E0EEF"/>
    <w:rsid w:val="274F2647"/>
    <w:rsid w:val="275545B7"/>
    <w:rsid w:val="275A70B5"/>
    <w:rsid w:val="276A5C79"/>
    <w:rsid w:val="276C144B"/>
    <w:rsid w:val="2771321A"/>
    <w:rsid w:val="277C759E"/>
    <w:rsid w:val="27C1510D"/>
    <w:rsid w:val="27C72DDE"/>
    <w:rsid w:val="27C97ADC"/>
    <w:rsid w:val="27CD54D1"/>
    <w:rsid w:val="27DB2224"/>
    <w:rsid w:val="280160A5"/>
    <w:rsid w:val="280947ED"/>
    <w:rsid w:val="28151036"/>
    <w:rsid w:val="2818512F"/>
    <w:rsid w:val="28243C0D"/>
    <w:rsid w:val="282E2931"/>
    <w:rsid w:val="283B580B"/>
    <w:rsid w:val="28531690"/>
    <w:rsid w:val="287E4328"/>
    <w:rsid w:val="28C3509B"/>
    <w:rsid w:val="29096ABC"/>
    <w:rsid w:val="29131644"/>
    <w:rsid w:val="29422464"/>
    <w:rsid w:val="29504EF8"/>
    <w:rsid w:val="296D5AAF"/>
    <w:rsid w:val="29930F11"/>
    <w:rsid w:val="29C93357"/>
    <w:rsid w:val="29D22FED"/>
    <w:rsid w:val="2A0049E2"/>
    <w:rsid w:val="2A215161"/>
    <w:rsid w:val="2A21651D"/>
    <w:rsid w:val="2A486BB9"/>
    <w:rsid w:val="2A653706"/>
    <w:rsid w:val="2A657603"/>
    <w:rsid w:val="2A7D18B9"/>
    <w:rsid w:val="2A9213B0"/>
    <w:rsid w:val="2AC0284D"/>
    <w:rsid w:val="2ADA0D7A"/>
    <w:rsid w:val="2ADE2BED"/>
    <w:rsid w:val="2AE95980"/>
    <w:rsid w:val="2AF05D00"/>
    <w:rsid w:val="2B0143CE"/>
    <w:rsid w:val="2B151462"/>
    <w:rsid w:val="2B18086E"/>
    <w:rsid w:val="2B1B3D56"/>
    <w:rsid w:val="2B4D4859"/>
    <w:rsid w:val="2B50164C"/>
    <w:rsid w:val="2B606BD1"/>
    <w:rsid w:val="2B681FF8"/>
    <w:rsid w:val="2B7E372B"/>
    <w:rsid w:val="2B9E2CF3"/>
    <w:rsid w:val="2BA14861"/>
    <w:rsid w:val="2BCA4ACE"/>
    <w:rsid w:val="2BD1187D"/>
    <w:rsid w:val="2BE133C4"/>
    <w:rsid w:val="2BE25B67"/>
    <w:rsid w:val="2BF0108D"/>
    <w:rsid w:val="2C445F61"/>
    <w:rsid w:val="2C9B7AB3"/>
    <w:rsid w:val="2CB43860"/>
    <w:rsid w:val="2CD44AF8"/>
    <w:rsid w:val="2CD97A0B"/>
    <w:rsid w:val="2CDA1172"/>
    <w:rsid w:val="2CEE501C"/>
    <w:rsid w:val="2CFB12A7"/>
    <w:rsid w:val="2D0A387C"/>
    <w:rsid w:val="2D20628D"/>
    <w:rsid w:val="2D293BB8"/>
    <w:rsid w:val="2D3C3519"/>
    <w:rsid w:val="2D4B565F"/>
    <w:rsid w:val="2D58023A"/>
    <w:rsid w:val="2D59578F"/>
    <w:rsid w:val="2D65288F"/>
    <w:rsid w:val="2D7543F8"/>
    <w:rsid w:val="2DA859DE"/>
    <w:rsid w:val="2DE51610"/>
    <w:rsid w:val="2DED7A59"/>
    <w:rsid w:val="2DF9330D"/>
    <w:rsid w:val="2E024EC2"/>
    <w:rsid w:val="2E1C2EF5"/>
    <w:rsid w:val="2E404FEA"/>
    <w:rsid w:val="2E4B78A6"/>
    <w:rsid w:val="2E5414BC"/>
    <w:rsid w:val="2E881533"/>
    <w:rsid w:val="2EBD5A03"/>
    <w:rsid w:val="2ED33CEA"/>
    <w:rsid w:val="2ED51AEB"/>
    <w:rsid w:val="2EFE48DE"/>
    <w:rsid w:val="2F2E7897"/>
    <w:rsid w:val="2F397563"/>
    <w:rsid w:val="2F3A2C0B"/>
    <w:rsid w:val="2F4176C0"/>
    <w:rsid w:val="2F535070"/>
    <w:rsid w:val="2F5C1DA5"/>
    <w:rsid w:val="2F9D575C"/>
    <w:rsid w:val="2FA37312"/>
    <w:rsid w:val="2FA8323D"/>
    <w:rsid w:val="2FDA7AF5"/>
    <w:rsid w:val="2FDC2D07"/>
    <w:rsid w:val="2FF164DD"/>
    <w:rsid w:val="30145DCA"/>
    <w:rsid w:val="3030528B"/>
    <w:rsid w:val="30406F9E"/>
    <w:rsid w:val="30456D72"/>
    <w:rsid w:val="30582CC7"/>
    <w:rsid w:val="306B1C3D"/>
    <w:rsid w:val="30714FED"/>
    <w:rsid w:val="30764FE7"/>
    <w:rsid w:val="30821396"/>
    <w:rsid w:val="308235EB"/>
    <w:rsid w:val="3087288E"/>
    <w:rsid w:val="30953B76"/>
    <w:rsid w:val="309612E7"/>
    <w:rsid w:val="30B729DB"/>
    <w:rsid w:val="30C101E2"/>
    <w:rsid w:val="30C54BAF"/>
    <w:rsid w:val="30CB0C8C"/>
    <w:rsid w:val="30CB3B9B"/>
    <w:rsid w:val="30CC4D09"/>
    <w:rsid w:val="30CC6F4A"/>
    <w:rsid w:val="30CE282F"/>
    <w:rsid w:val="30D20666"/>
    <w:rsid w:val="30DD371A"/>
    <w:rsid w:val="30ED5B24"/>
    <w:rsid w:val="30EF505A"/>
    <w:rsid w:val="30F027A5"/>
    <w:rsid w:val="30F261AE"/>
    <w:rsid w:val="31166F86"/>
    <w:rsid w:val="312E2E77"/>
    <w:rsid w:val="313A1C72"/>
    <w:rsid w:val="316F5349"/>
    <w:rsid w:val="317E0366"/>
    <w:rsid w:val="31A30A4A"/>
    <w:rsid w:val="31A33AA1"/>
    <w:rsid w:val="31B54688"/>
    <w:rsid w:val="31C21E27"/>
    <w:rsid w:val="31D0106A"/>
    <w:rsid w:val="31E47035"/>
    <w:rsid w:val="31E70E77"/>
    <w:rsid w:val="31F854E1"/>
    <w:rsid w:val="31F93309"/>
    <w:rsid w:val="31FC2FF6"/>
    <w:rsid w:val="31FD78E9"/>
    <w:rsid w:val="32364B30"/>
    <w:rsid w:val="326B110E"/>
    <w:rsid w:val="326C06C8"/>
    <w:rsid w:val="326E0D3B"/>
    <w:rsid w:val="32A712BA"/>
    <w:rsid w:val="32B264A1"/>
    <w:rsid w:val="32B44946"/>
    <w:rsid w:val="32BA479B"/>
    <w:rsid w:val="32C11ADD"/>
    <w:rsid w:val="32CA196C"/>
    <w:rsid w:val="32F10326"/>
    <w:rsid w:val="32FA333F"/>
    <w:rsid w:val="330B7CAD"/>
    <w:rsid w:val="33146C22"/>
    <w:rsid w:val="33211CFA"/>
    <w:rsid w:val="332874AD"/>
    <w:rsid w:val="33533D94"/>
    <w:rsid w:val="33B60F0F"/>
    <w:rsid w:val="33C204A7"/>
    <w:rsid w:val="33D94143"/>
    <w:rsid w:val="33FD3084"/>
    <w:rsid w:val="3413690A"/>
    <w:rsid w:val="34454265"/>
    <w:rsid w:val="345E24D1"/>
    <w:rsid w:val="346A7BCF"/>
    <w:rsid w:val="34814BCF"/>
    <w:rsid w:val="34824778"/>
    <w:rsid w:val="34973F47"/>
    <w:rsid w:val="34A33B07"/>
    <w:rsid w:val="34DB376C"/>
    <w:rsid w:val="34E348BE"/>
    <w:rsid w:val="35110CC8"/>
    <w:rsid w:val="351F3659"/>
    <w:rsid w:val="35220001"/>
    <w:rsid w:val="35590374"/>
    <w:rsid w:val="356B2A0F"/>
    <w:rsid w:val="357A3838"/>
    <w:rsid w:val="358A6C10"/>
    <w:rsid w:val="359A3A8C"/>
    <w:rsid w:val="35AC01F2"/>
    <w:rsid w:val="35CE6E2D"/>
    <w:rsid w:val="3613585B"/>
    <w:rsid w:val="36321290"/>
    <w:rsid w:val="36424C3B"/>
    <w:rsid w:val="3647794D"/>
    <w:rsid w:val="3658358C"/>
    <w:rsid w:val="36A56635"/>
    <w:rsid w:val="36A60D62"/>
    <w:rsid w:val="36AD162D"/>
    <w:rsid w:val="36B90A97"/>
    <w:rsid w:val="36C92741"/>
    <w:rsid w:val="36EB4174"/>
    <w:rsid w:val="36FE61AE"/>
    <w:rsid w:val="370F19F3"/>
    <w:rsid w:val="37102263"/>
    <w:rsid w:val="372D3EF5"/>
    <w:rsid w:val="373D2DFA"/>
    <w:rsid w:val="3753434C"/>
    <w:rsid w:val="379F59C1"/>
    <w:rsid w:val="37B46714"/>
    <w:rsid w:val="380946B6"/>
    <w:rsid w:val="380A513E"/>
    <w:rsid w:val="38116B11"/>
    <w:rsid w:val="383028B0"/>
    <w:rsid w:val="383864ED"/>
    <w:rsid w:val="38703B97"/>
    <w:rsid w:val="389E6A5F"/>
    <w:rsid w:val="38CC3AF8"/>
    <w:rsid w:val="38D33B52"/>
    <w:rsid w:val="38D64556"/>
    <w:rsid w:val="391C380C"/>
    <w:rsid w:val="391F2AFD"/>
    <w:rsid w:val="39897C3B"/>
    <w:rsid w:val="398E6FFF"/>
    <w:rsid w:val="39BE465E"/>
    <w:rsid w:val="39C86FD5"/>
    <w:rsid w:val="39CA4E68"/>
    <w:rsid w:val="39EE4294"/>
    <w:rsid w:val="3A031F92"/>
    <w:rsid w:val="3A0C0228"/>
    <w:rsid w:val="3A127ACC"/>
    <w:rsid w:val="3A272246"/>
    <w:rsid w:val="3A2C18CA"/>
    <w:rsid w:val="3A3E06CA"/>
    <w:rsid w:val="3A445846"/>
    <w:rsid w:val="3A557B1D"/>
    <w:rsid w:val="3A68325A"/>
    <w:rsid w:val="3A6957DB"/>
    <w:rsid w:val="3A865F28"/>
    <w:rsid w:val="3AAC06E8"/>
    <w:rsid w:val="3ABA4BA7"/>
    <w:rsid w:val="3AEC11B5"/>
    <w:rsid w:val="3AF03860"/>
    <w:rsid w:val="3B013C77"/>
    <w:rsid w:val="3B0F00F5"/>
    <w:rsid w:val="3B163750"/>
    <w:rsid w:val="3B210E72"/>
    <w:rsid w:val="3B36794F"/>
    <w:rsid w:val="3B6B0250"/>
    <w:rsid w:val="3B702F3D"/>
    <w:rsid w:val="3B822B94"/>
    <w:rsid w:val="3B842323"/>
    <w:rsid w:val="3B8442F2"/>
    <w:rsid w:val="3BBA3BCF"/>
    <w:rsid w:val="3BCB4AE6"/>
    <w:rsid w:val="3BD77022"/>
    <w:rsid w:val="3BF34A1D"/>
    <w:rsid w:val="3BFF5BE1"/>
    <w:rsid w:val="3C21315F"/>
    <w:rsid w:val="3C2A0477"/>
    <w:rsid w:val="3C4F08ED"/>
    <w:rsid w:val="3C5723FA"/>
    <w:rsid w:val="3C7A72EF"/>
    <w:rsid w:val="3C8B5A78"/>
    <w:rsid w:val="3CCC056A"/>
    <w:rsid w:val="3CE86A81"/>
    <w:rsid w:val="3CF960EF"/>
    <w:rsid w:val="3D3C4E79"/>
    <w:rsid w:val="3D452CE3"/>
    <w:rsid w:val="3D576BE7"/>
    <w:rsid w:val="3D5E3EE5"/>
    <w:rsid w:val="3DA20451"/>
    <w:rsid w:val="3DA87911"/>
    <w:rsid w:val="3DBF3C2B"/>
    <w:rsid w:val="3DCD548E"/>
    <w:rsid w:val="3DF00289"/>
    <w:rsid w:val="3E102BC8"/>
    <w:rsid w:val="3E285C74"/>
    <w:rsid w:val="3E436645"/>
    <w:rsid w:val="3E443DD0"/>
    <w:rsid w:val="3E5772FE"/>
    <w:rsid w:val="3E787087"/>
    <w:rsid w:val="3E7E4B3D"/>
    <w:rsid w:val="3E80225A"/>
    <w:rsid w:val="3EA4715D"/>
    <w:rsid w:val="3EAA68CD"/>
    <w:rsid w:val="3EE30A30"/>
    <w:rsid w:val="3EEF005D"/>
    <w:rsid w:val="3EF56ECB"/>
    <w:rsid w:val="3EFF0708"/>
    <w:rsid w:val="3F051B12"/>
    <w:rsid w:val="3F0A3424"/>
    <w:rsid w:val="3F0E05B1"/>
    <w:rsid w:val="3F1222A6"/>
    <w:rsid w:val="3F1C007A"/>
    <w:rsid w:val="3F2C4C85"/>
    <w:rsid w:val="3F3F5F1E"/>
    <w:rsid w:val="3F5234C8"/>
    <w:rsid w:val="3F54165D"/>
    <w:rsid w:val="3F966C0E"/>
    <w:rsid w:val="3F9F6718"/>
    <w:rsid w:val="3FA46762"/>
    <w:rsid w:val="3FD36CD7"/>
    <w:rsid w:val="3FD6237F"/>
    <w:rsid w:val="3FF8777C"/>
    <w:rsid w:val="3FFF4F2D"/>
    <w:rsid w:val="40215BD4"/>
    <w:rsid w:val="408348BC"/>
    <w:rsid w:val="40BA6DA3"/>
    <w:rsid w:val="40C96EBE"/>
    <w:rsid w:val="40DC2040"/>
    <w:rsid w:val="40F1294E"/>
    <w:rsid w:val="40F4509D"/>
    <w:rsid w:val="40FF5C23"/>
    <w:rsid w:val="41024717"/>
    <w:rsid w:val="41270465"/>
    <w:rsid w:val="413F4274"/>
    <w:rsid w:val="414C522F"/>
    <w:rsid w:val="417411D1"/>
    <w:rsid w:val="41AF62F6"/>
    <w:rsid w:val="41E04080"/>
    <w:rsid w:val="420F1253"/>
    <w:rsid w:val="424B1F31"/>
    <w:rsid w:val="426E51C1"/>
    <w:rsid w:val="42760BE7"/>
    <w:rsid w:val="427D6F5C"/>
    <w:rsid w:val="4293483E"/>
    <w:rsid w:val="429C4F38"/>
    <w:rsid w:val="42B6049B"/>
    <w:rsid w:val="42B70E39"/>
    <w:rsid w:val="42C2592E"/>
    <w:rsid w:val="42CF2B89"/>
    <w:rsid w:val="42D862E7"/>
    <w:rsid w:val="430F56AE"/>
    <w:rsid w:val="431149D7"/>
    <w:rsid w:val="4316534F"/>
    <w:rsid w:val="434D0785"/>
    <w:rsid w:val="435C338F"/>
    <w:rsid w:val="43A53C00"/>
    <w:rsid w:val="43C65E5E"/>
    <w:rsid w:val="43E522F1"/>
    <w:rsid w:val="440A3E06"/>
    <w:rsid w:val="44324DDE"/>
    <w:rsid w:val="4445623B"/>
    <w:rsid w:val="444C3DF3"/>
    <w:rsid w:val="446049E5"/>
    <w:rsid w:val="44660972"/>
    <w:rsid w:val="446C1B10"/>
    <w:rsid w:val="44752BF3"/>
    <w:rsid w:val="449E6563"/>
    <w:rsid w:val="44B040D7"/>
    <w:rsid w:val="44BA2076"/>
    <w:rsid w:val="44D73F50"/>
    <w:rsid w:val="44D822D6"/>
    <w:rsid w:val="44F168F4"/>
    <w:rsid w:val="45085497"/>
    <w:rsid w:val="450D204D"/>
    <w:rsid w:val="45231D5E"/>
    <w:rsid w:val="45240818"/>
    <w:rsid w:val="45321187"/>
    <w:rsid w:val="4533216F"/>
    <w:rsid w:val="453D6C8A"/>
    <w:rsid w:val="45467398"/>
    <w:rsid w:val="45672093"/>
    <w:rsid w:val="456A7A63"/>
    <w:rsid w:val="4588349D"/>
    <w:rsid w:val="45884F7C"/>
    <w:rsid w:val="45A470E5"/>
    <w:rsid w:val="45B23B00"/>
    <w:rsid w:val="45CE61D4"/>
    <w:rsid w:val="45D10D46"/>
    <w:rsid w:val="45DD2BDA"/>
    <w:rsid w:val="45FA2B93"/>
    <w:rsid w:val="460348D1"/>
    <w:rsid w:val="461B60BF"/>
    <w:rsid w:val="461F45F4"/>
    <w:rsid w:val="464B6AB0"/>
    <w:rsid w:val="46710BCE"/>
    <w:rsid w:val="46746CBB"/>
    <w:rsid w:val="46794B93"/>
    <w:rsid w:val="4687226F"/>
    <w:rsid w:val="46C30911"/>
    <w:rsid w:val="46D631B6"/>
    <w:rsid w:val="46F5183A"/>
    <w:rsid w:val="46F7741A"/>
    <w:rsid w:val="47144B64"/>
    <w:rsid w:val="47176CAE"/>
    <w:rsid w:val="47266AC9"/>
    <w:rsid w:val="47516D0C"/>
    <w:rsid w:val="476E0B50"/>
    <w:rsid w:val="479A72E7"/>
    <w:rsid w:val="47E15B31"/>
    <w:rsid w:val="48037BDA"/>
    <w:rsid w:val="48110DAD"/>
    <w:rsid w:val="48265BAB"/>
    <w:rsid w:val="48376F2A"/>
    <w:rsid w:val="48557286"/>
    <w:rsid w:val="485A27D8"/>
    <w:rsid w:val="485F12D7"/>
    <w:rsid w:val="48720648"/>
    <w:rsid w:val="48937786"/>
    <w:rsid w:val="48A96FD5"/>
    <w:rsid w:val="48C219B3"/>
    <w:rsid w:val="48FB1966"/>
    <w:rsid w:val="490D706B"/>
    <w:rsid w:val="493A7349"/>
    <w:rsid w:val="495913F6"/>
    <w:rsid w:val="49710B97"/>
    <w:rsid w:val="49752A94"/>
    <w:rsid w:val="497D74FE"/>
    <w:rsid w:val="4990049A"/>
    <w:rsid w:val="49A04487"/>
    <w:rsid w:val="49A33E79"/>
    <w:rsid w:val="49AE2F4E"/>
    <w:rsid w:val="49B341B6"/>
    <w:rsid w:val="49D022EA"/>
    <w:rsid w:val="49D927B0"/>
    <w:rsid w:val="49E5343B"/>
    <w:rsid w:val="49FA3056"/>
    <w:rsid w:val="4A486552"/>
    <w:rsid w:val="4A510BD5"/>
    <w:rsid w:val="4A822555"/>
    <w:rsid w:val="4AB81764"/>
    <w:rsid w:val="4AE54BC6"/>
    <w:rsid w:val="4B0A6530"/>
    <w:rsid w:val="4B4E2A92"/>
    <w:rsid w:val="4B5D7098"/>
    <w:rsid w:val="4B871835"/>
    <w:rsid w:val="4BA74520"/>
    <w:rsid w:val="4BEF1B80"/>
    <w:rsid w:val="4C1859E4"/>
    <w:rsid w:val="4C3032BC"/>
    <w:rsid w:val="4C943F2C"/>
    <w:rsid w:val="4C9920F5"/>
    <w:rsid w:val="4C9C27E6"/>
    <w:rsid w:val="4CA778DF"/>
    <w:rsid w:val="4CC53416"/>
    <w:rsid w:val="4CE54EAA"/>
    <w:rsid w:val="4CFE5DF2"/>
    <w:rsid w:val="4D0E24D9"/>
    <w:rsid w:val="4D115085"/>
    <w:rsid w:val="4D1D36CF"/>
    <w:rsid w:val="4D292A26"/>
    <w:rsid w:val="4D374DAA"/>
    <w:rsid w:val="4D7A615F"/>
    <w:rsid w:val="4DA348A5"/>
    <w:rsid w:val="4DA73800"/>
    <w:rsid w:val="4DD9098D"/>
    <w:rsid w:val="4DD9508F"/>
    <w:rsid w:val="4DE566F3"/>
    <w:rsid w:val="4DF70A34"/>
    <w:rsid w:val="4E081392"/>
    <w:rsid w:val="4E102281"/>
    <w:rsid w:val="4E2E504E"/>
    <w:rsid w:val="4E3F13E0"/>
    <w:rsid w:val="4E676348"/>
    <w:rsid w:val="4E6D6F9E"/>
    <w:rsid w:val="4EAF7F93"/>
    <w:rsid w:val="4ED466A8"/>
    <w:rsid w:val="4EE370A0"/>
    <w:rsid w:val="4F4D6230"/>
    <w:rsid w:val="4F523BA7"/>
    <w:rsid w:val="4F811CEE"/>
    <w:rsid w:val="4F886166"/>
    <w:rsid w:val="4F893350"/>
    <w:rsid w:val="4F8A4A15"/>
    <w:rsid w:val="4F8E16AF"/>
    <w:rsid w:val="4FA01D19"/>
    <w:rsid w:val="4FAC4C61"/>
    <w:rsid w:val="4FB12D62"/>
    <w:rsid w:val="4FD70E84"/>
    <w:rsid w:val="4FDD43E5"/>
    <w:rsid w:val="50061F1C"/>
    <w:rsid w:val="500813B6"/>
    <w:rsid w:val="500814FB"/>
    <w:rsid w:val="50093785"/>
    <w:rsid w:val="5046693C"/>
    <w:rsid w:val="504C24BB"/>
    <w:rsid w:val="50574928"/>
    <w:rsid w:val="50613B94"/>
    <w:rsid w:val="50852BD8"/>
    <w:rsid w:val="508F2479"/>
    <w:rsid w:val="509727E6"/>
    <w:rsid w:val="50984C98"/>
    <w:rsid w:val="50A33A98"/>
    <w:rsid w:val="50AE593F"/>
    <w:rsid w:val="50C11611"/>
    <w:rsid w:val="50D17EF7"/>
    <w:rsid w:val="512C7A8E"/>
    <w:rsid w:val="51331F49"/>
    <w:rsid w:val="51380B46"/>
    <w:rsid w:val="513F302A"/>
    <w:rsid w:val="513F339B"/>
    <w:rsid w:val="514646E8"/>
    <w:rsid w:val="51562A2F"/>
    <w:rsid w:val="518112F3"/>
    <w:rsid w:val="519525A0"/>
    <w:rsid w:val="51CD379C"/>
    <w:rsid w:val="51CF595A"/>
    <w:rsid w:val="51F1174E"/>
    <w:rsid w:val="52000675"/>
    <w:rsid w:val="52031183"/>
    <w:rsid w:val="520A1160"/>
    <w:rsid w:val="52190F59"/>
    <w:rsid w:val="52603DB4"/>
    <w:rsid w:val="52AC1B5C"/>
    <w:rsid w:val="52C40D65"/>
    <w:rsid w:val="52C86D6D"/>
    <w:rsid w:val="52CF0A44"/>
    <w:rsid w:val="52D71D3A"/>
    <w:rsid w:val="52DC6BD6"/>
    <w:rsid w:val="52DE177E"/>
    <w:rsid w:val="530413B6"/>
    <w:rsid w:val="533F13F6"/>
    <w:rsid w:val="536410A5"/>
    <w:rsid w:val="539002A8"/>
    <w:rsid w:val="53966D85"/>
    <w:rsid w:val="53A935F0"/>
    <w:rsid w:val="53BB6EC7"/>
    <w:rsid w:val="53C11E92"/>
    <w:rsid w:val="53D9122C"/>
    <w:rsid w:val="53DA1367"/>
    <w:rsid w:val="53DE2435"/>
    <w:rsid w:val="540A7A37"/>
    <w:rsid w:val="54111ADD"/>
    <w:rsid w:val="544407AB"/>
    <w:rsid w:val="544A46A5"/>
    <w:rsid w:val="547A3496"/>
    <w:rsid w:val="547E0966"/>
    <w:rsid w:val="547F4C50"/>
    <w:rsid w:val="54834172"/>
    <w:rsid w:val="548B68C9"/>
    <w:rsid w:val="548E73B7"/>
    <w:rsid w:val="54936357"/>
    <w:rsid w:val="54AA4354"/>
    <w:rsid w:val="54E374CE"/>
    <w:rsid w:val="550D249D"/>
    <w:rsid w:val="551B4D39"/>
    <w:rsid w:val="552D6DD8"/>
    <w:rsid w:val="553824CA"/>
    <w:rsid w:val="5559726C"/>
    <w:rsid w:val="556644E1"/>
    <w:rsid w:val="55A04672"/>
    <w:rsid w:val="55A16D1C"/>
    <w:rsid w:val="55A22D19"/>
    <w:rsid w:val="55C81EEC"/>
    <w:rsid w:val="55EB07FC"/>
    <w:rsid w:val="55F74817"/>
    <w:rsid w:val="561129C4"/>
    <w:rsid w:val="561C39C0"/>
    <w:rsid w:val="564210CC"/>
    <w:rsid w:val="56427054"/>
    <w:rsid w:val="564B1124"/>
    <w:rsid w:val="566413BC"/>
    <w:rsid w:val="56696900"/>
    <w:rsid w:val="56893FCC"/>
    <w:rsid w:val="568C2568"/>
    <w:rsid w:val="56B15C7D"/>
    <w:rsid w:val="56C9121F"/>
    <w:rsid w:val="56D51F0A"/>
    <w:rsid w:val="573C40E7"/>
    <w:rsid w:val="575603D6"/>
    <w:rsid w:val="57691A9E"/>
    <w:rsid w:val="5778274A"/>
    <w:rsid w:val="57B079EB"/>
    <w:rsid w:val="57BC7D52"/>
    <w:rsid w:val="57CC3CD5"/>
    <w:rsid w:val="57CD70EC"/>
    <w:rsid w:val="57FE5FA5"/>
    <w:rsid w:val="580764A3"/>
    <w:rsid w:val="580C32E9"/>
    <w:rsid w:val="580C4CD1"/>
    <w:rsid w:val="58173245"/>
    <w:rsid w:val="581E5741"/>
    <w:rsid w:val="582809F8"/>
    <w:rsid w:val="58295E6C"/>
    <w:rsid w:val="5834289E"/>
    <w:rsid w:val="58464FA6"/>
    <w:rsid w:val="58493820"/>
    <w:rsid w:val="58666EB9"/>
    <w:rsid w:val="58831FCD"/>
    <w:rsid w:val="589C1452"/>
    <w:rsid w:val="58A60C7F"/>
    <w:rsid w:val="58B905F4"/>
    <w:rsid w:val="58D73C77"/>
    <w:rsid w:val="58E0187E"/>
    <w:rsid w:val="58E4724B"/>
    <w:rsid w:val="58E74B94"/>
    <w:rsid w:val="58EB2CD9"/>
    <w:rsid w:val="58FF1AD9"/>
    <w:rsid w:val="58FF3869"/>
    <w:rsid w:val="590D2CC0"/>
    <w:rsid w:val="59157EF0"/>
    <w:rsid w:val="59296DD7"/>
    <w:rsid w:val="593516B6"/>
    <w:rsid w:val="59920011"/>
    <w:rsid w:val="59B53C22"/>
    <w:rsid w:val="59CD1026"/>
    <w:rsid w:val="59DA1206"/>
    <w:rsid w:val="59E36A9C"/>
    <w:rsid w:val="59EE16C8"/>
    <w:rsid w:val="59F26EC9"/>
    <w:rsid w:val="59FA2DF6"/>
    <w:rsid w:val="5A326C3E"/>
    <w:rsid w:val="5A4E15BC"/>
    <w:rsid w:val="5A530D01"/>
    <w:rsid w:val="5A5A68D3"/>
    <w:rsid w:val="5A743DED"/>
    <w:rsid w:val="5A7C0AF6"/>
    <w:rsid w:val="5A852700"/>
    <w:rsid w:val="5A8C0B94"/>
    <w:rsid w:val="5AAD14E0"/>
    <w:rsid w:val="5ADD36EF"/>
    <w:rsid w:val="5AF86E69"/>
    <w:rsid w:val="5B056192"/>
    <w:rsid w:val="5B081AB1"/>
    <w:rsid w:val="5B153001"/>
    <w:rsid w:val="5B1A5B33"/>
    <w:rsid w:val="5B500B59"/>
    <w:rsid w:val="5B640C96"/>
    <w:rsid w:val="5B7763B9"/>
    <w:rsid w:val="5B810E0B"/>
    <w:rsid w:val="5B812FDC"/>
    <w:rsid w:val="5B8955D8"/>
    <w:rsid w:val="5B911B5A"/>
    <w:rsid w:val="5BA6424D"/>
    <w:rsid w:val="5BA8378D"/>
    <w:rsid w:val="5BBB00A3"/>
    <w:rsid w:val="5BD5525B"/>
    <w:rsid w:val="5BE36C26"/>
    <w:rsid w:val="5BEB5F37"/>
    <w:rsid w:val="5BF1063E"/>
    <w:rsid w:val="5BF43C20"/>
    <w:rsid w:val="5BFE1777"/>
    <w:rsid w:val="5C0C44F2"/>
    <w:rsid w:val="5C2443E2"/>
    <w:rsid w:val="5C313AEE"/>
    <w:rsid w:val="5C65668A"/>
    <w:rsid w:val="5C6F65BF"/>
    <w:rsid w:val="5C702869"/>
    <w:rsid w:val="5C9212C4"/>
    <w:rsid w:val="5CD64EEC"/>
    <w:rsid w:val="5CFA284C"/>
    <w:rsid w:val="5D1C1C6E"/>
    <w:rsid w:val="5D680F80"/>
    <w:rsid w:val="5D717F20"/>
    <w:rsid w:val="5D7F6ADB"/>
    <w:rsid w:val="5D8068D9"/>
    <w:rsid w:val="5DA42F24"/>
    <w:rsid w:val="5DB46280"/>
    <w:rsid w:val="5DC666FD"/>
    <w:rsid w:val="5DDB3323"/>
    <w:rsid w:val="5DF4238F"/>
    <w:rsid w:val="5E2B7310"/>
    <w:rsid w:val="5E35109B"/>
    <w:rsid w:val="5E3B0012"/>
    <w:rsid w:val="5E3C7C68"/>
    <w:rsid w:val="5E4966A0"/>
    <w:rsid w:val="5E506C8B"/>
    <w:rsid w:val="5E520C3C"/>
    <w:rsid w:val="5E6B0F24"/>
    <w:rsid w:val="5E8659F7"/>
    <w:rsid w:val="5E896645"/>
    <w:rsid w:val="5E8E28E2"/>
    <w:rsid w:val="5EAD2E69"/>
    <w:rsid w:val="5EB12A83"/>
    <w:rsid w:val="5EBA601D"/>
    <w:rsid w:val="5ED864A3"/>
    <w:rsid w:val="5EE07BBC"/>
    <w:rsid w:val="5EE50805"/>
    <w:rsid w:val="5EE52D4E"/>
    <w:rsid w:val="5F0F069E"/>
    <w:rsid w:val="5F13572D"/>
    <w:rsid w:val="5F5B4E14"/>
    <w:rsid w:val="5FA34D03"/>
    <w:rsid w:val="5FB80CF6"/>
    <w:rsid w:val="5FD61386"/>
    <w:rsid w:val="5FDA7074"/>
    <w:rsid w:val="604240FA"/>
    <w:rsid w:val="604525D2"/>
    <w:rsid w:val="60466D0C"/>
    <w:rsid w:val="604C3E0B"/>
    <w:rsid w:val="60546730"/>
    <w:rsid w:val="606269D2"/>
    <w:rsid w:val="60756245"/>
    <w:rsid w:val="60957760"/>
    <w:rsid w:val="60A05F88"/>
    <w:rsid w:val="60CE58E9"/>
    <w:rsid w:val="60D158A0"/>
    <w:rsid w:val="60E9235E"/>
    <w:rsid w:val="610C5FBE"/>
    <w:rsid w:val="612A5A76"/>
    <w:rsid w:val="61321F33"/>
    <w:rsid w:val="61474017"/>
    <w:rsid w:val="615734ED"/>
    <w:rsid w:val="61796912"/>
    <w:rsid w:val="61873935"/>
    <w:rsid w:val="61A43CBB"/>
    <w:rsid w:val="620233A5"/>
    <w:rsid w:val="622C736C"/>
    <w:rsid w:val="623F53EF"/>
    <w:rsid w:val="62630B6D"/>
    <w:rsid w:val="629579D6"/>
    <w:rsid w:val="62A626FF"/>
    <w:rsid w:val="62A928F8"/>
    <w:rsid w:val="62BC7819"/>
    <w:rsid w:val="62D71347"/>
    <w:rsid w:val="62EF11BC"/>
    <w:rsid w:val="630158AC"/>
    <w:rsid w:val="630A1CA7"/>
    <w:rsid w:val="6322756F"/>
    <w:rsid w:val="63333538"/>
    <w:rsid w:val="63377425"/>
    <w:rsid w:val="639421FE"/>
    <w:rsid w:val="63955021"/>
    <w:rsid w:val="63A953A9"/>
    <w:rsid w:val="63C42F10"/>
    <w:rsid w:val="641928F9"/>
    <w:rsid w:val="643F0903"/>
    <w:rsid w:val="644948BF"/>
    <w:rsid w:val="64A7206F"/>
    <w:rsid w:val="64EF09EB"/>
    <w:rsid w:val="651E21F5"/>
    <w:rsid w:val="65256072"/>
    <w:rsid w:val="652B4479"/>
    <w:rsid w:val="65517745"/>
    <w:rsid w:val="65644919"/>
    <w:rsid w:val="65737874"/>
    <w:rsid w:val="65793D01"/>
    <w:rsid w:val="65811949"/>
    <w:rsid w:val="65942F53"/>
    <w:rsid w:val="65A13A93"/>
    <w:rsid w:val="65B71DD9"/>
    <w:rsid w:val="65D33E8A"/>
    <w:rsid w:val="65FD7793"/>
    <w:rsid w:val="66490E35"/>
    <w:rsid w:val="664C7C3C"/>
    <w:rsid w:val="66530429"/>
    <w:rsid w:val="66606EE4"/>
    <w:rsid w:val="66636925"/>
    <w:rsid w:val="6672633E"/>
    <w:rsid w:val="669B2BD8"/>
    <w:rsid w:val="66B3569C"/>
    <w:rsid w:val="66D76C8E"/>
    <w:rsid w:val="66E36E75"/>
    <w:rsid w:val="66EC51E2"/>
    <w:rsid w:val="66FA182D"/>
    <w:rsid w:val="67015827"/>
    <w:rsid w:val="670D4B76"/>
    <w:rsid w:val="67121D97"/>
    <w:rsid w:val="672148B0"/>
    <w:rsid w:val="67294DB6"/>
    <w:rsid w:val="674C5C80"/>
    <w:rsid w:val="67693F7C"/>
    <w:rsid w:val="6775783B"/>
    <w:rsid w:val="677B0220"/>
    <w:rsid w:val="679030DF"/>
    <w:rsid w:val="67923636"/>
    <w:rsid w:val="679E25C6"/>
    <w:rsid w:val="67A97026"/>
    <w:rsid w:val="67BE797F"/>
    <w:rsid w:val="67C3669A"/>
    <w:rsid w:val="67E354FC"/>
    <w:rsid w:val="680E0640"/>
    <w:rsid w:val="681275B0"/>
    <w:rsid w:val="68250FEF"/>
    <w:rsid w:val="682A225F"/>
    <w:rsid w:val="682B20B4"/>
    <w:rsid w:val="6895394D"/>
    <w:rsid w:val="689773CF"/>
    <w:rsid w:val="68B06BF9"/>
    <w:rsid w:val="69454135"/>
    <w:rsid w:val="694F27C3"/>
    <w:rsid w:val="69A7339A"/>
    <w:rsid w:val="69AA3796"/>
    <w:rsid w:val="69B37821"/>
    <w:rsid w:val="69B8088F"/>
    <w:rsid w:val="69BC751C"/>
    <w:rsid w:val="69D72179"/>
    <w:rsid w:val="69EE5D15"/>
    <w:rsid w:val="69F02E55"/>
    <w:rsid w:val="69F24FAA"/>
    <w:rsid w:val="69F523FA"/>
    <w:rsid w:val="6A0C2C21"/>
    <w:rsid w:val="6A1D6D2A"/>
    <w:rsid w:val="6A394F59"/>
    <w:rsid w:val="6A3A1933"/>
    <w:rsid w:val="6A3E3C80"/>
    <w:rsid w:val="6A49164F"/>
    <w:rsid w:val="6A6756F6"/>
    <w:rsid w:val="6AB47D15"/>
    <w:rsid w:val="6AC258C9"/>
    <w:rsid w:val="6AC34A2B"/>
    <w:rsid w:val="6ACB0346"/>
    <w:rsid w:val="6AD97B8E"/>
    <w:rsid w:val="6B20150E"/>
    <w:rsid w:val="6B3E2D6F"/>
    <w:rsid w:val="6B5B505D"/>
    <w:rsid w:val="6B7F5867"/>
    <w:rsid w:val="6B823440"/>
    <w:rsid w:val="6BA6402E"/>
    <w:rsid w:val="6BAD26B6"/>
    <w:rsid w:val="6BC41038"/>
    <w:rsid w:val="6BE7241B"/>
    <w:rsid w:val="6BE827B5"/>
    <w:rsid w:val="6BF30BB0"/>
    <w:rsid w:val="6BF87C10"/>
    <w:rsid w:val="6C040D59"/>
    <w:rsid w:val="6C0905E4"/>
    <w:rsid w:val="6C0D16A3"/>
    <w:rsid w:val="6C780605"/>
    <w:rsid w:val="6CC4103A"/>
    <w:rsid w:val="6CCF5389"/>
    <w:rsid w:val="6CDB6004"/>
    <w:rsid w:val="6CE612E6"/>
    <w:rsid w:val="6D3B40D5"/>
    <w:rsid w:val="6D601DB9"/>
    <w:rsid w:val="6D6A50B2"/>
    <w:rsid w:val="6D6E1FFA"/>
    <w:rsid w:val="6D890EF7"/>
    <w:rsid w:val="6DA902A3"/>
    <w:rsid w:val="6DB04422"/>
    <w:rsid w:val="6DC968E5"/>
    <w:rsid w:val="6DE26B1F"/>
    <w:rsid w:val="6DEE34C4"/>
    <w:rsid w:val="6DEE7EE7"/>
    <w:rsid w:val="6E334A3E"/>
    <w:rsid w:val="6E3D4411"/>
    <w:rsid w:val="6E456486"/>
    <w:rsid w:val="6E522C6A"/>
    <w:rsid w:val="6E584610"/>
    <w:rsid w:val="6E7F3A9C"/>
    <w:rsid w:val="6EC35B23"/>
    <w:rsid w:val="6EDB7958"/>
    <w:rsid w:val="6F023E6B"/>
    <w:rsid w:val="6F316A46"/>
    <w:rsid w:val="6F4E40B7"/>
    <w:rsid w:val="6F6E3BAD"/>
    <w:rsid w:val="6F995775"/>
    <w:rsid w:val="6FA0300D"/>
    <w:rsid w:val="6FCD36D6"/>
    <w:rsid w:val="6FEF2E16"/>
    <w:rsid w:val="70133404"/>
    <w:rsid w:val="701A6E16"/>
    <w:rsid w:val="7023779A"/>
    <w:rsid w:val="702F613F"/>
    <w:rsid w:val="70416CD5"/>
    <w:rsid w:val="705D2CAC"/>
    <w:rsid w:val="70614013"/>
    <w:rsid w:val="70626E4F"/>
    <w:rsid w:val="70665787"/>
    <w:rsid w:val="707E364B"/>
    <w:rsid w:val="70821CE6"/>
    <w:rsid w:val="709C7ACC"/>
    <w:rsid w:val="70A43855"/>
    <w:rsid w:val="70B43440"/>
    <w:rsid w:val="70EC44E1"/>
    <w:rsid w:val="710A1F8A"/>
    <w:rsid w:val="710B7794"/>
    <w:rsid w:val="711F25AE"/>
    <w:rsid w:val="71221911"/>
    <w:rsid w:val="712D3BEC"/>
    <w:rsid w:val="71453E6C"/>
    <w:rsid w:val="7163218B"/>
    <w:rsid w:val="71722787"/>
    <w:rsid w:val="717464B1"/>
    <w:rsid w:val="71826B5A"/>
    <w:rsid w:val="71867A36"/>
    <w:rsid w:val="71867FE1"/>
    <w:rsid w:val="71935BC5"/>
    <w:rsid w:val="71A67C09"/>
    <w:rsid w:val="71F43C81"/>
    <w:rsid w:val="724539F8"/>
    <w:rsid w:val="72547143"/>
    <w:rsid w:val="72772E62"/>
    <w:rsid w:val="72786C16"/>
    <w:rsid w:val="728B2A6E"/>
    <w:rsid w:val="729A1E42"/>
    <w:rsid w:val="729C5F87"/>
    <w:rsid w:val="72A921D9"/>
    <w:rsid w:val="72B63498"/>
    <w:rsid w:val="72C07522"/>
    <w:rsid w:val="72C64E68"/>
    <w:rsid w:val="72CA4C65"/>
    <w:rsid w:val="72D37AAA"/>
    <w:rsid w:val="732064F5"/>
    <w:rsid w:val="732921BC"/>
    <w:rsid w:val="73353307"/>
    <w:rsid w:val="734F5D55"/>
    <w:rsid w:val="737E512D"/>
    <w:rsid w:val="73801F1C"/>
    <w:rsid w:val="73AA78BF"/>
    <w:rsid w:val="73B84014"/>
    <w:rsid w:val="73BB68C1"/>
    <w:rsid w:val="73D03CCD"/>
    <w:rsid w:val="73EA6F03"/>
    <w:rsid w:val="747129CB"/>
    <w:rsid w:val="747C1AD0"/>
    <w:rsid w:val="74C03C91"/>
    <w:rsid w:val="74DB0C04"/>
    <w:rsid w:val="7508758A"/>
    <w:rsid w:val="75752846"/>
    <w:rsid w:val="75753492"/>
    <w:rsid w:val="75867CAE"/>
    <w:rsid w:val="75A31DBF"/>
    <w:rsid w:val="75AF3FAA"/>
    <w:rsid w:val="76233D33"/>
    <w:rsid w:val="76291BD2"/>
    <w:rsid w:val="763E30F9"/>
    <w:rsid w:val="768156E1"/>
    <w:rsid w:val="76A82028"/>
    <w:rsid w:val="76E3334B"/>
    <w:rsid w:val="76F45827"/>
    <w:rsid w:val="76F55E05"/>
    <w:rsid w:val="76F82B81"/>
    <w:rsid w:val="772E50FC"/>
    <w:rsid w:val="773E5311"/>
    <w:rsid w:val="77594FF5"/>
    <w:rsid w:val="776C53D2"/>
    <w:rsid w:val="778C4FA8"/>
    <w:rsid w:val="77B87C8B"/>
    <w:rsid w:val="77D91893"/>
    <w:rsid w:val="77F32054"/>
    <w:rsid w:val="780A1888"/>
    <w:rsid w:val="78206BA3"/>
    <w:rsid w:val="78511348"/>
    <w:rsid w:val="785901FD"/>
    <w:rsid w:val="786D224E"/>
    <w:rsid w:val="78726176"/>
    <w:rsid w:val="7873256A"/>
    <w:rsid w:val="78A142BA"/>
    <w:rsid w:val="78E44541"/>
    <w:rsid w:val="78E57C1F"/>
    <w:rsid w:val="78FE7F71"/>
    <w:rsid w:val="7921573F"/>
    <w:rsid w:val="7942061F"/>
    <w:rsid w:val="79466F9B"/>
    <w:rsid w:val="794E1F48"/>
    <w:rsid w:val="7982097E"/>
    <w:rsid w:val="79D30F2A"/>
    <w:rsid w:val="79F07B0C"/>
    <w:rsid w:val="79FE6DF2"/>
    <w:rsid w:val="7A033B5E"/>
    <w:rsid w:val="7A153F30"/>
    <w:rsid w:val="7A1E6533"/>
    <w:rsid w:val="7A23345F"/>
    <w:rsid w:val="7A242A7E"/>
    <w:rsid w:val="7A3E3457"/>
    <w:rsid w:val="7A49775F"/>
    <w:rsid w:val="7A8014AE"/>
    <w:rsid w:val="7A835F11"/>
    <w:rsid w:val="7AAB462C"/>
    <w:rsid w:val="7AB14320"/>
    <w:rsid w:val="7AB23C18"/>
    <w:rsid w:val="7AB3603F"/>
    <w:rsid w:val="7AB94F83"/>
    <w:rsid w:val="7ABE13C2"/>
    <w:rsid w:val="7AC52BDF"/>
    <w:rsid w:val="7ACC4980"/>
    <w:rsid w:val="7B0D52CF"/>
    <w:rsid w:val="7B195CC0"/>
    <w:rsid w:val="7B231D39"/>
    <w:rsid w:val="7B340BB7"/>
    <w:rsid w:val="7B3C5F03"/>
    <w:rsid w:val="7B505CF9"/>
    <w:rsid w:val="7B64348B"/>
    <w:rsid w:val="7B931E08"/>
    <w:rsid w:val="7B950121"/>
    <w:rsid w:val="7BAD40AB"/>
    <w:rsid w:val="7BC66FBB"/>
    <w:rsid w:val="7BDC1277"/>
    <w:rsid w:val="7BF70327"/>
    <w:rsid w:val="7C05113B"/>
    <w:rsid w:val="7C1C16A8"/>
    <w:rsid w:val="7C1E4CB6"/>
    <w:rsid w:val="7C3574C5"/>
    <w:rsid w:val="7C556F2D"/>
    <w:rsid w:val="7C6C1F48"/>
    <w:rsid w:val="7C7B4E8F"/>
    <w:rsid w:val="7CA12173"/>
    <w:rsid w:val="7CB301D6"/>
    <w:rsid w:val="7CBE0071"/>
    <w:rsid w:val="7CC40AA1"/>
    <w:rsid w:val="7CCC7C1A"/>
    <w:rsid w:val="7CDD6860"/>
    <w:rsid w:val="7CE56503"/>
    <w:rsid w:val="7D0C6A16"/>
    <w:rsid w:val="7D141B57"/>
    <w:rsid w:val="7D9849F6"/>
    <w:rsid w:val="7DA43CC8"/>
    <w:rsid w:val="7DAB526F"/>
    <w:rsid w:val="7DAC239D"/>
    <w:rsid w:val="7DBA34EC"/>
    <w:rsid w:val="7DBE2413"/>
    <w:rsid w:val="7DD722F0"/>
    <w:rsid w:val="7DEB6A33"/>
    <w:rsid w:val="7DF32EA2"/>
    <w:rsid w:val="7DFB10E4"/>
    <w:rsid w:val="7E142C45"/>
    <w:rsid w:val="7E4A04FA"/>
    <w:rsid w:val="7E813E59"/>
    <w:rsid w:val="7E8D6E52"/>
    <w:rsid w:val="7E991183"/>
    <w:rsid w:val="7EA0112B"/>
    <w:rsid w:val="7EA92B69"/>
    <w:rsid w:val="7EAF6D66"/>
    <w:rsid w:val="7EC17CD0"/>
    <w:rsid w:val="7EE3607C"/>
    <w:rsid w:val="7F370D75"/>
    <w:rsid w:val="7F57223B"/>
    <w:rsid w:val="7F582404"/>
    <w:rsid w:val="7F6208AB"/>
    <w:rsid w:val="7FAE2491"/>
    <w:rsid w:val="7FCB600D"/>
    <w:rsid w:val="7FDA0473"/>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60" w:after="60" w:line="413" w:lineRule="auto"/>
      <w:outlineLvl w:val="1"/>
    </w:pPr>
    <w:rPr>
      <w:rFonts w:ascii="Arial" w:hAnsi="Arial" w:eastAsia="黑体"/>
      <w:b/>
      <w:bCs/>
      <w:szCs w:val="32"/>
    </w:rPr>
  </w:style>
  <w:style w:type="paragraph" w:styleId="4">
    <w:name w:val="heading 3"/>
    <w:basedOn w:val="1"/>
    <w:next w:val="1"/>
    <w:autoRedefine/>
    <w:qFormat/>
    <w:uiPriority w:val="0"/>
    <w:pPr>
      <w:keepNext/>
      <w:keepLines/>
      <w:spacing w:line="360" w:lineRule="auto"/>
      <w:outlineLvl w:val="2"/>
    </w:pPr>
    <w:rPr>
      <w:rFonts w:eastAsia="黑体"/>
      <w:b/>
      <w:bCs/>
      <w:szCs w:val="32"/>
    </w:rPr>
  </w:style>
  <w:style w:type="paragraph" w:styleId="5">
    <w:name w:val="heading 4"/>
    <w:basedOn w:val="1"/>
    <w:next w:val="1"/>
    <w:autoRedefine/>
    <w:qFormat/>
    <w:uiPriority w:val="9"/>
    <w:pPr>
      <w:keepNext/>
      <w:keepLines/>
      <w:widowControl/>
      <w:spacing w:before="120" w:beforeLines="0" w:after="120" w:afterLines="0" w:line="360" w:lineRule="auto"/>
      <w:jc w:val="center"/>
      <w:outlineLvl w:val="3"/>
    </w:pPr>
    <w:rPr>
      <w:rFonts w:eastAsia="Ђˎ̥"/>
      <w:kern w:val="0"/>
      <w:sz w:val="28"/>
      <w:szCs w:val="20"/>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6">
    <w:name w:val="index 8"/>
    <w:basedOn w:val="1"/>
    <w:next w:val="1"/>
    <w:autoRedefine/>
    <w:qFormat/>
    <w:uiPriority w:val="0"/>
    <w:pPr>
      <w:ind w:left="2940"/>
    </w:pPr>
  </w:style>
  <w:style w:type="paragraph" w:styleId="7">
    <w:name w:val="Normal Indent"/>
    <w:basedOn w:val="1"/>
    <w:autoRedefine/>
    <w:qFormat/>
    <w:uiPriority w:val="0"/>
    <w:pPr>
      <w:ind w:firstLine="420"/>
    </w:pPr>
    <w:rPr>
      <w:szCs w:val="20"/>
    </w:rPr>
  </w:style>
  <w:style w:type="paragraph" w:styleId="8">
    <w:name w:val="Document Map"/>
    <w:basedOn w:val="1"/>
    <w:autoRedefine/>
    <w:qFormat/>
    <w:uiPriority w:val="0"/>
    <w:rPr>
      <w:rFonts w:ascii="Calibri Light"/>
      <w:sz w:val="18"/>
      <w:szCs w:val="18"/>
    </w:rPr>
  </w:style>
  <w:style w:type="paragraph" w:styleId="9">
    <w:name w:val="annotation text"/>
    <w:basedOn w:val="1"/>
    <w:autoRedefine/>
    <w:qFormat/>
    <w:uiPriority w:val="0"/>
    <w:pPr>
      <w:jc w:val="left"/>
    </w:pPr>
  </w:style>
  <w:style w:type="paragraph" w:styleId="10">
    <w:name w:val="Body Text"/>
    <w:basedOn w:val="1"/>
    <w:next w:val="1"/>
    <w:autoRedefine/>
    <w:qFormat/>
    <w:uiPriority w:val="0"/>
    <w:pPr>
      <w:adjustRightInd w:val="0"/>
      <w:spacing w:after="60" w:afterLines="0" w:line="360" w:lineRule="atLeast"/>
      <w:ind w:left="72" w:leftChars="30" w:right="30" w:rightChars="30"/>
      <w:jc w:val="center"/>
      <w:textAlignment w:val="baseline"/>
    </w:pPr>
    <w:rPr>
      <w:rFonts w:ascii="Times New Roman" w:hAnsi="Times New Roman"/>
      <w:kern w:val="0"/>
      <w:sz w:val="20"/>
      <w:szCs w:val="20"/>
    </w:rPr>
  </w:style>
  <w:style w:type="paragraph" w:styleId="11">
    <w:name w:val="Body Text Indent"/>
    <w:basedOn w:val="1"/>
    <w:next w:val="1"/>
    <w:autoRedefine/>
    <w:qFormat/>
    <w:uiPriority w:val="0"/>
    <w:pPr>
      <w:ind w:firstLine="830" w:firstLineChars="352"/>
    </w:pPr>
    <w:rPr>
      <w:rFonts w:ascii="仿宋_GB2312" w:eastAsia="仿宋_GB2312"/>
      <w:sz w:val="32"/>
      <w:szCs w:val="20"/>
    </w:rPr>
  </w:style>
  <w:style w:type="paragraph" w:styleId="12">
    <w:name w:val="Plain Text"/>
    <w:basedOn w:val="1"/>
    <w:next w:val="5"/>
    <w:autoRedefine/>
    <w:qFormat/>
    <w:uiPriority w:val="0"/>
    <w:rPr>
      <w:rFonts w:ascii="宋体" w:hAnsi="Courier New" w:cs="Courier New"/>
      <w:szCs w:val="21"/>
    </w:rPr>
  </w:style>
  <w:style w:type="paragraph" w:styleId="13">
    <w:name w:val="Body Text Indent 2"/>
    <w:basedOn w:val="1"/>
    <w:autoRedefine/>
    <w:qFormat/>
    <w:uiPriority w:val="0"/>
    <w:pPr>
      <w:spacing w:line="420" w:lineRule="exact"/>
      <w:ind w:firstLine="409" w:firstLineChars="195"/>
    </w:pPr>
  </w:style>
  <w:style w:type="paragraph" w:styleId="14">
    <w:name w:val="footer"/>
    <w:basedOn w:val="1"/>
    <w:next w:val="1"/>
    <w:autoRedefine/>
    <w:qFormat/>
    <w:uiPriority w:val="0"/>
    <w:pPr>
      <w:tabs>
        <w:tab w:val="center" w:pos="4153"/>
        <w:tab w:val="right" w:pos="8306"/>
      </w:tabs>
      <w:snapToGrid w:val="0"/>
      <w:jc w:val="left"/>
    </w:pPr>
    <w:rPr>
      <w:sz w:val="18"/>
      <w:szCs w:val="18"/>
    </w:rPr>
  </w:style>
  <w:style w:type="paragraph" w:styleId="15">
    <w:name w:val="envelope return"/>
    <w:basedOn w:val="1"/>
    <w:autoRedefine/>
    <w:unhideWhenUsed/>
    <w:qFormat/>
    <w:uiPriority w:val="0"/>
    <w:pPr>
      <w:snapToGrid w:val="0"/>
    </w:pPr>
    <w:rPr>
      <w:rFonts w:ascii="Arial" w:hAnsi="Arial"/>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style>
  <w:style w:type="paragraph" w:styleId="18">
    <w:name w:val="Body Text Indent 3"/>
    <w:basedOn w:val="1"/>
    <w:autoRedefine/>
    <w:qFormat/>
    <w:uiPriority w:val="0"/>
    <w:pPr>
      <w:spacing w:line="480" w:lineRule="exact"/>
      <w:ind w:firstLine="420" w:firstLineChars="200"/>
    </w:pPr>
    <w:rPr>
      <w:rFonts w:ascii="宋体" w:hAnsi="Courier New" w:cs="Courier New"/>
    </w:rPr>
  </w:style>
  <w:style w:type="paragraph" w:styleId="19">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20">
    <w:name w:val="Title"/>
    <w:basedOn w:val="1"/>
    <w:next w:val="1"/>
    <w:autoRedefine/>
    <w:qFormat/>
    <w:uiPriority w:val="0"/>
    <w:pPr>
      <w:spacing w:before="240" w:after="60"/>
      <w:jc w:val="center"/>
      <w:outlineLvl w:val="0"/>
    </w:pPr>
    <w:rPr>
      <w:rFonts w:ascii="Cambria" w:hAnsi="Cambria"/>
      <w:b/>
      <w:bCs/>
      <w:sz w:val="32"/>
      <w:szCs w:val="32"/>
    </w:rPr>
  </w:style>
  <w:style w:type="paragraph" w:styleId="21">
    <w:name w:val="Body Text First Indent 2"/>
    <w:basedOn w:val="1"/>
    <w:autoRedefine/>
    <w:qFormat/>
    <w:uiPriority w:val="0"/>
    <w:pPr>
      <w:autoSpaceDE w:val="0"/>
      <w:autoSpaceDN w:val="0"/>
      <w:spacing w:after="120" w:line="360" w:lineRule="auto"/>
      <w:ind w:left="420" w:leftChars="200" w:firstLine="420" w:firstLineChars="200"/>
    </w:pPr>
    <w:rPr>
      <w:sz w:val="21"/>
      <w:szCs w:val="24"/>
    </w:rPr>
  </w:style>
  <w:style w:type="table" w:styleId="23">
    <w:name w:val="Table Grid"/>
    <w:basedOn w:val="22"/>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autoRedefine/>
    <w:qFormat/>
    <w:uiPriority w:val="0"/>
  </w:style>
  <w:style w:type="character" w:styleId="26">
    <w:name w:val="FollowedHyperlink"/>
    <w:basedOn w:val="24"/>
    <w:autoRedefine/>
    <w:unhideWhenUsed/>
    <w:qFormat/>
    <w:uiPriority w:val="99"/>
    <w:rPr>
      <w:color w:val="800080"/>
      <w:u w:val="single"/>
    </w:rPr>
  </w:style>
  <w:style w:type="character" w:styleId="27">
    <w:name w:val="Hyperlink"/>
    <w:autoRedefine/>
    <w:unhideWhenUsed/>
    <w:qFormat/>
    <w:uiPriority w:val="99"/>
    <w:rPr>
      <w:color w:val="0000FF"/>
      <w:u w:val="single"/>
    </w:rPr>
  </w:style>
  <w:style w:type="character" w:styleId="28">
    <w:name w:val="annotation reference"/>
    <w:basedOn w:val="24"/>
    <w:autoRedefine/>
    <w:qFormat/>
    <w:uiPriority w:val="0"/>
    <w:rPr>
      <w:sz w:val="21"/>
      <w:szCs w:val="21"/>
    </w:rPr>
  </w:style>
  <w:style w:type="character" w:styleId="29">
    <w:name w:val="HTML Sample"/>
    <w:basedOn w:val="24"/>
    <w:autoRedefine/>
    <w:qFormat/>
    <w:uiPriority w:val="0"/>
    <w:rPr>
      <w:rFonts w:ascii="Courier New" w:hAnsi="Courier New"/>
    </w:rPr>
  </w:style>
  <w:style w:type="paragraph" w:customStyle="1" w:styleId="30">
    <w:name w:val="Default"/>
    <w:autoRedefine/>
    <w:qFormat/>
    <w:uiPriority w:val="0"/>
    <w:pPr>
      <w:widowControl w:val="0"/>
      <w:autoSpaceDE w:val="0"/>
      <w:autoSpaceDN w:val="0"/>
      <w:adjustRightInd w:val="0"/>
    </w:pPr>
    <w:rPr>
      <w:rFonts w:ascii="新宋体" w:hAnsi="Tahoma" w:eastAsia="宋体" w:cs="新宋体"/>
      <w:color w:val="000000"/>
      <w:sz w:val="24"/>
      <w:szCs w:val="24"/>
      <w:lang w:val="en-US" w:eastAsia="zh-CN" w:bidi="ar-SA"/>
    </w:rPr>
  </w:style>
  <w:style w:type="paragraph" w:customStyle="1" w:styleId="31">
    <w:name w:val="表格文字"/>
    <w:basedOn w:val="11"/>
    <w:next w:val="10"/>
    <w:autoRedefine/>
    <w:qFormat/>
    <w:uiPriority w:val="99"/>
    <w:pPr>
      <w:spacing w:before="25" w:after="25" w:line="240" w:lineRule="auto"/>
      <w:ind w:firstLine="0"/>
    </w:pPr>
    <w:rPr>
      <w:bCs/>
      <w:spacing w:val="10"/>
      <w:kern w:val="0"/>
    </w:rPr>
  </w:style>
  <w:style w:type="paragraph" w:customStyle="1" w:styleId="32">
    <w:name w:val="正文段"/>
    <w:basedOn w:val="1"/>
    <w:autoRedefine/>
    <w:qFormat/>
    <w:uiPriority w:val="0"/>
    <w:pPr>
      <w:widowControl/>
      <w:snapToGrid w:val="0"/>
      <w:spacing w:after="50" w:afterLines="50"/>
      <w:ind w:firstLine="200" w:firstLineChars="200"/>
    </w:pPr>
    <w:rPr>
      <w:kern w:val="0"/>
      <w:sz w:val="24"/>
      <w:szCs w:val="20"/>
    </w:rPr>
  </w:style>
  <w:style w:type="paragraph" w:customStyle="1" w:styleId="33">
    <w:name w:val="正文小标题"/>
    <w:basedOn w:val="2"/>
    <w:autoRedefine/>
    <w:qFormat/>
    <w:uiPriority w:val="0"/>
    <w:pPr>
      <w:spacing w:line="420" w:lineRule="exact"/>
    </w:pPr>
    <w:rPr>
      <w:sz w:val="21"/>
      <w:szCs w:val="21"/>
    </w:rPr>
  </w:style>
  <w:style w:type="paragraph" w:customStyle="1" w:styleId="34">
    <w:name w:val="正文呀2"/>
    <w:basedOn w:val="35"/>
    <w:link w:val="36"/>
    <w:autoRedefine/>
    <w:qFormat/>
    <w:uiPriority w:val="0"/>
    <w:rPr>
      <w:rFonts w:ascii="Times New Roman" w:hAnsi="Times New Roman"/>
    </w:rPr>
  </w:style>
  <w:style w:type="paragraph" w:customStyle="1" w:styleId="35">
    <w:name w:val="正文呀"/>
    <w:basedOn w:val="1"/>
    <w:autoRedefine/>
    <w:qFormat/>
    <w:uiPriority w:val="0"/>
    <w:pPr>
      <w:spacing w:line="420" w:lineRule="exact"/>
      <w:ind w:firstLine="420" w:firstLineChars="200"/>
    </w:pPr>
    <w:rPr>
      <w:rFonts w:ascii="宋体" w:hAnsi="宋体"/>
    </w:rPr>
  </w:style>
  <w:style w:type="character" w:customStyle="1" w:styleId="36">
    <w:name w:val="正文呀2 Char"/>
    <w:basedOn w:val="24"/>
    <w:link w:val="34"/>
    <w:autoRedefine/>
    <w:qFormat/>
    <w:uiPriority w:val="0"/>
    <w:rPr>
      <w:rFonts w:ascii="Times New Roman" w:hAnsi="Times New Roman"/>
    </w:rPr>
  </w:style>
  <w:style w:type="paragraph" w:customStyle="1" w:styleId="37">
    <w:name w:val="正文_2"/>
    <w:next w:val="3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标题 4_1"/>
    <w:basedOn w:val="37"/>
    <w:next w:val="37"/>
    <w:autoRedefine/>
    <w:qFormat/>
    <w:uiPriority w:val="99"/>
    <w:pPr>
      <w:keepNext/>
      <w:keepLines/>
      <w:spacing w:before="280" w:after="290" w:line="376" w:lineRule="auto"/>
      <w:outlineLvl w:val="3"/>
    </w:pPr>
    <w:rPr>
      <w:rFonts w:ascii="Arial" w:hAnsi="Arial" w:eastAsia="黑体"/>
      <w:b/>
      <w:bCs/>
      <w:sz w:val="28"/>
      <w:szCs w:val="28"/>
    </w:rPr>
  </w:style>
  <w:style w:type="paragraph" w:customStyle="1" w:styleId="39">
    <w:name w:val="标题 3_0"/>
    <w:basedOn w:val="37"/>
    <w:next w:val="40"/>
    <w:autoRedefine/>
    <w:qFormat/>
    <w:uiPriority w:val="99"/>
    <w:pPr>
      <w:keepNext/>
      <w:keepLines/>
      <w:spacing w:line="360" w:lineRule="auto"/>
      <w:outlineLvl w:val="2"/>
    </w:pPr>
    <w:rPr>
      <w:rFonts w:eastAsia="黑体"/>
      <w:b/>
      <w:bCs/>
      <w:szCs w:val="32"/>
    </w:rPr>
  </w:style>
  <w:style w:type="paragraph" w:customStyle="1" w:styleId="40">
    <w:name w:val="正文_2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正文_3_0_0"/>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2">
    <w:name w:val="正文_3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3">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46">
    <w:name w:val="样式 标题 2 + Times New Roman 四号 非加粗 段前: 5 磅 段后: 0 磅 行距: 固定值 20..."/>
    <w:basedOn w:val="3"/>
    <w:autoRedefine/>
    <w:qFormat/>
    <w:uiPriority w:val="0"/>
    <w:pPr>
      <w:spacing w:before="100" w:line="400" w:lineRule="exact"/>
      <w:jc w:val="both"/>
    </w:pPr>
    <w:rPr>
      <w:rFonts w:ascii="Times New Roman" w:hAnsi="Times New Roman" w:cs="宋体"/>
      <w:bCs w:val="0"/>
      <w:sz w:val="28"/>
      <w:szCs w:val="20"/>
    </w:rPr>
  </w:style>
  <w:style w:type="paragraph" w:customStyle="1" w:styleId="47">
    <w:name w:val="head4"/>
    <w:basedOn w:val="1"/>
    <w:autoRedefine/>
    <w:qFormat/>
    <w:uiPriority w:val="0"/>
    <w:pPr>
      <w:widowControl/>
      <w:overflowPunct w:val="0"/>
      <w:autoSpaceDE w:val="0"/>
      <w:autoSpaceDN w:val="0"/>
      <w:adjustRightInd w:val="0"/>
      <w:spacing w:before="120" w:line="360" w:lineRule="auto"/>
      <w:textAlignment w:val="baseline"/>
    </w:pPr>
    <w:rPr>
      <w:rFonts w:ascii="¿¬Ìå" w:hAnsi="¿¬Ìå"/>
      <w:kern w:val="0"/>
      <w:sz w:val="24"/>
    </w:rPr>
  </w:style>
  <w:style w:type="paragraph" w:customStyle="1" w:styleId="48">
    <w:name w:val="1"/>
    <w:basedOn w:val="1"/>
    <w:next w:val="12"/>
    <w:autoRedefine/>
    <w:qFormat/>
    <w:uiPriority w:val="0"/>
    <w:rPr>
      <w:rFonts w:ascii="宋体" w:hAnsi="Courier New"/>
      <w:szCs w:val="20"/>
    </w:rPr>
  </w:style>
  <w:style w:type="paragraph" w:customStyle="1" w:styleId="49">
    <w:name w:val="样式 标题 3 + (中文) 黑体 小四 非加粗 段前: 7.8 磅 段后: 0 磅 行距: 固定值 20 磅"/>
    <w:basedOn w:val="4"/>
    <w:autoRedefine/>
    <w:qFormat/>
    <w:uiPriority w:val="0"/>
    <w:pPr>
      <w:spacing w:line="400" w:lineRule="exact"/>
      <w:jc w:val="both"/>
    </w:pPr>
    <w:rPr>
      <w:rFonts w:hint="default" w:ascii="Times New Roman" w:hAnsi="Times New Roman" w:cs="宋体"/>
      <w:bCs w:val="0"/>
      <w:kern w:val="2"/>
      <w:sz w:val="21"/>
      <w:szCs w:val="20"/>
    </w:rPr>
  </w:style>
  <w:style w:type="paragraph" w:styleId="50">
    <w:name w:val="List Paragraph"/>
    <w:basedOn w:val="1"/>
    <w:autoRedefine/>
    <w:qFormat/>
    <w:uiPriority w:val="1"/>
    <w:pPr>
      <w:ind w:left="424" w:firstLine="480"/>
    </w:pPr>
    <w:rPr>
      <w:rFonts w:ascii="宋体" w:hAnsi="宋体" w:eastAsia="宋体" w:cs="宋体"/>
      <w:lang w:val="zh-CN" w:eastAsia="zh-CN" w:bidi="zh-CN"/>
    </w:rPr>
  </w:style>
  <w:style w:type="paragraph" w:customStyle="1" w:styleId="51">
    <w:name w:val="BodyText"/>
    <w:basedOn w:val="1"/>
    <w:autoRedefine/>
    <w:qFormat/>
    <w:uiPriority w:val="0"/>
    <w:pPr>
      <w:spacing w:line="380" w:lineRule="exact"/>
      <w:jc w:val="both"/>
      <w:textAlignment w:val="baseline"/>
    </w:pPr>
    <w:rPr>
      <w:rFonts w:ascii="Times New Roman" w:hAnsi="Times New Roman" w:eastAsia="宋体"/>
      <w:kern w:val="2"/>
      <w:sz w:val="24"/>
      <w:szCs w:val="24"/>
      <w:lang w:val="en-US" w:eastAsia="zh-CN" w:bidi="ar-SA"/>
    </w:rPr>
  </w:style>
  <w:style w:type="paragraph" w:customStyle="1" w:styleId="52">
    <w:name w:val="Char Char Char Char Char Char Char Char Char Char"/>
    <w:basedOn w:val="8"/>
    <w:autoRedefine/>
    <w:qFormat/>
    <w:uiPriority w:val="0"/>
    <w:pPr>
      <w:keepNext/>
      <w:numPr>
        <w:ilvl w:val="0"/>
        <w:numId w:val="1"/>
      </w:numPr>
      <w:tabs>
        <w:tab w:val="left" w:pos="360"/>
        <w:tab w:val="clear" w:pos="420"/>
      </w:tabs>
      <w:spacing w:before="312" w:beforeLines="100"/>
    </w:pPr>
    <w:rPr>
      <w:rFonts w:ascii="Tahoma" w:hAnsi="Tahoma" w:eastAsia="Times New Roman"/>
      <w:kern w:val="0"/>
      <w:sz w:val="24"/>
      <w:szCs w:val="20"/>
    </w:rPr>
  </w:style>
  <w:style w:type="paragraph" w:customStyle="1" w:styleId="53">
    <w:name w:val="正文文本_0"/>
    <w:basedOn w:val="54"/>
    <w:autoRedefine/>
    <w:qFormat/>
    <w:uiPriority w:val="0"/>
    <w:pPr>
      <w:adjustRightInd w:val="0"/>
      <w:spacing w:after="60" w:line="360" w:lineRule="atLeast"/>
      <w:ind w:left="30" w:leftChars="30" w:right="30" w:rightChars="30"/>
      <w:jc w:val="center"/>
    </w:pPr>
    <w:rPr>
      <w:rFonts w:ascii="宋体" w:hAnsi="宋体"/>
      <w:kern w:val="0"/>
      <w:sz w:val="20"/>
      <w:szCs w:val="20"/>
    </w:rPr>
  </w:style>
  <w:style w:type="paragraph" w:customStyle="1" w:styleId="54">
    <w:name w:val="正文_4"/>
    <w:next w:val="55"/>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5">
    <w:name w:val="页脚_0"/>
    <w:basedOn w:val="54"/>
    <w:unhideWhenUsed/>
    <w:qFormat/>
    <w:uiPriority w:val="99"/>
    <w:pPr>
      <w:tabs>
        <w:tab w:val="center" w:pos="4153"/>
        <w:tab w:val="right" w:pos="8306"/>
      </w:tabs>
      <w:snapToGrid w:val="0"/>
      <w:jc w:val="left"/>
    </w:pPr>
    <w:rPr>
      <w:rFonts w:ascii="Calibri" w:hAnsi="Calibri"/>
      <w:sz w:val="18"/>
      <w:szCs w:val="18"/>
    </w:rPr>
  </w:style>
  <w:style w:type="paragraph" w:customStyle="1" w:styleId="56">
    <w:name w:val="纯文本_0"/>
    <w:basedOn w:val="54"/>
    <w:autoRedefine/>
    <w:semiHidden/>
    <w:qFormat/>
    <w:uiPriority w:val="0"/>
    <w:rPr>
      <w:rFonts w:ascii="宋体" w:hAnsi="Courier New"/>
      <w:kern w:val="0"/>
      <w:sz w:val="20"/>
      <w:szCs w:val="24"/>
    </w:rPr>
  </w:style>
  <w:style w:type="paragraph" w:customStyle="1" w:styleId="57">
    <w:name w:val="列出段落_0"/>
    <w:basedOn w:val="58"/>
    <w:autoRedefine/>
    <w:qFormat/>
    <w:uiPriority w:val="34"/>
    <w:pPr>
      <w:ind w:firstLine="420" w:firstLineChars="200"/>
    </w:pPr>
    <w:rPr>
      <w:rFonts w:ascii="Calibri" w:hAnsi="Calibri"/>
    </w:rPr>
  </w:style>
  <w:style w:type="paragraph" w:customStyle="1" w:styleId="58">
    <w:name w:val="正文_3"/>
    <w:next w:val="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标题 1_2"/>
    <w:basedOn w:val="54"/>
    <w:next w:val="54"/>
    <w:autoRedefine/>
    <w:semiHidden/>
    <w:qFormat/>
    <w:uiPriority w:val="0"/>
    <w:pPr>
      <w:keepNext/>
      <w:keepLines/>
      <w:spacing w:line="360" w:lineRule="auto"/>
      <w:outlineLvl w:val="0"/>
    </w:pPr>
    <w:rPr>
      <w:b/>
      <w:bCs/>
      <w:kern w:val="44"/>
      <w:sz w:val="32"/>
      <w:szCs w:val="44"/>
    </w:rPr>
  </w:style>
  <w:style w:type="paragraph" w:customStyle="1" w:styleId="60">
    <w:name w:val="正文_2_1"/>
    <w:basedOn w:val="54"/>
    <w:autoRedefine/>
    <w:qFormat/>
    <w:uiPriority w:val="0"/>
    <w:rPr>
      <w:rFonts w:ascii="Calibri" w:hAnsi="Calibri" w:cs="Calibri"/>
      <w:szCs w:val="21"/>
    </w:rPr>
  </w:style>
  <w:style w:type="paragraph" w:customStyle="1" w:styleId="61">
    <w:name w:val="标题 4_1_0"/>
    <w:basedOn w:val="60"/>
    <w:next w:val="60"/>
    <w:autoRedefine/>
    <w:qFormat/>
    <w:uiPriority w:val="0"/>
    <w:pPr>
      <w:keepNext/>
      <w:keepLines/>
      <w:spacing w:before="280" w:after="290" w:line="374" w:lineRule="auto"/>
      <w:outlineLvl w:val="3"/>
    </w:pPr>
    <w:rPr>
      <w:rFonts w:ascii="Arial" w:hAnsi="Arial" w:eastAsia="黑体" w:cs="Arial"/>
      <w:b/>
      <w:bCs/>
      <w:sz w:val="28"/>
      <w:szCs w:val="28"/>
    </w:rPr>
  </w:style>
  <w:style w:type="character" w:customStyle="1" w:styleId="62">
    <w:name w:val="10_1"/>
    <w:autoRedefine/>
    <w:qFormat/>
    <w:uiPriority w:val="0"/>
    <w:rPr>
      <w:rFonts w:hint="default" w:ascii="Times New Roman" w:hAnsi="Times New Roman" w:cs="Times New Roman"/>
    </w:rPr>
  </w:style>
  <w:style w:type="paragraph" w:customStyle="1" w:styleId="63">
    <w:name w:val="Default_0"/>
    <w:autoRedefine/>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64">
    <w:name w:val="正文_5"/>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
    <w:name w:val="15_0"/>
    <w:autoRedefine/>
    <w:qFormat/>
    <w:uiPriority w:val="0"/>
    <w:rPr>
      <w:rFonts w:hint="default" w:ascii="Times New Roman" w:hAnsi="Times New Roman" w:cs="Times New Roman"/>
    </w:rPr>
  </w:style>
  <w:style w:type="character" w:customStyle="1" w:styleId="66">
    <w:name w:val="10_0"/>
    <w:autoRedefine/>
    <w:qFormat/>
    <w:uiPriority w:val="0"/>
    <w:rPr>
      <w:rFonts w:hint="default" w:ascii="Times New Roman" w:hAnsi="Times New Roman" w:cs="Times New Roman"/>
    </w:rPr>
  </w:style>
  <w:style w:type="paragraph" w:customStyle="1" w:styleId="67">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68">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标题 2_0_0"/>
    <w:basedOn w:val="40"/>
    <w:next w:val="40"/>
    <w:autoRedefine/>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customStyle="1" w:styleId="71">
    <w:name w:val="标题 3_0_0"/>
    <w:basedOn w:val="40"/>
    <w:next w:val="40"/>
    <w:unhideWhenUsed/>
    <w:qFormat/>
    <w:uiPriority w:val="0"/>
    <w:pPr>
      <w:keepNext/>
      <w:keepLines/>
      <w:spacing w:line="360" w:lineRule="auto"/>
      <w:outlineLvl w:val="2"/>
    </w:pPr>
    <w:rPr>
      <w:rFonts w:ascii="Calibri" w:hAnsi="Calibri" w:eastAsia="黑体"/>
      <w:b/>
      <w:bCs/>
      <w:kern w:val="0"/>
      <w:sz w:val="32"/>
      <w:szCs w:val="32"/>
      <w:lang w:val="zh-CN"/>
    </w:rPr>
  </w:style>
  <w:style w:type="paragraph" w:customStyle="1" w:styleId="72">
    <w:name w:val="正文_2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3">
    <w:name w:val="正文_2_0"/>
    <w:qFormat/>
    <w:uiPriority w:val="0"/>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126</Pages>
  <Words>20979</Words>
  <Characters>22044</Characters>
  <Lines>0</Lines>
  <Paragraphs>0</Paragraphs>
  <TotalTime>50</TotalTime>
  <ScaleCrop>false</ScaleCrop>
  <LinksUpToDate>false</LinksUpToDate>
  <CharactersWithSpaces>23371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2022-04-29T12:51:00Z</dcterms:created>
  <dc:creator>米格格</dc:creator>
  <cp:lastModifiedBy>oho</cp:lastModifiedBy>
  <cp:lastPrinted>2025-04-14T07:45:00Z</cp:lastPrinted>
  <dcterms:modified xsi:type="dcterms:W3CDTF">2025-11-03T01:18:17Z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38336A425D184015A366C53B08127C37_13</vt:lpwstr>
  </property>
  <property fmtid="{D5CDD505-2E9C-101B-9397-08002B2CF9AE}" pid="4" name="KSOTemplateDocerSaveRecord">
    <vt:lpwstr>eyJoZGlkIjoiOTYxZjEyODIzZDgwNTQwYjJmMzJiYzBjZDdlNTkzYTEiLCJ1c2VySWQiOiIzODEwOTA4NzUifQ==</vt:lpwstr>
  </property>
</Properties>
</file>