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2C99D">
      <w:pPr>
        <w:jc w:val="center"/>
        <w:rPr>
          <w:rFonts w:ascii="楷体_GB2312" w:hAnsi="宋体" w:eastAsia="黑体" w:cs="宋体"/>
          <w:bCs/>
          <w:color w:val="auto"/>
          <w:kern w:val="0"/>
          <w:sz w:val="44"/>
          <w:szCs w:val="44"/>
          <w:highlight w:val="none"/>
          <w:u w:val="double"/>
        </w:rPr>
      </w:pPr>
      <w:r>
        <w:rPr>
          <w:rFonts w:hint="eastAsia" w:ascii="黑体" w:hAnsi="宋体" w:eastAsia="黑体" w:cs="宋体"/>
          <w:b/>
          <w:bCs/>
          <w:color w:val="auto"/>
          <w:kern w:val="0"/>
          <w:sz w:val="44"/>
          <w:szCs w:val="44"/>
          <w:highlight w:val="none"/>
        </w:rPr>
        <w:t>广西清蘅建设工程造价咨询有限公司</w:t>
      </w:r>
    </w:p>
    <w:tbl>
      <w:tblPr>
        <w:tblStyle w:val="23"/>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0"/>
      </w:tblGrid>
      <w:tr w14:paraId="14CDCD5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180" w:type="dxa"/>
            <w:tcBorders>
              <w:top w:val="thickThinSmallGap" w:color="auto" w:sz="24" w:space="0"/>
            </w:tcBorders>
            <w:noWrap/>
          </w:tcPr>
          <w:p w14:paraId="524B5CF6">
            <w:pPr>
              <w:spacing w:line="240" w:lineRule="exact"/>
              <w:jc w:val="center"/>
              <w:rPr>
                <w:rFonts w:ascii="楷体_GB2312" w:hAnsi="宋体" w:eastAsia="楷体_GB2312" w:cs="宋体"/>
                <w:bCs/>
                <w:color w:val="auto"/>
                <w:kern w:val="0"/>
                <w:sz w:val="28"/>
                <w:szCs w:val="28"/>
                <w:highlight w:val="none"/>
              </w:rPr>
            </w:pPr>
          </w:p>
        </w:tc>
      </w:tr>
    </w:tbl>
    <w:p w14:paraId="20DCDC03">
      <w:pPr>
        <w:spacing w:beforeLines="100" w:afterLines="50"/>
        <w:jc w:val="center"/>
        <w:rPr>
          <w:rFonts w:ascii="宋体" w:hAnsi="宋体" w:cs="宋体"/>
          <w:b/>
          <w:color w:val="auto"/>
          <w:sz w:val="72"/>
          <w:szCs w:val="72"/>
          <w:highlight w:val="none"/>
        </w:rPr>
      </w:pPr>
    </w:p>
    <w:p w14:paraId="0A00C02F">
      <w:pPr>
        <w:spacing w:beforeLines="100" w:afterLines="50"/>
        <w:jc w:val="center"/>
        <w:rPr>
          <w:rFonts w:ascii="宋体" w:hAnsi="宋体" w:cs="宋体"/>
          <w:color w:val="auto"/>
          <w:highlight w:val="none"/>
        </w:rPr>
      </w:pPr>
    </w:p>
    <w:p w14:paraId="31B62CC6">
      <w:pPr>
        <w:spacing w:beforeLines="100" w:afterLines="50"/>
        <w:jc w:val="center"/>
        <w:rPr>
          <w:rFonts w:ascii="宋体" w:hAnsi="宋体" w:cs="宋体"/>
          <w:b/>
          <w:color w:val="auto"/>
          <w:sz w:val="84"/>
          <w:szCs w:val="84"/>
          <w:highlight w:val="none"/>
        </w:rPr>
      </w:pPr>
    </w:p>
    <w:p w14:paraId="671C5607">
      <w:pPr>
        <w:spacing w:beforeLines="100" w:afterLines="50" w:line="600" w:lineRule="exact"/>
        <w:jc w:val="center"/>
        <w:rPr>
          <w:rFonts w:ascii="宋体" w:hAnsi="宋体" w:cs="宋体"/>
          <w:b/>
          <w:color w:val="auto"/>
          <w:sz w:val="72"/>
          <w:szCs w:val="72"/>
          <w:highlight w:val="none"/>
        </w:rPr>
      </w:pPr>
      <w:r>
        <w:rPr>
          <w:rFonts w:hint="eastAsia" w:ascii="宋体" w:hAnsi="宋体" w:cs="宋体"/>
          <w:b/>
          <w:color w:val="auto"/>
          <w:sz w:val="56"/>
          <w:szCs w:val="56"/>
          <w:highlight w:val="none"/>
        </w:rPr>
        <w:t>竞争性磋商文件</w:t>
      </w:r>
    </w:p>
    <w:p w14:paraId="53A876D5">
      <w:pPr>
        <w:spacing w:beforeLines="100" w:afterLines="50" w:line="60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（全流程电子化评标）</w:t>
      </w:r>
    </w:p>
    <w:p w14:paraId="1A8B3A03">
      <w:pPr>
        <w:spacing w:beforeLines="100" w:afterLines="50"/>
        <w:jc w:val="center"/>
        <w:rPr>
          <w:rFonts w:ascii="宋体" w:hAnsi="宋体" w:cs="宋体"/>
          <w:b/>
          <w:color w:val="auto"/>
          <w:sz w:val="72"/>
          <w:szCs w:val="72"/>
          <w:highlight w:val="none"/>
        </w:rPr>
      </w:pPr>
    </w:p>
    <w:p w14:paraId="7F40A859">
      <w:pPr>
        <w:rPr>
          <w:rFonts w:ascii="宋体" w:hAnsi="宋体" w:cs="宋体"/>
          <w:b/>
          <w:color w:val="auto"/>
          <w:sz w:val="32"/>
          <w:szCs w:val="32"/>
          <w:highlight w:val="none"/>
        </w:rPr>
      </w:pPr>
    </w:p>
    <w:p w14:paraId="512F2F14">
      <w:pPr>
        <w:rPr>
          <w:color w:val="auto"/>
          <w:highlight w:val="none"/>
        </w:rPr>
      </w:pPr>
    </w:p>
    <w:p w14:paraId="6BC1AD6F">
      <w:pPr>
        <w:spacing w:line="600" w:lineRule="auto"/>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FCZC2025-C3-990033-GXQH</w:t>
      </w:r>
    </w:p>
    <w:p w14:paraId="0887C840">
      <w:pPr>
        <w:spacing w:line="60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项目名称:</w:t>
      </w:r>
      <w:r>
        <w:rPr>
          <w:rFonts w:hint="eastAsia"/>
          <w:color w:val="auto"/>
          <w:highlight w:val="none"/>
        </w:rPr>
        <w:t xml:space="preserve"> </w:t>
      </w:r>
      <w:r>
        <w:rPr>
          <w:rFonts w:hint="eastAsia" w:ascii="宋体" w:hAnsi="宋体" w:cs="宋体"/>
          <w:b/>
          <w:color w:val="auto"/>
          <w:sz w:val="32"/>
          <w:szCs w:val="32"/>
          <w:highlight w:val="none"/>
        </w:rPr>
        <w:t>防城港市公安局天网五期项目维护服务采购</w:t>
      </w:r>
    </w:p>
    <w:p w14:paraId="4498E124">
      <w:pPr>
        <w:spacing w:line="600" w:lineRule="auto"/>
        <w:rPr>
          <w:rFonts w:ascii="宋体" w:hAnsi="宋体" w:cs="宋体"/>
          <w:b/>
          <w:color w:val="auto"/>
          <w:sz w:val="32"/>
          <w:szCs w:val="32"/>
          <w:highlight w:val="none"/>
        </w:rPr>
      </w:pPr>
      <w:r>
        <w:rPr>
          <w:rFonts w:hint="eastAsia" w:ascii="宋体" w:hAnsi="宋体" w:cs="宋体"/>
          <w:b/>
          <w:color w:val="auto"/>
          <w:sz w:val="32"/>
          <w:szCs w:val="32"/>
          <w:highlight w:val="none"/>
        </w:rPr>
        <w:t>采购单位:</w:t>
      </w:r>
      <w:r>
        <w:rPr>
          <w:rFonts w:hint="eastAsia" w:hAnsi="宋体" w:cs="宋体"/>
          <w:b/>
          <w:color w:val="auto"/>
          <w:sz w:val="32"/>
          <w:szCs w:val="32"/>
          <w:highlight w:val="none"/>
        </w:rPr>
        <w:t>防城港市公安局</w:t>
      </w:r>
    </w:p>
    <w:p w14:paraId="5C3668BC">
      <w:pPr>
        <w:spacing w:line="600" w:lineRule="auto"/>
        <w:rPr>
          <w:rFonts w:ascii="宋体" w:hAnsi="宋体" w:cs="宋体"/>
          <w:b/>
          <w:color w:val="auto"/>
          <w:sz w:val="32"/>
          <w:szCs w:val="32"/>
          <w:highlight w:val="none"/>
        </w:rPr>
      </w:pPr>
      <w:r>
        <w:rPr>
          <w:rFonts w:hint="eastAsia" w:ascii="宋体" w:hAnsi="宋体" w:cs="宋体"/>
          <w:b/>
          <w:color w:val="auto"/>
          <w:sz w:val="32"/>
          <w:szCs w:val="32"/>
          <w:highlight w:val="none"/>
        </w:rPr>
        <w:t>采购代理机构:广西清蘅建设工程造价咨询有限公司</w:t>
      </w:r>
    </w:p>
    <w:p w14:paraId="51E41218">
      <w:pPr>
        <w:spacing w:line="600" w:lineRule="auto"/>
        <w:rPr>
          <w:rFonts w:ascii="宋体" w:hAnsi="宋体" w:cs="宋体"/>
          <w:b/>
          <w:color w:val="auto"/>
          <w:sz w:val="36"/>
          <w:szCs w:val="36"/>
          <w:highlight w:val="none"/>
        </w:rPr>
      </w:pPr>
      <w:r>
        <w:rPr>
          <w:rFonts w:hint="eastAsia" w:ascii="宋体" w:hAnsi="宋体" w:cs="宋体"/>
          <w:b/>
          <w:color w:val="auto"/>
          <w:sz w:val="32"/>
          <w:szCs w:val="32"/>
          <w:highlight w:val="none"/>
        </w:rPr>
        <w:t>日期：</w:t>
      </w:r>
      <w:r>
        <w:rPr>
          <w:rFonts w:hint="eastAsia" w:ascii="宋体" w:hAnsi="宋体" w:cs="宋体"/>
          <w:b/>
          <w:color w:val="auto"/>
          <w:sz w:val="36"/>
          <w:szCs w:val="36"/>
          <w:highlight w:val="none"/>
        </w:rPr>
        <w:t>二O二五年</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月</w:t>
      </w:r>
    </w:p>
    <w:p w14:paraId="5605C212">
      <w:pPr>
        <w:pStyle w:val="16"/>
        <w:tabs>
          <w:tab w:val="left" w:pos="477"/>
          <w:tab w:val="center" w:pos="4470"/>
        </w:tabs>
        <w:spacing w:line="560" w:lineRule="exact"/>
        <w:jc w:val="center"/>
        <w:rPr>
          <w:rFonts w:hAnsi="宋体" w:cs="宋体"/>
          <w:b/>
          <w:bCs/>
          <w:color w:val="auto"/>
          <w:sz w:val="52"/>
          <w:szCs w:val="52"/>
          <w:highlight w:val="none"/>
        </w:rPr>
      </w:pPr>
    </w:p>
    <w:p w14:paraId="6DB95743">
      <w:pPr>
        <w:spacing w:line="360" w:lineRule="auto"/>
        <w:jc w:val="center"/>
        <w:rPr>
          <w:rFonts w:ascii="宋体" w:hAnsi="宋体" w:cs="宋体"/>
          <w:b/>
          <w:color w:val="auto"/>
          <w:sz w:val="48"/>
          <w:szCs w:val="48"/>
          <w:highlight w:val="none"/>
        </w:rPr>
      </w:pPr>
    </w:p>
    <w:p w14:paraId="3CEA8794">
      <w:pPr>
        <w:spacing w:line="360" w:lineRule="auto"/>
        <w:jc w:val="center"/>
        <w:rPr>
          <w:rFonts w:ascii="宋体" w:hAnsi="宋体" w:cs="宋体"/>
          <w:b/>
          <w:color w:val="auto"/>
          <w:sz w:val="48"/>
          <w:szCs w:val="48"/>
          <w:highlight w:val="none"/>
        </w:rPr>
      </w:pPr>
    </w:p>
    <w:p w14:paraId="51997B8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7880A33">
      <w:pPr>
        <w:pStyle w:val="19"/>
        <w:tabs>
          <w:tab w:val="right" w:leader="dot" w:pos="9643"/>
        </w:tabs>
        <w:rPr>
          <w:color w:val="auto"/>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 TOC \o "1-3" \h \z \u </w:instrText>
      </w:r>
      <w:r>
        <w:rPr>
          <w:rFonts w:hint="eastAsia" w:ascii="宋体" w:hAnsi="宋体" w:cs="宋体"/>
          <w:b/>
          <w:color w:val="auto"/>
          <w:sz w:val="28"/>
          <w:szCs w:val="28"/>
          <w:highlight w:val="none"/>
        </w:rPr>
        <w:fldChar w:fldCharType="separate"/>
      </w:r>
    </w:p>
    <w:p w14:paraId="47EBCBA5">
      <w:pPr>
        <w:pStyle w:val="19"/>
        <w:tabs>
          <w:tab w:val="right" w:leader="dot" w:pos="9643"/>
        </w:tabs>
        <w:spacing w:line="480" w:lineRule="auto"/>
        <w:rPr>
          <w:b/>
          <w:bCs/>
          <w:color w:val="auto"/>
          <w:sz w:val="32"/>
          <w:szCs w:val="40"/>
          <w:highlight w:val="none"/>
        </w:rPr>
      </w:pPr>
      <w:r>
        <w:rPr>
          <w:color w:val="auto"/>
          <w:highlight w:val="none"/>
        </w:rPr>
        <w:fldChar w:fldCharType="begin"/>
      </w:r>
      <w:r>
        <w:rPr>
          <w:color w:val="auto"/>
          <w:highlight w:val="none"/>
        </w:rPr>
        <w:instrText xml:space="preserve"> HYPERLINK \l "_Toc17527" </w:instrText>
      </w:r>
      <w:r>
        <w:rPr>
          <w:color w:val="auto"/>
          <w:highlight w:val="none"/>
        </w:rPr>
        <w:fldChar w:fldCharType="separate"/>
      </w:r>
      <w:r>
        <w:rPr>
          <w:rFonts w:hint="eastAsia" w:ascii="宋体" w:hAnsi="宋体" w:cs="宋体"/>
          <w:b/>
          <w:bCs/>
          <w:color w:val="auto"/>
          <w:sz w:val="32"/>
          <w:szCs w:val="40"/>
          <w:highlight w:val="none"/>
        </w:rPr>
        <w:t>第一章 竞争性磋商公告</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_Toc17527 \h </w:instrText>
      </w:r>
      <w:r>
        <w:rPr>
          <w:b/>
          <w:bCs/>
          <w:color w:val="auto"/>
          <w:sz w:val="32"/>
          <w:szCs w:val="40"/>
          <w:highlight w:val="none"/>
        </w:rPr>
        <w:fldChar w:fldCharType="separate"/>
      </w:r>
      <w:r>
        <w:rPr>
          <w:b/>
          <w:bCs/>
          <w:color w:val="auto"/>
          <w:sz w:val="32"/>
          <w:szCs w:val="40"/>
          <w:highlight w:val="none"/>
        </w:rPr>
        <w:t>1</w:t>
      </w:r>
      <w:r>
        <w:rPr>
          <w:b/>
          <w:bCs/>
          <w:color w:val="auto"/>
          <w:sz w:val="32"/>
          <w:szCs w:val="40"/>
          <w:highlight w:val="none"/>
        </w:rPr>
        <w:fldChar w:fldCharType="end"/>
      </w:r>
      <w:r>
        <w:rPr>
          <w:b/>
          <w:bCs/>
          <w:color w:val="auto"/>
          <w:sz w:val="32"/>
          <w:szCs w:val="40"/>
          <w:highlight w:val="none"/>
        </w:rPr>
        <w:fldChar w:fldCharType="end"/>
      </w:r>
    </w:p>
    <w:p w14:paraId="04CCE858">
      <w:pPr>
        <w:pStyle w:val="19"/>
        <w:tabs>
          <w:tab w:val="right" w:leader="dot" w:pos="9643"/>
        </w:tabs>
        <w:spacing w:line="480" w:lineRule="auto"/>
        <w:rPr>
          <w:b/>
          <w:bCs/>
          <w:color w:val="auto"/>
          <w:sz w:val="32"/>
          <w:szCs w:val="40"/>
          <w:highlight w:val="none"/>
        </w:rPr>
      </w:pPr>
      <w:r>
        <w:rPr>
          <w:color w:val="auto"/>
          <w:highlight w:val="none"/>
        </w:rPr>
        <w:fldChar w:fldCharType="begin"/>
      </w:r>
      <w:r>
        <w:rPr>
          <w:color w:val="auto"/>
          <w:highlight w:val="none"/>
        </w:rPr>
        <w:instrText xml:space="preserve"> HYPERLINK \l "_Toc32283" </w:instrText>
      </w:r>
      <w:r>
        <w:rPr>
          <w:color w:val="auto"/>
          <w:highlight w:val="none"/>
        </w:rPr>
        <w:fldChar w:fldCharType="separate"/>
      </w:r>
      <w:r>
        <w:rPr>
          <w:rFonts w:hint="eastAsia" w:ascii="宋体" w:hAnsi="宋体" w:cs="宋体"/>
          <w:b/>
          <w:bCs/>
          <w:color w:val="auto"/>
          <w:sz w:val="32"/>
          <w:szCs w:val="48"/>
          <w:highlight w:val="none"/>
        </w:rPr>
        <w:t>第二章 采购需求</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_Toc32283 \h </w:instrText>
      </w:r>
      <w:r>
        <w:rPr>
          <w:b/>
          <w:bCs/>
          <w:color w:val="auto"/>
          <w:sz w:val="32"/>
          <w:szCs w:val="40"/>
          <w:highlight w:val="none"/>
        </w:rPr>
        <w:fldChar w:fldCharType="separate"/>
      </w:r>
      <w:r>
        <w:rPr>
          <w:b/>
          <w:bCs/>
          <w:color w:val="auto"/>
          <w:sz w:val="32"/>
          <w:szCs w:val="40"/>
          <w:highlight w:val="none"/>
        </w:rPr>
        <w:t>4</w:t>
      </w:r>
      <w:r>
        <w:rPr>
          <w:b/>
          <w:bCs/>
          <w:color w:val="auto"/>
          <w:sz w:val="32"/>
          <w:szCs w:val="40"/>
          <w:highlight w:val="none"/>
        </w:rPr>
        <w:fldChar w:fldCharType="end"/>
      </w:r>
      <w:r>
        <w:rPr>
          <w:b/>
          <w:bCs/>
          <w:color w:val="auto"/>
          <w:sz w:val="32"/>
          <w:szCs w:val="40"/>
          <w:highlight w:val="none"/>
        </w:rPr>
        <w:fldChar w:fldCharType="end"/>
      </w:r>
    </w:p>
    <w:p w14:paraId="71D0642B">
      <w:pPr>
        <w:pStyle w:val="19"/>
        <w:tabs>
          <w:tab w:val="right" w:leader="dot" w:pos="9643"/>
        </w:tabs>
        <w:spacing w:line="480" w:lineRule="auto"/>
        <w:rPr>
          <w:b/>
          <w:bCs/>
          <w:color w:val="auto"/>
          <w:sz w:val="32"/>
          <w:szCs w:val="40"/>
          <w:highlight w:val="none"/>
        </w:rPr>
      </w:pPr>
      <w:r>
        <w:rPr>
          <w:color w:val="auto"/>
          <w:highlight w:val="none"/>
        </w:rPr>
        <w:fldChar w:fldCharType="begin"/>
      </w:r>
      <w:r>
        <w:rPr>
          <w:color w:val="auto"/>
          <w:highlight w:val="none"/>
        </w:rPr>
        <w:instrText xml:space="preserve"> HYPERLINK \l "_Toc31789" </w:instrText>
      </w:r>
      <w:r>
        <w:rPr>
          <w:color w:val="auto"/>
          <w:highlight w:val="none"/>
        </w:rPr>
        <w:fldChar w:fldCharType="separate"/>
      </w:r>
      <w:r>
        <w:rPr>
          <w:rFonts w:hint="eastAsia" w:ascii="宋体" w:hAnsi="宋体" w:cs="宋体"/>
          <w:b/>
          <w:bCs/>
          <w:color w:val="auto"/>
          <w:sz w:val="32"/>
          <w:szCs w:val="48"/>
          <w:highlight w:val="none"/>
        </w:rPr>
        <w:t>第三章 供应商须知</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_Toc31789 \h </w:instrText>
      </w:r>
      <w:r>
        <w:rPr>
          <w:b/>
          <w:bCs/>
          <w:color w:val="auto"/>
          <w:sz w:val="32"/>
          <w:szCs w:val="40"/>
          <w:highlight w:val="none"/>
        </w:rPr>
        <w:fldChar w:fldCharType="separate"/>
      </w:r>
      <w:r>
        <w:rPr>
          <w:b/>
          <w:bCs/>
          <w:color w:val="auto"/>
          <w:sz w:val="32"/>
          <w:szCs w:val="40"/>
          <w:highlight w:val="none"/>
        </w:rPr>
        <w:t>11</w:t>
      </w:r>
      <w:r>
        <w:rPr>
          <w:b/>
          <w:bCs/>
          <w:color w:val="auto"/>
          <w:sz w:val="32"/>
          <w:szCs w:val="40"/>
          <w:highlight w:val="none"/>
        </w:rPr>
        <w:fldChar w:fldCharType="end"/>
      </w:r>
      <w:r>
        <w:rPr>
          <w:b/>
          <w:bCs/>
          <w:color w:val="auto"/>
          <w:sz w:val="32"/>
          <w:szCs w:val="40"/>
          <w:highlight w:val="none"/>
        </w:rPr>
        <w:fldChar w:fldCharType="end"/>
      </w:r>
    </w:p>
    <w:p w14:paraId="3FAC1BF2">
      <w:pPr>
        <w:pStyle w:val="19"/>
        <w:tabs>
          <w:tab w:val="right" w:leader="dot" w:pos="9643"/>
        </w:tabs>
        <w:spacing w:line="480" w:lineRule="auto"/>
        <w:rPr>
          <w:b/>
          <w:bCs/>
          <w:color w:val="auto"/>
          <w:sz w:val="32"/>
          <w:szCs w:val="40"/>
          <w:highlight w:val="none"/>
        </w:rPr>
      </w:pPr>
      <w:r>
        <w:rPr>
          <w:color w:val="auto"/>
          <w:highlight w:val="none"/>
        </w:rPr>
        <w:fldChar w:fldCharType="begin"/>
      </w:r>
      <w:r>
        <w:rPr>
          <w:color w:val="auto"/>
          <w:highlight w:val="none"/>
        </w:rPr>
        <w:instrText xml:space="preserve"> HYPERLINK \l "_Toc5544" </w:instrText>
      </w:r>
      <w:r>
        <w:rPr>
          <w:color w:val="auto"/>
          <w:highlight w:val="none"/>
        </w:rPr>
        <w:fldChar w:fldCharType="separate"/>
      </w:r>
      <w:r>
        <w:rPr>
          <w:rFonts w:hint="eastAsia" w:ascii="宋体" w:hAnsi="宋体" w:cs="宋体"/>
          <w:b/>
          <w:bCs/>
          <w:color w:val="auto"/>
          <w:sz w:val="32"/>
          <w:szCs w:val="40"/>
          <w:highlight w:val="none"/>
        </w:rPr>
        <w:t>第四章 评审程序、评审方法和评审标准</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_Toc5544 \h </w:instrText>
      </w:r>
      <w:r>
        <w:rPr>
          <w:b/>
          <w:bCs/>
          <w:color w:val="auto"/>
          <w:sz w:val="32"/>
          <w:szCs w:val="40"/>
          <w:highlight w:val="none"/>
        </w:rPr>
        <w:fldChar w:fldCharType="separate"/>
      </w:r>
      <w:r>
        <w:rPr>
          <w:b/>
          <w:bCs/>
          <w:color w:val="auto"/>
          <w:sz w:val="32"/>
          <w:szCs w:val="40"/>
          <w:highlight w:val="none"/>
        </w:rPr>
        <w:t>28</w:t>
      </w:r>
      <w:r>
        <w:rPr>
          <w:b/>
          <w:bCs/>
          <w:color w:val="auto"/>
          <w:sz w:val="32"/>
          <w:szCs w:val="40"/>
          <w:highlight w:val="none"/>
        </w:rPr>
        <w:fldChar w:fldCharType="end"/>
      </w:r>
      <w:r>
        <w:rPr>
          <w:b/>
          <w:bCs/>
          <w:color w:val="auto"/>
          <w:sz w:val="32"/>
          <w:szCs w:val="40"/>
          <w:highlight w:val="none"/>
        </w:rPr>
        <w:fldChar w:fldCharType="end"/>
      </w:r>
    </w:p>
    <w:p w14:paraId="48F16698">
      <w:pPr>
        <w:pStyle w:val="19"/>
        <w:tabs>
          <w:tab w:val="right" w:leader="dot" w:pos="9643"/>
        </w:tabs>
        <w:spacing w:line="480" w:lineRule="auto"/>
        <w:rPr>
          <w:b/>
          <w:bCs/>
          <w:color w:val="auto"/>
          <w:sz w:val="32"/>
          <w:szCs w:val="40"/>
          <w:highlight w:val="none"/>
        </w:rPr>
      </w:pPr>
      <w:r>
        <w:rPr>
          <w:color w:val="auto"/>
          <w:highlight w:val="none"/>
        </w:rPr>
        <w:fldChar w:fldCharType="begin"/>
      </w:r>
      <w:r>
        <w:rPr>
          <w:color w:val="auto"/>
          <w:highlight w:val="none"/>
        </w:rPr>
        <w:instrText xml:space="preserve"> HYPERLINK \l "_Toc2137" </w:instrText>
      </w:r>
      <w:r>
        <w:rPr>
          <w:color w:val="auto"/>
          <w:highlight w:val="none"/>
        </w:rPr>
        <w:fldChar w:fldCharType="separate"/>
      </w:r>
      <w:r>
        <w:rPr>
          <w:rFonts w:hint="eastAsia" w:ascii="宋体" w:hAnsi="宋体" w:cs="宋体"/>
          <w:b/>
          <w:bCs/>
          <w:color w:val="auto"/>
          <w:sz w:val="32"/>
          <w:szCs w:val="40"/>
          <w:highlight w:val="none"/>
        </w:rPr>
        <w:t>第五章 响应文件格式</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_Toc2137 \h </w:instrText>
      </w:r>
      <w:r>
        <w:rPr>
          <w:b/>
          <w:bCs/>
          <w:color w:val="auto"/>
          <w:sz w:val="32"/>
          <w:szCs w:val="40"/>
          <w:highlight w:val="none"/>
        </w:rPr>
        <w:fldChar w:fldCharType="separate"/>
      </w:r>
      <w:r>
        <w:rPr>
          <w:b/>
          <w:bCs/>
          <w:color w:val="auto"/>
          <w:sz w:val="32"/>
          <w:szCs w:val="40"/>
          <w:highlight w:val="none"/>
        </w:rPr>
        <w:t>37</w:t>
      </w:r>
      <w:r>
        <w:rPr>
          <w:b/>
          <w:bCs/>
          <w:color w:val="auto"/>
          <w:sz w:val="32"/>
          <w:szCs w:val="40"/>
          <w:highlight w:val="none"/>
        </w:rPr>
        <w:fldChar w:fldCharType="end"/>
      </w:r>
      <w:r>
        <w:rPr>
          <w:b/>
          <w:bCs/>
          <w:color w:val="auto"/>
          <w:sz w:val="32"/>
          <w:szCs w:val="40"/>
          <w:highlight w:val="none"/>
        </w:rPr>
        <w:fldChar w:fldCharType="end"/>
      </w:r>
    </w:p>
    <w:p w14:paraId="6F3F9D97">
      <w:pPr>
        <w:pStyle w:val="19"/>
        <w:tabs>
          <w:tab w:val="right" w:leader="dot" w:pos="9643"/>
        </w:tabs>
        <w:spacing w:line="480" w:lineRule="auto"/>
        <w:rPr>
          <w:b/>
          <w:bCs/>
          <w:color w:val="auto"/>
          <w:sz w:val="32"/>
          <w:szCs w:val="40"/>
          <w:highlight w:val="none"/>
        </w:rPr>
      </w:pPr>
      <w:r>
        <w:rPr>
          <w:color w:val="auto"/>
          <w:highlight w:val="none"/>
        </w:rPr>
        <w:fldChar w:fldCharType="begin"/>
      </w:r>
      <w:r>
        <w:rPr>
          <w:color w:val="auto"/>
          <w:highlight w:val="none"/>
        </w:rPr>
        <w:instrText xml:space="preserve"> HYPERLINK \l "_Toc20818" </w:instrText>
      </w:r>
      <w:r>
        <w:rPr>
          <w:color w:val="auto"/>
          <w:highlight w:val="none"/>
        </w:rPr>
        <w:fldChar w:fldCharType="separate"/>
      </w:r>
      <w:r>
        <w:rPr>
          <w:rFonts w:hint="eastAsia" w:ascii="宋体" w:hAnsi="宋体" w:cs="宋体"/>
          <w:b/>
          <w:bCs/>
          <w:color w:val="auto"/>
          <w:sz w:val="32"/>
          <w:szCs w:val="40"/>
          <w:highlight w:val="none"/>
        </w:rPr>
        <w:t>第六章 合同文本</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_Toc20818 \h </w:instrText>
      </w:r>
      <w:r>
        <w:rPr>
          <w:b/>
          <w:bCs/>
          <w:color w:val="auto"/>
          <w:sz w:val="32"/>
          <w:szCs w:val="40"/>
          <w:highlight w:val="none"/>
        </w:rPr>
        <w:fldChar w:fldCharType="separate"/>
      </w:r>
      <w:r>
        <w:rPr>
          <w:b/>
          <w:bCs/>
          <w:color w:val="auto"/>
          <w:sz w:val="32"/>
          <w:szCs w:val="40"/>
          <w:highlight w:val="none"/>
        </w:rPr>
        <w:t>65</w:t>
      </w:r>
      <w:r>
        <w:rPr>
          <w:b/>
          <w:bCs/>
          <w:color w:val="auto"/>
          <w:sz w:val="32"/>
          <w:szCs w:val="40"/>
          <w:highlight w:val="none"/>
        </w:rPr>
        <w:fldChar w:fldCharType="end"/>
      </w:r>
      <w:r>
        <w:rPr>
          <w:b/>
          <w:bCs/>
          <w:color w:val="auto"/>
          <w:sz w:val="32"/>
          <w:szCs w:val="40"/>
          <w:highlight w:val="none"/>
        </w:rPr>
        <w:fldChar w:fldCharType="end"/>
      </w:r>
    </w:p>
    <w:p w14:paraId="75F4FC4E">
      <w:pPr>
        <w:pStyle w:val="15"/>
        <w:tabs>
          <w:tab w:val="right" w:leader="dot" w:pos="9643"/>
        </w:tabs>
        <w:spacing w:line="480" w:lineRule="auto"/>
        <w:rPr>
          <w:b/>
          <w:bCs/>
          <w:color w:val="auto"/>
          <w:sz w:val="32"/>
          <w:szCs w:val="40"/>
          <w:highlight w:val="none"/>
        </w:rPr>
      </w:pPr>
    </w:p>
    <w:p w14:paraId="400D711E">
      <w:pPr>
        <w:pStyle w:val="19"/>
        <w:tabs>
          <w:tab w:val="right" w:leader="dot" w:pos="9643"/>
        </w:tabs>
        <w:spacing w:line="480" w:lineRule="auto"/>
        <w:rPr>
          <w:rFonts w:ascii="宋体" w:hAnsi="宋体" w:cs="宋体"/>
          <w:b/>
          <w:color w:val="auto"/>
          <w:sz w:val="28"/>
          <w:szCs w:val="28"/>
          <w:highlight w:val="none"/>
        </w:rPr>
      </w:pPr>
      <w:r>
        <w:rPr>
          <w:rFonts w:hint="eastAsia" w:ascii="宋体" w:hAnsi="宋体" w:cs="宋体"/>
          <w:color w:val="auto"/>
          <w:szCs w:val="28"/>
          <w:highlight w:val="none"/>
        </w:rPr>
        <w:fldChar w:fldCharType="end"/>
      </w:r>
    </w:p>
    <w:p w14:paraId="09F8C844">
      <w:pPr>
        <w:spacing w:line="360" w:lineRule="auto"/>
        <w:jc w:val="center"/>
        <w:rPr>
          <w:rFonts w:ascii="宋体" w:hAnsi="宋体" w:cs="宋体"/>
          <w:b/>
          <w:color w:val="auto"/>
          <w:sz w:val="96"/>
          <w:szCs w:val="96"/>
          <w:highlight w:val="none"/>
        </w:rPr>
      </w:pPr>
    </w:p>
    <w:p w14:paraId="092F8F2E">
      <w:pPr>
        <w:spacing w:line="360" w:lineRule="auto"/>
        <w:jc w:val="center"/>
        <w:rPr>
          <w:rFonts w:ascii="宋体" w:hAnsi="宋体" w:cs="宋体"/>
          <w:b/>
          <w:color w:val="auto"/>
          <w:sz w:val="48"/>
          <w:szCs w:val="48"/>
          <w:highlight w:val="none"/>
        </w:rPr>
      </w:pPr>
    </w:p>
    <w:p w14:paraId="3F931492">
      <w:pPr>
        <w:spacing w:line="400" w:lineRule="exact"/>
        <w:jc w:val="center"/>
        <w:rPr>
          <w:rFonts w:ascii="宋体" w:hAnsi="宋体" w:cs="宋体"/>
          <w:b/>
          <w:color w:val="auto"/>
          <w:sz w:val="32"/>
          <w:szCs w:val="32"/>
          <w:highlight w:val="none"/>
        </w:rPr>
      </w:pPr>
    </w:p>
    <w:p w14:paraId="442B1954">
      <w:pPr>
        <w:spacing w:line="400" w:lineRule="exact"/>
        <w:jc w:val="center"/>
        <w:rPr>
          <w:rFonts w:ascii="宋体" w:hAnsi="宋体" w:cs="宋体"/>
          <w:b/>
          <w:color w:val="auto"/>
          <w:sz w:val="32"/>
          <w:szCs w:val="32"/>
          <w:highlight w:val="none"/>
        </w:rPr>
      </w:pPr>
    </w:p>
    <w:p w14:paraId="14D3EDB0">
      <w:pPr>
        <w:spacing w:line="400" w:lineRule="exact"/>
        <w:rPr>
          <w:rFonts w:ascii="宋体" w:hAnsi="宋体" w:cs="宋体"/>
          <w:b/>
          <w:color w:val="auto"/>
          <w:sz w:val="32"/>
          <w:szCs w:val="32"/>
          <w:highlight w:val="none"/>
        </w:rPr>
        <w:sectPr>
          <w:footerReference r:id="rId3" w:type="default"/>
          <w:pgSz w:w="11911" w:h="16838"/>
          <w:pgMar w:top="1134" w:right="1134" w:bottom="1134" w:left="1134" w:header="720" w:footer="720" w:gutter="0"/>
          <w:pgNumType w:start="1"/>
          <w:cols w:space="720" w:num="1"/>
          <w:docGrid w:linePitch="312" w:charSpace="0"/>
        </w:sectPr>
      </w:pPr>
    </w:p>
    <w:p w14:paraId="4F59E524">
      <w:pPr>
        <w:pStyle w:val="2"/>
        <w:numPr>
          <w:ilvl w:val="0"/>
          <w:numId w:val="2"/>
        </w:numPr>
        <w:spacing w:line="360" w:lineRule="auto"/>
        <w:jc w:val="center"/>
        <w:rPr>
          <w:rFonts w:hint="eastAsia" w:ascii="宋体" w:hAnsi="宋体" w:cs="宋体"/>
          <w:color w:val="auto"/>
          <w:highlight w:val="none"/>
        </w:rPr>
      </w:pPr>
      <w:bookmarkStart w:id="0" w:name="_Toc18838"/>
      <w:bookmarkStart w:id="1" w:name="_Toc11989"/>
      <w:bookmarkStart w:id="2" w:name="_Toc32264"/>
      <w:bookmarkStart w:id="3" w:name="_Toc80886925"/>
      <w:bookmarkStart w:id="4" w:name="_Toc15624"/>
      <w:bookmarkStart w:id="5" w:name="_Toc17527"/>
      <w:bookmarkStart w:id="6" w:name="_Toc12242"/>
      <w:bookmarkStart w:id="7" w:name="_Toc27000"/>
      <w:bookmarkStart w:id="8" w:name="_Toc11382"/>
      <w:r>
        <w:rPr>
          <w:rFonts w:hint="eastAsia" w:ascii="宋体" w:hAnsi="宋体" w:cs="宋体"/>
          <w:color w:val="auto"/>
          <w:highlight w:val="none"/>
        </w:rPr>
        <w:t>竞争性磋商公告</w:t>
      </w:r>
      <w:bookmarkEnd w:id="0"/>
      <w:bookmarkEnd w:id="1"/>
      <w:bookmarkEnd w:id="2"/>
      <w:bookmarkEnd w:id="3"/>
      <w:bookmarkEnd w:id="4"/>
      <w:bookmarkEnd w:id="5"/>
      <w:bookmarkEnd w:id="6"/>
      <w:bookmarkEnd w:id="7"/>
      <w:bookmarkEnd w:id="8"/>
      <w:bookmarkStart w:id="9" w:name="_Toc28359012"/>
      <w:bookmarkStart w:id="10" w:name="_Toc28359089"/>
      <w:bookmarkStart w:id="11" w:name="_Toc35393629"/>
      <w:bookmarkStart w:id="12" w:name="_Toc35393798"/>
      <w:bookmarkStart w:id="13" w:name="_Toc44229878"/>
      <w:bookmarkStart w:id="14" w:name="_Toc35393623"/>
      <w:bookmarkStart w:id="15" w:name="_Toc35393792"/>
      <w:bookmarkStart w:id="16" w:name="_Toc28359081"/>
      <w:bookmarkStart w:id="17" w:name="_Toc28359004"/>
    </w:p>
    <w:p w14:paraId="1DADF44E">
      <w:pPr>
        <w:numPr>
          <w:ilvl w:val="0"/>
          <w:numId w:val="0"/>
        </w:numPr>
        <w:rPr>
          <w:rFonts w:hint="eastAsia"/>
          <w:b/>
          <w:bCs/>
          <w:color w:val="auto"/>
          <w:sz w:val="36"/>
          <w:szCs w:val="36"/>
          <w:highlight w:val="none"/>
        </w:rPr>
      </w:pPr>
      <w:r>
        <w:rPr>
          <w:rFonts w:hint="eastAsia"/>
          <w:b/>
          <w:bCs/>
          <w:color w:val="auto"/>
          <w:sz w:val="36"/>
          <w:szCs w:val="36"/>
          <w:highlight w:val="none"/>
        </w:rPr>
        <w:t>防城港市公安局天网五期项目维护服务采购竞争性磋商公告</w:t>
      </w:r>
    </w:p>
    <w:p w14:paraId="32F2B49C">
      <w:pPr>
        <w:numPr>
          <w:ilvl w:val="0"/>
          <w:numId w:val="0"/>
        </w:numPr>
        <w:rPr>
          <w:rFonts w:hint="eastAsia"/>
          <w:color w:val="auto"/>
          <w:sz w:val="36"/>
          <w:szCs w:val="36"/>
          <w:highlight w:val="none"/>
        </w:rPr>
      </w:pPr>
    </w:p>
    <w:tbl>
      <w:tblPr>
        <w:tblStyle w:val="23"/>
        <w:tblW w:w="9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14:paraId="7F5F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7" w:type="dxa"/>
            <w:noWrap/>
          </w:tcPr>
          <w:p w14:paraId="48D2BB1E">
            <w:pPr>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p w14:paraId="389EA4E5">
            <w:pPr>
              <w:pStyle w:val="9"/>
              <w:spacing w:line="360" w:lineRule="auto"/>
              <w:ind w:firstLine="210" w:firstLineChars="100"/>
              <w:rPr>
                <w:rFonts w:ascii="宋体" w:hAnsi="宋体" w:cs="宋体"/>
                <w:bCs/>
                <w:color w:val="auto"/>
                <w:sz w:val="24"/>
                <w:highlight w:val="none"/>
              </w:rPr>
            </w:pPr>
            <w:r>
              <w:rPr>
                <w:rFonts w:hint="eastAsia" w:ascii="宋体" w:hAnsi="宋体" w:cs="宋体"/>
                <w:color w:val="auto"/>
                <w:szCs w:val="21"/>
                <w:highlight w:val="none"/>
                <w:lang w:eastAsia="zh-CN"/>
              </w:rPr>
              <w:t>防城港市公安局天网五期项目维护服务采购</w:t>
            </w:r>
            <w:r>
              <w:rPr>
                <w:rFonts w:hint="eastAsia" w:ascii="宋体" w:hAnsi="宋体" w:cs="宋体"/>
                <w:color w:val="auto"/>
                <w:szCs w:val="21"/>
                <w:highlight w:val="none"/>
              </w:rPr>
              <w:t>项目的潜在供应商应在广西政府采购云平台获取采购文件，并于2025年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点</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分（北京时间）前提交响应文件。</w:t>
            </w:r>
          </w:p>
        </w:tc>
      </w:tr>
    </w:tbl>
    <w:p w14:paraId="2B80103A">
      <w:pPr>
        <w:spacing w:line="360" w:lineRule="auto"/>
        <w:ind w:firstLine="480" w:firstLineChars="200"/>
        <w:rPr>
          <w:rFonts w:ascii="宋体" w:hAnsi="宋体" w:cs="宋体"/>
          <w:bCs/>
          <w:color w:val="auto"/>
          <w:sz w:val="24"/>
          <w:highlight w:val="none"/>
        </w:rPr>
      </w:pPr>
    </w:p>
    <w:p w14:paraId="27B452F4">
      <w:pPr>
        <w:spacing w:line="360" w:lineRule="auto"/>
        <w:ind w:firstLine="480" w:firstLineChars="200"/>
        <w:outlineLvl w:val="1"/>
        <w:rPr>
          <w:rFonts w:ascii="宋体" w:hAnsi="宋体" w:cs="宋体"/>
          <w:color w:val="auto"/>
          <w:highlight w:val="none"/>
        </w:rPr>
      </w:pPr>
      <w:bookmarkStart w:id="18" w:name="_Toc25880"/>
      <w:r>
        <w:rPr>
          <w:rFonts w:hint="eastAsia" w:ascii="宋体" w:hAnsi="宋体" w:cs="宋体"/>
          <w:bCs/>
          <w:color w:val="auto"/>
          <w:sz w:val="24"/>
          <w:highlight w:val="none"/>
        </w:rPr>
        <w:t>一、项目基本情况</w:t>
      </w:r>
      <w:bookmarkEnd w:id="9"/>
      <w:bookmarkEnd w:id="10"/>
      <w:bookmarkEnd w:id="11"/>
      <w:bookmarkEnd w:id="12"/>
      <w:bookmarkEnd w:id="13"/>
      <w:bookmarkEnd w:id="18"/>
    </w:p>
    <w:p w14:paraId="27D1153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FCZC2025-C3-990033-GXQH</w:t>
      </w:r>
    </w:p>
    <w:p w14:paraId="3FD61A0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防城港市公安局天网五期项目维护服务采购</w:t>
      </w:r>
    </w:p>
    <w:p w14:paraId="6EE2F7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 竞争性谈判 ☑竞争性磋商 □询价</w:t>
      </w:r>
    </w:p>
    <w:p w14:paraId="67AD1F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预算金额：玖拾肆万玖仟陆佰叁拾叁元贰角肆分（¥949633.24）</w:t>
      </w:r>
    </w:p>
    <w:p w14:paraId="22EEFB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最高限价：玖拾肆万玖仟陆佰叁拾叁元贰角肆分（¥949633.24）</w:t>
      </w:r>
    </w:p>
    <w:p w14:paraId="720C22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采购需求：前端视频监控点维护1项，新增前端视频监控智能感知1项，具体内容详见竞争性磋商文件。</w:t>
      </w:r>
    </w:p>
    <w:p w14:paraId="265F84C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合同履行期限：1年（项目验收合格后之日起）</w:t>
      </w:r>
    </w:p>
    <w:p w14:paraId="072FED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i/>
          <w:iCs/>
          <w:color w:val="auto"/>
          <w:szCs w:val="21"/>
          <w:highlight w:val="none"/>
        </w:rPr>
        <w:t>是/否</w:t>
      </w:r>
      <w:r>
        <w:rPr>
          <w:rFonts w:hint="eastAsia" w:ascii="宋体" w:hAnsi="宋体" w:cs="宋体"/>
          <w:color w:val="auto"/>
          <w:szCs w:val="21"/>
          <w:highlight w:val="none"/>
        </w:rPr>
        <w:t>）接受联合体：□是/☑否。</w:t>
      </w:r>
    </w:p>
    <w:p w14:paraId="55BFBD9A">
      <w:pPr>
        <w:spacing w:line="360" w:lineRule="auto"/>
        <w:ind w:firstLine="482" w:firstLineChars="200"/>
        <w:outlineLvl w:val="1"/>
        <w:rPr>
          <w:rFonts w:ascii="宋体" w:hAnsi="宋体" w:cs="宋体"/>
          <w:bCs/>
          <w:color w:val="auto"/>
          <w:sz w:val="24"/>
          <w:highlight w:val="none"/>
        </w:rPr>
      </w:pPr>
      <w:bookmarkStart w:id="19" w:name="_Toc35393630"/>
      <w:bookmarkStart w:id="20" w:name="_Toc28359013"/>
      <w:bookmarkStart w:id="21" w:name="_Toc44229879"/>
      <w:bookmarkStart w:id="22" w:name="_Toc35393799"/>
      <w:bookmarkStart w:id="23" w:name="_Toc28359090"/>
      <w:bookmarkStart w:id="24" w:name="_Toc1033"/>
      <w:r>
        <w:rPr>
          <w:rFonts w:hint="eastAsia" w:ascii="宋体" w:hAnsi="宋体" w:cs="宋体"/>
          <w:b/>
          <w:color w:val="auto"/>
          <w:kern w:val="44"/>
          <w:sz w:val="24"/>
          <w:highlight w:val="none"/>
        </w:rPr>
        <w:t>二、申请人的资格</w:t>
      </w:r>
      <w:bookmarkEnd w:id="19"/>
      <w:bookmarkEnd w:id="20"/>
      <w:bookmarkEnd w:id="21"/>
      <w:bookmarkEnd w:id="22"/>
      <w:bookmarkEnd w:id="23"/>
      <w:r>
        <w:rPr>
          <w:rFonts w:hint="eastAsia" w:ascii="宋体" w:hAnsi="宋体" w:cs="宋体"/>
          <w:b/>
          <w:color w:val="auto"/>
          <w:kern w:val="44"/>
          <w:sz w:val="24"/>
          <w:highlight w:val="none"/>
        </w:rPr>
        <w:t>要求</w:t>
      </w:r>
      <w:bookmarkEnd w:id="24"/>
    </w:p>
    <w:p w14:paraId="39195C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5BA7B64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val="en-US" w:eastAsia="zh-CN"/>
        </w:rPr>
        <w:t>无</w:t>
      </w:r>
    </w:p>
    <w:p w14:paraId="2CD82E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国内注册（指按国家有关规定要求注册的），生产或经营本次采购项目的供应商，根据《中华人民政府采购法实施条例》释义，银行、保险、石油石化、电力、电信等行业可以由分公司投标</w:t>
      </w:r>
      <w:r>
        <w:rPr>
          <w:rFonts w:hint="eastAsia" w:ascii="宋体" w:hAnsi="宋体" w:cs="宋体"/>
          <w:i/>
          <w:iCs/>
          <w:color w:val="auto"/>
          <w:szCs w:val="21"/>
          <w:highlight w:val="none"/>
        </w:rPr>
        <w:t>。</w:t>
      </w:r>
    </w:p>
    <w:p w14:paraId="3E6144D7">
      <w:pPr>
        <w:spacing w:line="360" w:lineRule="auto"/>
        <w:ind w:firstLine="482" w:firstLineChars="200"/>
        <w:outlineLvl w:val="1"/>
        <w:rPr>
          <w:rFonts w:ascii="宋体" w:hAnsi="宋体" w:cs="宋体"/>
          <w:b/>
          <w:bCs/>
          <w:color w:val="auto"/>
          <w:sz w:val="24"/>
          <w:highlight w:val="none"/>
        </w:rPr>
      </w:pPr>
      <w:bookmarkStart w:id="25" w:name="_Toc24550"/>
      <w:r>
        <w:rPr>
          <w:rFonts w:hint="eastAsia" w:ascii="宋体" w:hAnsi="宋体" w:cs="宋体"/>
          <w:b/>
          <w:bCs/>
          <w:color w:val="auto"/>
          <w:sz w:val="24"/>
          <w:highlight w:val="none"/>
        </w:rPr>
        <w:t>三、获取采购文件</w:t>
      </w:r>
      <w:bookmarkEnd w:id="14"/>
      <w:bookmarkEnd w:id="15"/>
      <w:bookmarkEnd w:id="16"/>
      <w:bookmarkEnd w:id="17"/>
      <w:bookmarkEnd w:id="25"/>
    </w:p>
    <w:p w14:paraId="3B3ACA70">
      <w:pPr>
        <w:spacing w:line="360" w:lineRule="auto"/>
        <w:ind w:firstLine="420" w:firstLineChars="200"/>
        <w:rPr>
          <w:rFonts w:ascii="宋体" w:hAnsi="宋体" w:cs="宋体"/>
          <w:color w:val="auto"/>
          <w:szCs w:val="21"/>
          <w:highlight w:val="none"/>
        </w:rPr>
      </w:pPr>
      <w:bookmarkStart w:id="26" w:name="_Toc28359005"/>
      <w:bookmarkStart w:id="27" w:name="_Toc28359082"/>
      <w:bookmarkStart w:id="28" w:name="_Toc35393793"/>
      <w:bookmarkStart w:id="29" w:name="_Toc35393624"/>
      <w:r>
        <w:rPr>
          <w:rFonts w:hint="eastAsia" w:ascii="宋体" w:hAnsi="宋体" w:cs="宋体"/>
          <w:color w:val="auto"/>
          <w:szCs w:val="21"/>
          <w:highlight w:val="none"/>
        </w:rPr>
        <w:t>时间：</w:t>
      </w:r>
      <w:r>
        <w:rPr>
          <w:rFonts w:hint="eastAsia" w:ascii="宋体" w:hAnsi="宋体" w:cs="宋体"/>
          <w:bCs/>
          <w:color w:val="auto"/>
          <w:kern w:val="0"/>
          <w:szCs w:val="21"/>
          <w:highlight w:val="none"/>
          <w:u w:val="single"/>
        </w:rPr>
        <w:t>2025年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19</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2025年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26</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9:00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15:00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18:00</w:t>
      </w:r>
      <w:r>
        <w:rPr>
          <w:rFonts w:hint="eastAsia" w:ascii="宋体" w:hAnsi="宋体" w:cs="宋体"/>
          <w:bCs/>
          <w:color w:val="auto"/>
          <w:kern w:val="0"/>
          <w:szCs w:val="21"/>
          <w:highlight w:val="none"/>
        </w:rPr>
        <w:t>（北京时间，法定节假日除外）</w:t>
      </w:r>
      <w:r>
        <w:rPr>
          <w:rFonts w:hint="eastAsia" w:ascii="宋体" w:hAnsi="宋体" w:cs="宋体"/>
          <w:color w:val="auto"/>
          <w:szCs w:val="21"/>
          <w:highlight w:val="none"/>
        </w:rPr>
        <w:t>。</w:t>
      </w:r>
    </w:p>
    <w:p w14:paraId="17AB1C57">
      <w:pPr>
        <w:pStyle w:val="9"/>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地点（网址）：</w:t>
      </w:r>
      <w:r>
        <w:rPr>
          <w:rFonts w:hint="eastAsia" w:ascii="宋体" w:hAnsi="宋体" w:cs="宋体"/>
          <w:color w:val="auto"/>
          <w:szCs w:val="21"/>
          <w:highlight w:val="none"/>
        </w:rPr>
        <w:t>广西政府采购云平台</w:t>
      </w:r>
    </w:p>
    <w:p w14:paraId="74D51B5E">
      <w:pPr>
        <w:pStyle w:val="9"/>
        <w:spacing w:line="360" w:lineRule="auto"/>
        <w:rPr>
          <w:rFonts w:ascii="宋体" w:hAnsi="宋体" w:cs="宋体"/>
          <w:b/>
          <w:bCs/>
          <w:color w:val="auto"/>
          <w:sz w:val="24"/>
          <w:highlight w:val="none"/>
        </w:rPr>
      </w:pPr>
      <w:r>
        <w:rPr>
          <w:rFonts w:hint="eastAsia" w:ascii="宋体" w:hAnsi="宋体" w:cs="宋体"/>
          <w:color w:val="auto"/>
          <w:szCs w:val="21"/>
          <w:highlight w:val="none"/>
        </w:rPr>
        <w:t>　　方式：网上下载。本项目不发放纸质采购文件，潜在供应商可自行在广西政府采购云平台下载采购文件（操作路径：登录广西政府采购云平台-项目采购-获取采购文件-找到本项目-点击“申请获取采购文件”），电子响应文件制作需要基于广西政府采购云平台获取的采购文件编制。</w:t>
      </w:r>
    </w:p>
    <w:p w14:paraId="4A710F2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售价：人民币0元。</w:t>
      </w:r>
    </w:p>
    <w:p w14:paraId="1F184FE4">
      <w:pPr>
        <w:spacing w:line="360" w:lineRule="auto"/>
        <w:ind w:firstLine="482" w:firstLineChars="200"/>
        <w:outlineLvl w:val="1"/>
        <w:rPr>
          <w:rFonts w:ascii="宋体" w:hAnsi="宋体" w:cs="宋体"/>
          <w:b/>
          <w:bCs/>
          <w:color w:val="auto"/>
          <w:sz w:val="24"/>
          <w:highlight w:val="none"/>
        </w:rPr>
      </w:pPr>
      <w:bookmarkStart w:id="30" w:name="_Toc12461"/>
      <w:r>
        <w:rPr>
          <w:rFonts w:hint="eastAsia" w:ascii="宋体" w:hAnsi="宋体" w:cs="宋体"/>
          <w:b/>
          <w:bCs/>
          <w:color w:val="auto"/>
          <w:sz w:val="24"/>
          <w:highlight w:val="none"/>
        </w:rPr>
        <w:t>四、</w:t>
      </w:r>
      <w:bookmarkEnd w:id="26"/>
      <w:bookmarkEnd w:id="27"/>
      <w:bookmarkEnd w:id="28"/>
      <w:bookmarkEnd w:id="29"/>
      <w:r>
        <w:rPr>
          <w:rFonts w:hint="eastAsia" w:ascii="宋体" w:hAnsi="宋体" w:cs="宋体"/>
          <w:b/>
          <w:bCs/>
          <w:color w:val="auto"/>
          <w:sz w:val="24"/>
          <w:highlight w:val="none"/>
        </w:rPr>
        <w:t>响应文件提交</w:t>
      </w:r>
      <w:bookmarkEnd w:id="30"/>
    </w:p>
    <w:p w14:paraId="0E3F55DD">
      <w:pPr>
        <w:spacing w:line="360" w:lineRule="auto"/>
        <w:ind w:firstLine="420" w:firstLineChars="200"/>
        <w:rPr>
          <w:rFonts w:ascii="宋体" w:hAnsi="宋体" w:cs="宋体"/>
          <w:i/>
          <w:iCs/>
          <w:color w:val="auto"/>
          <w:szCs w:val="21"/>
          <w:highlight w:val="none"/>
          <w:u w:val="single"/>
        </w:rPr>
      </w:pPr>
      <w:r>
        <w:rPr>
          <w:rFonts w:hint="eastAsia" w:ascii="宋体" w:hAnsi="宋体" w:cs="宋体"/>
          <w:color w:val="auto"/>
          <w:szCs w:val="21"/>
          <w:highlight w:val="none"/>
        </w:rPr>
        <w:t>截止时间</w:t>
      </w:r>
      <w:r>
        <w:rPr>
          <w:rFonts w:hint="eastAsia" w:ascii="宋体" w:hAnsi="宋体" w:cs="宋体"/>
          <w:bCs/>
          <w:color w:val="auto"/>
          <w:szCs w:val="21"/>
          <w:highlight w:val="none"/>
        </w:rPr>
        <w:t>：</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点</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0分</w:t>
      </w:r>
      <w:r>
        <w:rPr>
          <w:rFonts w:hint="eastAsia" w:ascii="宋体" w:hAnsi="宋体" w:cs="宋体"/>
          <w:bCs/>
          <w:color w:val="auto"/>
          <w:szCs w:val="21"/>
          <w:highlight w:val="none"/>
        </w:rPr>
        <w:t>（北京时间）</w:t>
      </w:r>
    </w:p>
    <w:p w14:paraId="3D6336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提交地点（网址）：请登录广西政府采购云平台投标客户端投标</w:t>
      </w:r>
    </w:p>
    <w:p w14:paraId="0B3670E3">
      <w:pPr>
        <w:spacing w:line="360" w:lineRule="auto"/>
        <w:ind w:firstLine="482" w:firstLineChars="200"/>
        <w:outlineLvl w:val="1"/>
        <w:rPr>
          <w:rFonts w:ascii="宋体" w:hAnsi="宋体" w:cs="宋体"/>
          <w:b/>
          <w:bCs/>
          <w:color w:val="auto"/>
          <w:sz w:val="24"/>
          <w:highlight w:val="none"/>
        </w:rPr>
      </w:pPr>
      <w:bookmarkStart w:id="31" w:name="_Toc9712"/>
      <w:r>
        <w:rPr>
          <w:rFonts w:hint="eastAsia" w:ascii="宋体" w:hAnsi="宋体" w:cs="宋体"/>
          <w:b/>
          <w:bCs/>
          <w:color w:val="auto"/>
          <w:sz w:val="24"/>
          <w:highlight w:val="none"/>
        </w:rPr>
        <w:t>五、开启（首次响应文件开启时间）</w:t>
      </w:r>
      <w:bookmarkEnd w:id="31"/>
    </w:p>
    <w:p w14:paraId="7308C0AE">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点</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r>
        <w:rPr>
          <w:rFonts w:hint="eastAsia" w:ascii="宋体" w:hAnsi="宋体" w:cs="宋体"/>
          <w:bCs/>
          <w:color w:val="auto"/>
          <w:szCs w:val="21"/>
          <w:highlight w:val="none"/>
        </w:rPr>
        <w:t>（北京时间）</w:t>
      </w:r>
    </w:p>
    <w:p w14:paraId="464B70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地点（网址）：广西壮族自治区防城港市开标室</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政府采购开标室</w:t>
      </w:r>
      <w:r>
        <w:rPr>
          <w:rFonts w:hint="eastAsia" w:ascii="宋体" w:hAnsi="宋体" w:cs="宋体"/>
          <w:color w:val="auto"/>
          <w:szCs w:val="21"/>
          <w:highlight w:val="none"/>
          <w:lang w:val="en-US" w:eastAsia="zh-CN"/>
        </w:rPr>
        <w:t xml:space="preserve">2。  </w:t>
      </w:r>
      <w:r>
        <w:rPr>
          <w:rFonts w:hint="eastAsia" w:ascii="宋体" w:hAnsi="宋体" w:cs="宋体"/>
          <w:color w:val="auto"/>
          <w:szCs w:val="21"/>
          <w:highlight w:val="none"/>
        </w:rPr>
        <w:t> </w:t>
      </w:r>
    </w:p>
    <w:p w14:paraId="7DE31607">
      <w:pPr>
        <w:spacing w:line="360" w:lineRule="auto"/>
        <w:ind w:firstLine="482" w:firstLineChars="200"/>
        <w:outlineLvl w:val="1"/>
        <w:rPr>
          <w:rFonts w:ascii="宋体" w:hAnsi="宋体" w:cs="宋体"/>
          <w:b/>
          <w:bCs/>
          <w:color w:val="auto"/>
          <w:sz w:val="24"/>
          <w:highlight w:val="none"/>
        </w:rPr>
      </w:pPr>
      <w:bookmarkStart w:id="32" w:name="_Toc4434"/>
      <w:bookmarkStart w:id="33" w:name="_Toc35393794"/>
      <w:bookmarkStart w:id="34" w:name="_Toc28359084"/>
      <w:bookmarkStart w:id="35" w:name="_Toc28359007"/>
      <w:bookmarkStart w:id="36" w:name="_Toc35393625"/>
      <w:r>
        <w:rPr>
          <w:rFonts w:hint="eastAsia" w:ascii="宋体" w:hAnsi="宋体" w:cs="宋体"/>
          <w:b/>
          <w:bCs/>
          <w:color w:val="auto"/>
          <w:sz w:val="24"/>
          <w:highlight w:val="none"/>
        </w:rPr>
        <w:t>六、公告期限</w:t>
      </w:r>
      <w:bookmarkEnd w:id="32"/>
      <w:bookmarkEnd w:id="33"/>
      <w:bookmarkEnd w:id="34"/>
      <w:bookmarkEnd w:id="35"/>
      <w:bookmarkEnd w:id="36"/>
      <w:bookmarkStart w:id="241" w:name="_GoBack"/>
      <w:bookmarkEnd w:id="241"/>
    </w:p>
    <w:p w14:paraId="4E18754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07FE6C3D">
      <w:pPr>
        <w:spacing w:line="360" w:lineRule="auto"/>
        <w:ind w:firstLine="482" w:firstLineChars="200"/>
        <w:outlineLvl w:val="1"/>
        <w:rPr>
          <w:rFonts w:ascii="宋体" w:hAnsi="宋体" w:cs="宋体"/>
          <w:b/>
          <w:bCs/>
          <w:color w:val="auto"/>
          <w:sz w:val="24"/>
          <w:highlight w:val="none"/>
        </w:rPr>
      </w:pPr>
      <w:bookmarkStart w:id="37" w:name="_Toc35393626"/>
      <w:bookmarkStart w:id="38" w:name="_Toc35393795"/>
      <w:bookmarkStart w:id="39" w:name="_Toc10209"/>
      <w:r>
        <w:rPr>
          <w:rFonts w:hint="eastAsia" w:ascii="宋体" w:hAnsi="宋体" w:cs="宋体"/>
          <w:b/>
          <w:bCs/>
          <w:color w:val="auto"/>
          <w:sz w:val="24"/>
          <w:highlight w:val="none"/>
        </w:rPr>
        <w:t>七、其他补充事宜</w:t>
      </w:r>
      <w:bookmarkEnd w:id="37"/>
      <w:bookmarkEnd w:id="38"/>
      <w:bookmarkEnd w:id="39"/>
    </w:p>
    <w:p w14:paraId="5F884F87">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本项目不需要缴</w:t>
      </w:r>
      <w:r>
        <w:rPr>
          <w:rFonts w:hint="eastAsia" w:ascii="宋体" w:hAnsi="宋体" w:cs="宋体"/>
          <w:color w:val="auto"/>
          <w:kern w:val="0"/>
          <w:szCs w:val="21"/>
          <w:highlight w:val="none"/>
        </w:rPr>
        <w:t>纳</w:t>
      </w:r>
      <w:r>
        <w:rPr>
          <w:rFonts w:hint="eastAsia" w:ascii="宋体" w:hAnsi="宋体" w:cs="宋体"/>
          <w:color w:val="auto"/>
          <w:szCs w:val="21"/>
          <w:highlight w:val="none"/>
        </w:rPr>
        <w:t>磋商保证金。</w:t>
      </w:r>
    </w:p>
    <w:p w14:paraId="31B5E8E6">
      <w:pPr>
        <w:spacing w:line="360" w:lineRule="auto"/>
        <w:ind w:firstLine="420" w:firstLineChars="200"/>
        <w:outlineLvl w:val="2"/>
        <w:rPr>
          <w:rFonts w:ascii="宋体" w:hAnsi="宋体" w:cs="宋体"/>
          <w:color w:val="auto"/>
          <w:kern w:val="0"/>
          <w:szCs w:val="21"/>
          <w:highlight w:val="none"/>
        </w:rPr>
      </w:pPr>
      <w:bookmarkStart w:id="40" w:name="_Hlk37429585"/>
      <w:r>
        <w:rPr>
          <w:rFonts w:hint="eastAsia" w:ascii="宋体" w:hAnsi="宋体" w:cs="宋体"/>
          <w:color w:val="auto"/>
          <w:kern w:val="0"/>
          <w:szCs w:val="21"/>
          <w:highlight w:val="none"/>
        </w:rPr>
        <w:t>2.</w:t>
      </w:r>
      <w:bookmarkStart w:id="41" w:name="_Hlk37429595"/>
      <w:r>
        <w:rPr>
          <w:rFonts w:hint="eastAsia" w:ascii="宋体" w:hAnsi="宋体" w:cs="宋体"/>
          <w:color w:val="auto"/>
          <w:kern w:val="0"/>
          <w:szCs w:val="21"/>
          <w:highlight w:val="none"/>
        </w:rPr>
        <w:t>网上查询地址：</w:t>
      </w:r>
      <w:bookmarkEnd w:id="40"/>
      <w:bookmarkEnd w:id="41"/>
      <w:bookmarkStart w:id="42" w:name="_Toc27522"/>
      <w:bookmarkStart w:id="43" w:name="_Hlk37429674"/>
      <w:r>
        <w:rPr>
          <w:rFonts w:hint="eastAsia" w:ascii="宋体" w:hAnsi="宋体" w:cs="宋体"/>
          <w:color w:val="auto"/>
          <w:kern w:val="0"/>
          <w:szCs w:val="21"/>
          <w:highlight w:val="none"/>
        </w:rPr>
        <w:t>中国政府采购网、广西壮族自治区政府采购网、全国公共资源交易平台（广西·防城港）。</w:t>
      </w:r>
    </w:p>
    <w:p w14:paraId="61AC3707">
      <w:pPr>
        <w:spacing w:line="360" w:lineRule="auto"/>
        <w:ind w:firstLine="420" w:firstLineChars="200"/>
        <w:outlineLvl w:val="2"/>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bookmarkEnd w:id="42"/>
    </w:p>
    <w:p w14:paraId="2E81AC0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3F8AC1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6A565A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04EAC6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D18973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bookmarkEnd w:id="43"/>
    </w:p>
    <w:p w14:paraId="4615677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92000C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5.对在“信用中国”网站 、中国政府采购网被列入失信被执行人、重大税收违法失信主体、政府采购严重违法失信行为记录名单及其他不符合《中华人民共和国政府采购法》第二十二条规定条件的供应商，不得参与政府采购活动。</w:t>
      </w:r>
    </w:p>
    <w:p w14:paraId="0A3F38DF">
      <w:pPr>
        <w:spacing w:line="360" w:lineRule="auto"/>
        <w:ind w:firstLine="422" w:firstLineChars="200"/>
        <w:outlineLvl w:val="2"/>
        <w:rPr>
          <w:rFonts w:ascii="宋体" w:hAnsi="宋体" w:cs="宋体"/>
          <w:color w:val="auto"/>
          <w:kern w:val="0"/>
          <w:szCs w:val="21"/>
          <w:highlight w:val="none"/>
        </w:rPr>
      </w:pPr>
      <w:bookmarkStart w:id="44" w:name="_Toc5729"/>
      <w:r>
        <w:rPr>
          <w:rFonts w:hint="eastAsia" w:ascii="宋体" w:hAnsi="宋体" w:cs="宋体"/>
          <w:b/>
          <w:bCs/>
          <w:color w:val="auto"/>
          <w:kern w:val="0"/>
          <w:szCs w:val="21"/>
          <w:highlight w:val="none"/>
        </w:rPr>
        <w:t>6.</w:t>
      </w:r>
      <w:r>
        <w:rPr>
          <w:rFonts w:hint="eastAsia" w:ascii="宋体" w:hAnsi="宋体" w:cs="宋体"/>
          <w:b/>
          <w:bCs/>
          <w:color w:val="auto"/>
          <w:szCs w:val="21"/>
          <w:highlight w:val="none"/>
        </w:rPr>
        <w:t>在线竞标的有关说明</w:t>
      </w:r>
      <w:r>
        <w:rPr>
          <w:rFonts w:hint="eastAsia" w:ascii="宋体" w:hAnsi="宋体" w:cs="宋体"/>
          <w:b/>
          <w:bCs/>
          <w:color w:val="auto"/>
          <w:kern w:val="0"/>
          <w:szCs w:val="21"/>
          <w:highlight w:val="none"/>
        </w:rPr>
        <w:t>：</w:t>
      </w:r>
      <w:bookmarkEnd w:id="44"/>
    </w:p>
    <w:p w14:paraId="6807BD8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本项目为全流程电子化项目，通过广西政府采购云平台实行在线电子响应，供应商应先安装广西政府采购云平台新版客户端（新版客户端下载路径：广西政府采购网（访问地址—办事服务—下载专区），并按照本项目采购文件和广西政府采购云平台的要求编制、加密后在响应文件提交截止时间前通过网络上传至广西政府采购云平台，</w:t>
      </w:r>
      <w:r>
        <w:rPr>
          <w:rFonts w:hint="eastAsia" w:ascii="宋体" w:hAnsi="宋体" w:cs="宋体"/>
          <w:b/>
          <w:color w:val="auto"/>
          <w:szCs w:val="21"/>
          <w:highlight w:val="none"/>
        </w:rPr>
        <w:t>供应商在广西政府采购云平台提交电子版响应文件时，请填写参加远程开标活动经办人联系方式</w:t>
      </w:r>
      <w:r>
        <w:rPr>
          <w:rFonts w:hint="eastAsia" w:ascii="宋体" w:hAnsi="宋体" w:cs="宋体"/>
          <w:color w:val="auto"/>
          <w:szCs w:val="21"/>
          <w:highlight w:val="none"/>
        </w:rPr>
        <w:t>。</w:t>
      </w:r>
    </w:p>
    <w:p w14:paraId="39D1881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14:paraId="1801A5C5">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cs="宋体"/>
          <w:b/>
          <w:color w:val="auto"/>
          <w:szCs w:val="21"/>
          <w:highlight w:val="none"/>
        </w:rPr>
        <w:t>响应文件提交</w:t>
      </w:r>
      <w:r>
        <w:rPr>
          <w:rFonts w:hint="eastAsia" w:ascii="宋体" w:hAnsi="宋体" w:cs="宋体"/>
          <w:b/>
          <w:color w:val="auto"/>
          <w:szCs w:val="21"/>
          <w:highlight w:val="none"/>
          <w:u w:val="single"/>
        </w:rPr>
        <w:t>截止时间前未完成上传、递交的，视为撤回响应文件。响应文件提交截止时间以后上传递交的响应文件的，广西政府采购云平台将予以拒收。</w:t>
      </w:r>
    </w:p>
    <w:p w14:paraId="3089879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（4）CA证书在线解密：首次响应文件开启时，需要供应商携带制作响应文件时用来加密的有效数字证书（CA认证）登录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电子开标大厅现场按规定时间对加密的响应文件进行解密。</w:t>
      </w:r>
    </w:p>
    <w:p w14:paraId="45D49E75">
      <w:pPr>
        <w:spacing w:line="360" w:lineRule="auto"/>
        <w:ind w:firstLine="420" w:firstLineChars="200"/>
        <w:rPr>
          <w:rFonts w:ascii="宋体" w:hAnsi="宋体" w:cs="宋体"/>
          <w:color w:val="auto"/>
          <w:highlight w:val="none"/>
        </w:rPr>
      </w:pPr>
      <w:r>
        <w:rPr>
          <w:rFonts w:hint="eastAsia" w:ascii="宋体" w:hAnsi="宋体" w:cs="宋体"/>
          <w:color w:val="auto"/>
          <w:kern w:val="0"/>
          <w:szCs w:val="21"/>
          <w:highlight w:val="none"/>
        </w:rPr>
        <w:t>（5）供应商需要在具备有摄像头及语音功能且互联网网络状况良好的电脑登录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远程开标大厅参与本次磋商，否则后果自负。</w:t>
      </w:r>
    </w:p>
    <w:p w14:paraId="5BE86B6D">
      <w:pPr>
        <w:pStyle w:val="9"/>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 若对项目采购电子交易系统操作有疑问，可登录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 xml:space="preserve">服务热线95763获取热线服务帮助。 </w:t>
      </w:r>
    </w:p>
    <w:p w14:paraId="006334EF">
      <w:pPr>
        <w:pStyle w:val="9"/>
        <w:spacing w:line="360" w:lineRule="auto"/>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8.监督部门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名称：防城港市财政局，电话：0770-6102323           </w:t>
      </w:r>
    </w:p>
    <w:p w14:paraId="2068EBE4">
      <w:pPr>
        <w:spacing w:line="360" w:lineRule="auto"/>
        <w:ind w:firstLine="482" w:firstLineChars="200"/>
        <w:outlineLvl w:val="1"/>
        <w:rPr>
          <w:rFonts w:ascii="宋体" w:hAnsi="宋体" w:cs="宋体"/>
          <w:bCs/>
          <w:color w:val="auto"/>
          <w:sz w:val="24"/>
          <w:highlight w:val="none"/>
        </w:rPr>
      </w:pPr>
      <w:bookmarkStart w:id="45" w:name="_Toc20845"/>
      <w:r>
        <w:rPr>
          <w:rFonts w:hint="eastAsia" w:ascii="宋体" w:hAnsi="宋体" w:cs="宋体"/>
          <w:b/>
          <w:color w:val="auto"/>
          <w:kern w:val="44"/>
          <w:sz w:val="24"/>
          <w:highlight w:val="none"/>
        </w:rPr>
        <w:t>八、凡对本次采购提出询问，请按以下方式联系。</w:t>
      </w:r>
      <w:bookmarkEnd w:id="45"/>
    </w:p>
    <w:p w14:paraId="680F9E7E">
      <w:pPr>
        <w:spacing w:line="360" w:lineRule="auto"/>
        <w:ind w:firstLine="735" w:firstLineChars="350"/>
        <w:jc w:val="left"/>
        <w:outlineLvl w:val="2"/>
        <w:rPr>
          <w:rFonts w:ascii="宋体" w:hAnsi="宋体" w:cs="宋体"/>
          <w:color w:val="auto"/>
          <w:szCs w:val="21"/>
          <w:highlight w:val="none"/>
        </w:rPr>
      </w:pPr>
      <w:bookmarkStart w:id="46" w:name="_Toc22143"/>
      <w:r>
        <w:rPr>
          <w:rFonts w:hint="eastAsia" w:ascii="宋体" w:hAnsi="宋体" w:cs="宋体"/>
          <w:color w:val="auto"/>
          <w:szCs w:val="21"/>
          <w:highlight w:val="none"/>
        </w:rPr>
        <w:t>1.采购人信息</w:t>
      </w:r>
      <w:bookmarkEnd w:id="46"/>
    </w:p>
    <w:p w14:paraId="0D2B0C0F">
      <w:pPr>
        <w:spacing w:line="360" w:lineRule="auto"/>
        <w:ind w:left="1041" w:leftChars="371" w:hanging="262" w:hangingChars="125"/>
        <w:jc w:val="left"/>
        <w:rPr>
          <w:rFonts w:ascii="宋体" w:hAnsi="宋体" w:cs="宋体"/>
          <w:color w:val="auto"/>
          <w:szCs w:val="21"/>
          <w:highlight w:val="none"/>
        </w:rPr>
      </w:pPr>
      <w:r>
        <w:rPr>
          <w:rFonts w:hint="eastAsia" w:ascii="宋体" w:hAnsi="宋体" w:cs="宋体"/>
          <w:color w:val="auto"/>
          <w:szCs w:val="21"/>
          <w:highlight w:val="none"/>
        </w:rPr>
        <w:t>名  称：防城港市公安局</w:t>
      </w:r>
    </w:p>
    <w:p w14:paraId="49B0055A">
      <w:pPr>
        <w:spacing w:line="360" w:lineRule="auto"/>
        <w:ind w:left="1041" w:leftChars="371" w:hanging="262" w:hangingChars="125"/>
        <w:jc w:val="left"/>
        <w:rPr>
          <w:rFonts w:ascii="宋体" w:hAnsi="宋体" w:cs="宋体"/>
          <w:color w:val="auto"/>
          <w:szCs w:val="21"/>
          <w:highlight w:val="none"/>
        </w:rPr>
      </w:pPr>
      <w:r>
        <w:rPr>
          <w:rFonts w:hint="eastAsia" w:ascii="宋体" w:hAnsi="宋体" w:cs="宋体"/>
          <w:color w:val="auto"/>
          <w:szCs w:val="21"/>
          <w:highlight w:val="none"/>
        </w:rPr>
        <w:t>地  址：防城港市港口区金花茶大道69号</w:t>
      </w:r>
    </w:p>
    <w:p w14:paraId="74C6C69F">
      <w:pPr>
        <w:spacing w:line="360" w:lineRule="auto"/>
        <w:ind w:left="1041" w:leftChars="371" w:hanging="262" w:hangingChars="125"/>
        <w:jc w:val="left"/>
        <w:rPr>
          <w:rFonts w:ascii="宋体" w:hAnsi="宋体" w:cs="宋体"/>
          <w:color w:val="auto"/>
          <w:szCs w:val="21"/>
          <w:highlight w:val="none"/>
        </w:rPr>
      </w:pPr>
      <w:r>
        <w:rPr>
          <w:rFonts w:hint="eastAsia" w:ascii="宋体" w:hAnsi="宋体" w:cs="宋体"/>
          <w:color w:val="auto"/>
          <w:szCs w:val="21"/>
          <w:highlight w:val="none"/>
        </w:rPr>
        <w:t>联系方式：吴美，0770-6126288</w:t>
      </w:r>
    </w:p>
    <w:p w14:paraId="5B06E1E0">
      <w:pPr>
        <w:spacing w:line="360" w:lineRule="auto"/>
        <w:ind w:left="1041" w:leftChars="371" w:hanging="262" w:hangingChars="125"/>
        <w:jc w:val="left"/>
        <w:rPr>
          <w:rFonts w:ascii="宋体" w:hAnsi="宋体" w:cs="宋体"/>
          <w:color w:val="auto"/>
          <w:szCs w:val="21"/>
          <w:highlight w:val="none"/>
        </w:rPr>
      </w:pPr>
      <w:bookmarkStart w:id="47" w:name="_Toc10517"/>
      <w:r>
        <w:rPr>
          <w:rFonts w:hint="eastAsia" w:ascii="宋体" w:hAnsi="宋体" w:cs="宋体"/>
          <w:color w:val="auto"/>
          <w:szCs w:val="21"/>
          <w:highlight w:val="none"/>
        </w:rPr>
        <w:t>2.采购代理机构信息</w:t>
      </w:r>
      <w:bookmarkEnd w:id="47"/>
    </w:p>
    <w:p w14:paraId="300A8C2F">
      <w:pPr>
        <w:spacing w:line="360" w:lineRule="auto"/>
        <w:ind w:firstLine="735" w:firstLineChars="350"/>
        <w:rPr>
          <w:rFonts w:ascii="宋体" w:hAnsi="宋体" w:cs="宋体"/>
          <w:color w:val="auto"/>
          <w:szCs w:val="21"/>
          <w:highlight w:val="none"/>
          <w:u w:val="single"/>
        </w:rPr>
      </w:pPr>
      <w:r>
        <w:rPr>
          <w:rFonts w:hint="eastAsia" w:ascii="宋体" w:hAnsi="宋体" w:cs="宋体"/>
          <w:color w:val="auto"/>
          <w:szCs w:val="21"/>
          <w:highlight w:val="none"/>
        </w:rPr>
        <w:t>名 称：广西清蘅建设工程造价咨询有限公司</w:t>
      </w:r>
    </w:p>
    <w:p w14:paraId="1F60FA50">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 xml:space="preserve">地　址：防城港市港口区西湾广场财苑小区8号 </w:t>
      </w:r>
    </w:p>
    <w:p w14:paraId="50D61D64">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项目联系人：邱伟森</w:t>
      </w:r>
    </w:p>
    <w:p w14:paraId="2B143D38">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联系方式：0770-2862599</w:t>
      </w:r>
    </w:p>
    <w:p w14:paraId="4240C199">
      <w:pPr>
        <w:pStyle w:val="9"/>
        <w:spacing w:line="360" w:lineRule="auto"/>
        <w:ind w:firstLine="420" w:firstLineChars="200"/>
        <w:jc w:val="right"/>
        <w:rPr>
          <w:rFonts w:ascii="宋体" w:hAnsi="宋体" w:cs="宋体"/>
          <w:color w:val="auto"/>
          <w:szCs w:val="21"/>
          <w:highlight w:val="none"/>
        </w:rPr>
      </w:pPr>
    </w:p>
    <w:p w14:paraId="0D58D579">
      <w:pPr>
        <w:spacing w:line="360" w:lineRule="auto"/>
        <w:jc w:val="right"/>
        <w:rPr>
          <w:color w:val="auto"/>
          <w:highlight w:val="none"/>
        </w:rPr>
      </w:pPr>
      <w:r>
        <w:rPr>
          <w:rFonts w:hint="eastAsia" w:ascii="宋体" w:hAnsi="宋体" w:cs="宋体"/>
          <w:color w:val="auto"/>
          <w:kern w:val="0"/>
          <w:szCs w:val="21"/>
          <w:highlight w:val="none"/>
          <w:shd w:val="clear" w:color="auto" w:fill="FFFFFF"/>
        </w:rPr>
        <w:t>采购人：</w:t>
      </w:r>
      <w:r>
        <w:rPr>
          <w:rFonts w:hint="eastAsia" w:ascii="宋体" w:hAnsi="宋体" w:cs="宋体"/>
          <w:color w:val="auto"/>
          <w:szCs w:val="21"/>
          <w:highlight w:val="none"/>
        </w:rPr>
        <w:t>防城港市公安局　　　　　</w:t>
      </w:r>
      <w:r>
        <w:rPr>
          <w:rFonts w:hint="eastAsia" w:ascii="宋体" w:hAnsi="宋体" w:cs="宋体"/>
          <w:color w:val="auto"/>
          <w:sz w:val="24"/>
          <w:highlight w:val="none"/>
        </w:rPr>
        <w:t>　　　</w:t>
      </w:r>
    </w:p>
    <w:p w14:paraId="24AF0B84">
      <w:pPr>
        <w:spacing w:line="360" w:lineRule="auto"/>
        <w:jc w:val="righ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采购代理机构：广西清蘅建设工程造价咨询有限公司</w:t>
      </w:r>
    </w:p>
    <w:p w14:paraId="25528CD3">
      <w:pPr>
        <w:spacing w:line="360" w:lineRule="auto"/>
        <w:jc w:val="right"/>
        <w:rPr>
          <w:rFonts w:ascii="宋体" w:hAnsi="宋体" w:cs="宋体"/>
          <w:color w:val="auto"/>
          <w:sz w:val="32"/>
          <w:szCs w:val="32"/>
          <w:highlight w:val="none"/>
        </w:rPr>
      </w:pPr>
      <w:r>
        <w:rPr>
          <w:rFonts w:hint="eastAsia"/>
          <w:color w:val="auto"/>
          <w:highlight w:val="none"/>
        </w:rPr>
        <w:t>2025年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19</w:t>
      </w:r>
      <w:r>
        <w:rPr>
          <w:rFonts w:hint="eastAsia"/>
          <w:color w:val="auto"/>
          <w:highlight w:val="none"/>
        </w:rPr>
        <w:t>日</w:t>
      </w:r>
      <w:bookmarkStart w:id="48" w:name="_Toc25520"/>
      <w:bookmarkStart w:id="49" w:name="_Toc80886926"/>
      <w:bookmarkStart w:id="50" w:name="_Toc7184"/>
      <w:bookmarkStart w:id="51" w:name="_Toc32283"/>
      <w:bookmarkStart w:id="52" w:name="_Toc11093"/>
      <w:bookmarkStart w:id="53" w:name="_Toc26836"/>
      <w:bookmarkStart w:id="54" w:name="_Toc9127"/>
      <w:bookmarkStart w:id="55" w:name="_Toc22325"/>
      <w:bookmarkStart w:id="56" w:name="_Toc22760"/>
    </w:p>
    <w:p w14:paraId="740DBA5C">
      <w:pPr>
        <w:pStyle w:val="2"/>
        <w:spacing w:line="360" w:lineRule="auto"/>
        <w:rPr>
          <w:rFonts w:ascii="宋体" w:hAnsi="宋体" w:cs="宋体"/>
          <w:bCs w:val="0"/>
          <w:color w:val="auto"/>
          <w:sz w:val="32"/>
          <w:szCs w:val="32"/>
          <w:highlight w:val="none"/>
        </w:rPr>
      </w:pPr>
    </w:p>
    <w:p w14:paraId="7708D5D2">
      <w:pPr>
        <w:pStyle w:val="2"/>
        <w:spacing w:line="360" w:lineRule="auto"/>
        <w:jc w:val="center"/>
        <w:rPr>
          <w:rFonts w:ascii="宋体" w:hAnsi="宋体" w:cs="宋体"/>
          <w:bCs w:val="0"/>
          <w:color w:val="auto"/>
          <w:sz w:val="32"/>
          <w:szCs w:val="32"/>
          <w:highlight w:val="none"/>
        </w:rPr>
      </w:pPr>
    </w:p>
    <w:p w14:paraId="1A499D39">
      <w:pPr>
        <w:rPr>
          <w:color w:val="auto"/>
          <w:highlight w:val="none"/>
        </w:rPr>
      </w:pPr>
    </w:p>
    <w:p w14:paraId="3425399F">
      <w:pPr>
        <w:rPr>
          <w:color w:val="auto"/>
          <w:highlight w:val="none"/>
        </w:rPr>
      </w:pPr>
    </w:p>
    <w:p w14:paraId="5DCDBC89">
      <w:pPr>
        <w:rPr>
          <w:color w:val="auto"/>
          <w:highlight w:val="none"/>
        </w:rPr>
      </w:pPr>
    </w:p>
    <w:p w14:paraId="61C1B1D9">
      <w:pPr>
        <w:pStyle w:val="2"/>
        <w:kinsoku w:val="0"/>
        <w:overflowPunct w:val="0"/>
        <w:spacing w:line="360" w:lineRule="auto"/>
        <w:rPr>
          <w:rFonts w:ascii="宋体" w:hAnsi="宋体" w:cs="宋体"/>
          <w:bCs w:val="0"/>
          <w:color w:val="auto"/>
          <w:sz w:val="32"/>
          <w:szCs w:val="32"/>
          <w:highlight w:val="none"/>
        </w:rPr>
      </w:pPr>
    </w:p>
    <w:p w14:paraId="643D3335">
      <w:pPr>
        <w:rPr>
          <w:color w:val="auto"/>
          <w:highlight w:val="none"/>
        </w:rPr>
      </w:pPr>
    </w:p>
    <w:p w14:paraId="1699E4B5">
      <w:pPr>
        <w:pStyle w:val="2"/>
        <w:kinsoku w:val="0"/>
        <w:overflowPunct w:val="0"/>
        <w:spacing w:line="360" w:lineRule="auto"/>
        <w:jc w:val="center"/>
        <w:rPr>
          <w:rFonts w:ascii="宋体" w:hAnsi="宋体" w:cs="宋体"/>
          <w:bCs w:val="0"/>
          <w:color w:val="auto"/>
          <w:sz w:val="32"/>
          <w:szCs w:val="32"/>
          <w:highlight w:val="none"/>
        </w:rPr>
      </w:pPr>
      <w:r>
        <w:rPr>
          <w:rFonts w:hint="eastAsia" w:ascii="宋体" w:hAnsi="宋体" w:cs="宋体"/>
          <w:bCs w:val="0"/>
          <w:color w:val="auto"/>
          <w:sz w:val="32"/>
          <w:szCs w:val="32"/>
          <w:highlight w:val="none"/>
        </w:rPr>
        <w:t>第二章 采购需求</w:t>
      </w:r>
      <w:bookmarkEnd w:id="48"/>
      <w:bookmarkEnd w:id="49"/>
      <w:bookmarkEnd w:id="50"/>
      <w:bookmarkEnd w:id="51"/>
      <w:bookmarkEnd w:id="52"/>
      <w:bookmarkEnd w:id="53"/>
      <w:bookmarkEnd w:id="54"/>
      <w:bookmarkEnd w:id="55"/>
    </w:p>
    <w:bookmarkEnd w:id="56"/>
    <w:p w14:paraId="03532A81">
      <w:pPr>
        <w:kinsoku w:val="0"/>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49D285C1">
      <w:pPr>
        <w:kinsoku w:val="0"/>
        <w:overflowPunct w:val="0"/>
        <w:spacing w:line="360" w:lineRule="auto"/>
        <w:ind w:firstLine="420" w:firstLineChars="200"/>
        <w:jc w:val="left"/>
        <w:outlineLvl w:val="1"/>
        <w:rPr>
          <w:rFonts w:ascii="宋体" w:hAnsi="宋体" w:cs="宋体"/>
          <w:color w:val="auto"/>
          <w:szCs w:val="21"/>
          <w:highlight w:val="none"/>
        </w:rPr>
      </w:pPr>
      <w:bookmarkStart w:id="57" w:name="_Toc1940"/>
      <w:r>
        <w:rPr>
          <w:rFonts w:hint="eastAsia" w:ascii="宋体" w:hAnsi="宋体" w:cs="宋体"/>
          <w:color w:val="auto"/>
          <w:highlight w:val="none"/>
        </w:rPr>
        <w:t>1. 为落实政府采购政策需满足的要求：</w:t>
      </w:r>
      <w:bookmarkEnd w:id="57"/>
    </w:p>
    <w:p w14:paraId="1AE9D4F7">
      <w:pPr>
        <w:kinsoku w:val="0"/>
        <w:overflowPunct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w:t>
      </w:r>
    </w:p>
    <w:p w14:paraId="253DDF8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color w:val="auto"/>
          <w:szCs w:val="21"/>
          <w:highlight w:val="none"/>
        </w:rPr>
        <w:t>供应商必须在响应文件中提供所竞标产品有效期内的节能产品认证证书复印件（加盖供应商公章），否则响应文件按无效处理</w:t>
      </w:r>
      <w:r>
        <w:rPr>
          <w:rFonts w:hint="eastAsia" w:ascii="宋体" w:hAnsi="宋体" w:cs="宋体"/>
          <w:color w:val="auto"/>
          <w:szCs w:val="21"/>
          <w:highlight w:val="none"/>
        </w:rPr>
        <w:t xml:space="preserve">。如本项目包含的配套货物属于品目清单内非标注“★”的产品时，应优先采购，具体详见“第四章 </w:t>
      </w:r>
      <w:r>
        <w:rPr>
          <w:rStyle w:val="28"/>
          <w:rFonts w:hint="eastAsia" w:ascii="宋体" w:hAnsi="宋体" w:cs="宋体"/>
          <w:color w:val="auto"/>
          <w:highlight w:val="none"/>
        </w:rPr>
        <w:t>评审程序、评审方法和评审标准</w:t>
      </w:r>
      <w:r>
        <w:rPr>
          <w:rFonts w:hint="eastAsia" w:ascii="宋体" w:hAnsi="宋体" w:cs="宋体"/>
          <w:color w:val="auto"/>
          <w:szCs w:val="21"/>
          <w:highlight w:val="none"/>
        </w:rPr>
        <w:t>”。</w:t>
      </w:r>
    </w:p>
    <w:p w14:paraId="1EF9E2F4">
      <w:pPr>
        <w:spacing w:line="36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2.“实质性要求”是指磋商文件中已经指明不满足则响应文件按无效响应处理的条款，或者不能负偏离的条款，或者采购需求中带“▲”的条款。</w:t>
      </w:r>
    </w:p>
    <w:p w14:paraId="17F49735">
      <w:pPr>
        <w:pStyle w:val="9"/>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 xml:space="preserve">3. </w:t>
      </w:r>
      <w:r>
        <w:rPr>
          <w:rFonts w:hint="eastAsia" w:ascii="宋体" w:hAnsi="宋体" w:cs="宋体"/>
          <w:color w:val="auto"/>
          <w:highlight w:val="none"/>
        </w:rPr>
        <w:t>如竞标产品存在侵犯他人的知识产权或者专利成果行为的，应承担相应法律责任。</w:t>
      </w:r>
    </w:p>
    <w:p w14:paraId="58ADEB6A">
      <w:pPr>
        <w:pStyle w:val="9"/>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4.供应商的单价报价≤最高单价。</w:t>
      </w:r>
    </w:p>
    <w:p w14:paraId="7908BFCD">
      <w:pPr>
        <w:tabs>
          <w:tab w:val="left" w:pos="180"/>
          <w:tab w:val="left" w:pos="1620"/>
        </w:tabs>
        <w:spacing w:line="360" w:lineRule="auto"/>
        <w:ind w:firstLine="420" w:firstLineChars="200"/>
        <w:rPr>
          <w:rFonts w:ascii="宋体" w:hAnsi="宋体" w:cs="宋体"/>
          <w:i/>
          <w:iCs/>
          <w:color w:val="auto"/>
          <w:highlight w:val="none"/>
        </w:rPr>
      </w:pPr>
      <w:r>
        <w:rPr>
          <w:rFonts w:hint="eastAsia" w:ascii="宋体" w:hAnsi="宋体" w:cs="宋体"/>
          <w:color w:val="auto"/>
          <w:highlight w:val="none"/>
        </w:rPr>
        <w:t>5.采购标的对应的中小企业划分标准所属行业名称：</w:t>
      </w:r>
      <w:r>
        <w:rPr>
          <w:rFonts w:hint="eastAsia" w:ascii="宋体" w:hAnsi="宋体" w:cs="宋体"/>
          <w:color w:val="auto"/>
          <w:highlight w:val="none"/>
          <w:u w:val="single"/>
        </w:rPr>
        <w:t xml:space="preserve">     其他未列明行业        </w:t>
      </w:r>
    </w:p>
    <w:tbl>
      <w:tblPr>
        <w:tblStyle w:val="24"/>
        <w:tblW w:w="9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176"/>
        <w:gridCol w:w="1030"/>
        <w:gridCol w:w="5889"/>
        <w:gridCol w:w="1396"/>
      </w:tblGrid>
      <w:tr w14:paraId="59AF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05992669">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020" w:type="dxa"/>
            <w:vAlign w:val="center"/>
          </w:tcPr>
          <w:p w14:paraId="3A1443F5">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标的的名称</w:t>
            </w:r>
          </w:p>
        </w:tc>
        <w:tc>
          <w:tcPr>
            <w:tcW w:w="1050" w:type="dxa"/>
            <w:vAlign w:val="center"/>
          </w:tcPr>
          <w:p w14:paraId="4C642B38">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数量及单位</w:t>
            </w:r>
          </w:p>
        </w:tc>
        <w:tc>
          <w:tcPr>
            <w:tcW w:w="6004" w:type="dxa"/>
            <w:vAlign w:val="center"/>
          </w:tcPr>
          <w:p w14:paraId="5C27830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服务要求</w:t>
            </w:r>
          </w:p>
        </w:tc>
        <w:tc>
          <w:tcPr>
            <w:tcW w:w="1415" w:type="dxa"/>
            <w:vAlign w:val="center"/>
          </w:tcPr>
          <w:p w14:paraId="3F44263D">
            <w:pPr>
              <w:spacing w:line="360" w:lineRule="auto"/>
              <w:jc w:val="center"/>
              <w:rPr>
                <w:rFonts w:ascii="宋体" w:hAnsi="宋体" w:cs="宋体" w:eastAsiaTheme="minorEastAsia"/>
                <w:b/>
                <w:bCs/>
                <w:color w:val="auto"/>
                <w:sz w:val="24"/>
                <w:highlight w:val="none"/>
              </w:rPr>
            </w:pPr>
            <w:r>
              <w:rPr>
                <w:rFonts w:hint="eastAsia" w:ascii="宋体" w:hAnsi="宋体" w:cs="宋体"/>
                <w:b/>
                <w:bCs/>
                <w:color w:val="auto"/>
                <w:sz w:val="24"/>
                <w:highlight w:val="none"/>
              </w:rPr>
              <w:t>最高单价(元)</w:t>
            </w:r>
          </w:p>
        </w:tc>
      </w:tr>
      <w:tr w14:paraId="2361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3" w:type="dxa"/>
            <w:gridSpan w:val="5"/>
            <w:vAlign w:val="center"/>
          </w:tcPr>
          <w:p w14:paraId="06D7925F">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一、前端视频监控点维护</w:t>
            </w:r>
          </w:p>
        </w:tc>
      </w:tr>
      <w:tr w14:paraId="4110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6780F0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20" w:type="dxa"/>
            <w:vAlign w:val="center"/>
          </w:tcPr>
          <w:p w14:paraId="392465F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球型摄像机维护费</w:t>
            </w:r>
          </w:p>
        </w:tc>
        <w:tc>
          <w:tcPr>
            <w:tcW w:w="1050" w:type="dxa"/>
            <w:vAlign w:val="center"/>
          </w:tcPr>
          <w:p w14:paraId="48EAC36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115台</w:t>
            </w:r>
          </w:p>
        </w:tc>
        <w:tc>
          <w:tcPr>
            <w:tcW w:w="6004" w:type="dxa"/>
            <w:vAlign w:val="center"/>
          </w:tcPr>
          <w:p w14:paraId="777E98E3">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设备日常巡检、角度参数字幕修正、故障维护、镜头清洁、砍树枝杂草、含设备故障无法修复后的重新采购、更换、调试恢复等，故障修复时间满足业主需求</w:t>
            </w:r>
          </w:p>
        </w:tc>
        <w:tc>
          <w:tcPr>
            <w:tcW w:w="1415" w:type="dxa"/>
            <w:vAlign w:val="center"/>
          </w:tcPr>
          <w:p w14:paraId="6854344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600</w:t>
            </w:r>
          </w:p>
        </w:tc>
      </w:tr>
      <w:tr w14:paraId="0F75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2080CF3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020" w:type="dxa"/>
            <w:vAlign w:val="center"/>
          </w:tcPr>
          <w:p w14:paraId="155F2F6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枪型摄像机维护费</w:t>
            </w:r>
          </w:p>
        </w:tc>
        <w:tc>
          <w:tcPr>
            <w:tcW w:w="1050" w:type="dxa"/>
            <w:vAlign w:val="center"/>
          </w:tcPr>
          <w:p w14:paraId="49D66FB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315台</w:t>
            </w:r>
          </w:p>
        </w:tc>
        <w:tc>
          <w:tcPr>
            <w:tcW w:w="6004" w:type="dxa"/>
            <w:vAlign w:val="center"/>
          </w:tcPr>
          <w:p w14:paraId="3F9D235F">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设备日常巡检、角度参数字幕修正、故障维护、镜头清洁、砍树枝杂草、含设备故障无法修复后的重新采购、更换、调试恢复等，故障修复时间满足业主需求</w:t>
            </w:r>
          </w:p>
        </w:tc>
        <w:tc>
          <w:tcPr>
            <w:tcW w:w="1415" w:type="dxa"/>
            <w:vAlign w:val="center"/>
          </w:tcPr>
          <w:p w14:paraId="61AFAB9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600</w:t>
            </w:r>
          </w:p>
        </w:tc>
      </w:tr>
      <w:tr w14:paraId="0E3B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25B599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020" w:type="dxa"/>
            <w:vAlign w:val="center"/>
          </w:tcPr>
          <w:p w14:paraId="33E3689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卡口摄像机维护费</w:t>
            </w:r>
          </w:p>
        </w:tc>
        <w:tc>
          <w:tcPr>
            <w:tcW w:w="1050" w:type="dxa"/>
            <w:vAlign w:val="center"/>
          </w:tcPr>
          <w:p w14:paraId="2ACEB5A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45台</w:t>
            </w:r>
          </w:p>
        </w:tc>
        <w:tc>
          <w:tcPr>
            <w:tcW w:w="6004" w:type="dxa"/>
            <w:vAlign w:val="center"/>
          </w:tcPr>
          <w:p w14:paraId="01298DF8">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设备日常巡检、角度参数字幕修正、故障维护、镜头清洁、砍树枝杂草、含设备故障无法修复后的重新采购、更换、调试恢复等，故障修复时间满足业主需求</w:t>
            </w:r>
          </w:p>
        </w:tc>
        <w:tc>
          <w:tcPr>
            <w:tcW w:w="1415" w:type="dxa"/>
            <w:vAlign w:val="center"/>
          </w:tcPr>
          <w:p w14:paraId="419EEB7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660</w:t>
            </w:r>
          </w:p>
        </w:tc>
      </w:tr>
      <w:tr w14:paraId="3587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7C5B48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020" w:type="dxa"/>
            <w:vAlign w:val="center"/>
          </w:tcPr>
          <w:p w14:paraId="3D50AD0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补光灯维护费</w:t>
            </w:r>
          </w:p>
        </w:tc>
        <w:tc>
          <w:tcPr>
            <w:tcW w:w="1050" w:type="dxa"/>
            <w:vAlign w:val="center"/>
          </w:tcPr>
          <w:p w14:paraId="1CB769E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81台</w:t>
            </w:r>
          </w:p>
        </w:tc>
        <w:tc>
          <w:tcPr>
            <w:tcW w:w="6004" w:type="dxa"/>
            <w:vAlign w:val="center"/>
          </w:tcPr>
          <w:p w14:paraId="257FC890">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设备日常巡检、角度修正、故障维护、镜头清洁、砍树枝杂草、含设备故障无法修复后的重新采购、更换、调试恢复等，故障修复时间满足业主需求</w:t>
            </w:r>
          </w:p>
        </w:tc>
        <w:tc>
          <w:tcPr>
            <w:tcW w:w="1415" w:type="dxa"/>
            <w:vAlign w:val="center"/>
          </w:tcPr>
          <w:p w14:paraId="5DB9F6C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519.87</w:t>
            </w:r>
          </w:p>
        </w:tc>
      </w:tr>
      <w:tr w14:paraId="4DFC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0A443D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020" w:type="dxa"/>
            <w:vAlign w:val="center"/>
          </w:tcPr>
          <w:p w14:paraId="692C2E6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电费</w:t>
            </w:r>
          </w:p>
        </w:tc>
        <w:tc>
          <w:tcPr>
            <w:tcW w:w="1050" w:type="dxa"/>
            <w:vAlign w:val="center"/>
          </w:tcPr>
          <w:p w14:paraId="08F62F2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8点</w:t>
            </w:r>
          </w:p>
        </w:tc>
        <w:tc>
          <w:tcPr>
            <w:tcW w:w="6004" w:type="dxa"/>
            <w:vAlign w:val="center"/>
          </w:tcPr>
          <w:p w14:paraId="7328F63E">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监控点按600元/年</w:t>
            </w:r>
          </w:p>
        </w:tc>
        <w:tc>
          <w:tcPr>
            <w:tcW w:w="1415" w:type="dxa"/>
            <w:vAlign w:val="center"/>
          </w:tcPr>
          <w:p w14:paraId="4524C49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600</w:t>
            </w:r>
          </w:p>
        </w:tc>
      </w:tr>
      <w:tr w14:paraId="6795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1BD4183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020" w:type="dxa"/>
            <w:vAlign w:val="center"/>
          </w:tcPr>
          <w:p w14:paraId="49273FE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专用线路租用费</w:t>
            </w:r>
          </w:p>
        </w:tc>
        <w:tc>
          <w:tcPr>
            <w:tcW w:w="1050" w:type="dxa"/>
            <w:vAlign w:val="center"/>
          </w:tcPr>
          <w:p w14:paraId="6946FBC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315条</w:t>
            </w:r>
          </w:p>
        </w:tc>
        <w:tc>
          <w:tcPr>
            <w:tcW w:w="6004" w:type="dxa"/>
            <w:vAlign w:val="center"/>
          </w:tcPr>
          <w:p w14:paraId="7E396CE5">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按需求定制，满足使用要求大于等于50M</w:t>
            </w:r>
            <w:r>
              <w:rPr>
                <w:rFonts w:ascii="宋体" w:hAnsi="宋体" w:cs="宋体"/>
                <w:color w:val="auto"/>
                <w:sz w:val="24"/>
                <w:highlight w:val="none"/>
              </w:rPr>
              <w:t xml:space="preserve"> </w:t>
            </w:r>
          </w:p>
        </w:tc>
        <w:tc>
          <w:tcPr>
            <w:tcW w:w="1415" w:type="dxa"/>
            <w:vAlign w:val="center"/>
          </w:tcPr>
          <w:p w14:paraId="77A71B5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600</w:t>
            </w:r>
          </w:p>
        </w:tc>
      </w:tr>
      <w:tr w14:paraId="6902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3" w:type="dxa"/>
            <w:gridSpan w:val="5"/>
            <w:vAlign w:val="center"/>
          </w:tcPr>
          <w:p w14:paraId="4863B24D">
            <w:pPr>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二、新增前端视频监控智能感知</w:t>
            </w:r>
          </w:p>
        </w:tc>
      </w:tr>
      <w:tr w14:paraId="0ED6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0D935F3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020" w:type="dxa"/>
            <w:vAlign w:val="center"/>
          </w:tcPr>
          <w:p w14:paraId="08C2B99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智能感知摄像机</w:t>
            </w:r>
          </w:p>
        </w:tc>
        <w:tc>
          <w:tcPr>
            <w:tcW w:w="1050" w:type="dxa"/>
            <w:vAlign w:val="center"/>
          </w:tcPr>
          <w:p w14:paraId="4B6FCFFA">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50 台</w:t>
            </w:r>
          </w:p>
        </w:tc>
        <w:tc>
          <w:tcPr>
            <w:tcW w:w="6004" w:type="dxa"/>
            <w:vAlign w:val="center"/>
          </w:tcPr>
          <w:p w14:paraId="76148E75">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1、≥400万像素，具有不小于1/1.8"靶面尺寸，内置高性能芯片，像元尺寸不小于2.9um×2.9um。</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2、内置电动变焦镜头，分辨率设置≥2688×1520@25fps，分辨力不小于1500TVL。</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3、最低照度彩色≤0.0002 lx，黑白≤0.0001 lx，宽动态能力不小于120dB。</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4、采用深度学习算法，支持提取目标特征，形成深层可供学习的人脸图像，支持≥5个人脸库的管理，≥10万张人脸的导入，支持合计人脸库的存储空间≥1 GB，单张人脸不超过300 KB。</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5、支持全结构化、人脸抓拍、人脸比对、道路监控、智能事件模式的切换，支持H.264、H.265、MJPEG视频编码格式，且具有High Profile编码能力。</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6、内置混合补光灯，可对红外灯及白光灯功率进行调节。</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7、支持识别不低于5种车辆颜色，车辆车身颜色识别准确率不小于90%，支持捕获、识别新能源汽车专用车牌。</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8、在混合抓拍模式下，支持行人、非机动车和机动车的分类计数，支持将人脸与人体、车牌与车辆进行关联，行人、非机动车和机动车目标捕获率不低于90%。</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9、支持检出两眼瞳距20像素点以上的人脸图片，支持人脸快速比对，最佳比对方式设置，支持同时检测≥30个目标，并支持面部跟踪，支持侧脸过滤功能，可过滤上下、左右角度达到预设值的人脸。</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10、混合补光环境下补光距离≥30 m，支持防补光过曝开启和关闭，开启下支持自动和手动，手动支持根据距离等级控制补光灯亮度。</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11、支持三级用户权限管理，支持授权的用户和密码，支持IP地址过滤，支持GB35114安全加密。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12、不低于IP67防护等级，具有良好的环境适应性，可在-30℃~+60 ℃环境下正常工作。</w:t>
            </w:r>
          </w:p>
        </w:tc>
        <w:tc>
          <w:tcPr>
            <w:tcW w:w="1415" w:type="dxa"/>
            <w:vAlign w:val="center"/>
          </w:tcPr>
          <w:p w14:paraId="2D5D5EF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2550</w:t>
            </w:r>
          </w:p>
        </w:tc>
      </w:tr>
      <w:tr w14:paraId="3010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7C3B19E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020" w:type="dxa"/>
            <w:vAlign w:val="center"/>
          </w:tcPr>
          <w:p w14:paraId="3AF4FAD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抱杆横臂</w:t>
            </w:r>
          </w:p>
        </w:tc>
        <w:tc>
          <w:tcPr>
            <w:tcW w:w="1050" w:type="dxa"/>
            <w:vAlign w:val="center"/>
          </w:tcPr>
          <w:p w14:paraId="1D25C4E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50套</w:t>
            </w:r>
          </w:p>
        </w:tc>
        <w:tc>
          <w:tcPr>
            <w:tcW w:w="6004" w:type="dxa"/>
            <w:vAlign w:val="center"/>
          </w:tcPr>
          <w:p w14:paraId="48F9A3B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伸臂长50-100cm，Ø50mm，厚2mm，含安装扎带。</w:t>
            </w:r>
          </w:p>
        </w:tc>
        <w:tc>
          <w:tcPr>
            <w:tcW w:w="1415" w:type="dxa"/>
            <w:vAlign w:val="center"/>
          </w:tcPr>
          <w:p w14:paraId="7D57340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80</w:t>
            </w:r>
          </w:p>
        </w:tc>
      </w:tr>
      <w:tr w14:paraId="7D0A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69E079F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1020" w:type="dxa"/>
            <w:vAlign w:val="center"/>
          </w:tcPr>
          <w:p w14:paraId="0631603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摄像机电源</w:t>
            </w:r>
          </w:p>
        </w:tc>
        <w:tc>
          <w:tcPr>
            <w:tcW w:w="1050" w:type="dxa"/>
            <w:vAlign w:val="center"/>
          </w:tcPr>
          <w:p w14:paraId="3D02649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50个</w:t>
            </w:r>
          </w:p>
        </w:tc>
        <w:tc>
          <w:tcPr>
            <w:tcW w:w="6004" w:type="dxa"/>
            <w:vAlign w:val="center"/>
          </w:tcPr>
          <w:p w14:paraId="7DD8171B">
            <w:pPr>
              <w:widowControl/>
              <w:numPr>
                <w:ilvl w:val="0"/>
                <w:numId w:val="3"/>
              </w:numPr>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DC12V电源适配器。</w:t>
            </w:r>
          </w:p>
          <w:p w14:paraId="3256E529">
            <w:pPr>
              <w:widowControl/>
              <w:numPr>
                <w:ilvl w:val="0"/>
                <w:numId w:val="3"/>
              </w:numPr>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颜色: 黑色。</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3、安装方式: 壁挂式。</w:t>
            </w:r>
          </w:p>
          <w:p w14:paraId="15BC428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4、输入规格: AC176V~260V，50Hz，0.8A。</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5、输出规格: 额定：DC12V/1.5A；最大：DC12V/2.0A。</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6、输入效率≥85.00%。</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7、负载调整率: ±5%。</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8、纹波/噪声: 150mVp-p。</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9、输出功率: 24W Max。</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10、输入接口: 3C插头。</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11、输出接口形式: 裸线输出。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12、线长: 800mm。</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13、工作温度和湿度: 0℃~40℃,湿度10%~90%(无凝结)。</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14、产品尺寸（mm）: 75.0(L)*35.0(W)*28.0(H)。</w:t>
            </w:r>
          </w:p>
        </w:tc>
        <w:tc>
          <w:tcPr>
            <w:tcW w:w="1415" w:type="dxa"/>
            <w:vAlign w:val="center"/>
          </w:tcPr>
          <w:p w14:paraId="6249951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 xml:space="preserve">25.67 </w:t>
            </w:r>
          </w:p>
        </w:tc>
      </w:tr>
      <w:tr w14:paraId="75D3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7E3B3AB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020" w:type="dxa"/>
            <w:vAlign w:val="center"/>
          </w:tcPr>
          <w:p w14:paraId="0363A5D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RVV2X1.0电源线</w:t>
            </w:r>
          </w:p>
        </w:tc>
        <w:tc>
          <w:tcPr>
            <w:tcW w:w="1050" w:type="dxa"/>
            <w:vAlign w:val="center"/>
          </w:tcPr>
          <w:p w14:paraId="43A64DE8">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200 米</w:t>
            </w:r>
          </w:p>
        </w:tc>
        <w:tc>
          <w:tcPr>
            <w:tcW w:w="6004" w:type="dxa"/>
            <w:vAlign w:val="center"/>
          </w:tcPr>
          <w:p w14:paraId="3C81C914">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rvv2*1.0平方。</w:t>
            </w:r>
          </w:p>
        </w:tc>
        <w:tc>
          <w:tcPr>
            <w:tcW w:w="1415" w:type="dxa"/>
            <w:vAlign w:val="center"/>
          </w:tcPr>
          <w:p w14:paraId="20FDE21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 xml:space="preserve">3.20 </w:t>
            </w:r>
          </w:p>
        </w:tc>
      </w:tr>
      <w:tr w14:paraId="6CAF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4EF15D3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1020" w:type="dxa"/>
            <w:vAlign w:val="center"/>
          </w:tcPr>
          <w:p w14:paraId="3E85940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摄像机安装调试费</w:t>
            </w:r>
          </w:p>
        </w:tc>
        <w:tc>
          <w:tcPr>
            <w:tcW w:w="1050" w:type="dxa"/>
            <w:vAlign w:val="center"/>
          </w:tcPr>
          <w:p w14:paraId="1B446D5F">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50台</w:t>
            </w:r>
          </w:p>
        </w:tc>
        <w:tc>
          <w:tcPr>
            <w:tcW w:w="6004" w:type="dxa"/>
            <w:vAlign w:val="center"/>
          </w:tcPr>
          <w:p w14:paraId="5354B099">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含安装调试费、平台接入。</w:t>
            </w:r>
          </w:p>
        </w:tc>
        <w:tc>
          <w:tcPr>
            <w:tcW w:w="1415" w:type="dxa"/>
            <w:vAlign w:val="center"/>
          </w:tcPr>
          <w:p w14:paraId="32FEC4B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200</w:t>
            </w:r>
          </w:p>
        </w:tc>
      </w:tr>
      <w:tr w14:paraId="3A16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3845909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1020" w:type="dxa"/>
            <w:vAlign w:val="center"/>
          </w:tcPr>
          <w:p w14:paraId="72503B5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摄像机维护费</w:t>
            </w:r>
          </w:p>
        </w:tc>
        <w:tc>
          <w:tcPr>
            <w:tcW w:w="1050" w:type="dxa"/>
            <w:vAlign w:val="center"/>
          </w:tcPr>
          <w:p w14:paraId="2DF04C67">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50 台</w:t>
            </w:r>
          </w:p>
        </w:tc>
        <w:tc>
          <w:tcPr>
            <w:tcW w:w="6004" w:type="dxa"/>
            <w:vAlign w:val="center"/>
          </w:tcPr>
          <w:p w14:paraId="0A5782A9">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设备日常巡检、角度修正、故障维护、镜头清洁、砍树枝杂草、含设备故障无法修复后的重新采购、更换、调试恢复等，故障修复时间满足业主需求。</w:t>
            </w:r>
          </w:p>
        </w:tc>
        <w:tc>
          <w:tcPr>
            <w:tcW w:w="1415" w:type="dxa"/>
            <w:vAlign w:val="center"/>
          </w:tcPr>
          <w:p w14:paraId="776C88D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360</w:t>
            </w:r>
          </w:p>
        </w:tc>
      </w:tr>
      <w:tr w14:paraId="38C9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3" w:type="dxa"/>
            <w:gridSpan w:val="5"/>
          </w:tcPr>
          <w:p w14:paraId="5B46F7A5">
            <w:pPr>
              <w:snapToGrid w:val="0"/>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商务要求：</w:t>
            </w:r>
          </w:p>
          <w:p w14:paraId="78151F96">
            <w:pPr>
              <w:snapToGrid w:val="0"/>
              <w:spacing w:line="360" w:lineRule="auto"/>
              <w:rPr>
                <w:rFonts w:ascii="宋体" w:hAnsi="宋体" w:cs="宋体"/>
                <w:color w:val="auto"/>
                <w:sz w:val="24"/>
                <w:highlight w:val="none"/>
              </w:rPr>
            </w:pPr>
            <w:r>
              <w:rPr>
                <w:rFonts w:ascii="宋体" w:hAnsi="宋体" w:cs="宋体"/>
                <w:color w:val="auto"/>
                <w:sz w:val="24"/>
                <w:highlight w:val="none"/>
              </w:rPr>
              <w:t>1.服务期限：1年</w:t>
            </w:r>
            <w:r>
              <w:rPr>
                <w:rFonts w:hint="eastAsia" w:ascii="宋体" w:hAnsi="宋体" w:cs="宋体"/>
                <w:color w:val="auto"/>
                <w:sz w:val="24"/>
                <w:highlight w:val="none"/>
              </w:rPr>
              <w:t>（</w:t>
            </w:r>
            <w:r>
              <w:rPr>
                <w:rFonts w:ascii="宋体" w:hAnsi="宋体" w:cs="宋体"/>
                <w:color w:val="auto"/>
                <w:sz w:val="24"/>
                <w:highlight w:val="none"/>
              </w:rPr>
              <w:t>项目验收合格后</w:t>
            </w:r>
            <w:r>
              <w:rPr>
                <w:rFonts w:hint="eastAsia" w:ascii="宋体" w:hAnsi="宋体" w:cs="宋体"/>
                <w:color w:val="auto"/>
                <w:sz w:val="24"/>
                <w:highlight w:val="none"/>
              </w:rPr>
              <w:t>之日起）</w:t>
            </w:r>
            <w:r>
              <w:rPr>
                <w:rFonts w:ascii="宋体" w:hAnsi="宋体" w:cs="宋体"/>
                <w:color w:val="auto"/>
                <w:sz w:val="24"/>
                <w:highlight w:val="none"/>
              </w:rPr>
              <w:t>。</w:t>
            </w:r>
          </w:p>
          <w:p w14:paraId="54AE627D">
            <w:pPr>
              <w:snapToGrid w:val="0"/>
              <w:spacing w:line="360" w:lineRule="auto"/>
              <w:rPr>
                <w:rFonts w:ascii="宋体" w:hAnsi="宋体" w:cs="宋体"/>
                <w:color w:val="auto"/>
                <w:sz w:val="24"/>
                <w:highlight w:val="none"/>
              </w:rPr>
            </w:pPr>
            <w:r>
              <w:rPr>
                <w:rFonts w:ascii="宋体" w:hAnsi="宋体" w:cs="宋体"/>
                <w:color w:val="auto"/>
                <w:sz w:val="24"/>
                <w:highlight w:val="none"/>
              </w:rPr>
              <w:t>2.服务地点：防城港市采购人指定地点。</w:t>
            </w:r>
          </w:p>
          <w:p w14:paraId="56F554A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.合同签订时间: 自成交通知书发出之日起25个自然日内。</w:t>
            </w:r>
          </w:p>
          <w:p w14:paraId="204F8A8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.付款方式：</w:t>
            </w:r>
          </w:p>
          <w:p w14:paraId="78EFD52F">
            <w:pPr>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（一）前端视频监控点维护部分，</w:t>
            </w:r>
            <w:r>
              <w:rPr>
                <w:rFonts w:hint="eastAsia" w:ascii="宋体" w:hAnsi="宋体" w:cs="宋体"/>
                <w:color w:val="auto"/>
                <w:sz w:val="24"/>
                <w:highlight w:val="none"/>
              </w:rPr>
              <w:t>按月支付。该项目验收合格后，</w:t>
            </w:r>
            <w:r>
              <w:rPr>
                <w:rFonts w:ascii="宋体" w:hAnsi="宋体" w:cs="宋体"/>
                <w:color w:val="auto"/>
                <w:sz w:val="24"/>
                <w:highlight w:val="none"/>
              </w:rPr>
              <w:t>本月总使用费=合同总额/合同总月数。摄像头可用率=每天在线率之和/每月总天数</w:t>
            </w:r>
            <w:r>
              <w:rPr>
                <w:rFonts w:hint="eastAsia" w:ascii="宋体" w:hAnsi="宋体" w:cs="宋体"/>
                <w:color w:val="auto"/>
                <w:sz w:val="24"/>
                <w:highlight w:val="none"/>
              </w:rPr>
              <w:t>。视频监控计算方式如下:</w:t>
            </w:r>
          </w:p>
          <w:p w14:paraId="19257B17">
            <w:pPr>
              <w:snapToGrid w:val="0"/>
              <w:spacing w:line="360" w:lineRule="auto"/>
              <w:rPr>
                <w:rFonts w:ascii="宋体" w:hAnsi="宋体" w:cs="宋体"/>
                <w:color w:val="auto"/>
                <w:sz w:val="24"/>
                <w:highlight w:val="none"/>
              </w:rPr>
            </w:pPr>
            <w:r>
              <w:rPr>
                <w:rFonts w:ascii="宋体" w:hAnsi="宋体" w:cs="宋体"/>
                <w:color w:val="auto"/>
                <w:sz w:val="24"/>
                <w:highlight w:val="none"/>
              </w:rPr>
              <w:t>①摄像头可用率</w:t>
            </w:r>
            <w:r>
              <w:rPr>
                <w:rFonts w:hint="eastAsia" w:ascii="宋体" w:hAnsi="宋体" w:cs="宋体"/>
                <w:color w:val="auto"/>
                <w:sz w:val="24"/>
                <w:highlight w:val="none"/>
                <w:lang w:val="en-US" w:eastAsia="zh-CN"/>
              </w:rPr>
              <w:t>≥</w:t>
            </w:r>
            <w:r>
              <w:rPr>
                <w:rFonts w:ascii="宋体" w:hAnsi="宋体" w:cs="宋体"/>
                <w:color w:val="auto"/>
                <w:sz w:val="24"/>
                <w:highlight w:val="none"/>
              </w:rPr>
              <w:t>97%，本月应付使用费=合同总额/合同总月数*100%</w:t>
            </w:r>
            <w:r>
              <w:rPr>
                <w:rFonts w:hint="eastAsia" w:ascii="宋体" w:hAnsi="宋体" w:cs="宋体"/>
                <w:color w:val="auto"/>
                <w:sz w:val="24"/>
                <w:highlight w:val="none"/>
              </w:rPr>
              <w:t>；</w:t>
            </w:r>
          </w:p>
          <w:p w14:paraId="4D9FB064">
            <w:pPr>
              <w:snapToGrid w:val="0"/>
              <w:spacing w:line="360" w:lineRule="auto"/>
              <w:rPr>
                <w:rFonts w:ascii="宋体" w:hAnsi="宋体" w:cs="宋体"/>
                <w:color w:val="auto"/>
                <w:sz w:val="24"/>
                <w:highlight w:val="none"/>
              </w:rPr>
            </w:pPr>
            <w:r>
              <w:rPr>
                <w:rFonts w:ascii="宋体" w:hAnsi="宋体" w:cs="宋体"/>
                <w:color w:val="auto"/>
                <w:sz w:val="24"/>
                <w:highlight w:val="none"/>
              </w:rPr>
              <w:t>②92%</w:t>
            </w:r>
            <w:r>
              <w:rPr>
                <w:rFonts w:hint="eastAsia" w:ascii="宋体" w:hAnsi="宋体" w:cs="宋体"/>
                <w:color w:val="auto"/>
                <w:sz w:val="24"/>
                <w:highlight w:val="none"/>
                <w:lang w:val="en-US" w:eastAsia="zh-CN"/>
              </w:rPr>
              <w:t>≤</w:t>
            </w:r>
            <w:r>
              <w:rPr>
                <w:rFonts w:ascii="宋体" w:hAnsi="宋体" w:cs="宋体"/>
                <w:color w:val="auto"/>
                <w:sz w:val="24"/>
                <w:highlight w:val="none"/>
              </w:rPr>
              <w:t>摄像头可用率&lt;97%，本月应付使用费=本月总使用费-本月总使用费*(0.97-摄像头可用率)</w:t>
            </w:r>
            <w:r>
              <w:rPr>
                <w:rFonts w:hint="eastAsia" w:ascii="宋体" w:hAnsi="宋体" w:cs="宋体"/>
                <w:color w:val="auto"/>
                <w:sz w:val="24"/>
                <w:highlight w:val="none"/>
              </w:rPr>
              <w:t>；</w:t>
            </w:r>
          </w:p>
          <w:p w14:paraId="28B2A32B">
            <w:pPr>
              <w:snapToGrid w:val="0"/>
              <w:spacing w:line="360" w:lineRule="auto"/>
              <w:rPr>
                <w:rFonts w:ascii="宋体" w:hAnsi="宋体" w:cs="宋体"/>
                <w:color w:val="auto"/>
                <w:sz w:val="24"/>
                <w:highlight w:val="none"/>
              </w:rPr>
            </w:pPr>
            <w:r>
              <w:rPr>
                <w:rFonts w:ascii="宋体" w:hAnsi="宋体" w:cs="宋体"/>
                <w:color w:val="auto"/>
                <w:sz w:val="24"/>
                <w:highlight w:val="none"/>
              </w:rPr>
              <w:t>③80%</w:t>
            </w:r>
            <w:r>
              <w:rPr>
                <w:rFonts w:hint="eastAsia" w:ascii="宋体" w:hAnsi="宋体" w:cs="宋体"/>
                <w:color w:val="auto"/>
                <w:sz w:val="24"/>
                <w:highlight w:val="none"/>
                <w:lang w:val="en-US" w:eastAsia="zh-CN"/>
              </w:rPr>
              <w:t>≤</w:t>
            </w:r>
            <w:r>
              <w:rPr>
                <w:rFonts w:ascii="宋体" w:hAnsi="宋体" w:cs="宋体"/>
                <w:color w:val="auto"/>
                <w:sz w:val="24"/>
                <w:highlight w:val="none"/>
              </w:rPr>
              <w:t>摄像头可用率&lt;92%，本月应付使用费=本月总使用费*摄像头可用率*70%</w:t>
            </w:r>
            <w:r>
              <w:rPr>
                <w:rFonts w:hint="eastAsia" w:ascii="宋体" w:hAnsi="宋体" w:cs="宋体"/>
                <w:color w:val="auto"/>
                <w:sz w:val="24"/>
                <w:highlight w:val="none"/>
              </w:rPr>
              <w:t>；</w:t>
            </w:r>
          </w:p>
          <w:p w14:paraId="70C0BE73">
            <w:pPr>
              <w:snapToGrid w:val="0"/>
              <w:spacing w:line="360" w:lineRule="auto"/>
              <w:rPr>
                <w:rFonts w:ascii="宋体" w:hAnsi="宋体" w:cs="宋体"/>
                <w:color w:val="auto"/>
                <w:sz w:val="24"/>
                <w:highlight w:val="none"/>
              </w:rPr>
            </w:pPr>
            <w:r>
              <w:rPr>
                <w:rFonts w:ascii="宋体" w:hAnsi="宋体" w:cs="宋体"/>
                <w:color w:val="auto"/>
                <w:sz w:val="24"/>
                <w:highlight w:val="none"/>
              </w:rPr>
              <w:t>④摄像头可用率&lt;80%，本月应付使用费=本月总使用费*摄像头可用率*60%</w:t>
            </w:r>
            <w:r>
              <w:rPr>
                <w:rFonts w:hint="eastAsia" w:ascii="宋体" w:hAnsi="宋体" w:cs="宋体"/>
                <w:color w:val="auto"/>
                <w:sz w:val="24"/>
                <w:highlight w:val="none"/>
              </w:rPr>
              <w:t>；</w:t>
            </w:r>
          </w:p>
          <w:p w14:paraId="16AA5E1B">
            <w:pPr>
              <w:snapToGrid w:val="0"/>
              <w:spacing w:line="360" w:lineRule="auto"/>
              <w:rPr>
                <w:rFonts w:ascii="宋体" w:hAnsi="宋体" w:cs="宋体"/>
                <w:color w:val="auto"/>
                <w:sz w:val="24"/>
                <w:highlight w:val="none"/>
              </w:rPr>
            </w:pPr>
            <w:r>
              <w:rPr>
                <w:rFonts w:ascii="宋体" w:hAnsi="宋体" w:cs="宋体"/>
                <w:color w:val="auto"/>
                <w:sz w:val="24"/>
                <w:highlight w:val="none"/>
              </w:rPr>
              <w:t>⑤摄像头可用率说明:摄像头可用率=本项目当月运维管理监督系统统计的考核摄像头在线总天数，本项目当月运维管理监督系统统计的考核摄像头在线及非在线总天数，同时经过采购人的使用监督部门在每月使用中抽查，发现存在不符合第二点可用率标准的视为不可用。</w:t>
            </w:r>
          </w:p>
          <w:p w14:paraId="691CBBA6">
            <w:pPr>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（二）新增前端视频监控智能感知部分，</w:t>
            </w:r>
            <w:r>
              <w:rPr>
                <w:rFonts w:hint="eastAsia" w:ascii="宋体" w:hAnsi="宋体" w:cs="宋体"/>
                <w:color w:val="auto"/>
                <w:sz w:val="24"/>
                <w:highlight w:val="none"/>
              </w:rPr>
              <w:t>设备安装调试验收合格后，成交供应商开具有效发票给采购人，采购人启动支付流程，支付合同总额的95%，合同期满后，成交供应商开具有效发票给采购人，采购人启动支付流程，支付合同总额的5%（不计利息）</w:t>
            </w:r>
            <w:r>
              <w:rPr>
                <w:rFonts w:ascii="宋体" w:hAnsi="宋体" w:cs="宋体"/>
                <w:color w:val="auto"/>
                <w:sz w:val="24"/>
                <w:highlight w:val="none"/>
              </w:rPr>
              <w:t>。</w:t>
            </w:r>
          </w:p>
          <w:p w14:paraId="2B99DAF6">
            <w:pPr>
              <w:snapToGrid w:val="0"/>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5</w:t>
            </w:r>
            <w:r>
              <w:rPr>
                <w:rFonts w:ascii="宋体" w:hAnsi="宋体" w:cs="宋体"/>
                <w:b w:val="0"/>
                <w:bCs w:val="0"/>
                <w:color w:val="auto"/>
                <w:sz w:val="24"/>
                <w:highlight w:val="none"/>
              </w:rPr>
              <w:t>.验收标准：符合现行国家相关标准、行业标准、地方标准或者其他标准、规范。</w:t>
            </w:r>
          </w:p>
          <w:p w14:paraId="442A5F71">
            <w:pPr>
              <w:snapToGrid w:val="0"/>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自</w:t>
            </w:r>
            <w:r>
              <w:rPr>
                <w:rFonts w:hint="eastAsia" w:ascii="宋体" w:hAnsi="宋体" w:cs="宋体"/>
                <w:b w:val="0"/>
                <w:bCs w:val="0"/>
                <w:color w:val="auto"/>
                <w:sz w:val="24"/>
                <w:highlight w:val="none"/>
              </w:rPr>
              <w:t>合同签订起20个日历日内完成。</w:t>
            </w:r>
          </w:p>
          <w:p w14:paraId="6776850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ascii="宋体" w:hAnsi="宋体" w:cs="宋体"/>
                <w:color w:val="auto"/>
                <w:sz w:val="24"/>
                <w:highlight w:val="none"/>
              </w:rPr>
              <w:t>其他要求：</w:t>
            </w:r>
          </w:p>
          <w:p w14:paraId="08237636">
            <w:pPr>
              <w:snapToGrid w:val="0"/>
              <w:spacing w:line="360" w:lineRule="auto"/>
              <w:rPr>
                <w:rFonts w:ascii="宋体" w:hAnsi="宋体" w:cs="宋体"/>
                <w:color w:val="auto"/>
                <w:sz w:val="24"/>
                <w:highlight w:val="none"/>
              </w:rPr>
            </w:pPr>
            <w:r>
              <w:rPr>
                <w:rFonts w:ascii="宋体" w:hAnsi="宋体" w:cs="宋体"/>
                <w:color w:val="auto"/>
                <w:sz w:val="24"/>
                <w:highlight w:val="none"/>
              </w:rPr>
              <w:t>（1）发生故障后30分钟内响应，4小时内到达现场处理。48小时内恢复正常使用，不可抗力除外</w:t>
            </w:r>
            <w:r>
              <w:rPr>
                <w:rFonts w:hint="eastAsia" w:ascii="宋体" w:hAnsi="宋体" w:cs="宋体"/>
                <w:color w:val="auto"/>
                <w:sz w:val="24"/>
                <w:highlight w:val="none"/>
              </w:rPr>
              <w:t>；</w:t>
            </w:r>
            <w:r>
              <w:rPr>
                <w:rFonts w:ascii="宋体" w:hAnsi="宋体" w:cs="宋体"/>
                <w:color w:val="auto"/>
                <w:sz w:val="24"/>
                <w:highlight w:val="none"/>
              </w:rPr>
              <w:t xml:space="preserve">提供7×24小时电话热线咨询服务，并为本项目指定售后工程师受理日常维护、使用及平时维护抢修等工作。 </w:t>
            </w:r>
          </w:p>
          <w:p w14:paraId="59992034">
            <w:pPr>
              <w:snapToGrid w:val="0"/>
              <w:spacing w:line="360" w:lineRule="auto"/>
              <w:rPr>
                <w:rFonts w:ascii="宋体" w:hAnsi="宋体" w:cs="宋体"/>
                <w:color w:val="auto"/>
                <w:sz w:val="24"/>
                <w:highlight w:val="none"/>
              </w:rPr>
            </w:pPr>
            <w:r>
              <w:rPr>
                <w:rFonts w:ascii="宋体" w:hAnsi="宋体" w:cs="宋体"/>
                <w:color w:val="auto"/>
                <w:sz w:val="24"/>
                <w:highlight w:val="none"/>
              </w:rPr>
              <w:t>（2）报价必须含</w:t>
            </w:r>
            <w:r>
              <w:rPr>
                <w:rFonts w:hint="eastAsia" w:ascii="宋体" w:hAnsi="宋体" w:cs="宋体"/>
                <w:color w:val="auto"/>
                <w:sz w:val="24"/>
                <w:highlight w:val="none"/>
              </w:rPr>
              <w:t>服务期内的前端监控正常维护、人员培训费用、安装和监控线路的租用费、迁改点位服务费用，随配附件、备品备件、工具、货物运抵指定交货地点的各种费用和售后服务、税金及其它所有成本费用的总和。</w:t>
            </w:r>
          </w:p>
          <w:p w14:paraId="64E1DC78">
            <w:pPr>
              <w:snapToGrid w:val="0"/>
              <w:spacing w:line="360" w:lineRule="auto"/>
              <w:rPr>
                <w:rFonts w:ascii="宋体" w:hAnsi="宋体" w:cs="宋体"/>
                <w:color w:val="auto"/>
                <w:sz w:val="24"/>
                <w:highlight w:val="none"/>
              </w:rPr>
            </w:pPr>
            <w:r>
              <w:rPr>
                <w:rFonts w:ascii="宋体" w:hAnsi="宋体" w:cs="宋体"/>
                <w:color w:val="auto"/>
                <w:sz w:val="24"/>
                <w:highlight w:val="none"/>
              </w:rPr>
              <w:t>（4）供应商提供的产品及服务必须保证具备自有知识产权，如发生与知识产权有关的纠纷，由成交供应商解决并承担全部责任，与采购人无关。</w:t>
            </w:r>
          </w:p>
          <w:p w14:paraId="2616E18A">
            <w:pPr>
              <w:snapToGrid w:val="0"/>
              <w:spacing w:line="360" w:lineRule="auto"/>
              <w:rPr>
                <w:rFonts w:ascii="宋体" w:hAnsi="宋体" w:cs="宋体"/>
                <w:color w:val="auto"/>
                <w:sz w:val="24"/>
                <w:highlight w:val="none"/>
              </w:rPr>
            </w:pPr>
            <w:r>
              <w:rPr>
                <w:rFonts w:ascii="宋体" w:hAnsi="宋体" w:cs="宋体"/>
                <w:color w:val="auto"/>
                <w:sz w:val="24"/>
                <w:highlight w:val="none"/>
              </w:rPr>
              <w:t>（5）知识产权归属：本项目取得成果的所有权归采购人所有，未经许可，成交供应商不得以任何形式转让或提供第三方。</w:t>
            </w:r>
          </w:p>
          <w:p w14:paraId="39586EA8">
            <w:pPr>
              <w:snapToGrid w:val="0"/>
              <w:spacing w:line="360" w:lineRule="auto"/>
              <w:rPr>
                <w:rFonts w:ascii="宋体" w:hAnsi="宋体" w:cs="宋体"/>
                <w:b/>
                <w:bCs/>
                <w:color w:val="auto"/>
                <w:sz w:val="24"/>
                <w:highlight w:val="none"/>
              </w:rPr>
            </w:pPr>
            <w:r>
              <w:rPr>
                <w:rFonts w:ascii="宋体" w:hAnsi="宋体" w:cs="宋体"/>
                <w:b/>
                <w:bCs/>
                <w:color w:val="auto"/>
                <w:sz w:val="24"/>
                <w:highlight w:val="none"/>
              </w:rPr>
              <w:t>（</w:t>
            </w:r>
            <w:r>
              <w:rPr>
                <w:rFonts w:hint="eastAsia" w:ascii="宋体" w:hAnsi="宋体" w:cs="宋体"/>
                <w:b/>
                <w:bCs/>
                <w:color w:val="auto"/>
                <w:sz w:val="24"/>
                <w:highlight w:val="none"/>
              </w:rPr>
              <w:t>6</w:t>
            </w:r>
            <w:r>
              <w:rPr>
                <w:rFonts w:ascii="宋体" w:hAnsi="宋体" w:cs="宋体"/>
                <w:b/>
                <w:bCs/>
                <w:color w:val="auto"/>
                <w:sz w:val="24"/>
                <w:highlight w:val="none"/>
              </w:rPr>
              <w:t>）摄像头可用率标准</w:t>
            </w:r>
          </w:p>
          <w:p w14:paraId="6EF24290">
            <w:pPr>
              <w:snapToGrid w:val="0"/>
              <w:spacing w:line="360" w:lineRule="auto"/>
              <w:rPr>
                <w:rFonts w:ascii="宋体" w:hAnsi="宋体" w:cs="宋体"/>
                <w:color w:val="auto"/>
                <w:sz w:val="24"/>
                <w:highlight w:val="none"/>
              </w:rPr>
            </w:pPr>
            <w:r>
              <w:rPr>
                <w:rFonts w:ascii="宋体" w:hAnsi="宋体" w:cs="宋体"/>
                <w:color w:val="auto"/>
                <w:sz w:val="24"/>
                <w:highlight w:val="none"/>
              </w:rPr>
              <w:t>①枪机被树叶遮挡超过 1/3,球机完全被树叶环抱遮挡,则视为不可用, 由中标人负责消除影响因素恢复后，该监控点才算可用</w:t>
            </w:r>
            <w:r>
              <w:rPr>
                <w:rFonts w:hint="eastAsia" w:ascii="宋体" w:hAnsi="宋体" w:cs="宋体"/>
                <w:color w:val="auto"/>
                <w:sz w:val="24"/>
                <w:highlight w:val="none"/>
              </w:rPr>
              <w:t>；</w:t>
            </w:r>
          </w:p>
          <w:p w14:paraId="5CE61243">
            <w:pPr>
              <w:snapToGrid w:val="0"/>
              <w:spacing w:line="360" w:lineRule="auto"/>
              <w:rPr>
                <w:rFonts w:ascii="宋体" w:hAnsi="宋体" w:cs="宋体"/>
                <w:color w:val="auto"/>
                <w:sz w:val="24"/>
                <w:highlight w:val="none"/>
              </w:rPr>
            </w:pPr>
            <w:r>
              <w:rPr>
                <w:rFonts w:ascii="宋体" w:hAnsi="宋体" w:cs="宋体"/>
                <w:color w:val="auto"/>
                <w:sz w:val="24"/>
                <w:highlight w:val="none"/>
              </w:rPr>
              <w:t>②枪机、球机护罩表面被灰尘严重覆盖或摄像机损坏，导致图像模糊不可用，则视为不可用，由中标人负责擦拭干净护罩镜头或维修，让图像恢复清晰，该点才算可用</w:t>
            </w:r>
            <w:r>
              <w:rPr>
                <w:rFonts w:hint="eastAsia" w:ascii="宋体" w:hAnsi="宋体" w:cs="宋体"/>
                <w:color w:val="auto"/>
                <w:sz w:val="24"/>
                <w:highlight w:val="none"/>
              </w:rPr>
              <w:t>；</w:t>
            </w:r>
          </w:p>
          <w:p w14:paraId="51304924">
            <w:pPr>
              <w:snapToGrid w:val="0"/>
              <w:spacing w:line="360" w:lineRule="auto"/>
              <w:rPr>
                <w:rFonts w:ascii="宋体" w:hAnsi="宋体" w:cs="宋体"/>
                <w:color w:val="auto"/>
                <w:sz w:val="24"/>
                <w:highlight w:val="none"/>
              </w:rPr>
            </w:pPr>
            <w:r>
              <w:rPr>
                <w:rFonts w:ascii="宋体" w:hAnsi="宋体" w:cs="宋体"/>
                <w:color w:val="auto"/>
                <w:sz w:val="24"/>
                <w:highlight w:val="none"/>
              </w:rPr>
              <w:t>③人像/车辆卡口抓拍图片模糊不可用的情况下，单路摄像头视为不可用，由中标人负责修复至清晰，才算该摄像头可用</w:t>
            </w:r>
            <w:r>
              <w:rPr>
                <w:rFonts w:hint="eastAsia" w:ascii="宋体" w:hAnsi="宋体" w:cs="宋体"/>
                <w:color w:val="auto"/>
                <w:sz w:val="24"/>
                <w:highlight w:val="none"/>
              </w:rPr>
              <w:t>；</w:t>
            </w:r>
          </w:p>
          <w:p w14:paraId="58458FF2">
            <w:pPr>
              <w:snapToGrid w:val="0"/>
              <w:spacing w:line="360" w:lineRule="auto"/>
              <w:rPr>
                <w:rFonts w:ascii="宋体" w:hAnsi="宋体" w:cs="宋体"/>
                <w:color w:val="auto"/>
                <w:sz w:val="24"/>
                <w:highlight w:val="none"/>
              </w:rPr>
            </w:pPr>
            <w:r>
              <w:rPr>
                <w:rFonts w:ascii="宋体" w:hAnsi="宋体" w:cs="宋体"/>
                <w:color w:val="auto"/>
                <w:sz w:val="24"/>
                <w:highlight w:val="none"/>
              </w:rPr>
              <w:t>④摄像机图像后端平台不可调用,则视为不可用,由中标人负责维修,让图像可调用后，该点才算可用。该点才算可用</w:t>
            </w:r>
            <w:r>
              <w:rPr>
                <w:rFonts w:hint="eastAsia" w:ascii="宋体" w:hAnsi="宋体" w:cs="宋体"/>
                <w:color w:val="auto"/>
                <w:sz w:val="24"/>
                <w:highlight w:val="none"/>
              </w:rPr>
              <w:t>；</w:t>
            </w:r>
          </w:p>
          <w:p w14:paraId="08617AD9">
            <w:pPr>
              <w:snapToGrid w:val="0"/>
              <w:spacing w:line="360" w:lineRule="auto"/>
              <w:rPr>
                <w:rFonts w:ascii="宋体" w:hAnsi="宋体" w:cs="宋体"/>
                <w:color w:val="auto"/>
                <w:sz w:val="24"/>
                <w:highlight w:val="none"/>
              </w:rPr>
            </w:pPr>
            <w:r>
              <w:rPr>
                <w:rFonts w:ascii="宋体" w:hAnsi="宋体" w:cs="宋体"/>
                <w:color w:val="auto"/>
                <w:sz w:val="24"/>
                <w:highlight w:val="none"/>
              </w:rPr>
              <w:t>⑤摄像机无坐标等图像信息的,则视为不可用，由中标人负责去维修，让摄像机具备坐标等图像信息后，该点才算可用</w:t>
            </w:r>
            <w:r>
              <w:rPr>
                <w:rFonts w:hint="eastAsia" w:ascii="宋体" w:hAnsi="宋体" w:cs="宋体"/>
                <w:color w:val="auto"/>
                <w:sz w:val="24"/>
                <w:highlight w:val="none"/>
              </w:rPr>
              <w:t>；</w:t>
            </w:r>
          </w:p>
          <w:p w14:paraId="34E7FC8D">
            <w:pPr>
              <w:snapToGrid w:val="0"/>
              <w:spacing w:line="360" w:lineRule="auto"/>
              <w:rPr>
                <w:rFonts w:ascii="宋体" w:hAnsi="宋体" w:cs="宋体"/>
                <w:color w:val="auto"/>
                <w:sz w:val="24"/>
                <w:highlight w:val="none"/>
              </w:rPr>
            </w:pPr>
            <w:r>
              <w:rPr>
                <w:rFonts w:ascii="宋体" w:hAnsi="宋体" w:cs="宋体"/>
                <w:color w:val="auto"/>
                <w:sz w:val="24"/>
                <w:highlight w:val="none"/>
              </w:rPr>
              <w:t>⑥摄像头可用率考核指标免责范围包括城市建设工程导致前端监控点拆迁断电断网，地震台风水灾车祸等不可抗力的自然灾害引起的前端监控点被破坏。免考核摄像头由中标人通过书面形式来函提交给考核单位确认。因城市建设工程导致前端监控点拆迁断电断网的，在中标人没有修复完成可用之前，采购人不支付该前端监控点的前端运维费和线路费</w:t>
            </w:r>
            <w:r>
              <w:rPr>
                <w:rFonts w:hint="eastAsia" w:ascii="宋体" w:hAnsi="宋体" w:cs="宋体"/>
                <w:color w:val="auto"/>
                <w:sz w:val="24"/>
                <w:highlight w:val="none"/>
              </w:rPr>
              <w:t>；</w:t>
            </w:r>
          </w:p>
          <w:p w14:paraId="5BAD9114">
            <w:pPr>
              <w:snapToGrid w:val="0"/>
              <w:spacing w:line="360" w:lineRule="auto"/>
              <w:rPr>
                <w:rFonts w:ascii="宋体" w:hAnsi="宋体" w:cs="宋体"/>
                <w:color w:val="auto"/>
                <w:sz w:val="24"/>
                <w:highlight w:val="none"/>
              </w:rPr>
            </w:pPr>
            <w:r>
              <w:rPr>
                <w:rFonts w:ascii="宋体" w:hAnsi="宋体" w:cs="宋体"/>
                <w:color w:val="auto"/>
                <w:sz w:val="24"/>
                <w:highlight w:val="none"/>
              </w:rPr>
              <w:t>⑦电改造线路，恢复电后3个工作日内必须恢复在线，否则属于不可用；</w:t>
            </w:r>
          </w:p>
          <w:p w14:paraId="2C9F37D6">
            <w:pPr>
              <w:snapToGrid w:val="0"/>
              <w:spacing w:line="360" w:lineRule="auto"/>
              <w:rPr>
                <w:rFonts w:ascii="宋体" w:hAnsi="宋体" w:cs="宋体"/>
                <w:color w:val="auto"/>
                <w:sz w:val="24"/>
                <w:highlight w:val="none"/>
              </w:rPr>
            </w:pPr>
            <w:r>
              <w:rPr>
                <w:rFonts w:ascii="宋体" w:hAnsi="宋体" w:cs="宋体"/>
                <w:color w:val="auto"/>
                <w:sz w:val="24"/>
                <w:highlight w:val="none"/>
              </w:rPr>
              <w:t>⑧前端被偷或者被撞，由乙方负责协调处置同时落实设备安装，需在24小时内恢复，涉及杆体的在30个日历日内恢复；</w:t>
            </w:r>
          </w:p>
          <w:p w14:paraId="77ADD660">
            <w:pPr>
              <w:snapToGrid w:val="0"/>
              <w:spacing w:line="360" w:lineRule="auto"/>
              <w:rPr>
                <w:rFonts w:ascii="宋体" w:hAnsi="宋体" w:cs="宋体"/>
                <w:color w:val="auto"/>
                <w:sz w:val="24"/>
                <w:highlight w:val="none"/>
              </w:rPr>
            </w:pPr>
            <w:r>
              <w:rPr>
                <w:rFonts w:ascii="宋体" w:hAnsi="宋体" w:cs="宋体"/>
                <w:color w:val="auto"/>
                <w:sz w:val="24"/>
                <w:highlight w:val="none"/>
              </w:rPr>
              <w:t>⑨同一个点位连续72小时不在线的，不可用率*2，超过96小时不在线的，不可用率*3，以此类推。例如：天网五期项目共100个点位，其中有3个不在线，在线率97%，但因3个中的1个点位连续72小时不在线，那就相当于4个不在线，合计在线率只有96%。</w:t>
            </w:r>
          </w:p>
          <w:p w14:paraId="1A443BC4">
            <w:pPr>
              <w:snapToGrid w:val="0"/>
              <w:spacing w:line="360" w:lineRule="auto"/>
              <w:rPr>
                <w:rFonts w:ascii="宋体" w:hAnsi="宋体" w:cs="宋体"/>
                <w:b/>
                <w:bCs/>
                <w:color w:val="auto"/>
                <w:sz w:val="24"/>
                <w:highlight w:val="none"/>
              </w:rPr>
            </w:pPr>
            <w:r>
              <w:rPr>
                <w:rFonts w:ascii="宋体" w:hAnsi="宋体" w:cs="宋体"/>
                <w:b/>
                <w:bCs/>
                <w:color w:val="auto"/>
                <w:sz w:val="24"/>
                <w:highlight w:val="none"/>
              </w:rPr>
              <w:t>以上</w:t>
            </w:r>
            <w:r>
              <w:rPr>
                <w:rFonts w:ascii="宋体" w:hAnsi="宋体" w:cs="宋体"/>
                <w:color w:val="auto"/>
                <w:sz w:val="24"/>
                <w:highlight w:val="none"/>
              </w:rPr>
              <w:t>①～⑨</w:t>
            </w:r>
            <w:r>
              <w:rPr>
                <w:rFonts w:ascii="宋体" w:hAnsi="宋体" w:cs="宋体"/>
                <w:b/>
                <w:bCs/>
                <w:color w:val="auto"/>
                <w:sz w:val="24"/>
                <w:highlight w:val="none"/>
              </w:rPr>
              <w:t>条款需同时满足方为可用。</w:t>
            </w:r>
          </w:p>
          <w:p w14:paraId="0C89F687">
            <w:pPr>
              <w:snapToGrid w:val="0"/>
              <w:spacing w:line="360" w:lineRule="auto"/>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7</w:t>
            </w:r>
            <w:r>
              <w:rPr>
                <w:rFonts w:ascii="宋体" w:hAnsi="宋体" w:cs="宋体"/>
                <w:color w:val="auto"/>
                <w:sz w:val="24"/>
                <w:highlight w:val="none"/>
              </w:rPr>
              <w:t>）服务期内，</w:t>
            </w:r>
            <w:r>
              <w:rPr>
                <w:rFonts w:hint="eastAsia" w:ascii="宋体" w:hAnsi="宋体" w:cs="宋体"/>
                <w:color w:val="auto"/>
                <w:sz w:val="24"/>
                <w:highlight w:val="none"/>
              </w:rPr>
              <w:t>成交</w:t>
            </w:r>
            <w:r>
              <w:rPr>
                <w:rFonts w:ascii="宋体" w:hAnsi="宋体" w:cs="宋体"/>
                <w:color w:val="auto"/>
                <w:sz w:val="24"/>
                <w:highlight w:val="none"/>
              </w:rPr>
              <w:t>人需提供&gt;5%的免费本项目前端监控点点位迁改服务及&gt;10%的免费前端监控摄像头迁改服务。具体点位由采购人进行确认，迁改费用含在本次报价中。</w:t>
            </w:r>
          </w:p>
          <w:p w14:paraId="4BD43641">
            <w:pPr>
              <w:snapToGrid w:val="0"/>
              <w:spacing w:line="360" w:lineRule="auto"/>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8</w:t>
            </w:r>
            <w:r>
              <w:rPr>
                <w:rFonts w:ascii="宋体" w:hAnsi="宋体" w:cs="宋体"/>
                <w:color w:val="auto"/>
                <w:sz w:val="24"/>
                <w:highlight w:val="none"/>
              </w:rPr>
              <w:t>）</w:t>
            </w:r>
            <w:r>
              <w:rPr>
                <w:rFonts w:hint="eastAsia" w:ascii="宋体" w:hAnsi="宋体" w:cs="宋体"/>
                <w:color w:val="auto"/>
                <w:sz w:val="24"/>
                <w:highlight w:val="none"/>
              </w:rPr>
              <w:t>成交</w:t>
            </w:r>
            <w:r>
              <w:rPr>
                <w:rFonts w:ascii="宋体" w:hAnsi="宋体" w:cs="宋体"/>
                <w:color w:val="auto"/>
                <w:sz w:val="24"/>
                <w:highlight w:val="none"/>
              </w:rPr>
              <w:t>人提供备品备件，项目验收后设备故障均由</w:t>
            </w:r>
            <w:r>
              <w:rPr>
                <w:rFonts w:hint="eastAsia" w:ascii="宋体" w:hAnsi="宋体" w:cs="宋体"/>
                <w:color w:val="auto"/>
                <w:sz w:val="24"/>
                <w:highlight w:val="none"/>
              </w:rPr>
              <w:t>成交</w:t>
            </w:r>
            <w:r>
              <w:rPr>
                <w:rFonts w:ascii="宋体" w:hAnsi="宋体" w:cs="宋体"/>
                <w:color w:val="auto"/>
                <w:sz w:val="24"/>
                <w:highlight w:val="none"/>
              </w:rPr>
              <w:t>人按照摄像头可用率标准的执行。</w:t>
            </w:r>
          </w:p>
          <w:p w14:paraId="3076126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备品备件需提供与原前端相当或优于的备品备件，在前端出现损坏或故障后，需于24小时内更换备品备件。</w:t>
            </w:r>
          </w:p>
          <w:p w14:paraId="182F129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前端摄像机必须满足GA/T751-2008视频图像文字标注规范，且更换的前端必须符合G/B28181-2016和GA/T1400.1-2017的标准。</w:t>
            </w:r>
          </w:p>
          <w:p w14:paraId="499523D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按照采购人要求完善项目的一机一档相关信息；</w:t>
            </w:r>
          </w:p>
          <w:p w14:paraId="701C8C6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cs="宋体"/>
                <w:color w:val="auto"/>
                <w:sz w:val="24"/>
                <w:highlight w:val="none"/>
              </w:rPr>
              <w:t>对原来的杆体编号按照采购人要求重新进行喷漆</w:t>
            </w:r>
          </w:p>
          <w:p w14:paraId="4B6588C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竞标</w:t>
            </w:r>
            <w:r>
              <w:rPr>
                <w:rFonts w:hint="eastAsia" w:ascii="宋体" w:hAnsi="宋体" w:cs="宋体"/>
                <w:color w:val="auto"/>
                <w:sz w:val="24"/>
                <w:highlight w:val="none"/>
              </w:rPr>
              <w:t>供应商做廉洁自律承诺书</w:t>
            </w:r>
          </w:p>
          <w:p w14:paraId="45EE37FF">
            <w:pPr>
              <w:snapToGrid w:val="0"/>
              <w:spacing w:line="360" w:lineRule="auto"/>
              <w:rPr>
                <w:rFonts w:ascii="宋体" w:hAnsi="宋体" w:cs="宋体"/>
                <w:b/>
                <w:bCs/>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13</w:t>
            </w:r>
            <w:r>
              <w:rPr>
                <w:rFonts w:ascii="宋体" w:hAnsi="宋体" w:cs="宋体"/>
                <w:color w:val="auto"/>
                <w:sz w:val="24"/>
                <w:highlight w:val="none"/>
              </w:rPr>
              <w:t>）</w:t>
            </w:r>
            <w:r>
              <w:rPr>
                <w:rFonts w:hint="eastAsia" w:ascii="宋体" w:hAnsi="宋体" w:cs="宋体"/>
                <w:color w:val="auto"/>
                <w:sz w:val="24"/>
                <w:highlight w:val="none"/>
              </w:rPr>
              <w:t>成交</w:t>
            </w:r>
            <w:r>
              <w:rPr>
                <w:rFonts w:ascii="宋体" w:hAnsi="宋体" w:cs="宋体"/>
                <w:color w:val="auto"/>
                <w:sz w:val="24"/>
                <w:highlight w:val="none"/>
              </w:rPr>
              <w:t>人在维护过程中如发生一机两用违规外联的，每出现一次当月扣2万元，如多次发生的顺延。</w:t>
            </w:r>
          </w:p>
        </w:tc>
      </w:tr>
    </w:tbl>
    <w:p w14:paraId="6E73F438">
      <w:pPr>
        <w:spacing w:line="360" w:lineRule="auto"/>
        <w:ind w:left="119"/>
        <w:rPr>
          <w:rFonts w:ascii="宋体" w:hAnsi="宋体" w:cs="宋体"/>
          <w:color w:val="auto"/>
          <w:sz w:val="32"/>
          <w:szCs w:val="32"/>
          <w:highlight w:val="none"/>
        </w:rPr>
      </w:pPr>
    </w:p>
    <w:p w14:paraId="5ACE0B32">
      <w:pPr>
        <w:spacing w:line="360" w:lineRule="auto"/>
        <w:ind w:left="119"/>
        <w:rPr>
          <w:rFonts w:ascii="宋体" w:hAnsi="宋体" w:cs="宋体"/>
          <w:color w:val="auto"/>
          <w:sz w:val="32"/>
          <w:szCs w:val="32"/>
          <w:highlight w:val="none"/>
        </w:rPr>
      </w:pPr>
    </w:p>
    <w:p w14:paraId="7EE9012A">
      <w:pPr>
        <w:spacing w:line="360" w:lineRule="auto"/>
        <w:ind w:left="119"/>
        <w:rPr>
          <w:rFonts w:ascii="宋体" w:hAnsi="宋体" w:cs="宋体"/>
          <w:color w:val="auto"/>
          <w:sz w:val="32"/>
          <w:szCs w:val="32"/>
          <w:highlight w:val="none"/>
        </w:rPr>
      </w:pPr>
    </w:p>
    <w:p w14:paraId="0D5B926A">
      <w:pPr>
        <w:spacing w:line="360" w:lineRule="auto"/>
        <w:ind w:left="119"/>
        <w:rPr>
          <w:rFonts w:ascii="宋体" w:hAnsi="宋体" w:cs="宋体"/>
          <w:color w:val="auto"/>
          <w:sz w:val="32"/>
          <w:szCs w:val="32"/>
          <w:highlight w:val="none"/>
        </w:rPr>
      </w:pPr>
    </w:p>
    <w:p w14:paraId="7CCB844A">
      <w:pPr>
        <w:spacing w:line="360" w:lineRule="auto"/>
        <w:ind w:left="119"/>
        <w:rPr>
          <w:rFonts w:ascii="宋体" w:hAnsi="宋体" w:cs="宋体"/>
          <w:color w:val="auto"/>
          <w:sz w:val="32"/>
          <w:szCs w:val="32"/>
          <w:highlight w:val="none"/>
        </w:rPr>
      </w:pPr>
    </w:p>
    <w:p w14:paraId="04A2C6BE">
      <w:pPr>
        <w:spacing w:line="360" w:lineRule="auto"/>
        <w:ind w:left="119"/>
        <w:rPr>
          <w:rFonts w:ascii="宋体" w:hAnsi="宋体" w:cs="宋体"/>
          <w:color w:val="auto"/>
          <w:sz w:val="32"/>
          <w:szCs w:val="32"/>
          <w:highlight w:val="none"/>
        </w:rPr>
      </w:pPr>
    </w:p>
    <w:p w14:paraId="6437E815">
      <w:pPr>
        <w:spacing w:line="360" w:lineRule="auto"/>
        <w:ind w:left="119"/>
        <w:rPr>
          <w:rFonts w:ascii="宋体" w:hAnsi="宋体" w:cs="宋体"/>
          <w:color w:val="auto"/>
          <w:sz w:val="32"/>
          <w:szCs w:val="32"/>
          <w:highlight w:val="none"/>
        </w:rPr>
      </w:pPr>
    </w:p>
    <w:p w14:paraId="1CE9060B">
      <w:pPr>
        <w:spacing w:line="360" w:lineRule="auto"/>
        <w:ind w:left="119"/>
        <w:rPr>
          <w:rFonts w:ascii="宋体" w:hAnsi="宋体" w:cs="宋体"/>
          <w:color w:val="auto"/>
          <w:sz w:val="32"/>
          <w:szCs w:val="32"/>
          <w:highlight w:val="none"/>
        </w:rPr>
      </w:pPr>
    </w:p>
    <w:p w14:paraId="3B43A1DA">
      <w:pPr>
        <w:spacing w:line="360" w:lineRule="auto"/>
        <w:ind w:left="119"/>
        <w:rPr>
          <w:rFonts w:ascii="宋体" w:hAnsi="宋体" w:cs="宋体"/>
          <w:color w:val="auto"/>
          <w:sz w:val="32"/>
          <w:szCs w:val="32"/>
          <w:highlight w:val="none"/>
        </w:rPr>
      </w:pPr>
    </w:p>
    <w:p w14:paraId="389A8607">
      <w:pPr>
        <w:spacing w:line="360" w:lineRule="auto"/>
        <w:ind w:left="119"/>
        <w:rPr>
          <w:rFonts w:ascii="宋体" w:hAnsi="宋体" w:cs="宋体"/>
          <w:color w:val="auto"/>
          <w:sz w:val="32"/>
          <w:szCs w:val="32"/>
          <w:highlight w:val="none"/>
        </w:rPr>
      </w:pPr>
    </w:p>
    <w:p w14:paraId="5AD94E36">
      <w:pPr>
        <w:spacing w:line="360" w:lineRule="auto"/>
        <w:ind w:left="119"/>
        <w:rPr>
          <w:rFonts w:ascii="宋体" w:hAnsi="宋体" w:cs="宋体"/>
          <w:color w:val="auto"/>
          <w:sz w:val="32"/>
          <w:szCs w:val="32"/>
          <w:highlight w:val="none"/>
        </w:rPr>
      </w:pPr>
    </w:p>
    <w:p w14:paraId="2D7671F6">
      <w:pPr>
        <w:spacing w:line="360" w:lineRule="auto"/>
        <w:ind w:left="119"/>
        <w:rPr>
          <w:rFonts w:ascii="宋体" w:hAnsi="宋体" w:cs="宋体"/>
          <w:color w:val="auto"/>
          <w:sz w:val="32"/>
          <w:szCs w:val="32"/>
          <w:highlight w:val="none"/>
        </w:rPr>
      </w:pPr>
    </w:p>
    <w:p w14:paraId="0CC08111">
      <w:pPr>
        <w:spacing w:line="360" w:lineRule="auto"/>
        <w:ind w:left="119"/>
        <w:rPr>
          <w:rFonts w:ascii="宋体" w:hAnsi="宋体" w:cs="宋体"/>
          <w:color w:val="auto"/>
          <w:sz w:val="32"/>
          <w:szCs w:val="32"/>
          <w:highlight w:val="none"/>
        </w:rPr>
      </w:pPr>
    </w:p>
    <w:p w14:paraId="0F474481">
      <w:pPr>
        <w:spacing w:line="360" w:lineRule="auto"/>
        <w:ind w:left="119"/>
        <w:rPr>
          <w:rFonts w:ascii="宋体" w:hAnsi="宋体" w:cs="宋体"/>
          <w:color w:val="auto"/>
          <w:sz w:val="32"/>
          <w:szCs w:val="32"/>
          <w:highlight w:val="none"/>
        </w:rPr>
      </w:pPr>
    </w:p>
    <w:p w14:paraId="441A9C22">
      <w:pPr>
        <w:spacing w:line="360" w:lineRule="auto"/>
        <w:ind w:left="119"/>
        <w:rPr>
          <w:rFonts w:ascii="宋体" w:hAnsi="宋体" w:cs="宋体"/>
          <w:color w:val="auto"/>
          <w:sz w:val="32"/>
          <w:szCs w:val="32"/>
          <w:highlight w:val="none"/>
        </w:rPr>
      </w:pPr>
    </w:p>
    <w:p w14:paraId="054683BE">
      <w:pPr>
        <w:spacing w:line="360" w:lineRule="auto"/>
        <w:ind w:left="119"/>
        <w:rPr>
          <w:rFonts w:ascii="宋体" w:hAnsi="宋体" w:cs="宋体"/>
          <w:color w:val="auto"/>
          <w:sz w:val="32"/>
          <w:szCs w:val="32"/>
          <w:highlight w:val="none"/>
        </w:rPr>
      </w:pPr>
    </w:p>
    <w:p w14:paraId="1FD24950">
      <w:pPr>
        <w:spacing w:line="360" w:lineRule="auto"/>
        <w:rPr>
          <w:rFonts w:ascii="宋体" w:hAnsi="宋体" w:cs="宋体"/>
          <w:color w:val="auto"/>
          <w:sz w:val="32"/>
          <w:szCs w:val="32"/>
          <w:highlight w:val="none"/>
        </w:rPr>
      </w:pPr>
    </w:p>
    <w:p w14:paraId="72DED6C9">
      <w:pPr>
        <w:spacing w:line="360" w:lineRule="auto"/>
        <w:jc w:val="left"/>
        <w:rPr>
          <w:rFonts w:ascii="宋体" w:hAnsi="宋体" w:cs="宋体"/>
          <w:color w:val="auto"/>
          <w:kern w:val="0"/>
          <w:sz w:val="32"/>
          <w:szCs w:val="32"/>
          <w:highlight w:val="none"/>
        </w:rPr>
      </w:pPr>
      <w:r>
        <w:rPr>
          <w:rFonts w:hint="eastAsia" w:ascii="宋体" w:hAnsi="宋体" w:cs="宋体"/>
          <w:color w:val="auto"/>
          <w:sz w:val="32"/>
          <w:szCs w:val="32"/>
          <w:highlight w:val="none"/>
        </w:rPr>
        <w:t>附件1：</w:t>
      </w:r>
    </w:p>
    <w:p w14:paraId="7591B7C7">
      <w:pPr>
        <w:widowControl/>
        <w:spacing w:beforeLines="50" w:afterLines="50" w:line="360" w:lineRule="auto"/>
        <w:jc w:val="center"/>
        <w:outlineLvl w:val="0"/>
        <w:rPr>
          <w:rFonts w:ascii="宋体" w:hAnsi="宋体" w:cs="宋体"/>
          <w:b/>
          <w:bCs/>
          <w:color w:val="auto"/>
          <w:kern w:val="0"/>
          <w:sz w:val="30"/>
          <w:szCs w:val="30"/>
          <w:highlight w:val="none"/>
        </w:rPr>
      </w:pPr>
      <w:bookmarkStart w:id="58" w:name="_Toc31422"/>
      <w:bookmarkStart w:id="59" w:name="_Toc28361_WPSOffice_Level2"/>
      <w:r>
        <w:rPr>
          <w:rFonts w:hint="eastAsia" w:ascii="宋体" w:hAnsi="宋体" w:cs="宋体"/>
          <w:b/>
          <w:bCs/>
          <w:color w:val="auto"/>
          <w:kern w:val="0"/>
          <w:sz w:val="30"/>
          <w:szCs w:val="30"/>
          <w:highlight w:val="none"/>
        </w:rPr>
        <w:t>统计上大中小微型企业划分标准</w:t>
      </w:r>
      <w:bookmarkEnd w:id="58"/>
      <w:bookmarkEnd w:id="59"/>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98B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ign w:val="center"/>
          </w:tcPr>
          <w:p w14:paraId="310D49E7">
            <w:pPr>
              <w:widowControl/>
              <w:spacing w:line="360" w:lineRule="auto"/>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ign w:val="center"/>
          </w:tcPr>
          <w:p w14:paraId="53F238F4">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ign w:val="center"/>
          </w:tcPr>
          <w:p w14:paraId="3993C71F">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407A05E7">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ign w:val="center"/>
          </w:tcPr>
          <w:p w14:paraId="0D35EB98">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ign w:val="center"/>
          </w:tcPr>
          <w:p w14:paraId="277AC5B3">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ign w:val="center"/>
          </w:tcPr>
          <w:p w14:paraId="5E8974FA">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ign w:val="center"/>
          </w:tcPr>
          <w:p w14:paraId="1CD49B4C">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585D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1A64A56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ign w:val="center"/>
          </w:tcPr>
          <w:p w14:paraId="6663ED8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1B1C06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7BDB614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2C6E6A7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2D50124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ign w:val="center"/>
          </w:tcPr>
          <w:p w14:paraId="6173EEA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E6D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60808D77">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ign w:val="center"/>
          </w:tcPr>
          <w:p w14:paraId="731B8CF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203BD7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4B696F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33A5717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15A7083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32932D2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081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2A7AA5FB">
            <w:pPr>
              <w:widowControl/>
              <w:spacing w:line="360" w:lineRule="auto"/>
              <w:jc w:val="left"/>
              <w:rPr>
                <w:rFonts w:ascii="宋体" w:hAnsi="宋体" w:cs="宋体"/>
                <w:color w:val="auto"/>
                <w:kern w:val="0"/>
                <w:sz w:val="18"/>
                <w:szCs w:val="18"/>
                <w:highlight w:val="none"/>
              </w:rPr>
            </w:pPr>
          </w:p>
        </w:tc>
        <w:tc>
          <w:tcPr>
            <w:tcW w:w="1369" w:type="dxa"/>
            <w:noWrap/>
            <w:vAlign w:val="center"/>
          </w:tcPr>
          <w:p w14:paraId="003886A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59A08C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A28EC9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7FEC94C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ign w:val="center"/>
          </w:tcPr>
          <w:p w14:paraId="4594337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ign w:val="center"/>
          </w:tcPr>
          <w:p w14:paraId="097658C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A68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2DEC84A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ign w:val="center"/>
          </w:tcPr>
          <w:p w14:paraId="6B03FF5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A79AB4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3E7B166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ign w:val="center"/>
          </w:tcPr>
          <w:p w14:paraId="6F744B0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ign w:val="center"/>
          </w:tcPr>
          <w:p w14:paraId="30012B7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ign w:val="center"/>
          </w:tcPr>
          <w:p w14:paraId="64A1B58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819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7D9CA10F">
            <w:pPr>
              <w:widowControl/>
              <w:spacing w:line="360" w:lineRule="auto"/>
              <w:jc w:val="left"/>
              <w:rPr>
                <w:rFonts w:ascii="宋体" w:hAnsi="宋体" w:cs="宋体"/>
                <w:color w:val="auto"/>
                <w:kern w:val="0"/>
                <w:sz w:val="18"/>
                <w:szCs w:val="18"/>
                <w:highlight w:val="none"/>
              </w:rPr>
            </w:pPr>
          </w:p>
        </w:tc>
        <w:tc>
          <w:tcPr>
            <w:tcW w:w="1369" w:type="dxa"/>
            <w:noWrap/>
            <w:vAlign w:val="center"/>
          </w:tcPr>
          <w:p w14:paraId="7524C16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405453C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1D8B17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ign w:val="center"/>
          </w:tcPr>
          <w:p w14:paraId="55224A2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ign w:val="center"/>
          </w:tcPr>
          <w:p w14:paraId="1902266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ign w:val="center"/>
          </w:tcPr>
          <w:p w14:paraId="53ABF56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ACC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789B0ED2">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ign w:val="center"/>
          </w:tcPr>
          <w:p w14:paraId="6EEB815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258ACD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50B779D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475FC41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ign w:val="center"/>
          </w:tcPr>
          <w:p w14:paraId="6786129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ign w:val="center"/>
          </w:tcPr>
          <w:p w14:paraId="26728F7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7CD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4DF7BE9E">
            <w:pPr>
              <w:widowControl/>
              <w:spacing w:line="360" w:lineRule="auto"/>
              <w:jc w:val="left"/>
              <w:rPr>
                <w:rFonts w:ascii="宋体" w:hAnsi="宋体" w:cs="宋体"/>
                <w:color w:val="auto"/>
                <w:kern w:val="0"/>
                <w:sz w:val="18"/>
                <w:szCs w:val="18"/>
                <w:highlight w:val="none"/>
              </w:rPr>
            </w:pPr>
          </w:p>
        </w:tc>
        <w:tc>
          <w:tcPr>
            <w:tcW w:w="1369" w:type="dxa"/>
            <w:noWrap/>
            <w:vAlign w:val="center"/>
          </w:tcPr>
          <w:p w14:paraId="7F30A1B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BDE1FF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9028DC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7377C22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ign w:val="center"/>
          </w:tcPr>
          <w:p w14:paraId="7B69A252">
            <w:pPr>
              <w:widowControl/>
              <w:spacing w:line="360" w:lineRule="auto"/>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ign w:val="center"/>
          </w:tcPr>
          <w:p w14:paraId="59FDCDA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466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444F0D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ign w:val="center"/>
          </w:tcPr>
          <w:p w14:paraId="34AA6F4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E2D698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1940D9D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785B73B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ign w:val="center"/>
          </w:tcPr>
          <w:p w14:paraId="1117B6A5">
            <w:pPr>
              <w:widowControl/>
              <w:spacing w:line="360" w:lineRule="auto"/>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ign w:val="center"/>
          </w:tcPr>
          <w:p w14:paraId="7B120E9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27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171E3F4B">
            <w:pPr>
              <w:widowControl/>
              <w:spacing w:line="360" w:lineRule="auto"/>
              <w:jc w:val="left"/>
              <w:rPr>
                <w:rFonts w:ascii="宋体" w:hAnsi="宋体" w:cs="宋体"/>
                <w:color w:val="auto"/>
                <w:kern w:val="0"/>
                <w:sz w:val="18"/>
                <w:szCs w:val="18"/>
                <w:highlight w:val="none"/>
              </w:rPr>
            </w:pPr>
          </w:p>
        </w:tc>
        <w:tc>
          <w:tcPr>
            <w:tcW w:w="1369" w:type="dxa"/>
            <w:noWrap/>
            <w:vAlign w:val="center"/>
          </w:tcPr>
          <w:p w14:paraId="26D4541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6D0530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31B8AE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1E3BD3A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37D7DB04">
            <w:pPr>
              <w:widowControl/>
              <w:spacing w:line="360" w:lineRule="auto"/>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ign w:val="center"/>
          </w:tcPr>
          <w:p w14:paraId="0754BC9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5B6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4D01487">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ign w:val="center"/>
          </w:tcPr>
          <w:p w14:paraId="7CC1F8D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58BC0C6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38A56DB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333F74F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0D39AC2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5AC1070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09E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44D0875">
            <w:pPr>
              <w:widowControl/>
              <w:spacing w:line="360" w:lineRule="auto"/>
              <w:jc w:val="left"/>
              <w:rPr>
                <w:rFonts w:ascii="宋体" w:hAnsi="宋体" w:cs="宋体"/>
                <w:color w:val="auto"/>
                <w:kern w:val="0"/>
                <w:sz w:val="18"/>
                <w:szCs w:val="18"/>
                <w:highlight w:val="none"/>
              </w:rPr>
            </w:pPr>
          </w:p>
        </w:tc>
        <w:tc>
          <w:tcPr>
            <w:tcW w:w="1369" w:type="dxa"/>
            <w:noWrap/>
            <w:vAlign w:val="center"/>
          </w:tcPr>
          <w:p w14:paraId="1241849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7B0FDF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CAC294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0759087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ign w:val="center"/>
          </w:tcPr>
          <w:p w14:paraId="4412B3E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ign w:val="center"/>
          </w:tcPr>
          <w:p w14:paraId="59CDB55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DFB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28E2B9A4">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ign w:val="center"/>
          </w:tcPr>
          <w:p w14:paraId="6086223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5432659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E1769F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53664DCE">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ign w:val="center"/>
          </w:tcPr>
          <w:p w14:paraId="6F74FFC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ign w:val="center"/>
          </w:tcPr>
          <w:p w14:paraId="251451D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4A4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2D77E2F2">
            <w:pPr>
              <w:widowControl/>
              <w:spacing w:line="360" w:lineRule="auto"/>
              <w:jc w:val="left"/>
              <w:rPr>
                <w:rFonts w:ascii="宋体" w:hAnsi="宋体" w:cs="宋体"/>
                <w:color w:val="auto"/>
                <w:kern w:val="0"/>
                <w:sz w:val="18"/>
                <w:szCs w:val="18"/>
                <w:highlight w:val="none"/>
              </w:rPr>
            </w:pPr>
          </w:p>
        </w:tc>
        <w:tc>
          <w:tcPr>
            <w:tcW w:w="1369" w:type="dxa"/>
            <w:noWrap/>
            <w:vAlign w:val="center"/>
          </w:tcPr>
          <w:p w14:paraId="0D36783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4444FE5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7ADA3C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4DA4752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ign w:val="center"/>
          </w:tcPr>
          <w:p w14:paraId="3F0A324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0CD62C0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B88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4627844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ign w:val="center"/>
          </w:tcPr>
          <w:p w14:paraId="16E4DC7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3EBE449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1468015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15622A4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441A62E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13F86B7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BE4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3F3AE175">
            <w:pPr>
              <w:widowControl/>
              <w:spacing w:line="360" w:lineRule="auto"/>
              <w:jc w:val="left"/>
              <w:rPr>
                <w:rFonts w:ascii="宋体" w:hAnsi="宋体" w:cs="宋体"/>
                <w:color w:val="auto"/>
                <w:kern w:val="0"/>
                <w:sz w:val="18"/>
                <w:szCs w:val="18"/>
                <w:highlight w:val="none"/>
              </w:rPr>
            </w:pPr>
          </w:p>
        </w:tc>
        <w:tc>
          <w:tcPr>
            <w:tcW w:w="1369" w:type="dxa"/>
            <w:noWrap/>
            <w:vAlign w:val="center"/>
          </w:tcPr>
          <w:p w14:paraId="6E33A4F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6401C0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384350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7A760E4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ign w:val="center"/>
          </w:tcPr>
          <w:p w14:paraId="492DEE5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6CD748F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147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080A15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ign w:val="center"/>
          </w:tcPr>
          <w:p w14:paraId="7B5885C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7E199A1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48EFAD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40485AD1">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3D0FD8E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6C9E955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BDC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2C60074">
            <w:pPr>
              <w:widowControl/>
              <w:spacing w:line="360" w:lineRule="auto"/>
              <w:jc w:val="left"/>
              <w:rPr>
                <w:rFonts w:ascii="宋体" w:hAnsi="宋体" w:cs="宋体"/>
                <w:color w:val="auto"/>
                <w:kern w:val="0"/>
                <w:sz w:val="18"/>
                <w:szCs w:val="18"/>
                <w:highlight w:val="none"/>
              </w:rPr>
            </w:pPr>
          </w:p>
        </w:tc>
        <w:tc>
          <w:tcPr>
            <w:tcW w:w="1369" w:type="dxa"/>
            <w:noWrap/>
            <w:vAlign w:val="center"/>
          </w:tcPr>
          <w:p w14:paraId="675C0A4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656A90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63BB4A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5F20A72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6961826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6402F6B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E1B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737756D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ign w:val="center"/>
          </w:tcPr>
          <w:p w14:paraId="721958F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30D0FE3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9E8391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55DCA379">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0292C76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442E394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0FE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4D9EF306">
            <w:pPr>
              <w:widowControl/>
              <w:spacing w:line="360" w:lineRule="auto"/>
              <w:jc w:val="left"/>
              <w:rPr>
                <w:rFonts w:ascii="宋体" w:hAnsi="宋体" w:cs="宋体"/>
                <w:color w:val="auto"/>
                <w:kern w:val="0"/>
                <w:sz w:val="18"/>
                <w:szCs w:val="18"/>
                <w:highlight w:val="none"/>
              </w:rPr>
            </w:pPr>
          </w:p>
        </w:tc>
        <w:tc>
          <w:tcPr>
            <w:tcW w:w="1369" w:type="dxa"/>
            <w:noWrap/>
            <w:vAlign w:val="center"/>
          </w:tcPr>
          <w:p w14:paraId="7A72386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35DEC2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C9BF79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3AC307E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592E517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5AEE6CE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3B9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7516F48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ign w:val="center"/>
          </w:tcPr>
          <w:p w14:paraId="10F3818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F482C3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BE2EA1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ign w:val="center"/>
          </w:tcPr>
          <w:p w14:paraId="5F2D45E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ign w:val="center"/>
          </w:tcPr>
          <w:p w14:paraId="50E6058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4B4A6FB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D7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1A22EF3B">
            <w:pPr>
              <w:widowControl/>
              <w:spacing w:line="360" w:lineRule="auto"/>
              <w:jc w:val="left"/>
              <w:rPr>
                <w:rFonts w:ascii="宋体" w:hAnsi="宋体" w:cs="宋体"/>
                <w:color w:val="auto"/>
                <w:kern w:val="0"/>
                <w:sz w:val="18"/>
                <w:szCs w:val="18"/>
                <w:highlight w:val="none"/>
              </w:rPr>
            </w:pPr>
          </w:p>
        </w:tc>
        <w:tc>
          <w:tcPr>
            <w:tcW w:w="1369" w:type="dxa"/>
            <w:noWrap/>
            <w:vAlign w:val="center"/>
          </w:tcPr>
          <w:p w14:paraId="55BAE74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2FA645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70BABD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ign w:val="center"/>
          </w:tcPr>
          <w:p w14:paraId="28729CD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ign w:val="center"/>
          </w:tcPr>
          <w:p w14:paraId="04705F6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2C38F44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0C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0BBAE714">
            <w:pPr>
              <w:widowControl/>
              <w:spacing w:line="360" w:lineRule="auto"/>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ign w:val="center"/>
          </w:tcPr>
          <w:p w14:paraId="3ED59F8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736CE66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63D867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59BC5516">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6D93BCF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6ABDC17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017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0509E53E">
            <w:pPr>
              <w:widowControl/>
              <w:spacing w:line="360" w:lineRule="auto"/>
              <w:jc w:val="left"/>
              <w:rPr>
                <w:rFonts w:ascii="宋体" w:hAnsi="宋体" w:cs="宋体"/>
                <w:color w:val="auto"/>
                <w:spacing w:val="-12"/>
                <w:kern w:val="0"/>
                <w:sz w:val="18"/>
                <w:szCs w:val="18"/>
                <w:highlight w:val="none"/>
              </w:rPr>
            </w:pPr>
          </w:p>
        </w:tc>
        <w:tc>
          <w:tcPr>
            <w:tcW w:w="1369" w:type="dxa"/>
            <w:noWrap/>
            <w:vAlign w:val="center"/>
          </w:tcPr>
          <w:p w14:paraId="37D5763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AA159F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390F8F7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49BBC16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ign w:val="center"/>
          </w:tcPr>
          <w:p w14:paraId="4F09C23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ign w:val="center"/>
          </w:tcPr>
          <w:p w14:paraId="290503A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F33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65CB6C74">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ign w:val="center"/>
          </w:tcPr>
          <w:p w14:paraId="02EA9C0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4C678DA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FCD1D9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ign w:val="center"/>
          </w:tcPr>
          <w:p w14:paraId="1A94DE4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ign w:val="center"/>
          </w:tcPr>
          <w:p w14:paraId="11C8BF9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2940C62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1E3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29A34A34">
            <w:pPr>
              <w:widowControl/>
              <w:spacing w:line="360" w:lineRule="auto"/>
              <w:jc w:val="left"/>
              <w:rPr>
                <w:rFonts w:ascii="宋体" w:hAnsi="宋体" w:cs="宋体"/>
                <w:color w:val="auto"/>
                <w:kern w:val="0"/>
                <w:sz w:val="18"/>
                <w:szCs w:val="18"/>
                <w:highlight w:val="none"/>
              </w:rPr>
            </w:pPr>
          </w:p>
        </w:tc>
        <w:tc>
          <w:tcPr>
            <w:tcW w:w="1369" w:type="dxa"/>
            <w:noWrap/>
            <w:vAlign w:val="center"/>
          </w:tcPr>
          <w:p w14:paraId="0F4B0A3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7525CCA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8F9C7E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ign w:val="center"/>
          </w:tcPr>
          <w:p w14:paraId="208094B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ign w:val="center"/>
          </w:tcPr>
          <w:p w14:paraId="3545BED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ign w:val="center"/>
          </w:tcPr>
          <w:p w14:paraId="0AEE079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407E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30D7003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ign w:val="center"/>
          </w:tcPr>
          <w:p w14:paraId="325BF49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522DF7D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E061AE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6A7FEDF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4B48E6C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ign w:val="center"/>
          </w:tcPr>
          <w:p w14:paraId="4D1D46C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071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53994A63">
            <w:pPr>
              <w:widowControl/>
              <w:spacing w:line="360" w:lineRule="auto"/>
              <w:jc w:val="left"/>
              <w:rPr>
                <w:rFonts w:ascii="宋体" w:hAnsi="宋体" w:cs="宋体"/>
                <w:color w:val="auto"/>
                <w:kern w:val="0"/>
                <w:sz w:val="18"/>
                <w:szCs w:val="18"/>
                <w:highlight w:val="none"/>
              </w:rPr>
            </w:pPr>
          </w:p>
        </w:tc>
        <w:tc>
          <w:tcPr>
            <w:tcW w:w="1369" w:type="dxa"/>
            <w:noWrap/>
            <w:vAlign w:val="center"/>
          </w:tcPr>
          <w:p w14:paraId="61E6730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7D7378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72BC7C9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ign w:val="center"/>
          </w:tcPr>
          <w:p w14:paraId="0EA5F46C">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ign w:val="center"/>
          </w:tcPr>
          <w:p w14:paraId="545BF10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ign w:val="center"/>
          </w:tcPr>
          <w:p w14:paraId="2F012E7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C9D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5940CAF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ign w:val="center"/>
          </w:tcPr>
          <w:p w14:paraId="607F136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86ECF2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4C6F26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2D065313">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51E3448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71BD477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C1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121E5770">
            <w:pPr>
              <w:widowControl/>
              <w:spacing w:line="360" w:lineRule="auto"/>
              <w:jc w:val="left"/>
              <w:rPr>
                <w:rFonts w:ascii="宋体" w:hAnsi="宋体" w:cs="宋体"/>
                <w:color w:val="auto"/>
                <w:kern w:val="0"/>
                <w:sz w:val="18"/>
                <w:szCs w:val="18"/>
                <w:highlight w:val="none"/>
              </w:rPr>
            </w:pPr>
          </w:p>
        </w:tc>
        <w:tc>
          <w:tcPr>
            <w:tcW w:w="1369" w:type="dxa"/>
            <w:noWrap/>
            <w:vAlign w:val="center"/>
          </w:tcPr>
          <w:p w14:paraId="2E3BB19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3A0E5FC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00EEA76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ign w:val="center"/>
          </w:tcPr>
          <w:p w14:paraId="6F7842A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ign w:val="center"/>
          </w:tcPr>
          <w:p w14:paraId="3D6BD0E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ign w:val="center"/>
          </w:tcPr>
          <w:p w14:paraId="154ACFE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00F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6DCA3221">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ign w:val="center"/>
          </w:tcPr>
          <w:p w14:paraId="3A46502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E0879D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01E477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07ABBE5B">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46B3D64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3F45D25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37837F9">
      <w:pPr>
        <w:widowControl/>
        <w:spacing w:line="360" w:lineRule="auto"/>
        <w:rPr>
          <w:rFonts w:ascii="宋体" w:hAnsi="宋体" w:cs="宋体"/>
          <w:color w:val="auto"/>
          <w:spacing w:val="8"/>
          <w:kern w:val="0"/>
          <w:sz w:val="24"/>
          <w:highlight w:val="none"/>
        </w:rPr>
      </w:pPr>
    </w:p>
    <w:p w14:paraId="1710F89B">
      <w:pPr>
        <w:widowControl/>
        <w:spacing w:line="360" w:lineRule="auto"/>
        <w:rPr>
          <w:rFonts w:ascii="宋体" w:hAnsi="宋体" w:cs="宋体"/>
          <w:color w:val="auto"/>
          <w:spacing w:val="8"/>
          <w:kern w:val="0"/>
          <w:szCs w:val="21"/>
          <w:highlight w:val="none"/>
        </w:rPr>
      </w:pPr>
    </w:p>
    <w:p w14:paraId="28CC4A1D">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470113AA">
      <w:pPr>
        <w:pStyle w:val="16"/>
        <w:adjustRightInd w:val="0"/>
        <w:spacing w:line="360" w:lineRule="auto"/>
        <w:ind w:firstLine="432" w:firstLineChars="200"/>
        <w:contextualSpacing/>
        <w:rPr>
          <w:rFonts w:hAnsi="宋体" w:cs="宋体"/>
          <w:color w:val="auto"/>
          <w:spacing w:val="8"/>
          <w:highlight w:val="none"/>
        </w:rPr>
      </w:pPr>
      <w:r>
        <w:rPr>
          <w:rFonts w:hint="eastAsia" w:hAnsi="宋体" w:cs="宋体"/>
          <w:color w:val="auto"/>
          <w:spacing w:val="8"/>
          <w:highlight w:val="none"/>
        </w:rPr>
        <w:t>1.大型、中型和小型企业须同时满足所列指标的下限，否则下划一档；微型企业只须满足所列指标中的一项即可。</w:t>
      </w:r>
    </w:p>
    <w:p w14:paraId="2A72FB19">
      <w:pPr>
        <w:pStyle w:val="16"/>
        <w:adjustRightInd w:val="0"/>
        <w:spacing w:line="360" w:lineRule="auto"/>
        <w:ind w:firstLine="432" w:firstLineChars="200"/>
        <w:contextualSpacing/>
        <w:rPr>
          <w:rFonts w:hAnsi="宋体" w:cs="宋体"/>
          <w:color w:val="auto"/>
          <w:spacing w:val="8"/>
          <w:highlight w:val="none"/>
        </w:rPr>
      </w:pPr>
      <w:r>
        <w:rPr>
          <w:rFonts w:hint="eastAsia" w:hAnsi="宋体" w:cs="宋体"/>
          <w:color w:val="auto"/>
          <w:spacing w:val="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A9D1E17">
      <w:pPr>
        <w:pStyle w:val="16"/>
        <w:spacing w:line="360" w:lineRule="auto"/>
        <w:ind w:firstLine="432" w:firstLineChars="200"/>
        <w:rPr>
          <w:rFonts w:hAnsi="宋体" w:cs="宋体"/>
          <w:color w:val="auto"/>
          <w:spacing w:val="8"/>
          <w:sz w:val="24"/>
          <w:szCs w:val="24"/>
          <w:highlight w:val="none"/>
        </w:rPr>
      </w:pPr>
      <w:r>
        <w:rPr>
          <w:rFonts w:hint="eastAsia" w:hAnsi="宋体" w:cs="宋体"/>
          <w:color w:val="auto"/>
          <w:spacing w:val="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8751507">
      <w:pPr>
        <w:pStyle w:val="2"/>
        <w:spacing w:line="360" w:lineRule="auto"/>
        <w:jc w:val="center"/>
        <w:rPr>
          <w:rFonts w:ascii="宋体" w:hAnsi="宋体" w:cs="宋体"/>
          <w:color w:val="auto"/>
          <w:highlight w:val="none"/>
        </w:rPr>
      </w:pPr>
      <w:bookmarkStart w:id="60" w:name="_Toc80886927"/>
      <w:bookmarkStart w:id="61" w:name="_Toc3319"/>
      <w:r>
        <w:rPr>
          <w:rFonts w:hint="eastAsia" w:ascii="宋体" w:hAnsi="宋体" w:cs="宋体"/>
          <w:bCs w:val="0"/>
          <w:color w:val="auto"/>
          <w:sz w:val="32"/>
          <w:szCs w:val="32"/>
          <w:highlight w:val="none"/>
        </w:rPr>
        <w:br w:type="page"/>
      </w:r>
      <w:bookmarkStart w:id="62" w:name="_Toc2072"/>
      <w:bookmarkStart w:id="63" w:name="_Toc9239"/>
      <w:bookmarkStart w:id="64" w:name="_Toc31789"/>
      <w:bookmarkStart w:id="65" w:name="_Toc19152"/>
      <w:bookmarkStart w:id="66" w:name="_Toc7704"/>
      <w:bookmarkStart w:id="67" w:name="_Toc13614"/>
      <w:bookmarkStart w:id="68" w:name="_Toc24174"/>
      <w:r>
        <w:rPr>
          <w:rFonts w:hint="eastAsia" w:ascii="宋体" w:hAnsi="宋体" w:cs="宋体"/>
          <w:bCs w:val="0"/>
          <w:color w:val="auto"/>
          <w:sz w:val="32"/>
          <w:szCs w:val="32"/>
          <w:highlight w:val="none"/>
        </w:rPr>
        <w:t>第三章 供应商须知</w:t>
      </w:r>
      <w:bookmarkEnd w:id="60"/>
      <w:bookmarkEnd w:id="61"/>
      <w:bookmarkEnd w:id="62"/>
      <w:bookmarkEnd w:id="63"/>
      <w:bookmarkEnd w:id="64"/>
      <w:bookmarkEnd w:id="65"/>
      <w:bookmarkEnd w:id="66"/>
      <w:bookmarkEnd w:id="67"/>
      <w:bookmarkEnd w:id="68"/>
    </w:p>
    <w:p w14:paraId="4ACBBA1E">
      <w:pPr>
        <w:pStyle w:val="3"/>
        <w:spacing w:line="360" w:lineRule="auto"/>
        <w:jc w:val="center"/>
        <w:rPr>
          <w:rFonts w:ascii="宋体" w:hAnsi="宋体" w:cs="宋体"/>
          <w:b w:val="0"/>
          <w:color w:val="auto"/>
          <w:highlight w:val="none"/>
        </w:rPr>
      </w:pPr>
      <w:bookmarkStart w:id="69" w:name="_Toc2571"/>
      <w:bookmarkStart w:id="70" w:name="_Toc80886928"/>
      <w:bookmarkStart w:id="71" w:name="_Toc9482"/>
      <w:bookmarkStart w:id="72" w:name="_Toc30660"/>
      <w:r>
        <w:rPr>
          <w:rFonts w:hint="eastAsia" w:ascii="宋体" w:hAnsi="宋体" w:cs="宋体"/>
          <w:b w:val="0"/>
          <w:color w:val="auto"/>
          <w:highlight w:val="none"/>
        </w:rPr>
        <w:t>第一节 供应商须知前附表</w:t>
      </w:r>
      <w:bookmarkEnd w:id="69"/>
      <w:bookmarkEnd w:id="70"/>
      <w:bookmarkEnd w:id="71"/>
      <w:bookmarkEnd w:id="72"/>
    </w:p>
    <w:p w14:paraId="599AE38E">
      <w:pPr>
        <w:spacing w:line="360" w:lineRule="auto"/>
        <w:jc w:val="center"/>
        <w:rPr>
          <w:rFonts w:ascii="宋体" w:hAnsi="宋体" w:cs="宋体"/>
          <w:b/>
          <w:color w:val="auto"/>
          <w:sz w:val="32"/>
          <w:szCs w:val="32"/>
          <w:highlight w:val="none"/>
        </w:rPr>
      </w:pPr>
    </w:p>
    <w:tbl>
      <w:tblPr>
        <w:tblStyle w:val="23"/>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548"/>
        <w:gridCol w:w="6853"/>
      </w:tblGrid>
      <w:tr w14:paraId="30476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noWrap/>
          </w:tcPr>
          <w:p w14:paraId="76F88FA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548" w:type="dxa"/>
            <w:noWrap/>
            <w:vAlign w:val="center"/>
          </w:tcPr>
          <w:p w14:paraId="535912F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3" w:type="dxa"/>
            <w:noWrap/>
          </w:tcPr>
          <w:p w14:paraId="1BC55F7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1F1EF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01214B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548" w:type="dxa"/>
            <w:noWrap/>
            <w:vAlign w:val="center"/>
          </w:tcPr>
          <w:p w14:paraId="5E712A3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3" w:type="dxa"/>
            <w:noWrap/>
          </w:tcPr>
          <w:p w14:paraId="7E7289B0">
            <w:pPr>
              <w:spacing w:line="360" w:lineRule="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145E5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49CA521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548" w:type="dxa"/>
            <w:noWrap/>
            <w:vAlign w:val="center"/>
          </w:tcPr>
          <w:p w14:paraId="55B0A3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853" w:type="dxa"/>
            <w:noWrap/>
            <w:vAlign w:val="center"/>
          </w:tcPr>
          <w:p w14:paraId="467D20F3">
            <w:pPr>
              <w:spacing w:line="360" w:lineRule="auto"/>
              <w:rPr>
                <w:rFonts w:ascii="宋体" w:hAnsi="宋体" w:cs="宋体"/>
                <w:color w:val="auto"/>
                <w:szCs w:val="21"/>
                <w:highlight w:val="none"/>
              </w:rPr>
            </w:pPr>
            <w:bookmarkStart w:id="73" w:name="PO_3000001868_PM007"/>
            <w:r>
              <w:rPr>
                <w:rFonts w:hint="eastAsia" w:ascii="宋体" w:hAnsi="宋体" w:cs="宋体"/>
                <w:color w:val="auto"/>
                <w:szCs w:val="21"/>
                <w:highlight w:val="none"/>
              </w:rPr>
              <w:t>详见竞争性磋商公告</w:t>
            </w:r>
            <w:bookmarkEnd w:id="73"/>
          </w:p>
        </w:tc>
      </w:tr>
      <w:tr w14:paraId="700A2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279B58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548" w:type="dxa"/>
            <w:noWrap/>
            <w:vAlign w:val="center"/>
          </w:tcPr>
          <w:p w14:paraId="65CC78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3" w:type="dxa"/>
            <w:noWrap/>
            <w:vAlign w:val="center"/>
          </w:tcPr>
          <w:p w14:paraId="448092D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无</w:t>
            </w:r>
          </w:p>
        </w:tc>
      </w:tr>
      <w:tr w14:paraId="2198D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0CA8F3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548" w:type="dxa"/>
            <w:noWrap/>
            <w:vAlign w:val="center"/>
          </w:tcPr>
          <w:p w14:paraId="21A53D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3" w:type="dxa"/>
            <w:noWrap/>
            <w:vAlign w:val="center"/>
          </w:tcPr>
          <w:p w14:paraId="1401B641">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14:paraId="75AD735E">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14:paraId="7E8C9003">
            <w:pPr>
              <w:pStyle w:val="9"/>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4E10EE57">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2533F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32660A9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548" w:type="dxa"/>
            <w:noWrap/>
            <w:vAlign w:val="center"/>
          </w:tcPr>
          <w:p w14:paraId="7AE3ABA5">
            <w:pPr>
              <w:snapToGrid w:val="0"/>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资格证明文件组成</w:t>
            </w:r>
          </w:p>
        </w:tc>
        <w:tc>
          <w:tcPr>
            <w:tcW w:w="6853" w:type="dxa"/>
            <w:noWrap/>
            <w:vAlign w:val="center"/>
          </w:tcPr>
          <w:p w14:paraId="37846BBB">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6365D3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2.防城港市政府采购供应商资格信用承诺函（格式后附）；（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4749BC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7118056">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4.中小企业声明函；</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如有请提供</w:t>
            </w:r>
            <w:r>
              <w:rPr>
                <w:rFonts w:hint="eastAsia" w:ascii="宋体" w:hAnsi="宋体" w:cs="宋体"/>
                <w:b/>
                <w:bCs/>
                <w:color w:val="auto"/>
                <w:szCs w:val="21"/>
                <w:highlight w:val="none"/>
              </w:rPr>
              <w:t>）</w:t>
            </w:r>
          </w:p>
          <w:p w14:paraId="53469C7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本项目的特定资格要求：国内注册（指按国家有关规定要求注册的），生产或经营本次采购项目的供应商，根据《中华人民政府采购法实施条例》释义，银行、保险、石油石化、电力、电信等行业可以由分公司投标。</w:t>
            </w:r>
          </w:p>
          <w:p w14:paraId="7F4E152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6.除竞争性磋商文件规定必须提供以外，供应商认为需要提供的其他证明材料（格式自拟）。</w:t>
            </w:r>
          </w:p>
          <w:p w14:paraId="23F1225B">
            <w:pPr>
              <w:pStyle w:val="9"/>
              <w:spacing w:line="360" w:lineRule="auto"/>
              <w:rPr>
                <w:rFonts w:ascii="宋体" w:hAnsi="宋体" w:cs="宋体"/>
                <w:b/>
                <w:color w:val="auto"/>
                <w:szCs w:val="21"/>
                <w:highlight w:val="none"/>
              </w:rPr>
            </w:pPr>
            <w:r>
              <w:rPr>
                <w:rFonts w:hint="eastAsia" w:ascii="宋体" w:hAnsi="宋体" w:cs="宋体"/>
                <w:b/>
                <w:color w:val="auto"/>
                <w:szCs w:val="21"/>
                <w:highlight w:val="none"/>
              </w:rPr>
              <w:t>注：</w:t>
            </w:r>
          </w:p>
          <w:p w14:paraId="067AC9FD">
            <w:pPr>
              <w:pStyle w:val="9"/>
              <w:spacing w:line="360" w:lineRule="auto"/>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1.以上标明“必须提供”的材料属于复印件的扫描件的，必须加盖供应商公章，否则响应文件按无效响应处理。</w:t>
            </w:r>
          </w:p>
        </w:tc>
      </w:tr>
      <w:tr w14:paraId="60BC7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ign w:val="center"/>
          </w:tcPr>
          <w:p w14:paraId="201D4C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548" w:type="dxa"/>
            <w:noWrap/>
            <w:vAlign w:val="center"/>
          </w:tcPr>
          <w:p w14:paraId="0372B60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3" w:type="dxa"/>
            <w:noWrap/>
            <w:vAlign w:val="center"/>
          </w:tcPr>
          <w:p w14:paraId="479F7C46">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10096E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5F93E49">
            <w:pPr>
              <w:spacing w:line="360" w:lineRule="auto"/>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27231D65">
            <w:pPr>
              <w:spacing w:line="360" w:lineRule="auto"/>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6CFC08A">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5.对应采购需求的商务条款提供的其他文件资料（格式自拟）；</w:t>
            </w:r>
          </w:p>
          <w:p w14:paraId="4817D339">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6.供应商认为需要提供的其他有关资料（格式自拟）。</w:t>
            </w:r>
          </w:p>
          <w:p w14:paraId="13A83E7D">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05C3E8F5">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1.法定代表人授权委托书必须由法定代表人及其委托代理人签字，并加盖供应商公章，否则响应文件按无效响应处理。</w:t>
            </w:r>
          </w:p>
          <w:p w14:paraId="63802983">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2.以上标明“必须提供”的材料属于复印件的扫描件的，必须加盖供应商公章，否则响应文件按无效响应处理。</w:t>
            </w:r>
          </w:p>
        </w:tc>
      </w:tr>
      <w:tr w14:paraId="0F28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3" w:hRule="atLeast"/>
          <w:jc w:val="center"/>
        </w:trPr>
        <w:tc>
          <w:tcPr>
            <w:tcW w:w="963" w:type="dxa"/>
            <w:vMerge w:val="continue"/>
            <w:noWrap/>
            <w:vAlign w:val="center"/>
          </w:tcPr>
          <w:p w14:paraId="1A27FAEC">
            <w:pPr>
              <w:spacing w:line="360" w:lineRule="auto"/>
              <w:jc w:val="center"/>
              <w:rPr>
                <w:rFonts w:ascii="宋体" w:hAnsi="宋体" w:cs="宋体"/>
                <w:color w:val="auto"/>
                <w:szCs w:val="21"/>
                <w:highlight w:val="none"/>
              </w:rPr>
            </w:pPr>
          </w:p>
        </w:tc>
        <w:tc>
          <w:tcPr>
            <w:tcW w:w="2548" w:type="dxa"/>
            <w:noWrap/>
            <w:vAlign w:val="center"/>
          </w:tcPr>
          <w:p w14:paraId="5EE26B8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3" w:type="dxa"/>
            <w:noWrap/>
            <w:vAlign w:val="center"/>
          </w:tcPr>
          <w:p w14:paraId="0591F659">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845F018">
            <w:pPr>
              <w:spacing w:line="360" w:lineRule="auto"/>
              <w:rPr>
                <w:rFonts w:ascii="宋体" w:hAnsi="宋体" w:cs="宋体"/>
                <w:color w:val="auto"/>
                <w:szCs w:val="21"/>
                <w:highlight w:val="none"/>
              </w:rPr>
            </w:pPr>
            <w:r>
              <w:rPr>
                <w:rFonts w:hint="eastAsia" w:ascii="宋体" w:hAnsi="宋体" w:cs="宋体"/>
                <w:color w:val="auto"/>
                <w:szCs w:val="21"/>
                <w:highlight w:val="none"/>
              </w:rPr>
              <w:t>2.技术方案（部分格式后附）；</w:t>
            </w:r>
          </w:p>
          <w:p w14:paraId="10037D04">
            <w:pPr>
              <w:spacing w:line="360" w:lineRule="auto"/>
              <w:rPr>
                <w:rFonts w:ascii="宋体" w:hAnsi="宋体" w:cs="宋体"/>
                <w:color w:val="auto"/>
                <w:szCs w:val="21"/>
                <w:highlight w:val="none"/>
              </w:rPr>
            </w:pPr>
            <w:r>
              <w:rPr>
                <w:rFonts w:hint="eastAsia" w:ascii="宋体" w:hAnsi="宋体" w:cs="宋体"/>
                <w:color w:val="auto"/>
                <w:highlight w:val="none"/>
              </w:rPr>
              <w:t>3.维保服务方案</w:t>
            </w:r>
            <w:r>
              <w:rPr>
                <w:rFonts w:hint="eastAsia" w:ascii="宋体" w:hAnsi="宋体" w:cs="宋体"/>
                <w:color w:val="auto"/>
                <w:szCs w:val="21"/>
                <w:highlight w:val="none"/>
              </w:rPr>
              <w:t>（部分格式后附）</w:t>
            </w:r>
            <w:r>
              <w:rPr>
                <w:rFonts w:hint="eastAsia" w:ascii="宋体" w:hAnsi="宋体" w:cs="宋体"/>
                <w:color w:val="auto"/>
                <w:highlight w:val="none"/>
              </w:rPr>
              <w:t>；</w:t>
            </w:r>
          </w:p>
          <w:p w14:paraId="524159B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4.项目实施人员一览表（格式后附）； </w:t>
            </w:r>
          </w:p>
          <w:p w14:paraId="66984A4A">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5.对应采购需求的服务需求提供的其他文件资料（格式自拟）；</w:t>
            </w:r>
          </w:p>
          <w:p w14:paraId="239DA3F3">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6.供应商认为需要提供的其他有关资料（格式自拟）。</w:t>
            </w:r>
          </w:p>
          <w:p w14:paraId="0771B53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注：以上标明“必须提供”的材料属于复印件的扫描件的，必须加盖供应商公章，否则响应文件按无效响应处理。</w:t>
            </w:r>
          </w:p>
        </w:tc>
      </w:tr>
      <w:tr w14:paraId="6DF95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10D588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12.1.3</w:t>
            </w:r>
          </w:p>
        </w:tc>
        <w:tc>
          <w:tcPr>
            <w:tcW w:w="2548" w:type="dxa"/>
            <w:noWrap/>
            <w:vAlign w:val="center"/>
          </w:tcPr>
          <w:p w14:paraId="18A02DE7">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3" w:type="dxa"/>
            <w:noWrap/>
            <w:vAlign w:val="center"/>
          </w:tcPr>
          <w:p w14:paraId="52F221C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1.响应函（格式后附）；</w:t>
            </w:r>
            <w:r>
              <w:rPr>
                <w:rFonts w:hint="eastAsia" w:ascii="宋体" w:hAnsi="宋体" w:cs="宋体"/>
                <w:b/>
                <w:color w:val="auto"/>
                <w:szCs w:val="21"/>
                <w:highlight w:val="none"/>
              </w:rPr>
              <w:t>（必须提供，否则响应文件按无效响应处理）</w:t>
            </w:r>
          </w:p>
          <w:p w14:paraId="560E10C0">
            <w:pPr>
              <w:spacing w:line="360" w:lineRule="auto"/>
              <w:rPr>
                <w:rFonts w:ascii="宋体" w:hAnsi="宋体" w:cs="宋体"/>
                <w:color w:val="auto"/>
                <w:szCs w:val="21"/>
                <w:highlight w:val="none"/>
              </w:rPr>
            </w:pPr>
            <w:r>
              <w:rPr>
                <w:rFonts w:hint="eastAsia" w:ascii="宋体" w:hAnsi="宋体" w:cs="宋体"/>
                <w:color w:val="auto"/>
                <w:szCs w:val="21"/>
                <w:highlight w:val="none"/>
              </w:rPr>
              <w:t>2.响应报价表（格式后附）；（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FB44955">
            <w:pPr>
              <w:spacing w:line="360" w:lineRule="auto"/>
              <w:rPr>
                <w:rFonts w:ascii="宋体" w:hAnsi="宋体" w:cs="宋体"/>
                <w:color w:val="auto"/>
                <w:szCs w:val="21"/>
                <w:highlight w:val="none"/>
              </w:rPr>
            </w:pPr>
            <w:r>
              <w:rPr>
                <w:rFonts w:hint="eastAsia" w:ascii="宋体" w:hAnsi="宋体" w:cs="宋体"/>
                <w:color w:val="auto"/>
                <w:szCs w:val="21"/>
                <w:highlight w:val="none"/>
              </w:rPr>
              <w:t>3.供应商针对报价需要说明的其他文件和说明（格式自拟）。</w:t>
            </w:r>
          </w:p>
        </w:tc>
      </w:tr>
      <w:tr w14:paraId="201AD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7DC26D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548" w:type="dxa"/>
            <w:noWrap/>
            <w:vAlign w:val="center"/>
          </w:tcPr>
          <w:p w14:paraId="0BCE903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3" w:type="dxa"/>
            <w:noWrap/>
            <w:vAlign w:val="center"/>
          </w:tcPr>
          <w:p w14:paraId="72050A3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1.响应文件电子版要求：按照本竞争性磋商文件“第五章 响应文件格式”编写，第五章未附格式的，由供应商自行拟定。</w:t>
            </w:r>
          </w:p>
          <w:p w14:paraId="2CF386B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w:t>
            </w:r>
          </w:p>
        </w:tc>
      </w:tr>
      <w:tr w14:paraId="7EBFA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63" w:type="dxa"/>
            <w:noWrap/>
            <w:vAlign w:val="center"/>
          </w:tcPr>
          <w:p w14:paraId="76931B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548" w:type="dxa"/>
            <w:noWrap/>
            <w:vAlign w:val="center"/>
          </w:tcPr>
          <w:p w14:paraId="74D8E2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3" w:type="dxa"/>
            <w:noWrap/>
            <w:vAlign w:val="center"/>
          </w:tcPr>
          <w:p w14:paraId="278A721E">
            <w:pPr>
              <w:snapToGrid w:val="0"/>
              <w:spacing w:line="360" w:lineRule="auto"/>
              <w:jc w:val="left"/>
              <w:rPr>
                <w:rFonts w:ascii="宋体" w:hAnsi="宋体" w:cs="宋体"/>
                <w:color w:val="auto"/>
                <w:highlight w:val="none"/>
              </w:rPr>
            </w:pPr>
            <w:r>
              <w:rPr>
                <w:rFonts w:hint="eastAsia" w:ascii="宋体" w:hAnsi="宋体" w:cs="宋体"/>
                <w:color w:val="auto"/>
                <w:highlight w:val="none"/>
              </w:rPr>
              <w:t>响应报价必须包含</w:t>
            </w:r>
          </w:p>
          <w:p w14:paraId="5EE0CDD6">
            <w:pPr>
              <w:snapToGrid w:val="0"/>
              <w:spacing w:line="360" w:lineRule="auto"/>
              <w:jc w:val="left"/>
              <w:rPr>
                <w:rFonts w:ascii="宋体" w:hAnsi="宋体" w:cs="宋体"/>
                <w:color w:val="auto"/>
                <w:highlight w:val="none"/>
              </w:rPr>
            </w:pPr>
            <w:r>
              <w:rPr>
                <w:rFonts w:hint="eastAsia" w:ascii="宋体" w:hAnsi="宋体" w:cs="宋体"/>
                <w:color w:val="auto"/>
                <w:highlight w:val="none"/>
              </w:rPr>
              <w:t>①服务的价格；</w:t>
            </w:r>
          </w:p>
          <w:p w14:paraId="6C591792">
            <w:pPr>
              <w:snapToGrid w:val="0"/>
              <w:spacing w:line="360" w:lineRule="auto"/>
              <w:jc w:val="left"/>
              <w:rPr>
                <w:rFonts w:ascii="宋体" w:hAnsi="宋体" w:cs="宋体"/>
                <w:color w:val="auto"/>
                <w:highlight w:val="none"/>
              </w:rPr>
            </w:pPr>
            <w:r>
              <w:rPr>
                <w:rFonts w:hint="eastAsia" w:ascii="宋体" w:hAnsi="宋体" w:cs="宋体"/>
                <w:color w:val="auto"/>
                <w:highlight w:val="none"/>
              </w:rPr>
              <w:t>②必要的保险费用和各项税金；</w:t>
            </w:r>
          </w:p>
          <w:p w14:paraId="0438C1A2">
            <w:pPr>
              <w:snapToGrid w:val="0"/>
              <w:spacing w:line="360" w:lineRule="auto"/>
              <w:jc w:val="left"/>
              <w:rPr>
                <w:rFonts w:ascii="宋体" w:hAnsi="宋体" w:cs="宋体"/>
                <w:color w:val="auto"/>
                <w:highlight w:val="none"/>
              </w:rPr>
            </w:pPr>
            <w:r>
              <w:rPr>
                <w:rFonts w:hint="eastAsia" w:ascii="宋体" w:hAnsi="宋体" w:cs="宋体"/>
                <w:color w:val="auto"/>
                <w:highlight w:val="none"/>
              </w:rPr>
              <w:t>③服务期内的前端监控正常维护、人员培训费用、安装和监控线路的租用费、迁改点位服务费用，随配附件、备品备件、工具、货物运抵指定交货地点的各种费用和售后服务、税金及其它所有成本费用的总和。</w:t>
            </w:r>
          </w:p>
          <w:p w14:paraId="1C7357BF">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☑响应报价包含验收费用</w:t>
            </w:r>
          </w:p>
          <w:p w14:paraId="5C4A917A">
            <w:pPr>
              <w:pStyle w:val="11"/>
              <w:spacing w:line="360" w:lineRule="auto"/>
              <w:rPr>
                <w:rFonts w:ascii="宋体" w:hAnsi="宋体" w:cs="宋体"/>
                <w:color w:val="auto"/>
                <w:highlight w:val="none"/>
              </w:rPr>
            </w:pPr>
            <w:r>
              <w:rPr>
                <w:rFonts w:hint="eastAsia" w:ascii="宋体" w:hAnsi="宋体" w:cs="宋体"/>
                <w:b/>
                <w:color w:val="auto"/>
                <w:szCs w:val="21"/>
                <w:highlight w:val="none"/>
              </w:rPr>
              <w:t>□响应报价不包含验收费用</w:t>
            </w:r>
          </w:p>
        </w:tc>
      </w:tr>
      <w:tr w14:paraId="7328D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334D3D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548" w:type="dxa"/>
            <w:noWrap/>
            <w:vAlign w:val="center"/>
          </w:tcPr>
          <w:p w14:paraId="49E3BD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3" w:type="dxa"/>
            <w:noWrap/>
            <w:vAlign w:val="center"/>
          </w:tcPr>
          <w:p w14:paraId="31B40F71">
            <w:pPr>
              <w:pStyle w:val="7"/>
              <w:tabs>
                <w:tab w:val="left" w:pos="720"/>
                <w:tab w:val="left" w:pos="840"/>
              </w:tabs>
              <w:snapToGrid w:val="0"/>
              <w:spacing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w:t>
            </w:r>
          </w:p>
        </w:tc>
      </w:tr>
      <w:tr w14:paraId="557D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03870E4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548" w:type="dxa"/>
            <w:noWrap/>
            <w:vAlign w:val="center"/>
          </w:tcPr>
          <w:p w14:paraId="22BF843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853" w:type="dxa"/>
            <w:noWrap/>
            <w:vAlign w:val="center"/>
          </w:tcPr>
          <w:p w14:paraId="5A6A4527">
            <w:pPr>
              <w:spacing w:line="360" w:lineRule="auto"/>
              <w:rPr>
                <w:rFonts w:ascii="宋体" w:hAnsi="宋体" w:cs="宋体"/>
                <w:color w:val="auto"/>
                <w:szCs w:val="21"/>
                <w:highlight w:val="none"/>
              </w:rPr>
            </w:pP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磋商保证金。</w:t>
            </w:r>
          </w:p>
        </w:tc>
      </w:tr>
      <w:tr w14:paraId="7B08C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noWrap/>
            <w:vAlign w:val="center"/>
          </w:tcPr>
          <w:p w14:paraId="125995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548" w:type="dxa"/>
            <w:noWrap/>
            <w:vAlign w:val="center"/>
          </w:tcPr>
          <w:p w14:paraId="36AED3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首次响应文件提交截止</w:t>
            </w:r>
          </w:p>
          <w:p w14:paraId="18B6F2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6853" w:type="dxa"/>
            <w:noWrap/>
            <w:vAlign w:val="center"/>
          </w:tcPr>
          <w:p w14:paraId="653BDCA3">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2A038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noWrap/>
            <w:vAlign w:val="center"/>
          </w:tcPr>
          <w:p w14:paraId="52B74784">
            <w:pPr>
              <w:spacing w:line="360" w:lineRule="auto"/>
              <w:jc w:val="center"/>
              <w:rPr>
                <w:rFonts w:ascii="宋体" w:hAnsi="宋体" w:cs="宋体"/>
                <w:color w:val="auto"/>
                <w:szCs w:val="21"/>
                <w:highlight w:val="none"/>
              </w:rPr>
            </w:pPr>
          </w:p>
        </w:tc>
        <w:tc>
          <w:tcPr>
            <w:tcW w:w="2548" w:type="dxa"/>
            <w:noWrap/>
            <w:vAlign w:val="center"/>
          </w:tcPr>
          <w:p w14:paraId="6303F2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首次响应文件开启</w:t>
            </w:r>
          </w:p>
          <w:p w14:paraId="0D544D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6853" w:type="dxa"/>
            <w:noWrap/>
            <w:vAlign w:val="center"/>
          </w:tcPr>
          <w:p w14:paraId="6CBCE5D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3F0D7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ign w:val="center"/>
          </w:tcPr>
          <w:p w14:paraId="6E35BEE2">
            <w:pPr>
              <w:spacing w:line="360" w:lineRule="auto"/>
              <w:jc w:val="center"/>
              <w:rPr>
                <w:rFonts w:ascii="宋体" w:hAnsi="宋体" w:cs="宋体"/>
                <w:color w:val="auto"/>
                <w:szCs w:val="21"/>
                <w:highlight w:val="none"/>
              </w:rPr>
            </w:pPr>
          </w:p>
        </w:tc>
        <w:tc>
          <w:tcPr>
            <w:tcW w:w="2548" w:type="dxa"/>
            <w:noWrap/>
            <w:vAlign w:val="center"/>
          </w:tcPr>
          <w:p w14:paraId="6011A1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3" w:type="dxa"/>
            <w:noWrap/>
            <w:vAlign w:val="center"/>
          </w:tcPr>
          <w:p w14:paraId="4C5F7EDC">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399D4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ign w:val="center"/>
          </w:tcPr>
          <w:p w14:paraId="6DFC7D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548" w:type="dxa"/>
            <w:noWrap/>
            <w:vAlign w:val="center"/>
          </w:tcPr>
          <w:p w14:paraId="57786D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3" w:type="dxa"/>
            <w:noWrap/>
            <w:vAlign w:val="center"/>
          </w:tcPr>
          <w:p w14:paraId="6B8DB6A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6C62D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ign w:val="center"/>
          </w:tcPr>
          <w:p w14:paraId="56570A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548" w:type="dxa"/>
            <w:noWrap/>
            <w:vAlign w:val="center"/>
          </w:tcPr>
          <w:p w14:paraId="45B994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首次响应文件的补充、修改与撤回</w:t>
            </w:r>
          </w:p>
        </w:tc>
        <w:tc>
          <w:tcPr>
            <w:tcW w:w="6853" w:type="dxa"/>
            <w:noWrap/>
            <w:vAlign w:val="center"/>
          </w:tcPr>
          <w:p w14:paraId="2B06240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Cs/>
                <w:color w:val="auto"/>
                <w:highlight w:val="none"/>
              </w:rPr>
              <w:t>供应商须知正文</w:t>
            </w:r>
            <w:r>
              <w:rPr>
                <w:rFonts w:hint="eastAsia" w:ascii="宋体" w:hAnsi="宋体" w:cs="宋体"/>
                <w:color w:val="auto"/>
                <w:szCs w:val="21"/>
                <w:highlight w:val="none"/>
              </w:rPr>
              <w:t>。</w:t>
            </w:r>
          </w:p>
        </w:tc>
      </w:tr>
      <w:tr w14:paraId="73CCA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noWrap/>
            <w:vAlign w:val="center"/>
          </w:tcPr>
          <w:p w14:paraId="6544AB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2548" w:type="dxa"/>
            <w:noWrap/>
            <w:vAlign w:val="center"/>
          </w:tcPr>
          <w:p w14:paraId="0F86214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3" w:type="dxa"/>
            <w:noWrap/>
            <w:vAlign w:val="center"/>
          </w:tcPr>
          <w:p w14:paraId="4BC82CA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5EE9150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44D34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ign w:val="center"/>
          </w:tcPr>
          <w:p w14:paraId="2E878A41">
            <w:pPr>
              <w:spacing w:line="360" w:lineRule="auto"/>
              <w:jc w:val="center"/>
              <w:rPr>
                <w:rFonts w:ascii="宋体" w:hAnsi="宋体" w:cs="宋体"/>
                <w:color w:val="auto"/>
                <w:szCs w:val="21"/>
                <w:highlight w:val="none"/>
              </w:rPr>
            </w:pPr>
          </w:p>
        </w:tc>
        <w:tc>
          <w:tcPr>
            <w:tcW w:w="2548" w:type="dxa"/>
            <w:noWrap/>
            <w:vAlign w:val="center"/>
          </w:tcPr>
          <w:p w14:paraId="0C6937E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评审方法</w:t>
            </w:r>
          </w:p>
        </w:tc>
        <w:tc>
          <w:tcPr>
            <w:tcW w:w="6853" w:type="dxa"/>
            <w:noWrap/>
            <w:vAlign w:val="center"/>
          </w:tcPr>
          <w:p w14:paraId="312AC697">
            <w:pPr>
              <w:pStyle w:val="9"/>
              <w:spacing w:line="360" w:lineRule="auto"/>
              <w:rPr>
                <w:rFonts w:ascii="宋体" w:hAnsi="宋体" w:cs="宋体"/>
                <w:b/>
                <w:color w:val="auto"/>
                <w:szCs w:val="21"/>
                <w:highlight w:val="none"/>
              </w:rPr>
            </w:pPr>
            <w:r>
              <w:rPr>
                <w:rFonts w:hint="eastAsia" w:ascii="宋体" w:hAnsi="宋体" w:cs="宋体"/>
                <w:color w:val="auto"/>
                <w:highlight w:val="none"/>
              </w:rPr>
              <w:t>本项目采用综合评分法。综合评分法是指响应文件满足竞争性磋商文件全部实质性要求且按评审因素的量化指标评审得分最高的供应商为成交候选供应商的评审方法。</w:t>
            </w:r>
          </w:p>
        </w:tc>
      </w:tr>
      <w:tr w14:paraId="601CA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ign w:val="center"/>
          </w:tcPr>
          <w:p w14:paraId="79A2465F">
            <w:pPr>
              <w:spacing w:line="360" w:lineRule="auto"/>
              <w:jc w:val="center"/>
              <w:rPr>
                <w:rFonts w:ascii="宋体" w:hAnsi="宋体" w:cs="宋体"/>
                <w:color w:val="auto"/>
                <w:szCs w:val="21"/>
                <w:highlight w:val="none"/>
              </w:rPr>
            </w:pPr>
          </w:p>
        </w:tc>
        <w:tc>
          <w:tcPr>
            <w:tcW w:w="2548" w:type="dxa"/>
            <w:noWrap/>
            <w:vAlign w:val="center"/>
          </w:tcPr>
          <w:p w14:paraId="6227126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tc>
        <w:tc>
          <w:tcPr>
            <w:tcW w:w="6853" w:type="dxa"/>
            <w:noWrap/>
            <w:vAlign w:val="center"/>
          </w:tcPr>
          <w:p w14:paraId="2986F1CD">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153B677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14:paraId="44C6AC21">
            <w:pPr>
              <w:pStyle w:val="9"/>
              <w:spacing w:line="360" w:lineRule="auto"/>
              <w:rPr>
                <w:rFonts w:ascii="宋体" w:hAnsi="宋体" w:cs="宋体"/>
                <w:b/>
                <w:color w:val="auto"/>
                <w:szCs w:val="21"/>
                <w:highlight w:val="none"/>
              </w:rPr>
            </w:pPr>
          </w:p>
        </w:tc>
      </w:tr>
      <w:tr w14:paraId="3D74B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6FE2CE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2548" w:type="dxa"/>
            <w:noWrap/>
            <w:vAlign w:val="center"/>
          </w:tcPr>
          <w:p w14:paraId="4EF342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3" w:type="dxa"/>
            <w:noWrap/>
            <w:vAlign w:val="center"/>
          </w:tcPr>
          <w:p w14:paraId="44291FE7">
            <w:pPr>
              <w:spacing w:line="360" w:lineRule="auto"/>
              <w:rPr>
                <w:rFonts w:ascii="宋体" w:hAnsi="宋体" w:cs="宋体"/>
                <w:color w:val="auto"/>
                <w:szCs w:val="21"/>
                <w:highlight w:val="none"/>
              </w:rPr>
            </w:pP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tc>
      </w:tr>
      <w:tr w14:paraId="5A8E9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70C47C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28.5</w:t>
            </w:r>
          </w:p>
        </w:tc>
        <w:tc>
          <w:tcPr>
            <w:tcW w:w="2548" w:type="dxa"/>
            <w:noWrap/>
            <w:vAlign w:val="center"/>
          </w:tcPr>
          <w:p w14:paraId="2EB29B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853" w:type="dxa"/>
            <w:noWrap/>
            <w:vAlign w:val="center"/>
          </w:tcPr>
          <w:p w14:paraId="0DC6AEE6">
            <w:pPr>
              <w:snapToGrid w:val="0"/>
              <w:spacing w:line="360" w:lineRule="auto"/>
              <w:rPr>
                <w:rFonts w:ascii="宋体" w:hAnsi="宋体" w:cs="宋体"/>
                <w:b/>
                <w:bCs/>
                <w:i/>
                <w:iCs/>
                <w:color w:val="auto"/>
                <w:szCs w:val="21"/>
                <w:highlight w:val="none"/>
              </w:rPr>
            </w:pPr>
            <w:r>
              <w:rPr>
                <w:rFonts w:hint="eastAsia" w:ascii="宋体" w:hAnsi="宋体" w:cs="宋体"/>
                <w:color w:val="auto"/>
                <w:szCs w:val="21"/>
                <w:highlight w:val="none"/>
              </w:rPr>
              <w:t>使用的有效CA证书加盖单位电子公章</w:t>
            </w:r>
          </w:p>
        </w:tc>
      </w:tr>
      <w:tr w14:paraId="2B9EB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ign w:val="center"/>
          </w:tcPr>
          <w:p w14:paraId="493087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30.2</w:t>
            </w:r>
          </w:p>
        </w:tc>
        <w:tc>
          <w:tcPr>
            <w:tcW w:w="2548" w:type="dxa"/>
            <w:noWrap/>
            <w:vAlign w:val="center"/>
          </w:tcPr>
          <w:p w14:paraId="1353E0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3" w:type="dxa"/>
            <w:noWrap/>
            <w:vAlign w:val="center"/>
          </w:tcPr>
          <w:p w14:paraId="2D53EAB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416EC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ign w:val="center"/>
          </w:tcPr>
          <w:p w14:paraId="1C44E5A0">
            <w:pPr>
              <w:spacing w:line="360" w:lineRule="auto"/>
              <w:jc w:val="center"/>
              <w:rPr>
                <w:rFonts w:ascii="宋体" w:hAnsi="宋体" w:cs="宋体"/>
                <w:color w:val="auto"/>
                <w:szCs w:val="21"/>
                <w:highlight w:val="none"/>
              </w:rPr>
            </w:pPr>
          </w:p>
        </w:tc>
        <w:tc>
          <w:tcPr>
            <w:tcW w:w="2548" w:type="dxa"/>
            <w:noWrap/>
            <w:vAlign w:val="center"/>
          </w:tcPr>
          <w:p w14:paraId="1371BB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质疑联系部门及联系</w:t>
            </w:r>
          </w:p>
          <w:p w14:paraId="4672D0B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方式</w:t>
            </w:r>
          </w:p>
        </w:tc>
        <w:tc>
          <w:tcPr>
            <w:tcW w:w="6853" w:type="dxa"/>
            <w:noWrap/>
            <w:vAlign w:val="center"/>
          </w:tcPr>
          <w:p w14:paraId="6C2B4BBA">
            <w:pPr>
              <w:snapToGrid w:val="0"/>
              <w:spacing w:line="360" w:lineRule="auto"/>
              <w:rPr>
                <w:rFonts w:ascii="宋体" w:hAnsi="宋体" w:cs="宋体"/>
                <w:color w:val="auto"/>
                <w:spacing w:val="10"/>
                <w:highlight w:val="none"/>
              </w:rPr>
            </w:pPr>
            <w:bookmarkStart w:id="74" w:name="PO_3000001868_PM031_3"/>
            <w:r>
              <w:rPr>
                <w:rFonts w:hint="eastAsia" w:ascii="宋体" w:hAnsi="宋体" w:cs="宋体"/>
                <w:color w:val="auto"/>
                <w:spacing w:val="10"/>
                <w:highlight w:val="none"/>
              </w:rPr>
              <w:t>（1）名称：</w:t>
            </w:r>
            <w:bookmarkEnd w:id="74"/>
            <w:r>
              <w:rPr>
                <w:rFonts w:hint="eastAsia" w:ascii="宋体" w:hAnsi="宋体" w:cs="宋体"/>
                <w:color w:val="auto"/>
                <w:spacing w:val="10"/>
                <w:highlight w:val="none"/>
              </w:rPr>
              <w:t>防城港市公安局</w:t>
            </w:r>
          </w:p>
          <w:p w14:paraId="01D400AD">
            <w:pPr>
              <w:snapToGrid w:val="0"/>
              <w:spacing w:line="360" w:lineRule="auto"/>
              <w:rPr>
                <w:rFonts w:ascii="宋体" w:hAnsi="宋体" w:cs="宋体"/>
                <w:color w:val="auto"/>
                <w:spacing w:val="10"/>
                <w:highlight w:val="none"/>
              </w:rPr>
            </w:pPr>
            <w:r>
              <w:rPr>
                <w:rFonts w:hint="eastAsia" w:ascii="宋体" w:hAnsi="宋体" w:cs="宋体"/>
                <w:color w:val="auto"/>
                <w:spacing w:val="10"/>
                <w:highlight w:val="none"/>
              </w:rPr>
              <w:t xml:space="preserve">联系电话：防城港市港口区金花茶大道69号 </w:t>
            </w:r>
          </w:p>
          <w:p w14:paraId="211B6D75">
            <w:pPr>
              <w:snapToGrid w:val="0"/>
              <w:spacing w:line="360" w:lineRule="auto"/>
              <w:rPr>
                <w:rFonts w:ascii="宋体" w:hAnsi="宋体" w:cs="宋体"/>
                <w:color w:val="auto"/>
                <w:spacing w:val="10"/>
                <w:highlight w:val="none"/>
              </w:rPr>
            </w:pPr>
            <w:r>
              <w:rPr>
                <w:rFonts w:hint="eastAsia" w:ascii="宋体" w:hAnsi="宋体" w:cs="宋体"/>
                <w:color w:val="auto"/>
                <w:spacing w:val="10"/>
                <w:highlight w:val="none"/>
              </w:rPr>
              <w:t>联系方式：吴美，0770-6126288</w:t>
            </w:r>
          </w:p>
          <w:p w14:paraId="0901BD5B">
            <w:pPr>
              <w:snapToGrid w:val="0"/>
              <w:spacing w:line="360" w:lineRule="auto"/>
              <w:rPr>
                <w:rFonts w:ascii="宋体" w:hAnsi="宋体" w:cs="宋体"/>
                <w:color w:val="auto"/>
                <w:spacing w:val="10"/>
                <w:highlight w:val="none"/>
              </w:rPr>
            </w:pPr>
            <w:r>
              <w:rPr>
                <w:rFonts w:hint="eastAsia" w:ascii="宋体" w:hAnsi="宋体" w:cs="宋体"/>
                <w:color w:val="auto"/>
                <w:spacing w:val="10"/>
                <w:highlight w:val="none"/>
              </w:rPr>
              <w:t>（2）名称：广西清蘅建设工程造价咨询有限公司</w:t>
            </w:r>
          </w:p>
          <w:p w14:paraId="00A91D5D">
            <w:pPr>
              <w:snapToGrid w:val="0"/>
              <w:spacing w:line="360" w:lineRule="auto"/>
              <w:rPr>
                <w:rFonts w:hint="default" w:ascii="宋体" w:hAnsi="宋体" w:eastAsia="宋体" w:cs="宋体"/>
                <w:color w:val="auto"/>
                <w:spacing w:val="10"/>
                <w:highlight w:val="none"/>
                <w:lang w:val="en-US" w:eastAsia="zh-CN"/>
              </w:rPr>
            </w:pPr>
            <w:r>
              <w:rPr>
                <w:rFonts w:hint="eastAsia" w:ascii="宋体" w:hAnsi="宋体" w:cs="宋体"/>
                <w:color w:val="auto"/>
                <w:spacing w:val="10"/>
                <w:highlight w:val="none"/>
              </w:rPr>
              <w:t>联系电话：0770-</w:t>
            </w:r>
            <w:r>
              <w:rPr>
                <w:rFonts w:hint="eastAsia" w:ascii="宋体" w:hAnsi="宋体" w:cs="宋体"/>
                <w:color w:val="auto"/>
                <w:spacing w:val="10"/>
                <w:highlight w:val="none"/>
                <w:lang w:val="en-US" w:eastAsia="zh-CN"/>
              </w:rPr>
              <w:t>2862599</w:t>
            </w:r>
          </w:p>
          <w:p w14:paraId="5522B474">
            <w:pPr>
              <w:snapToGrid w:val="0"/>
              <w:spacing w:line="360" w:lineRule="auto"/>
              <w:rPr>
                <w:rFonts w:ascii="宋体" w:hAnsi="宋体" w:cs="宋体"/>
                <w:color w:val="auto"/>
                <w:szCs w:val="21"/>
                <w:highlight w:val="none"/>
              </w:rPr>
            </w:pPr>
            <w:r>
              <w:rPr>
                <w:rFonts w:hint="eastAsia" w:ascii="宋体" w:hAnsi="宋体" w:cs="宋体"/>
                <w:color w:val="auto"/>
                <w:spacing w:val="10"/>
                <w:highlight w:val="none"/>
              </w:rPr>
              <w:t xml:space="preserve">通讯地址：防城港市港口区西湾广场财苑小区8号 </w:t>
            </w:r>
          </w:p>
        </w:tc>
      </w:tr>
      <w:tr w14:paraId="24F85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ign w:val="center"/>
          </w:tcPr>
          <w:p w14:paraId="6B899A74">
            <w:pPr>
              <w:spacing w:line="360" w:lineRule="auto"/>
              <w:jc w:val="center"/>
              <w:rPr>
                <w:rFonts w:ascii="宋体" w:hAnsi="宋体" w:cs="宋体"/>
                <w:color w:val="auto"/>
                <w:szCs w:val="21"/>
                <w:highlight w:val="none"/>
              </w:rPr>
            </w:pPr>
          </w:p>
        </w:tc>
        <w:tc>
          <w:tcPr>
            <w:tcW w:w="2548" w:type="dxa"/>
            <w:noWrap/>
            <w:vAlign w:val="center"/>
          </w:tcPr>
          <w:p w14:paraId="11398D26">
            <w:pPr>
              <w:spacing w:line="360" w:lineRule="auto"/>
              <w:jc w:val="center"/>
              <w:rPr>
                <w:rFonts w:ascii="宋体" w:hAnsi="宋体" w:cs="宋体"/>
                <w:color w:val="auto"/>
                <w:highlight w:val="none"/>
              </w:rPr>
            </w:pPr>
            <w:r>
              <w:rPr>
                <w:rFonts w:hint="eastAsia" w:ascii="宋体" w:hAnsi="宋体" w:cs="宋体"/>
                <w:color w:val="auto"/>
                <w:highlight w:val="none"/>
              </w:rPr>
              <w:t>现场提交质疑办理业务</w:t>
            </w:r>
          </w:p>
          <w:p w14:paraId="16455789">
            <w:pPr>
              <w:spacing w:line="360" w:lineRule="auto"/>
              <w:jc w:val="center"/>
              <w:rPr>
                <w:rFonts w:ascii="宋体" w:hAnsi="宋体" w:cs="宋体"/>
                <w:color w:val="auto"/>
                <w:szCs w:val="21"/>
                <w:highlight w:val="none"/>
              </w:rPr>
            </w:pPr>
            <w:r>
              <w:rPr>
                <w:rFonts w:hint="eastAsia" w:ascii="宋体" w:hAnsi="宋体" w:cs="宋体"/>
                <w:color w:val="auto"/>
                <w:highlight w:val="none"/>
              </w:rPr>
              <w:t>时间</w:t>
            </w:r>
          </w:p>
        </w:tc>
        <w:tc>
          <w:tcPr>
            <w:tcW w:w="6853" w:type="dxa"/>
            <w:noWrap/>
            <w:vAlign w:val="center"/>
          </w:tcPr>
          <w:p w14:paraId="597D6A76">
            <w:pPr>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质疑期内每个工作日（北京时间）上午</w:t>
            </w:r>
            <w:r>
              <w:rPr>
                <w:rFonts w:hint="eastAsia" w:ascii="宋体" w:hAnsi="宋体" w:cs="宋体"/>
                <w:color w:val="auto"/>
                <w:highlight w:val="none"/>
                <w:u w:val="single"/>
              </w:rPr>
              <w:t>9</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分到</w:t>
            </w:r>
            <w:r>
              <w:rPr>
                <w:rFonts w:hint="eastAsia" w:ascii="宋体" w:hAnsi="宋体" w:cs="宋体"/>
                <w:color w:val="auto"/>
                <w:highlight w:val="none"/>
                <w:u w:val="single"/>
              </w:rPr>
              <w:t>12</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分，下午</w:t>
            </w:r>
            <w:r>
              <w:rPr>
                <w:rFonts w:hint="eastAsia" w:ascii="宋体" w:hAnsi="宋体" w:cs="宋体"/>
                <w:color w:val="auto"/>
                <w:highlight w:val="none"/>
                <w:u w:val="single"/>
              </w:rPr>
              <w:t>15</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分到</w:t>
            </w:r>
            <w:r>
              <w:rPr>
                <w:rFonts w:hint="eastAsia" w:ascii="宋体" w:hAnsi="宋体" w:cs="宋体"/>
                <w:color w:val="auto"/>
                <w:highlight w:val="none"/>
                <w:u w:val="single"/>
              </w:rPr>
              <w:t>18</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w:t>
            </w:r>
          </w:p>
        </w:tc>
      </w:tr>
      <w:tr w14:paraId="068C0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13377DD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30.6</w:t>
            </w:r>
          </w:p>
        </w:tc>
        <w:tc>
          <w:tcPr>
            <w:tcW w:w="2548" w:type="dxa"/>
            <w:noWrap/>
            <w:vAlign w:val="center"/>
          </w:tcPr>
          <w:p w14:paraId="0AD368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3" w:type="dxa"/>
            <w:noWrap/>
            <w:vAlign w:val="center"/>
          </w:tcPr>
          <w:p w14:paraId="7F124D95">
            <w:pPr>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357316EE">
            <w:pPr>
              <w:snapToGrid w:val="0"/>
              <w:spacing w:line="360" w:lineRule="auto"/>
              <w:rPr>
                <w:rFonts w:ascii="宋体" w:hAnsi="宋体" w:cs="宋体"/>
                <w:color w:val="auto"/>
                <w:highlight w:val="none"/>
              </w:rPr>
            </w:pPr>
            <w:r>
              <w:rPr>
                <w:rFonts w:hint="eastAsia" w:ascii="宋体" w:hAnsi="宋体" w:cs="宋体"/>
                <w:color w:val="auto"/>
                <w:highlight w:val="none"/>
              </w:rPr>
              <w:t>2、通讯方式</w:t>
            </w:r>
          </w:p>
          <w:p w14:paraId="31A8B5AE">
            <w:pPr>
              <w:snapToGrid w:val="0"/>
              <w:spacing w:line="360" w:lineRule="auto"/>
              <w:rPr>
                <w:rFonts w:ascii="宋体" w:hAnsi="宋体" w:cs="宋体"/>
                <w:color w:val="auto"/>
                <w:highlight w:val="none"/>
              </w:rPr>
            </w:pPr>
            <w:r>
              <w:rPr>
                <w:rFonts w:hint="eastAsia" w:ascii="宋体" w:hAnsi="宋体" w:cs="宋体"/>
                <w:color w:val="auto"/>
                <w:highlight w:val="none"/>
              </w:rPr>
              <w:t>名称：防城港市财政局</w:t>
            </w:r>
            <w:r>
              <w:rPr>
                <w:rFonts w:hint="eastAsia" w:ascii="宋体" w:hAnsi="宋体" w:cs="宋体"/>
                <w:color w:val="auto"/>
                <w:kern w:val="0"/>
                <w:szCs w:val="21"/>
                <w:highlight w:val="none"/>
              </w:rPr>
              <w:t>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电话：0770-6102323</w:t>
            </w:r>
          </w:p>
        </w:tc>
      </w:tr>
      <w:tr w14:paraId="18AA9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488612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2548" w:type="dxa"/>
            <w:noWrap/>
            <w:vAlign w:val="center"/>
          </w:tcPr>
          <w:p w14:paraId="1AEFE1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6853" w:type="dxa"/>
            <w:noWrap/>
            <w:vAlign w:val="center"/>
          </w:tcPr>
          <w:p w14:paraId="0EB3060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 是否收取采购代理服务费：</w:t>
            </w:r>
          </w:p>
          <w:p w14:paraId="1953AE80">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☑是    □ 否</w:t>
            </w:r>
          </w:p>
          <w:p w14:paraId="1C636CA4">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2.采购代理服务费支付方式：</w:t>
            </w:r>
          </w:p>
          <w:p w14:paraId="6106B1E1">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☑本项目采购代理服务费由</w:t>
            </w:r>
            <w:r>
              <w:rPr>
                <w:rFonts w:hint="eastAsia" w:ascii="宋体" w:hAnsi="宋体" w:cs="宋体"/>
                <w:color w:val="auto"/>
                <w:kern w:val="0"/>
                <w:szCs w:val="21"/>
                <w:highlight w:val="none"/>
                <w:u w:val="single"/>
              </w:rPr>
              <w:t>成交供应商</w:t>
            </w:r>
            <w:r>
              <w:rPr>
                <w:rFonts w:hint="eastAsia" w:ascii="宋体" w:hAnsi="宋体" w:cs="宋体"/>
                <w:color w:val="auto"/>
                <w:kern w:val="0"/>
                <w:szCs w:val="21"/>
                <w:highlight w:val="none"/>
              </w:rPr>
              <w:t>在签订合同前，</w:t>
            </w:r>
            <w:r>
              <w:rPr>
                <w:rFonts w:hint="eastAsia" w:ascii="宋体" w:hAnsi="宋体" w:cs="宋体"/>
                <w:color w:val="auto"/>
                <w:highlight w:val="none"/>
              </w:rPr>
              <w:t>以银行转账、电汇等方式</w:t>
            </w:r>
            <w:r>
              <w:rPr>
                <w:rFonts w:hint="eastAsia" w:ascii="宋体" w:hAnsi="宋体" w:cs="宋体"/>
                <w:color w:val="auto"/>
                <w:kern w:val="0"/>
                <w:szCs w:val="21"/>
                <w:highlight w:val="none"/>
              </w:rPr>
              <w:t>一次性向采购代理机构支付。</w:t>
            </w:r>
          </w:p>
          <w:p w14:paraId="463603F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□采购人支付。</w:t>
            </w:r>
          </w:p>
          <w:p w14:paraId="4C1C1451">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3.采购代理服务费收取标准：</w:t>
            </w:r>
          </w:p>
          <w:p w14:paraId="23F390C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☑以项目（☑成交总金额/□采购预算/□暂定成交金额/□其他）为计费额，按</w:t>
            </w:r>
            <w:r>
              <w:rPr>
                <w:rFonts w:hint="eastAsia" w:ascii="宋体" w:hAnsi="宋体" w:cs="宋体"/>
                <w:color w:val="auto"/>
                <w:highlight w:val="none"/>
              </w:rPr>
              <w:t>本须知正文第32.2条规定的收费计算标准（</w:t>
            </w:r>
            <w:r>
              <w:rPr>
                <w:rFonts w:hint="eastAsia" w:ascii="宋体" w:hAnsi="宋体" w:cs="宋体"/>
                <w:b/>
                <w:bCs/>
                <w:color w:val="auto"/>
                <w:kern w:val="0"/>
                <w:szCs w:val="21"/>
                <w:highlight w:val="none"/>
                <w:u w:val="single"/>
              </w:rPr>
              <w:t>服务类</w:t>
            </w:r>
            <w:r>
              <w:rPr>
                <w:rFonts w:hint="eastAsia" w:ascii="宋体" w:hAnsi="宋体" w:cs="宋体"/>
                <w:color w:val="auto"/>
                <w:highlight w:val="none"/>
              </w:rPr>
              <w:t>）</w:t>
            </w:r>
            <w:r>
              <w:rPr>
                <w:rFonts w:hint="eastAsia" w:ascii="宋体" w:hAnsi="宋体" w:cs="宋体"/>
                <w:color w:val="auto"/>
                <w:kern w:val="0"/>
                <w:szCs w:val="21"/>
                <w:highlight w:val="none"/>
              </w:rPr>
              <w:t>采用差额定率累进法计算出收费基准价格，采购代理机构收费以收取。</w:t>
            </w:r>
          </w:p>
          <w:p w14:paraId="568FC640">
            <w:pPr>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□固定采购代理收费：</w:t>
            </w:r>
            <w:r>
              <w:rPr>
                <w:rFonts w:hint="eastAsia" w:ascii="宋体" w:hAnsi="宋体" w:cs="宋体"/>
                <w:color w:val="auto"/>
                <w:kern w:val="0"/>
                <w:szCs w:val="21"/>
                <w:highlight w:val="none"/>
                <w:u w:val="single"/>
              </w:rPr>
              <w:t xml:space="preserve">         。</w:t>
            </w:r>
          </w:p>
          <w:p w14:paraId="1A20CA68">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 采购代理服务费收取银行账户的信息</w:t>
            </w:r>
          </w:p>
          <w:p w14:paraId="3976100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开户名称：广西清蘅建设工程造价咨询有限公司</w:t>
            </w:r>
          </w:p>
          <w:p w14:paraId="10BA9820">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开户银行：桂林银行股份有限公司防城港分行</w:t>
            </w:r>
          </w:p>
          <w:p w14:paraId="51F78881">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银行账号：660000016271400019</w:t>
            </w:r>
          </w:p>
        </w:tc>
      </w:tr>
      <w:tr w14:paraId="0B45C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4C94AA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548" w:type="dxa"/>
            <w:noWrap/>
            <w:vAlign w:val="center"/>
          </w:tcPr>
          <w:p w14:paraId="458DB06D">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853" w:type="dxa"/>
            <w:noWrap/>
            <w:vAlign w:val="center"/>
          </w:tcPr>
          <w:p w14:paraId="3747D77E">
            <w:pPr>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解释：</w:t>
            </w:r>
            <w:r>
              <w:rPr>
                <w:rFonts w:hint="eastAsia" w:ascii="宋体" w:hAnsi="宋体" w:cs="宋体"/>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highlight w:val="none"/>
              </w:rPr>
              <w:t>由采购人或者采购代理机构负责解释。</w:t>
            </w:r>
          </w:p>
          <w:p w14:paraId="7F3FF03B">
            <w:pPr>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法律责任：</w:t>
            </w:r>
          </w:p>
          <w:p w14:paraId="1F653DA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3568F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1AD0CC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2548" w:type="dxa"/>
            <w:noWrap/>
            <w:vAlign w:val="center"/>
          </w:tcPr>
          <w:p w14:paraId="0835D3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3" w:type="dxa"/>
            <w:noWrap/>
            <w:vAlign w:val="center"/>
          </w:tcPr>
          <w:p w14:paraId="4B1E2777">
            <w:pPr>
              <w:pStyle w:val="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分公司章、工会章、合同章、投标专用章、业务专用章及银行的转账章、现金收讫章、现金付讫章等其他形式印章均不能代替公章。</w:t>
            </w:r>
          </w:p>
          <w:p w14:paraId="1B2B4462">
            <w:pPr>
              <w:pStyle w:val="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14:paraId="56CF124F">
            <w:pPr>
              <w:pStyle w:val="9"/>
              <w:tabs>
                <w:tab w:val="center" w:pos="4153"/>
                <w:tab w:val="right" w:pos="830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1C72C0C">
            <w:pPr>
              <w:pStyle w:val="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w:t>
            </w:r>
          </w:p>
          <w:p w14:paraId="3E1A6910">
            <w:pPr>
              <w:pStyle w:val="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5.自然人竞标的，竞争性磋商文件规定盖公章处由自然人摁手指指印。</w:t>
            </w:r>
          </w:p>
          <w:p w14:paraId="634BFEF6">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 xml:space="preserve">    6.本竞争性磋商文件所称的“以上”“以下”“以内”“届满”，包括本数；所称的“不满”“超过”“以外”，不包括本数。</w:t>
            </w:r>
          </w:p>
        </w:tc>
      </w:tr>
    </w:tbl>
    <w:p w14:paraId="7BAA0E01">
      <w:pPr>
        <w:pStyle w:val="3"/>
        <w:spacing w:line="360" w:lineRule="auto"/>
        <w:jc w:val="center"/>
        <w:rPr>
          <w:rFonts w:ascii="宋体" w:hAnsi="宋体" w:cs="宋体"/>
          <w:b w:val="0"/>
          <w:color w:val="auto"/>
          <w:highlight w:val="none"/>
        </w:rPr>
      </w:pPr>
      <w:r>
        <w:rPr>
          <w:rFonts w:hint="eastAsia" w:ascii="宋体" w:hAnsi="宋体" w:cs="宋体"/>
          <w:b w:val="0"/>
          <w:color w:val="auto"/>
          <w:highlight w:val="none"/>
        </w:rPr>
        <w:br w:type="page"/>
      </w:r>
      <w:bookmarkStart w:id="75" w:name="_Toc30957"/>
      <w:bookmarkStart w:id="76" w:name="_Toc27094"/>
      <w:bookmarkStart w:id="77" w:name="_Toc287"/>
      <w:bookmarkStart w:id="78" w:name="_Toc80886929"/>
      <w:r>
        <w:rPr>
          <w:rFonts w:hint="eastAsia" w:ascii="宋体" w:hAnsi="宋体" w:cs="宋体"/>
          <w:b w:val="0"/>
          <w:color w:val="auto"/>
          <w:highlight w:val="none"/>
        </w:rPr>
        <w:t>第二节 供应商须知正文</w:t>
      </w:r>
      <w:bookmarkEnd w:id="75"/>
      <w:bookmarkEnd w:id="76"/>
      <w:bookmarkEnd w:id="77"/>
      <w:bookmarkEnd w:id="78"/>
    </w:p>
    <w:p w14:paraId="32E84EA6">
      <w:pPr>
        <w:pStyle w:val="4"/>
        <w:spacing w:before="0" w:after="0" w:line="360" w:lineRule="auto"/>
        <w:ind w:firstLine="640" w:firstLineChars="200"/>
        <w:rPr>
          <w:rFonts w:ascii="宋体" w:hAnsi="宋体" w:cs="宋体"/>
          <w:b w:val="0"/>
          <w:color w:val="auto"/>
          <w:highlight w:val="none"/>
        </w:rPr>
      </w:pPr>
      <w:bookmarkStart w:id="79" w:name="_Toc29774"/>
      <w:bookmarkStart w:id="80" w:name="_Toc6457"/>
      <w:bookmarkStart w:id="81" w:name="_Toc26166"/>
      <w:bookmarkStart w:id="82" w:name="_Toc80886930"/>
      <w:r>
        <w:rPr>
          <w:rFonts w:hint="eastAsia" w:ascii="宋体" w:hAnsi="宋体" w:cs="宋体"/>
          <w:b w:val="0"/>
          <w:color w:val="auto"/>
          <w:highlight w:val="none"/>
        </w:rPr>
        <w:t>一、总则</w:t>
      </w:r>
      <w:bookmarkEnd w:id="79"/>
      <w:bookmarkEnd w:id="80"/>
      <w:bookmarkEnd w:id="81"/>
      <w:bookmarkEnd w:id="82"/>
    </w:p>
    <w:p w14:paraId="4860049F">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1.适用范围</w:t>
      </w:r>
    </w:p>
    <w:p w14:paraId="46631A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620F8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5243812D">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2.定义</w:t>
      </w:r>
    </w:p>
    <w:p w14:paraId="2B7765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27D17193">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F4D30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13A83DCC">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0DEEA8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2.5“竞标”是指供应商按照本项目竞争性磋商公告规定的方式获取磋商文件、提交响应文件并希望获得标的的行为。</w:t>
      </w:r>
    </w:p>
    <w:p w14:paraId="46D4C9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w:t>
      </w:r>
      <w:r>
        <w:rPr>
          <w:rFonts w:hint="eastAsia" w:ascii="宋体" w:hAnsi="宋体" w:cs="宋体"/>
          <w:color w:val="auto"/>
          <w:szCs w:val="21"/>
          <w:highlight w:val="none"/>
        </w:rPr>
        <w:t>报价文件、商务和技术文件</w:t>
      </w:r>
      <w:r>
        <w:rPr>
          <w:rFonts w:hint="eastAsia" w:ascii="宋体" w:hAnsi="宋体" w:cs="宋体"/>
          <w:color w:val="auto"/>
          <w:spacing w:val="-6"/>
          <w:szCs w:val="21"/>
          <w:highlight w:val="none"/>
        </w:rPr>
        <w:t>等所有内容的文件。</w:t>
      </w:r>
    </w:p>
    <w:p w14:paraId="588472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6E669C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5FF5EE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68ACF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5256A2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7D6D1E55">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3A7110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29331A04">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27DE8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5B2B5F4">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4.磋商费用</w:t>
      </w:r>
    </w:p>
    <w:p w14:paraId="2626F4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432BA796">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365668ED">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0D2620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3A7DF086">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56E5B378">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08C93BBB">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6.1本项目不允许转包。</w:t>
      </w:r>
    </w:p>
    <w:p w14:paraId="4B3092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5B2A82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宋体" w:hAnsi="宋体" w:cs="宋体"/>
          <w:bCs/>
          <w:color w:val="auto"/>
          <w:szCs w:val="21"/>
          <w:highlight w:val="none"/>
        </w:rPr>
        <w:t>。</w:t>
      </w:r>
    </w:p>
    <w:p w14:paraId="1CF4D638">
      <w:pPr>
        <w:spacing w:line="360" w:lineRule="auto"/>
        <w:ind w:firstLine="482" w:firstLineChars="200"/>
        <w:outlineLvl w:val="3"/>
        <w:rPr>
          <w:rFonts w:ascii="宋体" w:hAnsi="宋体" w:cs="宋体"/>
          <w:b/>
          <w:bCs/>
          <w:color w:val="auto"/>
          <w:sz w:val="24"/>
          <w:highlight w:val="none"/>
        </w:rPr>
      </w:pPr>
      <w:bookmarkStart w:id="83" w:name="_Toc254970673"/>
      <w:bookmarkStart w:id="84" w:name="_Toc254970532"/>
      <w:r>
        <w:rPr>
          <w:rFonts w:hint="eastAsia" w:ascii="宋体" w:hAnsi="宋体" w:cs="宋体"/>
          <w:b/>
          <w:bCs/>
          <w:color w:val="auto"/>
          <w:sz w:val="24"/>
          <w:highlight w:val="none"/>
        </w:rPr>
        <w:t>7.特别说明</w:t>
      </w:r>
      <w:bookmarkEnd w:id="83"/>
      <w:bookmarkEnd w:id="84"/>
    </w:p>
    <w:p w14:paraId="0D3F6828">
      <w:pPr>
        <w:spacing w:line="360" w:lineRule="auto"/>
        <w:ind w:firstLine="420" w:firstLineChars="200"/>
        <w:rPr>
          <w:rFonts w:ascii="宋体" w:hAnsi="宋体" w:cs="宋体"/>
          <w:color w:val="auto"/>
          <w:szCs w:val="21"/>
          <w:highlight w:val="none"/>
        </w:rPr>
      </w:pPr>
      <w:bookmarkStart w:id="85" w:name="_8.1提供相同品牌产品且通过资格审查、符合性审查的不同投标人参加同一合"/>
      <w:bookmarkEnd w:id="85"/>
      <w:r>
        <w:rPr>
          <w:rFonts w:hint="eastAsia" w:ascii="宋体" w:hAnsi="宋体" w:cs="宋体"/>
          <w:color w:val="auto"/>
          <w:szCs w:val="21"/>
          <w:highlight w:val="none"/>
        </w:rPr>
        <w:t>7.1</w:t>
      </w:r>
      <w:bookmarkStart w:id="86"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6"/>
    <w:p w14:paraId="3CAC94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628F2C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AAF0F2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7.4在政府采购活动中，采购人员及相关人员与供应商有下列利害关系之一的，应当回避：</w:t>
      </w:r>
    </w:p>
    <w:p w14:paraId="114B64A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（1）参加采购活动前3年内与供应商存在劳动关系；</w:t>
      </w:r>
    </w:p>
    <w:p w14:paraId="2232971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（2）参加采购活动前3年内担任供应商的董事、监事；</w:t>
      </w:r>
    </w:p>
    <w:p w14:paraId="40047A0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（3）参加采购活动前3年内是供应商的控股股东或者实际控制人；</w:t>
      </w:r>
    </w:p>
    <w:p w14:paraId="657FB4E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（4）与供应商的法定代表人或者负责人有夫妻、直系血亲、三代以内旁系血亲或者近姻亲关系；</w:t>
      </w:r>
    </w:p>
    <w:p w14:paraId="6E2BC7E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（5）与供应商有其他可能影响政府采购活动公平、公正进行的关系。</w:t>
      </w:r>
    </w:p>
    <w:p w14:paraId="5D7ADAF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AE379D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7.5有下列情形之一的视为供应商相互串通竞标，响应文件将被视为无效：</w:t>
      </w:r>
    </w:p>
    <w:p w14:paraId="478D45E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（1）不同供应商的响应文件由同一单位或者个人编制；或不同供应商报名的IP地址一致的； </w:t>
      </w:r>
    </w:p>
    <w:p w14:paraId="58868AD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14:paraId="401F4F2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14:paraId="1BEA2E4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14:paraId="0C0B75B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14:paraId="362EC053">
      <w:pPr>
        <w:tabs>
          <w:tab w:val="left" w:pos="6931"/>
        </w:tabs>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（6）不同供应商的磋商保证金从同一单位或者个人账户转出。</w:t>
      </w:r>
      <w:r>
        <w:rPr>
          <w:rFonts w:hint="eastAsia" w:ascii="宋体" w:hAnsi="宋体" w:cs="宋体"/>
          <w:b/>
          <w:bCs/>
          <w:color w:val="auto"/>
          <w:szCs w:val="21"/>
          <w:highlight w:val="none"/>
        </w:rPr>
        <w:tab/>
      </w:r>
    </w:p>
    <w:p w14:paraId="786740F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7.6供应商有下列情形之一的，属于恶意串通行为，将报同级监督管理部门：</w:t>
      </w:r>
    </w:p>
    <w:p w14:paraId="4FDB6D5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（1）供应商直接或者间接从采购人或者采购代理机构处获得其他供应商的相关信息并修改其响应文件；</w:t>
      </w:r>
    </w:p>
    <w:p w14:paraId="05B869B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（2）供应商按照采购人或者采购代理机构的授意撤换、修改响应文件；</w:t>
      </w:r>
    </w:p>
    <w:p w14:paraId="727872A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（3）供应商之间协商报价、技术方案等响应文件的实质性内容；</w:t>
      </w:r>
    </w:p>
    <w:p w14:paraId="340C4BF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（4）属于同一集团、协会、商会等组织成员的供应商按照该组织要求协同参加政府采购活动；</w:t>
      </w:r>
    </w:p>
    <w:p w14:paraId="20FE46B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961243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（6）供应商之间商定部分供应商放弃参加政府采购活动或者放弃成交；</w:t>
      </w:r>
    </w:p>
    <w:p w14:paraId="3593E52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（7）供应商与采购人或者采购代理机构之间、供应商相互之间，为谋求特定供应商成交或者排斥其他供应商的其他串通行为。</w:t>
      </w:r>
    </w:p>
    <w:p w14:paraId="4146F85A">
      <w:pPr>
        <w:pStyle w:val="4"/>
        <w:spacing w:before="0" w:after="0" w:line="360" w:lineRule="auto"/>
        <w:ind w:firstLine="640" w:firstLineChars="200"/>
        <w:rPr>
          <w:rFonts w:ascii="宋体" w:hAnsi="宋体" w:cs="宋体"/>
          <w:b w:val="0"/>
          <w:bCs w:val="0"/>
          <w:color w:val="auto"/>
          <w:highlight w:val="none"/>
        </w:rPr>
      </w:pPr>
      <w:bookmarkStart w:id="87" w:name="_Toc12713"/>
      <w:bookmarkStart w:id="88" w:name="_Toc254970675"/>
      <w:bookmarkStart w:id="89" w:name="_Toc80886931"/>
      <w:bookmarkStart w:id="90" w:name="_Toc254970534"/>
      <w:bookmarkStart w:id="91" w:name="_Toc8748"/>
      <w:bookmarkStart w:id="92" w:name="_Toc27583"/>
      <w:r>
        <w:rPr>
          <w:rFonts w:hint="eastAsia" w:ascii="宋体" w:hAnsi="宋体" w:cs="宋体"/>
          <w:b w:val="0"/>
          <w:bCs w:val="0"/>
          <w:color w:val="auto"/>
          <w:highlight w:val="none"/>
        </w:rPr>
        <w:t>二、磋商文件</w:t>
      </w:r>
      <w:bookmarkEnd w:id="87"/>
      <w:bookmarkEnd w:id="88"/>
      <w:bookmarkEnd w:id="89"/>
      <w:bookmarkEnd w:id="90"/>
      <w:bookmarkEnd w:id="91"/>
      <w:bookmarkEnd w:id="92"/>
    </w:p>
    <w:p w14:paraId="631B93E1">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13118A7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4E0C880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7F595BD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415F817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3E88E6E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277B2EF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2434257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6C48A0E2">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0219ED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D4FD459">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2576C7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8CE6F8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C23DD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1F03C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B8D6C4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14:paraId="782B5899">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响应文件未按磋商文件的澄清、修改的内容编制，又不符合实质性要求的，其响应文件按无效处理。</w:t>
      </w:r>
    </w:p>
    <w:p w14:paraId="78875231">
      <w:pPr>
        <w:pStyle w:val="4"/>
        <w:spacing w:before="0" w:after="0" w:line="360" w:lineRule="auto"/>
        <w:ind w:firstLine="320" w:firstLineChars="100"/>
        <w:rPr>
          <w:rFonts w:ascii="宋体" w:hAnsi="宋体" w:cs="宋体"/>
          <w:b w:val="0"/>
          <w:bCs w:val="0"/>
          <w:color w:val="auto"/>
          <w:highlight w:val="none"/>
        </w:rPr>
      </w:pPr>
      <w:bookmarkStart w:id="93" w:name="_Toc21480"/>
      <w:bookmarkStart w:id="94" w:name="_Toc80886932"/>
      <w:bookmarkStart w:id="95" w:name="_Toc21690"/>
      <w:bookmarkStart w:id="96" w:name="_Toc4162"/>
      <w:r>
        <w:rPr>
          <w:rFonts w:hint="eastAsia" w:ascii="宋体" w:hAnsi="宋体" w:cs="宋体"/>
          <w:b w:val="0"/>
          <w:bCs w:val="0"/>
          <w:color w:val="auto"/>
          <w:highlight w:val="none"/>
        </w:rPr>
        <w:t>三、响应文件的编制</w:t>
      </w:r>
      <w:bookmarkEnd w:id="93"/>
      <w:bookmarkEnd w:id="94"/>
      <w:bookmarkEnd w:id="95"/>
      <w:bookmarkEnd w:id="96"/>
    </w:p>
    <w:p w14:paraId="61844298">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4EB6DD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7AACBC3B">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47047E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182F1B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177631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12.1.2商务技术文件：详见供应商须知前附表</w:t>
      </w:r>
    </w:p>
    <w:p w14:paraId="7D9E2C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12.1.3报价文件：详见供应商须知前附表</w:t>
      </w:r>
    </w:p>
    <w:p w14:paraId="03F9900F">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12.2响应文件电子版：详见供应商须知前附表</w:t>
      </w:r>
    </w:p>
    <w:p w14:paraId="5BDD21D2">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13.计量单位</w:t>
      </w:r>
    </w:p>
    <w:p w14:paraId="27966B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5FDEBC4">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0CF1B6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D5610F4">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0C31B696">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79DCA27F">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7FD71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1343E5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418D1D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（1）供应商必须就“采购需求”中所竞标的项目的全部内容分别作完整唯一总价报价，不得存在漏项报价；</w:t>
      </w:r>
    </w:p>
    <w:p w14:paraId="34AB20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（2）供应商必须就所竞标的项目的单项内容作唯一报价。</w:t>
      </w:r>
    </w:p>
    <w:p w14:paraId="7EFD77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15.3.2响应报价（包含首次报价、最后报价）超过所竞标项目规定的采购预算金额或者最高限价的（如本项目公布了最高限价），其响应文件将按无效处理。</w:t>
      </w:r>
    </w:p>
    <w:p w14:paraId="1E3208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97" w:name="_Hlk42592874"/>
      <w:r>
        <w:rPr>
          <w:rFonts w:hint="eastAsia" w:ascii="宋体" w:hAnsi="宋体" w:cs="宋体"/>
          <w:color w:val="auto"/>
          <w:szCs w:val="21"/>
          <w:highlight w:val="none"/>
        </w:rPr>
        <w:t>响应报价（包含首次报价、最后报价）超过分项采购预算金额或者最高限价的（如本项目公布了最高限价），其响应文件将按无效处理。</w:t>
      </w:r>
    </w:p>
    <w:bookmarkEnd w:id="97"/>
    <w:p w14:paraId="054D4FE2">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1229F8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B9020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285A538C">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21D4B46">
      <w:pPr>
        <w:spacing w:line="360" w:lineRule="auto"/>
        <w:outlineLvl w:val="3"/>
        <w:rPr>
          <w:rFonts w:ascii="宋体" w:hAnsi="宋体" w:cs="宋体"/>
          <w:b/>
          <w:bCs/>
          <w:i/>
          <w:iCs/>
          <w:color w:val="auto"/>
          <w:sz w:val="24"/>
          <w:highlight w:val="none"/>
        </w:rPr>
      </w:pPr>
      <w:r>
        <w:rPr>
          <w:rFonts w:hint="eastAsia" w:ascii="宋体" w:hAnsi="宋体" w:cs="宋体"/>
          <w:b/>
          <w:bCs/>
          <w:color w:val="auto"/>
          <w:sz w:val="24"/>
          <w:highlight w:val="none"/>
        </w:rPr>
        <w:t>17.磋商保证金</w:t>
      </w:r>
    </w:p>
    <w:p w14:paraId="2E2949C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6581177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647526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14:paraId="24D68C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3CD165AC">
      <w:pPr>
        <w:pStyle w:val="8"/>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14:paraId="1CAA00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17.2.2成交供应商的磋商保证金自签订合同之日起5个工作日内退还，退还方式同未成交供应商的磋商保证金的退还方式；或者转为成交供应商的履约保证金。 </w:t>
      </w:r>
    </w:p>
    <w:p w14:paraId="7DBBA87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3B020BB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329F26C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00746D9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0A0F86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7C5664A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2144F96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2C3AB89C">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6329E6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550538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14:paraId="217CAA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98" w:name="_Hlk65832699"/>
      <w:r>
        <w:rPr>
          <w:rFonts w:hint="eastAsia" w:ascii="宋体" w:hAnsi="宋体" w:cs="宋体"/>
          <w:color w:val="auto"/>
          <w:szCs w:val="21"/>
          <w:highlight w:val="none"/>
        </w:rPr>
        <w:t>3响应文件须由供应商按</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要求进行签署、盖章</w:t>
      </w:r>
      <w:bookmarkEnd w:id="98"/>
      <w:r>
        <w:rPr>
          <w:rFonts w:hint="eastAsia" w:ascii="宋体" w:hAnsi="宋体" w:cs="宋体"/>
          <w:color w:val="auto"/>
          <w:szCs w:val="21"/>
          <w:highlight w:val="none"/>
        </w:rPr>
        <w:t>，</w:t>
      </w:r>
      <w:r>
        <w:rPr>
          <w:rFonts w:hint="eastAsia" w:ascii="宋体" w:hAnsi="宋体" w:cs="宋体"/>
          <w:b/>
          <w:bCs/>
          <w:color w:val="auto"/>
          <w:szCs w:val="21"/>
          <w:highlight w:val="none"/>
        </w:rPr>
        <w:t>否则其响应文件按无效响应处理</w:t>
      </w:r>
      <w:r>
        <w:rPr>
          <w:rFonts w:hint="eastAsia" w:ascii="宋体" w:hAnsi="宋体" w:cs="宋体"/>
          <w:color w:val="auto"/>
          <w:szCs w:val="21"/>
          <w:highlight w:val="none"/>
        </w:rPr>
        <w:t>。</w:t>
      </w:r>
    </w:p>
    <w:p w14:paraId="235D17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18.4响应文件中标注的供应商名称应与营业执照（事业单位法人证书、执业许可证、自然人身份证）及供应商公章一致，</w:t>
      </w:r>
      <w:r>
        <w:rPr>
          <w:rFonts w:hint="eastAsia" w:ascii="宋体" w:hAnsi="宋体" w:cs="宋体"/>
          <w:b/>
          <w:bCs/>
          <w:color w:val="auto"/>
          <w:szCs w:val="21"/>
          <w:highlight w:val="none"/>
        </w:rPr>
        <w:t>否则其响应文件按无效响应处理。</w:t>
      </w:r>
    </w:p>
    <w:p w14:paraId="4E5244BC">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w:t>
      </w:r>
    </w:p>
    <w:p w14:paraId="6DEC95D5">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0E1085D6">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w:t>
      </w:r>
      <w:r>
        <w:rPr>
          <w:rFonts w:hint="eastAsia" w:ascii="宋体" w:hAnsi="宋体" w:cs="宋体"/>
          <w:color w:val="auto"/>
          <w:szCs w:val="21"/>
          <w:highlight w:val="none"/>
        </w:rPr>
        <w:t>广西政府采购云平台新版客户端</w:t>
      </w:r>
      <w:r>
        <w:rPr>
          <w:rFonts w:hint="eastAsia" w:ascii="宋体" w:hAnsi="宋体" w:cs="宋体"/>
          <w:color w:val="auto"/>
          <w:kern w:val="0"/>
          <w:szCs w:val="21"/>
          <w:highlight w:val="none"/>
          <w:lang w:val="zh-CN"/>
        </w:rPr>
        <w:t>”，并按照磋商文件和电子交易平台的要求编制并加密响应文件。供应商未按规定加密的响应文件，电子交易平台将拒收并提示。</w:t>
      </w:r>
    </w:p>
    <w:p w14:paraId="522D9DBD">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w:t>
      </w:r>
      <w:r>
        <w:rPr>
          <w:rFonts w:hint="eastAsia" w:ascii="宋体" w:hAnsi="宋体" w:cs="宋体"/>
          <w:color w:val="auto"/>
          <w:kern w:val="0"/>
          <w:szCs w:val="21"/>
          <w:highlight w:val="none"/>
        </w:rPr>
        <w:t>广西政府采购云平台</w:t>
      </w:r>
      <w:r>
        <w:rPr>
          <w:rFonts w:hint="eastAsia" w:ascii="宋体" w:hAnsi="宋体" w:cs="宋体"/>
          <w:color w:val="auto"/>
          <w:kern w:val="0"/>
          <w:szCs w:val="21"/>
          <w:highlight w:val="none"/>
          <w:lang w:val="zh-CN"/>
        </w:rPr>
        <w:t>电子交易客户端”需要提前申领CA数字证书。</w:t>
      </w:r>
    </w:p>
    <w:p w14:paraId="5A28BAC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19.3为确保网上操作合法、有效和安全，供应商应当在响应文件提交截止时间前完成在“</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”的身份认证，确保在电子交易过程中能够对相关数据电文进行加密和使用电子签名。</w:t>
      </w:r>
    </w:p>
    <w:p w14:paraId="30DA5678">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51CED1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206E83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73C37946">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在提交“最后报价”后，供应商不能退出磋商。</w:t>
      </w:r>
    </w:p>
    <w:p w14:paraId="219A6B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45C3F3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3D2EE19E">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详见“供应商须知前附表”。</w:t>
      </w:r>
    </w:p>
    <w:p w14:paraId="0BA64C17">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3A1DA4F1">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r>
        <w:rPr>
          <w:rFonts w:hint="eastAsia" w:ascii="宋体" w:hAnsi="宋体" w:cs="宋体"/>
          <w:color w:val="auto"/>
          <w:szCs w:val="21"/>
          <w:highlight w:val="none"/>
        </w:rPr>
        <w:t>。</w:t>
      </w:r>
      <w:bookmarkStart w:id="99" w:name="_Hlk45702405"/>
    </w:p>
    <w:p w14:paraId="406FEACD">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22. 截止时间后的撤回</w:t>
      </w:r>
    </w:p>
    <w:bookmarkEnd w:id="99"/>
    <w:p w14:paraId="128093EE">
      <w:pPr>
        <w:pStyle w:val="12"/>
        <w:spacing w:line="360" w:lineRule="auto"/>
        <w:ind w:firstLine="404"/>
        <w:rPr>
          <w:rFonts w:ascii="宋体" w:hAnsi="宋体" w:eastAsia="宋体" w:cs="宋体"/>
          <w:b/>
          <w:bCs/>
          <w:color w:val="auto"/>
          <w:highlight w:val="none"/>
        </w:rPr>
      </w:pPr>
      <w:r>
        <w:rPr>
          <w:rFonts w:hint="eastAsia" w:ascii="宋体" w:hAnsi="宋体" w:eastAsia="宋体" w:cs="宋体"/>
          <w:color w:val="auto"/>
          <w:highlight w:val="none"/>
        </w:rPr>
        <w:t>供应商在首次响应文件提交截止时间后向采购人、采购代理机构书面申请撤回电子响应文件的，将根据本须知正文17.4的规定不予退还其磋商保证金（如有）。</w:t>
      </w:r>
    </w:p>
    <w:p w14:paraId="4CDBD003">
      <w:pPr>
        <w:pStyle w:val="4"/>
        <w:spacing w:before="0" w:after="0" w:line="360" w:lineRule="auto"/>
        <w:ind w:firstLine="640" w:firstLineChars="200"/>
        <w:rPr>
          <w:rFonts w:ascii="宋体" w:hAnsi="宋体" w:cs="宋体"/>
          <w:b w:val="0"/>
          <w:bCs w:val="0"/>
          <w:color w:val="auto"/>
          <w:highlight w:val="none"/>
        </w:rPr>
      </w:pPr>
      <w:bookmarkStart w:id="100" w:name="_Toc20044"/>
      <w:bookmarkStart w:id="101" w:name="_Toc29983"/>
      <w:bookmarkStart w:id="102" w:name="_Toc80886933"/>
      <w:bookmarkStart w:id="103" w:name="_Toc17876"/>
      <w:r>
        <w:rPr>
          <w:rFonts w:hint="eastAsia" w:ascii="宋体" w:hAnsi="宋体" w:cs="宋体"/>
          <w:b w:val="0"/>
          <w:bCs w:val="0"/>
          <w:color w:val="auto"/>
          <w:highlight w:val="none"/>
        </w:rPr>
        <w:t>四、评审及磋商</w:t>
      </w:r>
      <w:bookmarkEnd w:id="100"/>
      <w:bookmarkEnd w:id="101"/>
      <w:bookmarkEnd w:id="102"/>
      <w:bookmarkEnd w:id="103"/>
    </w:p>
    <w:p w14:paraId="669EB19B">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23.磋商小组成立</w:t>
      </w:r>
    </w:p>
    <w:p w14:paraId="09E77E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28BF2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1172D446">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24.首次响应文件的开启</w:t>
      </w:r>
    </w:p>
    <w:p w14:paraId="2C6A27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24.1首次响应文件由磋商小组或者采购代理机构在“供应商须知前附表”规定的时间开启。</w:t>
      </w:r>
    </w:p>
    <w:p w14:paraId="7CE9C50C">
      <w:pPr>
        <w:spacing w:line="360" w:lineRule="auto"/>
        <w:ind w:firstLine="420" w:firstLineChars="200"/>
        <w:outlineLvl w:val="4"/>
        <w:rPr>
          <w:rFonts w:ascii="宋体" w:hAnsi="宋体" w:cs="宋体"/>
          <w:bCs/>
          <w:color w:val="auto"/>
          <w:kern w:val="0"/>
          <w:szCs w:val="21"/>
          <w:highlight w:val="none"/>
        </w:rPr>
      </w:pPr>
      <w:r>
        <w:rPr>
          <w:rFonts w:hint="eastAsia" w:ascii="宋体" w:hAnsi="宋体" w:cs="宋体"/>
          <w:color w:val="auto"/>
          <w:kern w:val="0"/>
          <w:szCs w:val="21"/>
          <w:highlight w:val="none"/>
        </w:rPr>
        <w:t xml:space="preserve">24.2 </w:t>
      </w:r>
      <w:r>
        <w:rPr>
          <w:rFonts w:hint="eastAsia" w:ascii="宋体" w:hAnsi="宋体" w:cs="宋体"/>
          <w:bCs/>
          <w:color w:val="auto"/>
          <w:kern w:val="0"/>
          <w:szCs w:val="21"/>
          <w:highlight w:val="none"/>
        </w:rPr>
        <w:t>响应文件解密</w:t>
      </w:r>
    </w:p>
    <w:p w14:paraId="626FAAE2">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采购代理机构将在“供应商须知前附表”规定的时</w:t>
      </w:r>
      <w:r>
        <w:rPr>
          <w:rFonts w:hint="eastAsia" w:ascii="宋体" w:hAnsi="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highlight w:val="none"/>
        </w:rPr>
        <w:t>须携带加密时所用的CA锁按平台提示和采购文件的规定登录到广西政府采购云平台电子开标大厅签到并在规定的时间内完成对电子响应文件在线解密</w:t>
      </w:r>
      <w:r>
        <w:rPr>
          <w:rFonts w:hint="eastAsia" w:ascii="宋体" w:hAnsi="宋体" w:cs="宋体"/>
          <w:color w:val="auto"/>
          <w:kern w:val="0"/>
          <w:szCs w:val="21"/>
          <w:highlight w:val="none"/>
        </w:rPr>
        <w:t>。</w:t>
      </w:r>
      <w:r>
        <w:rPr>
          <w:rFonts w:hint="eastAsia" w:ascii="宋体" w:hAnsi="宋体" w:cs="宋体"/>
          <w:color w:val="auto"/>
          <w:kern w:val="1"/>
          <w:szCs w:val="21"/>
          <w:highlight w:val="none"/>
        </w:rPr>
        <w:t>响应文件未按时解密的</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视为响应文件无效。</w:t>
      </w:r>
      <w:r>
        <w:rPr>
          <w:rFonts w:hint="eastAsia" w:ascii="宋体" w:hAnsi="宋体" w:cs="宋体"/>
          <w:color w:val="auto"/>
          <w:kern w:val="0"/>
          <w:szCs w:val="21"/>
          <w:highlight w:val="none"/>
        </w:rPr>
        <w:t>（解密</w:t>
      </w:r>
      <w:r>
        <w:rPr>
          <w:rFonts w:hint="eastAsia" w:ascii="宋体" w:hAnsi="宋体" w:cs="宋体"/>
          <w:bCs/>
          <w:color w:val="auto"/>
          <w:kern w:val="0"/>
          <w:szCs w:val="21"/>
          <w:highlight w:val="none"/>
        </w:rPr>
        <w:t>异常情况处理：详见本章</w:t>
      </w:r>
      <w:r>
        <w:rPr>
          <w:rFonts w:hint="eastAsia" w:ascii="宋体" w:hAnsi="宋体" w:cs="宋体"/>
          <w:color w:val="auto"/>
          <w:kern w:val="0"/>
          <w:szCs w:val="21"/>
          <w:highlight w:val="none"/>
        </w:rPr>
        <w:t>25.4电子交易活动的中止。）</w:t>
      </w:r>
    </w:p>
    <w:p w14:paraId="704402C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如</w:t>
      </w:r>
      <w:r>
        <w:rPr>
          <w:rFonts w:hint="eastAsia" w:ascii="宋体" w:hAnsi="宋体" w:cs="宋体"/>
          <w:bCs/>
          <w:color w:val="auto"/>
          <w:kern w:val="0"/>
          <w:szCs w:val="21"/>
          <w:highlight w:val="none"/>
        </w:rPr>
        <w:t>供应商成功解密响应文件，但未在“</w:t>
      </w:r>
      <w:r>
        <w:rPr>
          <w:rFonts w:hint="eastAsia" w:ascii="宋体" w:hAnsi="宋体" w:cs="宋体"/>
          <w:color w:val="auto"/>
          <w:szCs w:val="21"/>
          <w:highlight w:val="none"/>
        </w:rPr>
        <w:t>广西政府采购云平台</w:t>
      </w:r>
      <w:r>
        <w:rPr>
          <w:rFonts w:hint="eastAsia" w:ascii="宋体" w:hAnsi="宋体" w:cs="宋体"/>
          <w:bCs/>
          <w:color w:val="auto"/>
          <w:kern w:val="0"/>
          <w:szCs w:val="21"/>
          <w:highlight w:val="none"/>
        </w:rPr>
        <w:t>”电子开标大厅参加磋商的，视同认可磋商过程和结果，</w:t>
      </w:r>
      <w:r>
        <w:rPr>
          <w:rFonts w:hint="eastAsia" w:ascii="宋体" w:hAnsi="宋体" w:cs="宋体"/>
          <w:color w:val="auto"/>
          <w:kern w:val="0"/>
          <w:szCs w:val="21"/>
          <w:highlight w:val="none"/>
        </w:rPr>
        <w:t>由此产生的后果由供应商自行负责。 参与磋商的供应商不足3家的，不得磋商。</w:t>
      </w:r>
    </w:p>
    <w:p w14:paraId="575FC8A6">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25.评审程序、评审方法和评审标准</w:t>
      </w:r>
    </w:p>
    <w:p w14:paraId="530A09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w:t>
      </w:r>
      <w:r>
        <w:rPr>
          <w:rFonts w:hint="eastAsia" w:ascii="宋体" w:hAnsi="宋体" w:cs="宋体"/>
          <w:color w:val="auto"/>
          <w:highlight w:val="none"/>
        </w:rPr>
        <w:t>本项目的评审方法详见“供应商须知前附表”。</w:t>
      </w:r>
      <w:r>
        <w:rPr>
          <w:rFonts w:hint="eastAsia" w:ascii="宋体" w:hAnsi="宋体" w:cs="宋体"/>
          <w:color w:val="auto"/>
          <w:szCs w:val="21"/>
          <w:highlight w:val="none"/>
        </w:rPr>
        <w:t>磋商小组按照“第四章 评审程序、评审方法和评审标准”规定的方法、评审因素、标准和程序对响应文件进行评审。</w:t>
      </w:r>
    </w:p>
    <w:p w14:paraId="71D414EB">
      <w:pPr>
        <w:pStyle w:val="11"/>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25.2磋商文件内容违反国家有关强制性规定的，磋商小组应当停止评审并向采购人或者采购代理机构说明情况，并在评审报告中书面体现。</w:t>
      </w:r>
    </w:p>
    <w:p w14:paraId="7077B2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 采购需求负偏离要求及磋商顺序详见“供应商须知前附表”。</w:t>
      </w:r>
    </w:p>
    <w:p w14:paraId="469DF08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25.4电子交易活动的中止。采购过程中出现以下情形，导致电子交易平台无法正常运行，或者无法保证电子交易的公平、公正和安全时，采购机构可中止电子交易活动：</w:t>
      </w:r>
    </w:p>
    <w:p w14:paraId="2F66B0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5ED5FF9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7C178C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F62261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2178FF4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167A5EE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25.5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931D6D8">
      <w:pPr>
        <w:pStyle w:val="4"/>
        <w:spacing w:before="0" w:after="0" w:line="360" w:lineRule="auto"/>
        <w:ind w:firstLine="480" w:firstLineChars="150"/>
        <w:rPr>
          <w:rFonts w:ascii="宋体" w:hAnsi="宋体" w:cs="宋体"/>
          <w:b w:val="0"/>
          <w:bCs w:val="0"/>
          <w:color w:val="auto"/>
          <w:highlight w:val="none"/>
        </w:rPr>
      </w:pPr>
      <w:bookmarkStart w:id="104" w:name="_Toc13976"/>
      <w:bookmarkStart w:id="105" w:name="_Toc80886934"/>
      <w:bookmarkStart w:id="106" w:name="_Toc12018"/>
      <w:bookmarkStart w:id="107" w:name="_Toc17745"/>
      <w:r>
        <w:rPr>
          <w:rFonts w:hint="eastAsia" w:ascii="宋体" w:hAnsi="宋体" w:cs="宋体"/>
          <w:b w:val="0"/>
          <w:bCs w:val="0"/>
          <w:color w:val="auto"/>
          <w:highlight w:val="none"/>
        </w:rPr>
        <w:t>五、成交及合同</w:t>
      </w:r>
      <w:bookmarkEnd w:id="104"/>
      <w:bookmarkEnd w:id="105"/>
      <w:bookmarkEnd w:id="106"/>
      <w:bookmarkEnd w:id="107"/>
    </w:p>
    <w:p w14:paraId="5B1F5B9F">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26.确定成交供应商及结果公告</w:t>
      </w:r>
    </w:p>
    <w:p w14:paraId="045BD2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32655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26.2成交通知及成交结果公告。采购代理机构应当在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p>
    <w:p w14:paraId="13ACF1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053F1B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F45F0FE">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26.5排名第一的成交候选人放弃成交，采购人可以按照评审报告推荐的成交候选人名单排序，依法确定下一候选人为成交</w:t>
      </w:r>
      <w:r>
        <w:rPr>
          <w:rFonts w:hint="eastAsia" w:ascii="宋体" w:hAnsi="宋体" w:cs="宋体"/>
          <w:color w:val="auto"/>
          <w:szCs w:val="21"/>
          <w:highlight w:val="none"/>
        </w:rPr>
        <w:t>供应商</w:t>
      </w:r>
      <w:r>
        <w:rPr>
          <w:rFonts w:hint="eastAsia" w:ascii="宋体" w:hAnsi="宋体" w:cs="宋体"/>
          <w:bCs/>
          <w:color w:val="auto"/>
          <w:szCs w:val="21"/>
          <w:highlight w:val="none"/>
        </w:rPr>
        <w:t>，也可以重新开展政府采购活动</w:t>
      </w:r>
      <w:r>
        <w:rPr>
          <w:rFonts w:hint="eastAsia" w:ascii="宋体" w:hAnsi="宋体" w:cs="宋体"/>
          <w:color w:val="auto"/>
          <w:szCs w:val="21"/>
          <w:highlight w:val="none"/>
        </w:rPr>
        <w:t>。</w:t>
      </w:r>
    </w:p>
    <w:p w14:paraId="0C80AA21">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27.履约保证金</w:t>
      </w:r>
    </w:p>
    <w:p w14:paraId="75DEF89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27.1 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签订合同，采购人可以按照评审报告推荐的成交候选人名单排序，依法确定下一候选人为成交供应商，也可以重新开展政府采购活动。</w:t>
      </w:r>
    </w:p>
    <w:p w14:paraId="272990D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27.2签订合同后，如成交供应商不按双方签订的合同规定履约，则没收其全部履约保证金，履约保证金不足以赔偿损失的，按实际损失赔偿。</w:t>
      </w:r>
    </w:p>
    <w:p w14:paraId="71726BB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27.3在履约保证金退还日期前，若成交供应商的开户名称、开户银行、账号有变动的，请以书面形式通知履约保证金收取单位，否则由此产生的后果由成交供应商自行承担。</w:t>
      </w:r>
    </w:p>
    <w:p w14:paraId="1BBDAFFF">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28.签订合同</w:t>
      </w:r>
    </w:p>
    <w:p w14:paraId="420AC7A4">
      <w:pPr>
        <w:pStyle w:val="30"/>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28.1采购人与成交供应商应当在成交通知书规定的时间内，按照磋商文件确定的合同文本以及采购标的、服务技术、采购金额、采购数量、技术和服务要求等事项签订政府采购合同。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182B49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B1EBE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35E35A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28.4如签订合同并生效后，供应商无故拒绝或延期，除按照合同条款处理外，列入不良行为记录，并给予通报。</w:t>
      </w:r>
    </w:p>
    <w:p w14:paraId="19567632">
      <w:pPr>
        <w:spacing w:line="360" w:lineRule="auto"/>
        <w:ind w:firstLine="420" w:firstLineChars="200"/>
        <w:outlineLvl w:val="4"/>
        <w:rPr>
          <w:rFonts w:ascii="宋体" w:hAnsi="宋体" w:cs="宋体"/>
          <w:i/>
          <w:iCs/>
          <w:color w:val="auto"/>
          <w:szCs w:val="21"/>
          <w:highlight w:val="none"/>
        </w:rPr>
      </w:pPr>
      <w:r>
        <w:rPr>
          <w:rFonts w:hint="eastAsia" w:ascii="宋体" w:hAnsi="宋体" w:cs="宋体"/>
          <w:color w:val="auto"/>
          <w:szCs w:val="21"/>
          <w:highlight w:val="none"/>
        </w:rPr>
        <w:t>28.5采购合同由采购人与成交供应商根据磋商文件、响应文件等内容通过政府采购电子交易平台在线签订，自动备案，在线签订须携带的材料见“供应商须知前附表”。</w:t>
      </w:r>
    </w:p>
    <w:p w14:paraId="3E13B192">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29.政府采购合同公告</w:t>
      </w:r>
    </w:p>
    <w:p w14:paraId="28EA986B">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hint="eastAsia" w:ascii="宋体" w:hAnsi="宋体" w:cs="宋体"/>
          <w:color w:val="auto"/>
          <w:highlight w:val="none"/>
        </w:rPr>
        <w:t>。</w:t>
      </w:r>
    </w:p>
    <w:p w14:paraId="34ED1D89">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30. 询问、质疑和投诉</w:t>
      </w:r>
    </w:p>
    <w:p w14:paraId="24376DA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30.1供应商对政府采购活动事项有疑问的，可以向采购人或者采购代理机构提出询问，采购人或者采购代理机构应当在3个工作日内对供应商依法提出的询问作出答复。</w:t>
      </w:r>
    </w:p>
    <w:p w14:paraId="4C975360">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30.2供应商认为磋商文件、采购过程或者成交结果使自己的合法权益受到损害的，应当在知道或者应知其权益受到损害之日起7个工作日内，以书面形式向采购人或者采购代理机构提出质疑，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4CBC080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08B752D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09CCACC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7F706B0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30.3供应商提出的询问或者质疑超出采购人对采购代理机构委托授权范围的，采购代理机构应当告知供应商向采购人提出。政府采购评审专家应当配合采购人或者采购代理机构答复供应商的询问和质疑。</w:t>
      </w:r>
    </w:p>
    <w:p w14:paraId="3E5119BD">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30.4 供应商提出质疑应当提交质疑函和必要的证明材料，针对同一采购程序环节的质疑必须在法定质疑期内一次性提出。质疑函应当包括下列内容（质疑函格式后附）：</w:t>
      </w:r>
    </w:p>
    <w:p w14:paraId="50BB25A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FD9F3F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7C19D68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5E2F93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9A762F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5A12ECE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5180CCA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A3F279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30.5采购人、采购代理机构认为供应商质疑不成立，或者成立但未对成交结果构成影响的，继续开展采购活动；认为供应商质疑成立且影响或者可能影响成交结果的，按照下列情况处理：</w:t>
      </w:r>
    </w:p>
    <w:p w14:paraId="39C912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AEF2E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410567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5D69DD6">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30.6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highlight w:val="none"/>
        </w:rPr>
        <w:t>。</w:t>
      </w:r>
      <w:bookmarkStart w:id="108" w:name="_Toc80205930"/>
    </w:p>
    <w:p w14:paraId="58182851">
      <w:pPr>
        <w:pStyle w:val="4"/>
        <w:spacing w:before="0" w:after="0" w:line="360" w:lineRule="auto"/>
        <w:ind w:firstLine="315" w:firstLineChars="98"/>
        <w:rPr>
          <w:rFonts w:ascii="宋体" w:hAnsi="宋体" w:cs="宋体"/>
          <w:b w:val="0"/>
          <w:color w:val="auto"/>
          <w:highlight w:val="none"/>
        </w:rPr>
      </w:pPr>
      <w:bookmarkStart w:id="109" w:name="_Toc27059"/>
      <w:bookmarkStart w:id="110" w:name="_Toc9275"/>
      <w:bookmarkStart w:id="111" w:name="_Toc26989"/>
      <w:bookmarkStart w:id="112" w:name="_Toc80886935"/>
      <w:r>
        <w:rPr>
          <w:rFonts w:hint="eastAsia" w:ascii="宋体" w:hAnsi="宋体" w:cs="宋体"/>
          <w:color w:val="auto"/>
          <w:highlight w:val="none"/>
        </w:rPr>
        <w:t>六</w:t>
      </w:r>
      <w:r>
        <w:rPr>
          <w:rFonts w:hint="eastAsia" w:ascii="宋体" w:hAnsi="宋体" w:cs="宋体"/>
          <w:b w:val="0"/>
          <w:color w:val="auto"/>
          <w:highlight w:val="none"/>
        </w:rPr>
        <w:t>、验收</w:t>
      </w:r>
      <w:bookmarkEnd w:id="108"/>
      <w:bookmarkEnd w:id="109"/>
      <w:bookmarkEnd w:id="110"/>
      <w:bookmarkEnd w:id="111"/>
      <w:bookmarkEnd w:id="112"/>
    </w:p>
    <w:p w14:paraId="6893ED13">
      <w:pPr>
        <w:tabs>
          <w:tab w:val="left" w:pos="0"/>
        </w:tabs>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31.验收</w:t>
      </w:r>
    </w:p>
    <w:p w14:paraId="6F83DA3A">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82B9A9">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31.2采购人可以邀请参加本项目的其他供应商或者第三方机构参与验收。参与验收的供应商或者第三方机构的意见作为验收书的参考资料一并存档。</w:t>
      </w:r>
    </w:p>
    <w:p w14:paraId="391AA0E6">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3E0D87F6">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91CC21">
      <w:pPr>
        <w:pStyle w:val="4"/>
        <w:spacing w:before="0" w:after="0" w:line="360" w:lineRule="auto"/>
        <w:ind w:firstLine="320" w:firstLineChars="100"/>
        <w:rPr>
          <w:rFonts w:ascii="宋体" w:hAnsi="宋体" w:cs="宋体"/>
          <w:b w:val="0"/>
          <w:bCs w:val="0"/>
          <w:color w:val="auto"/>
          <w:highlight w:val="none"/>
        </w:rPr>
      </w:pPr>
      <w:bookmarkStart w:id="113" w:name="_Toc10913"/>
      <w:bookmarkStart w:id="114" w:name="_Toc80886936"/>
      <w:bookmarkStart w:id="115" w:name="_Toc1170"/>
      <w:bookmarkStart w:id="116" w:name="_Toc21185"/>
      <w:r>
        <w:rPr>
          <w:rFonts w:hint="eastAsia" w:ascii="宋体" w:hAnsi="宋体" w:cs="宋体"/>
          <w:b w:val="0"/>
          <w:bCs w:val="0"/>
          <w:color w:val="auto"/>
          <w:highlight w:val="none"/>
        </w:rPr>
        <w:t>七、其他事项</w:t>
      </w:r>
      <w:bookmarkEnd w:id="113"/>
      <w:bookmarkEnd w:id="114"/>
      <w:bookmarkEnd w:id="115"/>
      <w:bookmarkEnd w:id="116"/>
    </w:p>
    <w:p w14:paraId="21E9D878">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32.采购代理服务费</w:t>
      </w:r>
    </w:p>
    <w:p w14:paraId="37C92D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采购代理服务费收费标准及缴费账户详见“供应商须知前附表”，供应商为联合体的，可以由联合体中的一方或者多方共同缴纳采购代理服务费。</w:t>
      </w:r>
    </w:p>
    <w:p w14:paraId="28F43B27">
      <w:pPr>
        <w:pStyle w:val="11"/>
        <w:spacing w:line="360" w:lineRule="auto"/>
        <w:ind w:firstLine="420" w:firstLineChars="200"/>
        <w:outlineLvl w:val="4"/>
        <w:rPr>
          <w:rFonts w:ascii="宋体" w:hAnsi="宋体" w:cs="宋体"/>
          <w:color w:val="auto"/>
          <w:highlight w:val="none"/>
        </w:rPr>
      </w:pPr>
      <w:r>
        <w:rPr>
          <w:rFonts w:hint="eastAsia" w:ascii="宋体" w:hAnsi="宋体" w:cs="宋体"/>
          <w:color w:val="auto"/>
          <w:szCs w:val="21"/>
          <w:highlight w:val="none"/>
        </w:rPr>
        <w:t>32.2采购代理服务费收费计算标准：</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8DA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43D3A84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7017F069">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ign w:val="center"/>
          </w:tcPr>
          <w:p w14:paraId="2DC37A48">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ign w:val="center"/>
          </w:tcPr>
          <w:p w14:paraId="3B488D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ign w:val="center"/>
          </w:tcPr>
          <w:p w14:paraId="7A69A41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7FAE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2909470">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795FBC8B">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tcPr>
          <w:p w14:paraId="7BC9C39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tcPr>
          <w:p w14:paraId="74A9B32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FE0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83C18DE">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tcPr>
          <w:p w14:paraId="52D80D8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tcPr>
          <w:p w14:paraId="29CB00E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tcPr>
          <w:p w14:paraId="0A5212B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0A60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6266738">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tcPr>
          <w:p w14:paraId="24B94B42">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tcPr>
          <w:p w14:paraId="350F9F3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tcPr>
          <w:p w14:paraId="3F37B44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2F30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5454FC7">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tcPr>
          <w:p w14:paraId="4FA8A1E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tcPr>
          <w:p w14:paraId="20FDF28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tcPr>
          <w:p w14:paraId="1F6BC82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3ED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25C844A">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072F1F2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tcPr>
          <w:p w14:paraId="7B45803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tcPr>
          <w:p w14:paraId="1371E1C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384B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6AD18A6">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noWrap/>
          </w:tcPr>
          <w:p w14:paraId="729CFA4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noWrap/>
          </w:tcPr>
          <w:p w14:paraId="78156FB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tcPr>
          <w:p w14:paraId="6C81FA7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7754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31AB314">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tcPr>
          <w:p w14:paraId="3FADC8E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noWrap/>
          </w:tcPr>
          <w:p w14:paraId="6BF7210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tcPr>
          <w:p w14:paraId="4FBBB2A9">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2A7D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91B9B7D">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tcPr>
          <w:p w14:paraId="362EF67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noWrap/>
          </w:tcPr>
          <w:p w14:paraId="38415010">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noWrap/>
          </w:tcPr>
          <w:p w14:paraId="2D65CA4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0364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33EE5E8">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tcPr>
          <w:p w14:paraId="526538B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tcPr>
          <w:p w14:paraId="333DC83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noWrap/>
          </w:tcPr>
          <w:p w14:paraId="4445496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46ED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EB9D0BF">
            <w:pPr>
              <w:spacing w:line="360" w:lineRule="auto"/>
              <w:rPr>
                <w:rFonts w:ascii="宋体" w:hAnsi="宋体" w:cs="宋体"/>
                <w:color w:val="auto"/>
                <w:szCs w:val="21"/>
                <w:highlight w:val="none"/>
              </w:rPr>
            </w:pPr>
            <w:r>
              <w:rPr>
                <w:rFonts w:hint="eastAsia" w:ascii="宋体" w:hAnsi="宋体" w:cs="宋体"/>
                <w:color w:val="auto"/>
                <w:szCs w:val="21"/>
                <w:highlight w:val="none"/>
              </w:rPr>
              <w:t>100亿元以上</w:t>
            </w:r>
          </w:p>
        </w:tc>
        <w:tc>
          <w:tcPr>
            <w:tcW w:w="1659" w:type="dxa"/>
            <w:noWrap/>
          </w:tcPr>
          <w:p w14:paraId="7755D0B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tcPr>
          <w:p w14:paraId="1C30AA2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noWrap/>
          </w:tcPr>
          <w:p w14:paraId="6B56A0D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0B0441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w:t>
      </w:r>
    </w:p>
    <w:p w14:paraId="58C3B2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7E29EFD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（2）采购代理收费按差额定率累进法计算。</w:t>
      </w:r>
    </w:p>
    <w:p w14:paraId="5D89DD2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例如：某服务采购代理业务成交金额或者暂定价为150万元，计算采购代理收费额如下：</w:t>
      </w:r>
    </w:p>
    <w:p w14:paraId="06677F4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 万元 ×l.5 ％＝ 1.5 万元</w:t>
      </w:r>
    </w:p>
    <w:p w14:paraId="6C736A5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150 － 100 ）万元 ×0.8％＝ 0.4万元</w:t>
      </w:r>
    </w:p>
    <w:p w14:paraId="0864B1C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 1.5 ＋ 0.4＝ 1.9 万元</w:t>
      </w:r>
    </w:p>
    <w:p w14:paraId="56F2ED8A">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624049E5">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33.1本磋商文件解释规则详见“供应商须知前附表”。</w:t>
      </w:r>
    </w:p>
    <w:p w14:paraId="5A6BCF8B">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33.2 其他事项详见“供应商须知前附表”。</w:t>
      </w:r>
    </w:p>
    <w:p w14:paraId="6F99DE27">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highlight w:val="none"/>
        </w:rPr>
        <w:t>，享受本文件规定的中小企业扶持政策。</w:t>
      </w:r>
    </w:p>
    <w:p w14:paraId="78158E05">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4C1C665D">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2F2538F0">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34. 广西线上“政采贷”政策告知函</w:t>
      </w:r>
    </w:p>
    <w:p w14:paraId="631381F0">
      <w:pPr>
        <w:spacing w:line="360" w:lineRule="auto"/>
        <w:jc w:val="center"/>
        <w:rPr>
          <w:rFonts w:ascii="宋体" w:hAnsi="宋体" w:cs="宋体"/>
          <w:color w:val="auto"/>
          <w:sz w:val="32"/>
          <w:szCs w:val="32"/>
          <w:highlight w:val="none"/>
        </w:rPr>
      </w:pPr>
    </w:p>
    <w:p w14:paraId="18E196EC">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20763E65">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5E988B25">
      <w:pPr>
        <w:spacing w:line="360" w:lineRule="auto"/>
        <w:ind w:firstLine="420" w:firstLineChars="200"/>
        <w:rPr>
          <w:rFonts w:ascii="宋体" w:hAnsi="宋体" w:cs="宋体"/>
          <w:color w:val="auto"/>
          <w:szCs w:val="32"/>
          <w:highlight w:val="none"/>
        </w:rPr>
      </w:pPr>
    </w:p>
    <w:p w14:paraId="6E6A3B9C">
      <w:pPr>
        <w:spacing w:line="360" w:lineRule="auto"/>
        <w:rPr>
          <w:rFonts w:ascii="宋体" w:hAnsi="宋体" w:cs="宋体"/>
          <w:color w:val="auto"/>
          <w:szCs w:val="21"/>
          <w:highlight w:val="none"/>
        </w:rPr>
      </w:pPr>
      <w:r>
        <w:rPr>
          <w:rFonts w:hint="eastAsia" w:ascii="宋体" w:hAnsi="宋体" w:cs="宋体"/>
          <w:color w:val="auto"/>
          <w:szCs w:val="21"/>
          <w:highlight w:val="none"/>
        </w:rPr>
        <w:t>各供应商：</w:t>
      </w:r>
    </w:p>
    <w:p w14:paraId="703443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02EC7812">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3B9A3E5">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27"/>
          <w:rFonts w:hint="eastAsia" w:ascii="宋体" w:hAnsi="宋体" w:cs="宋体"/>
          <w:color w:val="auto"/>
          <w:szCs w:val="21"/>
          <w:highlight w:val="none"/>
        </w:rPr>
        <w:t>https://www.crcrfsp.com/</w:t>
      </w:r>
      <w:r>
        <w:rPr>
          <w:rStyle w:val="27"/>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14:paraId="3EAD86D9">
      <w:pPr>
        <w:pStyle w:val="17"/>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14:paraId="1569C194">
      <w:pPr>
        <w:spacing w:line="360" w:lineRule="auto"/>
        <w:ind w:firstLine="400" w:firstLineChars="200"/>
        <w:textAlignment w:val="center"/>
        <w:rPr>
          <w:rFonts w:ascii="宋体" w:hAnsi="宋体" w:cs="宋体"/>
          <w:color w:val="auto"/>
          <w:kern w:val="0"/>
          <w:sz w:val="20"/>
          <w:szCs w:val="21"/>
          <w:highlight w:val="none"/>
        </w:rPr>
      </w:pPr>
    </w:p>
    <w:p w14:paraId="643A1F5E">
      <w:pPr>
        <w:pStyle w:val="2"/>
        <w:spacing w:line="360" w:lineRule="auto"/>
        <w:jc w:val="center"/>
        <w:rPr>
          <w:rFonts w:ascii="宋体" w:hAnsi="宋体" w:cs="宋体"/>
          <w:color w:val="auto"/>
          <w:highlight w:val="none"/>
        </w:rPr>
      </w:pPr>
      <w:bookmarkStart w:id="117" w:name="_Toc8412"/>
      <w:bookmarkStart w:id="118" w:name="_Toc1088"/>
      <w:bookmarkStart w:id="119" w:name="_Toc8593"/>
      <w:bookmarkStart w:id="120" w:name="_Toc3976"/>
      <w:bookmarkStart w:id="121" w:name="_Toc17511"/>
      <w:bookmarkStart w:id="122" w:name="_Toc28979"/>
      <w:bookmarkStart w:id="123" w:name="_Toc3879"/>
      <w:bookmarkStart w:id="124" w:name="_Toc80886937"/>
      <w:bookmarkStart w:id="125" w:name="_Toc5544"/>
      <w:r>
        <w:rPr>
          <w:rFonts w:hint="eastAsia" w:ascii="宋体" w:hAnsi="宋体" w:cs="宋体"/>
          <w:color w:val="auto"/>
          <w:highlight w:val="none"/>
        </w:rPr>
        <w:t>第四章  评审程序、评审方法和评审标准</w:t>
      </w:r>
      <w:bookmarkEnd w:id="117"/>
      <w:bookmarkEnd w:id="118"/>
      <w:bookmarkEnd w:id="119"/>
      <w:bookmarkEnd w:id="120"/>
      <w:bookmarkEnd w:id="121"/>
      <w:bookmarkEnd w:id="122"/>
      <w:bookmarkEnd w:id="123"/>
      <w:bookmarkEnd w:id="124"/>
      <w:bookmarkEnd w:id="125"/>
    </w:p>
    <w:p w14:paraId="77419B80">
      <w:pPr>
        <w:pStyle w:val="3"/>
        <w:spacing w:line="360" w:lineRule="auto"/>
        <w:jc w:val="center"/>
        <w:rPr>
          <w:rFonts w:ascii="宋体" w:hAnsi="宋体" w:cs="宋体"/>
          <w:b w:val="0"/>
          <w:color w:val="auto"/>
          <w:highlight w:val="none"/>
        </w:rPr>
      </w:pPr>
      <w:bookmarkStart w:id="126" w:name="_Toc816"/>
      <w:bookmarkStart w:id="127" w:name="_Toc17424"/>
      <w:bookmarkStart w:id="128" w:name="_Toc80886938"/>
      <w:bookmarkStart w:id="129" w:name="_Toc11607"/>
      <w:r>
        <w:rPr>
          <w:rFonts w:hint="eastAsia" w:ascii="宋体" w:hAnsi="宋体" w:cs="宋体"/>
          <w:b w:val="0"/>
          <w:color w:val="auto"/>
          <w:highlight w:val="none"/>
        </w:rPr>
        <w:t>第一节 评审程序和评审方法</w:t>
      </w:r>
      <w:bookmarkEnd w:id="126"/>
      <w:bookmarkEnd w:id="127"/>
      <w:bookmarkEnd w:id="128"/>
      <w:bookmarkEnd w:id="129"/>
    </w:p>
    <w:p w14:paraId="24471E84">
      <w:pPr>
        <w:spacing w:line="360" w:lineRule="auto"/>
        <w:ind w:firstLine="482" w:firstLineChars="200"/>
        <w:outlineLvl w:val="2"/>
        <w:rPr>
          <w:rFonts w:ascii="宋体" w:hAnsi="宋体" w:cs="宋体"/>
          <w:b/>
          <w:bCs/>
          <w:color w:val="auto"/>
          <w:sz w:val="24"/>
          <w:highlight w:val="none"/>
        </w:rPr>
      </w:pPr>
      <w:bookmarkStart w:id="130" w:name="_Toc18068"/>
      <w:r>
        <w:rPr>
          <w:rFonts w:hint="eastAsia" w:ascii="宋体" w:hAnsi="宋体" w:cs="宋体"/>
          <w:b/>
          <w:bCs/>
          <w:color w:val="auto"/>
          <w:sz w:val="24"/>
          <w:highlight w:val="none"/>
        </w:rPr>
        <w:t>1.确认磋商文件</w:t>
      </w:r>
      <w:bookmarkEnd w:id="130"/>
    </w:p>
    <w:p w14:paraId="40FA9E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7A42F9F6">
      <w:pPr>
        <w:spacing w:line="360" w:lineRule="auto"/>
        <w:ind w:firstLine="482" w:firstLineChars="200"/>
        <w:outlineLvl w:val="2"/>
        <w:rPr>
          <w:rFonts w:ascii="宋体" w:hAnsi="宋体" w:cs="宋体"/>
          <w:b/>
          <w:bCs/>
          <w:color w:val="auto"/>
          <w:sz w:val="24"/>
          <w:highlight w:val="none"/>
        </w:rPr>
      </w:pPr>
      <w:bookmarkStart w:id="131" w:name="_Toc3170"/>
      <w:r>
        <w:rPr>
          <w:rFonts w:hint="eastAsia" w:ascii="宋体" w:hAnsi="宋体" w:cs="宋体"/>
          <w:b/>
          <w:bCs/>
          <w:color w:val="auto"/>
          <w:sz w:val="24"/>
          <w:highlight w:val="none"/>
        </w:rPr>
        <w:t>2.资格审查</w:t>
      </w:r>
      <w:bookmarkEnd w:id="131"/>
    </w:p>
    <w:p w14:paraId="3531EB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124413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3C9E562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8"/>
          <w:rFonts w:hint="eastAsia" w:ascii="宋体" w:hAnsi="宋体" w:cs="宋体"/>
          <w:color w:val="auto"/>
          <w:highlight w:val="none"/>
        </w:rPr>
        <w:t>www.creditchina.gov.cn</w:t>
      </w:r>
      <w:r>
        <w:rPr>
          <w:rStyle w:val="28"/>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8"/>
          <w:rFonts w:hint="eastAsia" w:ascii="宋体" w:hAnsi="宋体" w:cs="宋体"/>
          <w:color w:val="auto"/>
          <w:highlight w:val="none"/>
        </w:rPr>
        <w:t>www.ccgp.gov.cn</w:t>
      </w:r>
      <w:r>
        <w:rPr>
          <w:rStyle w:val="28"/>
          <w:rFonts w:hint="eastAsia" w:ascii="宋体" w:hAnsi="宋体" w:cs="宋体"/>
          <w:color w:val="auto"/>
          <w:highlight w:val="none"/>
        </w:rPr>
        <w:fldChar w:fldCharType="end"/>
      </w:r>
      <w:r>
        <w:rPr>
          <w:rFonts w:hint="eastAsia" w:ascii="宋体" w:hAnsi="宋体" w:cs="宋体"/>
          <w:color w:val="auto"/>
          <w:szCs w:val="21"/>
          <w:highlight w:val="none"/>
        </w:rPr>
        <w:t>)链接入口。</w:t>
      </w:r>
    </w:p>
    <w:p w14:paraId="1CB10B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F83CB2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5F2961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FA0AF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C6B333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2.3供应商有下列情形之一的，资格审查不通过，其响应文件按无效响应处理：</w:t>
      </w:r>
    </w:p>
    <w:p w14:paraId="2CABCD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664460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6FCEF6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8AB7FEF">
      <w:pPr>
        <w:spacing w:line="360" w:lineRule="auto"/>
        <w:ind w:firstLine="420" w:firstLineChars="200"/>
        <w:rPr>
          <w:rFonts w:ascii="宋体" w:hAnsi="宋体" w:cs="宋体"/>
          <w:color w:val="auto"/>
          <w:szCs w:val="21"/>
          <w:highlight w:val="none"/>
        </w:rPr>
      </w:pPr>
      <w:bookmarkStart w:id="132"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32"/>
    </w:p>
    <w:p w14:paraId="19BE67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36645775">
      <w:pPr>
        <w:spacing w:line="360" w:lineRule="auto"/>
        <w:ind w:firstLine="482" w:firstLineChars="200"/>
        <w:outlineLvl w:val="2"/>
        <w:rPr>
          <w:rFonts w:ascii="宋体" w:hAnsi="宋体" w:cs="宋体"/>
          <w:b/>
          <w:bCs/>
          <w:color w:val="auto"/>
          <w:sz w:val="24"/>
          <w:highlight w:val="none"/>
        </w:rPr>
      </w:pPr>
      <w:bookmarkStart w:id="133" w:name="_Toc12085"/>
      <w:r>
        <w:rPr>
          <w:rFonts w:hint="eastAsia" w:ascii="宋体" w:hAnsi="宋体" w:cs="宋体"/>
          <w:b/>
          <w:bCs/>
          <w:color w:val="auto"/>
          <w:sz w:val="24"/>
          <w:highlight w:val="none"/>
        </w:rPr>
        <w:t>3.符合性审查</w:t>
      </w:r>
      <w:bookmarkEnd w:id="133"/>
    </w:p>
    <w:p w14:paraId="5498D9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761FF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AD1A011">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highlight w:val="none"/>
        </w:rPr>
        <w:t>。供应商为自然人的，必须由本人签字并附身份证明。</w:t>
      </w:r>
    </w:p>
    <w:p w14:paraId="03ED393A">
      <w:pPr>
        <w:spacing w:line="360" w:lineRule="auto"/>
        <w:ind w:firstLine="396" w:firstLineChars="200"/>
        <w:outlineLvl w:val="3"/>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24ACE9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（1）响应文件中响应报价表内容与响应文件中相应内容不一致的，以响应报价表为准；</w:t>
      </w:r>
    </w:p>
    <w:p w14:paraId="352A46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D0F2C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（3）单价金额小数点或者百分比有明显错位的，以响应报价表的总价为准，并修改单价；</w:t>
      </w:r>
    </w:p>
    <w:p w14:paraId="079DFC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31908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3D36912">
      <w:pPr>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3.5商务技术、报价评审</w:t>
      </w:r>
    </w:p>
    <w:p w14:paraId="6DC7EDE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在评审时，如发现下列情形之一的，将被视为响应文件无效处理：</w:t>
      </w:r>
    </w:p>
    <w:p w14:paraId="15641A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1F1B1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327739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3FBF4C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41BF3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123E5A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3BC88C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083651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3D2709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7FE034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B3596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4DC892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1E0137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169ADD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2DFAB2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5D2245D9">
      <w:pPr>
        <w:pStyle w:val="11"/>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15）提交的磋商保证金无效的或者未按照磋商文件的规定提交磋商保证金；</w:t>
      </w:r>
    </w:p>
    <w:p w14:paraId="4F0DE7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55771B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505E2F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2D118A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4359C6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项目进行报价或者存在漏项报价；供应商未就所竞标项目的单项内容作唯一报价；供应商未就所竞标项目的全部内容作唯一总价报价；供应商响应文件中存在有选择、有条件报价的（磋商文件允许有备选方案或者其他约定的除外）；</w:t>
      </w:r>
    </w:p>
    <w:p w14:paraId="724506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项目规定的采购预算金额或者最高限价的（如本项目公布了最高限价）；响应报价（包含首次报价、最后报价）超过磋商文件分项采购预算金额或者最高限价的（如本项目公布了最高限价）；</w:t>
      </w:r>
    </w:p>
    <w:p w14:paraId="2F48C2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磋商文件分项采购预算金额或者最高限价的（如本项目公布了最高限价）。</w:t>
      </w:r>
    </w:p>
    <w:p w14:paraId="098D72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14:paraId="2C42A5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49CD6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00F317D">
      <w:pPr>
        <w:spacing w:line="360" w:lineRule="auto"/>
        <w:ind w:firstLine="482" w:firstLineChars="200"/>
        <w:outlineLvl w:val="2"/>
        <w:rPr>
          <w:rFonts w:ascii="宋体" w:hAnsi="宋体" w:cs="宋体"/>
          <w:b/>
          <w:bCs/>
          <w:color w:val="auto"/>
          <w:sz w:val="24"/>
          <w:highlight w:val="none"/>
        </w:rPr>
      </w:pPr>
      <w:bookmarkStart w:id="134" w:name="_Toc15730"/>
      <w:r>
        <w:rPr>
          <w:rFonts w:hint="eastAsia" w:ascii="宋体" w:hAnsi="宋体" w:cs="宋体"/>
          <w:b/>
          <w:bCs/>
          <w:color w:val="auto"/>
          <w:sz w:val="24"/>
          <w:highlight w:val="none"/>
        </w:rPr>
        <w:t>4.磋商程序</w:t>
      </w:r>
      <w:bookmarkEnd w:id="134"/>
    </w:p>
    <w:p w14:paraId="5A1E638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5C6E7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5D64C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166C73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14:paraId="250363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2997FCD3">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4.6磋商小组应对磋商过程和重要磋商内容进行记录，作为评审报告一部分，磋商小组在记录上签字确认。</w:t>
      </w:r>
      <w:r>
        <w:rPr>
          <w:rFonts w:hint="eastAsia" w:ascii="宋体" w:hAnsi="宋体" w:cs="宋体"/>
          <w:b/>
          <w:color w:val="auto"/>
          <w:highlight w:val="none"/>
        </w:rPr>
        <w:t>主要内容包括：</w:t>
      </w:r>
    </w:p>
    <w:p w14:paraId="3C0DB261">
      <w:pPr>
        <w:pStyle w:val="30"/>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25A5BFEC">
      <w:pPr>
        <w:pStyle w:val="30"/>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4213ACA1">
      <w:pPr>
        <w:pStyle w:val="30"/>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4DA831D6">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2F26FB0F">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20BC9922">
      <w:pPr>
        <w:spacing w:line="360" w:lineRule="auto"/>
        <w:ind w:firstLine="200"/>
        <w:outlineLvl w:val="2"/>
        <w:rPr>
          <w:rFonts w:ascii="宋体" w:hAnsi="宋体" w:cs="宋体"/>
          <w:color w:val="auto"/>
          <w:szCs w:val="21"/>
          <w:highlight w:val="none"/>
        </w:rPr>
      </w:pPr>
      <w:bookmarkStart w:id="135" w:name="_Toc29771"/>
      <w:r>
        <w:rPr>
          <w:rFonts w:hint="eastAsia" w:ascii="宋体" w:hAnsi="宋体" w:cs="宋体"/>
          <w:b/>
          <w:bCs/>
          <w:color w:val="auto"/>
          <w:sz w:val="24"/>
          <w:highlight w:val="none"/>
        </w:rPr>
        <w:t>5. 最后报价</w:t>
      </w:r>
      <w:bookmarkEnd w:id="135"/>
    </w:p>
    <w:p w14:paraId="4B2AA9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16B1C2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A5450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8CBC9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2FDBE4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5.5供应商未在规定时间内提交最后报价的，视同退出磋商，其响应文件按无效处理。</w:t>
      </w:r>
    </w:p>
    <w:p w14:paraId="06B49E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5.6磋商小组收齐本项目最后报价后统一开启，磋商小组对最后报价进行有效性、完整性和响应程度的审查。</w:t>
      </w:r>
    </w:p>
    <w:p w14:paraId="39CED6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61F4CEBF">
      <w:pPr>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5.8修正后的最后报价出现下列情形的，按无效响应处理：</w:t>
      </w:r>
    </w:p>
    <w:p w14:paraId="27BEC6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46F207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（2）经供应商确认修正后的响应报价（包含首次报价、最后报价）超过所竞标项目规定的采购预算金额或者最高限价的（如本项目公布了最高限价）；</w:t>
      </w:r>
    </w:p>
    <w:p w14:paraId="39D5B1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21E08329">
      <w:pPr>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35416C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5EA1B0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2D83CDC7">
      <w:pPr>
        <w:pStyle w:val="17"/>
        <w:spacing w:line="360" w:lineRule="auto"/>
        <w:ind w:firstLine="422" w:firstLineChars="200"/>
        <w:rPr>
          <w:rFonts w:ascii="宋体" w:hAnsi="宋体" w:cs="宋体"/>
          <w:color w:val="auto"/>
          <w:highlight w:val="none"/>
        </w:rPr>
      </w:pPr>
      <w:r>
        <w:rPr>
          <w:rFonts w:hint="eastAsia" w:ascii="宋体" w:hAnsi="宋体" w:cs="宋体"/>
          <w:b/>
          <w:bCs/>
          <w:color w:val="auto"/>
          <w:sz w:val="21"/>
          <w:szCs w:val="21"/>
          <w:highlight w:val="none"/>
        </w:rPr>
        <w:t>注：如磋商小组要求提供最后报价附件的，需按规定的时间提供。最后报价有时间限制，供应商可参照竞争性磋商文件“第五章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color w:val="auto"/>
          <w:sz w:val="21"/>
          <w:szCs w:val="21"/>
          <w:highlight w:val="none"/>
          <w:lang w:val="zh-CN"/>
        </w:rPr>
        <w:t>。</w:t>
      </w:r>
    </w:p>
    <w:p w14:paraId="7D4114B0">
      <w:pPr>
        <w:spacing w:line="360" w:lineRule="auto"/>
        <w:ind w:firstLine="200"/>
        <w:outlineLvl w:val="2"/>
        <w:rPr>
          <w:rFonts w:ascii="宋体" w:hAnsi="宋体" w:cs="宋体"/>
          <w:b/>
          <w:bCs/>
          <w:color w:val="auto"/>
          <w:sz w:val="24"/>
          <w:highlight w:val="none"/>
        </w:rPr>
      </w:pPr>
      <w:bookmarkStart w:id="136" w:name="_Toc6660"/>
      <w:r>
        <w:rPr>
          <w:rFonts w:hint="eastAsia" w:ascii="宋体" w:hAnsi="宋体" w:cs="宋体"/>
          <w:b/>
          <w:bCs/>
          <w:color w:val="auto"/>
          <w:sz w:val="24"/>
          <w:highlight w:val="none"/>
        </w:rPr>
        <w:t>6.比较与评价</w:t>
      </w:r>
      <w:bookmarkEnd w:id="136"/>
    </w:p>
    <w:p w14:paraId="03099122">
      <w:pPr>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66E7B2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537836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C6ACF2E">
      <w:pPr>
        <w:pStyle w:val="11"/>
        <w:spacing w:line="360" w:lineRule="auto"/>
        <w:ind w:firstLine="420" w:firstLineChars="200"/>
        <w:rPr>
          <w:rFonts w:ascii="宋体" w:hAnsi="宋体" w:cs="宋体"/>
          <w:color w:val="auto"/>
          <w:highlight w:val="none"/>
        </w:rPr>
      </w:pPr>
      <w:r>
        <w:rPr>
          <w:rFonts w:hint="eastAsia" w:ascii="宋体" w:hAnsi="宋体" w:cs="宋体"/>
          <w:color w:val="auto"/>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CC3FC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2032A148">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（3）各供应商的得分为磋商小组所有成员的有效评分的算术平均数。</w:t>
      </w:r>
    </w:p>
    <w:p w14:paraId="080A83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w:t>
      </w:r>
      <w:r>
        <w:rPr>
          <w:rFonts w:hint="eastAsia" w:ascii="宋体" w:hAnsi="宋体" w:cs="宋体"/>
          <w:color w:val="auto"/>
          <w:highlight w:val="none"/>
        </w:rPr>
        <w:t>报价</w:t>
      </w:r>
      <w:r>
        <w:rPr>
          <w:rFonts w:hint="eastAsia" w:ascii="宋体" w:hAnsi="宋体" w:cs="宋体"/>
          <w:color w:val="auto"/>
          <w:szCs w:val="21"/>
          <w:highlight w:val="none"/>
        </w:rPr>
        <w:t>为供应商的最后报价进行政策性扣除后的价格，评审</w:t>
      </w:r>
      <w:r>
        <w:rPr>
          <w:rFonts w:hint="eastAsia" w:ascii="宋体" w:hAnsi="宋体" w:cs="宋体"/>
          <w:color w:val="auto"/>
          <w:highlight w:val="none"/>
        </w:rPr>
        <w:t>报价</w:t>
      </w:r>
      <w:r>
        <w:rPr>
          <w:rFonts w:hint="eastAsia" w:ascii="宋体" w:hAnsi="宋体" w:cs="宋体"/>
          <w:color w:val="auto"/>
          <w:szCs w:val="21"/>
          <w:highlight w:val="none"/>
        </w:rPr>
        <w:t>只是作为评审时使用。最终成交供应商的成交金额等于最后报价（如有修正，以确认修正后的最后报价为准）。</w:t>
      </w:r>
    </w:p>
    <w:p w14:paraId="02F8DF3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审报告。符合本章第5.3条情形的，可以推荐2家成交候选供应商。评审得分相同的，</w:t>
      </w:r>
      <w:r>
        <w:rPr>
          <w:rFonts w:hint="eastAsia" w:ascii="宋体" w:hAnsi="宋体" w:cs="宋体"/>
          <w:bCs/>
          <w:color w:val="auto"/>
          <w:szCs w:val="21"/>
          <w:highlight w:val="none"/>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30FF6508">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C9932A2">
      <w:pPr>
        <w:spacing w:line="360" w:lineRule="auto"/>
        <w:ind w:firstLine="200"/>
        <w:rPr>
          <w:rFonts w:ascii="宋体" w:hAnsi="宋体" w:cs="宋体"/>
          <w:b/>
          <w:bCs/>
          <w:color w:val="auto"/>
          <w:sz w:val="24"/>
          <w:highlight w:val="none"/>
        </w:rPr>
      </w:pPr>
    </w:p>
    <w:p w14:paraId="7BD39F60">
      <w:pPr>
        <w:spacing w:line="360" w:lineRule="auto"/>
        <w:ind w:firstLine="200"/>
        <w:outlineLvl w:val="2"/>
        <w:rPr>
          <w:rFonts w:ascii="宋体" w:hAnsi="宋体" w:cs="宋体"/>
          <w:b/>
          <w:bCs/>
          <w:color w:val="auto"/>
          <w:sz w:val="24"/>
          <w:highlight w:val="none"/>
        </w:rPr>
      </w:pPr>
      <w:bookmarkStart w:id="137" w:name="_Toc15680"/>
      <w:r>
        <w:rPr>
          <w:rFonts w:hint="eastAsia" w:ascii="宋体" w:hAnsi="宋体" w:cs="宋体"/>
          <w:b/>
          <w:bCs/>
          <w:color w:val="auto"/>
          <w:sz w:val="24"/>
          <w:highlight w:val="none"/>
        </w:rPr>
        <w:t>7.评审标准</w:t>
      </w:r>
      <w:bookmarkEnd w:id="137"/>
    </w:p>
    <w:p w14:paraId="40F50FB1">
      <w:pPr>
        <w:spacing w:line="360" w:lineRule="auto"/>
        <w:ind w:firstLine="420" w:firstLineChars="200"/>
        <w:rPr>
          <w:rFonts w:ascii="宋体" w:hAnsi="宋体" w:cs="宋体"/>
          <w:bCs/>
          <w:color w:val="auto"/>
          <w:szCs w:val="21"/>
          <w:highlight w:val="none"/>
        </w:rPr>
      </w:pPr>
      <w:r>
        <w:rPr>
          <w:rFonts w:hint="eastAsia" w:ascii="宋体" w:hAnsi="宋体" w:cs="宋体"/>
          <w:bCs/>
          <w:color w:val="auto"/>
          <w:highlight w:val="none"/>
        </w:rPr>
        <w:t>7.</w:t>
      </w:r>
      <w:r>
        <w:rPr>
          <w:rFonts w:hint="eastAsia" w:ascii="宋体" w:hAnsi="宋体" w:cs="宋体"/>
          <w:bCs/>
          <w:color w:val="auto"/>
          <w:szCs w:val="21"/>
          <w:highlight w:val="none"/>
        </w:rPr>
        <w:t>1评审依据：磋商小组将以响应文件为评审依据，对供应商的报价、技术、商务等方面内容按百分制打分。（计分方法按四舍五入取至百分位）</w:t>
      </w:r>
    </w:p>
    <w:p w14:paraId="6DE5540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br w:type="page"/>
      </w:r>
    </w:p>
    <w:tbl>
      <w:tblPr>
        <w:tblStyle w:val="23"/>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
        <w:gridCol w:w="364"/>
        <w:gridCol w:w="249"/>
        <w:gridCol w:w="809"/>
        <w:gridCol w:w="169"/>
        <w:gridCol w:w="7169"/>
        <w:gridCol w:w="19"/>
        <w:gridCol w:w="746"/>
      </w:tblGrid>
      <w:tr w14:paraId="4398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gridSpan w:val="2"/>
            <w:noWrap/>
            <w:vAlign w:val="center"/>
          </w:tcPr>
          <w:p w14:paraId="56BD084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058" w:type="dxa"/>
            <w:gridSpan w:val="2"/>
            <w:noWrap/>
            <w:vAlign w:val="center"/>
          </w:tcPr>
          <w:p w14:paraId="5E650C2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评分类型</w:t>
            </w:r>
          </w:p>
        </w:tc>
        <w:tc>
          <w:tcPr>
            <w:tcW w:w="7357" w:type="dxa"/>
            <w:gridSpan w:val="3"/>
            <w:noWrap/>
            <w:vAlign w:val="center"/>
          </w:tcPr>
          <w:p w14:paraId="1B1A3B7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评分标准</w:t>
            </w:r>
          </w:p>
        </w:tc>
        <w:tc>
          <w:tcPr>
            <w:tcW w:w="742" w:type="dxa"/>
            <w:noWrap/>
            <w:vAlign w:val="center"/>
          </w:tcPr>
          <w:p w14:paraId="53767747">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分值</w:t>
            </w:r>
          </w:p>
        </w:tc>
      </w:tr>
      <w:tr w14:paraId="74A7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2" w:type="dxa"/>
            <w:gridSpan w:val="2"/>
            <w:noWrap/>
            <w:vAlign w:val="center"/>
          </w:tcPr>
          <w:p w14:paraId="3C441CF7">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058" w:type="dxa"/>
            <w:gridSpan w:val="2"/>
            <w:noWrap/>
            <w:vAlign w:val="center"/>
          </w:tcPr>
          <w:p w14:paraId="7645CE5E">
            <w:pPr>
              <w:spacing w:line="360" w:lineRule="auto"/>
              <w:jc w:val="center"/>
              <w:rPr>
                <w:rFonts w:ascii="宋体" w:hAnsi="宋体" w:cs="宋体"/>
                <w:bCs/>
                <w:color w:val="auto"/>
                <w:szCs w:val="21"/>
                <w:highlight w:val="none"/>
              </w:rPr>
            </w:pPr>
            <w:r>
              <w:rPr>
                <w:rFonts w:hint="eastAsia" w:ascii="宋体" w:hAnsi="宋体" w:cs="宋体"/>
                <w:b/>
                <w:color w:val="auto"/>
                <w:szCs w:val="21"/>
                <w:highlight w:val="none"/>
              </w:rPr>
              <w:t>价格分（满分30分）</w:t>
            </w:r>
          </w:p>
        </w:tc>
        <w:tc>
          <w:tcPr>
            <w:tcW w:w="7357" w:type="dxa"/>
            <w:gridSpan w:val="3"/>
            <w:noWrap/>
          </w:tcPr>
          <w:p w14:paraId="7040ED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1.评审报价为供应商的最后报价进行政策性扣除后的价格，评审报价只是作为评审时使用。最终成交供应商的成交金额等于最后报价（如有修正，以确认修正后的最后报价为准）。</w:t>
            </w:r>
          </w:p>
          <w:p w14:paraId="083884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2.政府采购政策性扣除计算方法</w:t>
            </w:r>
          </w:p>
          <w:p w14:paraId="5EFD7C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照《政府采购促进中小企业发展管理办法》（财库〔2020〕46号）及《广西壮族自治区财政厅关于贯彻落实政府采购支持中小企业发展政策的通知》（桂财采〔2022〕31号）的规定，供应商在其响应文件中提供《中小企业声明函》，且服务全部由符合政策要求的小型、微型企业承接的，对其最后报价给予20%的扣除。</w:t>
            </w:r>
          </w:p>
          <w:p w14:paraId="7A9EDC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5F9F5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3399D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（4）政策性扣除计算方法。</w:t>
            </w:r>
          </w:p>
          <w:p w14:paraId="5B4064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被评定为监狱企业或者残疾人福利性单位或者其服务全部由符合政策要求的小型、微型企业承接的，该供应商的最后报价给予20%的扣除，扣除后的价格为评审报价，即评审报价=最后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14:paraId="40A344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（5）除上述情况外，评审报价＝最后报价。</w:t>
            </w:r>
          </w:p>
          <w:p w14:paraId="0338D6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（6）以进入比较与评价环节的最低的评审报价为基准价，基准价得分为30分。</w:t>
            </w:r>
          </w:p>
          <w:p w14:paraId="5C071D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（7）价格分计算公式：</w:t>
            </w:r>
          </w:p>
          <w:p w14:paraId="25A4F1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报价得分=（基准价/评审报价）×30分</w:t>
            </w:r>
          </w:p>
          <w:p w14:paraId="2F26D58F">
            <w:pPr>
              <w:pStyle w:val="17"/>
              <w:spacing w:line="360" w:lineRule="auto"/>
              <w:rPr>
                <w:rFonts w:ascii="宋体" w:hAnsi="宋体" w:cs="宋体"/>
                <w:color w:val="auto"/>
                <w:sz w:val="21"/>
                <w:szCs w:val="21"/>
                <w:highlight w:val="none"/>
              </w:rPr>
            </w:pPr>
            <w:r>
              <w:rPr>
                <w:rFonts w:hint="eastAsia" w:ascii="宋体" w:hAnsi="宋体" w:cs="宋体"/>
                <w:color w:val="auto"/>
                <w:kern w:val="2"/>
                <w:sz w:val="21"/>
                <w:szCs w:val="21"/>
                <w:highlight w:val="none"/>
              </w:rPr>
              <w:t>备注：1.价格分得分四舍五入后，小数点后保留两位有效数。</w:t>
            </w:r>
          </w:p>
        </w:tc>
        <w:tc>
          <w:tcPr>
            <w:tcW w:w="742" w:type="dxa"/>
            <w:noWrap/>
            <w:vAlign w:val="center"/>
          </w:tcPr>
          <w:p w14:paraId="79AE201F">
            <w:pPr>
              <w:spacing w:line="360" w:lineRule="auto"/>
              <w:jc w:val="center"/>
              <w:rPr>
                <w:rFonts w:ascii="宋体" w:hAnsi="宋体" w:cs="宋体"/>
                <w:bCs/>
                <w:color w:val="auto"/>
                <w:szCs w:val="21"/>
                <w:highlight w:val="none"/>
              </w:rPr>
            </w:pPr>
            <w:r>
              <w:rPr>
                <w:rFonts w:hint="eastAsia" w:ascii="宋体" w:hAnsi="宋体" w:cs="宋体"/>
                <w:color w:val="auto"/>
                <w:kern w:val="0"/>
                <w:szCs w:val="21"/>
                <w:highlight w:val="none"/>
              </w:rPr>
              <w:t>30分</w:t>
            </w:r>
          </w:p>
        </w:tc>
      </w:tr>
      <w:tr w14:paraId="2B24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8" w:type="dxa"/>
        </w:trPr>
        <w:tc>
          <w:tcPr>
            <w:tcW w:w="613" w:type="dxa"/>
            <w:gridSpan w:val="2"/>
            <w:noWrap/>
            <w:vAlign w:val="center"/>
          </w:tcPr>
          <w:p w14:paraId="52F9CD45">
            <w:pPr>
              <w:pStyle w:val="16"/>
              <w:spacing w:line="360" w:lineRule="exact"/>
              <w:jc w:val="center"/>
              <w:rPr>
                <w:rFonts w:hAnsi="宋体"/>
                <w:bCs/>
                <w:color w:val="auto"/>
                <w:sz w:val="21"/>
                <w:highlight w:val="none"/>
              </w:rPr>
            </w:pPr>
            <w:bookmarkStart w:id="138" w:name="_Toc80205935"/>
            <w:r>
              <w:rPr>
                <w:rFonts w:hint="eastAsia" w:hAnsi="宋体"/>
                <w:bCs/>
                <w:color w:val="auto"/>
                <w:sz w:val="21"/>
                <w:highlight w:val="none"/>
              </w:rPr>
              <w:t>2</w:t>
            </w:r>
          </w:p>
        </w:tc>
        <w:tc>
          <w:tcPr>
            <w:tcW w:w="8912" w:type="dxa"/>
            <w:gridSpan w:val="5"/>
            <w:noWrap/>
            <w:vAlign w:val="center"/>
          </w:tcPr>
          <w:p w14:paraId="7D5CCDFB">
            <w:pPr>
              <w:pStyle w:val="16"/>
              <w:spacing w:line="360" w:lineRule="exact"/>
              <w:jc w:val="left"/>
              <w:rPr>
                <w:rFonts w:hAnsi="宋体"/>
                <w:b/>
                <w:color w:val="auto"/>
                <w:sz w:val="21"/>
                <w:highlight w:val="none"/>
              </w:rPr>
            </w:pPr>
            <w:r>
              <w:rPr>
                <w:rFonts w:hint="eastAsia" w:hAnsi="宋体"/>
                <w:b/>
                <w:color w:val="auto"/>
                <w:sz w:val="21"/>
                <w:highlight w:val="none"/>
              </w:rPr>
              <w:t>技术分（满分58分）</w:t>
            </w:r>
          </w:p>
        </w:tc>
      </w:tr>
      <w:tr w14:paraId="6A6B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8" w:type="dxa"/>
        </w:trPr>
        <w:tc>
          <w:tcPr>
            <w:tcW w:w="613" w:type="dxa"/>
            <w:gridSpan w:val="2"/>
            <w:noWrap/>
            <w:vAlign w:val="center"/>
          </w:tcPr>
          <w:p w14:paraId="5C90B7EA">
            <w:pPr>
              <w:pStyle w:val="16"/>
              <w:spacing w:line="360" w:lineRule="exact"/>
              <w:jc w:val="center"/>
              <w:rPr>
                <w:rFonts w:hAnsi="宋体"/>
                <w:bCs/>
                <w:color w:val="auto"/>
                <w:sz w:val="21"/>
                <w:highlight w:val="none"/>
              </w:rPr>
            </w:pPr>
            <w:r>
              <w:rPr>
                <w:rFonts w:hint="eastAsia" w:hAnsi="宋体"/>
                <w:bCs/>
                <w:color w:val="auto"/>
                <w:sz w:val="21"/>
                <w:highlight w:val="none"/>
              </w:rPr>
              <w:t>2.1</w:t>
            </w:r>
          </w:p>
        </w:tc>
        <w:tc>
          <w:tcPr>
            <w:tcW w:w="978" w:type="dxa"/>
            <w:gridSpan w:val="2"/>
            <w:noWrap/>
            <w:vAlign w:val="center"/>
          </w:tcPr>
          <w:p w14:paraId="42195A42">
            <w:pPr>
              <w:pStyle w:val="16"/>
              <w:spacing w:line="360" w:lineRule="exact"/>
              <w:jc w:val="center"/>
              <w:rPr>
                <w:rFonts w:hAnsi="宋体"/>
                <w:bCs/>
                <w:color w:val="auto"/>
                <w:sz w:val="21"/>
                <w:highlight w:val="none"/>
              </w:rPr>
            </w:pPr>
            <w:r>
              <w:rPr>
                <w:rFonts w:hint="eastAsia" w:hAnsi="宋体" w:cs="宋体"/>
                <w:b/>
                <w:color w:val="auto"/>
                <w:sz w:val="21"/>
                <w:highlight w:val="none"/>
              </w:rPr>
              <w:t>技术方案（满分28分）</w:t>
            </w:r>
          </w:p>
        </w:tc>
        <w:tc>
          <w:tcPr>
            <w:tcW w:w="7169" w:type="dxa"/>
            <w:noWrap/>
            <w:vAlign w:val="center"/>
          </w:tcPr>
          <w:p w14:paraId="1F37072D">
            <w:pPr>
              <w:pStyle w:val="31"/>
              <w:spacing w:line="360" w:lineRule="exact"/>
              <w:rPr>
                <w:color w:val="auto"/>
                <w:sz w:val="21"/>
                <w:szCs w:val="21"/>
                <w:highlight w:val="none"/>
                <w:lang w:eastAsia="zh-CN"/>
              </w:rPr>
            </w:pPr>
            <w:r>
              <w:rPr>
                <w:rFonts w:hint="eastAsia"/>
                <w:color w:val="auto"/>
                <w:sz w:val="21"/>
                <w:szCs w:val="21"/>
                <w:highlight w:val="none"/>
                <w:lang w:eastAsia="zh-CN"/>
              </w:rPr>
              <w:t>一档（6分）：满足采购文件基本要求。</w:t>
            </w:r>
          </w:p>
          <w:p w14:paraId="21CE2342">
            <w:pPr>
              <w:pStyle w:val="31"/>
              <w:spacing w:line="360" w:lineRule="exact"/>
              <w:rPr>
                <w:color w:val="auto"/>
                <w:sz w:val="21"/>
                <w:szCs w:val="21"/>
                <w:highlight w:val="none"/>
                <w:lang w:eastAsia="zh-CN"/>
              </w:rPr>
            </w:pPr>
            <w:r>
              <w:rPr>
                <w:rFonts w:hint="eastAsia"/>
                <w:color w:val="auto"/>
                <w:sz w:val="21"/>
                <w:szCs w:val="21"/>
                <w:highlight w:val="none"/>
                <w:lang w:eastAsia="zh-CN"/>
              </w:rPr>
              <w:t>二档（12分）：对总体需求功能描述简单，技术方案简单，对上述要求关键技术点描述简单，能简单满足采购建设内容基本需求。</w:t>
            </w:r>
          </w:p>
          <w:p w14:paraId="77B5953C">
            <w:pPr>
              <w:pStyle w:val="31"/>
              <w:spacing w:line="360" w:lineRule="exact"/>
              <w:rPr>
                <w:color w:val="auto"/>
                <w:sz w:val="21"/>
                <w:szCs w:val="21"/>
                <w:highlight w:val="none"/>
                <w:lang w:eastAsia="zh-CN"/>
              </w:rPr>
            </w:pPr>
            <w:r>
              <w:rPr>
                <w:rFonts w:hint="eastAsia"/>
                <w:color w:val="auto"/>
                <w:sz w:val="21"/>
                <w:szCs w:val="21"/>
                <w:highlight w:val="none"/>
                <w:lang w:eastAsia="zh-CN"/>
              </w:rPr>
              <w:t>三档（18分）：对总体需求功能描述一般，技术方案可行，对上述要求关键技术点基本描述到位，能满足采购建设内容需求。</w:t>
            </w:r>
          </w:p>
          <w:p w14:paraId="1E5B8AFF">
            <w:pPr>
              <w:pStyle w:val="31"/>
              <w:spacing w:line="360" w:lineRule="exact"/>
              <w:rPr>
                <w:color w:val="auto"/>
                <w:sz w:val="21"/>
                <w:szCs w:val="21"/>
                <w:highlight w:val="none"/>
                <w:lang w:eastAsia="zh-CN"/>
              </w:rPr>
            </w:pPr>
            <w:r>
              <w:rPr>
                <w:rFonts w:hint="eastAsia"/>
                <w:color w:val="auto"/>
                <w:sz w:val="21"/>
                <w:szCs w:val="21"/>
                <w:highlight w:val="none"/>
                <w:lang w:eastAsia="zh-CN"/>
              </w:rPr>
              <w:t>四档（24分）：对总体需求功能描述较透彻、全面，技术方案较详细、先进，对上述要求关键技术点描述较清晰、到位，对本项目的采购建设内容具有针对性。</w:t>
            </w:r>
          </w:p>
          <w:p w14:paraId="24C96E82">
            <w:pPr>
              <w:pStyle w:val="31"/>
              <w:spacing w:line="360" w:lineRule="exact"/>
              <w:rPr>
                <w:color w:val="auto"/>
                <w:sz w:val="21"/>
                <w:szCs w:val="21"/>
                <w:highlight w:val="none"/>
                <w:lang w:eastAsia="zh-CN"/>
              </w:rPr>
            </w:pPr>
            <w:r>
              <w:rPr>
                <w:rFonts w:hint="eastAsia"/>
                <w:color w:val="auto"/>
                <w:sz w:val="21"/>
                <w:szCs w:val="21"/>
                <w:highlight w:val="none"/>
                <w:lang w:eastAsia="zh-CN"/>
              </w:rPr>
              <w:t>五档（28分）：对总体需求功能描述透彻、全面，技术方案详细、先进，对上述要求关键技术点描述清晰、到位，对本项目的采购建设内容具有针对性。</w:t>
            </w:r>
          </w:p>
          <w:p w14:paraId="3894A07E">
            <w:pPr>
              <w:pStyle w:val="31"/>
              <w:spacing w:line="360" w:lineRule="exact"/>
              <w:rPr>
                <w:color w:val="auto"/>
                <w:sz w:val="21"/>
                <w:szCs w:val="21"/>
                <w:highlight w:val="none"/>
                <w:lang w:eastAsia="zh-CN"/>
              </w:rPr>
            </w:pPr>
            <w:r>
              <w:rPr>
                <w:rFonts w:hint="eastAsia"/>
                <w:b/>
                <w:bCs/>
                <w:color w:val="auto"/>
                <w:sz w:val="21"/>
                <w:szCs w:val="21"/>
                <w:highlight w:val="none"/>
                <w:lang w:eastAsia="zh-CN"/>
              </w:rPr>
              <w:t>注：不提供方案不得分。</w:t>
            </w:r>
          </w:p>
        </w:tc>
        <w:tc>
          <w:tcPr>
            <w:tcW w:w="765" w:type="dxa"/>
            <w:gridSpan w:val="2"/>
            <w:noWrap/>
            <w:vAlign w:val="center"/>
          </w:tcPr>
          <w:p w14:paraId="50DFA0CA">
            <w:pPr>
              <w:pStyle w:val="16"/>
              <w:spacing w:line="360" w:lineRule="exact"/>
              <w:jc w:val="center"/>
              <w:rPr>
                <w:rFonts w:hAnsi="宋体"/>
                <w:bCs/>
                <w:color w:val="auto"/>
                <w:sz w:val="21"/>
                <w:highlight w:val="none"/>
              </w:rPr>
            </w:pPr>
            <w:r>
              <w:rPr>
                <w:rFonts w:hint="eastAsia" w:hAnsi="宋体"/>
                <w:bCs/>
                <w:color w:val="auto"/>
                <w:sz w:val="21"/>
                <w:highlight w:val="none"/>
              </w:rPr>
              <w:t>28分</w:t>
            </w:r>
          </w:p>
        </w:tc>
      </w:tr>
      <w:tr w14:paraId="01B6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8" w:type="dxa"/>
        </w:trPr>
        <w:tc>
          <w:tcPr>
            <w:tcW w:w="613" w:type="dxa"/>
            <w:gridSpan w:val="2"/>
            <w:noWrap/>
            <w:vAlign w:val="center"/>
          </w:tcPr>
          <w:p w14:paraId="3C1876C7">
            <w:pPr>
              <w:pStyle w:val="16"/>
              <w:spacing w:line="360" w:lineRule="exact"/>
              <w:jc w:val="center"/>
              <w:rPr>
                <w:rFonts w:hAnsi="宋体"/>
                <w:bCs/>
                <w:color w:val="auto"/>
                <w:sz w:val="21"/>
                <w:highlight w:val="none"/>
              </w:rPr>
            </w:pPr>
            <w:r>
              <w:rPr>
                <w:rFonts w:hint="eastAsia" w:hAnsi="宋体"/>
                <w:bCs/>
                <w:color w:val="auto"/>
                <w:sz w:val="21"/>
                <w:highlight w:val="none"/>
              </w:rPr>
              <w:t>2.2</w:t>
            </w:r>
          </w:p>
        </w:tc>
        <w:tc>
          <w:tcPr>
            <w:tcW w:w="978" w:type="dxa"/>
            <w:gridSpan w:val="2"/>
            <w:noWrap/>
            <w:vAlign w:val="center"/>
          </w:tcPr>
          <w:p w14:paraId="41E2CB7B">
            <w:pPr>
              <w:pStyle w:val="16"/>
              <w:spacing w:line="360" w:lineRule="exact"/>
              <w:jc w:val="center"/>
              <w:rPr>
                <w:rFonts w:hAnsi="宋体"/>
                <w:bCs/>
                <w:color w:val="auto"/>
                <w:sz w:val="21"/>
                <w:highlight w:val="none"/>
              </w:rPr>
            </w:pPr>
            <w:r>
              <w:rPr>
                <w:rFonts w:hint="eastAsia" w:hAnsi="宋体" w:cs="宋体"/>
                <w:b/>
                <w:color w:val="auto"/>
                <w:sz w:val="21"/>
                <w:highlight w:val="none"/>
              </w:rPr>
              <w:t>维保服务方案（满分30分）</w:t>
            </w:r>
          </w:p>
        </w:tc>
        <w:tc>
          <w:tcPr>
            <w:tcW w:w="7169" w:type="dxa"/>
            <w:noWrap/>
            <w:vAlign w:val="center"/>
          </w:tcPr>
          <w:p w14:paraId="74E2219D">
            <w:pPr>
              <w:pStyle w:val="31"/>
              <w:spacing w:line="360" w:lineRule="exact"/>
              <w:rPr>
                <w:color w:val="auto"/>
                <w:sz w:val="21"/>
                <w:szCs w:val="21"/>
                <w:highlight w:val="none"/>
                <w:lang w:eastAsia="zh-CN"/>
              </w:rPr>
            </w:pPr>
            <w:r>
              <w:rPr>
                <w:rFonts w:hint="eastAsia"/>
                <w:color w:val="auto"/>
                <w:sz w:val="21"/>
                <w:szCs w:val="21"/>
                <w:highlight w:val="none"/>
                <w:lang w:eastAsia="zh-CN"/>
              </w:rPr>
              <w:t>一档（6分）：满足采购文件基本要求。</w:t>
            </w:r>
          </w:p>
          <w:p w14:paraId="79B6841F">
            <w:pPr>
              <w:pStyle w:val="31"/>
              <w:spacing w:line="360" w:lineRule="exact"/>
              <w:rPr>
                <w:color w:val="auto"/>
                <w:sz w:val="21"/>
                <w:szCs w:val="21"/>
                <w:highlight w:val="none"/>
                <w:lang w:eastAsia="zh-CN"/>
              </w:rPr>
            </w:pPr>
            <w:r>
              <w:rPr>
                <w:rFonts w:hint="eastAsia"/>
                <w:color w:val="auto"/>
                <w:sz w:val="21"/>
                <w:szCs w:val="21"/>
                <w:highlight w:val="none"/>
                <w:lang w:eastAsia="zh-CN"/>
              </w:rPr>
              <w:t>二档（12分）：服务期内供应商方案描述包括售后服务支持、服务流程、响应时间、应急预案、巡检方案、故障解决、培训计划等方面内容，方案总体描述差，可操作性、先进性、完整性差，能简单满足采购文件基本要求的。</w:t>
            </w:r>
          </w:p>
          <w:p w14:paraId="155F0FA5">
            <w:pPr>
              <w:pStyle w:val="31"/>
              <w:spacing w:line="360" w:lineRule="exact"/>
              <w:rPr>
                <w:color w:val="auto"/>
                <w:sz w:val="21"/>
                <w:szCs w:val="21"/>
                <w:highlight w:val="none"/>
                <w:lang w:eastAsia="zh-CN"/>
              </w:rPr>
            </w:pPr>
            <w:r>
              <w:rPr>
                <w:rFonts w:hint="eastAsia"/>
                <w:color w:val="auto"/>
                <w:sz w:val="21"/>
                <w:szCs w:val="21"/>
                <w:highlight w:val="none"/>
                <w:lang w:eastAsia="zh-CN"/>
              </w:rPr>
              <w:t>三档（18分）：服务期内供应商方案描述包括售后服务支持、服务流程、响应时间、应急预案、巡检方案、故障解决、培训计划等方面内容，方案总体描述一般，可操作性、先进性、完整性一般，基本能够满足采购文件要求，承诺本项目提供不少于3名维保人员，且在本市辖区内设立不少于5个自有服务网点（属于本法人或负责人）或承诺成交后设立。（提供证明材料复印件：营业执照或房屋租赁合同、不动产登记证等复印件）</w:t>
            </w:r>
          </w:p>
          <w:p w14:paraId="7B8BEA19">
            <w:pPr>
              <w:pStyle w:val="31"/>
              <w:spacing w:line="360" w:lineRule="exact"/>
              <w:rPr>
                <w:color w:val="auto"/>
                <w:sz w:val="21"/>
                <w:szCs w:val="21"/>
                <w:highlight w:val="none"/>
                <w:lang w:eastAsia="zh-CN"/>
              </w:rPr>
            </w:pPr>
            <w:r>
              <w:rPr>
                <w:rFonts w:hint="eastAsia"/>
                <w:color w:val="auto"/>
                <w:sz w:val="21"/>
                <w:szCs w:val="21"/>
                <w:highlight w:val="none"/>
                <w:lang w:eastAsia="zh-CN"/>
              </w:rPr>
              <w:t xml:space="preserve">四档（24分）：服务期内供应商方案描述包括售后服务支持、服务流程、响应时间、应急预案、巡检方案、用户回访、保密承诺、故障解决等内容，表述较详细，可操作性、先进性、完整性较强；培训计划或方案能够满足对采购服务的维护，承诺本项目提供不少于5名维保人员【售后工程师（售后负责人）需具备网络信息安全工程师证书或通信工程师证书】。且在本市辖区内设立不少于10个自有服务网点（属于本法人或负责人）或承诺成交后设立。（提供证明材料复印件：营业执照或房屋租赁合同、不动产登记证等复印件） </w:t>
            </w:r>
          </w:p>
          <w:p w14:paraId="3C97B121">
            <w:pPr>
              <w:pStyle w:val="31"/>
              <w:spacing w:line="360" w:lineRule="exact"/>
              <w:rPr>
                <w:color w:val="auto"/>
                <w:sz w:val="21"/>
                <w:szCs w:val="21"/>
                <w:highlight w:val="none"/>
                <w:lang w:eastAsia="zh-CN"/>
              </w:rPr>
            </w:pPr>
            <w:r>
              <w:rPr>
                <w:rFonts w:hint="eastAsia"/>
                <w:color w:val="auto"/>
                <w:sz w:val="21"/>
                <w:szCs w:val="21"/>
                <w:highlight w:val="none"/>
                <w:lang w:eastAsia="zh-CN"/>
              </w:rPr>
              <w:t>五档（30分）：服务期内供应商方案描述包括售后服务支持，服务流程、响应时间等优于采购需求，提供应急预案、巡检方案、用户回访、保密承诺、故障解决等内容，表述清晰详细，方案可操作性、先进性、完整性强；培训计划或方案能够结合当前先进技术，培训内容详实，承诺本项目提供不少于8名维保人员【售后工程师（售后负责人）需具备网络信息安全工程师证书或通信工程师证书】。且在本市辖区内设立不少于15个自有服务网点（属于本法人或负责人）或承诺成交后设立。（提供证明材料复印件：营业执照或房屋租赁合同、不动产登记证等复印件）</w:t>
            </w:r>
          </w:p>
          <w:p w14:paraId="6143545E">
            <w:pPr>
              <w:pStyle w:val="31"/>
              <w:spacing w:line="360" w:lineRule="exact"/>
              <w:rPr>
                <w:color w:val="auto"/>
                <w:sz w:val="21"/>
                <w:szCs w:val="21"/>
                <w:highlight w:val="none"/>
                <w:lang w:eastAsia="zh-CN"/>
              </w:rPr>
            </w:pPr>
            <w:r>
              <w:rPr>
                <w:rFonts w:hint="eastAsia"/>
                <w:b/>
                <w:bCs/>
                <w:color w:val="auto"/>
                <w:sz w:val="21"/>
                <w:szCs w:val="21"/>
                <w:highlight w:val="none"/>
                <w:lang w:eastAsia="zh-CN"/>
              </w:rPr>
              <w:t>注：以上人员须为供应商自有人员，并提供人员半年内任意连续3个月的社保证明材料，并加盖投标人公章，否则不给予计分。</w:t>
            </w:r>
          </w:p>
        </w:tc>
        <w:tc>
          <w:tcPr>
            <w:tcW w:w="765" w:type="dxa"/>
            <w:gridSpan w:val="2"/>
            <w:noWrap/>
            <w:vAlign w:val="center"/>
          </w:tcPr>
          <w:p w14:paraId="053BA0DD">
            <w:pPr>
              <w:pStyle w:val="16"/>
              <w:spacing w:line="360" w:lineRule="exact"/>
              <w:jc w:val="center"/>
              <w:rPr>
                <w:rFonts w:hAnsi="宋体"/>
                <w:bCs/>
                <w:color w:val="auto"/>
                <w:sz w:val="21"/>
                <w:highlight w:val="none"/>
              </w:rPr>
            </w:pPr>
            <w:r>
              <w:rPr>
                <w:rFonts w:hint="eastAsia" w:hAnsi="宋体"/>
                <w:bCs/>
                <w:color w:val="auto"/>
                <w:sz w:val="21"/>
                <w:highlight w:val="none"/>
              </w:rPr>
              <w:t>30分</w:t>
            </w:r>
          </w:p>
        </w:tc>
      </w:tr>
      <w:tr w14:paraId="2F98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8" w:type="dxa"/>
        </w:trPr>
        <w:tc>
          <w:tcPr>
            <w:tcW w:w="613" w:type="dxa"/>
            <w:gridSpan w:val="2"/>
            <w:noWrap/>
            <w:vAlign w:val="center"/>
          </w:tcPr>
          <w:p w14:paraId="7ACF1309">
            <w:pPr>
              <w:pStyle w:val="16"/>
              <w:spacing w:line="360" w:lineRule="exact"/>
              <w:jc w:val="center"/>
              <w:rPr>
                <w:rFonts w:hAnsi="宋体"/>
                <w:bCs/>
                <w:color w:val="auto"/>
                <w:sz w:val="21"/>
                <w:highlight w:val="none"/>
              </w:rPr>
            </w:pPr>
            <w:r>
              <w:rPr>
                <w:rFonts w:hint="eastAsia" w:hAnsi="宋体"/>
                <w:bCs/>
                <w:color w:val="auto"/>
                <w:sz w:val="21"/>
                <w:highlight w:val="none"/>
              </w:rPr>
              <w:t>3</w:t>
            </w:r>
          </w:p>
        </w:tc>
        <w:tc>
          <w:tcPr>
            <w:tcW w:w="8912" w:type="dxa"/>
            <w:gridSpan w:val="5"/>
            <w:noWrap/>
            <w:vAlign w:val="center"/>
          </w:tcPr>
          <w:p w14:paraId="5AF1D55B">
            <w:pPr>
              <w:pStyle w:val="16"/>
              <w:spacing w:line="360" w:lineRule="exact"/>
              <w:jc w:val="left"/>
              <w:rPr>
                <w:rFonts w:hAnsi="宋体"/>
                <w:b/>
                <w:color w:val="auto"/>
                <w:sz w:val="21"/>
                <w:highlight w:val="none"/>
              </w:rPr>
            </w:pPr>
            <w:r>
              <w:rPr>
                <w:rFonts w:hint="eastAsia" w:hAnsi="宋体"/>
                <w:b/>
                <w:color w:val="auto"/>
                <w:sz w:val="21"/>
                <w:highlight w:val="none"/>
              </w:rPr>
              <w:t>商务分（满分12分）</w:t>
            </w:r>
          </w:p>
        </w:tc>
      </w:tr>
      <w:tr w14:paraId="2857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8" w:type="dxa"/>
          <w:trHeight w:val="90" w:hRule="atLeast"/>
        </w:trPr>
        <w:tc>
          <w:tcPr>
            <w:tcW w:w="613" w:type="dxa"/>
            <w:gridSpan w:val="2"/>
            <w:noWrap/>
            <w:vAlign w:val="center"/>
          </w:tcPr>
          <w:p w14:paraId="0FE2E7CD">
            <w:pPr>
              <w:pStyle w:val="16"/>
              <w:spacing w:line="360" w:lineRule="exact"/>
              <w:jc w:val="center"/>
              <w:rPr>
                <w:rFonts w:hAnsi="宋体"/>
                <w:bCs/>
                <w:color w:val="auto"/>
                <w:sz w:val="21"/>
                <w:highlight w:val="none"/>
              </w:rPr>
            </w:pPr>
            <w:r>
              <w:rPr>
                <w:rFonts w:hint="eastAsia" w:hAnsi="宋体"/>
                <w:bCs/>
                <w:color w:val="auto"/>
                <w:sz w:val="21"/>
                <w:highlight w:val="none"/>
              </w:rPr>
              <w:t>3.1</w:t>
            </w:r>
          </w:p>
        </w:tc>
        <w:tc>
          <w:tcPr>
            <w:tcW w:w="978" w:type="dxa"/>
            <w:gridSpan w:val="2"/>
            <w:noWrap/>
            <w:vAlign w:val="center"/>
          </w:tcPr>
          <w:p w14:paraId="695DF02F">
            <w:pPr>
              <w:pStyle w:val="16"/>
              <w:spacing w:line="360" w:lineRule="exact"/>
              <w:rPr>
                <w:rFonts w:hAnsi="宋体"/>
                <w:bCs/>
                <w:color w:val="auto"/>
                <w:sz w:val="21"/>
                <w:highlight w:val="none"/>
              </w:rPr>
            </w:pPr>
            <w:r>
              <w:rPr>
                <w:rFonts w:hint="eastAsia" w:hAnsi="宋体"/>
                <w:bCs/>
                <w:color w:val="auto"/>
                <w:sz w:val="21"/>
                <w:highlight w:val="none"/>
              </w:rPr>
              <w:t>信誉分（满分3分）</w:t>
            </w:r>
          </w:p>
        </w:tc>
        <w:tc>
          <w:tcPr>
            <w:tcW w:w="7169" w:type="dxa"/>
            <w:noWrap/>
          </w:tcPr>
          <w:p w14:paraId="46CD12FD">
            <w:pPr>
              <w:pStyle w:val="16"/>
              <w:spacing w:line="360" w:lineRule="exact"/>
              <w:rPr>
                <w:rFonts w:hAnsi="宋体"/>
                <w:bCs/>
                <w:color w:val="auto"/>
                <w:sz w:val="21"/>
                <w:highlight w:val="none"/>
              </w:rPr>
            </w:pPr>
            <w:r>
              <w:rPr>
                <w:rFonts w:hint="eastAsia" w:hAnsi="宋体"/>
                <w:bCs/>
                <w:color w:val="auto"/>
                <w:sz w:val="21"/>
                <w:highlight w:val="none"/>
              </w:rPr>
              <w:t>供应商或其上级公司（上级直属机构/法人机构）具有由国家认证认可监督管理部门批准设立的认证机构颁发并在有效期内的ISO9001质量管理体系认证、ISO14001环境管理体系认证、GB/T45001职业健康安全管理体系认证的；提供认证证书复印件并加盖供应商公章，每提供一个得1分，满分3分。</w:t>
            </w:r>
          </w:p>
        </w:tc>
        <w:tc>
          <w:tcPr>
            <w:tcW w:w="765" w:type="dxa"/>
            <w:gridSpan w:val="2"/>
            <w:noWrap/>
            <w:vAlign w:val="center"/>
          </w:tcPr>
          <w:p w14:paraId="02FB45A8">
            <w:pPr>
              <w:pStyle w:val="16"/>
              <w:spacing w:line="360" w:lineRule="exact"/>
              <w:jc w:val="center"/>
              <w:rPr>
                <w:rFonts w:hAnsi="宋体"/>
                <w:bCs/>
                <w:color w:val="auto"/>
                <w:sz w:val="21"/>
                <w:highlight w:val="none"/>
              </w:rPr>
            </w:pPr>
            <w:r>
              <w:rPr>
                <w:rFonts w:hint="eastAsia" w:hAnsi="宋体"/>
                <w:bCs/>
                <w:color w:val="auto"/>
                <w:sz w:val="21"/>
                <w:highlight w:val="none"/>
              </w:rPr>
              <w:t>3分</w:t>
            </w:r>
          </w:p>
        </w:tc>
      </w:tr>
      <w:tr w14:paraId="59E6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8" w:type="dxa"/>
        </w:trPr>
        <w:tc>
          <w:tcPr>
            <w:tcW w:w="613" w:type="dxa"/>
            <w:gridSpan w:val="2"/>
            <w:noWrap/>
            <w:vAlign w:val="center"/>
          </w:tcPr>
          <w:p w14:paraId="4EBFDCEB">
            <w:pPr>
              <w:pStyle w:val="16"/>
              <w:spacing w:line="360" w:lineRule="exact"/>
              <w:jc w:val="center"/>
              <w:rPr>
                <w:rFonts w:hAnsi="宋体"/>
                <w:bCs/>
                <w:color w:val="auto"/>
                <w:sz w:val="21"/>
                <w:highlight w:val="none"/>
              </w:rPr>
            </w:pPr>
            <w:r>
              <w:rPr>
                <w:rFonts w:hint="eastAsia" w:hAnsi="宋体"/>
                <w:bCs/>
                <w:color w:val="auto"/>
                <w:sz w:val="21"/>
                <w:highlight w:val="none"/>
              </w:rPr>
              <w:t>3.2</w:t>
            </w:r>
          </w:p>
        </w:tc>
        <w:tc>
          <w:tcPr>
            <w:tcW w:w="978" w:type="dxa"/>
            <w:gridSpan w:val="2"/>
            <w:noWrap/>
            <w:vAlign w:val="center"/>
          </w:tcPr>
          <w:p w14:paraId="09F608D7">
            <w:pPr>
              <w:pStyle w:val="16"/>
              <w:spacing w:line="360" w:lineRule="exact"/>
              <w:jc w:val="center"/>
              <w:rPr>
                <w:rFonts w:hAnsi="宋体"/>
                <w:bCs/>
                <w:color w:val="auto"/>
                <w:sz w:val="21"/>
                <w:highlight w:val="none"/>
              </w:rPr>
            </w:pPr>
            <w:r>
              <w:rPr>
                <w:rFonts w:hint="eastAsia" w:hAnsi="宋体"/>
                <w:bCs/>
                <w:color w:val="auto"/>
                <w:sz w:val="21"/>
                <w:highlight w:val="none"/>
              </w:rPr>
              <w:t>业绩分（满分9分）</w:t>
            </w:r>
          </w:p>
        </w:tc>
        <w:tc>
          <w:tcPr>
            <w:tcW w:w="7169" w:type="dxa"/>
            <w:noWrap/>
          </w:tcPr>
          <w:p w14:paraId="59EC36CD">
            <w:pPr>
              <w:pStyle w:val="16"/>
              <w:spacing w:line="360" w:lineRule="exact"/>
              <w:rPr>
                <w:rFonts w:hAnsi="宋体"/>
                <w:bCs/>
                <w:color w:val="auto"/>
                <w:sz w:val="21"/>
                <w:highlight w:val="none"/>
              </w:rPr>
            </w:pPr>
            <w:r>
              <w:rPr>
                <w:rFonts w:hint="eastAsia" w:hAnsi="宋体"/>
                <w:bCs/>
                <w:color w:val="auto"/>
                <w:sz w:val="21"/>
                <w:highlight w:val="none"/>
              </w:rPr>
              <w:t>（1）2022年1月1日（以合同签订时间为准）以来供应商具有的同类项目，每个业绩得3分。满分9分【提供中标（成交）通知书或合同复印件，加盖公章】</w:t>
            </w:r>
          </w:p>
        </w:tc>
        <w:tc>
          <w:tcPr>
            <w:tcW w:w="765" w:type="dxa"/>
            <w:gridSpan w:val="2"/>
            <w:noWrap/>
            <w:vAlign w:val="center"/>
          </w:tcPr>
          <w:p w14:paraId="6BAF5100">
            <w:pPr>
              <w:pStyle w:val="16"/>
              <w:spacing w:line="360" w:lineRule="exact"/>
              <w:jc w:val="center"/>
              <w:rPr>
                <w:rFonts w:hAnsi="宋体"/>
                <w:bCs/>
                <w:color w:val="auto"/>
                <w:sz w:val="21"/>
                <w:highlight w:val="none"/>
              </w:rPr>
            </w:pPr>
            <w:r>
              <w:rPr>
                <w:rFonts w:hint="eastAsia" w:hAnsi="宋体"/>
                <w:bCs/>
                <w:color w:val="auto"/>
                <w:sz w:val="21"/>
                <w:highlight w:val="none"/>
              </w:rPr>
              <w:t>9分</w:t>
            </w:r>
          </w:p>
        </w:tc>
      </w:tr>
      <w:tr w14:paraId="4B83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8" w:type="dxa"/>
        </w:trPr>
        <w:tc>
          <w:tcPr>
            <w:tcW w:w="9521" w:type="dxa"/>
            <w:gridSpan w:val="7"/>
            <w:noWrap/>
            <w:vAlign w:val="center"/>
          </w:tcPr>
          <w:p w14:paraId="57C7F3ED">
            <w:pPr>
              <w:spacing w:line="360" w:lineRule="auto"/>
              <w:jc w:val="left"/>
              <w:rPr>
                <w:rFonts w:ascii="宋体" w:hAnsi="宋体" w:cs="宋体"/>
                <w:bCs/>
                <w:color w:val="auto"/>
                <w:szCs w:val="21"/>
                <w:highlight w:val="none"/>
              </w:rPr>
            </w:pPr>
            <w:r>
              <w:rPr>
                <w:rFonts w:hint="eastAsia" w:ascii="宋体" w:hAnsi="宋体" w:cs="宋体"/>
                <w:b/>
                <w:bCs/>
                <w:color w:val="auto"/>
                <w:szCs w:val="21"/>
                <w:highlight w:val="none"/>
              </w:rPr>
              <w:t>总得分=1+2+3+4+5。</w:t>
            </w:r>
          </w:p>
        </w:tc>
      </w:tr>
    </w:tbl>
    <w:p w14:paraId="55DBC1A7">
      <w:pPr>
        <w:spacing w:line="360" w:lineRule="auto"/>
        <w:ind w:firstLine="422" w:firstLineChars="200"/>
        <w:rPr>
          <w:rFonts w:ascii="宋体" w:hAnsi="宋体" w:cs="宋体"/>
          <w:b/>
          <w:bCs/>
          <w:color w:val="auto"/>
          <w:highlight w:val="none"/>
        </w:rPr>
      </w:pPr>
    </w:p>
    <w:p w14:paraId="6897C653">
      <w:pPr>
        <w:spacing w:line="360" w:lineRule="auto"/>
        <w:ind w:firstLine="420" w:firstLineChars="200"/>
        <w:outlineLvl w:val="3"/>
        <w:rPr>
          <w:rFonts w:ascii="宋体" w:hAnsi="宋体" w:cs="宋体"/>
          <w:color w:val="auto"/>
          <w:highlight w:val="none"/>
        </w:rPr>
      </w:pPr>
      <w:r>
        <w:rPr>
          <w:rFonts w:hint="eastAsia" w:ascii="宋体" w:hAnsi="宋体" w:cs="宋体"/>
          <w:color w:val="auto"/>
          <w:highlight w:val="none"/>
        </w:rPr>
        <w:t>7.2终止竞争性磋商采购活动</w:t>
      </w:r>
    </w:p>
    <w:p w14:paraId="6F8BE33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4857122">
      <w:pPr>
        <w:spacing w:line="360" w:lineRule="auto"/>
        <w:rPr>
          <w:rFonts w:ascii="宋体" w:hAnsi="宋体" w:cs="宋体"/>
          <w:b/>
          <w:color w:val="auto"/>
          <w:highlight w:val="none"/>
        </w:rPr>
      </w:pPr>
    </w:p>
    <w:p w14:paraId="18E8A10C">
      <w:pPr>
        <w:pStyle w:val="3"/>
        <w:spacing w:before="0" w:after="0" w:line="360" w:lineRule="auto"/>
        <w:ind w:firstLine="640" w:firstLineChars="200"/>
        <w:jc w:val="center"/>
        <w:rPr>
          <w:rFonts w:ascii="宋体" w:hAnsi="宋体" w:cs="宋体"/>
          <w:b w:val="0"/>
          <w:color w:val="auto"/>
          <w:highlight w:val="none"/>
        </w:rPr>
      </w:pPr>
      <w:bookmarkStart w:id="139" w:name="_Toc80886939"/>
      <w:r>
        <w:rPr>
          <w:rFonts w:hint="eastAsia" w:ascii="宋体" w:hAnsi="宋体" w:cs="宋体"/>
          <w:b w:val="0"/>
          <w:color w:val="auto"/>
          <w:highlight w:val="none"/>
        </w:rPr>
        <w:br w:type="page"/>
      </w:r>
      <w:bookmarkStart w:id="140" w:name="_Toc11595"/>
      <w:bookmarkStart w:id="141" w:name="_Toc22545"/>
      <w:bookmarkStart w:id="142" w:name="_Toc31942"/>
      <w:r>
        <w:rPr>
          <w:rFonts w:hint="eastAsia" w:ascii="宋体" w:hAnsi="宋体" w:cs="宋体"/>
          <w:b w:val="0"/>
          <w:color w:val="auto"/>
          <w:highlight w:val="none"/>
        </w:rPr>
        <w:t>第二节 评审报告</w:t>
      </w:r>
      <w:bookmarkEnd w:id="138"/>
      <w:bookmarkEnd w:id="139"/>
      <w:bookmarkEnd w:id="140"/>
      <w:bookmarkEnd w:id="141"/>
      <w:bookmarkEnd w:id="142"/>
    </w:p>
    <w:p w14:paraId="1845A576">
      <w:pPr>
        <w:spacing w:line="360" w:lineRule="auto"/>
        <w:ind w:firstLine="480" w:firstLineChars="200"/>
        <w:outlineLvl w:val="2"/>
        <w:rPr>
          <w:rFonts w:ascii="宋体" w:hAnsi="宋体" w:cs="宋体"/>
          <w:color w:val="auto"/>
          <w:sz w:val="24"/>
          <w:szCs w:val="32"/>
          <w:highlight w:val="none"/>
        </w:rPr>
      </w:pPr>
      <w:bookmarkStart w:id="143" w:name="_Toc20273"/>
      <w:r>
        <w:rPr>
          <w:rFonts w:hint="eastAsia" w:ascii="宋体" w:hAnsi="宋体" w:cs="宋体"/>
          <w:color w:val="auto"/>
          <w:sz w:val="24"/>
          <w:szCs w:val="32"/>
          <w:highlight w:val="none"/>
        </w:rPr>
        <w:t>1.成交标准</w:t>
      </w:r>
      <w:bookmarkEnd w:id="143"/>
    </w:p>
    <w:p w14:paraId="73507E46">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449FCA1F">
      <w:pPr>
        <w:spacing w:line="360" w:lineRule="auto"/>
        <w:ind w:firstLine="480" w:firstLineChars="200"/>
        <w:outlineLvl w:val="2"/>
        <w:rPr>
          <w:rFonts w:ascii="宋体" w:hAnsi="宋体" w:cs="宋体"/>
          <w:color w:val="auto"/>
          <w:sz w:val="24"/>
          <w:szCs w:val="32"/>
          <w:highlight w:val="none"/>
        </w:rPr>
      </w:pPr>
      <w:bookmarkStart w:id="144" w:name="_Toc16103"/>
      <w:r>
        <w:rPr>
          <w:rFonts w:hint="eastAsia" w:ascii="宋体" w:hAnsi="宋体" w:cs="宋体"/>
          <w:color w:val="auto"/>
          <w:sz w:val="24"/>
          <w:szCs w:val="32"/>
          <w:highlight w:val="none"/>
        </w:rPr>
        <w:t>2.评标争议事项处理</w:t>
      </w:r>
      <w:bookmarkEnd w:id="144"/>
    </w:p>
    <w:p w14:paraId="25E1A991">
      <w:pPr>
        <w:pStyle w:val="30"/>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14:paraId="19F28789">
      <w:pPr>
        <w:pStyle w:val="30"/>
        <w:spacing w:before="0"/>
        <w:ind w:firstLine="420"/>
        <w:rPr>
          <w:rFonts w:ascii="宋体" w:hAnsi="宋体" w:cs="宋体"/>
          <w:color w:val="auto"/>
          <w:kern w:val="2"/>
          <w:sz w:val="21"/>
          <w:szCs w:val="24"/>
          <w:highlight w:val="none"/>
        </w:rPr>
      </w:pPr>
    </w:p>
    <w:p w14:paraId="65CD2A52">
      <w:pPr>
        <w:pStyle w:val="3"/>
        <w:spacing w:before="0" w:after="0" w:line="360" w:lineRule="auto"/>
        <w:ind w:firstLine="640" w:firstLineChars="200"/>
        <w:jc w:val="center"/>
        <w:rPr>
          <w:rFonts w:ascii="宋体" w:hAnsi="宋体" w:cs="宋体"/>
          <w:b w:val="0"/>
          <w:color w:val="auto"/>
          <w:highlight w:val="none"/>
        </w:rPr>
      </w:pPr>
      <w:bookmarkStart w:id="145" w:name="_Toc11536"/>
      <w:bookmarkStart w:id="146" w:name="_Toc20045"/>
      <w:bookmarkStart w:id="147" w:name="_Toc80205936"/>
      <w:bookmarkStart w:id="148" w:name="_Toc80886940"/>
      <w:bookmarkStart w:id="149" w:name="_Toc2025"/>
      <w:r>
        <w:rPr>
          <w:rFonts w:hint="eastAsia" w:ascii="宋体" w:hAnsi="宋体" w:cs="宋体"/>
          <w:b w:val="0"/>
          <w:color w:val="auto"/>
          <w:highlight w:val="none"/>
        </w:rPr>
        <w:t>第三节 评审过程的保密与录像</w:t>
      </w:r>
      <w:bookmarkEnd w:id="145"/>
      <w:bookmarkEnd w:id="146"/>
      <w:bookmarkEnd w:id="147"/>
      <w:bookmarkEnd w:id="148"/>
      <w:bookmarkEnd w:id="149"/>
    </w:p>
    <w:p w14:paraId="2516D36C">
      <w:pPr>
        <w:spacing w:line="360" w:lineRule="auto"/>
        <w:ind w:firstLine="480" w:firstLineChars="200"/>
        <w:outlineLvl w:val="2"/>
        <w:rPr>
          <w:rFonts w:ascii="宋体" w:hAnsi="宋体" w:cs="宋体"/>
          <w:color w:val="auto"/>
          <w:sz w:val="24"/>
          <w:szCs w:val="32"/>
          <w:highlight w:val="none"/>
        </w:rPr>
      </w:pPr>
      <w:bookmarkStart w:id="150" w:name="_Toc5155"/>
      <w:r>
        <w:rPr>
          <w:rFonts w:hint="eastAsia" w:ascii="宋体" w:hAnsi="宋体" w:cs="宋体"/>
          <w:color w:val="auto"/>
          <w:sz w:val="24"/>
          <w:szCs w:val="32"/>
          <w:highlight w:val="none"/>
        </w:rPr>
        <w:t>1.保密。</w:t>
      </w:r>
      <w:bookmarkEnd w:id="150"/>
    </w:p>
    <w:p w14:paraId="51A6F841">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响应文件评审和比较、中标成交供应商推荐等评审有关的情况，以及涉及国家秘密和商业秘密等信息，磋商小组成员、采购人和采购代理机构工作人员、相关监督人员等与评审有关的人员应当予以保密。</w:t>
      </w:r>
    </w:p>
    <w:p w14:paraId="59CA3541">
      <w:pPr>
        <w:widowControl/>
        <w:spacing w:line="360" w:lineRule="auto"/>
        <w:ind w:firstLine="480" w:firstLineChars="200"/>
        <w:outlineLvl w:val="2"/>
        <w:rPr>
          <w:rFonts w:ascii="宋体" w:hAnsi="宋体" w:cs="宋体"/>
          <w:color w:val="auto"/>
          <w:sz w:val="24"/>
          <w:szCs w:val="32"/>
          <w:highlight w:val="none"/>
        </w:rPr>
      </w:pPr>
      <w:bookmarkStart w:id="151" w:name="_Toc19955"/>
      <w:r>
        <w:rPr>
          <w:rFonts w:hint="eastAsia" w:ascii="宋体" w:hAnsi="宋体" w:cs="宋体"/>
          <w:color w:val="auto"/>
          <w:sz w:val="24"/>
          <w:szCs w:val="32"/>
          <w:highlight w:val="none"/>
        </w:rPr>
        <w:t>2.录音录像。</w:t>
      </w:r>
      <w:bookmarkEnd w:id="151"/>
    </w:p>
    <w:p w14:paraId="74BC3F3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06569FD0">
      <w:pPr>
        <w:spacing w:line="360" w:lineRule="auto"/>
        <w:ind w:firstLine="420" w:firstLineChars="200"/>
        <w:rPr>
          <w:rFonts w:ascii="宋体" w:hAnsi="宋体" w:cs="宋体"/>
          <w:color w:val="auto"/>
          <w:highlight w:val="none"/>
        </w:rPr>
      </w:pPr>
    </w:p>
    <w:p w14:paraId="40377504">
      <w:pPr>
        <w:spacing w:line="360" w:lineRule="auto"/>
        <w:ind w:firstLine="420" w:firstLineChars="200"/>
        <w:rPr>
          <w:rFonts w:ascii="宋体" w:hAnsi="宋体" w:cs="宋体"/>
          <w:color w:val="auto"/>
          <w:highlight w:val="none"/>
        </w:rPr>
      </w:pPr>
    </w:p>
    <w:p w14:paraId="01D580ED">
      <w:pPr>
        <w:pStyle w:val="3"/>
        <w:spacing w:line="360" w:lineRule="auto"/>
        <w:rPr>
          <w:rFonts w:ascii="宋体" w:hAnsi="宋体" w:cs="宋体"/>
          <w:color w:val="auto"/>
          <w:highlight w:val="none"/>
        </w:rPr>
      </w:pPr>
    </w:p>
    <w:p w14:paraId="4D4DC203">
      <w:pPr>
        <w:pStyle w:val="3"/>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3B974B2B">
      <w:pPr>
        <w:pStyle w:val="3"/>
        <w:spacing w:line="360" w:lineRule="auto"/>
        <w:jc w:val="center"/>
        <w:rPr>
          <w:rFonts w:ascii="宋体" w:hAnsi="宋体" w:cs="宋体"/>
          <w:color w:val="auto"/>
          <w:highlight w:val="none"/>
        </w:rPr>
      </w:pPr>
    </w:p>
    <w:p w14:paraId="374306F2">
      <w:pPr>
        <w:pStyle w:val="3"/>
        <w:spacing w:line="360" w:lineRule="auto"/>
        <w:jc w:val="center"/>
        <w:rPr>
          <w:rFonts w:ascii="宋体" w:hAnsi="宋体" w:cs="宋体"/>
          <w:color w:val="auto"/>
          <w:highlight w:val="none"/>
        </w:rPr>
      </w:pPr>
    </w:p>
    <w:p w14:paraId="12524ACC">
      <w:pPr>
        <w:pStyle w:val="3"/>
        <w:spacing w:line="360" w:lineRule="auto"/>
        <w:jc w:val="center"/>
        <w:rPr>
          <w:rFonts w:ascii="宋体" w:hAnsi="宋体" w:cs="宋体"/>
          <w:color w:val="auto"/>
          <w:highlight w:val="none"/>
        </w:rPr>
      </w:pPr>
    </w:p>
    <w:p w14:paraId="416B9739">
      <w:pPr>
        <w:pStyle w:val="3"/>
        <w:spacing w:line="360" w:lineRule="auto"/>
        <w:jc w:val="center"/>
        <w:rPr>
          <w:rFonts w:ascii="宋体" w:hAnsi="宋体" w:cs="宋体"/>
          <w:color w:val="auto"/>
          <w:highlight w:val="none"/>
        </w:rPr>
      </w:pPr>
    </w:p>
    <w:p w14:paraId="17CB9DF8">
      <w:pPr>
        <w:pStyle w:val="3"/>
        <w:spacing w:line="360" w:lineRule="auto"/>
        <w:jc w:val="center"/>
        <w:rPr>
          <w:rFonts w:ascii="宋体" w:hAnsi="宋体" w:cs="宋体"/>
          <w:color w:val="auto"/>
          <w:highlight w:val="none"/>
        </w:rPr>
      </w:pPr>
    </w:p>
    <w:p w14:paraId="7118EEB6">
      <w:pPr>
        <w:pStyle w:val="2"/>
        <w:spacing w:line="360" w:lineRule="auto"/>
        <w:jc w:val="center"/>
        <w:rPr>
          <w:rFonts w:ascii="宋体" w:hAnsi="宋体" w:cs="宋体"/>
          <w:color w:val="auto"/>
          <w:highlight w:val="none"/>
        </w:rPr>
        <w:sectPr>
          <w:footerReference r:id="rId5" w:type="first"/>
          <w:footerReference r:id="rId4" w:type="default"/>
          <w:pgSz w:w="11911" w:h="16838"/>
          <w:pgMar w:top="1134" w:right="1134" w:bottom="1134" w:left="1134" w:header="720" w:footer="720" w:gutter="0"/>
          <w:pgNumType w:start="1"/>
          <w:cols w:space="720" w:num="1"/>
        </w:sectPr>
      </w:pPr>
      <w:bookmarkStart w:id="152" w:name="_Toc26272"/>
      <w:bookmarkStart w:id="153" w:name="_Toc2137"/>
      <w:bookmarkStart w:id="154" w:name="_Toc27282"/>
      <w:bookmarkStart w:id="155" w:name="_Toc17404"/>
      <w:bookmarkStart w:id="156" w:name="_Toc12890"/>
      <w:bookmarkStart w:id="157" w:name="_Toc22302"/>
      <w:bookmarkStart w:id="158" w:name="_Toc7776"/>
      <w:bookmarkStart w:id="159" w:name="_Toc80886941"/>
      <w:bookmarkStart w:id="160" w:name="_Toc5005"/>
      <w:r>
        <w:rPr>
          <w:rFonts w:hint="eastAsia" w:ascii="宋体" w:hAnsi="宋体" w:cs="宋体"/>
          <w:color w:val="auto"/>
          <w:highlight w:val="none"/>
        </w:rPr>
        <w:t>第五章 响应文件格式</w:t>
      </w:r>
      <w:bookmarkEnd w:id="152"/>
      <w:bookmarkEnd w:id="153"/>
      <w:bookmarkEnd w:id="154"/>
      <w:bookmarkEnd w:id="155"/>
      <w:bookmarkEnd w:id="156"/>
      <w:bookmarkEnd w:id="157"/>
      <w:bookmarkEnd w:id="158"/>
      <w:bookmarkEnd w:id="159"/>
      <w:bookmarkEnd w:id="160"/>
    </w:p>
    <w:p w14:paraId="37E24A6B">
      <w:pPr>
        <w:pStyle w:val="3"/>
        <w:spacing w:line="360" w:lineRule="auto"/>
        <w:jc w:val="center"/>
        <w:rPr>
          <w:rFonts w:ascii="宋体" w:hAnsi="宋体" w:cs="宋体"/>
          <w:bCs w:val="0"/>
          <w:color w:val="auto"/>
          <w:highlight w:val="none"/>
        </w:rPr>
      </w:pPr>
      <w:bookmarkStart w:id="161" w:name="_Toc22245"/>
      <w:bookmarkStart w:id="162" w:name="_Toc17107"/>
      <w:bookmarkStart w:id="163" w:name="_Toc80205939"/>
      <w:bookmarkStart w:id="164" w:name="_Toc80886943"/>
      <w:bookmarkStart w:id="165" w:name="_Toc12994"/>
      <w:r>
        <w:rPr>
          <w:rFonts w:hint="eastAsia" w:ascii="宋体" w:hAnsi="宋体" w:cs="宋体"/>
          <w:bCs w:val="0"/>
          <w:color w:val="auto"/>
          <w:highlight w:val="none"/>
        </w:rPr>
        <w:t>第一节 资格证明文件格式</w:t>
      </w:r>
      <w:bookmarkEnd w:id="161"/>
      <w:bookmarkEnd w:id="162"/>
      <w:bookmarkEnd w:id="163"/>
      <w:bookmarkEnd w:id="164"/>
      <w:bookmarkEnd w:id="165"/>
    </w:p>
    <w:p w14:paraId="090898D6">
      <w:pPr>
        <w:snapToGrid w:val="0"/>
        <w:spacing w:beforeLines="50" w:after="50" w:line="360" w:lineRule="auto"/>
        <w:jc w:val="left"/>
        <w:rPr>
          <w:rFonts w:ascii="宋体" w:hAnsi="宋体" w:cs="宋体"/>
          <w:color w:val="auto"/>
          <w:sz w:val="24"/>
          <w:highlight w:val="none"/>
        </w:rPr>
      </w:pPr>
      <w:r>
        <w:rPr>
          <w:rFonts w:hint="eastAsia" w:ascii="宋体" w:hAnsi="宋体" w:cs="宋体"/>
          <w:b/>
          <w:bCs/>
          <w:color w:val="auto"/>
          <w:sz w:val="28"/>
          <w:szCs w:val="28"/>
          <w:highlight w:val="none"/>
        </w:rPr>
        <w:t>1.资格证明文件封面的格式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14:paraId="316240E6">
      <w:pPr>
        <w:snapToGrid w:val="0"/>
        <w:spacing w:beforeLines="50" w:after="50" w:line="360" w:lineRule="auto"/>
        <w:ind w:firstLine="6930" w:firstLineChars="3300"/>
        <w:rPr>
          <w:rFonts w:ascii="宋体" w:hAnsi="宋体" w:cs="宋体"/>
          <w:bCs/>
          <w:color w:val="auto"/>
          <w:sz w:val="32"/>
          <w:szCs w:val="20"/>
          <w:highlight w:val="none"/>
        </w:rPr>
      </w:pPr>
      <w:r>
        <w:rPr>
          <w:rFonts w:hint="eastAsia" w:ascii="宋体" w:hAnsi="宋体" w:cs="宋体"/>
          <w:bCs/>
          <w:color w:val="auto"/>
          <w:highlight w:val="none"/>
        </w:rPr>
        <w:t>全流程电子文件</w:t>
      </w:r>
    </w:p>
    <w:p w14:paraId="43E77D2A">
      <w:pPr>
        <w:snapToGrid w:val="0"/>
        <w:spacing w:beforeLines="50" w:after="50" w:line="360" w:lineRule="auto"/>
        <w:rPr>
          <w:rFonts w:ascii="宋体" w:hAnsi="宋体" w:cs="宋体"/>
          <w:color w:val="auto"/>
          <w:sz w:val="24"/>
          <w:szCs w:val="20"/>
          <w:highlight w:val="none"/>
        </w:rPr>
      </w:pPr>
    </w:p>
    <w:p w14:paraId="513D3DDA">
      <w:pPr>
        <w:snapToGrid w:val="0"/>
        <w:spacing w:beforeLines="50" w:after="50" w:line="360" w:lineRule="auto"/>
        <w:rPr>
          <w:rFonts w:ascii="宋体" w:hAnsi="宋体" w:cs="宋体"/>
          <w:color w:val="auto"/>
          <w:sz w:val="24"/>
          <w:szCs w:val="20"/>
          <w:highlight w:val="none"/>
        </w:rPr>
      </w:pPr>
    </w:p>
    <w:p w14:paraId="37F7C154">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4A6B7247">
      <w:pPr>
        <w:snapToGrid w:val="0"/>
        <w:spacing w:beforeLines="50" w:after="50" w:line="360" w:lineRule="auto"/>
        <w:rPr>
          <w:rFonts w:ascii="宋体" w:hAnsi="宋体" w:cs="宋体"/>
          <w:bCs/>
          <w:color w:val="auto"/>
          <w:sz w:val="24"/>
          <w:szCs w:val="20"/>
          <w:highlight w:val="none"/>
        </w:rPr>
      </w:pPr>
    </w:p>
    <w:p w14:paraId="132FADD6">
      <w:pPr>
        <w:snapToGrid w:val="0"/>
        <w:spacing w:beforeLines="50" w:after="50" w:line="360" w:lineRule="auto"/>
        <w:rPr>
          <w:rFonts w:ascii="宋体" w:hAnsi="宋体" w:cs="宋体"/>
          <w:bCs/>
          <w:color w:val="auto"/>
          <w:sz w:val="24"/>
          <w:szCs w:val="20"/>
          <w:highlight w:val="none"/>
        </w:rPr>
      </w:pPr>
    </w:p>
    <w:p w14:paraId="254A4020">
      <w:pPr>
        <w:snapToGrid w:val="0"/>
        <w:spacing w:beforeLines="50" w:after="50" w:line="360" w:lineRule="auto"/>
        <w:rPr>
          <w:rFonts w:ascii="宋体" w:hAnsi="宋体" w:cs="宋体"/>
          <w:bCs/>
          <w:color w:val="auto"/>
          <w:sz w:val="24"/>
          <w:szCs w:val="20"/>
          <w:highlight w:val="none"/>
        </w:rPr>
      </w:pPr>
    </w:p>
    <w:p w14:paraId="649870FF">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12D746DA">
      <w:pPr>
        <w:snapToGrid w:val="0"/>
        <w:spacing w:beforeLines="50" w:after="50" w:line="360" w:lineRule="auto"/>
        <w:ind w:firstLine="720" w:firstLineChars="225"/>
        <w:rPr>
          <w:rFonts w:ascii="宋体" w:hAnsi="宋体" w:cs="宋体"/>
          <w:bCs/>
          <w:color w:val="auto"/>
          <w:sz w:val="32"/>
          <w:szCs w:val="32"/>
          <w:highlight w:val="none"/>
        </w:rPr>
      </w:pPr>
    </w:p>
    <w:p w14:paraId="028099C6">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4E360125">
      <w:pPr>
        <w:snapToGrid w:val="0"/>
        <w:spacing w:beforeLines="50" w:after="50" w:line="360" w:lineRule="auto"/>
        <w:ind w:firstLine="720" w:firstLineChars="225"/>
        <w:rPr>
          <w:rFonts w:ascii="宋体" w:hAnsi="宋体" w:cs="宋体"/>
          <w:bCs/>
          <w:color w:val="auto"/>
          <w:sz w:val="32"/>
          <w:szCs w:val="32"/>
          <w:highlight w:val="none"/>
        </w:rPr>
      </w:pPr>
    </w:p>
    <w:p w14:paraId="72641A53">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47C2EA88">
      <w:pPr>
        <w:snapToGrid w:val="0"/>
        <w:spacing w:beforeLines="50" w:after="50" w:line="360" w:lineRule="auto"/>
        <w:ind w:firstLine="720" w:firstLineChars="225"/>
        <w:rPr>
          <w:rFonts w:ascii="宋体" w:hAnsi="宋体" w:cs="宋体"/>
          <w:bCs/>
          <w:color w:val="auto"/>
          <w:sz w:val="32"/>
          <w:szCs w:val="32"/>
          <w:highlight w:val="none"/>
        </w:rPr>
      </w:pPr>
    </w:p>
    <w:p w14:paraId="4A975C32">
      <w:pPr>
        <w:pStyle w:val="8"/>
        <w:snapToGrid w:val="0"/>
        <w:spacing w:before="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ACBDCED">
      <w:pPr>
        <w:pStyle w:val="8"/>
        <w:snapToGrid w:val="0"/>
        <w:spacing w:before="50" w:after="50" w:line="360" w:lineRule="auto"/>
        <w:ind w:firstLine="720" w:firstLineChars="225"/>
        <w:rPr>
          <w:rFonts w:ascii="宋体" w:hAnsi="宋体" w:cs="宋体"/>
          <w:bCs/>
          <w:color w:val="auto"/>
          <w:sz w:val="32"/>
          <w:szCs w:val="32"/>
          <w:highlight w:val="none"/>
        </w:rPr>
      </w:pPr>
    </w:p>
    <w:p w14:paraId="6C084F7C">
      <w:pPr>
        <w:pStyle w:val="8"/>
        <w:snapToGrid w:val="0"/>
        <w:spacing w:before="50" w:after="50" w:line="360" w:lineRule="auto"/>
        <w:ind w:firstLine="720" w:firstLineChars="225"/>
        <w:rPr>
          <w:rFonts w:ascii="宋体" w:hAnsi="宋体" w:cs="宋体"/>
          <w:bCs/>
          <w:color w:val="auto"/>
          <w:sz w:val="32"/>
          <w:szCs w:val="32"/>
          <w:highlight w:val="none"/>
        </w:rPr>
      </w:pPr>
    </w:p>
    <w:p w14:paraId="76AA5B7C">
      <w:pPr>
        <w:pStyle w:val="8"/>
        <w:snapToGrid w:val="0"/>
        <w:spacing w:before="50" w:after="50" w:line="360" w:lineRule="auto"/>
        <w:ind w:firstLine="720" w:firstLineChars="225"/>
        <w:rPr>
          <w:rFonts w:ascii="宋体" w:hAnsi="宋体" w:cs="宋体"/>
          <w:bCs/>
          <w:color w:val="auto"/>
          <w:sz w:val="32"/>
          <w:szCs w:val="32"/>
          <w:highlight w:val="none"/>
        </w:rPr>
      </w:pPr>
    </w:p>
    <w:p w14:paraId="647BED3E">
      <w:pPr>
        <w:pStyle w:val="8"/>
        <w:snapToGrid w:val="0"/>
        <w:spacing w:before="50" w:after="50" w:line="360" w:lineRule="auto"/>
        <w:ind w:firstLine="1280" w:firstLineChars="400"/>
        <w:rPr>
          <w:rFonts w:ascii="宋体" w:hAnsi="宋体" w:cs="宋体"/>
          <w:bCs/>
          <w:color w:val="auto"/>
          <w:sz w:val="32"/>
          <w:szCs w:val="32"/>
          <w:highlight w:val="none"/>
        </w:rPr>
      </w:pPr>
    </w:p>
    <w:p w14:paraId="0DEADDC1">
      <w:pPr>
        <w:snapToGrid w:val="0"/>
        <w:spacing w:beforeLines="50" w:after="5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038E1D37">
      <w:pPr>
        <w:snapToGrid w:val="0"/>
        <w:spacing w:beforeLines="50" w:after="50" w:line="360" w:lineRule="auto"/>
        <w:jc w:val="left"/>
        <w:outlineLvl w:val="2"/>
        <w:rPr>
          <w:rFonts w:ascii="宋体" w:hAnsi="宋体" w:cs="宋体"/>
          <w:b/>
          <w:bCs/>
          <w:color w:val="auto"/>
          <w:sz w:val="28"/>
          <w:szCs w:val="28"/>
          <w:highlight w:val="none"/>
        </w:rPr>
      </w:pPr>
      <w:r>
        <w:rPr>
          <w:rFonts w:hint="eastAsia" w:ascii="宋体" w:hAnsi="宋体" w:cs="宋体"/>
          <w:color w:val="auto"/>
          <w:sz w:val="24"/>
          <w:highlight w:val="none"/>
        </w:rPr>
        <w:br w:type="page"/>
      </w:r>
      <w:bookmarkStart w:id="166" w:name="_Toc13010"/>
      <w:r>
        <w:rPr>
          <w:rFonts w:hint="eastAsia" w:ascii="宋体" w:hAnsi="宋体" w:cs="宋体"/>
          <w:b/>
          <w:bCs/>
          <w:color w:val="auto"/>
          <w:sz w:val="28"/>
          <w:szCs w:val="28"/>
          <w:highlight w:val="none"/>
        </w:rPr>
        <w:t>2.资格证明文件目录</w:t>
      </w:r>
      <w:bookmarkEnd w:id="166"/>
    </w:p>
    <w:p w14:paraId="104F882C">
      <w:pPr>
        <w:spacing w:line="360" w:lineRule="auto"/>
        <w:rPr>
          <w:rFonts w:ascii="宋体" w:hAnsi="宋体" w:cs="宋体"/>
          <w:b/>
          <w:bCs/>
          <w:color w:val="auto"/>
          <w:sz w:val="28"/>
          <w:szCs w:val="28"/>
          <w:highlight w:val="none"/>
        </w:rPr>
      </w:pPr>
      <w:r>
        <w:rPr>
          <w:rFonts w:hint="eastAsia" w:ascii="宋体" w:hAnsi="宋体" w:cs="宋体"/>
          <w:color w:val="auto"/>
          <w:sz w:val="28"/>
          <w:szCs w:val="28"/>
          <w:highlight w:val="none"/>
        </w:rPr>
        <w:t>根据竞争性磋商文件规定及供应商提供的材料自行编写目录（部分格式后附）。</w:t>
      </w:r>
    </w:p>
    <w:p w14:paraId="490421C9">
      <w:pPr>
        <w:autoSpaceDE w:val="0"/>
        <w:autoSpaceDN w:val="0"/>
        <w:adjustRightInd w:val="0"/>
        <w:spacing w:line="360" w:lineRule="auto"/>
        <w:jc w:val="left"/>
        <w:outlineLvl w:val="2"/>
        <w:rPr>
          <w:rFonts w:ascii="宋体" w:hAnsi="宋体" w:cs="宋体"/>
          <w:color w:val="auto"/>
          <w:szCs w:val="21"/>
          <w:highlight w:val="none"/>
        </w:rPr>
      </w:pPr>
      <w:r>
        <w:rPr>
          <w:rFonts w:hint="eastAsia" w:ascii="宋体" w:hAnsi="宋体" w:cs="宋体"/>
          <w:color w:val="auto"/>
          <w:szCs w:val="21"/>
          <w:highlight w:val="none"/>
        </w:rPr>
        <w:br w:type="page"/>
      </w:r>
      <w:bookmarkStart w:id="167" w:name="_Toc12099"/>
      <w:r>
        <w:rPr>
          <w:rFonts w:hint="eastAsia" w:ascii="宋体" w:hAnsi="宋体" w:cs="宋体"/>
          <w:b/>
          <w:bCs/>
          <w:color w:val="auto"/>
          <w:kern w:val="0"/>
          <w:sz w:val="28"/>
          <w:szCs w:val="28"/>
          <w:highlight w:val="none"/>
        </w:rPr>
        <w:t>2.政府采购供应商资格信用承诺函（格式）：</w:t>
      </w:r>
      <w:bookmarkEnd w:id="167"/>
    </w:p>
    <w:p w14:paraId="117DFBB7">
      <w:pPr>
        <w:autoSpaceDE w:val="0"/>
        <w:autoSpaceDN w:val="0"/>
        <w:adjustRightInd w:val="0"/>
        <w:spacing w:line="360" w:lineRule="auto"/>
        <w:jc w:val="center"/>
        <w:rPr>
          <w:rFonts w:ascii="宋体" w:hAnsi="宋体" w:cs="宋体"/>
          <w:b/>
          <w:bCs/>
          <w:color w:val="auto"/>
          <w:sz w:val="44"/>
          <w:szCs w:val="44"/>
          <w:highlight w:val="none"/>
        </w:rPr>
      </w:pPr>
    </w:p>
    <w:p w14:paraId="31B0F5B8">
      <w:pPr>
        <w:spacing w:line="360" w:lineRule="auto"/>
        <w:jc w:val="center"/>
        <w:outlineLvl w:val="3"/>
        <w:rPr>
          <w:rFonts w:ascii="宋体" w:hAnsi="宋体" w:cs="宋体"/>
          <w:b/>
          <w:color w:val="auto"/>
          <w:sz w:val="32"/>
          <w:szCs w:val="32"/>
          <w:highlight w:val="none"/>
        </w:rPr>
      </w:pPr>
      <w:r>
        <w:rPr>
          <w:rFonts w:hint="eastAsia" w:ascii="宋体" w:hAnsi="宋体" w:cs="宋体"/>
          <w:b/>
          <w:color w:val="auto"/>
          <w:sz w:val="32"/>
          <w:szCs w:val="32"/>
          <w:highlight w:val="none"/>
        </w:rPr>
        <w:t>防城港市政府采购供应商资格信用承诺函</w:t>
      </w:r>
    </w:p>
    <w:p w14:paraId="5B52E594">
      <w:pPr>
        <w:pStyle w:val="21"/>
        <w:spacing w:line="360" w:lineRule="auto"/>
        <w:rPr>
          <w:rFonts w:ascii="宋体" w:hAnsi="宋体" w:cs="宋体"/>
          <w:color w:val="auto"/>
          <w:sz w:val="32"/>
          <w:szCs w:val="32"/>
          <w:highlight w:val="none"/>
        </w:rPr>
      </w:pPr>
    </w:p>
    <w:p w14:paraId="1F624771">
      <w:pPr>
        <w:autoSpaceDE w:val="0"/>
        <w:autoSpaceDN w:val="0"/>
        <w:adjustRightInd w:val="0"/>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（采购人名称）、（代理机构名称）</w:t>
      </w:r>
      <w:r>
        <w:rPr>
          <w:rFonts w:hint="eastAsia" w:ascii="宋体" w:hAnsi="宋体" w:cs="宋体"/>
          <w:color w:val="auto"/>
          <w:spacing w:val="6"/>
          <w:sz w:val="24"/>
          <w:highlight w:val="none"/>
        </w:rPr>
        <w:t>：</w:t>
      </w:r>
    </w:p>
    <w:p w14:paraId="12308CE6">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我方自愿参加项目（项目编号：）的政府采购活动，并郑重承诺我方符合《中华人民共和国政府采购法》第二十二条规定的条件：</w:t>
      </w:r>
    </w:p>
    <w:p w14:paraId="411519B2">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（一）具有独立承担民事责任的能力； </w:t>
      </w:r>
    </w:p>
    <w:p w14:paraId="1D6D18AF">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（二）具有良好的商业信誉和健全的财务会计制度； </w:t>
      </w:r>
    </w:p>
    <w:p w14:paraId="2DBE7FEF">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（三）具有履行合同所必需的设备和专业技术能力； </w:t>
      </w:r>
    </w:p>
    <w:p w14:paraId="2A65E583">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（四）有依法缴纳税收和社会保障资金的良好记录； </w:t>
      </w:r>
    </w:p>
    <w:p w14:paraId="23F0B157">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（五）参加政府采购活动前三年内，在经营活动中没有重大违法记录； </w:t>
      </w:r>
    </w:p>
    <w:p w14:paraId="1E43EFBC">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（六）法律、行政法规规定的其他条件。 </w:t>
      </w:r>
    </w:p>
    <w:p w14:paraId="75380E64">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我方保证上述承诺事项的真实性，如有弄虚作假或其他违法违规行为，愿意承担一切法律责任，并承担因此所造成的一切损失。</w:t>
      </w:r>
    </w:p>
    <w:p w14:paraId="0A63BF86">
      <w:pPr>
        <w:autoSpaceDE w:val="0"/>
        <w:autoSpaceDN w:val="0"/>
        <w:adjustRightInd w:val="0"/>
        <w:spacing w:line="360" w:lineRule="auto"/>
        <w:ind w:firstLine="506" w:firstLineChars="200"/>
        <w:rPr>
          <w:rFonts w:ascii="宋体" w:hAnsi="宋体" w:cs="宋体"/>
          <w:color w:val="auto"/>
          <w:spacing w:val="6"/>
          <w:sz w:val="24"/>
          <w:highlight w:val="none"/>
        </w:rPr>
      </w:pPr>
      <w:r>
        <w:rPr>
          <w:rFonts w:hint="eastAsia" w:ascii="宋体" w:hAnsi="宋体" w:cs="宋体"/>
          <w:b/>
          <w:bCs/>
          <w:color w:val="auto"/>
          <w:spacing w:val="6"/>
          <w:sz w:val="24"/>
          <w:highlight w:val="none"/>
        </w:rPr>
        <w:t>特此声明！</w:t>
      </w:r>
    </w:p>
    <w:p w14:paraId="76E1FB1A">
      <w:pPr>
        <w:pStyle w:val="12"/>
        <w:spacing w:line="360" w:lineRule="auto"/>
        <w:ind w:firstLine="504"/>
        <w:rPr>
          <w:rFonts w:ascii="宋体" w:hAnsi="宋体" w:eastAsia="宋体" w:cs="宋体"/>
          <w:color w:val="auto"/>
          <w:spacing w:val="6"/>
          <w:sz w:val="24"/>
          <w:szCs w:val="24"/>
          <w:highlight w:val="none"/>
        </w:rPr>
      </w:pPr>
    </w:p>
    <w:p w14:paraId="080E03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法定代表人（负责人、自然人）或委托代理人</w:t>
      </w:r>
      <w:r>
        <w:rPr>
          <w:rFonts w:hint="eastAsia" w:ascii="宋体" w:hAnsi="宋体" w:cs="宋体"/>
          <w:b/>
          <w:bCs/>
          <w:color w:val="auto"/>
          <w:sz w:val="24"/>
          <w:highlight w:val="none"/>
        </w:rPr>
        <w:t>（签字或电子签章）</w:t>
      </w:r>
      <w:r>
        <w:rPr>
          <w:rFonts w:hint="eastAsia" w:ascii="宋体" w:hAnsi="宋体" w:cs="宋体"/>
          <w:color w:val="auto"/>
          <w:sz w:val="24"/>
          <w:highlight w:val="none"/>
        </w:rPr>
        <w:t>：</w:t>
      </w:r>
    </w:p>
    <w:p w14:paraId="3F3A6A7F">
      <w:pPr>
        <w:snapToGrid w:val="0"/>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b/>
          <w:bCs/>
          <w:color w:val="auto"/>
          <w:sz w:val="24"/>
          <w:highlight w:val="none"/>
        </w:rPr>
        <w:t>（盖公章或CA电子签章）</w:t>
      </w:r>
      <w:r>
        <w:rPr>
          <w:rFonts w:hint="eastAsia" w:ascii="宋体" w:hAnsi="宋体" w:cs="宋体"/>
          <w:color w:val="auto"/>
          <w:sz w:val="24"/>
          <w:highlight w:val="none"/>
        </w:rPr>
        <w:t>：</w:t>
      </w:r>
    </w:p>
    <w:p w14:paraId="5435F300">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414689CC">
      <w:pPr>
        <w:pStyle w:val="16"/>
        <w:spacing w:line="360" w:lineRule="auto"/>
        <w:jc w:val="right"/>
        <w:rPr>
          <w:rFonts w:hAnsi="宋体" w:cs="宋体"/>
          <w:color w:val="auto"/>
          <w:sz w:val="24"/>
          <w:szCs w:val="24"/>
          <w:highlight w:val="none"/>
        </w:rPr>
      </w:pPr>
    </w:p>
    <w:p w14:paraId="725993C8">
      <w:pPr>
        <w:pStyle w:val="16"/>
        <w:spacing w:line="360" w:lineRule="auto"/>
        <w:rPr>
          <w:rFonts w:hAnsi="宋体" w:cs="宋体"/>
          <w:b/>
          <w:color w:val="auto"/>
          <w:sz w:val="30"/>
          <w:szCs w:val="30"/>
          <w:highlight w:val="none"/>
        </w:rPr>
      </w:pPr>
    </w:p>
    <w:p w14:paraId="2C3C7088">
      <w:pPr>
        <w:pStyle w:val="16"/>
        <w:spacing w:line="360" w:lineRule="auto"/>
        <w:ind w:firstLine="602" w:firstLineChars="200"/>
        <w:rPr>
          <w:rFonts w:hAnsi="宋体" w:cs="宋体"/>
          <w:b/>
          <w:color w:val="auto"/>
          <w:sz w:val="30"/>
          <w:szCs w:val="30"/>
          <w:highlight w:val="none"/>
        </w:rPr>
      </w:pPr>
    </w:p>
    <w:p w14:paraId="4F6EA86A">
      <w:pPr>
        <w:spacing w:line="360" w:lineRule="auto"/>
        <w:jc w:val="left"/>
        <w:rPr>
          <w:rFonts w:ascii="宋体" w:hAnsi="宋体" w:cs="宋体"/>
          <w:b/>
          <w:bCs/>
          <w:color w:val="auto"/>
          <w:kern w:val="0"/>
          <w:sz w:val="28"/>
          <w:szCs w:val="28"/>
          <w:highlight w:val="none"/>
        </w:rPr>
      </w:pPr>
      <w:r>
        <w:rPr>
          <w:rFonts w:hint="eastAsia" w:ascii="宋体" w:hAnsi="宋体" w:cs="宋体"/>
          <w:b/>
          <w:color w:val="auto"/>
          <w:sz w:val="30"/>
          <w:szCs w:val="30"/>
          <w:highlight w:val="none"/>
        </w:rPr>
        <w:t>注：此项材料必须</w:t>
      </w:r>
      <w:r>
        <w:rPr>
          <w:rFonts w:hint="eastAsia" w:ascii="宋体" w:hAnsi="宋体" w:cs="宋体"/>
          <w:b/>
          <w:bCs/>
          <w:color w:val="auto"/>
          <w:sz w:val="30"/>
          <w:szCs w:val="30"/>
          <w:highlight w:val="none"/>
        </w:rPr>
        <w:t>以PDF格式上传</w:t>
      </w:r>
    </w:p>
    <w:p w14:paraId="2E58619D">
      <w:pPr>
        <w:spacing w:line="288" w:lineRule="auto"/>
        <w:jc w:val="left"/>
        <w:outlineLvl w:val="2"/>
        <w:rPr>
          <w:rFonts w:ascii="宋体" w:hAnsi="宋体" w:cs="宋体"/>
          <w:b/>
          <w:bCs/>
          <w:color w:val="auto"/>
          <w:sz w:val="28"/>
          <w:szCs w:val="28"/>
          <w:highlight w:val="none"/>
        </w:rPr>
      </w:pPr>
      <w:r>
        <w:rPr>
          <w:rFonts w:hint="eastAsia" w:ascii="宋体" w:hAnsi="宋体" w:cs="宋体"/>
          <w:b/>
          <w:bCs/>
          <w:color w:val="auto"/>
          <w:kern w:val="0"/>
          <w:sz w:val="28"/>
          <w:szCs w:val="28"/>
          <w:highlight w:val="none"/>
        </w:rPr>
        <w:br w:type="page"/>
      </w:r>
      <w:bookmarkStart w:id="168" w:name="_Toc5267"/>
      <w:r>
        <w:rPr>
          <w:rFonts w:hint="eastAsia" w:ascii="宋体" w:hAnsi="宋体" w:cs="宋体"/>
          <w:b/>
          <w:bCs/>
          <w:color w:val="auto"/>
          <w:kern w:val="0"/>
          <w:sz w:val="28"/>
          <w:szCs w:val="28"/>
          <w:highlight w:val="none"/>
        </w:rPr>
        <w:t>3.声明函的格式：</w:t>
      </w:r>
      <w:bookmarkEnd w:id="168"/>
    </w:p>
    <w:p w14:paraId="197C3F25">
      <w:pPr>
        <w:spacing w:line="288" w:lineRule="auto"/>
        <w:jc w:val="center"/>
        <w:rPr>
          <w:rFonts w:ascii="宋体" w:hAnsi="宋体" w:cs="宋体"/>
          <w:b/>
          <w:color w:val="auto"/>
          <w:sz w:val="32"/>
          <w:szCs w:val="32"/>
          <w:highlight w:val="none"/>
        </w:rPr>
      </w:pPr>
    </w:p>
    <w:p w14:paraId="7E37F6B0">
      <w:pPr>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声明函</w:t>
      </w:r>
    </w:p>
    <w:p w14:paraId="293EC93E">
      <w:pPr>
        <w:spacing w:line="288" w:lineRule="auto"/>
        <w:jc w:val="center"/>
        <w:rPr>
          <w:rFonts w:ascii="宋体" w:hAnsi="宋体" w:cs="宋体"/>
          <w:color w:val="auto"/>
          <w:sz w:val="24"/>
          <w:szCs w:val="20"/>
          <w:highlight w:val="none"/>
        </w:rPr>
      </w:pPr>
    </w:p>
    <w:p w14:paraId="6F13834F">
      <w:pPr>
        <w:spacing w:line="288"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01808F48">
      <w:pPr>
        <w:spacing w:line="288" w:lineRule="auto"/>
        <w:ind w:firstLine="480" w:firstLineChars="200"/>
        <w:contextualSpacing/>
        <w:rPr>
          <w:rFonts w:ascii="宋体" w:hAnsi="宋体" w:cs="宋体"/>
          <w:color w:val="auto"/>
          <w:sz w:val="24"/>
          <w:highlight w:val="none"/>
        </w:rPr>
      </w:pPr>
      <w:r>
        <w:rPr>
          <w:rFonts w:hint="eastAsia" w:ascii="宋体" w:hAnsi="宋体" w:cs="宋体"/>
          <w:i/>
          <w:iCs/>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40E8D2FD">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4BB07A26">
      <w:pPr>
        <w:spacing w:line="288" w:lineRule="auto"/>
        <w:ind w:firstLine="480" w:firstLineChars="200"/>
        <w:contextualSpacing/>
        <w:outlineLvl w:val="2"/>
        <w:rPr>
          <w:rFonts w:ascii="宋体" w:hAnsi="宋体" w:cs="宋体"/>
          <w:color w:val="auto"/>
          <w:sz w:val="24"/>
          <w:highlight w:val="none"/>
        </w:rPr>
      </w:pPr>
      <w:bookmarkStart w:id="169" w:name="_Toc21740"/>
      <w:r>
        <w:rPr>
          <w:rFonts w:hint="eastAsia" w:ascii="宋体" w:hAnsi="宋体" w:cs="宋体"/>
          <w:color w:val="auto"/>
          <w:sz w:val="24"/>
          <w:highlight w:val="none"/>
        </w:rPr>
        <w:t>1.我方向贵方提交的所有响应文件、资料都是准确的和真实的。</w:t>
      </w:r>
      <w:bookmarkEnd w:id="169"/>
    </w:p>
    <w:p w14:paraId="08C6639E">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E6E196D">
      <w:pPr>
        <w:spacing w:line="288" w:lineRule="auto"/>
        <w:ind w:firstLine="480" w:firstLineChars="200"/>
        <w:contextualSpacing/>
        <w:outlineLvl w:val="2"/>
        <w:rPr>
          <w:rFonts w:ascii="宋体" w:hAnsi="宋体" w:cs="宋体"/>
          <w:color w:val="auto"/>
          <w:sz w:val="24"/>
          <w:highlight w:val="none"/>
        </w:rPr>
      </w:pPr>
      <w:bookmarkStart w:id="170" w:name="_Toc629"/>
      <w:r>
        <w:rPr>
          <w:rFonts w:hint="eastAsia" w:ascii="宋体" w:hAnsi="宋体" w:cs="宋体"/>
          <w:color w:val="auto"/>
          <w:sz w:val="24"/>
          <w:highlight w:val="none"/>
        </w:rPr>
        <w:t>3.在此，我方宣布同意如下：</w:t>
      </w:r>
      <w:bookmarkEnd w:id="170"/>
    </w:p>
    <w:p w14:paraId="51D68D44">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29CC0D92">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（2）已详细审查磋商文件的全部内容，包括澄清或者更正公告（如有）；</w:t>
      </w:r>
    </w:p>
    <w:p w14:paraId="6FBE4DBC">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4DCE7DE">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70FA6288">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3DFA3072">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DB1887E">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42D4B829">
      <w:pPr>
        <w:pStyle w:val="14"/>
        <w:tabs>
          <w:tab w:val="left" w:pos="939"/>
        </w:tabs>
        <w:spacing w:line="288" w:lineRule="auto"/>
        <w:ind w:left="0" w:leftChars="0" w:firstLine="480" w:firstLineChars="200"/>
        <w:rPr>
          <w:rFonts w:ascii="宋体" w:hAnsi="宋体" w:cs="宋体"/>
          <w:color w:val="auto"/>
          <w:sz w:val="24"/>
          <w:highlight w:val="none"/>
        </w:rPr>
      </w:pPr>
      <w:r>
        <w:rPr>
          <w:rFonts w:hint="eastAsia" w:ascii="宋体" w:hAnsi="宋体" w:cs="宋体"/>
          <w:color w:val="auto"/>
          <w:kern w:val="0"/>
          <w:sz w:val="24"/>
          <w:highlight w:val="none"/>
        </w:rPr>
        <w:t>6.</w:t>
      </w:r>
      <w:r>
        <w:rPr>
          <w:rFonts w:hint="eastAsia" w:ascii="宋体" w:hAnsi="宋体" w:cs="宋体"/>
          <w:color w:val="auto"/>
          <w:sz w:val="24"/>
          <w:highlight w:val="none"/>
        </w:rPr>
        <w:t>以上事项如有虚假或者隐瞒，我方愿意承担一切后果，并不再寻求任何旨在减轻或者免除法律责任的辩解。</w:t>
      </w:r>
    </w:p>
    <w:p w14:paraId="158CCE43">
      <w:pPr>
        <w:pStyle w:val="14"/>
        <w:tabs>
          <w:tab w:val="left" w:pos="939"/>
        </w:tabs>
        <w:spacing w:line="288"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76C0F6B9">
      <w:pPr>
        <w:pStyle w:val="14"/>
        <w:tabs>
          <w:tab w:val="left" w:pos="939"/>
        </w:tabs>
        <w:spacing w:line="288"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注：如为联合体竞标，盖章处须加盖联合体各方公章，否则其响应文件按无效响应处理。</w:t>
      </w:r>
    </w:p>
    <w:p w14:paraId="6C4E433F">
      <w:pPr>
        <w:pStyle w:val="14"/>
        <w:tabs>
          <w:tab w:val="left" w:pos="939"/>
        </w:tabs>
        <w:spacing w:line="288" w:lineRule="auto"/>
        <w:ind w:left="0" w:leftChars="0" w:firstLine="480" w:firstLineChars="200"/>
        <w:rPr>
          <w:rFonts w:ascii="宋体" w:hAnsi="宋体" w:cs="宋体"/>
          <w:color w:val="auto"/>
          <w:sz w:val="24"/>
          <w:highlight w:val="none"/>
        </w:rPr>
      </w:pPr>
    </w:p>
    <w:p w14:paraId="10BE56F0">
      <w:pPr>
        <w:autoSpaceDE w:val="0"/>
        <w:autoSpaceDN w:val="0"/>
        <w:spacing w:line="288" w:lineRule="auto"/>
        <w:ind w:left="4365" w:leftChars="1850" w:hanging="480" w:hangingChars="200"/>
        <w:rPr>
          <w:rFonts w:ascii="宋体" w:hAnsi="宋体" w:cs="宋体"/>
          <w:color w:val="auto"/>
          <w:kern w:val="0"/>
          <w:sz w:val="24"/>
          <w:highlight w:val="none"/>
        </w:rPr>
      </w:pPr>
    </w:p>
    <w:p w14:paraId="52EE2C25">
      <w:pPr>
        <w:autoSpaceDE w:val="0"/>
        <w:autoSpaceDN w:val="0"/>
        <w:spacing w:line="288" w:lineRule="auto"/>
        <w:ind w:left="4365" w:leftChars="1850" w:hanging="480" w:hangingChars="200"/>
        <w:rPr>
          <w:rFonts w:ascii="宋体" w:hAnsi="宋体" w:cs="宋体"/>
          <w:color w:val="auto"/>
          <w:kern w:val="0"/>
          <w:sz w:val="24"/>
          <w:highlight w:val="none"/>
        </w:rPr>
      </w:pPr>
    </w:p>
    <w:p w14:paraId="5015C8C6">
      <w:pPr>
        <w:autoSpaceDE w:val="0"/>
        <w:autoSpaceDN w:val="0"/>
        <w:spacing w:line="288"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45A76623">
      <w:pPr>
        <w:autoSpaceDE w:val="0"/>
        <w:autoSpaceDN w:val="0"/>
        <w:spacing w:line="288" w:lineRule="auto"/>
        <w:ind w:firstLine="6120" w:firstLineChars="2550"/>
        <w:rPr>
          <w:rFonts w:ascii="宋体" w:hAnsi="宋体" w:cs="宋体"/>
          <w:color w:val="auto"/>
          <w:kern w:val="0"/>
          <w:sz w:val="24"/>
          <w:highlight w:val="none"/>
          <w:lang w:val="zh-CN"/>
        </w:rPr>
        <w:sectPr>
          <w:pgSz w:w="11911" w:h="16838"/>
          <w:pgMar w:top="1134" w:right="1134" w:bottom="1134" w:left="1134" w:header="720" w:footer="720" w:gutter="0"/>
          <w:cols w:space="720" w:num="1"/>
        </w:sectPr>
      </w:pPr>
      <w:r>
        <w:rPr>
          <w:rFonts w:hint="eastAsia" w:ascii="宋体" w:hAnsi="宋体" w:cs="宋体"/>
          <w:color w:val="auto"/>
          <w:kern w:val="0"/>
          <w:sz w:val="24"/>
          <w:highlight w:val="none"/>
          <w:lang w:val="zh-CN"/>
        </w:rPr>
        <w:t>日期：  年  月   日</w:t>
      </w:r>
    </w:p>
    <w:p w14:paraId="73347583">
      <w:pPr>
        <w:spacing w:line="360" w:lineRule="auto"/>
        <w:outlineLvl w:val="2"/>
        <w:rPr>
          <w:rFonts w:ascii="宋体" w:hAnsi="宋体" w:cs="宋体"/>
          <w:b/>
          <w:color w:val="auto"/>
          <w:sz w:val="30"/>
          <w:szCs w:val="30"/>
          <w:highlight w:val="none"/>
          <w:lang w:val="zh-CN"/>
        </w:rPr>
      </w:pPr>
      <w:bookmarkStart w:id="171" w:name="_Toc16316"/>
      <w:r>
        <w:rPr>
          <w:rFonts w:hint="eastAsia" w:ascii="宋体" w:hAnsi="宋体" w:cs="宋体"/>
          <w:b/>
          <w:color w:val="auto"/>
          <w:sz w:val="30"/>
          <w:szCs w:val="30"/>
          <w:highlight w:val="none"/>
        </w:rPr>
        <w:t>4.</w:t>
      </w:r>
      <w:r>
        <w:rPr>
          <w:rFonts w:hint="eastAsia" w:ascii="宋体" w:hAnsi="宋体" w:cs="宋体"/>
          <w:b/>
          <w:color w:val="auto"/>
          <w:sz w:val="30"/>
          <w:szCs w:val="30"/>
          <w:highlight w:val="none"/>
          <w:lang w:val="zh-CN"/>
        </w:rPr>
        <w:t>中小企业声明函的格式：</w:t>
      </w:r>
      <w:bookmarkEnd w:id="171"/>
    </w:p>
    <w:p w14:paraId="2EDC863B">
      <w:pPr>
        <w:pStyle w:val="17"/>
        <w:spacing w:line="360" w:lineRule="auto"/>
        <w:rPr>
          <w:rFonts w:ascii="宋体" w:hAnsi="宋体" w:cs="宋体"/>
          <w:color w:val="auto"/>
          <w:highlight w:val="none"/>
        </w:rPr>
      </w:pPr>
    </w:p>
    <w:p w14:paraId="1B8CC3FF">
      <w:pPr>
        <w:spacing w:line="360" w:lineRule="auto"/>
        <w:ind w:firstLine="3520" w:firstLineChars="800"/>
        <w:rPr>
          <w:rFonts w:ascii="宋体" w:hAnsi="宋体" w:cs="宋体"/>
          <w:color w:val="auto"/>
          <w:sz w:val="44"/>
          <w:szCs w:val="44"/>
          <w:highlight w:val="none"/>
        </w:rPr>
      </w:pPr>
      <w:r>
        <w:rPr>
          <w:rFonts w:hint="eastAsia" w:ascii="宋体" w:hAnsi="宋体" w:cs="宋体"/>
          <w:color w:val="auto"/>
          <w:sz w:val="44"/>
          <w:szCs w:val="44"/>
          <w:highlight w:val="none"/>
        </w:rPr>
        <w:t>中小企业声明函</w:t>
      </w:r>
    </w:p>
    <w:p w14:paraId="14AD2021">
      <w:pPr>
        <w:pStyle w:val="11"/>
        <w:spacing w:after="0" w:line="360" w:lineRule="auto"/>
        <w:ind w:left="-426" w:right="142" w:firstLine="640"/>
        <w:contextualSpacing/>
        <w:rPr>
          <w:rFonts w:ascii="宋体" w:hAnsi="宋体" w:cs="宋体"/>
          <w:color w:val="auto"/>
          <w:sz w:val="24"/>
          <w:highlight w:val="none"/>
        </w:rPr>
      </w:pPr>
    </w:p>
    <w:p w14:paraId="44A8E076">
      <w:pPr>
        <w:pStyle w:val="11"/>
        <w:spacing w:after="0" w:line="360" w:lineRule="auto"/>
        <w:ind w:left="-426" w:right="142" w:firstLine="640"/>
        <w:contextualSpacing/>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i/>
          <w:iCs/>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采购活动，</w:t>
      </w:r>
      <w:r>
        <w:rPr>
          <w:rFonts w:hint="eastAsia" w:ascii="宋体" w:hAnsi="宋体" w:cs="宋体"/>
          <w:color w:val="auto"/>
          <w:kern w:val="0"/>
          <w:sz w:val="24"/>
          <w:highlight w:val="none"/>
        </w:rPr>
        <w:t>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14:paraId="29837610">
      <w:pPr>
        <w:tabs>
          <w:tab w:val="left" w:pos="1384"/>
          <w:tab w:val="left" w:pos="4562"/>
          <w:tab w:val="left" w:pos="6803"/>
        </w:tabs>
        <w:spacing w:line="360" w:lineRule="auto"/>
        <w:ind w:left="-426" w:right="-58" w:firstLine="655"/>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660DDC5">
      <w:pPr>
        <w:tabs>
          <w:tab w:val="left" w:pos="1065"/>
          <w:tab w:val="left" w:pos="6477"/>
        </w:tabs>
        <w:spacing w:line="360" w:lineRule="auto"/>
        <w:ind w:left="-426" w:right="-58" w:firstLine="655"/>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A6DB7C1">
      <w:pPr>
        <w:pStyle w:val="11"/>
        <w:spacing w:after="0" w:line="360" w:lineRule="auto"/>
        <w:ind w:left="142" w:right="142"/>
        <w:contextualSpacing/>
        <w:rPr>
          <w:rFonts w:ascii="宋体" w:hAnsi="宋体" w:cs="宋体"/>
          <w:color w:val="auto"/>
          <w:sz w:val="24"/>
          <w:highlight w:val="none"/>
        </w:rPr>
      </w:pPr>
      <w:r>
        <w:rPr>
          <w:rFonts w:hint="eastAsia" w:ascii="宋体" w:hAnsi="宋体" w:cs="宋体"/>
          <w:color w:val="auto"/>
          <w:sz w:val="24"/>
          <w:highlight w:val="none"/>
        </w:rPr>
        <w:t xml:space="preserve">…… </w:t>
      </w:r>
    </w:p>
    <w:p w14:paraId="42D43A95">
      <w:pPr>
        <w:pStyle w:val="11"/>
        <w:spacing w:after="0" w:line="360" w:lineRule="auto"/>
        <w:ind w:left="-405" w:leftChars="-193" w:right="142" w:firstLine="453" w:firstLineChars="189"/>
        <w:contextualSpacing/>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B0AB858">
      <w:pPr>
        <w:pStyle w:val="11"/>
        <w:spacing w:after="0" w:line="360" w:lineRule="auto"/>
        <w:ind w:left="-426" w:right="142" w:firstLine="567"/>
        <w:contextualSpacing/>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CFAB758">
      <w:pPr>
        <w:pStyle w:val="11"/>
        <w:spacing w:after="0" w:line="360" w:lineRule="auto"/>
        <w:ind w:left="3960" w:right="1808"/>
        <w:contextualSpacing/>
        <w:rPr>
          <w:rFonts w:ascii="宋体" w:hAnsi="宋体" w:cs="宋体"/>
          <w:color w:val="auto"/>
          <w:sz w:val="24"/>
          <w:highlight w:val="none"/>
        </w:rPr>
      </w:pPr>
    </w:p>
    <w:p w14:paraId="4D890493">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32B28249">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54DF73B">
      <w:pPr>
        <w:pStyle w:val="11"/>
        <w:spacing w:after="0" w:line="360" w:lineRule="auto"/>
        <w:ind w:left="3960" w:right="1808"/>
        <w:contextualSpacing/>
        <w:rPr>
          <w:rFonts w:ascii="宋体" w:hAnsi="宋体" w:cs="宋体"/>
          <w:color w:val="auto"/>
          <w:highlight w:val="none"/>
        </w:rPr>
      </w:pPr>
    </w:p>
    <w:p w14:paraId="1C3E06F7">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1CEAA80F">
      <w:pPr>
        <w:snapToGrid w:val="0"/>
        <w:spacing w:beforeLines="50" w:after="50" w:line="360" w:lineRule="auto"/>
        <w:rPr>
          <w:rFonts w:ascii="宋体" w:hAnsi="宋体" w:cs="宋体"/>
          <w:b/>
          <w:bCs/>
          <w:color w:val="auto"/>
          <w:sz w:val="32"/>
          <w:szCs w:val="32"/>
          <w:highlight w:val="none"/>
        </w:rPr>
        <w:sectPr>
          <w:pgSz w:w="11911" w:h="16838"/>
          <w:pgMar w:top="1134" w:right="1134" w:bottom="1134" w:left="1134" w:header="720" w:footer="720" w:gutter="0"/>
          <w:cols w:space="720" w:num="1"/>
        </w:sectPr>
      </w:pPr>
    </w:p>
    <w:p w14:paraId="1FF4432A">
      <w:pPr>
        <w:spacing w:line="360" w:lineRule="auto"/>
        <w:outlineLvl w:val="2"/>
        <w:rPr>
          <w:rFonts w:ascii="宋体" w:hAnsi="宋体" w:cs="宋体"/>
          <w:b/>
          <w:color w:val="auto"/>
          <w:sz w:val="28"/>
          <w:szCs w:val="28"/>
          <w:highlight w:val="none"/>
        </w:rPr>
      </w:pPr>
      <w:bookmarkStart w:id="172" w:name="_Toc26884"/>
      <w:r>
        <w:rPr>
          <w:rFonts w:hint="eastAsia" w:ascii="宋体" w:hAnsi="宋体" w:cs="宋体"/>
          <w:b/>
          <w:color w:val="auto"/>
          <w:sz w:val="28"/>
          <w:szCs w:val="28"/>
          <w:highlight w:val="none"/>
        </w:rPr>
        <w:t>残疾人福利性单位声明函的格式：</w:t>
      </w:r>
      <w:bookmarkEnd w:id="172"/>
    </w:p>
    <w:p w14:paraId="5B9E1348">
      <w:pPr>
        <w:pStyle w:val="17"/>
        <w:spacing w:line="360" w:lineRule="auto"/>
        <w:rPr>
          <w:rFonts w:ascii="宋体" w:hAnsi="宋体" w:cs="宋体"/>
          <w:color w:val="auto"/>
          <w:highlight w:val="none"/>
        </w:rPr>
      </w:pPr>
    </w:p>
    <w:p w14:paraId="515B09D1">
      <w:pPr>
        <w:spacing w:line="360" w:lineRule="auto"/>
        <w:jc w:val="center"/>
        <w:rPr>
          <w:rFonts w:ascii="宋体" w:hAnsi="宋体" w:cs="宋体"/>
          <w:color w:val="auto"/>
          <w:sz w:val="44"/>
          <w:szCs w:val="44"/>
          <w:highlight w:val="none"/>
        </w:rPr>
      </w:pPr>
    </w:p>
    <w:p w14:paraId="7108111C">
      <w:pPr>
        <w:spacing w:line="360" w:lineRule="auto"/>
        <w:jc w:val="center"/>
        <w:rPr>
          <w:rFonts w:ascii="宋体" w:hAnsi="宋体" w:cs="宋体"/>
          <w:color w:val="auto"/>
          <w:sz w:val="44"/>
          <w:szCs w:val="44"/>
          <w:highlight w:val="none"/>
        </w:rPr>
      </w:pPr>
    </w:p>
    <w:p w14:paraId="523EB318">
      <w:pPr>
        <w:spacing w:line="360" w:lineRule="auto"/>
        <w:jc w:val="center"/>
        <w:outlineLvl w:val="3"/>
        <w:rPr>
          <w:rFonts w:ascii="宋体" w:hAnsi="宋体" w:cs="宋体"/>
          <w:b/>
          <w:bCs/>
          <w:color w:val="auto"/>
          <w:sz w:val="36"/>
          <w:szCs w:val="36"/>
          <w:highlight w:val="none"/>
        </w:rPr>
      </w:pPr>
      <w:r>
        <w:rPr>
          <w:rFonts w:hint="eastAsia" w:ascii="宋体" w:hAnsi="宋体" w:cs="宋体"/>
          <w:b/>
          <w:bCs/>
          <w:color w:val="auto"/>
          <w:sz w:val="36"/>
          <w:szCs w:val="36"/>
          <w:highlight w:val="none"/>
        </w:rPr>
        <w:t>残疾人福利性单位声明函</w:t>
      </w:r>
    </w:p>
    <w:p w14:paraId="294B66B9">
      <w:pPr>
        <w:spacing w:line="360" w:lineRule="auto"/>
        <w:rPr>
          <w:rFonts w:ascii="宋体" w:hAnsi="宋体" w:cs="宋体"/>
          <w:color w:val="auto"/>
          <w:sz w:val="32"/>
          <w:szCs w:val="32"/>
          <w:highlight w:val="none"/>
        </w:rPr>
      </w:pPr>
    </w:p>
    <w:p w14:paraId="27B14784">
      <w:pPr>
        <w:spacing w:line="360" w:lineRule="auto"/>
        <w:ind w:firstLine="480" w:firstLineChars="200"/>
        <w:contextualSpacing/>
        <w:rPr>
          <w:rFonts w:ascii="宋体" w:hAnsi="宋体" w:cs="宋体"/>
          <w:color w:val="auto"/>
          <w:sz w:val="24"/>
          <w:highlight w:val="none"/>
        </w:rPr>
      </w:pPr>
    </w:p>
    <w:p w14:paraId="2ABDE32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7B3B44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CE1259A">
      <w:pPr>
        <w:spacing w:line="360" w:lineRule="auto"/>
        <w:contextualSpacing/>
        <w:rPr>
          <w:rFonts w:ascii="宋体" w:hAnsi="宋体" w:cs="宋体"/>
          <w:color w:val="auto"/>
          <w:sz w:val="24"/>
          <w:highlight w:val="none"/>
        </w:rPr>
      </w:pPr>
    </w:p>
    <w:p w14:paraId="0917D315">
      <w:pPr>
        <w:spacing w:line="360" w:lineRule="auto"/>
        <w:contextualSpacing/>
        <w:rPr>
          <w:rFonts w:ascii="宋体" w:hAnsi="宋体" w:cs="宋体"/>
          <w:color w:val="auto"/>
          <w:sz w:val="24"/>
          <w:highlight w:val="none"/>
        </w:rPr>
      </w:pPr>
    </w:p>
    <w:p w14:paraId="60A98040">
      <w:pPr>
        <w:spacing w:line="360" w:lineRule="auto"/>
        <w:contextualSpacing/>
        <w:rPr>
          <w:rFonts w:ascii="宋体" w:hAnsi="宋体" w:cs="宋体"/>
          <w:color w:val="auto"/>
          <w:sz w:val="24"/>
          <w:highlight w:val="none"/>
        </w:rPr>
      </w:pPr>
    </w:p>
    <w:p w14:paraId="23266419">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sz w:val="24"/>
          <w:highlight w:val="none"/>
        </w:rPr>
        <w:t>）：</w:t>
      </w:r>
    </w:p>
    <w:p w14:paraId="46D36CD6">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1B18CD6D">
      <w:pPr>
        <w:spacing w:line="360" w:lineRule="auto"/>
        <w:contextualSpacing/>
        <w:rPr>
          <w:rFonts w:ascii="宋体" w:hAnsi="宋体" w:cs="宋体"/>
          <w:color w:val="auto"/>
          <w:sz w:val="24"/>
          <w:highlight w:val="none"/>
        </w:rPr>
      </w:pPr>
    </w:p>
    <w:p w14:paraId="3ED1A46B">
      <w:pPr>
        <w:spacing w:line="360" w:lineRule="auto"/>
        <w:contextualSpacing/>
        <w:rPr>
          <w:rFonts w:ascii="宋体" w:hAnsi="宋体" w:cs="宋体"/>
          <w:color w:val="auto"/>
          <w:sz w:val="24"/>
          <w:highlight w:val="none"/>
        </w:rPr>
      </w:pPr>
    </w:p>
    <w:p w14:paraId="78EDEA64">
      <w:pPr>
        <w:spacing w:line="360" w:lineRule="auto"/>
        <w:contextualSpacing/>
        <w:rPr>
          <w:rFonts w:ascii="宋体" w:hAnsi="宋体" w:cs="宋体"/>
          <w:color w:val="auto"/>
          <w:sz w:val="24"/>
          <w:highlight w:val="none"/>
        </w:rPr>
      </w:pPr>
    </w:p>
    <w:p w14:paraId="41996FB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73382F74">
      <w:pPr>
        <w:autoSpaceDE w:val="0"/>
        <w:autoSpaceDN w:val="0"/>
        <w:spacing w:line="288" w:lineRule="auto"/>
        <w:ind w:firstLine="6120" w:firstLineChars="2550"/>
        <w:rPr>
          <w:rFonts w:ascii="宋体" w:hAnsi="宋体" w:cs="宋体"/>
          <w:color w:val="auto"/>
          <w:kern w:val="0"/>
          <w:sz w:val="24"/>
          <w:highlight w:val="none"/>
          <w:lang w:val="zh-CN"/>
        </w:rPr>
        <w:sectPr>
          <w:pgSz w:w="11911" w:h="16838"/>
          <w:pgMar w:top="1134" w:right="1134" w:bottom="1134" w:left="1134" w:header="720" w:footer="720" w:gutter="0"/>
          <w:cols w:space="720" w:num="1"/>
        </w:sectPr>
      </w:pPr>
      <w:r>
        <w:rPr>
          <w:rFonts w:hint="eastAsia" w:ascii="宋体" w:hAnsi="宋体" w:cs="宋体"/>
          <w:color w:val="auto"/>
          <w:sz w:val="24"/>
          <w:highlight w:val="none"/>
        </w:rPr>
        <w:br w:type="page"/>
      </w:r>
    </w:p>
    <w:p w14:paraId="0A4F16FE">
      <w:pPr>
        <w:autoSpaceDE w:val="0"/>
        <w:autoSpaceDN w:val="0"/>
        <w:spacing w:line="288" w:lineRule="auto"/>
        <w:ind w:firstLine="6120" w:firstLineChars="2550"/>
        <w:rPr>
          <w:rFonts w:ascii="宋体" w:hAnsi="宋体" w:cs="宋体"/>
          <w:color w:val="auto"/>
          <w:kern w:val="0"/>
          <w:sz w:val="24"/>
          <w:highlight w:val="none"/>
          <w:lang w:val="zh-CN"/>
        </w:rPr>
        <w:sectPr>
          <w:pgSz w:w="11911" w:h="16838"/>
          <w:pgMar w:top="1134" w:right="1134" w:bottom="1134" w:left="1134" w:header="720" w:footer="720" w:gutter="0"/>
          <w:cols w:space="720" w:num="1"/>
        </w:sectPr>
      </w:pPr>
    </w:p>
    <w:p w14:paraId="7B8C3E76">
      <w:pPr>
        <w:autoSpaceDE w:val="0"/>
        <w:autoSpaceDN w:val="0"/>
        <w:spacing w:line="360" w:lineRule="auto"/>
        <w:ind w:firstLine="6120" w:firstLineChars="2550"/>
        <w:rPr>
          <w:rFonts w:ascii="宋体" w:hAnsi="宋体" w:cs="宋体"/>
          <w:color w:val="auto"/>
          <w:kern w:val="0"/>
          <w:sz w:val="24"/>
          <w:highlight w:val="none"/>
          <w:lang w:val="zh-CN"/>
        </w:rPr>
      </w:pPr>
    </w:p>
    <w:p w14:paraId="76BADDD4">
      <w:pPr>
        <w:autoSpaceDE w:val="0"/>
        <w:autoSpaceDN w:val="0"/>
        <w:spacing w:line="360" w:lineRule="auto"/>
        <w:ind w:firstLine="6120" w:firstLineChars="2550"/>
        <w:rPr>
          <w:rFonts w:ascii="宋体" w:hAnsi="宋体" w:cs="宋体"/>
          <w:color w:val="auto"/>
          <w:kern w:val="0"/>
          <w:sz w:val="24"/>
          <w:highlight w:val="none"/>
          <w:lang w:val="zh-CN"/>
        </w:rPr>
      </w:pPr>
    </w:p>
    <w:p w14:paraId="74AF1EAC">
      <w:pPr>
        <w:pStyle w:val="3"/>
        <w:spacing w:line="360" w:lineRule="auto"/>
        <w:jc w:val="center"/>
        <w:rPr>
          <w:rFonts w:ascii="宋体" w:hAnsi="宋体" w:cs="宋体"/>
          <w:b w:val="0"/>
          <w:color w:val="auto"/>
          <w:highlight w:val="none"/>
        </w:rPr>
      </w:pPr>
      <w:bookmarkStart w:id="173" w:name="_Toc20562"/>
      <w:bookmarkStart w:id="174" w:name="_Toc15951"/>
      <w:bookmarkStart w:id="175" w:name="_Toc12237"/>
      <w:bookmarkStart w:id="176" w:name="_Toc80886944"/>
      <w:bookmarkStart w:id="177" w:name="_Toc80205940"/>
      <w:r>
        <w:rPr>
          <w:rFonts w:hint="eastAsia" w:ascii="宋体" w:hAnsi="宋体" w:cs="宋体"/>
          <w:b w:val="0"/>
          <w:bCs w:val="0"/>
          <w:color w:val="auto"/>
          <w:highlight w:val="none"/>
        </w:rPr>
        <w:t xml:space="preserve">第二节 </w:t>
      </w:r>
      <w:r>
        <w:rPr>
          <w:rFonts w:hint="eastAsia" w:ascii="宋体" w:hAnsi="宋体" w:cs="宋体"/>
          <w:b w:val="0"/>
          <w:color w:val="auto"/>
          <w:highlight w:val="none"/>
        </w:rPr>
        <w:t>商务技术文件格式</w:t>
      </w:r>
      <w:bookmarkEnd w:id="173"/>
      <w:bookmarkEnd w:id="174"/>
      <w:bookmarkEnd w:id="175"/>
      <w:bookmarkEnd w:id="176"/>
      <w:bookmarkEnd w:id="177"/>
    </w:p>
    <w:p w14:paraId="056D6F2A">
      <w:pPr>
        <w:snapToGrid w:val="0"/>
        <w:spacing w:beforeLines="50" w:after="50" w:line="264" w:lineRule="auto"/>
        <w:jc w:val="left"/>
        <w:outlineLvl w:val="2"/>
        <w:rPr>
          <w:rFonts w:ascii="宋体" w:hAnsi="宋体" w:cs="宋体"/>
          <w:b/>
          <w:color w:val="auto"/>
          <w:sz w:val="32"/>
          <w:szCs w:val="32"/>
          <w:highlight w:val="none"/>
        </w:rPr>
      </w:pPr>
      <w:bookmarkStart w:id="178" w:name="_Toc16606"/>
      <w:r>
        <w:rPr>
          <w:rFonts w:hint="eastAsia" w:ascii="宋体" w:hAnsi="宋体" w:cs="宋体"/>
          <w:b/>
          <w:color w:val="auto"/>
          <w:sz w:val="28"/>
          <w:szCs w:val="28"/>
          <w:highlight w:val="none"/>
        </w:rPr>
        <w:t>1.商务技术文件封面的格式（参照此格式自拟）：</w:t>
      </w:r>
      <w:bookmarkEnd w:id="178"/>
    </w:p>
    <w:p w14:paraId="2E1C1EAE">
      <w:pPr>
        <w:snapToGrid w:val="0"/>
        <w:spacing w:beforeLines="50" w:after="50" w:line="264" w:lineRule="auto"/>
        <w:rPr>
          <w:rFonts w:ascii="宋体" w:hAnsi="宋体" w:cs="宋体"/>
          <w:color w:val="auto"/>
          <w:sz w:val="24"/>
          <w:highlight w:val="none"/>
        </w:rPr>
      </w:pPr>
    </w:p>
    <w:p w14:paraId="2D7C9A21">
      <w:pPr>
        <w:snapToGrid w:val="0"/>
        <w:spacing w:beforeLines="50" w:after="50" w:line="264" w:lineRule="auto"/>
        <w:ind w:firstLine="6720" w:firstLineChars="3200"/>
        <w:rPr>
          <w:rFonts w:ascii="宋体" w:hAnsi="宋体" w:cs="宋体"/>
          <w:bCs/>
          <w:color w:val="auto"/>
          <w:sz w:val="32"/>
          <w:szCs w:val="20"/>
          <w:highlight w:val="none"/>
        </w:rPr>
      </w:pPr>
      <w:r>
        <w:rPr>
          <w:rFonts w:hint="eastAsia" w:ascii="宋体" w:hAnsi="宋体" w:cs="宋体"/>
          <w:bCs/>
          <w:color w:val="auto"/>
          <w:highlight w:val="none"/>
        </w:rPr>
        <w:t>全流程电子文件</w:t>
      </w:r>
    </w:p>
    <w:p w14:paraId="6E4BD66C">
      <w:pPr>
        <w:snapToGrid w:val="0"/>
        <w:spacing w:beforeLines="50" w:after="50" w:line="264" w:lineRule="auto"/>
        <w:rPr>
          <w:rFonts w:ascii="宋体" w:hAnsi="宋体" w:cs="宋体"/>
          <w:color w:val="auto"/>
          <w:sz w:val="24"/>
          <w:szCs w:val="20"/>
          <w:highlight w:val="none"/>
        </w:rPr>
      </w:pPr>
    </w:p>
    <w:p w14:paraId="097A27C1">
      <w:pPr>
        <w:snapToGrid w:val="0"/>
        <w:spacing w:beforeLines="50" w:after="50" w:line="264" w:lineRule="auto"/>
        <w:rPr>
          <w:rFonts w:ascii="宋体" w:hAnsi="宋体" w:cs="宋体"/>
          <w:color w:val="auto"/>
          <w:sz w:val="24"/>
          <w:szCs w:val="20"/>
          <w:highlight w:val="none"/>
        </w:rPr>
      </w:pPr>
    </w:p>
    <w:p w14:paraId="1653CDDF">
      <w:pPr>
        <w:snapToGrid w:val="0"/>
        <w:spacing w:beforeLines="50" w:after="50" w:line="264" w:lineRule="auto"/>
        <w:rPr>
          <w:rFonts w:ascii="宋体" w:hAnsi="宋体" w:cs="宋体"/>
          <w:color w:val="auto"/>
          <w:sz w:val="24"/>
          <w:szCs w:val="20"/>
          <w:highlight w:val="none"/>
        </w:rPr>
      </w:pPr>
    </w:p>
    <w:p w14:paraId="5B86832C">
      <w:pPr>
        <w:snapToGrid w:val="0"/>
        <w:spacing w:beforeLines="50" w:after="50" w:line="264"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w:t>
      </w:r>
    </w:p>
    <w:p w14:paraId="1639B877">
      <w:pPr>
        <w:snapToGrid w:val="0"/>
        <w:spacing w:beforeLines="50" w:after="50" w:line="264" w:lineRule="auto"/>
        <w:rPr>
          <w:rFonts w:ascii="宋体" w:hAnsi="宋体" w:cs="宋体"/>
          <w:bCs/>
          <w:color w:val="auto"/>
          <w:sz w:val="24"/>
          <w:szCs w:val="20"/>
          <w:highlight w:val="none"/>
        </w:rPr>
      </w:pPr>
    </w:p>
    <w:p w14:paraId="15972AE1">
      <w:pPr>
        <w:snapToGrid w:val="0"/>
        <w:spacing w:beforeLines="50" w:after="50" w:line="264" w:lineRule="auto"/>
        <w:rPr>
          <w:rFonts w:ascii="宋体" w:hAnsi="宋体" w:cs="宋体"/>
          <w:bCs/>
          <w:color w:val="auto"/>
          <w:sz w:val="24"/>
          <w:szCs w:val="20"/>
          <w:highlight w:val="none"/>
        </w:rPr>
      </w:pPr>
    </w:p>
    <w:p w14:paraId="07C466C0">
      <w:pPr>
        <w:snapToGrid w:val="0"/>
        <w:spacing w:beforeLines="50" w:after="50" w:line="264" w:lineRule="auto"/>
        <w:rPr>
          <w:rFonts w:ascii="宋体" w:hAnsi="宋体" w:cs="宋体"/>
          <w:bCs/>
          <w:color w:val="auto"/>
          <w:sz w:val="24"/>
          <w:szCs w:val="20"/>
          <w:highlight w:val="none"/>
        </w:rPr>
      </w:pPr>
    </w:p>
    <w:p w14:paraId="556142F6">
      <w:pPr>
        <w:snapToGrid w:val="0"/>
        <w:spacing w:beforeLines="50" w:after="50" w:line="264" w:lineRule="auto"/>
        <w:rPr>
          <w:rFonts w:ascii="宋体" w:hAnsi="宋体" w:cs="宋体"/>
          <w:bCs/>
          <w:color w:val="auto"/>
          <w:sz w:val="24"/>
          <w:szCs w:val="20"/>
          <w:highlight w:val="none"/>
        </w:rPr>
      </w:pPr>
    </w:p>
    <w:p w14:paraId="244B84C4">
      <w:pPr>
        <w:snapToGrid w:val="0"/>
        <w:spacing w:beforeLines="50" w:after="50" w:line="264" w:lineRule="auto"/>
        <w:rPr>
          <w:rFonts w:ascii="宋体" w:hAnsi="宋体" w:cs="宋体"/>
          <w:bCs/>
          <w:color w:val="auto"/>
          <w:sz w:val="24"/>
          <w:szCs w:val="20"/>
          <w:highlight w:val="none"/>
        </w:rPr>
      </w:pPr>
    </w:p>
    <w:p w14:paraId="1EA96C59">
      <w:pPr>
        <w:snapToGrid w:val="0"/>
        <w:spacing w:beforeLines="50" w:after="50" w:line="264"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7C8D7B38">
      <w:pPr>
        <w:snapToGrid w:val="0"/>
        <w:spacing w:beforeLines="50" w:after="50" w:line="264" w:lineRule="auto"/>
        <w:ind w:firstLine="720" w:firstLineChars="225"/>
        <w:rPr>
          <w:rFonts w:ascii="宋体" w:hAnsi="宋体" w:cs="宋体"/>
          <w:bCs/>
          <w:color w:val="auto"/>
          <w:sz w:val="32"/>
          <w:szCs w:val="32"/>
          <w:highlight w:val="none"/>
        </w:rPr>
      </w:pPr>
    </w:p>
    <w:p w14:paraId="05AB0B06">
      <w:pPr>
        <w:snapToGrid w:val="0"/>
        <w:spacing w:beforeLines="50" w:after="50" w:line="264"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5F0169C7">
      <w:pPr>
        <w:snapToGrid w:val="0"/>
        <w:spacing w:beforeLines="50" w:after="50" w:line="264" w:lineRule="auto"/>
        <w:ind w:firstLine="720" w:firstLineChars="225"/>
        <w:rPr>
          <w:rFonts w:ascii="宋体" w:hAnsi="宋体" w:cs="宋体"/>
          <w:bCs/>
          <w:color w:val="auto"/>
          <w:sz w:val="32"/>
          <w:szCs w:val="32"/>
          <w:highlight w:val="none"/>
        </w:rPr>
      </w:pPr>
    </w:p>
    <w:p w14:paraId="5D2AA166">
      <w:pPr>
        <w:snapToGrid w:val="0"/>
        <w:spacing w:beforeLines="50" w:after="50" w:line="264"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4DE57DDF">
      <w:pPr>
        <w:snapToGrid w:val="0"/>
        <w:spacing w:beforeLines="50" w:after="50" w:line="264" w:lineRule="auto"/>
        <w:ind w:firstLine="720" w:firstLineChars="225"/>
        <w:rPr>
          <w:rFonts w:ascii="宋体" w:hAnsi="宋体" w:cs="宋体"/>
          <w:bCs/>
          <w:color w:val="auto"/>
          <w:sz w:val="32"/>
          <w:szCs w:val="32"/>
          <w:highlight w:val="none"/>
        </w:rPr>
      </w:pPr>
    </w:p>
    <w:p w14:paraId="25796538">
      <w:pPr>
        <w:pStyle w:val="8"/>
        <w:snapToGrid w:val="0"/>
        <w:spacing w:before="50" w:after="50" w:line="264"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14DAB02">
      <w:pPr>
        <w:pStyle w:val="8"/>
        <w:snapToGrid w:val="0"/>
        <w:spacing w:before="50" w:after="50" w:line="264" w:lineRule="auto"/>
        <w:ind w:firstLine="720" w:firstLineChars="225"/>
        <w:rPr>
          <w:rFonts w:ascii="宋体" w:hAnsi="宋体" w:cs="宋体"/>
          <w:bCs/>
          <w:color w:val="auto"/>
          <w:sz w:val="32"/>
          <w:szCs w:val="32"/>
          <w:highlight w:val="none"/>
        </w:rPr>
      </w:pPr>
    </w:p>
    <w:p w14:paraId="7A550806">
      <w:pPr>
        <w:pStyle w:val="8"/>
        <w:snapToGrid w:val="0"/>
        <w:spacing w:before="50" w:after="50" w:line="264" w:lineRule="auto"/>
        <w:ind w:firstLine="720" w:firstLineChars="225"/>
        <w:rPr>
          <w:rFonts w:ascii="宋体" w:hAnsi="宋体" w:cs="宋体"/>
          <w:bCs/>
          <w:color w:val="auto"/>
          <w:sz w:val="32"/>
          <w:szCs w:val="32"/>
          <w:highlight w:val="none"/>
        </w:rPr>
      </w:pPr>
    </w:p>
    <w:p w14:paraId="36420C55">
      <w:pPr>
        <w:pStyle w:val="8"/>
        <w:snapToGrid w:val="0"/>
        <w:spacing w:before="50" w:after="50" w:line="264" w:lineRule="auto"/>
        <w:ind w:firstLine="1280" w:firstLineChars="400"/>
        <w:rPr>
          <w:rFonts w:ascii="宋体" w:hAnsi="宋体" w:cs="宋体"/>
          <w:bCs/>
          <w:color w:val="auto"/>
          <w:sz w:val="32"/>
          <w:szCs w:val="32"/>
          <w:highlight w:val="none"/>
        </w:rPr>
      </w:pPr>
    </w:p>
    <w:p w14:paraId="0BE9D04D">
      <w:pPr>
        <w:snapToGrid w:val="0"/>
        <w:spacing w:beforeLines="50" w:after="50" w:line="264"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1FD76EEC">
      <w:pPr>
        <w:snapToGrid w:val="0"/>
        <w:spacing w:beforeLines="50" w:after="50" w:line="264" w:lineRule="auto"/>
        <w:ind w:left="142" w:firstLine="643" w:firstLineChars="200"/>
        <w:jc w:val="left"/>
        <w:rPr>
          <w:rFonts w:ascii="宋体" w:hAnsi="宋体" w:cs="宋体"/>
          <w:b/>
          <w:bCs/>
          <w:color w:val="auto"/>
          <w:sz w:val="32"/>
          <w:szCs w:val="32"/>
          <w:highlight w:val="none"/>
        </w:rPr>
        <w:sectPr>
          <w:pgSz w:w="11911" w:h="16838"/>
          <w:pgMar w:top="1134" w:right="1134" w:bottom="1134" w:left="1134" w:header="720" w:footer="720" w:gutter="0"/>
          <w:cols w:space="720" w:num="1"/>
        </w:sectPr>
      </w:pPr>
    </w:p>
    <w:p w14:paraId="4F498D98">
      <w:pPr>
        <w:spacing w:line="360" w:lineRule="auto"/>
        <w:ind w:right="420"/>
        <w:outlineLvl w:val="2"/>
        <w:rPr>
          <w:rFonts w:ascii="宋体" w:hAnsi="宋体" w:cs="宋体"/>
          <w:color w:val="auto"/>
          <w:sz w:val="24"/>
          <w:szCs w:val="20"/>
          <w:highlight w:val="none"/>
        </w:rPr>
      </w:pPr>
      <w:bookmarkStart w:id="179" w:name="_Toc20878"/>
      <w:r>
        <w:rPr>
          <w:rFonts w:hint="eastAsia" w:ascii="宋体" w:hAnsi="宋体" w:cs="宋体"/>
          <w:b/>
          <w:bCs/>
          <w:color w:val="auto"/>
          <w:sz w:val="28"/>
          <w:szCs w:val="28"/>
          <w:highlight w:val="none"/>
        </w:rPr>
        <w:t>2.商务技术文件目录</w:t>
      </w:r>
      <w:bookmarkEnd w:id="179"/>
    </w:p>
    <w:p w14:paraId="79ED8079">
      <w:pPr>
        <w:spacing w:line="360" w:lineRule="auto"/>
        <w:rPr>
          <w:rFonts w:ascii="宋体" w:hAnsi="宋体" w:cs="宋体"/>
          <w:color w:val="auto"/>
          <w:sz w:val="32"/>
          <w:szCs w:val="32"/>
          <w:highlight w:val="none"/>
        </w:rPr>
      </w:pPr>
      <w:r>
        <w:rPr>
          <w:rFonts w:hint="eastAsia" w:ascii="宋体" w:hAnsi="宋体" w:cs="宋体"/>
          <w:color w:val="auto"/>
          <w:kern w:val="0"/>
          <w:sz w:val="24"/>
          <w:highlight w:val="none"/>
        </w:rPr>
        <w:t>根据竞争性磋商文件规定及供应商提供的材料自行编写目录（部分格式后附）。</w:t>
      </w:r>
    </w:p>
    <w:p w14:paraId="68EC6607">
      <w:pPr>
        <w:spacing w:line="360" w:lineRule="auto"/>
        <w:jc w:val="left"/>
        <w:outlineLvl w:val="2"/>
        <w:rPr>
          <w:rFonts w:ascii="宋体" w:hAnsi="宋体" w:cs="宋体"/>
          <w:color w:val="auto"/>
          <w:sz w:val="28"/>
          <w:szCs w:val="28"/>
          <w:highlight w:val="none"/>
        </w:rPr>
      </w:pPr>
      <w:r>
        <w:rPr>
          <w:rFonts w:hint="eastAsia" w:ascii="宋体" w:hAnsi="宋体" w:cs="宋体"/>
          <w:color w:val="auto"/>
          <w:sz w:val="44"/>
          <w:szCs w:val="44"/>
          <w:highlight w:val="none"/>
        </w:rPr>
        <w:br w:type="page"/>
      </w:r>
      <w:bookmarkStart w:id="180" w:name="_Toc26183"/>
      <w:r>
        <w:rPr>
          <w:rFonts w:hint="eastAsia" w:ascii="宋体" w:hAnsi="宋体" w:cs="宋体"/>
          <w:b/>
          <w:color w:val="auto"/>
          <w:sz w:val="28"/>
          <w:szCs w:val="28"/>
          <w:highlight w:val="none"/>
        </w:rPr>
        <w:t>3.无串通竞标行为的承诺函的格式：</w:t>
      </w:r>
      <w:bookmarkEnd w:id="180"/>
    </w:p>
    <w:p w14:paraId="0AE63151">
      <w:pPr>
        <w:spacing w:line="288" w:lineRule="auto"/>
        <w:jc w:val="center"/>
        <w:rPr>
          <w:rFonts w:ascii="宋体" w:hAnsi="宋体" w:cs="宋体"/>
          <w:color w:val="auto"/>
          <w:sz w:val="44"/>
          <w:szCs w:val="44"/>
          <w:highlight w:val="none"/>
        </w:rPr>
      </w:pPr>
    </w:p>
    <w:p w14:paraId="2129F98F">
      <w:pPr>
        <w:spacing w:line="288" w:lineRule="auto"/>
        <w:jc w:val="center"/>
        <w:outlineLvl w:val="3"/>
        <w:rPr>
          <w:rFonts w:ascii="宋体" w:hAnsi="宋体" w:cs="宋体"/>
          <w:b/>
          <w:bCs/>
          <w:color w:val="auto"/>
          <w:sz w:val="32"/>
          <w:szCs w:val="32"/>
          <w:highlight w:val="none"/>
        </w:rPr>
      </w:pPr>
      <w:r>
        <w:rPr>
          <w:rFonts w:hint="eastAsia" w:ascii="宋体" w:hAnsi="宋体" w:cs="宋体"/>
          <w:b/>
          <w:bCs/>
          <w:color w:val="auto"/>
          <w:sz w:val="32"/>
          <w:szCs w:val="32"/>
          <w:highlight w:val="none"/>
        </w:rPr>
        <w:t>无串通竞标行为的承诺函</w:t>
      </w:r>
    </w:p>
    <w:p w14:paraId="387943AB">
      <w:pPr>
        <w:spacing w:line="288" w:lineRule="auto"/>
        <w:ind w:firstLine="640" w:firstLineChars="200"/>
        <w:rPr>
          <w:rFonts w:ascii="宋体" w:hAnsi="宋体" w:cs="宋体"/>
          <w:color w:val="auto"/>
          <w:sz w:val="32"/>
          <w:szCs w:val="32"/>
          <w:highlight w:val="none"/>
        </w:rPr>
      </w:pPr>
    </w:p>
    <w:p w14:paraId="5A01110B">
      <w:pPr>
        <w:spacing w:line="288" w:lineRule="auto"/>
        <w:ind w:firstLine="482" w:firstLineChars="200"/>
        <w:contextualSpacing/>
        <w:outlineLvl w:val="3"/>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6B3FE29F">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w:t>
      </w:r>
      <w:r>
        <w:rPr>
          <w:rFonts w:hint="eastAsia" w:ascii="宋体" w:hAnsi="宋体" w:cs="宋体"/>
          <w:b/>
          <w:bCs/>
          <w:color w:val="auto"/>
          <w:szCs w:val="21"/>
          <w:highlight w:val="none"/>
        </w:rPr>
        <w:t xml:space="preserve">或不同供应商报名的IP地址一致的； </w:t>
      </w:r>
    </w:p>
    <w:p w14:paraId="719E9CF3">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5D89755E">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3FE1BCB3">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5A2B8B27">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510177B4">
      <w:pPr>
        <w:pStyle w:val="11"/>
        <w:spacing w:line="288" w:lineRule="auto"/>
        <w:ind w:firstLine="480" w:firstLineChars="200"/>
        <w:rPr>
          <w:rFonts w:ascii="宋体" w:hAnsi="宋体" w:cs="宋体"/>
          <w:color w:val="auto"/>
          <w:highlight w:val="none"/>
        </w:rPr>
      </w:pPr>
      <w:r>
        <w:rPr>
          <w:rFonts w:hint="eastAsia" w:ascii="宋体" w:hAnsi="宋体" w:cs="宋体"/>
          <w:color w:val="auto"/>
          <w:sz w:val="24"/>
          <w:highlight w:val="none"/>
        </w:rPr>
        <w:t>6.不同供应商的磋商保证金从同一单位或者个人账户转出。</w:t>
      </w:r>
    </w:p>
    <w:p w14:paraId="52EC0E3D">
      <w:pPr>
        <w:spacing w:line="288" w:lineRule="auto"/>
        <w:ind w:firstLine="482" w:firstLineChars="200"/>
        <w:contextualSpacing/>
        <w:outlineLvl w:val="3"/>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7BE7C471">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6ADC3737">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73F5FEE2">
      <w:pPr>
        <w:spacing w:line="288" w:lineRule="auto"/>
        <w:ind w:firstLine="480" w:firstLineChars="200"/>
        <w:contextualSpacing/>
        <w:outlineLvl w:val="2"/>
        <w:rPr>
          <w:rFonts w:ascii="宋体" w:hAnsi="宋体" w:cs="宋体"/>
          <w:color w:val="auto"/>
          <w:sz w:val="24"/>
          <w:highlight w:val="none"/>
        </w:rPr>
      </w:pPr>
      <w:bookmarkStart w:id="181" w:name="_Toc23661"/>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bookmarkEnd w:id="181"/>
    </w:p>
    <w:p w14:paraId="57FFCEAA">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22DABE1C">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0D9BA766">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707D5879">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406E0B98">
      <w:pPr>
        <w:spacing w:line="288" w:lineRule="auto"/>
        <w:ind w:firstLine="480" w:firstLineChars="200"/>
        <w:contextualSpacing/>
        <w:rPr>
          <w:rFonts w:ascii="宋体" w:hAnsi="宋体" w:cs="宋体"/>
          <w:color w:val="auto"/>
          <w:sz w:val="24"/>
          <w:highlight w:val="none"/>
        </w:rPr>
      </w:pPr>
    </w:p>
    <w:p w14:paraId="623E8257">
      <w:pPr>
        <w:spacing w:line="288"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4E8314CE">
      <w:pPr>
        <w:pStyle w:val="17"/>
        <w:spacing w:line="288" w:lineRule="auto"/>
        <w:rPr>
          <w:rFonts w:ascii="宋体" w:hAnsi="宋体" w:cs="宋体"/>
          <w:b/>
          <w:bCs/>
          <w:color w:val="auto"/>
          <w:sz w:val="24"/>
          <w:highlight w:val="none"/>
        </w:rPr>
      </w:pPr>
    </w:p>
    <w:p w14:paraId="17066625">
      <w:pPr>
        <w:pStyle w:val="17"/>
        <w:spacing w:line="288" w:lineRule="auto"/>
        <w:rPr>
          <w:rFonts w:ascii="宋体" w:hAnsi="宋体" w:cs="宋体"/>
          <w:b/>
          <w:bCs/>
          <w:color w:val="auto"/>
          <w:sz w:val="24"/>
          <w:highlight w:val="none"/>
        </w:rPr>
      </w:pPr>
    </w:p>
    <w:p w14:paraId="5C5C8538">
      <w:pPr>
        <w:autoSpaceDE w:val="0"/>
        <w:autoSpaceDN w:val="0"/>
        <w:spacing w:line="288"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0CEE88CE">
      <w:pPr>
        <w:spacing w:line="288" w:lineRule="auto"/>
        <w:ind w:firstLine="5040" w:firstLineChars="2100"/>
        <w:jc w:val="left"/>
        <w:rPr>
          <w:rFonts w:ascii="宋体" w:hAnsi="宋体" w:cs="宋体"/>
          <w:b/>
          <w:bCs/>
          <w:color w:val="auto"/>
          <w:sz w:val="28"/>
          <w:szCs w:val="28"/>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bCs/>
          <w:color w:val="auto"/>
          <w:sz w:val="28"/>
          <w:szCs w:val="28"/>
          <w:highlight w:val="none"/>
        </w:rPr>
        <w:t>4.法定代表人身份证明的格式：</w:t>
      </w:r>
    </w:p>
    <w:p w14:paraId="2A424E75">
      <w:pPr>
        <w:spacing w:line="360" w:lineRule="auto"/>
        <w:jc w:val="center"/>
        <w:rPr>
          <w:rFonts w:ascii="宋体" w:hAnsi="宋体" w:cs="宋体"/>
          <w:color w:val="auto"/>
          <w:sz w:val="32"/>
          <w:szCs w:val="32"/>
          <w:highlight w:val="none"/>
        </w:rPr>
      </w:pPr>
      <w:r>
        <w:rPr>
          <w:rFonts w:hint="eastAsia" w:ascii="宋体" w:hAnsi="宋体" w:cs="宋体"/>
          <w:bCs/>
          <w:color w:val="auto"/>
          <w:sz w:val="32"/>
          <w:szCs w:val="32"/>
          <w:highlight w:val="none"/>
        </w:rPr>
        <w:t>法定代表人身份证明</w:t>
      </w:r>
    </w:p>
    <w:p w14:paraId="65EF156D">
      <w:pPr>
        <w:spacing w:line="360" w:lineRule="auto"/>
        <w:ind w:left="540"/>
        <w:contextualSpacing/>
        <w:rPr>
          <w:rFonts w:ascii="宋体" w:hAnsi="宋体" w:cs="宋体"/>
          <w:color w:val="auto"/>
          <w:sz w:val="32"/>
          <w:szCs w:val="32"/>
          <w:highlight w:val="none"/>
        </w:rPr>
      </w:pPr>
    </w:p>
    <w:p w14:paraId="25F8CA4C">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p>
    <w:p w14:paraId="16DC98D2">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p>
    <w:p w14:paraId="108EE09B">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名：性     别：</w:t>
      </w:r>
    </w:p>
    <w:p w14:paraId="7C3DFB60">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龄：职     务：</w:t>
      </w:r>
    </w:p>
    <w:p w14:paraId="0A907863">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p>
    <w:p w14:paraId="09F91B2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5E7A72BF">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0D6526EB">
      <w:pPr>
        <w:spacing w:line="360" w:lineRule="auto"/>
        <w:ind w:left="540"/>
        <w:contextualSpacing/>
        <w:rPr>
          <w:rFonts w:ascii="宋体" w:hAnsi="宋体" w:cs="宋体"/>
          <w:color w:val="auto"/>
          <w:sz w:val="24"/>
          <w:highlight w:val="none"/>
        </w:rPr>
      </w:pPr>
    </w:p>
    <w:p w14:paraId="0B36AC81">
      <w:pPr>
        <w:spacing w:line="360" w:lineRule="auto"/>
        <w:ind w:left="540"/>
        <w:contextualSpacing/>
        <w:rPr>
          <w:rFonts w:ascii="宋体" w:hAnsi="宋体" w:cs="宋体"/>
          <w:color w:val="auto"/>
          <w:sz w:val="24"/>
          <w:highlight w:val="none"/>
        </w:rPr>
      </w:pPr>
    </w:p>
    <w:p w14:paraId="548E5FBA">
      <w:pPr>
        <w:spacing w:line="360" w:lineRule="auto"/>
        <w:ind w:left="540"/>
        <w:contextualSpacing/>
        <w:rPr>
          <w:rFonts w:ascii="宋体" w:hAnsi="宋体" w:cs="宋体"/>
          <w:color w:val="auto"/>
          <w:sz w:val="24"/>
          <w:highlight w:val="none"/>
        </w:rPr>
      </w:pPr>
    </w:p>
    <w:p w14:paraId="1F90149F">
      <w:pPr>
        <w:spacing w:line="360" w:lineRule="auto"/>
        <w:ind w:left="540"/>
        <w:contextualSpacing/>
        <w:outlineLvl w:val="3"/>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23E5DCE">
      <w:pPr>
        <w:spacing w:line="360" w:lineRule="auto"/>
        <w:ind w:left="540"/>
        <w:contextualSpacing/>
        <w:rPr>
          <w:rFonts w:ascii="宋体" w:hAnsi="宋体" w:cs="宋体"/>
          <w:color w:val="auto"/>
          <w:sz w:val="24"/>
          <w:highlight w:val="none"/>
        </w:rPr>
      </w:pPr>
    </w:p>
    <w:p w14:paraId="17A6D395">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2C21CC44">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15FD2146">
      <w:pPr>
        <w:spacing w:line="360" w:lineRule="auto"/>
        <w:contextualSpacing/>
        <w:jc w:val="left"/>
        <w:rPr>
          <w:rFonts w:ascii="宋体" w:hAnsi="宋体" w:cs="宋体"/>
          <w:color w:val="auto"/>
          <w:sz w:val="24"/>
          <w:highlight w:val="none"/>
        </w:rPr>
      </w:pPr>
    </w:p>
    <w:p w14:paraId="0DFF5B42">
      <w:pPr>
        <w:spacing w:line="360" w:lineRule="auto"/>
        <w:contextualSpacing/>
        <w:jc w:val="left"/>
        <w:rPr>
          <w:rFonts w:ascii="宋体" w:hAnsi="宋体" w:cs="宋体"/>
          <w:color w:val="auto"/>
          <w:sz w:val="24"/>
          <w:highlight w:val="none"/>
        </w:rPr>
      </w:pPr>
    </w:p>
    <w:p w14:paraId="49F5DEE7">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36067C43">
      <w:pPr>
        <w:spacing w:line="360" w:lineRule="auto"/>
        <w:ind w:firstLine="420" w:firstLineChars="200"/>
        <w:contextualSpacing/>
        <w:jc w:val="left"/>
        <w:outlineLvl w:val="2"/>
        <w:rPr>
          <w:rFonts w:ascii="宋体" w:hAnsi="宋体" w:cs="宋体"/>
          <w:color w:val="auto"/>
          <w:szCs w:val="21"/>
          <w:highlight w:val="none"/>
        </w:rPr>
      </w:pPr>
      <w:bookmarkStart w:id="182" w:name="_Toc762"/>
      <w:r>
        <w:rPr>
          <w:rFonts w:hint="eastAsia" w:ascii="宋体" w:hAnsi="宋体" w:cs="宋体"/>
          <w:color w:val="auto"/>
          <w:szCs w:val="21"/>
          <w:highlight w:val="none"/>
        </w:rPr>
        <w:t>1.自然人竞标的无需提供，联合体竞标的只需牵头人出具。</w:t>
      </w:r>
      <w:bookmarkEnd w:id="182"/>
    </w:p>
    <w:p w14:paraId="02665CCD">
      <w:pPr>
        <w:spacing w:line="360" w:lineRule="auto"/>
        <w:ind w:firstLine="420" w:firstLineChars="200"/>
        <w:contextualSpacing/>
        <w:jc w:val="left"/>
        <w:rPr>
          <w:rFonts w:ascii="宋体" w:hAnsi="宋体" w:cs="宋体"/>
          <w:color w:val="auto"/>
          <w:szCs w:val="21"/>
          <w:highlight w:val="none"/>
        </w:rPr>
        <w:sectPr>
          <w:pgSz w:w="11911" w:h="16838"/>
          <w:pgMar w:top="1134" w:right="1134" w:bottom="1134" w:left="1134" w:header="720" w:footer="720" w:gutter="0"/>
          <w:cols w:space="720" w:num="1"/>
        </w:sect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EB8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tcPr>
          <w:p w14:paraId="50FB146F">
            <w:pPr>
              <w:spacing w:line="360" w:lineRule="auto"/>
              <w:rPr>
                <w:rFonts w:ascii="宋体" w:hAnsi="宋体" w:cs="宋体"/>
                <w:b/>
                <w:color w:val="auto"/>
                <w:sz w:val="24"/>
                <w:highlight w:val="none"/>
              </w:rPr>
            </w:pPr>
          </w:p>
          <w:p w14:paraId="08C166D9">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法定代表人身份证复印件粘贴处（正、反面）</w:t>
            </w:r>
          </w:p>
        </w:tc>
      </w:tr>
    </w:tbl>
    <w:p w14:paraId="48912553">
      <w:pPr>
        <w:spacing w:line="360" w:lineRule="auto"/>
        <w:ind w:firstLine="482" w:firstLineChars="200"/>
        <w:contextualSpacing/>
        <w:jc w:val="left"/>
        <w:rPr>
          <w:rFonts w:ascii="宋体" w:hAnsi="宋体" w:cs="宋体"/>
          <w:b/>
          <w:color w:val="auto"/>
          <w:sz w:val="32"/>
          <w:szCs w:val="32"/>
          <w:highlight w:val="none"/>
        </w:rPr>
      </w:pPr>
      <w:r>
        <w:rPr>
          <w:rFonts w:hint="eastAsia" w:ascii="宋体" w:hAnsi="宋体" w:cs="宋体"/>
          <w:b/>
          <w:color w:val="auto"/>
          <w:sz w:val="24"/>
          <w:highlight w:val="none"/>
        </w:rPr>
        <w:t>附件：</w:t>
      </w:r>
    </w:p>
    <w:p w14:paraId="1E67CDB6">
      <w:pPr>
        <w:adjustRightInd w:val="0"/>
        <w:snapToGrid w:val="0"/>
        <w:spacing w:line="360" w:lineRule="auto"/>
        <w:jc w:val="left"/>
        <w:rPr>
          <w:rFonts w:ascii="宋体" w:hAnsi="宋体" w:cs="宋体"/>
          <w:b/>
          <w:color w:val="auto"/>
          <w:szCs w:val="21"/>
          <w:highlight w:val="none"/>
        </w:rPr>
      </w:pPr>
    </w:p>
    <w:p w14:paraId="0D85D7EA">
      <w:pPr>
        <w:spacing w:line="360" w:lineRule="auto"/>
        <w:ind w:firstLine="880"/>
        <w:jc w:val="left"/>
        <w:rPr>
          <w:rFonts w:ascii="宋体" w:hAnsi="宋体" w:cs="宋体"/>
          <w:color w:val="auto"/>
          <w:szCs w:val="21"/>
          <w:highlight w:val="none"/>
        </w:rPr>
      </w:pPr>
    </w:p>
    <w:p w14:paraId="47ADE394">
      <w:pPr>
        <w:spacing w:line="360" w:lineRule="auto"/>
        <w:ind w:firstLine="880"/>
        <w:jc w:val="left"/>
        <w:rPr>
          <w:rFonts w:ascii="宋体" w:hAnsi="宋体" w:cs="宋体"/>
          <w:color w:val="auto"/>
          <w:szCs w:val="21"/>
          <w:highlight w:val="none"/>
        </w:rPr>
      </w:pPr>
    </w:p>
    <w:p w14:paraId="57AF51E2">
      <w:pPr>
        <w:spacing w:line="360" w:lineRule="auto"/>
        <w:ind w:firstLine="880"/>
        <w:jc w:val="left"/>
        <w:rPr>
          <w:rFonts w:ascii="宋体" w:hAnsi="宋体" w:cs="宋体"/>
          <w:color w:val="auto"/>
          <w:szCs w:val="21"/>
          <w:highlight w:val="none"/>
        </w:rPr>
      </w:pPr>
    </w:p>
    <w:p w14:paraId="6D8644B2">
      <w:pPr>
        <w:spacing w:line="360" w:lineRule="auto"/>
        <w:ind w:firstLine="880"/>
        <w:jc w:val="left"/>
        <w:rPr>
          <w:rFonts w:ascii="宋体" w:hAnsi="宋体" w:cs="宋体"/>
          <w:color w:val="auto"/>
          <w:szCs w:val="21"/>
          <w:highlight w:val="none"/>
        </w:rPr>
      </w:pPr>
    </w:p>
    <w:p w14:paraId="79264862">
      <w:pPr>
        <w:spacing w:line="360" w:lineRule="auto"/>
        <w:ind w:firstLine="880"/>
        <w:jc w:val="left"/>
        <w:rPr>
          <w:rFonts w:ascii="宋体" w:hAnsi="宋体" w:cs="宋体"/>
          <w:color w:val="auto"/>
          <w:szCs w:val="21"/>
          <w:highlight w:val="none"/>
        </w:rPr>
      </w:pPr>
    </w:p>
    <w:p w14:paraId="612C03BD">
      <w:pPr>
        <w:spacing w:line="360" w:lineRule="auto"/>
        <w:ind w:firstLine="880"/>
        <w:jc w:val="left"/>
        <w:rPr>
          <w:rFonts w:ascii="宋体" w:hAnsi="宋体" w:cs="宋体"/>
          <w:color w:val="auto"/>
          <w:szCs w:val="21"/>
          <w:highlight w:val="none"/>
        </w:rPr>
      </w:pPr>
    </w:p>
    <w:p w14:paraId="6B9F9D6C">
      <w:pPr>
        <w:spacing w:line="360" w:lineRule="auto"/>
        <w:ind w:firstLine="880"/>
        <w:jc w:val="left"/>
        <w:rPr>
          <w:rFonts w:ascii="宋体" w:hAnsi="宋体" w:cs="宋体"/>
          <w:color w:val="auto"/>
          <w:szCs w:val="21"/>
          <w:highlight w:val="none"/>
        </w:rPr>
      </w:pPr>
    </w:p>
    <w:p w14:paraId="11999459">
      <w:pPr>
        <w:spacing w:line="360" w:lineRule="auto"/>
        <w:ind w:firstLine="880"/>
        <w:jc w:val="left"/>
        <w:rPr>
          <w:rFonts w:ascii="宋体" w:hAnsi="宋体" w:cs="宋体"/>
          <w:color w:val="auto"/>
          <w:szCs w:val="21"/>
          <w:highlight w:val="none"/>
        </w:rPr>
      </w:pPr>
    </w:p>
    <w:p w14:paraId="70DC0ABA">
      <w:pPr>
        <w:spacing w:line="360" w:lineRule="auto"/>
        <w:ind w:firstLine="880"/>
        <w:jc w:val="left"/>
        <w:rPr>
          <w:rFonts w:ascii="宋体" w:hAnsi="宋体" w:cs="宋体"/>
          <w:color w:val="auto"/>
          <w:szCs w:val="21"/>
          <w:highlight w:val="none"/>
        </w:rPr>
      </w:pPr>
    </w:p>
    <w:p w14:paraId="2626B7EA">
      <w:pPr>
        <w:spacing w:line="360" w:lineRule="auto"/>
        <w:ind w:firstLine="880"/>
        <w:jc w:val="left"/>
        <w:rPr>
          <w:rFonts w:ascii="宋体" w:hAnsi="宋体" w:cs="宋体"/>
          <w:color w:val="auto"/>
          <w:szCs w:val="21"/>
          <w:highlight w:val="none"/>
        </w:rPr>
      </w:pPr>
    </w:p>
    <w:p w14:paraId="43DD937D">
      <w:pPr>
        <w:spacing w:line="360" w:lineRule="auto"/>
        <w:ind w:firstLine="880"/>
        <w:jc w:val="left"/>
        <w:rPr>
          <w:rFonts w:ascii="宋体" w:hAnsi="宋体" w:cs="宋体"/>
          <w:color w:val="auto"/>
          <w:szCs w:val="21"/>
          <w:highlight w:val="none"/>
        </w:rPr>
      </w:pPr>
    </w:p>
    <w:p w14:paraId="479E605D">
      <w:pPr>
        <w:spacing w:line="360" w:lineRule="auto"/>
        <w:ind w:firstLine="880"/>
        <w:jc w:val="left"/>
        <w:rPr>
          <w:rFonts w:ascii="宋体" w:hAnsi="宋体" w:cs="宋体"/>
          <w:color w:val="auto"/>
          <w:szCs w:val="21"/>
          <w:highlight w:val="none"/>
        </w:rPr>
      </w:pPr>
    </w:p>
    <w:p w14:paraId="6E9F8A2B">
      <w:pPr>
        <w:spacing w:line="360" w:lineRule="auto"/>
        <w:ind w:firstLine="880"/>
        <w:jc w:val="left"/>
        <w:rPr>
          <w:rFonts w:ascii="宋体" w:hAnsi="宋体" w:cs="宋体"/>
          <w:color w:val="auto"/>
          <w:szCs w:val="21"/>
          <w:highlight w:val="none"/>
        </w:rPr>
      </w:pPr>
    </w:p>
    <w:p w14:paraId="1CBE400B">
      <w:pPr>
        <w:spacing w:line="360" w:lineRule="auto"/>
        <w:ind w:firstLine="880"/>
        <w:jc w:val="left"/>
        <w:rPr>
          <w:rFonts w:ascii="宋体" w:hAnsi="宋体" w:cs="宋体"/>
          <w:color w:val="auto"/>
          <w:szCs w:val="21"/>
          <w:highlight w:val="none"/>
        </w:rPr>
      </w:pPr>
    </w:p>
    <w:p w14:paraId="0BCE682B">
      <w:pPr>
        <w:spacing w:line="360" w:lineRule="auto"/>
        <w:ind w:firstLine="880"/>
        <w:jc w:val="left"/>
        <w:rPr>
          <w:rFonts w:ascii="宋体" w:hAnsi="宋体" w:cs="宋体"/>
          <w:color w:val="auto"/>
          <w:szCs w:val="21"/>
          <w:highlight w:val="none"/>
        </w:rPr>
      </w:pPr>
    </w:p>
    <w:p w14:paraId="17987870">
      <w:pPr>
        <w:spacing w:line="360" w:lineRule="auto"/>
        <w:ind w:firstLine="880"/>
        <w:jc w:val="left"/>
        <w:rPr>
          <w:rFonts w:ascii="宋体" w:hAnsi="宋体" w:cs="宋体"/>
          <w:color w:val="auto"/>
          <w:szCs w:val="21"/>
          <w:highlight w:val="none"/>
        </w:rPr>
      </w:pPr>
    </w:p>
    <w:p w14:paraId="0F5B735C">
      <w:pPr>
        <w:spacing w:line="360" w:lineRule="auto"/>
        <w:ind w:firstLine="880"/>
        <w:jc w:val="left"/>
        <w:rPr>
          <w:rFonts w:ascii="宋体" w:hAnsi="宋体" w:cs="宋体"/>
          <w:color w:val="auto"/>
          <w:szCs w:val="21"/>
          <w:highlight w:val="none"/>
        </w:rPr>
      </w:pPr>
    </w:p>
    <w:p w14:paraId="2CE6E31B">
      <w:pPr>
        <w:spacing w:line="360" w:lineRule="auto"/>
        <w:ind w:firstLine="880"/>
        <w:jc w:val="left"/>
        <w:rPr>
          <w:rFonts w:ascii="宋体" w:hAnsi="宋体" w:cs="宋体"/>
          <w:color w:val="auto"/>
          <w:szCs w:val="21"/>
          <w:highlight w:val="none"/>
        </w:rPr>
      </w:pPr>
    </w:p>
    <w:p w14:paraId="7CFB7F0D">
      <w:pPr>
        <w:spacing w:line="360" w:lineRule="auto"/>
        <w:jc w:val="left"/>
        <w:outlineLvl w:val="2"/>
        <w:rPr>
          <w:rFonts w:ascii="宋体" w:hAnsi="宋体" w:cs="宋体"/>
          <w:bCs/>
          <w:color w:val="auto"/>
          <w:sz w:val="44"/>
          <w:szCs w:val="44"/>
          <w:highlight w:val="none"/>
        </w:rPr>
      </w:pPr>
      <w:r>
        <w:rPr>
          <w:rFonts w:hint="eastAsia" w:ascii="宋体" w:hAnsi="宋体" w:cs="宋体"/>
          <w:color w:val="auto"/>
          <w:sz w:val="44"/>
          <w:szCs w:val="44"/>
          <w:highlight w:val="none"/>
        </w:rPr>
        <w:br w:type="page"/>
      </w:r>
      <w:bookmarkStart w:id="183" w:name="_Toc17034"/>
      <w:r>
        <w:rPr>
          <w:rFonts w:hint="eastAsia" w:ascii="宋体" w:hAnsi="宋体" w:cs="宋体"/>
          <w:b/>
          <w:bCs/>
          <w:color w:val="auto"/>
          <w:sz w:val="28"/>
          <w:szCs w:val="28"/>
          <w:highlight w:val="none"/>
        </w:rPr>
        <w:t>5.法定代表人授权委托书的格式：</w:t>
      </w:r>
      <w:bookmarkEnd w:id="183"/>
    </w:p>
    <w:p w14:paraId="142C302B">
      <w:pPr>
        <w:spacing w:line="360" w:lineRule="auto"/>
        <w:jc w:val="center"/>
        <w:rPr>
          <w:rFonts w:ascii="宋体" w:hAnsi="宋体" w:cs="宋体"/>
          <w:color w:val="auto"/>
          <w:sz w:val="44"/>
          <w:szCs w:val="44"/>
          <w:highlight w:val="none"/>
        </w:rPr>
      </w:pPr>
    </w:p>
    <w:p w14:paraId="235ABC1D">
      <w:pPr>
        <w:spacing w:line="360" w:lineRule="auto"/>
        <w:jc w:val="center"/>
        <w:outlineLvl w:val="3"/>
        <w:rPr>
          <w:rFonts w:ascii="宋体" w:hAnsi="宋体" w:cs="宋体"/>
          <w:color w:val="auto"/>
          <w:sz w:val="32"/>
          <w:szCs w:val="32"/>
          <w:highlight w:val="none"/>
        </w:rPr>
      </w:pPr>
      <w:r>
        <w:rPr>
          <w:rFonts w:hint="eastAsia" w:ascii="宋体" w:hAnsi="宋体" w:cs="宋体"/>
          <w:color w:val="auto"/>
          <w:sz w:val="32"/>
          <w:szCs w:val="32"/>
          <w:highlight w:val="none"/>
        </w:rPr>
        <w:t>授权委托书（非联合体竞标格式）</w:t>
      </w:r>
    </w:p>
    <w:p w14:paraId="49EAEC36">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（如有委托时）</w:t>
      </w:r>
    </w:p>
    <w:p w14:paraId="4C0E9CF2">
      <w:pPr>
        <w:spacing w:line="360" w:lineRule="auto"/>
        <w:rPr>
          <w:rFonts w:ascii="宋体" w:hAnsi="宋体" w:cs="宋体"/>
          <w:color w:val="auto"/>
          <w:sz w:val="32"/>
          <w:szCs w:val="32"/>
          <w:highlight w:val="none"/>
        </w:rPr>
      </w:pPr>
    </w:p>
    <w:p w14:paraId="7BD8FF7A">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0A926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i/>
          <w:iCs/>
          <w:color w:val="auto"/>
          <w:sz w:val="24"/>
          <w:highlight w:val="none"/>
          <w:u w:val="single"/>
        </w:rPr>
        <w:t>（姓名）</w:t>
      </w:r>
      <w:r>
        <w:rPr>
          <w:rFonts w:hint="eastAsia" w:ascii="宋体" w:hAnsi="宋体" w:cs="宋体"/>
          <w:color w:val="auto"/>
          <w:sz w:val="24"/>
          <w:highlight w:val="none"/>
        </w:rPr>
        <w:t>系</w:t>
      </w:r>
      <w:r>
        <w:rPr>
          <w:rFonts w:hint="eastAsia" w:ascii="宋体" w:hAnsi="宋体" w:cs="宋体"/>
          <w:i/>
          <w:iCs/>
          <w:color w:val="auto"/>
          <w:sz w:val="24"/>
          <w:highlight w:val="none"/>
          <w:u w:val="single"/>
        </w:rPr>
        <w:t>（供应商名称）</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i/>
          <w:iCs/>
          <w:color w:val="auto"/>
          <w:sz w:val="24"/>
          <w:highlight w:val="none"/>
          <w:u w:val="single"/>
        </w:rPr>
        <w:t>（姓名）</w:t>
      </w:r>
      <w:r>
        <w:rPr>
          <w:rFonts w:hint="eastAsia" w:ascii="宋体" w:hAnsi="宋体" w:cs="宋体"/>
          <w:color w:val="auto"/>
          <w:sz w:val="24"/>
          <w:highlight w:val="none"/>
        </w:rPr>
        <w:t>以我方的名义参加</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项目的竞标活动，并代表我方全权办理针对上述项目的所有采购程序和环节的具体事务和签署相关文件。</w:t>
      </w:r>
    </w:p>
    <w:p w14:paraId="083196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5FA7B0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159D3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52F068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附：委托代理人有效身份证正反面复印件</w:t>
      </w:r>
    </w:p>
    <w:p w14:paraId="6704764E">
      <w:pPr>
        <w:spacing w:line="360" w:lineRule="auto"/>
        <w:rPr>
          <w:rFonts w:ascii="宋体" w:hAnsi="宋体" w:cs="宋体"/>
          <w:color w:val="auto"/>
          <w:sz w:val="24"/>
          <w:highlight w:val="none"/>
        </w:rPr>
      </w:pPr>
    </w:p>
    <w:p w14:paraId="415952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52A414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0E52FC81">
      <w:pPr>
        <w:spacing w:line="360" w:lineRule="auto"/>
        <w:rPr>
          <w:rFonts w:ascii="宋体" w:hAnsi="宋体" w:cs="宋体"/>
          <w:color w:val="auto"/>
          <w:sz w:val="24"/>
          <w:highlight w:val="none"/>
        </w:rPr>
      </w:pPr>
    </w:p>
    <w:p w14:paraId="41C54648">
      <w:pPr>
        <w:spacing w:line="360" w:lineRule="auto"/>
        <w:rPr>
          <w:rFonts w:ascii="宋体" w:hAnsi="宋体" w:cs="宋体"/>
          <w:color w:val="auto"/>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170366E5">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23A27F14">
      <w:pPr>
        <w:spacing w:line="360" w:lineRule="auto"/>
        <w:rPr>
          <w:rFonts w:ascii="宋体" w:hAnsi="宋体" w:cs="宋体"/>
          <w:color w:val="auto"/>
          <w:sz w:val="24"/>
          <w:highlight w:val="none"/>
        </w:rPr>
      </w:pPr>
    </w:p>
    <w:p w14:paraId="1FB1D2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383630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14:paraId="391FEBF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8617DA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法人、其他组织竞标时“我方”是指“我单位”，自然人竞标时“我方”是指“本人”。</w:t>
      </w:r>
    </w:p>
    <w:p w14:paraId="469F0748">
      <w:pPr>
        <w:spacing w:line="360" w:lineRule="auto"/>
        <w:jc w:val="center"/>
        <w:rPr>
          <w:rFonts w:ascii="宋体" w:hAnsi="宋体" w:cs="宋体"/>
          <w:b/>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授权委托书（联合体竞标格式）</w:t>
      </w:r>
    </w:p>
    <w:p w14:paraId="1E95BA62">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（如有委托时）</w:t>
      </w:r>
    </w:p>
    <w:p w14:paraId="04349194">
      <w:pPr>
        <w:spacing w:line="360" w:lineRule="auto"/>
        <w:jc w:val="center"/>
        <w:rPr>
          <w:rFonts w:ascii="宋体" w:hAnsi="宋体" w:cs="宋体"/>
          <w:color w:val="auto"/>
          <w:sz w:val="44"/>
          <w:szCs w:val="44"/>
          <w:highlight w:val="none"/>
        </w:rPr>
      </w:pPr>
    </w:p>
    <w:p w14:paraId="74C1D831">
      <w:pPr>
        <w:spacing w:line="360" w:lineRule="auto"/>
        <w:jc w:val="center"/>
        <w:rPr>
          <w:rFonts w:ascii="宋体" w:hAnsi="宋体" w:cs="宋体"/>
          <w:color w:val="auto"/>
          <w:sz w:val="32"/>
          <w:szCs w:val="32"/>
          <w:highlight w:val="none"/>
        </w:rPr>
      </w:pPr>
    </w:p>
    <w:p w14:paraId="715E30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本授权委托书声明：根据（牵头人名称）与（联合体其他成员名称）签订的《联合体竞标协议书》的内容，（牵头人名称）的法定代表人</w:t>
      </w:r>
      <w:r>
        <w:rPr>
          <w:rFonts w:hint="eastAsia" w:ascii="宋体" w:hAnsi="宋体" w:cs="宋体"/>
          <w:i/>
          <w:iCs/>
          <w:color w:val="auto"/>
          <w:sz w:val="24"/>
          <w:highlight w:val="none"/>
          <w:u w:val="single"/>
        </w:rPr>
        <w:t>（姓名）</w:t>
      </w:r>
      <w:r>
        <w:rPr>
          <w:rFonts w:hint="eastAsia" w:ascii="宋体" w:hAnsi="宋体" w:cs="宋体"/>
          <w:color w:val="auto"/>
          <w:sz w:val="24"/>
          <w:highlight w:val="none"/>
        </w:rPr>
        <w:t>现授权</w:t>
      </w:r>
      <w:r>
        <w:rPr>
          <w:rFonts w:hint="eastAsia" w:ascii="宋体" w:hAnsi="宋体" w:cs="宋体"/>
          <w:i/>
          <w:iCs/>
          <w:color w:val="auto"/>
          <w:sz w:val="24"/>
          <w:highlight w:val="none"/>
          <w:u w:val="single"/>
        </w:rPr>
        <w:t xml:space="preserve"> （姓名）</w:t>
      </w:r>
      <w:r>
        <w:rPr>
          <w:rFonts w:hint="eastAsia" w:ascii="宋体" w:hAnsi="宋体" w:cs="宋体"/>
          <w:color w:val="auto"/>
          <w:sz w:val="24"/>
          <w:highlight w:val="none"/>
        </w:rPr>
        <w:t>为联合委托代理人，并代表我方全权办理针对上述项目的所有采购程序和环节的具体事务和签署相关文件。</w:t>
      </w:r>
    </w:p>
    <w:p w14:paraId="539AB1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617F5B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626A5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27CA35F">
      <w:pPr>
        <w:spacing w:line="360" w:lineRule="auto"/>
        <w:rPr>
          <w:rFonts w:ascii="宋体" w:hAnsi="宋体" w:cs="宋体"/>
          <w:color w:val="auto"/>
          <w:sz w:val="24"/>
          <w:highlight w:val="none"/>
        </w:rPr>
      </w:pPr>
    </w:p>
    <w:p w14:paraId="621308F8">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w:t>
      </w:r>
    </w:p>
    <w:p w14:paraId="56DB731B">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牵头人名称（盖公章）：</w:t>
      </w:r>
    </w:p>
    <w:p w14:paraId="0899AA21">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7D9D076A">
      <w:pPr>
        <w:spacing w:line="360" w:lineRule="auto"/>
        <w:rPr>
          <w:rFonts w:ascii="宋体" w:hAnsi="宋体" w:cs="宋体"/>
          <w:color w:val="auto"/>
          <w:sz w:val="24"/>
          <w:highlight w:val="none"/>
        </w:rPr>
      </w:pPr>
    </w:p>
    <w:p w14:paraId="66135606">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委托代理人（签字）：</w:t>
      </w:r>
    </w:p>
    <w:p w14:paraId="04F0E241">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6078DF62">
      <w:pPr>
        <w:spacing w:line="360" w:lineRule="auto"/>
        <w:rPr>
          <w:rFonts w:ascii="宋体" w:hAnsi="宋体" w:cs="宋体"/>
          <w:color w:val="auto"/>
          <w:sz w:val="24"/>
          <w:highlight w:val="none"/>
        </w:rPr>
      </w:pPr>
    </w:p>
    <w:p w14:paraId="22FE89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3628B7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14:paraId="7786A8EC">
      <w:pPr>
        <w:spacing w:line="360" w:lineRule="auto"/>
        <w:ind w:firstLine="420" w:firstLineChars="200"/>
        <w:jc w:val="left"/>
        <w:outlineLvl w:val="2"/>
        <w:rPr>
          <w:rFonts w:ascii="宋体" w:hAnsi="宋体" w:cs="宋体"/>
          <w:color w:val="auto"/>
          <w:szCs w:val="21"/>
          <w:highlight w:val="none"/>
        </w:rPr>
      </w:pPr>
      <w:bookmarkStart w:id="184" w:name="_Toc16293"/>
      <w:r>
        <w:rPr>
          <w:rFonts w:hint="eastAsia" w:ascii="宋体" w:hAnsi="宋体" w:cs="宋体"/>
          <w:color w:val="auto"/>
          <w:szCs w:val="21"/>
          <w:highlight w:val="none"/>
        </w:rPr>
        <w:t>2.本授权委托书应由联合体牵头人的法定代表人按上述规定签署。</w:t>
      </w:r>
      <w:bookmarkEnd w:id="184"/>
    </w:p>
    <w:p w14:paraId="4877A34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B80E163">
      <w:pPr>
        <w:spacing w:line="360" w:lineRule="auto"/>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4.法人、其他组织竞标时“我方”是指“我单位”，自然人竞标时“我方”是指“本人”。</w:t>
      </w:r>
    </w:p>
    <w:p w14:paraId="73715C43">
      <w:pPr>
        <w:spacing w:line="360" w:lineRule="auto"/>
        <w:ind w:firstLine="420" w:firstLineChars="200"/>
        <w:jc w:val="left"/>
        <w:rPr>
          <w:rFonts w:ascii="宋体" w:hAnsi="宋体" w:cs="宋体"/>
          <w:color w:val="auto"/>
          <w:szCs w:val="21"/>
          <w:highlight w:val="none"/>
        </w:rPr>
      </w:pPr>
    </w:p>
    <w:p w14:paraId="18C5AE19">
      <w:pPr>
        <w:spacing w:line="360" w:lineRule="auto"/>
        <w:jc w:val="left"/>
        <w:outlineLvl w:val="2"/>
        <w:rPr>
          <w:rFonts w:ascii="宋体" w:hAnsi="宋体" w:cs="宋体"/>
          <w:b/>
          <w:color w:val="auto"/>
          <w:sz w:val="30"/>
          <w:szCs w:val="30"/>
          <w:highlight w:val="none"/>
        </w:rPr>
      </w:pPr>
      <w:r>
        <w:rPr>
          <w:rFonts w:hint="eastAsia" w:ascii="宋体" w:hAnsi="宋体" w:cs="宋体"/>
          <w:color w:val="auto"/>
          <w:sz w:val="32"/>
          <w:szCs w:val="32"/>
          <w:highlight w:val="none"/>
        </w:rPr>
        <w:br w:type="page"/>
      </w:r>
      <w:bookmarkStart w:id="185" w:name="_Toc21663"/>
      <w:r>
        <w:rPr>
          <w:rFonts w:hint="eastAsia" w:ascii="宋体" w:hAnsi="宋体" w:cs="宋体"/>
          <w:b/>
          <w:color w:val="auto"/>
          <w:sz w:val="28"/>
          <w:szCs w:val="28"/>
          <w:highlight w:val="none"/>
        </w:rPr>
        <w:t>6.商务条款偏离表的格式：</w:t>
      </w:r>
      <w:bookmarkEnd w:id="185"/>
    </w:p>
    <w:p w14:paraId="1FD23B75">
      <w:pPr>
        <w:pStyle w:val="17"/>
        <w:spacing w:line="360" w:lineRule="auto"/>
        <w:rPr>
          <w:rFonts w:ascii="宋体" w:hAnsi="宋体" w:cs="宋体"/>
          <w:color w:val="auto"/>
          <w:highlight w:val="none"/>
        </w:rPr>
      </w:pPr>
    </w:p>
    <w:p w14:paraId="3BC5D6A3">
      <w:pPr>
        <w:spacing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4B4BC0E4">
      <w:pPr>
        <w:spacing w:line="360" w:lineRule="auto"/>
        <w:rPr>
          <w:rFonts w:ascii="宋体" w:hAnsi="宋体" w:cs="宋体"/>
          <w:color w:val="auto"/>
          <w:sz w:val="32"/>
          <w:szCs w:val="32"/>
          <w:highlight w:val="none"/>
        </w:rPr>
      </w:pPr>
    </w:p>
    <w:p w14:paraId="4927CC67">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p>
    <w:p w14:paraId="4A7AE66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项目编号：</w:t>
      </w:r>
    </w:p>
    <w:p w14:paraId="5D152E91">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p>
    <w:tbl>
      <w:tblPr>
        <w:tblStyle w:val="2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1B0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1" w:type="dxa"/>
            <w:tcBorders>
              <w:top w:val="single" w:color="auto" w:sz="4" w:space="0"/>
              <w:left w:val="single" w:color="auto" w:sz="4" w:space="0"/>
              <w:bottom w:val="single" w:color="auto" w:sz="4" w:space="0"/>
              <w:right w:val="single" w:color="auto" w:sz="4" w:space="0"/>
            </w:tcBorders>
            <w:noWrap/>
            <w:vAlign w:val="center"/>
          </w:tcPr>
          <w:p w14:paraId="0D57AD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ign w:val="center"/>
          </w:tcPr>
          <w:p w14:paraId="049C7C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竞争性磋商文件的商务条款</w:t>
            </w:r>
          </w:p>
        </w:tc>
        <w:tc>
          <w:tcPr>
            <w:tcW w:w="3589" w:type="dxa"/>
            <w:tcBorders>
              <w:top w:val="single" w:color="auto" w:sz="4" w:space="0"/>
              <w:left w:val="single" w:color="auto" w:sz="4" w:space="0"/>
              <w:bottom w:val="single" w:color="auto" w:sz="4" w:space="0"/>
              <w:right w:val="single" w:color="auto" w:sz="4" w:space="0"/>
            </w:tcBorders>
            <w:noWrap/>
            <w:vAlign w:val="center"/>
          </w:tcPr>
          <w:p w14:paraId="63BE45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noWrap/>
            <w:vAlign w:val="center"/>
          </w:tcPr>
          <w:p w14:paraId="18A2DC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2945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14:paraId="6D7F5686">
            <w:pPr>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tcPr>
          <w:p w14:paraId="68B466A7">
            <w:pPr>
              <w:spacing w:line="360" w:lineRule="auto"/>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tcPr>
          <w:p w14:paraId="025B57B2">
            <w:pPr>
              <w:spacing w:line="360" w:lineRule="auto"/>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tcPr>
          <w:p w14:paraId="150344B9">
            <w:pPr>
              <w:spacing w:line="360" w:lineRule="auto"/>
              <w:rPr>
                <w:rFonts w:ascii="宋体" w:hAnsi="宋体" w:cs="宋体"/>
                <w:color w:val="auto"/>
                <w:szCs w:val="21"/>
                <w:highlight w:val="none"/>
              </w:rPr>
            </w:pPr>
          </w:p>
        </w:tc>
      </w:tr>
      <w:tr w14:paraId="7147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14:paraId="33D511C9">
            <w:pPr>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tcPr>
          <w:p w14:paraId="491DF937">
            <w:pPr>
              <w:spacing w:line="360" w:lineRule="auto"/>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tcPr>
          <w:p w14:paraId="46C51AAB">
            <w:pPr>
              <w:spacing w:line="360" w:lineRule="auto"/>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tcPr>
          <w:p w14:paraId="28882FD5">
            <w:pPr>
              <w:spacing w:line="360" w:lineRule="auto"/>
              <w:rPr>
                <w:rFonts w:ascii="宋体" w:hAnsi="宋体" w:cs="宋体"/>
                <w:color w:val="auto"/>
                <w:szCs w:val="21"/>
                <w:highlight w:val="none"/>
              </w:rPr>
            </w:pPr>
          </w:p>
        </w:tc>
      </w:tr>
      <w:tr w14:paraId="3026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tcPr>
          <w:p w14:paraId="77753DBB">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tcPr>
          <w:p w14:paraId="502191FA">
            <w:pPr>
              <w:spacing w:line="360" w:lineRule="auto"/>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tcPr>
          <w:p w14:paraId="6D96BAC4">
            <w:pPr>
              <w:spacing w:line="360" w:lineRule="auto"/>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tcPr>
          <w:p w14:paraId="4CBF4624">
            <w:pPr>
              <w:spacing w:line="360" w:lineRule="auto"/>
              <w:rPr>
                <w:rFonts w:ascii="宋体" w:hAnsi="宋体" w:cs="宋体"/>
                <w:color w:val="auto"/>
                <w:szCs w:val="21"/>
                <w:highlight w:val="none"/>
              </w:rPr>
            </w:pPr>
          </w:p>
        </w:tc>
      </w:tr>
    </w:tbl>
    <w:p w14:paraId="1C8555D4">
      <w:pPr>
        <w:pStyle w:val="13"/>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85493E6">
      <w:pPr>
        <w:pStyle w:val="13"/>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1.应对照磋商文件“第二章 采购需求”中的商务条款逐条作出明确响应，并作出偏离说明。</w:t>
      </w:r>
    </w:p>
    <w:p w14:paraId="1F4E15E3">
      <w:pPr>
        <w:pStyle w:val="13"/>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14:paraId="6A6E26B0">
      <w:pPr>
        <w:spacing w:line="360" w:lineRule="auto"/>
        <w:ind w:firstLine="480" w:firstLineChars="200"/>
        <w:outlineLvl w:val="2"/>
        <w:rPr>
          <w:rFonts w:ascii="宋体" w:hAnsi="宋体" w:cs="宋体"/>
          <w:color w:val="auto"/>
          <w:kern w:val="0"/>
          <w:sz w:val="24"/>
          <w:highlight w:val="none"/>
        </w:rPr>
      </w:pPr>
      <w:bookmarkStart w:id="186" w:name="_Toc29119"/>
      <w:r>
        <w:rPr>
          <w:rFonts w:hint="eastAsia" w:ascii="宋体" w:hAnsi="宋体" w:cs="宋体"/>
          <w:color w:val="auto"/>
          <w:kern w:val="0"/>
          <w:sz w:val="24"/>
          <w:highlight w:val="none"/>
        </w:rPr>
        <w:t>3.表格内容均需按要求填写，不得留空，</w:t>
      </w:r>
      <w:r>
        <w:rPr>
          <w:rFonts w:hint="eastAsia" w:ascii="宋体" w:hAnsi="宋体" w:cs="宋体"/>
          <w:b/>
          <w:bCs/>
          <w:color w:val="auto"/>
          <w:kern w:val="0"/>
          <w:sz w:val="24"/>
          <w:highlight w:val="none"/>
        </w:rPr>
        <w:t>否则按竞标无效处理。</w:t>
      </w:r>
      <w:bookmarkEnd w:id="186"/>
    </w:p>
    <w:p w14:paraId="2E31BD04">
      <w:pPr>
        <w:spacing w:line="360" w:lineRule="auto"/>
        <w:ind w:firstLine="480" w:firstLineChars="200"/>
        <w:contextualSpacing/>
        <w:rPr>
          <w:rFonts w:ascii="宋体" w:hAnsi="宋体" w:cs="宋体"/>
          <w:color w:val="auto"/>
          <w:kern w:val="0"/>
          <w:sz w:val="24"/>
          <w:highlight w:val="none"/>
        </w:rPr>
      </w:pPr>
    </w:p>
    <w:p w14:paraId="16A2037C">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576396A9">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5A46A37E">
      <w:pPr>
        <w:snapToGrid w:val="0"/>
        <w:spacing w:line="360" w:lineRule="auto"/>
        <w:ind w:firstLine="602" w:firstLineChars="200"/>
        <w:rPr>
          <w:rFonts w:ascii="宋体" w:hAnsi="宋体" w:cs="宋体"/>
          <w:b/>
          <w:color w:val="auto"/>
          <w:sz w:val="30"/>
          <w:szCs w:val="30"/>
          <w:highlight w:val="none"/>
        </w:rPr>
      </w:pPr>
    </w:p>
    <w:p w14:paraId="6EEE49C2">
      <w:pPr>
        <w:snapToGrid w:val="0"/>
        <w:spacing w:line="360" w:lineRule="auto"/>
        <w:ind w:firstLine="602" w:firstLineChars="200"/>
        <w:rPr>
          <w:rFonts w:ascii="宋体" w:hAnsi="宋体" w:cs="宋体"/>
          <w:b/>
          <w:color w:val="auto"/>
          <w:sz w:val="30"/>
          <w:szCs w:val="30"/>
          <w:highlight w:val="none"/>
        </w:rPr>
      </w:pPr>
    </w:p>
    <w:p w14:paraId="659C9335">
      <w:pPr>
        <w:pStyle w:val="17"/>
        <w:spacing w:line="360" w:lineRule="auto"/>
        <w:rPr>
          <w:rFonts w:ascii="宋体" w:hAnsi="宋体" w:cs="宋体"/>
          <w:color w:val="auto"/>
          <w:highlight w:val="none"/>
        </w:rPr>
      </w:pPr>
    </w:p>
    <w:p w14:paraId="1F5385F2">
      <w:pPr>
        <w:snapToGrid w:val="0"/>
        <w:spacing w:line="360" w:lineRule="auto"/>
        <w:ind w:firstLine="602" w:firstLineChars="200"/>
        <w:rPr>
          <w:rFonts w:ascii="宋体" w:hAnsi="宋体" w:cs="宋体"/>
          <w:b/>
          <w:color w:val="auto"/>
          <w:sz w:val="30"/>
          <w:szCs w:val="30"/>
          <w:highlight w:val="none"/>
        </w:rPr>
      </w:pPr>
    </w:p>
    <w:p w14:paraId="042E39A9">
      <w:pPr>
        <w:pStyle w:val="20"/>
        <w:snapToGrid w:val="0"/>
        <w:spacing w:line="360" w:lineRule="auto"/>
        <w:ind w:left="562" w:hanging="562"/>
        <w:outlineLvl w:val="2"/>
        <w:rPr>
          <w:rFonts w:ascii="宋体" w:hAnsi="宋体" w:cs="宋体"/>
          <w:i/>
          <w:iCs/>
          <w:color w:val="auto"/>
          <w:sz w:val="24"/>
          <w:highlight w:val="none"/>
        </w:rPr>
      </w:pPr>
      <w:bookmarkStart w:id="187" w:name="_Toc17253"/>
      <w:r>
        <w:rPr>
          <w:rFonts w:hint="eastAsia" w:ascii="宋体" w:hAnsi="宋体" w:cs="宋体"/>
          <w:b/>
          <w:color w:val="auto"/>
          <w:sz w:val="28"/>
          <w:szCs w:val="28"/>
          <w:highlight w:val="none"/>
        </w:rPr>
        <w:t>7.供应商类似的业绩证明文件</w:t>
      </w:r>
      <w:r>
        <w:rPr>
          <w:rFonts w:hint="eastAsia" w:ascii="宋体" w:hAnsi="宋体" w:cs="宋体"/>
          <w:b/>
          <w:bCs/>
          <w:color w:val="auto"/>
          <w:sz w:val="30"/>
          <w:szCs w:val="30"/>
          <w:highlight w:val="none"/>
        </w:rPr>
        <w:t>（如有要求）：</w:t>
      </w:r>
      <w:bookmarkEnd w:id="187"/>
    </w:p>
    <w:p w14:paraId="48262C58">
      <w:pPr>
        <w:spacing w:line="360" w:lineRule="auto"/>
        <w:ind w:firstLine="2880" w:firstLineChars="900"/>
        <w:contextualSpacing/>
        <w:rPr>
          <w:rFonts w:ascii="宋体" w:hAnsi="宋体" w:cs="宋体"/>
          <w:color w:val="auto"/>
          <w:sz w:val="32"/>
          <w:szCs w:val="32"/>
          <w:highlight w:val="none"/>
        </w:rPr>
      </w:pPr>
    </w:p>
    <w:tbl>
      <w:tblPr>
        <w:tblStyle w:val="23"/>
        <w:tblpPr w:leftFromText="180" w:rightFromText="180" w:vertAnchor="page" w:horzAnchor="page" w:tblpX="1087" w:tblpY="4677"/>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2131"/>
        <w:gridCol w:w="2117"/>
        <w:gridCol w:w="1705"/>
      </w:tblGrid>
      <w:tr w14:paraId="27B73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noWrap/>
            <w:vAlign w:val="center"/>
          </w:tcPr>
          <w:p w14:paraId="34EE4C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noWrap/>
            <w:vAlign w:val="center"/>
          </w:tcPr>
          <w:p w14:paraId="0D1A64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14:paraId="23112A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471D7A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248561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248" w:type="dxa"/>
            <w:gridSpan w:val="2"/>
            <w:tcBorders>
              <w:top w:val="single" w:color="auto" w:sz="4" w:space="0"/>
              <w:left w:val="single" w:color="auto" w:sz="4" w:space="0"/>
              <w:bottom w:val="single" w:color="auto" w:sz="4" w:space="0"/>
              <w:right w:val="single" w:color="auto" w:sz="4" w:space="0"/>
            </w:tcBorders>
            <w:noWrap/>
            <w:vAlign w:val="center"/>
          </w:tcPr>
          <w:p w14:paraId="6E07D6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705" w:type="dxa"/>
            <w:vMerge w:val="restart"/>
            <w:tcBorders>
              <w:top w:val="single" w:color="auto" w:sz="4" w:space="0"/>
              <w:left w:val="single" w:color="auto" w:sz="4" w:space="0"/>
              <w:bottom w:val="single" w:color="auto" w:sz="4" w:space="0"/>
              <w:right w:val="single" w:color="auto" w:sz="4" w:space="0"/>
            </w:tcBorders>
            <w:noWrap/>
            <w:vAlign w:val="center"/>
          </w:tcPr>
          <w:p w14:paraId="6F2CEF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6FFB8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noWrap/>
            <w:vAlign w:val="center"/>
          </w:tcPr>
          <w:p w14:paraId="3C101024">
            <w:pPr>
              <w:spacing w:line="360" w:lineRule="auto"/>
              <w:jc w:val="left"/>
              <w:rPr>
                <w:rFonts w:ascii="宋体" w:hAnsi="宋体" w:cs="宋体"/>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noWrap/>
            <w:vAlign w:val="center"/>
          </w:tcPr>
          <w:p w14:paraId="15337203">
            <w:pPr>
              <w:spacing w:line="360" w:lineRule="auto"/>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04253446">
            <w:pPr>
              <w:spacing w:line="360" w:lineRule="auto"/>
              <w:jc w:val="left"/>
              <w:rPr>
                <w:rFonts w:ascii="宋体" w:hAnsi="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vAlign w:val="center"/>
          </w:tcPr>
          <w:p w14:paraId="2DB238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任务下达书或中标/成交通知书或合同</w:t>
            </w:r>
          </w:p>
        </w:tc>
        <w:tc>
          <w:tcPr>
            <w:tcW w:w="2117" w:type="dxa"/>
            <w:tcBorders>
              <w:top w:val="single" w:color="auto" w:sz="4" w:space="0"/>
              <w:left w:val="single" w:color="auto" w:sz="4" w:space="0"/>
              <w:bottom w:val="single" w:color="auto" w:sz="4" w:space="0"/>
              <w:right w:val="single" w:color="auto" w:sz="4" w:space="0"/>
            </w:tcBorders>
            <w:noWrap/>
            <w:vAlign w:val="center"/>
          </w:tcPr>
          <w:p w14:paraId="56F75C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验收材料（论证意见或验收意见或验收报告）</w:t>
            </w:r>
          </w:p>
          <w:p w14:paraId="518B2D04">
            <w:pPr>
              <w:snapToGrid w:val="0"/>
              <w:spacing w:line="360" w:lineRule="auto"/>
              <w:jc w:val="center"/>
              <w:rPr>
                <w:rFonts w:ascii="宋体" w:hAnsi="宋体" w:cs="宋体"/>
                <w:color w:val="auto"/>
                <w:sz w:val="24"/>
                <w:highlight w:val="none"/>
              </w:rPr>
            </w:pPr>
          </w:p>
        </w:tc>
        <w:tc>
          <w:tcPr>
            <w:tcW w:w="1705" w:type="dxa"/>
            <w:vMerge w:val="continue"/>
            <w:tcBorders>
              <w:top w:val="single" w:color="auto" w:sz="4" w:space="0"/>
              <w:left w:val="single" w:color="auto" w:sz="4" w:space="0"/>
              <w:bottom w:val="single" w:color="auto" w:sz="4" w:space="0"/>
              <w:right w:val="single" w:color="auto" w:sz="4" w:space="0"/>
            </w:tcBorders>
            <w:noWrap/>
            <w:vAlign w:val="center"/>
          </w:tcPr>
          <w:p w14:paraId="1257A102">
            <w:pPr>
              <w:spacing w:line="360" w:lineRule="auto"/>
              <w:jc w:val="left"/>
              <w:rPr>
                <w:rFonts w:ascii="宋体" w:hAnsi="宋体" w:cs="宋体"/>
                <w:color w:val="auto"/>
                <w:sz w:val="24"/>
                <w:highlight w:val="none"/>
              </w:rPr>
            </w:pPr>
          </w:p>
        </w:tc>
      </w:tr>
      <w:tr w14:paraId="596CD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noWrap/>
          </w:tcPr>
          <w:p w14:paraId="6BF918F3">
            <w:pPr>
              <w:snapToGrid w:val="0"/>
              <w:spacing w:line="360" w:lineRule="auto"/>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tcPr>
          <w:p w14:paraId="143F5ED7">
            <w:pPr>
              <w:snapToGrid w:val="0"/>
              <w:spacing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42FDCD32">
            <w:pPr>
              <w:snapToGrid w:val="0"/>
              <w:spacing w:line="360" w:lineRule="auto"/>
              <w:jc w:val="left"/>
              <w:rPr>
                <w:rFonts w:ascii="宋体" w:hAnsi="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tcPr>
          <w:p w14:paraId="38EC11AB">
            <w:pPr>
              <w:snapToGrid w:val="0"/>
              <w:spacing w:line="360" w:lineRule="auto"/>
              <w:jc w:val="left"/>
              <w:rPr>
                <w:rFonts w:ascii="宋体" w:hAnsi="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tcPr>
          <w:p w14:paraId="2289C064">
            <w:pPr>
              <w:snapToGrid w:val="0"/>
              <w:spacing w:line="360" w:lineRule="auto"/>
              <w:jc w:val="left"/>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tcPr>
          <w:p w14:paraId="7CE22122">
            <w:pPr>
              <w:snapToGrid w:val="0"/>
              <w:spacing w:line="360" w:lineRule="auto"/>
              <w:jc w:val="left"/>
              <w:rPr>
                <w:rFonts w:ascii="宋体" w:hAnsi="宋体" w:cs="宋体"/>
                <w:color w:val="auto"/>
                <w:sz w:val="24"/>
                <w:highlight w:val="none"/>
              </w:rPr>
            </w:pPr>
          </w:p>
        </w:tc>
      </w:tr>
      <w:tr w14:paraId="3DF2E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tcPr>
          <w:p w14:paraId="337BE7A8">
            <w:pPr>
              <w:snapToGrid w:val="0"/>
              <w:spacing w:before="50" w:afterLines="50" w:line="360" w:lineRule="auto"/>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tcPr>
          <w:p w14:paraId="10ACF6EF">
            <w:pPr>
              <w:snapToGrid w:val="0"/>
              <w:spacing w:before="5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2680F417">
            <w:pPr>
              <w:snapToGrid w:val="0"/>
              <w:spacing w:before="50" w:afterLines="50" w:line="360" w:lineRule="auto"/>
              <w:jc w:val="left"/>
              <w:rPr>
                <w:rFonts w:ascii="宋体" w:hAnsi="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tcPr>
          <w:p w14:paraId="5EA49271">
            <w:pPr>
              <w:snapToGrid w:val="0"/>
              <w:spacing w:before="50" w:afterLines="50" w:line="360" w:lineRule="auto"/>
              <w:jc w:val="left"/>
              <w:rPr>
                <w:rFonts w:ascii="宋体" w:hAnsi="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tcPr>
          <w:p w14:paraId="5E9F7943">
            <w:pPr>
              <w:snapToGrid w:val="0"/>
              <w:spacing w:before="50" w:afterLines="50" w:line="360" w:lineRule="auto"/>
              <w:jc w:val="left"/>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tcPr>
          <w:p w14:paraId="592D5378">
            <w:pPr>
              <w:snapToGrid w:val="0"/>
              <w:spacing w:before="50" w:afterLines="50" w:line="360" w:lineRule="auto"/>
              <w:jc w:val="left"/>
              <w:rPr>
                <w:rFonts w:ascii="宋体" w:hAnsi="宋体" w:cs="宋体"/>
                <w:color w:val="auto"/>
                <w:sz w:val="24"/>
                <w:highlight w:val="none"/>
              </w:rPr>
            </w:pPr>
          </w:p>
        </w:tc>
      </w:tr>
      <w:tr w14:paraId="00ADC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noWrap/>
          </w:tcPr>
          <w:p w14:paraId="75489D94">
            <w:pPr>
              <w:snapToGrid w:val="0"/>
              <w:spacing w:before="50" w:afterLines="50" w:line="360" w:lineRule="auto"/>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tcPr>
          <w:p w14:paraId="55453FD7">
            <w:pPr>
              <w:snapToGrid w:val="0"/>
              <w:spacing w:before="5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57DA3EB1">
            <w:pPr>
              <w:snapToGrid w:val="0"/>
              <w:spacing w:before="50" w:afterLines="50" w:line="360" w:lineRule="auto"/>
              <w:jc w:val="left"/>
              <w:rPr>
                <w:rFonts w:ascii="宋体" w:hAnsi="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tcPr>
          <w:p w14:paraId="05C511BB">
            <w:pPr>
              <w:snapToGrid w:val="0"/>
              <w:spacing w:before="50" w:afterLines="50" w:line="360" w:lineRule="auto"/>
              <w:jc w:val="left"/>
              <w:rPr>
                <w:rFonts w:ascii="宋体" w:hAnsi="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tcPr>
          <w:p w14:paraId="3A86A31A">
            <w:pPr>
              <w:snapToGrid w:val="0"/>
              <w:spacing w:before="50" w:afterLines="50" w:line="360" w:lineRule="auto"/>
              <w:jc w:val="left"/>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tcPr>
          <w:p w14:paraId="65023161">
            <w:pPr>
              <w:snapToGrid w:val="0"/>
              <w:spacing w:before="50" w:afterLines="50" w:line="360" w:lineRule="auto"/>
              <w:jc w:val="left"/>
              <w:rPr>
                <w:rFonts w:ascii="宋体" w:hAnsi="宋体" w:cs="宋体"/>
                <w:color w:val="auto"/>
                <w:sz w:val="24"/>
                <w:highlight w:val="none"/>
              </w:rPr>
            </w:pPr>
          </w:p>
        </w:tc>
      </w:tr>
      <w:tr w14:paraId="46606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tcPr>
          <w:p w14:paraId="039F593E">
            <w:pPr>
              <w:snapToGrid w:val="0"/>
              <w:spacing w:before="50" w:afterLines="50" w:line="360" w:lineRule="auto"/>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tcPr>
          <w:p w14:paraId="44E5B569">
            <w:pPr>
              <w:snapToGrid w:val="0"/>
              <w:spacing w:before="5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26C88DB7">
            <w:pPr>
              <w:snapToGrid w:val="0"/>
              <w:spacing w:before="50" w:afterLines="50" w:line="360" w:lineRule="auto"/>
              <w:jc w:val="left"/>
              <w:rPr>
                <w:rFonts w:ascii="宋体" w:hAnsi="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tcPr>
          <w:p w14:paraId="2F6728CA">
            <w:pPr>
              <w:snapToGrid w:val="0"/>
              <w:spacing w:before="50" w:afterLines="50" w:line="360" w:lineRule="auto"/>
              <w:jc w:val="left"/>
              <w:rPr>
                <w:rFonts w:ascii="宋体" w:hAnsi="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tcPr>
          <w:p w14:paraId="35BB620F">
            <w:pPr>
              <w:snapToGrid w:val="0"/>
              <w:spacing w:before="50" w:afterLines="50" w:line="360" w:lineRule="auto"/>
              <w:jc w:val="left"/>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tcPr>
          <w:p w14:paraId="742DC338">
            <w:pPr>
              <w:snapToGrid w:val="0"/>
              <w:spacing w:before="50" w:afterLines="50" w:line="360" w:lineRule="auto"/>
              <w:jc w:val="left"/>
              <w:rPr>
                <w:rFonts w:ascii="宋体" w:hAnsi="宋体" w:cs="宋体"/>
                <w:color w:val="auto"/>
                <w:sz w:val="24"/>
                <w:highlight w:val="none"/>
              </w:rPr>
            </w:pPr>
          </w:p>
        </w:tc>
      </w:tr>
      <w:tr w14:paraId="21093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tcPr>
          <w:p w14:paraId="547225E3">
            <w:pPr>
              <w:snapToGrid w:val="0"/>
              <w:spacing w:before="50" w:afterLines="50" w:line="360" w:lineRule="auto"/>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tcPr>
          <w:p w14:paraId="0FB96D2B">
            <w:pPr>
              <w:snapToGrid w:val="0"/>
              <w:spacing w:before="5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38D7ED9A">
            <w:pPr>
              <w:snapToGrid w:val="0"/>
              <w:spacing w:before="50" w:afterLines="50" w:line="360" w:lineRule="auto"/>
              <w:jc w:val="left"/>
              <w:rPr>
                <w:rFonts w:ascii="宋体" w:hAnsi="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tcPr>
          <w:p w14:paraId="577192CC">
            <w:pPr>
              <w:snapToGrid w:val="0"/>
              <w:spacing w:before="50" w:afterLines="50" w:line="360" w:lineRule="auto"/>
              <w:jc w:val="left"/>
              <w:rPr>
                <w:rFonts w:ascii="宋体" w:hAnsi="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tcPr>
          <w:p w14:paraId="16F18CA7">
            <w:pPr>
              <w:snapToGrid w:val="0"/>
              <w:spacing w:before="50" w:afterLines="50" w:line="360" w:lineRule="auto"/>
              <w:jc w:val="left"/>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tcPr>
          <w:p w14:paraId="36A71F50">
            <w:pPr>
              <w:snapToGrid w:val="0"/>
              <w:spacing w:before="50" w:afterLines="50" w:line="360" w:lineRule="auto"/>
              <w:jc w:val="left"/>
              <w:rPr>
                <w:rFonts w:ascii="宋体" w:hAnsi="宋体" w:cs="宋体"/>
                <w:color w:val="auto"/>
                <w:sz w:val="24"/>
                <w:highlight w:val="none"/>
              </w:rPr>
            </w:pPr>
          </w:p>
        </w:tc>
      </w:tr>
    </w:tbl>
    <w:p w14:paraId="431E3B67">
      <w:pPr>
        <w:spacing w:line="360" w:lineRule="auto"/>
        <w:ind w:firstLine="2880" w:firstLineChars="900"/>
        <w:contextualSpacing/>
        <w:outlineLvl w:val="3"/>
        <w:rPr>
          <w:rFonts w:ascii="宋体" w:hAnsi="宋体" w:cs="宋体"/>
          <w:color w:val="auto"/>
          <w:sz w:val="32"/>
          <w:szCs w:val="32"/>
          <w:highlight w:val="none"/>
        </w:rPr>
      </w:pPr>
      <w:r>
        <w:rPr>
          <w:rFonts w:hint="eastAsia" w:ascii="宋体" w:hAnsi="宋体" w:cs="宋体"/>
          <w:color w:val="auto"/>
          <w:sz w:val="32"/>
          <w:szCs w:val="32"/>
          <w:highlight w:val="none"/>
        </w:rPr>
        <w:t>类似项目的业绩一览表</w:t>
      </w:r>
    </w:p>
    <w:p w14:paraId="230DAB10">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p>
    <w:p w14:paraId="5FED4B68">
      <w:pPr>
        <w:snapToGrid w:val="0"/>
        <w:spacing w:line="360" w:lineRule="auto"/>
        <w:ind w:firstLine="4935" w:firstLineChars="2350"/>
        <w:rPr>
          <w:rFonts w:ascii="宋体" w:hAnsi="宋体" w:cs="宋体"/>
          <w:color w:val="auto"/>
          <w:szCs w:val="21"/>
          <w:highlight w:val="none"/>
        </w:rPr>
      </w:pPr>
    </w:p>
    <w:p w14:paraId="0AD9E579">
      <w:pPr>
        <w:snapToGrid w:val="0"/>
        <w:spacing w:line="360" w:lineRule="auto"/>
        <w:rPr>
          <w:rFonts w:ascii="宋体" w:hAnsi="宋体" w:cs="宋体"/>
          <w:color w:val="auto"/>
          <w:szCs w:val="21"/>
          <w:highlight w:val="none"/>
        </w:rPr>
      </w:pPr>
      <w:r>
        <w:rPr>
          <w:rFonts w:hint="eastAsia" w:ascii="宋体" w:hAnsi="宋体" w:cs="宋体"/>
          <w:color w:val="auto"/>
          <w:sz w:val="24"/>
          <w:szCs w:val="20"/>
          <w:highlight w:val="none"/>
        </w:rPr>
        <w:t>注：在填写时，如本表格不适合供应商的实际情况，可参照本表格式自行制表填写，并附上相关证明材料</w:t>
      </w:r>
      <w:r>
        <w:rPr>
          <w:rFonts w:hint="eastAsia" w:ascii="宋体" w:hAnsi="宋体" w:cs="宋体"/>
          <w:color w:val="auto"/>
          <w:highlight w:val="none"/>
        </w:rPr>
        <w:t>。</w:t>
      </w:r>
    </w:p>
    <w:p w14:paraId="643FC6A5">
      <w:pPr>
        <w:snapToGrid w:val="0"/>
        <w:spacing w:line="360" w:lineRule="auto"/>
        <w:rPr>
          <w:rFonts w:ascii="宋体" w:hAnsi="宋体" w:cs="宋体"/>
          <w:color w:val="auto"/>
          <w:szCs w:val="21"/>
          <w:highlight w:val="none"/>
        </w:rPr>
      </w:pPr>
    </w:p>
    <w:p w14:paraId="6E292D1B">
      <w:pPr>
        <w:snapToGrid w:val="0"/>
        <w:spacing w:line="360" w:lineRule="auto"/>
        <w:rPr>
          <w:rFonts w:ascii="宋体" w:hAnsi="宋体" w:cs="宋体"/>
          <w:color w:val="auto"/>
          <w:szCs w:val="21"/>
          <w:highlight w:val="none"/>
        </w:rPr>
      </w:pPr>
    </w:p>
    <w:p w14:paraId="5E5030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lang w:val="zh-CN"/>
        </w:rPr>
        <w:t>)：</w:t>
      </w:r>
    </w:p>
    <w:p w14:paraId="0880F937">
      <w:pPr>
        <w:spacing w:line="360" w:lineRule="auto"/>
        <w:jc w:val="center"/>
        <w:rPr>
          <w:rFonts w:ascii="宋体" w:hAnsi="宋体" w:cs="宋体"/>
          <w:color w:val="auto"/>
          <w:sz w:val="32"/>
          <w:szCs w:val="32"/>
          <w:highlight w:val="none"/>
        </w:rPr>
        <w:sectPr>
          <w:pgSz w:w="11911" w:h="16838"/>
          <w:pgMar w:top="1134" w:right="1134" w:bottom="1134" w:left="1134" w:header="720" w:footer="720" w:gutter="0"/>
          <w:cols w:space="720" w:num="1"/>
        </w:sect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4B909928">
      <w:pPr>
        <w:snapToGrid w:val="0"/>
        <w:spacing w:line="360" w:lineRule="auto"/>
        <w:outlineLvl w:val="2"/>
        <w:rPr>
          <w:rFonts w:ascii="宋体" w:hAnsi="宋体" w:cs="宋体"/>
          <w:color w:val="auto"/>
          <w:sz w:val="28"/>
          <w:szCs w:val="28"/>
          <w:highlight w:val="none"/>
        </w:rPr>
      </w:pPr>
      <w:bookmarkStart w:id="188" w:name="_Toc23502"/>
      <w:r>
        <w:rPr>
          <w:rFonts w:hint="eastAsia" w:ascii="宋体" w:hAnsi="宋体" w:cs="宋体"/>
          <w:b/>
          <w:color w:val="auto"/>
          <w:sz w:val="28"/>
          <w:szCs w:val="28"/>
          <w:highlight w:val="none"/>
        </w:rPr>
        <w:t>8.服务需求偏离表的格式：</w:t>
      </w:r>
      <w:bookmarkEnd w:id="188"/>
    </w:p>
    <w:p w14:paraId="7F92B012">
      <w:pPr>
        <w:spacing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服务需求偏离表</w:t>
      </w:r>
    </w:p>
    <w:p w14:paraId="36F73BC8">
      <w:pPr>
        <w:spacing w:line="360" w:lineRule="auto"/>
        <w:jc w:val="center"/>
        <w:outlineLvl w:val="3"/>
        <w:rPr>
          <w:rFonts w:ascii="宋体" w:hAnsi="宋体" w:cs="宋体"/>
          <w:b/>
          <w:color w:val="auto"/>
          <w:sz w:val="32"/>
          <w:szCs w:val="32"/>
          <w:highlight w:val="none"/>
        </w:rPr>
      </w:pPr>
      <w:r>
        <w:rPr>
          <w:rFonts w:hint="eastAsia" w:ascii="宋体" w:hAnsi="宋体" w:cs="宋体"/>
          <w:bCs/>
          <w:color w:val="auto"/>
          <w:sz w:val="44"/>
          <w:szCs w:val="44"/>
          <w:highlight w:val="none"/>
        </w:rPr>
        <w:t>(注：按采购需求具体条款修改)</w:t>
      </w:r>
    </w:p>
    <w:p w14:paraId="1E35D03D">
      <w:pPr>
        <w:spacing w:line="360" w:lineRule="auto"/>
        <w:contextualSpacing/>
        <w:jc w:val="left"/>
        <w:rPr>
          <w:rFonts w:ascii="宋体" w:hAnsi="宋体" w:cs="宋体"/>
          <w:color w:val="auto"/>
          <w:sz w:val="24"/>
          <w:highlight w:val="none"/>
        </w:rPr>
      </w:pPr>
    </w:p>
    <w:p w14:paraId="31FF7BD2">
      <w:pPr>
        <w:spacing w:line="360" w:lineRule="auto"/>
        <w:ind w:firstLine="720" w:firstLineChars="300"/>
        <w:contextualSpacing/>
        <w:rPr>
          <w:rFonts w:ascii="宋体" w:hAnsi="宋体" w:cs="宋体"/>
          <w:color w:val="auto"/>
          <w:sz w:val="24"/>
          <w:highlight w:val="none"/>
          <w:u w:val="single"/>
        </w:rPr>
      </w:pPr>
      <w:r>
        <w:rPr>
          <w:rFonts w:hint="eastAsia" w:ascii="宋体" w:hAnsi="宋体" w:cs="宋体"/>
          <w:color w:val="auto"/>
          <w:sz w:val="24"/>
          <w:highlight w:val="none"/>
        </w:rPr>
        <w:t>项目名称：</w:t>
      </w:r>
    </w:p>
    <w:p w14:paraId="3FFBF4DE">
      <w:pPr>
        <w:spacing w:line="360" w:lineRule="auto"/>
        <w:ind w:firstLine="720" w:firstLineChars="300"/>
        <w:contextualSpacing/>
        <w:rPr>
          <w:rFonts w:ascii="宋体" w:hAnsi="宋体" w:cs="宋体"/>
          <w:color w:val="auto"/>
          <w:sz w:val="24"/>
          <w:highlight w:val="none"/>
        </w:rPr>
      </w:pPr>
      <w:r>
        <w:rPr>
          <w:rFonts w:hint="eastAsia" w:ascii="宋体" w:hAnsi="宋体" w:cs="宋体"/>
          <w:color w:val="auto"/>
          <w:sz w:val="24"/>
          <w:highlight w:val="none"/>
        </w:rPr>
        <w:t>项目编号：</w:t>
      </w:r>
    </w:p>
    <w:p w14:paraId="099B1957">
      <w:pPr>
        <w:spacing w:line="360" w:lineRule="auto"/>
        <w:ind w:firstLine="720" w:firstLineChars="300"/>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2118"/>
        <w:gridCol w:w="2944"/>
        <w:gridCol w:w="1095"/>
      </w:tblGrid>
      <w:tr w14:paraId="2DDA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4E30F710">
            <w:pPr>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1175" w:type="dxa"/>
            <w:tcBorders>
              <w:top w:val="single" w:color="auto" w:sz="4" w:space="0"/>
              <w:left w:val="single" w:color="auto" w:sz="4" w:space="0"/>
              <w:bottom w:val="single" w:color="auto" w:sz="4" w:space="0"/>
              <w:right w:val="single" w:color="auto" w:sz="4" w:space="0"/>
            </w:tcBorders>
            <w:noWrap/>
            <w:vAlign w:val="center"/>
          </w:tcPr>
          <w:p w14:paraId="4429B07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2118" w:type="dxa"/>
            <w:tcBorders>
              <w:top w:val="single" w:color="auto" w:sz="4" w:space="0"/>
              <w:left w:val="single" w:color="auto" w:sz="4" w:space="0"/>
              <w:bottom w:val="single" w:color="auto" w:sz="4" w:space="0"/>
              <w:right w:val="single" w:color="auto" w:sz="4" w:space="0"/>
            </w:tcBorders>
            <w:noWrap/>
            <w:vAlign w:val="center"/>
          </w:tcPr>
          <w:p w14:paraId="1748870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竞争性磋商文件采购需求中的</w:t>
            </w:r>
            <w:r>
              <w:rPr>
                <w:rFonts w:hint="eastAsia"/>
                <w:color w:val="auto"/>
                <w:highlight w:val="none"/>
              </w:rPr>
              <w:t>服务内容</w:t>
            </w:r>
          </w:p>
        </w:tc>
        <w:tc>
          <w:tcPr>
            <w:tcW w:w="2944" w:type="dxa"/>
            <w:tcBorders>
              <w:top w:val="single" w:color="auto" w:sz="4" w:space="0"/>
              <w:left w:val="single" w:color="auto" w:sz="4" w:space="0"/>
              <w:bottom w:val="single" w:color="auto" w:sz="4" w:space="0"/>
              <w:right w:val="single" w:color="auto" w:sz="4" w:space="0"/>
            </w:tcBorders>
            <w:noWrap/>
            <w:vAlign w:val="center"/>
          </w:tcPr>
          <w:p w14:paraId="5E2C53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响应文件响应的</w:t>
            </w:r>
            <w:r>
              <w:rPr>
                <w:rFonts w:hint="eastAsia"/>
                <w:color w:val="auto"/>
                <w:highlight w:val="none"/>
              </w:rPr>
              <w:t>服务内容</w:t>
            </w:r>
          </w:p>
        </w:tc>
        <w:tc>
          <w:tcPr>
            <w:tcW w:w="1095" w:type="dxa"/>
            <w:tcBorders>
              <w:top w:val="single" w:color="auto" w:sz="4" w:space="0"/>
              <w:left w:val="single" w:color="auto" w:sz="4" w:space="0"/>
              <w:bottom w:val="single" w:color="auto" w:sz="4" w:space="0"/>
              <w:right w:val="single" w:color="auto" w:sz="4" w:space="0"/>
            </w:tcBorders>
            <w:noWrap/>
            <w:vAlign w:val="center"/>
          </w:tcPr>
          <w:p w14:paraId="40416FE2">
            <w:pPr>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1C0F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092BE3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75" w:type="dxa"/>
            <w:tcBorders>
              <w:top w:val="single" w:color="auto" w:sz="4" w:space="0"/>
              <w:left w:val="single" w:color="auto" w:sz="4" w:space="0"/>
              <w:bottom w:val="single" w:color="auto" w:sz="4" w:space="0"/>
              <w:right w:val="single" w:color="auto" w:sz="4" w:space="0"/>
            </w:tcBorders>
            <w:noWrap/>
            <w:vAlign w:val="center"/>
          </w:tcPr>
          <w:p w14:paraId="2483ECC3">
            <w:pPr>
              <w:spacing w:line="360" w:lineRule="auto"/>
              <w:rPr>
                <w:rFonts w:ascii="宋体" w:hAnsi="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ign w:val="center"/>
          </w:tcPr>
          <w:p w14:paraId="1219B112">
            <w:pPr>
              <w:spacing w:line="360" w:lineRule="auto"/>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ign w:val="center"/>
          </w:tcPr>
          <w:p w14:paraId="4F26FD16">
            <w:pPr>
              <w:spacing w:line="360" w:lineRule="auto"/>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4E3A4222">
            <w:pPr>
              <w:spacing w:line="360" w:lineRule="auto"/>
              <w:rPr>
                <w:rFonts w:ascii="宋体" w:hAnsi="宋体" w:cs="宋体"/>
                <w:color w:val="auto"/>
                <w:szCs w:val="21"/>
                <w:highlight w:val="none"/>
              </w:rPr>
            </w:pPr>
          </w:p>
        </w:tc>
      </w:tr>
      <w:tr w14:paraId="7EEE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589B1F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175" w:type="dxa"/>
            <w:tcBorders>
              <w:top w:val="single" w:color="auto" w:sz="4" w:space="0"/>
              <w:left w:val="single" w:color="auto" w:sz="4" w:space="0"/>
              <w:bottom w:val="single" w:color="auto" w:sz="4" w:space="0"/>
              <w:right w:val="single" w:color="auto" w:sz="4" w:space="0"/>
            </w:tcBorders>
            <w:noWrap/>
            <w:vAlign w:val="center"/>
          </w:tcPr>
          <w:p w14:paraId="7B997B7D">
            <w:pPr>
              <w:spacing w:line="360" w:lineRule="auto"/>
              <w:rPr>
                <w:rFonts w:ascii="宋体" w:hAnsi="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ign w:val="center"/>
          </w:tcPr>
          <w:p w14:paraId="0EB9F0E7">
            <w:pPr>
              <w:spacing w:line="360" w:lineRule="auto"/>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ign w:val="center"/>
          </w:tcPr>
          <w:p w14:paraId="549E73FA">
            <w:pPr>
              <w:spacing w:line="360" w:lineRule="auto"/>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4F6D9FED">
            <w:pPr>
              <w:spacing w:line="360" w:lineRule="auto"/>
              <w:rPr>
                <w:rFonts w:ascii="宋体" w:hAnsi="宋体" w:cs="宋体"/>
                <w:color w:val="auto"/>
                <w:szCs w:val="21"/>
                <w:highlight w:val="none"/>
              </w:rPr>
            </w:pPr>
          </w:p>
        </w:tc>
      </w:tr>
      <w:tr w14:paraId="29D3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26748F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175" w:type="dxa"/>
            <w:tcBorders>
              <w:top w:val="single" w:color="auto" w:sz="4" w:space="0"/>
              <w:left w:val="single" w:color="auto" w:sz="4" w:space="0"/>
              <w:bottom w:val="single" w:color="auto" w:sz="4" w:space="0"/>
              <w:right w:val="single" w:color="auto" w:sz="4" w:space="0"/>
            </w:tcBorders>
            <w:noWrap/>
            <w:vAlign w:val="center"/>
          </w:tcPr>
          <w:p w14:paraId="72D05F54">
            <w:pPr>
              <w:spacing w:line="360" w:lineRule="auto"/>
              <w:rPr>
                <w:rFonts w:ascii="宋体" w:hAnsi="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ign w:val="center"/>
          </w:tcPr>
          <w:p w14:paraId="0A2430E2">
            <w:pPr>
              <w:spacing w:line="360" w:lineRule="auto"/>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ign w:val="center"/>
          </w:tcPr>
          <w:p w14:paraId="56C4A542">
            <w:pPr>
              <w:spacing w:line="360" w:lineRule="auto"/>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13656916">
            <w:pPr>
              <w:spacing w:line="360" w:lineRule="auto"/>
              <w:rPr>
                <w:rFonts w:ascii="宋体" w:hAnsi="宋体" w:cs="宋体"/>
                <w:color w:val="auto"/>
                <w:szCs w:val="21"/>
                <w:highlight w:val="none"/>
              </w:rPr>
            </w:pPr>
          </w:p>
        </w:tc>
      </w:tr>
    </w:tbl>
    <w:p w14:paraId="5CC4AB9E">
      <w:pPr>
        <w:pStyle w:val="10"/>
        <w:spacing w:after="0" w:line="360" w:lineRule="auto"/>
        <w:contextualSpacing/>
        <w:rPr>
          <w:rFonts w:ascii="宋体" w:hAnsi="宋体" w:cs="宋体"/>
          <w:color w:val="auto"/>
          <w:kern w:val="0"/>
          <w:sz w:val="24"/>
          <w:szCs w:val="24"/>
          <w:highlight w:val="none"/>
        </w:rPr>
      </w:pPr>
    </w:p>
    <w:p w14:paraId="65830CEF">
      <w:pPr>
        <w:pStyle w:val="10"/>
        <w:spacing w:after="0"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3EDE4911">
      <w:pPr>
        <w:pStyle w:val="10"/>
        <w:spacing w:after="0"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w:t>
      </w:r>
      <w:r>
        <w:rPr>
          <w:rFonts w:hint="eastAsia" w:ascii="宋体" w:hAnsi="宋体" w:cs="宋体"/>
          <w:bCs/>
          <w:color w:val="auto"/>
          <w:sz w:val="21"/>
          <w:szCs w:val="21"/>
          <w:highlight w:val="none"/>
        </w:rPr>
        <w:t>采购需求</w:t>
      </w:r>
      <w:r>
        <w:rPr>
          <w:rFonts w:hint="eastAsia" w:ascii="宋体" w:hAnsi="宋体" w:cs="宋体"/>
          <w:color w:val="auto"/>
          <w:kern w:val="0"/>
          <w:sz w:val="21"/>
          <w:szCs w:val="21"/>
          <w:highlight w:val="none"/>
        </w:rPr>
        <w:t>”中“需求一览表”的服务内容条款逐条作出明确响应，并作出偏离说明。</w:t>
      </w:r>
    </w:p>
    <w:p w14:paraId="728850B1">
      <w:pPr>
        <w:pStyle w:val="13"/>
        <w:spacing w:line="360" w:lineRule="auto"/>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2.供应商应根据自身的承诺，对照磋商文件要求，在“偏离说明”中注明“正偏离”或者“负偏离”或者“无偏离”。既不属于“正偏离”也不属于“负偏离”即为“无偏离”。 当响应文件的服务内容低于竞争性磋商文件要求时，供应商应当如实写明“负偏离”。</w:t>
      </w:r>
    </w:p>
    <w:p w14:paraId="17DD9B0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3.表格内容均需按要求填写并盖公章，不得留空，</w:t>
      </w:r>
      <w:r>
        <w:rPr>
          <w:rFonts w:hint="eastAsia" w:ascii="宋体" w:hAnsi="宋体" w:cs="宋体"/>
          <w:b/>
          <w:bCs/>
          <w:color w:val="auto"/>
          <w:kern w:val="0"/>
          <w:szCs w:val="21"/>
          <w:highlight w:val="none"/>
        </w:rPr>
        <w:t>否则按竞标无效处理。</w:t>
      </w:r>
    </w:p>
    <w:p w14:paraId="2E8E631D">
      <w:pPr>
        <w:pStyle w:val="13"/>
        <w:spacing w:line="360" w:lineRule="auto"/>
        <w:ind w:firstLine="420" w:firstLineChars="200"/>
        <w:contextualSpacing/>
        <w:rPr>
          <w:rFonts w:ascii="宋体" w:hAnsi="宋体" w:eastAsia="宋体" w:cs="宋体"/>
          <w:color w:val="auto"/>
          <w:sz w:val="21"/>
          <w:szCs w:val="21"/>
          <w:highlight w:val="none"/>
        </w:rPr>
      </w:pPr>
    </w:p>
    <w:p w14:paraId="4910DED5">
      <w:pPr>
        <w:snapToGrid w:val="0"/>
        <w:spacing w:line="360" w:lineRule="auto"/>
        <w:rPr>
          <w:rFonts w:ascii="宋体" w:hAnsi="宋体" w:cs="宋体"/>
          <w:b/>
          <w:color w:val="auto"/>
          <w:sz w:val="30"/>
          <w:szCs w:val="30"/>
          <w:highlight w:val="none"/>
        </w:rPr>
      </w:pPr>
    </w:p>
    <w:p w14:paraId="5929A584">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45A4074D">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6133642">
      <w:pPr>
        <w:adjustRightInd w:val="0"/>
        <w:snapToGrid w:val="0"/>
        <w:spacing w:line="360" w:lineRule="auto"/>
        <w:jc w:val="center"/>
        <w:rPr>
          <w:rFonts w:ascii="宋体" w:hAnsi="宋体" w:cs="宋体"/>
          <w:bCs/>
          <w:color w:val="auto"/>
          <w:sz w:val="44"/>
          <w:szCs w:val="44"/>
          <w:highlight w:val="none"/>
        </w:rPr>
      </w:pPr>
    </w:p>
    <w:p w14:paraId="5547A15F">
      <w:pPr>
        <w:snapToGrid w:val="0"/>
        <w:spacing w:line="360" w:lineRule="auto"/>
        <w:rPr>
          <w:rFonts w:ascii="宋体" w:hAnsi="宋体" w:cs="宋体"/>
          <w:b/>
          <w:color w:val="auto"/>
          <w:sz w:val="28"/>
          <w:szCs w:val="28"/>
          <w:highlight w:val="none"/>
        </w:rPr>
      </w:pPr>
    </w:p>
    <w:p w14:paraId="56D60B16">
      <w:pPr>
        <w:snapToGrid w:val="0"/>
        <w:spacing w:line="360" w:lineRule="auto"/>
        <w:outlineLvl w:val="2"/>
        <w:rPr>
          <w:rFonts w:ascii="宋体" w:hAnsi="宋体" w:cs="宋体"/>
          <w:b/>
          <w:color w:val="auto"/>
          <w:sz w:val="28"/>
          <w:szCs w:val="28"/>
          <w:highlight w:val="none"/>
        </w:rPr>
      </w:pPr>
      <w:bookmarkStart w:id="189" w:name="_Toc4407"/>
      <w:r>
        <w:rPr>
          <w:rFonts w:hint="eastAsia" w:ascii="宋体" w:hAnsi="宋体" w:cs="宋体"/>
          <w:b/>
          <w:color w:val="auto"/>
          <w:sz w:val="28"/>
          <w:szCs w:val="28"/>
          <w:highlight w:val="none"/>
        </w:rPr>
        <w:t>9.</w:t>
      </w:r>
      <w:bookmarkEnd w:id="189"/>
      <w:r>
        <w:rPr>
          <w:rFonts w:hint="eastAsia" w:ascii="宋体" w:hAnsi="宋体" w:cs="宋体"/>
          <w:b/>
          <w:color w:val="auto"/>
          <w:sz w:val="28"/>
          <w:szCs w:val="28"/>
          <w:highlight w:val="none"/>
        </w:rPr>
        <w:t>技术方案</w:t>
      </w:r>
    </w:p>
    <w:p w14:paraId="650E0945">
      <w:pPr>
        <w:autoSpaceDE w:val="0"/>
        <w:autoSpaceDN w:val="0"/>
        <w:spacing w:line="360" w:lineRule="auto"/>
        <w:outlineLvl w:val="3"/>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3712B0DF">
      <w:pPr>
        <w:spacing w:line="360" w:lineRule="auto"/>
        <w:rPr>
          <w:rFonts w:ascii="宋体" w:hAnsi="宋体" w:cs="宋体"/>
          <w:b/>
          <w:bCs/>
          <w:color w:val="auto"/>
          <w:kern w:val="0"/>
          <w:sz w:val="24"/>
          <w:highlight w:val="none"/>
          <w:lang w:val="zh-CN"/>
        </w:rPr>
      </w:pPr>
    </w:p>
    <w:p w14:paraId="5E3902E0">
      <w:pPr>
        <w:spacing w:line="360" w:lineRule="auto"/>
        <w:rPr>
          <w:rFonts w:ascii="宋体" w:hAnsi="宋体" w:cs="宋体"/>
          <w:color w:val="auto"/>
          <w:sz w:val="32"/>
          <w:szCs w:val="32"/>
          <w:highlight w:val="none"/>
        </w:rPr>
      </w:pPr>
    </w:p>
    <w:p w14:paraId="422FD17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34C2DC83">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055FDAA">
      <w:pPr>
        <w:autoSpaceDE w:val="0"/>
        <w:autoSpaceDN w:val="0"/>
        <w:spacing w:line="360" w:lineRule="auto"/>
        <w:outlineLvl w:val="2"/>
        <w:rPr>
          <w:rFonts w:ascii="宋体" w:hAnsi="宋体" w:cs="宋体"/>
          <w:i/>
          <w:iCs/>
          <w:color w:val="auto"/>
          <w:sz w:val="24"/>
          <w:highlight w:val="none"/>
        </w:rPr>
      </w:pPr>
      <w:r>
        <w:rPr>
          <w:rFonts w:hint="eastAsia" w:ascii="宋体" w:hAnsi="宋体" w:cs="宋体"/>
          <w:color w:val="auto"/>
          <w:kern w:val="0"/>
          <w:sz w:val="24"/>
          <w:highlight w:val="none"/>
          <w:lang w:val="zh-CN"/>
        </w:rPr>
        <w:br w:type="page"/>
      </w:r>
      <w:bookmarkStart w:id="190" w:name="_Toc16645"/>
      <w:r>
        <w:rPr>
          <w:rFonts w:hint="eastAsia" w:ascii="宋体" w:hAnsi="宋体" w:cs="宋体"/>
          <w:b/>
          <w:color w:val="auto"/>
          <w:sz w:val="28"/>
          <w:szCs w:val="28"/>
          <w:highlight w:val="none"/>
        </w:rPr>
        <w:t>10.维保服务方案</w:t>
      </w:r>
      <w:bookmarkEnd w:id="190"/>
    </w:p>
    <w:p w14:paraId="6A352802">
      <w:pPr>
        <w:snapToGrid w:val="0"/>
        <w:spacing w:beforeLines="50" w:after="50" w:line="360" w:lineRule="auto"/>
        <w:rPr>
          <w:rFonts w:ascii="宋体" w:hAnsi="宋体" w:cs="宋体"/>
          <w:b/>
          <w:color w:val="auto"/>
          <w:sz w:val="28"/>
          <w:szCs w:val="28"/>
          <w:highlight w:val="none"/>
        </w:rPr>
      </w:pPr>
    </w:p>
    <w:p w14:paraId="23718384">
      <w:pPr>
        <w:snapToGrid w:val="0"/>
        <w:spacing w:beforeLines="50" w:after="50" w:line="360" w:lineRule="auto"/>
        <w:ind w:left="143" w:leftChars="68" w:firstLine="420" w:firstLineChars="200"/>
        <w:rPr>
          <w:rFonts w:ascii="宋体" w:hAnsi="宋体" w:cs="宋体"/>
          <w:color w:val="auto"/>
          <w:highlight w:val="none"/>
        </w:rPr>
      </w:pPr>
      <w:r>
        <w:rPr>
          <w:rFonts w:hint="eastAsia" w:ascii="宋体" w:hAnsi="宋体" w:cs="宋体"/>
          <w:color w:val="auto"/>
          <w:highlight w:val="none"/>
        </w:rPr>
        <w:t>由供应商按本项目竞争性磋商文件第二章“采购需求”中商务条款部分的售后服务要求编制，其中要包含售后服务承诺。</w:t>
      </w:r>
    </w:p>
    <w:p w14:paraId="11240787">
      <w:pPr>
        <w:snapToGrid w:val="0"/>
        <w:spacing w:beforeLines="50" w:after="50" w:line="360" w:lineRule="auto"/>
        <w:ind w:left="142"/>
        <w:jc w:val="center"/>
        <w:outlineLvl w:val="2"/>
        <w:rPr>
          <w:rFonts w:ascii="宋体" w:hAnsi="宋体" w:cs="宋体"/>
          <w:b/>
          <w:color w:val="auto"/>
          <w:sz w:val="32"/>
          <w:szCs w:val="32"/>
          <w:highlight w:val="none"/>
        </w:rPr>
      </w:pPr>
      <w:bookmarkStart w:id="191" w:name="_Toc7598"/>
      <w:r>
        <w:rPr>
          <w:rFonts w:hint="eastAsia" w:ascii="宋体" w:hAnsi="宋体" w:cs="宋体"/>
          <w:b/>
          <w:color w:val="auto"/>
          <w:sz w:val="32"/>
          <w:szCs w:val="32"/>
          <w:highlight w:val="none"/>
        </w:rPr>
        <w:t>1、维保服务承诺</w:t>
      </w:r>
      <w:bookmarkEnd w:id="191"/>
    </w:p>
    <w:p w14:paraId="024FB7AB">
      <w:pPr>
        <w:autoSpaceDE w:val="0"/>
        <w:autoSpaceDN w:val="0"/>
        <w:spacing w:line="360" w:lineRule="auto"/>
        <w:outlineLvl w:val="3"/>
        <w:rPr>
          <w:rFonts w:ascii="宋体" w:hAnsi="宋体" w:cs="宋体"/>
          <w:b/>
          <w:color w:val="auto"/>
          <w:sz w:val="24"/>
          <w:highlight w:val="none"/>
        </w:rPr>
      </w:pPr>
      <w:r>
        <w:rPr>
          <w:rFonts w:hint="eastAsia" w:ascii="宋体" w:hAnsi="宋体" w:cs="宋体"/>
          <w:b/>
          <w:color w:val="auto"/>
          <w:sz w:val="24"/>
          <w:highlight w:val="none"/>
        </w:rPr>
        <w:t>附表A:维保服务机构情况表</w:t>
      </w:r>
      <w:r>
        <w:rPr>
          <w:rFonts w:hint="eastAsia" w:ascii="宋体" w:hAnsi="宋体" w:cs="宋体"/>
          <w:color w:val="auto"/>
          <w:sz w:val="24"/>
          <w:highlight w:val="none"/>
        </w:rPr>
        <w:t>（参照此格式自制）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68"/>
        <w:gridCol w:w="1385"/>
        <w:gridCol w:w="1667"/>
        <w:gridCol w:w="1260"/>
      </w:tblGrid>
      <w:tr w14:paraId="440F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247B925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noWrap/>
            <w:vAlign w:val="center"/>
          </w:tcPr>
          <w:p w14:paraId="22F801B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268" w:type="dxa"/>
            <w:noWrap/>
            <w:vAlign w:val="center"/>
          </w:tcPr>
          <w:p w14:paraId="3FA005B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385" w:type="dxa"/>
            <w:noWrap/>
            <w:vAlign w:val="center"/>
          </w:tcPr>
          <w:p w14:paraId="7C4BA3F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667" w:type="dxa"/>
            <w:noWrap/>
            <w:vAlign w:val="center"/>
          </w:tcPr>
          <w:p w14:paraId="62751FB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noWrap/>
            <w:vAlign w:val="center"/>
          </w:tcPr>
          <w:p w14:paraId="45E9E4C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5E72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tcPr>
          <w:p w14:paraId="6D608506">
            <w:pPr>
              <w:autoSpaceDE w:val="0"/>
              <w:autoSpaceDN w:val="0"/>
              <w:spacing w:line="360" w:lineRule="auto"/>
              <w:jc w:val="center"/>
              <w:rPr>
                <w:rFonts w:ascii="宋体" w:hAnsi="宋体" w:cs="宋体"/>
                <w:color w:val="auto"/>
                <w:sz w:val="24"/>
                <w:highlight w:val="none"/>
              </w:rPr>
            </w:pPr>
          </w:p>
        </w:tc>
        <w:tc>
          <w:tcPr>
            <w:tcW w:w="2340" w:type="dxa"/>
            <w:noWrap/>
          </w:tcPr>
          <w:p w14:paraId="754CF3EE">
            <w:pPr>
              <w:autoSpaceDE w:val="0"/>
              <w:autoSpaceDN w:val="0"/>
              <w:spacing w:line="360" w:lineRule="auto"/>
              <w:jc w:val="center"/>
              <w:rPr>
                <w:rFonts w:ascii="宋体" w:hAnsi="宋体" w:cs="宋体"/>
                <w:color w:val="auto"/>
                <w:sz w:val="24"/>
                <w:highlight w:val="none"/>
              </w:rPr>
            </w:pPr>
          </w:p>
        </w:tc>
        <w:tc>
          <w:tcPr>
            <w:tcW w:w="1268" w:type="dxa"/>
            <w:noWrap/>
          </w:tcPr>
          <w:p w14:paraId="6DFA6F24">
            <w:pPr>
              <w:autoSpaceDE w:val="0"/>
              <w:autoSpaceDN w:val="0"/>
              <w:spacing w:line="360" w:lineRule="auto"/>
              <w:jc w:val="center"/>
              <w:rPr>
                <w:rFonts w:ascii="宋体" w:hAnsi="宋体" w:cs="宋体"/>
                <w:color w:val="auto"/>
                <w:sz w:val="24"/>
                <w:highlight w:val="none"/>
              </w:rPr>
            </w:pPr>
          </w:p>
        </w:tc>
        <w:tc>
          <w:tcPr>
            <w:tcW w:w="1385" w:type="dxa"/>
            <w:noWrap/>
          </w:tcPr>
          <w:p w14:paraId="11A81543">
            <w:pPr>
              <w:autoSpaceDE w:val="0"/>
              <w:autoSpaceDN w:val="0"/>
              <w:spacing w:line="360" w:lineRule="auto"/>
              <w:jc w:val="center"/>
              <w:rPr>
                <w:rFonts w:ascii="宋体" w:hAnsi="宋体" w:cs="宋体"/>
                <w:color w:val="auto"/>
                <w:sz w:val="24"/>
                <w:highlight w:val="none"/>
              </w:rPr>
            </w:pPr>
          </w:p>
        </w:tc>
        <w:tc>
          <w:tcPr>
            <w:tcW w:w="1667" w:type="dxa"/>
            <w:noWrap/>
          </w:tcPr>
          <w:p w14:paraId="3763459B">
            <w:pPr>
              <w:autoSpaceDE w:val="0"/>
              <w:autoSpaceDN w:val="0"/>
              <w:spacing w:line="360" w:lineRule="auto"/>
              <w:jc w:val="center"/>
              <w:rPr>
                <w:rFonts w:ascii="宋体" w:hAnsi="宋体" w:cs="宋体"/>
                <w:color w:val="auto"/>
                <w:sz w:val="24"/>
                <w:highlight w:val="none"/>
              </w:rPr>
            </w:pPr>
          </w:p>
        </w:tc>
        <w:tc>
          <w:tcPr>
            <w:tcW w:w="1260" w:type="dxa"/>
            <w:noWrap/>
          </w:tcPr>
          <w:p w14:paraId="75BAFAFD">
            <w:pPr>
              <w:autoSpaceDE w:val="0"/>
              <w:autoSpaceDN w:val="0"/>
              <w:spacing w:line="360" w:lineRule="auto"/>
              <w:jc w:val="center"/>
              <w:rPr>
                <w:rFonts w:ascii="宋体" w:hAnsi="宋体" w:cs="宋体"/>
                <w:color w:val="auto"/>
                <w:sz w:val="24"/>
                <w:highlight w:val="none"/>
              </w:rPr>
            </w:pPr>
          </w:p>
        </w:tc>
      </w:tr>
      <w:tr w14:paraId="5583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tcPr>
          <w:p w14:paraId="353999BE">
            <w:pPr>
              <w:autoSpaceDE w:val="0"/>
              <w:autoSpaceDN w:val="0"/>
              <w:spacing w:line="360" w:lineRule="auto"/>
              <w:jc w:val="center"/>
              <w:rPr>
                <w:rFonts w:ascii="宋体" w:hAnsi="宋体" w:cs="宋体"/>
                <w:color w:val="auto"/>
                <w:sz w:val="24"/>
                <w:highlight w:val="none"/>
              </w:rPr>
            </w:pPr>
          </w:p>
        </w:tc>
        <w:tc>
          <w:tcPr>
            <w:tcW w:w="2340" w:type="dxa"/>
            <w:noWrap/>
          </w:tcPr>
          <w:p w14:paraId="39F9ECFD">
            <w:pPr>
              <w:autoSpaceDE w:val="0"/>
              <w:autoSpaceDN w:val="0"/>
              <w:spacing w:line="360" w:lineRule="auto"/>
              <w:jc w:val="center"/>
              <w:rPr>
                <w:rFonts w:ascii="宋体" w:hAnsi="宋体" w:cs="宋体"/>
                <w:color w:val="auto"/>
                <w:sz w:val="24"/>
                <w:highlight w:val="none"/>
              </w:rPr>
            </w:pPr>
          </w:p>
        </w:tc>
        <w:tc>
          <w:tcPr>
            <w:tcW w:w="1268" w:type="dxa"/>
            <w:noWrap/>
          </w:tcPr>
          <w:p w14:paraId="26764F5E">
            <w:pPr>
              <w:autoSpaceDE w:val="0"/>
              <w:autoSpaceDN w:val="0"/>
              <w:spacing w:line="360" w:lineRule="auto"/>
              <w:jc w:val="center"/>
              <w:rPr>
                <w:rFonts w:ascii="宋体" w:hAnsi="宋体" w:cs="宋体"/>
                <w:color w:val="auto"/>
                <w:sz w:val="24"/>
                <w:highlight w:val="none"/>
              </w:rPr>
            </w:pPr>
          </w:p>
        </w:tc>
        <w:tc>
          <w:tcPr>
            <w:tcW w:w="1385" w:type="dxa"/>
            <w:noWrap/>
          </w:tcPr>
          <w:p w14:paraId="7618B542">
            <w:pPr>
              <w:autoSpaceDE w:val="0"/>
              <w:autoSpaceDN w:val="0"/>
              <w:spacing w:line="360" w:lineRule="auto"/>
              <w:jc w:val="center"/>
              <w:rPr>
                <w:rFonts w:ascii="宋体" w:hAnsi="宋体" w:cs="宋体"/>
                <w:color w:val="auto"/>
                <w:sz w:val="24"/>
                <w:highlight w:val="none"/>
              </w:rPr>
            </w:pPr>
          </w:p>
        </w:tc>
        <w:tc>
          <w:tcPr>
            <w:tcW w:w="1667" w:type="dxa"/>
            <w:noWrap/>
          </w:tcPr>
          <w:p w14:paraId="1073E1A8">
            <w:pPr>
              <w:autoSpaceDE w:val="0"/>
              <w:autoSpaceDN w:val="0"/>
              <w:spacing w:line="360" w:lineRule="auto"/>
              <w:jc w:val="center"/>
              <w:rPr>
                <w:rFonts w:ascii="宋体" w:hAnsi="宋体" w:cs="宋体"/>
                <w:color w:val="auto"/>
                <w:sz w:val="24"/>
                <w:highlight w:val="none"/>
              </w:rPr>
            </w:pPr>
          </w:p>
        </w:tc>
        <w:tc>
          <w:tcPr>
            <w:tcW w:w="1260" w:type="dxa"/>
            <w:noWrap/>
          </w:tcPr>
          <w:p w14:paraId="25C00387">
            <w:pPr>
              <w:autoSpaceDE w:val="0"/>
              <w:autoSpaceDN w:val="0"/>
              <w:spacing w:line="360" w:lineRule="auto"/>
              <w:jc w:val="center"/>
              <w:rPr>
                <w:rFonts w:ascii="宋体" w:hAnsi="宋体" w:cs="宋体"/>
                <w:color w:val="auto"/>
                <w:sz w:val="24"/>
                <w:highlight w:val="none"/>
              </w:rPr>
            </w:pPr>
          </w:p>
        </w:tc>
      </w:tr>
      <w:tr w14:paraId="55F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tcPr>
          <w:p w14:paraId="6DAA882D">
            <w:pPr>
              <w:autoSpaceDE w:val="0"/>
              <w:autoSpaceDN w:val="0"/>
              <w:spacing w:line="360" w:lineRule="auto"/>
              <w:jc w:val="center"/>
              <w:rPr>
                <w:rFonts w:ascii="宋体" w:hAnsi="宋体" w:cs="宋体"/>
                <w:color w:val="auto"/>
                <w:sz w:val="24"/>
                <w:highlight w:val="none"/>
              </w:rPr>
            </w:pPr>
          </w:p>
        </w:tc>
        <w:tc>
          <w:tcPr>
            <w:tcW w:w="2340" w:type="dxa"/>
            <w:noWrap/>
          </w:tcPr>
          <w:p w14:paraId="29240938">
            <w:pPr>
              <w:autoSpaceDE w:val="0"/>
              <w:autoSpaceDN w:val="0"/>
              <w:spacing w:line="360" w:lineRule="auto"/>
              <w:jc w:val="center"/>
              <w:rPr>
                <w:rFonts w:ascii="宋体" w:hAnsi="宋体" w:cs="宋体"/>
                <w:color w:val="auto"/>
                <w:sz w:val="24"/>
                <w:highlight w:val="none"/>
              </w:rPr>
            </w:pPr>
          </w:p>
        </w:tc>
        <w:tc>
          <w:tcPr>
            <w:tcW w:w="1268" w:type="dxa"/>
            <w:noWrap/>
          </w:tcPr>
          <w:p w14:paraId="51519AD3">
            <w:pPr>
              <w:autoSpaceDE w:val="0"/>
              <w:autoSpaceDN w:val="0"/>
              <w:spacing w:line="360" w:lineRule="auto"/>
              <w:jc w:val="center"/>
              <w:rPr>
                <w:rFonts w:ascii="宋体" w:hAnsi="宋体" w:cs="宋体"/>
                <w:color w:val="auto"/>
                <w:sz w:val="24"/>
                <w:highlight w:val="none"/>
              </w:rPr>
            </w:pPr>
          </w:p>
        </w:tc>
        <w:tc>
          <w:tcPr>
            <w:tcW w:w="1385" w:type="dxa"/>
            <w:noWrap/>
          </w:tcPr>
          <w:p w14:paraId="47677F23">
            <w:pPr>
              <w:autoSpaceDE w:val="0"/>
              <w:autoSpaceDN w:val="0"/>
              <w:spacing w:line="360" w:lineRule="auto"/>
              <w:jc w:val="center"/>
              <w:rPr>
                <w:rFonts w:ascii="宋体" w:hAnsi="宋体" w:cs="宋体"/>
                <w:color w:val="auto"/>
                <w:sz w:val="24"/>
                <w:highlight w:val="none"/>
              </w:rPr>
            </w:pPr>
          </w:p>
        </w:tc>
        <w:tc>
          <w:tcPr>
            <w:tcW w:w="1667" w:type="dxa"/>
            <w:noWrap/>
          </w:tcPr>
          <w:p w14:paraId="66ECCA9F">
            <w:pPr>
              <w:autoSpaceDE w:val="0"/>
              <w:autoSpaceDN w:val="0"/>
              <w:spacing w:line="360" w:lineRule="auto"/>
              <w:jc w:val="center"/>
              <w:rPr>
                <w:rFonts w:ascii="宋体" w:hAnsi="宋体" w:cs="宋体"/>
                <w:color w:val="auto"/>
                <w:sz w:val="24"/>
                <w:highlight w:val="none"/>
              </w:rPr>
            </w:pPr>
          </w:p>
        </w:tc>
        <w:tc>
          <w:tcPr>
            <w:tcW w:w="1260" w:type="dxa"/>
            <w:noWrap/>
          </w:tcPr>
          <w:p w14:paraId="62D8E2B2">
            <w:pPr>
              <w:autoSpaceDE w:val="0"/>
              <w:autoSpaceDN w:val="0"/>
              <w:spacing w:line="360" w:lineRule="auto"/>
              <w:jc w:val="center"/>
              <w:rPr>
                <w:rFonts w:ascii="宋体" w:hAnsi="宋体" w:cs="宋体"/>
                <w:color w:val="auto"/>
                <w:sz w:val="24"/>
                <w:highlight w:val="none"/>
              </w:rPr>
            </w:pPr>
          </w:p>
        </w:tc>
      </w:tr>
    </w:tbl>
    <w:p w14:paraId="613EAEB5">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注：关于项目涉及的所有维保服务机构均在本表注明，包括供应商本单位和符合条件的第三方服务机构。</w:t>
      </w:r>
    </w:p>
    <w:p w14:paraId="3234BF9E">
      <w:pPr>
        <w:autoSpaceDE w:val="0"/>
        <w:autoSpaceDN w:val="0"/>
        <w:spacing w:line="360" w:lineRule="auto"/>
        <w:rPr>
          <w:rFonts w:ascii="宋体" w:hAnsi="宋体" w:cs="宋体"/>
          <w:color w:val="auto"/>
          <w:kern w:val="0"/>
          <w:sz w:val="24"/>
          <w:highlight w:val="none"/>
        </w:rPr>
      </w:pPr>
    </w:p>
    <w:p w14:paraId="07BC9869">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附表B：维保服务人员情况表</w:t>
      </w:r>
      <w:r>
        <w:rPr>
          <w:rFonts w:hint="eastAsia" w:ascii="宋体" w:hAnsi="宋体" w:cs="宋体"/>
          <w:color w:val="auto"/>
          <w:sz w:val="24"/>
          <w:highlight w:val="none"/>
        </w:rPr>
        <w:t>（参照此格式自制）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911"/>
        <w:gridCol w:w="795"/>
        <w:gridCol w:w="1080"/>
        <w:gridCol w:w="930"/>
        <w:gridCol w:w="836"/>
        <w:gridCol w:w="1260"/>
        <w:gridCol w:w="900"/>
        <w:gridCol w:w="1111"/>
      </w:tblGrid>
      <w:tr w14:paraId="257340F0">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ign w:val="center"/>
          </w:tcPr>
          <w:p w14:paraId="4C3F0D2A">
            <w:pPr>
              <w:autoSpaceDE w:val="0"/>
              <w:autoSpaceDN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ign w:val="center"/>
          </w:tcPr>
          <w:p w14:paraId="03E3DEFB">
            <w:pPr>
              <w:autoSpaceDE w:val="0"/>
              <w:autoSpaceDN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ign w:val="center"/>
          </w:tcPr>
          <w:p w14:paraId="5B54DE42">
            <w:pPr>
              <w:autoSpaceDE w:val="0"/>
              <w:autoSpaceDN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姓名</w:t>
            </w:r>
          </w:p>
        </w:tc>
        <w:tc>
          <w:tcPr>
            <w:tcW w:w="911" w:type="dxa"/>
            <w:tcBorders>
              <w:top w:val="single" w:color="auto" w:sz="6" w:space="0"/>
              <w:left w:val="single" w:color="auto" w:sz="6" w:space="0"/>
              <w:bottom w:val="single" w:color="auto" w:sz="6" w:space="0"/>
              <w:right w:val="single" w:color="auto" w:sz="6" w:space="0"/>
            </w:tcBorders>
            <w:noWrap/>
            <w:vAlign w:val="center"/>
          </w:tcPr>
          <w:p w14:paraId="17CDDBC1">
            <w:pPr>
              <w:autoSpaceDE w:val="0"/>
              <w:autoSpaceDN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性别</w:t>
            </w:r>
          </w:p>
        </w:tc>
        <w:tc>
          <w:tcPr>
            <w:tcW w:w="795" w:type="dxa"/>
            <w:tcBorders>
              <w:top w:val="single" w:color="auto" w:sz="6" w:space="0"/>
              <w:left w:val="single" w:color="auto" w:sz="6" w:space="0"/>
              <w:bottom w:val="single" w:color="auto" w:sz="6" w:space="0"/>
              <w:right w:val="single" w:color="auto" w:sz="6" w:space="0"/>
            </w:tcBorders>
            <w:noWrap/>
            <w:vAlign w:val="center"/>
          </w:tcPr>
          <w:p w14:paraId="02DC7DB3">
            <w:pPr>
              <w:autoSpaceDE w:val="0"/>
              <w:autoSpaceDN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ign w:val="center"/>
          </w:tcPr>
          <w:p w14:paraId="6BD15386">
            <w:pPr>
              <w:autoSpaceDE w:val="0"/>
              <w:autoSpaceDN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学历</w:t>
            </w:r>
          </w:p>
        </w:tc>
        <w:tc>
          <w:tcPr>
            <w:tcW w:w="930" w:type="dxa"/>
            <w:tcBorders>
              <w:top w:val="single" w:color="auto" w:sz="6" w:space="0"/>
              <w:left w:val="single" w:color="auto" w:sz="6" w:space="0"/>
              <w:bottom w:val="single" w:color="auto" w:sz="6" w:space="0"/>
              <w:right w:val="single" w:color="auto" w:sz="6" w:space="0"/>
            </w:tcBorders>
            <w:noWrap/>
            <w:vAlign w:val="center"/>
          </w:tcPr>
          <w:p w14:paraId="396E35E0">
            <w:pPr>
              <w:autoSpaceDE w:val="0"/>
              <w:autoSpaceDN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专业</w:t>
            </w:r>
          </w:p>
        </w:tc>
        <w:tc>
          <w:tcPr>
            <w:tcW w:w="836" w:type="dxa"/>
            <w:tcBorders>
              <w:top w:val="single" w:color="auto" w:sz="6" w:space="0"/>
              <w:left w:val="single" w:color="auto" w:sz="6" w:space="0"/>
              <w:bottom w:val="single" w:color="auto" w:sz="6" w:space="0"/>
              <w:right w:val="single" w:color="auto" w:sz="6" w:space="0"/>
            </w:tcBorders>
            <w:noWrap/>
            <w:vAlign w:val="center"/>
          </w:tcPr>
          <w:p w14:paraId="13CEF49D">
            <w:pPr>
              <w:autoSpaceDE w:val="0"/>
              <w:autoSpaceDN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ign w:val="center"/>
          </w:tcPr>
          <w:p w14:paraId="60EAE311">
            <w:pPr>
              <w:autoSpaceDE w:val="0"/>
              <w:autoSpaceDN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ign w:val="center"/>
          </w:tcPr>
          <w:p w14:paraId="21E02E41">
            <w:pPr>
              <w:autoSpaceDE w:val="0"/>
              <w:autoSpaceDN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ign w:val="center"/>
          </w:tcPr>
          <w:p w14:paraId="1E78BC12">
            <w:pPr>
              <w:autoSpaceDE w:val="0"/>
              <w:autoSpaceDN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到达现场时间</w:t>
            </w:r>
          </w:p>
        </w:tc>
      </w:tr>
      <w:tr w14:paraId="7A518D35">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tcPr>
          <w:p w14:paraId="2B7F1C3A">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tcPr>
          <w:p w14:paraId="04CBA4A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tcPr>
          <w:p w14:paraId="21144459">
            <w:pPr>
              <w:autoSpaceDE w:val="0"/>
              <w:autoSpaceDN w:val="0"/>
              <w:spacing w:line="360" w:lineRule="auto"/>
              <w:rPr>
                <w:rFonts w:ascii="宋体" w:hAnsi="宋体" w:cs="宋体"/>
                <w:color w:val="auto"/>
                <w:sz w:val="24"/>
                <w:highlight w:val="none"/>
              </w:rPr>
            </w:pPr>
          </w:p>
        </w:tc>
        <w:tc>
          <w:tcPr>
            <w:tcW w:w="911" w:type="dxa"/>
            <w:tcBorders>
              <w:top w:val="single" w:color="auto" w:sz="6" w:space="0"/>
              <w:left w:val="single" w:color="auto" w:sz="6" w:space="0"/>
              <w:bottom w:val="single" w:color="auto" w:sz="6" w:space="0"/>
              <w:right w:val="single" w:color="auto" w:sz="6" w:space="0"/>
            </w:tcBorders>
            <w:noWrap/>
          </w:tcPr>
          <w:p w14:paraId="2890F37E">
            <w:pPr>
              <w:autoSpaceDE w:val="0"/>
              <w:autoSpaceDN w:val="0"/>
              <w:spacing w:line="360" w:lineRule="auto"/>
              <w:rPr>
                <w:rFonts w:ascii="宋体" w:hAnsi="宋体" w:cs="宋体"/>
                <w:color w:val="auto"/>
                <w:sz w:val="24"/>
                <w:highlight w:val="none"/>
              </w:rPr>
            </w:pPr>
          </w:p>
        </w:tc>
        <w:tc>
          <w:tcPr>
            <w:tcW w:w="795" w:type="dxa"/>
            <w:tcBorders>
              <w:top w:val="single" w:color="auto" w:sz="6" w:space="0"/>
              <w:left w:val="single" w:color="auto" w:sz="6" w:space="0"/>
              <w:bottom w:val="single" w:color="auto" w:sz="6" w:space="0"/>
              <w:right w:val="single" w:color="auto" w:sz="6" w:space="0"/>
            </w:tcBorders>
            <w:noWrap/>
          </w:tcPr>
          <w:p w14:paraId="5ABF725C">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7F9D91CA">
            <w:pPr>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tcPr>
          <w:p w14:paraId="2FB96E0C">
            <w:pPr>
              <w:autoSpaceDE w:val="0"/>
              <w:autoSpaceDN w:val="0"/>
              <w:spacing w:line="360" w:lineRule="auto"/>
              <w:rPr>
                <w:rFonts w:ascii="宋体" w:hAnsi="宋体" w:cs="宋体"/>
                <w:color w:val="auto"/>
                <w:sz w:val="24"/>
                <w:highlight w:val="none"/>
              </w:rPr>
            </w:pPr>
          </w:p>
        </w:tc>
        <w:tc>
          <w:tcPr>
            <w:tcW w:w="836" w:type="dxa"/>
            <w:tcBorders>
              <w:top w:val="single" w:color="auto" w:sz="6" w:space="0"/>
              <w:left w:val="single" w:color="auto" w:sz="6" w:space="0"/>
              <w:bottom w:val="single" w:color="auto" w:sz="6" w:space="0"/>
              <w:right w:val="single" w:color="auto" w:sz="6" w:space="0"/>
            </w:tcBorders>
            <w:noWrap/>
          </w:tcPr>
          <w:p w14:paraId="28E2F522">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39FF182B">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0606106B">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tcPr>
          <w:p w14:paraId="6A28C313">
            <w:pPr>
              <w:autoSpaceDE w:val="0"/>
              <w:autoSpaceDN w:val="0"/>
              <w:spacing w:line="360" w:lineRule="auto"/>
              <w:rPr>
                <w:rFonts w:ascii="宋体" w:hAnsi="宋体" w:cs="宋体"/>
                <w:color w:val="auto"/>
                <w:sz w:val="24"/>
                <w:highlight w:val="none"/>
              </w:rPr>
            </w:pPr>
          </w:p>
        </w:tc>
      </w:tr>
      <w:tr w14:paraId="7701F69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tcPr>
          <w:p w14:paraId="5AD6DDA4">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tcPr>
          <w:p w14:paraId="3F3CE7D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维保人员</w:t>
            </w:r>
          </w:p>
        </w:tc>
        <w:tc>
          <w:tcPr>
            <w:tcW w:w="787" w:type="dxa"/>
            <w:tcBorders>
              <w:top w:val="single" w:color="auto" w:sz="6" w:space="0"/>
              <w:left w:val="single" w:color="auto" w:sz="6" w:space="0"/>
              <w:bottom w:val="single" w:color="auto" w:sz="6" w:space="0"/>
              <w:right w:val="single" w:color="auto" w:sz="6" w:space="0"/>
            </w:tcBorders>
            <w:noWrap/>
          </w:tcPr>
          <w:p w14:paraId="6A8EA51C">
            <w:pPr>
              <w:autoSpaceDE w:val="0"/>
              <w:autoSpaceDN w:val="0"/>
              <w:spacing w:line="360" w:lineRule="auto"/>
              <w:rPr>
                <w:rFonts w:ascii="宋体" w:hAnsi="宋体" w:cs="宋体"/>
                <w:color w:val="auto"/>
                <w:sz w:val="24"/>
                <w:highlight w:val="none"/>
              </w:rPr>
            </w:pPr>
          </w:p>
        </w:tc>
        <w:tc>
          <w:tcPr>
            <w:tcW w:w="911" w:type="dxa"/>
            <w:tcBorders>
              <w:top w:val="single" w:color="auto" w:sz="6" w:space="0"/>
              <w:left w:val="single" w:color="auto" w:sz="6" w:space="0"/>
              <w:bottom w:val="single" w:color="auto" w:sz="6" w:space="0"/>
              <w:right w:val="single" w:color="auto" w:sz="6" w:space="0"/>
            </w:tcBorders>
            <w:noWrap/>
          </w:tcPr>
          <w:p w14:paraId="53941F0C">
            <w:pPr>
              <w:autoSpaceDE w:val="0"/>
              <w:autoSpaceDN w:val="0"/>
              <w:spacing w:line="360" w:lineRule="auto"/>
              <w:rPr>
                <w:rFonts w:ascii="宋体" w:hAnsi="宋体" w:cs="宋体"/>
                <w:color w:val="auto"/>
                <w:sz w:val="24"/>
                <w:highlight w:val="none"/>
              </w:rPr>
            </w:pPr>
          </w:p>
        </w:tc>
        <w:tc>
          <w:tcPr>
            <w:tcW w:w="795" w:type="dxa"/>
            <w:tcBorders>
              <w:top w:val="single" w:color="auto" w:sz="6" w:space="0"/>
              <w:left w:val="single" w:color="auto" w:sz="6" w:space="0"/>
              <w:bottom w:val="single" w:color="auto" w:sz="6" w:space="0"/>
              <w:right w:val="single" w:color="auto" w:sz="6" w:space="0"/>
            </w:tcBorders>
            <w:noWrap/>
          </w:tcPr>
          <w:p w14:paraId="058EEF8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1C9E710A">
            <w:pPr>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tcPr>
          <w:p w14:paraId="555D84E6">
            <w:pPr>
              <w:autoSpaceDE w:val="0"/>
              <w:autoSpaceDN w:val="0"/>
              <w:spacing w:line="360" w:lineRule="auto"/>
              <w:rPr>
                <w:rFonts w:ascii="宋体" w:hAnsi="宋体" w:cs="宋体"/>
                <w:color w:val="auto"/>
                <w:sz w:val="24"/>
                <w:highlight w:val="none"/>
              </w:rPr>
            </w:pPr>
          </w:p>
        </w:tc>
        <w:tc>
          <w:tcPr>
            <w:tcW w:w="836" w:type="dxa"/>
            <w:tcBorders>
              <w:top w:val="single" w:color="auto" w:sz="6" w:space="0"/>
              <w:left w:val="single" w:color="auto" w:sz="6" w:space="0"/>
              <w:bottom w:val="single" w:color="auto" w:sz="6" w:space="0"/>
              <w:right w:val="single" w:color="auto" w:sz="6" w:space="0"/>
            </w:tcBorders>
            <w:noWrap/>
          </w:tcPr>
          <w:p w14:paraId="7DC7BAD4">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5A297D05">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05013BFF">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tcPr>
          <w:p w14:paraId="2A127C5A">
            <w:pPr>
              <w:autoSpaceDE w:val="0"/>
              <w:autoSpaceDN w:val="0"/>
              <w:spacing w:line="360" w:lineRule="auto"/>
              <w:rPr>
                <w:rFonts w:ascii="宋体" w:hAnsi="宋体" w:cs="宋体"/>
                <w:color w:val="auto"/>
                <w:sz w:val="24"/>
                <w:highlight w:val="none"/>
              </w:rPr>
            </w:pPr>
          </w:p>
        </w:tc>
      </w:tr>
      <w:tr w14:paraId="7085F7A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tcPr>
          <w:p w14:paraId="0FE387A9">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tcPr>
          <w:p w14:paraId="17FCC597">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3F1E5229">
            <w:pPr>
              <w:autoSpaceDE w:val="0"/>
              <w:autoSpaceDN w:val="0"/>
              <w:spacing w:line="360" w:lineRule="auto"/>
              <w:rPr>
                <w:rFonts w:ascii="宋体" w:hAnsi="宋体" w:cs="宋体"/>
                <w:color w:val="auto"/>
                <w:sz w:val="24"/>
                <w:highlight w:val="none"/>
              </w:rPr>
            </w:pPr>
          </w:p>
        </w:tc>
        <w:tc>
          <w:tcPr>
            <w:tcW w:w="911" w:type="dxa"/>
            <w:tcBorders>
              <w:top w:val="single" w:color="auto" w:sz="6" w:space="0"/>
              <w:left w:val="single" w:color="auto" w:sz="6" w:space="0"/>
              <w:bottom w:val="single" w:color="auto" w:sz="6" w:space="0"/>
              <w:right w:val="single" w:color="auto" w:sz="6" w:space="0"/>
            </w:tcBorders>
            <w:noWrap/>
          </w:tcPr>
          <w:p w14:paraId="3E02A19C">
            <w:pPr>
              <w:autoSpaceDE w:val="0"/>
              <w:autoSpaceDN w:val="0"/>
              <w:spacing w:line="360" w:lineRule="auto"/>
              <w:rPr>
                <w:rFonts w:ascii="宋体" w:hAnsi="宋体" w:cs="宋体"/>
                <w:color w:val="auto"/>
                <w:sz w:val="24"/>
                <w:highlight w:val="none"/>
              </w:rPr>
            </w:pPr>
          </w:p>
        </w:tc>
        <w:tc>
          <w:tcPr>
            <w:tcW w:w="795" w:type="dxa"/>
            <w:tcBorders>
              <w:top w:val="single" w:color="auto" w:sz="6" w:space="0"/>
              <w:left w:val="single" w:color="auto" w:sz="6" w:space="0"/>
              <w:bottom w:val="single" w:color="auto" w:sz="6" w:space="0"/>
              <w:right w:val="single" w:color="auto" w:sz="6" w:space="0"/>
            </w:tcBorders>
            <w:noWrap/>
          </w:tcPr>
          <w:p w14:paraId="71B53B86">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6DC1A6FB">
            <w:pPr>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tcPr>
          <w:p w14:paraId="3A07F4A1">
            <w:pPr>
              <w:autoSpaceDE w:val="0"/>
              <w:autoSpaceDN w:val="0"/>
              <w:spacing w:line="360" w:lineRule="auto"/>
              <w:rPr>
                <w:rFonts w:ascii="宋体" w:hAnsi="宋体" w:cs="宋体"/>
                <w:color w:val="auto"/>
                <w:sz w:val="24"/>
                <w:highlight w:val="none"/>
              </w:rPr>
            </w:pPr>
          </w:p>
        </w:tc>
        <w:tc>
          <w:tcPr>
            <w:tcW w:w="836" w:type="dxa"/>
            <w:tcBorders>
              <w:top w:val="single" w:color="auto" w:sz="6" w:space="0"/>
              <w:left w:val="single" w:color="auto" w:sz="6" w:space="0"/>
              <w:bottom w:val="single" w:color="auto" w:sz="6" w:space="0"/>
              <w:right w:val="single" w:color="auto" w:sz="6" w:space="0"/>
            </w:tcBorders>
            <w:noWrap/>
          </w:tcPr>
          <w:p w14:paraId="347D121D">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677975CD">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019A62C6">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tcPr>
          <w:p w14:paraId="3D6C7360">
            <w:pPr>
              <w:autoSpaceDE w:val="0"/>
              <w:autoSpaceDN w:val="0"/>
              <w:spacing w:line="360" w:lineRule="auto"/>
              <w:rPr>
                <w:rFonts w:ascii="宋体" w:hAnsi="宋体" w:cs="宋体"/>
                <w:color w:val="auto"/>
                <w:sz w:val="24"/>
                <w:highlight w:val="none"/>
              </w:rPr>
            </w:pPr>
          </w:p>
        </w:tc>
      </w:tr>
      <w:tr w14:paraId="0CE12A3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tcPr>
          <w:p w14:paraId="59D31A76">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tcPr>
          <w:p w14:paraId="7F6F48AE">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6FEED32D">
            <w:pPr>
              <w:autoSpaceDE w:val="0"/>
              <w:autoSpaceDN w:val="0"/>
              <w:spacing w:line="360" w:lineRule="auto"/>
              <w:rPr>
                <w:rFonts w:ascii="宋体" w:hAnsi="宋体" w:cs="宋体"/>
                <w:color w:val="auto"/>
                <w:sz w:val="24"/>
                <w:highlight w:val="none"/>
              </w:rPr>
            </w:pPr>
          </w:p>
        </w:tc>
        <w:tc>
          <w:tcPr>
            <w:tcW w:w="911" w:type="dxa"/>
            <w:tcBorders>
              <w:top w:val="single" w:color="auto" w:sz="6" w:space="0"/>
              <w:left w:val="single" w:color="auto" w:sz="6" w:space="0"/>
              <w:bottom w:val="single" w:color="auto" w:sz="6" w:space="0"/>
              <w:right w:val="single" w:color="auto" w:sz="6" w:space="0"/>
            </w:tcBorders>
            <w:noWrap/>
          </w:tcPr>
          <w:p w14:paraId="20AAD6C9">
            <w:pPr>
              <w:autoSpaceDE w:val="0"/>
              <w:autoSpaceDN w:val="0"/>
              <w:spacing w:line="360" w:lineRule="auto"/>
              <w:rPr>
                <w:rFonts w:ascii="宋体" w:hAnsi="宋体" w:cs="宋体"/>
                <w:color w:val="auto"/>
                <w:sz w:val="24"/>
                <w:highlight w:val="none"/>
              </w:rPr>
            </w:pPr>
          </w:p>
        </w:tc>
        <w:tc>
          <w:tcPr>
            <w:tcW w:w="795" w:type="dxa"/>
            <w:tcBorders>
              <w:top w:val="single" w:color="auto" w:sz="6" w:space="0"/>
              <w:left w:val="single" w:color="auto" w:sz="6" w:space="0"/>
              <w:bottom w:val="single" w:color="auto" w:sz="6" w:space="0"/>
              <w:right w:val="single" w:color="auto" w:sz="6" w:space="0"/>
            </w:tcBorders>
            <w:noWrap/>
          </w:tcPr>
          <w:p w14:paraId="1AF27DAB">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6B68E135">
            <w:pPr>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tcPr>
          <w:p w14:paraId="5464DD72">
            <w:pPr>
              <w:autoSpaceDE w:val="0"/>
              <w:autoSpaceDN w:val="0"/>
              <w:spacing w:line="360" w:lineRule="auto"/>
              <w:rPr>
                <w:rFonts w:ascii="宋体" w:hAnsi="宋体" w:cs="宋体"/>
                <w:color w:val="auto"/>
                <w:sz w:val="24"/>
                <w:highlight w:val="none"/>
              </w:rPr>
            </w:pPr>
          </w:p>
        </w:tc>
        <w:tc>
          <w:tcPr>
            <w:tcW w:w="836" w:type="dxa"/>
            <w:tcBorders>
              <w:top w:val="single" w:color="auto" w:sz="6" w:space="0"/>
              <w:left w:val="single" w:color="auto" w:sz="6" w:space="0"/>
              <w:bottom w:val="single" w:color="auto" w:sz="6" w:space="0"/>
              <w:right w:val="single" w:color="auto" w:sz="6" w:space="0"/>
            </w:tcBorders>
            <w:noWrap/>
          </w:tcPr>
          <w:p w14:paraId="5AC514E4">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149F1F18">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317EE54B">
            <w:pPr>
              <w:autoSpaceDE w:val="0"/>
              <w:autoSpaceDN w:val="0"/>
              <w:spacing w:line="360" w:lineRule="auto"/>
              <w:rPr>
                <w:rFonts w:ascii="宋体" w:hAnsi="宋体" w:cs="宋体"/>
                <w:color w:val="auto"/>
                <w:sz w:val="24"/>
                <w:highlight w:val="none"/>
              </w:rPr>
            </w:pPr>
          </w:p>
          <w:p w14:paraId="16CA3F32">
            <w:pPr>
              <w:rPr>
                <w:color w:val="auto"/>
                <w:highlight w:val="none"/>
              </w:rPr>
            </w:pPr>
          </w:p>
        </w:tc>
        <w:tc>
          <w:tcPr>
            <w:tcW w:w="1111" w:type="dxa"/>
            <w:tcBorders>
              <w:top w:val="single" w:color="auto" w:sz="6" w:space="0"/>
              <w:left w:val="single" w:color="auto" w:sz="6" w:space="0"/>
              <w:bottom w:val="single" w:color="auto" w:sz="6" w:space="0"/>
              <w:right w:val="single" w:color="auto" w:sz="6" w:space="0"/>
            </w:tcBorders>
            <w:noWrap/>
          </w:tcPr>
          <w:p w14:paraId="6958D1D2">
            <w:pPr>
              <w:autoSpaceDE w:val="0"/>
              <w:autoSpaceDN w:val="0"/>
              <w:spacing w:line="360" w:lineRule="auto"/>
              <w:rPr>
                <w:rFonts w:ascii="宋体" w:hAnsi="宋体" w:cs="宋体"/>
                <w:color w:val="auto"/>
                <w:sz w:val="24"/>
                <w:highlight w:val="none"/>
              </w:rPr>
            </w:pPr>
          </w:p>
        </w:tc>
      </w:tr>
    </w:tbl>
    <w:p w14:paraId="134A6567">
      <w:pPr>
        <w:spacing w:line="360" w:lineRule="auto"/>
        <w:ind w:firstLine="396" w:firstLineChars="198"/>
        <w:rPr>
          <w:rFonts w:ascii="宋体" w:hAnsi="宋体" w:cs="宋体"/>
          <w:color w:val="auto"/>
          <w:kern w:val="0"/>
          <w:sz w:val="20"/>
          <w:szCs w:val="21"/>
          <w:highlight w:val="none"/>
        </w:rPr>
      </w:pPr>
    </w:p>
    <w:p w14:paraId="44D84778">
      <w:pPr>
        <w:spacing w:line="360" w:lineRule="auto"/>
        <w:rPr>
          <w:rFonts w:ascii="宋体" w:hAnsi="宋体" w:cs="宋体"/>
          <w:color w:val="auto"/>
          <w:sz w:val="32"/>
          <w:szCs w:val="32"/>
          <w:highlight w:val="none"/>
        </w:rPr>
      </w:pPr>
    </w:p>
    <w:p w14:paraId="2F89B666">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01A54E43">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69412B5">
      <w:pPr>
        <w:snapToGrid w:val="0"/>
        <w:spacing w:line="360" w:lineRule="auto"/>
        <w:ind w:firstLine="602" w:firstLineChars="200"/>
        <w:rPr>
          <w:rFonts w:ascii="宋体" w:hAnsi="宋体" w:cs="宋体"/>
          <w:b/>
          <w:color w:val="auto"/>
          <w:sz w:val="30"/>
          <w:szCs w:val="30"/>
          <w:highlight w:val="none"/>
        </w:rPr>
      </w:pPr>
    </w:p>
    <w:p w14:paraId="268C44F4">
      <w:pPr>
        <w:snapToGrid w:val="0"/>
        <w:spacing w:line="360" w:lineRule="auto"/>
        <w:outlineLvl w:val="2"/>
        <w:rPr>
          <w:rFonts w:ascii="宋体" w:hAnsi="宋体" w:cs="宋体"/>
          <w:b/>
          <w:color w:val="auto"/>
          <w:sz w:val="28"/>
          <w:szCs w:val="28"/>
          <w:highlight w:val="none"/>
        </w:rPr>
      </w:pPr>
      <w:r>
        <w:rPr>
          <w:rFonts w:hint="eastAsia" w:ascii="宋体" w:hAnsi="宋体" w:cs="宋体"/>
          <w:b/>
          <w:color w:val="auto"/>
          <w:sz w:val="28"/>
          <w:szCs w:val="28"/>
          <w:highlight w:val="none"/>
        </w:rPr>
        <w:br w:type="page"/>
      </w:r>
      <w:bookmarkStart w:id="192" w:name="_Toc28391"/>
      <w:r>
        <w:rPr>
          <w:rFonts w:hint="eastAsia" w:ascii="宋体" w:hAnsi="宋体" w:cs="宋体"/>
          <w:b/>
          <w:color w:val="auto"/>
          <w:sz w:val="28"/>
          <w:szCs w:val="28"/>
          <w:highlight w:val="none"/>
        </w:rPr>
        <w:t>11.项目实施人员一览表（如有要求）</w:t>
      </w:r>
      <w:bookmarkEnd w:id="192"/>
    </w:p>
    <w:p w14:paraId="0E092AE3">
      <w:pPr>
        <w:spacing w:line="360" w:lineRule="auto"/>
        <w:jc w:val="center"/>
        <w:outlineLvl w:val="1"/>
        <w:rPr>
          <w:rFonts w:ascii="宋体" w:hAnsi="宋体" w:cs="宋体"/>
          <w:color w:val="auto"/>
          <w:sz w:val="24"/>
          <w:highlight w:val="none"/>
        </w:rPr>
      </w:pPr>
      <w:bookmarkStart w:id="193" w:name="_Toc850"/>
      <w:r>
        <w:rPr>
          <w:rFonts w:hint="eastAsia" w:ascii="宋体" w:hAnsi="宋体" w:cs="宋体"/>
          <w:color w:val="auto"/>
          <w:sz w:val="24"/>
          <w:highlight w:val="none"/>
        </w:rPr>
        <w:t>（由供应商根据采购需求及采购文件要求编制）</w:t>
      </w:r>
      <w:bookmarkEnd w:id="193"/>
    </w:p>
    <w:p w14:paraId="75DD2A79">
      <w:pPr>
        <w:pStyle w:val="17"/>
        <w:spacing w:line="360" w:lineRule="auto"/>
        <w:rPr>
          <w:rFonts w:ascii="宋体" w:hAnsi="宋体" w:cs="宋体"/>
          <w:color w:val="auto"/>
          <w:highlight w:val="none"/>
        </w:rPr>
      </w:pPr>
    </w:p>
    <w:p w14:paraId="6E9BFD8B">
      <w:pPr>
        <w:spacing w:line="360" w:lineRule="auto"/>
        <w:rPr>
          <w:rFonts w:ascii="宋体" w:hAnsi="宋体" w:cs="宋体"/>
          <w:color w:val="auto"/>
          <w:kern w:val="0"/>
          <w:sz w:val="24"/>
          <w:highlight w:val="none"/>
        </w:rPr>
      </w:pPr>
      <w:r>
        <w:rPr>
          <w:rFonts w:hint="eastAsia" w:ascii="宋体" w:hAnsi="宋体" w:cs="宋体"/>
          <w:color w:val="auto"/>
          <w:sz w:val="24"/>
          <w:highlight w:val="none"/>
        </w:rPr>
        <w:t>所竞分标（如有则填写，无分标时填写“无”或者留空）：</w:t>
      </w:r>
    </w:p>
    <w:p w14:paraId="653380D1">
      <w:pPr>
        <w:keepNext/>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附表A:本项目的项目负责人情况表</w:t>
      </w:r>
    </w:p>
    <w:tbl>
      <w:tblPr>
        <w:tblStyle w:val="23"/>
        <w:tblW w:w="0" w:type="auto"/>
        <w:tblInd w:w="0" w:type="dxa"/>
        <w:tblLayout w:type="fixed"/>
        <w:tblCellMar>
          <w:top w:w="0" w:type="dxa"/>
          <w:left w:w="108" w:type="dxa"/>
          <w:bottom w:w="0" w:type="dxa"/>
          <w:right w:w="108" w:type="dxa"/>
        </w:tblCellMar>
      </w:tblPr>
      <w:tblGrid>
        <w:gridCol w:w="2061"/>
        <w:gridCol w:w="1287"/>
        <w:gridCol w:w="1260"/>
        <w:gridCol w:w="4147"/>
      </w:tblGrid>
      <w:tr w14:paraId="21DA269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415FBD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ign w:val="center"/>
          </w:tcPr>
          <w:p w14:paraId="6BA258FB">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41E38AC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ign w:val="center"/>
          </w:tcPr>
          <w:p w14:paraId="1119A3CA">
            <w:pPr>
              <w:autoSpaceDE w:val="0"/>
              <w:autoSpaceDN w:val="0"/>
              <w:spacing w:line="360" w:lineRule="auto"/>
              <w:rPr>
                <w:rFonts w:ascii="宋体" w:hAnsi="宋体" w:cs="宋体"/>
                <w:color w:val="auto"/>
                <w:sz w:val="24"/>
                <w:highlight w:val="none"/>
              </w:rPr>
            </w:pPr>
          </w:p>
        </w:tc>
      </w:tr>
      <w:tr w14:paraId="1AACF2F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039A0D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ign w:val="center"/>
          </w:tcPr>
          <w:p w14:paraId="75EE3EAF">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ign w:val="center"/>
          </w:tcPr>
          <w:p w14:paraId="7950A711">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ign w:val="center"/>
          </w:tcPr>
          <w:p w14:paraId="687841BF">
            <w:pPr>
              <w:autoSpaceDE w:val="0"/>
              <w:autoSpaceDN w:val="0"/>
              <w:spacing w:line="360" w:lineRule="auto"/>
              <w:jc w:val="center"/>
              <w:rPr>
                <w:rFonts w:ascii="宋体" w:hAnsi="宋体" w:cs="宋体"/>
                <w:color w:val="auto"/>
                <w:sz w:val="24"/>
                <w:highlight w:val="none"/>
              </w:rPr>
            </w:pPr>
          </w:p>
        </w:tc>
      </w:tr>
      <w:tr w14:paraId="4E3F8D8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EB8A49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ign w:val="center"/>
          </w:tcPr>
          <w:p w14:paraId="5672C98B">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ign w:val="center"/>
          </w:tcPr>
          <w:p w14:paraId="417A0D9A">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352599B9">
            <w:pPr>
              <w:autoSpaceDE w:val="0"/>
              <w:autoSpaceDN w:val="0"/>
              <w:spacing w:line="360" w:lineRule="auto"/>
              <w:jc w:val="center"/>
              <w:rPr>
                <w:rFonts w:ascii="宋体" w:hAnsi="宋体" w:cs="宋体"/>
                <w:color w:val="auto"/>
                <w:sz w:val="24"/>
                <w:highlight w:val="none"/>
              </w:rPr>
            </w:pPr>
          </w:p>
        </w:tc>
      </w:tr>
      <w:tr w14:paraId="3E3C94B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63E2BEF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ign w:val="center"/>
          </w:tcPr>
          <w:p w14:paraId="6A947390">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0260526F">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1B542695">
            <w:pPr>
              <w:autoSpaceDE w:val="0"/>
              <w:autoSpaceDN w:val="0"/>
              <w:spacing w:line="360" w:lineRule="auto"/>
              <w:jc w:val="center"/>
              <w:rPr>
                <w:rFonts w:ascii="宋体" w:hAnsi="宋体" w:cs="宋体"/>
                <w:color w:val="auto"/>
                <w:sz w:val="24"/>
                <w:highlight w:val="none"/>
              </w:rPr>
            </w:pPr>
          </w:p>
        </w:tc>
      </w:tr>
      <w:tr w14:paraId="2C85329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42148FF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ign w:val="center"/>
          </w:tcPr>
          <w:p w14:paraId="4C9008B8">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274FAC98">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51591C55">
            <w:pPr>
              <w:autoSpaceDE w:val="0"/>
              <w:autoSpaceDN w:val="0"/>
              <w:spacing w:line="360" w:lineRule="auto"/>
              <w:jc w:val="center"/>
              <w:rPr>
                <w:rFonts w:ascii="宋体" w:hAnsi="宋体" w:cs="宋体"/>
                <w:color w:val="auto"/>
                <w:sz w:val="24"/>
                <w:highlight w:val="none"/>
              </w:rPr>
            </w:pPr>
          </w:p>
        </w:tc>
      </w:tr>
      <w:tr w14:paraId="33990C4F">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612AD76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ign w:val="center"/>
          </w:tcPr>
          <w:p w14:paraId="2090FCF8">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73064257">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5B6A609D">
            <w:pPr>
              <w:autoSpaceDE w:val="0"/>
              <w:autoSpaceDN w:val="0"/>
              <w:spacing w:line="360" w:lineRule="auto"/>
              <w:jc w:val="center"/>
              <w:rPr>
                <w:rFonts w:ascii="宋体" w:hAnsi="宋体" w:cs="宋体"/>
                <w:color w:val="auto"/>
                <w:sz w:val="24"/>
                <w:highlight w:val="none"/>
              </w:rPr>
            </w:pPr>
          </w:p>
        </w:tc>
      </w:tr>
      <w:tr w14:paraId="0B9E70C3">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448157A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ign w:val="center"/>
          </w:tcPr>
          <w:p w14:paraId="00A7E8AC">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4DBC0E7D">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271AA4FB">
            <w:pPr>
              <w:autoSpaceDE w:val="0"/>
              <w:autoSpaceDN w:val="0"/>
              <w:spacing w:line="360" w:lineRule="auto"/>
              <w:jc w:val="center"/>
              <w:rPr>
                <w:rFonts w:ascii="宋体" w:hAnsi="宋体" w:cs="宋体"/>
                <w:color w:val="auto"/>
                <w:sz w:val="24"/>
                <w:highlight w:val="none"/>
              </w:rPr>
            </w:pPr>
          </w:p>
        </w:tc>
      </w:tr>
      <w:tr w14:paraId="79BE09CD">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01ADE51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ign w:val="center"/>
          </w:tcPr>
          <w:p w14:paraId="0F0A1F48">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078221E1">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6128DEA0">
            <w:pPr>
              <w:autoSpaceDE w:val="0"/>
              <w:autoSpaceDN w:val="0"/>
              <w:spacing w:line="360" w:lineRule="auto"/>
              <w:jc w:val="center"/>
              <w:rPr>
                <w:rFonts w:ascii="宋体" w:hAnsi="宋体" w:cs="宋体"/>
                <w:color w:val="auto"/>
                <w:sz w:val="24"/>
                <w:highlight w:val="none"/>
              </w:rPr>
            </w:pPr>
          </w:p>
        </w:tc>
      </w:tr>
      <w:tr w14:paraId="2773E3D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1739F85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ign w:val="center"/>
          </w:tcPr>
          <w:p w14:paraId="5BC39697">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716AAA44">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75E67DD1">
            <w:pPr>
              <w:autoSpaceDE w:val="0"/>
              <w:autoSpaceDN w:val="0"/>
              <w:spacing w:line="360" w:lineRule="auto"/>
              <w:jc w:val="center"/>
              <w:rPr>
                <w:rFonts w:ascii="宋体" w:hAnsi="宋体" w:cs="宋体"/>
                <w:color w:val="auto"/>
                <w:sz w:val="24"/>
                <w:highlight w:val="none"/>
              </w:rPr>
            </w:pPr>
          </w:p>
        </w:tc>
      </w:tr>
      <w:tr w14:paraId="1A532E37">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0C800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ign w:val="center"/>
          </w:tcPr>
          <w:p w14:paraId="407A97A4">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ign w:val="center"/>
          </w:tcPr>
          <w:p w14:paraId="3E4DBF2F">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1B9E1369">
            <w:pPr>
              <w:autoSpaceDE w:val="0"/>
              <w:autoSpaceDN w:val="0"/>
              <w:spacing w:line="360" w:lineRule="auto"/>
              <w:jc w:val="center"/>
              <w:rPr>
                <w:rFonts w:ascii="宋体" w:hAnsi="宋体" w:cs="宋体"/>
                <w:color w:val="auto"/>
                <w:sz w:val="24"/>
                <w:highlight w:val="none"/>
              </w:rPr>
            </w:pPr>
          </w:p>
        </w:tc>
      </w:tr>
    </w:tbl>
    <w:p w14:paraId="798DF0DF">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注：供应商可参照上述的格式自行编制，并注明所在响应技术文件页码。</w:t>
      </w:r>
    </w:p>
    <w:p w14:paraId="497C2D18">
      <w:pPr>
        <w:autoSpaceDE w:val="0"/>
        <w:autoSpaceDN w:val="0"/>
        <w:spacing w:line="360" w:lineRule="auto"/>
        <w:rPr>
          <w:rFonts w:ascii="宋体" w:hAnsi="宋体" w:cs="宋体"/>
          <w:b/>
          <w:color w:val="auto"/>
          <w:sz w:val="24"/>
          <w:highlight w:val="none"/>
        </w:rPr>
      </w:pPr>
    </w:p>
    <w:p w14:paraId="4070F3B1">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p>
    <w:tbl>
      <w:tblPr>
        <w:tblStyle w:val="2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99E73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ign w:val="center"/>
          </w:tcPr>
          <w:p w14:paraId="3BD3BF7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ign w:val="center"/>
          </w:tcPr>
          <w:p w14:paraId="0BAC5AE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ign w:val="center"/>
          </w:tcPr>
          <w:p w14:paraId="3B3DE53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ign w:val="center"/>
          </w:tcPr>
          <w:p w14:paraId="5A71250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ign w:val="center"/>
          </w:tcPr>
          <w:p w14:paraId="340C88E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1E8E113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ign w:val="center"/>
          </w:tcPr>
          <w:p w14:paraId="7C7395A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624DAE0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ign w:val="center"/>
          </w:tcPr>
          <w:p w14:paraId="5463E1F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38EF5F3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ign w:val="center"/>
          </w:tcPr>
          <w:p w14:paraId="3BAF4C9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ign w:val="center"/>
          </w:tcPr>
          <w:p w14:paraId="2407A7D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ign w:val="center"/>
          </w:tcPr>
          <w:p w14:paraId="1E9B2DC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3D3D788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tcPr>
          <w:p w14:paraId="0CD96EEC">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25EC188A">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tcPr>
          <w:p w14:paraId="16881298">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tcPr>
          <w:p w14:paraId="45557741">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tcPr>
          <w:p w14:paraId="445842B7">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32FE212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121B26E7">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3995D6C1">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48D73DA9">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tcPr>
          <w:p w14:paraId="7B4EB959">
            <w:pPr>
              <w:autoSpaceDE w:val="0"/>
              <w:autoSpaceDN w:val="0"/>
              <w:spacing w:line="360" w:lineRule="auto"/>
              <w:rPr>
                <w:rFonts w:ascii="宋体" w:hAnsi="宋体" w:cs="宋体"/>
                <w:color w:val="auto"/>
                <w:sz w:val="24"/>
                <w:highlight w:val="none"/>
              </w:rPr>
            </w:pPr>
          </w:p>
        </w:tc>
      </w:tr>
      <w:tr w14:paraId="332D4E6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tcPr>
          <w:p w14:paraId="27C49A48">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66715D1E">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tcPr>
          <w:p w14:paraId="064E8115">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tcPr>
          <w:p w14:paraId="51D7A187">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tcPr>
          <w:p w14:paraId="093654C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6D7E288B">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4BB6BD17">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1E8D4390">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5096501A">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tcPr>
          <w:p w14:paraId="5E6FB0A5">
            <w:pPr>
              <w:autoSpaceDE w:val="0"/>
              <w:autoSpaceDN w:val="0"/>
              <w:spacing w:line="360" w:lineRule="auto"/>
              <w:rPr>
                <w:rFonts w:ascii="宋体" w:hAnsi="宋体" w:cs="宋体"/>
                <w:color w:val="auto"/>
                <w:sz w:val="24"/>
                <w:highlight w:val="none"/>
              </w:rPr>
            </w:pPr>
          </w:p>
        </w:tc>
      </w:tr>
    </w:tbl>
    <w:p w14:paraId="07C53BDA">
      <w:pPr>
        <w:spacing w:line="360" w:lineRule="auto"/>
        <w:rPr>
          <w:rFonts w:ascii="宋体" w:hAnsi="宋体" w:cs="宋体"/>
          <w:b/>
          <w:bCs/>
          <w:color w:val="auto"/>
          <w:sz w:val="24"/>
          <w:highlight w:val="none"/>
        </w:rPr>
      </w:pPr>
      <w:r>
        <w:rPr>
          <w:rFonts w:hint="eastAsia" w:ascii="宋体" w:hAnsi="宋体" w:cs="宋体"/>
          <w:b/>
          <w:color w:val="auto"/>
          <w:sz w:val="24"/>
          <w:highlight w:val="none"/>
        </w:rPr>
        <w:t>注：供应商可参照上述的格式自行编制，并注明所在响应技术文件页码。</w:t>
      </w:r>
    </w:p>
    <w:p w14:paraId="364A0CC6">
      <w:pPr>
        <w:snapToGrid w:val="0"/>
        <w:spacing w:line="360" w:lineRule="auto"/>
        <w:ind w:firstLine="602" w:firstLineChars="200"/>
        <w:rPr>
          <w:rFonts w:ascii="宋体" w:hAnsi="宋体" w:cs="宋体"/>
          <w:b/>
          <w:color w:val="auto"/>
          <w:sz w:val="30"/>
          <w:szCs w:val="30"/>
          <w:highlight w:val="none"/>
        </w:rPr>
      </w:pPr>
    </w:p>
    <w:p w14:paraId="30FE241C">
      <w:pPr>
        <w:autoSpaceDE w:val="0"/>
        <w:autoSpaceDN w:val="0"/>
        <w:spacing w:line="360" w:lineRule="auto"/>
        <w:ind w:firstLine="6505" w:firstLineChars="2700"/>
        <w:rPr>
          <w:rFonts w:ascii="宋体" w:hAnsi="宋体" w:cs="宋体"/>
          <w:b/>
          <w:bCs/>
          <w:color w:val="auto"/>
          <w:sz w:val="24"/>
          <w:highlight w:val="none"/>
        </w:rPr>
      </w:pPr>
    </w:p>
    <w:p w14:paraId="1B8DF0CB">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4B9B4A1A">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8825B1A">
      <w:pPr>
        <w:autoSpaceDE w:val="0"/>
        <w:autoSpaceDN w:val="0"/>
        <w:spacing w:line="360" w:lineRule="auto"/>
        <w:ind w:firstLine="6480" w:firstLineChars="2700"/>
        <w:rPr>
          <w:rFonts w:ascii="宋体" w:hAnsi="宋体" w:cs="宋体"/>
          <w:color w:val="auto"/>
          <w:kern w:val="0"/>
          <w:sz w:val="24"/>
          <w:highlight w:val="none"/>
          <w:lang w:val="zh-CN"/>
        </w:rPr>
      </w:pPr>
    </w:p>
    <w:p w14:paraId="3D4B478D">
      <w:pPr>
        <w:autoSpaceDE w:val="0"/>
        <w:autoSpaceDN w:val="0"/>
        <w:spacing w:line="360" w:lineRule="auto"/>
        <w:ind w:firstLine="8132" w:firstLineChars="2700"/>
        <w:rPr>
          <w:rFonts w:ascii="宋体" w:hAnsi="宋体" w:cs="宋体"/>
          <w:b/>
          <w:bCs/>
          <w:color w:val="auto"/>
          <w:sz w:val="24"/>
          <w:highlight w:val="none"/>
        </w:rPr>
      </w:pPr>
      <w:r>
        <w:rPr>
          <w:rFonts w:hint="eastAsia" w:ascii="宋体" w:hAnsi="宋体" w:cs="宋体"/>
          <w:b/>
          <w:color w:val="auto"/>
          <w:sz w:val="30"/>
          <w:szCs w:val="30"/>
          <w:highlight w:val="none"/>
        </w:rPr>
        <w:br w:type="page"/>
      </w:r>
    </w:p>
    <w:p w14:paraId="7DF78EEF">
      <w:pPr>
        <w:pStyle w:val="3"/>
        <w:spacing w:line="360" w:lineRule="auto"/>
        <w:jc w:val="center"/>
        <w:rPr>
          <w:rFonts w:ascii="宋体" w:hAnsi="宋体" w:cs="宋体"/>
          <w:color w:val="auto"/>
          <w:highlight w:val="none"/>
        </w:rPr>
      </w:pPr>
      <w:bookmarkStart w:id="194" w:name="_Toc13506"/>
      <w:bookmarkStart w:id="195" w:name="_Toc31035"/>
      <w:bookmarkStart w:id="196" w:name="_Toc80205941"/>
      <w:bookmarkStart w:id="197" w:name="_Toc80886945"/>
      <w:bookmarkStart w:id="198" w:name="_Toc12611"/>
      <w:r>
        <w:rPr>
          <w:rFonts w:hint="eastAsia" w:ascii="宋体" w:hAnsi="宋体" w:cs="宋体"/>
          <w:color w:val="auto"/>
          <w:highlight w:val="none"/>
        </w:rPr>
        <w:t>第三节 报价文件格式</w:t>
      </w:r>
      <w:bookmarkEnd w:id="194"/>
      <w:bookmarkEnd w:id="195"/>
      <w:bookmarkEnd w:id="196"/>
      <w:bookmarkEnd w:id="197"/>
      <w:bookmarkEnd w:id="198"/>
    </w:p>
    <w:p w14:paraId="33A4E14C">
      <w:pPr>
        <w:pStyle w:val="17"/>
        <w:spacing w:line="288" w:lineRule="auto"/>
        <w:outlineLvl w:val="2"/>
        <w:rPr>
          <w:rFonts w:ascii="宋体" w:hAnsi="宋体" w:cs="宋体"/>
          <w:color w:val="auto"/>
          <w:highlight w:val="none"/>
          <w:lang w:val="zh-CN"/>
        </w:rPr>
      </w:pPr>
      <w:bookmarkStart w:id="199" w:name="_Toc32654"/>
      <w:r>
        <w:rPr>
          <w:rFonts w:hint="eastAsia" w:ascii="宋体" w:hAnsi="宋体" w:cs="宋体"/>
          <w:b/>
          <w:bCs/>
          <w:color w:val="auto"/>
          <w:sz w:val="28"/>
          <w:szCs w:val="28"/>
          <w:highlight w:val="none"/>
        </w:rPr>
        <w:t>1.报价文件封面的格式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bookmarkEnd w:id="199"/>
    </w:p>
    <w:p w14:paraId="370235BB">
      <w:pPr>
        <w:snapToGrid w:val="0"/>
        <w:spacing w:beforeLines="50" w:after="50" w:line="288" w:lineRule="auto"/>
        <w:rPr>
          <w:rFonts w:ascii="宋体" w:hAnsi="宋体" w:cs="宋体"/>
          <w:color w:val="auto"/>
          <w:sz w:val="24"/>
          <w:highlight w:val="none"/>
        </w:rPr>
      </w:pPr>
    </w:p>
    <w:p w14:paraId="4BA7B19E">
      <w:pPr>
        <w:snapToGrid w:val="0"/>
        <w:spacing w:beforeLines="50" w:after="50" w:line="288" w:lineRule="auto"/>
        <w:ind w:firstLine="6720" w:firstLineChars="3200"/>
        <w:rPr>
          <w:rFonts w:ascii="宋体" w:hAnsi="宋体" w:cs="宋体"/>
          <w:bCs/>
          <w:color w:val="auto"/>
          <w:sz w:val="32"/>
          <w:szCs w:val="20"/>
          <w:highlight w:val="none"/>
        </w:rPr>
      </w:pPr>
      <w:r>
        <w:rPr>
          <w:rFonts w:hint="eastAsia" w:ascii="宋体" w:hAnsi="宋体" w:cs="宋体"/>
          <w:bCs/>
          <w:color w:val="auto"/>
          <w:highlight w:val="none"/>
        </w:rPr>
        <w:t>全流程电子文件</w:t>
      </w:r>
    </w:p>
    <w:p w14:paraId="27407896">
      <w:pPr>
        <w:snapToGrid w:val="0"/>
        <w:spacing w:beforeLines="50" w:after="50" w:line="288" w:lineRule="auto"/>
        <w:rPr>
          <w:rFonts w:ascii="宋体" w:hAnsi="宋体" w:cs="宋体"/>
          <w:color w:val="auto"/>
          <w:sz w:val="24"/>
          <w:szCs w:val="20"/>
          <w:highlight w:val="none"/>
        </w:rPr>
      </w:pPr>
    </w:p>
    <w:p w14:paraId="315CCF78">
      <w:pPr>
        <w:snapToGrid w:val="0"/>
        <w:spacing w:beforeLines="50" w:after="50" w:line="288" w:lineRule="auto"/>
        <w:rPr>
          <w:rFonts w:ascii="宋体" w:hAnsi="宋体" w:cs="宋体"/>
          <w:color w:val="auto"/>
          <w:sz w:val="24"/>
          <w:szCs w:val="20"/>
          <w:highlight w:val="none"/>
        </w:rPr>
      </w:pPr>
    </w:p>
    <w:p w14:paraId="20DA2B43">
      <w:pPr>
        <w:snapToGrid w:val="0"/>
        <w:spacing w:beforeLines="50" w:after="50" w:line="288" w:lineRule="auto"/>
        <w:rPr>
          <w:rFonts w:ascii="宋体" w:hAnsi="宋体" w:cs="宋体"/>
          <w:color w:val="auto"/>
          <w:sz w:val="24"/>
          <w:szCs w:val="20"/>
          <w:highlight w:val="none"/>
        </w:rPr>
      </w:pPr>
    </w:p>
    <w:p w14:paraId="5E9C3B4E">
      <w:pPr>
        <w:snapToGrid w:val="0"/>
        <w:spacing w:beforeLines="50" w:after="50" w:line="288"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w:t>
      </w:r>
    </w:p>
    <w:p w14:paraId="0594B091">
      <w:pPr>
        <w:snapToGrid w:val="0"/>
        <w:spacing w:beforeLines="50" w:after="50" w:line="288" w:lineRule="auto"/>
        <w:rPr>
          <w:rFonts w:ascii="宋体" w:hAnsi="宋体" w:cs="宋体"/>
          <w:bCs/>
          <w:color w:val="auto"/>
          <w:sz w:val="24"/>
          <w:szCs w:val="20"/>
          <w:highlight w:val="none"/>
        </w:rPr>
      </w:pPr>
    </w:p>
    <w:p w14:paraId="21FF3972">
      <w:pPr>
        <w:snapToGrid w:val="0"/>
        <w:spacing w:beforeLines="50" w:after="50" w:line="288" w:lineRule="auto"/>
        <w:rPr>
          <w:rFonts w:ascii="宋体" w:hAnsi="宋体" w:cs="宋体"/>
          <w:bCs/>
          <w:color w:val="auto"/>
          <w:sz w:val="24"/>
          <w:szCs w:val="20"/>
          <w:highlight w:val="none"/>
        </w:rPr>
      </w:pPr>
    </w:p>
    <w:p w14:paraId="4AAD4AB3">
      <w:pPr>
        <w:snapToGrid w:val="0"/>
        <w:spacing w:beforeLines="50" w:after="50" w:line="288" w:lineRule="auto"/>
        <w:rPr>
          <w:rFonts w:ascii="宋体" w:hAnsi="宋体" w:cs="宋体"/>
          <w:bCs/>
          <w:color w:val="auto"/>
          <w:sz w:val="24"/>
          <w:szCs w:val="20"/>
          <w:highlight w:val="none"/>
        </w:rPr>
      </w:pPr>
    </w:p>
    <w:p w14:paraId="1CADA3B6">
      <w:pPr>
        <w:snapToGrid w:val="0"/>
        <w:spacing w:beforeLines="50" w:after="50" w:line="288" w:lineRule="auto"/>
        <w:rPr>
          <w:rFonts w:ascii="宋体" w:hAnsi="宋体" w:cs="宋体"/>
          <w:bCs/>
          <w:color w:val="auto"/>
          <w:sz w:val="24"/>
          <w:szCs w:val="20"/>
          <w:highlight w:val="none"/>
        </w:rPr>
      </w:pPr>
    </w:p>
    <w:p w14:paraId="359FD015">
      <w:pPr>
        <w:snapToGrid w:val="0"/>
        <w:spacing w:beforeLines="50" w:after="50" w:line="288" w:lineRule="auto"/>
        <w:rPr>
          <w:rFonts w:ascii="宋体" w:hAnsi="宋体" w:cs="宋体"/>
          <w:bCs/>
          <w:color w:val="auto"/>
          <w:sz w:val="24"/>
          <w:szCs w:val="20"/>
          <w:highlight w:val="none"/>
        </w:rPr>
      </w:pPr>
    </w:p>
    <w:p w14:paraId="7074C242">
      <w:pPr>
        <w:snapToGrid w:val="0"/>
        <w:spacing w:beforeLines="50" w:after="50" w:line="288"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155D9184">
      <w:pPr>
        <w:snapToGrid w:val="0"/>
        <w:spacing w:beforeLines="50" w:after="50" w:line="288" w:lineRule="auto"/>
        <w:ind w:firstLine="720" w:firstLineChars="225"/>
        <w:rPr>
          <w:rFonts w:ascii="宋体" w:hAnsi="宋体" w:cs="宋体"/>
          <w:bCs/>
          <w:color w:val="auto"/>
          <w:sz w:val="32"/>
          <w:szCs w:val="32"/>
          <w:highlight w:val="none"/>
        </w:rPr>
      </w:pPr>
    </w:p>
    <w:p w14:paraId="23273A8E">
      <w:pPr>
        <w:snapToGrid w:val="0"/>
        <w:spacing w:beforeLines="50" w:after="50" w:line="288"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359393CC">
      <w:pPr>
        <w:snapToGrid w:val="0"/>
        <w:spacing w:beforeLines="50" w:after="50" w:line="288" w:lineRule="auto"/>
        <w:ind w:firstLine="720" w:firstLineChars="225"/>
        <w:rPr>
          <w:rFonts w:ascii="宋体" w:hAnsi="宋体" w:cs="宋体"/>
          <w:bCs/>
          <w:color w:val="auto"/>
          <w:sz w:val="32"/>
          <w:szCs w:val="32"/>
          <w:highlight w:val="none"/>
        </w:rPr>
      </w:pPr>
    </w:p>
    <w:p w14:paraId="53FF76CB">
      <w:pPr>
        <w:snapToGrid w:val="0"/>
        <w:spacing w:beforeLines="50" w:after="50" w:line="288"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6BB7F4D6">
      <w:pPr>
        <w:snapToGrid w:val="0"/>
        <w:spacing w:beforeLines="50" w:after="50" w:line="288" w:lineRule="auto"/>
        <w:ind w:firstLine="720" w:firstLineChars="225"/>
        <w:rPr>
          <w:rFonts w:ascii="宋体" w:hAnsi="宋体" w:cs="宋体"/>
          <w:bCs/>
          <w:color w:val="auto"/>
          <w:sz w:val="32"/>
          <w:szCs w:val="32"/>
          <w:highlight w:val="none"/>
        </w:rPr>
      </w:pPr>
    </w:p>
    <w:p w14:paraId="28E4D0E1">
      <w:pPr>
        <w:pStyle w:val="8"/>
        <w:snapToGrid w:val="0"/>
        <w:spacing w:before="50" w:after="50" w:line="288"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B337B8A">
      <w:pPr>
        <w:pStyle w:val="8"/>
        <w:snapToGrid w:val="0"/>
        <w:spacing w:before="50" w:after="50" w:line="288" w:lineRule="auto"/>
        <w:ind w:firstLine="720" w:firstLineChars="225"/>
        <w:rPr>
          <w:rFonts w:ascii="宋体" w:hAnsi="宋体" w:cs="宋体"/>
          <w:bCs/>
          <w:color w:val="auto"/>
          <w:sz w:val="32"/>
          <w:szCs w:val="32"/>
          <w:highlight w:val="none"/>
        </w:rPr>
      </w:pPr>
    </w:p>
    <w:p w14:paraId="26ADC4EB">
      <w:pPr>
        <w:pStyle w:val="8"/>
        <w:snapToGrid w:val="0"/>
        <w:spacing w:before="50" w:after="50" w:line="288" w:lineRule="auto"/>
        <w:ind w:firstLine="720" w:firstLineChars="225"/>
        <w:rPr>
          <w:rFonts w:ascii="宋体" w:hAnsi="宋体" w:cs="宋体"/>
          <w:bCs/>
          <w:color w:val="auto"/>
          <w:sz w:val="32"/>
          <w:szCs w:val="32"/>
          <w:highlight w:val="none"/>
        </w:rPr>
      </w:pPr>
    </w:p>
    <w:p w14:paraId="29CDAACB">
      <w:pPr>
        <w:pStyle w:val="8"/>
        <w:snapToGrid w:val="0"/>
        <w:spacing w:before="50" w:after="50" w:line="288" w:lineRule="auto"/>
        <w:ind w:firstLine="1280" w:firstLineChars="400"/>
        <w:rPr>
          <w:rFonts w:ascii="宋体" w:hAnsi="宋体" w:cs="宋体"/>
          <w:bCs/>
          <w:color w:val="auto"/>
          <w:sz w:val="32"/>
          <w:szCs w:val="32"/>
          <w:highlight w:val="none"/>
        </w:rPr>
      </w:pPr>
    </w:p>
    <w:p w14:paraId="6454E77B">
      <w:pPr>
        <w:snapToGrid w:val="0"/>
        <w:spacing w:beforeLines="50" w:after="50" w:line="288"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3D8E900">
      <w:pPr>
        <w:snapToGrid w:val="0"/>
        <w:spacing w:beforeLines="50" w:after="50" w:line="360" w:lineRule="auto"/>
        <w:outlineLvl w:val="2"/>
        <w:rPr>
          <w:rFonts w:ascii="宋体" w:hAnsi="宋体" w:cs="宋体"/>
          <w:color w:val="auto"/>
          <w:sz w:val="28"/>
          <w:szCs w:val="28"/>
          <w:highlight w:val="none"/>
        </w:rPr>
      </w:pPr>
      <w:r>
        <w:rPr>
          <w:rFonts w:hint="eastAsia" w:ascii="宋体" w:hAnsi="宋体" w:cs="宋体"/>
          <w:color w:val="auto"/>
          <w:sz w:val="24"/>
          <w:highlight w:val="none"/>
        </w:rPr>
        <w:br w:type="page"/>
      </w:r>
      <w:bookmarkStart w:id="200" w:name="_Toc16450"/>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bookmarkEnd w:id="200"/>
    </w:p>
    <w:p w14:paraId="027C5374">
      <w:pPr>
        <w:snapToGrid w:val="0"/>
        <w:spacing w:before="50" w:afterLines="50" w:line="360" w:lineRule="auto"/>
        <w:rPr>
          <w:rFonts w:ascii="宋体" w:hAnsi="宋体" w:cs="宋体"/>
          <w:b/>
          <w:color w:val="auto"/>
          <w:sz w:val="28"/>
          <w:szCs w:val="28"/>
          <w:highlight w:val="none"/>
        </w:rPr>
      </w:pPr>
      <w:r>
        <w:rPr>
          <w:rFonts w:hint="eastAsia" w:ascii="宋体" w:hAnsi="宋体" w:cs="宋体"/>
          <w:color w:val="auto"/>
          <w:sz w:val="28"/>
          <w:szCs w:val="28"/>
          <w:highlight w:val="none"/>
        </w:rPr>
        <w:t>根据竞争性磋商文件规定及供应商提供的材料自行编写目录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2D0EDFA8">
      <w:pPr>
        <w:spacing w:line="360" w:lineRule="auto"/>
        <w:rPr>
          <w:rFonts w:ascii="宋体" w:hAnsi="宋体" w:cs="宋体"/>
          <w:color w:val="auto"/>
          <w:sz w:val="24"/>
          <w:highlight w:val="none"/>
        </w:rPr>
      </w:pPr>
    </w:p>
    <w:p w14:paraId="2FCA4824">
      <w:pPr>
        <w:snapToGrid w:val="0"/>
        <w:spacing w:beforeLines="50" w:after="50" w:line="360" w:lineRule="auto"/>
        <w:ind w:left="142" w:firstLine="640" w:firstLineChars="200"/>
        <w:rPr>
          <w:rFonts w:ascii="宋体" w:hAnsi="宋体" w:cs="宋体"/>
          <w:color w:val="auto"/>
          <w:sz w:val="32"/>
          <w:szCs w:val="32"/>
          <w:highlight w:val="none"/>
        </w:rPr>
      </w:pPr>
    </w:p>
    <w:p w14:paraId="0DB4D6D4">
      <w:pPr>
        <w:snapToGrid w:val="0"/>
        <w:spacing w:beforeLines="50" w:after="50" w:line="360" w:lineRule="auto"/>
        <w:jc w:val="left"/>
        <w:outlineLvl w:val="2"/>
        <w:rPr>
          <w:rFonts w:ascii="宋体" w:hAnsi="宋体" w:cs="宋体"/>
          <w:color w:val="auto"/>
          <w:sz w:val="24"/>
          <w:highlight w:val="none"/>
        </w:rPr>
      </w:pPr>
      <w:r>
        <w:rPr>
          <w:rFonts w:hint="eastAsia" w:ascii="宋体" w:hAnsi="宋体" w:cs="宋体"/>
          <w:color w:val="auto"/>
          <w:sz w:val="24"/>
          <w:highlight w:val="none"/>
        </w:rPr>
        <w:br w:type="page"/>
      </w:r>
      <w:bookmarkStart w:id="201" w:name="_Toc8076"/>
      <w:r>
        <w:rPr>
          <w:rFonts w:hint="eastAsia" w:ascii="宋体" w:hAnsi="宋体" w:cs="宋体"/>
          <w:b/>
          <w:color w:val="auto"/>
          <w:sz w:val="28"/>
          <w:szCs w:val="28"/>
          <w:highlight w:val="none"/>
        </w:rPr>
        <w:t>3.</w:t>
      </w:r>
      <w:r>
        <w:rPr>
          <w:rFonts w:hint="eastAsia" w:ascii="宋体" w:hAnsi="宋体" w:cs="宋体"/>
          <w:b/>
          <w:color w:val="auto"/>
          <w:sz w:val="28"/>
          <w:szCs w:val="28"/>
          <w:highlight w:val="none"/>
          <w:lang w:val="zh-CN"/>
        </w:rPr>
        <w:t>响应函的格式：</w:t>
      </w:r>
      <w:bookmarkEnd w:id="201"/>
    </w:p>
    <w:p w14:paraId="5A4BCE45">
      <w:pPr>
        <w:spacing w:line="360" w:lineRule="auto"/>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响应函</w:t>
      </w:r>
    </w:p>
    <w:p w14:paraId="4EAB8F4F">
      <w:pPr>
        <w:spacing w:line="360" w:lineRule="auto"/>
        <w:rPr>
          <w:rFonts w:ascii="宋体" w:hAnsi="宋体" w:cs="宋体"/>
          <w:color w:val="auto"/>
          <w:kern w:val="0"/>
          <w:sz w:val="32"/>
          <w:szCs w:val="21"/>
          <w:highlight w:val="none"/>
        </w:rPr>
      </w:pPr>
    </w:p>
    <w:p w14:paraId="7734A88C">
      <w:pPr>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致：（采购代理机构名称）</w:t>
      </w:r>
    </w:p>
    <w:p w14:paraId="309A4C31">
      <w:pPr>
        <w:spacing w:line="360" w:lineRule="auto"/>
        <w:ind w:firstLine="400" w:firstLineChars="200"/>
        <w:rPr>
          <w:rFonts w:ascii="宋体" w:hAnsi="宋体" w:cs="宋体"/>
          <w:color w:val="auto"/>
          <w:kern w:val="0"/>
          <w:sz w:val="20"/>
          <w:szCs w:val="21"/>
          <w:highlight w:val="none"/>
        </w:rPr>
      </w:pPr>
    </w:p>
    <w:p w14:paraId="1CF1C9EB">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 xml:space="preserve">我方已仔细阅读了贵方组织的项目（项目编号：）的竞争性磋商文件的全部内容，现正式递交下述文件参加贵方组织的本次政府采购活动： </w:t>
      </w:r>
    </w:p>
    <w:p w14:paraId="5F761722">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一、首次报价文件电子版（包含按“第三章 供应商须知”提交的全部文件）；</w:t>
      </w:r>
    </w:p>
    <w:p w14:paraId="7098B0AC">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二、技术文件电子版（包含按“第三章 供应商须知”提交的全部文件）；商务文件电子版（包含按“第三章 供应商须知”提交的全部文件）；</w:t>
      </w:r>
    </w:p>
    <w:p w14:paraId="6CB92EF5">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三、资格证明文件电子版（包含按“第三章供应商须知”提交的全部文件）。</w:t>
      </w:r>
    </w:p>
    <w:p w14:paraId="15E6F1D1">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据此函，我方兹宣布：</w:t>
      </w:r>
    </w:p>
    <w:p w14:paraId="1D2B13AF">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1、我方愿意以磋商时提交的最后报价表中的竞标总报价，在承诺的服务成果完成期限内提供本项目竞争性磋商文件第二章“采购需求”中相应的采购内容，具体详见最后报价表。</w:t>
      </w:r>
    </w:p>
    <w:p w14:paraId="639A172B">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2、我方同意自本项目竞争性磋商文件采购公告规定的提交响应文件截止时间起遵循本响应函，并承诺在“第三章 供应商须知”规定的竞标有效期内不修改、撤销响应文件。</w:t>
      </w:r>
    </w:p>
    <w:p w14:paraId="4B8F526A">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3、我方在此声明，所递交的响应文件及有关资料内容完整、真实和准确。</w:t>
      </w:r>
    </w:p>
    <w:p w14:paraId="0F12123A">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4、如本项目采购内容涉及须符合国家强制规定的，我方承诺我方本次竞标均符合国家有关强制规定。</w:t>
      </w:r>
    </w:p>
    <w:p w14:paraId="70F8419C">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58464D95">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6、我方已详细审核竞争性磋商文件，我方知道必须放弃提出含糊不清或误解问题的权利。</w:t>
      </w:r>
    </w:p>
    <w:p w14:paraId="0A1F8CCF">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7、我方承诺满足竞争性磋商文件第六章“合同文本”的条款，承担完成合同的责任和义务。</w:t>
      </w:r>
    </w:p>
    <w:p w14:paraId="4C139851">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8、我方同意应贵方要求提供与本竞标有关的任何数据或资料。若贵方需要，我方愿意提供我方作出的一切承诺的证明材料。</w:t>
      </w:r>
    </w:p>
    <w:p w14:paraId="6CFC9497">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9、我方完全理解贵方不一定接受响应报价最低的供应商为成交供应商的行为。</w:t>
      </w:r>
    </w:p>
    <w:p w14:paraId="7172BB5F">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264B73C">
      <w:pPr>
        <w:numPr>
          <w:ilvl w:val="0"/>
          <w:numId w:val="4"/>
        </w:numPr>
        <w:tabs>
          <w:tab w:val="left" w:pos="945"/>
        </w:tabs>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提供虚假材料谋取中标、成交的；</w:t>
      </w:r>
    </w:p>
    <w:p w14:paraId="30CC7385">
      <w:pPr>
        <w:numPr>
          <w:ilvl w:val="0"/>
          <w:numId w:val="4"/>
        </w:numPr>
        <w:tabs>
          <w:tab w:val="left" w:pos="945"/>
        </w:tabs>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采取不正当手段诋毁、排挤其他供应商的；</w:t>
      </w:r>
    </w:p>
    <w:p w14:paraId="23C7BD0C">
      <w:pPr>
        <w:numPr>
          <w:ilvl w:val="0"/>
          <w:numId w:val="4"/>
        </w:numPr>
        <w:tabs>
          <w:tab w:val="left" w:pos="945"/>
        </w:tabs>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与采购人、其他供应商或者采购代理机构恶意串通的；</w:t>
      </w:r>
    </w:p>
    <w:p w14:paraId="5B07D9B5">
      <w:pPr>
        <w:numPr>
          <w:ilvl w:val="0"/>
          <w:numId w:val="4"/>
        </w:numPr>
        <w:tabs>
          <w:tab w:val="left" w:pos="945"/>
        </w:tabs>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向采购人、采购代理机构行贿或者提供其他不正当利益的；</w:t>
      </w:r>
    </w:p>
    <w:p w14:paraId="3167DCFB">
      <w:pPr>
        <w:numPr>
          <w:ilvl w:val="0"/>
          <w:numId w:val="4"/>
        </w:numPr>
        <w:tabs>
          <w:tab w:val="left" w:pos="945"/>
        </w:tabs>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在采购过程中与采购人进行协商磋商的；</w:t>
      </w:r>
    </w:p>
    <w:p w14:paraId="6E3C17E9">
      <w:pPr>
        <w:numPr>
          <w:ilvl w:val="0"/>
          <w:numId w:val="4"/>
        </w:numPr>
        <w:tabs>
          <w:tab w:val="left" w:pos="945"/>
        </w:tabs>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拒绝有关部门监督检查或提供虚假情况的。</w:t>
      </w:r>
    </w:p>
    <w:p w14:paraId="64416DB5">
      <w:pPr>
        <w:spacing w:line="360" w:lineRule="auto"/>
        <w:ind w:firstLine="420"/>
        <w:rPr>
          <w:rFonts w:ascii="宋体" w:hAnsi="宋体" w:cs="宋体"/>
          <w:b/>
          <w:bCs/>
          <w:color w:val="auto"/>
          <w:kern w:val="0"/>
          <w:szCs w:val="21"/>
          <w:highlight w:val="none"/>
        </w:rPr>
      </w:pPr>
      <w:r>
        <w:rPr>
          <w:rFonts w:hint="eastAsia" w:ascii="宋体" w:hAnsi="宋体" w:cs="宋体"/>
          <w:color w:val="auto"/>
          <w:kern w:val="0"/>
          <w:sz w:val="20"/>
          <w:szCs w:val="20"/>
          <w:highlight w:val="none"/>
        </w:rPr>
        <w:t>11、</w:t>
      </w:r>
      <w:r>
        <w:rPr>
          <w:rFonts w:hint="eastAsia" w:ascii="宋体" w:hAnsi="宋体" w:cs="宋体"/>
          <w:color w:val="auto"/>
          <w:highlight w:val="none"/>
        </w:rPr>
        <w:t>以上事项如有虚假或者隐瞒，我方愿意承担一切后果，并不再寻求任何旨在减轻或者免除法律责任的辩解。</w:t>
      </w:r>
    </w:p>
    <w:p w14:paraId="0F9C340C">
      <w:pPr>
        <w:spacing w:line="360" w:lineRule="auto"/>
        <w:ind w:firstLine="420"/>
        <w:outlineLvl w:val="2"/>
        <w:rPr>
          <w:rFonts w:ascii="宋体" w:hAnsi="宋体" w:cs="宋体"/>
          <w:b/>
          <w:bCs/>
          <w:color w:val="auto"/>
          <w:kern w:val="0"/>
          <w:szCs w:val="21"/>
          <w:highlight w:val="none"/>
        </w:rPr>
      </w:pPr>
      <w:bookmarkStart w:id="202" w:name="_Toc20338"/>
      <w:r>
        <w:rPr>
          <w:rFonts w:hint="eastAsia" w:ascii="宋体" w:hAnsi="宋体" w:cs="宋体"/>
          <w:b/>
          <w:bCs/>
          <w:color w:val="auto"/>
          <w:kern w:val="0"/>
          <w:szCs w:val="21"/>
          <w:highlight w:val="none"/>
        </w:rPr>
        <w:t>12、与本磋商有关的一切正式往来信函请寄：</w:t>
      </w:r>
      <w:bookmarkEnd w:id="202"/>
    </w:p>
    <w:p w14:paraId="20F09386">
      <w:pPr>
        <w:spacing w:line="360" w:lineRule="auto"/>
        <w:ind w:firstLine="420"/>
        <w:rPr>
          <w:rFonts w:ascii="宋体" w:hAnsi="宋体" w:cs="宋体"/>
          <w:color w:val="auto"/>
          <w:kern w:val="0"/>
          <w:sz w:val="20"/>
          <w:szCs w:val="21"/>
          <w:highlight w:val="none"/>
        </w:rPr>
      </w:pPr>
      <w:r>
        <w:rPr>
          <w:rFonts w:hint="eastAsia" w:ascii="宋体" w:hAnsi="宋体" w:cs="宋体"/>
          <w:color w:val="auto"/>
          <w:kern w:val="0"/>
          <w:sz w:val="20"/>
          <w:szCs w:val="21"/>
          <w:highlight w:val="none"/>
        </w:rPr>
        <w:t>地址：</w:t>
      </w:r>
    </w:p>
    <w:p w14:paraId="2F42FAB2">
      <w:pPr>
        <w:spacing w:line="360" w:lineRule="auto"/>
        <w:ind w:firstLine="420"/>
        <w:rPr>
          <w:rFonts w:ascii="宋体" w:hAnsi="宋体" w:cs="宋体"/>
          <w:color w:val="auto"/>
          <w:kern w:val="0"/>
          <w:sz w:val="20"/>
          <w:szCs w:val="21"/>
          <w:highlight w:val="none"/>
          <w:u w:val="single"/>
        </w:rPr>
      </w:pPr>
      <w:r>
        <w:rPr>
          <w:rFonts w:hint="eastAsia" w:ascii="宋体" w:hAnsi="宋体" w:cs="宋体"/>
          <w:color w:val="auto"/>
          <w:kern w:val="0"/>
          <w:sz w:val="20"/>
          <w:szCs w:val="21"/>
          <w:highlight w:val="none"/>
        </w:rPr>
        <w:t>电话：</w:t>
      </w:r>
      <w:r>
        <w:rPr>
          <w:rFonts w:hint="eastAsia" w:ascii="宋体" w:hAnsi="宋体" w:cs="宋体"/>
          <w:color w:val="auto"/>
          <w:kern w:val="0"/>
          <w:sz w:val="20"/>
          <w:szCs w:val="21"/>
          <w:highlight w:val="none"/>
          <w:u w:val="single"/>
        </w:rPr>
        <w:t xml:space="preserve">                                      　　　　　　　　　</w:t>
      </w:r>
    </w:p>
    <w:p w14:paraId="1749FF89">
      <w:pPr>
        <w:spacing w:line="360" w:lineRule="auto"/>
        <w:ind w:firstLine="420"/>
        <w:rPr>
          <w:rFonts w:ascii="宋体" w:hAnsi="宋体" w:cs="宋体"/>
          <w:color w:val="auto"/>
          <w:kern w:val="0"/>
          <w:sz w:val="20"/>
          <w:szCs w:val="21"/>
          <w:highlight w:val="none"/>
          <w:u w:val="single"/>
        </w:rPr>
      </w:pPr>
      <w:r>
        <w:rPr>
          <w:rFonts w:hint="eastAsia" w:ascii="宋体" w:hAnsi="宋体" w:cs="宋体"/>
          <w:color w:val="auto"/>
          <w:kern w:val="0"/>
          <w:sz w:val="20"/>
          <w:szCs w:val="21"/>
          <w:highlight w:val="none"/>
        </w:rPr>
        <w:t>传真：</w:t>
      </w:r>
      <w:r>
        <w:rPr>
          <w:rFonts w:hint="eastAsia" w:ascii="宋体" w:hAnsi="宋体" w:cs="宋体"/>
          <w:color w:val="auto"/>
          <w:kern w:val="0"/>
          <w:sz w:val="20"/>
          <w:szCs w:val="21"/>
          <w:highlight w:val="none"/>
          <w:u w:val="single"/>
        </w:rPr>
        <w:t>　　　　　　　　　　　　　　　　　　　　　　　　　　　　</w:t>
      </w:r>
    </w:p>
    <w:p w14:paraId="20964327">
      <w:pPr>
        <w:spacing w:line="360" w:lineRule="auto"/>
        <w:ind w:firstLine="420"/>
        <w:rPr>
          <w:rFonts w:ascii="宋体" w:hAnsi="宋体" w:cs="宋体"/>
          <w:color w:val="auto"/>
          <w:highlight w:val="none"/>
        </w:rPr>
      </w:pPr>
      <w:r>
        <w:rPr>
          <w:rFonts w:hint="eastAsia" w:ascii="宋体" w:hAnsi="宋体" w:cs="宋体"/>
          <w:color w:val="auto"/>
          <w:kern w:val="0"/>
          <w:sz w:val="20"/>
          <w:szCs w:val="21"/>
          <w:highlight w:val="none"/>
        </w:rPr>
        <w:t>电子邮箱：</w:t>
      </w:r>
      <w:r>
        <w:rPr>
          <w:rFonts w:hint="eastAsia" w:ascii="宋体" w:hAnsi="宋体" w:cs="宋体"/>
          <w:color w:val="auto"/>
          <w:kern w:val="0"/>
          <w:sz w:val="20"/>
          <w:szCs w:val="21"/>
          <w:highlight w:val="none"/>
          <w:u w:val="single"/>
        </w:rPr>
        <w:t>　　　　　　　　　　　　　　　　　　　　　　　　　　</w:t>
      </w:r>
    </w:p>
    <w:p w14:paraId="6CF0F073">
      <w:pPr>
        <w:spacing w:line="360" w:lineRule="auto"/>
        <w:ind w:firstLine="420"/>
        <w:rPr>
          <w:rFonts w:ascii="宋体" w:hAnsi="宋体" w:cs="宋体"/>
          <w:color w:val="auto"/>
          <w:kern w:val="0"/>
          <w:sz w:val="20"/>
          <w:szCs w:val="21"/>
          <w:highlight w:val="none"/>
          <w:u w:val="single"/>
        </w:rPr>
      </w:pPr>
      <w:r>
        <w:rPr>
          <w:rFonts w:hint="eastAsia" w:ascii="宋体" w:hAnsi="宋体" w:cs="宋体"/>
          <w:color w:val="auto"/>
          <w:kern w:val="0"/>
          <w:sz w:val="20"/>
          <w:szCs w:val="21"/>
          <w:highlight w:val="none"/>
        </w:rPr>
        <w:t>邮政编码：</w:t>
      </w:r>
    </w:p>
    <w:p w14:paraId="7B2109C7">
      <w:pPr>
        <w:spacing w:line="360" w:lineRule="auto"/>
        <w:ind w:firstLine="420"/>
        <w:rPr>
          <w:rFonts w:ascii="宋体" w:hAnsi="宋体" w:cs="宋体"/>
          <w:color w:val="auto"/>
          <w:kern w:val="0"/>
          <w:sz w:val="20"/>
          <w:szCs w:val="21"/>
          <w:highlight w:val="none"/>
          <w:u w:val="single"/>
        </w:rPr>
      </w:pPr>
      <w:r>
        <w:rPr>
          <w:rFonts w:hint="eastAsia" w:ascii="宋体" w:hAnsi="宋体" w:cs="宋体"/>
          <w:color w:val="auto"/>
          <w:kern w:val="0"/>
          <w:sz w:val="20"/>
          <w:szCs w:val="21"/>
          <w:highlight w:val="none"/>
        </w:rPr>
        <w:t>开户名称：</w:t>
      </w:r>
    </w:p>
    <w:p w14:paraId="597AAE23">
      <w:pPr>
        <w:spacing w:line="360" w:lineRule="auto"/>
        <w:ind w:firstLine="420"/>
        <w:rPr>
          <w:rFonts w:ascii="宋体" w:hAnsi="宋体" w:cs="宋体"/>
          <w:color w:val="auto"/>
          <w:kern w:val="0"/>
          <w:sz w:val="20"/>
          <w:szCs w:val="21"/>
          <w:highlight w:val="none"/>
          <w:u w:val="single"/>
        </w:rPr>
      </w:pPr>
      <w:r>
        <w:rPr>
          <w:rFonts w:hint="eastAsia" w:ascii="宋体" w:hAnsi="宋体" w:cs="宋体"/>
          <w:color w:val="auto"/>
          <w:kern w:val="0"/>
          <w:sz w:val="20"/>
          <w:szCs w:val="21"/>
          <w:highlight w:val="none"/>
        </w:rPr>
        <w:t>开户银行：</w:t>
      </w:r>
    </w:p>
    <w:p w14:paraId="51987AEE">
      <w:pPr>
        <w:spacing w:line="360" w:lineRule="auto"/>
        <w:ind w:firstLine="420"/>
        <w:rPr>
          <w:rFonts w:ascii="宋体" w:hAnsi="宋体" w:cs="宋体"/>
          <w:color w:val="auto"/>
          <w:kern w:val="0"/>
          <w:sz w:val="20"/>
          <w:szCs w:val="21"/>
          <w:highlight w:val="none"/>
          <w:u w:val="single"/>
        </w:rPr>
      </w:pPr>
      <w:r>
        <w:rPr>
          <w:rFonts w:hint="eastAsia" w:ascii="宋体" w:hAnsi="宋体" w:cs="宋体"/>
          <w:color w:val="auto"/>
          <w:kern w:val="0"/>
          <w:sz w:val="20"/>
          <w:szCs w:val="21"/>
          <w:highlight w:val="none"/>
        </w:rPr>
        <w:t>银行账号：</w:t>
      </w:r>
    </w:p>
    <w:p w14:paraId="69906D34">
      <w:pPr>
        <w:pStyle w:val="14"/>
        <w:tabs>
          <w:tab w:val="left" w:pos="939"/>
        </w:tabs>
        <w:spacing w:line="360" w:lineRule="auto"/>
        <w:ind w:left="141" w:leftChars="67" w:firstLine="315" w:firstLineChars="150"/>
        <w:rPr>
          <w:rFonts w:ascii="宋体" w:hAnsi="宋体" w:cs="宋体"/>
          <w:color w:val="auto"/>
          <w:szCs w:val="21"/>
          <w:highlight w:val="none"/>
        </w:rPr>
      </w:pPr>
      <w:r>
        <w:rPr>
          <w:rFonts w:hint="eastAsia" w:ascii="宋体" w:hAnsi="宋体" w:cs="宋体"/>
          <w:color w:val="auto"/>
          <w:szCs w:val="21"/>
          <w:highlight w:val="none"/>
        </w:rPr>
        <w:t>特此承诺。</w:t>
      </w:r>
    </w:p>
    <w:p w14:paraId="69D2188D">
      <w:pPr>
        <w:spacing w:line="360" w:lineRule="auto"/>
        <w:contextualSpacing/>
        <w:jc w:val="left"/>
        <w:rPr>
          <w:rFonts w:ascii="宋体" w:hAnsi="宋体" w:cs="宋体"/>
          <w:color w:val="auto"/>
          <w:szCs w:val="21"/>
          <w:highlight w:val="none"/>
        </w:rPr>
      </w:pPr>
    </w:p>
    <w:p w14:paraId="5E3FFF50">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7F5DD2C7">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E87CE11">
      <w:pPr>
        <w:spacing w:line="360" w:lineRule="auto"/>
        <w:rPr>
          <w:rFonts w:ascii="宋体" w:hAnsi="宋体" w:cs="宋体"/>
          <w:b/>
          <w:color w:val="auto"/>
          <w:sz w:val="28"/>
          <w:szCs w:val="28"/>
          <w:highlight w:val="none"/>
        </w:rPr>
      </w:pPr>
    </w:p>
    <w:p w14:paraId="4DAF62FC">
      <w:pPr>
        <w:spacing w:line="360" w:lineRule="auto"/>
        <w:outlineLvl w:val="2"/>
        <w:rPr>
          <w:rFonts w:ascii="宋体" w:hAnsi="宋体" w:cs="宋体"/>
          <w:b/>
          <w:color w:val="auto"/>
          <w:sz w:val="30"/>
          <w:szCs w:val="30"/>
          <w:highlight w:val="none"/>
          <w:lang w:val="zh-CN"/>
        </w:rPr>
      </w:pPr>
      <w:r>
        <w:rPr>
          <w:rFonts w:hint="eastAsia" w:ascii="宋体" w:hAnsi="宋体" w:cs="宋体"/>
          <w:b/>
          <w:color w:val="auto"/>
          <w:sz w:val="28"/>
          <w:szCs w:val="28"/>
          <w:highlight w:val="none"/>
        </w:rPr>
        <w:br w:type="page"/>
      </w:r>
      <w:bookmarkStart w:id="203" w:name="_Toc161"/>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val="zh-CN"/>
        </w:rPr>
        <w:t>响应报价表的格式：</w:t>
      </w:r>
      <w:bookmarkEnd w:id="203"/>
    </w:p>
    <w:p w14:paraId="5B740A32">
      <w:pPr>
        <w:spacing w:line="360" w:lineRule="auto"/>
        <w:ind w:firstLine="420" w:firstLineChars="200"/>
        <w:rPr>
          <w:rFonts w:ascii="宋体" w:hAnsi="宋体" w:cs="宋体"/>
          <w:color w:val="auto"/>
          <w:highlight w:val="none"/>
        </w:rPr>
      </w:pPr>
    </w:p>
    <w:p w14:paraId="4584E4E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响应报价表</w:t>
      </w:r>
    </w:p>
    <w:p w14:paraId="246DC7B2">
      <w:pPr>
        <w:snapToGrid w:val="0"/>
        <w:spacing w:before="50" w:after="50" w:line="360" w:lineRule="auto"/>
        <w:rPr>
          <w:rFonts w:ascii="宋体" w:hAnsi="宋体" w:cs="宋体"/>
          <w:color w:val="auto"/>
          <w:sz w:val="24"/>
          <w:highlight w:val="none"/>
        </w:rPr>
      </w:pPr>
    </w:p>
    <w:p w14:paraId="3B219AB5">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p>
    <w:p w14:paraId="7E5D4D7B">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p>
    <w:p w14:paraId="56C9F451">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168"/>
        <w:gridCol w:w="746"/>
      </w:tblGrid>
      <w:tr w14:paraId="3403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6A6B81B6">
            <w:pPr>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77BAF1D1">
            <w:pPr>
              <w:spacing w:line="360" w:lineRule="auto"/>
              <w:rPr>
                <w:rFonts w:ascii="宋体" w:hAnsi="宋体" w:cs="宋体"/>
                <w:color w:val="auto"/>
                <w:szCs w:val="22"/>
                <w:highlight w:val="none"/>
              </w:rPr>
            </w:pPr>
            <w:r>
              <w:rPr>
                <w:rFonts w:hint="eastAsia" w:ascii="宋体" w:hAnsi="宋体" w:cs="宋体"/>
                <w:color w:val="auto"/>
                <w:szCs w:val="22"/>
                <w:highlight w:val="none"/>
              </w:rPr>
              <w:t>标的名称</w:t>
            </w:r>
          </w:p>
        </w:tc>
        <w:tc>
          <w:tcPr>
            <w:tcW w:w="2064" w:type="dxa"/>
            <w:tcBorders>
              <w:top w:val="single" w:color="auto" w:sz="4" w:space="0"/>
              <w:left w:val="single" w:color="auto" w:sz="4" w:space="0"/>
              <w:bottom w:val="single" w:color="auto" w:sz="4" w:space="0"/>
              <w:right w:val="single" w:color="auto" w:sz="4" w:space="0"/>
            </w:tcBorders>
            <w:noWrap/>
            <w:vAlign w:val="center"/>
          </w:tcPr>
          <w:p w14:paraId="2BB87855">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服务内容</w:t>
            </w:r>
          </w:p>
        </w:tc>
        <w:tc>
          <w:tcPr>
            <w:tcW w:w="1080" w:type="dxa"/>
            <w:tcBorders>
              <w:top w:val="single" w:color="auto" w:sz="4" w:space="0"/>
              <w:left w:val="single" w:color="auto" w:sz="4" w:space="0"/>
              <w:bottom w:val="single" w:color="auto" w:sz="4" w:space="0"/>
              <w:right w:val="single" w:color="auto" w:sz="4" w:space="0"/>
            </w:tcBorders>
            <w:noWrap/>
            <w:vAlign w:val="center"/>
          </w:tcPr>
          <w:p w14:paraId="15742E2E">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数量及 单位①</w:t>
            </w:r>
          </w:p>
        </w:tc>
        <w:tc>
          <w:tcPr>
            <w:tcW w:w="1260" w:type="dxa"/>
            <w:tcBorders>
              <w:top w:val="single" w:color="auto" w:sz="4" w:space="0"/>
              <w:left w:val="single" w:color="auto" w:sz="4" w:space="0"/>
              <w:bottom w:val="single" w:color="auto" w:sz="4" w:space="0"/>
              <w:right w:val="single" w:color="auto" w:sz="4" w:space="0"/>
            </w:tcBorders>
            <w:noWrap/>
            <w:vAlign w:val="center"/>
          </w:tcPr>
          <w:p w14:paraId="5A6FA927">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ign w:val="center"/>
          </w:tcPr>
          <w:p w14:paraId="11967333">
            <w:pPr>
              <w:spacing w:line="360" w:lineRule="auto"/>
              <w:rPr>
                <w:rFonts w:ascii="宋体" w:hAnsi="宋体" w:cs="宋体"/>
                <w:color w:val="auto"/>
                <w:szCs w:val="22"/>
                <w:highlight w:val="none"/>
              </w:rPr>
            </w:pPr>
            <w:r>
              <w:rPr>
                <w:rFonts w:hint="eastAsia" w:ascii="宋体" w:hAnsi="宋体" w:cs="宋体"/>
                <w:color w:val="auto"/>
                <w:szCs w:val="22"/>
                <w:highlight w:val="none"/>
              </w:rPr>
              <w:t>单项合价（元）</w:t>
            </w:r>
          </w:p>
          <w:p w14:paraId="48B1B0A5">
            <w:pPr>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1168" w:type="dxa"/>
            <w:tcBorders>
              <w:top w:val="single" w:color="auto" w:sz="4" w:space="0"/>
              <w:left w:val="single" w:color="auto" w:sz="4" w:space="0"/>
              <w:bottom w:val="single" w:color="auto" w:sz="4" w:space="0"/>
              <w:right w:val="single" w:color="auto" w:sz="4" w:space="0"/>
            </w:tcBorders>
            <w:noWrap/>
          </w:tcPr>
          <w:p w14:paraId="5DE0BC5C">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服务成果完成期限</w:t>
            </w:r>
          </w:p>
        </w:tc>
        <w:tc>
          <w:tcPr>
            <w:tcW w:w="746" w:type="dxa"/>
            <w:tcBorders>
              <w:top w:val="single" w:color="auto" w:sz="4" w:space="0"/>
              <w:left w:val="single" w:color="auto" w:sz="4" w:space="0"/>
              <w:bottom w:val="single" w:color="auto" w:sz="4" w:space="0"/>
              <w:right w:val="single" w:color="auto" w:sz="4" w:space="0"/>
            </w:tcBorders>
            <w:noWrap/>
            <w:vAlign w:val="center"/>
          </w:tcPr>
          <w:p w14:paraId="3E2677CB">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备注</w:t>
            </w:r>
          </w:p>
        </w:tc>
      </w:tr>
      <w:tr w14:paraId="3910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0FAB3376">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ign w:val="center"/>
          </w:tcPr>
          <w:p w14:paraId="5F0A3CEA">
            <w:pPr>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ign w:val="center"/>
          </w:tcPr>
          <w:p w14:paraId="6874AE8D">
            <w:pPr>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4EC4C5C">
            <w:pPr>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0CE7B299">
            <w:pPr>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4A367D15">
            <w:pPr>
              <w:spacing w:line="360" w:lineRule="auto"/>
              <w:rPr>
                <w:rFonts w:ascii="宋体" w:hAnsi="宋体" w:cs="宋体"/>
                <w:color w:val="auto"/>
                <w:szCs w:val="22"/>
                <w:highlight w:val="none"/>
              </w:rPr>
            </w:pPr>
          </w:p>
        </w:tc>
        <w:tc>
          <w:tcPr>
            <w:tcW w:w="1168" w:type="dxa"/>
            <w:tcBorders>
              <w:top w:val="single" w:color="auto" w:sz="4" w:space="0"/>
              <w:left w:val="single" w:color="auto" w:sz="4" w:space="0"/>
              <w:bottom w:val="single" w:color="auto" w:sz="4" w:space="0"/>
              <w:right w:val="single" w:color="auto" w:sz="4" w:space="0"/>
            </w:tcBorders>
            <w:noWrap/>
          </w:tcPr>
          <w:p w14:paraId="01933BA4">
            <w:pPr>
              <w:spacing w:line="360" w:lineRule="auto"/>
              <w:rPr>
                <w:rFonts w:ascii="宋体" w:hAnsi="宋体" w:cs="宋体"/>
                <w:color w:val="auto"/>
                <w:szCs w:val="22"/>
                <w:highlight w:val="none"/>
              </w:rPr>
            </w:pPr>
          </w:p>
        </w:tc>
        <w:tc>
          <w:tcPr>
            <w:tcW w:w="746" w:type="dxa"/>
            <w:tcBorders>
              <w:top w:val="single" w:color="auto" w:sz="4" w:space="0"/>
              <w:left w:val="single" w:color="auto" w:sz="4" w:space="0"/>
              <w:bottom w:val="single" w:color="auto" w:sz="4" w:space="0"/>
              <w:right w:val="single" w:color="auto" w:sz="4" w:space="0"/>
            </w:tcBorders>
            <w:noWrap/>
            <w:vAlign w:val="center"/>
          </w:tcPr>
          <w:p w14:paraId="20744D65">
            <w:pPr>
              <w:spacing w:line="360" w:lineRule="auto"/>
              <w:rPr>
                <w:rFonts w:ascii="宋体" w:hAnsi="宋体" w:cs="宋体"/>
                <w:color w:val="auto"/>
                <w:szCs w:val="22"/>
                <w:highlight w:val="none"/>
              </w:rPr>
            </w:pPr>
          </w:p>
        </w:tc>
      </w:tr>
      <w:tr w14:paraId="0F13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1D0C7A52">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ign w:val="center"/>
          </w:tcPr>
          <w:p w14:paraId="42C52E54">
            <w:pPr>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ign w:val="center"/>
          </w:tcPr>
          <w:p w14:paraId="26DC1AEA">
            <w:pPr>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8591288">
            <w:pPr>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40FC1F3">
            <w:pPr>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576669BB">
            <w:pPr>
              <w:spacing w:line="360" w:lineRule="auto"/>
              <w:rPr>
                <w:rFonts w:ascii="宋体" w:hAnsi="宋体" w:cs="宋体"/>
                <w:color w:val="auto"/>
                <w:szCs w:val="22"/>
                <w:highlight w:val="none"/>
              </w:rPr>
            </w:pPr>
          </w:p>
        </w:tc>
        <w:tc>
          <w:tcPr>
            <w:tcW w:w="1168" w:type="dxa"/>
            <w:tcBorders>
              <w:top w:val="single" w:color="auto" w:sz="4" w:space="0"/>
              <w:left w:val="single" w:color="auto" w:sz="4" w:space="0"/>
              <w:bottom w:val="single" w:color="auto" w:sz="4" w:space="0"/>
              <w:right w:val="single" w:color="auto" w:sz="4" w:space="0"/>
            </w:tcBorders>
            <w:noWrap/>
          </w:tcPr>
          <w:p w14:paraId="0B235DBB">
            <w:pPr>
              <w:spacing w:line="360" w:lineRule="auto"/>
              <w:rPr>
                <w:rFonts w:ascii="宋体" w:hAnsi="宋体" w:cs="宋体"/>
                <w:color w:val="auto"/>
                <w:szCs w:val="22"/>
                <w:highlight w:val="none"/>
              </w:rPr>
            </w:pPr>
          </w:p>
        </w:tc>
        <w:tc>
          <w:tcPr>
            <w:tcW w:w="746" w:type="dxa"/>
            <w:tcBorders>
              <w:top w:val="single" w:color="auto" w:sz="4" w:space="0"/>
              <w:left w:val="single" w:color="auto" w:sz="4" w:space="0"/>
              <w:bottom w:val="single" w:color="auto" w:sz="4" w:space="0"/>
              <w:right w:val="single" w:color="auto" w:sz="4" w:space="0"/>
            </w:tcBorders>
            <w:noWrap/>
            <w:vAlign w:val="center"/>
          </w:tcPr>
          <w:p w14:paraId="6031EA6D">
            <w:pPr>
              <w:spacing w:line="360" w:lineRule="auto"/>
              <w:rPr>
                <w:rFonts w:ascii="宋体" w:hAnsi="宋体" w:cs="宋体"/>
                <w:color w:val="auto"/>
                <w:szCs w:val="22"/>
                <w:highlight w:val="none"/>
              </w:rPr>
            </w:pPr>
          </w:p>
        </w:tc>
      </w:tr>
      <w:tr w14:paraId="1CF7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0765044D">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ign w:val="center"/>
          </w:tcPr>
          <w:p w14:paraId="7B4729FB">
            <w:pPr>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ign w:val="center"/>
          </w:tcPr>
          <w:p w14:paraId="7DEBADE7">
            <w:pPr>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FF51762">
            <w:pPr>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D987E96">
            <w:pPr>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4F1E27F3">
            <w:pPr>
              <w:spacing w:line="360" w:lineRule="auto"/>
              <w:rPr>
                <w:rFonts w:ascii="宋体" w:hAnsi="宋体" w:cs="宋体"/>
                <w:color w:val="auto"/>
                <w:szCs w:val="22"/>
                <w:highlight w:val="none"/>
              </w:rPr>
            </w:pPr>
          </w:p>
        </w:tc>
        <w:tc>
          <w:tcPr>
            <w:tcW w:w="1168" w:type="dxa"/>
            <w:tcBorders>
              <w:top w:val="single" w:color="auto" w:sz="4" w:space="0"/>
              <w:left w:val="single" w:color="auto" w:sz="4" w:space="0"/>
              <w:bottom w:val="single" w:color="auto" w:sz="4" w:space="0"/>
              <w:right w:val="single" w:color="auto" w:sz="4" w:space="0"/>
            </w:tcBorders>
            <w:noWrap/>
          </w:tcPr>
          <w:p w14:paraId="5EB70E41">
            <w:pPr>
              <w:spacing w:line="360" w:lineRule="auto"/>
              <w:rPr>
                <w:rFonts w:ascii="宋体" w:hAnsi="宋体" w:cs="宋体"/>
                <w:color w:val="auto"/>
                <w:szCs w:val="22"/>
                <w:highlight w:val="none"/>
              </w:rPr>
            </w:pPr>
          </w:p>
        </w:tc>
        <w:tc>
          <w:tcPr>
            <w:tcW w:w="746" w:type="dxa"/>
            <w:tcBorders>
              <w:top w:val="single" w:color="auto" w:sz="4" w:space="0"/>
              <w:left w:val="single" w:color="auto" w:sz="4" w:space="0"/>
              <w:bottom w:val="single" w:color="auto" w:sz="4" w:space="0"/>
              <w:right w:val="single" w:color="auto" w:sz="4" w:space="0"/>
            </w:tcBorders>
            <w:noWrap/>
            <w:vAlign w:val="center"/>
          </w:tcPr>
          <w:p w14:paraId="5690513E">
            <w:pPr>
              <w:spacing w:line="360" w:lineRule="auto"/>
              <w:rPr>
                <w:rFonts w:ascii="宋体" w:hAnsi="宋体" w:cs="宋体"/>
                <w:color w:val="auto"/>
                <w:szCs w:val="22"/>
                <w:highlight w:val="none"/>
              </w:rPr>
            </w:pPr>
          </w:p>
        </w:tc>
      </w:tr>
      <w:tr w14:paraId="3E13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514DB5F6">
            <w:pPr>
              <w:spacing w:line="360" w:lineRule="auto"/>
              <w:rPr>
                <w:rFonts w:ascii="宋体" w:hAnsi="宋体" w:cs="宋体"/>
                <w:color w:val="auto"/>
                <w:szCs w:val="22"/>
                <w:highlight w:val="none"/>
              </w:rPr>
            </w:pPr>
            <w:r>
              <w:rPr>
                <w:rFonts w:hint="eastAsia" w:ascii="宋体" w:hAnsi="宋体" w:cs="宋体"/>
                <w:color w:val="auto"/>
                <w:szCs w:val="22"/>
                <w:highlight w:val="none"/>
              </w:rPr>
              <w:t>竞标总报价（包含税费等所有费用）：</w:t>
            </w:r>
            <w:r>
              <w:rPr>
                <w:rFonts w:hint="eastAsia" w:ascii="宋体" w:hAnsi="宋体" w:cs="宋体"/>
                <w:color w:val="auto"/>
                <w:szCs w:val="22"/>
                <w:highlight w:val="none"/>
                <w:u w:val="single"/>
              </w:rPr>
              <w:t>（大写）人民币       （小写）¥</w:t>
            </w:r>
          </w:p>
        </w:tc>
      </w:tr>
      <w:tr w14:paraId="155E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3D773AD5">
            <w:pPr>
              <w:spacing w:line="360" w:lineRule="auto"/>
              <w:rPr>
                <w:rFonts w:ascii="宋体" w:hAnsi="宋体" w:cs="宋体"/>
                <w:color w:val="auto"/>
                <w:szCs w:val="22"/>
                <w:highlight w:val="none"/>
              </w:rPr>
            </w:pPr>
            <w:r>
              <w:rPr>
                <w:rFonts w:hint="eastAsia" w:ascii="宋体" w:hAnsi="宋体" w:cs="宋体"/>
                <w:color w:val="auto"/>
                <w:szCs w:val="22"/>
                <w:highlight w:val="none"/>
              </w:rPr>
              <w:t>优惠及其它：</w:t>
            </w:r>
            <w:r>
              <w:rPr>
                <w:rFonts w:hint="eastAsia" w:ascii="宋体" w:hAnsi="宋体" w:cs="宋体"/>
                <w:i/>
                <w:iCs/>
                <w:color w:val="auto"/>
                <w:highlight w:val="none"/>
              </w:rPr>
              <w:t>（如没有填写无）</w:t>
            </w:r>
          </w:p>
        </w:tc>
      </w:tr>
    </w:tbl>
    <w:p w14:paraId="0337DD00">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注： </w:t>
      </w:r>
    </w:p>
    <w:p w14:paraId="7BF33E07">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1、供应商需按本表格式填写，不得自行更改，也不得留空（</w:t>
      </w:r>
      <w:r>
        <w:rPr>
          <w:rFonts w:hint="eastAsia" w:ascii="宋体" w:hAnsi="宋体" w:cs="宋体"/>
          <w:color w:val="auto"/>
          <w:szCs w:val="21"/>
          <w:highlight w:val="none"/>
        </w:rPr>
        <w:t>备注除外</w:t>
      </w:r>
      <w:r>
        <w:rPr>
          <w:rFonts w:hint="eastAsia" w:ascii="宋体" w:hAnsi="宋体" w:cs="宋体"/>
          <w:color w:val="auto"/>
          <w:kern w:val="0"/>
          <w:szCs w:val="21"/>
          <w:highlight w:val="none"/>
          <w:lang w:val="zh-CN"/>
        </w:rPr>
        <w:t>）, 如有多分标，按分标分别提供响应报价表，</w:t>
      </w:r>
      <w:r>
        <w:rPr>
          <w:rFonts w:hint="eastAsia" w:ascii="宋体" w:hAnsi="宋体" w:cs="宋体"/>
          <w:b/>
          <w:color w:val="auto"/>
          <w:kern w:val="0"/>
          <w:szCs w:val="21"/>
          <w:highlight w:val="none"/>
          <w:lang w:val="zh-CN"/>
        </w:rPr>
        <w:t>否则其响应按无效响应处理。</w:t>
      </w:r>
    </w:p>
    <w:p w14:paraId="3C2A7537">
      <w:pPr>
        <w:snapToGrid w:val="0"/>
        <w:spacing w:before="50" w:after="50" w:line="360" w:lineRule="auto"/>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Cs w:val="21"/>
          <w:highlight w:val="none"/>
          <w:lang w:val="zh-CN"/>
        </w:rPr>
        <w:t>否则其响应按无效响应处理。</w:t>
      </w:r>
    </w:p>
    <w:p w14:paraId="2DA16645">
      <w:pPr>
        <w:snapToGrid w:val="0"/>
        <w:spacing w:before="50" w:after="50" w:line="360" w:lineRule="auto"/>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3、</w:t>
      </w:r>
      <w:r>
        <w:rPr>
          <w:rFonts w:hint="eastAsia" w:ascii="宋体" w:hAnsi="宋体" w:cs="宋体"/>
          <w:color w:val="auto"/>
          <w:kern w:val="0"/>
          <w:szCs w:val="21"/>
          <w:highlight w:val="none"/>
        </w:rPr>
        <w:t>请</w:t>
      </w:r>
      <w:r>
        <w:rPr>
          <w:rFonts w:hint="eastAsia" w:ascii="宋体" w:hAnsi="宋体" w:cs="宋体"/>
          <w:color w:val="auto"/>
          <w:szCs w:val="21"/>
          <w:highlight w:val="none"/>
        </w:rPr>
        <w:t>根据所竞服务内容，逐条对应本项目竞争性磋商文件“第二章采购需求”中“服务要求”的内容详细填写相应的具体内容。</w:t>
      </w:r>
    </w:p>
    <w:p w14:paraId="447A092D">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4、特别提示：采购代理机构将对项目名称和项目编号，成交供应商名称、地址和成交金额，主要成交标的的名称、服务范围、服务要求、服务时间、服务标准等予以公示。</w:t>
      </w:r>
    </w:p>
    <w:p w14:paraId="389810E8">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5、符合采购文件中列明的可享受中小企业扶持政策的供应商，请填写中小企业声明函。</w:t>
      </w:r>
    </w:p>
    <w:p w14:paraId="76D13871">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14:paraId="46BB3F59">
      <w:pPr>
        <w:autoSpaceDE w:val="0"/>
        <w:autoSpaceDN w:val="0"/>
        <w:spacing w:line="360" w:lineRule="auto"/>
        <w:ind w:left="4335" w:leftChars="1950" w:hanging="240" w:hangingChars="100"/>
        <w:rPr>
          <w:rFonts w:ascii="宋体" w:hAnsi="宋体" w:cs="宋体"/>
          <w:color w:val="auto"/>
          <w:kern w:val="0"/>
          <w:sz w:val="24"/>
          <w:highlight w:val="none"/>
        </w:rPr>
      </w:pPr>
    </w:p>
    <w:p w14:paraId="3EDE0D71">
      <w:pPr>
        <w:pStyle w:val="11"/>
        <w:spacing w:line="360" w:lineRule="auto"/>
        <w:rPr>
          <w:rFonts w:ascii="宋体" w:hAnsi="宋体" w:cs="宋体"/>
          <w:color w:val="auto"/>
          <w:highlight w:val="none"/>
        </w:rPr>
      </w:pPr>
    </w:p>
    <w:p w14:paraId="3ABAA331">
      <w:pPr>
        <w:autoSpaceDE w:val="0"/>
        <w:autoSpaceDN w:val="0"/>
        <w:spacing w:line="360" w:lineRule="auto"/>
        <w:ind w:firstLine="4560" w:firstLineChars="19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6E619577">
      <w:pPr>
        <w:spacing w:line="360" w:lineRule="auto"/>
        <w:ind w:firstLine="6360" w:firstLineChars="2650"/>
        <w:rPr>
          <w:rFonts w:ascii="宋体" w:hAnsi="宋体" w:cs="宋体"/>
          <w:color w:val="auto"/>
          <w:kern w:val="0"/>
          <w:sz w:val="24"/>
          <w:szCs w:val="21"/>
          <w:highlight w:val="none"/>
          <w:lang w:val="zh-CN"/>
        </w:rPr>
      </w:pPr>
      <w:r>
        <w:rPr>
          <w:rFonts w:hint="eastAsia" w:ascii="宋体" w:hAnsi="宋体" w:cs="宋体"/>
          <w:color w:val="auto"/>
          <w:kern w:val="0"/>
          <w:sz w:val="24"/>
          <w:szCs w:val="21"/>
          <w:highlight w:val="none"/>
          <w:lang w:val="zh-CN"/>
        </w:rPr>
        <w:t>日期：  年  月   日</w:t>
      </w:r>
    </w:p>
    <w:p w14:paraId="7F36A225">
      <w:pPr>
        <w:spacing w:line="360" w:lineRule="auto"/>
        <w:outlineLvl w:val="2"/>
        <w:rPr>
          <w:rFonts w:ascii="宋体" w:hAnsi="宋体" w:cs="宋体"/>
          <w:b/>
          <w:color w:val="auto"/>
          <w:sz w:val="30"/>
          <w:szCs w:val="30"/>
          <w:highlight w:val="none"/>
          <w:lang w:val="zh-CN"/>
        </w:rPr>
      </w:pPr>
      <w:bookmarkStart w:id="204" w:name="_Toc27615"/>
      <w:r>
        <w:rPr>
          <w:rFonts w:hint="eastAsia" w:ascii="宋体" w:hAnsi="宋体" w:cs="宋体"/>
          <w:b/>
          <w:color w:val="auto"/>
          <w:sz w:val="28"/>
          <w:szCs w:val="28"/>
          <w:highlight w:val="none"/>
        </w:rPr>
        <w:t>5.</w:t>
      </w:r>
      <w:r>
        <w:rPr>
          <w:rFonts w:hint="eastAsia" w:ascii="宋体" w:hAnsi="宋体" w:cs="宋体"/>
          <w:b/>
          <w:color w:val="auto"/>
          <w:sz w:val="28"/>
          <w:szCs w:val="28"/>
          <w:highlight w:val="none"/>
          <w:lang w:val="zh-CN"/>
        </w:rPr>
        <w:t>最后报价表的格式：</w:t>
      </w:r>
      <w:bookmarkEnd w:id="204"/>
    </w:p>
    <w:p w14:paraId="6B8D1F9E">
      <w:pPr>
        <w:spacing w:line="360" w:lineRule="auto"/>
        <w:ind w:firstLine="420" w:firstLineChars="200"/>
        <w:rPr>
          <w:rFonts w:ascii="宋体" w:hAnsi="宋体" w:cs="宋体"/>
          <w:color w:val="auto"/>
          <w:highlight w:val="none"/>
        </w:rPr>
      </w:pPr>
    </w:p>
    <w:p w14:paraId="5C059E7F">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最后报价表</w:t>
      </w:r>
    </w:p>
    <w:p w14:paraId="5E4588C0">
      <w:pPr>
        <w:snapToGrid w:val="0"/>
        <w:spacing w:before="50" w:after="50" w:line="360" w:lineRule="auto"/>
        <w:rPr>
          <w:rFonts w:ascii="宋体" w:hAnsi="宋体" w:cs="宋体"/>
          <w:color w:val="auto"/>
          <w:sz w:val="24"/>
          <w:highlight w:val="none"/>
        </w:rPr>
      </w:pPr>
    </w:p>
    <w:p w14:paraId="075A90BC">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p>
    <w:p w14:paraId="2356A695">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p>
    <w:p w14:paraId="53396E52">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138"/>
        <w:gridCol w:w="776"/>
      </w:tblGrid>
      <w:tr w14:paraId="0F56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3A4B0F7C">
            <w:pPr>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061083B0">
            <w:pPr>
              <w:spacing w:line="360" w:lineRule="auto"/>
              <w:rPr>
                <w:rFonts w:ascii="宋体" w:hAnsi="宋体" w:cs="宋体"/>
                <w:color w:val="auto"/>
                <w:szCs w:val="22"/>
                <w:highlight w:val="none"/>
              </w:rPr>
            </w:pPr>
            <w:r>
              <w:rPr>
                <w:rFonts w:hint="eastAsia" w:ascii="宋体" w:hAnsi="宋体" w:cs="宋体"/>
                <w:color w:val="auto"/>
                <w:szCs w:val="22"/>
                <w:highlight w:val="none"/>
              </w:rPr>
              <w:t>标的名称</w:t>
            </w:r>
          </w:p>
        </w:tc>
        <w:tc>
          <w:tcPr>
            <w:tcW w:w="2064" w:type="dxa"/>
            <w:tcBorders>
              <w:top w:val="single" w:color="auto" w:sz="4" w:space="0"/>
              <w:left w:val="single" w:color="auto" w:sz="4" w:space="0"/>
              <w:bottom w:val="single" w:color="auto" w:sz="4" w:space="0"/>
              <w:right w:val="single" w:color="auto" w:sz="4" w:space="0"/>
            </w:tcBorders>
            <w:noWrap/>
            <w:vAlign w:val="center"/>
          </w:tcPr>
          <w:p w14:paraId="4B233A37">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服务内容</w:t>
            </w:r>
          </w:p>
        </w:tc>
        <w:tc>
          <w:tcPr>
            <w:tcW w:w="1080" w:type="dxa"/>
            <w:tcBorders>
              <w:top w:val="single" w:color="auto" w:sz="4" w:space="0"/>
              <w:left w:val="single" w:color="auto" w:sz="4" w:space="0"/>
              <w:bottom w:val="single" w:color="auto" w:sz="4" w:space="0"/>
              <w:right w:val="single" w:color="auto" w:sz="4" w:space="0"/>
            </w:tcBorders>
            <w:noWrap/>
            <w:vAlign w:val="center"/>
          </w:tcPr>
          <w:p w14:paraId="6087E214">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数量及 单位①</w:t>
            </w:r>
          </w:p>
        </w:tc>
        <w:tc>
          <w:tcPr>
            <w:tcW w:w="1260" w:type="dxa"/>
            <w:tcBorders>
              <w:top w:val="single" w:color="auto" w:sz="4" w:space="0"/>
              <w:left w:val="single" w:color="auto" w:sz="4" w:space="0"/>
              <w:bottom w:val="single" w:color="auto" w:sz="4" w:space="0"/>
              <w:right w:val="single" w:color="auto" w:sz="4" w:space="0"/>
            </w:tcBorders>
            <w:noWrap/>
            <w:vAlign w:val="center"/>
          </w:tcPr>
          <w:p w14:paraId="7A14FF4C">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ign w:val="center"/>
          </w:tcPr>
          <w:p w14:paraId="6BE87D8F">
            <w:pPr>
              <w:spacing w:line="360" w:lineRule="auto"/>
              <w:rPr>
                <w:rFonts w:ascii="宋体" w:hAnsi="宋体" w:cs="宋体"/>
                <w:color w:val="auto"/>
                <w:szCs w:val="22"/>
                <w:highlight w:val="none"/>
              </w:rPr>
            </w:pPr>
            <w:r>
              <w:rPr>
                <w:rFonts w:hint="eastAsia" w:ascii="宋体" w:hAnsi="宋体" w:cs="宋体"/>
                <w:color w:val="auto"/>
                <w:szCs w:val="22"/>
                <w:highlight w:val="none"/>
              </w:rPr>
              <w:t>单项合价（元）</w:t>
            </w:r>
          </w:p>
          <w:p w14:paraId="4A6F2E4F">
            <w:pPr>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1138" w:type="dxa"/>
            <w:tcBorders>
              <w:top w:val="single" w:color="auto" w:sz="4" w:space="0"/>
              <w:left w:val="single" w:color="auto" w:sz="4" w:space="0"/>
              <w:bottom w:val="single" w:color="auto" w:sz="4" w:space="0"/>
              <w:right w:val="single" w:color="auto" w:sz="4" w:space="0"/>
            </w:tcBorders>
            <w:noWrap/>
          </w:tcPr>
          <w:p w14:paraId="1103FD6D">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服务成果完成期限</w:t>
            </w:r>
          </w:p>
        </w:tc>
        <w:tc>
          <w:tcPr>
            <w:tcW w:w="776" w:type="dxa"/>
            <w:tcBorders>
              <w:top w:val="single" w:color="auto" w:sz="4" w:space="0"/>
              <w:left w:val="single" w:color="auto" w:sz="4" w:space="0"/>
              <w:bottom w:val="single" w:color="auto" w:sz="4" w:space="0"/>
              <w:right w:val="single" w:color="auto" w:sz="4" w:space="0"/>
            </w:tcBorders>
            <w:noWrap/>
            <w:vAlign w:val="center"/>
          </w:tcPr>
          <w:p w14:paraId="4C5C035A">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备注</w:t>
            </w:r>
          </w:p>
        </w:tc>
      </w:tr>
      <w:tr w14:paraId="4F59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4F716BCF">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ign w:val="center"/>
          </w:tcPr>
          <w:p w14:paraId="46BB2EE3">
            <w:pPr>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ign w:val="center"/>
          </w:tcPr>
          <w:p w14:paraId="785009C9">
            <w:pPr>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B77B18B">
            <w:pPr>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1D3FAA5">
            <w:pPr>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75E32A8B">
            <w:pPr>
              <w:spacing w:line="360" w:lineRule="auto"/>
              <w:rPr>
                <w:rFonts w:ascii="宋体" w:hAnsi="宋体" w:cs="宋体"/>
                <w:color w:val="auto"/>
                <w:szCs w:val="22"/>
                <w:highlight w:val="none"/>
              </w:rPr>
            </w:pPr>
          </w:p>
        </w:tc>
        <w:tc>
          <w:tcPr>
            <w:tcW w:w="1138" w:type="dxa"/>
            <w:tcBorders>
              <w:top w:val="single" w:color="auto" w:sz="4" w:space="0"/>
              <w:left w:val="single" w:color="auto" w:sz="4" w:space="0"/>
              <w:bottom w:val="single" w:color="auto" w:sz="4" w:space="0"/>
              <w:right w:val="single" w:color="auto" w:sz="4" w:space="0"/>
            </w:tcBorders>
            <w:noWrap/>
          </w:tcPr>
          <w:p w14:paraId="6624DF6D">
            <w:pPr>
              <w:spacing w:line="360" w:lineRule="auto"/>
              <w:rPr>
                <w:rFonts w:ascii="宋体" w:hAnsi="宋体" w:cs="宋体"/>
                <w:color w:val="auto"/>
                <w:szCs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39F304CE">
            <w:pPr>
              <w:spacing w:line="360" w:lineRule="auto"/>
              <w:rPr>
                <w:rFonts w:ascii="宋体" w:hAnsi="宋体" w:cs="宋体"/>
                <w:color w:val="auto"/>
                <w:szCs w:val="22"/>
                <w:highlight w:val="none"/>
              </w:rPr>
            </w:pPr>
          </w:p>
        </w:tc>
      </w:tr>
      <w:tr w14:paraId="7D05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29C02835">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ign w:val="center"/>
          </w:tcPr>
          <w:p w14:paraId="3A33E35F">
            <w:pPr>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ign w:val="center"/>
          </w:tcPr>
          <w:p w14:paraId="636F0810">
            <w:pPr>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857F80">
            <w:pPr>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8FE5E70">
            <w:pPr>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30E67CAD">
            <w:pPr>
              <w:spacing w:line="360" w:lineRule="auto"/>
              <w:rPr>
                <w:rFonts w:ascii="宋体" w:hAnsi="宋体" w:cs="宋体"/>
                <w:color w:val="auto"/>
                <w:szCs w:val="22"/>
                <w:highlight w:val="none"/>
              </w:rPr>
            </w:pPr>
          </w:p>
        </w:tc>
        <w:tc>
          <w:tcPr>
            <w:tcW w:w="1138" w:type="dxa"/>
            <w:tcBorders>
              <w:top w:val="single" w:color="auto" w:sz="4" w:space="0"/>
              <w:left w:val="single" w:color="auto" w:sz="4" w:space="0"/>
              <w:bottom w:val="single" w:color="auto" w:sz="4" w:space="0"/>
              <w:right w:val="single" w:color="auto" w:sz="4" w:space="0"/>
            </w:tcBorders>
            <w:noWrap/>
          </w:tcPr>
          <w:p w14:paraId="6AF3552F">
            <w:pPr>
              <w:spacing w:line="360" w:lineRule="auto"/>
              <w:rPr>
                <w:rFonts w:ascii="宋体" w:hAnsi="宋体" w:cs="宋体"/>
                <w:color w:val="auto"/>
                <w:szCs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70F006FF">
            <w:pPr>
              <w:spacing w:line="360" w:lineRule="auto"/>
              <w:rPr>
                <w:rFonts w:ascii="宋体" w:hAnsi="宋体" w:cs="宋体"/>
                <w:color w:val="auto"/>
                <w:szCs w:val="22"/>
                <w:highlight w:val="none"/>
              </w:rPr>
            </w:pPr>
          </w:p>
        </w:tc>
      </w:tr>
      <w:tr w14:paraId="750A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608D8FCE">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ign w:val="center"/>
          </w:tcPr>
          <w:p w14:paraId="366B0711">
            <w:pPr>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ign w:val="center"/>
          </w:tcPr>
          <w:p w14:paraId="60B799FD">
            <w:pPr>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82B056A">
            <w:pPr>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F3049AB">
            <w:pPr>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03E16612">
            <w:pPr>
              <w:spacing w:line="360" w:lineRule="auto"/>
              <w:rPr>
                <w:rFonts w:ascii="宋体" w:hAnsi="宋体" w:cs="宋体"/>
                <w:color w:val="auto"/>
                <w:szCs w:val="22"/>
                <w:highlight w:val="none"/>
              </w:rPr>
            </w:pPr>
          </w:p>
        </w:tc>
        <w:tc>
          <w:tcPr>
            <w:tcW w:w="1138" w:type="dxa"/>
            <w:tcBorders>
              <w:top w:val="single" w:color="auto" w:sz="4" w:space="0"/>
              <w:left w:val="single" w:color="auto" w:sz="4" w:space="0"/>
              <w:bottom w:val="single" w:color="auto" w:sz="4" w:space="0"/>
              <w:right w:val="single" w:color="auto" w:sz="4" w:space="0"/>
            </w:tcBorders>
            <w:noWrap/>
          </w:tcPr>
          <w:p w14:paraId="5D0338EA">
            <w:pPr>
              <w:spacing w:line="360" w:lineRule="auto"/>
              <w:rPr>
                <w:rFonts w:ascii="宋体" w:hAnsi="宋体" w:cs="宋体"/>
                <w:color w:val="auto"/>
                <w:szCs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5AB30639">
            <w:pPr>
              <w:spacing w:line="360" w:lineRule="auto"/>
              <w:rPr>
                <w:rFonts w:ascii="宋体" w:hAnsi="宋体" w:cs="宋体"/>
                <w:color w:val="auto"/>
                <w:szCs w:val="22"/>
                <w:highlight w:val="none"/>
              </w:rPr>
            </w:pPr>
          </w:p>
        </w:tc>
      </w:tr>
      <w:tr w14:paraId="1DDA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5D52BD16">
            <w:pPr>
              <w:spacing w:line="360" w:lineRule="auto"/>
              <w:rPr>
                <w:rFonts w:ascii="宋体" w:hAnsi="宋体" w:cs="宋体"/>
                <w:color w:val="auto"/>
                <w:szCs w:val="22"/>
                <w:highlight w:val="none"/>
              </w:rPr>
            </w:pPr>
            <w:r>
              <w:rPr>
                <w:rFonts w:hint="eastAsia" w:ascii="宋体" w:hAnsi="宋体" w:cs="宋体"/>
                <w:color w:val="auto"/>
                <w:kern w:val="0"/>
                <w:sz w:val="20"/>
                <w:szCs w:val="21"/>
                <w:highlight w:val="none"/>
              </w:rPr>
              <w:t>竞标总报价</w:t>
            </w:r>
            <w:r>
              <w:rPr>
                <w:rFonts w:hint="eastAsia" w:ascii="宋体" w:hAnsi="宋体" w:cs="宋体"/>
                <w:color w:val="auto"/>
                <w:szCs w:val="22"/>
                <w:highlight w:val="none"/>
              </w:rPr>
              <w:t>（包含税费等所有费用）：</w:t>
            </w:r>
            <w:r>
              <w:rPr>
                <w:rFonts w:hint="eastAsia" w:ascii="宋体" w:hAnsi="宋体" w:cs="宋体"/>
                <w:color w:val="auto"/>
                <w:szCs w:val="22"/>
                <w:highlight w:val="none"/>
                <w:u w:val="single"/>
              </w:rPr>
              <w:t>（大写）人民币       （小写）¥</w:t>
            </w:r>
          </w:p>
        </w:tc>
      </w:tr>
      <w:tr w14:paraId="49A4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72940A0B">
            <w:pPr>
              <w:spacing w:line="360" w:lineRule="auto"/>
              <w:rPr>
                <w:rFonts w:ascii="宋体" w:hAnsi="宋体" w:cs="宋体"/>
                <w:color w:val="auto"/>
                <w:szCs w:val="22"/>
                <w:highlight w:val="none"/>
              </w:rPr>
            </w:pPr>
            <w:r>
              <w:rPr>
                <w:rFonts w:hint="eastAsia" w:ascii="宋体" w:hAnsi="宋体" w:cs="宋体"/>
                <w:color w:val="auto"/>
                <w:szCs w:val="22"/>
                <w:highlight w:val="none"/>
              </w:rPr>
              <w:t>优惠及其它：</w:t>
            </w:r>
            <w:r>
              <w:rPr>
                <w:rFonts w:hint="eastAsia" w:ascii="宋体" w:hAnsi="宋体" w:cs="宋体"/>
                <w:i/>
                <w:iCs/>
                <w:color w:val="auto"/>
                <w:highlight w:val="none"/>
              </w:rPr>
              <w:t>（如没有填写无）</w:t>
            </w:r>
          </w:p>
        </w:tc>
      </w:tr>
    </w:tbl>
    <w:p w14:paraId="2E93C2B6">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注：响应报价必须包含</w:t>
      </w:r>
    </w:p>
    <w:p w14:paraId="63C91300">
      <w:pPr>
        <w:snapToGrid w:val="0"/>
        <w:spacing w:line="360" w:lineRule="auto"/>
        <w:jc w:val="left"/>
        <w:rPr>
          <w:rFonts w:ascii="宋体" w:hAnsi="宋体" w:cs="宋体"/>
          <w:color w:val="auto"/>
          <w:highlight w:val="none"/>
        </w:rPr>
      </w:pPr>
      <w:r>
        <w:rPr>
          <w:rFonts w:hint="eastAsia" w:ascii="宋体" w:hAnsi="宋体" w:cs="宋体"/>
          <w:color w:val="auto"/>
          <w:highlight w:val="none"/>
        </w:rPr>
        <w:t>①服务的价格；</w:t>
      </w:r>
    </w:p>
    <w:p w14:paraId="20706DA6">
      <w:pPr>
        <w:snapToGrid w:val="0"/>
        <w:spacing w:line="360" w:lineRule="auto"/>
        <w:jc w:val="left"/>
        <w:rPr>
          <w:rFonts w:ascii="宋体" w:hAnsi="宋体" w:cs="宋体"/>
          <w:color w:val="auto"/>
          <w:highlight w:val="none"/>
        </w:rPr>
      </w:pPr>
      <w:r>
        <w:rPr>
          <w:rFonts w:hint="eastAsia" w:ascii="宋体" w:hAnsi="宋体" w:cs="宋体"/>
          <w:color w:val="auto"/>
          <w:highlight w:val="none"/>
        </w:rPr>
        <w:t>②必要的保险费用和各项税金；</w:t>
      </w:r>
    </w:p>
    <w:p w14:paraId="752310FA">
      <w:pPr>
        <w:snapToGrid w:val="0"/>
        <w:spacing w:line="360" w:lineRule="auto"/>
        <w:jc w:val="left"/>
        <w:rPr>
          <w:rFonts w:ascii="宋体" w:hAnsi="宋体" w:cs="宋体"/>
          <w:color w:val="auto"/>
          <w:highlight w:val="none"/>
        </w:rPr>
      </w:pPr>
      <w:r>
        <w:rPr>
          <w:rFonts w:hint="eastAsia" w:ascii="宋体" w:hAnsi="宋体" w:cs="宋体"/>
          <w:color w:val="auto"/>
          <w:highlight w:val="none"/>
        </w:rPr>
        <w:t>③服务期内的前端监控正常维护、人员培训费用、安装和监控线路的租用费、迁改点位服务费用，随配附件、备品备件、工具、货物运抵指定交货地点的各种费用和售后服务、税金及其它所有成本费用的总和。</w:t>
      </w:r>
    </w:p>
    <w:p w14:paraId="3D9B6958">
      <w:pPr>
        <w:pStyle w:val="17"/>
        <w:spacing w:line="360" w:lineRule="auto"/>
        <w:ind w:firstLine="420" w:firstLineChars="200"/>
        <w:rPr>
          <w:rFonts w:ascii="宋体" w:hAnsi="宋体" w:cs="宋体"/>
          <w:color w:val="auto"/>
          <w:sz w:val="21"/>
          <w:szCs w:val="21"/>
          <w:highlight w:val="none"/>
          <w:lang w:val="zh-CN"/>
        </w:rPr>
      </w:pPr>
    </w:p>
    <w:p w14:paraId="6AE02A20">
      <w:pPr>
        <w:pStyle w:val="17"/>
        <w:spacing w:line="360" w:lineRule="auto"/>
        <w:rPr>
          <w:rFonts w:ascii="宋体" w:hAnsi="宋体" w:cs="宋体"/>
          <w:color w:val="auto"/>
          <w:sz w:val="21"/>
          <w:szCs w:val="21"/>
          <w:highlight w:val="none"/>
          <w:lang w:val="zh-CN"/>
        </w:rPr>
      </w:pPr>
    </w:p>
    <w:p w14:paraId="1369F34F">
      <w:pPr>
        <w:pStyle w:val="11"/>
        <w:spacing w:line="360" w:lineRule="auto"/>
        <w:rPr>
          <w:rFonts w:ascii="宋体" w:hAnsi="宋体" w:cs="宋体"/>
          <w:color w:val="auto"/>
          <w:highlight w:val="none"/>
        </w:rPr>
      </w:pPr>
    </w:p>
    <w:p w14:paraId="57E8467C">
      <w:pPr>
        <w:autoSpaceDE w:val="0"/>
        <w:autoSpaceDN w:val="0"/>
        <w:spacing w:line="360" w:lineRule="auto"/>
        <w:ind w:firstLine="4560" w:firstLineChars="19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52D21316">
      <w:pPr>
        <w:spacing w:line="360" w:lineRule="auto"/>
        <w:ind w:firstLine="6360" w:firstLineChars="2650"/>
        <w:rPr>
          <w:rFonts w:ascii="宋体" w:hAnsi="宋体" w:cs="宋体"/>
          <w:color w:val="auto"/>
          <w:sz w:val="24"/>
          <w:highlight w:val="none"/>
          <w:lang w:val="zh-CN"/>
        </w:rPr>
        <w:sectPr>
          <w:pgSz w:w="11911" w:h="16838"/>
          <w:pgMar w:top="1134" w:right="1134" w:bottom="1134" w:left="1134" w:header="720" w:footer="720" w:gutter="0"/>
          <w:cols w:space="720" w:num="1"/>
        </w:sectPr>
      </w:pPr>
      <w:r>
        <w:rPr>
          <w:rFonts w:hint="eastAsia" w:ascii="宋体" w:hAnsi="宋体" w:cs="宋体"/>
          <w:color w:val="auto"/>
          <w:kern w:val="0"/>
          <w:sz w:val="24"/>
          <w:szCs w:val="21"/>
          <w:highlight w:val="none"/>
          <w:lang w:val="zh-CN"/>
        </w:rPr>
        <w:t>日期：  年  月   日</w:t>
      </w:r>
    </w:p>
    <w:p w14:paraId="5A373D39">
      <w:pPr>
        <w:pStyle w:val="3"/>
        <w:spacing w:line="360" w:lineRule="auto"/>
        <w:jc w:val="center"/>
        <w:rPr>
          <w:rFonts w:ascii="宋体" w:hAnsi="宋体" w:cs="宋体"/>
          <w:b w:val="0"/>
          <w:color w:val="auto"/>
          <w:highlight w:val="none"/>
        </w:rPr>
      </w:pPr>
      <w:bookmarkStart w:id="205" w:name="_Toc80205942"/>
      <w:bookmarkStart w:id="206" w:name="_Toc10611"/>
      <w:bookmarkStart w:id="207" w:name="_Toc13936"/>
      <w:bookmarkStart w:id="208" w:name="_Toc80886946"/>
      <w:bookmarkStart w:id="209" w:name="_Toc18482"/>
      <w:r>
        <w:rPr>
          <w:rFonts w:hint="eastAsia" w:ascii="宋体" w:hAnsi="宋体" w:cs="宋体"/>
          <w:color w:val="auto"/>
          <w:highlight w:val="none"/>
        </w:rPr>
        <w:t>第四节 其他文书、文件格式</w:t>
      </w:r>
      <w:bookmarkEnd w:id="205"/>
      <w:bookmarkEnd w:id="206"/>
      <w:bookmarkEnd w:id="207"/>
      <w:bookmarkEnd w:id="208"/>
      <w:bookmarkEnd w:id="209"/>
    </w:p>
    <w:p w14:paraId="68A52EF3">
      <w:pPr>
        <w:widowControl/>
        <w:shd w:val="clear" w:color="auto" w:fill="FFFFFF"/>
        <w:spacing w:line="360" w:lineRule="auto"/>
        <w:outlineLvl w:val="2"/>
        <w:rPr>
          <w:rFonts w:ascii="宋体" w:hAnsi="宋体" w:cs="宋体"/>
          <w:color w:val="auto"/>
          <w:kern w:val="0"/>
          <w:sz w:val="28"/>
          <w:szCs w:val="28"/>
          <w:highlight w:val="none"/>
        </w:rPr>
      </w:pPr>
      <w:bookmarkStart w:id="210" w:name="_Toc23859"/>
      <w:r>
        <w:rPr>
          <w:rFonts w:hint="eastAsia" w:ascii="宋体" w:hAnsi="宋体" w:cs="宋体"/>
          <w:color w:val="auto"/>
          <w:sz w:val="28"/>
          <w:szCs w:val="28"/>
          <w:highlight w:val="none"/>
        </w:rPr>
        <w:t>1.</w:t>
      </w:r>
      <w:r>
        <w:rPr>
          <w:rFonts w:hint="eastAsia" w:ascii="宋体" w:hAnsi="宋体" w:cs="宋体"/>
          <w:color w:val="auto"/>
          <w:kern w:val="0"/>
          <w:sz w:val="28"/>
          <w:szCs w:val="28"/>
          <w:highlight w:val="none"/>
        </w:rPr>
        <w:t>广西壮族自治区政府采购项目合同验收书的格式：</w:t>
      </w:r>
      <w:bookmarkEnd w:id="210"/>
    </w:p>
    <w:p w14:paraId="126CD3DF">
      <w:pPr>
        <w:ind w:firstLine="480" w:firstLineChars="200"/>
        <w:contextualSpacing/>
        <w:rPr>
          <w:rFonts w:ascii="宋体" w:hAnsi="宋体" w:cs="宋体"/>
          <w:color w:val="auto"/>
          <w:sz w:val="24"/>
          <w:highlight w:val="none"/>
        </w:rPr>
      </w:pPr>
    </w:p>
    <w:p w14:paraId="66AC113E">
      <w:pPr>
        <w:widowControl/>
        <w:shd w:val="clear" w:color="auto" w:fill="FFFFFF"/>
        <w:jc w:val="center"/>
        <w:outlineLvl w:val="0"/>
        <w:rPr>
          <w:rFonts w:ascii="宋体" w:hAnsi="宋体" w:cs="宋体"/>
          <w:color w:val="auto"/>
          <w:kern w:val="0"/>
          <w:sz w:val="32"/>
          <w:szCs w:val="32"/>
          <w:highlight w:val="none"/>
        </w:rPr>
      </w:pPr>
      <w:bookmarkStart w:id="211" w:name="_Toc21308"/>
      <w:r>
        <w:rPr>
          <w:rFonts w:hint="eastAsia" w:ascii="宋体" w:hAnsi="宋体" w:cs="宋体"/>
          <w:b/>
          <w:bCs/>
          <w:color w:val="auto"/>
          <w:kern w:val="0"/>
          <w:sz w:val="32"/>
          <w:szCs w:val="32"/>
          <w:highlight w:val="none"/>
        </w:rPr>
        <w:t>广西壮族自治区政府采购项目合同验收书</w:t>
      </w:r>
      <w:bookmarkEnd w:id="211"/>
    </w:p>
    <w:p w14:paraId="28BE6DE0">
      <w:pPr>
        <w:widowControl/>
        <w:shd w:val="clear" w:color="auto" w:fill="FFFFFF"/>
        <w:jc w:val="center"/>
        <w:rPr>
          <w:rFonts w:ascii="宋体" w:hAnsi="宋体" w:cs="宋体"/>
          <w:color w:val="auto"/>
          <w:kern w:val="0"/>
          <w:sz w:val="32"/>
          <w:szCs w:val="32"/>
          <w:highlight w:val="none"/>
        </w:rPr>
      </w:pPr>
    </w:p>
    <w:p w14:paraId="23D0EF1B">
      <w:pPr>
        <w:widowControl/>
        <w:shd w:val="clear" w:color="auto" w:fill="FFFFFF"/>
        <w:snapToGrid w:val="0"/>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3"/>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0B67ECE">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ign w:val="center"/>
          </w:tcPr>
          <w:p w14:paraId="70C32B4D">
            <w:pPr>
              <w:widowControl/>
              <w:snapToGrid w:val="0"/>
              <w:spacing w:before="100" w:beforeAutospacing="1" w:after="100" w:afterAutospacing="1"/>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ign w:val="center"/>
          </w:tcPr>
          <w:p w14:paraId="51EEE67C">
            <w:pPr>
              <w:widowControl/>
              <w:snapToGrid w:val="0"/>
              <w:spacing w:before="100" w:beforeAutospacing="1" w:after="100" w:afterAutospacing="1"/>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196AE746">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ign w:val="center"/>
          </w:tcPr>
          <w:p w14:paraId="4F5711CA">
            <w:pPr>
              <w:widowControl/>
              <w:snapToGrid w:val="0"/>
              <w:spacing w:before="100" w:beforeAutospacing="1" w:after="100" w:afterAutospacing="1"/>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ign w:val="center"/>
          </w:tcPr>
          <w:p w14:paraId="06F7E442">
            <w:pPr>
              <w:widowControl/>
              <w:snapToGrid w:val="0"/>
              <w:spacing w:before="100" w:beforeAutospacing="1" w:after="100" w:afterAutospacing="1"/>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ign w:val="center"/>
          </w:tcPr>
          <w:p w14:paraId="1B143BED">
            <w:pPr>
              <w:widowControl/>
              <w:snapToGrid w:val="0"/>
              <w:spacing w:before="100" w:beforeAutospacing="1" w:after="100" w:afterAutospacing="1"/>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611B1BC0">
            <w:pPr>
              <w:widowControl/>
              <w:snapToGrid w:val="0"/>
              <w:spacing w:before="100" w:beforeAutospacing="1" w:after="100" w:afterAutospacing="1"/>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noWrap/>
            <w:vAlign w:val="center"/>
          </w:tcPr>
          <w:p w14:paraId="585F0745">
            <w:pPr>
              <w:widowControl/>
              <w:snapToGrid w:val="0"/>
              <w:spacing w:before="100" w:beforeAutospacing="1" w:after="100" w:afterAutospacing="1"/>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1C8CF9C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19E7EDD4">
            <w:pPr>
              <w:widowControl/>
              <w:spacing w:before="100" w:beforeAutospacing="1" w:after="100" w:afterAutospacing="1"/>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ign w:val="center"/>
          </w:tcPr>
          <w:p w14:paraId="58E32AF3">
            <w:pPr>
              <w:widowControl/>
              <w:spacing w:before="100" w:beforeAutospacing="1" w:after="100" w:afterAutospacing="1"/>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6D1969E6">
            <w:pPr>
              <w:widowControl/>
              <w:spacing w:before="100" w:beforeAutospacing="1" w:after="100" w:afterAutospacing="1"/>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4F0C5121">
            <w:pPr>
              <w:widowControl/>
              <w:spacing w:before="100" w:beforeAutospacing="1" w:after="100" w:afterAutospacing="1"/>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noWrap/>
            <w:vAlign w:val="center"/>
          </w:tcPr>
          <w:p w14:paraId="44D6C4BE">
            <w:pPr>
              <w:widowControl/>
              <w:spacing w:before="100" w:beforeAutospacing="1" w:after="100" w:afterAutospacing="1"/>
              <w:jc w:val="center"/>
              <w:rPr>
                <w:rFonts w:ascii="宋体" w:hAnsi="宋体" w:cs="宋体"/>
                <w:color w:val="auto"/>
                <w:kern w:val="0"/>
                <w:szCs w:val="21"/>
                <w:highlight w:val="none"/>
              </w:rPr>
            </w:pPr>
          </w:p>
        </w:tc>
      </w:tr>
      <w:tr w14:paraId="6E355FD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7DB73FD7">
            <w:pPr>
              <w:widowControl/>
              <w:spacing w:before="100" w:beforeAutospacing="1" w:after="100" w:afterAutospacing="1"/>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ign w:val="center"/>
          </w:tcPr>
          <w:p w14:paraId="4D93FCF2">
            <w:pPr>
              <w:widowControl/>
              <w:spacing w:before="100" w:beforeAutospacing="1" w:after="100" w:afterAutospacing="1"/>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2BDD58B8">
            <w:pPr>
              <w:widowControl/>
              <w:spacing w:before="100" w:beforeAutospacing="1" w:after="100" w:afterAutospacing="1"/>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1A4599C5">
            <w:pPr>
              <w:widowControl/>
              <w:spacing w:before="100" w:beforeAutospacing="1" w:after="100" w:afterAutospacing="1"/>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noWrap/>
            <w:vAlign w:val="center"/>
          </w:tcPr>
          <w:p w14:paraId="6944FDEE">
            <w:pPr>
              <w:widowControl/>
              <w:spacing w:before="100" w:beforeAutospacing="1" w:after="100" w:afterAutospacing="1"/>
              <w:jc w:val="center"/>
              <w:rPr>
                <w:rFonts w:ascii="宋体" w:hAnsi="宋体" w:cs="宋体"/>
                <w:color w:val="auto"/>
                <w:kern w:val="0"/>
                <w:szCs w:val="21"/>
                <w:highlight w:val="none"/>
              </w:rPr>
            </w:pPr>
          </w:p>
        </w:tc>
      </w:tr>
      <w:tr w14:paraId="6E73311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2C01EBE6">
            <w:pPr>
              <w:widowControl/>
              <w:spacing w:before="100" w:beforeAutospacing="1" w:after="100" w:afterAutospacing="1"/>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ign w:val="center"/>
          </w:tcPr>
          <w:p w14:paraId="2EB5F7DF">
            <w:pPr>
              <w:widowControl/>
              <w:spacing w:before="100" w:beforeAutospacing="1" w:after="100" w:afterAutospacing="1"/>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431FB9B4">
            <w:pPr>
              <w:widowControl/>
              <w:spacing w:before="100" w:beforeAutospacing="1" w:after="100" w:afterAutospacing="1"/>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1CE0AB5F">
            <w:pPr>
              <w:widowControl/>
              <w:spacing w:before="100" w:beforeAutospacing="1" w:after="100" w:afterAutospacing="1"/>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noWrap/>
            <w:vAlign w:val="center"/>
          </w:tcPr>
          <w:p w14:paraId="1AAC7A52">
            <w:pPr>
              <w:widowControl/>
              <w:spacing w:before="100" w:beforeAutospacing="1" w:after="100" w:afterAutospacing="1"/>
              <w:jc w:val="center"/>
              <w:rPr>
                <w:rFonts w:ascii="宋体" w:hAnsi="宋体" w:cs="宋体"/>
                <w:color w:val="auto"/>
                <w:kern w:val="0"/>
                <w:szCs w:val="21"/>
                <w:highlight w:val="none"/>
              </w:rPr>
            </w:pPr>
          </w:p>
        </w:tc>
      </w:tr>
      <w:tr w14:paraId="5C5499AB">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ign w:val="center"/>
          </w:tcPr>
          <w:p w14:paraId="09EBDE60">
            <w:pPr>
              <w:widowControl/>
              <w:snapToGrid w:val="0"/>
              <w:spacing w:before="100" w:beforeAutospacing="1" w:after="100" w:afterAutospacing="1"/>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ign w:val="center"/>
          </w:tcPr>
          <w:p w14:paraId="286C92F9">
            <w:pPr>
              <w:widowControl/>
              <w:spacing w:before="100" w:beforeAutospacing="1" w:after="100" w:afterAutospacing="1"/>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noWrap/>
            <w:vAlign w:val="center"/>
          </w:tcPr>
          <w:p w14:paraId="50A3F46F">
            <w:pPr>
              <w:widowControl/>
              <w:spacing w:before="100" w:beforeAutospacing="1" w:after="100" w:afterAutospacing="1"/>
              <w:jc w:val="center"/>
              <w:rPr>
                <w:rFonts w:ascii="宋体" w:hAnsi="宋体" w:cs="宋体"/>
                <w:color w:val="auto"/>
                <w:kern w:val="0"/>
                <w:szCs w:val="21"/>
                <w:highlight w:val="none"/>
              </w:rPr>
            </w:pPr>
          </w:p>
        </w:tc>
      </w:tr>
      <w:tr w14:paraId="0F931084">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ign w:val="center"/>
          </w:tcPr>
          <w:p w14:paraId="5C650CB8">
            <w:pPr>
              <w:widowControl/>
              <w:snapToGrid w:val="0"/>
              <w:spacing w:before="100" w:beforeAutospacing="1" w:after="100" w:afterAutospacing="1"/>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052C5B8F">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ign w:val="center"/>
          </w:tcPr>
          <w:p w14:paraId="6A4AA55B">
            <w:pPr>
              <w:widowControl/>
              <w:snapToGrid w:val="0"/>
              <w:spacing w:before="100" w:beforeAutospacing="1" w:after="100" w:afterAutospacing="1"/>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ign w:val="center"/>
          </w:tcPr>
          <w:p w14:paraId="0E3A7523">
            <w:pPr>
              <w:widowControl/>
              <w:spacing w:before="100" w:beforeAutospacing="1" w:after="100" w:afterAutospacing="1"/>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736D9581">
            <w:pPr>
              <w:widowControl/>
              <w:snapToGrid w:val="0"/>
              <w:spacing w:before="100" w:beforeAutospacing="1" w:after="100" w:afterAutospacing="1"/>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ign w:val="center"/>
          </w:tcPr>
          <w:p w14:paraId="58CA6648">
            <w:pPr>
              <w:widowControl/>
              <w:spacing w:before="100" w:beforeAutospacing="1" w:after="100" w:afterAutospacing="1"/>
              <w:jc w:val="center"/>
              <w:rPr>
                <w:rFonts w:ascii="宋体" w:hAnsi="宋体" w:cs="宋体"/>
                <w:color w:val="auto"/>
                <w:kern w:val="0"/>
                <w:szCs w:val="21"/>
                <w:highlight w:val="none"/>
              </w:rPr>
            </w:pPr>
          </w:p>
        </w:tc>
      </w:tr>
      <w:tr w14:paraId="08C060A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31D3CEB">
            <w:pPr>
              <w:widowControl/>
              <w:snapToGrid w:val="0"/>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5569B586">
            <w:pPr>
              <w:widowControl/>
              <w:snapToGrid w:val="0"/>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086E40F3">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8D54BF1">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ign w:val="center"/>
          </w:tcPr>
          <w:p w14:paraId="731C98AD">
            <w:pPr>
              <w:widowControl/>
              <w:spacing w:before="100" w:beforeAutospacing="1" w:after="100" w:afterAutospacing="1"/>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5C857EE7">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ign w:val="center"/>
          </w:tcPr>
          <w:p w14:paraId="2558ABE0">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ign w:val="center"/>
          </w:tcPr>
          <w:p w14:paraId="12811C4F">
            <w:pPr>
              <w:widowControl/>
              <w:spacing w:before="100" w:beforeAutospacing="1" w:after="100" w:afterAutospacing="1"/>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636A02A6">
            <w:pPr>
              <w:widowControl/>
              <w:spacing w:before="100" w:beforeAutospacing="1" w:after="100" w:afterAutospacing="1"/>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46680BF0">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B53B4E8">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4DF68732">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9BADCB6">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6B3177B7">
            <w:pPr>
              <w:widowControl/>
              <w:spacing w:before="100" w:beforeAutospacing="1" w:after="100" w:afterAutospacing="1"/>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0F86A57C">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tcMar>
              <w:top w:w="0" w:type="dxa"/>
              <w:left w:w="108" w:type="dxa"/>
              <w:bottom w:w="0" w:type="dxa"/>
              <w:right w:w="108" w:type="dxa"/>
            </w:tcMar>
            <w:vAlign w:val="center"/>
          </w:tcPr>
          <w:p w14:paraId="4BBF2649">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14:paraId="2712C315">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联系电话：                </w:t>
            </w:r>
          </w:p>
          <w:p w14:paraId="56DFECD0">
            <w:pPr>
              <w:widowControl/>
              <w:spacing w:before="100" w:beforeAutospacing="1" w:after="100" w:afterAutospacing="1"/>
              <w:ind w:firstLine="2730" w:firstLineChars="1300"/>
              <w:jc w:val="left"/>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c>
          <w:tcPr>
            <w:tcW w:w="4293" w:type="dxa"/>
            <w:gridSpan w:val="4"/>
            <w:tcBorders>
              <w:top w:val="nil"/>
              <w:left w:val="single" w:color="auto" w:sz="4" w:space="0"/>
              <w:bottom w:val="single" w:color="auto" w:sz="8" w:space="0"/>
              <w:right w:val="single" w:color="auto" w:sz="8" w:space="0"/>
            </w:tcBorders>
            <w:noWrap/>
            <w:vAlign w:val="center"/>
          </w:tcPr>
          <w:p w14:paraId="59168F35">
            <w:pPr>
              <w:widowControl/>
              <w:spacing w:before="100" w:beforeAutospacing="1" w:after="100" w:afterAutospacing="1"/>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0C3A1355">
            <w:pPr>
              <w:widowControl/>
              <w:spacing w:before="100" w:beforeAutospacing="1" w:after="100" w:afterAutospacing="1"/>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联系电话：               </w:t>
            </w:r>
          </w:p>
          <w:p w14:paraId="157F0F5C">
            <w:pPr>
              <w:widowControl/>
              <w:spacing w:before="100" w:beforeAutospacing="1" w:after="100" w:afterAutospacing="1"/>
              <w:ind w:firstLine="2310" w:firstLineChars="11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7D1F38E6">
      <w:pPr>
        <w:pStyle w:val="11"/>
        <w:spacing w:line="360" w:lineRule="auto"/>
        <w:ind w:left="1" w:firstLine="2" w:firstLineChars="1"/>
        <w:rPr>
          <w:rFonts w:ascii="宋体" w:hAnsi="宋体" w:cs="宋体"/>
          <w:color w:val="auto"/>
          <w:sz w:val="24"/>
          <w:highlight w:val="none"/>
        </w:rPr>
      </w:pPr>
      <w:r>
        <w:rPr>
          <w:rFonts w:hint="eastAsia" w:ascii="宋体" w:hAnsi="宋体" w:cs="宋体"/>
          <w:color w:val="auto"/>
          <w:highlight w:val="none"/>
        </w:rPr>
        <w:br w:type="page"/>
      </w:r>
    </w:p>
    <w:p w14:paraId="31D81E01">
      <w:pPr>
        <w:spacing w:line="360" w:lineRule="auto"/>
        <w:jc w:val="center"/>
        <w:rPr>
          <w:rFonts w:ascii="宋体" w:hAnsi="宋体" w:cs="宋体"/>
          <w:color w:val="auto"/>
          <w:sz w:val="24"/>
          <w:highlight w:val="none"/>
        </w:rPr>
      </w:pPr>
    </w:p>
    <w:p w14:paraId="12C35F32">
      <w:pPr>
        <w:spacing w:line="360" w:lineRule="auto"/>
        <w:jc w:val="center"/>
        <w:rPr>
          <w:rFonts w:ascii="宋体" w:hAnsi="宋体" w:cs="宋体"/>
          <w:color w:val="auto"/>
          <w:sz w:val="24"/>
          <w:highlight w:val="none"/>
        </w:rPr>
      </w:pPr>
    </w:p>
    <w:p w14:paraId="18B4C0A7">
      <w:pPr>
        <w:spacing w:line="360" w:lineRule="auto"/>
        <w:jc w:val="center"/>
        <w:rPr>
          <w:rFonts w:ascii="宋体" w:hAnsi="宋体" w:cs="宋体"/>
          <w:color w:val="auto"/>
          <w:sz w:val="24"/>
          <w:highlight w:val="none"/>
        </w:rPr>
      </w:pPr>
    </w:p>
    <w:p w14:paraId="21B0D69D">
      <w:pPr>
        <w:spacing w:line="360" w:lineRule="auto"/>
        <w:jc w:val="center"/>
        <w:rPr>
          <w:rFonts w:ascii="宋体" w:hAnsi="宋体" w:cs="宋体"/>
          <w:color w:val="auto"/>
          <w:sz w:val="24"/>
          <w:highlight w:val="none"/>
        </w:rPr>
      </w:pPr>
    </w:p>
    <w:p w14:paraId="4DF19E48">
      <w:pPr>
        <w:spacing w:line="360" w:lineRule="auto"/>
        <w:jc w:val="center"/>
        <w:rPr>
          <w:rFonts w:ascii="宋体" w:hAnsi="宋体" w:cs="宋体"/>
          <w:color w:val="auto"/>
          <w:sz w:val="24"/>
          <w:highlight w:val="none"/>
        </w:rPr>
      </w:pPr>
    </w:p>
    <w:p w14:paraId="04D74A5B">
      <w:pPr>
        <w:spacing w:line="360" w:lineRule="auto"/>
        <w:jc w:val="center"/>
        <w:rPr>
          <w:rFonts w:ascii="宋体" w:hAnsi="宋体" w:cs="宋体"/>
          <w:color w:val="auto"/>
          <w:sz w:val="24"/>
          <w:highlight w:val="none"/>
        </w:rPr>
      </w:pPr>
    </w:p>
    <w:p w14:paraId="08D0D92E">
      <w:pPr>
        <w:spacing w:line="360" w:lineRule="auto"/>
        <w:jc w:val="center"/>
        <w:rPr>
          <w:rFonts w:ascii="宋体" w:hAnsi="宋体" w:cs="宋体"/>
          <w:color w:val="auto"/>
          <w:sz w:val="24"/>
          <w:highlight w:val="none"/>
        </w:rPr>
      </w:pPr>
    </w:p>
    <w:p w14:paraId="5D6FB806">
      <w:pPr>
        <w:pStyle w:val="2"/>
        <w:spacing w:line="360" w:lineRule="auto"/>
        <w:jc w:val="center"/>
        <w:rPr>
          <w:rFonts w:ascii="宋体" w:hAnsi="宋体" w:cs="宋体"/>
          <w:b w:val="0"/>
          <w:bCs w:val="0"/>
          <w:color w:val="auto"/>
          <w:highlight w:val="none"/>
        </w:rPr>
      </w:pPr>
      <w:bookmarkStart w:id="212" w:name="_Toc20818"/>
      <w:bookmarkStart w:id="213" w:name="_Toc9343"/>
      <w:bookmarkStart w:id="214" w:name="_Toc15154"/>
      <w:bookmarkStart w:id="215" w:name="_Toc80886947"/>
      <w:bookmarkStart w:id="216" w:name="_Toc24786"/>
      <w:bookmarkStart w:id="217" w:name="_Toc15161"/>
      <w:bookmarkStart w:id="218" w:name="_Toc18676"/>
      <w:bookmarkStart w:id="219" w:name="_Toc4005"/>
      <w:bookmarkStart w:id="220" w:name="_Toc12748"/>
      <w:r>
        <w:rPr>
          <w:rFonts w:hint="eastAsia" w:ascii="宋体" w:hAnsi="宋体" w:cs="宋体"/>
          <w:b w:val="0"/>
          <w:bCs w:val="0"/>
          <w:color w:val="auto"/>
          <w:highlight w:val="none"/>
        </w:rPr>
        <w:t>第六章  合同文本</w:t>
      </w:r>
      <w:bookmarkEnd w:id="212"/>
      <w:bookmarkEnd w:id="213"/>
      <w:bookmarkEnd w:id="214"/>
      <w:bookmarkEnd w:id="215"/>
      <w:bookmarkEnd w:id="216"/>
      <w:bookmarkEnd w:id="217"/>
      <w:bookmarkEnd w:id="218"/>
      <w:bookmarkEnd w:id="219"/>
    </w:p>
    <w:p w14:paraId="106852A9">
      <w:pPr>
        <w:snapToGrid w:val="0"/>
        <w:spacing w:line="360" w:lineRule="auto"/>
        <w:rPr>
          <w:rFonts w:ascii="宋体" w:hAnsi="宋体" w:cs="宋体"/>
          <w:b/>
          <w:color w:val="auto"/>
          <w:sz w:val="32"/>
          <w:szCs w:val="32"/>
          <w:highlight w:val="none"/>
        </w:rPr>
      </w:pPr>
      <w:r>
        <w:rPr>
          <w:rFonts w:hint="eastAsia" w:ascii="宋体" w:hAnsi="宋体" w:cs="宋体"/>
          <w:b/>
          <w:bCs/>
          <w:color w:val="auto"/>
          <w:highlight w:val="none"/>
        </w:rPr>
        <w:br w:type="page"/>
      </w:r>
      <w:bookmarkEnd w:id="220"/>
    </w:p>
    <w:p w14:paraId="76584314">
      <w:pPr>
        <w:snapToGrid w:val="0"/>
        <w:spacing w:line="360" w:lineRule="auto"/>
        <w:jc w:val="center"/>
        <w:rPr>
          <w:rFonts w:ascii="宋体" w:hAnsi="宋体" w:cs="宋体"/>
          <w:b/>
          <w:bCs/>
          <w:color w:val="auto"/>
          <w:sz w:val="32"/>
          <w:szCs w:val="32"/>
          <w:highlight w:val="none"/>
        </w:rPr>
      </w:pPr>
    </w:p>
    <w:p w14:paraId="1B137C1B">
      <w:pPr>
        <w:snapToGrid w:val="0"/>
        <w:spacing w:line="360" w:lineRule="auto"/>
        <w:jc w:val="center"/>
        <w:outlineLvl w:val="1"/>
        <w:rPr>
          <w:rFonts w:ascii="宋体" w:hAnsi="宋体" w:cs="宋体"/>
          <w:color w:val="auto"/>
          <w:highlight w:val="none"/>
        </w:rPr>
      </w:pPr>
      <w:bookmarkStart w:id="221" w:name="_Toc28336"/>
      <w:r>
        <w:rPr>
          <w:rFonts w:hint="eastAsia" w:ascii="宋体" w:hAnsi="宋体" w:cs="宋体"/>
          <w:b/>
          <w:bCs/>
          <w:color w:val="auto"/>
          <w:sz w:val="32"/>
          <w:szCs w:val="32"/>
          <w:highlight w:val="none"/>
        </w:rPr>
        <w:t>《广西壮族自治区政府采购合同》</w:t>
      </w:r>
      <w:r>
        <w:rPr>
          <w:rFonts w:hint="eastAsia" w:ascii="宋体" w:hAnsi="宋体" w:cs="宋体"/>
          <w:b/>
          <w:color w:val="auto"/>
          <w:sz w:val="32"/>
          <w:szCs w:val="32"/>
          <w:highlight w:val="none"/>
        </w:rPr>
        <w:t>文本</w:t>
      </w:r>
      <w:bookmarkEnd w:id="221"/>
    </w:p>
    <w:p w14:paraId="22496C4F">
      <w:pPr>
        <w:spacing w:line="360" w:lineRule="auto"/>
        <w:rPr>
          <w:rFonts w:ascii="宋体" w:hAnsi="宋体" w:cs="宋体"/>
          <w:b/>
          <w:color w:val="auto"/>
          <w:sz w:val="32"/>
          <w:szCs w:val="32"/>
          <w:highlight w:val="none"/>
        </w:rPr>
      </w:pPr>
    </w:p>
    <w:p w14:paraId="65DD2646">
      <w:pPr>
        <w:spacing w:line="360" w:lineRule="auto"/>
        <w:ind w:right="800" w:firstLine="6090" w:firstLineChars="2900"/>
        <w:rPr>
          <w:rFonts w:ascii="宋体" w:hAnsi="宋体" w:cs="宋体"/>
          <w:color w:val="auto"/>
          <w:szCs w:val="21"/>
          <w:highlight w:val="none"/>
          <w:u w:val="single"/>
        </w:rPr>
      </w:pPr>
      <w:r>
        <w:rPr>
          <w:rFonts w:hint="eastAsia" w:ascii="宋体" w:hAnsi="宋体" w:cs="宋体"/>
          <w:bCs/>
          <w:color w:val="auto"/>
          <w:szCs w:val="21"/>
          <w:highlight w:val="none"/>
        </w:rPr>
        <w:t>合同编号：</w:t>
      </w:r>
    </w:p>
    <w:p w14:paraId="0367F16A">
      <w:pPr>
        <w:spacing w:line="360" w:lineRule="auto"/>
        <w:ind w:right="800" w:firstLine="6090" w:firstLineChars="2900"/>
        <w:rPr>
          <w:rFonts w:ascii="宋体" w:hAnsi="宋体" w:cs="宋体"/>
          <w:color w:val="auto"/>
          <w:szCs w:val="21"/>
          <w:highlight w:val="none"/>
        </w:rPr>
      </w:pPr>
      <w:r>
        <w:rPr>
          <w:rFonts w:hint="eastAsia" w:ascii="宋体" w:hAnsi="宋体" w:cs="宋体"/>
          <w:color w:val="auto"/>
          <w:szCs w:val="21"/>
          <w:highlight w:val="none"/>
        </w:rPr>
        <w:t>采购计划号：</w:t>
      </w:r>
    </w:p>
    <w:p w14:paraId="20FA906A">
      <w:pPr>
        <w:spacing w:line="360" w:lineRule="auto"/>
        <w:rPr>
          <w:rFonts w:ascii="宋体" w:hAnsi="宋体" w:cs="宋体"/>
          <w:color w:val="auto"/>
          <w:szCs w:val="21"/>
          <w:highlight w:val="none"/>
        </w:rPr>
      </w:pPr>
      <w:r>
        <w:rPr>
          <w:rFonts w:hint="eastAsia" w:ascii="宋体" w:hAnsi="宋体" w:cs="宋体"/>
          <w:color w:val="auto"/>
          <w:szCs w:val="21"/>
          <w:highlight w:val="none"/>
        </w:rPr>
        <w:t>采购人（甲方）：</w:t>
      </w:r>
    </w:p>
    <w:p w14:paraId="0181A3C4">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成交供应商（乙方）：</w:t>
      </w:r>
    </w:p>
    <w:p w14:paraId="02F5D1EE">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p w14:paraId="43B72C07">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项目编号：</w:t>
      </w:r>
    </w:p>
    <w:p w14:paraId="74F2EBD4">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签订地点：签订时间：</w:t>
      </w:r>
    </w:p>
    <w:p w14:paraId="2531B5A0">
      <w:pPr>
        <w:spacing w:line="360" w:lineRule="auto"/>
        <w:rPr>
          <w:rFonts w:ascii="宋体" w:hAnsi="宋体" w:cs="宋体"/>
          <w:color w:val="auto"/>
          <w:szCs w:val="21"/>
          <w:highlight w:val="none"/>
          <w:u w:val="single"/>
        </w:rPr>
      </w:pPr>
    </w:p>
    <w:p w14:paraId="2009ECA9">
      <w:pPr>
        <w:spacing w:line="360" w:lineRule="auto"/>
        <w:ind w:firstLine="420" w:firstLineChars="200"/>
        <w:rPr>
          <w:rFonts w:ascii="宋体" w:hAnsi="宋体" w:cs="宋体"/>
          <w:color w:val="auto"/>
          <w:szCs w:val="21"/>
          <w:highlight w:val="none"/>
        </w:rPr>
      </w:pPr>
    </w:p>
    <w:p w14:paraId="583935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根据《中华人民共和国政府采购法》、《中华人民共和国民法典》等法律、法规规定，按照竞争性磋商文件规定条款和乙方响应文件及其承诺，甲乙双方签订本合同。</w:t>
      </w:r>
    </w:p>
    <w:p w14:paraId="0A43D7B1">
      <w:pPr>
        <w:spacing w:line="360" w:lineRule="auto"/>
        <w:ind w:firstLine="422" w:firstLineChars="200"/>
        <w:outlineLvl w:val="1"/>
        <w:rPr>
          <w:rFonts w:ascii="宋体" w:hAnsi="宋体" w:cs="宋体"/>
          <w:b/>
          <w:color w:val="auto"/>
          <w:szCs w:val="21"/>
          <w:highlight w:val="none"/>
        </w:rPr>
      </w:pPr>
      <w:bookmarkStart w:id="222" w:name="_Toc26409"/>
      <w:r>
        <w:rPr>
          <w:rFonts w:hint="eastAsia" w:ascii="宋体" w:hAnsi="宋体" w:cs="宋体"/>
          <w:b/>
          <w:color w:val="auto"/>
          <w:szCs w:val="21"/>
          <w:highlight w:val="none"/>
        </w:rPr>
        <w:t>第一条　合同标的</w:t>
      </w:r>
      <w:bookmarkEnd w:id="222"/>
    </w:p>
    <w:p w14:paraId="088EB3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1、合同总金额：</w:t>
      </w:r>
      <w:r>
        <w:rPr>
          <w:rFonts w:hint="eastAsia" w:ascii="宋体" w:hAnsi="宋体" w:cs="宋体"/>
          <w:color w:val="auto"/>
          <w:szCs w:val="21"/>
          <w:highlight w:val="none"/>
          <w:u w:val="single"/>
        </w:rPr>
        <w:t>；</w:t>
      </w:r>
    </w:p>
    <w:p w14:paraId="0BF6118A">
      <w:pPr>
        <w:spacing w:line="360" w:lineRule="auto"/>
        <w:ind w:firstLine="420" w:firstLineChars="200"/>
        <w:outlineLvl w:val="2"/>
        <w:rPr>
          <w:rFonts w:ascii="宋体" w:hAnsi="宋体" w:cs="宋体"/>
          <w:color w:val="auto"/>
          <w:szCs w:val="21"/>
          <w:highlight w:val="none"/>
        </w:rPr>
      </w:pPr>
      <w:bookmarkStart w:id="223" w:name="_Toc1461"/>
      <w:r>
        <w:rPr>
          <w:rFonts w:hint="eastAsia" w:ascii="宋体" w:hAnsi="宋体" w:cs="宋体"/>
          <w:color w:val="auto"/>
          <w:szCs w:val="21"/>
          <w:highlight w:val="none"/>
        </w:rPr>
        <w:t>2、服务内容一览表（详见附件中的响应报价表）</w:t>
      </w:r>
      <w:bookmarkEnd w:id="223"/>
    </w:p>
    <w:p w14:paraId="29E6B4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合同总金额包含：①服务的价格；②必要的保险费用和各项税金；③服务期内的前端监控正常维护、人员培训费用、安装和监控线路的租用费、迁改点位服务费用，随配附件、备品备件、工具、货物运抵指定交货地点的各种费用和售后服务、税金及其它所有成本费用的总和。</w:t>
      </w:r>
    </w:p>
    <w:p w14:paraId="1F558AF3">
      <w:pPr>
        <w:spacing w:line="360" w:lineRule="auto"/>
        <w:ind w:firstLine="422" w:firstLineChars="200"/>
        <w:outlineLvl w:val="1"/>
        <w:rPr>
          <w:rFonts w:ascii="宋体" w:hAnsi="宋体" w:cs="宋体"/>
          <w:b/>
          <w:color w:val="auto"/>
          <w:szCs w:val="21"/>
          <w:highlight w:val="none"/>
        </w:rPr>
      </w:pPr>
      <w:bookmarkStart w:id="224" w:name="_Toc25881"/>
      <w:r>
        <w:rPr>
          <w:rFonts w:hint="eastAsia" w:ascii="宋体" w:hAnsi="宋体" w:cs="宋体"/>
          <w:b/>
          <w:color w:val="auto"/>
          <w:szCs w:val="21"/>
          <w:highlight w:val="none"/>
        </w:rPr>
        <w:t>第二条　质量保证</w:t>
      </w:r>
      <w:bookmarkEnd w:id="224"/>
    </w:p>
    <w:p w14:paraId="545BB11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5935E5D5">
      <w:pPr>
        <w:spacing w:line="360" w:lineRule="auto"/>
        <w:ind w:firstLine="422" w:firstLineChars="200"/>
        <w:outlineLvl w:val="1"/>
        <w:rPr>
          <w:rFonts w:ascii="宋体" w:hAnsi="宋体" w:cs="宋体"/>
          <w:color w:val="auto"/>
          <w:szCs w:val="21"/>
          <w:highlight w:val="none"/>
        </w:rPr>
      </w:pPr>
      <w:bookmarkStart w:id="225" w:name="_Toc23814"/>
      <w:r>
        <w:rPr>
          <w:rFonts w:hint="eastAsia" w:ascii="宋体" w:hAnsi="宋体" w:cs="宋体"/>
          <w:b/>
          <w:color w:val="auto"/>
          <w:szCs w:val="21"/>
          <w:highlight w:val="none"/>
        </w:rPr>
        <w:t>第三条　权利保证</w:t>
      </w:r>
      <w:bookmarkEnd w:id="225"/>
    </w:p>
    <w:p w14:paraId="17CD5A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34A51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E4A1AE0">
      <w:pPr>
        <w:spacing w:line="360" w:lineRule="auto"/>
        <w:ind w:firstLine="422" w:firstLineChars="200"/>
        <w:outlineLvl w:val="1"/>
        <w:rPr>
          <w:rFonts w:ascii="宋体" w:hAnsi="宋体" w:cs="宋体"/>
          <w:color w:val="auto"/>
          <w:szCs w:val="21"/>
          <w:highlight w:val="none"/>
        </w:rPr>
      </w:pPr>
      <w:bookmarkStart w:id="226" w:name="_Toc7527"/>
      <w:r>
        <w:rPr>
          <w:rFonts w:hint="eastAsia" w:ascii="宋体" w:hAnsi="宋体" w:cs="宋体"/>
          <w:b/>
          <w:color w:val="auto"/>
          <w:szCs w:val="21"/>
          <w:highlight w:val="none"/>
        </w:rPr>
        <w:t>第四条　交付和验收</w:t>
      </w:r>
      <w:bookmarkEnd w:id="226"/>
    </w:p>
    <w:p w14:paraId="132A5C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2"/>
          <w:highlight w:val="none"/>
        </w:rPr>
        <w:t>服务期限</w:t>
      </w:r>
      <w:r>
        <w:rPr>
          <w:rFonts w:hint="eastAsia" w:ascii="宋体" w:hAnsi="宋体" w:cs="宋体"/>
          <w:color w:val="auto"/>
          <w:szCs w:val="21"/>
          <w:highlight w:val="none"/>
        </w:rPr>
        <w:t>：</w:t>
      </w:r>
      <w:r>
        <w:rPr>
          <w:rFonts w:hint="eastAsia" w:ascii="宋体" w:hAnsi="宋体" w:cs="宋体"/>
          <w:color w:val="auto"/>
          <w:szCs w:val="21"/>
          <w:highlight w:val="none"/>
          <w:u w:val="single"/>
        </w:rPr>
        <w:t>1年（项目验收合格后之日起）；</w:t>
      </w:r>
      <w:r>
        <w:rPr>
          <w:rFonts w:hint="eastAsia" w:ascii="宋体" w:hAnsi="宋体" w:cs="宋体"/>
          <w:color w:val="auto"/>
          <w:szCs w:val="21"/>
          <w:highlight w:val="none"/>
        </w:rPr>
        <w:t>服务地点：。</w:t>
      </w:r>
    </w:p>
    <w:p w14:paraId="27FB4E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328D66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57F061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4、乙方完成服务后应及时书面通知甲方进行验收，甲方应在收到通知后七个工作日内进行验收。验收合格后由甲乙双方签署验收单并加盖甲方公章，甲乙双方各执一份。</w:t>
      </w:r>
    </w:p>
    <w:p w14:paraId="523106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5、甲乙双方应按照《广西壮族自治区政府采购项目履约验收管理办法》、双方合同、响应文件验收。</w:t>
      </w:r>
    </w:p>
    <w:p w14:paraId="682358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2FF0AB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06DC35A6">
      <w:pPr>
        <w:snapToGrid w:val="0"/>
        <w:spacing w:line="360" w:lineRule="auto"/>
        <w:ind w:firstLine="422" w:firstLineChars="200"/>
        <w:outlineLvl w:val="1"/>
        <w:rPr>
          <w:rFonts w:ascii="宋体" w:hAnsi="宋体" w:cs="宋体"/>
          <w:b/>
          <w:color w:val="auto"/>
          <w:szCs w:val="21"/>
          <w:highlight w:val="none"/>
        </w:rPr>
      </w:pPr>
      <w:bookmarkStart w:id="227" w:name="_Toc25723"/>
      <w:r>
        <w:rPr>
          <w:rFonts w:hint="eastAsia" w:ascii="宋体" w:hAnsi="宋体" w:cs="宋体"/>
          <w:b/>
          <w:color w:val="auto"/>
          <w:szCs w:val="21"/>
          <w:highlight w:val="none"/>
        </w:rPr>
        <w:t xml:space="preserve">第五条  </w:t>
      </w:r>
      <w:bookmarkEnd w:id="227"/>
      <w:r>
        <w:rPr>
          <w:rFonts w:hint="eastAsia" w:ascii="宋体" w:hAnsi="宋体" w:cs="宋体"/>
          <w:b/>
          <w:color w:val="auto"/>
          <w:szCs w:val="21"/>
          <w:highlight w:val="none"/>
        </w:rPr>
        <w:t>责任和义务</w:t>
      </w:r>
    </w:p>
    <w:p w14:paraId="3B3D41C3">
      <w:pPr>
        <w:spacing w:line="360" w:lineRule="auto"/>
        <w:ind w:firstLine="420" w:firstLineChars="200"/>
        <w:rPr>
          <w:rFonts w:ascii="宋体" w:hAnsi="宋体" w:cs="宋体"/>
          <w:color w:val="auto"/>
          <w:szCs w:val="21"/>
          <w:highlight w:val="none"/>
        </w:rPr>
      </w:pPr>
      <w:bookmarkStart w:id="228" w:name="_Toc23210"/>
      <w:r>
        <w:rPr>
          <w:rFonts w:hint="eastAsia" w:ascii="宋体" w:hAnsi="宋体" w:cs="宋体"/>
          <w:color w:val="auto"/>
          <w:szCs w:val="21"/>
          <w:highlight w:val="none"/>
        </w:rPr>
        <w:t>1、甲方</w:t>
      </w:r>
    </w:p>
    <w:p w14:paraId="5C1993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（1）履行告知义务。甲方发现相关监控系统、线路出现异常后，应及时通知乙方并说明故障现象，便于乙方对故障修复进行相应准备。</w:t>
      </w:r>
    </w:p>
    <w:p w14:paraId="254B73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（2）协助乙方工作和提供工作便利。乙方在对系统进行日常维护、例行巡检、季度检修过程中，提供必要的协助和设施便利等。</w:t>
      </w:r>
    </w:p>
    <w:p w14:paraId="121416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（3）按时向乙方支付合同费用。</w:t>
      </w:r>
    </w:p>
    <w:p w14:paraId="76635C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w:t>
      </w:r>
    </w:p>
    <w:p w14:paraId="782277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负责系统日常维护。乙方应提供后台技术支持，包括电话服务、现场服务、应急服务、节假日值班服务等，保证维保服务实时响应，保障系统安全稳定运行。此外，乙方提供专人对重点监控设备进行支持服务，保证甲方的工作顺利、及时完成。</w:t>
      </w:r>
    </w:p>
    <w:p w14:paraId="41E9E5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（2）积极响应服务请求。在收到报修之后，应在30分钟内提供电话支持，设备故障接到客户服务请求后4小时内到达现场处理，8小时内恢复正常使用，不可抗力除外。</w:t>
      </w:r>
    </w:p>
    <w:p w14:paraId="556302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（3）确保维保服务的技术力量。约定服务期内，乙方根据项目需求配备售后工程师，负责约定服务期内的维保服务，以满足甲方工作开展和维保工作需要。乙方技术服务人员变动必须经过甲方书面同意。</w:t>
      </w:r>
    </w:p>
    <w:p w14:paraId="601FED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（4)服务期内，成交人需提供&gt;5%的免费本项目前端监控点点位迁改服务及&gt;10%的免费前端监控摄像头迁改服务。具体点位由甲方进行确认，迁改费用含在项目报价中。</w:t>
      </w:r>
    </w:p>
    <w:p w14:paraId="043637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（5）乙方提供备品备件，项目验收后设备故障均由乙方按照摄像头可用率标准的执行。</w:t>
      </w:r>
    </w:p>
    <w:p w14:paraId="630BC6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（6）按时提供维保服务文档。维保期间，须及时更新相关系统维保服务文档，以便甲方对乙方服务进行考核。</w:t>
      </w:r>
    </w:p>
    <w:p w14:paraId="44E670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（7）乙方于合同服务到期前三十日以书面形式提醒甲方合同到期时间。</w:t>
      </w:r>
    </w:p>
    <w:p w14:paraId="58140623">
      <w:pPr>
        <w:snapToGrid w:val="0"/>
        <w:spacing w:line="360" w:lineRule="auto"/>
        <w:ind w:firstLine="422" w:firstLineChars="200"/>
        <w:outlineLvl w:val="1"/>
        <w:rPr>
          <w:rFonts w:ascii="宋体" w:hAnsi="宋体" w:cs="宋体"/>
          <w:i/>
          <w:iCs/>
          <w:color w:val="auto"/>
          <w:highlight w:val="none"/>
        </w:rPr>
      </w:pPr>
      <w:r>
        <w:rPr>
          <w:rFonts w:hint="eastAsia" w:ascii="宋体" w:hAnsi="宋体" w:cs="宋体"/>
          <w:b/>
          <w:color w:val="auto"/>
          <w:szCs w:val="21"/>
          <w:highlight w:val="none"/>
        </w:rPr>
        <w:t>第六条　付款方式</w:t>
      </w:r>
      <w:bookmarkEnd w:id="228"/>
    </w:p>
    <w:p w14:paraId="54E3859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（一）前端视频监控点维护部分，按月支付。该项目验收合格后，本月总使用费=合同总额/合同总月数。摄像头可用率=每天在线率之和/每月总天数。视频监控计算方式如下:</w:t>
      </w:r>
    </w:p>
    <w:p w14:paraId="25FD3C6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①摄像头可用率≥97%，本月应付使用费=合同总额/合同总月数*100%；</w:t>
      </w:r>
    </w:p>
    <w:p w14:paraId="33F13A8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②92%≤摄像头可用率&lt;97%，本月应付使用费=本月总使用费-本月总使用费*(0.97-摄像头可用率)；</w:t>
      </w:r>
    </w:p>
    <w:p w14:paraId="0CC04DA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③80%≤摄像头可用率&lt;92%，本月应付使用费=本月总使用费*摄像头可用率*70%；</w:t>
      </w:r>
    </w:p>
    <w:p w14:paraId="393C26F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④摄像头可用率&lt;80%，本月应付使用费=本月总使用费*摄像头可用率*60%；</w:t>
      </w:r>
    </w:p>
    <w:p w14:paraId="252AC66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摄像头可用率说明:摄像头可用率=本项目当月运维管理监督系统统计的考核摄像头在线总天数，本项目当月运维管理监督系统统计的考核摄像头在线及非在线总天数，同时经过采购人的使用监督部门在每月使用中抽查，发现存在不符合第二点可用率标准的视为不可用。</w:t>
      </w:r>
    </w:p>
    <w:p w14:paraId="227467F9">
      <w:pPr>
        <w:numPr>
          <w:ilvl w:val="0"/>
          <w:numId w:val="5"/>
        </w:num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新增前端视频监控智能感知部分，设备安装调试验收合格后，成交供应商开具有效发票给采购人，采购人启动支付流程，支付合同总额的95%，合同期满后，成交供应商开具有效发票给采购人，采购人启动支付流程，支付合同总额的5%（不计利息）。</w:t>
      </w:r>
    </w:p>
    <w:p w14:paraId="0CCD6139">
      <w:pPr>
        <w:snapToGrid w:val="0"/>
        <w:spacing w:line="360" w:lineRule="auto"/>
        <w:ind w:firstLine="422" w:firstLineChars="200"/>
        <w:outlineLvl w:val="1"/>
        <w:rPr>
          <w:rFonts w:ascii="宋体" w:hAnsi="宋体" w:cs="宋体"/>
          <w:b/>
          <w:color w:val="auto"/>
          <w:szCs w:val="21"/>
          <w:highlight w:val="none"/>
        </w:rPr>
      </w:pPr>
      <w:bookmarkStart w:id="229" w:name="_Toc21202"/>
      <w:r>
        <w:rPr>
          <w:rFonts w:hint="eastAsia" w:ascii="宋体" w:hAnsi="宋体" w:cs="宋体"/>
          <w:b/>
          <w:color w:val="auto"/>
          <w:szCs w:val="21"/>
          <w:highlight w:val="none"/>
        </w:rPr>
        <w:t>第七条　履约保证金</w:t>
      </w:r>
      <w:bookmarkEnd w:id="229"/>
    </w:p>
    <w:p w14:paraId="78CF8708">
      <w:pPr>
        <w:spacing w:line="360" w:lineRule="auto"/>
        <w:rPr>
          <w:rFonts w:ascii="宋体" w:hAnsi="宋体" w:cs="宋体"/>
          <w:b/>
          <w:bCs/>
          <w:color w:val="auto"/>
          <w:szCs w:val="21"/>
          <w:highlight w:val="none"/>
        </w:rPr>
      </w:pPr>
      <w:r>
        <w:rPr>
          <w:rFonts w:hint="eastAsia" w:ascii="宋体" w:hAnsi="宋体" w:cs="宋体"/>
          <w:color w:val="auto"/>
          <w:szCs w:val="21"/>
          <w:highlight w:val="none"/>
        </w:rPr>
        <w:t>　　本项目不收取履约保证金。</w:t>
      </w:r>
    </w:p>
    <w:p w14:paraId="0AB5A339">
      <w:pPr>
        <w:spacing w:line="360" w:lineRule="auto"/>
        <w:ind w:firstLine="422" w:firstLineChars="200"/>
        <w:outlineLvl w:val="1"/>
        <w:rPr>
          <w:rFonts w:ascii="宋体" w:hAnsi="宋体" w:cs="宋体"/>
          <w:b/>
          <w:color w:val="auto"/>
          <w:szCs w:val="21"/>
          <w:highlight w:val="none"/>
        </w:rPr>
      </w:pPr>
      <w:bookmarkStart w:id="230" w:name="_Toc25197"/>
      <w:r>
        <w:rPr>
          <w:rFonts w:hint="eastAsia" w:ascii="宋体" w:hAnsi="宋体" w:cs="宋体"/>
          <w:b/>
          <w:color w:val="auto"/>
          <w:szCs w:val="21"/>
          <w:highlight w:val="none"/>
        </w:rPr>
        <w:t>第八条  税费</w:t>
      </w:r>
      <w:bookmarkEnd w:id="230"/>
    </w:p>
    <w:p w14:paraId="2C1310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76701A34">
      <w:pPr>
        <w:numPr>
          <w:ilvl w:val="0"/>
          <w:numId w:val="6"/>
        </w:numPr>
        <w:spacing w:line="360" w:lineRule="auto"/>
        <w:ind w:firstLine="422" w:firstLineChars="200"/>
        <w:outlineLvl w:val="1"/>
        <w:rPr>
          <w:rFonts w:ascii="宋体" w:hAnsi="宋体" w:cs="宋体"/>
          <w:b/>
          <w:color w:val="auto"/>
          <w:szCs w:val="21"/>
          <w:highlight w:val="none"/>
        </w:rPr>
      </w:pPr>
      <w:bookmarkStart w:id="231" w:name="_Toc25688"/>
      <w:r>
        <w:rPr>
          <w:rFonts w:hint="eastAsia" w:ascii="宋体" w:hAnsi="宋体" w:cs="宋体"/>
          <w:b/>
          <w:color w:val="auto"/>
          <w:szCs w:val="21"/>
          <w:highlight w:val="none"/>
        </w:rPr>
        <w:t>违约责任</w:t>
      </w:r>
      <w:bookmarkEnd w:id="231"/>
    </w:p>
    <w:p w14:paraId="0B8C9136">
      <w:pPr>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1、甲方违约责任</w:t>
      </w:r>
    </w:p>
    <w:p w14:paraId="7011F01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（1）甲方逾期30个工作日以上向乙方支付合同金额，造成项目工作停滞、延误的，甲方应承担相应延期款额 3 %的违约金。</w:t>
      </w:r>
    </w:p>
    <w:p w14:paraId="6A8FD93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（二）乙方违约责任</w:t>
      </w:r>
    </w:p>
    <w:p w14:paraId="4E08CF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出现以下情况之一的，甲方有权终止合同，乙方应承担项目合同金额3%的违约金：</w:t>
      </w:r>
    </w:p>
    <w:p w14:paraId="7ADFCE3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（1）乙方未能按甲方的需求和本项目服务方案进行监控系统维保工作，造成甲方造成重大损失的。</w:t>
      </w:r>
    </w:p>
    <w:p w14:paraId="3F96EFC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（2）乙方接到故障处理请求后，未能及时排除系统故障且不能提出应急解决预案，导致相关监控系统不能正常运行，给甲方造成重大损失的。</w:t>
      </w:r>
    </w:p>
    <w:p w14:paraId="71178C2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乙方未能按照甲方要求设立维保团队，或维保工程师（售后工程师）配置不符合甲方要求，甲方提出后5个工作日内，乙方仍不整改的。</w:t>
      </w:r>
    </w:p>
    <w:p w14:paraId="08E2A3D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（4）乙方未能按照甲方要求提供完整项目文档，或不按时提供相关技术培训的，甲方提出后5个工作日内，乙方仍不整改的。</w:t>
      </w:r>
    </w:p>
    <w:p w14:paraId="35D31C4A">
      <w:pPr>
        <w:spacing w:line="360" w:lineRule="auto"/>
        <w:ind w:firstLine="422" w:firstLineChars="200"/>
        <w:outlineLvl w:val="1"/>
        <w:rPr>
          <w:rFonts w:ascii="宋体" w:hAnsi="宋体" w:cs="宋体"/>
          <w:b/>
          <w:color w:val="auto"/>
          <w:szCs w:val="21"/>
          <w:highlight w:val="none"/>
        </w:rPr>
      </w:pPr>
      <w:bookmarkStart w:id="232" w:name="_Toc16789"/>
      <w:r>
        <w:rPr>
          <w:rFonts w:hint="eastAsia" w:ascii="宋体" w:hAnsi="宋体" w:cs="宋体"/>
          <w:b/>
          <w:color w:val="auto"/>
          <w:szCs w:val="21"/>
          <w:highlight w:val="none"/>
        </w:rPr>
        <w:t>第十条  不可抗力事件处理</w:t>
      </w:r>
      <w:bookmarkEnd w:id="232"/>
    </w:p>
    <w:p w14:paraId="6BB5A0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5643B3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579B21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485B9511">
      <w:pPr>
        <w:spacing w:line="360" w:lineRule="auto"/>
        <w:ind w:firstLine="422" w:firstLineChars="200"/>
        <w:outlineLvl w:val="1"/>
        <w:rPr>
          <w:rFonts w:ascii="宋体" w:hAnsi="宋体" w:cs="宋体"/>
          <w:color w:val="auto"/>
          <w:szCs w:val="21"/>
          <w:highlight w:val="none"/>
        </w:rPr>
      </w:pPr>
      <w:bookmarkStart w:id="233" w:name="_Toc24916"/>
      <w:r>
        <w:rPr>
          <w:rFonts w:hint="eastAsia" w:ascii="宋体" w:hAnsi="宋体" w:cs="宋体"/>
          <w:b/>
          <w:color w:val="auto"/>
          <w:szCs w:val="21"/>
          <w:highlight w:val="none"/>
        </w:rPr>
        <w:t>第十一条  合同争议解决</w:t>
      </w:r>
      <w:bookmarkEnd w:id="233"/>
    </w:p>
    <w:p w14:paraId="08EC4C8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510E61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4D43083D">
      <w:pPr>
        <w:snapToGrid w:val="0"/>
        <w:spacing w:line="360" w:lineRule="auto"/>
        <w:ind w:firstLine="420" w:firstLineChars="200"/>
        <w:outlineLvl w:val="2"/>
        <w:rPr>
          <w:rFonts w:ascii="宋体" w:hAnsi="宋体" w:cs="宋体"/>
          <w:color w:val="auto"/>
          <w:szCs w:val="21"/>
          <w:highlight w:val="none"/>
        </w:rPr>
      </w:pPr>
      <w:bookmarkStart w:id="234" w:name="_Toc31328"/>
      <w:r>
        <w:rPr>
          <w:rFonts w:hint="eastAsia" w:ascii="宋体" w:hAnsi="宋体" w:cs="宋体"/>
          <w:color w:val="auto"/>
          <w:szCs w:val="21"/>
          <w:highlight w:val="none"/>
        </w:rPr>
        <w:t>3、诉讼期间，本合同继续履行。</w:t>
      </w:r>
      <w:bookmarkEnd w:id="234"/>
    </w:p>
    <w:p w14:paraId="2A971E1E">
      <w:pPr>
        <w:spacing w:line="360" w:lineRule="auto"/>
        <w:ind w:firstLine="422" w:firstLineChars="200"/>
        <w:outlineLvl w:val="1"/>
        <w:rPr>
          <w:rFonts w:ascii="宋体" w:hAnsi="宋体" w:cs="宋体"/>
          <w:b/>
          <w:color w:val="auto"/>
          <w:szCs w:val="21"/>
          <w:highlight w:val="none"/>
        </w:rPr>
      </w:pPr>
      <w:bookmarkStart w:id="235" w:name="_Toc10834"/>
      <w:r>
        <w:rPr>
          <w:rFonts w:hint="eastAsia" w:ascii="宋体" w:hAnsi="宋体" w:cs="宋体"/>
          <w:b/>
          <w:color w:val="auto"/>
          <w:szCs w:val="21"/>
          <w:highlight w:val="none"/>
        </w:rPr>
        <w:t>第十二条  合同生效及其他</w:t>
      </w:r>
      <w:bookmarkEnd w:id="235"/>
    </w:p>
    <w:p w14:paraId="0F0530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w:t>
      </w:r>
    </w:p>
    <w:p w14:paraId="226958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0EDDD2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6EAFACC8">
      <w:pPr>
        <w:spacing w:line="360" w:lineRule="auto"/>
        <w:ind w:firstLine="422" w:firstLineChars="200"/>
        <w:outlineLvl w:val="1"/>
        <w:rPr>
          <w:rFonts w:ascii="宋体" w:hAnsi="宋体" w:cs="宋体"/>
          <w:b/>
          <w:color w:val="auto"/>
          <w:szCs w:val="21"/>
          <w:highlight w:val="none"/>
        </w:rPr>
      </w:pPr>
      <w:bookmarkStart w:id="236" w:name="_Toc15718"/>
      <w:r>
        <w:rPr>
          <w:rFonts w:hint="eastAsia" w:ascii="宋体" w:hAnsi="宋体" w:cs="宋体"/>
          <w:b/>
          <w:color w:val="auto"/>
          <w:szCs w:val="21"/>
          <w:highlight w:val="none"/>
        </w:rPr>
        <w:t>第十三条　合同的变更、终止与转让</w:t>
      </w:r>
      <w:bookmarkEnd w:id="236"/>
    </w:p>
    <w:p w14:paraId="479A83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22749BDF">
      <w:pPr>
        <w:spacing w:line="360" w:lineRule="auto"/>
        <w:ind w:firstLine="420" w:firstLineChars="200"/>
        <w:outlineLvl w:val="2"/>
        <w:rPr>
          <w:rFonts w:ascii="宋体" w:hAnsi="宋体" w:cs="宋体"/>
          <w:color w:val="auto"/>
          <w:szCs w:val="21"/>
          <w:highlight w:val="none"/>
        </w:rPr>
      </w:pPr>
      <w:bookmarkStart w:id="237" w:name="_Toc7901"/>
      <w:r>
        <w:rPr>
          <w:rFonts w:hint="eastAsia" w:ascii="宋体" w:hAnsi="宋体" w:cs="宋体"/>
          <w:color w:val="auto"/>
          <w:szCs w:val="21"/>
          <w:highlight w:val="none"/>
        </w:rPr>
        <w:t>2、乙方不得擅自转让其应履行的合同义务。</w:t>
      </w:r>
      <w:bookmarkEnd w:id="237"/>
    </w:p>
    <w:p w14:paraId="79B34025">
      <w:pPr>
        <w:spacing w:line="360" w:lineRule="auto"/>
        <w:ind w:firstLine="422" w:firstLineChars="200"/>
        <w:outlineLvl w:val="1"/>
        <w:rPr>
          <w:rFonts w:ascii="宋体" w:hAnsi="宋体" w:cs="宋体"/>
          <w:b/>
          <w:color w:val="auto"/>
          <w:szCs w:val="21"/>
          <w:highlight w:val="none"/>
        </w:rPr>
      </w:pPr>
      <w:bookmarkStart w:id="238" w:name="_Toc24597"/>
      <w:r>
        <w:rPr>
          <w:rFonts w:hint="eastAsia" w:ascii="宋体" w:hAnsi="宋体" w:cs="宋体"/>
          <w:b/>
          <w:color w:val="auto"/>
          <w:szCs w:val="21"/>
          <w:highlight w:val="none"/>
        </w:rPr>
        <w:t>第十四条　签订本合同依据</w:t>
      </w:r>
      <w:bookmarkEnd w:id="238"/>
    </w:p>
    <w:p w14:paraId="51C49B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w:t>
      </w:r>
    </w:p>
    <w:p w14:paraId="0D55E3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2、响应报价表；</w:t>
      </w:r>
    </w:p>
    <w:p w14:paraId="5D1E2C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3、响应函；</w:t>
      </w:r>
    </w:p>
    <w:p w14:paraId="3E90AF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4、商务条款偏离表和服务需求偏离表；</w:t>
      </w:r>
    </w:p>
    <w:p w14:paraId="576853C4">
      <w:pPr>
        <w:spacing w:line="360" w:lineRule="auto"/>
        <w:ind w:firstLine="420" w:firstLineChars="200"/>
        <w:outlineLvl w:val="2"/>
        <w:rPr>
          <w:rFonts w:ascii="宋体" w:hAnsi="宋体" w:cs="宋体"/>
          <w:color w:val="auto"/>
          <w:szCs w:val="21"/>
          <w:highlight w:val="none"/>
        </w:rPr>
      </w:pPr>
      <w:bookmarkStart w:id="239" w:name="_Toc2700"/>
      <w:r>
        <w:rPr>
          <w:rFonts w:hint="eastAsia" w:ascii="宋体" w:hAnsi="宋体" w:cs="宋体"/>
          <w:color w:val="auto"/>
          <w:szCs w:val="21"/>
          <w:highlight w:val="none"/>
        </w:rPr>
        <w:t>5、</w:t>
      </w:r>
      <w:r>
        <w:rPr>
          <w:rFonts w:hint="eastAsia" w:ascii="宋体" w:hAnsi="宋体" w:cs="宋体"/>
          <w:color w:val="auto"/>
          <w:highlight w:val="none"/>
        </w:rPr>
        <w:t>其他合同文件</w:t>
      </w:r>
      <w:r>
        <w:rPr>
          <w:rFonts w:hint="eastAsia" w:ascii="宋体" w:hAnsi="宋体" w:cs="宋体"/>
          <w:color w:val="auto"/>
          <w:szCs w:val="21"/>
          <w:highlight w:val="none"/>
        </w:rPr>
        <w:t>。</w:t>
      </w:r>
      <w:bookmarkEnd w:id="239"/>
    </w:p>
    <w:p w14:paraId="1EA1DE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14:paraId="31AFA627">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78838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0CAF9F54">
      <w:pPr>
        <w:spacing w:line="360" w:lineRule="auto"/>
        <w:ind w:firstLine="420" w:firstLineChars="200"/>
        <w:rPr>
          <w:rFonts w:ascii="宋体" w:hAnsi="宋体" w:cs="宋体"/>
          <w:color w:val="auto"/>
          <w:szCs w:val="21"/>
          <w:highlight w:val="none"/>
        </w:rPr>
      </w:pPr>
    </w:p>
    <w:p w14:paraId="4219EC0E">
      <w:pPr>
        <w:spacing w:line="360" w:lineRule="auto"/>
        <w:ind w:firstLine="420" w:firstLineChars="200"/>
        <w:rPr>
          <w:rFonts w:ascii="宋体" w:hAnsi="宋体" w:cs="宋体"/>
          <w:color w:val="auto"/>
          <w:szCs w:val="21"/>
          <w:highlight w:val="none"/>
        </w:rPr>
      </w:pPr>
    </w:p>
    <w:p w14:paraId="2083DA99">
      <w:pPr>
        <w:spacing w:line="360" w:lineRule="auto"/>
        <w:ind w:firstLine="420" w:firstLineChars="200"/>
        <w:rPr>
          <w:rFonts w:ascii="宋体" w:hAnsi="宋体" w:cs="宋体"/>
          <w:color w:val="auto"/>
          <w:szCs w:val="21"/>
          <w:highlight w:val="none"/>
        </w:rPr>
      </w:pPr>
    </w:p>
    <w:p w14:paraId="798F45F0">
      <w:pPr>
        <w:spacing w:line="360" w:lineRule="auto"/>
        <w:ind w:firstLine="420" w:firstLineChars="200"/>
        <w:rPr>
          <w:rFonts w:ascii="宋体" w:hAnsi="宋体" w:cs="宋体"/>
          <w:color w:val="auto"/>
          <w:szCs w:val="21"/>
          <w:highlight w:val="none"/>
        </w:rPr>
      </w:pPr>
    </w:p>
    <w:p w14:paraId="7A83E01D">
      <w:pPr>
        <w:spacing w:line="360" w:lineRule="auto"/>
        <w:ind w:firstLine="420" w:firstLineChars="200"/>
        <w:rPr>
          <w:rFonts w:ascii="宋体" w:hAnsi="宋体" w:cs="宋体"/>
          <w:color w:val="auto"/>
          <w:szCs w:val="21"/>
          <w:highlight w:val="none"/>
        </w:rPr>
      </w:pPr>
    </w:p>
    <w:p w14:paraId="1317628B">
      <w:pPr>
        <w:spacing w:line="360" w:lineRule="auto"/>
        <w:ind w:firstLine="420" w:firstLineChars="200"/>
        <w:rPr>
          <w:rFonts w:ascii="宋体" w:hAnsi="宋体" w:cs="宋体"/>
          <w:color w:val="auto"/>
          <w:szCs w:val="21"/>
          <w:highlight w:val="none"/>
        </w:rPr>
      </w:pPr>
    </w:p>
    <w:p w14:paraId="4561991F">
      <w:pPr>
        <w:spacing w:line="360" w:lineRule="auto"/>
        <w:ind w:firstLine="420" w:firstLineChars="200"/>
        <w:rPr>
          <w:rFonts w:ascii="宋体" w:hAnsi="宋体" w:cs="宋体"/>
          <w:color w:val="auto"/>
          <w:szCs w:val="21"/>
          <w:highlight w:val="none"/>
        </w:rPr>
      </w:pPr>
    </w:p>
    <w:p w14:paraId="54CE97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（以下无正文）</w:t>
      </w:r>
    </w:p>
    <w:tbl>
      <w:tblPr>
        <w:tblStyle w:val="23"/>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4E8C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5E27449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6324BD04">
            <w:pPr>
              <w:snapToGrid w:val="0"/>
              <w:spacing w:line="360" w:lineRule="auto"/>
              <w:rPr>
                <w:rFonts w:ascii="宋体" w:hAnsi="宋体" w:cs="宋体"/>
                <w:color w:val="auto"/>
                <w:szCs w:val="21"/>
                <w:highlight w:val="none"/>
              </w:rPr>
            </w:pPr>
          </w:p>
          <w:p w14:paraId="3CC84D09">
            <w:pPr>
              <w:snapToGrid w:val="0"/>
              <w:spacing w:line="360" w:lineRule="auto"/>
              <w:rPr>
                <w:rFonts w:ascii="宋体" w:hAnsi="宋体" w:cs="宋体"/>
                <w:color w:val="auto"/>
                <w:szCs w:val="21"/>
                <w:highlight w:val="none"/>
              </w:rPr>
            </w:pPr>
          </w:p>
          <w:p w14:paraId="3A13EC11">
            <w:pPr>
              <w:snapToGrid w:val="0"/>
              <w:spacing w:line="360" w:lineRule="auto"/>
              <w:ind w:firstLine="945" w:firstLineChars="450"/>
              <w:jc w:val="right"/>
              <w:rPr>
                <w:rFonts w:ascii="宋体" w:hAnsi="宋体" w:cs="宋体"/>
                <w:color w:val="auto"/>
                <w:szCs w:val="21"/>
                <w:highlight w:val="none"/>
              </w:rPr>
            </w:pPr>
          </w:p>
          <w:p w14:paraId="53873A67">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ign w:val="center"/>
          </w:tcPr>
          <w:p w14:paraId="7505D20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6796E383">
            <w:pPr>
              <w:snapToGrid w:val="0"/>
              <w:spacing w:line="360" w:lineRule="auto"/>
              <w:rPr>
                <w:rFonts w:ascii="宋体" w:hAnsi="宋体" w:cs="宋体"/>
                <w:color w:val="auto"/>
                <w:szCs w:val="21"/>
                <w:highlight w:val="none"/>
              </w:rPr>
            </w:pPr>
          </w:p>
          <w:p w14:paraId="4CD4ADDA">
            <w:pPr>
              <w:snapToGrid w:val="0"/>
              <w:spacing w:line="360" w:lineRule="auto"/>
              <w:rPr>
                <w:rFonts w:ascii="宋体" w:hAnsi="宋体" w:cs="宋体"/>
                <w:color w:val="auto"/>
                <w:szCs w:val="21"/>
                <w:highlight w:val="none"/>
              </w:rPr>
            </w:pPr>
          </w:p>
          <w:p w14:paraId="7AA2A444">
            <w:pPr>
              <w:snapToGrid w:val="0"/>
              <w:spacing w:line="360" w:lineRule="auto"/>
              <w:jc w:val="right"/>
              <w:rPr>
                <w:rFonts w:ascii="宋体" w:hAnsi="宋体" w:cs="宋体"/>
                <w:color w:val="auto"/>
                <w:szCs w:val="21"/>
                <w:highlight w:val="none"/>
              </w:rPr>
            </w:pPr>
          </w:p>
          <w:p w14:paraId="2A0B1000">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485C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55DE431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ign w:val="center"/>
          </w:tcPr>
          <w:p w14:paraId="346AAC9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086C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38A089D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ign w:val="center"/>
          </w:tcPr>
          <w:p w14:paraId="106A860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2DD8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01D8D94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ign w:val="center"/>
          </w:tcPr>
          <w:p w14:paraId="0C54EE6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14DD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0121384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ign w:val="center"/>
          </w:tcPr>
          <w:p w14:paraId="3C99C4A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2D1D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524C07E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ign w:val="center"/>
          </w:tcPr>
          <w:p w14:paraId="3C0E5F8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62FA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75E00FC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ign w:val="center"/>
          </w:tcPr>
          <w:p w14:paraId="0190BE2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7EF9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07A34FE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ign w:val="center"/>
          </w:tcPr>
          <w:p w14:paraId="0C8F3D4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59F009A2">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合 同 附 件</w:t>
      </w:r>
    </w:p>
    <w:p w14:paraId="7265643C">
      <w:pPr>
        <w:snapToGrid w:val="0"/>
        <w:spacing w:line="360" w:lineRule="auto"/>
        <w:rPr>
          <w:rFonts w:ascii="宋体" w:hAnsi="宋体" w:cs="宋体"/>
          <w:color w:val="auto"/>
          <w:szCs w:val="21"/>
          <w:highlight w:val="none"/>
        </w:rPr>
      </w:pPr>
    </w:p>
    <w:tbl>
      <w:tblPr>
        <w:tblStyle w:val="23"/>
        <w:tblW w:w="0" w:type="auto"/>
        <w:tblInd w:w="0" w:type="dxa"/>
        <w:tblLayout w:type="fixed"/>
        <w:tblCellMar>
          <w:top w:w="0" w:type="dxa"/>
          <w:left w:w="108" w:type="dxa"/>
          <w:bottom w:w="0" w:type="dxa"/>
          <w:right w:w="108" w:type="dxa"/>
        </w:tblCellMar>
      </w:tblPr>
      <w:tblGrid>
        <w:gridCol w:w="4248"/>
        <w:gridCol w:w="4274"/>
      </w:tblGrid>
      <w:tr w14:paraId="6A8B9959">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tcPr>
          <w:p w14:paraId="3BC2F58B">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 供应商承诺具体事项：</w:t>
            </w:r>
          </w:p>
        </w:tc>
      </w:tr>
      <w:tr w14:paraId="16C63AAA">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tcPr>
          <w:p w14:paraId="7879D30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 服务具体事项：</w:t>
            </w:r>
          </w:p>
        </w:tc>
      </w:tr>
      <w:tr w14:paraId="7457135E">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tcPr>
          <w:p w14:paraId="57253CC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 其他具体事项：</w:t>
            </w:r>
          </w:p>
        </w:tc>
      </w:tr>
      <w:tr w14:paraId="24A49AE7">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ign w:val="center"/>
          </w:tcPr>
          <w:p w14:paraId="3E94E5A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甲方（章）</w:t>
            </w:r>
          </w:p>
          <w:p w14:paraId="32855164">
            <w:pPr>
              <w:snapToGrid w:val="0"/>
              <w:spacing w:line="360" w:lineRule="auto"/>
              <w:ind w:firstLine="422" w:firstLineChars="200"/>
              <w:rPr>
                <w:rFonts w:ascii="宋体" w:hAnsi="宋体" w:cs="宋体"/>
                <w:b/>
                <w:color w:val="auto"/>
                <w:szCs w:val="21"/>
                <w:highlight w:val="none"/>
              </w:rPr>
            </w:pPr>
          </w:p>
          <w:p w14:paraId="14F4AD16">
            <w:pPr>
              <w:snapToGrid w:val="0"/>
              <w:spacing w:line="360" w:lineRule="auto"/>
              <w:rPr>
                <w:rFonts w:ascii="宋体" w:hAnsi="宋体" w:cs="宋体"/>
                <w:b/>
                <w:color w:val="auto"/>
                <w:szCs w:val="21"/>
                <w:highlight w:val="none"/>
              </w:rPr>
            </w:pPr>
          </w:p>
          <w:p w14:paraId="4153AE03">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ign w:val="center"/>
          </w:tcPr>
          <w:p w14:paraId="64D1CF2B">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乙方（章）</w:t>
            </w:r>
          </w:p>
          <w:p w14:paraId="39C7B8A9">
            <w:pPr>
              <w:snapToGrid w:val="0"/>
              <w:spacing w:line="360" w:lineRule="auto"/>
              <w:ind w:firstLine="422" w:firstLineChars="200"/>
              <w:rPr>
                <w:rFonts w:ascii="宋体" w:hAnsi="宋体" w:cs="宋体"/>
                <w:b/>
                <w:color w:val="auto"/>
                <w:szCs w:val="21"/>
                <w:highlight w:val="none"/>
              </w:rPr>
            </w:pPr>
          </w:p>
          <w:p w14:paraId="756625FE">
            <w:pPr>
              <w:snapToGrid w:val="0"/>
              <w:spacing w:line="360" w:lineRule="auto"/>
              <w:rPr>
                <w:rFonts w:ascii="宋体" w:hAnsi="宋体" w:cs="宋体"/>
                <w:b/>
                <w:color w:val="auto"/>
                <w:szCs w:val="21"/>
                <w:highlight w:val="none"/>
              </w:rPr>
            </w:pPr>
          </w:p>
          <w:p w14:paraId="3443603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年   月   日</w:t>
            </w:r>
          </w:p>
        </w:tc>
      </w:tr>
    </w:tbl>
    <w:p w14:paraId="4E7EF98B">
      <w:pPr>
        <w:snapToGrid w:val="0"/>
        <w:spacing w:line="360" w:lineRule="auto"/>
        <w:jc w:val="left"/>
        <w:outlineLvl w:val="0"/>
        <w:rPr>
          <w:rFonts w:ascii="宋体" w:hAnsi="宋体" w:cs="宋体"/>
          <w:color w:val="auto"/>
          <w:szCs w:val="21"/>
          <w:highlight w:val="none"/>
        </w:rPr>
      </w:pPr>
      <w:bookmarkStart w:id="240" w:name="_Toc9209"/>
      <w:r>
        <w:rPr>
          <w:rFonts w:hint="eastAsia" w:ascii="宋体" w:hAnsi="宋体" w:cs="宋体"/>
          <w:color w:val="auto"/>
          <w:szCs w:val="21"/>
          <w:highlight w:val="none"/>
        </w:rPr>
        <w:t>注：服务事项填不下时可另加附页</w:t>
      </w:r>
      <w:bookmarkEnd w:id="240"/>
    </w:p>
    <w:p w14:paraId="2CC93C3E">
      <w:pPr>
        <w:snapToGrid w:val="0"/>
        <w:spacing w:line="360" w:lineRule="auto"/>
        <w:rPr>
          <w:rFonts w:ascii="宋体" w:hAnsi="宋体" w:cs="宋体"/>
          <w:b/>
          <w:color w:val="auto"/>
          <w:szCs w:val="21"/>
          <w:highlight w:val="none"/>
        </w:rPr>
      </w:pPr>
    </w:p>
    <w:p w14:paraId="1696C73D">
      <w:pPr>
        <w:tabs>
          <w:tab w:val="left" w:pos="3261"/>
        </w:tabs>
        <w:spacing w:line="360" w:lineRule="auto"/>
        <w:contextualSpacing/>
        <w:jc w:val="center"/>
        <w:rPr>
          <w:rFonts w:ascii="宋体" w:hAnsi="宋体" w:cs="宋体"/>
          <w:b/>
          <w:color w:val="auto"/>
          <w:sz w:val="44"/>
          <w:szCs w:val="44"/>
          <w:highlight w:val="none"/>
        </w:rPr>
      </w:pPr>
    </w:p>
    <w:p w14:paraId="730DFCA7">
      <w:pPr>
        <w:tabs>
          <w:tab w:val="left" w:pos="3261"/>
        </w:tabs>
        <w:spacing w:line="360" w:lineRule="auto"/>
        <w:contextualSpacing/>
        <w:rPr>
          <w:color w:val="auto"/>
          <w:highlight w:val="none"/>
        </w:rPr>
      </w:pPr>
    </w:p>
    <w:sectPr>
      <w:footerReference r:id="rId8" w:type="first"/>
      <w:headerReference r:id="rId6" w:type="default"/>
      <w:footerReference r:id="rId7"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Ђ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5585">
    <w:pPr>
      <w:pStyle w:val="17"/>
      <w:tabs>
        <w:tab w:val="center" w:pos="4439"/>
        <w:tab w:val="clear" w:pos="4153"/>
      </w:tabs>
      <w:jc w:val="both"/>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034E">
    <w:pPr>
      <w:pStyle w:val="17"/>
      <w:jc w:val="center"/>
      <w:rPr>
        <w:rFonts w:ascii="Calibri" w:hAnsi="Calibri"/>
      </w:rPr>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joinstyle="miter"/>
          <v:imagedata o:title=""/>
          <o:lock v:ext="edit"/>
          <v:textbox inset="0mm,0mm,0mm,0mm" style="mso-fit-shape-to-text:t;">
            <w:txbxContent>
              <w:p w14:paraId="1CF254D4">
                <w:pPr>
                  <w:pStyle w:val="17"/>
                </w:pPr>
                <w:r>
                  <w:fldChar w:fldCharType="begin"/>
                </w:r>
                <w:r>
                  <w:instrText xml:space="preserve"> PAGE  \* MERGEFORMAT </w:instrText>
                </w:r>
                <w:r>
                  <w:fldChar w:fldCharType="separate"/>
                </w:r>
                <w:r>
                  <w:t>6</w:t>
                </w:r>
                <w:r>
                  <w:fldChar w:fldCharType="end"/>
                </w:r>
              </w:p>
            </w:txbxContent>
          </v:textbox>
        </v:shape>
      </w:pict>
    </w:r>
  </w:p>
  <w:p w14:paraId="10F4F11F">
    <w:pPr>
      <w:pStyle w:val="17"/>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B3F26">
    <w:pPr>
      <w:pStyle w:val="17"/>
      <w:rPr>
        <w:rFonts w:ascii="Calibri" w:hAnsi="Calibri"/>
      </w:rPr>
    </w:pPr>
    <w:r>
      <w:rPr>
        <w:rFonts w:ascii="Calibri" w:hAnsi="Calibri"/>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joinstyle="miter"/>
          <v:imagedata o:title=""/>
          <o:lock v:ext="edit"/>
          <v:textbox inset="0mm,0mm,0mm,0mm" style="mso-fit-shape-to-text:t;">
            <w:txbxContent>
              <w:p w14:paraId="37BF7BE8">
                <w:pPr>
                  <w:pStyle w:val="17"/>
                  <w:rPr>
                    <w:rFonts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8</w:t>
                </w:r>
                <w:r>
                  <w:rPr>
                    <w:rFonts w:hint="eastAsia" w:ascii="Calibri" w:hAnsi="Calibri"/>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3FCD">
    <w:pPr>
      <w:pStyle w:val="17"/>
      <w:jc w:val="center"/>
    </w:pPr>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14:paraId="25593C70">
                <w:pPr>
                  <w:pStyle w:val="17"/>
                </w:pPr>
                <w:r>
                  <w:fldChar w:fldCharType="begin"/>
                </w:r>
                <w:r>
                  <w:instrText xml:space="preserve"> PAGE  \* MERGEFORMAT </w:instrText>
                </w:r>
                <w:r>
                  <w:fldChar w:fldCharType="separate"/>
                </w:r>
                <w:r>
                  <w:t>71</w:t>
                </w:r>
                <w:r>
                  <w:fldChar w:fldCharType="end"/>
                </w:r>
              </w:p>
            </w:txbxContent>
          </v:textbox>
        </v:shape>
      </w:pict>
    </w:r>
  </w:p>
  <w:p w14:paraId="293234B7">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B06AF">
    <w:pPr>
      <w:pStyle w:val="17"/>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14:paraId="27E82AE0">
                <w:pPr>
                  <w:pStyle w:val="17"/>
                </w:pPr>
                <w:r>
                  <w:fldChar w:fldCharType="begin"/>
                </w:r>
                <w:r>
                  <w:instrText xml:space="preserve"> PAGE  \* MERGEFORMAT </w:instrText>
                </w:r>
                <w:r>
                  <w:fldChar w:fldCharType="separate"/>
                </w:r>
                <w:r>
                  <w:t>63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5B367">
    <w:pPr>
      <w:pStyle w:val="18"/>
      <w:tabs>
        <w:tab w:val="center" w:pos="0"/>
        <w:tab w:val="clear" w:pos="4153"/>
      </w:tabs>
    </w:pPr>
    <w:r>
      <w:rPr>
        <w:vanish/>
        <w:highlight w:val="yellow"/>
      </w:rPr>
      <w:t>&gt;</w:t>
    </w:r>
  </w:p>
  <w:p w14:paraId="495FDC38">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8BCEA"/>
    <w:multiLevelType w:val="singleLevel"/>
    <w:tmpl w:val="8148BCEA"/>
    <w:lvl w:ilvl="0" w:tentative="0">
      <w:start w:val="1"/>
      <w:numFmt w:val="decimal"/>
      <w:suff w:val="nothing"/>
      <w:lvlText w:val="%1、"/>
      <w:lvlJc w:val="left"/>
    </w:lvl>
  </w:abstractNum>
  <w:abstractNum w:abstractNumId="1">
    <w:nsid w:val="98383914"/>
    <w:multiLevelType w:val="singleLevel"/>
    <w:tmpl w:val="98383914"/>
    <w:lvl w:ilvl="0" w:tentative="0">
      <w:start w:val="9"/>
      <w:numFmt w:val="chineseCounting"/>
      <w:suff w:val="nothing"/>
      <w:lvlText w:val="第%1条　"/>
      <w:lvlJc w:val="left"/>
      <w:rPr>
        <w:rFonts w:hint="eastAsia"/>
      </w:rPr>
    </w:lvl>
  </w:abstractNum>
  <w:abstractNum w:abstractNumId="2">
    <w:nsid w:val="FDE87728"/>
    <w:multiLevelType w:val="singleLevel"/>
    <w:tmpl w:val="FDE87728"/>
    <w:lvl w:ilvl="0" w:tentative="0">
      <w:start w:val="2"/>
      <w:numFmt w:val="chineseCounting"/>
      <w:suff w:val="nothing"/>
      <w:lvlText w:val="（%1）"/>
      <w:lvlJc w:val="left"/>
      <w:rPr>
        <w:rFonts w:hint="eastAsia"/>
      </w:r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1C6FAB9"/>
    <w:multiLevelType w:val="singleLevel"/>
    <w:tmpl w:val="01C6FAB9"/>
    <w:lvl w:ilvl="0" w:tentative="0">
      <w:start w:val="1"/>
      <w:numFmt w:val="chineseCounting"/>
      <w:suff w:val="space"/>
      <w:lvlText w:val="第%1章"/>
      <w:lvlJc w:val="left"/>
      <w:rPr>
        <w:rFonts w:hint="eastAsia"/>
      </w:rPr>
    </w:lvl>
  </w:abstractNum>
  <w:abstractNum w:abstractNumId="5">
    <w:nsid w:val="184D66B7"/>
    <w:multiLevelType w:val="singleLevel"/>
    <w:tmpl w:val="184D66B7"/>
    <w:lvl w:ilvl="0" w:tentative="0">
      <w:start w:val="1"/>
      <w:numFmt w:val="decimal"/>
      <w:pStyle w:val="7"/>
      <w:lvlText w:val="%1."/>
      <w:lvlJc w:val="left"/>
      <w:pPr>
        <w:tabs>
          <w:tab w:val="left" w:pos="360"/>
        </w:tabs>
        <w:ind w:left="360" w:hanging="360"/>
      </w:pPr>
    </w:lvl>
  </w:abstractNum>
  <w:num w:numId="1">
    <w:abstractNumId w:val="5"/>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5OTYxMTc2MmNkN2M1M2ViYjNlZjBhYTM4OTIzYzEifQ=="/>
  </w:docVars>
  <w:rsids>
    <w:rsidRoot w:val="00657126"/>
    <w:rsid w:val="00202730"/>
    <w:rsid w:val="005419C9"/>
    <w:rsid w:val="00657126"/>
    <w:rsid w:val="006D0609"/>
    <w:rsid w:val="007E36D0"/>
    <w:rsid w:val="00AB1812"/>
    <w:rsid w:val="00C11035"/>
    <w:rsid w:val="00EC1E47"/>
    <w:rsid w:val="01115B19"/>
    <w:rsid w:val="016F2703"/>
    <w:rsid w:val="02D44D59"/>
    <w:rsid w:val="03600692"/>
    <w:rsid w:val="04366C41"/>
    <w:rsid w:val="05D57DAC"/>
    <w:rsid w:val="074B0F17"/>
    <w:rsid w:val="08275C22"/>
    <w:rsid w:val="09BA3109"/>
    <w:rsid w:val="0AA842A9"/>
    <w:rsid w:val="0B2823DD"/>
    <w:rsid w:val="0B5F3925"/>
    <w:rsid w:val="0CEF1837"/>
    <w:rsid w:val="0E552DBD"/>
    <w:rsid w:val="101A42BE"/>
    <w:rsid w:val="105A31A5"/>
    <w:rsid w:val="11A575F1"/>
    <w:rsid w:val="120751BD"/>
    <w:rsid w:val="12577104"/>
    <w:rsid w:val="12745F08"/>
    <w:rsid w:val="128A1181"/>
    <w:rsid w:val="13E9702F"/>
    <w:rsid w:val="14DA03D4"/>
    <w:rsid w:val="18C536E2"/>
    <w:rsid w:val="1B587EFF"/>
    <w:rsid w:val="1B965141"/>
    <w:rsid w:val="1C035BCE"/>
    <w:rsid w:val="1CF00880"/>
    <w:rsid w:val="1D2E600F"/>
    <w:rsid w:val="1D4A57BE"/>
    <w:rsid w:val="22435E09"/>
    <w:rsid w:val="237925D6"/>
    <w:rsid w:val="25025A70"/>
    <w:rsid w:val="25AF5095"/>
    <w:rsid w:val="27536A11"/>
    <w:rsid w:val="27B60C7C"/>
    <w:rsid w:val="29E77BA2"/>
    <w:rsid w:val="29FF2103"/>
    <w:rsid w:val="2AF54300"/>
    <w:rsid w:val="2B345DDC"/>
    <w:rsid w:val="2B80263C"/>
    <w:rsid w:val="2BEE60E5"/>
    <w:rsid w:val="2D517119"/>
    <w:rsid w:val="31193843"/>
    <w:rsid w:val="31D5724A"/>
    <w:rsid w:val="34A73AC3"/>
    <w:rsid w:val="34DE0D6E"/>
    <w:rsid w:val="35FC3370"/>
    <w:rsid w:val="369F496F"/>
    <w:rsid w:val="370066E1"/>
    <w:rsid w:val="39457BDA"/>
    <w:rsid w:val="3C0B4937"/>
    <w:rsid w:val="3CAA5C20"/>
    <w:rsid w:val="41471CC2"/>
    <w:rsid w:val="418A4465"/>
    <w:rsid w:val="42C10446"/>
    <w:rsid w:val="48131B60"/>
    <w:rsid w:val="487C20F3"/>
    <w:rsid w:val="4BF929FE"/>
    <w:rsid w:val="4F407BF2"/>
    <w:rsid w:val="4F4B4B89"/>
    <w:rsid w:val="5043693E"/>
    <w:rsid w:val="507765E7"/>
    <w:rsid w:val="5134477F"/>
    <w:rsid w:val="51793729"/>
    <w:rsid w:val="52AB2578"/>
    <w:rsid w:val="53BA0C6B"/>
    <w:rsid w:val="547C0A4F"/>
    <w:rsid w:val="5B417EA0"/>
    <w:rsid w:val="5C0C052C"/>
    <w:rsid w:val="5C205738"/>
    <w:rsid w:val="5EB17E4C"/>
    <w:rsid w:val="607E751E"/>
    <w:rsid w:val="615838CB"/>
    <w:rsid w:val="623F1255"/>
    <w:rsid w:val="62F67840"/>
    <w:rsid w:val="63FB6FC6"/>
    <w:rsid w:val="64951382"/>
    <w:rsid w:val="672A5D0A"/>
    <w:rsid w:val="6FC84312"/>
    <w:rsid w:val="70DB0321"/>
    <w:rsid w:val="723110DE"/>
    <w:rsid w:val="74B44E65"/>
    <w:rsid w:val="765E7680"/>
    <w:rsid w:val="7A2D430B"/>
    <w:rsid w:val="7C155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eastAsia="Ђˎ̥"/>
      <w:kern w:val="0"/>
      <w:sz w:val="28"/>
      <w:szCs w:val="20"/>
    </w:rPr>
  </w:style>
  <w:style w:type="paragraph" w:styleId="6">
    <w:name w:val="heading 5"/>
    <w:basedOn w:val="1"/>
    <w:next w:val="1"/>
    <w:unhideWhenUsed/>
    <w:qFormat/>
    <w:uiPriority w:val="0"/>
    <w:pPr>
      <w:keepNext/>
      <w:keepLines/>
      <w:spacing w:line="372" w:lineRule="auto"/>
      <w:outlineLvl w:val="4"/>
    </w:pPr>
    <w:rPr>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numPr>
        <w:ilvl w:val="0"/>
        <w:numId w:val="1"/>
      </w:numPr>
    </w:pPr>
  </w:style>
  <w:style w:type="paragraph" w:styleId="8">
    <w:name w:val="Normal Indent"/>
    <w:basedOn w:val="1"/>
    <w:unhideWhenUsed/>
    <w:qFormat/>
    <w:uiPriority w:val="99"/>
    <w:pPr>
      <w:ind w:firstLine="420"/>
    </w:pPr>
    <w:rPr>
      <w:szCs w:val="20"/>
    </w:rPr>
  </w:style>
  <w:style w:type="paragraph" w:styleId="9">
    <w:name w:val="annotation text"/>
    <w:basedOn w:val="1"/>
    <w:unhideWhenUsed/>
    <w:qFormat/>
    <w:uiPriority w:val="99"/>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next w:val="12"/>
    <w:link w:val="35"/>
    <w:unhideWhenUsed/>
    <w:qFormat/>
    <w:uiPriority w:val="0"/>
    <w:pPr>
      <w:spacing w:after="120"/>
    </w:pPr>
  </w:style>
  <w:style w:type="paragraph" w:styleId="12">
    <w:name w:val="Body Text First Indent 2"/>
    <w:basedOn w:val="13"/>
    <w:unhideWhenUsed/>
    <w:qFormat/>
    <w:uiPriority w:val="99"/>
    <w:pPr>
      <w:tabs>
        <w:tab w:val="left" w:pos="0"/>
      </w:tabs>
      <w:spacing w:after="120"/>
      <w:ind w:left="420" w:leftChars="200" w:firstLine="420" w:firstLineChars="200"/>
    </w:pPr>
    <w:rPr>
      <w:spacing w:val="-4"/>
      <w:sz w:val="21"/>
    </w:rPr>
  </w:style>
  <w:style w:type="paragraph" w:styleId="13">
    <w:name w:val="Body Text Indent"/>
    <w:basedOn w:val="1"/>
    <w:qFormat/>
    <w:uiPriority w:val="99"/>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next w:val="1"/>
    <w:qFormat/>
    <w:uiPriority w:val="99"/>
    <w:rPr>
      <w:rFonts w:ascii="宋体" w:hAnsi="Courier New"/>
      <w:kern w:val="0"/>
      <w:sz w:val="20"/>
      <w:szCs w:val="21"/>
    </w:rPr>
  </w:style>
  <w:style w:type="paragraph" w:styleId="17">
    <w:name w:val="footer"/>
    <w:basedOn w:val="1"/>
    <w:next w:val="1"/>
    <w:unhideWhenUsed/>
    <w:qFormat/>
    <w:uiPriority w:val="99"/>
    <w:pPr>
      <w:tabs>
        <w:tab w:val="center" w:pos="4153"/>
        <w:tab w:val="right" w:pos="8306"/>
      </w:tabs>
      <w:snapToGrid w:val="0"/>
      <w:jc w:val="left"/>
    </w:pPr>
    <w:rPr>
      <w:kern w:val="0"/>
      <w:sz w:val="18"/>
      <w:szCs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0"/>
  </w:style>
  <w:style w:type="paragraph" w:styleId="20">
    <w:name w:val="List"/>
    <w:basedOn w:val="1"/>
    <w:unhideWhenUsed/>
    <w:qFormat/>
    <w:uiPriority w:val="99"/>
    <w:pPr>
      <w:ind w:left="200" w:hanging="200" w:hangingChars="200"/>
      <w:contextualSpacing/>
    </w:pPr>
  </w:style>
  <w:style w:type="paragraph" w:styleId="21">
    <w:name w:val="Body Text Indent 3"/>
    <w:basedOn w:val="1"/>
    <w:next w:val="22"/>
    <w:qFormat/>
    <w:uiPriority w:val="0"/>
    <w:pPr>
      <w:spacing w:after="120"/>
      <w:ind w:left="420" w:leftChars="200"/>
    </w:pPr>
    <w:rPr>
      <w:kern w:val="0"/>
      <w:sz w:val="16"/>
      <w:szCs w:val="16"/>
    </w:rPr>
  </w:style>
  <w:style w:type="paragraph" w:styleId="22">
    <w:name w:val="index 1"/>
    <w:basedOn w:val="1"/>
    <w:next w:val="1"/>
    <w:qFormat/>
    <w:uiPriority w:val="0"/>
    <w:pPr>
      <w:spacing w:line="400" w:lineRule="exact"/>
      <w:ind w:firstLine="420" w:firstLineChars="200"/>
    </w:pPr>
    <w:rPr>
      <w:rFonts w:ascii="宋体" w:hAnsi="Courier New"/>
      <w:b/>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unhideWhenUsed/>
    <w:qFormat/>
    <w:uiPriority w:val="99"/>
  </w:style>
  <w:style w:type="character" w:styleId="27">
    <w:name w:val="FollowedHyperlink"/>
    <w:basedOn w:val="25"/>
    <w:unhideWhenUsed/>
    <w:qFormat/>
    <w:uiPriority w:val="99"/>
    <w:rPr>
      <w:color w:val="800080"/>
      <w:u w:val="single"/>
    </w:rPr>
  </w:style>
  <w:style w:type="character" w:styleId="28">
    <w:name w:val="Hyperlink"/>
    <w:unhideWhenUsed/>
    <w:qFormat/>
    <w:uiPriority w:val="99"/>
    <w:rPr>
      <w:color w:val="0000FF"/>
      <w:u w:val="single"/>
    </w:rPr>
  </w:style>
  <w:style w:type="paragraph" w:customStyle="1" w:styleId="29">
    <w:name w:val="列出段落1"/>
    <w:basedOn w:val="1"/>
    <w:qFormat/>
    <w:uiPriority w:val="34"/>
    <w:pPr>
      <w:ind w:firstLine="420" w:firstLineChars="200"/>
    </w:pPr>
    <w:rPr>
      <w:rFonts w:ascii="宋体" w:hAnsi="Courier New"/>
      <w:szCs w:val="20"/>
    </w:rPr>
  </w:style>
  <w:style w:type="paragraph" w:customStyle="1" w:styleId="30">
    <w:name w:val="正文2"/>
    <w:basedOn w:val="1"/>
    <w:qFormat/>
    <w:uiPriority w:val="0"/>
    <w:pPr>
      <w:adjustRightInd w:val="0"/>
      <w:spacing w:before="156" w:line="360" w:lineRule="auto"/>
      <w:ind w:firstLine="510" w:firstLineChars="200"/>
    </w:pPr>
    <w:rPr>
      <w:kern w:val="0"/>
      <w:sz w:val="24"/>
      <w:szCs w:val="20"/>
    </w:rPr>
  </w:style>
  <w:style w:type="paragraph" w:customStyle="1" w:styleId="31">
    <w:name w:val="Table Text"/>
    <w:basedOn w:val="1"/>
    <w:semiHidden/>
    <w:qFormat/>
    <w:uiPriority w:val="0"/>
    <w:rPr>
      <w:rFonts w:ascii="宋体" w:hAnsi="宋体" w:cs="宋体"/>
      <w:sz w:val="20"/>
      <w:szCs w:val="20"/>
      <w:lang w:eastAsia="en-US"/>
    </w:rPr>
  </w:style>
  <w:style w:type="table" w:customStyle="1" w:styleId="32">
    <w:name w:val="Table Normal"/>
    <w:unhideWhenUsed/>
    <w:qFormat/>
    <w:uiPriority w:val="0"/>
    <w:tblPr>
      <w:tblCellMar>
        <w:top w:w="0" w:type="dxa"/>
        <w:left w:w="0" w:type="dxa"/>
        <w:bottom w:w="0" w:type="dxa"/>
        <w:right w:w="0" w:type="dxa"/>
      </w:tblCellMar>
    </w:tblPr>
  </w:style>
  <w:style w:type="character" w:customStyle="1" w:styleId="33">
    <w:name w:val="font21"/>
    <w:basedOn w:val="25"/>
    <w:qFormat/>
    <w:uiPriority w:val="0"/>
    <w:rPr>
      <w:rFonts w:hint="eastAsia" w:ascii="宋体" w:hAnsi="宋体" w:eastAsia="宋体" w:cs="宋体"/>
      <w:color w:val="000000"/>
      <w:sz w:val="20"/>
      <w:szCs w:val="20"/>
      <w:u w:val="none"/>
    </w:rPr>
  </w:style>
  <w:style w:type="character" w:customStyle="1" w:styleId="34">
    <w:name w:val="font31"/>
    <w:basedOn w:val="25"/>
    <w:qFormat/>
    <w:uiPriority w:val="0"/>
    <w:rPr>
      <w:rFonts w:ascii="Arial" w:hAnsi="Arial" w:cs="Arial"/>
      <w:color w:val="000000"/>
      <w:sz w:val="20"/>
      <w:szCs w:val="20"/>
      <w:u w:val="none"/>
    </w:rPr>
  </w:style>
  <w:style w:type="character" w:customStyle="1" w:styleId="35">
    <w:name w:val="正文文本 Char1"/>
    <w:link w:val="11"/>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3889</Words>
  <Characters>4226</Characters>
  <Lines>337</Lines>
  <Paragraphs>94</Paragraphs>
  <TotalTime>62</TotalTime>
  <ScaleCrop>false</ScaleCrop>
  <LinksUpToDate>false</LinksUpToDate>
  <CharactersWithSpaces>4311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2025-04-29T07:48:00Z</dcterms:created>
  <dc:creator>Administrator</dc:creator>
  <cp:lastModifiedBy>Administrator</cp:lastModifiedBy>
  <dcterms:modified xsi:type="dcterms:W3CDTF">2025-05-14T09:54:05Z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DB3E5988C22340D482CAF41498CD3E8E_13</vt:lpwstr>
  </property>
  <property fmtid="{D5CDD505-2E9C-101B-9397-08002B2CF9AE}" pid="4" name="KSOTemplateDocerSaveRecord">
    <vt:lpwstr>eyJoZGlkIjoiMWFiODhjMzlmNWU0NmU1YmQ2MTQ0ODAzN2Q5MmE2NTQiLCJ1c2VySWQiOiIxNTY2NzM1MDQxIn0=</vt:lpwstr>
  </property>
</Properties>
</file>