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E9B2E9">
      <w:pPr>
        <w:jc w:val="center"/>
        <w:rPr>
          <w:rFonts w:ascii="宋体" w:hAnsi="宋体" w:cs="宋体"/>
          <w:b/>
          <w:color w:val="auto"/>
          <w:sz w:val="52"/>
          <w:szCs w:val="52"/>
          <w:highlight w:val="none"/>
          <w:u w:val="single"/>
        </w:rPr>
      </w:pPr>
      <w:r>
        <w:rPr>
          <w:rFonts w:hint="eastAsia" w:ascii="黑体" w:hAnsi="宋体" w:eastAsia="黑体" w:cs="宋体"/>
          <w:b/>
          <w:bCs/>
          <w:color w:val="auto"/>
          <w:kern w:val="0"/>
          <w:sz w:val="36"/>
          <w:szCs w:val="36"/>
          <w:highlight w:val="none"/>
        </w:rPr>
        <w:drawing>
          <wp:inline distT="0" distB="0" distL="114300" distR="114300">
            <wp:extent cx="912495" cy="723265"/>
            <wp:effectExtent l="0" t="0" r="0" b="0"/>
            <wp:docPr id="3" name="图片 2" descr="鸿业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鸿业新LOGO"/>
                    <pic:cNvPicPr>
                      <a:picLocks noChangeAspect="1"/>
                    </pic:cNvPicPr>
                  </pic:nvPicPr>
                  <pic:blipFill>
                    <a:blip r:embed="rId9"/>
                    <a:srcRect l="12125" t="19717" r="6357" b="15656"/>
                    <a:stretch>
                      <a:fillRect/>
                    </a:stretch>
                  </pic:blipFill>
                  <pic:spPr>
                    <a:xfrm>
                      <a:off x="0" y="0"/>
                      <a:ext cx="912495" cy="723265"/>
                    </a:xfrm>
                    <a:prstGeom prst="rect">
                      <a:avLst/>
                    </a:prstGeom>
                    <a:noFill/>
                    <a:ln>
                      <a:noFill/>
                    </a:ln>
                  </pic:spPr>
                </pic:pic>
              </a:graphicData>
            </a:graphic>
          </wp:inline>
        </w:drawing>
      </w:r>
      <w:r>
        <w:rPr>
          <w:rFonts w:hint="eastAsia" w:ascii="宋体" w:hAnsi="宋体" w:cs="宋体"/>
          <w:b/>
          <w:color w:val="auto"/>
          <w:sz w:val="44"/>
          <w:szCs w:val="44"/>
          <w:highlight w:val="none"/>
        </w:rPr>
        <w:t xml:space="preserve"> 广西鸿业建设工程管理咨询有限</w:t>
      </w:r>
      <w:r>
        <w:rPr>
          <w:rFonts w:hint="eastAsia" w:ascii="宋体" w:hAnsi="宋体" w:cs="宋体"/>
          <w:b/>
          <w:bCs/>
          <w:color w:val="auto"/>
          <w:sz w:val="48"/>
          <w:szCs w:val="48"/>
          <w:highlight w:val="none"/>
        </w:rPr>
        <w:t>公</w:t>
      </w:r>
      <w:r>
        <w:rPr>
          <w:rFonts w:hint="eastAsia" w:ascii="宋体" w:hAnsi="宋体" w:cs="宋体"/>
          <w:b/>
          <w:color w:val="auto"/>
          <w:sz w:val="48"/>
          <w:szCs w:val="48"/>
          <w:highlight w:val="none"/>
        </w:rPr>
        <w:t>司</w:t>
      </w:r>
    </w:p>
    <w:tbl>
      <w:tblPr>
        <w:tblStyle w:val="48"/>
        <w:tblW w:w="9180" w:type="dxa"/>
        <w:jc w:val="center"/>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180"/>
      </w:tblGrid>
      <w:tr w14:paraId="6397592A">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jc w:val="center"/>
        </w:trPr>
        <w:tc>
          <w:tcPr>
            <w:tcW w:w="9180" w:type="dxa"/>
            <w:tcBorders>
              <w:top w:val="thickThinSmallGap" w:color="auto" w:sz="24" w:space="0"/>
            </w:tcBorders>
          </w:tcPr>
          <w:p w14:paraId="527F246B">
            <w:pPr>
              <w:spacing w:line="240" w:lineRule="exact"/>
              <w:jc w:val="center"/>
              <w:rPr>
                <w:rFonts w:ascii="楷体_GB2312" w:hAnsi="宋体" w:eastAsia="楷体_GB2312" w:cs="宋体"/>
                <w:bCs/>
                <w:color w:val="auto"/>
                <w:kern w:val="0"/>
                <w:sz w:val="28"/>
                <w:szCs w:val="28"/>
                <w:highlight w:val="none"/>
              </w:rPr>
            </w:pPr>
          </w:p>
        </w:tc>
      </w:tr>
    </w:tbl>
    <w:p w14:paraId="72E10236">
      <w:pPr>
        <w:spacing w:line="360" w:lineRule="auto"/>
        <w:jc w:val="center"/>
        <w:rPr>
          <w:rFonts w:ascii="方正小标宋简体" w:hAnsi="方正小标宋简体" w:eastAsia="方正小标宋简体" w:cs="方正小标宋简体"/>
          <w:b/>
          <w:color w:val="auto"/>
          <w:sz w:val="44"/>
          <w:szCs w:val="44"/>
          <w:highlight w:val="none"/>
        </w:rPr>
      </w:pPr>
    </w:p>
    <w:p w14:paraId="7E333CD5">
      <w:pPr>
        <w:spacing w:line="360" w:lineRule="auto"/>
        <w:jc w:val="center"/>
        <w:rPr>
          <w:rFonts w:ascii="方正小标宋简体" w:hAnsi="方正小标宋简体" w:eastAsia="方正小标宋简体" w:cs="方正小标宋简体"/>
          <w:b/>
          <w:color w:val="auto"/>
          <w:sz w:val="44"/>
          <w:szCs w:val="44"/>
          <w:highlight w:val="none"/>
        </w:rPr>
      </w:pPr>
    </w:p>
    <w:p w14:paraId="5596F8EF">
      <w:pPr>
        <w:snapToGrid w:val="0"/>
        <w:spacing w:beforeLines="50" w:line="360" w:lineRule="auto"/>
        <w:jc w:val="center"/>
        <w:rPr>
          <w:rFonts w:ascii="华文新魏" w:hAnsi="宋体" w:eastAsia="华文新魏"/>
          <w:color w:val="auto"/>
          <w:sz w:val="72"/>
          <w:szCs w:val="72"/>
          <w:highlight w:val="none"/>
        </w:rPr>
      </w:pPr>
      <w:r>
        <w:rPr>
          <w:rFonts w:hint="eastAsia" w:ascii="华文新魏" w:hAnsi="宋体" w:eastAsia="华文新魏"/>
          <w:color w:val="auto"/>
          <w:sz w:val="120"/>
          <w:szCs w:val="120"/>
          <w:highlight w:val="none"/>
        </w:rPr>
        <w:t>招 标 文 件</w:t>
      </w:r>
    </w:p>
    <w:p w14:paraId="484BF124">
      <w:pPr>
        <w:snapToGrid w:val="0"/>
        <w:spacing w:beforeLines="50" w:line="360" w:lineRule="auto"/>
        <w:jc w:val="center"/>
        <w:rPr>
          <w:rFonts w:ascii="仿宋_GB2312" w:hAnsi="宋体" w:eastAsia="仿宋_GB2312"/>
          <w:b/>
          <w:color w:val="auto"/>
          <w:sz w:val="48"/>
          <w:szCs w:val="48"/>
          <w:highlight w:val="none"/>
        </w:rPr>
      </w:pPr>
      <w:r>
        <w:rPr>
          <w:rFonts w:hint="eastAsia" w:ascii="仿宋_GB2312" w:hAnsi="宋体" w:eastAsia="仿宋_GB2312"/>
          <w:b/>
          <w:color w:val="auto"/>
          <w:sz w:val="48"/>
          <w:szCs w:val="48"/>
          <w:highlight w:val="none"/>
        </w:rPr>
        <w:t>（全流程电子化采购）</w:t>
      </w:r>
    </w:p>
    <w:p w14:paraId="13914BC0">
      <w:pPr>
        <w:pStyle w:val="26"/>
        <w:snapToGrid w:val="0"/>
        <w:spacing w:line="360" w:lineRule="auto"/>
        <w:rPr>
          <w:rFonts w:ascii="仿宋_GB2312" w:hAnsi="宋体" w:eastAsia="仿宋_GB2312"/>
          <w:b/>
          <w:bCs/>
          <w:color w:val="auto"/>
          <w:sz w:val="30"/>
          <w:szCs w:val="30"/>
          <w:highlight w:val="none"/>
        </w:rPr>
      </w:pPr>
    </w:p>
    <w:p w14:paraId="07AB6801">
      <w:pPr>
        <w:pStyle w:val="26"/>
        <w:snapToGrid w:val="0"/>
        <w:spacing w:line="360" w:lineRule="auto"/>
        <w:ind w:firstLine="1205" w:firstLineChars="400"/>
        <w:rPr>
          <w:rFonts w:ascii="仿宋_GB2312" w:hAnsi="宋体" w:eastAsia="仿宋_GB2312"/>
          <w:b/>
          <w:bCs/>
          <w:color w:val="auto"/>
          <w:sz w:val="30"/>
          <w:szCs w:val="30"/>
          <w:highlight w:val="none"/>
        </w:rPr>
      </w:pPr>
      <w:r>
        <w:rPr>
          <w:rFonts w:hint="eastAsia" w:ascii="仿宋_GB2312" w:hAnsi="宋体" w:eastAsia="仿宋_GB2312"/>
          <w:b/>
          <w:bCs/>
          <w:color w:val="auto"/>
          <w:sz w:val="30"/>
          <w:szCs w:val="30"/>
          <w:highlight w:val="none"/>
        </w:rPr>
        <w:t>项目</w:t>
      </w:r>
      <w:r>
        <w:rPr>
          <w:rFonts w:hint="eastAsia" w:ascii="仿宋_GB2312" w:hAnsi="宋体" w:eastAsia="仿宋_GB2312" w:cs="Courier New"/>
          <w:b/>
          <w:bCs/>
          <w:color w:val="auto"/>
          <w:w w:val="95"/>
          <w:sz w:val="30"/>
          <w:szCs w:val="30"/>
          <w:highlight w:val="none"/>
        </w:rPr>
        <w:t>名称</w:t>
      </w:r>
      <w:r>
        <w:rPr>
          <w:rFonts w:hint="eastAsia" w:ascii="仿宋_GB2312" w:hAnsi="宋体" w:eastAsia="仿宋_GB2312"/>
          <w:b/>
          <w:bCs/>
          <w:color w:val="auto"/>
          <w:sz w:val="30"/>
          <w:szCs w:val="30"/>
          <w:highlight w:val="none"/>
        </w:rPr>
        <w:t>：防城港市公安局移动警务通流量套餐服务采购</w:t>
      </w:r>
    </w:p>
    <w:p w14:paraId="5F4BA827">
      <w:pPr>
        <w:pStyle w:val="26"/>
        <w:snapToGrid w:val="0"/>
        <w:spacing w:line="360" w:lineRule="auto"/>
        <w:ind w:firstLine="1145" w:firstLineChars="400"/>
        <w:rPr>
          <w:rFonts w:hint="eastAsia" w:ascii="仿宋_GB2312" w:hAnsi="宋体" w:eastAsia="仿宋_GB2312"/>
          <w:color w:val="auto"/>
          <w:sz w:val="30"/>
          <w:szCs w:val="72"/>
          <w:highlight w:val="none"/>
          <w:lang w:eastAsia="zh-CN"/>
        </w:rPr>
      </w:pPr>
      <w:r>
        <w:rPr>
          <w:rFonts w:hint="eastAsia" w:ascii="仿宋_GB2312" w:hAnsi="宋体" w:eastAsia="仿宋_GB2312" w:cs="Courier New"/>
          <w:b/>
          <w:bCs/>
          <w:color w:val="auto"/>
          <w:w w:val="95"/>
          <w:sz w:val="30"/>
          <w:szCs w:val="30"/>
          <w:highlight w:val="none"/>
        </w:rPr>
        <w:t>项目</w:t>
      </w:r>
      <w:r>
        <w:rPr>
          <w:rFonts w:hint="eastAsia" w:ascii="仿宋_GB2312" w:hAnsi="宋体" w:eastAsia="仿宋_GB2312"/>
          <w:b/>
          <w:bCs/>
          <w:color w:val="auto"/>
          <w:sz w:val="30"/>
          <w:szCs w:val="30"/>
          <w:highlight w:val="none"/>
        </w:rPr>
        <w:t>编号</w:t>
      </w:r>
      <w:r>
        <w:rPr>
          <w:rFonts w:hint="eastAsia" w:ascii="仿宋_GB2312" w:hAnsi="宋体" w:eastAsia="仿宋_GB2312" w:cs="Courier New"/>
          <w:b/>
          <w:bCs/>
          <w:color w:val="auto"/>
          <w:w w:val="95"/>
          <w:sz w:val="30"/>
          <w:szCs w:val="30"/>
          <w:highlight w:val="none"/>
        </w:rPr>
        <w:t>：</w:t>
      </w:r>
      <w:r>
        <w:rPr>
          <w:rFonts w:hint="eastAsia" w:ascii="仿宋_GB2312" w:hAnsi="宋体" w:eastAsia="仿宋_GB2312" w:cs="Courier New"/>
          <w:b/>
          <w:bCs/>
          <w:color w:val="auto"/>
          <w:w w:val="95"/>
          <w:sz w:val="30"/>
          <w:szCs w:val="30"/>
          <w:highlight w:val="none"/>
          <w:lang w:eastAsia="zh-CN"/>
        </w:rPr>
        <w:t>FCZC2025-G3-990122-GXHY</w:t>
      </w:r>
    </w:p>
    <w:p w14:paraId="09965DEA">
      <w:pPr>
        <w:pStyle w:val="26"/>
        <w:snapToGrid w:val="0"/>
        <w:spacing w:line="360" w:lineRule="auto"/>
        <w:ind w:firstLine="1125" w:firstLineChars="393"/>
        <w:rPr>
          <w:rFonts w:ascii="仿宋_GB2312" w:hAnsi="宋体" w:eastAsia="仿宋_GB2312"/>
          <w:b/>
          <w:bCs/>
          <w:color w:val="auto"/>
          <w:w w:val="95"/>
          <w:sz w:val="30"/>
          <w:szCs w:val="30"/>
          <w:highlight w:val="none"/>
        </w:rPr>
      </w:pPr>
    </w:p>
    <w:p w14:paraId="7B7AF1CD">
      <w:pPr>
        <w:pStyle w:val="26"/>
        <w:snapToGrid w:val="0"/>
        <w:spacing w:line="360" w:lineRule="auto"/>
        <w:ind w:firstLine="1125" w:firstLineChars="393"/>
        <w:rPr>
          <w:rFonts w:ascii="仿宋_GB2312" w:hAnsi="宋体" w:eastAsia="仿宋_GB2312"/>
          <w:b/>
          <w:bCs/>
          <w:color w:val="auto"/>
          <w:w w:val="95"/>
          <w:sz w:val="30"/>
          <w:szCs w:val="30"/>
          <w:highlight w:val="none"/>
        </w:rPr>
      </w:pPr>
    </w:p>
    <w:p w14:paraId="253E0150">
      <w:pPr>
        <w:pStyle w:val="26"/>
        <w:snapToGrid w:val="0"/>
        <w:spacing w:line="360" w:lineRule="auto"/>
        <w:ind w:firstLine="1125" w:firstLineChars="393"/>
        <w:rPr>
          <w:rFonts w:ascii="仿宋_GB2312" w:hAnsi="宋体" w:eastAsia="仿宋_GB2312"/>
          <w:b/>
          <w:bCs/>
          <w:color w:val="auto"/>
          <w:w w:val="95"/>
          <w:sz w:val="30"/>
          <w:szCs w:val="30"/>
          <w:highlight w:val="none"/>
        </w:rPr>
      </w:pPr>
    </w:p>
    <w:p w14:paraId="69F59839">
      <w:pPr>
        <w:spacing w:line="480" w:lineRule="auto"/>
        <w:rPr>
          <w:color w:val="auto"/>
          <w:highlight w:val="none"/>
        </w:rPr>
      </w:pPr>
    </w:p>
    <w:p w14:paraId="7C64D792">
      <w:pPr>
        <w:pStyle w:val="26"/>
        <w:snapToGrid w:val="0"/>
        <w:spacing w:line="480" w:lineRule="auto"/>
        <w:ind w:firstLine="1145" w:firstLineChars="400"/>
        <w:rPr>
          <w:rFonts w:ascii="仿宋_GB2312" w:hAnsi="宋体" w:eastAsia="仿宋_GB2312"/>
          <w:b/>
          <w:bCs/>
          <w:color w:val="auto"/>
          <w:w w:val="95"/>
          <w:sz w:val="30"/>
          <w:szCs w:val="30"/>
          <w:highlight w:val="none"/>
        </w:rPr>
      </w:pPr>
      <w:r>
        <w:rPr>
          <w:rFonts w:hint="eastAsia" w:ascii="仿宋_GB2312" w:hAnsi="宋体" w:eastAsia="仿宋_GB2312"/>
          <w:b/>
          <w:bCs/>
          <w:color w:val="auto"/>
          <w:w w:val="95"/>
          <w:sz w:val="30"/>
          <w:szCs w:val="30"/>
          <w:highlight w:val="none"/>
        </w:rPr>
        <w:t>采购人：防城港市公安局</w:t>
      </w:r>
    </w:p>
    <w:p w14:paraId="34F98D4F">
      <w:pPr>
        <w:pStyle w:val="26"/>
        <w:snapToGrid w:val="0"/>
        <w:spacing w:line="480" w:lineRule="auto"/>
        <w:ind w:firstLine="1125" w:firstLineChars="393"/>
        <w:rPr>
          <w:rFonts w:ascii="仿宋_GB2312" w:hAnsi="宋体" w:eastAsia="仿宋_GB2312"/>
          <w:b/>
          <w:bCs/>
          <w:color w:val="auto"/>
          <w:w w:val="95"/>
          <w:sz w:val="30"/>
          <w:szCs w:val="30"/>
          <w:highlight w:val="none"/>
        </w:rPr>
      </w:pPr>
      <w:r>
        <w:rPr>
          <w:rFonts w:hint="eastAsia" w:ascii="仿宋_GB2312" w:hAnsi="宋体" w:eastAsia="仿宋_GB2312"/>
          <w:b/>
          <w:bCs/>
          <w:color w:val="auto"/>
          <w:w w:val="95"/>
          <w:sz w:val="30"/>
          <w:szCs w:val="30"/>
          <w:highlight w:val="none"/>
        </w:rPr>
        <w:t>采购代理机构：广西鸿业建设工程管理咨询有限公司</w:t>
      </w:r>
    </w:p>
    <w:p w14:paraId="3EA6BCD0">
      <w:pPr>
        <w:spacing w:before="98" w:line="480" w:lineRule="auto"/>
        <w:ind w:firstLine="1205" w:firstLineChars="400"/>
        <w:rPr>
          <w:rFonts w:ascii="宋体" w:hAnsi="宋体" w:cs="宋体"/>
          <w:b/>
          <w:bCs/>
          <w:color w:val="auto"/>
          <w:sz w:val="30"/>
          <w:szCs w:val="30"/>
          <w:highlight w:val="none"/>
        </w:rPr>
        <w:sectPr>
          <w:pgSz w:w="11907" w:h="16840"/>
          <w:pgMar w:top="1440" w:right="1080" w:bottom="1440" w:left="1080" w:header="0" w:footer="0" w:gutter="0"/>
          <w:cols w:space="720" w:num="1"/>
        </w:sectPr>
      </w:pPr>
      <w:r>
        <w:rPr>
          <w:rFonts w:hint="eastAsia" w:ascii="宋体" w:hAnsi="宋体" w:cs="宋体"/>
          <w:b/>
          <w:bCs/>
          <w:color w:val="auto"/>
          <w:sz w:val="30"/>
          <w:szCs w:val="30"/>
          <w:highlight w:val="none"/>
        </w:rPr>
        <w:t>日期：2025年9月</w:t>
      </w:r>
    </w:p>
    <w:p w14:paraId="23770148">
      <w:pPr>
        <w:pStyle w:val="26"/>
        <w:spacing w:before="120" w:after="120" w:line="360" w:lineRule="auto"/>
        <w:jc w:val="center"/>
        <w:rPr>
          <w:rFonts w:hAnsi="宋体"/>
          <w:b/>
          <w:color w:val="auto"/>
          <w:sz w:val="44"/>
          <w:szCs w:val="44"/>
          <w:highlight w:val="none"/>
        </w:rPr>
      </w:pPr>
      <w:r>
        <w:rPr>
          <w:rFonts w:hint="eastAsia" w:hAnsi="宋体"/>
          <w:b/>
          <w:color w:val="auto"/>
          <w:sz w:val="44"/>
          <w:szCs w:val="44"/>
          <w:highlight w:val="none"/>
        </w:rPr>
        <w:t>目  录</w:t>
      </w:r>
    </w:p>
    <w:p w14:paraId="32EEA69B">
      <w:pPr>
        <w:spacing w:line="400" w:lineRule="exact"/>
        <w:jc w:val="center"/>
        <w:rPr>
          <w:rFonts w:ascii="宋体" w:hAnsi="宋体"/>
          <w:b/>
          <w:color w:val="auto"/>
          <w:sz w:val="44"/>
          <w:szCs w:val="44"/>
          <w:highlight w:val="none"/>
        </w:rPr>
      </w:pPr>
    </w:p>
    <w:p w14:paraId="68E1EEA9">
      <w:pPr>
        <w:pStyle w:val="34"/>
        <w:tabs>
          <w:tab w:val="right" w:leader="dot" w:pos="9637"/>
          <w:tab w:val="clear" w:pos="8398"/>
        </w:tabs>
        <w:ind w:firstLine="300"/>
        <w:rPr>
          <w:color w:val="auto"/>
          <w:sz w:val="30"/>
          <w:szCs w:val="30"/>
          <w:highlight w:val="none"/>
        </w:rPr>
      </w:pPr>
      <w:r>
        <w:rPr>
          <w:rFonts w:ascii="仿宋_GB2312" w:eastAsia="仿宋_GB2312"/>
          <w:b w:val="0"/>
          <w:color w:val="auto"/>
          <w:sz w:val="30"/>
          <w:szCs w:val="30"/>
          <w:highlight w:val="none"/>
        </w:rPr>
        <w:fldChar w:fldCharType="begin"/>
      </w:r>
      <w:r>
        <w:rPr>
          <w:rFonts w:hint="eastAsia" w:ascii="仿宋_GB2312" w:eastAsia="仿宋_GB2312"/>
          <w:b w:val="0"/>
          <w:color w:val="auto"/>
          <w:sz w:val="30"/>
          <w:szCs w:val="30"/>
          <w:highlight w:val="none"/>
        </w:rPr>
        <w:instrText xml:space="preserve">TOC \o "1-2" \h \z \u</w:instrText>
      </w:r>
      <w:r>
        <w:rPr>
          <w:rFonts w:ascii="仿宋_GB2312" w:eastAsia="仿宋_GB2312"/>
          <w:b w:val="0"/>
          <w:color w:val="auto"/>
          <w:sz w:val="30"/>
          <w:szCs w:val="30"/>
          <w:highlight w:val="none"/>
        </w:rPr>
        <w:fldChar w:fldCharType="separate"/>
      </w:r>
      <w:r>
        <w:rPr>
          <w:color w:val="auto"/>
          <w:highlight w:val="none"/>
        </w:rPr>
        <w:fldChar w:fldCharType="begin"/>
      </w:r>
      <w:r>
        <w:rPr>
          <w:color w:val="auto"/>
          <w:highlight w:val="none"/>
        </w:rPr>
        <w:instrText xml:space="preserve"> HYPERLINK \l "_Toc27593" </w:instrText>
      </w:r>
      <w:r>
        <w:rPr>
          <w:color w:val="auto"/>
          <w:highlight w:val="none"/>
        </w:rPr>
        <w:fldChar w:fldCharType="separate"/>
      </w:r>
      <w:r>
        <w:rPr>
          <w:rFonts w:hint="eastAsia"/>
          <w:color w:val="auto"/>
          <w:sz w:val="30"/>
          <w:szCs w:val="30"/>
          <w:highlight w:val="none"/>
        </w:rPr>
        <w:t>第一章 招标公告</w:t>
      </w:r>
      <w:r>
        <w:rPr>
          <w:color w:val="auto"/>
          <w:sz w:val="30"/>
          <w:szCs w:val="30"/>
          <w:highlight w:val="none"/>
        </w:rPr>
        <w:tab/>
      </w:r>
      <w:r>
        <w:rPr>
          <w:color w:val="auto"/>
          <w:sz w:val="30"/>
          <w:szCs w:val="30"/>
          <w:highlight w:val="none"/>
        </w:rPr>
        <w:fldChar w:fldCharType="begin"/>
      </w:r>
      <w:r>
        <w:rPr>
          <w:color w:val="auto"/>
          <w:sz w:val="30"/>
          <w:szCs w:val="30"/>
          <w:highlight w:val="none"/>
        </w:rPr>
        <w:instrText xml:space="preserve"> PAGEREF _Toc27593 \h </w:instrText>
      </w:r>
      <w:r>
        <w:rPr>
          <w:color w:val="auto"/>
          <w:sz w:val="30"/>
          <w:szCs w:val="30"/>
          <w:highlight w:val="none"/>
        </w:rPr>
        <w:fldChar w:fldCharType="separate"/>
      </w:r>
      <w:r>
        <w:rPr>
          <w:color w:val="auto"/>
          <w:sz w:val="30"/>
          <w:szCs w:val="30"/>
          <w:highlight w:val="none"/>
        </w:rPr>
        <w:t>1</w:t>
      </w:r>
      <w:r>
        <w:rPr>
          <w:color w:val="auto"/>
          <w:sz w:val="30"/>
          <w:szCs w:val="30"/>
          <w:highlight w:val="none"/>
        </w:rPr>
        <w:fldChar w:fldCharType="end"/>
      </w:r>
      <w:r>
        <w:rPr>
          <w:color w:val="auto"/>
          <w:sz w:val="30"/>
          <w:szCs w:val="30"/>
          <w:highlight w:val="none"/>
        </w:rPr>
        <w:fldChar w:fldCharType="end"/>
      </w:r>
    </w:p>
    <w:p w14:paraId="77BEFB36">
      <w:pPr>
        <w:pStyle w:val="34"/>
        <w:tabs>
          <w:tab w:val="right" w:leader="dot" w:pos="9637"/>
          <w:tab w:val="clear" w:pos="8398"/>
        </w:tabs>
        <w:ind w:firstLine="301"/>
        <w:rPr>
          <w:color w:val="auto"/>
          <w:sz w:val="30"/>
          <w:szCs w:val="30"/>
          <w:highlight w:val="none"/>
        </w:rPr>
      </w:pPr>
      <w:r>
        <w:rPr>
          <w:color w:val="auto"/>
          <w:highlight w:val="none"/>
        </w:rPr>
        <w:fldChar w:fldCharType="begin"/>
      </w:r>
      <w:r>
        <w:rPr>
          <w:color w:val="auto"/>
          <w:highlight w:val="none"/>
        </w:rPr>
        <w:instrText xml:space="preserve"> HYPERLINK \l "_Toc26893" </w:instrText>
      </w:r>
      <w:r>
        <w:rPr>
          <w:color w:val="auto"/>
          <w:highlight w:val="none"/>
        </w:rPr>
        <w:fldChar w:fldCharType="separate"/>
      </w:r>
      <w:r>
        <w:rPr>
          <w:rFonts w:hint="eastAsia"/>
          <w:color w:val="auto"/>
          <w:sz w:val="30"/>
          <w:szCs w:val="30"/>
          <w:highlight w:val="none"/>
        </w:rPr>
        <w:t>第二章 采购需求</w:t>
      </w:r>
      <w:r>
        <w:rPr>
          <w:color w:val="auto"/>
          <w:sz w:val="30"/>
          <w:szCs w:val="30"/>
          <w:highlight w:val="none"/>
        </w:rPr>
        <w:tab/>
      </w:r>
      <w:r>
        <w:rPr>
          <w:color w:val="auto"/>
          <w:sz w:val="30"/>
          <w:szCs w:val="30"/>
          <w:highlight w:val="none"/>
        </w:rPr>
        <w:fldChar w:fldCharType="begin"/>
      </w:r>
      <w:r>
        <w:rPr>
          <w:color w:val="auto"/>
          <w:sz w:val="30"/>
          <w:szCs w:val="30"/>
          <w:highlight w:val="none"/>
        </w:rPr>
        <w:instrText xml:space="preserve"> PAGEREF _Toc26893 \h </w:instrText>
      </w:r>
      <w:r>
        <w:rPr>
          <w:color w:val="auto"/>
          <w:sz w:val="30"/>
          <w:szCs w:val="30"/>
          <w:highlight w:val="none"/>
        </w:rPr>
        <w:fldChar w:fldCharType="separate"/>
      </w:r>
      <w:r>
        <w:rPr>
          <w:color w:val="auto"/>
          <w:sz w:val="30"/>
          <w:szCs w:val="30"/>
          <w:highlight w:val="none"/>
        </w:rPr>
        <w:t>4</w:t>
      </w:r>
      <w:r>
        <w:rPr>
          <w:color w:val="auto"/>
          <w:sz w:val="30"/>
          <w:szCs w:val="30"/>
          <w:highlight w:val="none"/>
        </w:rPr>
        <w:fldChar w:fldCharType="end"/>
      </w:r>
      <w:r>
        <w:rPr>
          <w:color w:val="auto"/>
          <w:sz w:val="30"/>
          <w:szCs w:val="30"/>
          <w:highlight w:val="none"/>
        </w:rPr>
        <w:fldChar w:fldCharType="end"/>
      </w:r>
    </w:p>
    <w:p w14:paraId="2A5F499A">
      <w:pPr>
        <w:pStyle w:val="34"/>
        <w:tabs>
          <w:tab w:val="right" w:leader="dot" w:pos="9637"/>
          <w:tab w:val="clear" w:pos="8398"/>
        </w:tabs>
        <w:ind w:firstLine="301"/>
        <w:rPr>
          <w:color w:val="auto"/>
          <w:sz w:val="30"/>
          <w:szCs w:val="30"/>
          <w:highlight w:val="none"/>
        </w:rPr>
      </w:pPr>
      <w:r>
        <w:rPr>
          <w:color w:val="auto"/>
          <w:highlight w:val="none"/>
        </w:rPr>
        <w:fldChar w:fldCharType="begin"/>
      </w:r>
      <w:r>
        <w:rPr>
          <w:color w:val="auto"/>
          <w:highlight w:val="none"/>
        </w:rPr>
        <w:instrText xml:space="preserve"> HYPERLINK \l "_Toc27472" </w:instrText>
      </w:r>
      <w:r>
        <w:rPr>
          <w:color w:val="auto"/>
          <w:highlight w:val="none"/>
        </w:rPr>
        <w:fldChar w:fldCharType="separate"/>
      </w:r>
      <w:r>
        <w:rPr>
          <w:rFonts w:hint="eastAsia"/>
          <w:color w:val="auto"/>
          <w:sz w:val="30"/>
          <w:szCs w:val="30"/>
          <w:highlight w:val="none"/>
        </w:rPr>
        <w:t>第三章 投标人须知</w:t>
      </w:r>
      <w:r>
        <w:rPr>
          <w:color w:val="auto"/>
          <w:sz w:val="30"/>
          <w:szCs w:val="30"/>
          <w:highlight w:val="none"/>
        </w:rPr>
        <w:tab/>
      </w:r>
      <w:r>
        <w:rPr>
          <w:color w:val="auto"/>
          <w:sz w:val="30"/>
          <w:szCs w:val="30"/>
          <w:highlight w:val="none"/>
        </w:rPr>
        <w:fldChar w:fldCharType="begin"/>
      </w:r>
      <w:r>
        <w:rPr>
          <w:color w:val="auto"/>
          <w:sz w:val="30"/>
          <w:szCs w:val="30"/>
          <w:highlight w:val="none"/>
        </w:rPr>
        <w:instrText xml:space="preserve"> PAGEREF _Toc27472 \h </w:instrText>
      </w:r>
      <w:r>
        <w:rPr>
          <w:color w:val="auto"/>
          <w:sz w:val="30"/>
          <w:szCs w:val="30"/>
          <w:highlight w:val="none"/>
        </w:rPr>
        <w:fldChar w:fldCharType="separate"/>
      </w:r>
      <w:r>
        <w:rPr>
          <w:color w:val="auto"/>
          <w:sz w:val="30"/>
          <w:szCs w:val="30"/>
          <w:highlight w:val="none"/>
        </w:rPr>
        <w:t>10</w:t>
      </w:r>
      <w:r>
        <w:rPr>
          <w:color w:val="auto"/>
          <w:sz w:val="30"/>
          <w:szCs w:val="30"/>
          <w:highlight w:val="none"/>
        </w:rPr>
        <w:fldChar w:fldCharType="end"/>
      </w:r>
      <w:r>
        <w:rPr>
          <w:color w:val="auto"/>
          <w:sz w:val="30"/>
          <w:szCs w:val="30"/>
          <w:highlight w:val="none"/>
        </w:rPr>
        <w:fldChar w:fldCharType="end"/>
      </w:r>
    </w:p>
    <w:p w14:paraId="4343C8A5">
      <w:pPr>
        <w:pStyle w:val="34"/>
        <w:tabs>
          <w:tab w:val="right" w:leader="dot" w:pos="9637"/>
          <w:tab w:val="clear" w:pos="8398"/>
        </w:tabs>
        <w:ind w:firstLine="301"/>
        <w:rPr>
          <w:color w:val="auto"/>
          <w:sz w:val="30"/>
          <w:szCs w:val="30"/>
          <w:highlight w:val="none"/>
        </w:rPr>
      </w:pPr>
      <w:r>
        <w:rPr>
          <w:color w:val="auto"/>
          <w:highlight w:val="none"/>
        </w:rPr>
        <w:fldChar w:fldCharType="begin"/>
      </w:r>
      <w:r>
        <w:rPr>
          <w:color w:val="auto"/>
          <w:highlight w:val="none"/>
        </w:rPr>
        <w:instrText xml:space="preserve"> HYPERLINK \l "_Toc24782" </w:instrText>
      </w:r>
      <w:r>
        <w:rPr>
          <w:color w:val="auto"/>
          <w:highlight w:val="none"/>
        </w:rPr>
        <w:fldChar w:fldCharType="separate"/>
      </w:r>
      <w:r>
        <w:rPr>
          <w:rFonts w:hint="eastAsia"/>
          <w:color w:val="auto"/>
          <w:sz w:val="30"/>
          <w:szCs w:val="30"/>
          <w:highlight w:val="none"/>
        </w:rPr>
        <w:t>第四章 评标方法及评标标准</w:t>
      </w:r>
      <w:r>
        <w:rPr>
          <w:color w:val="auto"/>
          <w:sz w:val="30"/>
          <w:szCs w:val="30"/>
          <w:highlight w:val="none"/>
        </w:rPr>
        <w:tab/>
      </w:r>
      <w:r>
        <w:rPr>
          <w:color w:val="auto"/>
          <w:sz w:val="30"/>
          <w:szCs w:val="30"/>
          <w:highlight w:val="none"/>
        </w:rPr>
        <w:fldChar w:fldCharType="begin"/>
      </w:r>
      <w:r>
        <w:rPr>
          <w:color w:val="auto"/>
          <w:sz w:val="30"/>
          <w:szCs w:val="30"/>
          <w:highlight w:val="none"/>
        </w:rPr>
        <w:instrText xml:space="preserve"> PAGEREF _Toc24782 \h </w:instrText>
      </w:r>
      <w:r>
        <w:rPr>
          <w:color w:val="auto"/>
          <w:sz w:val="30"/>
          <w:szCs w:val="30"/>
          <w:highlight w:val="none"/>
        </w:rPr>
        <w:fldChar w:fldCharType="separate"/>
      </w:r>
      <w:r>
        <w:rPr>
          <w:color w:val="auto"/>
          <w:sz w:val="30"/>
          <w:szCs w:val="30"/>
          <w:highlight w:val="none"/>
        </w:rPr>
        <w:t>29</w:t>
      </w:r>
      <w:r>
        <w:rPr>
          <w:color w:val="auto"/>
          <w:sz w:val="30"/>
          <w:szCs w:val="30"/>
          <w:highlight w:val="none"/>
        </w:rPr>
        <w:fldChar w:fldCharType="end"/>
      </w:r>
      <w:r>
        <w:rPr>
          <w:color w:val="auto"/>
          <w:sz w:val="30"/>
          <w:szCs w:val="30"/>
          <w:highlight w:val="none"/>
        </w:rPr>
        <w:fldChar w:fldCharType="end"/>
      </w:r>
    </w:p>
    <w:p w14:paraId="6AEA5DB4">
      <w:pPr>
        <w:pStyle w:val="34"/>
        <w:tabs>
          <w:tab w:val="right" w:leader="dot" w:pos="9637"/>
          <w:tab w:val="clear" w:pos="8398"/>
        </w:tabs>
        <w:ind w:firstLine="301"/>
        <w:rPr>
          <w:color w:val="auto"/>
          <w:sz w:val="30"/>
          <w:szCs w:val="30"/>
          <w:highlight w:val="none"/>
        </w:rPr>
      </w:pPr>
      <w:r>
        <w:rPr>
          <w:color w:val="auto"/>
          <w:highlight w:val="none"/>
        </w:rPr>
        <w:fldChar w:fldCharType="begin"/>
      </w:r>
      <w:r>
        <w:rPr>
          <w:color w:val="auto"/>
          <w:highlight w:val="none"/>
        </w:rPr>
        <w:instrText xml:space="preserve"> HYPERLINK \l "_Toc6445" </w:instrText>
      </w:r>
      <w:r>
        <w:rPr>
          <w:color w:val="auto"/>
          <w:highlight w:val="none"/>
        </w:rPr>
        <w:fldChar w:fldCharType="separate"/>
      </w:r>
      <w:r>
        <w:rPr>
          <w:rFonts w:hint="eastAsia"/>
          <w:color w:val="auto"/>
          <w:sz w:val="30"/>
          <w:szCs w:val="30"/>
          <w:highlight w:val="none"/>
        </w:rPr>
        <w:t>第五章 拟签订的合同文本</w:t>
      </w:r>
      <w:r>
        <w:rPr>
          <w:color w:val="auto"/>
          <w:sz w:val="30"/>
          <w:szCs w:val="30"/>
          <w:highlight w:val="none"/>
        </w:rPr>
        <w:tab/>
      </w:r>
      <w:r>
        <w:rPr>
          <w:color w:val="auto"/>
          <w:sz w:val="30"/>
          <w:szCs w:val="30"/>
          <w:highlight w:val="none"/>
        </w:rPr>
        <w:fldChar w:fldCharType="begin"/>
      </w:r>
      <w:r>
        <w:rPr>
          <w:color w:val="auto"/>
          <w:sz w:val="30"/>
          <w:szCs w:val="30"/>
          <w:highlight w:val="none"/>
        </w:rPr>
        <w:instrText xml:space="preserve"> PAGEREF _Toc6445 \h </w:instrText>
      </w:r>
      <w:r>
        <w:rPr>
          <w:color w:val="auto"/>
          <w:sz w:val="30"/>
          <w:szCs w:val="30"/>
          <w:highlight w:val="none"/>
        </w:rPr>
        <w:fldChar w:fldCharType="separate"/>
      </w:r>
      <w:r>
        <w:rPr>
          <w:color w:val="auto"/>
          <w:sz w:val="30"/>
          <w:szCs w:val="30"/>
          <w:highlight w:val="none"/>
        </w:rPr>
        <w:t>38</w:t>
      </w:r>
      <w:r>
        <w:rPr>
          <w:color w:val="auto"/>
          <w:sz w:val="30"/>
          <w:szCs w:val="30"/>
          <w:highlight w:val="none"/>
        </w:rPr>
        <w:fldChar w:fldCharType="end"/>
      </w:r>
      <w:r>
        <w:rPr>
          <w:color w:val="auto"/>
          <w:sz w:val="30"/>
          <w:szCs w:val="30"/>
          <w:highlight w:val="none"/>
        </w:rPr>
        <w:fldChar w:fldCharType="end"/>
      </w:r>
    </w:p>
    <w:p w14:paraId="5770E241">
      <w:pPr>
        <w:pStyle w:val="34"/>
        <w:tabs>
          <w:tab w:val="right" w:leader="dot" w:pos="9637"/>
          <w:tab w:val="clear" w:pos="8398"/>
        </w:tabs>
        <w:ind w:firstLine="301"/>
        <w:rPr>
          <w:color w:val="auto"/>
          <w:sz w:val="30"/>
          <w:szCs w:val="30"/>
          <w:highlight w:val="none"/>
        </w:rPr>
      </w:pPr>
      <w:r>
        <w:rPr>
          <w:color w:val="auto"/>
          <w:highlight w:val="none"/>
        </w:rPr>
        <w:fldChar w:fldCharType="begin"/>
      </w:r>
      <w:r>
        <w:rPr>
          <w:color w:val="auto"/>
          <w:highlight w:val="none"/>
        </w:rPr>
        <w:instrText xml:space="preserve"> HYPERLINK \l "_Toc15478" </w:instrText>
      </w:r>
      <w:r>
        <w:rPr>
          <w:color w:val="auto"/>
          <w:highlight w:val="none"/>
        </w:rPr>
        <w:fldChar w:fldCharType="separate"/>
      </w:r>
      <w:r>
        <w:rPr>
          <w:rFonts w:hint="eastAsia"/>
          <w:color w:val="auto"/>
          <w:sz w:val="30"/>
          <w:szCs w:val="30"/>
          <w:highlight w:val="none"/>
        </w:rPr>
        <w:t>第六章投标文件格式</w:t>
      </w:r>
      <w:r>
        <w:rPr>
          <w:color w:val="auto"/>
          <w:sz w:val="30"/>
          <w:szCs w:val="30"/>
          <w:highlight w:val="none"/>
        </w:rPr>
        <w:tab/>
      </w:r>
      <w:r>
        <w:rPr>
          <w:color w:val="auto"/>
          <w:sz w:val="30"/>
          <w:szCs w:val="30"/>
          <w:highlight w:val="none"/>
        </w:rPr>
        <w:fldChar w:fldCharType="begin"/>
      </w:r>
      <w:r>
        <w:rPr>
          <w:color w:val="auto"/>
          <w:sz w:val="30"/>
          <w:szCs w:val="30"/>
          <w:highlight w:val="none"/>
        </w:rPr>
        <w:instrText xml:space="preserve"> PAGEREF _Toc15478 \h </w:instrText>
      </w:r>
      <w:r>
        <w:rPr>
          <w:color w:val="auto"/>
          <w:sz w:val="30"/>
          <w:szCs w:val="30"/>
          <w:highlight w:val="none"/>
        </w:rPr>
        <w:fldChar w:fldCharType="separate"/>
      </w:r>
      <w:r>
        <w:rPr>
          <w:color w:val="auto"/>
          <w:sz w:val="30"/>
          <w:szCs w:val="30"/>
          <w:highlight w:val="none"/>
        </w:rPr>
        <w:t>44</w:t>
      </w:r>
      <w:r>
        <w:rPr>
          <w:color w:val="auto"/>
          <w:sz w:val="30"/>
          <w:szCs w:val="30"/>
          <w:highlight w:val="none"/>
        </w:rPr>
        <w:fldChar w:fldCharType="end"/>
      </w:r>
      <w:r>
        <w:rPr>
          <w:color w:val="auto"/>
          <w:sz w:val="30"/>
          <w:szCs w:val="30"/>
          <w:highlight w:val="none"/>
        </w:rPr>
        <w:fldChar w:fldCharType="end"/>
      </w:r>
    </w:p>
    <w:p w14:paraId="13337D28">
      <w:pPr>
        <w:tabs>
          <w:tab w:val="right" w:leader="dot" w:pos="8789"/>
        </w:tabs>
        <w:snapToGrid w:val="0"/>
        <w:spacing w:line="500" w:lineRule="atLeast"/>
        <w:rPr>
          <w:rFonts w:ascii="仿宋_GB2312" w:hAnsi="宋体" w:eastAsia="仿宋_GB2312"/>
          <w:color w:val="auto"/>
          <w:sz w:val="24"/>
          <w:highlight w:val="none"/>
        </w:rPr>
      </w:pPr>
      <w:r>
        <w:rPr>
          <w:rFonts w:ascii="仿宋_GB2312" w:hAnsi="宋体" w:eastAsia="仿宋_GB2312"/>
          <w:color w:val="auto"/>
          <w:sz w:val="30"/>
          <w:szCs w:val="30"/>
          <w:highlight w:val="none"/>
        </w:rPr>
        <w:fldChar w:fldCharType="end"/>
      </w:r>
    </w:p>
    <w:p w14:paraId="70DC7918">
      <w:pPr>
        <w:spacing w:beforeLines="50" w:line="480" w:lineRule="exact"/>
        <w:rPr>
          <w:rFonts w:ascii="仿宋_GB2312" w:hAnsi="宋体" w:eastAsia="仿宋_GB2312"/>
          <w:color w:val="auto"/>
          <w:sz w:val="30"/>
          <w:highlight w:val="none"/>
        </w:rPr>
      </w:pPr>
    </w:p>
    <w:p w14:paraId="1EA0E56E">
      <w:pPr>
        <w:rPr>
          <w:color w:val="auto"/>
          <w:highlight w:val="none"/>
        </w:rPr>
      </w:pPr>
    </w:p>
    <w:p w14:paraId="06FD4968">
      <w:pPr>
        <w:spacing w:beforeLines="50" w:line="480" w:lineRule="exact"/>
        <w:rPr>
          <w:rFonts w:ascii="仿宋_GB2312" w:hAnsi="宋体" w:eastAsia="仿宋_GB2312"/>
          <w:color w:val="auto"/>
          <w:sz w:val="30"/>
          <w:highlight w:val="none"/>
        </w:rPr>
      </w:pPr>
    </w:p>
    <w:p w14:paraId="6074D53E">
      <w:pPr>
        <w:spacing w:beforeLines="50" w:line="480" w:lineRule="exact"/>
        <w:rPr>
          <w:rFonts w:ascii="仿宋_GB2312" w:hAnsi="宋体" w:eastAsia="仿宋_GB2312"/>
          <w:color w:val="auto"/>
          <w:sz w:val="30"/>
          <w:highlight w:val="none"/>
        </w:rPr>
      </w:pPr>
    </w:p>
    <w:p w14:paraId="5F5EA36A">
      <w:pPr>
        <w:pStyle w:val="18"/>
        <w:rPr>
          <w:rFonts w:ascii="宋体" w:hAnsi="宋体" w:cs="宋体"/>
          <w:b/>
          <w:bCs/>
          <w:color w:val="auto"/>
          <w:highlight w:val="none"/>
        </w:rPr>
      </w:pPr>
      <w:bookmarkStart w:id="0" w:name="_Toc254970630"/>
      <w:bookmarkStart w:id="1" w:name="_Toc254970489"/>
    </w:p>
    <w:p w14:paraId="48B84E32">
      <w:pPr>
        <w:pStyle w:val="4"/>
        <w:keepNext w:val="0"/>
        <w:keepLines w:val="0"/>
        <w:tabs>
          <w:tab w:val="left" w:pos="0"/>
          <w:tab w:val="left" w:pos="3165"/>
          <w:tab w:val="center" w:pos="4153"/>
        </w:tabs>
        <w:autoSpaceDE w:val="0"/>
        <w:autoSpaceDN w:val="0"/>
        <w:adjustRightInd w:val="0"/>
        <w:spacing w:before="0" w:after="0" w:line="360" w:lineRule="auto"/>
        <w:jc w:val="center"/>
        <w:rPr>
          <w:color w:val="auto"/>
          <w:highlight w:val="none"/>
        </w:rPr>
        <w:sectPr>
          <w:pgSz w:w="11905" w:h="16838"/>
          <w:pgMar w:top="1134" w:right="1134" w:bottom="1134" w:left="1134" w:header="720" w:footer="720" w:gutter="0"/>
          <w:cols w:space="720" w:num="1"/>
          <w:docGrid w:type="lines" w:linePitch="331" w:charSpace="0"/>
        </w:sectPr>
      </w:pPr>
    </w:p>
    <w:p w14:paraId="05ABD4E4">
      <w:pPr>
        <w:pStyle w:val="4"/>
        <w:keepNext w:val="0"/>
        <w:keepLines w:val="0"/>
        <w:tabs>
          <w:tab w:val="left" w:pos="0"/>
          <w:tab w:val="left" w:pos="3165"/>
          <w:tab w:val="center" w:pos="4153"/>
        </w:tabs>
        <w:autoSpaceDE w:val="0"/>
        <w:autoSpaceDN w:val="0"/>
        <w:adjustRightInd w:val="0"/>
        <w:spacing w:before="0" w:after="0" w:line="360" w:lineRule="auto"/>
        <w:jc w:val="center"/>
        <w:rPr>
          <w:color w:val="auto"/>
          <w:highlight w:val="none"/>
        </w:rPr>
      </w:pPr>
      <w:bookmarkStart w:id="2" w:name="_Toc27593"/>
      <w:r>
        <w:rPr>
          <w:rFonts w:hint="eastAsia"/>
          <w:color w:val="auto"/>
          <w:highlight w:val="none"/>
        </w:rPr>
        <w:t>第一章</w:t>
      </w:r>
      <w:bookmarkEnd w:id="0"/>
      <w:bookmarkEnd w:id="1"/>
      <w:bookmarkStart w:id="3" w:name="_Toc28359001"/>
      <w:bookmarkStart w:id="4" w:name="_Toc35393789"/>
      <w:r>
        <w:rPr>
          <w:rFonts w:hint="eastAsia"/>
          <w:color w:val="auto"/>
          <w:highlight w:val="none"/>
        </w:rPr>
        <w:t xml:space="preserve"> 招标公告</w:t>
      </w:r>
      <w:bookmarkEnd w:id="2"/>
      <w:bookmarkEnd w:id="3"/>
      <w:bookmarkEnd w:id="4"/>
    </w:p>
    <w:p w14:paraId="2979504D">
      <w:pPr>
        <w:spacing w:line="360" w:lineRule="auto"/>
        <w:jc w:val="center"/>
        <w:rPr>
          <w:b/>
          <w:bCs/>
          <w:color w:val="auto"/>
          <w:sz w:val="32"/>
          <w:szCs w:val="32"/>
          <w:highlight w:val="none"/>
        </w:rPr>
      </w:pPr>
      <w:r>
        <w:rPr>
          <w:rFonts w:hint="eastAsia"/>
          <w:b/>
          <w:bCs/>
          <w:color w:val="auto"/>
          <w:sz w:val="32"/>
          <w:szCs w:val="32"/>
          <w:highlight w:val="none"/>
        </w:rPr>
        <w:t>防城港市公安局移动警务通流量套餐服务采购公开招标公告</w:t>
      </w:r>
    </w:p>
    <w:p w14:paraId="66590674">
      <w:pPr>
        <w:spacing w:line="360" w:lineRule="auto"/>
        <w:jc w:val="center"/>
        <w:rPr>
          <w:rFonts w:ascii="宋体" w:hAnsi="宋体"/>
          <w:color w:val="auto"/>
          <w:szCs w:val="21"/>
          <w:highlight w:val="none"/>
        </w:rPr>
      </w:pPr>
      <w:r>
        <w:rPr>
          <w:rFonts w:hint="eastAsia"/>
          <w:b/>
          <w:bCs/>
          <w:color w:val="auto"/>
          <w:sz w:val="32"/>
          <w:szCs w:val="32"/>
          <w:highlight w:val="none"/>
        </w:rPr>
        <w:t>（远程异地评标）</w:t>
      </w:r>
    </w:p>
    <w:p w14:paraId="5577407A">
      <w:pPr>
        <w:pBdr>
          <w:top w:val="single" w:color="auto" w:sz="4" w:space="1"/>
          <w:left w:val="single" w:color="auto" w:sz="4" w:space="4"/>
          <w:bottom w:val="single" w:color="auto" w:sz="4" w:space="1"/>
          <w:right w:val="single" w:color="auto" w:sz="4" w:space="4"/>
        </w:pBdr>
        <w:spacing w:line="400" w:lineRule="exact"/>
        <w:ind w:firstLine="482" w:firstLineChars="200"/>
        <w:rPr>
          <w:rFonts w:ascii="黑体" w:hAnsi="黑体" w:eastAsia="黑体" w:cs="黑体"/>
          <w:b/>
          <w:bCs/>
          <w:color w:val="auto"/>
          <w:sz w:val="24"/>
          <w:highlight w:val="none"/>
        </w:rPr>
      </w:pPr>
      <w:r>
        <w:rPr>
          <w:rFonts w:hint="eastAsia" w:ascii="黑体" w:hAnsi="黑体" w:eastAsia="黑体" w:cs="黑体"/>
          <w:b/>
          <w:bCs/>
          <w:color w:val="auto"/>
          <w:sz w:val="24"/>
          <w:highlight w:val="none"/>
        </w:rPr>
        <w:t>项目概况</w:t>
      </w:r>
    </w:p>
    <w:p w14:paraId="1FBD12F7">
      <w:pPr>
        <w:pBdr>
          <w:top w:val="single" w:color="auto" w:sz="4" w:space="1"/>
          <w:left w:val="single" w:color="auto" w:sz="4" w:space="4"/>
          <w:bottom w:val="single" w:color="auto" w:sz="4" w:space="1"/>
          <w:right w:val="single" w:color="auto" w:sz="4" w:space="4"/>
        </w:pBdr>
        <w:spacing w:line="400" w:lineRule="exact"/>
        <w:ind w:firstLine="480" w:firstLineChars="200"/>
        <w:rPr>
          <w:rFonts w:ascii="宋体" w:hAnsi="宋体"/>
          <w:color w:val="auto"/>
          <w:sz w:val="24"/>
          <w:highlight w:val="none"/>
        </w:rPr>
      </w:pPr>
      <w:r>
        <w:rPr>
          <w:rFonts w:hint="eastAsia" w:ascii="宋体" w:hAnsi="宋体"/>
          <w:color w:val="auto"/>
          <w:sz w:val="24"/>
          <w:highlight w:val="none"/>
        </w:rPr>
        <w:t>防城港市公安局移动警务通流量套餐服务采购的潜在投标人应在</w:t>
      </w:r>
      <w:r>
        <w:rPr>
          <w:rFonts w:hint="eastAsia" w:ascii="宋体" w:hAnsi="宋体" w:cs="宋体"/>
          <w:color w:val="auto"/>
          <w:sz w:val="24"/>
          <w:highlight w:val="none"/>
        </w:rPr>
        <w:t>广西政府采购云平台</w:t>
      </w:r>
      <w:r>
        <w:rPr>
          <w:rFonts w:hint="eastAsia" w:ascii="宋体" w:hAnsi="宋体"/>
          <w:color w:val="auto"/>
          <w:sz w:val="24"/>
          <w:highlight w:val="none"/>
        </w:rPr>
        <w:t>获取（下载）招标文件，并于2025年</w:t>
      </w:r>
      <w:r>
        <w:rPr>
          <w:rFonts w:hint="eastAsia" w:ascii="宋体" w:hAnsi="宋体"/>
          <w:bCs/>
          <w:color w:val="auto"/>
          <w:sz w:val="24"/>
          <w:highlight w:val="none"/>
          <w:lang w:val="en-US" w:eastAsia="zh-CN"/>
        </w:rPr>
        <w:t>10</w:t>
      </w:r>
      <w:r>
        <w:rPr>
          <w:rFonts w:hint="eastAsia" w:ascii="宋体" w:hAnsi="宋体"/>
          <w:bCs/>
          <w:color w:val="auto"/>
          <w:sz w:val="24"/>
          <w:highlight w:val="none"/>
        </w:rPr>
        <w:t>月</w:t>
      </w:r>
      <w:r>
        <w:rPr>
          <w:rFonts w:hint="eastAsia" w:ascii="宋体" w:hAnsi="宋体"/>
          <w:bCs/>
          <w:color w:val="auto"/>
          <w:sz w:val="24"/>
          <w:highlight w:val="none"/>
          <w:lang w:val="en-US" w:eastAsia="zh-CN"/>
        </w:rPr>
        <w:t>23</w:t>
      </w:r>
      <w:r>
        <w:rPr>
          <w:rFonts w:hint="eastAsia" w:ascii="宋体" w:hAnsi="宋体"/>
          <w:bCs/>
          <w:color w:val="auto"/>
          <w:sz w:val="24"/>
          <w:highlight w:val="none"/>
        </w:rPr>
        <w:t>日</w:t>
      </w:r>
      <w:r>
        <w:rPr>
          <w:rFonts w:hint="eastAsia" w:ascii="宋体" w:hAnsi="宋体"/>
          <w:bCs/>
          <w:color w:val="auto"/>
          <w:sz w:val="24"/>
          <w:highlight w:val="none"/>
          <w:lang w:val="en-US" w:eastAsia="zh-CN"/>
        </w:rPr>
        <w:t>9</w:t>
      </w:r>
      <w:r>
        <w:rPr>
          <w:rFonts w:hint="eastAsia" w:ascii="宋体" w:hAnsi="宋体"/>
          <w:bCs/>
          <w:color w:val="auto"/>
          <w:sz w:val="24"/>
          <w:highlight w:val="none"/>
        </w:rPr>
        <w:t>时</w:t>
      </w:r>
      <w:r>
        <w:rPr>
          <w:rFonts w:hint="eastAsia" w:ascii="宋体" w:hAnsi="宋体"/>
          <w:bCs/>
          <w:color w:val="auto"/>
          <w:sz w:val="24"/>
          <w:highlight w:val="none"/>
          <w:lang w:val="en-US" w:eastAsia="zh-CN"/>
        </w:rPr>
        <w:t>30</w:t>
      </w:r>
      <w:r>
        <w:rPr>
          <w:rFonts w:hint="eastAsia" w:ascii="宋体" w:hAnsi="宋体"/>
          <w:bCs/>
          <w:color w:val="auto"/>
          <w:sz w:val="24"/>
          <w:highlight w:val="none"/>
        </w:rPr>
        <w:t>分（北京时间）前按要求递交（上传）投标</w:t>
      </w:r>
      <w:r>
        <w:rPr>
          <w:rFonts w:ascii="宋体" w:hAnsi="宋体"/>
          <w:bCs/>
          <w:color w:val="auto"/>
          <w:sz w:val="24"/>
          <w:highlight w:val="none"/>
        </w:rPr>
        <w:t>文件</w:t>
      </w:r>
      <w:r>
        <w:rPr>
          <w:rFonts w:hint="eastAsia" w:ascii="宋体" w:hAnsi="宋体"/>
          <w:color w:val="auto"/>
          <w:sz w:val="24"/>
          <w:highlight w:val="none"/>
        </w:rPr>
        <w:t>。</w:t>
      </w:r>
    </w:p>
    <w:p w14:paraId="7A644BF4">
      <w:pPr>
        <w:spacing w:line="400" w:lineRule="exact"/>
        <w:ind w:firstLine="482" w:firstLineChars="200"/>
        <w:rPr>
          <w:rFonts w:ascii="黑体" w:hAnsi="黑体" w:eastAsia="黑体"/>
          <w:b/>
          <w:bCs/>
          <w:color w:val="auto"/>
          <w:sz w:val="24"/>
          <w:highlight w:val="none"/>
        </w:rPr>
      </w:pPr>
      <w:bookmarkStart w:id="5" w:name="_Toc28359002"/>
      <w:bookmarkStart w:id="6" w:name="_Toc35393621"/>
      <w:bookmarkStart w:id="7" w:name="_Toc28359079"/>
      <w:bookmarkStart w:id="8" w:name="_Toc35393790"/>
      <w:bookmarkStart w:id="9" w:name="_Hlk24379207"/>
      <w:r>
        <w:rPr>
          <w:rFonts w:hint="eastAsia" w:ascii="黑体" w:hAnsi="黑体" w:eastAsia="黑体"/>
          <w:b/>
          <w:bCs/>
          <w:color w:val="auto"/>
          <w:sz w:val="24"/>
          <w:highlight w:val="none"/>
        </w:rPr>
        <w:t>一、项目基本情况</w:t>
      </w:r>
      <w:bookmarkEnd w:id="5"/>
      <w:bookmarkEnd w:id="6"/>
      <w:bookmarkEnd w:id="7"/>
      <w:bookmarkEnd w:id="8"/>
    </w:p>
    <w:bookmarkEnd w:id="9"/>
    <w:p w14:paraId="07C92AB1">
      <w:pPr>
        <w:spacing w:line="400" w:lineRule="exact"/>
        <w:ind w:firstLine="480" w:firstLineChars="200"/>
        <w:rPr>
          <w:rFonts w:hint="eastAsia" w:ascii="宋体" w:hAnsi="宋体" w:eastAsia="宋体"/>
          <w:color w:val="auto"/>
          <w:sz w:val="24"/>
          <w:highlight w:val="none"/>
          <w:lang w:eastAsia="zh-CN"/>
        </w:rPr>
      </w:pPr>
      <w:r>
        <w:rPr>
          <w:rFonts w:hint="eastAsia" w:ascii="宋体" w:hAnsi="宋体"/>
          <w:color w:val="auto"/>
          <w:sz w:val="24"/>
          <w:highlight w:val="none"/>
        </w:rPr>
        <w:t>项目编号：</w:t>
      </w:r>
      <w:r>
        <w:rPr>
          <w:rFonts w:hint="eastAsia" w:ascii="宋体" w:hAnsi="宋体"/>
          <w:color w:val="auto"/>
          <w:sz w:val="24"/>
          <w:highlight w:val="none"/>
          <w:lang w:eastAsia="zh-CN"/>
        </w:rPr>
        <w:t>FCZC2025-G3-990122-GXHY</w:t>
      </w:r>
    </w:p>
    <w:p w14:paraId="6A415C89">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项目名称：防城港市公安局移动警务通流量套餐服务采购</w:t>
      </w:r>
    </w:p>
    <w:p w14:paraId="48FE698E">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预算金额：人民币</w:t>
      </w:r>
      <w:r>
        <w:rPr>
          <w:rFonts w:hint="eastAsia" w:ascii="宋体" w:hAnsi="宋体"/>
          <w:color w:val="auto"/>
          <w:sz w:val="24"/>
          <w:highlight w:val="none"/>
          <w:lang w:val="en-US" w:eastAsia="zh-CN"/>
        </w:rPr>
        <w:t>肆佰贰拾贰万零伍拾元整</w:t>
      </w:r>
      <w:r>
        <w:rPr>
          <w:rFonts w:hint="eastAsia" w:ascii="宋体" w:hAnsi="宋体"/>
          <w:color w:val="auto"/>
          <w:sz w:val="24"/>
          <w:highlight w:val="none"/>
        </w:rPr>
        <w:t>（¥4,220,050.00）</w:t>
      </w:r>
    </w:p>
    <w:p w14:paraId="4EB84326">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最高限价：人民币</w:t>
      </w:r>
      <w:r>
        <w:rPr>
          <w:rFonts w:hint="eastAsia" w:ascii="宋体" w:hAnsi="宋体"/>
          <w:color w:val="auto"/>
          <w:sz w:val="24"/>
          <w:highlight w:val="none"/>
          <w:lang w:val="en-US" w:eastAsia="zh-CN"/>
        </w:rPr>
        <w:t>肆佰贰拾贰万零伍拾元整</w:t>
      </w:r>
      <w:r>
        <w:rPr>
          <w:rFonts w:hint="eastAsia" w:ascii="宋体" w:hAnsi="宋体"/>
          <w:color w:val="auto"/>
          <w:sz w:val="24"/>
          <w:highlight w:val="none"/>
        </w:rPr>
        <w:t>（¥4,220,050.00）</w:t>
      </w:r>
    </w:p>
    <w:p w14:paraId="57676B68">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采购需求：防城港市公安局移动警务通流量套餐服务采购1项，具体内容和数量详见采购需求一览表。</w:t>
      </w:r>
    </w:p>
    <w:p w14:paraId="46390CB4">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合同履行期限：自签订合同签订之日起2年。</w:t>
      </w:r>
    </w:p>
    <w:p w14:paraId="1A25880B">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本项目不接受联合体投标。</w:t>
      </w:r>
    </w:p>
    <w:p w14:paraId="26B49648">
      <w:pPr>
        <w:numPr>
          <w:ilvl w:val="0"/>
          <w:numId w:val="3"/>
        </w:numPr>
        <w:spacing w:line="400" w:lineRule="exact"/>
        <w:ind w:firstLine="482" w:firstLineChars="200"/>
        <w:rPr>
          <w:rFonts w:ascii="黑体" w:hAnsi="黑体" w:eastAsia="黑体"/>
          <w:b/>
          <w:bCs/>
          <w:color w:val="auto"/>
          <w:sz w:val="24"/>
          <w:highlight w:val="none"/>
        </w:rPr>
      </w:pPr>
      <w:bookmarkStart w:id="10" w:name="_Toc35393622"/>
      <w:bookmarkStart w:id="11" w:name="_Toc28359080"/>
      <w:bookmarkStart w:id="12" w:name="_Toc28359003"/>
      <w:bookmarkStart w:id="13" w:name="_Toc35393791"/>
      <w:r>
        <w:rPr>
          <w:rFonts w:hint="eastAsia" w:ascii="黑体" w:hAnsi="黑体" w:eastAsia="黑体"/>
          <w:b/>
          <w:bCs/>
          <w:color w:val="auto"/>
          <w:sz w:val="24"/>
          <w:highlight w:val="none"/>
        </w:rPr>
        <w:t>申请人的资格要求：</w:t>
      </w:r>
      <w:bookmarkEnd w:id="10"/>
      <w:bookmarkEnd w:id="11"/>
      <w:bookmarkEnd w:id="12"/>
      <w:bookmarkEnd w:id="13"/>
      <w:bookmarkStart w:id="14" w:name="_Hlk51746371"/>
      <w:bookmarkStart w:id="15" w:name="_Toc35393792"/>
      <w:bookmarkStart w:id="16" w:name="_Toc28359004"/>
      <w:bookmarkStart w:id="17" w:name="_Toc35393623"/>
      <w:bookmarkStart w:id="18" w:name="_Toc28359081"/>
    </w:p>
    <w:p w14:paraId="453CC4CB">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1.满足《中华人民共和国政府采购法》第二十二条规定。</w:t>
      </w:r>
    </w:p>
    <w:p w14:paraId="42DD6D5A">
      <w:pPr>
        <w:spacing w:line="400" w:lineRule="exact"/>
        <w:ind w:firstLine="480" w:firstLineChars="200"/>
        <w:outlineLvl w:val="0"/>
        <w:rPr>
          <w:rFonts w:ascii="宋体" w:hAnsi="宋体" w:cs="宋体"/>
          <w:color w:val="auto"/>
          <w:sz w:val="24"/>
          <w:highlight w:val="none"/>
        </w:rPr>
      </w:pPr>
      <w:bookmarkStart w:id="19" w:name="_Toc22472"/>
      <w:bookmarkStart w:id="20" w:name="_Toc12463"/>
      <w:bookmarkStart w:id="21" w:name="_Toc10726"/>
      <w:r>
        <w:rPr>
          <w:rFonts w:hint="eastAsia" w:ascii="宋体" w:hAnsi="宋体" w:cs="宋体"/>
          <w:color w:val="auto"/>
          <w:sz w:val="24"/>
          <w:highlight w:val="none"/>
        </w:rPr>
        <w:t>2.落实政府采购政策需满足的资格要求：</w:t>
      </w:r>
      <w:bookmarkEnd w:id="19"/>
      <w:bookmarkEnd w:id="20"/>
      <w:bookmarkStart w:id="22" w:name="_Toc15405"/>
      <w:r>
        <w:rPr>
          <w:rFonts w:hint="eastAsia" w:ascii="宋体" w:hAnsi="宋体" w:cs="宋体"/>
          <w:color w:val="auto"/>
          <w:sz w:val="24"/>
          <w:highlight w:val="none"/>
        </w:rPr>
        <w:t>无。</w:t>
      </w:r>
      <w:bookmarkEnd w:id="21"/>
    </w:p>
    <w:bookmarkEnd w:id="22"/>
    <w:p w14:paraId="7871656C">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3.本项目的特定资格要求：无</w:t>
      </w:r>
      <w:r>
        <w:rPr>
          <w:rFonts w:hint="eastAsia" w:ascii="宋体" w:hAnsi="宋体" w:cs="宋体"/>
          <w:bCs/>
          <w:color w:val="auto"/>
          <w:kern w:val="0"/>
          <w:sz w:val="24"/>
          <w:highlight w:val="none"/>
        </w:rPr>
        <w:t>。</w:t>
      </w:r>
    </w:p>
    <w:bookmarkEnd w:id="14"/>
    <w:p w14:paraId="3061F5E5">
      <w:pPr>
        <w:spacing w:line="400" w:lineRule="exact"/>
        <w:ind w:firstLine="482" w:firstLineChars="200"/>
        <w:rPr>
          <w:rFonts w:ascii="黑体" w:hAnsi="黑体" w:eastAsia="黑体"/>
          <w:b/>
          <w:bCs/>
          <w:color w:val="auto"/>
          <w:sz w:val="24"/>
          <w:highlight w:val="none"/>
        </w:rPr>
      </w:pPr>
      <w:r>
        <w:rPr>
          <w:rFonts w:hint="eastAsia" w:ascii="黑体" w:hAnsi="黑体" w:eastAsia="黑体"/>
          <w:b/>
          <w:bCs/>
          <w:color w:val="auto"/>
          <w:sz w:val="24"/>
          <w:highlight w:val="none"/>
        </w:rPr>
        <w:t>三、获取招标文件</w:t>
      </w:r>
      <w:bookmarkEnd w:id="15"/>
      <w:bookmarkEnd w:id="16"/>
      <w:bookmarkEnd w:id="17"/>
      <w:bookmarkEnd w:id="18"/>
    </w:p>
    <w:p w14:paraId="6B76C0C1">
      <w:pPr>
        <w:spacing w:line="400" w:lineRule="exact"/>
        <w:ind w:firstLine="480" w:firstLineChars="200"/>
        <w:rPr>
          <w:rFonts w:ascii="宋体" w:hAnsi="宋体" w:cs="宋体"/>
          <w:bCs/>
          <w:color w:val="auto"/>
          <w:kern w:val="0"/>
          <w:sz w:val="24"/>
          <w:highlight w:val="none"/>
        </w:rPr>
      </w:pPr>
      <w:r>
        <w:rPr>
          <w:rFonts w:hint="eastAsia" w:ascii="宋体" w:hAnsi="宋体" w:cs="宋体"/>
          <w:bCs/>
          <w:color w:val="auto"/>
          <w:kern w:val="0"/>
          <w:sz w:val="24"/>
          <w:highlight w:val="none"/>
        </w:rPr>
        <w:t>时间：2025年</w:t>
      </w:r>
      <w:r>
        <w:rPr>
          <w:rFonts w:hint="eastAsia" w:ascii="宋体" w:hAnsi="宋体" w:cs="宋体"/>
          <w:bCs/>
          <w:color w:val="auto"/>
          <w:kern w:val="0"/>
          <w:sz w:val="24"/>
          <w:highlight w:val="none"/>
          <w:lang w:val="en-US" w:eastAsia="zh-CN"/>
        </w:rPr>
        <w:t>9</w:t>
      </w:r>
      <w:r>
        <w:rPr>
          <w:rFonts w:hint="eastAsia" w:ascii="宋体" w:hAnsi="宋体" w:cs="宋体"/>
          <w:bCs/>
          <w:color w:val="auto"/>
          <w:kern w:val="0"/>
          <w:sz w:val="24"/>
          <w:highlight w:val="none"/>
        </w:rPr>
        <w:t>月</w:t>
      </w:r>
      <w:r>
        <w:rPr>
          <w:rFonts w:hint="eastAsia" w:ascii="宋体" w:hAnsi="宋体" w:cs="宋体"/>
          <w:bCs/>
          <w:color w:val="auto"/>
          <w:kern w:val="0"/>
          <w:sz w:val="24"/>
          <w:highlight w:val="none"/>
          <w:lang w:val="en-US" w:eastAsia="zh-CN"/>
        </w:rPr>
        <w:t>30</w:t>
      </w:r>
      <w:r>
        <w:rPr>
          <w:rFonts w:hint="eastAsia" w:ascii="宋体" w:hAnsi="宋体" w:cs="宋体"/>
          <w:bCs/>
          <w:color w:val="auto"/>
          <w:kern w:val="0"/>
          <w:sz w:val="24"/>
          <w:highlight w:val="none"/>
        </w:rPr>
        <w:t>日至2025年</w:t>
      </w:r>
      <w:r>
        <w:rPr>
          <w:rFonts w:hint="eastAsia" w:ascii="宋体" w:hAnsi="宋体" w:cs="宋体"/>
          <w:bCs/>
          <w:color w:val="auto"/>
          <w:kern w:val="0"/>
          <w:sz w:val="24"/>
          <w:highlight w:val="none"/>
          <w:lang w:val="en-US" w:eastAsia="zh-CN"/>
        </w:rPr>
        <w:t>10</w:t>
      </w:r>
      <w:r>
        <w:rPr>
          <w:rFonts w:hint="eastAsia" w:ascii="宋体" w:hAnsi="宋体" w:cs="宋体"/>
          <w:bCs/>
          <w:color w:val="auto"/>
          <w:kern w:val="0"/>
          <w:sz w:val="24"/>
          <w:highlight w:val="none"/>
        </w:rPr>
        <w:t>月</w:t>
      </w:r>
      <w:r>
        <w:rPr>
          <w:rFonts w:hint="eastAsia" w:ascii="宋体" w:hAnsi="宋体" w:cs="宋体"/>
          <w:bCs/>
          <w:color w:val="auto"/>
          <w:kern w:val="0"/>
          <w:sz w:val="24"/>
          <w:highlight w:val="none"/>
          <w:lang w:val="en-US" w:eastAsia="zh-CN"/>
        </w:rPr>
        <w:t>14</w:t>
      </w:r>
      <w:r>
        <w:rPr>
          <w:rFonts w:hint="eastAsia" w:ascii="宋体" w:hAnsi="宋体" w:cs="宋体"/>
          <w:bCs/>
          <w:color w:val="auto"/>
          <w:kern w:val="0"/>
          <w:sz w:val="24"/>
          <w:highlight w:val="none"/>
        </w:rPr>
        <w:t>日，每天上午8:00至12:00，下午15:00至18:00（北京时间，</w:t>
      </w:r>
      <w:r>
        <w:rPr>
          <w:rFonts w:ascii="宋体" w:hAnsi="宋体" w:cs="宋体"/>
          <w:bCs/>
          <w:color w:val="auto"/>
          <w:kern w:val="0"/>
          <w:sz w:val="24"/>
          <w:highlight w:val="none"/>
        </w:rPr>
        <w:t>法定节假日</w:t>
      </w:r>
      <w:r>
        <w:rPr>
          <w:rFonts w:hint="eastAsia" w:ascii="宋体" w:hAnsi="宋体" w:cs="宋体"/>
          <w:bCs/>
          <w:color w:val="auto"/>
          <w:kern w:val="0"/>
          <w:sz w:val="24"/>
          <w:highlight w:val="none"/>
        </w:rPr>
        <w:t>除外）。</w:t>
      </w:r>
      <w:bookmarkStart w:id="154" w:name="_GoBack"/>
      <w:bookmarkEnd w:id="154"/>
    </w:p>
    <w:p w14:paraId="63B705C1">
      <w:pPr>
        <w:spacing w:line="400" w:lineRule="exact"/>
        <w:ind w:firstLine="480" w:firstLineChars="200"/>
        <w:rPr>
          <w:rFonts w:ascii="宋体" w:hAnsi="宋体" w:cs="宋体"/>
          <w:bCs/>
          <w:color w:val="auto"/>
          <w:kern w:val="0"/>
          <w:sz w:val="24"/>
          <w:highlight w:val="none"/>
        </w:rPr>
      </w:pPr>
      <w:r>
        <w:rPr>
          <w:rFonts w:hint="eastAsia" w:ascii="宋体" w:hAnsi="宋体" w:cs="宋体"/>
          <w:bCs/>
          <w:color w:val="auto"/>
          <w:kern w:val="0"/>
          <w:sz w:val="24"/>
          <w:highlight w:val="none"/>
        </w:rPr>
        <w:t>地点：</w:t>
      </w:r>
      <w:r>
        <w:rPr>
          <w:rFonts w:hint="eastAsia" w:ascii="宋体" w:hAnsi="宋体" w:cs="宋体"/>
          <w:color w:val="auto"/>
          <w:sz w:val="24"/>
          <w:highlight w:val="none"/>
        </w:rPr>
        <w:t>广西政府采购云平台</w:t>
      </w:r>
      <w:r>
        <w:rPr>
          <w:rFonts w:hint="eastAsia" w:ascii="宋体" w:hAnsi="宋体" w:cs="宋体"/>
          <w:bCs/>
          <w:color w:val="auto"/>
          <w:kern w:val="0"/>
          <w:sz w:val="24"/>
          <w:highlight w:val="none"/>
        </w:rPr>
        <w:t>。</w:t>
      </w:r>
    </w:p>
    <w:p w14:paraId="0FCA669F">
      <w:pPr>
        <w:spacing w:line="400" w:lineRule="exact"/>
        <w:ind w:firstLine="480" w:firstLineChars="200"/>
        <w:rPr>
          <w:rFonts w:ascii="宋体" w:hAnsi="宋体" w:cs="宋体"/>
          <w:bCs/>
          <w:color w:val="auto"/>
          <w:kern w:val="0"/>
          <w:sz w:val="24"/>
          <w:highlight w:val="none"/>
        </w:rPr>
      </w:pPr>
      <w:r>
        <w:rPr>
          <w:rFonts w:hint="eastAsia" w:ascii="宋体" w:hAnsi="宋体" w:cs="宋体"/>
          <w:bCs/>
          <w:color w:val="auto"/>
          <w:kern w:val="0"/>
          <w:sz w:val="24"/>
          <w:highlight w:val="none"/>
        </w:rPr>
        <w:t>方式：网上下载。本项目不提供纸质文件，潜在投标人需使用账号登录或者使用CA登录广西政府采购云平台（https://www.gcy.zfcg.gxzf.gov.cn/）进入“项目采购”应用，在获取招标文件菜单中选择项目，获取招标文件。电子投标文件制作需要基于广西政府采购云平台获取的招标文件编制，通过其他方式获取招标文件的，将有可能导致投标人无法在广西政府采购云平台编制及上传投标文件。</w:t>
      </w:r>
    </w:p>
    <w:p w14:paraId="026D08C7">
      <w:pPr>
        <w:spacing w:line="400" w:lineRule="exact"/>
        <w:ind w:firstLine="480" w:firstLineChars="200"/>
        <w:rPr>
          <w:rFonts w:ascii="宋体" w:hAnsi="宋体" w:cs="宋体"/>
          <w:color w:val="auto"/>
          <w:sz w:val="24"/>
          <w:highlight w:val="none"/>
        </w:rPr>
      </w:pPr>
      <w:r>
        <w:rPr>
          <w:rFonts w:hint="eastAsia" w:ascii="宋体" w:hAnsi="宋体" w:cs="宋体"/>
          <w:bCs/>
          <w:color w:val="auto"/>
          <w:kern w:val="0"/>
          <w:sz w:val="24"/>
          <w:highlight w:val="none"/>
        </w:rPr>
        <w:t>售价：</w:t>
      </w:r>
      <w:r>
        <w:rPr>
          <w:rFonts w:hint="eastAsia" w:ascii="宋体" w:hAnsi="宋体" w:cs="宋体"/>
          <w:iCs/>
          <w:color w:val="auto"/>
          <w:sz w:val="24"/>
          <w:highlight w:val="none"/>
        </w:rPr>
        <w:t>0</w:t>
      </w:r>
      <w:r>
        <w:rPr>
          <w:rFonts w:hint="eastAsia" w:ascii="宋体" w:hAnsi="宋体" w:cs="宋体"/>
          <w:color w:val="auto"/>
          <w:sz w:val="24"/>
          <w:highlight w:val="none"/>
        </w:rPr>
        <w:t>元。</w:t>
      </w:r>
    </w:p>
    <w:p w14:paraId="2E075DCE">
      <w:pPr>
        <w:spacing w:line="400" w:lineRule="exact"/>
        <w:ind w:firstLine="482" w:firstLineChars="200"/>
        <w:rPr>
          <w:rFonts w:ascii="黑体" w:hAnsi="黑体" w:eastAsia="黑体"/>
          <w:b/>
          <w:bCs/>
          <w:color w:val="auto"/>
          <w:sz w:val="24"/>
          <w:highlight w:val="none"/>
        </w:rPr>
      </w:pPr>
      <w:bookmarkStart w:id="23" w:name="_Toc28359005"/>
      <w:bookmarkStart w:id="24" w:name="_Toc28359082"/>
      <w:bookmarkStart w:id="25" w:name="_Toc35393793"/>
      <w:bookmarkStart w:id="26" w:name="_Toc35393624"/>
      <w:r>
        <w:rPr>
          <w:rFonts w:hint="eastAsia" w:ascii="黑体" w:hAnsi="黑体" w:eastAsia="黑体"/>
          <w:b/>
          <w:bCs/>
          <w:color w:val="auto"/>
          <w:sz w:val="24"/>
          <w:highlight w:val="none"/>
        </w:rPr>
        <w:t>四、提交投标文件</w:t>
      </w:r>
      <w:bookmarkEnd w:id="23"/>
      <w:bookmarkEnd w:id="24"/>
      <w:r>
        <w:rPr>
          <w:rFonts w:hint="eastAsia" w:ascii="黑体" w:hAnsi="黑体" w:eastAsia="黑体"/>
          <w:b/>
          <w:bCs/>
          <w:color w:val="auto"/>
          <w:sz w:val="24"/>
          <w:highlight w:val="none"/>
        </w:rPr>
        <w:t>截止时间、开标时间和地点</w:t>
      </w:r>
      <w:bookmarkEnd w:id="25"/>
      <w:bookmarkEnd w:id="26"/>
    </w:p>
    <w:p w14:paraId="1D4F8F28">
      <w:pPr>
        <w:spacing w:line="400" w:lineRule="exact"/>
        <w:ind w:firstLine="480" w:firstLineChars="200"/>
        <w:rPr>
          <w:rFonts w:ascii="宋体" w:hAnsi="宋体"/>
          <w:bCs/>
          <w:color w:val="auto"/>
          <w:sz w:val="24"/>
          <w:highlight w:val="none"/>
        </w:rPr>
      </w:pPr>
      <w:bookmarkStart w:id="27" w:name="_Toc28359084"/>
      <w:bookmarkStart w:id="28" w:name="_Toc28359007"/>
      <w:bookmarkStart w:id="29" w:name="_Toc35393625"/>
      <w:bookmarkStart w:id="30" w:name="_Toc35393794"/>
      <w:r>
        <w:rPr>
          <w:rFonts w:hint="eastAsia" w:ascii="宋体" w:hAnsi="宋体"/>
          <w:bCs/>
          <w:color w:val="auto"/>
          <w:sz w:val="24"/>
          <w:highlight w:val="none"/>
        </w:rPr>
        <w:t>提交投标文件截止时间：</w:t>
      </w:r>
      <w:r>
        <w:rPr>
          <w:rFonts w:hint="eastAsia" w:ascii="宋体" w:hAnsi="宋体"/>
          <w:color w:val="auto"/>
          <w:sz w:val="24"/>
          <w:highlight w:val="none"/>
        </w:rPr>
        <w:t>2025年</w:t>
      </w:r>
      <w:r>
        <w:rPr>
          <w:rFonts w:hint="eastAsia" w:ascii="宋体" w:hAnsi="宋体"/>
          <w:bCs/>
          <w:color w:val="auto"/>
          <w:sz w:val="24"/>
          <w:highlight w:val="none"/>
          <w:lang w:val="en-US" w:eastAsia="zh-CN"/>
        </w:rPr>
        <w:t>10</w:t>
      </w:r>
      <w:r>
        <w:rPr>
          <w:rFonts w:hint="eastAsia" w:ascii="宋体" w:hAnsi="宋体"/>
          <w:bCs/>
          <w:color w:val="auto"/>
          <w:sz w:val="24"/>
          <w:highlight w:val="none"/>
        </w:rPr>
        <w:t>月</w:t>
      </w:r>
      <w:r>
        <w:rPr>
          <w:rFonts w:hint="eastAsia" w:ascii="宋体" w:hAnsi="宋体"/>
          <w:bCs/>
          <w:color w:val="auto"/>
          <w:sz w:val="24"/>
          <w:highlight w:val="none"/>
          <w:lang w:val="en-US" w:eastAsia="zh-CN"/>
        </w:rPr>
        <w:t>23</w:t>
      </w:r>
      <w:r>
        <w:rPr>
          <w:rFonts w:hint="eastAsia" w:ascii="宋体" w:hAnsi="宋体"/>
          <w:bCs/>
          <w:color w:val="auto"/>
          <w:sz w:val="24"/>
          <w:highlight w:val="none"/>
        </w:rPr>
        <w:t>日</w:t>
      </w:r>
      <w:r>
        <w:rPr>
          <w:rFonts w:hint="eastAsia" w:ascii="宋体" w:hAnsi="宋体"/>
          <w:bCs/>
          <w:color w:val="auto"/>
          <w:sz w:val="24"/>
          <w:highlight w:val="none"/>
          <w:lang w:val="en-US" w:eastAsia="zh-CN"/>
        </w:rPr>
        <w:t>9</w:t>
      </w:r>
      <w:r>
        <w:rPr>
          <w:rFonts w:hint="eastAsia" w:ascii="宋体" w:hAnsi="宋体"/>
          <w:bCs/>
          <w:color w:val="auto"/>
          <w:sz w:val="24"/>
          <w:highlight w:val="none"/>
        </w:rPr>
        <w:t>时</w:t>
      </w:r>
      <w:r>
        <w:rPr>
          <w:rFonts w:hint="eastAsia" w:ascii="宋体" w:hAnsi="宋体"/>
          <w:bCs/>
          <w:color w:val="auto"/>
          <w:sz w:val="24"/>
          <w:highlight w:val="none"/>
          <w:lang w:val="en-US" w:eastAsia="zh-CN"/>
        </w:rPr>
        <w:t>30</w:t>
      </w:r>
      <w:r>
        <w:rPr>
          <w:rFonts w:hint="eastAsia" w:ascii="宋体" w:hAnsi="宋体"/>
          <w:bCs/>
          <w:color w:val="auto"/>
          <w:sz w:val="24"/>
          <w:highlight w:val="none"/>
        </w:rPr>
        <w:t>分（北京时间）。</w:t>
      </w:r>
    </w:p>
    <w:p w14:paraId="161627B6">
      <w:pPr>
        <w:spacing w:line="400" w:lineRule="exact"/>
        <w:ind w:firstLine="480" w:firstLineChars="200"/>
        <w:rPr>
          <w:rFonts w:ascii="宋体" w:hAnsi="宋体"/>
          <w:bCs/>
          <w:color w:val="auto"/>
          <w:sz w:val="24"/>
          <w:highlight w:val="none"/>
        </w:rPr>
      </w:pPr>
      <w:r>
        <w:rPr>
          <w:rFonts w:hint="eastAsia" w:ascii="宋体" w:hAnsi="宋体"/>
          <w:bCs/>
          <w:color w:val="auto"/>
          <w:sz w:val="24"/>
          <w:highlight w:val="none"/>
        </w:rPr>
        <w:t>投标地点：</w:t>
      </w:r>
      <w:r>
        <w:rPr>
          <w:rFonts w:hint="eastAsia" w:ascii="宋体" w:hAnsi="宋体" w:cs="宋体"/>
          <w:color w:val="auto"/>
          <w:sz w:val="24"/>
          <w:highlight w:val="none"/>
        </w:rPr>
        <w:t>通过广西政府采购云平台在线提交</w:t>
      </w:r>
      <w:r>
        <w:rPr>
          <w:rFonts w:hint="eastAsia" w:ascii="宋体" w:hAnsi="宋体"/>
          <w:bCs/>
          <w:color w:val="auto"/>
          <w:sz w:val="24"/>
          <w:highlight w:val="none"/>
        </w:rPr>
        <w:t>。</w:t>
      </w:r>
    </w:p>
    <w:p w14:paraId="785A6BCF">
      <w:pPr>
        <w:spacing w:line="400" w:lineRule="exact"/>
        <w:ind w:firstLine="480" w:firstLineChars="200"/>
        <w:rPr>
          <w:rFonts w:ascii="宋体" w:hAnsi="宋体"/>
          <w:bCs/>
          <w:color w:val="auto"/>
          <w:sz w:val="24"/>
          <w:highlight w:val="none"/>
        </w:rPr>
      </w:pPr>
      <w:r>
        <w:rPr>
          <w:rFonts w:hint="eastAsia" w:ascii="宋体" w:hAnsi="宋体"/>
          <w:bCs/>
          <w:color w:val="auto"/>
          <w:sz w:val="24"/>
          <w:highlight w:val="none"/>
        </w:rPr>
        <w:t>开标时间：</w:t>
      </w:r>
      <w:r>
        <w:rPr>
          <w:rFonts w:hint="eastAsia" w:ascii="宋体" w:hAnsi="宋体"/>
          <w:color w:val="auto"/>
          <w:sz w:val="24"/>
          <w:highlight w:val="none"/>
        </w:rPr>
        <w:t>2025年</w:t>
      </w:r>
      <w:r>
        <w:rPr>
          <w:rFonts w:hint="eastAsia" w:ascii="宋体" w:hAnsi="宋体"/>
          <w:bCs/>
          <w:color w:val="auto"/>
          <w:sz w:val="24"/>
          <w:highlight w:val="none"/>
          <w:lang w:val="en-US" w:eastAsia="zh-CN"/>
        </w:rPr>
        <w:t>10</w:t>
      </w:r>
      <w:r>
        <w:rPr>
          <w:rFonts w:hint="eastAsia" w:ascii="宋体" w:hAnsi="宋体"/>
          <w:bCs/>
          <w:color w:val="auto"/>
          <w:sz w:val="24"/>
          <w:highlight w:val="none"/>
        </w:rPr>
        <w:t>月</w:t>
      </w:r>
      <w:r>
        <w:rPr>
          <w:rFonts w:hint="eastAsia" w:ascii="宋体" w:hAnsi="宋体"/>
          <w:bCs/>
          <w:color w:val="auto"/>
          <w:sz w:val="24"/>
          <w:highlight w:val="none"/>
          <w:lang w:val="en-US" w:eastAsia="zh-CN"/>
        </w:rPr>
        <w:t>23</w:t>
      </w:r>
      <w:r>
        <w:rPr>
          <w:rFonts w:hint="eastAsia" w:ascii="宋体" w:hAnsi="宋体"/>
          <w:bCs/>
          <w:color w:val="auto"/>
          <w:sz w:val="24"/>
          <w:highlight w:val="none"/>
        </w:rPr>
        <w:t>日</w:t>
      </w:r>
      <w:r>
        <w:rPr>
          <w:rFonts w:hint="eastAsia" w:ascii="宋体" w:hAnsi="宋体"/>
          <w:bCs/>
          <w:color w:val="auto"/>
          <w:sz w:val="24"/>
          <w:highlight w:val="none"/>
          <w:lang w:val="en-US" w:eastAsia="zh-CN"/>
        </w:rPr>
        <w:t>9</w:t>
      </w:r>
      <w:r>
        <w:rPr>
          <w:rFonts w:hint="eastAsia" w:ascii="宋体" w:hAnsi="宋体"/>
          <w:bCs/>
          <w:color w:val="auto"/>
          <w:sz w:val="24"/>
          <w:highlight w:val="none"/>
        </w:rPr>
        <w:t>时</w:t>
      </w:r>
      <w:r>
        <w:rPr>
          <w:rFonts w:hint="eastAsia" w:ascii="宋体" w:hAnsi="宋体"/>
          <w:bCs/>
          <w:color w:val="auto"/>
          <w:sz w:val="24"/>
          <w:highlight w:val="none"/>
          <w:lang w:val="en-US" w:eastAsia="zh-CN"/>
        </w:rPr>
        <w:t>30</w:t>
      </w:r>
      <w:r>
        <w:rPr>
          <w:rFonts w:hint="eastAsia" w:ascii="宋体" w:hAnsi="宋体"/>
          <w:bCs/>
          <w:color w:val="auto"/>
          <w:sz w:val="24"/>
          <w:highlight w:val="none"/>
        </w:rPr>
        <w:t>分。</w:t>
      </w:r>
    </w:p>
    <w:p w14:paraId="20759690">
      <w:pPr>
        <w:spacing w:line="400" w:lineRule="exact"/>
        <w:ind w:firstLine="480" w:firstLineChars="200"/>
        <w:rPr>
          <w:rFonts w:ascii="宋体" w:hAnsi="宋体"/>
          <w:bCs/>
          <w:color w:val="auto"/>
          <w:sz w:val="24"/>
          <w:highlight w:val="none"/>
        </w:rPr>
      </w:pPr>
      <w:r>
        <w:rPr>
          <w:rFonts w:hint="eastAsia" w:ascii="宋体" w:hAnsi="宋体"/>
          <w:bCs/>
          <w:color w:val="auto"/>
          <w:sz w:val="24"/>
          <w:highlight w:val="none"/>
        </w:rPr>
        <w:t>开标地点：广西政府采购云平台电子开标大厅【政府采购开标室2】</w:t>
      </w:r>
    </w:p>
    <w:p w14:paraId="1CFF99B2">
      <w:pPr>
        <w:spacing w:line="400" w:lineRule="exact"/>
        <w:ind w:firstLine="482" w:firstLineChars="200"/>
        <w:rPr>
          <w:rFonts w:ascii="黑体" w:hAnsi="黑体" w:eastAsia="黑体"/>
          <w:b/>
          <w:bCs/>
          <w:color w:val="auto"/>
          <w:sz w:val="24"/>
          <w:highlight w:val="none"/>
        </w:rPr>
      </w:pPr>
      <w:r>
        <w:rPr>
          <w:rFonts w:hint="eastAsia" w:ascii="黑体" w:hAnsi="黑体" w:eastAsia="黑体"/>
          <w:b/>
          <w:bCs/>
          <w:color w:val="auto"/>
          <w:sz w:val="24"/>
          <w:highlight w:val="none"/>
        </w:rPr>
        <w:t>五、公告期限</w:t>
      </w:r>
      <w:bookmarkEnd w:id="27"/>
      <w:bookmarkEnd w:id="28"/>
      <w:bookmarkEnd w:id="29"/>
      <w:bookmarkEnd w:id="30"/>
    </w:p>
    <w:p w14:paraId="421E0646">
      <w:pPr>
        <w:spacing w:line="40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自本公告发布之日起5个工作日。</w:t>
      </w:r>
    </w:p>
    <w:p w14:paraId="3D373EFC">
      <w:pPr>
        <w:spacing w:line="400" w:lineRule="exact"/>
        <w:ind w:firstLine="482" w:firstLineChars="200"/>
        <w:rPr>
          <w:rFonts w:ascii="黑体" w:hAnsi="黑体" w:eastAsia="黑体"/>
          <w:b/>
          <w:bCs/>
          <w:color w:val="auto"/>
          <w:sz w:val="24"/>
          <w:highlight w:val="none"/>
        </w:rPr>
      </w:pPr>
      <w:bookmarkStart w:id="31" w:name="_Toc35393795"/>
      <w:bookmarkStart w:id="32" w:name="_Toc35393626"/>
      <w:r>
        <w:rPr>
          <w:rFonts w:hint="eastAsia" w:ascii="黑体" w:hAnsi="黑体" w:eastAsia="黑体"/>
          <w:b/>
          <w:bCs/>
          <w:color w:val="auto"/>
          <w:sz w:val="24"/>
          <w:highlight w:val="none"/>
        </w:rPr>
        <w:t>六、其他补充事宜</w:t>
      </w:r>
      <w:bookmarkEnd w:id="31"/>
      <w:bookmarkEnd w:id="32"/>
    </w:p>
    <w:p w14:paraId="701C55D2">
      <w:pPr>
        <w:spacing w:line="400" w:lineRule="exact"/>
        <w:ind w:firstLine="480" w:firstLineChars="200"/>
        <w:rPr>
          <w:rFonts w:ascii="宋体" w:hAnsi="宋体" w:cs="宋体"/>
          <w:color w:val="auto"/>
          <w:kern w:val="0"/>
          <w:sz w:val="24"/>
          <w:highlight w:val="none"/>
        </w:rPr>
      </w:pPr>
      <w:bookmarkStart w:id="33" w:name="_Hlk37429595"/>
      <w:bookmarkStart w:id="34" w:name="_Hlk37429585"/>
      <w:bookmarkStart w:id="35" w:name="_Toc35393796"/>
      <w:bookmarkStart w:id="36" w:name="_Toc28359085"/>
      <w:bookmarkStart w:id="37" w:name="_Toc35393627"/>
      <w:bookmarkStart w:id="38" w:name="_Toc28359008"/>
      <w:r>
        <w:rPr>
          <w:rFonts w:hint="eastAsia" w:ascii="宋体" w:hAnsi="宋体" w:cs="宋体"/>
          <w:color w:val="auto"/>
          <w:kern w:val="0"/>
          <w:sz w:val="24"/>
          <w:highlight w:val="none"/>
        </w:rPr>
        <w:t>1.投标保证金：本项目不收取投标保证金。</w:t>
      </w:r>
    </w:p>
    <w:p w14:paraId="173BE56D">
      <w:pPr>
        <w:spacing w:line="40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2.网上查询地址：</w:t>
      </w:r>
      <w:bookmarkEnd w:id="33"/>
      <w:bookmarkEnd w:id="34"/>
      <w:bookmarkStart w:id="39" w:name="_Hlk37429674"/>
      <w:r>
        <w:rPr>
          <w:rFonts w:hint="eastAsia" w:ascii="宋体" w:hAnsi="宋体" w:cs="宋体"/>
          <w:color w:val="auto"/>
          <w:kern w:val="0"/>
          <w:sz w:val="24"/>
          <w:highlight w:val="none"/>
        </w:rPr>
        <w:t>中国政府采购网、广西壮族自治区政府采购网、全国公共资源交易平台（广西·防城港）。</w:t>
      </w:r>
    </w:p>
    <w:p w14:paraId="55A2E06C">
      <w:pPr>
        <w:spacing w:line="400" w:lineRule="exact"/>
        <w:ind w:firstLine="480" w:firstLineChars="200"/>
        <w:rPr>
          <w:rFonts w:ascii="宋体" w:hAnsi="宋体" w:cs="宋体"/>
          <w:color w:val="auto"/>
          <w:kern w:val="0"/>
          <w:sz w:val="24"/>
          <w:highlight w:val="none"/>
        </w:rPr>
      </w:pPr>
      <w:r>
        <w:rPr>
          <w:rFonts w:hint="eastAsia" w:ascii="宋体" w:hAnsi="宋体"/>
          <w:color w:val="auto"/>
          <w:sz w:val="24"/>
          <w:highlight w:val="none"/>
        </w:rPr>
        <w:t>3</w:t>
      </w:r>
      <w:r>
        <w:rPr>
          <w:rFonts w:ascii="宋体" w:hAnsi="宋体"/>
          <w:color w:val="auto"/>
          <w:sz w:val="24"/>
          <w:highlight w:val="none"/>
        </w:rPr>
        <w:t>.</w:t>
      </w:r>
      <w:r>
        <w:rPr>
          <w:rFonts w:hint="eastAsia" w:ascii="宋体" w:hAnsi="宋体" w:cs="宋体"/>
          <w:color w:val="auto"/>
          <w:kern w:val="0"/>
          <w:sz w:val="24"/>
          <w:highlight w:val="none"/>
        </w:rPr>
        <w:t>本项目需要落实的政府采购政策</w:t>
      </w:r>
    </w:p>
    <w:p w14:paraId="5E4DCA81">
      <w:pPr>
        <w:spacing w:line="40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（1）政府采购促进中小企业发展。</w:t>
      </w:r>
    </w:p>
    <w:p w14:paraId="6122CE25">
      <w:pPr>
        <w:spacing w:line="40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（2）政府采购支持采用本国产品的政策。</w:t>
      </w:r>
    </w:p>
    <w:p w14:paraId="77A3E3A3">
      <w:pPr>
        <w:spacing w:line="40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（3）强制采购节能产品；优先采购节能产品、环境标志产品。</w:t>
      </w:r>
    </w:p>
    <w:p w14:paraId="1574EB93">
      <w:pPr>
        <w:spacing w:line="40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（4）政府采购促进残疾人就业政策。</w:t>
      </w:r>
    </w:p>
    <w:p w14:paraId="6DA755CD">
      <w:pPr>
        <w:spacing w:line="40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（5）政府采购支持监狱企业发展。</w:t>
      </w:r>
    </w:p>
    <w:bookmarkEnd w:id="39"/>
    <w:p w14:paraId="6F4E3950">
      <w:pPr>
        <w:spacing w:line="400" w:lineRule="exact"/>
        <w:ind w:firstLine="484" w:firstLineChars="202"/>
        <w:rPr>
          <w:rFonts w:ascii="宋体" w:hAnsi="宋体"/>
          <w:color w:val="auto"/>
          <w:sz w:val="24"/>
          <w:highlight w:val="none"/>
        </w:rPr>
      </w:pPr>
      <w:r>
        <w:rPr>
          <w:rFonts w:hint="eastAsia" w:ascii="宋体" w:hAnsi="宋体"/>
          <w:color w:val="auto"/>
          <w:sz w:val="24"/>
          <w:highlight w:val="none"/>
        </w:rPr>
        <w:t>4</w:t>
      </w:r>
      <w:r>
        <w:rPr>
          <w:rFonts w:ascii="宋体" w:hAnsi="宋体"/>
          <w:color w:val="auto"/>
          <w:sz w:val="24"/>
          <w:highlight w:val="none"/>
        </w:rPr>
        <w:t>.监督部门</w:t>
      </w:r>
    </w:p>
    <w:p w14:paraId="7C1EF4F6">
      <w:pPr>
        <w:spacing w:line="40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名称：防城港市财政局</w:t>
      </w:r>
    </w:p>
    <w:p w14:paraId="7FAD7C05">
      <w:pPr>
        <w:spacing w:line="40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电话：0770-6102323</w:t>
      </w:r>
    </w:p>
    <w:p w14:paraId="3E90EB82">
      <w:pPr>
        <w:widowControl/>
        <w:spacing w:line="40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5.本项目为远程异地项目，主场：防城港市公共资源交易中心，副场：</w:t>
      </w:r>
      <w:r>
        <w:rPr>
          <w:rFonts w:hint="eastAsia" w:ascii="宋体" w:hAnsi="宋体" w:cs="宋体"/>
          <w:color w:val="auto"/>
          <w:kern w:val="0"/>
          <w:sz w:val="24"/>
          <w:highlight w:val="none"/>
          <w:lang w:val="en-US" w:eastAsia="zh-CN"/>
        </w:rPr>
        <w:t>柳州</w:t>
      </w:r>
      <w:r>
        <w:rPr>
          <w:rFonts w:hint="eastAsia" w:ascii="宋体" w:hAnsi="宋体" w:cs="宋体"/>
          <w:color w:val="auto"/>
          <w:kern w:val="0"/>
          <w:sz w:val="24"/>
          <w:highlight w:val="none"/>
        </w:rPr>
        <w:t>市公共资源交易中心。</w:t>
      </w:r>
    </w:p>
    <w:p w14:paraId="7F07D698">
      <w:pPr>
        <w:widowControl/>
        <w:spacing w:line="400" w:lineRule="exact"/>
        <w:ind w:firstLine="480" w:firstLineChars="200"/>
        <w:jc w:val="left"/>
        <w:rPr>
          <w:rFonts w:ascii="宋体" w:hAnsi="宋体"/>
          <w:color w:val="auto"/>
          <w:sz w:val="24"/>
          <w:highlight w:val="none"/>
        </w:rPr>
      </w:pPr>
      <w:r>
        <w:rPr>
          <w:rFonts w:hint="eastAsia" w:ascii="宋体" w:hAnsi="宋体" w:cs="宋体"/>
          <w:color w:val="auto"/>
          <w:kern w:val="0"/>
          <w:sz w:val="24"/>
          <w:highlight w:val="none"/>
        </w:rPr>
        <w:t>6.投标人</w:t>
      </w:r>
      <w:r>
        <w:rPr>
          <w:rFonts w:hint="eastAsia" w:ascii="宋体" w:hAnsi="宋体"/>
          <w:color w:val="auto"/>
          <w:sz w:val="24"/>
          <w:highlight w:val="none"/>
        </w:rPr>
        <w:t>投标注意事项</w:t>
      </w:r>
    </w:p>
    <w:p w14:paraId="42CAE725">
      <w:pPr>
        <w:widowControl/>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本项目为全流程电子化采购项目，通过广西政府采购云平台实行在线电子投标，投标人应先安装“广西政府采购云平台电子投标客户端”（请自行前往广西政府采购云平台进行下载），并按照本项目招标文件和广西政府采购云平台的要求编制、加密后在投标截止时间前通过网络上传至广西政府采购云平台（加密的电子投标文件是指后缀名为“jmbs”的文件），投标人在广西政府采购云平台提交电子投标文件时，请填写参加远程开标活动经办人联系方式。投标人登录广西政府采购网，依次进入“服务中心-项目采购-操作流程-电子招投标-政府采购项目电子交易管理操作指南-投标人”查看电子投标具体操作流程。</w:t>
      </w:r>
    </w:p>
    <w:p w14:paraId="462E956D">
      <w:pPr>
        <w:widowControl/>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未进行网上注册并办理数字证书（CA认证）的投标人将无法参与本项目政府采购活动，投标人应当在投标截止时间前，完成电子交易平台上的CA数字证书办理及投标文件的提交（投标人可登录“广西政府采购网”，依次进入“办事服务-下载专区”或者登录广西政府采购云平台，依次进入“服务中心-入驻与配置”中查看CA数字证书办理操作流程。如在操作过程中遇到问题或者需要技术支持，请致电客服热线：95763或者0771-3381253）。</w:t>
      </w:r>
    </w:p>
    <w:p w14:paraId="216CCE16">
      <w:pPr>
        <w:widowControl/>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（3）CA证书在线解密：投标人投标时，需凭制作投标文件时用来加密的有效数字证书（CA认证）登录广西政府采购云平台电子开标大厅现场按规定时间对加密的投标文件进行解密，否则后果自负。</w:t>
      </w:r>
    </w:p>
    <w:p w14:paraId="02DB703C">
      <w:pPr>
        <w:widowControl/>
        <w:spacing w:line="400" w:lineRule="exact"/>
        <w:ind w:firstLine="480" w:firstLineChars="200"/>
        <w:rPr>
          <w:rFonts w:ascii="宋体" w:hAnsi="宋体" w:cs="宋体"/>
          <w:color w:val="auto"/>
          <w:sz w:val="24"/>
          <w:highlight w:val="none"/>
        </w:rPr>
      </w:pPr>
    </w:p>
    <w:p w14:paraId="05D8CF89">
      <w:pPr>
        <w:widowControl/>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注：1）为确保网上操作合法、有效和安全，请投标人确保在电子投标过程中能够对相关数据电文进行加密和使用电子签章，妥善保管CA数字证书并使用有效的CA数字证书参与整个招标活动。2）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广西政府采购云平台将予以拒收。</w:t>
      </w:r>
    </w:p>
    <w:p w14:paraId="0FBC9DF7">
      <w:pPr>
        <w:spacing w:line="400" w:lineRule="exact"/>
        <w:ind w:firstLine="482" w:firstLineChars="200"/>
        <w:rPr>
          <w:rFonts w:ascii="黑体" w:hAnsi="黑体" w:eastAsia="黑体"/>
          <w:b/>
          <w:bCs/>
          <w:color w:val="auto"/>
          <w:sz w:val="24"/>
          <w:highlight w:val="none"/>
        </w:rPr>
      </w:pPr>
      <w:r>
        <w:rPr>
          <w:rFonts w:hint="eastAsia" w:ascii="黑体" w:hAnsi="黑体" w:eastAsia="黑体"/>
          <w:b/>
          <w:bCs/>
          <w:color w:val="auto"/>
          <w:sz w:val="24"/>
          <w:highlight w:val="none"/>
        </w:rPr>
        <w:t>七、对本次招标提出询问，请按</w:t>
      </w:r>
      <w:r>
        <w:rPr>
          <w:rFonts w:ascii="黑体" w:hAnsi="黑体" w:eastAsia="黑体"/>
          <w:b/>
          <w:bCs/>
          <w:color w:val="auto"/>
          <w:sz w:val="24"/>
          <w:highlight w:val="none"/>
        </w:rPr>
        <w:t>以下方式</w:t>
      </w:r>
      <w:r>
        <w:rPr>
          <w:rFonts w:hint="eastAsia" w:ascii="黑体" w:hAnsi="黑体" w:eastAsia="黑体"/>
          <w:b/>
          <w:bCs/>
          <w:color w:val="auto"/>
          <w:sz w:val="24"/>
          <w:highlight w:val="none"/>
        </w:rPr>
        <w:t>联系。</w:t>
      </w:r>
      <w:bookmarkEnd w:id="35"/>
      <w:bookmarkEnd w:id="36"/>
      <w:bookmarkEnd w:id="37"/>
      <w:bookmarkEnd w:id="38"/>
    </w:p>
    <w:p w14:paraId="7C163E9E">
      <w:pPr>
        <w:spacing w:line="400" w:lineRule="exact"/>
        <w:ind w:firstLine="484" w:firstLineChars="202"/>
        <w:jc w:val="left"/>
        <w:rPr>
          <w:rFonts w:ascii="宋体" w:hAnsi="宋体"/>
          <w:color w:val="auto"/>
          <w:sz w:val="24"/>
          <w:highlight w:val="none"/>
        </w:rPr>
      </w:pPr>
      <w:r>
        <w:rPr>
          <w:rFonts w:hint="eastAsia" w:ascii="宋体" w:hAnsi="宋体" w:cs="宋体"/>
          <w:color w:val="auto"/>
          <w:sz w:val="24"/>
          <w:highlight w:val="none"/>
        </w:rPr>
        <w:t>1.采购人信息</w:t>
      </w:r>
    </w:p>
    <w:p w14:paraId="65E617EC">
      <w:pPr>
        <w:spacing w:line="400" w:lineRule="exact"/>
        <w:ind w:firstLine="484" w:firstLineChars="202"/>
        <w:jc w:val="left"/>
        <w:rPr>
          <w:rFonts w:ascii="宋体" w:hAnsi="宋体"/>
          <w:color w:val="auto"/>
          <w:sz w:val="24"/>
          <w:highlight w:val="none"/>
        </w:rPr>
      </w:pPr>
      <w:bookmarkStart w:id="40" w:name="_Toc28359009"/>
      <w:bookmarkStart w:id="41" w:name="_Toc28359086"/>
      <w:r>
        <w:rPr>
          <w:rFonts w:hint="eastAsia" w:ascii="宋体" w:hAnsi="宋体"/>
          <w:color w:val="auto"/>
          <w:sz w:val="24"/>
          <w:highlight w:val="none"/>
        </w:rPr>
        <w:t>名称：防城港市公安局</w:t>
      </w:r>
    </w:p>
    <w:p w14:paraId="3B49ED7E">
      <w:pPr>
        <w:spacing w:line="400" w:lineRule="exact"/>
        <w:ind w:firstLine="484" w:firstLineChars="202"/>
        <w:jc w:val="left"/>
        <w:rPr>
          <w:rFonts w:ascii="宋体" w:hAnsi="宋体"/>
          <w:color w:val="auto"/>
          <w:sz w:val="24"/>
          <w:highlight w:val="none"/>
        </w:rPr>
      </w:pPr>
      <w:r>
        <w:rPr>
          <w:rFonts w:hint="eastAsia" w:ascii="宋体" w:hAnsi="宋体"/>
          <w:color w:val="auto"/>
          <w:sz w:val="24"/>
          <w:highlight w:val="none"/>
        </w:rPr>
        <w:t>地址：防城港市港口区金花茶大道69号</w:t>
      </w:r>
    </w:p>
    <w:p w14:paraId="25132CC9">
      <w:pPr>
        <w:spacing w:line="400" w:lineRule="exact"/>
        <w:ind w:firstLine="484" w:firstLineChars="202"/>
        <w:jc w:val="left"/>
        <w:rPr>
          <w:rFonts w:ascii="宋体" w:hAnsi="宋体"/>
          <w:color w:val="auto"/>
          <w:sz w:val="24"/>
          <w:highlight w:val="none"/>
        </w:rPr>
      </w:pPr>
      <w:r>
        <w:rPr>
          <w:rFonts w:hint="eastAsia" w:ascii="宋体" w:hAnsi="宋体"/>
          <w:color w:val="auto"/>
          <w:sz w:val="24"/>
          <w:highlight w:val="none"/>
        </w:rPr>
        <w:t>联系方式：吴美，0770-6126288</w:t>
      </w:r>
    </w:p>
    <w:p w14:paraId="4D62403F">
      <w:pPr>
        <w:spacing w:line="400" w:lineRule="exact"/>
        <w:ind w:firstLine="484" w:firstLineChars="202"/>
        <w:jc w:val="left"/>
        <w:rPr>
          <w:rFonts w:ascii="宋体" w:hAnsi="宋体"/>
          <w:color w:val="auto"/>
          <w:sz w:val="24"/>
          <w:highlight w:val="none"/>
        </w:rPr>
      </w:pPr>
      <w:r>
        <w:rPr>
          <w:rFonts w:hint="eastAsia" w:ascii="宋体" w:hAnsi="宋体" w:cs="宋体"/>
          <w:color w:val="auto"/>
          <w:sz w:val="24"/>
          <w:highlight w:val="none"/>
        </w:rPr>
        <w:t>2.采购代理机构信息</w:t>
      </w:r>
      <w:bookmarkEnd w:id="40"/>
      <w:bookmarkEnd w:id="41"/>
    </w:p>
    <w:p w14:paraId="1C53CF57">
      <w:pPr>
        <w:spacing w:line="400" w:lineRule="exact"/>
        <w:ind w:firstLine="484" w:firstLineChars="202"/>
        <w:rPr>
          <w:rFonts w:ascii="宋体" w:hAnsi="宋体"/>
          <w:color w:val="auto"/>
          <w:sz w:val="24"/>
          <w:highlight w:val="none"/>
        </w:rPr>
      </w:pPr>
      <w:r>
        <w:rPr>
          <w:rFonts w:hint="eastAsia" w:ascii="宋体" w:hAnsi="宋体"/>
          <w:color w:val="auto"/>
          <w:sz w:val="24"/>
          <w:highlight w:val="none"/>
        </w:rPr>
        <w:t>名称：广西鸿业建设工程管理咨询有限公司</w:t>
      </w:r>
    </w:p>
    <w:p w14:paraId="16F36A2A">
      <w:pPr>
        <w:spacing w:line="400" w:lineRule="exact"/>
        <w:ind w:firstLine="484" w:firstLineChars="202"/>
        <w:rPr>
          <w:rFonts w:ascii="宋体" w:hAnsi="宋体"/>
          <w:color w:val="auto"/>
          <w:sz w:val="24"/>
          <w:highlight w:val="none"/>
        </w:rPr>
      </w:pPr>
      <w:r>
        <w:rPr>
          <w:rFonts w:hint="eastAsia" w:ascii="宋体" w:hAnsi="宋体"/>
          <w:color w:val="auto"/>
          <w:sz w:val="24"/>
          <w:highlight w:val="none"/>
        </w:rPr>
        <w:t>地址：防城港市港口区西湾广场财苑小区8栋</w:t>
      </w:r>
    </w:p>
    <w:p w14:paraId="0C51AF4C">
      <w:pPr>
        <w:spacing w:line="400" w:lineRule="exact"/>
        <w:rPr>
          <w:rFonts w:ascii="宋体" w:hAnsi="宋体"/>
          <w:color w:val="auto"/>
          <w:sz w:val="24"/>
          <w:highlight w:val="none"/>
        </w:rPr>
      </w:pPr>
      <w:r>
        <w:rPr>
          <w:rFonts w:hint="eastAsia" w:ascii="宋体" w:hAnsi="宋体"/>
          <w:color w:val="auto"/>
          <w:sz w:val="24"/>
          <w:highlight w:val="none"/>
        </w:rPr>
        <w:t xml:space="preserve">    联系方式：</w:t>
      </w:r>
      <w:bookmarkStart w:id="42" w:name="_Toc28359087"/>
      <w:bookmarkStart w:id="43" w:name="_Toc28359010"/>
      <w:r>
        <w:rPr>
          <w:rFonts w:hint="eastAsia" w:ascii="宋体" w:hAnsi="宋体"/>
          <w:color w:val="auto"/>
          <w:sz w:val="24"/>
          <w:highlight w:val="none"/>
        </w:rPr>
        <w:t>0770-2862599</w:t>
      </w:r>
    </w:p>
    <w:p w14:paraId="5E083C80">
      <w:pPr>
        <w:spacing w:line="400" w:lineRule="exact"/>
        <w:ind w:firstLine="480" w:firstLineChars="200"/>
        <w:rPr>
          <w:rFonts w:ascii="宋体" w:hAnsi="宋体"/>
          <w:bCs/>
          <w:color w:val="auto"/>
          <w:sz w:val="24"/>
          <w:highlight w:val="none"/>
        </w:rPr>
      </w:pPr>
      <w:r>
        <w:rPr>
          <w:rFonts w:hint="eastAsia" w:ascii="宋体" w:hAnsi="宋体"/>
          <w:bCs/>
          <w:color w:val="auto"/>
          <w:sz w:val="24"/>
          <w:highlight w:val="none"/>
        </w:rPr>
        <w:t>3.项目联系方式</w:t>
      </w:r>
    </w:p>
    <w:p w14:paraId="171CABAE">
      <w:pPr>
        <w:spacing w:line="400" w:lineRule="exact"/>
        <w:ind w:firstLine="480" w:firstLineChars="200"/>
        <w:rPr>
          <w:rFonts w:hint="eastAsia" w:ascii="宋体" w:hAnsi="宋体" w:eastAsia="宋体"/>
          <w:bCs/>
          <w:color w:val="auto"/>
          <w:sz w:val="24"/>
          <w:highlight w:val="none"/>
          <w:lang w:eastAsia="zh-CN"/>
        </w:rPr>
      </w:pPr>
      <w:r>
        <w:rPr>
          <w:rFonts w:hint="eastAsia" w:ascii="宋体" w:hAnsi="宋体"/>
          <w:bCs/>
          <w:color w:val="auto"/>
          <w:sz w:val="24"/>
          <w:highlight w:val="none"/>
        </w:rPr>
        <w:t>项目联系人：</w:t>
      </w:r>
      <w:r>
        <w:rPr>
          <w:rFonts w:hint="eastAsia" w:ascii="宋体" w:hAnsi="宋体"/>
          <w:bCs/>
          <w:color w:val="auto"/>
          <w:sz w:val="24"/>
          <w:highlight w:val="none"/>
          <w:lang w:eastAsia="zh-CN"/>
        </w:rPr>
        <w:t>刘国宇</w:t>
      </w:r>
    </w:p>
    <w:p w14:paraId="3BAD143F">
      <w:pPr>
        <w:spacing w:line="400" w:lineRule="exact"/>
        <w:ind w:firstLine="484" w:firstLineChars="202"/>
        <w:rPr>
          <w:rFonts w:ascii="宋体" w:hAnsi="宋体"/>
          <w:color w:val="auto"/>
          <w:sz w:val="24"/>
          <w:highlight w:val="none"/>
        </w:rPr>
      </w:pPr>
      <w:r>
        <w:rPr>
          <w:rFonts w:hint="eastAsia" w:ascii="宋体" w:hAnsi="宋体"/>
          <w:bCs/>
          <w:color w:val="auto"/>
          <w:sz w:val="24"/>
          <w:highlight w:val="none"/>
        </w:rPr>
        <w:t>电    话：0770-2862599</w:t>
      </w:r>
      <w:r>
        <w:rPr>
          <w:rFonts w:ascii="宋体" w:hAnsi="宋体"/>
          <w:color w:val="auto"/>
          <w:sz w:val="24"/>
          <w:highlight w:val="none"/>
        </w:rPr>
        <w:t>　</w:t>
      </w:r>
    </w:p>
    <w:p w14:paraId="7932D414">
      <w:pPr>
        <w:spacing w:line="360" w:lineRule="auto"/>
        <w:ind w:firstLine="484" w:firstLineChars="202"/>
        <w:rPr>
          <w:rFonts w:ascii="宋体" w:hAnsi="宋体"/>
          <w:color w:val="auto"/>
          <w:sz w:val="24"/>
          <w:highlight w:val="none"/>
        </w:rPr>
      </w:pPr>
    </w:p>
    <w:p w14:paraId="729DF127">
      <w:pPr>
        <w:spacing w:line="360" w:lineRule="auto"/>
        <w:ind w:firstLine="484" w:firstLineChars="202"/>
        <w:jc w:val="right"/>
        <w:rPr>
          <w:rFonts w:ascii="宋体" w:hAnsi="宋体"/>
          <w:color w:val="auto"/>
          <w:sz w:val="24"/>
          <w:highlight w:val="none"/>
        </w:rPr>
      </w:pPr>
      <w:r>
        <w:rPr>
          <w:rFonts w:ascii="宋体" w:hAnsi="宋体"/>
          <w:color w:val="auto"/>
          <w:sz w:val="24"/>
          <w:highlight w:val="none"/>
        </w:rPr>
        <w:t>采购人：</w:t>
      </w:r>
      <w:r>
        <w:rPr>
          <w:rFonts w:hint="eastAsia" w:ascii="宋体" w:hAnsi="宋体"/>
          <w:color w:val="auto"/>
          <w:sz w:val="24"/>
          <w:highlight w:val="none"/>
        </w:rPr>
        <w:t>防城港市公安局</w:t>
      </w:r>
    </w:p>
    <w:p w14:paraId="5B6F9406">
      <w:pPr>
        <w:spacing w:line="360" w:lineRule="auto"/>
        <w:ind w:firstLine="484" w:firstLineChars="202"/>
        <w:jc w:val="right"/>
        <w:rPr>
          <w:rFonts w:ascii="宋体" w:hAnsi="宋体"/>
          <w:color w:val="auto"/>
          <w:sz w:val="24"/>
          <w:highlight w:val="none"/>
        </w:rPr>
      </w:pPr>
      <w:r>
        <w:rPr>
          <w:rFonts w:ascii="宋体" w:hAnsi="宋体"/>
          <w:color w:val="auto"/>
          <w:sz w:val="24"/>
          <w:highlight w:val="none"/>
        </w:rPr>
        <w:t>　　采购代理机构：</w:t>
      </w:r>
      <w:r>
        <w:rPr>
          <w:rFonts w:hint="eastAsia" w:ascii="宋体" w:hAnsi="宋体"/>
          <w:color w:val="auto"/>
          <w:sz w:val="24"/>
          <w:highlight w:val="none"/>
        </w:rPr>
        <w:t>广西鸿业建设工程管理咨询有限公司</w:t>
      </w:r>
    </w:p>
    <w:p w14:paraId="35218782">
      <w:pPr>
        <w:spacing w:line="360" w:lineRule="auto"/>
        <w:ind w:firstLine="484" w:firstLineChars="202"/>
        <w:jc w:val="right"/>
        <w:rPr>
          <w:rFonts w:ascii="宋体" w:hAnsi="宋体"/>
          <w:color w:val="auto"/>
          <w:sz w:val="24"/>
          <w:highlight w:val="none"/>
        </w:rPr>
      </w:pPr>
      <w:r>
        <w:rPr>
          <w:rFonts w:ascii="宋体" w:hAnsi="宋体"/>
          <w:color w:val="auto"/>
          <w:sz w:val="24"/>
          <w:highlight w:val="none"/>
        </w:rPr>
        <w:t>　　</w:t>
      </w:r>
      <w:r>
        <w:rPr>
          <w:rFonts w:hint="eastAsia" w:ascii="宋体" w:hAnsi="宋体"/>
          <w:color w:val="auto"/>
          <w:sz w:val="24"/>
          <w:highlight w:val="none"/>
        </w:rPr>
        <w:t>2025年</w:t>
      </w:r>
      <w:r>
        <w:rPr>
          <w:rFonts w:hint="eastAsia" w:ascii="宋体" w:hAnsi="宋体"/>
          <w:color w:val="auto"/>
          <w:sz w:val="24"/>
          <w:highlight w:val="none"/>
          <w:lang w:val="en-US" w:eastAsia="zh-CN"/>
        </w:rPr>
        <w:t>9</w:t>
      </w:r>
      <w:r>
        <w:rPr>
          <w:rFonts w:ascii="宋体" w:hAnsi="宋体"/>
          <w:color w:val="auto"/>
          <w:sz w:val="24"/>
          <w:highlight w:val="none"/>
        </w:rPr>
        <w:t>月</w:t>
      </w:r>
      <w:r>
        <w:rPr>
          <w:rFonts w:hint="eastAsia" w:ascii="宋体" w:hAnsi="宋体"/>
          <w:color w:val="auto"/>
          <w:sz w:val="24"/>
          <w:highlight w:val="none"/>
          <w:lang w:val="en-US" w:eastAsia="zh-CN"/>
        </w:rPr>
        <w:t>30</w:t>
      </w:r>
      <w:r>
        <w:rPr>
          <w:rFonts w:ascii="宋体" w:hAnsi="宋体"/>
          <w:color w:val="auto"/>
          <w:sz w:val="24"/>
          <w:highlight w:val="none"/>
        </w:rPr>
        <w:t>日</w:t>
      </w:r>
    </w:p>
    <w:bookmarkEnd w:id="42"/>
    <w:bookmarkEnd w:id="43"/>
    <w:p w14:paraId="10F544E7">
      <w:pPr>
        <w:spacing w:line="360" w:lineRule="auto"/>
        <w:rPr>
          <w:rFonts w:ascii="宋体" w:hAnsi="宋体"/>
          <w:color w:val="auto"/>
          <w:szCs w:val="21"/>
          <w:highlight w:val="none"/>
        </w:rPr>
      </w:pPr>
    </w:p>
    <w:p w14:paraId="3C8C4926">
      <w:pPr>
        <w:pStyle w:val="4"/>
        <w:keepNext w:val="0"/>
        <w:keepLines w:val="0"/>
        <w:tabs>
          <w:tab w:val="left" w:pos="0"/>
          <w:tab w:val="left" w:pos="3165"/>
          <w:tab w:val="center" w:pos="4153"/>
        </w:tabs>
        <w:autoSpaceDE w:val="0"/>
        <w:autoSpaceDN w:val="0"/>
        <w:adjustRightInd w:val="0"/>
        <w:spacing w:before="0" w:after="0" w:line="360" w:lineRule="auto"/>
        <w:jc w:val="center"/>
        <w:rPr>
          <w:color w:val="auto"/>
          <w:highlight w:val="none"/>
        </w:rPr>
      </w:pPr>
      <w:r>
        <w:rPr>
          <w:rFonts w:ascii="仿宋_GB2312" w:hAnsi="宋体" w:eastAsia="仿宋_GB2312"/>
          <w:color w:val="auto"/>
          <w:sz w:val="24"/>
          <w:szCs w:val="20"/>
          <w:highlight w:val="none"/>
        </w:rPr>
        <w:br w:type="page"/>
      </w:r>
      <w:bookmarkStart w:id="44" w:name="_Toc26893"/>
      <w:r>
        <w:rPr>
          <w:rFonts w:hint="eastAsia"/>
          <w:color w:val="auto"/>
          <w:highlight w:val="none"/>
        </w:rPr>
        <w:t>第二章  采购需求</w:t>
      </w:r>
      <w:bookmarkEnd w:id="44"/>
    </w:p>
    <w:p w14:paraId="74E615BB">
      <w:pPr>
        <w:tabs>
          <w:tab w:val="left" w:pos="3892"/>
        </w:tabs>
        <w:spacing w:line="360" w:lineRule="auto"/>
        <w:jc w:val="left"/>
        <w:rPr>
          <w:rFonts w:asciiTheme="minorEastAsia" w:hAnsiTheme="minorEastAsia" w:eastAsiaTheme="minorEastAsia" w:cstheme="minorEastAsia"/>
          <w:color w:val="auto"/>
          <w:szCs w:val="21"/>
          <w:highlight w:val="none"/>
        </w:rPr>
      </w:pPr>
      <w:bookmarkStart w:id="45" w:name="_Toc254970631"/>
      <w:bookmarkStart w:id="46" w:name="_Toc254970490"/>
      <w:r>
        <w:rPr>
          <w:rFonts w:hint="eastAsia" w:asciiTheme="minorEastAsia" w:hAnsiTheme="minorEastAsia" w:eastAsiaTheme="minorEastAsia" w:cstheme="minorEastAsia"/>
          <w:color w:val="auto"/>
          <w:szCs w:val="21"/>
          <w:highlight w:val="none"/>
        </w:rPr>
        <w:t>说明：</w:t>
      </w:r>
    </w:p>
    <w:p w14:paraId="59D7DC82">
      <w:pPr>
        <w:tabs>
          <w:tab w:val="left" w:pos="3892"/>
        </w:tabs>
        <w:spacing w:line="360" w:lineRule="auto"/>
        <w:ind w:firstLine="420" w:firstLineChars="200"/>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 为落实政府采购政策需满足的要求</w:t>
      </w:r>
    </w:p>
    <w:p w14:paraId="4E71322C">
      <w:pPr>
        <w:tabs>
          <w:tab w:val="left" w:pos="3892"/>
        </w:tabs>
        <w:spacing w:line="360" w:lineRule="auto"/>
        <w:ind w:firstLine="420" w:firstLineChars="200"/>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（1）本招标文件所称中小企业必须符合《政府采购促进中小企业发展管理办法》（财库〔2020〕46号）的规定。</w:t>
      </w:r>
    </w:p>
    <w:p w14:paraId="6C5E32C0">
      <w:pPr>
        <w:tabs>
          <w:tab w:val="left" w:pos="3892"/>
        </w:tabs>
        <w:spacing w:line="360" w:lineRule="auto"/>
        <w:ind w:firstLine="424" w:firstLineChars="202"/>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2.“实质性要求”是指招标文件中已经指明不满足则投标无效的条款，或者不能负偏离的条款，或者采购需求中带“▲”的条款，</w:t>
      </w:r>
      <w:r>
        <w:rPr>
          <w:rFonts w:hint="eastAsia" w:asciiTheme="minorEastAsia" w:hAnsiTheme="minorEastAsia" w:eastAsiaTheme="minorEastAsia" w:cstheme="minorEastAsia"/>
          <w:b/>
          <w:bCs/>
          <w:color w:val="auto"/>
          <w:szCs w:val="21"/>
          <w:highlight w:val="none"/>
        </w:rPr>
        <w:t>本项目所有技术要求均为实质性要求</w:t>
      </w:r>
      <w:r>
        <w:rPr>
          <w:rFonts w:hint="eastAsia" w:asciiTheme="minorEastAsia" w:hAnsiTheme="minorEastAsia" w:eastAsiaTheme="minorEastAsia" w:cstheme="minorEastAsia"/>
          <w:color w:val="auto"/>
          <w:szCs w:val="21"/>
          <w:highlight w:val="none"/>
        </w:rPr>
        <w:t>。</w:t>
      </w:r>
    </w:p>
    <w:p w14:paraId="14BC4D3F">
      <w:pPr>
        <w:tabs>
          <w:tab w:val="left" w:pos="3892"/>
        </w:tabs>
        <w:spacing w:line="360" w:lineRule="auto"/>
        <w:ind w:firstLine="424" w:firstLineChars="202"/>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3.采购需求中出现的品牌、型号或者生产厂家仅起参考作用，不属于指定品牌、型号或者生产厂家的情形。投标人可参照或者选用其他相当的品牌、型号或者生产厂家替代。</w:t>
      </w:r>
    </w:p>
    <w:p w14:paraId="597FBA33">
      <w:pPr>
        <w:tabs>
          <w:tab w:val="left" w:pos="3892"/>
        </w:tabs>
        <w:spacing w:line="360" w:lineRule="auto"/>
        <w:ind w:firstLine="424" w:firstLineChars="202"/>
        <w:jc w:val="left"/>
        <w:rPr>
          <w:rStyle w:val="55"/>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1"/>
          <w:highlight w:val="none"/>
        </w:rPr>
        <w:t>4. 投标人应根据自身实际情况如实响应招标文件，对于重要技术条款或技术参数应当在投标文件中提供技术支持资料，技术支持资料以招标文件中规定的形式为准，</w:t>
      </w:r>
      <w:r>
        <w:rPr>
          <w:rFonts w:hint="eastAsia" w:asciiTheme="minorEastAsia" w:hAnsiTheme="minorEastAsia" w:eastAsiaTheme="minorEastAsia" w:cstheme="minorEastAsia"/>
          <w:b/>
          <w:bCs/>
          <w:color w:val="auto"/>
          <w:szCs w:val="21"/>
          <w:highlight w:val="none"/>
        </w:rPr>
        <w:t>否则将视为无效技术支持资料</w:t>
      </w:r>
      <w:r>
        <w:rPr>
          <w:rFonts w:hint="eastAsia" w:asciiTheme="minorEastAsia" w:hAnsiTheme="minorEastAsia" w:eastAsiaTheme="minorEastAsia" w:cstheme="minorEastAsia"/>
          <w:color w:val="auto"/>
          <w:szCs w:val="21"/>
          <w:highlight w:val="none"/>
        </w:rPr>
        <w:t>。</w:t>
      </w:r>
    </w:p>
    <w:p w14:paraId="1172974F">
      <w:pPr>
        <w:tabs>
          <w:tab w:val="left" w:pos="3892"/>
        </w:tabs>
        <w:spacing w:line="360" w:lineRule="auto"/>
        <w:ind w:firstLine="308" w:firstLineChars="147"/>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5.投标人必须自行为其投标产品侵犯他人的知识产权或者专利成果的行为承担相应法律责任。</w:t>
      </w:r>
    </w:p>
    <w:p w14:paraId="06B526C0">
      <w:pPr>
        <w:tabs>
          <w:tab w:val="left" w:pos="3892"/>
        </w:tabs>
        <w:spacing w:line="360" w:lineRule="auto"/>
        <w:ind w:firstLine="308" w:firstLineChars="147"/>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6.本项目中小企业划分标准所属行业名称：租赁和商务服务业</w:t>
      </w:r>
    </w:p>
    <w:tbl>
      <w:tblPr>
        <w:tblStyle w:val="48"/>
        <w:tblW w:w="951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48"/>
        <w:gridCol w:w="1342"/>
        <w:gridCol w:w="891"/>
        <w:gridCol w:w="6630"/>
      </w:tblGrid>
      <w:tr w14:paraId="44397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jc w:val="center"/>
        </w:trPr>
        <w:tc>
          <w:tcPr>
            <w:tcW w:w="9511" w:type="dxa"/>
            <w:gridSpan w:val="4"/>
            <w:vAlign w:val="center"/>
          </w:tcPr>
          <w:p w14:paraId="653904FC">
            <w:pPr>
              <w:tabs>
                <w:tab w:val="left" w:pos="3892"/>
              </w:tabs>
              <w:snapToGrid w:val="0"/>
              <w:spacing w:line="360" w:lineRule="auto"/>
              <w:jc w:val="left"/>
              <w:rPr>
                <w:rFonts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一、采购需求表</w:t>
            </w:r>
          </w:p>
        </w:tc>
      </w:tr>
      <w:tr w14:paraId="3B999B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648" w:type="dxa"/>
            <w:vAlign w:val="center"/>
          </w:tcPr>
          <w:p w14:paraId="6A2F5858">
            <w:pPr>
              <w:tabs>
                <w:tab w:val="left" w:pos="3892"/>
              </w:tabs>
              <w:snapToGrid w:val="0"/>
              <w:spacing w:line="360" w:lineRule="auto"/>
              <w:jc w:val="center"/>
              <w:rPr>
                <w:rFonts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序号</w:t>
            </w:r>
          </w:p>
        </w:tc>
        <w:tc>
          <w:tcPr>
            <w:tcW w:w="1342" w:type="dxa"/>
            <w:vAlign w:val="center"/>
          </w:tcPr>
          <w:p w14:paraId="4FCEBB8A">
            <w:pPr>
              <w:tabs>
                <w:tab w:val="left" w:pos="3892"/>
              </w:tabs>
              <w:snapToGrid w:val="0"/>
              <w:spacing w:line="360" w:lineRule="auto"/>
              <w:jc w:val="center"/>
              <w:rPr>
                <w:rFonts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标的名称</w:t>
            </w:r>
          </w:p>
        </w:tc>
        <w:tc>
          <w:tcPr>
            <w:tcW w:w="891" w:type="dxa"/>
            <w:vAlign w:val="center"/>
          </w:tcPr>
          <w:p w14:paraId="72F392D8">
            <w:pPr>
              <w:tabs>
                <w:tab w:val="left" w:pos="3892"/>
              </w:tabs>
              <w:snapToGrid w:val="0"/>
              <w:spacing w:line="360" w:lineRule="auto"/>
              <w:jc w:val="center"/>
              <w:rPr>
                <w:rFonts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数量及单位</w:t>
            </w:r>
          </w:p>
        </w:tc>
        <w:tc>
          <w:tcPr>
            <w:tcW w:w="6630" w:type="dxa"/>
            <w:vAlign w:val="center"/>
          </w:tcPr>
          <w:p w14:paraId="4184CC0B">
            <w:pPr>
              <w:tabs>
                <w:tab w:val="left" w:pos="3892"/>
              </w:tabs>
              <w:snapToGrid w:val="0"/>
              <w:spacing w:line="360" w:lineRule="auto"/>
              <w:ind w:firstLine="420"/>
              <w:jc w:val="center"/>
              <w:rPr>
                <w:rFonts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技术要求</w:t>
            </w:r>
          </w:p>
        </w:tc>
      </w:tr>
      <w:tr w14:paraId="5F67B4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5" w:hRule="atLeast"/>
          <w:jc w:val="center"/>
        </w:trPr>
        <w:tc>
          <w:tcPr>
            <w:tcW w:w="648" w:type="dxa"/>
            <w:vAlign w:val="center"/>
          </w:tcPr>
          <w:p w14:paraId="642EF6F2">
            <w:pPr>
              <w:tabs>
                <w:tab w:val="left" w:pos="3892"/>
              </w:tabs>
              <w:snapToGrid w:val="0"/>
              <w:spacing w:line="36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p>
        </w:tc>
        <w:tc>
          <w:tcPr>
            <w:tcW w:w="1342" w:type="dxa"/>
            <w:vAlign w:val="center"/>
          </w:tcPr>
          <w:p w14:paraId="04C3F588">
            <w:pPr>
              <w:tabs>
                <w:tab w:val="left" w:pos="3892"/>
              </w:tabs>
              <w:snapToGrid w:val="0"/>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防城港市公安局移动警务通流量套餐服务采购</w:t>
            </w:r>
          </w:p>
        </w:tc>
        <w:tc>
          <w:tcPr>
            <w:tcW w:w="891" w:type="dxa"/>
            <w:vAlign w:val="center"/>
          </w:tcPr>
          <w:p w14:paraId="3C858385">
            <w:pPr>
              <w:tabs>
                <w:tab w:val="left" w:pos="3892"/>
              </w:tabs>
              <w:snapToGrid w:val="0"/>
              <w:spacing w:line="36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1项</w:t>
            </w:r>
          </w:p>
        </w:tc>
        <w:tc>
          <w:tcPr>
            <w:tcW w:w="6630" w:type="dxa"/>
            <w:vAlign w:val="center"/>
          </w:tcPr>
          <w:p w14:paraId="019F4DBB">
            <w:pPr>
              <w:tabs>
                <w:tab w:val="left" w:pos="3892"/>
              </w:tabs>
              <w:snapToGrid w:val="0"/>
              <w:spacing w:line="360" w:lineRule="auto"/>
              <w:ind w:firstLine="422"/>
              <w:jc w:val="left"/>
              <w:rPr>
                <w:rFonts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一、基本要求：</w:t>
            </w:r>
          </w:p>
          <w:p w14:paraId="0B9D8D08">
            <w:pPr>
              <w:tabs>
                <w:tab w:val="left" w:pos="3892"/>
              </w:tabs>
              <w:snapToGrid w:val="0"/>
              <w:spacing w:line="360" w:lineRule="auto"/>
              <w:ind w:firstLine="420"/>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1.需提供不少于511台的能力</w:t>
            </w:r>
            <w:r>
              <w:rPr>
                <w:rFonts w:hint="eastAsia" w:ascii="宋体" w:hAnsi="宋体" w:eastAsia="宋体" w:cs="宋体"/>
                <w:b/>
                <w:bCs/>
                <w:color w:val="auto"/>
                <w:sz w:val="21"/>
                <w:szCs w:val="21"/>
                <w:highlight w:val="none"/>
              </w:rPr>
              <w:t>（其中市公安局</w:t>
            </w:r>
            <w:r>
              <w:rPr>
                <w:rFonts w:hint="eastAsia" w:ascii="宋体" w:hAnsi="宋体" w:cs="宋体"/>
                <w:b/>
                <w:bCs/>
                <w:color w:val="auto"/>
                <w:sz w:val="21"/>
                <w:szCs w:val="21"/>
                <w:highlight w:val="none"/>
                <w:lang w:val="en-US" w:eastAsia="zh-CN"/>
              </w:rPr>
              <w:t>498</w:t>
            </w:r>
            <w:r>
              <w:rPr>
                <w:rFonts w:hint="eastAsia" w:ascii="宋体" w:hAnsi="宋体" w:eastAsia="宋体" w:cs="宋体"/>
                <w:b/>
                <w:bCs/>
                <w:color w:val="auto"/>
                <w:sz w:val="21"/>
                <w:szCs w:val="21"/>
                <w:highlight w:val="none"/>
                <w:lang w:val="en-US" w:eastAsia="zh-CN"/>
              </w:rPr>
              <w:t>台</w:t>
            </w:r>
            <w:r>
              <w:rPr>
                <w:rFonts w:hint="eastAsia" w:ascii="宋体" w:hAnsi="宋体" w:eastAsia="宋体" w:cs="宋体"/>
                <w:b/>
                <w:bCs/>
                <w:color w:val="auto"/>
                <w:sz w:val="21"/>
                <w:szCs w:val="21"/>
                <w:highlight w:val="none"/>
              </w:rPr>
              <w:t>，为本次项目采购实际提供的数量；交警支队1</w:t>
            </w:r>
            <w:r>
              <w:rPr>
                <w:rFonts w:hint="eastAsia" w:ascii="宋体" w:hAnsi="宋体" w:cs="宋体"/>
                <w:b/>
                <w:bCs/>
                <w:color w:val="auto"/>
                <w:sz w:val="21"/>
                <w:szCs w:val="21"/>
                <w:highlight w:val="none"/>
                <w:lang w:val="en-US" w:eastAsia="zh-CN"/>
              </w:rPr>
              <w:t>3</w:t>
            </w:r>
            <w:r>
              <w:rPr>
                <w:rFonts w:hint="eastAsia" w:ascii="宋体" w:hAnsi="宋体" w:eastAsia="宋体" w:cs="宋体"/>
                <w:b/>
                <w:bCs/>
                <w:color w:val="auto"/>
                <w:sz w:val="21"/>
                <w:szCs w:val="21"/>
                <w:highlight w:val="none"/>
                <w:lang w:val="en-US" w:eastAsia="zh-CN"/>
              </w:rPr>
              <w:t>台</w:t>
            </w:r>
            <w:r>
              <w:rPr>
                <w:rFonts w:hint="eastAsia" w:ascii="宋体" w:hAnsi="宋体" w:eastAsia="宋体" w:cs="宋体"/>
                <w:b/>
                <w:bCs/>
                <w:color w:val="auto"/>
                <w:sz w:val="21"/>
                <w:szCs w:val="21"/>
                <w:highlight w:val="none"/>
              </w:rPr>
              <w:t>，为备货数量，由交警支队</w:t>
            </w:r>
            <w:r>
              <w:rPr>
                <w:rFonts w:hint="eastAsia" w:ascii="宋体" w:hAnsi="宋体" w:eastAsia="宋体" w:cs="宋体"/>
                <w:b/>
                <w:bCs/>
                <w:color w:val="auto"/>
                <w:sz w:val="21"/>
                <w:szCs w:val="21"/>
                <w:highlight w:val="none"/>
                <w:lang w:val="en-US" w:eastAsia="zh-CN"/>
              </w:rPr>
              <w:t>另行</w:t>
            </w:r>
            <w:r>
              <w:rPr>
                <w:rFonts w:hint="eastAsia" w:ascii="宋体" w:hAnsi="宋体" w:eastAsia="宋体" w:cs="宋体"/>
                <w:b/>
                <w:bCs/>
                <w:color w:val="auto"/>
                <w:sz w:val="21"/>
                <w:szCs w:val="21"/>
                <w:highlight w:val="none"/>
              </w:rPr>
              <w:t>签订合同，费用由交警支队</w:t>
            </w:r>
            <w:r>
              <w:rPr>
                <w:rFonts w:hint="eastAsia" w:ascii="宋体" w:hAnsi="宋体" w:eastAsia="宋体" w:cs="宋体"/>
                <w:b/>
                <w:bCs/>
                <w:color w:val="auto"/>
                <w:sz w:val="21"/>
                <w:szCs w:val="21"/>
                <w:highlight w:val="none"/>
                <w:lang w:val="en-US" w:eastAsia="zh-CN"/>
              </w:rPr>
              <w:t>另行支</w:t>
            </w:r>
            <w:r>
              <w:rPr>
                <w:rFonts w:hint="eastAsia" w:ascii="宋体" w:hAnsi="宋体" w:eastAsia="宋体" w:cs="宋体"/>
                <w:b/>
                <w:bCs/>
                <w:color w:val="auto"/>
                <w:sz w:val="21"/>
                <w:szCs w:val="21"/>
                <w:highlight w:val="none"/>
              </w:rPr>
              <w:t>付</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不使用本项目预算</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或根据采购人最终实际需求数量来定）</w:t>
            </w:r>
            <w:r>
              <w:rPr>
                <w:rFonts w:hint="eastAsia" w:asciiTheme="minorEastAsia" w:hAnsiTheme="minorEastAsia" w:eastAsiaTheme="minorEastAsia" w:cstheme="minorEastAsia"/>
                <w:color w:val="auto"/>
                <w:szCs w:val="21"/>
                <w:highlight w:val="none"/>
              </w:rPr>
              <w:t>的24个月的定制化移动办公办案专用安全流量服务的使用。</w:t>
            </w:r>
          </w:p>
          <w:p w14:paraId="3D495D75">
            <w:pPr>
              <w:tabs>
                <w:tab w:val="left" w:pos="3892"/>
              </w:tabs>
              <w:snapToGrid w:val="0"/>
              <w:spacing w:line="360" w:lineRule="auto"/>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定制化移动办公办案专用安全流量使用服务：为确保流量的使用效率和安全性，要求流量服务必须具备相应的功能要求、定制安全独立的双操作系统及延伸的技术要求。数据通信网络要求支持电信、移动、联通的5G、4G、3G全网通模式。</w:t>
            </w:r>
          </w:p>
          <w:p w14:paraId="7089263B">
            <w:pPr>
              <w:tabs>
                <w:tab w:val="left" w:pos="3892"/>
              </w:tabs>
              <w:snapToGrid w:val="0"/>
              <w:spacing w:line="360" w:lineRule="auto"/>
              <w:jc w:val="left"/>
              <w:rPr>
                <w:rFonts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二、设备操作系统及软件适配要求：</w:t>
            </w:r>
          </w:p>
          <w:p w14:paraId="07189D76">
            <w:pPr>
              <w:tabs>
                <w:tab w:val="left" w:pos="3892"/>
              </w:tabs>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操作系统安全要求：具备两个完全独立的操作系统，可根据不同的使用环境切换不同的操作系统。安全模式下操作系统接受广西壮族自治区公安厅移动警务管理平台进行统一认证和设备绑定，进入工作系统受到保护；</w:t>
            </w:r>
          </w:p>
          <w:p w14:paraId="1E3CFA4A">
            <w:pPr>
              <w:tabs>
                <w:tab w:val="left" w:pos="3892"/>
              </w:tabs>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操作系统定制能力：双系统同时在线，支持公共APN和专属APN同时接入、同时在线。当前系统能接收到另外一个系统的通知栏消息，但看不到数据；双系统定位双在线，定位芯片可以同时向两个系统提供定位服务，保证前后台系统都能获取到正确的位置信息；</w:t>
            </w:r>
          </w:p>
          <w:p w14:paraId="405B6002">
            <w:pPr>
              <w:tabs>
                <w:tab w:val="left" w:pos="3892"/>
              </w:tabs>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▲3.操作系统国产自主可控，支持操作系统级定制，满足国家“十四五” 战略要求；</w:t>
            </w:r>
          </w:p>
          <w:p w14:paraId="2837365C">
            <w:pPr>
              <w:tabs>
                <w:tab w:val="left" w:pos="3892"/>
              </w:tabs>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4.操作系统支持与鸿蒙生态设备间的一碰传功能、音频流转功能、文件拖拽编辑功能、分享分布式图片与视频功能；</w:t>
            </w:r>
          </w:p>
          <w:p w14:paraId="60E80462">
            <w:pPr>
              <w:tabs>
                <w:tab w:val="left" w:pos="3892"/>
              </w:tabs>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5.NFC应用：可用于实现NFC读取身份证标识码核验身份证信息功能；</w:t>
            </w:r>
          </w:p>
          <w:p w14:paraId="07286D7F">
            <w:pPr>
              <w:tabs>
                <w:tab w:val="left" w:pos="3892"/>
              </w:tabs>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6.安全水印：支持系统级全局水印功能，防止偷拍屏幕造成信息泄露，同时支持防截屏、防录屏；</w:t>
            </w:r>
          </w:p>
          <w:p w14:paraId="4DA47632">
            <w:pPr>
              <w:tabs>
                <w:tab w:val="left" w:pos="3892"/>
              </w:tabs>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7.设备应用适配：可适配我单位的警务通应用软件；</w:t>
            </w:r>
          </w:p>
          <w:p w14:paraId="32115D9E">
            <w:pPr>
              <w:tabs>
                <w:tab w:val="left" w:pos="3892"/>
              </w:tabs>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8.设备安全功能要求：支持数据加密存储功能；具备安全引导机制，防止非法刷机；具备内核级防破解反 Root技术；</w:t>
            </w:r>
          </w:p>
          <w:p w14:paraId="67FD7C33">
            <w:pPr>
              <w:tabs>
                <w:tab w:val="left" w:pos="3892"/>
              </w:tabs>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▲9.设备安全检测：投标人提供的终端设备和操作系统，通过公安部安全与警用电子产品质量检测中心检查的，提供的终端符合公安部最新移动警务终端标准（《GA/T 1466.1-2018 智能手机型移动警务终端第1 部分：技术要求》检测报告复印件。</w:t>
            </w:r>
          </w:p>
          <w:p w14:paraId="1FBCAE80">
            <w:pPr>
              <w:tabs>
                <w:tab w:val="left" w:pos="3892"/>
              </w:tabs>
              <w:snapToGrid w:val="0"/>
              <w:spacing w:line="360" w:lineRule="auto"/>
              <w:jc w:val="left"/>
              <w:rPr>
                <w:rFonts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三、终端配置要求：</w:t>
            </w:r>
          </w:p>
          <w:p w14:paraId="5C199EFE">
            <w:pPr>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定制化移动办公办案专用安全终端使用服务：为确保终端的使用效率和安全性，要求终端必须具备相应的硬件性能和功能要求、定制安全独立的双操作系统及延伸的技术要求。数据通信网络要求支持电信、移动、联通的</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G、</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G、</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G全网通模式，</w:t>
            </w:r>
            <w:r>
              <w:rPr>
                <w:rFonts w:ascii="宋体" w:hAnsi="宋体"/>
                <w:color w:val="auto"/>
                <w:szCs w:val="21"/>
                <w:highlight w:val="none"/>
              </w:rPr>
              <w:t>使用档次分为两个档次，其中，第一档次</w:t>
            </w:r>
            <w:r>
              <w:rPr>
                <w:rFonts w:hint="eastAsia" w:ascii="宋体" w:hAnsi="宋体"/>
                <w:color w:val="auto"/>
                <w:szCs w:val="21"/>
                <w:highlight w:val="none"/>
                <w:lang w:val="en-US" w:eastAsia="zh-CN"/>
              </w:rPr>
              <w:t>不少于412</w:t>
            </w:r>
            <w:r>
              <w:rPr>
                <w:rFonts w:ascii="宋体" w:hAnsi="宋体"/>
                <w:color w:val="auto"/>
                <w:szCs w:val="21"/>
                <w:highlight w:val="none"/>
              </w:rPr>
              <w:t>台、第二档次</w:t>
            </w:r>
            <w:r>
              <w:rPr>
                <w:rFonts w:hint="eastAsia" w:ascii="宋体" w:hAnsi="宋体"/>
                <w:color w:val="auto"/>
                <w:szCs w:val="21"/>
                <w:highlight w:val="none"/>
                <w:lang w:val="en-US" w:eastAsia="zh-CN"/>
              </w:rPr>
              <w:t>不少于99</w:t>
            </w:r>
            <w:r>
              <w:rPr>
                <w:rFonts w:ascii="宋体" w:hAnsi="宋体"/>
                <w:color w:val="auto"/>
                <w:szCs w:val="21"/>
                <w:highlight w:val="none"/>
              </w:rPr>
              <w:t>台</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其中市公安局</w:t>
            </w:r>
            <w:r>
              <w:rPr>
                <w:rFonts w:hint="eastAsia" w:ascii="宋体" w:hAnsi="宋体" w:cs="宋体"/>
                <w:b/>
                <w:bCs/>
                <w:color w:val="auto"/>
                <w:sz w:val="21"/>
                <w:szCs w:val="21"/>
                <w:highlight w:val="none"/>
                <w:lang w:val="en-US" w:eastAsia="zh-CN"/>
              </w:rPr>
              <w:t>498</w:t>
            </w:r>
            <w:r>
              <w:rPr>
                <w:rFonts w:hint="eastAsia" w:ascii="宋体" w:hAnsi="宋体" w:eastAsia="宋体" w:cs="宋体"/>
                <w:b/>
                <w:bCs/>
                <w:color w:val="auto"/>
                <w:sz w:val="21"/>
                <w:szCs w:val="21"/>
                <w:highlight w:val="none"/>
                <w:lang w:val="en-US" w:eastAsia="zh-CN"/>
              </w:rPr>
              <w:t>台，</w:t>
            </w:r>
            <w:r>
              <w:rPr>
                <w:rFonts w:hint="eastAsia" w:ascii="宋体" w:hAnsi="宋体" w:eastAsia="宋体" w:cs="宋体"/>
                <w:b/>
                <w:bCs/>
                <w:color w:val="auto"/>
                <w:sz w:val="21"/>
                <w:szCs w:val="21"/>
                <w:highlight w:val="none"/>
              </w:rPr>
              <w:t>交警支队1</w:t>
            </w:r>
            <w:r>
              <w:rPr>
                <w:rFonts w:hint="eastAsia" w:ascii="宋体" w:hAnsi="宋体" w:cs="宋体"/>
                <w:b/>
                <w:bCs/>
                <w:color w:val="auto"/>
                <w:sz w:val="21"/>
                <w:szCs w:val="21"/>
                <w:highlight w:val="none"/>
                <w:lang w:val="en-US" w:eastAsia="zh-CN"/>
              </w:rPr>
              <w:t>3</w:t>
            </w:r>
            <w:r>
              <w:rPr>
                <w:rFonts w:hint="eastAsia" w:ascii="宋体" w:hAnsi="宋体" w:eastAsia="宋体" w:cs="宋体"/>
                <w:b/>
                <w:bCs/>
                <w:color w:val="auto"/>
                <w:sz w:val="21"/>
                <w:szCs w:val="21"/>
                <w:highlight w:val="none"/>
                <w:lang w:val="en-US" w:eastAsia="zh-CN"/>
              </w:rPr>
              <w:t>台</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交警支队</w:t>
            </w:r>
            <w:r>
              <w:rPr>
                <w:rFonts w:hint="eastAsia" w:ascii="宋体" w:hAnsi="宋体" w:eastAsia="宋体" w:cs="宋体"/>
                <w:b/>
                <w:bCs/>
                <w:color w:val="auto"/>
                <w:sz w:val="21"/>
                <w:szCs w:val="21"/>
                <w:highlight w:val="none"/>
              </w:rPr>
              <w:t>为备货数量</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另行签订协议另行支付费用</w:t>
            </w:r>
            <w:r>
              <w:rPr>
                <w:rFonts w:hint="eastAsia" w:ascii="宋体" w:hAnsi="宋体" w:cs="宋体"/>
                <w:b/>
                <w:bCs/>
                <w:color w:val="auto"/>
                <w:sz w:val="21"/>
                <w:szCs w:val="21"/>
                <w:highlight w:val="none"/>
                <w:lang w:val="en-US" w:eastAsia="zh-CN"/>
              </w:rPr>
              <w:t>，最终数量以实际采购或验收为准。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。具体如下：</w:t>
            </w:r>
          </w:p>
          <w:p w14:paraId="7D42EADB">
            <w:pPr>
              <w:snapToGrid w:val="0"/>
              <w:spacing w:line="360" w:lineRule="auto"/>
              <w:jc w:val="left"/>
              <w:rPr>
                <w:rFonts w:hint="eastAsia"/>
                <w:color w:val="auto"/>
                <w:highlight w:val="none"/>
              </w:rPr>
            </w:pPr>
            <w:r>
              <w:rPr>
                <w:rFonts w:ascii="宋体" w:hAnsi="宋体"/>
                <w:color w:val="auto"/>
                <w:szCs w:val="21"/>
                <w:highlight w:val="none"/>
              </w:rPr>
              <w:t>（一）第一档次</w:t>
            </w:r>
          </w:p>
          <w:p w14:paraId="5404D673">
            <w:pPr>
              <w:spacing w:line="360" w:lineRule="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rPr>
              <w:t xml:space="preserve">1. </w:t>
            </w:r>
            <w:r>
              <w:rPr>
                <w:rFonts w:hint="eastAsia" w:ascii="宋体" w:hAnsi="宋体" w:eastAsia="宋体" w:cs="宋体"/>
                <w:bCs/>
                <w:color w:val="auto"/>
                <w:sz w:val="21"/>
                <w:szCs w:val="21"/>
                <w:highlight w:val="none"/>
              </w:rPr>
              <w:t>外观设计：直板，尺寸</w:t>
            </w:r>
            <w:r>
              <w:rPr>
                <w:rFonts w:hint="eastAsia" w:ascii="宋体" w:hAnsi="宋体" w:eastAsia="宋体" w:cs="宋体"/>
                <w:bCs/>
                <w:color w:val="auto"/>
                <w:sz w:val="21"/>
                <w:szCs w:val="21"/>
                <w:highlight w:val="none"/>
                <w:lang w:val="en-US"/>
              </w:rPr>
              <w:t>（± 0.5）≥</w:t>
            </w:r>
            <w:r>
              <w:rPr>
                <w:rFonts w:hint="eastAsia" w:ascii="宋体" w:hAnsi="宋体" w:eastAsia="宋体" w:cs="宋体"/>
                <w:bCs/>
                <w:color w:val="auto"/>
                <w:sz w:val="21"/>
                <w:szCs w:val="21"/>
                <w:highlight w:val="none"/>
              </w:rPr>
              <w:t>160.9mm（</w:t>
            </w:r>
            <w:r>
              <w:rPr>
                <w:rFonts w:hint="eastAsia" w:ascii="宋体" w:hAnsi="宋体" w:eastAsia="宋体" w:cs="宋体"/>
                <w:bCs/>
                <w:color w:val="auto"/>
                <w:sz w:val="21"/>
                <w:szCs w:val="21"/>
                <w:highlight w:val="none"/>
                <w:lang w:val="en-US"/>
              </w:rPr>
              <w:t xml:space="preserve">长± 0.5）+ </w:t>
            </w:r>
            <w:r>
              <w:rPr>
                <w:rFonts w:hint="eastAsia" w:ascii="宋体" w:hAnsi="宋体" w:eastAsia="宋体" w:cs="宋体"/>
                <w:bCs/>
                <w:color w:val="auto"/>
                <w:sz w:val="21"/>
                <w:szCs w:val="21"/>
                <w:highlight w:val="none"/>
              </w:rPr>
              <w:t>75.9mm（宽</w:t>
            </w:r>
            <w:r>
              <w:rPr>
                <w:rFonts w:hint="eastAsia" w:ascii="宋体" w:hAnsi="宋体" w:eastAsia="宋体" w:cs="宋体"/>
                <w:bCs/>
                <w:color w:val="auto"/>
                <w:sz w:val="21"/>
                <w:szCs w:val="21"/>
                <w:highlight w:val="none"/>
                <w:lang w:val="en-US"/>
              </w:rPr>
              <w:t>± 0.5</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rPr>
              <w:t xml:space="preserve">+ </w:t>
            </w:r>
            <w:r>
              <w:rPr>
                <w:rFonts w:hint="eastAsia" w:ascii="宋体" w:hAnsi="宋体" w:eastAsia="宋体" w:cs="宋体"/>
                <w:bCs/>
                <w:color w:val="auto"/>
                <w:sz w:val="21"/>
                <w:szCs w:val="21"/>
                <w:highlight w:val="none"/>
              </w:rPr>
              <w:t>7.8mm（厚</w:t>
            </w:r>
            <w:r>
              <w:rPr>
                <w:rFonts w:hint="eastAsia" w:ascii="宋体" w:hAnsi="宋体" w:eastAsia="宋体" w:cs="宋体"/>
                <w:bCs/>
                <w:color w:val="auto"/>
                <w:sz w:val="21"/>
                <w:szCs w:val="21"/>
                <w:highlight w:val="none"/>
                <w:lang w:val="en-US"/>
              </w:rPr>
              <w:t>± 0.2</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eastAsia="zh-CN"/>
              </w:rPr>
              <w:t>；</w:t>
            </w:r>
          </w:p>
          <w:p w14:paraId="62602D90">
            <w:pPr>
              <w:spacing w:line="360" w:lineRule="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2. 网络制式：全网通</w:t>
            </w:r>
            <w:r>
              <w:rPr>
                <w:rFonts w:hint="eastAsia" w:ascii="宋体" w:hAnsi="宋体" w:eastAsia="宋体" w:cs="宋体"/>
                <w:bCs/>
                <w:color w:val="auto"/>
                <w:sz w:val="21"/>
                <w:szCs w:val="21"/>
                <w:highlight w:val="none"/>
                <w:lang w:eastAsia="zh-CN"/>
              </w:rPr>
              <w:t>；</w:t>
            </w:r>
          </w:p>
          <w:p w14:paraId="680725D3">
            <w:pPr>
              <w:spacing w:line="360" w:lineRule="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 xml:space="preserve">3. </w:t>
            </w:r>
            <w:r>
              <w:rPr>
                <w:rFonts w:hint="eastAsia" w:ascii="宋体" w:hAnsi="宋体" w:eastAsia="宋体" w:cs="宋体"/>
                <w:bCs/>
                <w:color w:val="auto"/>
                <w:sz w:val="21"/>
                <w:szCs w:val="21"/>
                <w:highlight w:val="none"/>
                <w:lang w:val="en-US"/>
              </w:rPr>
              <w:t>双卡双待，支持</w:t>
            </w:r>
            <w:r>
              <w:rPr>
                <w:rFonts w:hint="eastAsia" w:ascii="宋体" w:hAnsi="宋体" w:eastAsia="宋体" w:cs="宋体"/>
                <w:bCs/>
                <w:color w:val="auto"/>
                <w:sz w:val="21"/>
                <w:szCs w:val="21"/>
                <w:highlight w:val="none"/>
              </w:rPr>
              <w:t>SIM卡</w:t>
            </w:r>
            <w:r>
              <w:rPr>
                <w:rFonts w:hint="eastAsia" w:ascii="宋体" w:hAnsi="宋体" w:eastAsia="宋体" w:cs="宋体"/>
                <w:bCs/>
                <w:color w:val="auto"/>
                <w:sz w:val="21"/>
                <w:szCs w:val="21"/>
                <w:highlight w:val="none"/>
                <w:lang w:val="en-US"/>
              </w:rPr>
              <w:t>、</w:t>
            </w:r>
            <w:r>
              <w:rPr>
                <w:rFonts w:hint="eastAsia" w:ascii="宋体" w:hAnsi="宋体" w:eastAsia="宋体" w:cs="宋体"/>
                <w:bCs/>
                <w:color w:val="auto"/>
                <w:sz w:val="21"/>
                <w:szCs w:val="21"/>
                <w:highlight w:val="none"/>
              </w:rPr>
              <w:t>nano SIM卡</w:t>
            </w:r>
            <w:r>
              <w:rPr>
                <w:rFonts w:hint="eastAsia" w:ascii="宋体" w:hAnsi="宋体" w:eastAsia="宋体" w:cs="宋体"/>
                <w:bCs/>
                <w:color w:val="auto"/>
                <w:sz w:val="21"/>
                <w:szCs w:val="21"/>
                <w:highlight w:val="none"/>
                <w:lang w:val="en-US"/>
              </w:rPr>
              <w:t>；</w:t>
            </w:r>
          </w:p>
          <w:p w14:paraId="08DCEB90">
            <w:pPr>
              <w:spacing w:line="360" w:lineRule="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4.</w:t>
            </w:r>
            <w:r>
              <w:rPr>
                <w:rFonts w:hint="eastAsia" w:ascii="宋体" w:hAnsi="宋体" w:eastAsia="宋体" w:cs="宋体"/>
                <w:bCs/>
                <w:color w:val="auto"/>
                <w:sz w:val="21"/>
                <w:szCs w:val="21"/>
                <w:highlight w:val="none"/>
                <w:lang w:val="en-US"/>
              </w:rPr>
              <w:t xml:space="preserve"> </w:t>
            </w:r>
            <w:r>
              <w:rPr>
                <w:rFonts w:hint="eastAsia" w:ascii="宋体" w:hAnsi="宋体" w:eastAsia="宋体" w:cs="宋体"/>
                <w:bCs/>
                <w:color w:val="auto"/>
                <w:sz w:val="21"/>
                <w:szCs w:val="21"/>
                <w:highlight w:val="none"/>
              </w:rPr>
              <w:t>存储：RAM≥12GB，ROM≥256</w:t>
            </w:r>
            <w:r>
              <w:rPr>
                <w:rFonts w:hint="eastAsia" w:ascii="宋体" w:hAnsi="宋体" w:eastAsia="宋体" w:cs="宋体"/>
                <w:bCs/>
                <w:color w:val="auto"/>
                <w:sz w:val="21"/>
                <w:szCs w:val="21"/>
                <w:highlight w:val="none"/>
                <w:lang w:val="en-US" w:eastAsia="zh-CN"/>
              </w:rPr>
              <w:t>GB</w:t>
            </w:r>
            <w:r>
              <w:rPr>
                <w:rFonts w:hint="eastAsia" w:ascii="宋体" w:hAnsi="宋体" w:eastAsia="宋体" w:cs="宋体"/>
                <w:bCs/>
                <w:color w:val="auto"/>
                <w:sz w:val="21"/>
                <w:szCs w:val="21"/>
                <w:highlight w:val="none"/>
                <w:lang w:eastAsia="zh-CN"/>
              </w:rPr>
              <w:t>；</w:t>
            </w:r>
          </w:p>
          <w:p w14:paraId="5153452A">
            <w:pPr>
              <w:pStyle w:val="32"/>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5.</w:t>
            </w:r>
            <w:r>
              <w:rPr>
                <w:rFonts w:hint="eastAsia" w:ascii="宋体" w:hAnsi="宋体" w:eastAsia="宋体" w:cs="宋体"/>
                <w:bCs/>
                <w:color w:val="auto"/>
                <w:sz w:val="21"/>
                <w:szCs w:val="21"/>
                <w:highlight w:val="none"/>
                <w:lang w:val="en-US"/>
              </w:rPr>
              <w:t xml:space="preserve"> </w:t>
            </w:r>
            <w:r>
              <w:rPr>
                <w:rFonts w:hint="eastAsia" w:ascii="宋体" w:hAnsi="宋体" w:eastAsia="宋体" w:cs="宋体"/>
                <w:bCs/>
                <w:color w:val="auto"/>
                <w:sz w:val="21"/>
                <w:szCs w:val="21"/>
                <w:highlight w:val="none"/>
              </w:rPr>
              <w:t>CPU：国产芯片</w:t>
            </w:r>
            <w:r>
              <w:rPr>
                <w:rFonts w:hint="eastAsia" w:ascii="宋体" w:hAnsi="宋体" w:eastAsia="宋体" w:cs="宋体"/>
                <w:bCs/>
                <w:color w:val="auto"/>
                <w:sz w:val="21"/>
                <w:szCs w:val="21"/>
                <w:highlight w:val="none"/>
                <w:lang w:eastAsia="zh-CN"/>
              </w:rPr>
              <w:t>；</w:t>
            </w:r>
          </w:p>
          <w:p w14:paraId="373D98F4">
            <w:pPr>
              <w:spacing w:line="360" w:lineRule="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6.</w:t>
            </w:r>
            <w:r>
              <w:rPr>
                <w:rFonts w:hint="eastAsia" w:ascii="宋体" w:hAnsi="宋体" w:eastAsia="宋体" w:cs="宋体"/>
                <w:bCs/>
                <w:color w:val="auto"/>
                <w:sz w:val="21"/>
                <w:szCs w:val="21"/>
                <w:highlight w:val="none"/>
                <w:lang w:val="en-US"/>
              </w:rPr>
              <w:t xml:space="preserve"> </w:t>
            </w:r>
            <w:r>
              <w:rPr>
                <w:rFonts w:hint="eastAsia" w:ascii="宋体" w:hAnsi="宋体" w:eastAsia="宋体" w:cs="宋体"/>
                <w:bCs/>
                <w:color w:val="auto"/>
                <w:sz w:val="21"/>
                <w:szCs w:val="21"/>
                <w:highlight w:val="none"/>
              </w:rPr>
              <w:t>支持 GPS/AGPS/GLONASS/北斗/GALILEO/QZSS/NavIC</w:t>
            </w:r>
            <w:r>
              <w:rPr>
                <w:rFonts w:hint="eastAsia" w:ascii="宋体" w:hAnsi="宋体" w:eastAsia="宋体" w:cs="宋体"/>
                <w:bCs/>
                <w:color w:val="auto"/>
                <w:sz w:val="21"/>
                <w:szCs w:val="21"/>
                <w:highlight w:val="none"/>
                <w:lang w:eastAsia="zh-CN"/>
              </w:rPr>
              <w:t>；</w:t>
            </w:r>
          </w:p>
          <w:p w14:paraId="5B1941E5">
            <w:pPr>
              <w:spacing w:line="360" w:lineRule="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▲7. 屏幕：≥6.</w:t>
            </w:r>
            <w:r>
              <w:rPr>
                <w:rFonts w:hint="eastAsia" w:ascii="宋体" w:hAnsi="宋体" w:eastAsia="宋体" w:cs="宋体"/>
                <w:bCs/>
                <w:color w:val="auto"/>
                <w:sz w:val="21"/>
                <w:szCs w:val="21"/>
                <w:highlight w:val="none"/>
                <w:lang w:val="en-US" w:eastAsia="zh-CN"/>
              </w:rPr>
              <w:t>7</w:t>
            </w:r>
            <w:r>
              <w:rPr>
                <w:rFonts w:hint="eastAsia" w:ascii="宋体" w:hAnsi="宋体" w:eastAsia="宋体" w:cs="宋体"/>
                <w:bCs/>
                <w:color w:val="auto"/>
                <w:sz w:val="21"/>
                <w:szCs w:val="21"/>
                <w:highlight w:val="none"/>
              </w:rPr>
              <w:t>英寸，≥10.7 亿色，</w:t>
            </w:r>
            <w:r>
              <w:rPr>
                <w:rFonts w:hint="eastAsia" w:ascii="宋体" w:hAnsi="宋体" w:eastAsia="宋体" w:cs="宋体"/>
                <w:bCs/>
                <w:color w:val="auto"/>
                <w:sz w:val="21"/>
                <w:szCs w:val="21"/>
                <w:highlight w:val="none"/>
                <w:lang w:val="en-US"/>
              </w:rPr>
              <w:t>具备</w:t>
            </w:r>
            <w:r>
              <w:rPr>
                <w:rFonts w:hint="eastAsia" w:ascii="宋体" w:hAnsi="宋体" w:eastAsia="宋体" w:cs="宋体"/>
                <w:bCs/>
                <w:color w:val="auto"/>
                <w:sz w:val="21"/>
                <w:szCs w:val="21"/>
                <w:highlight w:val="none"/>
              </w:rPr>
              <w:t>P3广色域</w:t>
            </w:r>
            <w:r>
              <w:rPr>
                <w:rFonts w:hint="eastAsia" w:ascii="宋体" w:hAnsi="宋体" w:eastAsia="宋体" w:cs="宋体"/>
                <w:bCs/>
                <w:color w:val="auto"/>
                <w:sz w:val="21"/>
                <w:szCs w:val="21"/>
                <w:highlight w:val="none"/>
                <w:lang w:val="en-US"/>
              </w:rPr>
              <w:t>的</w:t>
            </w:r>
            <w:r>
              <w:rPr>
                <w:rFonts w:hint="eastAsia" w:ascii="宋体" w:hAnsi="宋体" w:eastAsia="宋体" w:cs="宋体"/>
                <w:bCs/>
                <w:color w:val="auto"/>
                <w:sz w:val="21"/>
                <w:szCs w:val="21"/>
                <w:highlight w:val="none"/>
              </w:rPr>
              <w:t>OLED</w:t>
            </w:r>
            <w:r>
              <w:rPr>
                <w:rFonts w:hint="eastAsia" w:ascii="宋体" w:hAnsi="宋体" w:eastAsia="宋体" w:cs="宋体"/>
                <w:bCs/>
                <w:color w:val="auto"/>
                <w:sz w:val="21"/>
                <w:szCs w:val="21"/>
                <w:highlight w:val="none"/>
                <w:lang w:val="en-US"/>
              </w:rPr>
              <w:t>显示屏</w:t>
            </w:r>
            <w:r>
              <w:rPr>
                <w:rFonts w:hint="eastAsia" w:ascii="宋体" w:hAnsi="宋体" w:eastAsia="宋体" w:cs="宋体"/>
                <w:bCs/>
                <w:color w:val="auto"/>
                <w:sz w:val="21"/>
                <w:szCs w:val="21"/>
                <w:highlight w:val="none"/>
              </w:rPr>
              <w:t>, 支持自适应刷新率</w:t>
            </w:r>
            <w:r>
              <w:rPr>
                <w:rFonts w:hint="eastAsia" w:ascii="宋体" w:hAnsi="宋体" w:eastAsia="宋体" w:cs="宋体"/>
                <w:bCs/>
                <w:color w:val="auto"/>
                <w:sz w:val="21"/>
                <w:szCs w:val="21"/>
                <w:highlight w:val="none"/>
                <w:lang w:val="en-US"/>
              </w:rPr>
              <w:t>，</w:t>
            </w:r>
            <w:r>
              <w:rPr>
                <w:rFonts w:hint="eastAsia" w:ascii="宋体" w:hAnsi="宋体" w:eastAsia="宋体" w:cs="宋体"/>
                <w:bCs/>
                <w:color w:val="auto"/>
                <w:sz w:val="21"/>
                <w:szCs w:val="21"/>
                <w:highlight w:val="none"/>
                <w:lang w:val="en-US" w:eastAsia="zh-CN"/>
              </w:rPr>
              <w:t>分辨率≥</w:t>
            </w:r>
            <w:r>
              <w:rPr>
                <w:rFonts w:hint="eastAsia" w:ascii="宋体" w:hAnsi="宋体" w:eastAsia="宋体" w:cs="宋体"/>
                <w:bCs/>
                <w:color w:val="auto"/>
                <w:sz w:val="21"/>
                <w:szCs w:val="21"/>
                <w:highlight w:val="none"/>
              </w:rPr>
              <w:t xml:space="preserve"> 2688 × 1216像素</w:t>
            </w:r>
            <w:r>
              <w:rPr>
                <w:rFonts w:hint="eastAsia" w:ascii="宋体" w:hAnsi="宋体" w:eastAsia="宋体" w:cs="宋体"/>
                <w:bCs/>
                <w:color w:val="auto"/>
                <w:sz w:val="21"/>
                <w:szCs w:val="21"/>
                <w:highlight w:val="none"/>
                <w:lang w:eastAsia="zh-CN"/>
              </w:rPr>
              <w:t>；</w:t>
            </w:r>
          </w:p>
          <w:p w14:paraId="17468BA2">
            <w:pPr>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▲8. </w:t>
            </w:r>
            <w:r>
              <w:rPr>
                <w:rFonts w:hint="eastAsia" w:ascii="宋体" w:hAnsi="宋体" w:eastAsia="宋体" w:cs="宋体"/>
                <w:bCs/>
                <w:color w:val="auto"/>
                <w:sz w:val="21"/>
                <w:szCs w:val="21"/>
                <w:highlight w:val="none"/>
                <w:lang w:val="en-US"/>
              </w:rPr>
              <w:t>后置</w:t>
            </w:r>
            <w:r>
              <w:rPr>
                <w:rFonts w:hint="eastAsia" w:ascii="宋体" w:hAnsi="宋体" w:eastAsia="宋体" w:cs="宋体"/>
                <w:bCs/>
                <w:color w:val="auto"/>
                <w:sz w:val="21"/>
                <w:szCs w:val="21"/>
                <w:highlight w:val="none"/>
              </w:rPr>
              <w:t>摄像头：</w:t>
            </w:r>
            <w:r>
              <w:rPr>
                <w:rFonts w:hint="eastAsia" w:ascii="宋体" w:hAnsi="宋体" w:eastAsia="宋体" w:cs="宋体"/>
                <w:bCs/>
                <w:color w:val="auto"/>
                <w:sz w:val="21"/>
                <w:szCs w:val="21"/>
                <w:highlight w:val="none"/>
                <w:lang w:val="en-US"/>
              </w:rPr>
              <w:t>≥4个摄像头，摄像头像素≥</w:t>
            </w:r>
            <w:r>
              <w:rPr>
                <w:rFonts w:hint="eastAsia" w:ascii="宋体" w:hAnsi="宋体" w:eastAsia="宋体" w:cs="宋体"/>
                <w:bCs/>
                <w:color w:val="auto"/>
                <w:sz w:val="21"/>
                <w:szCs w:val="21"/>
                <w:highlight w:val="none"/>
              </w:rPr>
              <w:t>5000万像</w:t>
            </w:r>
            <w:r>
              <w:rPr>
                <w:rFonts w:hint="eastAsia" w:ascii="宋体" w:hAnsi="宋体" w:eastAsia="宋体" w:cs="宋体"/>
                <w:bCs/>
                <w:color w:val="auto"/>
                <w:sz w:val="21"/>
                <w:szCs w:val="21"/>
                <w:highlight w:val="none"/>
                <w:lang w:val="en-US"/>
              </w:rPr>
              <w:t>素</w:t>
            </w:r>
            <w:r>
              <w:rPr>
                <w:rFonts w:hint="eastAsia" w:ascii="宋体" w:hAnsi="宋体" w:eastAsia="宋体" w:cs="宋体"/>
                <w:bCs/>
                <w:color w:val="auto"/>
                <w:sz w:val="21"/>
                <w:szCs w:val="21"/>
                <w:highlight w:val="none"/>
              </w:rPr>
              <w:t>+ 4000万像素+ 1200万像素+ 150万</w:t>
            </w:r>
            <w:r>
              <w:rPr>
                <w:rFonts w:hint="eastAsia" w:ascii="宋体" w:hAnsi="宋体" w:eastAsia="宋体" w:cs="宋体"/>
                <w:bCs/>
                <w:color w:val="auto"/>
                <w:sz w:val="21"/>
                <w:szCs w:val="21"/>
                <w:highlight w:val="none"/>
                <w:lang w:val="en-US"/>
              </w:rPr>
              <w:t>像素</w:t>
            </w:r>
            <w:r>
              <w:rPr>
                <w:rFonts w:hint="eastAsia" w:ascii="宋体" w:hAnsi="宋体" w:eastAsia="宋体" w:cs="宋体"/>
                <w:bCs/>
                <w:color w:val="auto"/>
                <w:sz w:val="21"/>
                <w:szCs w:val="21"/>
                <w:highlight w:val="none"/>
              </w:rPr>
              <w:t>，支持自动对焦；</w:t>
            </w:r>
          </w:p>
          <w:p w14:paraId="51CADCDA">
            <w:pPr>
              <w:spacing w:line="360" w:lineRule="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前置摄像头：</w:t>
            </w:r>
            <w:r>
              <w:rPr>
                <w:rFonts w:hint="eastAsia" w:ascii="宋体" w:hAnsi="宋体" w:eastAsia="宋体" w:cs="宋体"/>
                <w:bCs/>
                <w:color w:val="auto"/>
                <w:sz w:val="21"/>
                <w:szCs w:val="21"/>
                <w:highlight w:val="none"/>
                <w:lang w:val="en-US"/>
              </w:rPr>
              <w:t>≥</w:t>
            </w:r>
            <w:r>
              <w:rPr>
                <w:rFonts w:hint="eastAsia" w:ascii="宋体" w:hAnsi="宋体" w:eastAsia="宋体" w:cs="宋体"/>
                <w:bCs/>
                <w:color w:val="auto"/>
                <w:sz w:val="21"/>
                <w:szCs w:val="21"/>
                <w:highlight w:val="none"/>
              </w:rPr>
              <w:t>1300 万像素</w:t>
            </w:r>
            <w:r>
              <w:rPr>
                <w:rFonts w:hint="eastAsia" w:ascii="宋体" w:hAnsi="宋体" w:eastAsia="宋体" w:cs="宋体"/>
                <w:bCs/>
                <w:color w:val="auto"/>
                <w:sz w:val="21"/>
                <w:szCs w:val="21"/>
                <w:highlight w:val="none"/>
                <w:lang w:eastAsia="zh-CN"/>
              </w:rPr>
              <w:t>；</w:t>
            </w:r>
          </w:p>
          <w:p w14:paraId="73FABE72">
            <w:pPr>
              <w:tabs>
                <w:tab w:val="left" w:pos="312"/>
              </w:tabs>
              <w:spacing w:line="360" w:lineRule="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9.电池容量：≥</w:t>
            </w:r>
            <w:r>
              <w:rPr>
                <w:rFonts w:hint="eastAsia" w:ascii="宋体" w:hAnsi="宋体" w:eastAsia="宋体" w:cs="宋体"/>
                <w:bCs/>
                <w:color w:val="auto"/>
                <w:sz w:val="21"/>
                <w:szCs w:val="21"/>
                <w:highlight w:val="none"/>
                <w:lang w:val="en-US" w:eastAsia="zh-CN"/>
              </w:rPr>
              <w:t>5300</w:t>
            </w:r>
            <w:r>
              <w:rPr>
                <w:rFonts w:hint="eastAsia" w:ascii="宋体" w:hAnsi="宋体" w:eastAsia="宋体" w:cs="宋体"/>
                <w:bCs/>
                <w:color w:val="auto"/>
                <w:sz w:val="21"/>
                <w:szCs w:val="21"/>
                <w:highlight w:val="none"/>
              </w:rPr>
              <w:t>mAh（典型值），</w:t>
            </w:r>
            <w:r>
              <w:rPr>
                <w:rFonts w:hint="eastAsia" w:ascii="宋体" w:hAnsi="宋体" w:eastAsia="宋体" w:cs="宋体"/>
                <w:bCs/>
                <w:color w:val="auto"/>
                <w:sz w:val="21"/>
                <w:szCs w:val="21"/>
                <w:highlight w:val="none"/>
                <w:lang w:val="en-US" w:eastAsia="zh-CN"/>
              </w:rPr>
              <w:t>手机</w:t>
            </w:r>
            <w:r>
              <w:rPr>
                <w:rFonts w:hint="eastAsia" w:ascii="宋体" w:hAnsi="宋体" w:eastAsia="宋体" w:cs="宋体"/>
                <w:bCs/>
                <w:color w:val="auto"/>
                <w:sz w:val="21"/>
                <w:szCs w:val="21"/>
                <w:highlight w:val="none"/>
              </w:rPr>
              <w:t>支持最大快充</w:t>
            </w:r>
            <w:r>
              <w:rPr>
                <w:rFonts w:hint="eastAsia" w:ascii="宋体" w:hAnsi="宋体" w:eastAsia="宋体" w:cs="宋体"/>
                <w:bCs/>
                <w:color w:val="auto"/>
                <w:sz w:val="21"/>
                <w:szCs w:val="21"/>
                <w:highlight w:val="none"/>
                <w:lang w:val="en-US"/>
              </w:rPr>
              <w:t>≥</w:t>
            </w:r>
            <w:r>
              <w:rPr>
                <w:rFonts w:hint="eastAsia" w:ascii="宋体" w:hAnsi="宋体" w:eastAsia="宋体" w:cs="宋体"/>
                <w:bCs/>
                <w:color w:val="auto"/>
                <w:sz w:val="21"/>
                <w:szCs w:val="21"/>
                <w:highlight w:val="none"/>
              </w:rPr>
              <w:t>66W</w:t>
            </w:r>
            <w:r>
              <w:rPr>
                <w:rFonts w:hint="eastAsia" w:ascii="宋体" w:hAnsi="宋体" w:eastAsia="宋体" w:cs="宋体"/>
                <w:bCs/>
                <w:color w:val="auto"/>
                <w:sz w:val="21"/>
                <w:szCs w:val="21"/>
                <w:highlight w:val="none"/>
                <w:lang w:val="en-US"/>
              </w:rPr>
              <w:t>，支持</w:t>
            </w:r>
            <w:r>
              <w:rPr>
                <w:rFonts w:hint="eastAsia" w:ascii="宋体" w:hAnsi="宋体" w:eastAsia="宋体" w:cs="宋体"/>
                <w:bCs/>
                <w:color w:val="auto"/>
                <w:sz w:val="21"/>
                <w:szCs w:val="21"/>
                <w:highlight w:val="none"/>
              </w:rPr>
              <w:t>无线充电</w:t>
            </w:r>
            <w:r>
              <w:rPr>
                <w:rFonts w:hint="eastAsia" w:ascii="宋体" w:hAnsi="宋体" w:eastAsia="宋体" w:cs="宋体"/>
                <w:bCs/>
                <w:color w:val="auto"/>
                <w:sz w:val="21"/>
                <w:szCs w:val="21"/>
                <w:highlight w:val="none"/>
                <w:lang w:val="en-US"/>
              </w:rPr>
              <w:t>，</w:t>
            </w:r>
            <w:r>
              <w:rPr>
                <w:rFonts w:hint="eastAsia" w:ascii="宋体" w:hAnsi="宋体" w:eastAsia="宋体" w:cs="宋体"/>
                <w:bCs/>
                <w:color w:val="auto"/>
                <w:sz w:val="21"/>
                <w:szCs w:val="21"/>
                <w:highlight w:val="none"/>
              </w:rPr>
              <w:t>支持50W超级快充，支持无线反向充电</w:t>
            </w:r>
            <w:r>
              <w:rPr>
                <w:rFonts w:hint="eastAsia" w:ascii="宋体" w:hAnsi="宋体" w:eastAsia="宋体" w:cs="宋体"/>
                <w:bCs/>
                <w:color w:val="auto"/>
                <w:sz w:val="21"/>
                <w:szCs w:val="21"/>
                <w:highlight w:val="none"/>
                <w:lang w:eastAsia="zh-CN"/>
              </w:rPr>
              <w:t>；</w:t>
            </w:r>
          </w:p>
          <w:p w14:paraId="2842080B">
            <w:pPr>
              <w:tabs>
                <w:tab w:val="left" w:pos="312"/>
              </w:tabs>
              <w:spacing w:line="360" w:lineRule="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 xml:space="preserve">▲10. </w:t>
            </w:r>
            <w:r>
              <w:rPr>
                <w:rFonts w:hint="eastAsia" w:ascii="宋体" w:hAnsi="宋体" w:eastAsia="宋体" w:cs="宋体"/>
                <w:bCs/>
                <w:color w:val="auto"/>
                <w:sz w:val="21"/>
                <w:szCs w:val="21"/>
                <w:highlight w:val="none"/>
                <w:lang w:val="en-US"/>
              </w:rPr>
              <w:t>支持的</w:t>
            </w:r>
            <w:r>
              <w:rPr>
                <w:rFonts w:hint="eastAsia" w:ascii="宋体" w:hAnsi="宋体" w:eastAsia="宋体" w:cs="宋体"/>
                <w:bCs/>
                <w:color w:val="auto"/>
                <w:sz w:val="21"/>
                <w:szCs w:val="21"/>
                <w:highlight w:val="none"/>
              </w:rPr>
              <w:t>传感器</w:t>
            </w:r>
            <w:r>
              <w:rPr>
                <w:rFonts w:hint="eastAsia" w:ascii="宋体" w:hAnsi="宋体" w:eastAsia="宋体" w:cs="宋体"/>
                <w:bCs/>
                <w:color w:val="auto"/>
                <w:sz w:val="21"/>
                <w:szCs w:val="21"/>
                <w:highlight w:val="none"/>
                <w:lang w:val="en-US"/>
              </w:rPr>
              <w:t>要求</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rPr>
              <w:t>包括但不限于：</w:t>
            </w:r>
            <w:r>
              <w:rPr>
                <w:rFonts w:hint="eastAsia" w:ascii="宋体" w:hAnsi="宋体" w:eastAsia="宋体" w:cs="宋体"/>
                <w:bCs/>
                <w:color w:val="auto"/>
                <w:sz w:val="21"/>
                <w:szCs w:val="21"/>
                <w:highlight w:val="none"/>
                <w:lang w:val="en-US" w:eastAsia="zh-CN"/>
              </w:rPr>
              <w:t>姿态感应器</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重力传感器</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红外传感器、侧边指纹、霍尔传感器、陀螺仪、指南针、环境光传感器、接近光传感器、Camera 激光对焦传感器、色温传感器等</w:t>
            </w:r>
            <w:r>
              <w:rPr>
                <w:rFonts w:hint="eastAsia" w:ascii="宋体" w:hAnsi="宋体" w:eastAsia="宋体" w:cs="宋体"/>
                <w:bCs/>
                <w:color w:val="auto"/>
                <w:sz w:val="21"/>
                <w:szCs w:val="21"/>
                <w:highlight w:val="none"/>
                <w:lang w:eastAsia="zh-CN"/>
              </w:rPr>
              <w:t>；</w:t>
            </w:r>
          </w:p>
          <w:p w14:paraId="2FF01712">
            <w:pPr>
              <w:tabs>
                <w:tab w:val="left" w:pos="312"/>
              </w:tabs>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▲11. </w:t>
            </w:r>
            <w:r>
              <w:rPr>
                <w:rFonts w:hint="eastAsia" w:ascii="宋体" w:hAnsi="宋体" w:eastAsia="宋体" w:cs="宋体"/>
                <w:bCs/>
                <w:color w:val="auto"/>
                <w:sz w:val="21"/>
                <w:szCs w:val="21"/>
                <w:highlight w:val="none"/>
                <w:lang w:val="en-US" w:eastAsia="zh-CN"/>
              </w:rPr>
              <w:t>防水</w:t>
            </w:r>
            <w:r>
              <w:rPr>
                <w:rFonts w:hint="eastAsia" w:ascii="宋体" w:hAnsi="宋体" w:eastAsia="宋体" w:cs="宋体"/>
                <w:bCs/>
                <w:color w:val="auto"/>
                <w:sz w:val="21"/>
                <w:szCs w:val="21"/>
                <w:highlight w:val="none"/>
              </w:rPr>
              <w:t>防尘：</w:t>
            </w:r>
            <w:r>
              <w:rPr>
                <w:rFonts w:hint="eastAsia" w:ascii="宋体" w:hAnsi="宋体" w:eastAsia="宋体" w:cs="宋体"/>
                <w:bCs/>
                <w:color w:val="auto"/>
                <w:sz w:val="21"/>
                <w:szCs w:val="21"/>
                <w:highlight w:val="none"/>
                <w:lang w:val="en-US"/>
              </w:rPr>
              <w:t>具备或优于防水防尘</w:t>
            </w:r>
            <w:r>
              <w:rPr>
                <w:rFonts w:hint="eastAsia" w:ascii="宋体" w:hAnsi="宋体" w:eastAsia="宋体" w:cs="宋体"/>
                <w:bCs/>
                <w:color w:val="auto"/>
                <w:sz w:val="21"/>
                <w:szCs w:val="21"/>
                <w:highlight w:val="none"/>
              </w:rPr>
              <w:t>IP68</w:t>
            </w:r>
            <w:r>
              <w:rPr>
                <w:rFonts w:hint="eastAsia" w:ascii="宋体" w:hAnsi="宋体" w:eastAsia="宋体" w:cs="宋体"/>
                <w:bCs/>
                <w:color w:val="auto"/>
                <w:sz w:val="21"/>
                <w:szCs w:val="21"/>
                <w:highlight w:val="none"/>
                <w:lang w:val="en-US"/>
              </w:rPr>
              <w:t>等级标准</w:t>
            </w:r>
            <w:r>
              <w:rPr>
                <w:rFonts w:hint="eastAsia" w:ascii="宋体" w:hAnsi="宋体" w:eastAsia="宋体" w:cs="宋体"/>
                <w:bCs/>
                <w:color w:val="auto"/>
                <w:sz w:val="21"/>
                <w:szCs w:val="21"/>
                <w:highlight w:val="none"/>
              </w:rPr>
              <w:t>。</w:t>
            </w:r>
          </w:p>
          <w:p w14:paraId="5F9B37E7">
            <w:pPr>
              <w:snapToGrid w:val="0"/>
              <w:spacing w:line="360" w:lineRule="auto"/>
              <w:jc w:val="left"/>
              <w:rPr>
                <w:rFonts w:hint="eastAsia"/>
                <w:color w:val="auto"/>
                <w:highlight w:val="none"/>
              </w:rPr>
            </w:pPr>
            <w:r>
              <w:rPr>
                <w:rFonts w:ascii="宋体" w:hAnsi="宋体"/>
                <w:color w:val="auto"/>
                <w:szCs w:val="21"/>
                <w:highlight w:val="none"/>
              </w:rPr>
              <w:t>（</w:t>
            </w:r>
            <w:r>
              <w:rPr>
                <w:rFonts w:hint="eastAsia" w:ascii="宋体" w:hAnsi="宋体"/>
                <w:color w:val="auto"/>
                <w:szCs w:val="21"/>
                <w:highlight w:val="none"/>
                <w:lang w:val="en-US" w:eastAsia="zh-CN"/>
              </w:rPr>
              <w:t>二</w:t>
            </w:r>
            <w:r>
              <w:rPr>
                <w:rFonts w:ascii="宋体" w:hAnsi="宋体"/>
                <w:color w:val="auto"/>
                <w:szCs w:val="21"/>
                <w:highlight w:val="none"/>
              </w:rPr>
              <w:t>）第</w:t>
            </w:r>
            <w:r>
              <w:rPr>
                <w:rFonts w:hint="eastAsia" w:ascii="宋体" w:hAnsi="宋体"/>
                <w:color w:val="auto"/>
                <w:szCs w:val="21"/>
                <w:highlight w:val="none"/>
                <w:lang w:val="en-US" w:eastAsia="zh-CN"/>
              </w:rPr>
              <w:t>二</w:t>
            </w:r>
            <w:r>
              <w:rPr>
                <w:rFonts w:ascii="宋体" w:hAnsi="宋体"/>
                <w:color w:val="auto"/>
                <w:szCs w:val="21"/>
                <w:highlight w:val="none"/>
              </w:rPr>
              <w:t>档次</w:t>
            </w:r>
          </w:p>
          <w:p w14:paraId="3657AC87">
            <w:pPr>
              <w:spacing w:line="360" w:lineRule="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rPr>
              <w:t xml:space="preserve">1. </w:t>
            </w:r>
            <w:r>
              <w:rPr>
                <w:rFonts w:hint="eastAsia" w:ascii="宋体" w:hAnsi="宋体" w:eastAsia="宋体" w:cs="宋体"/>
                <w:bCs/>
                <w:color w:val="auto"/>
                <w:sz w:val="21"/>
                <w:szCs w:val="21"/>
                <w:highlight w:val="none"/>
              </w:rPr>
              <w:t>外观设计：直板，尺寸</w:t>
            </w:r>
            <w:r>
              <w:rPr>
                <w:rFonts w:hint="eastAsia" w:ascii="宋体" w:hAnsi="宋体" w:eastAsia="宋体" w:cs="宋体"/>
                <w:bCs/>
                <w:color w:val="auto"/>
                <w:sz w:val="21"/>
                <w:szCs w:val="21"/>
                <w:highlight w:val="none"/>
                <w:lang w:val="en-US"/>
              </w:rPr>
              <w:t>（± 0.5）≥</w:t>
            </w:r>
            <w:r>
              <w:rPr>
                <w:rFonts w:hint="eastAsia" w:ascii="宋体" w:hAnsi="宋体" w:eastAsia="宋体" w:cs="宋体"/>
                <w:bCs/>
                <w:color w:val="auto"/>
                <w:sz w:val="21"/>
                <w:szCs w:val="21"/>
                <w:highlight w:val="none"/>
              </w:rPr>
              <w:t>160.9mm（</w:t>
            </w:r>
            <w:r>
              <w:rPr>
                <w:rFonts w:hint="eastAsia" w:ascii="宋体" w:hAnsi="宋体" w:eastAsia="宋体" w:cs="宋体"/>
                <w:bCs/>
                <w:color w:val="auto"/>
                <w:sz w:val="21"/>
                <w:szCs w:val="21"/>
                <w:highlight w:val="none"/>
                <w:lang w:val="en-US"/>
              </w:rPr>
              <w:t xml:space="preserve">长± 0.5）+ </w:t>
            </w:r>
            <w:r>
              <w:rPr>
                <w:rFonts w:hint="eastAsia" w:ascii="宋体" w:hAnsi="宋体" w:eastAsia="宋体" w:cs="宋体"/>
                <w:bCs/>
                <w:color w:val="auto"/>
                <w:sz w:val="21"/>
                <w:szCs w:val="21"/>
                <w:highlight w:val="none"/>
              </w:rPr>
              <w:t>75.9mm（宽</w:t>
            </w:r>
            <w:r>
              <w:rPr>
                <w:rFonts w:hint="eastAsia" w:ascii="宋体" w:hAnsi="宋体" w:eastAsia="宋体" w:cs="宋体"/>
                <w:bCs/>
                <w:color w:val="auto"/>
                <w:sz w:val="21"/>
                <w:szCs w:val="21"/>
                <w:highlight w:val="none"/>
                <w:lang w:val="en-US"/>
              </w:rPr>
              <w:t>± 0.5</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rPr>
              <w:t xml:space="preserve">+ </w:t>
            </w:r>
            <w:r>
              <w:rPr>
                <w:rFonts w:hint="eastAsia" w:ascii="宋体" w:hAnsi="宋体" w:eastAsia="宋体" w:cs="宋体"/>
                <w:bCs/>
                <w:color w:val="auto"/>
                <w:sz w:val="21"/>
                <w:szCs w:val="21"/>
                <w:highlight w:val="none"/>
              </w:rPr>
              <w:t>7.8mm（厚</w:t>
            </w:r>
            <w:r>
              <w:rPr>
                <w:rFonts w:hint="eastAsia" w:ascii="宋体" w:hAnsi="宋体" w:eastAsia="宋体" w:cs="宋体"/>
                <w:bCs/>
                <w:color w:val="auto"/>
                <w:sz w:val="21"/>
                <w:szCs w:val="21"/>
                <w:highlight w:val="none"/>
                <w:lang w:val="en-US"/>
              </w:rPr>
              <w:t>± 0.2</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eastAsia="zh-CN"/>
              </w:rPr>
              <w:t>；</w:t>
            </w:r>
          </w:p>
          <w:p w14:paraId="02231C7A">
            <w:pPr>
              <w:spacing w:line="360" w:lineRule="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2. 网络制式：全网通</w:t>
            </w:r>
            <w:r>
              <w:rPr>
                <w:rFonts w:hint="eastAsia" w:ascii="宋体" w:hAnsi="宋体" w:eastAsia="宋体" w:cs="宋体"/>
                <w:bCs/>
                <w:color w:val="auto"/>
                <w:sz w:val="21"/>
                <w:szCs w:val="21"/>
                <w:highlight w:val="none"/>
                <w:lang w:eastAsia="zh-CN"/>
              </w:rPr>
              <w:t>；</w:t>
            </w:r>
          </w:p>
          <w:p w14:paraId="5982A6B9">
            <w:pPr>
              <w:spacing w:line="360" w:lineRule="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 xml:space="preserve">3. </w:t>
            </w:r>
            <w:r>
              <w:rPr>
                <w:rFonts w:hint="eastAsia" w:ascii="宋体" w:hAnsi="宋体" w:eastAsia="宋体" w:cs="宋体"/>
                <w:bCs/>
                <w:color w:val="auto"/>
                <w:sz w:val="21"/>
                <w:szCs w:val="21"/>
                <w:highlight w:val="none"/>
                <w:lang w:val="en-US"/>
              </w:rPr>
              <w:t>双卡双待，支持</w:t>
            </w:r>
            <w:r>
              <w:rPr>
                <w:rFonts w:hint="eastAsia" w:ascii="宋体" w:hAnsi="宋体" w:eastAsia="宋体" w:cs="宋体"/>
                <w:bCs/>
                <w:color w:val="auto"/>
                <w:sz w:val="21"/>
                <w:szCs w:val="21"/>
                <w:highlight w:val="none"/>
              </w:rPr>
              <w:t>SIM卡</w:t>
            </w:r>
            <w:r>
              <w:rPr>
                <w:rFonts w:hint="eastAsia" w:ascii="宋体" w:hAnsi="宋体" w:eastAsia="宋体" w:cs="宋体"/>
                <w:bCs/>
                <w:color w:val="auto"/>
                <w:sz w:val="21"/>
                <w:szCs w:val="21"/>
                <w:highlight w:val="none"/>
                <w:lang w:val="en-US"/>
              </w:rPr>
              <w:t>、</w:t>
            </w:r>
            <w:r>
              <w:rPr>
                <w:rFonts w:hint="eastAsia" w:ascii="宋体" w:hAnsi="宋体" w:eastAsia="宋体" w:cs="宋体"/>
                <w:bCs/>
                <w:color w:val="auto"/>
                <w:sz w:val="21"/>
                <w:szCs w:val="21"/>
                <w:highlight w:val="none"/>
              </w:rPr>
              <w:t>nano SIM卡</w:t>
            </w:r>
            <w:r>
              <w:rPr>
                <w:rFonts w:hint="eastAsia" w:ascii="宋体" w:hAnsi="宋体" w:eastAsia="宋体" w:cs="宋体"/>
                <w:bCs/>
                <w:color w:val="auto"/>
                <w:sz w:val="21"/>
                <w:szCs w:val="21"/>
                <w:highlight w:val="none"/>
                <w:lang w:val="en-US"/>
              </w:rPr>
              <w:t>；</w:t>
            </w:r>
          </w:p>
          <w:p w14:paraId="38CA94C9">
            <w:pPr>
              <w:spacing w:line="360" w:lineRule="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4.</w:t>
            </w:r>
            <w:r>
              <w:rPr>
                <w:rFonts w:hint="eastAsia" w:ascii="宋体" w:hAnsi="宋体" w:eastAsia="宋体" w:cs="宋体"/>
                <w:bCs/>
                <w:color w:val="auto"/>
                <w:sz w:val="21"/>
                <w:szCs w:val="21"/>
                <w:highlight w:val="none"/>
                <w:lang w:val="en-US"/>
              </w:rPr>
              <w:t xml:space="preserve"> </w:t>
            </w:r>
            <w:r>
              <w:rPr>
                <w:rFonts w:hint="eastAsia" w:ascii="宋体" w:hAnsi="宋体" w:eastAsia="宋体" w:cs="宋体"/>
                <w:bCs/>
                <w:color w:val="auto"/>
                <w:sz w:val="21"/>
                <w:szCs w:val="21"/>
                <w:highlight w:val="none"/>
              </w:rPr>
              <w:t>存储：RAM≥12GB，ROM≥</w:t>
            </w:r>
            <w:r>
              <w:rPr>
                <w:rFonts w:hint="eastAsia" w:ascii="宋体" w:hAnsi="宋体" w:eastAsia="宋体" w:cs="宋体"/>
                <w:bCs/>
                <w:color w:val="auto"/>
                <w:sz w:val="21"/>
                <w:szCs w:val="21"/>
                <w:highlight w:val="none"/>
                <w:lang w:val="en-US" w:eastAsia="zh-CN"/>
              </w:rPr>
              <w:t>512GB</w:t>
            </w:r>
            <w:r>
              <w:rPr>
                <w:rFonts w:hint="eastAsia" w:ascii="宋体" w:hAnsi="宋体" w:eastAsia="宋体" w:cs="宋体"/>
                <w:bCs/>
                <w:color w:val="auto"/>
                <w:sz w:val="21"/>
                <w:szCs w:val="21"/>
                <w:highlight w:val="none"/>
                <w:lang w:eastAsia="zh-CN"/>
              </w:rPr>
              <w:t>；</w:t>
            </w:r>
          </w:p>
          <w:p w14:paraId="4C1AF14D">
            <w:pPr>
              <w:pStyle w:val="32"/>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5.</w:t>
            </w:r>
            <w:r>
              <w:rPr>
                <w:rFonts w:hint="eastAsia" w:ascii="宋体" w:hAnsi="宋体" w:eastAsia="宋体" w:cs="宋体"/>
                <w:bCs/>
                <w:color w:val="auto"/>
                <w:sz w:val="21"/>
                <w:szCs w:val="21"/>
                <w:highlight w:val="none"/>
                <w:lang w:val="en-US"/>
              </w:rPr>
              <w:t xml:space="preserve"> </w:t>
            </w:r>
            <w:r>
              <w:rPr>
                <w:rFonts w:hint="eastAsia" w:ascii="宋体" w:hAnsi="宋体" w:eastAsia="宋体" w:cs="宋体"/>
                <w:bCs/>
                <w:color w:val="auto"/>
                <w:sz w:val="21"/>
                <w:szCs w:val="21"/>
                <w:highlight w:val="none"/>
              </w:rPr>
              <w:t>CPU：国产芯片</w:t>
            </w:r>
            <w:r>
              <w:rPr>
                <w:rFonts w:hint="eastAsia" w:ascii="宋体" w:hAnsi="宋体" w:eastAsia="宋体" w:cs="宋体"/>
                <w:bCs/>
                <w:color w:val="auto"/>
                <w:sz w:val="21"/>
                <w:szCs w:val="21"/>
                <w:highlight w:val="none"/>
                <w:lang w:eastAsia="zh-CN"/>
              </w:rPr>
              <w:t>；</w:t>
            </w:r>
          </w:p>
          <w:p w14:paraId="0B762CC7">
            <w:pPr>
              <w:spacing w:line="360" w:lineRule="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6.</w:t>
            </w:r>
            <w:r>
              <w:rPr>
                <w:rFonts w:hint="eastAsia" w:ascii="宋体" w:hAnsi="宋体" w:eastAsia="宋体" w:cs="宋体"/>
                <w:bCs/>
                <w:color w:val="auto"/>
                <w:sz w:val="21"/>
                <w:szCs w:val="21"/>
                <w:highlight w:val="none"/>
                <w:lang w:val="en-US"/>
              </w:rPr>
              <w:t xml:space="preserve"> </w:t>
            </w:r>
            <w:r>
              <w:rPr>
                <w:rFonts w:hint="eastAsia" w:ascii="宋体" w:hAnsi="宋体" w:eastAsia="宋体" w:cs="宋体"/>
                <w:bCs/>
                <w:color w:val="auto"/>
                <w:sz w:val="21"/>
                <w:szCs w:val="21"/>
                <w:highlight w:val="none"/>
              </w:rPr>
              <w:t>支持 GPS/AGPS/GLONASS/北斗/GALILEO/QZSS/NavIC</w:t>
            </w:r>
            <w:r>
              <w:rPr>
                <w:rFonts w:hint="eastAsia" w:ascii="宋体" w:hAnsi="宋体" w:eastAsia="宋体" w:cs="宋体"/>
                <w:bCs/>
                <w:color w:val="auto"/>
                <w:sz w:val="21"/>
                <w:szCs w:val="21"/>
                <w:highlight w:val="none"/>
                <w:lang w:eastAsia="zh-CN"/>
              </w:rPr>
              <w:t>；</w:t>
            </w:r>
          </w:p>
          <w:p w14:paraId="35CF0E1C">
            <w:pPr>
              <w:spacing w:line="360" w:lineRule="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▲7. 屏幕：≥6.</w:t>
            </w:r>
            <w:r>
              <w:rPr>
                <w:rFonts w:hint="eastAsia" w:ascii="宋体" w:hAnsi="宋体" w:eastAsia="宋体" w:cs="宋体"/>
                <w:bCs/>
                <w:color w:val="auto"/>
                <w:sz w:val="21"/>
                <w:szCs w:val="21"/>
                <w:highlight w:val="none"/>
                <w:lang w:val="en-US" w:eastAsia="zh-CN"/>
              </w:rPr>
              <w:t>7</w:t>
            </w:r>
            <w:r>
              <w:rPr>
                <w:rFonts w:hint="eastAsia" w:ascii="宋体" w:hAnsi="宋体" w:eastAsia="宋体" w:cs="宋体"/>
                <w:bCs/>
                <w:color w:val="auto"/>
                <w:sz w:val="21"/>
                <w:szCs w:val="21"/>
                <w:highlight w:val="none"/>
              </w:rPr>
              <w:t>英寸，≥10.7 亿色，</w:t>
            </w:r>
            <w:r>
              <w:rPr>
                <w:rFonts w:hint="eastAsia" w:ascii="宋体" w:hAnsi="宋体" w:eastAsia="宋体" w:cs="宋体"/>
                <w:bCs/>
                <w:color w:val="auto"/>
                <w:sz w:val="21"/>
                <w:szCs w:val="21"/>
                <w:highlight w:val="none"/>
                <w:lang w:val="en-US"/>
              </w:rPr>
              <w:t>具备</w:t>
            </w:r>
            <w:r>
              <w:rPr>
                <w:rFonts w:hint="eastAsia" w:ascii="宋体" w:hAnsi="宋体" w:eastAsia="宋体" w:cs="宋体"/>
                <w:bCs/>
                <w:color w:val="auto"/>
                <w:sz w:val="21"/>
                <w:szCs w:val="21"/>
                <w:highlight w:val="none"/>
              </w:rPr>
              <w:t>P3广色域</w:t>
            </w:r>
            <w:r>
              <w:rPr>
                <w:rFonts w:hint="eastAsia" w:ascii="宋体" w:hAnsi="宋体" w:eastAsia="宋体" w:cs="宋体"/>
                <w:bCs/>
                <w:color w:val="auto"/>
                <w:sz w:val="21"/>
                <w:szCs w:val="21"/>
                <w:highlight w:val="none"/>
                <w:lang w:val="en-US"/>
              </w:rPr>
              <w:t>的</w:t>
            </w:r>
            <w:r>
              <w:rPr>
                <w:rFonts w:hint="eastAsia" w:ascii="宋体" w:hAnsi="宋体" w:eastAsia="宋体" w:cs="宋体"/>
                <w:bCs/>
                <w:color w:val="auto"/>
                <w:sz w:val="21"/>
                <w:szCs w:val="21"/>
                <w:highlight w:val="none"/>
              </w:rPr>
              <w:t>OLED</w:t>
            </w:r>
            <w:r>
              <w:rPr>
                <w:rFonts w:hint="eastAsia" w:ascii="宋体" w:hAnsi="宋体" w:eastAsia="宋体" w:cs="宋体"/>
                <w:bCs/>
                <w:color w:val="auto"/>
                <w:sz w:val="21"/>
                <w:szCs w:val="21"/>
                <w:highlight w:val="none"/>
                <w:lang w:val="en-US"/>
              </w:rPr>
              <w:t>显示屏</w:t>
            </w:r>
            <w:r>
              <w:rPr>
                <w:rFonts w:hint="eastAsia" w:ascii="宋体" w:hAnsi="宋体" w:eastAsia="宋体" w:cs="宋体"/>
                <w:bCs/>
                <w:color w:val="auto"/>
                <w:sz w:val="21"/>
                <w:szCs w:val="21"/>
                <w:highlight w:val="none"/>
              </w:rPr>
              <w:t>, 支持自适应刷新率</w:t>
            </w:r>
            <w:r>
              <w:rPr>
                <w:rFonts w:hint="eastAsia" w:ascii="宋体" w:hAnsi="宋体" w:eastAsia="宋体" w:cs="宋体"/>
                <w:bCs/>
                <w:color w:val="auto"/>
                <w:sz w:val="21"/>
                <w:szCs w:val="21"/>
                <w:highlight w:val="none"/>
                <w:lang w:val="en-US"/>
              </w:rPr>
              <w:t>，</w:t>
            </w:r>
            <w:r>
              <w:rPr>
                <w:rFonts w:hint="eastAsia" w:ascii="宋体" w:hAnsi="宋体" w:eastAsia="宋体" w:cs="宋体"/>
                <w:bCs/>
                <w:color w:val="auto"/>
                <w:sz w:val="21"/>
                <w:szCs w:val="21"/>
                <w:highlight w:val="none"/>
                <w:lang w:val="en-US" w:eastAsia="zh-CN"/>
              </w:rPr>
              <w:t>分辨率≥</w:t>
            </w:r>
            <w:r>
              <w:rPr>
                <w:rFonts w:hint="eastAsia" w:ascii="宋体" w:hAnsi="宋体" w:eastAsia="宋体" w:cs="宋体"/>
                <w:bCs/>
                <w:color w:val="auto"/>
                <w:sz w:val="21"/>
                <w:szCs w:val="21"/>
                <w:highlight w:val="none"/>
              </w:rPr>
              <w:t xml:space="preserve"> 2688 × 1216像素</w:t>
            </w:r>
            <w:r>
              <w:rPr>
                <w:rFonts w:hint="eastAsia" w:ascii="宋体" w:hAnsi="宋体" w:eastAsia="宋体" w:cs="宋体"/>
                <w:bCs/>
                <w:color w:val="auto"/>
                <w:sz w:val="21"/>
                <w:szCs w:val="21"/>
                <w:highlight w:val="none"/>
                <w:lang w:eastAsia="zh-CN"/>
              </w:rPr>
              <w:t>；</w:t>
            </w:r>
          </w:p>
          <w:p w14:paraId="3D19D095">
            <w:pPr>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▲8. </w:t>
            </w:r>
            <w:r>
              <w:rPr>
                <w:rFonts w:hint="eastAsia" w:ascii="宋体" w:hAnsi="宋体" w:eastAsia="宋体" w:cs="宋体"/>
                <w:bCs/>
                <w:color w:val="auto"/>
                <w:sz w:val="21"/>
                <w:szCs w:val="21"/>
                <w:highlight w:val="none"/>
                <w:lang w:val="en-US"/>
              </w:rPr>
              <w:t>后置</w:t>
            </w:r>
            <w:r>
              <w:rPr>
                <w:rFonts w:hint="eastAsia" w:ascii="宋体" w:hAnsi="宋体" w:eastAsia="宋体" w:cs="宋体"/>
                <w:bCs/>
                <w:color w:val="auto"/>
                <w:sz w:val="21"/>
                <w:szCs w:val="21"/>
                <w:highlight w:val="none"/>
              </w:rPr>
              <w:t>摄像头：</w:t>
            </w:r>
            <w:r>
              <w:rPr>
                <w:rFonts w:hint="eastAsia" w:ascii="宋体" w:hAnsi="宋体" w:eastAsia="宋体" w:cs="宋体"/>
                <w:bCs/>
                <w:color w:val="auto"/>
                <w:sz w:val="21"/>
                <w:szCs w:val="21"/>
                <w:highlight w:val="none"/>
                <w:lang w:val="en-US"/>
              </w:rPr>
              <w:t>≥4个摄像头，摄像头像素≥</w:t>
            </w:r>
            <w:r>
              <w:rPr>
                <w:rFonts w:hint="eastAsia" w:ascii="宋体" w:hAnsi="宋体" w:eastAsia="宋体" w:cs="宋体"/>
                <w:bCs/>
                <w:color w:val="auto"/>
                <w:sz w:val="21"/>
                <w:szCs w:val="21"/>
                <w:highlight w:val="none"/>
              </w:rPr>
              <w:t>5000万像</w:t>
            </w:r>
            <w:r>
              <w:rPr>
                <w:rFonts w:hint="eastAsia" w:ascii="宋体" w:hAnsi="宋体" w:eastAsia="宋体" w:cs="宋体"/>
                <w:bCs/>
                <w:color w:val="auto"/>
                <w:sz w:val="21"/>
                <w:szCs w:val="21"/>
                <w:highlight w:val="none"/>
                <w:lang w:val="en-US"/>
              </w:rPr>
              <w:t>素</w:t>
            </w:r>
            <w:r>
              <w:rPr>
                <w:rFonts w:hint="eastAsia" w:ascii="宋体" w:hAnsi="宋体" w:eastAsia="宋体" w:cs="宋体"/>
                <w:bCs/>
                <w:color w:val="auto"/>
                <w:sz w:val="21"/>
                <w:szCs w:val="21"/>
                <w:highlight w:val="none"/>
              </w:rPr>
              <w:t>+ 4000万像素+ 1200万像素+ 150万</w:t>
            </w:r>
            <w:r>
              <w:rPr>
                <w:rFonts w:hint="eastAsia" w:ascii="宋体" w:hAnsi="宋体" w:eastAsia="宋体" w:cs="宋体"/>
                <w:bCs/>
                <w:color w:val="auto"/>
                <w:sz w:val="21"/>
                <w:szCs w:val="21"/>
                <w:highlight w:val="none"/>
                <w:lang w:val="en-US"/>
              </w:rPr>
              <w:t>像素</w:t>
            </w:r>
            <w:r>
              <w:rPr>
                <w:rFonts w:hint="eastAsia" w:ascii="宋体" w:hAnsi="宋体" w:eastAsia="宋体" w:cs="宋体"/>
                <w:bCs/>
                <w:color w:val="auto"/>
                <w:sz w:val="21"/>
                <w:szCs w:val="21"/>
                <w:highlight w:val="none"/>
              </w:rPr>
              <w:t>，支持自动对焦；</w:t>
            </w:r>
          </w:p>
          <w:p w14:paraId="556A2FDB">
            <w:pPr>
              <w:spacing w:line="360" w:lineRule="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前置摄像头：</w:t>
            </w:r>
            <w:r>
              <w:rPr>
                <w:rFonts w:hint="eastAsia" w:ascii="宋体" w:hAnsi="宋体" w:eastAsia="宋体" w:cs="宋体"/>
                <w:bCs/>
                <w:color w:val="auto"/>
                <w:sz w:val="21"/>
                <w:szCs w:val="21"/>
                <w:highlight w:val="none"/>
                <w:lang w:val="en-US"/>
              </w:rPr>
              <w:t>≥</w:t>
            </w:r>
            <w:r>
              <w:rPr>
                <w:rFonts w:hint="eastAsia" w:ascii="宋体" w:hAnsi="宋体" w:eastAsia="宋体" w:cs="宋体"/>
                <w:bCs/>
                <w:color w:val="auto"/>
                <w:sz w:val="21"/>
                <w:szCs w:val="21"/>
                <w:highlight w:val="none"/>
              </w:rPr>
              <w:t>1300 万像素</w:t>
            </w:r>
            <w:r>
              <w:rPr>
                <w:rFonts w:hint="eastAsia" w:ascii="宋体" w:hAnsi="宋体" w:eastAsia="宋体" w:cs="宋体"/>
                <w:bCs/>
                <w:color w:val="auto"/>
                <w:sz w:val="21"/>
                <w:szCs w:val="21"/>
                <w:highlight w:val="none"/>
                <w:lang w:eastAsia="zh-CN"/>
              </w:rPr>
              <w:t>；</w:t>
            </w:r>
          </w:p>
          <w:p w14:paraId="6C5B11FB">
            <w:pPr>
              <w:tabs>
                <w:tab w:val="left" w:pos="312"/>
              </w:tabs>
              <w:spacing w:line="360" w:lineRule="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9.电池容量：≥</w:t>
            </w:r>
            <w:r>
              <w:rPr>
                <w:rFonts w:hint="eastAsia" w:ascii="宋体" w:hAnsi="宋体" w:eastAsia="宋体" w:cs="宋体"/>
                <w:bCs/>
                <w:color w:val="auto"/>
                <w:sz w:val="21"/>
                <w:szCs w:val="21"/>
                <w:highlight w:val="none"/>
                <w:lang w:val="en-US" w:eastAsia="zh-CN"/>
              </w:rPr>
              <w:t>5300</w:t>
            </w:r>
            <w:r>
              <w:rPr>
                <w:rFonts w:hint="eastAsia" w:ascii="宋体" w:hAnsi="宋体" w:eastAsia="宋体" w:cs="宋体"/>
                <w:bCs/>
                <w:color w:val="auto"/>
                <w:sz w:val="21"/>
                <w:szCs w:val="21"/>
                <w:highlight w:val="none"/>
              </w:rPr>
              <w:t>mAh（典型值），</w:t>
            </w:r>
            <w:r>
              <w:rPr>
                <w:rFonts w:hint="eastAsia" w:ascii="宋体" w:hAnsi="宋体" w:eastAsia="宋体" w:cs="宋体"/>
                <w:bCs/>
                <w:color w:val="auto"/>
                <w:sz w:val="21"/>
                <w:szCs w:val="21"/>
                <w:highlight w:val="none"/>
                <w:lang w:val="en-US" w:eastAsia="zh-CN"/>
              </w:rPr>
              <w:t>手机</w:t>
            </w:r>
            <w:r>
              <w:rPr>
                <w:rFonts w:hint="eastAsia" w:ascii="宋体" w:hAnsi="宋体" w:eastAsia="宋体" w:cs="宋体"/>
                <w:bCs/>
                <w:color w:val="auto"/>
                <w:sz w:val="21"/>
                <w:szCs w:val="21"/>
                <w:highlight w:val="none"/>
              </w:rPr>
              <w:t>支持最大快充</w:t>
            </w:r>
            <w:r>
              <w:rPr>
                <w:rFonts w:hint="eastAsia" w:ascii="宋体" w:hAnsi="宋体" w:eastAsia="宋体" w:cs="宋体"/>
                <w:bCs/>
                <w:color w:val="auto"/>
                <w:sz w:val="21"/>
                <w:szCs w:val="21"/>
                <w:highlight w:val="none"/>
                <w:lang w:val="en-US"/>
              </w:rPr>
              <w:t>≥</w:t>
            </w:r>
            <w:r>
              <w:rPr>
                <w:rFonts w:hint="eastAsia" w:ascii="宋体" w:hAnsi="宋体" w:eastAsia="宋体" w:cs="宋体"/>
                <w:bCs/>
                <w:color w:val="auto"/>
                <w:sz w:val="21"/>
                <w:szCs w:val="21"/>
                <w:highlight w:val="none"/>
              </w:rPr>
              <w:t>66W</w:t>
            </w:r>
            <w:r>
              <w:rPr>
                <w:rFonts w:hint="eastAsia" w:ascii="宋体" w:hAnsi="宋体" w:eastAsia="宋体" w:cs="宋体"/>
                <w:bCs/>
                <w:color w:val="auto"/>
                <w:sz w:val="21"/>
                <w:szCs w:val="21"/>
                <w:highlight w:val="none"/>
                <w:lang w:val="en-US"/>
              </w:rPr>
              <w:t>，支持</w:t>
            </w:r>
            <w:r>
              <w:rPr>
                <w:rFonts w:hint="eastAsia" w:ascii="宋体" w:hAnsi="宋体" w:eastAsia="宋体" w:cs="宋体"/>
                <w:bCs/>
                <w:color w:val="auto"/>
                <w:sz w:val="21"/>
                <w:szCs w:val="21"/>
                <w:highlight w:val="none"/>
              </w:rPr>
              <w:t>无线充电</w:t>
            </w:r>
            <w:r>
              <w:rPr>
                <w:rFonts w:hint="eastAsia" w:ascii="宋体" w:hAnsi="宋体" w:eastAsia="宋体" w:cs="宋体"/>
                <w:bCs/>
                <w:color w:val="auto"/>
                <w:sz w:val="21"/>
                <w:szCs w:val="21"/>
                <w:highlight w:val="none"/>
                <w:lang w:val="en-US"/>
              </w:rPr>
              <w:t>，</w:t>
            </w:r>
            <w:r>
              <w:rPr>
                <w:rFonts w:hint="eastAsia" w:ascii="宋体" w:hAnsi="宋体" w:eastAsia="宋体" w:cs="宋体"/>
                <w:bCs/>
                <w:color w:val="auto"/>
                <w:sz w:val="21"/>
                <w:szCs w:val="21"/>
                <w:highlight w:val="none"/>
              </w:rPr>
              <w:t>支持50W超级快充，支持无线反向充电</w:t>
            </w:r>
            <w:r>
              <w:rPr>
                <w:rFonts w:hint="eastAsia" w:ascii="宋体" w:hAnsi="宋体" w:eastAsia="宋体" w:cs="宋体"/>
                <w:bCs/>
                <w:color w:val="auto"/>
                <w:sz w:val="21"/>
                <w:szCs w:val="21"/>
                <w:highlight w:val="none"/>
                <w:lang w:eastAsia="zh-CN"/>
              </w:rPr>
              <w:t>；</w:t>
            </w:r>
          </w:p>
          <w:p w14:paraId="733BEA48">
            <w:pPr>
              <w:tabs>
                <w:tab w:val="left" w:pos="312"/>
              </w:tabs>
              <w:spacing w:line="360" w:lineRule="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 xml:space="preserve">▲10. </w:t>
            </w:r>
            <w:r>
              <w:rPr>
                <w:rFonts w:hint="eastAsia" w:ascii="宋体" w:hAnsi="宋体" w:eastAsia="宋体" w:cs="宋体"/>
                <w:bCs/>
                <w:color w:val="auto"/>
                <w:sz w:val="21"/>
                <w:szCs w:val="21"/>
                <w:highlight w:val="none"/>
                <w:lang w:val="en-US"/>
              </w:rPr>
              <w:t>支持的</w:t>
            </w:r>
            <w:r>
              <w:rPr>
                <w:rFonts w:hint="eastAsia" w:ascii="宋体" w:hAnsi="宋体" w:eastAsia="宋体" w:cs="宋体"/>
                <w:bCs/>
                <w:color w:val="auto"/>
                <w:sz w:val="21"/>
                <w:szCs w:val="21"/>
                <w:highlight w:val="none"/>
              </w:rPr>
              <w:t>传感器</w:t>
            </w:r>
            <w:r>
              <w:rPr>
                <w:rFonts w:hint="eastAsia" w:ascii="宋体" w:hAnsi="宋体" w:eastAsia="宋体" w:cs="宋体"/>
                <w:bCs/>
                <w:color w:val="auto"/>
                <w:sz w:val="21"/>
                <w:szCs w:val="21"/>
                <w:highlight w:val="none"/>
                <w:lang w:val="en-US"/>
              </w:rPr>
              <w:t>要求</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rPr>
              <w:t>包括但不限于：</w:t>
            </w:r>
            <w:r>
              <w:rPr>
                <w:rFonts w:hint="eastAsia" w:ascii="宋体" w:hAnsi="宋体" w:eastAsia="宋体" w:cs="宋体"/>
                <w:bCs/>
                <w:color w:val="auto"/>
                <w:sz w:val="21"/>
                <w:szCs w:val="21"/>
                <w:highlight w:val="none"/>
                <w:lang w:val="en-US" w:eastAsia="zh-CN"/>
              </w:rPr>
              <w:t>姿态感应器</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重力传感器</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红外传感器、侧边指纹、霍尔传感器、陀螺仪、指南针、环境光传感器、接近光传感器、Camera 激光对焦传感器、色温传感器等</w:t>
            </w:r>
            <w:r>
              <w:rPr>
                <w:rFonts w:hint="eastAsia" w:ascii="宋体" w:hAnsi="宋体" w:eastAsia="宋体" w:cs="宋体"/>
                <w:bCs/>
                <w:color w:val="auto"/>
                <w:sz w:val="21"/>
                <w:szCs w:val="21"/>
                <w:highlight w:val="none"/>
                <w:lang w:eastAsia="zh-CN"/>
              </w:rPr>
              <w:t>；</w:t>
            </w:r>
          </w:p>
          <w:p w14:paraId="2E8220D8">
            <w:pPr>
              <w:numPr>
                <w:ilvl w:val="0"/>
                <w:numId w:val="0"/>
              </w:numPr>
              <w:tabs>
                <w:tab w:val="left" w:pos="3892"/>
              </w:tabs>
              <w:snapToGrid w:val="0"/>
              <w:spacing w:line="360" w:lineRule="auto"/>
              <w:jc w:val="left"/>
              <w:rPr>
                <w:rFonts w:asciiTheme="minorEastAsia" w:hAnsiTheme="minorEastAsia" w:eastAsiaTheme="minorEastAsia" w:cstheme="minorEastAsia"/>
                <w:b/>
                <w:bCs/>
                <w:color w:val="auto"/>
                <w:szCs w:val="21"/>
                <w:highlight w:val="none"/>
              </w:rPr>
            </w:pPr>
            <w:r>
              <w:rPr>
                <w:rFonts w:hint="eastAsia" w:ascii="宋体" w:hAnsi="宋体" w:eastAsia="宋体" w:cs="宋体"/>
                <w:bCs/>
                <w:color w:val="auto"/>
                <w:sz w:val="21"/>
                <w:szCs w:val="21"/>
                <w:highlight w:val="none"/>
              </w:rPr>
              <w:t xml:space="preserve">▲11. </w:t>
            </w:r>
            <w:r>
              <w:rPr>
                <w:rFonts w:hint="eastAsia" w:ascii="宋体" w:hAnsi="宋体" w:eastAsia="宋体" w:cs="宋体"/>
                <w:bCs/>
                <w:color w:val="auto"/>
                <w:sz w:val="21"/>
                <w:szCs w:val="21"/>
                <w:highlight w:val="none"/>
                <w:lang w:val="en-US" w:eastAsia="zh-CN"/>
              </w:rPr>
              <w:t>防水</w:t>
            </w:r>
            <w:r>
              <w:rPr>
                <w:rFonts w:hint="eastAsia" w:ascii="宋体" w:hAnsi="宋体" w:eastAsia="宋体" w:cs="宋体"/>
                <w:bCs/>
                <w:color w:val="auto"/>
                <w:sz w:val="21"/>
                <w:szCs w:val="21"/>
                <w:highlight w:val="none"/>
              </w:rPr>
              <w:t>防尘：</w:t>
            </w:r>
            <w:r>
              <w:rPr>
                <w:rFonts w:hint="eastAsia" w:ascii="宋体" w:hAnsi="宋体" w:eastAsia="宋体" w:cs="宋体"/>
                <w:bCs/>
                <w:color w:val="auto"/>
                <w:sz w:val="21"/>
                <w:szCs w:val="21"/>
                <w:highlight w:val="none"/>
                <w:lang w:val="en-US"/>
              </w:rPr>
              <w:t>具备或优于防水防尘</w:t>
            </w:r>
            <w:r>
              <w:rPr>
                <w:rFonts w:hint="eastAsia" w:ascii="宋体" w:hAnsi="宋体" w:eastAsia="宋体" w:cs="宋体"/>
                <w:bCs/>
                <w:color w:val="auto"/>
                <w:sz w:val="21"/>
                <w:szCs w:val="21"/>
                <w:highlight w:val="none"/>
              </w:rPr>
              <w:t>IP68</w:t>
            </w:r>
            <w:r>
              <w:rPr>
                <w:rFonts w:hint="eastAsia" w:ascii="宋体" w:hAnsi="宋体" w:eastAsia="宋体" w:cs="宋体"/>
                <w:bCs/>
                <w:color w:val="auto"/>
                <w:sz w:val="21"/>
                <w:szCs w:val="21"/>
                <w:highlight w:val="none"/>
                <w:lang w:val="en-US"/>
              </w:rPr>
              <w:t>等级标准</w:t>
            </w:r>
            <w:r>
              <w:rPr>
                <w:rFonts w:hint="eastAsia" w:ascii="宋体" w:hAnsi="宋体" w:eastAsia="宋体" w:cs="宋体"/>
                <w:bCs/>
                <w:color w:val="auto"/>
                <w:sz w:val="21"/>
                <w:szCs w:val="21"/>
                <w:highlight w:val="none"/>
              </w:rPr>
              <w:t>。</w:t>
            </w:r>
          </w:p>
          <w:p w14:paraId="6E934311">
            <w:pPr>
              <w:numPr>
                <w:ilvl w:val="0"/>
                <w:numId w:val="0"/>
              </w:numPr>
              <w:tabs>
                <w:tab w:val="left" w:pos="3892"/>
              </w:tabs>
              <w:snapToGrid w:val="0"/>
              <w:spacing w:line="360" w:lineRule="auto"/>
              <w:jc w:val="left"/>
              <w:rPr>
                <w:rFonts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lang w:val="en-US" w:eastAsia="zh-CN"/>
              </w:rPr>
              <w:t>四、</w:t>
            </w:r>
            <w:r>
              <w:rPr>
                <w:rFonts w:hint="eastAsia" w:asciiTheme="minorEastAsia" w:hAnsiTheme="minorEastAsia" w:eastAsiaTheme="minorEastAsia" w:cstheme="minorEastAsia"/>
                <w:b/>
                <w:bCs/>
                <w:color w:val="auto"/>
                <w:szCs w:val="21"/>
                <w:highlight w:val="none"/>
              </w:rPr>
              <w:t>移动警务终端加密证书服务</w:t>
            </w:r>
          </w:p>
          <w:p w14:paraId="693830EB">
            <w:pPr>
              <w:tabs>
                <w:tab w:val="left" w:pos="3892"/>
              </w:tabs>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1.提供7*24小时响应用户电话咨询服务，及时响应并解决问题或给出合理的意见与建议；</w:t>
            </w:r>
          </w:p>
          <w:p w14:paraId="136F9D9B">
            <w:pPr>
              <w:tabs>
                <w:tab w:val="left" w:pos="3892"/>
              </w:tabs>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2.在终端遗失时，提供广西壮族自治区公安厅警务终端管控及应用适配目录内的同等级终端购买途径；</w:t>
            </w:r>
          </w:p>
          <w:p w14:paraId="48F2620A">
            <w:pPr>
              <w:tabs>
                <w:tab w:val="left" w:pos="3892"/>
              </w:tabs>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3.整机保修服务：提供1年中国手机三包法规定的标准保修服务。</w:t>
            </w:r>
          </w:p>
          <w:p w14:paraId="7493357F">
            <w:pPr>
              <w:tabs>
                <w:tab w:val="left" w:pos="3892"/>
              </w:tabs>
              <w:snapToGrid w:val="0"/>
              <w:spacing w:line="360" w:lineRule="auto"/>
              <w:jc w:val="left"/>
              <w:rPr>
                <w:rFonts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Cs/>
                <w:color w:val="auto"/>
                <w:szCs w:val="21"/>
                <w:highlight w:val="none"/>
              </w:rPr>
              <w:t>▲</w:t>
            </w:r>
            <w:r>
              <w:rPr>
                <w:rFonts w:hint="eastAsia" w:asciiTheme="minorEastAsia" w:hAnsiTheme="minorEastAsia" w:eastAsiaTheme="minorEastAsia" w:cstheme="minorEastAsia"/>
                <w:b/>
                <w:bCs/>
                <w:color w:val="auto"/>
                <w:szCs w:val="21"/>
                <w:highlight w:val="none"/>
              </w:rPr>
              <w:t>五、流量服务</w:t>
            </w:r>
          </w:p>
          <w:p w14:paraId="15B0A3AE">
            <w:pPr>
              <w:tabs>
                <w:tab w:val="left" w:pos="3892"/>
              </w:tabs>
              <w:snapToGrid w:val="0"/>
              <w:spacing w:line="360" w:lineRule="auto"/>
              <w:jc w:val="left"/>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rPr>
              <w:t>1.基础数据流量服务：提供本项目基础数据流量服务，用于满足采购人日常使用移动办公办案所需，提供不少于511人（或根据采购人最终实际需求数量来定）每月数据流量服务不少于320G流量/人（国内120G加区内200G），提供不少于2000分钟/人的国内通话服务</w:t>
            </w:r>
            <w:r>
              <w:rPr>
                <w:rFonts w:hint="eastAsia" w:asciiTheme="minorEastAsia" w:hAnsiTheme="minorEastAsia" w:eastAsiaTheme="minorEastAsia" w:cstheme="minorEastAsia"/>
                <w:color w:val="auto"/>
                <w:szCs w:val="21"/>
                <w:highlight w:val="none"/>
                <w:lang w:eastAsia="zh-CN"/>
              </w:rPr>
              <w:t>，</w:t>
            </w:r>
            <w:r>
              <w:rPr>
                <w:rFonts w:hint="eastAsia" w:ascii="宋体" w:hAnsi="宋体" w:eastAsia="宋体" w:cs="宋体"/>
                <w:color w:val="auto"/>
                <w:sz w:val="21"/>
                <w:szCs w:val="21"/>
                <w:highlight w:val="none"/>
              </w:rPr>
              <w:t>提供集团内不少于2000分钟/人通话服务</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提供短信</w:t>
            </w:r>
            <w:r>
              <w:rPr>
                <w:rFonts w:hint="eastAsia" w:ascii="宋体" w:hAnsi="宋体" w:eastAsia="宋体" w:cs="宋体"/>
                <w:color w:val="auto"/>
                <w:sz w:val="21"/>
                <w:szCs w:val="21"/>
                <w:highlight w:val="none"/>
              </w:rPr>
              <w:t>不少于</w:t>
            </w:r>
            <w:r>
              <w:rPr>
                <w:rFonts w:hint="eastAsia" w:ascii="宋体" w:hAnsi="宋体" w:cs="宋体"/>
                <w:color w:val="auto"/>
                <w:sz w:val="21"/>
                <w:szCs w:val="21"/>
                <w:highlight w:val="none"/>
                <w:lang w:val="en-US" w:eastAsia="zh-CN"/>
              </w:rPr>
              <w:t>200条</w:t>
            </w:r>
            <w:r>
              <w:rPr>
                <w:rFonts w:hint="eastAsia" w:ascii="宋体" w:hAnsi="宋体" w:eastAsia="宋体" w:cs="宋体"/>
                <w:color w:val="auto"/>
                <w:sz w:val="21"/>
                <w:szCs w:val="21"/>
                <w:highlight w:val="none"/>
              </w:rPr>
              <w:t>/人。</w:t>
            </w:r>
          </w:p>
          <w:p w14:paraId="0EC34780">
            <w:pPr>
              <w:tabs>
                <w:tab w:val="left" w:pos="3892"/>
              </w:tabs>
              <w:snapToGrid w:val="0"/>
              <w:spacing w:line="360" w:lineRule="auto"/>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2.普通工作系统与安全工作系统可共用数据服务。</w:t>
            </w:r>
          </w:p>
          <w:p w14:paraId="2E6C21FA">
            <w:pPr>
              <w:tabs>
                <w:tab w:val="left" w:pos="3892"/>
              </w:tabs>
              <w:snapToGrid w:val="0"/>
              <w:spacing w:line="360" w:lineRule="auto"/>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3.提供所有硬件设备的基础通信服务的开卡和入网服务。</w:t>
            </w:r>
          </w:p>
        </w:tc>
      </w:tr>
      <w:tr w14:paraId="144A31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8" w:hRule="atLeast"/>
          <w:jc w:val="center"/>
        </w:trPr>
        <w:tc>
          <w:tcPr>
            <w:tcW w:w="9511" w:type="dxa"/>
            <w:gridSpan w:val="4"/>
            <w:vAlign w:val="center"/>
          </w:tcPr>
          <w:p w14:paraId="3EEEBC9F">
            <w:pPr>
              <w:pStyle w:val="18"/>
              <w:tabs>
                <w:tab w:val="left" w:pos="3892"/>
              </w:tabs>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二、商务要求表</w:t>
            </w:r>
          </w:p>
        </w:tc>
      </w:tr>
      <w:tr w14:paraId="6CB054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8" w:hRule="atLeast"/>
          <w:jc w:val="center"/>
        </w:trPr>
        <w:tc>
          <w:tcPr>
            <w:tcW w:w="1990" w:type="dxa"/>
            <w:gridSpan w:val="2"/>
            <w:tcBorders>
              <w:right w:val="single" w:color="auto" w:sz="4" w:space="0"/>
            </w:tcBorders>
            <w:vAlign w:val="center"/>
          </w:tcPr>
          <w:p w14:paraId="0DA74A2F">
            <w:pPr>
              <w:tabs>
                <w:tab w:val="left" w:pos="3892"/>
              </w:tabs>
              <w:autoSpaceDE w:val="0"/>
              <w:autoSpaceDN w:val="0"/>
              <w:spacing w:line="36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基本要求</w:t>
            </w:r>
          </w:p>
        </w:tc>
        <w:tc>
          <w:tcPr>
            <w:tcW w:w="7521" w:type="dxa"/>
            <w:gridSpan w:val="2"/>
            <w:tcBorders>
              <w:left w:val="single" w:color="auto" w:sz="4" w:space="0"/>
            </w:tcBorders>
          </w:tcPr>
          <w:p w14:paraId="37113D98">
            <w:pPr>
              <w:tabs>
                <w:tab w:val="left" w:pos="3892"/>
              </w:tabs>
              <w:autoSpaceDE w:val="0"/>
              <w:autoSpaceDN w:val="0"/>
              <w:spacing w:line="36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1、服务期限：自签订合同签订之日起2年。</w:t>
            </w:r>
          </w:p>
          <w:p w14:paraId="1C6A3704">
            <w:pPr>
              <w:tabs>
                <w:tab w:val="left" w:pos="3892"/>
              </w:tabs>
              <w:autoSpaceDE w:val="0"/>
              <w:autoSpaceDN w:val="0"/>
              <w:spacing w:line="36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2、提交服务成果时间：自签订合同之日起30个工作日内提供服务所涉及的全部硬件设备交货、安装调试完毕，所有服务内容必须提交使用。</w:t>
            </w:r>
          </w:p>
          <w:p w14:paraId="12941338">
            <w:pPr>
              <w:tabs>
                <w:tab w:val="left" w:pos="3892"/>
              </w:tabs>
              <w:autoSpaceDE w:val="0"/>
              <w:autoSpaceDN w:val="0"/>
              <w:spacing w:line="36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3、服务成果地点：采购人指定地点。</w:t>
            </w:r>
          </w:p>
          <w:p w14:paraId="57A2EC3F">
            <w:pPr>
              <w:tabs>
                <w:tab w:val="left" w:pos="3892"/>
              </w:tabs>
              <w:autoSpaceDE w:val="0"/>
              <w:autoSpaceDN w:val="0"/>
              <w:spacing w:line="36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4、合同签订时间：自中标通知书发出之日起25个日历天内。</w:t>
            </w:r>
          </w:p>
        </w:tc>
      </w:tr>
      <w:tr w14:paraId="243D68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8" w:hRule="atLeast"/>
          <w:jc w:val="center"/>
        </w:trPr>
        <w:tc>
          <w:tcPr>
            <w:tcW w:w="1990" w:type="dxa"/>
            <w:gridSpan w:val="2"/>
            <w:tcBorders>
              <w:right w:val="single" w:color="auto" w:sz="4" w:space="0"/>
            </w:tcBorders>
            <w:vAlign w:val="center"/>
          </w:tcPr>
          <w:p w14:paraId="6E43F67D">
            <w:pPr>
              <w:pStyle w:val="2"/>
              <w:tabs>
                <w:tab w:val="left" w:pos="3892"/>
              </w:tabs>
              <w:spacing w:line="360" w:lineRule="exact"/>
              <w:ind w:firstLine="0" w:firstLineChars="0"/>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付款条件</w:t>
            </w:r>
          </w:p>
        </w:tc>
        <w:tc>
          <w:tcPr>
            <w:tcW w:w="7521" w:type="dxa"/>
            <w:gridSpan w:val="2"/>
            <w:tcBorders>
              <w:left w:val="single" w:color="auto" w:sz="4" w:space="0"/>
            </w:tcBorders>
          </w:tcPr>
          <w:p w14:paraId="67AD2A50">
            <w:pPr>
              <w:pStyle w:val="2"/>
              <w:tabs>
                <w:tab w:val="left" w:pos="3892"/>
              </w:tabs>
              <w:ind w:firstLine="0" w:firstLineChars="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付款方式：</w:t>
            </w:r>
          </w:p>
          <w:p w14:paraId="2E2C7ACE">
            <w:pPr>
              <w:pStyle w:val="2"/>
              <w:tabs>
                <w:tab w:val="left" w:pos="3892"/>
              </w:tabs>
              <w:ind w:firstLine="0" w:firstLineChars="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1、验收后付合同总金额的32%，12个月内支付合同总金额的35%，其余合同总金额的33%按照23个月平均支付。</w:t>
            </w:r>
          </w:p>
          <w:p w14:paraId="68AD7A33">
            <w:pPr>
              <w:pStyle w:val="2"/>
              <w:tabs>
                <w:tab w:val="left" w:pos="3892"/>
              </w:tabs>
              <w:ind w:firstLine="0" w:firstLineChars="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2、交警支队部分费用:由交警支队根据实际使用量向中标人支付。</w:t>
            </w:r>
          </w:p>
        </w:tc>
      </w:tr>
      <w:tr w14:paraId="781C64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8" w:hRule="atLeast"/>
          <w:jc w:val="center"/>
        </w:trPr>
        <w:tc>
          <w:tcPr>
            <w:tcW w:w="1990" w:type="dxa"/>
            <w:gridSpan w:val="2"/>
            <w:tcBorders>
              <w:right w:val="single" w:color="auto" w:sz="4" w:space="0"/>
            </w:tcBorders>
            <w:vAlign w:val="center"/>
          </w:tcPr>
          <w:p w14:paraId="355B2937">
            <w:pPr>
              <w:pStyle w:val="2"/>
              <w:tabs>
                <w:tab w:val="left" w:pos="3892"/>
              </w:tabs>
              <w:spacing w:line="360" w:lineRule="exact"/>
              <w:ind w:firstLine="0" w:firstLineChars="0"/>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服务响应要求</w:t>
            </w:r>
          </w:p>
        </w:tc>
        <w:tc>
          <w:tcPr>
            <w:tcW w:w="7521" w:type="dxa"/>
            <w:gridSpan w:val="2"/>
            <w:tcBorders>
              <w:left w:val="single" w:color="auto" w:sz="4" w:space="0"/>
            </w:tcBorders>
          </w:tcPr>
          <w:p w14:paraId="1A9F6956">
            <w:pPr>
              <w:pStyle w:val="2"/>
              <w:tabs>
                <w:tab w:val="left" w:pos="3892"/>
              </w:tabs>
              <w:spacing w:line="360" w:lineRule="exact"/>
              <w:ind w:firstLine="0" w:firstLineChars="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1、投标人须对项目进行报价,报价已含括：</w:t>
            </w:r>
          </w:p>
          <w:p w14:paraId="295FDB90">
            <w:pPr>
              <w:pStyle w:val="2"/>
              <w:tabs>
                <w:tab w:val="left" w:pos="3892"/>
              </w:tabs>
              <w:spacing w:line="360" w:lineRule="exact"/>
              <w:ind w:firstLine="0" w:firstLineChars="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1）项目整体服务的价格；</w:t>
            </w:r>
          </w:p>
          <w:p w14:paraId="53E7AC92">
            <w:pPr>
              <w:pStyle w:val="2"/>
              <w:tabs>
                <w:tab w:val="left" w:pos="3892"/>
              </w:tabs>
              <w:spacing w:line="360" w:lineRule="exact"/>
              <w:ind w:firstLine="0" w:firstLineChars="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2）必要的保险费用和各项税金；</w:t>
            </w:r>
          </w:p>
          <w:p w14:paraId="678A5866">
            <w:pPr>
              <w:pStyle w:val="2"/>
              <w:tabs>
                <w:tab w:val="left" w:pos="3892"/>
              </w:tabs>
              <w:spacing w:line="360" w:lineRule="exact"/>
              <w:ind w:firstLine="0" w:firstLineChars="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3）安装、调试、培训、技术支持、售后服务、更新升级等等费用；</w:t>
            </w:r>
          </w:p>
          <w:p w14:paraId="0106FFCF">
            <w:pPr>
              <w:pStyle w:val="2"/>
              <w:tabs>
                <w:tab w:val="left" w:pos="3892"/>
              </w:tabs>
              <w:spacing w:line="360" w:lineRule="exact"/>
              <w:ind w:firstLine="0" w:firstLineChars="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4）项目验收产生的费用；</w:t>
            </w:r>
          </w:p>
          <w:p w14:paraId="4DAAF344">
            <w:pPr>
              <w:pStyle w:val="2"/>
              <w:tabs>
                <w:tab w:val="left" w:pos="3892"/>
              </w:tabs>
              <w:spacing w:line="360" w:lineRule="exact"/>
              <w:ind w:firstLine="0" w:firstLineChars="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5）日常维护及售后服务的费用。</w:t>
            </w:r>
          </w:p>
          <w:p w14:paraId="01F17C39">
            <w:pPr>
              <w:pStyle w:val="2"/>
              <w:tabs>
                <w:tab w:val="left" w:pos="3892"/>
              </w:tabs>
              <w:spacing w:line="360" w:lineRule="exact"/>
              <w:ind w:firstLine="0" w:firstLineChars="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▲2、投标人投标时必须提供详细的项目实施方案、保密承诺等，否则投标无效。</w:t>
            </w:r>
          </w:p>
          <w:p w14:paraId="58572965">
            <w:pPr>
              <w:pStyle w:val="2"/>
              <w:tabs>
                <w:tab w:val="left" w:pos="3892"/>
              </w:tabs>
              <w:spacing w:line="360" w:lineRule="exact"/>
              <w:ind w:firstLine="0" w:firstLineChars="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3、投标人须承诺成交后提供7*24小时技术支持电话服务，并提供售后服务承诺书。</w:t>
            </w:r>
          </w:p>
          <w:p w14:paraId="442A5432">
            <w:pPr>
              <w:pStyle w:val="2"/>
              <w:tabs>
                <w:tab w:val="left" w:pos="3892"/>
              </w:tabs>
              <w:spacing w:line="360" w:lineRule="exact"/>
              <w:ind w:firstLine="0" w:firstLineChars="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4、投标人须承诺成交后提供针对本项目有效的干系人列表（包括：运营商客户经理和技术接口人及联系电话清单、指定售后服务机构、工作日服务时间及售后服务联系人联系电话清单）。</w:t>
            </w:r>
          </w:p>
          <w:p w14:paraId="3E446074">
            <w:pPr>
              <w:pStyle w:val="2"/>
              <w:tabs>
                <w:tab w:val="left" w:pos="3892"/>
              </w:tabs>
              <w:spacing w:line="360" w:lineRule="exact"/>
              <w:ind w:firstLine="0" w:firstLineChars="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移动办公办案硬件设备的服务质量保证期：1年。如因质量问题或故障，由指定售后服务机构办理检测手续，凭厂商维修中心或特约维修点的质量检测证明，10日内更换服务，15日以上在质保期内享受免费保修等三包服务。</w:t>
            </w:r>
          </w:p>
          <w:p w14:paraId="5B3CBF52">
            <w:pPr>
              <w:pStyle w:val="2"/>
              <w:tabs>
                <w:tab w:val="left" w:pos="3892"/>
              </w:tabs>
              <w:spacing w:line="360" w:lineRule="exact"/>
              <w:ind w:firstLine="0" w:firstLineChars="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▲6、移动办公办案流量服务在满1年的硬件设备服务质量保证期后，但仍在本次服务合同范围内，如移动办公办案硬件设备出现故障，中标人须提供成本价的维修服务。</w:t>
            </w:r>
          </w:p>
          <w:p w14:paraId="2B9FE9EE">
            <w:pPr>
              <w:pStyle w:val="2"/>
              <w:tabs>
                <w:tab w:val="left" w:pos="3892"/>
              </w:tabs>
              <w:spacing w:line="360" w:lineRule="exact"/>
              <w:ind w:firstLine="0" w:firstLineChars="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7、如采购单位有人员退休，采购单位每月每人在原有流量套餐基础减免35元价格。</w:t>
            </w:r>
          </w:p>
          <w:p w14:paraId="109AFD51">
            <w:pPr>
              <w:pStyle w:val="2"/>
              <w:tabs>
                <w:tab w:val="left" w:pos="3892"/>
              </w:tabs>
              <w:spacing w:line="360" w:lineRule="exact"/>
              <w:ind w:firstLine="0" w:firstLineChars="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8、中标人在提供服务过程中，对所接触到的所有信息负有保密义务，并签署相关保密协议，如因服务商原因造成的信息泄露事件，采购单位可追究其责任。</w:t>
            </w:r>
          </w:p>
          <w:p w14:paraId="11BADF14">
            <w:pPr>
              <w:pStyle w:val="2"/>
              <w:tabs>
                <w:tab w:val="left" w:pos="3892"/>
              </w:tabs>
              <w:spacing w:line="360" w:lineRule="exact"/>
              <w:ind w:firstLine="0" w:firstLineChars="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9、因中标人施工、网络割接等原因影响移动办公办案终端应用的基础数据流量服务运行的，须至少提前2个工作日通知采购单位，并且尽快消除故障、恢复通信线路。</w:t>
            </w:r>
          </w:p>
          <w:p w14:paraId="25B3CBB9">
            <w:pPr>
              <w:pStyle w:val="2"/>
              <w:tabs>
                <w:tab w:val="left" w:pos="3892"/>
              </w:tabs>
              <w:spacing w:line="360" w:lineRule="exact"/>
              <w:ind w:firstLine="0" w:firstLineChars="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10、交警支队部分：</w:t>
            </w:r>
          </w:p>
          <w:p w14:paraId="64A9C237">
            <w:pPr>
              <w:pStyle w:val="2"/>
              <w:numPr>
                <w:ilvl w:val="255"/>
                <w:numId w:val="0"/>
              </w:numPr>
              <w:tabs>
                <w:tab w:val="left" w:pos="3892"/>
              </w:tabs>
              <w:spacing w:line="360" w:lineRule="exac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中标人与交警支队另行签订合同，费用由交警支队另行单独支付。</w:t>
            </w:r>
          </w:p>
          <w:p w14:paraId="10C75D1E">
            <w:pPr>
              <w:pStyle w:val="2"/>
              <w:numPr>
                <w:ilvl w:val="255"/>
                <w:numId w:val="0"/>
              </w:numPr>
              <w:tabs>
                <w:tab w:val="left" w:pos="3892"/>
              </w:tabs>
              <w:spacing w:line="360" w:lineRule="exac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预算金额：</w:t>
            </w:r>
            <w:r>
              <w:rPr>
                <w:rFonts w:hint="eastAsia" w:asciiTheme="minorEastAsia" w:hAnsiTheme="minorEastAsia" w:eastAsiaTheme="minorEastAsia" w:cstheme="minorEastAsia"/>
                <w:color w:val="auto"/>
                <w:sz w:val="21"/>
                <w:szCs w:val="21"/>
                <w:highlight w:val="none"/>
                <w:lang w:val="en-US" w:eastAsia="zh-CN"/>
              </w:rPr>
              <w:t>壹拾万零玖仟伍佰伍拾元整（¥</w:t>
            </w:r>
            <w:r>
              <w:rPr>
                <w:rFonts w:hint="eastAsia" w:asciiTheme="minorEastAsia" w:hAnsiTheme="minorEastAsia" w:eastAsiaTheme="minorEastAsia" w:cstheme="minorEastAsia"/>
                <w:color w:val="auto"/>
                <w:sz w:val="21"/>
                <w:szCs w:val="21"/>
                <w:highlight w:val="none"/>
              </w:rPr>
              <w:t>109550.00</w:t>
            </w:r>
            <w:r>
              <w:rPr>
                <w:rFonts w:hint="eastAsia" w:asciiTheme="minorEastAsia" w:hAnsiTheme="minorEastAsia" w:eastAsiaTheme="minorEastAsia" w:cstheme="minorEastAsia"/>
                <w:color w:val="auto"/>
                <w:sz w:val="21"/>
                <w:szCs w:val="21"/>
                <w:highlight w:val="none"/>
                <w:lang w:val="en-US" w:eastAsia="zh-CN"/>
              </w:rPr>
              <w:t>）</w:t>
            </w:r>
          </w:p>
        </w:tc>
      </w:tr>
      <w:tr w14:paraId="1BFA75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8" w:hRule="atLeast"/>
          <w:jc w:val="center"/>
        </w:trPr>
        <w:tc>
          <w:tcPr>
            <w:tcW w:w="1990" w:type="dxa"/>
            <w:gridSpan w:val="2"/>
            <w:tcBorders>
              <w:right w:val="single" w:color="auto" w:sz="4" w:space="0"/>
            </w:tcBorders>
            <w:vAlign w:val="center"/>
          </w:tcPr>
          <w:p w14:paraId="1E0B8BF2">
            <w:pPr>
              <w:pStyle w:val="2"/>
              <w:tabs>
                <w:tab w:val="left" w:pos="3892"/>
              </w:tabs>
              <w:spacing w:line="360" w:lineRule="exact"/>
              <w:ind w:firstLine="0" w:firstLineChars="0"/>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其他要求</w:t>
            </w:r>
          </w:p>
        </w:tc>
        <w:tc>
          <w:tcPr>
            <w:tcW w:w="7521" w:type="dxa"/>
            <w:gridSpan w:val="2"/>
            <w:tcBorders>
              <w:left w:val="single" w:color="auto" w:sz="4" w:space="0"/>
            </w:tcBorders>
          </w:tcPr>
          <w:p w14:paraId="10175729">
            <w:pPr>
              <w:pStyle w:val="2"/>
              <w:tabs>
                <w:tab w:val="left" w:pos="3892"/>
              </w:tabs>
              <w:spacing w:line="360" w:lineRule="exact"/>
              <w:ind w:firstLine="0" w:firstLineChars="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1、投标人应当保证其所提供服务包含的所有软硬件产品为符合国家知识产权法律法规要求的国产正规正版产品。</w:t>
            </w:r>
          </w:p>
          <w:p w14:paraId="6979BA54">
            <w:pPr>
              <w:pStyle w:val="2"/>
              <w:tabs>
                <w:tab w:val="left" w:pos="3892"/>
              </w:tabs>
              <w:spacing w:line="360" w:lineRule="exact"/>
              <w:ind w:firstLine="0" w:firstLineChars="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2、中标人提供的服务产品如果与投标时承诺的服务产品不相符，采购单位有权中止合同，并没收其质量保证金。</w:t>
            </w:r>
          </w:p>
          <w:p w14:paraId="69BF204F">
            <w:pPr>
              <w:pStyle w:val="2"/>
              <w:tabs>
                <w:tab w:val="left" w:pos="3892"/>
              </w:tabs>
              <w:spacing w:line="360" w:lineRule="exact"/>
              <w:ind w:firstLine="0" w:firstLineChars="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▲3、投标人须在投标文件中附上《廉洁承诺书》，做出不向采购单位工作人员行贿的承诺。未在投标文件中附上《廉洁承诺书》的视为投标无效。</w:t>
            </w:r>
          </w:p>
          <w:p w14:paraId="325136DD">
            <w:pPr>
              <w:pStyle w:val="2"/>
              <w:tabs>
                <w:tab w:val="left" w:pos="3892"/>
              </w:tabs>
              <w:spacing w:line="360" w:lineRule="exact"/>
              <w:ind w:firstLine="0" w:firstLineChars="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4、为保证项目的顺利实施，要求投标人在投标文件中提供项目实施方案、售后服务方案等内容。</w:t>
            </w:r>
          </w:p>
          <w:p w14:paraId="3680C01C">
            <w:pPr>
              <w:pStyle w:val="2"/>
              <w:tabs>
                <w:tab w:val="left" w:pos="3892"/>
              </w:tabs>
              <w:spacing w:line="360" w:lineRule="exact"/>
              <w:ind w:firstLine="0" w:firstLineChars="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5、特别说明：本次招标是仅针对市公安局警务通流量采购。招标要求中提及的交警支队采取“统招分签”的方式，作为指导交警支队签定合同的标准和依据。</w:t>
            </w:r>
          </w:p>
        </w:tc>
      </w:tr>
    </w:tbl>
    <w:p w14:paraId="4E720757">
      <w:pPr>
        <w:tabs>
          <w:tab w:val="left" w:pos="3892"/>
        </w:tabs>
        <w:snapToGrid w:val="0"/>
        <w:jc w:val="center"/>
        <w:rPr>
          <w:rFonts w:asciiTheme="minorEastAsia" w:hAnsiTheme="minorEastAsia" w:eastAsiaTheme="minorEastAsia" w:cstheme="minorEastAsia"/>
          <w:color w:val="auto"/>
          <w:szCs w:val="21"/>
          <w:highlight w:val="none"/>
        </w:rPr>
      </w:pPr>
    </w:p>
    <w:p w14:paraId="6C7A7926">
      <w:pPr>
        <w:tabs>
          <w:tab w:val="left" w:pos="3892"/>
        </w:tabs>
        <w:ind w:firstLine="400"/>
        <w:rPr>
          <w:rFonts w:asciiTheme="minorEastAsia" w:hAnsiTheme="minorEastAsia" w:eastAsiaTheme="minorEastAsia" w:cstheme="minorEastAsia"/>
          <w:color w:val="auto"/>
          <w:szCs w:val="21"/>
          <w:highlight w:val="none"/>
        </w:rPr>
      </w:pPr>
    </w:p>
    <w:p w14:paraId="7DC36222">
      <w:pPr>
        <w:spacing w:line="360" w:lineRule="auto"/>
        <w:jc w:val="left"/>
        <w:rPr>
          <w:rFonts w:ascii="宋体" w:hAnsi="宋体" w:cs="宋体"/>
          <w:color w:val="auto"/>
          <w:szCs w:val="21"/>
          <w:highlight w:val="none"/>
        </w:rPr>
      </w:pPr>
    </w:p>
    <w:bookmarkEnd w:id="45"/>
    <w:bookmarkEnd w:id="46"/>
    <w:p w14:paraId="519AEE2B">
      <w:pPr>
        <w:rPr>
          <w:color w:val="auto"/>
          <w:highlight w:val="none"/>
        </w:rPr>
      </w:pPr>
    </w:p>
    <w:p w14:paraId="02FD14F3">
      <w:pPr>
        <w:pStyle w:val="26"/>
        <w:jc w:val="left"/>
        <w:rPr>
          <w:rFonts w:hAnsi="宋体" w:cs="宋体"/>
          <w:color w:val="auto"/>
          <w:sz w:val="32"/>
          <w:szCs w:val="32"/>
          <w:highlight w:val="none"/>
        </w:rPr>
      </w:pPr>
      <w:r>
        <w:rPr>
          <w:rFonts w:hint="eastAsia" w:hAnsi="宋体" w:cs="宋体"/>
          <w:color w:val="auto"/>
          <w:sz w:val="32"/>
          <w:szCs w:val="32"/>
          <w:highlight w:val="none"/>
        </w:rPr>
        <w:t>附件1：</w:t>
      </w:r>
    </w:p>
    <w:p w14:paraId="4B1E5226">
      <w:pPr>
        <w:spacing w:line="528" w:lineRule="exact"/>
        <w:ind w:left="1871"/>
        <w:rPr>
          <w:rFonts w:ascii="宋体" w:hAnsi="宋体" w:cs="宋体"/>
          <w:color w:val="auto"/>
          <w:sz w:val="40"/>
          <w:szCs w:val="40"/>
          <w:highlight w:val="none"/>
        </w:rPr>
      </w:pPr>
      <w:r>
        <w:rPr>
          <w:rFonts w:hint="eastAsia" w:ascii="宋体" w:hAnsi="宋体" w:cs="宋体"/>
          <w:color w:val="auto"/>
          <w:sz w:val="40"/>
          <w:szCs w:val="40"/>
          <w:highlight w:val="none"/>
        </w:rPr>
        <w:t>中小微企业划型标准</w:t>
      </w:r>
    </w:p>
    <w:tbl>
      <w:tblPr>
        <w:tblStyle w:val="48"/>
        <w:tblW w:w="7980" w:type="dxa"/>
        <w:jc w:val="center"/>
        <w:tblLayout w:type="fixed"/>
        <w:tblCellMar>
          <w:top w:w="0" w:type="dxa"/>
          <w:left w:w="108" w:type="dxa"/>
          <w:bottom w:w="0" w:type="dxa"/>
          <w:right w:w="108" w:type="dxa"/>
        </w:tblCellMar>
      </w:tblPr>
      <w:tblGrid>
        <w:gridCol w:w="1701"/>
        <w:gridCol w:w="1383"/>
        <w:gridCol w:w="913"/>
        <w:gridCol w:w="1619"/>
        <w:gridCol w:w="1439"/>
        <w:gridCol w:w="925"/>
      </w:tblGrid>
      <w:tr w14:paraId="6DE4CE79">
        <w:tblPrEx>
          <w:tblCellMar>
            <w:top w:w="0" w:type="dxa"/>
            <w:left w:w="108" w:type="dxa"/>
            <w:bottom w:w="0" w:type="dxa"/>
            <w:right w:w="108" w:type="dxa"/>
          </w:tblCellMar>
        </w:tblPrEx>
        <w:trPr>
          <w:trHeight w:val="285" w:hRule="atLeast"/>
          <w:jc w:val="center"/>
        </w:trPr>
        <w:tc>
          <w:tcPr>
            <w:tcW w:w="1701" w:type="dxa"/>
            <w:tcBorders>
              <w:top w:val="single" w:color="auto" w:sz="4" w:space="0"/>
              <w:left w:val="single" w:color="auto" w:sz="4" w:space="0"/>
              <w:bottom w:val="single" w:color="auto" w:sz="4" w:space="0"/>
              <w:right w:val="single" w:color="auto" w:sz="4" w:space="0"/>
            </w:tcBorders>
            <w:noWrap/>
            <w:vAlign w:val="center"/>
          </w:tcPr>
          <w:p w14:paraId="10C10B44">
            <w:pPr>
              <w:widowControl/>
              <w:jc w:val="left"/>
              <w:rPr>
                <w:rFonts w:ascii="宋体" w:hAnsi="宋体" w:cs="宋体"/>
                <w:b/>
                <w:color w:val="auto"/>
                <w:kern w:val="0"/>
                <w:sz w:val="24"/>
                <w:highlight w:val="none"/>
              </w:rPr>
            </w:pPr>
            <w:r>
              <w:rPr>
                <w:rFonts w:hint="eastAsia" w:ascii="宋体" w:hAnsi="宋体" w:cs="宋体"/>
                <w:b/>
                <w:color w:val="auto"/>
                <w:kern w:val="0"/>
                <w:sz w:val="24"/>
                <w:highlight w:val="none"/>
              </w:rPr>
              <w:t>行业名称</w:t>
            </w:r>
          </w:p>
        </w:tc>
        <w:tc>
          <w:tcPr>
            <w:tcW w:w="1383" w:type="dxa"/>
            <w:tcBorders>
              <w:top w:val="single" w:color="auto" w:sz="4" w:space="0"/>
              <w:left w:val="nil"/>
              <w:bottom w:val="single" w:color="auto" w:sz="4" w:space="0"/>
              <w:right w:val="single" w:color="auto" w:sz="4" w:space="0"/>
            </w:tcBorders>
            <w:noWrap/>
            <w:vAlign w:val="center"/>
          </w:tcPr>
          <w:p w14:paraId="42432D2B">
            <w:pPr>
              <w:widowControl/>
              <w:jc w:val="left"/>
              <w:rPr>
                <w:rFonts w:ascii="宋体" w:hAnsi="宋体" w:cs="宋体"/>
                <w:b/>
                <w:color w:val="auto"/>
                <w:kern w:val="0"/>
                <w:sz w:val="24"/>
                <w:highlight w:val="none"/>
              </w:rPr>
            </w:pPr>
            <w:r>
              <w:rPr>
                <w:rFonts w:hint="eastAsia" w:ascii="宋体" w:hAnsi="宋体" w:cs="宋体"/>
                <w:b/>
                <w:color w:val="auto"/>
                <w:kern w:val="0"/>
                <w:sz w:val="24"/>
                <w:highlight w:val="none"/>
              </w:rPr>
              <w:t>指标名称</w:t>
            </w:r>
          </w:p>
        </w:tc>
        <w:tc>
          <w:tcPr>
            <w:tcW w:w="913" w:type="dxa"/>
            <w:tcBorders>
              <w:top w:val="single" w:color="auto" w:sz="4" w:space="0"/>
              <w:left w:val="nil"/>
              <w:bottom w:val="single" w:color="auto" w:sz="4" w:space="0"/>
              <w:right w:val="single" w:color="auto" w:sz="4" w:space="0"/>
            </w:tcBorders>
            <w:noWrap/>
            <w:vAlign w:val="center"/>
          </w:tcPr>
          <w:p w14:paraId="1DC36BCF">
            <w:pPr>
              <w:widowControl/>
              <w:jc w:val="left"/>
              <w:rPr>
                <w:rFonts w:ascii="宋体" w:hAnsi="宋体" w:cs="宋体"/>
                <w:b/>
                <w:color w:val="auto"/>
                <w:kern w:val="0"/>
                <w:sz w:val="24"/>
                <w:highlight w:val="none"/>
              </w:rPr>
            </w:pPr>
            <w:r>
              <w:rPr>
                <w:rFonts w:hint="eastAsia" w:ascii="宋体" w:hAnsi="宋体" w:cs="宋体"/>
                <w:b/>
                <w:color w:val="auto"/>
                <w:kern w:val="0"/>
                <w:sz w:val="24"/>
                <w:highlight w:val="none"/>
              </w:rPr>
              <w:t>计量单位</w:t>
            </w:r>
          </w:p>
        </w:tc>
        <w:tc>
          <w:tcPr>
            <w:tcW w:w="1619" w:type="dxa"/>
            <w:tcBorders>
              <w:top w:val="single" w:color="auto" w:sz="4" w:space="0"/>
              <w:left w:val="nil"/>
              <w:bottom w:val="single" w:color="auto" w:sz="4" w:space="0"/>
              <w:right w:val="single" w:color="auto" w:sz="4" w:space="0"/>
            </w:tcBorders>
            <w:noWrap/>
            <w:vAlign w:val="center"/>
          </w:tcPr>
          <w:p w14:paraId="1B4ED11E">
            <w:pPr>
              <w:widowControl/>
              <w:jc w:val="left"/>
              <w:rPr>
                <w:rFonts w:ascii="宋体" w:hAnsi="宋体" w:cs="宋体"/>
                <w:b/>
                <w:color w:val="auto"/>
                <w:kern w:val="0"/>
                <w:sz w:val="24"/>
                <w:highlight w:val="none"/>
              </w:rPr>
            </w:pPr>
            <w:r>
              <w:rPr>
                <w:rFonts w:hint="eastAsia" w:ascii="宋体" w:hAnsi="宋体" w:cs="宋体"/>
                <w:b/>
                <w:color w:val="auto"/>
                <w:kern w:val="0"/>
                <w:sz w:val="24"/>
                <w:highlight w:val="none"/>
              </w:rPr>
              <w:t>中型</w:t>
            </w:r>
          </w:p>
        </w:tc>
        <w:tc>
          <w:tcPr>
            <w:tcW w:w="1439" w:type="dxa"/>
            <w:tcBorders>
              <w:top w:val="single" w:color="auto" w:sz="4" w:space="0"/>
              <w:left w:val="nil"/>
              <w:bottom w:val="single" w:color="auto" w:sz="4" w:space="0"/>
              <w:right w:val="single" w:color="auto" w:sz="4" w:space="0"/>
            </w:tcBorders>
            <w:noWrap/>
            <w:vAlign w:val="center"/>
          </w:tcPr>
          <w:p w14:paraId="6826C15D">
            <w:pPr>
              <w:widowControl/>
              <w:jc w:val="left"/>
              <w:rPr>
                <w:rFonts w:ascii="宋体" w:hAnsi="宋体" w:cs="宋体"/>
                <w:b/>
                <w:color w:val="auto"/>
                <w:kern w:val="0"/>
                <w:sz w:val="24"/>
                <w:highlight w:val="none"/>
              </w:rPr>
            </w:pPr>
            <w:r>
              <w:rPr>
                <w:rFonts w:hint="eastAsia" w:ascii="宋体" w:hAnsi="宋体" w:cs="宋体"/>
                <w:b/>
                <w:color w:val="auto"/>
                <w:kern w:val="0"/>
                <w:sz w:val="24"/>
                <w:highlight w:val="none"/>
              </w:rPr>
              <w:t>小型</w:t>
            </w:r>
          </w:p>
        </w:tc>
        <w:tc>
          <w:tcPr>
            <w:tcW w:w="925" w:type="dxa"/>
            <w:tcBorders>
              <w:top w:val="single" w:color="auto" w:sz="4" w:space="0"/>
              <w:left w:val="nil"/>
              <w:bottom w:val="single" w:color="auto" w:sz="4" w:space="0"/>
              <w:right w:val="single" w:color="auto" w:sz="4" w:space="0"/>
            </w:tcBorders>
            <w:noWrap/>
            <w:vAlign w:val="center"/>
          </w:tcPr>
          <w:p w14:paraId="0D48713A">
            <w:pPr>
              <w:widowControl/>
              <w:jc w:val="left"/>
              <w:rPr>
                <w:rFonts w:ascii="宋体" w:hAnsi="宋体" w:cs="宋体"/>
                <w:b/>
                <w:color w:val="auto"/>
                <w:kern w:val="0"/>
                <w:sz w:val="24"/>
                <w:highlight w:val="none"/>
              </w:rPr>
            </w:pPr>
            <w:r>
              <w:rPr>
                <w:rFonts w:hint="eastAsia" w:ascii="宋体" w:hAnsi="宋体" w:cs="宋体"/>
                <w:b/>
                <w:color w:val="auto"/>
                <w:kern w:val="0"/>
                <w:sz w:val="24"/>
                <w:highlight w:val="none"/>
              </w:rPr>
              <w:t>微型</w:t>
            </w:r>
          </w:p>
        </w:tc>
      </w:tr>
      <w:tr w14:paraId="6AA4F7AA">
        <w:tblPrEx>
          <w:tblCellMar>
            <w:top w:w="0" w:type="dxa"/>
            <w:left w:w="108" w:type="dxa"/>
            <w:bottom w:w="0" w:type="dxa"/>
            <w:right w:w="108" w:type="dxa"/>
          </w:tblCellMar>
        </w:tblPrEx>
        <w:trPr>
          <w:trHeight w:val="383" w:hRule="atLeast"/>
          <w:jc w:val="center"/>
        </w:trPr>
        <w:tc>
          <w:tcPr>
            <w:tcW w:w="1701" w:type="dxa"/>
            <w:tcBorders>
              <w:top w:val="nil"/>
              <w:left w:val="single" w:color="auto" w:sz="4" w:space="0"/>
              <w:bottom w:val="single" w:color="auto" w:sz="4" w:space="0"/>
              <w:right w:val="single" w:color="auto" w:sz="4" w:space="0"/>
            </w:tcBorders>
            <w:noWrap/>
            <w:vAlign w:val="bottom"/>
          </w:tcPr>
          <w:p w14:paraId="4A4A57B3">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农、林、牧、渔</w:t>
            </w:r>
          </w:p>
        </w:tc>
        <w:tc>
          <w:tcPr>
            <w:tcW w:w="1383" w:type="dxa"/>
            <w:tcBorders>
              <w:top w:val="nil"/>
              <w:left w:val="nil"/>
              <w:bottom w:val="single" w:color="auto" w:sz="4" w:space="0"/>
              <w:right w:val="single" w:color="auto" w:sz="4" w:space="0"/>
            </w:tcBorders>
            <w:noWrap/>
            <w:vAlign w:val="center"/>
          </w:tcPr>
          <w:p w14:paraId="1CB9DA6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14:paraId="4D527F9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noWrap/>
            <w:vAlign w:val="center"/>
          </w:tcPr>
          <w:p w14:paraId="0031B19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439" w:type="dxa"/>
            <w:tcBorders>
              <w:top w:val="nil"/>
              <w:left w:val="nil"/>
              <w:bottom w:val="single" w:color="auto" w:sz="4" w:space="0"/>
              <w:right w:val="single" w:color="auto" w:sz="4" w:space="0"/>
            </w:tcBorders>
            <w:noWrap/>
            <w:vAlign w:val="center"/>
          </w:tcPr>
          <w:p w14:paraId="60C6D63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50≤Y＜500</w:t>
            </w:r>
          </w:p>
        </w:tc>
        <w:tc>
          <w:tcPr>
            <w:tcW w:w="925" w:type="dxa"/>
            <w:tcBorders>
              <w:top w:val="nil"/>
              <w:left w:val="nil"/>
              <w:bottom w:val="single" w:color="auto" w:sz="4" w:space="0"/>
              <w:right w:val="single" w:color="auto" w:sz="4" w:space="0"/>
            </w:tcBorders>
            <w:noWrap/>
            <w:vAlign w:val="center"/>
          </w:tcPr>
          <w:p w14:paraId="6134737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51F8D508">
        <w:tblPrEx>
          <w:tblCellMar>
            <w:top w:w="0" w:type="dxa"/>
            <w:left w:w="108" w:type="dxa"/>
            <w:bottom w:w="0" w:type="dxa"/>
            <w:right w:w="108" w:type="dxa"/>
          </w:tblCellMar>
        </w:tblPrEx>
        <w:trPr>
          <w:trHeight w:val="326"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14:paraId="2C66EB68">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工业</w:t>
            </w:r>
          </w:p>
        </w:tc>
        <w:tc>
          <w:tcPr>
            <w:tcW w:w="1383" w:type="dxa"/>
            <w:tcBorders>
              <w:top w:val="nil"/>
              <w:left w:val="nil"/>
              <w:bottom w:val="single" w:color="auto" w:sz="4" w:space="0"/>
              <w:right w:val="single" w:color="auto" w:sz="4" w:space="0"/>
            </w:tcBorders>
            <w:noWrap/>
            <w:vAlign w:val="center"/>
          </w:tcPr>
          <w:p w14:paraId="77F3099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ign w:val="center"/>
          </w:tcPr>
          <w:p w14:paraId="40BD66F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19" w:type="dxa"/>
            <w:tcBorders>
              <w:top w:val="nil"/>
              <w:left w:val="nil"/>
              <w:bottom w:val="single" w:color="auto" w:sz="4" w:space="0"/>
              <w:right w:val="single" w:color="auto" w:sz="4" w:space="0"/>
            </w:tcBorders>
            <w:noWrap/>
            <w:vAlign w:val="center"/>
          </w:tcPr>
          <w:p w14:paraId="226435D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39" w:type="dxa"/>
            <w:tcBorders>
              <w:top w:val="nil"/>
              <w:left w:val="nil"/>
              <w:bottom w:val="single" w:color="auto" w:sz="4" w:space="0"/>
              <w:right w:val="single" w:color="auto" w:sz="4" w:space="0"/>
            </w:tcBorders>
            <w:noWrap/>
            <w:vAlign w:val="center"/>
          </w:tcPr>
          <w:p w14:paraId="57BA1CE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925" w:type="dxa"/>
            <w:tcBorders>
              <w:top w:val="nil"/>
              <w:left w:val="nil"/>
              <w:bottom w:val="single" w:color="auto" w:sz="4" w:space="0"/>
              <w:right w:val="single" w:color="auto" w:sz="4" w:space="0"/>
            </w:tcBorders>
            <w:noWrap/>
            <w:vAlign w:val="center"/>
          </w:tcPr>
          <w:p w14:paraId="66858BE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7FDECE28">
        <w:tblPrEx>
          <w:tblCellMar>
            <w:top w:w="0" w:type="dxa"/>
            <w:left w:w="108" w:type="dxa"/>
            <w:bottom w:w="0" w:type="dxa"/>
            <w:right w:w="108" w:type="dxa"/>
          </w:tblCellMar>
        </w:tblPrEx>
        <w:trPr>
          <w:trHeight w:val="337" w:hRule="atLeast"/>
          <w:jc w:val="center"/>
        </w:trPr>
        <w:tc>
          <w:tcPr>
            <w:tcW w:w="1701" w:type="dxa"/>
            <w:vMerge w:val="continue"/>
            <w:tcBorders>
              <w:top w:val="nil"/>
              <w:left w:val="single" w:color="auto" w:sz="4" w:space="0"/>
              <w:bottom w:val="single" w:color="auto" w:sz="4" w:space="0"/>
              <w:right w:val="single" w:color="auto" w:sz="4" w:space="0"/>
            </w:tcBorders>
            <w:noWrap/>
            <w:vAlign w:val="center"/>
          </w:tcPr>
          <w:p w14:paraId="3DE422F4">
            <w:pPr>
              <w:widowControl/>
              <w:jc w:val="left"/>
              <w:rPr>
                <w:rFonts w:ascii="宋体" w:hAnsi="宋体" w:cs="宋体"/>
                <w:b/>
                <w:bCs/>
                <w:color w:val="auto"/>
                <w:kern w:val="0"/>
                <w:sz w:val="18"/>
                <w:szCs w:val="18"/>
                <w:highlight w:val="none"/>
              </w:rPr>
            </w:pPr>
          </w:p>
        </w:tc>
        <w:tc>
          <w:tcPr>
            <w:tcW w:w="1383" w:type="dxa"/>
            <w:tcBorders>
              <w:top w:val="nil"/>
              <w:left w:val="nil"/>
              <w:bottom w:val="single" w:color="auto" w:sz="4" w:space="0"/>
              <w:right w:val="single" w:color="auto" w:sz="4" w:space="0"/>
            </w:tcBorders>
            <w:noWrap/>
            <w:vAlign w:val="center"/>
          </w:tcPr>
          <w:p w14:paraId="05E7BAD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14:paraId="2B039D9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noWrap/>
            <w:vAlign w:val="center"/>
          </w:tcPr>
          <w:p w14:paraId="71FBD56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2000≤Y＜40000</w:t>
            </w:r>
          </w:p>
        </w:tc>
        <w:tc>
          <w:tcPr>
            <w:tcW w:w="1439" w:type="dxa"/>
            <w:tcBorders>
              <w:top w:val="nil"/>
              <w:left w:val="nil"/>
              <w:bottom w:val="single" w:color="auto" w:sz="4" w:space="0"/>
              <w:right w:val="single" w:color="auto" w:sz="4" w:space="0"/>
            </w:tcBorders>
            <w:noWrap/>
            <w:vAlign w:val="center"/>
          </w:tcPr>
          <w:p w14:paraId="713E0CA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300≤Y＜2000</w:t>
            </w:r>
          </w:p>
        </w:tc>
        <w:tc>
          <w:tcPr>
            <w:tcW w:w="925" w:type="dxa"/>
            <w:tcBorders>
              <w:top w:val="nil"/>
              <w:left w:val="nil"/>
              <w:bottom w:val="single" w:color="auto" w:sz="4" w:space="0"/>
              <w:right w:val="single" w:color="auto" w:sz="4" w:space="0"/>
            </w:tcBorders>
            <w:noWrap/>
            <w:vAlign w:val="center"/>
          </w:tcPr>
          <w:p w14:paraId="7AD5266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450F4C6B">
        <w:tblPrEx>
          <w:tblCellMar>
            <w:top w:w="0" w:type="dxa"/>
            <w:left w:w="108" w:type="dxa"/>
            <w:bottom w:w="0" w:type="dxa"/>
            <w:right w:w="108" w:type="dxa"/>
          </w:tblCellMar>
        </w:tblPrEx>
        <w:trPr>
          <w:trHeight w:val="337"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14:paraId="5919DCD7">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建筑业</w:t>
            </w:r>
          </w:p>
        </w:tc>
        <w:tc>
          <w:tcPr>
            <w:tcW w:w="1383" w:type="dxa"/>
            <w:tcBorders>
              <w:top w:val="nil"/>
              <w:left w:val="nil"/>
              <w:bottom w:val="single" w:color="auto" w:sz="4" w:space="0"/>
              <w:right w:val="single" w:color="auto" w:sz="4" w:space="0"/>
            </w:tcBorders>
            <w:noWrap/>
            <w:vAlign w:val="center"/>
          </w:tcPr>
          <w:p w14:paraId="7C163FF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14:paraId="19CA1C5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noWrap/>
            <w:vAlign w:val="center"/>
          </w:tcPr>
          <w:p w14:paraId="6986590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6000≤Y＜80000</w:t>
            </w:r>
          </w:p>
        </w:tc>
        <w:tc>
          <w:tcPr>
            <w:tcW w:w="1439" w:type="dxa"/>
            <w:tcBorders>
              <w:top w:val="nil"/>
              <w:left w:val="nil"/>
              <w:bottom w:val="single" w:color="auto" w:sz="4" w:space="0"/>
              <w:right w:val="single" w:color="auto" w:sz="4" w:space="0"/>
            </w:tcBorders>
            <w:noWrap/>
            <w:vAlign w:val="center"/>
          </w:tcPr>
          <w:p w14:paraId="0C4F730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300≤Y＜6000</w:t>
            </w:r>
          </w:p>
        </w:tc>
        <w:tc>
          <w:tcPr>
            <w:tcW w:w="925" w:type="dxa"/>
            <w:tcBorders>
              <w:top w:val="nil"/>
              <w:left w:val="nil"/>
              <w:bottom w:val="single" w:color="auto" w:sz="4" w:space="0"/>
              <w:right w:val="single" w:color="auto" w:sz="4" w:space="0"/>
            </w:tcBorders>
            <w:noWrap/>
            <w:vAlign w:val="center"/>
          </w:tcPr>
          <w:p w14:paraId="0A0EFA6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34B2E0BA">
        <w:tblPrEx>
          <w:tblCellMar>
            <w:top w:w="0" w:type="dxa"/>
            <w:left w:w="108" w:type="dxa"/>
            <w:bottom w:w="0" w:type="dxa"/>
            <w:right w:w="108" w:type="dxa"/>
          </w:tblCellMar>
        </w:tblPrEx>
        <w:trPr>
          <w:trHeight w:val="337" w:hRule="atLeast"/>
          <w:jc w:val="center"/>
        </w:trPr>
        <w:tc>
          <w:tcPr>
            <w:tcW w:w="1701" w:type="dxa"/>
            <w:vMerge w:val="continue"/>
            <w:tcBorders>
              <w:top w:val="nil"/>
              <w:left w:val="single" w:color="auto" w:sz="4" w:space="0"/>
              <w:bottom w:val="single" w:color="auto" w:sz="4" w:space="0"/>
              <w:right w:val="single" w:color="auto" w:sz="4" w:space="0"/>
            </w:tcBorders>
            <w:noWrap/>
            <w:vAlign w:val="center"/>
          </w:tcPr>
          <w:p w14:paraId="519EB83F">
            <w:pPr>
              <w:widowControl/>
              <w:jc w:val="left"/>
              <w:rPr>
                <w:rFonts w:ascii="宋体" w:hAnsi="宋体" w:cs="宋体"/>
                <w:b/>
                <w:bCs/>
                <w:color w:val="auto"/>
                <w:kern w:val="0"/>
                <w:sz w:val="18"/>
                <w:szCs w:val="18"/>
                <w:highlight w:val="none"/>
              </w:rPr>
            </w:pPr>
          </w:p>
        </w:tc>
        <w:tc>
          <w:tcPr>
            <w:tcW w:w="1383" w:type="dxa"/>
            <w:tcBorders>
              <w:top w:val="nil"/>
              <w:left w:val="nil"/>
              <w:bottom w:val="single" w:color="auto" w:sz="4" w:space="0"/>
              <w:right w:val="single" w:color="auto" w:sz="4" w:space="0"/>
            </w:tcBorders>
            <w:noWrap/>
            <w:vAlign w:val="center"/>
          </w:tcPr>
          <w:p w14:paraId="6311846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913" w:type="dxa"/>
            <w:tcBorders>
              <w:top w:val="nil"/>
              <w:left w:val="nil"/>
              <w:bottom w:val="single" w:color="auto" w:sz="4" w:space="0"/>
              <w:right w:val="single" w:color="auto" w:sz="4" w:space="0"/>
            </w:tcBorders>
            <w:noWrap/>
            <w:vAlign w:val="center"/>
          </w:tcPr>
          <w:p w14:paraId="1914E54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noWrap/>
            <w:vAlign w:val="center"/>
          </w:tcPr>
          <w:p w14:paraId="7DA6C90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5000≤Z＜80000</w:t>
            </w:r>
          </w:p>
        </w:tc>
        <w:tc>
          <w:tcPr>
            <w:tcW w:w="1439" w:type="dxa"/>
            <w:tcBorders>
              <w:top w:val="nil"/>
              <w:left w:val="nil"/>
              <w:bottom w:val="single" w:color="auto" w:sz="4" w:space="0"/>
              <w:right w:val="single" w:color="auto" w:sz="4" w:space="0"/>
            </w:tcBorders>
            <w:noWrap/>
            <w:vAlign w:val="center"/>
          </w:tcPr>
          <w:p w14:paraId="0904224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300≤Z＜5000</w:t>
            </w:r>
          </w:p>
        </w:tc>
        <w:tc>
          <w:tcPr>
            <w:tcW w:w="925" w:type="dxa"/>
            <w:tcBorders>
              <w:top w:val="nil"/>
              <w:left w:val="nil"/>
              <w:bottom w:val="single" w:color="auto" w:sz="4" w:space="0"/>
              <w:right w:val="single" w:color="auto" w:sz="4" w:space="0"/>
            </w:tcBorders>
            <w:noWrap/>
            <w:vAlign w:val="center"/>
          </w:tcPr>
          <w:p w14:paraId="5D16CC2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Z＜300</w:t>
            </w:r>
          </w:p>
        </w:tc>
      </w:tr>
      <w:tr w14:paraId="117BD989">
        <w:tblPrEx>
          <w:tblCellMar>
            <w:top w:w="0" w:type="dxa"/>
            <w:left w:w="108" w:type="dxa"/>
            <w:bottom w:w="0" w:type="dxa"/>
            <w:right w:w="108" w:type="dxa"/>
          </w:tblCellMar>
        </w:tblPrEx>
        <w:trPr>
          <w:trHeight w:val="349"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14:paraId="0F0A7245">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批发业</w:t>
            </w:r>
          </w:p>
        </w:tc>
        <w:tc>
          <w:tcPr>
            <w:tcW w:w="1383" w:type="dxa"/>
            <w:tcBorders>
              <w:top w:val="nil"/>
              <w:left w:val="nil"/>
              <w:bottom w:val="single" w:color="auto" w:sz="4" w:space="0"/>
              <w:right w:val="single" w:color="auto" w:sz="4" w:space="0"/>
            </w:tcBorders>
            <w:noWrap/>
            <w:vAlign w:val="center"/>
          </w:tcPr>
          <w:p w14:paraId="4249473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ign w:val="center"/>
          </w:tcPr>
          <w:p w14:paraId="4E04B39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19" w:type="dxa"/>
            <w:tcBorders>
              <w:top w:val="nil"/>
              <w:left w:val="nil"/>
              <w:bottom w:val="single" w:color="auto" w:sz="4" w:space="0"/>
              <w:right w:val="single" w:color="auto" w:sz="4" w:space="0"/>
            </w:tcBorders>
            <w:noWrap/>
            <w:vAlign w:val="center"/>
          </w:tcPr>
          <w:p w14:paraId="22215B4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20≤X＜200</w:t>
            </w:r>
          </w:p>
        </w:tc>
        <w:tc>
          <w:tcPr>
            <w:tcW w:w="1439" w:type="dxa"/>
            <w:tcBorders>
              <w:top w:val="nil"/>
              <w:left w:val="nil"/>
              <w:bottom w:val="single" w:color="auto" w:sz="4" w:space="0"/>
              <w:right w:val="single" w:color="auto" w:sz="4" w:space="0"/>
            </w:tcBorders>
            <w:noWrap/>
            <w:vAlign w:val="center"/>
          </w:tcPr>
          <w:p w14:paraId="25FAA1F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5≤X＜20</w:t>
            </w:r>
          </w:p>
        </w:tc>
        <w:tc>
          <w:tcPr>
            <w:tcW w:w="925" w:type="dxa"/>
            <w:tcBorders>
              <w:top w:val="nil"/>
              <w:left w:val="nil"/>
              <w:bottom w:val="single" w:color="auto" w:sz="4" w:space="0"/>
              <w:right w:val="single" w:color="auto" w:sz="4" w:space="0"/>
            </w:tcBorders>
            <w:noWrap/>
            <w:vAlign w:val="center"/>
          </w:tcPr>
          <w:p w14:paraId="0252AD9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X＜5</w:t>
            </w:r>
          </w:p>
        </w:tc>
      </w:tr>
      <w:tr w14:paraId="27080FC6">
        <w:tblPrEx>
          <w:tblCellMar>
            <w:top w:w="0" w:type="dxa"/>
            <w:left w:w="108" w:type="dxa"/>
            <w:bottom w:w="0" w:type="dxa"/>
            <w:right w:w="108" w:type="dxa"/>
          </w:tblCellMar>
        </w:tblPrEx>
        <w:trPr>
          <w:trHeight w:val="313" w:hRule="atLeast"/>
          <w:jc w:val="center"/>
        </w:trPr>
        <w:tc>
          <w:tcPr>
            <w:tcW w:w="1701" w:type="dxa"/>
            <w:vMerge w:val="continue"/>
            <w:tcBorders>
              <w:top w:val="nil"/>
              <w:left w:val="single" w:color="auto" w:sz="4" w:space="0"/>
              <w:bottom w:val="single" w:color="auto" w:sz="4" w:space="0"/>
              <w:right w:val="single" w:color="auto" w:sz="4" w:space="0"/>
            </w:tcBorders>
            <w:noWrap/>
            <w:vAlign w:val="center"/>
          </w:tcPr>
          <w:p w14:paraId="2942AD16">
            <w:pPr>
              <w:widowControl/>
              <w:jc w:val="left"/>
              <w:rPr>
                <w:rFonts w:ascii="宋体" w:hAnsi="宋体" w:cs="宋体"/>
                <w:b/>
                <w:bCs/>
                <w:color w:val="auto"/>
                <w:kern w:val="0"/>
                <w:sz w:val="18"/>
                <w:szCs w:val="18"/>
                <w:highlight w:val="none"/>
              </w:rPr>
            </w:pPr>
          </w:p>
        </w:tc>
        <w:tc>
          <w:tcPr>
            <w:tcW w:w="1383" w:type="dxa"/>
            <w:tcBorders>
              <w:top w:val="nil"/>
              <w:left w:val="nil"/>
              <w:bottom w:val="single" w:color="auto" w:sz="4" w:space="0"/>
              <w:right w:val="single" w:color="auto" w:sz="4" w:space="0"/>
            </w:tcBorders>
            <w:noWrap/>
            <w:vAlign w:val="center"/>
          </w:tcPr>
          <w:p w14:paraId="66BC9D1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14:paraId="043397A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noWrap/>
            <w:vAlign w:val="center"/>
          </w:tcPr>
          <w:p w14:paraId="707FAA3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5000≤Y＜40000</w:t>
            </w:r>
          </w:p>
        </w:tc>
        <w:tc>
          <w:tcPr>
            <w:tcW w:w="1439" w:type="dxa"/>
            <w:tcBorders>
              <w:top w:val="nil"/>
              <w:left w:val="nil"/>
              <w:bottom w:val="single" w:color="auto" w:sz="4" w:space="0"/>
              <w:right w:val="single" w:color="auto" w:sz="4" w:space="0"/>
            </w:tcBorders>
            <w:noWrap/>
            <w:vAlign w:val="center"/>
          </w:tcPr>
          <w:p w14:paraId="1AAC9B1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925" w:type="dxa"/>
            <w:tcBorders>
              <w:top w:val="nil"/>
              <w:left w:val="nil"/>
              <w:bottom w:val="single" w:color="auto" w:sz="4" w:space="0"/>
              <w:right w:val="single" w:color="auto" w:sz="4" w:space="0"/>
            </w:tcBorders>
            <w:noWrap/>
            <w:vAlign w:val="center"/>
          </w:tcPr>
          <w:p w14:paraId="61F2A0E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w:t>
            </w:r>
          </w:p>
        </w:tc>
      </w:tr>
      <w:tr w14:paraId="4617EDE6">
        <w:tblPrEx>
          <w:tblCellMar>
            <w:top w:w="0" w:type="dxa"/>
            <w:left w:w="108" w:type="dxa"/>
            <w:bottom w:w="0" w:type="dxa"/>
            <w:right w:w="108" w:type="dxa"/>
          </w:tblCellMar>
        </w:tblPrEx>
        <w:trPr>
          <w:trHeight w:val="314"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14:paraId="4294181F">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零售业</w:t>
            </w:r>
          </w:p>
        </w:tc>
        <w:tc>
          <w:tcPr>
            <w:tcW w:w="1383" w:type="dxa"/>
            <w:tcBorders>
              <w:top w:val="nil"/>
              <w:left w:val="nil"/>
              <w:bottom w:val="single" w:color="auto" w:sz="4" w:space="0"/>
              <w:right w:val="single" w:color="auto" w:sz="4" w:space="0"/>
            </w:tcBorders>
            <w:noWrap/>
            <w:vAlign w:val="center"/>
          </w:tcPr>
          <w:p w14:paraId="413D20A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ign w:val="center"/>
          </w:tcPr>
          <w:p w14:paraId="122F6F9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19" w:type="dxa"/>
            <w:tcBorders>
              <w:top w:val="nil"/>
              <w:left w:val="nil"/>
              <w:bottom w:val="single" w:color="auto" w:sz="4" w:space="0"/>
              <w:right w:val="single" w:color="auto" w:sz="4" w:space="0"/>
            </w:tcBorders>
            <w:noWrap/>
            <w:vAlign w:val="center"/>
          </w:tcPr>
          <w:p w14:paraId="4DA1C93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50≤X＜300</w:t>
            </w:r>
          </w:p>
        </w:tc>
        <w:tc>
          <w:tcPr>
            <w:tcW w:w="1439" w:type="dxa"/>
            <w:tcBorders>
              <w:top w:val="nil"/>
              <w:left w:val="nil"/>
              <w:bottom w:val="single" w:color="auto" w:sz="4" w:space="0"/>
              <w:right w:val="single" w:color="auto" w:sz="4" w:space="0"/>
            </w:tcBorders>
            <w:noWrap/>
            <w:vAlign w:val="center"/>
          </w:tcPr>
          <w:p w14:paraId="3CF96CB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10≤X＜50</w:t>
            </w:r>
          </w:p>
        </w:tc>
        <w:tc>
          <w:tcPr>
            <w:tcW w:w="925" w:type="dxa"/>
            <w:tcBorders>
              <w:top w:val="nil"/>
              <w:left w:val="nil"/>
              <w:bottom w:val="single" w:color="auto" w:sz="4" w:space="0"/>
              <w:right w:val="single" w:color="auto" w:sz="4" w:space="0"/>
            </w:tcBorders>
            <w:noWrap/>
            <w:vAlign w:val="center"/>
          </w:tcPr>
          <w:p w14:paraId="42F5CB9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6A08F8B6">
        <w:tblPrEx>
          <w:tblCellMar>
            <w:top w:w="0" w:type="dxa"/>
            <w:left w:w="108" w:type="dxa"/>
            <w:bottom w:w="0" w:type="dxa"/>
            <w:right w:w="108" w:type="dxa"/>
          </w:tblCellMar>
        </w:tblPrEx>
        <w:trPr>
          <w:trHeight w:val="359" w:hRule="atLeast"/>
          <w:jc w:val="center"/>
        </w:trPr>
        <w:tc>
          <w:tcPr>
            <w:tcW w:w="1701" w:type="dxa"/>
            <w:vMerge w:val="continue"/>
            <w:tcBorders>
              <w:top w:val="nil"/>
              <w:left w:val="single" w:color="auto" w:sz="4" w:space="0"/>
              <w:bottom w:val="single" w:color="auto" w:sz="4" w:space="0"/>
              <w:right w:val="single" w:color="auto" w:sz="4" w:space="0"/>
            </w:tcBorders>
            <w:noWrap/>
            <w:vAlign w:val="center"/>
          </w:tcPr>
          <w:p w14:paraId="7E90C3A4">
            <w:pPr>
              <w:widowControl/>
              <w:jc w:val="left"/>
              <w:rPr>
                <w:rFonts w:ascii="宋体" w:hAnsi="宋体" w:cs="宋体"/>
                <w:b/>
                <w:bCs/>
                <w:color w:val="auto"/>
                <w:kern w:val="0"/>
                <w:sz w:val="18"/>
                <w:szCs w:val="18"/>
                <w:highlight w:val="none"/>
              </w:rPr>
            </w:pPr>
          </w:p>
        </w:tc>
        <w:tc>
          <w:tcPr>
            <w:tcW w:w="1383" w:type="dxa"/>
            <w:tcBorders>
              <w:top w:val="nil"/>
              <w:left w:val="nil"/>
              <w:bottom w:val="single" w:color="auto" w:sz="4" w:space="0"/>
              <w:right w:val="single" w:color="auto" w:sz="4" w:space="0"/>
            </w:tcBorders>
            <w:noWrap/>
            <w:vAlign w:val="center"/>
          </w:tcPr>
          <w:p w14:paraId="52134DF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14:paraId="26A27EE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noWrap/>
            <w:vAlign w:val="center"/>
          </w:tcPr>
          <w:p w14:paraId="70AF01F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439" w:type="dxa"/>
            <w:tcBorders>
              <w:top w:val="nil"/>
              <w:left w:val="nil"/>
              <w:bottom w:val="single" w:color="auto" w:sz="4" w:space="0"/>
              <w:right w:val="single" w:color="auto" w:sz="4" w:space="0"/>
            </w:tcBorders>
            <w:noWrap/>
            <w:vAlign w:val="center"/>
          </w:tcPr>
          <w:p w14:paraId="4908DA5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100≤Y＜500</w:t>
            </w:r>
          </w:p>
        </w:tc>
        <w:tc>
          <w:tcPr>
            <w:tcW w:w="925" w:type="dxa"/>
            <w:tcBorders>
              <w:top w:val="nil"/>
              <w:left w:val="nil"/>
              <w:bottom w:val="single" w:color="auto" w:sz="4" w:space="0"/>
              <w:right w:val="single" w:color="auto" w:sz="4" w:space="0"/>
            </w:tcBorders>
            <w:noWrap/>
            <w:vAlign w:val="center"/>
          </w:tcPr>
          <w:p w14:paraId="3257B13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0FB2F377">
        <w:tblPrEx>
          <w:tblCellMar>
            <w:top w:w="0" w:type="dxa"/>
            <w:left w:w="108" w:type="dxa"/>
            <w:bottom w:w="0" w:type="dxa"/>
            <w:right w:w="108" w:type="dxa"/>
          </w:tblCellMar>
        </w:tblPrEx>
        <w:trPr>
          <w:trHeight w:val="3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14:paraId="152E75EB">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交通运输业</w:t>
            </w:r>
          </w:p>
        </w:tc>
        <w:tc>
          <w:tcPr>
            <w:tcW w:w="1383" w:type="dxa"/>
            <w:tcBorders>
              <w:top w:val="nil"/>
              <w:left w:val="nil"/>
              <w:bottom w:val="single" w:color="auto" w:sz="4" w:space="0"/>
              <w:right w:val="single" w:color="auto" w:sz="4" w:space="0"/>
            </w:tcBorders>
            <w:noWrap/>
            <w:vAlign w:val="center"/>
          </w:tcPr>
          <w:p w14:paraId="1455621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ign w:val="center"/>
          </w:tcPr>
          <w:p w14:paraId="2F9BB1D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19" w:type="dxa"/>
            <w:tcBorders>
              <w:top w:val="nil"/>
              <w:left w:val="nil"/>
              <w:bottom w:val="single" w:color="auto" w:sz="4" w:space="0"/>
              <w:right w:val="single" w:color="auto" w:sz="4" w:space="0"/>
            </w:tcBorders>
            <w:noWrap/>
            <w:vAlign w:val="center"/>
          </w:tcPr>
          <w:p w14:paraId="684756F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39" w:type="dxa"/>
            <w:tcBorders>
              <w:top w:val="nil"/>
              <w:left w:val="nil"/>
              <w:bottom w:val="single" w:color="auto" w:sz="4" w:space="0"/>
              <w:right w:val="single" w:color="auto" w:sz="4" w:space="0"/>
            </w:tcBorders>
            <w:noWrap/>
            <w:vAlign w:val="center"/>
          </w:tcPr>
          <w:p w14:paraId="68FFEB1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925" w:type="dxa"/>
            <w:tcBorders>
              <w:top w:val="nil"/>
              <w:left w:val="nil"/>
              <w:bottom w:val="single" w:color="auto" w:sz="4" w:space="0"/>
              <w:right w:val="single" w:color="auto" w:sz="4" w:space="0"/>
            </w:tcBorders>
            <w:noWrap/>
            <w:vAlign w:val="center"/>
          </w:tcPr>
          <w:p w14:paraId="40D3271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1A29A4F0">
        <w:tblPrEx>
          <w:tblCellMar>
            <w:top w:w="0" w:type="dxa"/>
            <w:left w:w="108" w:type="dxa"/>
            <w:bottom w:w="0" w:type="dxa"/>
            <w:right w:w="108" w:type="dxa"/>
          </w:tblCellMar>
        </w:tblPrEx>
        <w:trPr>
          <w:trHeight w:val="337" w:hRule="atLeast"/>
          <w:jc w:val="center"/>
        </w:trPr>
        <w:tc>
          <w:tcPr>
            <w:tcW w:w="1701" w:type="dxa"/>
            <w:vMerge w:val="continue"/>
            <w:tcBorders>
              <w:top w:val="nil"/>
              <w:left w:val="single" w:color="auto" w:sz="4" w:space="0"/>
              <w:bottom w:val="single" w:color="auto" w:sz="4" w:space="0"/>
              <w:right w:val="single" w:color="auto" w:sz="4" w:space="0"/>
            </w:tcBorders>
            <w:noWrap/>
            <w:vAlign w:val="center"/>
          </w:tcPr>
          <w:p w14:paraId="27B799BB">
            <w:pPr>
              <w:widowControl/>
              <w:jc w:val="left"/>
              <w:rPr>
                <w:rFonts w:ascii="宋体" w:hAnsi="宋体" w:cs="宋体"/>
                <w:b/>
                <w:bCs/>
                <w:color w:val="auto"/>
                <w:kern w:val="0"/>
                <w:sz w:val="18"/>
                <w:szCs w:val="18"/>
                <w:highlight w:val="none"/>
              </w:rPr>
            </w:pPr>
          </w:p>
        </w:tc>
        <w:tc>
          <w:tcPr>
            <w:tcW w:w="1383" w:type="dxa"/>
            <w:tcBorders>
              <w:top w:val="nil"/>
              <w:left w:val="nil"/>
              <w:bottom w:val="single" w:color="auto" w:sz="4" w:space="0"/>
              <w:right w:val="single" w:color="auto" w:sz="4" w:space="0"/>
            </w:tcBorders>
            <w:noWrap/>
            <w:vAlign w:val="center"/>
          </w:tcPr>
          <w:p w14:paraId="0B65B02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14:paraId="1017BFF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noWrap/>
            <w:vAlign w:val="center"/>
          </w:tcPr>
          <w:p w14:paraId="0B19EF2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3000≤Y＜30000</w:t>
            </w:r>
          </w:p>
        </w:tc>
        <w:tc>
          <w:tcPr>
            <w:tcW w:w="1439" w:type="dxa"/>
            <w:tcBorders>
              <w:top w:val="nil"/>
              <w:left w:val="nil"/>
              <w:bottom w:val="single" w:color="auto" w:sz="4" w:space="0"/>
              <w:right w:val="single" w:color="auto" w:sz="4" w:space="0"/>
            </w:tcBorders>
            <w:noWrap/>
            <w:vAlign w:val="center"/>
          </w:tcPr>
          <w:p w14:paraId="1B94596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200≤Y＜3000</w:t>
            </w:r>
          </w:p>
        </w:tc>
        <w:tc>
          <w:tcPr>
            <w:tcW w:w="925" w:type="dxa"/>
            <w:tcBorders>
              <w:top w:val="nil"/>
              <w:left w:val="nil"/>
              <w:bottom w:val="single" w:color="auto" w:sz="4" w:space="0"/>
              <w:right w:val="single" w:color="auto" w:sz="4" w:space="0"/>
            </w:tcBorders>
            <w:noWrap/>
            <w:vAlign w:val="center"/>
          </w:tcPr>
          <w:p w14:paraId="5868BE4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w:t>
            </w:r>
          </w:p>
        </w:tc>
      </w:tr>
      <w:tr w14:paraId="023F9B60">
        <w:tblPrEx>
          <w:tblCellMar>
            <w:top w:w="0" w:type="dxa"/>
            <w:left w:w="108" w:type="dxa"/>
            <w:bottom w:w="0" w:type="dxa"/>
            <w:right w:w="108" w:type="dxa"/>
          </w:tblCellMar>
        </w:tblPrEx>
        <w:trPr>
          <w:trHeight w:val="371"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14:paraId="3C90F651">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仓储业</w:t>
            </w:r>
          </w:p>
        </w:tc>
        <w:tc>
          <w:tcPr>
            <w:tcW w:w="1383" w:type="dxa"/>
            <w:tcBorders>
              <w:top w:val="nil"/>
              <w:left w:val="nil"/>
              <w:bottom w:val="single" w:color="auto" w:sz="4" w:space="0"/>
              <w:right w:val="single" w:color="auto" w:sz="4" w:space="0"/>
            </w:tcBorders>
            <w:noWrap/>
            <w:vAlign w:val="center"/>
          </w:tcPr>
          <w:p w14:paraId="4EBBBCB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ign w:val="center"/>
          </w:tcPr>
          <w:p w14:paraId="42DFA87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19" w:type="dxa"/>
            <w:tcBorders>
              <w:top w:val="nil"/>
              <w:left w:val="nil"/>
              <w:bottom w:val="single" w:color="auto" w:sz="4" w:space="0"/>
              <w:right w:val="single" w:color="auto" w:sz="4" w:space="0"/>
            </w:tcBorders>
            <w:noWrap/>
            <w:vAlign w:val="center"/>
          </w:tcPr>
          <w:p w14:paraId="2CF98EA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w:t>
            </w:r>
          </w:p>
        </w:tc>
        <w:tc>
          <w:tcPr>
            <w:tcW w:w="1439" w:type="dxa"/>
            <w:tcBorders>
              <w:top w:val="nil"/>
              <w:left w:val="nil"/>
              <w:bottom w:val="single" w:color="auto" w:sz="4" w:space="0"/>
              <w:right w:val="single" w:color="auto" w:sz="4" w:space="0"/>
            </w:tcBorders>
            <w:noWrap/>
            <w:vAlign w:val="center"/>
          </w:tcPr>
          <w:p w14:paraId="352ADBE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20≤X＜100</w:t>
            </w:r>
          </w:p>
        </w:tc>
        <w:tc>
          <w:tcPr>
            <w:tcW w:w="925" w:type="dxa"/>
            <w:tcBorders>
              <w:top w:val="nil"/>
              <w:left w:val="nil"/>
              <w:bottom w:val="single" w:color="auto" w:sz="4" w:space="0"/>
              <w:right w:val="single" w:color="auto" w:sz="4" w:space="0"/>
            </w:tcBorders>
            <w:noWrap/>
            <w:vAlign w:val="center"/>
          </w:tcPr>
          <w:p w14:paraId="708CDFB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2952DCF8">
        <w:tblPrEx>
          <w:tblCellMar>
            <w:top w:w="0" w:type="dxa"/>
            <w:left w:w="108" w:type="dxa"/>
            <w:bottom w:w="0" w:type="dxa"/>
            <w:right w:w="108" w:type="dxa"/>
          </w:tblCellMar>
        </w:tblPrEx>
        <w:trPr>
          <w:trHeight w:val="326" w:hRule="atLeast"/>
          <w:jc w:val="center"/>
        </w:trPr>
        <w:tc>
          <w:tcPr>
            <w:tcW w:w="1701" w:type="dxa"/>
            <w:vMerge w:val="continue"/>
            <w:tcBorders>
              <w:top w:val="nil"/>
              <w:left w:val="single" w:color="auto" w:sz="4" w:space="0"/>
              <w:bottom w:val="single" w:color="auto" w:sz="4" w:space="0"/>
              <w:right w:val="single" w:color="auto" w:sz="4" w:space="0"/>
            </w:tcBorders>
            <w:noWrap/>
            <w:vAlign w:val="center"/>
          </w:tcPr>
          <w:p w14:paraId="236B5C56">
            <w:pPr>
              <w:widowControl/>
              <w:jc w:val="left"/>
              <w:rPr>
                <w:rFonts w:ascii="宋体" w:hAnsi="宋体" w:cs="宋体"/>
                <w:b/>
                <w:bCs/>
                <w:color w:val="auto"/>
                <w:kern w:val="0"/>
                <w:sz w:val="18"/>
                <w:szCs w:val="18"/>
                <w:highlight w:val="none"/>
              </w:rPr>
            </w:pPr>
          </w:p>
        </w:tc>
        <w:tc>
          <w:tcPr>
            <w:tcW w:w="1383" w:type="dxa"/>
            <w:tcBorders>
              <w:top w:val="nil"/>
              <w:left w:val="nil"/>
              <w:bottom w:val="single" w:color="auto" w:sz="4" w:space="0"/>
              <w:right w:val="single" w:color="auto" w:sz="4" w:space="0"/>
            </w:tcBorders>
            <w:noWrap/>
            <w:vAlign w:val="center"/>
          </w:tcPr>
          <w:p w14:paraId="63E23A3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14:paraId="093C3B5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noWrap/>
            <w:vAlign w:val="center"/>
          </w:tcPr>
          <w:p w14:paraId="24FBFE3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1000≤Y＜30000</w:t>
            </w:r>
          </w:p>
        </w:tc>
        <w:tc>
          <w:tcPr>
            <w:tcW w:w="1439" w:type="dxa"/>
            <w:tcBorders>
              <w:top w:val="nil"/>
              <w:left w:val="nil"/>
              <w:bottom w:val="single" w:color="auto" w:sz="4" w:space="0"/>
              <w:right w:val="single" w:color="auto" w:sz="4" w:space="0"/>
            </w:tcBorders>
            <w:noWrap/>
            <w:vAlign w:val="center"/>
          </w:tcPr>
          <w:p w14:paraId="245E964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925" w:type="dxa"/>
            <w:tcBorders>
              <w:top w:val="nil"/>
              <w:left w:val="nil"/>
              <w:bottom w:val="single" w:color="auto" w:sz="4" w:space="0"/>
              <w:right w:val="single" w:color="auto" w:sz="4" w:space="0"/>
            </w:tcBorders>
            <w:noWrap/>
            <w:vAlign w:val="center"/>
          </w:tcPr>
          <w:p w14:paraId="263D7EB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4B4D7E33">
        <w:tblPrEx>
          <w:tblCellMar>
            <w:top w:w="0" w:type="dxa"/>
            <w:left w:w="108" w:type="dxa"/>
            <w:bottom w:w="0" w:type="dxa"/>
            <w:right w:w="108" w:type="dxa"/>
          </w:tblCellMar>
        </w:tblPrEx>
        <w:trPr>
          <w:trHeight w:val="349"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14:paraId="12E1CC26">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邮政业</w:t>
            </w:r>
          </w:p>
        </w:tc>
        <w:tc>
          <w:tcPr>
            <w:tcW w:w="1383" w:type="dxa"/>
            <w:tcBorders>
              <w:top w:val="nil"/>
              <w:left w:val="nil"/>
              <w:bottom w:val="single" w:color="auto" w:sz="4" w:space="0"/>
              <w:right w:val="single" w:color="auto" w:sz="4" w:space="0"/>
            </w:tcBorders>
            <w:noWrap/>
            <w:vAlign w:val="center"/>
          </w:tcPr>
          <w:p w14:paraId="504FC3A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ign w:val="center"/>
          </w:tcPr>
          <w:p w14:paraId="1B423E1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19" w:type="dxa"/>
            <w:tcBorders>
              <w:top w:val="nil"/>
              <w:left w:val="nil"/>
              <w:bottom w:val="single" w:color="auto" w:sz="4" w:space="0"/>
              <w:right w:val="single" w:color="auto" w:sz="4" w:space="0"/>
            </w:tcBorders>
            <w:noWrap/>
            <w:vAlign w:val="center"/>
          </w:tcPr>
          <w:p w14:paraId="221900C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39" w:type="dxa"/>
            <w:tcBorders>
              <w:top w:val="nil"/>
              <w:left w:val="nil"/>
              <w:bottom w:val="single" w:color="auto" w:sz="4" w:space="0"/>
              <w:right w:val="single" w:color="auto" w:sz="4" w:space="0"/>
            </w:tcBorders>
            <w:noWrap/>
            <w:vAlign w:val="center"/>
          </w:tcPr>
          <w:p w14:paraId="1D7C691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925" w:type="dxa"/>
            <w:tcBorders>
              <w:top w:val="nil"/>
              <w:left w:val="nil"/>
              <w:bottom w:val="single" w:color="auto" w:sz="4" w:space="0"/>
              <w:right w:val="single" w:color="auto" w:sz="4" w:space="0"/>
            </w:tcBorders>
            <w:noWrap/>
            <w:vAlign w:val="center"/>
          </w:tcPr>
          <w:p w14:paraId="4F61AC4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20E5C459">
        <w:tblPrEx>
          <w:tblCellMar>
            <w:top w:w="0" w:type="dxa"/>
            <w:left w:w="108" w:type="dxa"/>
            <w:bottom w:w="0" w:type="dxa"/>
            <w:right w:w="108" w:type="dxa"/>
          </w:tblCellMar>
        </w:tblPrEx>
        <w:trPr>
          <w:trHeight w:val="348" w:hRule="atLeast"/>
          <w:jc w:val="center"/>
        </w:trPr>
        <w:tc>
          <w:tcPr>
            <w:tcW w:w="1701" w:type="dxa"/>
            <w:vMerge w:val="continue"/>
            <w:tcBorders>
              <w:top w:val="nil"/>
              <w:left w:val="single" w:color="auto" w:sz="4" w:space="0"/>
              <w:bottom w:val="single" w:color="auto" w:sz="4" w:space="0"/>
              <w:right w:val="single" w:color="auto" w:sz="4" w:space="0"/>
            </w:tcBorders>
            <w:noWrap/>
            <w:vAlign w:val="center"/>
          </w:tcPr>
          <w:p w14:paraId="65C4FBE7">
            <w:pPr>
              <w:widowControl/>
              <w:jc w:val="left"/>
              <w:rPr>
                <w:rFonts w:ascii="宋体" w:hAnsi="宋体" w:cs="宋体"/>
                <w:b/>
                <w:bCs/>
                <w:color w:val="auto"/>
                <w:kern w:val="0"/>
                <w:sz w:val="18"/>
                <w:szCs w:val="18"/>
                <w:highlight w:val="none"/>
              </w:rPr>
            </w:pPr>
          </w:p>
        </w:tc>
        <w:tc>
          <w:tcPr>
            <w:tcW w:w="1383" w:type="dxa"/>
            <w:tcBorders>
              <w:top w:val="nil"/>
              <w:left w:val="nil"/>
              <w:bottom w:val="single" w:color="auto" w:sz="4" w:space="0"/>
              <w:right w:val="single" w:color="auto" w:sz="4" w:space="0"/>
            </w:tcBorders>
            <w:noWrap/>
            <w:vAlign w:val="center"/>
          </w:tcPr>
          <w:p w14:paraId="1F23798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14:paraId="1BF7C54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noWrap/>
            <w:vAlign w:val="center"/>
          </w:tcPr>
          <w:p w14:paraId="5426E53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2000≤Y＜30000</w:t>
            </w:r>
          </w:p>
        </w:tc>
        <w:tc>
          <w:tcPr>
            <w:tcW w:w="1439" w:type="dxa"/>
            <w:tcBorders>
              <w:top w:val="nil"/>
              <w:left w:val="nil"/>
              <w:bottom w:val="single" w:color="auto" w:sz="4" w:space="0"/>
              <w:right w:val="single" w:color="auto" w:sz="4" w:space="0"/>
            </w:tcBorders>
            <w:noWrap/>
            <w:vAlign w:val="center"/>
          </w:tcPr>
          <w:p w14:paraId="4D674A8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925" w:type="dxa"/>
            <w:tcBorders>
              <w:top w:val="nil"/>
              <w:left w:val="nil"/>
              <w:bottom w:val="single" w:color="auto" w:sz="4" w:space="0"/>
              <w:right w:val="single" w:color="auto" w:sz="4" w:space="0"/>
            </w:tcBorders>
            <w:noWrap/>
            <w:vAlign w:val="center"/>
          </w:tcPr>
          <w:p w14:paraId="2696953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62B6B09A">
        <w:tblPrEx>
          <w:tblCellMar>
            <w:top w:w="0" w:type="dxa"/>
            <w:left w:w="108" w:type="dxa"/>
            <w:bottom w:w="0" w:type="dxa"/>
            <w:right w:w="108" w:type="dxa"/>
          </w:tblCellMar>
        </w:tblPrEx>
        <w:trPr>
          <w:trHeight w:val="39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14:paraId="0B5D7713">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住宿业</w:t>
            </w:r>
          </w:p>
        </w:tc>
        <w:tc>
          <w:tcPr>
            <w:tcW w:w="1383" w:type="dxa"/>
            <w:tcBorders>
              <w:top w:val="nil"/>
              <w:left w:val="nil"/>
              <w:bottom w:val="single" w:color="auto" w:sz="4" w:space="0"/>
              <w:right w:val="single" w:color="auto" w:sz="4" w:space="0"/>
            </w:tcBorders>
            <w:noWrap/>
            <w:vAlign w:val="center"/>
          </w:tcPr>
          <w:p w14:paraId="7CB1BEC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ign w:val="center"/>
          </w:tcPr>
          <w:p w14:paraId="79DF1FF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19" w:type="dxa"/>
            <w:tcBorders>
              <w:top w:val="nil"/>
              <w:left w:val="nil"/>
              <w:bottom w:val="single" w:color="auto" w:sz="4" w:space="0"/>
              <w:right w:val="single" w:color="auto" w:sz="4" w:space="0"/>
            </w:tcBorders>
            <w:noWrap/>
            <w:vAlign w:val="center"/>
          </w:tcPr>
          <w:p w14:paraId="48BBD41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439" w:type="dxa"/>
            <w:tcBorders>
              <w:top w:val="nil"/>
              <w:left w:val="nil"/>
              <w:bottom w:val="single" w:color="auto" w:sz="4" w:space="0"/>
              <w:right w:val="single" w:color="auto" w:sz="4" w:space="0"/>
            </w:tcBorders>
            <w:noWrap/>
            <w:vAlign w:val="center"/>
          </w:tcPr>
          <w:p w14:paraId="373AA9D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25" w:type="dxa"/>
            <w:tcBorders>
              <w:top w:val="nil"/>
              <w:left w:val="nil"/>
              <w:bottom w:val="single" w:color="auto" w:sz="4" w:space="0"/>
              <w:right w:val="single" w:color="auto" w:sz="4" w:space="0"/>
            </w:tcBorders>
            <w:noWrap/>
            <w:vAlign w:val="center"/>
          </w:tcPr>
          <w:p w14:paraId="1297EE2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5DEDCEBE">
        <w:tblPrEx>
          <w:tblCellMar>
            <w:top w:w="0" w:type="dxa"/>
            <w:left w:w="108" w:type="dxa"/>
            <w:bottom w:w="0" w:type="dxa"/>
            <w:right w:w="108" w:type="dxa"/>
          </w:tblCellMar>
        </w:tblPrEx>
        <w:trPr>
          <w:trHeight w:val="360" w:hRule="atLeast"/>
          <w:jc w:val="center"/>
        </w:trPr>
        <w:tc>
          <w:tcPr>
            <w:tcW w:w="1701" w:type="dxa"/>
            <w:vMerge w:val="continue"/>
            <w:tcBorders>
              <w:top w:val="nil"/>
              <w:left w:val="single" w:color="auto" w:sz="4" w:space="0"/>
              <w:bottom w:val="single" w:color="auto" w:sz="4" w:space="0"/>
              <w:right w:val="single" w:color="auto" w:sz="4" w:space="0"/>
            </w:tcBorders>
            <w:noWrap/>
            <w:vAlign w:val="center"/>
          </w:tcPr>
          <w:p w14:paraId="47486E41">
            <w:pPr>
              <w:widowControl/>
              <w:jc w:val="left"/>
              <w:rPr>
                <w:rFonts w:ascii="宋体" w:hAnsi="宋体" w:cs="宋体"/>
                <w:b/>
                <w:bCs/>
                <w:color w:val="auto"/>
                <w:kern w:val="0"/>
                <w:sz w:val="18"/>
                <w:szCs w:val="18"/>
                <w:highlight w:val="none"/>
              </w:rPr>
            </w:pPr>
          </w:p>
        </w:tc>
        <w:tc>
          <w:tcPr>
            <w:tcW w:w="1383" w:type="dxa"/>
            <w:tcBorders>
              <w:top w:val="nil"/>
              <w:left w:val="nil"/>
              <w:bottom w:val="single" w:color="auto" w:sz="4" w:space="0"/>
              <w:right w:val="single" w:color="auto" w:sz="4" w:space="0"/>
            </w:tcBorders>
            <w:noWrap/>
            <w:vAlign w:val="center"/>
          </w:tcPr>
          <w:p w14:paraId="18C5AC4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14:paraId="04C33AD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noWrap/>
            <w:vAlign w:val="center"/>
          </w:tcPr>
          <w:p w14:paraId="38AA3F1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439" w:type="dxa"/>
            <w:tcBorders>
              <w:top w:val="nil"/>
              <w:left w:val="nil"/>
              <w:bottom w:val="single" w:color="auto" w:sz="4" w:space="0"/>
              <w:right w:val="single" w:color="auto" w:sz="4" w:space="0"/>
            </w:tcBorders>
            <w:noWrap/>
            <w:vAlign w:val="center"/>
          </w:tcPr>
          <w:p w14:paraId="24FE4A0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925" w:type="dxa"/>
            <w:tcBorders>
              <w:top w:val="nil"/>
              <w:left w:val="nil"/>
              <w:bottom w:val="single" w:color="auto" w:sz="4" w:space="0"/>
              <w:right w:val="single" w:color="auto" w:sz="4" w:space="0"/>
            </w:tcBorders>
            <w:noWrap/>
            <w:vAlign w:val="center"/>
          </w:tcPr>
          <w:p w14:paraId="2C2C9D3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545DE19A">
        <w:tblPrEx>
          <w:tblCellMar>
            <w:top w:w="0" w:type="dxa"/>
            <w:left w:w="108" w:type="dxa"/>
            <w:bottom w:w="0" w:type="dxa"/>
            <w:right w:w="108" w:type="dxa"/>
          </w:tblCellMar>
        </w:tblPrEx>
        <w:trPr>
          <w:trHeight w:val="360"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14:paraId="1B0FEC80">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餐饮业</w:t>
            </w:r>
          </w:p>
        </w:tc>
        <w:tc>
          <w:tcPr>
            <w:tcW w:w="1383" w:type="dxa"/>
            <w:tcBorders>
              <w:top w:val="nil"/>
              <w:left w:val="nil"/>
              <w:bottom w:val="single" w:color="auto" w:sz="4" w:space="0"/>
              <w:right w:val="single" w:color="auto" w:sz="4" w:space="0"/>
            </w:tcBorders>
            <w:noWrap/>
            <w:vAlign w:val="center"/>
          </w:tcPr>
          <w:p w14:paraId="78D43C6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ign w:val="center"/>
          </w:tcPr>
          <w:p w14:paraId="13EAE68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19" w:type="dxa"/>
            <w:tcBorders>
              <w:top w:val="nil"/>
              <w:left w:val="nil"/>
              <w:bottom w:val="single" w:color="auto" w:sz="4" w:space="0"/>
              <w:right w:val="single" w:color="auto" w:sz="4" w:space="0"/>
            </w:tcBorders>
            <w:noWrap/>
            <w:vAlign w:val="center"/>
          </w:tcPr>
          <w:p w14:paraId="46E86BD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439" w:type="dxa"/>
            <w:tcBorders>
              <w:top w:val="nil"/>
              <w:left w:val="nil"/>
              <w:bottom w:val="single" w:color="auto" w:sz="4" w:space="0"/>
              <w:right w:val="single" w:color="auto" w:sz="4" w:space="0"/>
            </w:tcBorders>
            <w:noWrap/>
            <w:vAlign w:val="center"/>
          </w:tcPr>
          <w:p w14:paraId="139F436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25" w:type="dxa"/>
            <w:tcBorders>
              <w:top w:val="nil"/>
              <w:left w:val="nil"/>
              <w:bottom w:val="single" w:color="auto" w:sz="4" w:space="0"/>
              <w:right w:val="single" w:color="auto" w:sz="4" w:space="0"/>
            </w:tcBorders>
            <w:noWrap/>
            <w:vAlign w:val="center"/>
          </w:tcPr>
          <w:p w14:paraId="7B554BD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68C896E2">
        <w:tblPrEx>
          <w:tblCellMar>
            <w:top w:w="0" w:type="dxa"/>
            <w:left w:w="108" w:type="dxa"/>
            <w:bottom w:w="0" w:type="dxa"/>
            <w:right w:w="108" w:type="dxa"/>
          </w:tblCellMar>
        </w:tblPrEx>
        <w:trPr>
          <w:trHeight w:val="371" w:hRule="atLeast"/>
          <w:jc w:val="center"/>
        </w:trPr>
        <w:tc>
          <w:tcPr>
            <w:tcW w:w="1701" w:type="dxa"/>
            <w:vMerge w:val="continue"/>
            <w:tcBorders>
              <w:top w:val="nil"/>
              <w:left w:val="single" w:color="auto" w:sz="4" w:space="0"/>
              <w:bottom w:val="single" w:color="auto" w:sz="4" w:space="0"/>
              <w:right w:val="single" w:color="auto" w:sz="4" w:space="0"/>
            </w:tcBorders>
            <w:noWrap/>
            <w:vAlign w:val="center"/>
          </w:tcPr>
          <w:p w14:paraId="5F86427F">
            <w:pPr>
              <w:widowControl/>
              <w:jc w:val="left"/>
              <w:rPr>
                <w:rFonts w:ascii="宋体" w:hAnsi="宋体" w:cs="宋体"/>
                <w:b/>
                <w:bCs/>
                <w:color w:val="auto"/>
                <w:kern w:val="0"/>
                <w:sz w:val="18"/>
                <w:szCs w:val="18"/>
                <w:highlight w:val="none"/>
              </w:rPr>
            </w:pPr>
          </w:p>
        </w:tc>
        <w:tc>
          <w:tcPr>
            <w:tcW w:w="1383" w:type="dxa"/>
            <w:tcBorders>
              <w:top w:val="nil"/>
              <w:left w:val="nil"/>
              <w:bottom w:val="single" w:color="auto" w:sz="4" w:space="0"/>
              <w:right w:val="single" w:color="auto" w:sz="4" w:space="0"/>
            </w:tcBorders>
            <w:noWrap/>
            <w:vAlign w:val="center"/>
          </w:tcPr>
          <w:p w14:paraId="552D45C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14:paraId="283DD96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noWrap/>
            <w:vAlign w:val="center"/>
          </w:tcPr>
          <w:p w14:paraId="3B328B5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439" w:type="dxa"/>
            <w:tcBorders>
              <w:top w:val="nil"/>
              <w:left w:val="nil"/>
              <w:bottom w:val="single" w:color="auto" w:sz="4" w:space="0"/>
              <w:right w:val="single" w:color="auto" w:sz="4" w:space="0"/>
            </w:tcBorders>
            <w:noWrap/>
            <w:vAlign w:val="center"/>
          </w:tcPr>
          <w:p w14:paraId="3547955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925" w:type="dxa"/>
            <w:tcBorders>
              <w:top w:val="nil"/>
              <w:left w:val="nil"/>
              <w:bottom w:val="single" w:color="auto" w:sz="4" w:space="0"/>
              <w:right w:val="single" w:color="auto" w:sz="4" w:space="0"/>
            </w:tcBorders>
            <w:noWrap/>
            <w:vAlign w:val="center"/>
          </w:tcPr>
          <w:p w14:paraId="5049877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264ED3EA">
        <w:tblPrEx>
          <w:tblCellMar>
            <w:top w:w="0" w:type="dxa"/>
            <w:left w:w="108" w:type="dxa"/>
            <w:bottom w:w="0" w:type="dxa"/>
            <w:right w:w="108" w:type="dxa"/>
          </w:tblCellMar>
        </w:tblPrEx>
        <w:trPr>
          <w:trHeight w:val="302"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14:paraId="46AC9833">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信息传输业</w:t>
            </w:r>
          </w:p>
        </w:tc>
        <w:tc>
          <w:tcPr>
            <w:tcW w:w="1383" w:type="dxa"/>
            <w:tcBorders>
              <w:top w:val="nil"/>
              <w:left w:val="nil"/>
              <w:bottom w:val="single" w:color="auto" w:sz="4" w:space="0"/>
              <w:right w:val="single" w:color="auto" w:sz="4" w:space="0"/>
            </w:tcBorders>
            <w:noWrap/>
            <w:vAlign w:val="center"/>
          </w:tcPr>
          <w:p w14:paraId="2E69D25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ign w:val="center"/>
          </w:tcPr>
          <w:p w14:paraId="7EFB6E6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19" w:type="dxa"/>
            <w:tcBorders>
              <w:top w:val="nil"/>
              <w:left w:val="nil"/>
              <w:bottom w:val="single" w:color="auto" w:sz="4" w:space="0"/>
              <w:right w:val="single" w:color="auto" w:sz="4" w:space="0"/>
            </w:tcBorders>
            <w:noWrap/>
            <w:vAlign w:val="center"/>
          </w:tcPr>
          <w:p w14:paraId="1000443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100≤X＜2000</w:t>
            </w:r>
          </w:p>
        </w:tc>
        <w:tc>
          <w:tcPr>
            <w:tcW w:w="1439" w:type="dxa"/>
            <w:tcBorders>
              <w:top w:val="nil"/>
              <w:left w:val="nil"/>
              <w:bottom w:val="single" w:color="auto" w:sz="4" w:space="0"/>
              <w:right w:val="single" w:color="auto" w:sz="4" w:space="0"/>
            </w:tcBorders>
            <w:noWrap/>
            <w:vAlign w:val="center"/>
          </w:tcPr>
          <w:p w14:paraId="7335487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25" w:type="dxa"/>
            <w:tcBorders>
              <w:top w:val="nil"/>
              <w:left w:val="nil"/>
              <w:bottom w:val="single" w:color="auto" w:sz="4" w:space="0"/>
              <w:right w:val="single" w:color="auto" w:sz="4" w:space="0"/>
            </w:tcBorders>
            <w:noWrap/>
            <w:vAlign w:val="center"/>
          </w:tcPr>
          <w:p w14:paraId="1B1AD8B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7FB7D53E">
        <w:tblPrEx>
          <w:tblCellMar>
            <w:top w:w="0" w:type="dxa"/>
            <w:left w:w="108" w:type="dxa"/>
            <w:bottom w:w="0" w:type="dxa"/>
            <w:right w:w="108" w:type="dxa"/>
          </w:tblCellMar>
        </w:tblPrEx>
        <w:trPr>
          <w:trHeight w:val="314" w:hRule="atLeast"/>
          <w:jc w:val="center"/>
        </w:trPr>
        <w:tc>
          <w:tcPr>
            <w:tcW w:w="1701" w:type="dxa"/>
            <w:vMerge w:val="continue"/>
            <w:tcBorders>
              <w:top w:val="nil"/>
              <w:left w:val="single" w:color="auto" w:sz="4" w:space="0"/>
              <w:bottom w:val="single" w:color="auto" w:sz="4" w:space="0"/>
              <w:right w:val="single" w:color="auto" w:sz="4" w:space="0"/>
            </w:tcBorders>
            <w:noWrap/>
            <w:vAlign w:val="center"/>
          </w:tcPr>
          <w:p w14:paraId="3BE5C1C4">
            <w:pPr>
              <w:widowControl/>
              <w:jc w:val="left"/>
              <w:rPr>
                <w:rFonts w:ascii="宋体" w:hAnsi="宋体" w:cs="宋体"/>
                <w:b/>
                <w:bCs/>
                <w:color w:val="auto"/>
                <w:kern w:val="0"/>
                <w:sz w:val="18"/>
                <w:szCs w:val="18"/>
                <w:highlight w:val="none"/>
              </w:rPr>
            </w:pPr>
          </w:p>
        </w:tc>
        <w:tc>
          <w:tcPr>
            <w:tcW w:w="1383" w:type="dxa"/>
            <w:tcBorders>
              <w:top w:val="nil"/>
              <w:left w:val="nil"/>
              <w:bottom w:val="single" w:color="auto" w:sz="4" w:space="0"/>
              <w:right w:val="single" w:color="auto" w:sz="4" w:space="0"/>
            </w:tcBorders>
            <w:noWrap/>
            <w:vAlign w:val="center"/>
          </w:tcPr>
          <w:p w14:paraId="314FAF4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14:paraId="5AD232A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noWrap/>
            <w:vAlign w:val="center"/>
          </w:tcPr>
          <w:p w14:paraId="1F118C6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1000≤Y＜100000</w:t>
            </w:r>
          </w:p>
        </w:tc>
        <w:tc>
          <w:tcPr>
            <w:tcW w:w="1439" w:type="dxa"/>
            <w:tcBorders>
              <w:top w:val="nil"/>
              <w:left w:val="nil"/>
              <w:bottom w:val="single" w:color="auto" w:sz="4" w:space="0"/>
              <w:right w:val="single" w:color="auto" w:sz="4" w:space="0"/>
            </w:tcBorders>
            <w:noWrap/>
            <w:vAlign w:val="center"/>
          </w:tcPr>
          <w:p w14:paraId="15F292F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925" w:type="dxa"/>
            <w:tcBorders>
              <w:top w:val="nil"/>
              <w:left w:val="nil"/>
              <w:bottom w:val="single" w:color="auto" w:sz="4" w:space="0"/>
              <w:right w:val="single" w:color="auto" w:sz="4" w:space="0"/>
            </w:tcBorders>
            <w:noWrap/>
            <w:vAlign w:val="center"/>
          </w:tcPr>
          <w:p w14:paraId="39AD535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1F82B254">
        <w:tblPrEx>
          <w:tblCellMar>
            <w:top w:w="0" w:type="dxa"/>
            <w:left w:w="108" w:type="dxa"/>
            <w:bottom w:w="0" w:type="dxa"/>
            <w:right w:w="108" w:type="dxa"/>
          </w:tblCellMar>
        </w:tblPrEx>
        <w:trPr>
          <w:trHeight w:val="326"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14:paraId="68F40311">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软件和信息技术服务业</w:t>
            </w:r>
          </w:p>
        </w:tc>
        <w:tc>
          <w:tcPr>
            <w:tcW w:w="1383" w:type="dxa"/>
            <w:tcBorders>
              <w:top w:val="nil"/>
              <w:left w:val="nil"/>
              <w:bottom w:val="single" w:color="auto" w:sz="4" w:space="0"/>
              <w:right w:val="single" w:color="auto" w:sz="4" w:space="0"/>
            </w:tcBorders>
            <w:noWrap/>
            <w:vAlign w:val="center"/>
          </w:tcPr>
          <w:p w14:paraId="31259B5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ign w:val="center"/>
          </w:tcPr>
          <w:p w14:paraId="1731962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19" w:type="dxa"/>
            <w:tcBorders>
              <w:top w:val="nil"/>
              <w:left w:val="nil"/>
              <w:bottom w:val="single" w:color="auto" w:sz="4" w:space="0"/>
              <w:right w:val="single" w:color="auto" w:sz="4" w:space="0"/>
            </w:tcBorders>
            <w:noWrap/>
            <w:vAlign w:val="center"/>
          </w:tcPr>
          <w:p w14:paraId="644AAD4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439" w:type="dxa"/>
            <w:tcBorders>
              <w:top w:val="nil"/>
              <w:left w:val="nil"/>
              <w:bottom w:val="single" w:color="auto" w:sz="4" w:space="0"/>
              <w:right w:val="single" w:color="auto" w:sz="4" w:space="0"/>
            </w:tcBorders>
            <w:noWrap/>
            <w:vAlign w:val="center"/>
          </w:tcPr>
          <w:p w14:paraId="7271F98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25" w:type="dxa"/>
            <w:tcBorders>
              <w:top w:val="nil"/>
              <w:left w:val="nil"/>
              <w:bottom w:val="single" w:color="auto" w:sz="4" w:space="0"/>
              <w:right w:val="single" w:color="auto" w:sz="4" w:space="0"/>
            </w:tcBorders>
            <w:noWrap/>
            <w:vAlign w:val="center"/>
          </w:tcPr>
          <w:p w14:paraId="7BBC6C3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522B7F41">
        <w:tblPrEx>
          <w:tblCellMar>
            <w:top w:w="0" w:type="dxa"/>
            <w:left w:w="108" w:type="dxa"/>
            <w:bottom w:w="0" w:type="dxa"/>
            <w:right w:w="108" w:type="dxa"/>
          </w:tblCellMar>
        </w:tblPrEx>
        <w:trPr>
          <w:trHeight w:val="325" w:hRule="atLeast"/>
          <w:jc w:val="center"/>
        </w:trPr>
        <w:tc>
          <w:tcPr>
            <w:tcW w:w="1701" w:type="dxa"/>
            <w:vMerge w:val="continue"/>
            <w:tcBorders>
              <w:top w:val="nil"/>
              <w:left w:val="single" w:color="auto" w:sz="4" w:space="0"/>
              <w:bottom w:val="single" w:color="auto" w:sz="4" w:space="0"/>
              <w:right w:val="single" w:color="auto" w:sz="4" w:space="0"/>
            </w:tcBorders>
            <w:noWrap/>
            <w:vAlign w:val="center"/>
          </w:tcPr>
          <w:p w14:paraId="1A4E1FD3">
            <w:pPr>
              <w:widowControl/>
              <w:jc w:val="left"/>
              <w:rPr>
                <w:rFonts w:ascii="宋体" w:hAnsi="宋体" w:cs="宋体"/>
                <w:b/>
                <w:bCs/>
                <w:color w:val="auto"/>
                <w:kern w:val="0"/>
                <w:sz w:val="18"/>
                <w:szCs w:val="18"/>
                <w:highlight w:val="none"/>
              </w:rPr>
            </w:pPr>
          </w:p>
        </w:tc>
        <w:tc>
          <w:tcPr>
            <w:tcW w:w="1383" w:type="dxa"/>
            <w:tcBorders>
              <w:top w:val="nil"/>
              <w:left w:val="nil"/>
              <w:bottom w:val="single" w:color="auto" w:sz="4" w:space="0"/>
              <w:right w:val="single" w:color="auto" w:sz="4" w:space="0"/>
            </w:tcBorders>
            <w:noWrap/>
            <w:vAlign w:val="center"/>
          </w:tcPr>
          <w:p w14:paraId="5F2ED1D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14:paraId="3B7F671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noWrap/>
            <w:vAlign w:val="center"/>
          </w:tcPr>
          <w:p w14:paraId="24F40C8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1000≤Y＜10000</w:t>
            </w:r>
          </w:p>
        </w:tc>
        <w:tc>
          <w:tcPr>
            <w:tcW w:w="1439" w:type="dxa"/>
            <w:tcBorders>
              <w:top w:val="nil"/>
              <w:left w:val="nil"/>
              <w:bottom w:val="single" w:color="auto" w:sz="4" w:space="0"/>
              <w:right w:val="single" w:color="auto" w:sz="4" w:space="0"/>
            </w:tcBorders>
            <w:noWrap/>
            <w:vAlign w:val="center"/>
          </w:tcPr>
          <w:p w14:paraId="4C3AB40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50≤Y＜1000</w:t>
            </w:r>
          </w:p>
        </w:tc>
        <w:tc>
          <w:tcPr>
            <w:tcW w:w="925" w:type="dxa"/>
            <w:tcBorders>
              <w:top w:val="nil"/>
              <w:left w:val="nil"/>
              <w:bottom w:val="single" w:color="auto" w:sz="4" w:space="0"/>
              <w:right w:val="single" w:color="auto" w:sz="4" w:space="0"/>
            </w:tcBorders>
            <w:noWrap/>
            <w:vAlign w:val="center"/>
          </w:tcPr>
          <w:p w14:paraId="0B41C4B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6244BAAC">
        <w:tblPrEx>
          <w:tblCellMar>
            <w:top w:w="0" w:type="dxa"/>
            <w:left w:w="108" w:type="dxa"/>
            <w:bottom w:w="0" w:type="dxa"/>
            <w:right w:w="108" w:type="dxa"/>
          </w:tblCellMar>
        </w:tblPrEx>
        <w:trPr>
          <w:trHeight w:val="326"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14:paraId="5AB3B607">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房地产开发经营</w:t>
            </w:r>
          </w:p>
        </w:tc>
        <w:tc>
          <w:tcPr>
            <w:tcW w:w="1383" w:type="dxa"/>
            <w:tcBorders>
              <w:top w:val="nil"/>
              <w:left w:val="nil"/>
              <w:bottom w:val="single" w:color="auto" w:sz="4" w:space="0"/>
              <w:right w:val="single" w:color="auto" w:sz="4" w:space="0"/>
            </w:tcBorders>
            <w:noWrap/>
            <w:vAlign w:val="center"/>
          </w:tcPr>
          <w:p w14:paraId="48C23D1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14:paraId="35193D7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noWrap/>
            <w:vAlign w:val="center"/>
          </w:tcPr>
          <w:p w14:paraId="271B528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1000≤Y＜200000</w:t>
            </w:r>
          </w:p>
        </w:tc>
        <w:tc>
          <w:tcPr>
            <w:tcW w:w="1439" w:type="dxa"/>
            <w:tcBorders>
              <w:top w:val="nil"/>
              <w:left w:val="nil"/>
              <w:bottom w:val="single" w:color="auto" w:sz="4" w:space="0"/>
              <w:right w:val="single" w:color="auto" w:sz="4" w:space="0"/>
            </w:tcBorders>
            <w:noWrap/>
            <w:vAlign w:val="center"/>
          </w:tcPr>
          <w:p w14:paraId="0B238CF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100≤X＜1000</w:t>
            </w:r>
          </w:p>
        </w:tc>
        <w:tc>
          <w:tcPr>
            <w:tcW w:w="925" w:type="dxa"/>
            <w:tcBorders>
              <w:top w:val="nil"/>
              <w:left w:val="nil"/>
              <w:bottom w:val="single" w:color="auto" w:sz="4" w:space="0"/>
              <w:right w:val="single" w:color="auto" w:sz="4" w:space="0"/>
            </w:tcBorders>
            <w:noWrap/>
            <w:vAlign w:val="center"/>
          </w:tcPr>
          <w:p w14:paraId="2C02744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2E4C9BCB">
        <w:tblPrEx>
          <w:tblCellMar>
            <w:top w:w="0" w:type="dxa"/>
            <w:left w:w="108" w:type="dxa"/>
            <w:bottom w:w="0" w:type="dxa"/>
            <w:right w:w="108" w:type="dxa"/>
          </w:tblCellMar>
        </w:tblPrEx>
        <w:trPr>
          <w:trHeight w:val="325" w:hRule="atLeast"/>
          <w:jc w:val="center"/>
        </w:trPr>
        <w:tc>
          <w:tcPr>
            <w:tcW w:w="1701" w:type="dxa"/>
            <w:vMerge w:val="continue"/>
            <w:tcBorders>
              <w:top w:val="nil"/>
              <w:left w:val="single" w:color="auto" w:sz="4" w:space="0"/>
              <w:bottom w:val="single" w:color="auto" w:sz="4" w:space="0"/>
              <w:right w:val="single" w:color="auto" w:sz="4" w:space="0"/>
            </w:tcBorders>
            <w:noWrap/>
            <w:vAlign w:val="center"/>
          </w:tcPr>
          <w:p w14:paraId="548D1DBF">
            <w:pPr>
              <w:widowControl/>
              <w:jc w:val="left"/>
              <w:rPr>
                <w:rFonts w:ascii="宋体" w:hAnsi="宋体" w:cs="宋体"/>
                <w:b/>
                <w:bCs/>
                <w:color w:val="auto"/>
                <w:kern w:val="0"/>
                <w:sz w:val="18"/>
                <w:szCs w:val="18"/>
                <w:highlight w:val="none"/>
              </w:rPr>
            </w:pPr>
          </w:p>
        </w:tc>
        <w:tc>
          <w:tcPr>
            <w:tcW w:w="1383" w:type="dxa"/>
            <w:tcBorders>
              <w:top w:val="nil"/>
              <w:left w:val="nil"/>
              <w:bottom w:val="single" w:color="auto" w:sz="4" w:space="0"/>
              <w:right w:val="single" w:color="auto" w:sz="4" w:space="0"/>
            </w:tcBorders>
            <w:noWrap/>
            <w:vAlign w:val="center"/>
          </w:tcPr>
          <w:p w14:paraId="4FAF8C5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913" w:type="dxa"/>
            <w:tcBorders>
              <w:top w:val="nil"/>
              <w:left w:val="nil"/>
              <w:bottom w:val="single" w:color="auto" w:sz="4" w:space="0"/>
              <w:right w:val="single" w:color="auto" w:sz="4" w:space="0"/>
            </w:tcBorders>
            <w:noWrap/>
            <w:vAlign w:val="center"/>
          </w:tcPr>
          <w:p w14:paraId="7E534C6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noWrap/>
            <w:vAlign w:val="center"/>
          </w:tcPr>
          <w:p w14:paraId="5A93B62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5000≤Z＜10000</w:t>
            </w:r>
          </w:p>
        </w:tc>
        <w:tc>
          <w:tcPr>
            <w:tcW w:w="1439" w:type="dxa"/>
            <w:tcBorders>
              <w:top w:val="nil"/>
              <w:left w:val="nil"/>
              <w:bottom w:val="single" w:color="auto" w:sz="4" w:space="0"/>
              <w:right w:val="single" w:color="auto" w:sz="4" w:space="0"/>
            </w:tcBorders>
            <w:noWrap/>
            <w:vAlign w:val="center"/>
          </w:tcPr>
          <w:p w14:paraId="2014E50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2000≤Y＜5000</w:t>
            </w:r>
          </w:p>
        </w:tc>
        <w:tc>
          <w:tcPr>
            <w:tcW w:w="925" w:type="dxa"/>
            <w:tcBorders>
              <w:top w:val="nil"/>
              <w:left w:val="nil"/>
              <w:bottom w:val="single" w:color="auto" w:sz="4" w:space="0"/>
              <w:right w:val="single" w:color="auto" w:sz="4" w:space="0"/>
            </w:tcBorders>
            <w:noWrap/>
            <w:vAlign w:val="center"/>
          </w:tcPr>
          <w:p w14:paraId="142149B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w:t>
            </w:r>
          </w:p>
        </w:tc>
      </w:tr>
      <w:tr w14:paraId="3B8A5B4C">
        <w:tblPrEx>
          <w:tblCellMar>
            <w:top w:w="0" w:type="dxa"/>
            <w:left w:w="108" w:type="dxa"/>
            <w:bottom w:w="0" w:type="dxa"/>
            <w:right w:w="108" w:type="dxa"/>
          </w:tblCellMar>
        </w:tblPrEx>
        <w:trPr>
          <w:trHeight w:val="371"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14:paraId="4371B84D">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物业管理</w:t>
            </w:r>
          </w:p>
        </w:tc>
        <w:tc>
          <w:tcPr>
            <w:tcW w:w="1383" w:type="dxa"/>
            <w:tcBorders>
              <w:top w:val="nil"/>
              <w:left w:val="nil"/>
              <w:bottom w:val="single" w:color="auto" w:sz="4" w:space="0"/>
              <w:right w:val="single" w:color="auto" w:sz="4" w:space="0"/>
            </w:tcBorders>
            <w:noWrap/>
            <w:vAlign w:val="center"/>
          </w:tcPr>
          <w:p w14:paraId="5AE577D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ign w:val="center"/>
          </w:tcPr>
          <w:p w14:paraId="41146CE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19" w:type="dxa"/>
            <w:tcBorders>
              <w:top w:val="nil"/>
              <w:left w:val="nil"/>
              <w:bottom w:val="single" w:color="auto" w:sz="4" w:space="0"/>
              <w:right w:val="single" w:color="auto" w:sz="4" w:space="0"/>
            </w:tcBorders>
            <w:noWrap/>
            <w:vAlign w:val="center"/>
          </w:tcPr>
          <w:p w14:paraId="7E9CECD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39" w:type="dxa"/>
            <w:tcBorders>
              <w:top w:val="nil"/>
              <w:left w:val="nil"/>
              <w:bottom w:val="single" w:color="auto" w:sz="4" w:space="0"/>
              <w:right w:val="single" w:color="auto" w:sz="4" w:space="0"/>
            </w:tcBorders>
            <w:noWrap/>
            <w:vAlign w:val="center"/>
          </w:tcPr>
          <w:p w14:paraId="0CF4CEC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925" w:type="dxa"/>
            <w:tcBorders>
              <w:top w:val="nil"/>
              <w:left w:val="nil"/>
              <w:bottom w:val="single" w:color="auto" w:sz="4" w:space="0"/>
              <w:right w:val="single" w:color="auto" w:sz="4" w:space="0"/>
            </w:tcBorders>
            <w:noWrap/>
            <w:vAlign w:val="center"/>
          </w:tcPr>
          <w:p w14:paraId="5875462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5B96546E">
        <w:tblPrEx>
          <w:tblCellMar>
            <w:top w:w="0" w:type="dxa"/>
            <w:left w:w="108" w:type="dxa"/>
            <w:bottom w:w="0" w:type="dxa"/>
            <w:right w:w="108" w:type="dxa"/>
          </w:tblCellMar>
        </w:tblPrEx>
        <w:trPr>
          <w:trHeight w:val="371" w:hRule="atLeast"/>
          <w:jc w:val="center"/>
        </w:trPr>
        <w:tc>
          <w:tcPr>
            <w:tcW w:w="1701" w:type="dxa"/>
            <w:vMerge w:val="continue"/>
            <w:tcBorders>
              <w:top w:val="nil"/>
              <w:left w:val="single" w:color="auto" w:sz="4" w:space="0"/>
              <w:bottom w:val="single" w:color="auto" w:sz="4" w:space="0"/>
              <w:right w:val="single" w:color="auto" w:sz="4" w:space="0"/>
            </w:tcBorders>
            <w:noWrap/>
            <w:vAlign w:val="center"/>
          </w:tcPr>
          <w:p w14:paraId="17FDA309">
            <w:pPr>
              <w:widowControl/>
              <w:jc w:val="left"/>
              <w:rPr>
                <w:rFonts w:ascii="宋体" w:hAnsi="宋体" w:cs="宋体"/>
                <w:b/>
                <w:bCs/>
                <w:color w:val="auto"/>
                <w:kern w:val="0"/>
                <w:sz w:val="18"/>
                <w:szCs w:val="18"/>
                <w:highlight w:val="none"/>
              </w:rPr>
            </w:pPr>
          </w:p>
        </w:tc>
        <w:tc>
          <w:tcPr>
            <w:tcW w:w="1383" w:type="dxa"/>
            <w:tcBorders>
              <w:top w:val="nil"/>
              <w:left w:val="nil"/>
              <w:bottom w:val="single" w:color="auto" w:sz="4" w:space="0"/>
              <w:right w:val="single" w:color="auto" w:sz="4" w:space="0"/>
            </w:tcBorders>
            <w:noWrap/>
            <w:vAlign w:val="center"/>
          </w:tcPr>
          <w:p w14:paraId="0CFD089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14:paraId="37AEFDA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noWrap/>
            <w:vAlign w:val="center"/>
          </w:tcPr>
          <w:p w14:paraId="62DEE7D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1439" w:type="dxa"/>
            <w:tcBorders>
              <w:top w:val="nil"/>
              <w:left w:val="nil"/>
              <w:bottom w:val="single" w:color="auto" w:sz="4" w:space="0"/>
              <w:right w:val="single" w:color="auto" w:sz="4" w:space="0"/>
            </w:tcBorders>
            <w:noWrap/>
            <w:vAlign w:val="center"/>
          </w:tcPr>
          <w:p w14:paraId="50C5392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500≤Y＜1000</w:t>
            </w:r>
          </w:p>
        </w:tc>
        <w:tc>
          <w:tcPr>
            <w:tcW w:w="925" w:type="dxa"/>
            <w:tcBorders>
              <w:top w:val="nil"/>
              <w:left w:val="nil"/>
              <w:bottom w:val="single" w:color="auto" w:sz="4" w:space="0"/>
              <w:right w:val="single" w:color="auto" w:sz="4" w:space="0"/>
            </w:tcBorders>
            <w:noWrap/>
            <w:vAlign w:val="center"/>
          </w:tcPr>
          <w:p w14:paraId="2FC2E15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Y＜500</w:t>
            </w:r>
          </w:p>
        </w:tc>
      </w:tr>
      <w:tr w14:paraId="02CB78A9">
        <w:tblPrEx>
          <w:tblCellMar>
            <w:top w:w="0" w:type="dxa"/>
            <w:left w:w="108" w:type="dxa"/>
            <w:bottom w:w="0" w:type="dxa"/>
            <w:right w:w="108" w:type="dxa"/>
          </w:tblCellMar>
        </w:tblPrEx>
        <w:trPr>
          <w:trHeight w:val="337"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14:paraId="52F3D1EC">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租赁和商务服务业</w:t>
            </w:r>
          </w:p>
        </w:tc>
        <w:tc>
          <w:tcPr>
            <w:tcW w:w="1383" w:type="dxa"/>
            <w:tcBorders>
              <w:top w:val="nil"/>
              <w:left w:val="nil"/>
              <w:bottom w:val="single" w:color="auto" w:sz="4" w:space="0"/>
              <w:right w:val="single" w:color="auto" w:sz="4" w:space="0"/>
            </w:tcBorders>
            <w:noWrap/>
            <w:vAlign w:val="center"/>
          </w:tcPr>
          <w:p w14:paraId="2C5D355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ign w:val="center"/>
          </w:tcPr>
          <w:p w14:paraId="7775A04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19" w:type="dxa"/>
            <w:tcBorders>
              <w:top w:val="nil"/>
              <w:left w:val="nil"/>
              <w:bottom w:val="single" w:color="auto" w:sz="4" w:space="0"/>
              <w:right w:val="single" w:color="auto" w:sz="4" w:space="0"/>
            </w:tcBorders>
            <w:noWrap/>
            <w:vAlign w:val="center"/>
          </w:tcPr>
          <w:p w14:paraId="6AF6304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439" w:type="dxa"/>
            <w:tcBorders>
              <w:top w:val="nil"/>
              <w:left w:val="nil"/>
              <w:bottom w:val="single" w:color="auto" w:sz="4" w:space="0"/>
              <w:right w:val="single" w:color="auto" w:sz="4" w:space="0"/>
            </w:tcBorders>
            <w:noWrap/>
            <w:vAlign w:val="center"/>
          </w:tcPr>
          <w:p w14:paraId="59F9248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25" w:type="dxa"/>
            <w:tcBorders>
              <w:top w:val="nil"/>
              <w:left w:val="nil"/>
              <w:bottom w:val="single" w:color="auto" w:sz="4" w:space="0"/>
              <w:right w:val="single" w:color="auto" w:sz="4" w:space="0"/>
            </w:tcBorders>
            <w:noWrap/>
            <w:vAlign w:val="center"/>
          </w:tcPr>
          <w:p w14:paraId="2A8F26F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11E2D26A">
        <w:tblPrEx>
          <w:tblCellMar>
            <w:top w:w="0" w:type="dxa"/>
            <w:left w:w="108" w:type="dxa"/>
            <w:bottom w:w="0" w:type="dxa"/>
            <w:right w:w="108" w:type="dxa"/>
          </w:tblCellMar>
        </w:tblPrEx>
        <w:trPr>
          <w:trHeight w:val="360" w:hRule="atLeast"/>
          <w:jc w:val="center"/>
        </w:trPr>
        <w:tc>
          <w:tcPr>
            <w:tcW w:w="1701" w:type="dxa"/>
            <w:vMerge w:val="continue"/>
            <w:tcBorders>
              <w:top w:val="nil"/>
              <w:left w:val="single" w:color="auto" w:sz="4" w:space="0"/>
              <w:bottom w:val="single" w:color="auto" w:sz="4" w:space="0"/>
              <w:right w:val="single" w:color="auto" w:sz="4" w:space="0"/>
            </w:tcBorders>
            <w:noWrap/>
            <w:vAlign w:val="center"/>
          </w:tcPr>
          <w:p w14:paraId="2B0BB078">
            <w:pPr>
              <w:widowControl/>
              <w:jc w:val="left"/>
              <w:rPr>
                <w:rFonts w:ascii="宋体" w:hAnsi="宋体" w:cs="宋体"/>
                <w:b/>
                <w:bCs/>
                <w:color w:val="auto"/>
                <w:kern w:val="0"/>
                <w:sz w:val="18"/>
                <w:szCs w:val="18"/>
                <w:highlight w:val="none"/>
              </w:rPr>
            </w:pPr>
          </w:p>
        </w:tc>
        <w:tc>
          <w:tcPr>
            <w:tcW w:w="1383" w:type="dxa"/>
            <w:tcBorders>
              <w:top w:val="nil"/>
              <w:left w:val="nil"/>
              <w:bottom w:val="single" w:color="auto" w:sz="4" w:space="0"/>
              <w:right w:val="single" w:color="auto" w:sz="4" w:space="0"/>
            </w:tcBorders>
            <w:noWrap/>
            <w:vAlign w:val="center"/>
          </w:tcPr>
          <w:p w14:paraId="714E679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913" w:type="dxa"/>
            <w:tcBorders>
              <w:top w:val="nil"/>
              <w:left w:val="nil"/>
              <w:bottom w:val="single" w:color="auto" w:sz="4" w:space="0"/>
              <w:right w:val="single" w:color="auto" w:sz="4" w:space="0"/>
            </w:tcBorders>
            <w:noWrap/>
            <w:vAlign w:val="center"/>
          </w:tcPr>
          <w:p w14:paraId="150921A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noWrap/>
            <w:vAlign w:val="center"/>
          </w:tcPr>
          <w:p w14:paraId="415DA68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8000≤Z＜120000</w:t>
            </w:r>
          </w:p>
        </w:tc>
        <w:tc>
          <w:tcPr>
            <w:tcW w:w="1439" w:type="dxa"/>
            <w:tcBorders>
              <w:top w:val="nil"/>
              <w:left w:val="nil"/>
              <w:bottom w:val="single" w:color="auto" w:sz="4" w:space="0"/>
              <w:right w:val="single" w:color="auto" w:sz="4" w:space="0"/>
            </w:tcBorders>
            <w:noWrap/>
            <w:vAlign w:val="center"/>
          </w:tcPr>
          <w:p w14:paraId="638D309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100≤Z＜8000</w:t>
            </w:r>
          </w:p>
        </w:tc>
        <w:tc>
          <w:tcPr>
            <w:tcW w:w="925" w:type="dxa"/>
            <w:tcBorders>
              <w:top w:val="nil"/>
              <w:left w:val="nil"/>
              <w:bottom w:val="single" w:color="auto" w:sz="4" w:space="0"/>
              <w:right w:val="single" w:color="auto" w:sz="4" w:space="0"/>
            </w:tcBorders>
            <w:noWrap/>
            <w:vAlign w:val="center"/>
          </w:tcPr>
          <w:p w14:paraId="731A291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0D503B15">
        <w:tblPrEx>
          <w:tblCellMar>
            <w:top w:w="0" w:type="dxa"/>
            <w:left w:w="108" w:type="dxa"/>
            <w:bottom w:w="0" w:type="dxa"/>
            <w:right w:w="108" w:type="dxa"/>
          </w:tblCellMar>
        </w:tblPrEx>
        <w:trPr>
          <w:trHeight w:val="439" w:hRule="atLeast"/>
          <w:jc w:val="center"/>
        </w:trPr>
        <w:tc>
          <w:tcPr>
            <w:tcW w:w="1701" w:type="dxa"/>
            <w:tcBorders>
              <w:top w:val="nil"/>
              <w:left w:val="single" w:color="auto" w:sz="4" w:space="0"/>
              <w:bottom w:val="single" w:color="auto" w:sz="4" w:space="0"/>
              <w:right w:val="single" w:color="auto" w:sz="4" w:space="0"/>
            </w:tcBorders>
            <w:noWrap/>
            <w:vAlign w:val="bottom"/>
          </w:tcPr>
          <w:p w14:paraId="5F667DC3">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其他未列明行业</w:t>
            </w:r>
          </w:p>
        </w:tc>
        <w:tc>
          <w:tcPr>
            <w:tcW w:w="1383" w:type="dxa"/>
            <w:tcBorders>
              <w:top w:val="nil"/>
              <w:left w:val="nil"/>
              <w:bottom w:val="single" w:color="auto" w:sz="4" w:space="0"/>
              <w:right w:val="single" w:color="auto" w:sz="4" w:space="0"/>
            </w:tcBorders>
            <w:noWrap/>
            <w:vAlign w:val="center"/>
          </w:tcPr>
          <w:p w14:paraId="2C4C5F5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ign w:val="center"/>
          </w:tcPr>
          <w:p w14:paraId="5ECBA35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19" w:type="dxa"/>
            <w:tcBorders>
              <w:top w:val="nil"/>
              <w:left w:val="nil"/>
              <w:bottom w:val="single" w:color="auto" w:sz="4" w:space="0"/>
              <w:right w:val="single" w:color="auto" w:sz="4" w:space="0"/>
            </w:tcBorders>
            <w:noWrap/>
            <w:vAlign w:val="center"/>
          </w:tcPr>
          <w:p w14:paraId="425A8CE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439" w:type="dxa"/>
            <w:tcBorders>
              <w:top w:val="nil"/>
              <w:left w:val="nil"/>
              <w:bottom w:val="single" w:color="auto" w:sz="4" w:space="0"/>
              <w:right w:val="single" w:color="auto" w:sz="4" w:space="0"/>
            </w:tcBorders>
            <w:noWrap/>
            <w:vAlign w:val="center"/>
          </w:tcPr>
          <w:p w14:paraId="12D02F4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25" w:type="dxa"/>
            <w:tcBorders>
              <w:top w:val="nil"/>
              <w:left w:val="nil"/>
              <w:bottom w:val="single" w:color="auto" w:sz="4" w:space="0"/>
              <w:right w:val="single" w:color="auto" w:sz="4" w:space="0"/>
            </w:tcBorders>
            <w:noWrap/>
            <w:vAlign w:val="center"/>
          </w:tcPr>
          <w:p w14:paraId="3EF8ECC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bl>
    <w:p w14:paraId="3585A6CC">
      <w:pPr>
        <w:spacing w:line="360" w:lineRule="auto"/>
        <w:ind w:firstLine="525" w:firstLineChars="250"/>
        <w:rPr>
          <w:rFonts w:ascii="宋体" w:hAnsi="宋体" w:cs="宋体"/>
          <w:color w:val="auto"/>
          <w:szCs w:val="21"/>
          <w:highlight w:val="none"/>
        </w:rPr>
      </w:pPr>
      <w:r>
        <w:rPr>
          <w:rFonts w:hint="eastAsia" w:ascii="宋体" w:hAnsi="宋体" w:cs="宋体"/>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2F441DB1">
      <w:pPr>
        <w:rPr>
          <w:color w:val="auto"/>
          <w:highlight w:val="none"/>
        </w:rPr>
      </w:pPr>
    </w:p>
    <w:p w14:paraId="16CA308E">
      <w:pPr>
        <w:pStyle w:val="4"/>
        <w:keepNext w:val="0"/>
        <w:keepLines w:val="0"/>
        <w:tabs>
          <w:tab w:val="left" w:pos="0"/>
          <w:tab w:val="left" w:pos="3165"/>
          <w:tab w:val="center" w:pos="4153"/>
        </w:tabs>
        <w:autoSpaceDE w:val="0"/>
        <w:autoSpaceDN w:val="0"/>
        <w:adjustRightInd w:val="0"/>
        <w:spacing w:before="0" w:after="0" w:line="360" w:lineRule="auto"/>
        <w:jc w:val="center"/>
        <w:rPr>
          <w:color w:val="auto"/>
          <w:highlight w:val="none"/>
        </w:rPr>
      </w:pPr>
      <w:bookmarkStart w:id="47" w:name="_Toc27472"/>
      <w:r>
        <w:rPr>
          <w:rFonts w:hint="eastAsia"/>
          <w:color w:val="auto"/>
          <w:highlight w:val="none"/>
        </w:rPr>
        <w:t>第三章  投标人须知</w:t>
      </w:r>
      <w:bookmarkEnd w:id="47"/>
    </w:p>
    <w:p w14:paraId="58C90064">
      <w:pPr>
        <w:jc w:val="center"/>
        <w:rPr>
          <w:color w:val="auto"/>
          <w:sz w:val="36"/>
          <w:szCs w:val="36"/>
          <w:highlight w:val="none"/>
        </w:rPr>
      </w:pPr>
      <w:bookmarkStart w:id="48" w:name="_Toc254970667"/>
      <w:bookmarkStart w:id="49" w:name="_Toc254970526"/>
      <w:r>
        <w:rPr>
          <w:rFonts w:hint="eastAsia"/>
          <w:color w:val="auto"/>
          <w:sz w:val="36"/>
          <w:szCs w:val="36"/>
          <w:highlight w:val="none"/>
        </w:rPr>
        <w:t>投标人须知前附表</w:t>
      </w:r>
      <w:bookmarkEnd w:id="48"/>
      <w:bookmarkEnd w:id="49"/>
    </w:p>
    <w:tbl>
      <w:tblPr>
        <w:tblStyle w:val="48"/>
        <w:tblpPr w:leftFromText="180" w:rightFromText="180" w:vertAnchor="text" w:horzAnchor="page" w:tblpX="1358" w:tblpY="487"/>
        <w:tblOverlap w:val="never"/>
        <w:tblW w:w="915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78"/>
        <w:gridCol w:w="8175"/>
      </w:tblGrid>
      <w:tr w14:paraId="2E1C4C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0FA1ED75">
            <w:pPr>
              <w:snapToGrid w:val="0"/>
              <w:spacing w:line="360" w:lineRule="auto"/>
              <w:jc w:val="left"/>
              <w:rPr>
                <w:rFonts w:ascii="宋体" w:hAnsi="宋体"/>
                <w:b/>
                <w:bCs/>
                <w:color w:val="auto"/>
                <w:szCs w:val="21"/>
                <w:highlight w:val="none"/>
              </w:rPr>
            </w:pPr>
            <w:r>
              <w:rPr>
                <w:rFonts w:hint="eastAsia" w:ascii="宋体" w:hAnsi="宋体"/>
                <w:b/>
                <w:bCs/>
                <w:color w:val="auto"/>
                <w:szCs w:val="21"/>
                <w:highlight w:val="none"/>
              </w:rPr>
              <w:t>条款号</w:t>
            </w:r>
          </w:p>
        </w:tc>
        <w:tc>
          <w:tcPr>
            <w:tcW w:w="8175" w:type="dxa"/>
            <w:tcBorders>
              <w:top w:val="single" w:color="auto" w:sz="4" w:space="0"/>
              <w:left w:val="single" w:color="auto" w:sz="4" w:space="0"/>
              <w:bottom w:val="single" w:color="auto" w:sz="4" w:space="0"/>
              <w:right w:val="single" w:color="auto" w:sz="4" w:space="0"/>
            </w:tcBorders>
            <w:vAlign w:val="center"/>
          </w:tcPr>
          <w:p w14:paraId="0862D51C">
            <w:pPr>
              <w:snapToGrid w:val="0"/>
              <w:spacing w:line="360" w:lineRule="auto"/>
              <w:jc w:val="center"/>
              <w:rPr>
                <w:rFonts w:ascii="宋体" w:hAnsi="宋体"/>
                <w:b/>
                <w:bCs/>
                <w:color w:val="auto"/>
                <w:szCs w:val="21"/>
                <w:highlight w:val="none"/>
              </w:rPr>
            </w:pPr>
            <w:r>
              <w:rPr>
                <w:rFonts w:hint="eastAsia" w:ascii="宋体" w:hAnsi="宋体"/>
                <w:b/>
                <w:bCs/>
                <w:color w:val="auto"/>
                <w:szCs w:val="21"/>
                <w:highlight w:val="none"/>
              </w:rPr>
              <w:t>编列内容</w:t>
            </w:r>
          </w:p>
        </w:tc>
      </w:tr>
      <w:tr w14:paraId="51F831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04DB35EE">
            <w:pPr>
              <w:spacing w:line="360" w:lineRule="auto"/>
              <w:jc w:val="center"/>
              <w:rPr>
                <w:rFonts w:ascii="宋体" w:hAnsi="宋体"/>
                <w:color w:val="auto"/>
                <w:szCs w:val="21"/>
                <w:highlight w:val="none"/>
              </w:rPr>
            </w:pPr>
            <w:r>
              <w:rPr>
                <w:rFonts w:hint="eastAsia" w:ascii="宋体" w:hAnsi="宋体"/>
                <w:color w:val="auto"/>
                <w:szCs w:val="21"/>
                <w:highlight w:val="none"/>
              </w:rPr>
              <w:t>3</w:t>
            </w:r>
          </w:p>
        </w:tc>
        <w:tc>
          <w:tcPr>
            <w:tcW w:w="8175" w:type="dxa"/>
            <w:tcBorders>
              <w:top w:val="single" w:color="auto" w:sz="4" w:space="0"/>
              <w:left w:val="single" w:color="auto" w:sz="4" w:space="0"/>
              <w:bottom w:val="single" w:color="auto" w:sz="4" w:space="0"/>
              <w:right w:val="single" w:color="auto" w:sz="4" w:space="0"/>
            </w:tcBorders>
            <w:vAlign w:val="center"/>
          </w:tcPr>
          <w:p w14:paraId="338EA092">
            <w:pPr>
              <w:snapToGrid w:val="0"/>
              <w:spacing w:line="360" w:lineRule="auto"/>
              <w:jc w:val="left"/>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rPr>
              <w:t>投标人的资格要求详见招标公告。</w:t>
            </w:r>
          </w:p>
          <w:p w14:paraId="2F544930">
            <w:pPr>
              <w:snapToGrid w:val="0"/>
              <w:spacing w:line="360" w:lineRule="auto"/>
              <w:jc w:val="left"/>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rPr>
              <w:t>投标人出现下列情形之一的，不得参加政府采购活动：</w:t>
            </w:r>
          </w:p>
          <w:p w14:paraId="577020F0">
            <w:pPr>
              <w:snapToGrid w:val="0"/>
              <w:spacing w:line="360" w:lineRule="auto"/>
              <w:jc w:val="left"/>
              <w:rPr>
                <w:rFonts w:ascii="宋体" w:hAnsi="宋体"/>
                <w:color w:val="auto"/>
                <w:szCs w:val="21"/>
                <w:highlight w:val="none"/>
              </w:rPr>
            </w:pPr>
            <w:r>
              <w:rPr>
                <w:rFonts w:ascii="宋体" w:hAnsi="宋体"/>
                <w:color w:val="auto"/>
                <w:szCs w:val="21"/>
                <w:highlight w:val="none"/>
              </w:rPr>
              <w:t>2.1</w:t>
            </w:r>
            <w:r>
              <w:rPr>
                <w:rFonts w:hint="eastAsia" w:ascii="宋体" w:hAnsi="宋体"/>
                <w:color w:val="auto"/>
                <w:szCs w:val="21"/>
                <w:highlight w:val="none"/>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214E0173">
            <w:pPr>
              <w:snapToGrid w:val="0"/>
              <w:spacing w:line="360" w:lineRule="auto"/>
              <w:jc w:val="left"/>
              <w:rPr>
                <w:rFonts w:ascii="宋体" w:hAnsi="宋体"/>
                <w:color w:val="auto"/>
                <w:szCs w:val="21"/>
                <w:highlight w:val="none"/>
              </w:rPr>
            </w:pPr>
            <w:r>
              <w:rPr>
                <w:rFonts w:ascii="宋体" w:hAnsi="宋体"/>
                <w:color w:val="auto"/>
                <w:szCs w:val="21"/>
                <w:highlight w:val="none"/>
              </w:rPr>
              <w:t>2.2</w:t>
            </w:r>
            <w:r>
              <w:rPr>
                <w:rFonts w:hint="eastAsia" w:ascii="宋体" w:hAnsi="宋体"/>
                <w:color w:val="auto"/>
                <w:szCs w:val="21"/>
                <w:highlight w:val="none"/>
              </w:rPr>
              <w:t>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tc>
      </w:tr>
      <w:tr w14:paraId="2BBB97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09298590">
            <w:pPr>
              <w:spacing w:line="360" w:lineRule="auto"/>
              <w:jc w:val="center"/>
              <w:rPr>
                <w:rFonts w:ascii="宋体" w:hAnsi="宋体"/>
                <w:color w:val="auto"/>
                <w:szCs w:val="21"/>
                <w:highlight w:val="none"/>
              </w:rPr>
            </w:pPr>
            <w:bookmarkStart w:id="50" w:name="_8.1"/>
            <w:bookmarkEnd w:id="50"/>
            <w:bookmarkStart w:id="51" w:name="_5"/>
            <w:bookmarkEnd w:id="51"/>
            <w:bookmarkStart w:id="52" w:name="_9.2"/>
            <w:bookmarkEnd w:id="52"/>
            <w:r>
              <w:rPr>
                <w:rFonts w:hint="eastAsia" w:ascii="宋体" w:hAnsi="宋体"/>
                <w:color w:val="auto"/>
                <w:szCs w:val="21"/>
                <w:highlight w:val="none"/>
              </w:rPr>
              <w:t>6.1</w:t>
            </w:r>
          </w:p>
        </w:tc>
        <w:tc>
          <w:tcPr>
            <w:tcW w:w="8175" w:type="dxa"/>
            <w:tcBorders>
              <w:top w:val="single" w:color="auto" w:sz="4" w:space="0"/>
              <w:left w:val="single" w:color="auto" w:sz="4" w:space="0"/>
              <w:bottom w:val="single" w:color="auto" w:sz="4" w:space="0"/>
              <w:right w:val="single" w:color="auto" w:sz="4" w:space="0"/>
            </w:tcBorders>
            <w:vAlign w:val="center"/>
          </w:tcPr>
          <w:p w14:paraId="4C289904">
            <w:pPr>
              <w:pStyle w:val="18"/>
              <w:spacing w:line="360" w:lineRule="auto"/>
              <w:rPr>
                <w:rFonts w:ascii="宋体" w:hAnsi="宋体"/>
                <w:color w:val="auto"/>
                <w:szCs w:val="21"/>
                <w:highlight w:val="none"/>
              </w:rPr>
            </w:pPr>
            <w:r>
              <w:rPr>
                <w:rFonts w:hint="eastAsia" w:ascii="宋体" w:hAnsi="宋体"/>
                <w:color w:val="auto"/>
                <w:szCs w:val="21"/>
                <w:highlight w:val="none"/>
              </w:rPr>
              <w:t>本项目是否接受联合体投标：详见招标公告。</w:t>
            </w:r>
          </w:p>
        </w:tc>
      </w:tr>
      <w:tr w14:paraId="06119B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1E6683DD">
            <w:pPr>
              <w:spacing w:line="360" w:lineRule="auto"/>
              <w:jc w:val="center"/>
              <w:rPr>
                <w:rFonts w:ascii="宋体" w:hAnsi="宋体"/>
                <w:color w:val="auto"/>
                <w:szCs w:val="21"/>
                <w:highlight w:val="none"/>
              </w:rPr>
            </w:pPr>
            <w:r>
              <w:rPr>
                <w:rFonts w:ascii="宋体" w:hAnsi="宋体"/>
                <w:color w:val="auto"/>
                <w:szCs w:val="21"/>
                <w:highlight w:val="none"/>
              </w:rPr>
              <w:t>6.2</w:t>
            </w:r>
          </w:p>
        </w:tc>
        <w:tc>
          <w:tcPr>
            <w:tcW w:w="8175" w:type="dxa"/>
            <w:tcBorders>
              <w:top w:val="single" w:color="auto" w:sz="4" w:space="0"/>
              <w:left w:val="single" w:color="auto" w:sz="4" w:space="0"/>
              <w:bottom w:val="single" w:color="auto" w:sz="4" w:space="0"/>
              <w:right w:val="single" w:color="auto" w:sz="4" w:space="0"/>
            </w:tcBorders>
            <w:vAlign w:val="center"/>
          </w:tcPr>
          <w:p w14:paraId="0CFD5F3B">
            <w:pPr>
              <w:pStyle w:val="18"/>
              <w:spacing w:line="360" w:lineRule="auto"/>
              <w:rPr>
                <w:rFonts w:ascii="宋体" w:hAnsi="宋体"/>
                <w:color w:val="auto"/>
                <w:szCs w:val="21"/>
                <w:highlight w:val="none"/>
              </w:rPr>
            </w:pPr>
            <w:bookmarkStart w:id="53" w:name="_Hlk54105293"/>
            <w:r>
              <w:rPr>
                <w:rFonts w:hint="eastAsia" w:ascii="宋体" w:hAnsi="宋体"/>
                <w:color w:val="auto"/>
                <w:szCs w:val="21"/>
                <w:highlight w:val="none"/>
              </w:rPr>
              <w:t>如接受联合体投标，</w:t>
            </w:r>
            <w:bookmarkEnd w:id="53"/>
            <w:r>
              <w:rPr>
                <w:rFonts w:hint="eastAsia" w:ascii="宋体" w:hAnsi="宋体"/>
                <w:color w:val="auto"/>
                <w:szCs w:val="21"/>
                <w:highlight w:val="none"/>
              </w:rPr>
              <w:t>联合体投标要求如下：无</w:t>
            </w:r>
          </w:p>
        </w:tc>
      </w:tr>
      <w:tr w14:paraId="5AFC58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60C7D360">
            <w:pPr>
              <w:spacing w:line="360" w:lineRule="auto"/>
              <w:jc w:val="center"/>
              <w:rPr>
                <w:rFonts w:ascii="宋体" w:hAnsi="宋体"/>
                <w:color w:val="auto"/>
                <w:szCs w:val="21"/>
                <w:highlight w:val="none"/>
              </w:rPr>
            </w:pPr>
            <w:r>
              <w:rPr>
                <w:rFonts w:hint="eastAsia" w:ascii="宋体" w:hAnsi="宋体"/>
                <w:color w:val="auto"/>
                <w:szCs w:val="21"/>
                <w:highlight w:val="none"/>
              </w:rPr>
              <w:t>7.2</w:t>
            </w:r>
          </w:p>
        </w:tc>
        <w:tc>
          <w:tcPr>
            <w:tcW w:w="8175" w:type="dxa"/>
            <w:tcBorders>
              <w:top w:val="single" w:color="auto" w:sz="4" w:space="0"/>
              <w:left w:val="single" w:color="auto" w:sz="4" w:space="0"/>
              <w:bottom w:val="single" w:color="auto" w:sz="4" w:space="0"/>
              <w:right w:val="single" w:color="auto" w:sz="4" w:space="0"/>
            </w:tcBorders>
            <w:vAlign w:val="center"/>
          </w:tcPr>
          <w:p w14:paraId="528D8377">
            <w:pPr>
              <w:pStyle w:val="18"/>
              <w:spacing w:line="360" w:lineRule="auto"/>
              <w:rPr>
                <w:rFonts w:ascii="宋体" w:hAnsi="宋体"/>
                <w:color w:val="auto"/>
                <w:szCs w:val="21"/>
                <w:highlight w:val="none"/>
              </w:rPr>
            </w:pPr>
            <w:r>
              <w:rPr>
                <w:rFonts w:hint="eastAsia" w:ascii="宋体" w:hAnsi="宋体"/>
                <w:color w:val="auto"/>
                <w:szCs w:val="21"/>
                <w:highlight w:val="none"/>
              </w:rPr>
              <w:t>☑不允许分包</w:t>
            </w:r>
          </w:p>
          <w:p w14:paraId="186BD095">
            <w:pPr>
              <w:pStyle w:val="18"/>
              <w:spacing w:line="360" w:lineRule="auto"/>
              <w:rPr>
                <w:rFonts w:ascii="宋体" w:hAnsi="宋体"/>
                <w:color w:val="auto"/>
                <w:szCs w:val="21"/>
                <w:highlight w:val="none"/>
              </w:rPr>
            </w:pPr>
            <w:r>
              <w:rPr>
                <w:rFonts w:hint="eastAsia" w:ascii="宋体" w:hAnsi="宋体"/>
                <w:color w:val="auto"/>
                <w:szCs w:val="21"/>
                <w:highlight w:val="none"/>
              </w:rPr>
              <w:t>□允许分包</w:t>
            </w:r>
          </w:p>
          <w:p w14:paraId="596EC9B6">
            <w:pPr>
              <w:pStyle w:val="18"/>
              <w:spacing w:line="360" w:lineRule="auto"/>
              <w:rPr>
                <w:rFonts w:ascii="宋体" w:hAnsi="宋体"/>
                <w:color w:val="auto"/>
                <w:szCs w:val="21"/>
                <w:highlight w:val="none"/>
                <w:u w:val="single"/>
              </w:rPr>
            </w:pPr>
            <w:r>
              <w:rPr>
                <w:rFonts w:hint="eastAsia" w:ascii="宋体" w:hAnsi="宋体"/>
                <w:color w:val="auto"/>
                <w:szCs w:val="21"/>
                <w:highlight w:val="none"/>
              </w:rPr>
              <w:t>分包内容：</w:t>
            </w:r>
            <w:r>
              <w:rPr>
                <w:rFonts w:hint="eastAsia" w:ascii="宋体" w:hAnsi="宋体"/>
                <w:color w:val="auto"/>
                <w:szCs w:val="21"/>
                <w:highlight w:val="none"/>
                <w:u w:val="single"/>
              </w:rPr>
              <w:t xml:space="preserve">                                     。</w:t>
            </w:r>
          </w:p>
          <w:p w14:paraId="4684D188">
            <w:pPr>
              <w:pStyle w:val="18"/>
              <w:spacing w:line="360" w:lineRule="auto"/>
              <w:jc w:val="both"/>
              <w:rPr>
                <w:rFonts w:ascii="宋体" w:hAnsi="宋体"/>
                <w:color w:val="auto"/>
                <w:szCs w:val="21"/>
                <w:highlight w:val="none"/>
                <w:u w:val="single"/>
              </w:rPr>
            </w:pPr>
            <w:r>
              <w:rPr>
                <w:rFonts w:hint="eastAsia" w:ascii="宋体" w:hAnsi="宋体"/>
                <w:color w:val="auto"/>
                <w:szCs w:val="21"/>
                <w:highlight w:val="none"/>
              </w:rPr>
              <w:t>分包金额或者比例：</w:t>
            </w:r>
            <w:r>
              <w:rPr>
                <w:rFonts w:hint="eastAsia" w:ascii="宋体" w:hAnsi="宋体"/>
                <w:color w:val="auto"/>
                <w:szCs w:val="21"/>
                <w:highlight w:val="none"/>
                <w:u w:val="single"/>
              </w:rPr>
              <w:t xml:space="preserve">                                     。</w:t>
            </w:r>
          </w:p>
        </w:tc>
      </w:tr>
      <w:tr w14:paraId="304056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66" w:hRule="atLeast"/>
        </w:trPr>
        <w:tc>
          <w:tcPr>
            <w:tcW w:w="978" w:type="dxa"/>
            <w:vMerge w:val="restart"/>
            <w:tcBorders>
              <w:top w:val="single" w:color="auto" w:sz="4" w:space="0"/>
              <w:left w:val="single" w:color="auto" w:sz="4" w:space="0"/>
              <w:right w:val="single" w:color="auto" w:sz="4" w:space="0"/>
            </w:tcBorders>
            <w:vAlign w:val="center"/>
          </w:tcPr>
          <w:p w14:paraId="12DA92FA">
            <w:pPr>
              <w:spacing w:line="360" w:lineRule="auto"/>
              <w:jc w:val="center"/>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1.2</w:t>
            </w:r>
          </w:p>
        </w:tc>
        <w:tc>
          <w:tcPr>
            <w:tcW w:w="8175" w:type="dxa"/>
            <w:tcBorders>
              <w:top w:val="single" w:color="auto" w:sz="4" w:space="0"/>
              <w:left w:val="single" w:color="auto" w:sz="4" w:space="0"/>
              <w:bottom w:val="single" w:color="auto" w:sz="4" w:space="0"/>
              <w:right w:val="single" w:color="auto" w:sz="4" w:space="0"/>
            </w:tcBorders>
            <w:vAlign w:val="center"/>
          </w:tcPr>
          <w:p w14:paraId="6C227D5B">
            <w:pPr>
              <w:snapToGrid w:val="0"/>
              <w:spacing w:line="360" w:lineRule="auto"/>
              <w:rPr>
                <w:rFonts w:ascii="宋体" w:hAnsi="宋体"/>
                <w:color w:val="auto"/>
                <w:szCs w:val="21"/>
                <w:highlight w:val="none"/>
              </w:rPr>
            </w:pPr>
            <w:r>
              <w:rPr>
                <w:rFonts w:hint="eastAsia" w:ascii="宋体" w:hAnsi="宋体"/>
                <w:color w:val="auto"/>
                <w:szCs w:val="21"/>
                <w:highlight w:val="none"/>
              </w:rPr>
              <w:t>☑不组织现场考察</w:t>
            </w:r>
          </w:p>
          <w:p w14:paraId="6086C447">
            <w:pPr>
              <w:snapToGrid w:val="0"/>
              <w:spacing w:line="360" w:lineRule="auto"/>
              <w:rPr>
                <w:rFonts w:ascii="宋体" w:hAnsi="宋体"/>
                <w:color w:val="auto"/>
                <w:szCs w:val="21"/>
                <w:highlight w:val="none"/>
              </w:rPr>
            </w:pPr>
            <w:r>
              <w:rPr>
                <w:rFonts w:hint="eastAsia" w:ascii="宋体" w:hAnsi="宋体"/>
                <w:color w:val="auto"/>
                <w:szCs w:val="21"/>
                <w:highlight w:val="none"/>
              </w:rPr>
              <w:t>□组织现场考察：</w:t>
            </w:r>
          </w:p>
          <w:p w14:paraId="11FB1C35">
            <w:pPr>
              <w:snapToGrid w:val="0"/>
              <w:spacing w:line="360" w:lineRule="auto"/>
              <w:rPr>
                <w:rFonts w:ascii="宋体" w:hAnsi="宋体"/>
                <w:color w:val="auto"/>
                <w:szCs w:val="21"/>
                <w:highlight w:val="none"/>
                <w:u w:val="single"/>
              </w:rPr>
            </w:pPr>
            <w:r>
              <w:rPr>
                <w:rFonts w:hint="eastAsia" w:ascii="宋体" w:hAnsi="宋体"/>
                <w:color w:val="auto"/>
                <w:szCs w:val="21"/>
                <w:highlight w:val="none"/>
              </w:rPr>
              <w:t>集中时间：年月日 时</w:t>
            </w:r>
            <w:r>
              <w:rPr>
                <w:rFonts w:hint="eastAsia" w:ascii="宋体" w:hAnsi="宋体"/>
                <w:color w:val="auto"/>
                <w:szCs w:val="21"/>
                <w:highlight w:val="none"/>
                <w:u w:val="single"/>
              </w:rPr>
              <w:t xml:space="preserve">  分</w:t>
            </w:r>
            <w:r>
              <w:rPr>
                <w:rFonts w:hint="eastAsia" w:ascii="宋体" w:hAnsi="宋体"/>
                <w:color w:val="auto"/>
                <w:szCs w:val="21"/>
                <w:highlight w:val="none"/>
              </w:rPr>
              <w:t>，逾期后果自负。集中地点：</w:t>
            </w:r>
          </w:p>
          <w:p w14:paraId="7A64B1DC">
            <w:pPr>
              <w:rPr>
                <w:rFonts w:ascii="宋体" w:hAnsi="宋体"/>
                <w:color w:val="auto"/>
                <w:szCs w:val="21"/>
                <w:highlight w:val="none"/>
              </w:rPr>
            </w:pPr>
            <w:r>
              <w:rPr>
                <w:rFonts w:hint="eastAsia" w:ascii="宋体" w:hAnsi="宋体"/>
                <w:color w:val="auto"/>
                <w:szCs w:val="21"/>
                <w:highlight w:val="none"/>
              </w:rPr>
              <w:t>联系人：；联系电话：</w:t>
            </w:r>
          </w:p>
        </w:tc>
      </w:tr>
      <w:tr w14:paraId="2252C3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03" w:hRule="atLeast"/>
        </w:trPr>
        <w:tc>
          <w:tcPr>
            <w:tcW w:w="978" w:type="dxa"/>
            <w:vMerge w:val="continue"/>
            <w:tcBorders>
              <w:left w:val="single" w:color="auto" w:sz="4" w:space="0"/>
              <w:bottom w:val="single" w:color="auto" w:sz="4" w:space="0"/>
              <w:right w:val="single" w:color="auto" w:sz="4" w:space="0"/>
            </w:tcBorders>
            <w:vAlign w:val="center"/>
          </w:tcPr>
          <w:p w14:paraId="7B85D229">
            <w:pPr>
              <w:spacing w:line="360" w:lineRule="auto"/>
              <w:jc w:val="center"/>
              <w:rPr>
                <w:rFonts w:ascii="宋体" w:hAnsi="宋体"/>
                <w:color w:val="auto"/>
                <w:szCs w:val="21"/>
                <w:highlight w:val="none"/>
              </w:rPr>
            </w:pPr>
          </w:p>
        </w:tc>
        <w:tc>
          <w:tcPr>
            <w:tcW w:w="8175" w:type="dxa"/>
            <w:tcBorders>
              <w:top w:val="single" w:color="auto" w:sz="4" w:space="0"/>
              <w:left w:val="single" w:color="auto" w:sz="4" w:space="0"/>
              <w:bottom w:val="single" w:color="auto" w:sz="4" w:space="0"/>
              <w:right w:val="single" w:color="auto" w:sz="4" w:space="0"/>
            </w:tcBorders>
            <w:vAlign w:val="center"/>
          </w:tcPr>
          <w:p w14:paraId="1BF720C8">
            <w:pPr>
              <w:snapToGrid w:val="0"/>
              <w:spacing w:line="360" w:lineRule="auto"/>
              <w:rPr>
                <w:rFonts w:ascii="宋体" w:hAnsi="宋体"/>
                <w:color w:val="auto"/>
                <w:szCs w:val="21"/>
                <w:highlight w:val="none"/>
              </w:rPr>
            </w:pPr>
            <w:r>
              <w:rPr>
                <w:rFonts w:hint="eastAsia" w:ascii="宋体" w:hAnsi="宋体"/>
                <w:color w:val="auto"/>
                <w:szCs w:val="21"/>
                <w:highlight w:val="none"/>
              </w:rPr>
              <w:t>☑不组织召开开标前答疑会</w:t>
            </w:r>
          </w:p>
          <w:p w14:paraId="418EF9D6">
            <w:pPr>
              <w:snapToGrid w:val="0"/>
              <w:spacing w:line="360" w:lineRule="auto"/>
              <w:rPr>
                <w:rFonts w:ascii="宋体" w:hAnsi="宋体"/>
                <w:color w:val="auto"/>
                <w:szCs w:val="21"/>
                <w:highlight w:val="none"/>
              </w:rPr>
            </w:pPr>
            <w:r>
              <w:rPr>
                <w:rFonts w:hint="eastAsia" w:ascii="宋体" w:hAnsi="宋体"/>
                <w:color w:val="auto"/>
                <w:szCs w:val="21"/>
                <w:highlight w:val="none"/>
              </w:rPr>
              <w:t>□组织召开开标前答疑会</w:t>
            </w:r>
          </w:p>
          <w:p w14:paraId="12794079">
            <w:pPr>
              <w:snapToGrid w:val="0"/>
              <w:spacing w:line="360" w:lineRule="auto"/>
              <w:rPr>
                <w:rFonts w:ascii="宋体" w:hAnsi="宋体"/>
                <w:color w:val="auto"/>
                <w:szCs w:val="21"/>
                <w:highlight w:val="none"/>
              </w:rPr>
            </w:pPr>
            <w:r>
              <w:rPr>
                <w:rFonts w:hint="eastAsia" w:ascii="宋体" w:hAnsi="宋体"/>
                <w:color w:val="auto"/>
                <w:szCs w:val="21"/>
                <w:highlight w:val="none"/>
              </w:rPr>
              <w:t>会议开始时间：年月日 时</w:t>
            </w:r>
            <w:r>
              <w:rPr>
                <w:rFonts w:hint="eastAsia" w:ascii="宋体" w:hAnsi="宋体"/>
                <w:color w:val="auto"/>
                <w:szCs w:val="21"/>
                <w:highlight w:val="none"/>
                <w:u w:val="single"/>
              </w:rPr>
              <w:t xml:space="preserve">  分</w:t>
            </w:r>
            <w:r>
              <w:rPr>
                <w:rFonts w:hint="eastAsia" w:ascii="宋体" w:hAnsi="宋体"/>
                <w:color w:val="auto"/>
                <w:szCs w:val="21"/>
                <w:highlight w:val="none"/>
              </w:rPr>
              <w:t>，逾期后果自负。会议地点：</w:t>
            </w:r>
          </w:p>
        </w:tc>
      </w:tr>
      <w:tr w14:paraId="7430D4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vMerge w:val="restart"/>
            <w:tcBorders>
              <w:top w:val="single" w:color="auto" w:sz="4" w:space="0"/>
              <w:left w:val="single" w:color="auto" w:sz="4" w:space="0"/>
              <w:right w:val="single" w:color="auto" w:sz="4" w:space="0"/>
            </w:tcBorders>
            <w:vAlign w:val="center"/>
          </w:tcPr>
          <w:p w14:paraId="5A1DF321">
            <w:pPr>
              <w:spacing w:line="360" w:lineRule="auto"/>
              <w:jc w:val="center"/>
              <w:rPr>
                <w:rFonts w:ascii="宋体" w:hAnsi="宋体"/>
                <w:color w:val="auto"/>
                <w:szCs w:val="21"/>
                <w:highlight w:val="none"/>
              </w:rPr>
            </w:pPr>
            <w:bookmarkStart w:id="54" w:name="_13.1"/>
            <w:bookmarkEnd w:id="54"/>
            <w:r>
              <w:rPr>
                <w:rFonts w:hint="eastAsia" w:ascii="宋体" w:hAnsi="宋体"/>
                <w:color w:val="auto"/>
                <w:szCs w:val="21"/>
                <w:highlight w:val="none"/>
              </w:rPr>
              <w:t>13</w:t>
            </w:r>
          </w:p>
        </w:tc>
        <w:tc>
          <w:tcPr>
            <w:tcW w:w="8175" w:type="dxa"/>
            <w:tcBorders>
              <w:top w:val="single" w:color="auto" w:sz="4" w:space="0"/>
              <w:left w:val="single" w:color="auto" w:sz="4" w:space="0"/>
              <w:bottom w:val="single" w:color="auto" w:sz="4" w:space="0"/>
              <w:right w:val="single" w:color="auto" w:sz="4" w:space="0"/>
            </w:tcBorders>
            <w:vAlign w:val="center"/>
          </w:tcPr>
          <w:p w14:paraId="4A868E13">
            <w:pPr>
              <w:snapToGrid w:val="0"/>
              <w:spacing w:line="360" w:lineRule="auto"/>
              <w:jc w:val="left"/>
              <w:rPr>
                <w:rFonts w:ascii="宋体" w:hAnsi="宋体" w:cs="Courier New"/>
                <w:b/>
                <w:color w:val="auto"/>
                <w:szCs w:val="21"/>
                <w:highlight w:val="none"/>
              </w:rPr>
            </w:pPr>
            <w:r>
              <w:rPr>
                <w:rFonts w:hint="eastAsia" w:ascii="宋体" w:hAnsi="宋体" w:cs="Courier New"/>
                <w:b/>
                <w:color w:val="auto"/>
                <w:szCs w:val="21"/>
                <w:highlight w:val="none"/>
              </w:rPr>
              <w:t>报价文件：</w:t>
            </w:r>
          </w:p>
          <w:p w14:paraId="447D5D9D">
            <w:pPr>
              <w:tabs>
                <w:tab w:val="left" w:pos="459"/>
              </w:tabs>
              <w:snapToGrid w:val="0"/>
              <w:spacing w:line="360" w:lineRule="auto"/>
              <w:jc w:val="left"/>
              <w:rPr>
                <w:rFonts w:ascii="宋体" w:hAnsi="宋体"/>
                <w:color w:val="auto"/>
                <w:szCs w:val="21"/>
                <w:highlight w:val="none"/>
              </w:rPr>
            </w:pPr>
            <w:r>
              <w:rPr>
                <w:rFonts w:hint="eastAsia" w:ascii="宋体" w:hAnsi="宋体"/>
                <w:color w:val="auto"/>
                <w:szCs w:val="21"/>
                <w:highlight w:val="none"/>
              </w:rPr>
              <w:t>1.投标函（格式后附）；</w:t>
            </w:r>
            <w:r>
              <w:rPr>
                <w:rFonts w:hint="eastAsia" w:ascii="宋体" w:hAnsi="宋体"/>
                <w:b/>
                <w:color w:val="auto"/>
                <w:szCs w:val="21"/>
                <w:highlight w:val="none"/>
              </w:rPr>
              <w:t>（必须提供，否则按无效投标处理）</w:t>
            </w:r>
          </w:p>
          <w:p w14:paraId="3095DB9D">
            <w:pPr>
              <w:tabs>
                <w:tab w:val="left" w:pos="459"/>
              </w:tabs>
              <w:snapToGrid w:val="0"/>
              <w:spacing w:line="360" w:lineRule="auto"/>
              <w:jc w:val="left"/>
              <w:rPr>
                <w:rFonts w:ascii="宋体" w:hAnsi="宋体"/>
                <w:color w:val="auto"/>
                <w:szCs w:val="21"/>
                <w:highlight w:val="none"/>
              </w:rPr>
            </w:pPr>
            <w:r>
              <w:rPr>
                <w:rFonts w:hint="eastAsia" w:ascii="宋体" w:hAnsi="宋体"/>
                <w:color w:val="auto"/>
                <w:szCs w:val="21"/>
                <w:highlight w:val="none"/>
              </w:rPr>
              <w:t>2.开标一览表（格式后附）； （</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754307C5">
            <w:pPr>
              <w:tabs>
                <w:tab w:val="left" w:pos="459"/>
              </w:tabs>
              <w:snapToGrid w:val="0"/>
              <w:spacing w:line="360" w:lineRule="auto"/>
              <w:jc w:val="left"/>
              <w:rPr>
                <w:rFonts w:ascii="宋体" w:hAnsi="宋体"/>
                <w:color w:val="auto"/>
                <w:szCs w:val="21"/>
                <w:highlight w:val="none"/>
              </w:rPr>
            </w:pPr>
            <w:r>
              <w:rPr>
                <w:rFonts w:hint="eastAsia" w:ascii="宋体" w:hAnsi="宋体"/>
                <w:color w:val="auto"/>
                <w:szCs w:val="21"/>
                <w:highlight w:val="none"/>
              </w:rPr>
              <w:t>3.中小企业声明函（格式后附）；</w:t>
            </w:r>
          </w:p>
          <w:p w14:paraId="084C4E65">
            <w:pPr>
              <w:tabs>
                <w:tab w:val="left" w:pos="459"/>
              </w:tabs>
              <w:snapToGrid w:val="0"/>
              <w:spacing w:line="360" w:lineRule="auto"/>
              <w:jc w:val="left"/>
              <w:rPr>
                <w:rFonts w:ascii="宋体" w:hAnsi="宋体"/>
                <w:color w:val="auto"/>
                <w:szCs w:val="21"/>
                <w:highlight w:val="none"/>
              </w:rPr>
            </w:pPr>
            <w:r>
              <w:rPr>
                <w:rFonts w:hint="eastAsia" w:ascii="宋体" w:hAnsi="宋体"/>
                <w:color w:val="auto"/>
                <w:szCs w:val="21"/>
                <w:highlight w:val="none"/>
              </w:rPr>
              <w:t>4.投标人针对报价需要说明的其他文件和说明（格式自拟）。</w:t>
            </w:r>
          </w:p>
        </w:tc>
      </w:tr>
      <w:tr w14:paraId="18B83B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6" w:hRule="atLeast"/>
        </w:trPr>
        <w:tc>
          <w:tcPr>
            <w:tcW w:w="978" w:type="dxa"/>
            <w:vMerge w:val="continue"/>
            <w:tcBorders>
              <w:left w:val="single" w:color="auto" w:sz="4" w:space="0"/>
              <w:right w:val="single" w:color="auto" w:sz="4" w:space="0"/>
            </w:tcBorders>
            <w:vAlign w:val="center"/>
          </w:tcPr>
          <w:p w14:paraId="27573258">
            <w:pPr>
              <w:spacing w:line="360" w:lineRule="auto"/>
              <w:jc w:val="center"/>
              <w:rPr>
                <w:rFonts w:ascii="宋体" w:hAnsi="宋体"/>
                <w:color w:val="auto"/>
                <w:szCs w:val="21"/>
                <w:highlight w:val="none"/>
              </w:rPr>
            </w:pPr>
            <w:bookmarkStart w:id="55" w:name="_13.2"/>
            <w:bookmarkEnd w:id="55"/>
          </w:p>
        </w:tc>
        <w:tc>
          <w:tcPr>
            <w:tcW w:w="8175" w:type="dxa"/>
            <w:tcBorders>
              <w:top w:val="single" w:color="auto" w:sz="4" w:space="0"/>
              <w:left w:val="single" w:color="auto" w:sz="4" w:space="0"/>
              <w:bottom w:val="single" w:color="auto" w:sz="4" w:space="0"/>
              <w:right w:val="single" w:color="auto" w:sz="4" w:space="0"/>
            </w:tcBorders>
            <w:vAlign w:val="center"/>
          </w:tcPr>
          <w:p w14:paraId="4FAFE750">
            <w:pPr>
              <w:snapToGrid w:val="0"/>
              <w:spacing w:line="360" w:lineRule="auto"/>
              <w:jc w:val="left"/>
              <w:rPr>
                <w:rFonts w:ascii="宋体" w:hAnsi="宋体" w:cs="Courier New"/>
                <w:b/>
                <w:color w:val="auto"/>
                <w:szCs w:val="21"/>
                <w:highlight w:val="none"/>
              </w:rPr>
            </w:pPr>
            <w:r>
              <w:rPr>
                <w:rFonts w:hint="eastAsia" w:ascii="宋体" w:hAnsi="宋体" w:cs="Courier New"/>
                <w:b/>
                <w:color w:val="auto"/>
                <w:szCs w:val="21"/>
                <w:highlight w:val="none"/>
              </w:rPr>
              <w:t>资格证明文件</w:t>
            </w:r>
          </w:p>
          <w:p w14:paraId="3424C082">
            <w:pPr>
              <w:pStyle w:val="18"/>
              <w:rPr>
                <w:rFonts w:ascii="宋体" w:hAnsi="宋体"/>
                <w:color w:val="auto"/>
                <w:szCs w:val="21"/>
                <w:highlight w:val="none"/>
              </w:rPr>
            </w:pPr>
            <w:r>
              <w:rPr>
                <w:rFonts w:hint="eastAsia" w:ascii="宋体" w:hAnsi="宋体" w:cs="宋体"/>
                <w:color w:val="auto"/>
                <w:szCs w:val="21"/>
                <w:highlight w:val="none"/>
              </w:rPr>
              <w:t>1、供应商为法人或者其他组织的，</w:t>
            </w:r>
            <w:r>
              <w:rPr>
                <w:rFonts w:hint="eastAsia" w:ascii="宋体" w:hAnsi="宋体"/>
                <w:color w:val="auto"/>
                <w:szCs w:val="21"/>
                <w:highlight w:val="none"/>
              </w:rPr>
              <w:t>证明文件为其营业执照复印件（如营业执照或者事业单位法人证书或者执业许可证等）；供应商为自然人的，证明文件为其身份证复印件</w:t>
            </w:r>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39990750">
            <w:pPr>
              <w:snapToGrid w:val="0"/>
              <w:jc w:val="left"/>
              <w:rPr>
                <w:rFonts w:ascii="宋体" w:hAnsi="宋体" w:cs="宋体"/>
                <w:color w:val="auto"/>
                <w:szCs w:val="21"/>
                <w:highlight w:val="none"/>
              </w:rPr>
            </w:pPr>
            <w:r>
              <w:rPr>
                <w:rFonts w:hint="eastAsia" w:ascii="宋体" w:hAnsi="宋体" w:cs="宋体"/>
                <w:color w:val="auto"/>
                <w:szCs w:val="21"/>
                <w:highlight w:val="none"/>
              </w:rPr>
              <w:t>2、防城港市政府采购供应商信用承诺函（格式后附）；</w:t>
            </w:r>
            <w:r>
              <w:rPr>
                <w:rFonts w:hint="eastAsia" w:ascii="宋体" w:hAnsi="宋体" w:cs="宋体"/>
                <w:b/>
                <w:color w:val="auto"/>
                <w:szCs w:val="21"/>
                <w:highlight w:val="none"/>
              </w:rPr>
              <w:t>（必须提供，否则响应文件按无效响应处理）</w:t>
            </w:r>
          </w:p>
          <w:p w14:paraId="164B2FF3">
            <w:pPr>
              <w:snapToGrid w:val="0"/>
              <w:jc w:val="left"/>
              <w:rPr>
                <w:rFonts w:ascii="宋体" w:hAnsi="宋体" w:cs="宋体"/>
                <w:color w:val="auto"/>
                <w:szCs w:val="21"/>
                <w:highlight w:val="none"/>
              </w:rPr>
            </w:pPr>
            <w:r>
              <w:rPr>
                <w:rFonts w:hint="eastAsia" w:ascii="宋体" w:hAnsi="宋体" w:cs="宋体"/>
                <w:color w:val="auto"/>
                <w:szCs w:val="21"/>
                <w:highlight w:val="none"/>
              </w:rPr>
              <w:t>3、供应商直接控股、管理关系信息表（格式后附）；（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030292DB">
            <w:pPr>
              <w:snapToGrid w:val="0"/>
              <w:jc w:val="left"/>
              <w:rPr>
                <w:rFonts w:ascii="宋体" w:hAnsi="宋体"/>
                <w:strike/>
                <w:color w:val="auto"/>
                <w:szCs w:val="21"/>
                <w:highlight w:val="none"/>
              </w:rPr>
            </w:pPr>
            <w:r>
              <w:rPr>
                <w:rFonts w:hint="eastAsia" w:ascii="宋体" w:hAnsi="宋体" w:cs="宋体"/>
                <w:color w:val="auto"/>
                <w:szCs w:val="21"/>
                <w:highlight w:val="none"/>
              </w:rPr>
              <w:t>4、投标声明（格式后附）；（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1D605A72">
            <w:pPr>
              <w:snapToGrid w:val="0"/>
              <w:jc w:val="left"/>
              <w:rPr>
                <w:rFonts w:ascii="宋体" w:hAnsi="宋体"/>
                <w:color w:val="auto"/>
                <w:szCs w:val="21"/>
                <w:highlight w:val="none"/>
              </w:rPr>
            </w:pPr>
            <w:r>
              <w:rPr>
                <w:rFonts w:hint="eastAsia" w:ascii="宋体" w:hAnsi="宋体"/>
                <w:color w:val="auto"/>
                <w:szCs w:val="21"/>
                <w:highlight w:val="none"/>
              </w:rPr>
              <w:t>5、</w:t>
            </w:r>
            <w:r>
              <w:rPr>
                <w:rFonts w:hint="eastAsia" w:ascii="宋体" w:hAnsi="宋体" w:cs="宋体"/>
                <w:color w:val="auto"/>
                <w:szCs w:val="21"/>
                <w:highlight w:val="none"/>
              </w:rPr>
              <w:t>除招标文件规定必须提供以外，供应商认为需要提供的其他证明材料。</w:t>
            </w:r>
          </w:p>
          <w:p w14:paraId="404D7B8A">
            <w:pPr>
              <w:snapToGrid w:val="0"/>
              <w:spacing w:line="360" w:lineRule="auto"/>
              <w:jc w:val="left"/>
              <w:rPr>
                <w:rFonts w:ascii="宋体" w:hAnsi="宋体"/>
                <w:b/>
                <w:bCs/>
                <w:color w:val="auto"/>
                <w:szCs w:val="21"/>
                <w:highlight w:val="none"/>
              </w:rPr>
            </w:pPr>
            <w:r>
              <w:rPr>
                <w:rFonts w:hint="eastAsia" w:ascii="宋体" w:hAnsi="宋体"/>
                <w:b/>
                <w:bCs/>
                <w:color w:val="auto"/>
                <w:szCs w:val="21"/>
                <w:highlight w:val="none"/>
              </w:rPr>
              <w:t>注：</w:t>
            </w:r>
          </w:p>
          <w:p w14:paraId="0F7111FA">
            <w:pPr>
              <w:snapToGrid w:val="0"/>
              <w:spacing w:line="360" w:lineRule="auto"/>
              <w:jc w:val="left"/>
              <w:rPr>
                <w:rFonts w:ascii="宋体" w:hAnsi="宋体" w:cs="Courier New"/>
                <w:b/>
                <w:color w:val="auto"/>
                <w:szCs w:val="21"/>
                <w:highlight w:val="none"/>
              </w:rPr>
            </w:pPr>
            <w:r>
              <w:rPr>
                <w:rFonts w:hint="eastAsia" w:ascii="宋体" w:hAnsi="宋体"/>
                <w:b/>
                <w:bCs/>
                <w:color w:val="auto"/>
                <w:szCs w:val="21"/>
                <w:highlight w:val="none"/>
              </w:rPr>
              <w:t>1.以上标明“必须提供”的材料属于复印件的，必须加盖投标人电子签章，否则按无效投标</w:t>
            </w:r>
            <w:r>
              <w:rPr>
                <w:rFonts w:hint="eastAsia" w:ascii="宋体" w:hAnsi="宋体" w:cs="Courier New"/>
                <w:b/>
                <w:color w:val="auto"/>
                <w:szCs w:val="21"/>
                <w:highlight w:val="none"/>
              </w:rPr>
              <w:t>处理。</w:t>
            </w:r>
          </w:p>
          <w:p w14:paraId="78635618">
            <w:pPr>
              <w:snapToGrid w:val="0"/>
              <w:spacing w:line="360" w:lineRule="auto"/>
              <w:jc w:val="left"/>
              <w:rPr>
                <w:rFonts w:ascii="宋体" w:hAnsi="宋体"/>
                <w:b/>
                <w:bCs/>
                <w:color w:val="auto"/>
                <w:szCs w:val="21"/>
                <w:highlight w:val="none"/>
              </w:rPr>
            </w:pPr>
            <w:r>
              <w:rPr>
                <w:rFonts w:hint="eastAsia" w:ascii="宋体" w:hAnsi="宋体"/>
                <w:b/>
                <w:bCs/>
                <w:color w:val="auto"/>
                <w:szCs w:val="21"/>
                <w:highlight w:val="none"/>
              </w:rPr>
              <w:t>2.联合体投标时，第1项、第3项项资格证明文件联合体各方均必须分别提供，</w:t>
            </w:r>
            <w:r>
              <w:rPr>
                <w:rFonts w:hint="eastAsia"/>
                <w:b/>
                <w:color w:val="auto"/>
                <w:highlight w:val="none"/>
              </w:rPr>
              <w:t>并由</w:t>
            </w:r>
            <w:r>
              <w:rPr>
                <w:rFonts w:hint="eastAsia" w:ascii="宋体" w:hAnsi="宋体" w:cs="宋体"/>
                <w:b/>
                <w:color w:val="auto"/>
                <w:szCs w:val="21"/>
                <w:highlight w:val="none"/>
              </w:rPr>
              <w:t>联合体</w:t>
            </w:r>
            <w:r>
              <w:rPr>
                <w:rFonts w:hint="eastAsia"/>
                <w:b/>
                <w:color w:val="auto"/>
                <w:highlight w:val="none"/>
              </w:rPr>
              <w:t>牵头人加盖电子签章</w:t>
            </w:r>
            <w:r>
              <w:rPr>
                <w:rFonts w:hint="eastAsia" w:ascii="宋体" w:hAnsi="宋体" w:cs="宋体"/>
                <w:b/>
                <w:color w:val="auto"/>
                <w:szCs w:val="21"/>
                <w:highlight w:val="none"/>
              </w:rPr>
              <w:t>，</w:t>
            </w:r>
            <w:r>
              <w:rPr>
                <w:rFonts w:hint="eastAsia"/>
                <w:b/>
                <w:color w:val="auto"/>
                <w:highlight w:val="none"/>
              </w:rPr>
              <w:t>规定签字</w:t>
            </w:r>
            <w:r>
              <w:rPr>
                <w:rFonts w:hint="eastAsia" w:ascii="宋体" w:hAnsi="宋体" w:cs="宋体"/>
                <w:b/>
                <w:color w:val="auto"/>
                <w:szCs w:val="21"/>
                <w:highlight w:val="none"/>
              </w:rPr>
              <w:t>处签字</w:t>
            </w:r>
            <w:r>
              <w:rPr>
                <w:rFonts w:hint="eastAsia" w:ascii="宋体" w:hAnsi="宋体"/>
                <w:b/>
                <w:bCs/>
                <w:color w:val="auto"/>
                <w:szCs w:val="21"/>
                <w:highlight w:val="none"/>
              </w:rPr>
              <w:t>（或者电子签名），否则按无效投标</w:t>
            </w:r>
            <w:r>
              <w:rPr>
                <w:rFonts w:hint="eastAsia" w:ascii="宋体" w:hAnsi="宋体" w:cs="Courier New"/>
                <w:b/>
                <w:color w:val="auto"/>
                <w:szCs w:val="21"/>
                <w:highlight w:val="none"/>
              </w:rPr>
              <w:t>处理</w:t>
            </w:r>
            <w:r>
              <w:rPr>
                <w:rFonts w:hint="eastAsia" w:ascii="宋体" w:hAnsi="宋体"/>
                <w:b/>
                <w:bCs/>
                <w:color w:val="auto"/>
                <w:szCs w:val="21"/>
                <w:highlight w:val="none"/>
              </w:rPr>
              <w:t>。</w:t>
            </w:r>
          </w:p>
          <w:p w14:paraId="22E28018">
            <w:pPr>
              <w:snapToGrid w:val="0"/>
              <w:spacing w:line="360" w:lineRule="auto"/>
              <w:jc w:val="left"/>
              <w:rPr>
                <w:rFonts w:ascii="宋体" w:hAnsi="宋体"/>
                <w:b/>
                <w:bCs/>
                <w:color w:val="auto"/>
                <w:szCs w:val="21"/>
                <w:highlight w:val="none"/>
              </w:rPr>
            </w:pPr>
            <w:r>
              <w:rPr>
                <w:rFonts w:hint="eastAsia" w:ascii="宋体" w:hAnsi="宋体"/>
                <w:b/>
                <w:bCs/>
                <w:color w:val="auto"/>
                <w:szCs w:val="21"/>
                <w:highlight w:val="none"/>
              </w:rPr>
              <w:t>3.分公司参加投标的，应当取得总公司授权。</w:t>
            </w:r>
          </w:p>
        </w:tc>
      </w:tr>
      <w:tr w14:paraId="6655CE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vMerge w:val="continue"/>
            <w:tcBorders>
              <w:left w:val="single" w:color="auto" w:sz="4" w:space="0"/>
              <w:right w:val="single" w:color="auto" w:sz="4" w:space="0"/>
            </w:tcBorders>
            <w:vAlign w:val="center"/>
          </w:tcPr>
          <w:p w14:paraId="125292FE">
            <w:pPr>
              <w:spacing w:line="360" w:lineRule="auto"/>
              <w:jc w:val="center"/>
              <w:rPr>
                <w:rFonts w:ascii="宋体" w:hAnsi="宋体"/>
                <w:color w:val="auto"/>
                <w:szCs w:val="21"/>
                <w:highlight w:val="none"/>
              </w:rPr>
            </w:pPr>
            <w:bookmarkStart w:id="56" w:name="_13.3"/>
            <w:bookmarkEnd w:id="56"/>
          </w:p>
        </w:tc>
        <w:tc>
          <w:tcPr>
            <w:tcW w:w="8175" w:type="dxa"/>
            <w:tcBorders>
              <w:top w:val="single" w:color="auto" w:sz="4" w:space="0"/>
              <w:left w:val="single" w:color="auto" w:sz="4" w:space="0"/>
              <w:bottom w:val="single" w:color="auto" w:sz="4" w:space="0"/>
              <w:right w:val="single" w:color="auto" w:sz="4" w:space="0"/>
            </w:tcBorders>
            <w:vAlign w:val="center"/>
          </w:tcPr>
          <w:p w14:paraId="7BFA6D05">
            <w:pPr>
              <w:snapToGrid w:val="0"/>
              <w:spacing w:line="360" w:lineRule="auto"/>
              <w:jc w:val="left"/>
              <w:rPr>
                <w:rFonts w:ascii="宋体" w:hAnsi="宋体" w:cs="Courier New"/>
                <w:b/>
                <w:color w:val="auto"/>
                <w:szCs w:val="21"/>
                <w:highlight w:val="none"/>
              </w:rPr>
            </w:pPr>
            <w:r>
              <w:rPr>
                <w:rFonts w:hint="eastAsia" w:ascii="宋体" w:hAnsi="宋体" w:cs="Courier New"/>
                <w:b/>
                <w:color w:val="auto"/>
                <w:szCs w:val="21"/>
                <w:highlight w:val="none"/>
              </w:rPr>
              <w:t>商务文件：</w:t>
            </w:r>
          </w:p>
          <w:p w14:paraId="26E97F66">
            <w:pPr>
              <w:snapToGrid w:val="0"/>
              <w:spacing w:line="360" w:lineRule="auto"/>
              <w:jc w:val="left"/>
              <w:rPr>
                <w:rFonts w:ascii="宋体" w:hAnsi="宋体"/>
                <w:color w:val="auto"/>
                <w:szCs w:val="21"/>
                <w:highlight w:val="none"/>
              </w:rPr>
            </w:pPr>
            <w:r>
              <w:rPr>
                <w:rFonts w:hint="eastAsia" w:ascii="宋体" w:hAnsi="宋体"/>
                <w:color w:val="auto"/>
                <w:szCs w:val="21"/>
                <w:highlight w:val="none"/>
              </w:rPr>
              <w:t>1.无串通投标行为的承诺函（格式后附）；（</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21CC9F27">
            <w:pPr>
              <w:snapToGrid w:val="0"/>
              <w:spacing w:line="360" w:lineRule="auto"/>
              <w:jc w:val="left"/>
              <w:rPr>
                <w:rFonts w:ascii="宋体" w:hAnsi="宋体"/>
                <w:color w:val="auto"/>
                <w:szCs w:val="21"/>
                <w:highlight w:val="none"/>
              </w:rPr>
            </w:pPr>
            <w:r>
              <w:rPr>
                <w:rFonts w:hint="eastAsia" w:ascii="宋体" w:hAnsi="宋体"/>
                <w:color w:val="auto"/>
                <w:szCs w:val="21"/>
                <w:highlight w:val="none"/>
              </w:rPr>
              <w:t>2.法定代表人身份证明及法定代表人有效身份证正反面复印件（格式后附）；（</w:t>
            </w:r>
            <w:r>
              <w:rPr>
                <w:rFonts w:hint="eastAsia" w:ascii="宋体" w:hAnsi="宋体" w:cs="宋体"/>
                <w:b/>
                <w:bCs/>
                <w:color w:val="auto"/>
                <w:szCs w:val="21"/>
                <w:highlight w:val="none"/>
              </w:rPr>
              <w:t>除自然人投标外</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5482B576">
            <w:pPr>
              <w:snapToGrid w:val="0"/>
              <w:spacing w:line="360" w:lineRule="auto"/>
              <w:jc w:val="left"/>
              <w:rPr>
                <w:rFonts w:ascii="宋体" w:hAnsi="宋体"/>
                <w:color w:val="auto"/>
                <w:szCs w:val="21"/>
                <w:highlight w:val="none"/>
              </w:rPr>
            </w:pPr>
            <w:r>
              <w:rPr>
                <w:rFonts w:hint="eastAsia" w:ascii="宋体" w:hAnsi="宋体"/>
                <w:color w:val="auto"/>
                <w:szCs w:val="21"/>
                <w:highlight w:val="none"/>
              </w:rPr>
              <w:t>3.授权委托书及委托代理人有效身份证正反面复印件（格式后附）；（</w:t>
            </w:r>
            <w:r>
              <w:rPr>
                <w:rFonts w:hint="eastAsia" w:ascii="宋体" w:hAnsi="宋体"/>
                <w:b/>
                <w:color w:val="auto"/>
                <w:szCs w:val="21"/>
                <w:highlight w:val="none"/>
              </w:rPr>
              <w:t>委托时必须提供，否则按无效投标处理</w:t>
            </w:r>
            <w:r>
              <w:rPr>
                <w:rFonts w:hint="eastAsia" w:ascii="宋体" w:hAnsi="宋体"/>
                <w:color w:val="auto"/>
                <w:szCs w:val="21"/>
                <w:highlight w:val="none"/>
              </w:rPr>
              <w:t>）</w:t>
            </w:r>
          </w:p>
          <w:p w14:paraId="68030579">
            <w:pPr>
              <w:snapToGrid w:val="0"/>
              <w:spacing w:line="360" w:lineRule="auto"/>
              <w:jc w:val="left"/>
              <w:rPr>
                <w:rFonts w:ascii="宋体" w:hAnsi="宋体"/>
                <w:color w:val="auto"/>
                <w:szCs w:val="21"/>
                <w:highlight w:val="none"/>
              </w:rPr>
            </w:pPr>
            <w:r>
              <w:rPr>
                <w:rFonts w:hint="eastAsia" w:ascii="宋体" w:hAnsi="宋体"/>
                <w:color w:val="auto"/>
                <w:szCs w:val="21"/>
                <w:highlight w:val="none"/>
              </w:rPr>
              <w:t>4</w:t>
            </w:r>
            <w:r>
              <w:rPr>
                <w:rFonts w:ascii="宋体" w:hAnsi="宋体"/>
                <w:color w:val="auto"/>
                <w:szCs w:val="21"/>
                <w:highlight w:val="none"/>
              </w:rPr>
              <w:t>.</w:t>
            </w:r>
            <w:r>
              <w:rPr>
                <w:rFonts w:hint="eastAsia" w:ascii="宋体" w:hAnsi="宋体"/>
                <w:color w:val="auto"/>
                <w:szCs w:val="21"/>
                <w:highlight w:val="none"/>
              </w:rPr>
              <w:t>商务要求偏离表（格式后附）；（</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11F414C6">
            <w:pPr>
              <w:snapToGrid w:val="0"/>
              <w:spacing w:line="360" w:lineRule="auto"/>
              <w:jc w:val="left"/>
              <w:rPr>
                <w:rFonts w:ascii="宋体" w:hAnsi="宋体"/>
                <w:color w:val="auto"/>
                <w:szCs w:val="21"/>
                <w:highlight w:val="none"/>
              </w:rPr>
            </w:pPr>
            <w:r>
              <w:rPr>
                <w:rFonts w:hint="eastAsia" w:ascii="宋体" w:hAnsi="宋体"/>
                <w:color w:val="auto"/>
                <w:szCs w:val="21"/>
                <w:highlight w:val="none"/>
              </w:rPr>
              <w:t>5.</w:t>
            </w:r>
            <w:r>
              <w:rPr>
                <w:rFonts w:hint="eastAsia"/>
                <w:color w:val="auto"/>
                <w:highlight w:val="none"/>
              </w:rPr>
              <w:t>投标人须在投标文件中附上《廉洁承诺书》，做出不向采购单位工作人员行贿的承诺。未在投标文件中附上《廉洁承诺书》的视为投标无效。（</w:t>
            </w:r>
            <w:r>
              <w:rPr>
                <w:rFonts w:hint="eastAsia"/>
                <w:b/>
                <w:bCs/>
                <w:color w:val="auto"/>
                <w:highlight w:val="none"/>
              </w:rPr>
              <w:t>必须提供，格式自拟</w:t>
            </w:r>
            <w:r>
              <w:rPr>
                <w:rFonts w:hint="eastAsia"/>
                <w:color w:val="auto"/>
                <w:highlight w:val="none"/>
              </w:rPr>
              <w:t>）</w:t>
            </w:r>
          </w:p>
          <w:p w14:paraId="4C2F1B11">
            <w:pPr>
              <w:snapToGrid w:val="0"/>
              <w:spacing w:line="360" w:lineRule="auto"/>
              <w:jc w:val="left"/>
              <w:rPr>
                <w:rFonts w:ascii="宋体" w:hAnsi="宋体"/>
                <w:color w:val="auto"/>
                <w:szCs w:val="21"/>
                <w:highlight w:val="none"/>
              </w:rPr>
            </w:pPr>
            <w:r>
              <w:rPr>
                <w:rFonts w:hint="eastAsia" w:ascii="宋体" w:hAnsi="宋体"/>
                <w:color w:val="auto"/>
                <w:szCs w:val="21"/>
                <w:highlight w:val="none"/>
              </w:rPr>
              <w:t>6.除招标文件规定必须提供以外，投标人认为需要提供的其他证明材料（格式自拟）。</w:t>
            </w:r>
          </w:p>
          <w:p w14:paraId="39A30E2C">
            <w:pPr>
              <w:snapToGrid w:val="0"/>
              <w:spacing w:line="360" w:lineRule="auto"/>
              <w:jc w:val="left"/>
              <w:rPr>
                <w:rFonts w:ascii="宋体" w:hAnsi="宋体" w:cs="Courier New"/>
                <w:b/>
                <w:color w:val="auto"/>
                <w:szCs w:val="21"/>
                <w:highlight w:val="none"/>
              </w:rPr>
            </w:pPr>
            <w:r>
              <w:rPr>
                <w:rFonts w:hint="eastAsia" w:ascii="宋体" w:hAnsi="宋体"/>
                <w:b/>
                <w:bCs/>
                <w:color w:val="auto"/>
                <w:szCs w:val="21"/>
                <w:highlight w:val="none"/>
              </w:rPr>
              <w:t>注：以上标明“必须提供”的材料属于复印件的，必须加盖投标人电子签章，否则按无效投标</w:t>
            </w:r>
            <w:r>
              <w:rPr>
                <w:rFonts w:hint="eastAsia" w:ascii="宋体" w:hAnsi="宋体" w:cs="Courier New"/>
                <w:b/>
                <w:color w:val="auto"/>
                <w:szCs w:val="21"/>
                <w:highlight w:val="none"/>
              </w:rPr>
              <w:t>处理</w:t>
            </w:r>
            <w:r>
              <w:rPr>
                <w:rFonts w:hint="eastAsia" w:ascii="宋体" w:hAnsi="宋体"/>
                <w:b/>
                <w:bCs/>
                <w:color w:val="auto"/>
                <w:szCs w:val="21"/>
                <w:highlight w:val="none"/>
              </w:rPr>
              <w:t>。</w:t>
            </w:r>
          </w:p>
        </w:tc>
      </w:tr>
      <w:tr w14:paraId="7928CA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vMerge w:val="continue"/>
            <w:tcBorders>
              <w:left w:val="single" w:color="auto" w:sz="4" w:space="0"/>
              <w:bottom w:val="single" w:color="auto" w:sz="4" w:space="0"/>
              <w:right w:val="single" w:color="auto" w:sz="4" w:space="0"/>
            </w:tcBorders>
            <w:vAlign w:val="center"/>
          </w:tcPr>
          <w:p w14:paraId="21F8D1F6">
            <w:pPr>
              <w:spacing w:line="360" w:lineRule="auto"/>
              <w:jc w:val="center"/>
              <w:rPr>
                <w:rFonts w:ascii="宋体" w:hAnsi="宋体"/>
                <w:color w:val="auto"/>
                <w:szCs w:val="21"/>
                <w:highlight w:val="none"/>
              </w:rPr>
            </w:pPr>
            <w:bookmarkStart w:id="57" w:name="_13.4"/>
            <w:bookmarkEnd w:id="57"/>
          </w:p>
        </w:tc>
        <w:tc>
          <w:tcPr>
            <w:tcW w:w="8175" w:type="dxa"/>
            <w:tcBorders>
              <w:top w:val="single" w:color="auto" w:sz="4" w:space="0"/>
              <w:left w:val="single" w:color="auto" w:sz="4" w:space="0"/>
              <w:bottom w:val="single" w:color="auto" w:sz="4" w:space="0"/>
              <w:right w:val="single" w:color="auto" w:sz="4" w:space="0"/>
            </w:tcBorders>
            <w:vAlign w:val="center"/>
          </w:tcPr>
          <w:p w14:paraId="63811676">
            <w:pPr>
              <w:snapToGrid w:val="0"/>
              <w:spacing w:line="360" w:lineRule="auto"/>
              <w:jc w:val="left"/>
              <w:rPr>
                <w:rFonts w:ascii="宋体" w:hAnsi="宋体" w:cs="Courier New"/>
                <w:b/>
                <w:color w:val="auto"/>
                <w:szCs w:val="21"/>
                <w:highlight w:val="none"/>
              </w:rPr>
            </w:pPr>
            <w:r>
              <w:rPr>
                <w:rFonts w:hint="eastAsia" w:ascii="宋体" w:hAnsi="宋体" w:cs="Courier New"/>
                <w:b/>
                <w:color w:val="auto"/>
                <w:szCs w:val="21"/>
                <w:highlight w:val="none"/>
              </w:rPr>
              <w:t>技术文件：</w:t>
            </w:r>
          </w:p>
          <w:p w14:paraId="164E806A">
            <w:pPr>
              <w:snapToGrid w:val="0"/>
              <w:spacing w:line="360" w:lineRule="auto"/>
              <w:jc w:val="left"/>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.技术要求偏离表（格式后附）；（</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74E4F0A2">
            <w:pPr>
              <w:snapToGrid w:val="0"/>
              <w:spacing w:line="360" w:lineRule="auto"/>
              <w:jc w:val="left"/>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.项目实施（格式自拟）；（</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39C04FE2">
            <w:pPr>
              <w:snapToGrid w:val="0"/>
              <w:spacing w:line="360" w:lineRule="auto"/>
              <w:jc w:val="left"/>
              <w:rPr>
                <w:rFonts w:ascii="宋体" w:hAnsi="宋体"/>
                <w:strike/>
                <w:color w:val="auto"/>
                <w:szCs w:val="21"/>
                <w:highlight w:val="none"/>
              </w:rPr>
            </w:pPr>
            <w:r>
              <w:rPr>
                <w:rFonts w:ascii="宋体" w:hAnsi="宋体"/>
                <w:color w:val="auto"/>
                <w:szCs w:val="21"/>
                <w:highlight w:val="none"/>
              </w:rPr>
              <w:t>3</w:t>
            </w:r>
            <w:r>
              <w:rPr>
                <w:rFonts w:hint="eastAsia" w:ascii="宋体" w:hAnsi="宋体"/>
                <w:color w:val="auto"/>
                <w:szCs w:val="21"/>
                <w:highlight w:val="none"/>
              </w:rPr>
              <w:t>.运维服务能力（格式后附）；（</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1A8BFCF4">
            <w:pPr>
              <w:snapToGrid w:val="0"/>
              <w:spacing w:line="360" w:lineRule="auto"/>
              <w:jc w:val="left"/>
              <w:rPr>
                <w:rFonts w:ascii="宋体" w:hAnsi="宋体"/>
                <w:bCs/>
                <w:color w:val="auto"/>
                <w:szCs w:val="21"/>
                <w:highlight w:val="none"/>
              </w:rPr>
            </w:pPr>
            <w:r>
              <w:rPr>
                <w:rFonts w:hint="eastAsia" w:ascii="宋体" w:hAnsi="宋体"/>
                <w:color w:val="auto"/>
                <w:szCs w:val="21"/>
                <w:highlight w:val="none"/>
              </w:rPr>
              <w:t>4.除招标文件规定必须提供以外，投标人需要说明的其他文件和说明（格式自拟）。</w:t>
            </w:r>
          </w:p>
          <w:p w14:paraId="36CBB8DB">
            <w:pPr>
              <w:snapToGrid w:val="0"/>
              <w:spacing w:line="360" w:lineRule="auto"/>
              <w:jc w:val="left"/>
              <w:rPr>
                <w:rFonts w:ascii="宋体" w:hAnsi="宋体"/>
                <w:b/>
                <w:bCs/>
                <w:color w:val="auto"/>
                <w:szCs w:val="21"/>
                <w:highlight w:val="none"/>
              </w:rPr>
            </w:pPr>
            <w:r>
              <w:rPr>
                <w:rFonts w:hint="eastAsia" w:ascii="宋体" w:hAnsi="宋体"/>
                <w:b/>
                <w:bCs/>
                <w:color w:val="auto"/>
                <w:szCs w:val="21"/>
                <w:highlight w:val="none"/>
              </w:rPr>
              <w:t>注：以上标明“必须提供”的材料属于复印件的，必须加盖投标人电子签章，否则按无效投标</w:t>
            </w:r>
            <w:r>
              <w:rPr>
                <w:rFonts w:hint="eastAsia" w:ascii="宋体" w:hAnsi="宋体" w:cs="Courier New"/>
                <w:b/>
                <w:color w:val="auto"/>
                <w:szCs w:val="21"/>
                <w:highlight w:val="none"/>
              </w:rPr>
              <w:t>处理</w:t>
            </w:r>
            <w:r>
              <w:rPr>
                <w:rFonts w:hint="eastAsia" w:ascii="宋体" w:hAnsi="宋体"/>
                <w:b/>
                <w:bCs/>
                <w:color w:val="auto"/>
                <w:szCs w:val="21"/>
                <w:highlight w:val="none"/>
              </w:rPr>
              <w:t>。</w:t>
            </w:r>
          </w:p>
        </w:tc>
      </w:tr>
      <w:tr w14:paraId="3E6BAC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65E10BE4">
            <w:pPr>
              <w:spacing w:line="360" w:lineRule="auto"/>
              <w:jc w:val="center"/>
              <w:rPr>
                <w:rFonts w:ascii="宋体" w:hAnsi="宋体"/>
                <w:color w:val="auto"/>
                <w:szCs w:val="21"/>
                <w:highlight w:val="none"/>
              </w:rPr>
            </w:pPr>
            <w:bookmarkStart w:id="58" w:name="_16.2"/>
            <w:bookmarkEnd w:id="58"/>
            <w:bookmarkStart w:id="59" w:name="_13.5"/>
            <w:bookmarkEnd w:id="59"/>
            <w:r>
              <w:rPr>
                <w:rFonts w:hint="eastAsia" w:ascii="宋体" w:hAnsi="宋体"/>
                <w:color w:val="auto"/>
                <w:szCs w:val="21"/>
                <w:highlight w:val="none"/>
              </w:rPr>
              <w:t>16</w:t>
            </w:r>
            <w:bookmarkStart w:id="60" w:name="_Hlt19194067"/>
            <w:bookmarkStart w:id="61" w:name="_Hlt19194066"/>
            <w:bookmarkStart w:id="62" w:name="_Hlt19693759"/>
            <w:bookmarkStart w:id="63" w:name="_Hlt19693758"/>
            <w:r>
              <w:rPr>
                <w:rFonts w:hint="eastAsia" w:ascii="宋体" w:hAnsi="宋体"/>
                <w:color w:val="auto"/>
                <w:szCs w:val="21"/>
                <w:highlight w:val="none"/>
              </w:rPr>
              <w:t>.</w:t>
            </w:r>
            <w:bookmarkEnd w:id="60"/>
            <w:bookmarkEnd w:id="61"/>
            <w:bookmarkEnd w:id="62"/>
            <w:bookmarkEnd w:id="63"/>
            <w:r>
              <w:rPr>
                <w:rFonts w:hint="eastAsia" w:ascii="宋体" w:hAnsi="宋体"/>
                <w:color w:val="auto"/>
                <w:szCs w:val="21"/>
                <w:highlight w:val="none"/>
              </w:rPr>
              <w:t>2</w:t>
            </w:r>
          </w:p>
        </w:tc>
        <w:tc>
          <w:tcPr>
            <w:tcW w:w="8175" w:type="dxa"/>
            <w:tcBorders>
              <w:top w:val="single" w:color="auto" w:sz="4" w:space="0"/>
              <w:left w:val="single" w:color="auto" w:sz="4" w:space="0"/>
              <w:bottom w:val="single" w:color="auto" w:sz="4" w:space="0"/>
              <w:right w:val="single" w:color="auto" w:sz="4" w:space="0"/>
            </w:tcBorders>
            <w:vAlign w:val="center"/>
          </w:tcPr>
          <w:p w14:paraId="4AAAD9D9">
            <w:pPr>
              <w:snapToGrid w:val="0"/>
              <w:spacing w:line="360" w:lineRule="auto"/>
              <w:rPr>
                <w:rFonts w:ascii="宋体" w:hAnsi="宋体"/>
                <w:b/>
                <w:i/>
                <w:color w:val="auto"/>
                <w:szCs w:val="21"/>
                <w:highlight w:val="none"/>
              </w:rPr>
            </w:pPr>
            <w:r>
              <w:rPr>
                <w:rFonts w:hint="eastAsia" w:ascii="宋体" w:hAnsi="宋体"/>
                <w:color w:val="auto"/>
                <w:szCs w:val="21"/>
                <w:highlight w:val="none"/>
              </w:rPr>
              <w:t>投标报价是履行合同的最终价格，</w:t>
            </w:r>
            <w:r>
              <w:rPr>
                <w:rFonts w:hint="eastAsia" w:ascii="宋体" w:hAnsi="宋体" w:cs="宋体"/>
                <w:color w:val="auto"/>
                <w:szCs w:val="21"/>
                <w:highlight w:val="none"/>
              </w:rPr>
              <w:t>即满足全部采购需求所应提供的服务，以及伴随的货物和工程（如有）的价格；包括投标服务、货物、工程的成本、运输（含保险）、安装（如有）、调试、检验、技术服务、培训、税费等所有费用。</w:t>
            </w:r>
            <w:r>
              <w:rPr>
                <w:rFonts w:hint="eastAsia" w:ascii="宋体" w:hAnsi="宋体"/>
                <w:b/>
                <w:color w:val="auto"/>
                <w:szCs w:val="21"/>
                <w:highlight w:val="none"/>
              </w:rPr>
              <w:t>（采购需求另有约定的，从其约定。）</w:t>
            </w:r>
          </w:p>
        </w:tc>
      </w:tr>
      <w:tr w14:paraId="3A28D6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0A517ECF">
            <w:pPr>
              <w:spacing w:line="360" w:lineRule="auto"/>
              <w:jc w:val="center"/>
              <w:rPr>
                <w:rFonts w:ascii="宋体" w:hAnsi="宋体"/>
                <w:color w:val="auto"/>
                <w:szCs w:val="21"/>
                <w:highlight w:val="none"/>
              </w:rPr>
            </w:pPr>
            <w:bookmarkStart w:id="64" w:name="_17.1"/>
            <w:bookmarkEnd w:id="64"/>
            <w:r>
              <w:rPr>
                <w:rFonts w:hint="eastAsia" w:ascii="宋体" w:hAnsi="宋体"/>
                <w:color w:val="auto"/>
                <w:szCs w:val="21"/>
                <w:highlight w:val="none"/>
              </w:rPr>
              <w:t>17.</w:t>
            </w:r>
            <w:r>
              <w:rPr>
                <w:rFonts w:ascii="宋体" w:hAnsi="宋体"/>
                <w:color w:val="auto"/>
                <w:szCs w:val="21"/>
                <w:highlight w:val="none"/>
              </w:rPr>
              <w:t>2</w:t>
            </w:r>
          </w:p>
        </w:tc>
        <w:tc>
          <w:tcPr>
            <w:tcW w:w="8175" w:type="dxa"/>
            <w:tcBorders>
              <w:top w:val="single" w:color="auto" w:sz="4" w:space="0"/>
              <w:left w:val="single" w:color="auto" w:sz="4" w:space="0"/>
              <w:bottom w:val="single" w:color="auto" w:sz="4" w:space="0"/>
              <w:right w:val="single" w:color="auto" w:sz="4" w:space="0"/>
            </w:tcBorders>
            <w:vAlign w:val="center"/>
          </w:tcPr>
          <w:p w14:paraId="75871993">
            <w:pPr>
              <w:snapToGrid w:val="0"/>
              <w:spacing w:line="360" w:lineRule="auto"/>
              <w:rPr>
                <w:rFonts w:ascii="宋体" w:hAnsi="宋体"/>
                <w:color w:val="auto"/>
                <w:szCs w:val="21"/>
                <w:highlight w:val="none"/>
              </w:rPr>
            </w:pPr>
            <w:r>
              <w:rPr>
                <w:rFonts w:hint="eastAsia" w:ascii="宋体" w:hAnsi="宋体"/>
                <w:color w:val="auto"/>
                <w:szCs w:val="21"/>
                <w:highlight w:val="none"/>
              </w:rPr>
              <w:t>投标有效期：自投标截止之日起</w:t>
            </w:r>
            <w:r>
              <w:rPr>
                <w:rFonts w:hint="eastAsia" w:ascii="宋体" w:hAnsi="宋体"/>
                <w:color w:val="auto"/>
                <w:szCs w:val="21"/>
                <w:highlight w:val="none"/>
                <w:u w:val="single"/>
              </w:rPr>
              <w:t>60</w:t>
            </w:r>
            <w:r>
              <w:rPr>
                <w:rFonts w:hint="eastAsia" w:ascii="宋体" w:hAnsi="宋体"/>
                <w:color w:val="auto"/>
                <w:szCs w:val="21"/>
                <w:highlight w:val="none"/>
              </w:rPr>
              <w:t>日。</w:t>
            </w:r>
          </w:p>
        </w:tc>
      </w:tr>
      <w:tr w14:paraId="7D9816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09BF76D5">
            <w:pPr>
              <w:spacing w:line="360" w:lineRule="auto"/>
              <w:jc w:val="center"/>
              <w:rPr>
                <w:rFonts w:ascii="宋体" w:hAnsi="宋体"/>
                <w:color w:val="auto"/>
                <w:szCs w:val="21"/>
                <w:highlight w:val="none"/>
              </w:rPr>
            </w:pPr>
            <w:bookmarkStart w:id="65" w:name="_18"/>
            <w:bookmarkEnd w:id="65"/>
            <w:r>
              <w:rPr>
                <w:rFonts w:hint="eastAsia" w:ascii="宋体" w:hAnsi="宋体"/>
                <w:color w:val="auto"/>
                <w:szCs w:val="21"/>
                <w:highlight w:val="none"/>
              </w:rPr>
              <w:t>18</w:t>
            </w:r>
            <w:r>
              <w:rPr>
                <w:rFonts w:ascii="宋体" w:hAnsi="宋体"/>
                <w:color w:val="auto"/>
                <w:szCs w:val="21"/>
                <w:highlight w:val="none"/>
              </w:rPr>
              <w:t>.1</w:t>
            </w:r>
          </w:p>
        </w:tc>
        <w:tc>
          <w:tcPr>
            <w:tcW w:w="8175" w:type="dxa"/>
            <w:tcBorders>
              <w:top w:val="single" w:color="auto" w:sz="4" w:space="0"/>
              <w:left w:val="single" w:color="auto" w:sz="4" w:space="0"/>
              <w:bottom w:val="single" w:color="auto" w:sz="4" w:space="0"/>
              <w:right w:val="single" w:color="auto" w:sz="4" w:space="0"/>
            </w:tcBorders>
            <w:vAlign w:val="center"/>
          </w:tcPr>
          <w:p w14:paraId="1CB03150">
            <w:pPr>
              <w:autoSpaceDE w:val="0"/>
              <w:autoSpaceDN w:val="0"/>
              <w:snapToGrid w:val="0"/>
              <w:spacing w:line="360" w:lineRule="auto"/>
              <w:textAlignment w:val="bottom"/>
              <w:rPr>
                <w:rFonts w:ascii="宋体" w:hAnsi="宋体"/>
                <w:b/>
                <w:color w:val="auto"/>
                <w:szCs w:val="21"/>
                <w:highlight w:val="none"/>
              </w:rPr>
            </w:pPr>
            <w:r>
              <w:rPr>
                <w:rFonts w:hint="eastAsia" w:ascii="宋体" w:hAnsi="宋体"/>
                <w:color w:val="auto"/>
                <w:szCs w:val="21"/>
                <w:highlight w:val="none"/>
              </w:rPr>
              <w:t>☑本项目不收取投标保证金。</w:t>
            </w:r>
          </w:p>
        </w:tc>
      </w:tr>
      <w:tr w14:paraId="539E75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978" w:type="dxa"/>
            <w:tcBorders>
              <w:top w:val="single" w:color="auto" w:sz="4" w:space="0"/>
              <w:left w:val="single" w:color="auto" w:sz="4" w:space="0"/>
              <w:bottom w:val="single" w:color="auto" w:sz="4" w:space="0"/>
              <w:right w:val="single" w:color="auto" w:sz="4" w:space="0"/>
            </w:tcBorders>
            <w:vAlign w:val="center"/>
          </w:tcPr>
          <w:p w14:paraId="245A4C09">
            <w:pPr>
              <w:spacing w:line="360" w:lineRule="auto"/>
              <w:jc w:val="center"/>
              <w:rPr>
                <w:rFonts w:ascii="宋体" w:hAnsi="宋体"/>
                <w:color w:val="auto"/>
                <w:szCs w:val="21"/>
                <w:highlight w:val="none"/>
              </w:rPr>
            </w:pPr>
            <w:bookmarkStart w:id="66" w:name="_21.1"/>
            <w:bookmarkEnd w:id="66"/>
            <w:bookmarkStart w:id="67" w:name="_19.2"/>
            <w:bookmarkEnd w:id="67"/>
            <w:r>
              <w:rPr>
                <w:rFonts w:hint="eastAsia" w:ascii="宋体" w:hAnsi="宋体"/>
                <w:color w:val="auto"/>
                <w:szCs w:val="21"/>
                <w:highlight w:val="none"/>
              </w:rPr>
              <w:t>20</w:t>
            </w:r>
          </w:p>
        </w:tc>
        <w:tc>
          <w:tcPr>
            <w:tcW w:w="8175" w:type="dxa"/>
            <w:tcBorders>
              <w:top w:val="single" w:color="auto" w:sz="4" w:space="0"/>
              <w:left w:val="single" w:color="auto" w:sz="4" w:space="0"/>
              <w:bottom w:val="single" w:color="auto" w:sz="4" w:space="0"/>
              <w:right w:val="single" w:color="auto" w:sz="4" w:space="0"/>
            </w:tcBorders>
            <w:vAlign w:val="center"/>
          </w:tcPr>
          <w:p w14:paraId="010F7D6D">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rPr>
              <w:t>本项目不接受</w:t>
            </w:r>
            <w:r>
              <w:rPr>
                <w:rFonts w:hint="eastAsia"/>
                <w:color w:val="auto"/>
                <w:highlight w:val="none"/>
              </w:rPr>
              <w:t>电子</w:t>
            </w:r>
            <w:r>
              <w:rPr>
                <w:rFonts w:hint="eastAsia" w:ascii="宋体" w:hAnsi="宋体"/>
                <w:color w:val="auto"/>
                <w:szCs w:val="21"/>
                <w:highlight w:val="none"/>
              </w:rPr>
              <w:t>备份投标文件</w:t>
            </w:r>
          </w:p>
        </w:tc>
      </w:tr>
      <w:tr w14:paraId="6005C1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978" w:type="dxa"/>
            <w:tcBorders>
              <w:top w:val="single" w:color="auto" w:sz="4" w:space="0"/>
              <w:left w:val="single" w:color="auto" w:sz="4" w:space="0"/>
              <w:bottom w:val="single" w:color="auto" w:sz="4" w:space="0"/>
              <w:right w:val="single" w:color="auto" w:sz="4" w:space="0"/>
            </w:tcBorders>
            <w:vAlign w:val="center"/>
          </w:tcPr>
          <w:p w14:paraId="717450D2">
            <w:pPr>
              <w:spacing w:line="360" w:lineRule="auto"/>
              <w:jc w:val="center"/>
              <w:rPr>
                <w:rFonts w:ascii="宋体" w:hAnsi="宋体"/>
                <w:color w:val="auto"/>
                <w:szCs w:val="21"/>
                <w:highlight w:val="none"/>
              </w:rPr>
            </w:pPr>
            <w:r>
              <w:rPr>
                <w:rFonts w:hint="eastAsia" w:ascii="宋体" w:hAnsi="宋体"/>
                <w:color w:val="auto"/>
                <w:szCs w:val="21"/>
                <w:highlight w:val="none"/>
              </w:rPr>
              <w:t>21.1</w:t>
            </w:r>
          </w:p>
        </w:tc>
        <w:tc>
          <w:tcPr>
            <w:tcW w:w="8175" w:type="dxa"/>
            <w:tcBorders>
              <w:top w:val="single" w:color="auto" w:sz="4" w:space="0"/>
              <w:left w:val="single" w:color="auto" w:sz="4" w:space="0"/>
              <w:bottom w:val="single" w:color="auto" w:sz="4" w:space="0"/>
              <w:right w:val="single" w:color="auto" w:sz="4" w:space="0"/>
            </w:tcBorders>
            <w:vAlign w:val="center"/>
          </w:tcPr>
          <w:p w14:paraId="1E8425A3">
            <w:pPr>
              <w:snapToGrid w:val="0"/>
              <w:spacing w:line="360" w:lineRule="auto"/>
              <w:rPr>
                <w:rFonts w:ascii="宋体" w:hAnsi="宋体"/>
                <w:color w:val="auto"/>
                <w:szCs w:val="21"/>
                <w:highlight w:val="none"/>
                <w:u w:val="single"/>
              </w:rPr>
            </w:pPr>
            <w:r>
              <w:rPr>
                <w:rFonts w:hint="eastAsia" w:ascii="宋体" w:hAnsi="宋体"/>
                <w:color w:val="auto"/>
                <w:szCs w:val="21"/>
                <w:highlight w:val="none"/>
              </w:rPr>
              <w:t>1.投标文件提交截止时间：详见招标公告</w:t>
            </w:r>
          </w:p>
          <w:p w14:paraId="44DD67B1">
            <w:pPr>
              <w:snapToGrid w:val="0"/>
              <w:spacing w:line="360" w:lineRule="auto"/>
              <w:rPr>
                <w:rFonts w:ascii="宋体" w:hAnsi="宋体"/>
                <w:color w:val="auto"/>
                <w:szCs w:val="21"/>
                <w:highlight w:val="none"/>
              </w:rPr>
            </w:pPr>
            <w:r>
              <w:rPr>
                <w:rFonts w:hint="eastAsia" w:ascii="宋体" w:hAnsi="宋体"/>
                <w:color w:val="auto"/>
                <w:szCs w:val="21"/>
                <w:highlight w:val="none"/>
              </w:rPr>
              <w:t>2.投标地点：详见招标公告</w:t>
            </w:r>
          </w:p>
        </w:tc>
      </w:tr>
      <w:tr w14:paraId="3503DD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21A69C46">
            <w:pPr>
              <w:spacing w:line="360" w:lineRule="auto"/>
              <w:jc w:val="center"/>
              <w:rPr>
                <w:rFonts w:ascii="宋体" w:hAnsi="宋体"/>
                <w:color w:val="auto"/>
                <w:szCs w:val="21"/>
                <w:highlight w:val="none"/>
              </w:rPr>
            </w:pPr>
            <w:bookmarkStart w:id="68" w:name="_23"/>
            <w:bookmarkEnd w:id="68"/>
            <w:r>
              <w:rPr>
                <w:rFonts w:hint="eastAsia" w:ascii="宋体" w:hAnsi="宋体"/>
                <w:color w:val="auto"/>
                <w:szCs w:val="21"/>
                <w:highlight w:val="none"/>
              </w:rPr>
              <w:t>23</w:t>
            </w:r>
          </w:p>
        </w:tc>
        <w:tc>
          <w:tcPr>
            <w:tcW w:w="8175" w:type="dxa"/>
            <w:tcBorders>
              <w:top w:val="single" w:color="auto" w:sz="4" w:space="0"/>
              <w:left w:val="single" w:color="auto" w:sz="4" w:space="0"/>
              <w:bottom w:val="single" w:color="auto" w:sz="4" w:space="0"/>
              <w:right w:val="single" w:color="auto" w:sz="4" w:space="0"/>
            </w:tcBorders>
            <w:vAlign w:val="center"/>
          </w:tcPr>
          <w:p w14:paraId="626D7D97">
            <w:pPr>
              <w:snapToGrid w:val="0"/>
              <w:spacing w:line="360" w:lineRule="auto"/>
              <w:rPr>
                <w:rFonts w:ascii="宋体" w:hAnsi="宋体"/>
                <w:color w:val="auto"/>
                <w:szCs w:val="21"/>
                <w:highlight w:val="none"/>
              </w:rPr>
            </w:pPr>
            <w:r>
              <w:rPr>
                <w:rFonts w:hint="eastAsia" w:ascii="宋体" w:hAnsi="宋体"/>
                <w:color w:val="auto"/>
                <w:szCs w:val="21"/>
                <w:highlight w:val="none"/>
              </w:rPr>
              <w:t>1.开标时间：详见招标公告</w:t>
            </w:r>
          </w:p>
          <w:p w14:paraId="412394AF">
            <w:pPr>
              <w:snapToGrid w:val="0"/>
              <w:spacing w:line="360" w:lineRule="auto"/>
              <w:rPr>
                <w:rFonts w:ascii="宋体" w:hAnsi="宋体"/>
                <w:color w:val="auto"/>
                <w:szCs w:val="21"/>
                <w:highlight w:val="none"/>
              </w:rPr>
            </w:pPr>
            <w:r>
              <w:rPr>
                <w:rFonts w:hint="eastAsia" w:ascii="宋体" w:hAnsi="宋体"/>
                <w:color w:val="auto"/>
                <w:szCs w:val="21"/>
                <w:highlight w:val="none"/>
              </w:rPr>
              <w:t>2.开标地点：详见招标公告</w:t>
            </w:r>
          </w:p>
        </w:tc>
      </w:tr>
      <w:tr w14:paraId="5F92A0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6218CB18">
            <w:pPr>
              <w:spacing w:line="360" w:lineRule="auto"/>
              <w:jc w:val="center"/>
              <w:rPr>
                <w:rFonts w:ascii="宋体" w:hAnsi="宋体"/>
                <w:color w:val="auto"/>
                <w:szCs w:val="21"/>
                <w:highlight w:val="none"/>
              </w:rPr>
            </w:pPr>
            <w:r>
              <w:rPr>
                <w:rFonts w:hint="eastAsia" w:ascii="宋体" w:hAnsi="宋体"/>
                <w:color w:val="auto"/>
                <w:szCs w:val="21"/>
                <w:highlight w:val="none"/>
              </w:rPr>
              <w:t>24.3（1）</w:t>
            </w:r>
          </w:p>
        </w:tc>
        <w:tc>
          <w:tcPr>
            <w:tcW w:w="8175" w:type="dxa"/>
            <w:tcBorders>
              <w:top w:val="single" w:color="auto" w:sz="4" w:space="0"/>
              <w:left w:val="single" w:color="auto" w:sz="4" w:space="0"/>
              <w:bottom w:val="single" w:color="auto" w:sz="4" w:space="0"/>
              <w:right w:val="single" w:color="auto" w:sz="4" w:space="0"/>
            </w:tcBorders>
            <w:vAlign w:val="center"/>
          </w:tcPr>
          <w:p w14:paraId="3B215400">
            <w:pPr>
              <w:snapToGrid w:val="0"/>
              <w:spacing w:line="360" w:lineRule="auto"/>
              <w:rPr>
                <w:rFonts w:ascii="宋体" w:hAnsi="宋体"/>
                <w:color w:val="auto"/>
                <w:szCs w:val="21"/>
                <w:highlight w:val="none"/>
              </w:rPr>
            </w:pPr>
            <w:r>
              <w:rPr>
                <w:rFonts w:hint="eastAsia" w:hAnsi="宋体"/>
                <w:color w:val="auto"/>
                <w:highlight w:val="none"/>
              </w:rPr>
              <w:t>电子投标文件解密时间：</w:t>
            </w:r>
            <w:r>
              <w:rPr>
                <w:rFonts w:hint="eastAsia" w:hAnsi="宋体"/>
                <w:color w:val="auto"/>
                <w:highlight w:val="none"/>
                <w:u w:val="single"/>
              </w:rPr>
              <w:t>30</w:t>
            </w:r>
            <w:r>
              <w:rPr>
                <w:rFonts w:hint="eastAsia" w:hAnsi="宋体"/>
                <w:color w:val="auto"/>
                <w:highlight w:val="none"/>
              </w:rPr>
              <w:t>分钟</w:t>
            </w:r>
          </w:p>
        </w:tc>
      </w:tr>
      <w:tr w14:paraId="6EE275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47745921">
            <w:pPr>
              <w:spacing w:line="360" w:lineRule="auto"/>
              <w:jc w:val="center"/>
              <w:rPr>
                <w:rFonts w:ascii="宋体" w:hAnsi="宋体"/>
                <w:color w:val="auto"/>
                <w:szCs w:val="21"/>
                <w:highlight w:val="none"/>
              </w:rPr>
            </w:pPr>
            <w:bookmarkStart w:id="69" w:name="_25.3"/>
            <w:bookmarkEnd w:id="69"/>
            <w:r>
              <w:rPr>
                <w:rFonts w:hint="eastAsia" w:ascii="宋体" w:hAnsi="宋体"/>
                <w:color w:val="auto"/>
                <w:szCs w:val="21"/>
                <w:highlight w:val="none"/>
              </w:rPr>
              <w:t>25.3（2）</w:t>
            </w:r>
          </w:p>
        </w:tc>
        <w:tc>
          <w:tcPr>
            <w:tcW w:w="8175" w:type="dxa"/>
            <w:tcBorders>
              <w:top w:val="single" w:color="auto" w:sz="4" w:space="0"/>
              <w:left w:val="single" w:color="auto" w:sz="4" w:space="0"/>
              <w:bottom w:val="single" w:color="auto" w:sz="4" w:space="0"/>
              <w:right w:val="single" w:color="auto" w:sz="4" w:space="0"/>
            </w:tcBorders>
            <w:vAlign w:val="center"/>
          </w:tcPr>
          <w:p w14:paraId="7D8A5850">
            <w:pPr>
              <w:snapToGrid w:val="0"/>
              <w:spacing w:line="360" w:lineRule="auto"/>
              <w:rPr>
                <w:rFonts w:ascii="宋体" w:hAnsi="宋体"/>
                <w:color w:val="auto"/>
                <w:szCs w:val="21"/>
                <w:highlight w:val="none"/>
              </w:rPr>
            </w:pPr>
            <w:r>
              <w:rPr>
                <w:rFonts w:hint="eastAsia" w:ascii="宋体" w:hAnsi="宋体"/>
                <w:color w:val="auto"/>
                <w:szCs w:val="21"/>
                <w:highlight w:val="none"/>
              </w:rPr>
              <w:t>采购人或者采购代理机构在资格审查结束前，对投标人进行信用查询。</w:t>
            </w:r>
          </w:p>
          <w:p w14:paraId="6439126A">
            <w:pPr>
              <w:snapToGrid w:val="0"/>
              <w:spacing w:line="360" w:lineRule="auto"/>
              <w:rPr>
                <w:rFonts w:ascii="宋体" w:hAnsi="宋体"/>
                <w:color w:val="auto"/>
                <w:szCs w:val="21"/>
                <w:highlight w:val="none"/>
              </w:rPr>
            </w:pPr>
            <w:r>
              <w:rPr>
                <w:rFonts w:hint="eastAsia" w:ascii="宋体" w:hAnsi="宋体"/>
                <w:color w:val="auto"/>
                <w:szCs w:val="21"/>
                <w:highlight w:val="none"/>
              </w:rPr>
              <w:t>查询渠道：“信用中国”网站（www.creditchina.gov.cn） 、中国政府采购网（www.ccgp.gov.cn）。</w:t>
            </w:r>
          </w:p>
          <w:p w14:paraId="1B1557C5">
            <w:pPr>
              <w:snapToGrid w:val="0"/>
              <w:spacing w:line="360" w:lineRule="auto"/>
              <w:rPr>
                <w:rFonts w:ascii="宋体" w:hAnsi="宋体"/>
                <w:color w:val="auto"/>
                <w:szCs w:val="21"/>
                <w:highlight w:val="none"/>
              </w:rPr>
            </w:pPr>
            <w:r>
              <w:rPr>
                <w:rFonts w:hint="eastAsia" w:ascii="宋体" w:hAnsi="宋体"/>
                <w:color w:val="auto"/>
                <w:szCs w:val="21"/>
                <w:highlight w:val="none"/>
              </w:rPr>
              <w:t>信用查询截止时点：资格审查结束前</w:t>
            </w:r>
          </w:p>
          <w:p w14:paraId="0D8C1E7A">
            <w:pPr>
              <w:snapToGrid w:val="0"/>
              <w:spacing w:line="360" w:lineRule="auto"/>
              <w:rPr>
                <w:rFonts w:ascii="宋体" w:hAnsi="宋体"/>
                <w:color w:val="auto"/>
                <w:szCs w:val="21"/>
                <w:highlight w:val="none"/>
              </w:rPr>
            </w:pPr>
            <w:r>
              <w:rPr>
                <w:rFonts w:hint="eastAsia" w:ascii="宋体" w:hAnsi="宋体"/>
                <w:color w:val="auto"/>
                <w:szCs w:val="21"/>
                <w:highlight w:val="none"/>
              </w:rPr>
              <w:t>查询记录和证据留存方式：在查询网站中直接截图查询记录，截图作为在</w:t>
            </w:r>
            <w:r>
              <w:rPr>
                <w:rFonts w:hint="eastAsia" w:ascii="宋体" w:hAnsi="宋体"/>
                <w:b/>
                <w:color w:val="auto"/>
                <w:szCs w:val="21"/>
                <w:highlight w:val="none"/>
              </w:rPr>
              <w:t>广西政府采购云平台</w:t>
            </w:r>
            <w:r>
              <w:rPr>
                <w:rFonts w:hint="eastAsia" w:ascii="宋体" w:hAnsi="宋体"/>
                <w:color w:val="auto"/>
                <w:szCs w:val="21"/>
                <w:highlight w:val="none"/>
              </w:rPr>
              <w:t>作为附件上传保存。</w:t>
            </w:r>
          </w:p>
          <w:p w14:paraId="6C5EA860">
            <w:pPr>
              <w:snapToGrid w:val="0"/>
              <w:spacing w:line="360" w:lineRule="auto"/>
              <w:rPr>
                <w:rFonts w:ascii="宋体" w:hAnsi="宋体"/>
                <w:b/>
                <w:color w:val="auto"/>
                <w:szCs w:val="21"/>
                <w:highlight w:val="none"/>
              </w:rPr>
            </w:pPr>
            <w:r>
              <w:rPr>
                <w:rFonts w:hint="eastAsia" w:ascii="宋体" w:hAnsi="宋体"/>
                <w:color w:val="auto"/>
                <w:szCs w:val="21"/>
                <w:highlight w:val="none"/>
              </w:rPr>
              <w:t>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采购人或者采购代理机构</w:t>
            </w:r>
            <w:r>
              <w:rPr>
                <w:rFonts w:hint="eastAsia"/>
                <w:color w:val="auto"/>
                <w:sz w:val="22"/>
                <w:szCs w:val="22"/>
                <w:highlight w:val="none"/>
              </w:rPr>
              <w:t>应当拒绝其参与政府采购活动</w:t>
            </w:r>
            <w:r>
              <w:rPr>
                <w:rFonts w:hint="eastAsia" w:ascii="宋体" w:hAnsi="宋体"/>
                <w:color w:val="auto"/>
                <w:szCs w:val="21"/>
                <w:highlight w:val="none"/>
              </w:rPr>
              <w:t>。两个以上的自然人、法人或者其他组织组成一个联合体，以一个供应商的身份共同参加政府采购活动的，应当对所有联合体成员进行信用记录查询，联合体成员存在不良信用记录（被列入失信被执行人、重大税收违法案件当事人名单、政府采购严重违法失信行为记录名单及其他不符合《中华人民共和国政府采购法》第二十二条规定条件的供应商）的，视同联合体存在不良信用记录。</w:t>
            </w:r>
          </w:p>
        </w:tc>
      </w:tr>
      <w:tr w14:paraId="48F5C0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24B219CB">
            <w:pPr>
              <w:spacing w:line="360" w:lineRule="auto"/>
              <w:jc w:val="center"/>
              <w:rPr>
                <w:rFonts w:ascii="宋体" w:hAnsi="宋体"/>
                <w:color w:val="auto"/>
                <w:szCs w:val="21"/>
                <w:highlight w:val="none"/>
              </w:rPr>
            </w:pPr>
            <w:bookmarkStart w:id="70" w:name="_26"/>
            <w:bookmarkEnd w:id="70"/>
            <w:r>
              <w:rPr>
                <w:rFonts w:hint="eastAsia" w:ascii="宋体" w:hAnsi="宋体"/>
                <w:color w:val="auto"/>
                <w:szCs w:val="21"/>
                <w:highlight w:val="none"/>
              </w:rPr>
              <w:t>26.1</w:t>
            </w:r>
          </w:p>
        </w:tc>
        <w:tc>
          <w:tcPr>
            <w:tcW w:w="8175" w:type="dxa"/>
            <w:tcBorders>
              <w:top w:val="single" w:color="auto" w:sz="4" w:space="0"/>
              <w:left w:val="single" w:color="auto" w:sz="4" w:space="0"/>
              <w:bottom w:val="single" w:color="auto" w:sz="4" w:space="0"/>
              <w:right w:val="single" w:color="auto" w:sz="4" w:space="0"/>
            </w:tcBorders>
            <w:vAlign w:val="center"/>
          </w:tcPr>
          <w:p w14:paraId="03DD4589">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rPr>
              <w:t>评标委员会的人数：</w:t>
            </w:r>
            <w:r>
              <w:rPr>
                <w:rFonts w:hint="eastAsia" w:ascii="宋体" w:hAnsi="宋体"/>
                <w:color w:val="auto"/>
                <w:szCs w:val="21"/>
                <w:highlight w:val="none"/>
                <w:u w:val="single"/>
              </w:rPr>
              <w:t>5</w:t>
            </w:r>
            <w:r>
              <w:rPr>
                <w:rFonts w:hint="eastAsia" w:ascii="宋体" w:hAnsi="宋体"/>
                <w:color w:val="auto"/>
                <w:szCs w:val="21"/>
                <w:highlight w:val="none"/>
              </w:rPr>
              <w:t>人</w:t>
            </w:r>
            <w:r>
              <w:rPr>
                <w:rFonts w:hint="eastAsia" w:hAnsi="宋体"/>
                <w:color w:val="auto"/>
                <w:highlight w:val="none"/>
              </w:rPr>
              <w:t>。</w:t>
            </w:r>
          </w:p>
        </w:tc>
      </w:tr>
      <w:tr w14:paraId="720DE7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05A94D06">
            <w:pPr>
              <w:spacing w:line="360" w:lineRule="auto"/>
              <w:jc w:val="center"/>
              <w:rPr>
                <w:rFonts w:ascii="宋体" w:hAnsi="宋体"/>
                <w:color w:val="auto"/>
                <w:szCs w:val="21"/>
                <w:highlight w:val="none"/>
              </w:rPr>
            </w:pPr>
            <w:bookmarkStart w:id="71" w:name="_28.3"/>
            <w:bookmarkEnd w:id="71"/>
            <w:r>
              <w:rPr>
                <w:rFonts w:ascii="宋体" w:hAnsi="宋体"/>
                <w:color w:val="auto"/>
                <w:szCs w:val="21"/>
                <w:highlight w:val="none"/>
              </w:rPr>
              <w:t>29.1</w:t>
            </w:r>
          </w:p>
        </w:tc>
        <w:tc>
          <w:tcPr>
            <w:tcW w:w="8175" w:type="dxa"/>
            <w:tcBorders>
              <w:top w:val="single" w:color="auto" w:sz="4" w:space="0"/>
              <w:left w:val="single" w:color="auto" w:sz="4" w:space="0"/>
              <w:bottom w:val="single" w:color="auto" w:sz="4" w:space="0"/>
              <w:right w:val="single" w:color="auto" w:sz="4" w:space="0"/>
            </w:tcBorders>
            <w:vAlign w:val="center"/>
          </w:tcPr>
          <w:p w14:paraId="7EAC3793">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rPr>
              <w:t>评标方法：</w:t>
            </w:r>
          </w:p>
          <w:p w14:paraId="7482C5CC">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rPr>
              <w:t>☑综合评分法</w:t>
            </w:r>
          </w:p>
          <w:p w14:paraId="58B9EB44">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rPr>
              <w:t>□最低评标报法</w:t>
            </w:r>
          </w:p>
        </w:tc>
      </w:tr>
      <w:tr w14:paraId="30E1E1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978" w:type="dxa"/>
            <w:tcBorders>
              <w:top w:val="single" w:color="auto" w:sz="4" w:space="0"/>
              <w:left w:val="single" w:color="auto" w:sz="4" w:space="0"/>
              <w:bottom w:val="single" w:color="auto" w:sz="4" w:space="0"/>
              <w:right w:val="single" w:color="auto" w:sz="4" w:space="0"/>
            </w:tcBorders>
            <w:vAlign w:val="center"/>
          </w:tcPr>
          <w:p w14:paraId="1E23678A">
            <w:pPr>
              <w:spacing w:line="360" w:lineRule="auto"/>
              <w:jc w:val="center"/>
              <w:rPr>
                <w:rFonts w:ascii="宋体" w:hAnsi="宋体"/>
                <w:color w:val="auto"/>
                <w:szCs w:val="21"/>
                <w:highlight w:val="none"/>
              </w:rPr>
            </w:pPr>
            <w:bookmarkStart w:id="72" w:name="_29.2.2（2）"/>
            <w:bookmarkEnd w:id="72"/>
            <w:r>
              <w:rPr>
                <w:rFonts w:hint="eastAsia" w:ascii="宋体" w:hAnsi="宋体"/>
                <w:color w:val="auto"/>
                <w:szCs w:val="21"/>
                <w:highlight w:val="none"/>
              </w:rPr>
              <w:t>29</w:t>
            </w:r>
            <w:r>
              <w:rPr>
                <w:rFonts w:ascii="宋体" w:hAnsi="宋体"/>
                <w:color w:val="auto"/>
                <w:szCs w:val="21"/>
                <w:highlight w:val="none"/>
              </w:rPr>
              <w:t>.2</w:t>
            </w:r>
          </w:p>
        </w:tc>
        <w:tc>
          <w:tcPr>
            <w:tcW w:w="8175" w:type="dxa"/>
            <w:tcBorders>
              <w:top w:val="single" w:color="auto" w:sz="4" w:space="0"/>
              <w:left w:val="single" w:color="auto" w:sz="4" w:space="0"/>
              <w:right w:val="single" w:color="auto" w:sz="4" w:space="0"/>
            </w:tcBorders>
            <w:vAlign w:val="center"/>
          </w:tcPr>
          <w:p w14:paraId="72ACCBBA">
            <w:pPr>
              <w:snapToGrid w:val="0"/>
              <w:spacing w:line="360" w:lineRule="auto"/>
              <w:rPr>
                <w:rFonts w:ascii="宋体" w:hAnsi="宋体"/>
                <w:color w:val="auto"/>
                <w:szCs w:val="21"/>
                <w:highlight w:val="none"/>
              </w:rPr>
            </w:pPr>
            <w:r>
              <w:rPr>
                <w:rFonts w:hint="eastAsia" w:ascii="宋体" w:hAnsi="宋体" w:cs="宋体"/>
                <w:color w:val="auto"/>
                <w:szCs w:val="21"/>
                <w:highlight w:val="none"/>
              </w:rPr>
              <w:t>商务要求</w:t>
            </w:r>
            <w:r>
              <w:rPr>
                <w:rFonts w:hint="eastAsia" w:ascii="宋体" w:hAnsi="宋体"/>
                <w:color w:val="auto"/>
                <w:szCs w:val="21"/>
                <w:highlight w:val="none"/>
              </w:rPr>
              <w:t>评审中允许负偏离的条款数为</w:t>
            </w:r>
            <w:r>
              <w:rPr>
                <w:rFonts w:hint="eastAsia" w:ascii="宋体" w:hAnsi="宋体"/>
                <w:color w:val="auto"/>
                <w:szCs w:val="21"/>
                <w:highlight w:val="none"/>
                <w:u w:val="single"/>
              </w:rPr>
              <w:t xml:space="preserve"> 0 </w:t>
            </w:r>
            <w:r>
              <w:rPr>
                <w:rFonts w:hint="eastAsia" w:ascii="宋体" w:hAnsi="宋体"/>
                <w:color w:val="auto"/>
                <w:szCs w:val="21"/>
                <w:highlight w:val="none"/>
              </w:rPr>
              <w:t>项。</w:t>
            </w:r>
          </w:p>
          <w:p w14:paraId="60CE46F7">
            <w:pPr>
              <w:snapToGrid w:val="0"/>
              <w:spacing w:line="360" w:lineRule="auto"/>
              <w:rPr>
                <w:rFonts w:ascii="宋体" w:hAnsi="宋体"/>
                <w:color w:val="auto"/>
                <w:szCs w:val="21"/>
                <w:highlight w:val="none"/>
              </w:rPr>
            </w:pPr>
            <w:r>
              <w:rPr>
                <w:rFonts w:hint="eastAsia" w:ascii="宋体" w:hAnsi="宋体" w:cs="宋体"/>
                <w:color w:val="auto"/>
                <w:szCs w:val="21"/>
                <w:highlight w:val="none"/>
              </w:rPr>
              <w:t>技术要求</w:t>
            </w:r>
            <w:r>
              <w:rPr>
                <w:rFonts w:hint="eastAsia" w:ascii="宋体" w:hAnsi="宋体"/>
                <w:color w:val="auto"/>
                <w:szCs w:val="21"/>
                <w:highlight w:val="none"/>
              </w:rPr>
              <w:t>评审中允许负偏离的条款数为</w:t>
            </w:r>
            <w:r>
              <w:rPr>
                <w:rFonts w:hint="eastAsia" w:ascii="宋体" w:hAnsi="宋体"/>
                <w:color w:val="auto"/>
                <w:szCs w:val="21"/>
                <w:highlight w:val="none"/>
                <w:u w:val="single"/>
              </w:rPr>
              <w:t xml:space="preserve"> 0 </w:t>
            </w:r>
            <w:r>
              <w:rPr>
                <w:rFonts w:hint="eastAsia" w:ascii="宋体" w:hAnsi="宋体"/>
                <w:color w:val="auto"/>
                <w:szCs w:val="21"/>
                <w:highlight w:val="none"/>
              </w:rPr>
              <w:t>项。</w:t>
            </w:r>
          </w:p>
        </w:tc>
      </w:tr>
      <w:tr w14:paraId="644F1B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978" w:type="dxa"/>
            <w:tcBorders>
              <w:top w:val="single" w:color="auto" w:sz="4" w:space="0"/>
              <w:left w:val="single" w:color="auto" w:sz="4" w:space="0"/>
              <w:right w:val="single" w:color="auto" w:sz="4" w:space="0"/>
            </w:tcBorders>
            <w:vAlign w:val="center"/>
          </w:tcPr>
          <w:p w14:paraId="11C9E4E4">
            <w:pPr>
              <w:spacing w:line="360" w:lineRule="auto"/>
              <w:jc w:val="center"/>
              <w:rPr>
                <w:rFonts w:ascii="宋体" w:hAnsi="宋体"/>
                <w:color w:val="auto"/>
                <w:szCs w:val="21"/>
                <w:highlight w:val="none"/>
              </w:rPr>
            </w:pPr>
            <w:r>
              <w:rPr>
                <w:rFonts w:hint="eastAsia" w:ascii="宋体" w:hAnsi="宋体"/>
                <w:color w:val="auto"/>
                <w:szCs w:val="21"/>
                <w:highlight w:val="none"/>
              </w:rPr>
              <w:t>29.3</w:t>
            </w:r>
          </w:p>
        </w:tc>
        <w:tc>
          <w:tcPr>
            <w:tcW w:w="8175" w:type="dxa"/>
            <w:tcBorders>
              <w:top w:val="single" w:color="auto" w:sz="4" w:space="0"/>
              <w:left w:val="single" w:color="auto" w:sz="4" w:space="0"/>
              <w:right w:val="single" w:color="auto" w:sz="4" w:space="0"/>
            </w:tcBorders>
            <w:vAlign w:val="center"/>
          </w:tcPr>
          <w:p w14:paraId="37165019">
            <w:pPr>
              <w:snapToGrid w:val="0"/>
              <w:spacing w:line="360" w:lineRule="auto"/>
              <w:rPr>
                <w:rFonts w:hAnsi="宋体"/>
                <w:color w:val="auto"/>
                <w:highlight w:val="none"/>
              </w:rPr>
            </w:pPr>
            <w:r>
              <w:rPr>
                <w:rFonts w:hAnsi="宋体"/>
                <w:color w:val="auto"/>
                <w:highlight w:val="none"/>
              </w:rPr>
              <w:t>中标候选人推荐数量</w:t>
            </w:r>
            <w:r>
              <w:rPr>
                <w:rFonts w:hint="eastAsia" w:hAnsi="宋体"/>
                <w:color w:val="auto"/>
                <w:highlight w:val="none"/>
              </w:rPr>
              <w:t>：</w:t>
            </w:r>
          </w:p>
          <w:p w14:paraId="3B1CC9BD">
            <w:pPr>
              <w:snapToGrid w:val="0"/>
              <w:spacing w:line="360" w:lineRule="auto"/>
              <w:rPr>
                <w:rFonts w:hAnsi="宋体"/>
                <w:color w:val="auto"/>
                <w:highlight w:val="none"/>
              </w:rPr>
            </w:pPr>
            <w:r>
              <w:rPr>
                <w:rFonts w:hint="eastAsia" w:ascii="宋体" w:hAnsi="宋体"/>
                <w:color w:val="auto"/>
                <w:szCs w:val="21"/>
                <w:highlight w:val="none"/>
              </w:rPr>
              <w:t>☑</w:t>
            </w:r>
            <w:r>
              <w:rPr>
                <w:rFonts w:hint="eastAsia" w:hAnsi="宋体"/>
                <w:color w:val="auto"/>
                <w:highlight w:val="none"/>
                <w:u w:val="single"/>
              </w:rPr>
              <w:t xml:space="preserve"> 3</w:t>
            </w:r>
            <w:r>
              <w:rPr>
                <w:rFonts w:hAnsi="宋体"/>
                <w:color w:val="auto"/>
                <w:highlight w:val="none"/>
              </w:rPr>
              <w:t>名</w:t>
            </w:r>
          </w:p>
          <w:p w14:paraId="47D1E141">
            <w:pPr>
              <w:snapToGrid w:val="0"/>
              <w:spacing w:line="360" w:lineRule="auto"/>
              <w:rPr>
                <w:rFonts w:ascii="宋体" w:hAnsi="宋体" w:cs="宋体"/>
                <w:color w:val="auto"/>
                <w:szCs w:val="21"/>
                <w:highlight w:val="none"/>
              </w:rPr>
            </w:pPr>
            <w:r>
              <w:rPr>
                <w:rFonts w:hint="eastAsia" w:ascii="宋体" w:hAnsi="宋体"/>
                <w:color w:val="auto"/>
                <w:szCs w:val="21"/>
                <w:highlight w:val="none"/>
              </w:rPr>
              <w:t>□</w:t>
            </w:r>
            <w:r>
              <w:rPr>
                <w:rFonts w:hint="eastAsia" w:hAnsi="宋体"/>
                <w:color w:val="auto"/>
                <w:highlight w:val="none"/>
              </w:rPr>
              <w:t>根据[总得分由高到低（综合评分法）/评标报价从低到高（最低评标价法）</w:t>
            </w:r>
            <w:r>
              <w:rPr>
                <w:rFonts w:hAnsi="宋体"/>
                <w:color w:val="auto"/>
                <w:highlight w:val="none"/>
              </w:rPr>
              <w:t>]</w:t>
            </w:r>
            <w:r>
              <w:rPr>
                <w:rFonts w:hint="eastAsia" w:hAnsi="宋体"/>
                <w:color w:val="auto"/>
                <w:highlight w:val="none"/>
              </w:rPr>
              <w:t>排列次序并全部推荐为中标候选人</w:t>
            </w:r>
          </w:p>
        </w:tc>
      </w:tr>
      <w:tr w14:paraId="173F70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34605E36">
            <w:pPr>
              <w:spacing w:line="360" w:lineRule="auto"/>
              <w:jc w:val="center"/>
              <w:rPr>
                <w:rFonts w:ascii="宋体" w:hAnsi="宋体"/>
                <w:color w:val="auto"/>
                <w:szCs w:val="21"/>
                <w:highlight w:val="none"/>
              </w:rPr>
            </w:pPr>
            <w:r>
              <w:rPr>
                <w:rFonts w:hint="eastAsia" w:ascii="宋体" w:hAnsi="宋体"/>
                <w:color w:val="auto"/>
                <w:szCs w:val="21"/>
                <w:highlight w:val="none"/>
              </w:rPr>
              <w:t>30</w:t>
            </w:r>
            <w:r>
              <w:rPr>
                <w:rFonts w:ascii="宋体" w:hAnsi="宋体"/>
                <w:color w:val="auto"/>
                <w:szCs w:val="21"/>
                <w:highlight w:val="none"/>
              </w:rPr>
              <w:t>.1</w:t>
            </w:r>
          </w:p>
        </w:tc>
        <w:tc>
          <w:tcPr>
            <w:tcW w:w="8175" w:type="dxa"/>
            <w:tcBorders>
              <w:top w:val="single" w:color="auto" w:sz="4" w:space="0"/>
              <w:left w:val="single" w:color="auto" w:sz="4" w:space="0"/>
              <w:bottom w:val="single" w:color="auto" w:sz="4" w:space="0"/>
              <w:right w:val="single" w:color="auto" w:sz="4" w:space="0"/>
            </w:tcBorders>
            <w:vAlign w:val="center"/>
          </w:tcPr>
          <w:p w14:paraId="5917BCB3">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rPr>
              <w:t>采用综合评分法的采购项目，采购人确定中标人时，出现中标候选人并列的情形，采购人按以下的方式确定中标人：</w:t>
            </w:r>
          </w:p>
          <w:p w14:paraId="59767134">
            <w:pPr>
              <w:snapToGrid w:val="0"/>
              <w:spacing w:line="360" w:lineRule="auto"/>
              <w:rPr>
                <w:rFonts w:ascii="宋体" w:hAnsi="宋体"/>
                <w:color w:val="auto"/>
                <w:szCs w:val="21"/>
                <w:highlight w:val="none"/>
              </w:rPr>
            </w:pPr>
            <w:r>
              <w:rPr>
                <w:rFonts w:hint="eastAsia" w:ascii="宋体" w:hAnsi="宋体"/>
                <w:color w:val="auto"/>
                <w:szCs w:val="21"/>
                <w:highlight w:val="none"/>
              </w:rPr>
              <w:t>☑依次按投标报价低的优先、政策分得分高的优先、技术评分高的优先、商务评分高的优先、交付使用时间短优先、故障响应时间短优先的顺序确定；</w:t>
            </w:r>
          </w:p>
          <w:p w14:paraId="50CA2975">
            <w:pPr>
              <w:snapToGrid w:val="0"/>
              <w:spacing w:line="360" w:lineRule="auto"/>
              <w:rPr>
                <w:rFonts w:ascii="宋体" w:hAnsi="宋体"/>
                <w:b/>
                <w:color w:val="auto"/>
                <w:szCs w:val="21"/>
                <w:highlight w:val="none"/>
              </w:rPr>
            </w:pPr>
            <w:r>
              <w:rPr>
                <w:rFonts w:hint="eastAsia" w:ascii="宋体" w:hAnsi="宋体"/>
                <w:color w:val="auto"/>
                <w:szCs w:val="21"/>
                <w:highlight w:val="none"/>
              </w:rPr>
              <w:t>□随机抽取；</w:t>
            </w:r>
          </w:p>
        </w:tc>
      </w:tr>
      <w:tr w14:paraId="4A9F29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78" w:type="dxa"/>
            <w:tcBorders>
              <w:top w:val="single" w:color="auto" w:sz="4" w:space="0"/>
              <w:left w:val="single" w:color="auto" w:sz="4" w:space="0"/>
              <w:bottom w:val="single" w:color="auto" w:sz="4" w:space="0"/>
              <w:right w:val="single" w:color="auto" w:sz="4" w:space="0"/>
            </w:tcBorders>
            <w:vAlign w:val="center"/>
          </w:tcPr>
          <w:p w14:paraId="731472E8">
            <w:pPr>
              <w:spacing w:line="360" w:lineRule="auto"/>
              <w:jc w:val="center"/>
              <w:rPr>
                <w:rFonts w:ascii="宋体" w:hAnsi="宋体"/>
                <w:color w:val="auto"/>
                <w:szCs w:val="21"/>
                <w:highlight w:val="none"/>
              </w:rPr>
            </w:pPr>
            <w:bookmarkStart w:id="73" w:name="_39.1"/>
            <w:bookmarkEnd w:id="73"/>
            <w:r>
              <w:rPr>
                <w:rFonts w:hint="eastAsia" w:ascii="宋体" w:hAnsi="宋体"/>
                <w:color w:val="auto"/>
                <w:szCs w:val="21"/>
                <w:highlight w:val="none"/>
              </w:rPr>
              <w:t>35</w:t>
            </w:r>
            <w:r>
              <w:rPr>
                <w:rFonts w:ascii="宋体" w:hAnsi="宋体"/>
                <w:color w:val="auto"/>
                <w:szCs w:val="21"/>
                <w:highlight w:val="none"/>
              </w:rPr>
              <w:t>.1</w:t>
            </w:r>
          </w:p>
        </w:tc>
        <w:tc>
          <w:tcPr>
            <w:tcW w:w="8175" w:type="dxa"/>
            <w:tcBorders>
              <w:top w:val="single" w:color="auto" w:sz="4" w:space="0"/>
              <w:left w:val="single" w:color="auto" w:sz="4" w:space="0"/>
              <w:bottom w:val="single" w:color="auto" w:sz="4" w:space="0"/>
              <w:right w:val="single" w:color="auto" w:sz="4" w:space="0"/>
            </w:tcBorders>
            <w:vAlign w:val="center"/>
          </w:tcPr>
          <w:p w14:paraId="4E7515AF">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rPr>
              <w:t>☑本项目不收取履约保证金。</w:t>
            </w:r>
          </w:p>
          <w:p w14:paraId="2B4A4027">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rPr>
              <w:t>□本项目收取履约保证金，具体规定如下：</w:t>
            </w:r>
          </w:p>
          <w:p w14:paraId="3CE6B1B4">
            <w:pPr>
              <w:pStyle w:val="18"/>
              <w:rPr>
                <w:rFonts w:ascii="宋体" w:hAnsi="宋体"/>
                <w:color w:val="auto"/>
                <w:szCs w:val="21"/>
                <w:highlight w:val="none"/>
              </w:rPr>
            </w:pPr>
            <w:r>
              <w:rPr>
                <w:rFonts w:hint="eastAsia" w:ascii="宋体" w:hAnsi="宋体"/>
                <w:color w:val="auto"/>
                <w:szCs w:val="21"/>
                <w:highlight w:val="none"/>
              </w:rPr>
              <w:t>履约保证金金额：按中标金额的（注：履约保证金不超过政府采购合同金额的5%）。</w:t>
            </w:r>
          </w:p>
          <w:p w14:paraId="4E8A905C">
            <w:pPr>
              <w:pStyle w:val="18"/>
              <w:rPr>
                <w:rFonts w:ascii="宋体" w:hAnsi="宋体"/>
                <w:color w:val="auto"/>
                <w:szCs w:val="21"/>
                <w:highlight w:val="none"/>
              </w:rPr>
            </w:pPr>
            <w:r>
              <w:rPr>
                <w:rFonts w:hint="eastAsia" w:ascii="宋体" w:hAnsi="宋体"/>
                <w:color w:val="auto"/>
                <w:szCs w:val="21"/>
                <w:highlight w:val="none"/>
              </w:rPr>
              <w:t>履约保证金递交方式：银行转账、支票、汇票、本票或者银行、保险机构出具的保函等非现金方式。</w:t>
            </w:r>
          </w:p>
          <w:p w14:paraId="26F61C39">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rPr>
              <w:t>履约保证金退付方式、时间及条件：</w:t>
            </w:r>
            <w:r>
              <w:rPr>
                <w:rFonts w:hint="eastAsia" w:ascii="宋体" w:hAnsi="宋体"/>
                <w:color w:val="auto"/>
                <w:szCs w:val="21"/>
                <w:highlight w:val="none"/>
                <w:u w:val="single"/>
              </w:rPr>
              <w:t>合同履行完毕由采购人出具证明，自采购人在收到中标人提交的书面申请退付材料（详见附表）之日起15个工作日内以银行转账方式如数退还（不计利息）。</w:t>
            </w:r>
            <w:r>
              <w:rPr>
                <w:rFonts w:hint="eastAsia" w:ascii="宋体" w:hAnsi="宋体"/>
                <w:color w:val="auto"/>
                <w:szCs w:val="21"/>
                <w:highlight w:val="none"/>
              </w:rPr>
              <w:t>履约保证金指定账户：</w:t>
            </w:r>
            <w:r>
              <w:rPr>
                <w:rFonts w:hint="eastAsia" w:ascii="宋体" w:hAnsi="宋体" w:cs="宋体"/>
                <w:color w:val="auto"/>
                <w:kern w:val="0"/>
                <w:szCs w:val="21"/>
                <w:highlight w:val="none"/>
              </w:rPr>
              <w:t>（开户银行：</w:t>
            </w:r>
            <w:r>
              <w:rPr>
                <w:rFonts w:hint="eastAsia" w:ascii="宋体" w:hAnsi="宋体" w:cs="宋体"/>
                <w:color w:val="auto"/>
                <w:kern w:val="0"/>
                <w:szCs w:val="21"/>
                <w:highlight w:val="none"/>
                <w:u w:val="single"/>
              </w:rPr>
              <w:t xml:space="preserve"> / </w:t>
            </w:r>
            <w:r>
              <w:rPr>
                <w:rFonts w:hint="eastAsia" w:ascii="宋体" w:hAnsi="宋体" w:cs="宋体"/>
                <w:color w:val="auto"/>
                <w:kern w:val="0"/>
                <w:szCs w:val="21"/>
                <w:highlight w:val="none"/>
              </w:rPr>
              <w:t>，开户名称：</w:t>
            </w:r>
            <w:r>
              <w:rPr>
                <w:rFonts w:hint="eastAsia" w:ascii="宋体" w:hAnsi="宋体" w:cs="宋体"/>
                <w:color w:val="auto"/>
                <w:kern w:val="0"/>
                <w:szCs w:val="21"/>
                <w:highlight w:val="none"/>
                <w:u w:val="single"/>
              </w:rPr>
              <w:t xml:space="preserve"> / </w:t>
            </w:r>
            <w:r>
              <w:rPr>
                <w:rFonts w:hint="eastAsia" w:ascii="宋体" w:hAnsi="宋体" w:cs="宋体"/>
                <w:color w:val="auto"/>
                <w:kern w:val="0"/>
                <w:szCs w:val="21"/>
                <w:highlight w:val="none"/>
              </w:rPr>
              <w:t>，银行账号：</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3BA00AAE">
            <w:pPr>
              <w:spacing w:line="360" w:lineRule="auto"/>
              <w:jc w:val="left"/>
              <w:rPr>
                <w:rFonts w:ascii="宋体" w:hAnsi="宋体" w:cs="Courier New"/>
                <w:color w:val="auto"/>
                <w:szCs w:val="21"/>
                <w:highlight w:val="none"/>
              </w:rPr>
            </w:pPr>
            <w:r>
              <w:rPr>
                <w:rFonts w:ascii="宋体" w:hAnsi="宋体" w:cs="Courier New"/>
                <w:color w:val="auto"/>
                <w:szCs w:val="21"/>
                <w:highlight w:val="none"/>
              </w:rPr>
              <w:t>备注：</w:t>
            </w:r>
          </w:p>
          <w:p w14:paraId="75A2A82E">
            <w:pPr>
              <w:spacing w:line="360" w:lineRule="auto"/>
              <w:jc w:val="left"/>
              <w:rPr>
                <w:rFonts w:ascii="宋体" w:hAnsi="宋体"/>
                <w:b/>
                <w:color w:val="auto"/>
                <w:szCs w:val="21"/>
                <w:highlight w:val="none"/>
              </w:rPr>
            </w:pPr>
            <w:r>
              <w:rPr>
                <w:rFonts w:ascii="宋体" w:hAnsi="宋体"/>
                <w:b/>
                <w:color w:val="auto"/>
                <w:szCs w:val="21"/>
                <w:highlight w:val="none"/>
              </w:rPr>
              <w:t>1.</w:t>
            </w:r>
            <w:r>
              <w:rPr>
                <w:rFonts w:hint="eastAsia" w:ascii="宋体" w:hAnsi="宋体"/>
                <w:b/>
                <w:color w:val="auto"/>
                <w:szCs w:val="21"/>
                <w:highlight w:val="none"/>
              </w:rPr>
              <w:t xml:space="preserve"> 根据《广西壮族自治区财政厅关于贯彻落实政府采购优化营商环境百日攻坚行动方案的通知》（桂财采〔2020〕49号）规定及桂财采〔2022〕30号 广西壮族自治区财政厅关于进一步发挥政府采购政策功能促进企业发展的通知，履约保证金数额不得超过政府采购合同金额的5%，对中小企业收取的履约保证金数额不得超过政府采购合同金额的2%。采购人可根据供应商的资信等情况减免履约保证金。</w:t>
            </w:r>
          </w:p>
          <w:p w14:paraId="7125F01C">
            <w:pPr>
              <w:spacing w:line="360" w:lineRule="auto"/>
              <w:jc w:val="left"/>
              <w:rPr>
                <w:rFonts w:ascii="宋体" w:hAnsi="宋体"/>
                <w:b/>
                <w:color w:val="auto"/>
                <w:szCs w:val="21"/>
                <w:highlight w:val="none"/>
              </w:rPr>
            </w:pPr>
            <w:r>
              <w:rPr>
                <w:rFonts w:ascii="宋体" w:hAnsi="宋体"/>
                <w:b/>
                <w:color w:val="auto"/>
                <w:szCs w:val="21"/>
                <w:highlight w:val="none"/>
              </w:rPr>
              <w:t>2.</w:t>
            </w:r>
            <w:r>
              <w:rPr>
                <w:rFonts w:hint="eastAsia" w:ascii="宋体" w:hAnsi="宋体"/>
                <w:b/>
                <w:color w:val="auto"/>
                <w:szCs w:val="21"/>
                <w:highlight w:val="none"/>
              </w:rPr>
              <w:t>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p>
          <w:p w14:paraId="4A4480E5">
            <w:pPr>
              <w:spacing w:line="360" w:lineRule="auto"/>
              <w:jc w:val="left"/>
              <w:rPr>
                <w:rFonts w:ascii="宋体" w:hAnsi="宋体"/>
                <w:b/>
                <w:color w:val="auto"/>
                <w:szCs w:val="21"/>
                <w:highlight w:val="none"/>
              </w:rPr>
            </w:pPr>
            <w:r>
              <w:rPr>
                <w:rFonts w:ascii="宋体" w:hAnsi="宋体"/>
                <w:b/>
                <w:color w:val="auto"/>
                <w:szCs w:val="21"/>
                <w:highlight w:val="none"/>
              </w:rPr>
              <w:t>3.采用银行、保险机构出具的保函的，必须为无条件保函，否则不予签订合同。</w:t>
            </w:r>
          </w:p>
          <w:p w14:paraId="032EC32E">
            <w:pPr>
              <w:spacing w:line="360" w:lineRule="auto"/>
              <w:jc w:val="left"/>
              <w:rPr>
                <w:rFonts w:ascii="宋体" w:hAnsi="宋体" w:cs="宋体"/>
                <w:color w:val="auto"/>
                <w:kern w:val="0"/>
                <w:szCs w:val="21"/>
                <w:highlight w:val="none"/>
              </w:rPr>
            </w:pPr>
            <w:r>
              <w:rPr>
                <w:rFonts w:ascii="宋体" w:hAnsi="宋体"/>
                <w:b/>
                <w:color w:val="auto"/>
                <w:szCs w:val="21"/>
                <w:highlight w:val="none"/>
              </w:rPr>
              <w:t>4.</w:t>
            </w:r>
            <w:r>
              <w:rPr>
                <w:rFonts w:hint="eastAsia" w:ascii="宋体" w:hAnsi="宋体"/>
                <w:b/>
                <w:color w:val="auto"/>
                <w:szCs w:val="21"/>
                <w:highlight w:val="none"/>
              </w:rPr>
              <w:t>投标人为联合体的，由联合体其中一方按规定提交的履约保证金，视为有效履约保证金。</w:t>
            </w:r>
          </w:p>
        </w:tc>
      </w:tr>
      <w:tr w14:paraId="33AB53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4F08121D">
            <w:pPr>
              <w:spacing w:line="360" w:lineRule="auto"/>
              <w:jc w:val="center"/>
              <w:rPr>
                <w:rFonts w:ascii="宋体" w:hAnsi="宋体"/>
                <w:color w:val="auto"/>
                <w:szCs w:val="21"/>
                <w:highlight w:val="none"/>
              </w:rPr>
            </w:pPr>
            <w:bookmarkStart w:id="74" w:name="_40.1"/>
            <w:bookmarkEnd w:id="74"/>
            <w:r>
              <w:rPr>
                <w:rFonts w:hint="eastAsia" w:ascii="宋体" w:hAnsi="宋体"/>
                <w:color w:val="auto"/>
                <w:szCs w:val="21"/>
                <w:highlight w:val="none"/>
              </w:rPr>
              <w:t>36.1</w:t>
            </w:r>
          </w:p>
        </w:tc>
        <w:tc>
          <w:tcPr>
            <w:tcW w:w="8175" w:type="dxa"/>
            <w:tcBorders>
              <w:top w:val="single" w:color="auto" w:sz="4" w:space="0"/>
              <w:left w:val="single" w:color="auto" w:sz="4" w:space="0"/>
              <w:bottom w:val="single" w:color="auto" w:sz="4" w:space="0"/>
              <w:right w:val="single" w:color="auto" w:sz="4" w:space="0"/>
            </w:tcBorders>
            <w:vAlign w:val="center"/>
          </w:tcPr>
          <w:p w14:paraId="2DBCEF70">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rPr>
              <w:t xml:space="preserve">签订合同携带的证明材料： </w:t>
            </w:r>
          </w:p>
          <w:p w14:paraId="2CE7537B">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rPr>
              <w:t>委托代理人负责签订合同的，须携带授权委托书及委托代理人身份证原件等其他资格证件。</w:t>
            </w:r>
          </w:p>
          <w:p w14:paraId="667BDE3F">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rPr>
              <w:t>法定代表人负责签订合同的，须携带法定代表人</w:t>
            </w:r>
            <w:r>
              <w:rPr>
                <w:rFonts w:ascii="宋体" w:hAnsi="宋体"/>
                <w:color w:val="auto"/>
                <w:szCs w:val="21"/>
                <w:highlight w:val="none"/>
              </w:rPr>
              <w:t>身份证明原件</w:t>
            </w:r>
            <w:r>
              <w:rPr>
                <w:rFonts w:hint="eastAsia" w:ascii="宋体" w:hAnsi="宋体"/>
                <w:color w:val="auto"/>
                <w:szCs w:val="21"/>
                <w:highlight w:val="none"/>
              </w:rPr>
              <w:t>及</w:t>
            </w:r>
            <w:r>
              <w:rPr>
                <w:rFonts w:ascii="宋体" w:hAnsi="宋体"/>
                <w:color w:val="auto"/>
                <w:szCs w:val="21"/>
                <w:highlight w:val="none"/>
              </w:rPr>
              <w:t>身份证原件</w:t>
            </w:r>
            <w:r>
              <w:rPr>
                <w:rFonts w:hint="eastAsia" w:ascii="宋体" w:hAnsi="宋体"/>
                <w:color w:val="auto"/>
                <w:szCs w:val="21"/>
                <w:highlight w:val="none"/>
              </w:rPr>
              <w:t>等其他证明材料。</w:t>
            </w:r>
          </w:p>
        </w:tc>
      </w:tr>
      <w:tr w14:paraId="4DD8EC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246C0962">
            <w:pPr>
              <w:spacing w:line="360" w:lineRule="auto"/>
              <w:jc w:val="center"/>
              <w:rPr>
                <w:rFonts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8.2</w:t>
            </w:r>
          </w:p>
        </w:tc>
        <w:tc>
          <w:tcPr>
            <w:tcW w:w="8175" w:type="dxa"/>
            <w:tcBorders>
              <w:top w:val="single" w:color="auto" w:sz="4" w:space="0"/>
              <w:left w:val="single" w:color="auto" w:sz="4" w:space="0"/>
              <w:bottom w:val="single" w:color="auto" w:sz="4" w:space="0"/>
              <w:right w:val="single" w:color="auto" w:sz="4" w:space="0"/>
            </w:tcBorders>
            <w:vAlign w:val="center"/>
          </w:tcPr>
          <w:p w14:paraId="4D55D34B">
            <w:pPr>
              <w:snapToGrid w:val="0"/>
              <w:spacing w:line="360" w:lineRule="auto"/>
              <w:rPr>
                <w:rFonts w:ascii="宋体" w:hAnsi="宋体"/>
                <w:color w:val="auto"/>
                <w:szCs w:val="21"/>
                <w:highlight w:val="none"/>
              </w:rPr>
            </w:pPr>
            <w:r>
              <w:rPr>
                <w:rFonts w:hint="eastAsia" w:ascii="宋体" w:hAnsi="宋体"/>
                <w:color w:val="auto"/>
                <w:szCs w:val="21"/>
                <w:highlight w:val="none"/>
              </w:rPr>
              <w:t>接收质疑函方式：以书面形式</w:t>
            </w:r>
          </w:p>
          <w:p w14:paraId="60FF6E28">
            <w:pPr>
              <w:snapToGrid w:val="0"/>
              <w:spacing w:line="360" w:lineRule="auto"/>
              <w:rPr>
                <w:rFonts w:ascii="宋体" w:hAnsi="宋体"/>
                <w:color w:val="auto"/>
                <w:szCs w:val="21"/>
                <w:highlight w:val="none"/>
              </w:rPr>
            </w:pPr>
            <w:r>
              <w:rPr>
                <w:rFonts w:hint="eastAsia" w:ascii="宋体" w:hAnsi="宋体"/>
                <w:color w:val="auto"/>
                <w:szCs w:val="21"/>
                <w:highlight w:val="none"/>
              </w:rPr>
              <w:t>质疑联系部门及联系方式：</w:t>
            </w:r>
            <w:r>
              <w:rPr>
                <w:rFonts w:hint="eastAsia" w:ascii="宋体" w:hAnsi="宋体"/>
                <w:color w:val="auto"/>
                <w:szCs w:val="21"/>
                <w:highlight w:val="none"/>
                <w:u w:val="single"/>
              </w:rPr>
              <w:t>广西鸿业建设工程管理咨询有限公司，联系电话：0770-2862599</w:t>
            </w:r>
            <w:r>
              <w:rPr>
                <w:rFonts w:hint="eastAsia" w:ascii="宋体" w:hAnsi="宋体"/>
                <w:color w:val="auto"/>
                <w:szCs w:val="21"/>
                <w:highlight w:val="none"/>
              </w:rPr>
              <w:t>，</w:t>
            </w:r>
            <w:r>
              <w:rPr>
                <w:rFonts w:ascii="宋体" w:hAnsi="宋体"/>
                <w:color w:val="auto"/>
                <w:szCs w:val="21"/>
                <w:highlight w:val="none"/>
              </w:rPr>
              <w:t>通讯地址</w:t>
            </w:r>
            <w:r>
              <w:rPr>
                <w:rFonts w:hint="eastAsia" w:ascii="宋体" w:hAnsi="宋体" w:cs="Helvetica"/>
                <w:color w:val="auto"/>
                <w:szCs w:val="21"/>
                <w:highlight w:val="none"/>
              </w:rPr>
              <w:t>：</w:t>
            </w:r>
            <w:r>
              <w:rPr>
                <w:rFonts w:hint="eastAsia" w:ascii="宋体" w:hAnsi="宋体" w:cs="Helvetica"/>
                <w:color w:val="auto"/>
                <w:szCs w:val="21"/>
                <w:highlight w:val="none"/>
                <w:u w:val="single"/>
              </w:rPr>
              <w:t>防城港市港口区西湾广场财苑小区8栋</w:t>
            </w:r>
          </w:p>
          <w:p w14:paraId="00DCF1D3">
            <w:pPr>
              <w:autoSpaceDE w:val="0"/>
              <w:autoSpaceDN w:val="0"/>
              <w:snapToGrid w:val="0"/>
              <w:spacing w:line="360" w:lineRule="auto"/>
              <w:textAlignment w:val="bottom"/>
              <w:rPr>
                <w:rFonts w:ascii="宋体" w:hAnsi="宋体"/>
                <w:color w:val="auto"/>
                <w:szCs w:val="21"/>
                <w:highlight w:val="none"/>
              </w:rPr>
            </w:pPr>
            <w:r>
              <w:rPr>
                <w:rFonts w:hint="eastAsia" w:hAnsi="宋体" w:cs="宋体"/>
                <w:color w:val="auto"/>
                <w:highlight w:val="none"/>
              </w:rPr>
              <w:t>业务时间：工作日每天上午</w:t>
            </w:r>
            <w:r>
              <w:rPr>
                <w:rFonts w:hAnsi="宋体" w:cs="宋体"/>
                <w:color w:val="auto"/>
                <w:highlight w:val="none"/>
              </w:rPr>
              <w:t>8</w:t>
            </w:r>
            <w:r>
              <w:rPr>
                <w:rFonts w:hint="eastAsia" w:hAnsi="宋体" w:cs="宋体"/>
                <w:color w:val="auto"/>
                <w:highlight w:val="none"/>
              </w:rPr>
              <w:t>时</w:t>
            </w:r>
            <w:r>
              <w:rPr>
                <w:rFonts w:hAnsi="宋体" w:cs="宋体"/>
                <w:color w:val="auto"/>
                <w:highlight w:val="none"/>
              </w:rPr>
              <w:t>00</w:t>
            </w:r>
            <w:r>
              <w:rPr>
                <w:rFonts w:hint="eastAsia" w:hAnsi="宋体" w:cs="宋体"/>
                <w:color w:val="auto"/>
                <w:highlight w:val="none"/>
              </w:rPr>
              <w:t>分到</w:t>
            </w:r>
            <w:r>
              <w:rPr>
                <w:rFonts w:hAnsi="宋体" w:cs="宋体"/>
                <w:color w:val="auto"/>
                <w:highlight w:val="none"/>
              </w:rPr>
              <w:t>12</w:t>
            </w:r>
            <w:r>
              <w:rPr>
                <w:rFonts w:hint="eastAsia" w:hAnsi="宋体" w:cs="宋体"/>
                <w:color w:val="auto"/>
                <w:highlight w:val="none"/>
              </w:rPr>
              <w:t>时</w:t>
            </w:r>
            <w:r>
              <w:rPr>
                <w:rFonts w:hAnsi="宋体" w:cs="宋体"/>
                <w:color w:val="auto"/>
                <w:highlight w:val="none"/>
              </w:rPr>
              <w:t>00</w:t>
            </w:r>
            <w:r>
              <w:rPr>
                <w:rFonts w:hint="eastAsia" w:hAnsi="宋体" w:cs="宋体"/>
                <w:color w:val="auto"/>
                <w:highlight w:val="none"/>
              </w:rPr>
              <w:t>分，下午</w:t>
            </w:r>
            <w:r>
              <w:rPr>
                <w:rFonts w:hAnsi="宋体" w:cs="宋体"/>
                <w:color w:val="auto"/>
                <w:highlight w:val="none"/>
              </w:rPr>
              <w:t>3</w:t>
            </w:r>
            <w:r>
              <w:rPr>
                <w:rFonts w:hint="eastAsia" w:hAnsi="宋体" w:cs="宋体"/>
                <w:color w:val="auto"/>
                <w:highlight w:val="none"/>
              </w:rPr>
              <w:t>时</w:t>
            </w:r>
            <w:r>
              <w:rPr>
                <w:rFonts w:hAnsi="宋体" w:cs="宋体"/>
                <w:color w:val="auto"/>
                <w:highlight w:val="none"/>
              </w:rPr>
              <w:t>00</w:t>
            </w:r>
            <w:r>
              <w:rPr>
                <w:rFonts w:hint="eastAsia" w:hAnsi="宋体" w:cs="宋体"/>
                <w:color w:val="auto"/>
                <w:highlight w:val="none"/>
              </w:rPr>
              <w:t>分到</w:t>
            </w:r>
            <w:r>
              <w:rPr>
                <w:rFonts w:hAnsi="宋体" w:cs="宋体"/>
                <w:color w:val="auto"/>
                <w:highlight w:val="none"/>
              </w:rPr>
              <w:t>6</w:t>
            </w:r>
            <w:r>
              <w:rPr>
                <w:rFonts w:hint="eastAsia" w:hAnsi="宋体" w:cs="宋体"/>
                <w:color w:val="auto"/>
                <w:highlight w:val="none"/>
              </w:rPr>
              <w:t>时</w:t>
            </w:r>
            <w:r>
              <w:rPr>
                <w:rFonts w:hAnsi="宋体" w:cs="宋体"/>
                <w:color w:val="auto"/>
                <w:highlight w:val="none"/>
              </w:rPr>
              <w:t>00</w:t>
            </w:r>
            <w:r>
              <w:rPr>
                <w:rFonts w:hint="eastAsia" w:hAnsi="宋体" w:cs="宋体"/>
                <w:color w:val="auto"/>
                <w:highlight w:val="none"/>
              </w:rPr>
              <w:t>分。</w:t>
            </w:r>
          </w:p>
        </w:tc>
      </w:tr>
      <w:tr w14:paraId="7539EF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5F71ABEA">
            <w:pPr>
              <w:spacing w:line="360" w:lineRule="auto"/>
              <w:jc w:val="center"/>
              <w:rPr>
                <w:rFonts w:ascii="宋体" w:hAnsi="宋体"/>
                <w:color w:val="auto"/>
                <w:szCs w:val="21"/>
                <w:highlight w:val="none"/>
              </w:rPr>
            </w:pPr>
            <w:bookmarkStart w:id="75" w:name="_42"/>
            <w:bookmarkEnd w:id="75"/>
            <w:bookmarkStart w:id="76" w:name="_41"/>
            <w:bookmarkEnd w:id="76"/>
            <w:bookmarkStart w:id="77" w:name="_Hlt17709148"/>
            <w:r>
              <w:rPr>
                <w:rFonts w:hint="eastAsia" w:ascii="宋体" w:hAnsi="宋体"/>
                <w:color w:val="auto"/>
                <w:szCs w:val="21"/>
                <w:highlight w:val="none"/>
              </w:rPr>
              <w:t>3</w:t>
            </w:r>
            <w:bookmarkEnd w:id="77"/>
            <w:r>
              <w:rPr>
                <w:rFonts w:ascii="宋体" w:hAnsi="宋体"/>
                <w:color w:val="auto"/>
                <w:szCs w:val="21"/>
                <w:highlight w:val="none"/>
              </w:rPr>
              <w:t>9.1</w:t>
            </w:r>
          </w:p>
        </w:tc>
        <w:tc>
          <w:tcPr>
            <w:tcW w:w="8175" w:type="dxa"/>
            <w:tcBorders>
              <w:top w:val="single" w:color="auto" w:sz="4" w:space="0"/>
              <w:left w:val="single" w:color="auto" w:sz="4" w:space="0"/>
              <w:bottom w:val="single" w:color="auto" w:sz="4" w:space="0"/>
              <w:right w:val="single" w:color="auto" w:sz="4" w:space="0"/>
            </w:tcBorders>
            <w:vAlign w:val="center"/>
          </w:tcPr>
          <w:p w14:paraId="4D4F4102">
            <w:pPr>
              <w:pStyle w:val="26"/>
              <w:snapToGrid w:val="0"/>
              <w:spacing w:line="360" w:lineRule="auto"/>
              <w:rPr>
                <w:rFonts w:hAnsi="宋体" w:cs="宋体"/>
                <w:color w:val="auto"/>
                <w:sz w:val="21"/>
                <w:highlight w:val="none"/>
              </w:rPr>
            </w:pPr>
            <w:r>
              <w:rPr>
                <w:rFonts w:hint="eastAsia" w:hAnsi="宋体" w:cs="宋体"/>
                <w:color w:val="auto"/>
                <w:sz w:val="21"/>
                <w:highlight w:val="none"/>
              </w:rPr>
              <w:t>1.采购代理费支付方式：</w:t>
            </w:r>
          </w:p>
          <w:p w14:paraId="63625229">
            <w:pPr>
              <w:pStyle w:val="26"/>
              <w:snapToGrid w:val="0"/>
              <w:spacing w:line="360" w:lineRule="auto"/>
              <w:rPr>
                <w:rFonts w:hAnsi="宋体" w:cs="宋体"/>
                <w:color w:val="auto"/>
                <w:sz w:val="21"/>
                <w:highlight w:val="none"/>
              </w:rPr>
            </w:pPr>
            <w:r>
              <w:rPr>
                <w:rFonts w:hint="eastAsia" w:hAnsi="宋体" w:cs="宋体"/>
                <w:color w:val="auto"/>
                <w:sz w:val="21"/>
                <w:highlight w:val="none"/>
              </w:rPr>
              <w:t>本项目代理服务费由中标人在领取中标通知书前，一次性向采购代理机构支付。</w:t>
            </w:r>
          </w:p>
          <w:p w14:paraId="768099F2">
            <w:pPr>
              <w:pStyle w:val="26"/>
              <w:snapToGrid w:val="0"/>
              <w:spacing w:line="360" w:lineRule="auto"/>
              <w:rPr>
                <w:rFonts w:hAnsi="宋体" w:cs="宋体"/>
                <w:color w:val="auto"/>
                <w:sz w:val="21"/>
                <w:highlight w:val="none"/>
              </w:rPr>
            </w:pPr>
            <w:r>
              <w:rPr>
                <w:rFonts w:hint="eastAsia" w:hAnsi="宋体" w:cs="宋体"/>
                <w:color w:val="auto"/>
                <w:sz w:val="21"/>
                <w:highlight w:val="none"/>
              </w:rPr>
              <w:t>2.采购代理费收取标准：</w:t>
            </w:r>
          </w:p>
          <w:p w14:paraId="7BD16762">
            <w:pPr>
              <w:pStyle w:val="26"/>
              <w:snapToGrid w:val="0"/>
              <w:spacing w:line="360" w:lineRule="auto"/>
              <w:rPr>
                <w:rFonts w:hAnsi="宋体" w:cs="宋体"/>
                <w:color w:val="auto"/>
                <w:sz w:val="21"/>
                <w:highlight w:val="none"/>
              </w:rPr>
            </w:pPr>
            <w:r>
              <w:rPr>
                <w:rFonts w:hint="eastAsia" w:hAnsi="宋体" w:cs="宋体"/>
                <w:color w:val="auto"/>
                <w:sz w:val="21"/>
                <w:highlight w:val="none"/>
              </w:rPr>
              <w:t>☑按国家发展改革委员会（原国家计委）文件“国家计委关于印发《招标代理服务收费管理暂行办法》的通知”（计价格【2002】1980号）及“国家发展改革委关于降低部分建设项目收费标准规范收费行为等有关问题的通知”（发改价格【2011】534号）文件规定的计价标准计取。</w:t>
            </w:r>
          </w:p>
          <w:p w14:paraId="3C8B175D">
            <w:pPr>
              <w:pStyle w:val="26"/>
              <w:snapToGrid w:val="0"/>
              <w:spacing w:line="360" w:lineRule="auto"/>
              <w:rPr>
                <w:rFonts w:hAnsi="宋体" w:cs="宋体"/>
                <w:color w:val="auto"/>
                <w:sz w:val="21"/>
                <w:highlight w:val="none"/>
                <w:u w:val="single"/>
              </w:rPr>
            </w:pPr>
            <w:r>
              <w:rPr>
                <w:rFonts w:hint="eastAsia" w:hAnsi="宋体" w:cs="宋体"/>
                <w:color w:val="auto"/>
                <w:sz w:val="21"/>
                <w:highlight w:val="none"/>
              </w:rPr>
              <w:t>□固定采购代理收费</w:t>
            </w:r>
            <w:r>
              <w:rPr>
                <w:rFonts w:hint="eastAsia" w:hAnsi="宋体" w:cs="宋体"/>
                <w:color w:val="auto"/>
                <w:sz w:val="21"/>
                <w:highlight w:val="none"/>
                <w:u w:val="single"/>
              </w:rPr>
              <w:t>/  。</w:t>
            </w:r>
          </w:p>
          <w:p w14:paraId="4C40E460">
            <w:pPr>
              <w:pStyle w:val="26"/>
              <w:snapToGrid w:val="0"/>
              <w:spacing w:line="360" w:lineRule="auto"/>
              <w:rPr>
                <w:rFonts w:hAnsi="宋体" w:cs="宋体"/>
                <w:color w:val="auto"/>
                <w:sz w:val="21"/>
                <w:highlight w:val="none"/>
              </w:rPr>
            </w:pPr>
            <w:r>
              <w:rPr>
                <w:rFonts w:hint="eastAsia" w:hAnsi="宋体" w:cs="宋体"/>
                <w:color w:val="auto"/>
                <w:sz w:val="21"/>
                <w:highlight w:val="none"/>
              </w:rPr>
              <w:t>3.采购代理费收取银行账户</w:t>
            </w:r>
          </w:p>
          <w:p w14:paraId="16E8FFF5">
            <w:pPr>
              <w:pStyle w:val="26"/>
              <w:snapToGrid w:val="0"/>
              <w:spacing w:line="360" w:lineRule="auto"/>
              <w:rPr>
                <w:rFonts w:hAnsi="宋体" w:cs="宋体"/>
                <w:color w:val="auto"/>
                <w:sz w:val="21"/>
                <w:highlight w:val="none"/>
              </w:rPr>
            </w:pPr>
            <w:r>
              <w:rPr>
                <w:rFonts w:hint="eastAsia" w:hAnsi="宋体" w:cs="宋体"/>
                <w:color w:val="auto"/>
                <w:sz w:val="21"/>
                <w:highlight w:val="none"/>
              </w:rPr>
              <w:t>开户名称：广西鸿业建设工程管理咨询有限公司</w:t>
            </w:r>
          </w:p>
          <w:p w14:paraId="3FB9FDE0">
            <w:pPr>
              <w:pStyle w:val="26"/>
              <w:snapToGrid w:val="0"/>
              <w:spacing w:line="360" w:lineRule="auto"/>
              <w:rPr>
                <w:rFonts w:hAnsi="宋体" w:cs="宋体"/>
                <w:color w:val="auto"/>
                <w:sz w:val="21"/>
                <w:highlight w:val="none"/>
              </w:rPr>
            </w:pPr>
            <w:r>
              <w:rPr>
                <w:rFonts w:hint="eastAsia" w:hAnsi="宋体" w:cs="宋体"/>
                <w:color w:val="auto"/>
                <w:sz w:val="21"/>
                <w:highlight w:val="none"/>
              </w:rPr>
              <w:t>开户银行：桂林银行股份有限公司防城港分行</w:t>
            </w:r>
          </w:p>
          <w:p w14:paraId="27323F95">
            <w:pPr>
              <w:pStyle w:val="26"/>
              <w:snapToGrid w:val="0"/>
              <w:spacing w:line="360" w:lineRule="auto"/>
              <w:rPr>
                <w:rFonts w:hAnsi="宋体" w:cs="宋体"/>
                <w:color w:val="auto"/>
                <w:sz w:val="21"/>
                <w:highlight w:val="none"/>
              </w:rPr>
            </w:pPr>
            <w:r>
              <w:rPr>
                <w:rFonts w:hint="eastAsia" w:hAnsi="宋体" w:cs="宋体"/>
                <w:color w:val="auto"/>
                <w:sz w:val="21"/>
                <w:highlight w:val="none"/>
              </w:rPr>
              <w:t>银行账号：660000016271400019</w:t>
            </w:r>
          </w:p>
        </w:tc>
      </w:tr>
      <w:tr w14:paraId="121E2D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26B8C0A4">
            <w:pPr>
              <w:snapToGrid w:val="0"/>
              <w:spacing w:line="360" w:lineRule="auto"/>
              <w:jc w:val="center"/>
              <w:rPr>
                <w:rFonts w:ascii="宋体" w:hAnsi="宋体"/>
                <w:color w:val="auto"/>
                <w:szCs w:val="21"/>
                <w:highlight w:val="none"/>
              </w:rPr>
            </w:pPr>
            <w:r>
              <w:rPr>
                <w:rFonts w:ascii="宋体" w:hAnsi="宋体"/>
                <w:color w:val="auto"/>
                <w:szCs w:val="21"/>
                <w:highlight w:val="none"/>
              </w:rPr>
              <w:t>40.1</w:t>
            </w:r>
          </w:p>
        </w:tc>
        <w:tc>
          <w:tcPr>
            <w:tcW w:w="8175" w:type="dxa"/>
            <w:tcBorders>
              <w:top w:val="single" w:color="auto" w:sz="4" w:space="0"/>
              <w:left w:val="single" w:color="auto" w:sz="4" w:space="0"/>
              <w:bottom w:val="single" w:color="auto" w:sz="4" w:space="0"/>
              <w:right w:val="single" w:color="auto" w:sz="4" w:space="0"/>
            </w:tcBorders>
            <w:vAlign w:val="center"/>
          </w:tcPr>
          <w:p w14:paraId="1CA214D4">
            <w:pPr>
              <w:snapToGrid w:val="0"/>
              <w:spacing w:line="360" w:lineRule="auto"/>
              <w:rPr>
                <w:rFonts w:ascii="宋体" w:hAnsi="宋体"/>
                <w:color w:val="auto"/>
                <w:szCs w:val="21"/>
                <w:highlight w:val="none"/>
              </w:rPr>
            </w:pPr>
            <w:r>
              <w:rPr>
                <w:rFonts w:hint="eastAsia" w:ascii="宋体" w:hAnsi="宋体"/>
                <w:color w:val="auto"/>
                <w:szCs w:val="21"/>
                <w:highlight w:val="none"/>
              </w:rPr>
              <w:t>解释：</w:t>
            </w:r>
            <w:r>
              <w:rPr>
                <w:rFonts w:ascii="宋体" w:hAnsi="宋体"/>
                <w:color w:val="auto"/>
                <w:szCs w:val="21"/>
                <w:highlight w:val="none"/>
              </w:rPr>
              <w:t>构成本招标文件的各个组成文件应互为解释，互为说明；除招标文件中有特别规定外，仅适用于招标投标阶段的规定，按</w:t>
            </w:r>
            <w:r>
              <w:rPr>
                <w:rFonts w:hint="eastAsia" w:ascii="宋体" w:hAnsi="宋体"/>
                <w:color w:val="auto"/>
                <w:szCs w:val="21"/>
                <w:highlight w:val="none"/>
              </w:rPr>
              <w:t>更正公告（澄清公告）</w:t>
            </w:r>
            <w:r>
              <w:rPr>
                <w:rFonts w:ascii="宋体" w:hAnsi="宋体"/>
                <w:color w:val="auto"/>
                <w:szCs w:val="21"/>
                <w:highlight w:val="none"/>
              </w:rPr>
              <w:t>、招标公告、</w:t>
            </w:r>
            <w:r>
              <w:rPr>
                <w:rFonts w:hint="eastAsia" w:ascii="宋体" w:hAnsi="宋体"/>
                <w:color w:val="auto"/>
                <w:szCs w:val="21"/>
                <w:highlight w:val="none"/>
              </w:rPr>
              <w:t>采购需求、</w:t>
            </w:r>
            <w:r>
              <w:rPr>
                <w:rFonts w:ascii="宋体" w:hAnsi="宋体"/>
                <w:color w:val="auto"/>
                <w:szCs w:val="21"/>
                <w:highlight w:val="none"/>
              </w:rPr>
              <w:t>投标人须知、</w:t>
            </w:r>
            <w:r>
              <w:rPr>
                <w:rFonts w:hint="eastAsia" w:ascii="宋体" w:hAnsi="宋体"/>
                <w:color w:val="auto"/>
                <w:szCs w:val="21"/>
                <w:highlight w:val="none"/>
              </w:rPr>
              <w:t>评标方法及评标标准</w:t>
            </w:r>
            <w:r>
              <w:rPr>
                <w:rFonts w:ascii="宋体" w:hAnsi="宋体"/>
                <w:color w:val="auto"/>
                <w:szCs w:val="21"/>
                <w:highlight w:val="none"/>
              </w:rPr>
              <w:t>、</w:t>
            </w:r>
            <w:r>
              <w:rPr>
                <w:rFonts w:hint="eastAsia" w:ascii="宋体" w:hAnsi="宋体"/>
                <w:color w:val="auto"/>
                <w:szCs w:val="21"/>
                <w:highlight w:val="none"/>
              </w:rPr>
              <w:t>拟签订的合同文本、</w:t>
            </w:r>
            <w:r>
              <w:rPr>
                <w:rFonts w:ascii="宋体" w:hAnsi="宋体"/>
                <w:color w:val="auto"/>
                <w:szCs w:val="21"/>
                <w:highlight w:val="none"/>
              </w:rPr>
              <w:t>投标文件格式的先后顺序解释；同一组成文件中就同一事项的规定或者约定不一致的，以编排顺序在后者为准；同一组成文件不同版本之间有不一致的，以形成时间在后者为准；</w:t>
            </w:r>
            <w:r>
              <w:rPr>
                <w:rFonts w:hint="eastAsia" w:ascii="宋体" w:hAnsi="宋体"/>
                <w:color w:val="auto"/>
                <w:szCs w:val="21"/>
                <w:highlight w:val="none"/>
              </w:rPr>
              <w:t>更正公告（澄清公告）</w:t>
            </w:r>
            <w:r>
              <w:rPr>
                <w:rFonts w:ascii="宋体" w:hAnsi="宋体"/>
                <w:color w:val="auto"/>
                <w:szCs w:val="21"/>
                <w:highlight w:val="none"/>
              </w:rPr>
              <w:t>与同步更新的招标文件不一致时以</w:t>
            </w:r>
            <w:r>
              <w:rPr>
                <w:rFonts w:hint="eastAsia" w:ascii="宋体" w:hAnsi="宋体"/>
                <w:color w:val="auto"/>
                <w:szCs w:val="21"/>
                <w:highlight w:val="none"/>
              </w:rPr>
              <w:t>更正公告（澄清公告）</w:t>
            </w:r>
            <w:r>
              <w:rPr>
                <w:rFonts w:ascii="宋体" w:hAnsi="宋体"/>
                <w:color w:val="auto"/>
                <w:szCs w:val="21"/>
                <w:highlight w:val="none"/>
              </w:rPr>
              <w:t>为准。按本款前述规定仍不能形成结论的，由</w:t>
            </w:r>
            <w:r>
              <w:rPr>
                <w:rFonts w:hint="eastAsia" w:ascii="宋体" w:hAnsi="宋体"/>
                <w:color w:val="auto"/>
                <w:szCs w:val="21"/>
                <w:highlight w:val="none"/>
              </w:rPr>
              <w:t>采购</w:t>
            </w:r>
            <w:r>
              <w:rPr>
                <w:rFonts w:ascii="宋体" w:hAnsi="宋体"/>
                <w:color w:val="auto"/>
                <w:szCs w:val="21"/>
                <w:highlight w:val="none"/>
              </w:rPr>
              <w:t>人</w:t>
            </w:r>
            <w:r>
              <w:rPr>
                <w:rFonts w:hint="eastAsia" w:ascii="宋体" w:hAnsi="宋体"/>
                <w:color w:val="auto"/>
                <w:szCs w:val="21"/>
                <w:highlight w:val="none"/>
              </w:rPr>
              <w:t>或者采购代理机构</w:t>
            </w:r>
            <w:r>
              <w:rPr>
                <w:rFonts w:ascii="宋体" w:hAnsi="宋体"/>
                <w:color w:val="auto"/>
                <w:szCs w:val="21"/>
                <w:highlight w:val="none"/>
              </w:rPr>
              <w:t>负责解释。</w:t>
            </w:r>
          </w:p>
        </w:tc>
      </w:tr>
      <w:tr w14:paraId="7030BF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102C1817">
            <w:pPr>
              <w:snapToGrid w:val="0"/>
              <w:spacing w:line="360" w:lineRule="auto"/>
              <w:jc w:val="center"/>
              <w:rPr>
                <w:rFonts w:ascii="宋体" w:hAnsi="宋体"/>
                <w:color w:val="auto"/>
                <w:szCs w:val="21"/>
                <w:highlight w:val="none"/>
              </w:rPr>
            </w:pPr>
            <w:r>
              <w:rPr>
                <w:rFonts w:ascii="宋体" w:hAnsi="宋体"/>
                <w:color w:val="auto"/>
                <w:szCs w:val="21"/>
                <w:highlight w:val="none"/>
              </w:rPr>
              <w:t>40.2</w:t>
            </w:r>
          </w:p>
        </w:tc>
        <w:tc>
          <w:tcPr>
            <w:tcW w:w="8175" w:type="dxa"/>
            <w:tcBorders>
              <w:top w:val="single" w:color="auto" w:sz="4" w:space="0"/>
              <w:left w:val="single" w:color="auto" w:sz="4" w:space="0"/>
              <w:bottom w:val="single" w:color="auto" w:sz="4" w:space="0"/>
              <w:right w:val="single" w:color="auto" w:sz="4" w:space="0"/>
            </w:tcBorders>
            <w:vAlign w:val="center"/>
          </w:tcPr>
          <w:p w14:paraId="7FEEBD8F">
            <w:pPr>
              <w:pStyle w:val="26"/>
              <w:snapToGrid w:val="0"/>
              <w:spacing w:line="360" w:lineRule="auto"/>
              <w:rPr>
                <w:rFonts w:hAnsi="宋体" w:cs="宋体"/>
                <w:bCs/>
                <w:color w:val="auto"/>
                <w:sz w:val="21"/>
                <w:highlight w:val="none"/>
              </w:rPr>
            </w:pPr>
            <w:r>
              <w:rPr>
                <w:rFonts w:hint="eastAsia" w:hAnsi="宋体" w:cs="宋体"/>
                <w:bCs/>
                <w:color w:val="auto"/>
                <w:sz w:val="21"/>
                <w:highlight w:val="none"/>
              </w:rPr>
              <w:t>1.本招标文件中描述投标人的“公章”是指根据我国对公章的管理规定，用投标人法定主体行为名称制作的印章，除本招标文件有特殊规定外，投标人的财务章、部门章、分公司章、工会章、合同章、投标专用章、业务专用章及银行的转账章、现金收讫章、现金付讫章等其他形式印章均不能代替公章。</w:t>
            </w:r>
          </w:p>
          <w:p w14:paraId="697B2007">
            <w:pPr>
              <w:pStyle w:val="26"/>
              <w:snapToGrid w:val="0"/>
              <w:spacing w:line="360" w:lineRule="auto"/>
              <w:rPr>
                <w:rFonts w:hAnsi="宋体" w:cs="宋体"/>
                <w:bCs/>
                <w:color w:val="auto"/>
                <w:sz w:val="21"/>
                <w:highlight w:val="none"/>
              </w:rPr>
            </w:pPr>
            <w:r>
              <w:rPr>
                <w:rFonts w:hint="eastAsia" w:hAnsi="宋体" w:cs="宋体"/>
                <w:bCs/>
                <w:color w:val="auto"/>
                <w:sz w:val="21"/>
                <w:highlight w:val="none"/>
              </w:rPr>
              <w:t>2.本招标文件所称的“</w:t>
            </w:r>
            <w:r>
              <w:rPr>
                <w:rFonts w:hint="eastAsia" w:hAnsi="宋体"/>
                <w:color w:val="auto"/>
                <w:sz w:val="21"/>
                <w:highlight w:val="none"/>
              </w:rPr>
              <w:t>电子签章</w:t>
            </w:r>
            <w:r>
              <w:rPr>
                <w:rFonts w:hint="eastAsia" w:hAnsi="宋体" w:cs="宋体"/>
                <w:bCs/>
                <w:color w:val="auto"/>
                <w:sz w:val="21"/>
                <w:highlight w:val="none"/>
              </w:rPr>
              <w:t>”、“电子签名”</w:t>
            </w:r>
            <w:r>
              <w:rPr>
                <w:rFonts w:hint="eastAsia" w:hAnsi="宋体"/>
                <w:color w:val="auto"/>
                <w:sz w:val="21"/>
                <w:highlight w:val="none"/>
              </w:rPr>
              <w:t>，是指经</w:t>
            </w:r>
            <w:r>
              <w:rPr>
                <w:rFonts w:hint="eastAsia" w:hAnsi="宋体"/>
                <w:b/>
                <w:color w:val="auto"/>
                <w:highlight w:val="none"/>
              </w:rPr>
              <w:t>广西政府采购云平台</w:t>
            </w:r>
            <w:r>
              <w:rPr>
                <w:rFonts w:hint="eastAsia" w:hAnsi="宋体"/>
                <w:color w:val="auto"/>
                <w:sz w:val="21"/>
                <w:highlight w:val="none"/>
              </w:rPr>
              <w:t>认可的CA认证的电子签名数据为表现形式的印章，可用于签署电子投标文件，电子印章与实物印章具有同等法律效力，不因其采用电子化表现形式而否定其法律效力。</w:t>
            </w:r>
          </w:p>
          <w:p w14:paraId="7BFC424F">
            <w:pPr>
              <w:pStyle w:val="26"/>
              <w:snapToGrid w:val="0"/>
              <w:spacing w:line="360" w:lineRule="auto"/>
              <w:rPr>
                <w:rFonts w:hAnsi="宋体" w:cs="宋体"/>
                <w:bCs/>
                <w:color w:val="auto"/>
                <w:sz w:val="21"/>
                <w:highlight w:val="none"/>
              </w:rPr>
            </w:pPr>
            <w:r>
              <w:rPr>
                <w:rFonts w:hint="eastAsia" w:hAnsi="宋体" w:cs="宋体"/>
                <w:bCs/>
                <w:color w:val="auto"/>
                <w:sz w:val="21"/>
                <w:highlight w:val="none"/>
              </w:rPr>
              <w:t>3.投标人为其他组织或者自然人时，本招标文件规定的法定代表人指负责人或者自然人。本招标文件所称负责人是指参加投标的其他组织营业执照或者执业许可证等证照上的负责人，本招标文件所称自然人指参与投标的自然人本人，且应具备独立承担民事责任能力，自然人应当为年满18岁以上成年人（十六周岁以上的未成年人，以自己的劳动收入为主要生活来源的，视为完全民事行为能力人）。</w:t>
            </w:r>
          </w:p>
          <w:p w14:paraId="42C1A511">
            <w:pPr>
              <w:pStyle w:val="26"/>
              <w:snapToGrid w:val="0"/>
              <w:spacing w:line="360" w:lineRule="auto"/>
              <w:rPr>
                <w:rFonts w:hAnsi="宋体" w:cs="宋体"/>
                <w:bCs/>
                <w:color w:val="auto"/>
                <w:sz w:val="21"/>
                <w:highlight w:val="none"/>
              </w:rPr>
            </w:pPr>
            <w:r>
              <w:rPr>
                <w:rFonts w:hint="eastAsia" w:hAnsi="宋体" w:cs="宋体"/>
                <w:bCs/>
                <w:color w:val="auto"/>
                <w:sz w:val="21"/>
                <w:highlight w:val="none"/>
              </w:rPr>
              <w:t>4.本招标文件中描述投标人的“签字”是指投标人的法定代表人或者委托代理人亲自在文件规定签字处亲笔写上个人的名字的行为，私章、签字章、印鉴、影印等其他形式均不能代替亲笔签字。</w:t>
            </w:r>
          </w:p>
          <w:p w14:paraId="0A2EEC7B">
            <w:pPr>
              <w:spacing w:line="360" w:lineRule="auto"/>
              <w:jc w:val="left"/>
              <w:rPr>
                <w:rFonts w:ascii="宋体" w:hAnsi="宋体"/>
                <w:color w:val="auto"/>
                <w:szCs w:val="21"/>
                <w:highlight w:val="none"/>
              </w:rPr>
            </w:pPr>
            <w:r>
              <w:rPr>
                <w:rFonts w:hint="eastAsia" w:hAnsi="宋体" w:cs="宋体"/>
                <w:bCs/>
                <w:color w:val="auto"/>
                <w:highlight w:val="none"/>
              </w:rPr>
              <w:t>5.</w:t>
            </w:r>
            <w:r>
              <w:rPr>
                <w:rFonts w:hint="eastAsia" w:ascii="宋体" w:hAnsi="宋体" w:cs="宋体"/>
                <w:bCs/>
                <w:color w:val="auto"/>
                <w:kern w:val="0"/>
                <w:szCs w:val="21"/>
                <w:highlight w:val="none"/>
              </w:rPr>
              <w:t>本招标文件所称的“以上”“以下”“以内”“届满”，包括本数；所称的“不满”“超过”“以外”，不包括本数。</w:t>
            </w:r>
          </w:p>
        </w:tc>
      </w:tr>
    </w:tbl>
    <w:p w14:paraId="02B8A727">
      <w:pPr>
        <w:snapToGrid w:val="0"/>
        <w:rPr>
          <w:rFonts w:ascii="宋体" w:hAnsi="宋体"/>
          <w:color w:val="auto"/>
          <w:sz w:val="24"/>
          <w:szCs w:val="20"/>
          <w:highlight w:val="none"/>
        </w:rPr>
      </w:pPr>
    </w:p>
    <w:p w14:paraId="3B627F0A">
      <w:pPr>
        <w:snapToGrid w:val="0"/>
        <w:rPr>
          <w:rFonts w:ascii="宋体" w:hAnsi="宋体"/>
          <w:color w:val="auto"/>
          <w:sz w:val="24"/>
          <w:szCs w:val="20"/>
          <w:highlight w:val="none"/>
        </w:rPr>
      </w:pPr>
    </w:p>
    <w:p w14:paraId="2230612E">
      <w:pPr>
        <w:pStyle w:val="6"/>
        <w:keepNext w:val="0"/>
        <w:keepLines w:val="0"/>
        <w:jc w:val="center"/>
        <w:rPr>
          <w:color w:val="auto"/>
          <w:highlight w:val="none"/>
        </w:rPr>
      </w:pPr>
      <w:r>
        <w:rPr>
          <w:color w:val="auto"/>
          <w:highlight w:val="none"/>
        </w:rPr>
        <w:br w:type="page"/>
      </w:r>
      <w:r>
        <w:rPr>
          <w:rFonts w:hint="eastAsia"/>
          <w:color w:val="auto"/>
          <w:highlight w:val="none"/>
        </w:rPr>
        <w:t>投标人须知正文</w:t>
      </w:r>
    </w:p>
    <w:p w14:paraId="4B916F1E">
      <w:pPr>
        <w:pStyle w:val="6"/>
        <w:keepNext w:val="0"/>
        <w:keepLines w:val="0"/>
        <w:jc w:val="center"/>
        <w:rPr>
          <w:color w:val="auto"/>
          <w:highlight w:val="none"/>
        </w:rPr>
      </w:pPr>
      <w:r>
        <w:rPr>
          <w:rFonts w:hint="eastAsia"/>
          <w:color w:val="auto"/>
          <w:highlight w:val="none"/>
        </w:rPr>
        <w:t>一、总  则</w:t>
      </w:r>
    </w:p>
    <w:p w14:paraId="7AAA8B60">
      <w:pPr>
        <w:pStyle w:val="8"/>
        <w:keepNext w:val="0"/>
        <w:keepLines w:val="0"/>
        <w:spacing w:before="0" w:after="0" w:line="360" w:lineRule="auto"/>
        <w:ind w:left="420" w:leftChars="200"/>
        <w:rPr>
          <w:rFonts w:ascii="黑体" w:hAnsi="黑体" w:eastAsia="黑体"/>
          <w:color w:val="auto"/>
          <w:sz w:val="24"/>
          <w:highlight w:val="none"/>
        </w:rPr>
      </w:pPr>
      <w:bookmarkStart w:id="78" w:name="_Toc254970527"/>
      <w:bookmarkStart w:id="79" w:name="_Toc254970668"/>
      <w:r>
        <w:rPr>
          <w:rFonts w:hint="eastAsia" w:ascii="黑体" w:hAnsi="黑体" w:eastAsia="黑体"/>
          <w:color w:val="auto"/>
          <w:sz w:val="24"/>
          <w:highlight w:val="none"/>
        </w:rPr>
        <w:t>1.适用范围</w:t>
      </w:r>
      <w:bookmarkEnd w:id="78"/>
      <w:bookmarkEnd w:id="79"/>
    </w:p>
    <w:p w14:paraId="098DD081">
      <w:pPr>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0DE3F3AD">
      <w:pPr>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1.2本招标文件</w:t>
      </w:r>
      <w:r>
        <w:rPr>
          <w:rFonts w:hint="eastAsia" w:ascii="宋体" w:hAnsi="宋体" w:cs="宋体"/>
          <w:color w:val="auto"/>
          <w:spacing w:val="-6"/>
          <w:szCs w:val="21"/>
          <w:highlight w:val="none"/>
        </w:rPr>
        <w:t>适用于本项目的所有采购程序和环节（法律、法规另有规定的，从其规定）。</w:t>
      </w:r>
    </w:p>
    <w:p w14:paraId="0249EDD7">
      <w:pPr>
        <w:pStyle w:val="8"/>
        <w:keepNext w:val="0"/>
        <w:keepLines w:val="0"/>
        <w:spacing w:before="0" w:after="0" w:line="360" w:lineRule="auto"/>
        <w:ind w:left="420" w:leftChars="200"/>
        <w:rPr>
          <w:rFonts w:ascii="黑体" w:hAnsi="黑体" w:eastAsia="黑体"/>
          <w:color w:val="auto"/>
          <w:sz w:val="24"/>
          <w:highlight w:val="none"/>
        </w:rPr>
      </w:pPr>
      <w:bookmarkStart w:id="80" w:name="_Toc254970528"/>
      <w:bookmarkStart w:id="81" w:name="_Toc254970669"/>
      <w:r>
        <w:rPr>
          <w:rFonts w:hint="eastAsia" w:ascii="黑体" w:hAnsi="黑体" w:eastAsia="黑体"/>
          <w:color w:val="auto"/>
          <w:sz w:val="24"/>
          <w:highlight w:val="none"/>
        </w:rPr>
        <w:t>2.定义</w:t>
      </w:r>
      <w:bookmarkEnd w:id="80"/>
      <w:bookmarkEnd w:id="81"/>
    </w:p>
    <w:p w14:paraId="6CFB79F9">
      <w:pPr>
        <w:pStyle w:val="8"/>
        <w:keepNext w:val="0"/>
        <w:keepLines w:val="0"/>
        <w:spacing w:before="0" w:after="0" w:line="360" w:lineRule="auto"/>
        <w:ind w:left="420" w:leftChars="200"/>
        <w:rPr>
          <w:rFonts w:ascii="宋体" w:hAnsi="宋体"/>
          <w:b w:val="0"/>
          <w:color w:val="auto"/>
          <w:sz w:val="21"/>
          <w:szCs w:val="21"/>
          <w:highlight w:val="none"/>
        </w:rPr>
      </w:pPr>
      <w:r>
        <w:rPr>
          <w:rFonts w:hint="eastAsia" w:ascii="宋体" w:hAnsi="宋体"/>
          <w:b w:val="0"/>
          <w:color w:val="auto"/>
          <w:sz w:val="21"/>
          <w:szCs w:val="21"/>
          <w:highlight w:val="none"/>
        </w:rPr>
        <w:t>2.1“采购人”是指依法进行政府采购的国家机关、事业单位、团体组织。</w:t>
      </w:r>
    </w:p>
    <w:p w14:paraId="175C1877">
      <w:pPr>
        <w:pStyle w:val="8"/>
        <w:keepNext w:val="0"/>
        <w:keepLines w:val="0"/>
        <w:spacing w:before="0" w:after="0" w:line="360" w:lineRule="auto"/>
        <w:ind w:left="420" w:leftChars="200"/>
        <w:rPr>
          <w:rFonts w:ascii="宋体" w:hAnsi="宋体"/>
          <w:b w:val="0"/>
          <w:color w:val="auto"/>
          <w:sz w:val="21"/>
          <w:szCs w:val="21"/>
          <w:highlight w:val="none"/>
        </w:rPr>
      </w:pPr>
      <w:r>
        <w:rPr>
          <w:rFonts w:hint="eastAsia" w:ascii="宋体" w:hAnsi="宋体"/>
          <w:b w:val="0"/>
          <w:color w:val="auto"/>
          <w:sz w:val="21"/>
          <w:szCs w:val="21"/>
          <w:highlight w:val="none"/>
        </w:rPr>
        <w:t>2.2“采购代理机构”是指政府采购集中采购机构和集中采购机构以外的采购代理机构。</w:t>
      </w:r>
    </w:p>
    <w:p w14:paraId="6BCD1420">
      <w:pPr>
        <w:pStyle w:val="8"/>
        <w:keepNext w:val="0"/>
        <w:keepLines w:val="0"/>
        <w:spacing w:before="0" w:after="0" w:line="360" w:lineRule="auto"/>
        <w:ind w:left="420" w:leftChars="200"/>
        <w:rPr>
          <w:rFonts w:ascii="宋体" w:hAnsi="宋体"/>
          <w:b w:val="0"/>
          <w:color w:val="auto"/>
          <w:sz w:val="21"/>
          <w:szCs w:val="21"/>
          <w:highlight w:val="none"/>
        </w:rPr>
      </w:pPr>
      <w:r>
        <w:rPr>
          <w:rFonts w:hint="eastAsia" w:ascii="宋体" w:hAnsi="宋体"/>
          <w:b w:val="0"/>
          <w:color w:val="auto"/>
          <w:sz w:val="21"/>
          <w:szCs w:val="21"/>
          <w:highlight w:val="none"/>
        </w:rPr>
        <w:t>2.3“供应商”是指向采购人提供货物、工程或者服务的法人、其他组织或者自然人。</w:t>
      </w:r>
    </w:p>
    <w:p w14:paraId="5E1D20DB">
      <w:pPr>
        <w:pStyle w:val="9"/>
        <w:spacing w:line="360" w:lineRule="auto"/>
        <w:rPr>
          <w:rFonts w:ascii="宋体" w:hAnsi="宋体"/>
          <w:color w:val="auto"/>
          <w:szCs w:val="21"/>
          <w:highlight w:val="none"/>
        </w:rPr>
      </w:pPr>
      <w:r>
        <w:rPr>
          <w:rFonts w:hint="eastAsia" w:ascii="宋体" w:hAnsi="宋体"/>
          <w:color w:val="auto"/>
          <w:szCs w:val="21"/>
          <w:highlight w:val="none"/>
        </w:rPr>
        <w:t>2.4“投标人”是指响应招标、参加投标竞争的法人、其他组织或者自然人。</w:t>
      </w:r>
    </w:p>
    <w:p w14:paraId="7E33F0B2">
      <w:pPr>
        <w:pStyle w:val="8"/>
        <w:keepNext w:val="0"/>
        <w:keepLines w:val="0"/>
        <w:spacing w:before="0" w:after="0" w:line="360" w:lineRule="auto"/>
        <w:ind w:firstLine="420" w:firstLineChars="200"/>
        <w:rPr>
          <w:rFonts w:ascii="宋体" w:hAnsi="宋体"/>
          <w:b w:val="0"/>
          <w:color w:val="auto"/>
          <w:sz w:val="21"/>
          <w:szCs w:val="21"/>
          <w:highlight w:val="none"/>
        </w:rPr>
      </w:pPr>
      <w:r>
        <w:rPr>
          <w:rFonts w:hint="eastAsia" w:ascii="宋体" w:hAnsi="宋体"/>
          <w:b w:val="0"/>
          <w:color w:val="auto"/>
          <w:sz w:val="21"/>
          <w:szCs w:val="21"/>
          <w:highlight w:val="none"/>
        </w:rPr>
        <w:t>2.5“服务”是指除货物和工程以外的其他政府采购对象。</w:t>
      </w:r>
    </w:p>
    <w:p w14:paraId="0793C226">
      <w:pPr>
        <w:pStyle w:val="8"/>
        <w:keepNext w:val="0"/>
        <w:keepLines w:val="0"/>
        <w:spacing w:before="0" w:after="0" w:line="360" w:lineRule="auto"/>
        <w:rPr>
          <w:rFonts w:ascii="宋体" w:hAnsi="宋体"/>
          <w:b w:val="0"/>
          <w:color w:val="auto"/>
          <w:sz w:val="21"/>
          <w:szCs w:val="21"/>
          <w:highlight w:val="none"/>
        </w:rPr>
      </w:pPr>
      <w:r>
        <w:rPr>
          <w:rFonts w:hint="eastAsia" w:ascii="宋体" w:hAnsi="宋体"/>
          <w:b w:val="0"/>
          <w:color w:val="auto"/>
          <w:sz w:val="21"/>
          <w:szCs w:val="21"/>
          <w:highlight w:val="none"/>
        </w:rPr>
        <w:t xml:space="preserve">    2.</w:t>
      </w:r>
      <w:r>
        <w:rPr>
          <w:rFonts w:ascii="宋体" w:hAnsi="宋体"/>
          <w:b w:val="0"/>
          <w:color w:val="auto"/>
          <w:sz w:val="21"/>
          <w:szCs w:val="21"/>
          <w:highlight w:val="none"/>
        </w:rPr>
        <w:t>6</w:t>
      </w:r>
      <w:r>
        <w:rPr>
          <w:rFonts w:hint="eastAsia" w:ascii="宋体" w:hAnsi="宋体"/>
          <w:b w:val="0"/>
          <w:color w:val="auto"/>
          <w:sz w:val="21"/>
          <w:szCs w:val="21"/>
          <w:highlight w:val="none"/>
        </w:rPr>
        <w:t>“书面形式”是指合同书、信件和数据电文（包括电报、电传、传真、电子数据交换和电子邮件）等可以有形地表现所载内容的形式。</w:t>
      </w:r>
    </w:p>
    <w:p w14:paraId="3B822F6D">
      <w:pPr>
        <w:pStyle w:val="8"/>
        <w:keepNext w:val="0"/>
        <w:keepLines w:val="0"/>
        <w:spacing w:before="0" w:after="0" w:line="360" w:lineRule="auto"/>
        <w:ind w:firstLine="420" w:firstLineChars="200"/>
        <w:rPr>
          <w:rFonts w:ascii="宋体" w:hAnsi="宋体"/>
          <w:b w:val="0"/>
          <w:color w:val="auto"/>
          <w:sz w:val="21"/>
          <w:szCs w:val="21"/>
          <w:highlight w:val="none"/>
        </w:rPr>
      </w:pPr>
      <w:r>
        <w:rPr>
          <w:rFonts w:hint="eastAsia" w:ascii="宋体" w:hAnsi="宋体"/>
          <w:b w:val="0"/>
          <w:color w:val="auto"/>
          <w:sz w:val="21"/>
          <w:szCs w:val="21"/>
          <w:highlight w:val="none"/>
        </w:rPr>
        <w:t>2.</w:t>
      </w:r>
      <w:r>
        <w:rPr>
          <w:rFonts w:ascii="宋体" w:hAnsi="宋体"/>
          <w:b w:val="0"/>
          <w:color w:val="auto"/>
          <w:sz w:val="21"/>
          <w:szCs w:val="21"/>
          <w:highlight w:val="none"/>
        </w:rPr>
        <w:t>7</w:t>
      </w:r>
      <w:r>
        <w:rPr>
          <w:rFonts w:hint="eastAsia" w:ascii="宋体" w:hAnsi="宋体"/>
          <w:b w:val="0"/>
          <w:color w:val="auto"/>
          <w:sz w:val="21"/>
          <w:szCs w:val="21"/>
          <w:highlight w:val="none"/>
        </w:rPr>
        <w:t>“实质性要求”是指招标文件中已经指明不满足则投标无效的条款，或者不能负偏离的条款，或者采购需求中带“▲”的条款。</w:t>
      </w:r>
    </w:p>
    <w:p w14:paraId="0AD1288A">
      <w:pPr>
        <w:snapToGrid w:val="0"/>
        <w:spacing w:line="360" w:lineRule="auto"/>
        <w:ind w:firstLine="420" w:firstLineChars="200"/>
        <w:jc w:val="left"/>
        <w:rPr>
          <w:rFonts w:ascii="宋体" w:hAnsi="宋体" w:cs="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8</w:t>
      </w:r>
      <w:r>
        <w:rPr>
          <w:rFonts w:hint="eastAsia" w:ascii="宋体" w:hAnsi="宋体" w:cs="宋体"/>
          <w:color w:val="auto"/>
          <w:szCs w:val="21"/>
          <w:highlight w:val="none"/>
        </w:rPr>
        <w:t>“正偏离”，是指投标文件对招标文件“采购需求”中有关条款作出的响应优于条款要求并有利于采购人的情形。</w:t>
      </w:r>
    </w:p>
    <w:p w14:paraId="4158245D">
      <w:pPr>
        <w:snapToGrid w:val="0"/>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2.9</w:t>
      </w:r>
      <w:r>
        <w:rPr>
          <w:rFonts w:hint="eastAsia" w:ascii="宋体" w:hAnsi="宋体" w:cs="宋体"/>
          <w:color w:val="auto"/>
          <w:szCs w:val="21"/>
          <w:highlight w:val="none"/>
        </w:rPr>
        <w:t>“负偏离”，是指投标文件对招标文件“采购需求”中有关条款作出的响应不满足条款要求，导致采购人要求不能得到满足的情形。</w:t>
      </w:r>
    </w:p>
    <w:p w14:paraId="33820379">
      <w:pPr>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2.1</w:t>
      </w:r>
      <w:r>
        <w:rPr>
          <w:rFonts w:ascii="宋体" w:hAnsi="宋体"/>
          <w:color w:val="auto"/>
          <w:szCs w:val="21"/>
          <w:highlight w:val="none"/>
        </w:rPr>
        <w:t>0</w:t>
      </w:r>
      <w:r>
        <w:rPr>
          <w:rFonts w:hint="eastAsia" w:ascii="宋体" w:hAnsi="宋体" w:cs="宋体"/>
          <w:color w:val="auto"/>
          <w:szCs w:val="21"/>
          <w:highlight w:val="none"/>
        </w:rPr>
        <w:t>“允许负偏离的条款”是指采购需求中的不属于“实质性要求”的条款。</w:t>
      </w:r>
      <w:bookmarkStart w:id="82" w:name="_Toc254970670"/>
      <w:bookmarkStart w:id="83" w:name="_Toc254970529"/>
    </w:p>
    <w:p w14:paraId="2AE616D9">
      <w:pPr>
        <w:pStyle w:val="8"/>
        <w:keepNext w:val="0"/>
        <w:keepLines w:val="0"/>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3.</w:t>
      </w:r>
      <w:bookmarkEnd w:id="82"/>
      <w:bookmarkEnd w:id="83"/>
      <w:r>
        <w:rPr>
          <w:rFonts w:hint="eastAsia" w:ascii="黑体" w:hAnsi="黑体" w:eastAsia="黑体"/>
          <w:color w:val="auto"/>
          <w:sz w:val="24"/>
          <w:highlight w:val="none"/>
        </w:rPr>
        <w:t>投标人的资格要求</w:t>
      </w:r>
    </w:p>
    <w:p w14:paraId="14C55823">
      <w:pPr>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投标人的资格要求详见“投标人须知前附表”。</w:t>
      </w:r>
    </w:p>
    <w:p w14:paraId="77B2E853">
      <w:pPr>
        <w:pStyle w:val="8"/>
        <w:keepNext w:val="0"/>
        <w:keepLines w:val="0"/>
        <w:spacing w:before="0" w:after="0" w:line="360" w:lineRule="auto"/>
        <w:ind w:left="420" w:leftChars="200"/>
        <w:rPr>
          <w:rFonts w:ascii="黑体" w:hAnsi="黑体" w:eastAsia="黑体"/>
          <w:color w:val="auto"/>
          <w:sz w:val="24"/>
          <w:highlight w:val="none"/>
        </w:rPr>
      </w:pPr>
      <w:bookmarkStart w:id="84" w:name="_Toc254970671"/>
      <w:bookmarkStart w:id="85" w:name="_Toc254970530"/>
      <w:r>
        <w:rPr>
          <w:rFonts w:hint="eastAsia" w:ascii="黑体" w:hAnsi="黑体" w:eastAsia="黑体"/>
          <w:color w:val="auto"/>
          <w:sz w:val="24"/>
          <w:highlight w:val="none"/>
        </w:rPr>
        <w:t>4.投标委托</w:t>
      </w:r>
      <w:bookmarkEnd w:id="84"/>
      <w:bookmarkEnd w:id="85"/>
    </w:p>
    <w:p w14:paraId="0E1F47AC">
      <w:pPr>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投标人代表参加投标活动过程中必须携带个人有效身份证件。如投标人代表不是法定代表人，须持有授权委托书（按第六章要求格式填写）。</w:t>
      </w:r>
    </w:p>
    <w:p w14:paraId="00A98A20">
      <w:pPr>
        <w:pStyle w:val="8"/>
        <w:keepNext w:val="0"/>
        <w:keepLines w:val="0"/>
        <w:spacing w:before="0" w:after="0" w:line="360" w:lineRule="auto"/>
        <w:ind w:left="420" w:leftChars="200"/>
        <w:rPr>
          <w:rFonts w:ascii="黑体" w:hAnsi="黑体" w:eastAsia="黑体"/>
          <w:color w:val="auto"/>
          <w:sz w:val="24"/>
          <w:highlight w:val="none"/>
        </w:rPr>
      </w:pPr>
      <w:bookmarkStart w:id="86" w:name="_5.投标费用"/>
      <w:bookmarkEnd w:id="86"/>
      <w:bookmarkStart w:id="87" w:name="_Toc254970672"/>
      <w:bookmarkStart w:id="88" w:name="_Toc254970531"/>
      <w:r>
        <w:rPr>
          <w:rFonts w:hint="eastAsia" w:ascii="黑体" w:hAnsi="黑体" w:eastAsia="黑体"/>
          <w:color w:val="auto"/>
          <w:sz w:val="24"/>
          <w:highlight w:val="none"/>
        </w:rPr>
        <w:t>5.投标费用</w:t>
      </w:r>
      <w:bookmarkEnd w:id="87"/>
      <w:bookmarkEnd w:id="88"/>
    </w:p>
    <w:p w14:paraId="7596E04C">
      <w:pPr>
        <w:snapToGrid w:val="0"/>
        <w:spacing w:line="360" w:lineRule="auto"/>
        <w:ind w:firstLine="420" w:firstLineChars="200"/>
        <w:jc w:val="left"/>
        <w:rPr>
          <w:rFonts w:ascii="宋体" w:hAnsi="宋体"/>
          <w:color w:val="auto"/>
          <w:szCs w:val="21"/>
          <w:highlight w:val="none"/>
        </w:rPr>
      </w:pPr>
      <w:r>
        <w:rPr>
          <w:rFonts w:hint="eastAsia" w:ascii="宋体" w:hAnsi="宋体" w:cs="宋体"/>
          <w:color w:val="auto"/>
          <w:szCs w:val="21"/>
          <w:highlight w:val="none"/>
        </w:rPr>
        <w:t>投标费用：投标人应承担参与本次采购活动有关的所有费用，包括但不限于获取招标文件、勘查现场、编制和提交投标文件、参加澄清说明、签订合同等，不论投标结果如何，均应自行承担。</w:t>
      </w:r>
    </w:p>
    <w:p w14:paraId="689B74BC">
      <w:pPr>
        <w:pStyle w:val="8"/>
        <w:keepNext w:val="0"/>
        <w:keepLines w:val="0"/>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6.联合体投标</w:t>
      </w:r>
    </w:p>
    <w:p w14:paraId="0139E7EB">
      <w:pPr>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6.1本项目是否接受联合体投标，详见“投标人须知前附表”。</w:t>
      </w:r>
    </w:p>
    <w:p w14:paraId="63AFDC21">
      <w:pPr>
        <w:snapToGrid w:val="0"/>
        <w:spacing w:line="360" w:lineRule="auto"/>
        <w:ind w:firstLine="420" w:firstLineChars="200"/>
        <w:jc w:val="left"/>
        <w:rPr>
          <w:rFonts w:ascii="宋体" w:hAnsi="宋体"/>
          <w:bCs/>
          <w:color w:val="auto"/>
          <w:szCs w:val="21"/>
          <w:highlight w:val="none"/>
        </w:rPr>
      </w:pPr>
      <w:r>
        <w:rPr>
          <w:rFonts w:hint="eastAsia" w:ascii="宋体" w:hAnsi="宋体"/>
          <w:bCs/>
          <w:color w:val="auto"/>
          <w:szCs w:val="21"/>
          <w:highlight w:val="none"/>
        </w:rPr>
        <w:t>6.2如接受联合体投标，联合体投标要求详见“投标人须知前附表”。</w:t>
      </w:r>
    </w:p>
    <w:p w14:paraId="2032D0EC">
      <w:pPr>
        <w:snapToGrid w:val="0"/>
        <w:spacing w:line="360" w:lineRule="auto"/>
        <w:ind w:firstLine="420" w:firstLineChars="200"/>
        <w:jc w:val="left"/>
        <w:rPr>
          <w:rFonts w:ascii="宋体" w:hAnsi="宋体"/>
          <w:color w:val="auto"/>
          <w:szCs w:val="21"/>
          <w:highlight w:val="none"/>
        </w:rPr>
      </w:pPr>
      <w:r>
        <w:rPr>
          <w:rFonts w:hint="eastAsia" w:ascii="宋体" w:hAnsi="宋体"/>
          <w:bCs/>
          <w:color w:val="auto"/>
          <w:szCs w:val="21"/>
          <w:highlight w:val="none"/>
        </w:rPr>
        <w:t>6.3</w:t>
      </w:r>
      <w:bookmarkStart w:id="89" w:name="_Hlk65857072"/>
      <w:r>
        <w:rPr>
          <w:rFonts w:hint="eastAsia" w:ascii="宋体" w:hAnsi="宋体"/>
          <w:color w:val="auto"/>
          <w:szCs w:val="21"/>
          <w:highlight w:val="none"/>
        </w:rPr>
        <w:t>根据《政府采购促进中小企业发展管理办法》（财库〔2020〕46号）第九条第二款和《广西壮族自治区财政厅关于贯彻落实政府采购支持中小企业发展政策的通知》（桂财采〔2022〕31号）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的扣除，用扣除后的价格参加评审。</w:t>
      </w:r>
      <w:bookmarkEnd w:id="89"/>
    </w:p>
    <w:p w14:paraId="57FD5F55">
      <w:pPr>
        <w:pStyle w:val="8"/>
        <w:keepNext w:val="0"/>
        <w:keepLines w:val="0"/>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 xml:space="preserve">7.转包与分包             </w:t>
      </w:r>
    </w:p>
    <w:p w14:paraId="70D1408B">
      <w:pPr>
        <w:pStyle w:val="8"/>
        <w:keepNext w:val="0"/>
        <w:keepLines w:val="0"/>
        <w:spacing w:before="0" w:after="0" w:line="360" w:lineRule="auto"/>
        <w:ind w:left="420" w:leftChars="200"/>
        <w:rPr>
          <w:rFonts w:ascii="宋体" w:hAnsi="宋体"/>
          <w:b w:val="0"/>
          <w:color w:val="auto"/>
          <w:sz w:val="21"/>
          <w:szCs w:val="21"/>
          <w:highlight w:val="none"/>
        </w:rPr>
      </w:pPr>
      <w:bookmarkStart w:id="90" w:name="_Toc254970673"/>
      <w:bookmarkStart w:id="91" w:name="_Toc254970532"/>
      <w:r>
        <w:rPr>
          <w:rFonts w:hint="eastAsia" w:ascii="宋体" w:hAnsi="宋体"/>
          <w:b w:val="0"/>
          <w:color w:val="auto"/>
          <w:sz w:val="21"/>
          <w:szCs w:val="21"/>
          <w:highlight w:val="none"/>
        </w:rPr>
        <w:t>7.1本项目不允许转包。</w:t>
      </w:r>
    </w:p>
    <w:p w14:paraId="1C617809">
      <w:pPr>
        <w:pStyle w:val="8"/>
        <w:keepNext w:val="0"/>
        <w:keepLines w:val="0"/>
        <w:spacing w:before="0" w:after="0" w:line="360" w:lineRule="auto"/>
        <w:ind w:firstLine="315" w:firstLineChars="150"/>
        <w:rPr>
          <w:rFonts w:ascii="宋体" w:hAnsi="宋体"/>
          <w:b w:val="0"/>
          <w:color w:val="auto"/>
          <w:sz w:val="21"/>
          <w:szCs w:val="21"/>
          <w:highlight w:val="none"/>
        </w:rPr>
      </w:pPr>
      <w:r>
        <w:rPr>
          <w:rFonts w:hint="eastAsia" w:ascii="宋体" w:hAnsi="宋体"/>
          <w:b w:val="0"/>
          <w:color w:val="auto"/>
          <w:sz w:val="21"/>
          <w:szCs w:val="21"/>
          <w:highlight w:val="none"/>
        </w:rPr>
        <w:t xml:space="preserve"> 7.2本项目是否允许分包详见“投标人须知前附表”，本项目不允许违法分包。允许分包的非主体、非关键性工作，根据法律法规规定承担该工作需要行政许可的，如该工作由投标人自行承担，投标人应具备相应的行政许可，如投标人不具备相应的行政许可必须采用分包的方式，但分包投标人应具备相应行政许可。</w:t>
      </w:r>
    </w:p>
    <w:p w14:paraId="4C2FE2D4">
      <w:pPr>
        <w:pStyle w:val="8"/>
        <w:keepNext w:val="0"/>
        <w:keepLines w:val="0"/>
        <w:spacing w:before="0" w:after="0" w:line="360" w:lineRule="auto"/>
        <w:ind w:firstLine="315" w:firstLineChars="150"/>
        <w:rPr>
          <w:rFonts w:ascii="宋体" w:hAnsi="宋体"/>
          <w:b w:val="0"/>
          <w:color w:val="auto"/>
          <w:sz w:val="21"/>
          <w:szCs w:val="21"/>
          <w:highlight w:val="none"/>
        </w:rPr>
      </w:pPr>
      <w:r>
        <w:rPr>
          <w:rFonts w:hint="eastAsia" w:ascii="宋体" w:hAnsi="宋体"/>
          <w:b w:val="0"/>
          <w:color w:val="auto"/>
          <w:sz w:val="21"/>
          <w:szCs w:val="21"/>
          <w:highlight w:val="none"/>
        </w:rPr>
        <w:t xml:space="preserve"> 7.3投标人根据招标文件的规定和采购项目的实际情况，拟在中标后将中标项目的非主体、非关键性工作分包的，应当在投标文件中载明分包承担主体，分包承担主体应当具备相应资质条件且不得再次分包。</w:t>
      </w:r>
    </w:p>
    <w:p w14:paraId="711EDAD4">
      <w:pPr>
        <w:pStyle w:val="8"/>
        <w:keepNext w:val="0"/>
        <w:keepLines w:val="0"/>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8.特别说明</w:t>
      </w:r>
      <w:bookmarkEnd w:id="90"/>
      <w:bookmarkEnd w:id="91"/>
    </w:p>
    <w:p w14:paraId="144F113F">
      <w:pPr>
        <w:pStyle w:val="8"/>
        <w:keepNext w:val="0"/>
        <w:keepLines w:val="0"/>
        <w:spacing w:before="0" w:after="0" w:line="360" w:lineRule="auto"/>
        <w:ind w:firstLine="367" w:firstLineChars="175"/>
        <w:rPr>
          <w:rFonts w:ascii="宋体" w:hAnsi="宋体"/>
          <w:b w:val="0"/>
          <w:color w:val="auto"/>
          <w:sz w:val="21"/>
          <w:szCs w:val="21"/>
          <w:highlight w:val="none"/>
        </w:rPr>
      </w:pPr>
      <w:r>
        <w:rPr>
          <w:rFonts w:hint="eastAsia" w:ascii="宋体" w:hAnsi="宋体"/>
          <w:b w:val="0"/>
          <w:color w:val="auto"/>
          <w:sz w:val="21"/>
          <w:szCs w:val="21"/>
          <w:highlight w:val="none"/>
        </w:rPr>
        <w:t>8.1如果本招标文件要求提供投标人或制造商的资格、信誉、荣誉、业绩与企业认证等材料的，资格、信誉、荣誉、业绩与企业认证等必须为投标人或者制造商所拥有或自身获得 。</w:t>
      </w:r>
    </w:p>
    <w:p w14:paraId="2C979FCC">
      <w:pPr>
        <w:pStyle w:val="8"/>
        <w:keepNext w:val="0"/>
        <w:keepLines w:val="0"/>
        <w:spacing w:before="0" w:after="0" w:line="360" w:lineRule="auto"/>
        <w:ind w:firstLine="367" w:firstLineChars="175"/>
        <w:rPr>
          <w:rFonts w:ascii="宋体" w:hAnsi="宋体"/>
          <w:b w:val="0"/>
          <w:color w:val="auto"/>
          <w:sz w:val="21"/>
          <w:szCs w:val="21"/>
          <w:highlight w:val="none"/>
        </w:rPr>
      </w:pPr>
      <w:r>
        <w:rPr>
          <w:rFonts w:hint="eastAsia" w:ascii="宋体" w:hAnsi="宋体"/>
          <w:b w:val="0"/>
          <w:color w:val="auto"/>
          <w:sz w:val="21"/>
          <w:szCs w:val="21"/>
          <w:highlight w:val="none"/>
        </w:rPr>
        <w:t>8.2投标人应仔细阅读招标文件的所有内容，按照招标文件的要求提交投标文件，并对所提供的全部资料的真实性承担法律责任。</w:t>
      </w:r>
    </w:p>
    <w:p w14:paraId="53CE66D7">
      <w:pPr>
        <w:pStyle w:val="8"/>
        <w:keepNext w:val="0"/>
        <w:keepLines w:val="0"/>
        <w:spacing w:before="0" w:after="0" w:line="360" w:lineRule="auto"/>
        <w:ind w:firstLine="367" w:firstLineChars="175"/>
        <w:rPr>
          <w:rFonts w:ascii="宋体" w:hAnsi="宋体"/>
          <w:b w:val="0"/>
          <w:color w:val="auto"/>
          <w:sz w:val="21"/>
          <w:szCs w:val="21"/>
          <w:highlight w:val="none"/>
        </w:rPr>
      </w:pPr>
      <w:r>
        <w:rPr>
          <w:rFonts w:hint="eastAsia" w:ascii="宋体" w:hAnsi="宋体"/>
          <w:b w:val="0"/>
          <w:color w:val="auto"/>
          <w:sz w:val="21"/>
          <w:szCs w:val="21"/>
          <w:highlight w:val="none"/>
        </w:rPr>
        <w:t>8.3投标人在投标活动中提供任何虚假材料，将报监管部门查处；中标后发现的，中标人须依照《中华人民共和国消费者权益保护法》规定赔偿采购人，且民事赔偿并不免除违法投标人的行政与刑事责任。</w:t>
      </w:r>
    </w:p>
    <w:p w14:paraId="397460B9">
      <w:pPr>
        <w:pStyle w:val="8"/>
        <w:keepNext w:val="0"/>
        <w:keepLines w:val="0"/>
        <w:spacing w:before="0" w:after="0" w:line="360" w:lineRule="auto"/>
        <w:ind w:left="420" w:leftChars="200"/>
        <w:rPr>
          <w:rFonts w:ascii="黑体" w:hAnsi="黑体" w:eastAsia="黑体"/>
          <w:color w:val="auto"/>
          <w:sz w:val="24"/>
          <w:highlight w:val="none"/>
        </w:rPr>
      </w:pPr>
      <w:r>
        <w:rPr>
          <w:rFonts w:ascii="黑体" w:hAnsi="黑体" w:eastAsia="黑体"/>
          <w:color w:val="auto"/>
          <w:sz w:val="24"/>
          <w:highlight w:val="none"/>
        </w:rPr>
        <w:t>9.</w:t>
      </w:r>
      <w:r>
        <w:rPr>
          <w:rFonts w:hint="eastAsia" w:ascii="黑体" w:hAnsi="黑体" w:eastAsia="黑体"/>
          <w:color w:val="auto"/>
          <w:sz w:val="24"/>
          <w:highlight w:val="none"/>
        </w:rPr>
        <w:t>回避与串通投标</w:t>
      </w:r>
    </w:p>
    <w:p w14:paraId="2DD0A079">
      <w:pPr>
        <w:pStyle w:val="8"/>
        <w:keepNext w:val="0"/>
        <w:keepLines w:val="0"/>
        <w:spacing w:before="0" w:after="0" w:line="360" w:lineRule="auto"/>
        <w:ind w:firstLine="367" w:firstLineChars="175"/>
        <w:rPr>
          <w:rFonts w:ascii="宋体" w:hAnsi="宋体"/>
          <w:b w:val="0"/>
          <w:color w:val="auto"/>
          <w:sz w:val="21"/>
          <w:szCs w:val="21"/>
          <w:highlight w:val="none"/>
        </w:rPr>
      </w:pPr>
      <w:r>
        <w:rPr>
          <w:rFonts w:hint="eastAsia" w:ascii="宋体" w:hAnsi="宋体"/>
          <w:b w:val="0"/>
          <w:color w:val="auto"/>
          <w:sz w:val="21"/>
          <w:szCs w:val="21"/>
          <w:highlight w:val="none"/>
        </w:rPr>
        <w:t>9</w:t>
      </w:r>
      <w:r>
        <w:rPr>
          <w:rFonts w:ascii="宋体" w:hAnsi="宋体"/>
          <w:b w:val="0"/>
          <w:color w:val="auto"/>
          <w:sz w:val="21"/>
          <w:szCs w:val="21"/>
          <w:highlight w:val="none"/>
        </w:rPr>
        <w:t>.1在政府采购活动中，采购人员及相关人员与</w:t>
      </w:r>
      <w:r>
        <w:rPr>
          <w:rFonts w:hint="eastAsia" w:ascii="宋体" w:hAnsi="宋体"/>
          <w:b w:val="0"/>
          <w:color w:val="auto"/>
          <w:sz w:val="21"/>
          <w:szCs w:val="21"/>
          <w:highlight w:val="none"/>
        </w:rPr>
        <w:t>供应商</w:t>
      </w:r>
      <w:r>
        <w:rPr>
          <w:rFonts w:ascii="宋体" w:hAnsi="宋体"/>
          <w:b w:val="0"/>
          <w:color w:val="auto"/>
          <w:sz w:val="21"/>
          <w:szCs w:val="21"/>
          <w:highlight w:val="none"/>
        </w:rPr>
        <w:t>有下列利害关系之一的，应当回避：</w:t>
      </w:r>
    </w:p>
    <w:p w14:paraId="5A551755">
      <w:pPr>
        <w:pStyle w:val="26"/>
        <w:snapToGrid w:val="0"/>
        <w:spacing w:line="360" w:lineRule="auto"/>
        <w:ind w:left="2" w:leftChars="1" w:firstLine="420" w:firstLineChars="200"/>
        <w:rPr>
          <w:rFonts w:hAnsi="宋体"/>
          <w:color w:val="auto"/>
          <w:kern w:val="2"/>
          <w:sz w:val="21"/>
          <w:highlight w:val="none"/>
        </w:rPr>
      </w:pPr>
      <w:r>
        <w:rPr>
          <w:rFonts w:hAnsi="宋体"/>
          <w:color w:val="auto"/>
          <w:kern w:val="2"/>
          <w:sz w:val="21"/>
          <w:highlight w:val="none"/>
        </w:rPr>
        <w:t>（</w:t>
      </w:r>
      <w:r>
        <w:rPr>
          <w:rFonts w:hint="eastAsia" w:hAnsi="宋体"/>
          <w:color w:val="auto"/>
          <w:kern w:val="2"/>
          <w:sz w:val="21"/>
          <w:highlight w:val="none"/>
        </w:rPr>
        <w:t>1</w:t>
      </w:r>
      <w:r>
        <w:rPr>
          <w:rFonts w:hAnsi="宋体"/>
          <w:color w:val="auto"/>
          <w:kern w:val="2"/>
          <w:sz w:val="21"/>
          <w:highlight w:val="none"/>
        </w:rPr>
        <w:t>）参加采购活动前3年内与</w:t>
      </w:r>
      <w:r>
        <w:rPr>
          <w:rFonts w:hint="eastAsia" w:hAnsi="宋体"/>
          <w:color w:val="auto"/>
          <w:kern w:val="2"/>
          <w:sz w:val="21"/>
          <w:highlight w:val="none"/>
        </w:rPr>
        <w:t>供应商</w:t>
      </w:r>
      <w:r>
        <w:rPr>
          <w:rFonts w:hAnsi="宋体"/>
          <w:color w:val="auto"/>
          <w:kern w:val="2"/>
          <w:sz w:val="21"/>
          <w:highlight w:val="none"/>
        </w:rPr>
        <w:t>存在劳动关系；</w:t>
      </w:r>
    </w:p>
    <w:p w14:paraId="483B62E3">
      <w:pPr>
        <w:pStyle w:val="26"/>
        <w:snapToGrid w:val="0"/>
        <w:spacing w:line="360" w:lineRule="auto"/>
        <w:ind w:left="2" w:leftChars="1" w:firstLine="420" w:firstLineChars="200"/>
        <w:rPr>
          <w:rFonts w:hAnsi="宋体"/>
          <w:color w:val="auto"/>
          <w:kern w:val="2"/>
          <w:sz w:val="21"/>
          <w:highlight w:val="none"/>
        </w:rPr>
      </w:pPr>
      <w:r>
        <w:rPr>
          <w:rFonts w:hAnsi="宋体"/>
          <w:color w:val="auto"/>
          <w:kern w:val="2"/>
          <w:sz w:val="21"/>
          <w:highlight w:val="none"/>
        </w:rPr>
        <w:t>（</w:t>
      </w:r>
      <w:r>
        <w:rPr>
          <w:rFonts w:hint="eastAsia" w:hAnsi="宋体"/>
          <w:color w:val="auto"/>
          <w:kern w:val="2"/>
          <w:sz w:val="21"/>
          <w:highlight w:val="none"/>
        </w:rPr>
        <w:t>2</w:t>
      </w:r>
      <w:r>
        <w:rPr>
          <w:rFonts w:hAnsi="宋体"/>
          <w:color w:val="auto"/>
          <w:kern w:val="2"/>
          <w:sz w:val="21"/>
          <w:highlight w:val="none"/>
        </w:rPr>
        <w:t>）参加采购活动前3年内担任</w:t>
      </w:r>
      <w:r>
        <w:rPr>
          <w:rFonts w:hint="eastAsia" w:hAnsi="宋体"/>
          <w:color w:val="auto"/>
          <w:kern w:val="2"/>
          <w:sz w:val="21"/>
          <w:highlight w:val="none"/>
        </w:rPr>
        <w:t>供应商</w:t>
      </w:r>
      <w:r>
        <w:rPr>
          <w:rFonts w:hAnsi="宋体"/>
          <w:color w:val="auto"/>
          <w:kern w:val="2"/>
          <w:sz w:val="21"/>
          <w:highlight w:val="none"/>
        </w:rPr>
        <w:t>的董事、监事；</w:t>
      </w:r>
    </w:p>
    <w:p w14:paraId="5C3067F0">
      <w:pPr>
        <w:pStyle w:val="26"/>
        <w:snapToGrid w:val="0"/>
        <w:spacing w:line="360" w:lineRule="auto"/>
        <w:ind w:left="2" w:leftChars="1" w:firstLine="420" w:firstLineChars="200"/>
        <w:rPr>
          <w:rFonts w:hAnsi="宋体"/>
          <w:color w:val="auto"/>
          <w:kern w:val="2"/>
          <w:sz w:val="21"/>
          <w:highlight w:val="none"/>
        </w:rPr>
      </w:pPr>
      <w:r>
        <w:rPr>
          <w:rFonts w:hAnsi="宋体"/>
          <w:color w:val="auto"/>
          <w:kern w:val="2"/>
          <w:sz w:val="21"/>
          <w:highlight w:val="none"/>
        </w:rPr>
        <w:t>（</w:t>
      </w:r>
      <w:r>
        <w:rPr>
          <w:rFonts w:hint="eastAsia" w:hAnsi="宋体"/>
          <w:color w:val="auto"/>
          <w:kern w:val="2"/>
          <w:sz w:val="21"/>
          <w:highlight w:val="none"/>
        </w:rPr>
        <w:t>3</w:t>
      </w:r>
      <w:r>
        <w:rPr>
          <w:rFonts w:hAnsi="宋体"/>
          <w:color w:val="auto"/>
          <w:kern w:val="2"/>
          <w:sz w:val="21"/>
          <w:highlight w:val="none"/>
        </w:rPr>
        <w:t>）参加采购活动前3年内是</w:t>
      </w:r>
      <w:r>
        <w:rPr>
          <w:rFonts w:hint="eastAsia" w:hAnsi="宋体"/>
          <w:color w:val="auto"/>
          <w:kern w:val="2"/>
          <w:sz w:val="21"/>
          <w:highlight w:val="none"/>
        </w:rPr>
        <w:t>供应商</w:t>
      </w:r>
      <w:r>
        <w:rPr>
          <w:rFonts w:hAnsi="宋体"/>
          <w:color w:val="auto"/>
          <w:kern w:val="2"/>
          <w:sz w:val="21"/>
          <w:highlight w:val="none"/>
        </w:rPr>
        <w:t>的控股股东或者实际控制人；</w:t>
      </w:r>
    </w:p>
    <w:p w14:paraId="7419E8A5">
      <w:pPr>
        <w:pStyle w:val="26"/>
        <w:snapToGrid w:val="0"/>
        <w:spacing w:line="360" w:lineRule="auto"/>
        <w:ind w:left="2" w:leftChars="1" w:firstLine="420" w:firstLineChars="200"/>
        <w:rPr>
          <w:rFonts w:hAnsi="宋体"/>
          <w:color w:val="auto"/>
          <w:kern w:val="2"/>
          <w:sz w:val="21"/>
          <w:highlight w:val="none"/>
        </w:rPr>
      </w:pPr>
      <w:r>
        <w:rPr>
          <w:rFonts w:hAnsi="宋体"/>
          <w:color w:val="auto"/>
          <w:kern w:val="2"/>
          <w:sz w:val="21"/>
          <w:highlight w:val="none"/>
        </w:rPr>
        <w:t>（</w:t>
      </w:r>
      <w:r>
        <w:rPr>
          <w:rFonts w:hint="eastAsia" w:hAnsi="宋体"/>
          <w:color w:val="auto"/>
          <w:kern w:val="2"/>
          <w:sz w:val="21"/>
          <w:highlight w:val="none"/>
        </w:rPr>
        <w:t>4</w:t>
      </w:r>
      <w:r>
        <w:rPr>
          <w:rFonts w:hAnsi="宋体"/>
          <w:color w:val="auto"/>
          <w:kern w:val="2"/>
          <w:sz w:val="21"/>
          <w:highlight w:val="none"/>
        </w:rPr>
        <w:t>）与</w:t>
      </w:r>
      <w:r>
        <w:rPr>
          <w:rFonts w:hint="eastAsia" w:hAnsi="宋体"/>
          <w:color w:val="auto"/>
          <w:kern w:val="2"/>
          <w:sz w:val="21"/>
          <w:highlight w:val="none"/>
        </w:rPr>
        <w:t>供应商</w:t>
      </w:r>
      <w:r>
        <w:rPr>
          <w:rFonts w:hAnsi="宋体"/>
          <w:color w:val="auto"/>
          <w:kern w:val="2"/>
          <w:sz w:val="21"/>
          <w:highlight w:val="none"/>
        </w:rPr>
        <w:t>的法定代表人或者负责人有夫妻、直系血亲、三代以内旁系血亲或者近姻亲关系；</w:t>
      </w:r>
    </w:p>
    <w:p w14:paraId="6F94442A">
      <w:pPr>
        <w:pStyle w:val="26"/>
        <w:snapToGrid w:val="0"/>
        <w:spacing w:line="360" w:lineRule="auto"/>
        <w:ind w:left="2" w:leftChars="1" w:firstLine="420" w:firstLineChars="200"/>
        <w:rPr>
          <w:rFonts w:hAnsi="宋体"/>
          <w:color w:val="auto"/>
          <w:kern w:val="2"/>
          <w:sz w:val="21"/>
          <w:highlight w:val="none"/>
        </w:rPr>
      </w:pPr>
      <w:r>
        <w:rPr>
          <w:rFonts w:hAnsi="宋体"/>
          <w:color w:val="auto"/>
          <w:kern w:val="2"/>
          <w:sz w:val="21"/>
          <w:highlight w:val="none"/>
        </w:rPr>
        <w:t>（</w:t>
      </w:r>
      <w:r>
        <w:rPr>
          <w:rFonts w:hint="eastAsia" w:hAnsi="宋体"/>
          <w:color w:val="auto"/>
          <w:kern w:val="2"/>
          <w:sz w:val="21"/>
          <w:highlight w:val="none"/>
        </w:rPr>
        <w:t>5</w:t>
      </w:r>
      <w:r>
        <w:rPr>
          <w:rFonts w:hAnsi="宋体"/>
          <w:color w:val="auto"/>
          <w:kern w:val="2"/>
          <w:sz w:val="21"/>
          <w:highlight w:val="none"/>
        </w:rPr>
        <w:t>）与</w:t>
      </w:r>
      <w:r>
        <w:rPr>
          <w:rFonts w:hint="eastAsia" w:hAnsi="宋体"/>
          <w:color w:val="auto"/>
          <w:kern w:val="2"/>
          <w:sz w:val="21"/>
          <w:highlight w:val="none"/>
        </w:rPr>
        <w:t>供应商</w:t>
      </w:r>
      <w:r>
        <w:rPr>
          <w:rFonts w:hAnsi="宋体"/>
          <w:color w:val="auto"/>
          <w:kern w:val="2"/>
          <w:sz w:val="21"/>
          <w:highlight w:val="none"/>
        </w:rPr>
        <w:t>有其他可能影响政府采购活动公平、公正进行的关系。</w:t>
      </w:r>
    </w:p>
    <w:p w14:paraId="6B3562D2">
      <w:pPr>
        <w:pStyle w:val="26"/>
        <w:snapToGrid w:val="0"/>
        <w:spacing w:line="360" w:lineRule="auto"/>
        <w:ind w:left="2" w:leftChars="1" w:firstLine="420" w:firstLineChars="200"/>
        <w:rPr>
          <w:rFonts w:hAnsi="宋体"/>
          <w:color w:val="auto"/>
          <w:kern w:val="2"/>
          <w:sz w:val="21"/>
          <w:highlight w:val="none"/>
        </w:rPr>
      </w:pPr>
      <w:r>
        <w:rPr>
          <w:rFonts w:hint="eastAsia" w:hAnsi="宋体"/>
          <w:color w:val="auto"/>
          <w:kern w:val="2"/>
          <w:sz w:val="21"/>
          <w:highlight w:val="none"/>
        </w:rPr>
        <w:t>供应商</w:t>
      </w:r>
      <w:r>
        <w:rPr>
          <w:rFonts w:hAnsi="宋体"/>
          <w:color w:val="auto"/>
          <w:kern w:val="2"/>
          <w:sz w:val="21"/>
          <w:highlight w:val="none"/>
        </w:rPr>
        <w:t>认为采购人员及相关人员与其他</w:t>
      </w:r>
      <w:r>
        <w:rPr>
          <w:rFonts w:hint="eastAsia" w:hAnsi="宋体"/>
          <w:color w:val="auto"/>
          <w:kern w:val="2"/>
          <w:sz w:val="21"/>
          <w:highlight w:val="none"/>
        </w:rPr>
        <w:t>供应商</w:t>
      </w:r>
      <w:r>
        <w:rPr>
          <w:rFonts w:hAnsi="宋体"/>
          <w:color w:val="auto"/>
          <w:kern w:val="2"/>
          <w:sz w:val="21"/>
          <w:highlight w:val="none"/>
        </w:rPr>
        <w:t>有利害关系的，可以向采购人或者采购代理机构书面提出回避申请，并说明理由。采购人或者采购代理机构应当及时询问被申请回避人员，有利害关系的被申请回避人员应当回避。</w:t>
      </w:r>
    </w:p>
    <w:p w14:paraId="6F18C142">
      <w:pPr>
        <w:pStyle w:val="8"/>
        <w:keepNext w:val="0"/>
        <w:keepLines w:val="0"/>
        <w:spacing w:before="0" w:after="0" w:line="360" w:lineRule="auto"/>
        <w:ind w:left="420" w:leftChars="200"/>
        <w:rPr>
          <w:rFonts w:ascii="宋体" w:hAnsi="宋体"/>
          <w:color w:val="auto"/>
          <w:sz w:val="21"/>
          <w:szCs w:val="21"/>
          <w:highlight w:val="none"/>
        </w:rPr>
      </w:pPr>
      <w:r>
        <w:rPr>
          <w:rFonts w:ascii="宋体" w:hAnsi="宋体"/>
          <w:color w:val="auto"/>
          <w:sz w:val="21"/>
          <w:szCs w:val="21"/>
          <w:highlight w:val="none"/>
        </w:rPr>
        <w:t>9.2</w:t>
      </w:r>
      <w:r>
        <w:rPr>
          <w:rFonts w:hint="eastAsia" w:ascii="宋体" w:hAnsi="宋体"/>
          <w:color w:val="auto"/>
          <w:sz w:val="21"/>
          <w:szCs w:val="21"/>
          <w:highlight w:val="none"/>
        </w:rPr>
        <w:t>有下列情形之一的视为投标人相互串通投标，投标文件将被视为无效：</w:t>
      </w:r>
    </w:p>
    <w:p w14:paraId="152646BA">
      <w:pPr>
        <w:pStyle w:val="26"/>
        <w:snapToGrid w:val="0"/>
        <w:spacing w:line="360" w:lineRule="auto"/>
        <w:ind w:left="2" w:leftChars="1" w:firstLine="422" w:firstLineChars="200"/>
        <w:rPr>
          <w:rFonts w:hAnsi="宋体"/>
          <w:b/>
          <w:color w:val="auto"/>
          <w:kern w:val="2"/>
          <w:sz w:val="21"/>
          <w:highlight w:val="none"/>
        </w:rPr>
      </w:pPr>
      <w:r>
        <w:rPr>
          <w:rFonts w:hint="eastAsia" w:hAnsi="宋体"/>
          <w:b/>
          <w:color w:val="auto"/>
          <w:kern w:val="2"/>
          <w:sz w:val="21"/>
          <w:highlight w:val="none"/>
        </w:rPr>
        <w:t xml:space="preserve">（1）不同投标人的投标文件由同一单位或者个人编制； </w:t>
      </w:r>
    </w:p>
    <w:p w14:paraId="686BE203">
      <w:pPr>
        <w:pStyle w:val="26"/>
        <w:snapToGrid w:val="0"/>
        <w:spacing w:line="360" w:lineRule="auto"/>
        <w:ind w:left="2" w:leftChars="1" w:firstLine="422" w:firstLineChars="200"/>
        <w:rPr>
          <w:rFonts w:hAnsi="宋体"/>
          <w:b/>
          <w:color w:val="auto"/>
          <w:kern w:val="2"/>
          <w:sz w:val="21"/>
          <w:highlight w:val="none"/>
        </w:rPr>
      </w:pPr>
      <w:r>
        <w:rPr>
          <w:rFonts w:hint="eastAsia" w:hAnsi="宋体"/>
          <w:b/>
          <w:color w:val="auto"/>
          <w:kern w:val="2"/>
          <w:sz w:val="21"/>
          <w:highlight w:val="none"/>
        </w:rPr>
        <w:t>（2）不同投标人委托同一单位或者个人办理投标事宜；</w:t>
      </w:r>
    </w:p>
    <w:p w14:paraId="5C4DEE5B">
      <w:pPr>
        <w:pStyle w:val="26"/>
        <w:snapToGrid w:val="0"/>
        <w:spacing w:line="360" w:lineRule="auto"/>
        <w:ind w:left="2" w:leftChars="1" w:firstLine="422" w:firstLineChars="200"/>
        <w:rPr>
          <w:rFonts w:hAnsi="宋体"/>
          <w:b/>
          <w:color w:val="auto"/>
          <w:kern w:val="2"/>
          <w:sz w:val="21"/>
          <w:highlight w:val="none"/>
        </w:rPr>
      </w:pPr>
      <w:r>
        <w:rPr>
          <w:rFonts w:hint="eastAsia" w:hAnsi="宋体"/>
          <w:b/>
          <w:color w:val="auto"/>
          <w:kern w:val="2"/>
          <w:sz w:val="21"/>
          <w:highlight w:val="none"/>
        </w:rPr>
        <w:t>（3）不同的投标人的投标文件载明的项目管理员为同一个人；</w:t>
      </w:r>
    </w:p>
    <w:p w14:paraId="4D5D83B0">
      <w:pPr>
        <w:pStyle w:val="26"/>
        <w:snapToGrid w:val="0"/>
        <w:spacing w:line="360" w:lineRule="auto"/>
        <w:ind w:left="2" w:leftChars="1" w:firstLine="422" w:firstLineChars="200"/>
        <w:rPr>
          <w:rFonts w:hAnsi="宋体"/>
          <w:b/>
          <w:color w:val="auto"/>
          <w:kern w:val="2"/>
          <w:sz w:val="21"/>
          <w:highlight w:val="none"/>
        </w:rPr>
      </w:pPr>
      <w:r>
        <w:rPr>
          <w:rFonts w:hint="eastAsia" w:hAnsi="宋体"/>
          <w:b/>
          <w:color w:val="auto"/>
          <w:kern w:val="2"/>
          <w:sz w:val="21"/>
          <w:highlight w:val="none"/>
        </w:rPr>
        <w:t>（4）不同投标人的投标文件异常一致或者投标报价呈规律性差异；</w:t>
      </w:r>
    </w:p>
    <w:p w14:paraId="2EF992CC">
      <w:pPr>
        <w:pStyle w:val="26"/>
        <w:snapToGrid w:val="0"/>
        <w:spacing w:line="360" w:lineRule="auto"/>
        <w:ind w:left="2" w:leftChars="1" w:firstLine="422" w:firstLineChars="200"/>
        <w:rPr>
          <w:rFonts w:hAnsi="宋体"/>
          <w:b/>
          <w:color w:val="auto"/>
          <w:kern w:val="2"/>
          <w:sz w:val="21"/>
          <w:highlight w:val="none"/>
        </w:rPr>
      </w:pPr>
      <w:r>
        <w:rPr>
          <w:rFonts w:hint="eastAsia" w:hAnsi="宋体"/>
          <w:b/>
          <w:color w:val="auto"/>
          <w:kern w:val="2"/>
          <w:sz w:val="21"/>
          <w:highlight w:val="none"/>
        </w:rPr>
        <w:t>（5）不同投标人的投标文件相互混装；</w:t>
      </w:r>
    </w:p>
    <w:p w14:paraId="025DD168">
      <w:pPr>
        <w:pStyle w:val="26"/>
        <w:snapToGrid w:val="0"/>
        <w:spacing w:line="360" w:lineRule="auto"/>
        <w:ind w:left="2" w:leftChars="1" w:firstLine="422" w:firstLineChars="200"/>
        <w:rPr>
          <w:rFonts w:hAnsi="宋体"/>
          <w:b/>
          <w:color w:val="auto"/>
          <w:kern w:val="2"/>
          <w:sz w:val="21"/>
          <w:highlight w:val="none"/>
        </w:rPr>
      </w:pPr>
      <w:r>
        <w:rPr>
          <w:rFonts w:hint="eastAsia" w:hAnsi="宋体"/>
          <w:b/>
          <w:color w:val="auto"/>
          <w:kern w:val="2"/>
          <w:sz w:val="21"/>
          <w:highlight w:val="none"/>
        </w:rPr>
        <w:t>（6）不同投标人的投标保证金从同一单位或者个人账户转出。</w:t>
      </w:r>
    </w:p>
    <w:p w14:paraId="6E2D7F30">
      <w:pPr>
        <w:pStyle w:val="8"/>
        <w:keepNext w:val="0"/>
        <w:keepLines w:val="0"/>
        <w:spacing w:before="0" w:after="0" w:line="360" w:lineRule="auto"/>
        <w:ind w:left="420" w:leftChars="200"/>
        <w:rPr>
          <w:rFonts w:ascii="宋体" w:hAnsi="宋体"/>
          <w:b w:val="0"/>
          <w:color w:val="auto"/>
          <w:sz w:val="21"/>
          <w:szCs w:val="21"/>
          <w:highlight w:val="none"/>
        </w:rPr>
      </w:pPr>
      <w:r>
        <w:rPr>
          <w:rFonts w:ascii="宋体" w:hAnsi="宋体"/>
          <w:b w:val="0"/>
          <w:color w:val="auto"/>
          <w:sz w:val="21"/>
          <w:szCs w:val="21"/>
          <w:highlight w:val="none"/>
        </w:rPr>
        <w:t>9.3</w:t>
      </w:r>
      <w:r>
        <w:rPr>
          <w:rFonts w:hint="eastAsia" w:ascii="宋体" w:hAnsi="宋体"/>
          <w:b w:val="0"/>
          <w:color w:val="auto"/>
          <w:sz w:val="21"/>
          <w:szCs w:val="21"/>
          <w:highlight w:val="none"/>
        </w:rPr>
        <w:t>供应商有下列情形之一的，属于恶意串通行为，将报同级监督管理部门：</w:t>
      </w:r>
    </w:p>
    <w:p w14:paraId="6F75FC6B">
      <w:pPr>
        <w:pStyle w:val="26"/>
        <w:snapToGrid w:val="0"/>
        <w:spacing w:line="360" w:lineRule="auto"/>
        <w:ind w:left="2" w:leftChars="1" w:firstLine="420" w:firstLineChars="200"/>
        <w:rPr>
          <w:rFonts w:hAnsi="宋体"/>
          <w:color w:val="auto"/>
          <w:kern w:val="2"/>
          <w:sz w:val="21"/>
          <w:highlight w:val="none"/>
        </w:rPr>
      </w:pPr>
      <w:r>
        <w:rPr>
          <w:rFonts w:hint="eastAsia" w:hAnsi="宋体"/>
          <w:color w:val="auto"/>
          <w:kern w:val="2"/>
          <w:sz w:val="21"/>
          <w:highlight w:val="none"/>
        </w:rPr>
        <w:t>（1）供应商直接或者间接从采购人或者采购代理机构处获得其他供应商的相关信息并修改其投标文件或者响应文件；</w:t>
      </w:r>
    </w:p>
    <w:p w14:paraId="0B984F19">
      <w:pPr>
        <w:pStyle w:val="26"/>
        <w:snapToGrid w:val="0"/>
        <w:spacing w:line="360" w:lineRule="auto"/>
        <w:ind w:left="2" w:leftChars="1" w:firstLine="420" w:firstLineChars="200"/>
        <w:rPr>
          <w:rFonts w:hAnsi="宋体"/>
          <w:color w:val="auto"/>
          <w:kern w:val="2"/>
          <w:sz w:val="21"/>
          <w:highlight w:val="none"/>
        </w:rPr>
      </w:pPr>
      <w:r>
        <w:rPr>
          <w:rFonts w:hint="eastAsia" w:hAnsi="宋体"/>
          <w:color w:val="auto"/>
          <w:kern w:val="2"/>
          <w:sz w:val="21"/>
          <w:highlight w:val="none"/>
        </w:rPr>
        <w:t>（2）供应商按照采购人或者采购代理机构的授意撤换、修改投标文件或者响应文件；</w:t>
      </w:r>
    </w:p>
    <w:p w14:paraId="0E1F9288">
      <w:pPr>
        <w:pStyle w:val="26"/>
        <w:snapToGrid w:val="0"/>
        <w:spacing w:line="360" w:lineRule="auto"/>
        <w:ind w:left="2" w:leftChars="1" w:firstLine="420" w:firstLineChars="200"/>
        <w:rPr>
          <w:rFonts w:hAnsi="宋体"/>
          <w:color w:val="auto"/>
          <w:kern w:val="2"/>
          <w:sz w:val="21"/>
          <w:highlight w:val="none"/>
        </w:rPr>
      </w:pPr>
      <w:r>
        <w:rPr>
          <w:rFonts w:hint="eastAsia" w:hAnsi="宋体"/>
          <w:color w:val="auto"/>
          <w:kern w:val="2"/>
          <w:sz w:val="21"/>
          <w:highlight w:val="none"/>
        </w:rPr>
        <w:t>（3）供应商之间协商报价、技术方案等投标文件或者响应文件的实质性内容；</w:t>
      </w:r>
    </w:p>
    <w:p w14:paraId="4A00787D">
      <w:pPr>
        <w:pStyle w:val="26"/>
        <w:snapToGrid w:val="0"/>
        <w:spacing w:line="360" w:lineRule="auto"/>
        <w:ind w:left="2" w:leftChars="1" w:firstLine="420" w:firstLineChars="200"/>
        <w:rPr>
          <w:rFonts w:hAnsi="宋体"/>
          <w:color w:val="auto"/>
          <w:kern w:val="2"/>
          <w:sz w:val="21"/>
          <w:highlight w:val="none"/>
        </w:rPr>
      </w:pPr>
      <w:r>
        <w:rPr>
          <w:rFonts w:hint="eastAsia" w:hAnsi="宋体"/>
          <w:color w:val="auto"/>
          <w:kern w:val="2"/>
          <w:sz w:val="21"/>
          <w:highlight w:val="none"/>
        </w:rPr>
        <w:t>（4）属于同一集团、协会、商会等组织成员的供应商按照该组织要求协同参加政府采购活动；</w:t>
      </w:r>
    </w:p>
    <w:p w14:paraId="2A955051">
      <w:pPr>
        <w:pStyle w:val="26"/>
        <w:snapToGrid w:val="0"/>
        <w:spacing w:line="360" w:lineRule="auto"/>
        <w:ind w:left="2" w:leftChars="1" w:firstLine="420" w:firstLineChars="200"/>
        <w:rPr>
          <w:rFonts w:hAnsi="宋体"/>
          <w:color w:val="auto"/>
          <w:kern w:val="2"/>
          <w:sz w:val="21"/>
          <w:highlight w:val="none"/>
        </w:rPr>
      </w:pPr>
      <w:r>
        <w:rPr>
          <w:rFonts w:hint="eastAsia" w:hAnsi="宋体"/>
          <w:color w:val="auto"/>
          <w:kern w:val="2"/>
          <w:sz w:val="21"/>
          <w:highlight w:val="none"/>
        </w:rPr>
        <w:t>（5）供应商之间事先约定一致抬高或者压低投标报价，或者在招标项目中事先约定轮流以高价位或者低价位中标，或者事先约定由某一特定供应商中标，然后再参加投标；</w:t>
      </w:r>
    </w:p>
    <w:p w14:paraId="5576BC46">
      <w:pPr>
        <w:pStyle w:val="26"/>
        <w:snapToGrid w:val="0"/>
        <w:spacing w:line="360" w:lineRule="auto"/>
        <w:ind w:left="2" w:leftChars="1" w:firstLine="420" w:firstLineChars="200"/>
        <w:rPr>
          <w:rFonts w:hAnsi="宋体"/>
          <w:color w:val="auto"/>
          <w:kern w:val="2"/>
          <w:sz w:val="21"/>
          <w:highlight w:val="none"/>
        </w:rPr>
      </w:pPr>
      <w:r>
        <w:rPr>
          <w:rFonts w:hint="eastAsia" w:hAnsi="宋体"/>
          <w:color w:val="auto"/>
          <w:kern w:val="2"/>
          <w:sz w:val="21"/>
          <w:highlight w:val="none"/>
        </w:rPr>
        <w:t>（6）供应商之间商定部分供应商放弃参加政府采购活动或者放弃中标；</w:t>
      </w:r>
    </w:p>
    <w:p w14:paraId="793A07BD">
      <w:pPr>
        <w:pStyle w:val="26"/>
        <w:snapToGrid w:val="0"/>
        <w:spacing w:line="360" w:lineRule="auto"/>
        <w:ind w:left="2" w:leftChars="1" w:firstLine="420" w:firstLineChars="200"/>
        <w:rPr>
          <w:rFonts w:hAnsi="宋体"/>
          <w:color w:val="auto"/>
          <w:kern w:val="2"/>
          <w:sz w:val="21"/>
          <w:highlight w:val="none"/>
        </w:rPr>
      </w:pPr>
      <w:r>
        <w:rPr>
          <w:rFonts w:hint="eastAsia" w:hAnsi="宋体"/>
          <w:color w:val="auto"/>
          <w:kern w:val="2"/>
          <w:sz w:val="21"/>
          <w:highlight w:val="none"/>
        </w:rPr>
        <w:t>（7）供应商与采购人或者采购代理机构之间、供应商相互之间，为谋求特定供应商中标或者排斥其他供应商的其他串通行为。</w:t>
      </w:r>
    </w:p>
    <w:p w14:paraId="1621B673">
      <w:pPr>
        <w:pStyle w:val="26"/>
        <w:snapToGrid w:val="0"/>
        <w:spacing w:line="360" w:lineRule="auto"/>
        <w:ind w:left="2" w:leftChars="1" w:firstLine="422" w:firstLineChars="200"/>
        <w:rPr>
          <w:rFonts w:hAnsi="宋体"/>
          <w:b/>
          <w:color w:val="auto"/>
          <w:kern w:val="2"/>
          <w:sz w:val="21"/>
          <w:highlight w:val="none"/>
        </w:rPr>
      </w:pPr>
    </w:p>
    <w:p w14:paraId="4DE15A00">
      <w:pPr>
        <w:pStyle w:val="6"/>
        <w:keepNext w:val="0"/>
        <w:keepLines w:val="0"/>
        <w:jc w:val="center"/>
        <w:rPr>
          <w:color w:val="auto"/>
          <w:highlight w:val="none"/>
        </w:rPr>
      </w:pPr>
      <w:bookmarkStart w:id="92" w:name="_Toc254970675"/>
      <w:bookmarkStart w:id="93" w:name="_Toc254970534"/>
      <w:r>
        <w:rPr>
          <w:rFonts w:hint="eastAsia"/>
          <w:color w:val="auto"/>
          <w:highlight w:val="none"/>
        </w:rPr>
        <w:t>二、招标文件</w:t>
      </w:r>
      <w:bookmarkEnd w:id="92"/>
      <w:bookmarkEnd w:id="93"/>
    </w:p>
    <w:p w14:paraId="244C9D2B">
      <w:pPr>
        <w:pStyle w:val="8"/>
        <w:keepNext w:val="0"/>
        <w:keepLines w:val="0"/>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10.招标文件的组成</w:t>
      </w:r>
    </w:p>
    <w:p w14:paraId="28F68D68">
      <w:pPr>
        <w:snapToGrid w:val="0"/>
        <w:spacing w:line="360" w:lineRule="auto"/>
        <w:ind w:firstLine="420"/>
        <w:jc w:val="left"/>
        <w:rPr>
          <w:rFonts w:ascii="宋体" w:hAnsi="宋体"/>
          <w:color w:val="auto"/>
          <w:szCs w:val="21"/>
          <w:highlight w:val="none"/>
        </w:rPr>
      </w:pPr>
      <w:r>
        <w:rPr>
          <w:rFonts w:hint="eastAsia" w:ascii="宋体" w:hAnsi="宋体"/>
          <w:color w:val="auto"/>
          <w:szCs w:val="21"/>
          <w:highlight w:val="none"/>
        </w:rPr>
        <w:t>（1）招标公告；</w:t>
      </w:r>
    </w:p>
    <w:p w14:paraId="6E8C752D">
      <w:pPr>
        <w:snapToGrid w:val="0"/>
        <w:spacing w:line="360" w:lineRule="auto"/>
        <w:ind w:firstLine="420"/>
        <w:jc w:val="left"/>
        <w:rPr>
          <w:rFonts w:ascii="宋体" w:hAnsi="宋体"/>
          <w:color w:val="auto"/>
          <w:szCs w:val="21"/>
          <w:highlight w:val="none"/>
        </w:rPr>
      </w:pPr>
      <w:r>
        <w:rPr>
          <w:rFonts w:hint="eastAsia" w:ascii="宋体" w:hAnsi="宋体"/>
          <w:color w:val="auto"/>
          <w:szCs w:val="21"/>
          <w:highlight w:val="none"/>
        </w:rPr>
        <w:t xml:space="preserve">（2）采购需求； </w:t>
      </w:r>
    </w:p>
    <w:p w14:paraId="052788D7">
      <w:pPr>
        <w:snapToGrid w:val="0"/>
        <w:spacing w:line="360" w:lineRule="auto"/>
        <w:ind w:firstLine="420"/>
        <w:jc w:val="left"/>
        <w:rPr>
          <w:rFonts w:ascii="宋体" w:hAnsi="宋体"/>
          <w:color w:val="auto"/>
          <w:szCs w:val="21"/>
          <w:highlight w:val="none"/>
        </w:rPr>
      </w:pPr>
      <w:r>
        <w:rPr>
          <w:rFonts w:hint="eastAsia" w:ascii="宋体" w:hAnsi="宋体"/>
          <w:color w:val="auto"/>
          <w:szCs w:val="21"/>
          <w:highlight w:val="none"/>
        </w:rPr>
        <w:t>（3）投标人须知；</w:t>
      </w:r>
    </w:p>
    <w:p w14:paraId="74D7AC9F">
      <w:pPr>
        <w:snapToGrid w:val="0"/>
        <w:spacing w:line="360" w:lineRule="auto"/>
        <w:ind w:firstLine="420"/>
        <w:jc w:val="left"/>
        <w:rPr>
          <w:rFonts w:ascii="宋体" w:hAnsi="宋体"/>
          <w:color w:val="auto"/>
          <w:szCs w:val="21"/>
          <w:highlight w:val="none"/>
        </w:rPr>
      </w:pPr>
      <w:r>
        <w:rPr>
          <w:rFonts w:hint="eastAsia" w:ascii="宋体" w:hAnsi="宋体"/>
          <w:color w:val="auto"/>
          <w:szCs w:val="21"/>
          <w:highlight w:val="none"/>
        </w:rPr>
        <w:t>（4）评标方法及评标标准；</w:t>
      </w:r>
    </w:p>
    <w:p w14:paraId="64BF8879">
      <w:pPr>
        <w:snapToGrid w:val="0"/>
        <w:spacing w:line="360" w:lineRule="auto"/>
        <w:ind w:firstLine="420"/>
        <w:jc w:val="left"/>
        <w:rPr>
          <w:rFonts w:ascii="宋体" w:hAnsi="宋体"/>
          <w:color w:val="auto"/>
          <w:szCs w:val="21"/>
          <w:highlight w:val="none"/>
        </w:rPr>
      </w:pPr>
      <w:r>
        <w:rPr>
          <w:rFonts w:hint="eastAsia" w:ascii="宋体" w:hAnsi="宋体"/>
          <w:color w:val="auto"/>
          <w:szCs w:val="21"/>
          <w:highlight w:val="none"/>
        </w:rPr>
        <w:t>（5）拟签订的合同文本；</w:t>
      </w:r>
    </w:p>
    <w:p w14:paraId="2B77776A">
      <w:pPr>
        <w:snapToGrid w:val="0"/>
        <w:spacing w:line="360" w:lineRule="auto"/>
        <w:ind w:firstLine="420"/>
        <w:jc w:val="left"/>
        <w:rPr>
          <w:rFonts w:ascii="宋体" w:hAnsi="宋体"/>
          <w:color w:val="auto"/>
          <w:szCs w:val="21"/>
          <w:highlight w:val="none"/>
        </w:rPr>
      </w:pPr>
      <w:r>
        <w:rPr>
          <w:rFonts w:hint="eastAsia" w:ascii="宋体" w:hAnsi="宋体"/>
          <w:color w:val="auto"/>
          <w:szCs w:val="21"/>
          <w:highlight w:val="none"/>
        </w:rPr>
        <w:t>（6）投标文件格式。</w:t>
      </w:r>
    </w:p>
    <w:p w14:paraId="510AFFD0">
      <w:pPr>
        <w:pStyle w:val="8"/>
        <w:keepNext w:val="0"/>
        <w:keepLines w:val="0"/>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11.招标文件的澄清、修改 、现场考察和答疑会</w:t>
      </w:r>
    </w:p>
    <w:p w14:paraId="0CD58A83">
      <w:pPr>
        <w:pStyle w:val="8"/>
        <w:keepNext w:val="0"/>
        <w:keepLines w:val="0"/>
        <w:spacing w:before="0" w:after="0" w:line="360" w:lineRule="auto"/>
        <w:ind w:firstLine="315" w:firstLineChars="150"/>
        <w:rPr>
          <w:rFonts w:ascii="宋体" w:hAnsi="宋体"/>
          <w:b w:val="0"/>
          <w:color w:val="auto"/>
          <w:sz w:val="21"/>
          <w:szCs w:val="21"/>
          <w:highlight w:val="none"/>
        </w:rPr>
      </w:pPr>
      <w:r>
        <w:rPr>
          <w:rFonts w:hint="eastAsia" w:ascii="宋体" w:hAnsi="宋体"/>
          <w:b w:val="0"/>
          <w:color w:val="auto"/>
          <w:sz w:val="21"/>
          <w:szCs w:val="21"/>
          <w:highlight w:val="none"/>
        </w:rPr>
        <w:t xml:space="preserve"> 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2886A3CE">
      <w:pPr>
        <w:pStyle w:val="26"/>
        <w:snapToGrid w:val="0"/>
        <w:spacing w:line="360" w:lineRule="auto"/>
        <w:ind w:firstLine="420" w:firstLineChars="200"/>
        <w:rPr>
          <w:rFonts w:hAnsi="宋体"/>
          <w:color w:val="auto"/>
          <w:sz w:val="21"/>
          <w:highlight w:val="none"/>
        </w:rPr>
      </w:pPr>
      <w:r>
        <w:rPr>
          <w:rFonts w:hint="eastAsia" w:hAnsi="宋体"/>
          <w:color w:val="auto"/>
          <w:sz w:val="21"/>
          <w:highlight w:val="none"/>
        </w:rPr>
        <w:t>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3DEFF609">
      <w:pPr>
        <w:pStyle w:val="26"/>
        <w:snapToGrid w:val="0"/>
        <w:spacing w:line="360" w:lineRule="auto"/>
        <w:ind w:firstLine="420" w:firstLineChars="200"/>
        <w:rPr>
          <w:rFonts w:hAnsi="宋体"/>
          <w:color w:val="auto"/>
          <w:sz w:val="21"/>
          <w:highlight w:val="none"/>
        </w:rPr>
      </w:pPr>
      <w:r>
        <w:rPr>
          <w:rFonts w:hint="eastAsia" w:hAnsi="宋体"/>
          <w:color w:val="auto"/>
          <w:sz w:val="21"/>
          <w:highlight w:val="none"/>
        </w:rPr>
        <w:t>1</w:t>
      </w:r>
      <w:r>
        <w:rPr>
          <w:rFonts w:hAnsi="宋体"/>
          <w:color w:val="auto"/>
          <w:sz w:val="21"/>
          <w:highlight w:val="none"/>
        </w:rPr>
        <w:t>1.2</w:t>
      </w:r>
      <w:bookmarkStart w:id="94" w:name="_Hlk53134511"/>
      <w:r>
        <w:rPr>
          <w:rFonts w:hint="eastAsia" w:hAnsi="宋体"/>
          <w:color w:val="auto"/>
          <w:sz w:val="21"/>
          <w:highlight w:val="none"/>
        </w:rPr>
        <w:t>采购人或者采购代理机构可以在招标文件提供期限截止后，组织已获取招标文件的潜在投标人现场考察或者召开开标前答疑会，具体详见“投标人须知前附表”。</w:t>
      </w:r>
    </w:p>
    <w:bookmarkEnd w:id="94"/>
    <w:p w14:paraId="568D270E">
      <w:pPr>
        <w:pStyle w:val="6"/>
        <w:keepNext w:val="0"/>
        <w:keepLines w:val="0"/>
        <w:jc w:val="center"/>
        <w:rPr>
          <w:color w:val="auto"/>
          <w:highlight w:val="none"/>
        </w:rPr>
      </w:pPr>
      <w:bookmarkStart w:id="95" w:name="_Toc254970676"/>
      <w:bookmarkStart w:id="96" w:name="_Toc254970535"/>
      <w:r>
        <w:rPr>
          <w:rFonts w:hint="eastAsia"/>
          <w:color w:val="auto"/>
          <w:highlight w:val="none"/>
        </w:rPr>
        <w:t>三、投标文件的编制</w:t>
      </w:r>
      <w:bookmarkEnd w:id="95"/>
      <w:bookmarkEnd w:id="96"/>
    </w:p>
    <w:p w14:paraId="7B87D5D1">
      <w:pPr>
        <w:pStyle w:val="8"/>
        <w:keepNext w:val="0"/>
        <w:keepLines w:val="0"/>
        <w:spacing w:before="0" w:after="0" w:line="360" w:lineRule="auto"/>
        <w:ind w:left="420" w:leftChars="200"/>
        <w:rPr>
          <w:rFonts w:ascii="黑体" w:hAnsi="黑体" w:eastAsia="黑体"/>
          <w:color w:val="auto"/>
          <w:sz w:val="24"/>
          <w:highlight w:val="none"/>
        </w:rPr>
      </w:pPr>
      <w:bookmarkStart w:id="97" w:name="_Toc254970536"/>
      <w:bookmarkStart w:id="98" w:name="_Toc254970677"/>
      <w:r>
        <w:rPr>
          <w:rFonts w:hint="eastAsia" w:ascii="黑体" w:hAnsi="黑体" w:eastAsia="黑体"/>
          <w:color w:val="auto"/>
          <w:sz w:val="24"/>
          <w:highlight w:val="none"/>
        </w:rPr>
        <w:t>12.投标文件的编制原则</w:t>
      </w:r>
    </w:p>
    <w:p w14:paraId="1B0E38D9">
      <w:pPr>
        <w:snapToGrid w:val="0"/>
        <w:spacing w:line="360" w:lineRule="auto"/>
        <w:ind w:firstLine="420"/>
        <w:jc w:val="left"/>
        <w:rPr>
          <w:rFonts w:ascii="宋体" w:hAnsi="宋体" w:cs="Courier New"/>
          <w:color w:val="auto"/>
          <w:szCs w:val="21"/>
          <w:highlight w:val="none"/>
        </w:rPr>
      </w:pPr>
      <w:r>
        <w:rPr>
          <w:rFonts w:ascii="宋体" w:hAnsi="宋体"/>
          <w:color w:val="auto"/>
          <w:szCs w:val="21"/>
          <w:highlight w:val="none"/>
        </w:rPr>
        <w:t>投标人必须按照招标文件的要求编制投标文件。投标文件必须对招标文件提出的要求和条件作出明确响应。</w:t>
      </w:r>
    </w:p>
    <w:p w14:paraId="42167CE9">
      <w:pPr>
        <w:pStyle w:val="8"/>
        <w:keepNext w:val="0"/>
        <w:keepLines w:val="0"/>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13.投标文件的组成</w:t>
      </w:r>
      <w:bookmarkEnd w:id="97"/>
      <w:bookmarkEnd w:id="98"/>
    </w:p>
    <w:p w14:paraId="40F6D2A5">
      <w:pPr>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投标文件由报价文件、资格证明文件、商务文件、技术文件四部分组成。</w:t>
      </w:r>
    </w:p>
    <w:p w14:paraId="5A7F036C">
      <w:pPr>
        <w:pStyle w:val="8"/>
        <w:keepNext w:val="0"/>
        <w:keepLines w:val="0"/>
        <w:spacing w:before="0" w:after="0" w:line="360" w:lineRule="auto"/>
        <w:ind w:left="420" w:leftChars="200"/>
        <w:rPr>
          <w:rFonts w:ascii="宋体" w:hAnsi="宋体"/>
          <w:b w:val="0"/>
          <w:color w:val="auto"/>
          <w:sz w:val="21"/>
          <w:szCs w:val="21"/>
          <w:highlight w:val="none"/>
        </w:rPr>
      </w:pPr>
      <w:bookmarkStart w:id="99" w:name="_13.1报价文件:_具体材料见“投标人须知前附表”。"/>
      <w:bookmarkEnd w:id="99"/>
      <w:r>
        <w:rPr>
          <w:rFonts w:hint="eastAsia" w:ascii="宋体" w:hAnsi="宋体"/>
          <w:b w:val="0"/>
          <w:color w:val="auto"/>
          <w:sz w:val="21"/>
          <w:szCs w:val="21"/>
          <w:highlight w:val="none"/>
        </w:rPr>
        <w:t>（1）报价文件：</w:t>
      </w:r>
      <w:r>
        <w:rPr>
          <w:rFonts w:ascii="宋体" w:hAnsi="宋体"/>
          <w:b w:val="0"/>
          <w:color w:val="auto"/>
          <w:sz w:val="21"/>
          <w:szCs w:val="21"/>
          <w:highlight w:val="none"/>
        </w:rPr>
        <w:t xml:space="preserve"> 具体材料见“投标人须知前附表”</w:t>
      </w:r>
      <w:r>
        <w:rPr>
          <w:rFonts w:hint="eastAsia" w:ascii="宋体" w:hAnsi="宋体"/>
          <w:b w:val="0"/>
          <w:color w:val="auto"/>
          <w:sz w:val="21"/>
          <w:szCs w:val="21"/>
          <w:highlight w:val="none"/>
        </w:rPr>
        <w:t>。</w:t>
      </w:r>
    </w:p>
    <w:p w14:paraId="18194156">
      <w:pPr>
        <w:pStyle w:val="8"/>
        <w:keepNext w:val="0"/>
        <w:keepLines w:val="0"/>
        <w:spacing w:before="0" w:after="0" w:line="360" w:lineRule="auto"/>
        <w:ind w:left="420" w:leftChars="200"/>
        <w:rPr>
          <w:rFonts w:ascii="宋体" w:hAnsi="宋体"/>
          <w:b w:val="0"/>
          <w:color w:val="auto"/>
          <w:sz w:val="21"/>
          <w:szCs w:val="21"/>
          <w:highlight w:val="none"/>
        </w:rPr>
      </w:pPr>
      <w:bookmarkStart w:id="100" w:name="_13.2资格证明文件：具体材料见“投标人须知前附表”。"/>
      <w:bookmarkEnd w:id="100"/>
      <w:r>
        <w:rPr>
          <w:rFonts w:hint="eastAsia" w:ascii="宋体" w:hAnsi="宋体"/>
          <w:b w:val="0"/>
          <w:color w:val="auto"/>
          <w:sz w:val="21"/>
          <w:szCs w:val="21"/>
          <w:highlight w:val="none"/>
        </w:rPr>
        <w:t>（</w:t>
      </w:r>
      <w:r>
        <w:rPr>
          <w:rFonts w:ascii="宋体" w:hAnsi="宋体"/>
          <w:b w:val="0"/>
          <w:color w:val="auto"/>
          <w:sz w:val="21"/>
          <w:szCs w:val="21"/>
          <w:highlight w:val="none"/>
        </w:rPr>
        <w:t>2</w:t>
      </w:r>
      <w:r>
        <w:rPr>
          <w:rFonts w:hint="eastAsia" w:ascii="宋体" w:hAnsi="宋体"/>
          <w:b w:val="0"/>
          <w:color w:val="auto"/>
          <w:sz w:val="21"/>
          <w:szCs w:val="21"/>
          <w:highlight w:val="none"/>
        </w:rPr>
        <w:t>）资格证明文件：</w:t>
      </w:r>
      <w:r>
        <w:rPr>
          <w:rFonts w:ascii="宋体" w:hAnsi="宋体"/>
          <w:b w:val="0"/>
          <w:color w:val="auto"/>
          <w:sz w:val="21"/>
          <w:szCs w:val="21"/>
          <w:highlight w:val="none"/>
        </w:rPr>
        <w:t>具体材料见“投标人须知前附表”</w:t>
      </w:r>
      <w:r>
        <w:rPr>
          <w:rFonts w:hint="eastAsia" w:ascii="宋体" w:hAnsi="宋体"/>
          <w:b w:val="0"/>
          <w:color w:val="auto"/>
          <w:sz w:val="21"/>
          <w:szCs w:val="21"/>
          <w:highlight w:val="none"/>
        </w:rPr>
        <w:t>。</w:t>
      </w:r>
    </w:p>
    <w:p w14:paraId="16E5BB2B">
      <w:pPr>
        <w:pStyle w:val="8"/>
        <w:keepNext w:val="0"/>
        <w:keepLines w:val="0"/>
        <w:spacing w:before="0" w:after="0" w:line="360" w:lineRule="auto"/>
        <w:ind w:left="420" w:leftChars="200"/>
        <w:rPr>
          <w:rFonts w:ascii="宋体" w:hAnsi="宋体"/>
          <w:b w:val="0"/>
          <w:color w:val="auto"/>
          <w:sz w:val="21"/>
          <w:szCs w:val="21"/>
          <w:highlight w:val="none"/>
        </w:rPr>
      </w:pPr>
      <w:bookmarkStart w:id="101" w:name="_13.3商务文件:_具体材料见“投标人须知前附表”。"/>
      <w:bookmarkEnd w:id="101"/>
      <w:r>
        <w:rPr>
          <w:rFonts w:hint="eastAsia" w:ascii="宋体" w:hAnsi="宋体"/>
          <w:b w:val="0"/>
          <w:color w:val="auto"/>
          <w:sz w:val="21"/>
          <w:szCs w:val="21"/>
          <w:highlight w:val="none"/>
        </w:rPr>
        <w:t>（</w:t>
      </w:r>
      <w:r>
        <w:rPr>
          <w:rFonts w:ascii="宋体" w:hAnsi="宋体"/>
          <w:b w:val="0"/>
          <w:color w:val="auto"/>
          <w:sz w:val="21"/>
          <w:szCs w:val="21"/>
          <w:highlight w:val="none"/>
        </w:rPr>
        <w:t>3</w:t>
      </w:r>
      <w:r>
        <w:rPr>
          <w:rFonts w:hint="eastAsia" w:ascii="宋体" w:hAnsi="宋体"/>
          <w:b w:val="0"/>
          <w:color w:val="auto"/>
          <w:sz w:val="21"/>
          <w:szCs w:val="21"/>
          <w:highlight w:val="none"/>
        </w:rPr>
        <w:t>）商务文件：</w:t>
      </w:r>
      <w:r>
        <w:rPr>
          <w:rFonts w:ascii="宋体" w:hAnsi="宋体"/>
          <w:b w:val="0"/>
          <w:color w:val="auto"/>
          <w:sz w:val="21"/>
          <w:szCs w:val="21"/>
          <w:highlight w:val="none"/>
        </w:rPr>
        <w:t>具体材料见“投标人须知前附表”</w:t>
      </w:r>
      <w:r>
        <w:rPr>
          <w:rFonts w:hint="eastAsia" w:ascii="宋体" w:hAnsi="宋体"/>
          <w:b w:val="0"/>
          <w:color w:val="auto"/>
          <w:sz w:val="21"/>
          <w:szCs w:val="21"/>
          <w:highlight w:val="none"/>
        </w:rPr>
        <w:t>。</w:t>
      </w:r>
    </w:p>
    <w:p w14:paraId="708129D0">
      <w:pPr>
        <w:pStyle w:val="8"/>
        <w:keepNext w:val="0"/>
        <w:keepLines w:val="0"/>
        <w:spacing w:before="0" w:after="0" w:line="360" w:lineRule="auto"/>
        <w:ind w:left="420" w:leftChars="200"/>
        <w:rPr>
          <w:rFonts w:ascii="宋体" w:hAnsi="宋体"/>
          <w:b w:val="0"/>
          <w:color w:val="auto"/>
          <w:sz w:val="21"/>
          <w:szCs w:val="21"/>
          <w:highlight w:val="none"/>
        </w:rPr>
      </w:pPr>
      <w:bookmarkStart w:id="102" w:name="_13.4技术文件：具体材料见“投标人须知前附表”。"/>
      <w:bookmarkEnd w:id="102"/>
      <w:r>
        <w:rPr>
          <w:rFonts w:hint="eastAsia" w:ascii="宋体" w:hAnsi="宋体"/>
          <w:b w:val="0"/>
          <w:color w:val="auto"/>
          <w:sz w:val="21"/>
          <w:szCs w:val="21"/>
          <w:highlight w:val="none"/>
        </w:rPr>
        <w:t>（</w:t>
      </w:r>
      <w:r>
        <w:rPr>
          <w:rFonts w:ascii="宋体" w:hAnsi="宋体"/>
          <w:b w:val="0"/>
          <w:color w:val="auto"/>
          <w:sz w:val="21"/>
          <w:szCs w:val="21"/>
          <w:highlight w:val="none"/>
        </w:rPr>
        <w:t>4</w:t>
      </w:r>
      <w:r>
        <w:rPr>
          <w:rFonts w:hint="eastAsia" w:ascii="宋体" w:hAnsi="宋体"/>
          <w:b w:val="0"/>
          <w:color w:val="auto"/>
          <w:sz w:val="21"/>
          <w:szCs w:val="21"/>
          <w:highlight w:val="none"/>
        </w:rPr>
        <w:t>）技术文件：</w:t>
      </w:r>
      <w:r>
        <w:rPr>
          <w:rFonts w:ascii="宋体" w:hAnsi="宋体"/>
          <w:b w:val="0"/>
          <w:color w:val="auto"/>
          <w:sz w:val="21"/>
          <w:szCs w:val="21"/>
          <w:highlight w:val="none"/>
        </w:rPr>
        <w:t>具体材料见“投标人须知前附表”</w:t>
      </w:r>
      <w:r>
        <w:rPr>
          <w:rFonts w:hint="eastAsia" w:ascii="宋体" w:hAnsi="宋体"/>
          <w:b w:val="0"/>
          <w:color w:val="auto"/>
          <w:sz w:val="21"/>
          <w:szCs w:val="21"/>
          <w:highlight w:val="none"/>
        </w:rPr>
        <w:t>。</w:t>
      </w:r>
    </w:p>
    <w:p w14:paraId="75743555">
      <w:pPr>
        <w:pStyle w:val="8"/>
        <w:keepNext w:val="0"/>
        <w:keepLines w:val="0"/>
        <w:spacing w:before="0" w:after="0" w:line="360" w:lineRule="auto"/>
        <w:ind w:left="420" w:leftChars="200"/>
        <w:rPr>
          <w:rFonts w:ascii="黑体" w:hAnsi="黑体" w:eastAsia="黑体"/>
          <w:color w:val="auto"/>
          <w:sz w:val="24"/>
          <w:highlight w:val="none"/>
        </w:rPr>
      </w:pPr>
      <w:bookmarkStart w:id="103" w:name="_13.5投标文件电子版：具体材料见“投标人须知前附表”。"/>
      <w:bookmarkEnd w:id="103"/>
      <w:bookmarkStart w:id="104" w:name="_Toc254970678"/>
      <w:bookmarkStart w:id="105" w:name="_Toc254970537"/>
      <w:r>
        <w:rPr>
          <w:rFonts w:hint="eastAsia" w:ascii="黑体" w:hAnsi="黑体" w:eastAsia="黑体"/>
          <w:color w:val="auto"/>
          <w:sz w:val="24"/>
          <w:highlight w:val="none"/>
        </w:rPr>
        <w:t>14.投标文件的语言及计量</w:t>
      </w:r>
      <w:bookmarkEnd w:id="104"/>
      <w:bookmarkEnd w:id="105"/>
    </w:p>
    <w:p w14:paraId="65D74222">
      <w:pPr>
        <w:pStyle w:val="8"/>
        <w:keepNext w:val="0"/>
        <w:keepLines w:val="0"/>
        <w:spacing w:before="0" w:after="0" w:line="360" w:lineRule="auto"/>
        <w:ind w:left="420" w:leftChars="200"/>
        <w:rPr>
          <w:rFonts w:ascii="宋体" w:hAnsi="宋体"/>
          <w:b w:val="0"/>
          <w:color w:val="auto"/>
          <w:sz w:val="21"/>
          <w:szCs w:val="21"/>
          <w:highlight w:val="none"/>
        </w:rPr>
      </w:pPr>
      <w:r>
        <w:rPr>
          <w:rFonts w:hint="eastAsia" w:ascii="宋体" w:hAnsi="宋体"/>
          <w:b w:val="0"/>
          <w:color w:val="auto"/>
          <w:sz w:val="21"/>
          <w:szCs w:val="21"/>
          <w:highlight w:val="none"/>
        </w:rPr>
        <w:t>14.1语言文字</w:t>
      </w:r>
    </w:p>
    <w:p w14:paraId="47B954F2">
      <w:pPr>
        <w:pStyle w:val="8"/>
        <w:keepNext w:val="0"/>
        <w:keepLines w:val="0"/>
        <w:spacing w:before="0" w:after="0" w:line="360" w:lineRule="auto"/>
        <w:ind w:firstLine="420" w:firstLineChars="200"/>
        <w:rPr>
          <w:rFonts w:ascii="宋体" w:hAnsi="宋体"/>
          <w:b w:val="0"/>
          <w:color w:val="auto"/>
          <w:sz w:val="21"/>
          <w:szCs w:val="21"/>
          <w:highlight w:val="none"/>
        </w:rPr>
      </w:pPr>
      <w:r>
        <w:rPr>
          <w:rFonts w:hint="eastAsia" w:ascii="宋体" w:hAnsi="宋体"/>
          <w:b w:val="0"/>
          <w:color w:val="auto"/>
          <w:sz w:val="21"/>
          <w:szCs w:val="21"/>
          <w:highlight w:val="none"/>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5F5EDE28">
      <w:pPr>
        <w:pStyle w:val="8"/>
        <w:keepNext w:val="0"/>
        <w:keepLines w:val="0"/>
        <w:spacing w:before="0" w:after="0" w:line="360" w:lineRule="auto"/>
        <w:ind w:firstLine="420" w:firstLineChars="200"/>
        <w:rPr>
          <w:rFonts w:ascii="宋体" w:hAnsi="宋体"/>
          <w:b w:val="0"/>
          <w:color w:val="auto"/>
          <w:sz w:val="21"/>
          <w:szCs w:val="21"/>
          <w:highlight w:val="none"/>
        </w:rPr>
      </w:pPr>
      <w:r>
        <w:rPr>
          <w:rFonts w:hint="eastAsia" w:ascii="宋体" w:hAnsi="宋体"/>
          <w:b w:val="0"/>
          <w:color w:val="auto"/>
          <w:sz w:val="21"/>
          <w:szCs w:val="21"/>
          <w:highlight w:val="none"/>
        </w:rPr>
        <w:t>14.2投标计量单位</w:t>
      </w:r>
    </w:p>
    <w:p w14:paraId="43C570ED">
      <w:pPr>
        <w:pStyle w:val="8"/>
        <w:keepNext w:val="0"/>
        <w:keepLines w:val="0"/>
        <w:spacing w:before="0" w:after="0" w:line="360" w:lineRule="auto"/>
        <w:ind w:firstLine="420" w:firstLineChars="200"/>
        <w:rPr>
          <w:rFonts w:ascii="宋体" w:hAnsi="宋体"/>
          <w:b w:val="0"/>
          <w:color w:val="auto"/>
          <w:sz w:val="21"/>
          <w:szCs w:val="21"/>
          <w:highlight w:val="none"/>
        </w:rPr>
      </w:pPr>
      <w:r>
        <w:rPr>
          <w:rFonts w:hint="eastAsia" w:ascii="宋体" w:hAnsi="宋体"/>
          <w:b w:val="0"/>
          <w:color w:val="auto"/>
          <w:sz w:val="21"/>
          <w:szCs w:val="21"/>
          <w:highlight w:val="none"/>
        </w:rPr>
        <w:t>招标文件已有明确规定的，使用招标文件规定的计量单位；招标文件没有规定的，应采用中华人民共和国法定计量单位，货币种类为人民币</w:t>
      </w:r>
      <w:r>
        <w:rPr>
          <w:rFonts w:hint="eastAsia" w:ascii="宋体" w:hAnsi="宋体"/>
          <w:bCs/>
          <w:color w:val="auto"/>
          <w:sz w:val="21"/>
          <w:szCs w:val="21"/>
          <w:highlight w:val="none"/>
        </w:rPr>
        <w:t>，否则视同未响应。</w:t>
      </w:r>
    </w:p>
    <w:p w14:paraId="4D181AC5">
      <w:pPr>
        <w:pStyle w:val="8"/>
        <w:keepNext w:val="0"/>
        <w:keepLines w:val="0"/>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15.投标的风险</w:t>
      </w:r>
    </w:p>
    <w:p w14:paraId="638A2D65">
      <w:pPr>
        <w:pStyle w:val="26"/>
        <w:snapToGrid w:val="0"/>
        <w:spacing w:line="360" w:lineRule="auto"/>
        <w:ind w:firstLine="420" w:firstLineChars="200"/>
        <w:jc w:val="left"/>
        <w:rPr>
          <w:rFonts w:hAnsi="宋体"/>
          <w:color w:val="auto"/>
          <w:sz w:val="21"/>
          <w:highlight w:val="none"/>
        </w:rPr>
      </w:pPr>
      <w:r>
        <w:rPr>
          <w:rFonts w:hint="eastAsia" w:hAnsi="宋体"/>
          <w:color w:val="auto"/>
          <w:sz w:val="21"/>
          <w:highlight w:val="none"/>
        </w:rPr>
        <w:t>投标人没有按照招标文件要求提供全部资料，或者投标人没有对招标文件作出实质性响应是投标人的风险，并可能导致其投标被拒绝。</w:t>
      </w:r>
    </w:p>
    <w:p w14:paraId="0DBBF2CA">
      <w:pPr>
        <w:pStyle w:val="8"/>
        <w:keepNext w:val="0"/>
        <w:keepLines w:val="0"/>
        <w:spacing w:before="0" w:after="0" w:line="360" w:lineRule="auto"/>
        <w:ind w:left="420" w:leftChars="200"/>
        <w:rPr>
          <w:rFonts w:ascii="黑体" w:hAnsi="黑体" w:eastAsia="黑体"/>
          <w:color w:val="auto"/>
          <w:sz w:val="24"/>
          <w:highlight w:val="none"/>
        </w:rPr>
      </w:pPr>
      <w:bookmarkStart w:id="106" w:name="_Toc254970538"/>
      <w:bookmarkStart w:id="107" w:name="_Toc254970679"/>
      <w:r>
        <w:rPr>
          <w:rFonts w:hint="eastAsia" w:ascii="黑体" w:hAnsi="黑体" w:eastAsia="黑体"/>
          <w:color w:val="auto"/>
          <w:sz w:val="24"/>
          <w:highlight w:val="none"/>
        </w:rPr>
        <w:t>16.投标报价</w:t>
      </w:r>
      <w:bookmarkEnd w:id="106"/>
      <w:bookmarkEnd w:id="107"/>
    </w:p>
    <w:p w14:paraId="2522746C">
      <w:pPr>
        <w:pStyle w:val="8"/>
        <w:keepNext w:val="0"/>
        <w:keepLines w:val="0"/>
        <w:spacing w:before="0" w:after="0" w:line="360" w:lineRule="auto"/>
        <w:ind w:left="420" w:leftChars="200"/>
        <w:rPr>
          <w:rFonts w:ascii="宋体" w:hAnsi="宋体"/>
          <w:b w:val="0"/>
          <w:color w:val="auto"/>
          <w:sz w:val="21"/>
          <w:szCs w:val="21"/>
          <w:highlight w:val="none"/>
        </w:rPr>
      </w:pPr>
      <w:r>
        <w:rPr>
          <w:rFonts w:hint="eastAsia" w:ascii="宋体" w:hAnsi="宋体"/>
          <w:b w:val="0"/>
          <w:color w:val="auto"/>
          <w:sz w:val="21"/>
          <w:szCs w:val="21"/>
          <w:highlight w:val="none"/>
        </w:rPr>
        <w:t>16.1投标报价应按“第六章　投标文件格式”中“开标一览表”格式填写。</w:t>
      </w:r>
    </w:p>
    <w:p w14:paraId="365F61C6">
      <w:pPr>
        <w:pStyle w:val="8"/>
        <w:keepNext w:val="0"/>
        <w:keepLines w:val="0"/>
        <w:spacing w:before="0" w:after="0" w:line="360" w:lineRule="auto"/>
        <w:ind w:left="420" w:leftChars="200"/>
        <w:rPr>
          <w:rFonts w:ascii="宋体" w:hAnsi="宋体"/>
          <w:b w:val="0"/>
          <w:color w:val="auto"/>
          <w:sz w:val="21"/>
          <w:szCs w:val="21"/>
          <w:highlight w:val="none"/>
        </w:rPr>
      </w:pPr>
      <w:bookmarkStart w:id="108" w:name="_16.2投标报价具体定义见投标人须知前附表。"/>
      <w:bookmarkEnd w:id="108"/>
      <w:r>
        <w:rPr>
          <w:rFonts w:hint="eastAsia" w:ascii="宋体" w:hAnsi="宋体"/>
          <w:b w:val="0"/>
          <w:color w:val="auto"/>
          <w:sz w:val="21"/>
          <w:szCs w:val="21"/>
          <w:highlight w:val="none"/>
        </w:rPr>
        <w:t>16.2投标报价具体包括内容详见“投标人须知前附表”。</w:t>
      </w:r>
    </w:p>
    <w:p w14:paraId="37955F2C">
      <w:pPr>
        <w:pStyle w:val="8"/>
        <w:keepNext w:val="0"/>
        <w:keepLines w:val="0"/>
        <w:spacing w:before="0" w:after="0" w:line="360" w:lineRule="auto"/>
        <w:ind w:firstLine="420" w:firstLineChars="200"/>
        <w:rPr>
          <w:rFonts w:ascii="宋体" w:hAnsi="宋体"/>
          <w:b w:val="0"/>
          <w:color w:val="auto"/>
          <w:sz w:val="21"/>
          <w:szCs w:val="21"/>
          <w:highlight w:val="none"/>
        </w:rPr>
      </w:pPr>
      <w:r>
        <w:rPr>
          <w:rFonts w:hint="eastAsia" w:ascii="宋体" w:hAnsi="宋体"/>
          <w:b w:val="0"/>
          <w:color w:val="auto"/>
          <w:sz w:val="21"/>
          <w:szCs w:val="21"/>
          <w:highlight w:val="none"/>
        </w:rPr>
        <w:t>16.3投标人必须就所投每个分标的全部内容分别作完整唯一总价报价，不得存在漏项报价；投标人必须就所投分标的单项内容作唯一报价。</w:t>
      </w:r>
    </w:p>
    <w:p w14:paraId="23FB247D">
      <w:pPr>
        <w:pStyle w:val="8"/>
        <w:keepNext w:val="0"/>
        <w:keepLines w:val="0"/>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17.投标有效期</w:t>
      </w:r>
    </w:p>
    <w:p w14:paraId="04857315">
      <w:pPr>
        <w:pStyle w:val="8"/>
        <w:keepNext w:val="0"/>
        <w:keepLines w:val="0"/>
        <w:spacing w:before="0" w:after="0" w:line="360" w:lineRule="auto"/>
        <w:ind w:firstLine="420" w:firstLineChars="200"/>
        <w:rPr>
          <w:rFonts w:ascii="宋体" w:hAnsi="宋体"/>
          <w:b w:val="0"/>
          <w:color w:val="auto"/>
          <w:sz w:val="21"/>
          <w:szCs w:val="21"/>
          <w:highlight w:val="none"/>
        </w:rPr>
      </w:pPr>
      <w:bookmarkStart w:id="109" w:name="_17.1投标有效期应按“投标人须知中的前附表”规定的期限。"/>
      <w:bookmarkEnd w:id="109"/>
      <w:r>
        <w:rPr>
          <w:rFonts w:hint="eastAsia" w:ascii="宋体" w:hAnsi="宋体"/>
          <w:b w:val="0"/>
          <w:color w:val="auto"/>
          <w:sz w:val="21"/>
          <w:szCs w:val="21"/>
          <w:highlight w:val="none"/>
        </w:rPr>
        <w:t>17.1投标有效期是指为保证采购人有足够的时间在开标后完成评标、定标、合同签订等工作而要求投标人提交的投标文件在一定时间内保持有效的期限。</w:t>
      </w:r>
    </w:p>
    <w:p w14:paraId="16470AE6">
      <w:pPr>
        <w:pStyle w:val="8"/>
        <w:keepNext w:val="0"/>
        <w:keepLines w:val="0"/>
        <w:spacing w:before="0" w:after="0" w:line="360" w:lineRule="auto"/>
        <w:ind w:left="420" w:leftChars="200"/>
        <w:rPr>
          <w:rFonts w:ascii="宋体" w:hAnsi="宋体"/>
          <w:b w:val="0"/>
          <w:color w:val="auto"/>
          <w:sz w:val="21"/>
          <w:szCs w:val="21"/>
          <w:highlight w:val="none"/>
        </w:rPr>
      </w:pPr>
      <w:r>
        <w:rPr>
          <w:rFonts w:hint="eastAsia" w:ascii="宋体" w:hAnsi="宋体"/>
          <w:b w:val="0"/>
          <w:color w:val="auto"/>
          <w:sz w:val="21"/>
          <w:szCs w:val="21"/>
          <w:highlight w:val="none"/>
        </w:rPr>
        <w:t>17.2</w:t>
      </w:r>
      <w:bookmarkStart w:id="110" w:name="_Toc254970681"/>
      <w:bookmarkStart w:id="111" w:name="_Toc254970540"/>
      <w:r>
        <w:rPr>
          <w:rFonts w:hint="eastAsia" w:ascii="宋体" w:hAnsi="宋体"/>
          <w:b w:val="0"/>
          <w:color w:val="auto"/>
          <w:sz w:val="21"/>
          <w:szCs w:val="21"/>
          <w:highlight w:val="none"/>
        </w:rPr>
        <w:t xml:space="preserve"> 投标有效期应按规定的期限作出承诺，具体详见“投标人须知前附表”。</w:t>
      </w:r>
    </w:p>
    <w:p w14:paraId="62BE5D6D">
      <w:pPr>
        <w:pStyle w:val="8"/>
        <w:keepNext w:val="0"/>
        <w:keepLines w:val="0"/>
        <w:spacing w:before="0" w:after="0" w:line="360" w:lineRule="auto"/>
        <w:ind w:left="420" w:leftChars="200"/>
        <w:rPr>
          <w:rFonts w:ascii="宋体" w:hAnsi="宋体"/>
          <w:b w:val="0"/>
          <w:color w:val="auto"/>
          <w:sz w:val="21"/>
          <w:szCs w:val="21"/>
          <w:highlight w:val="none"/>
        </w:rPr>
      </w:pPr>
      <w:r>
        <w:rPr>
          <w:rFonts w:hint="eastAsia" w:ascii="宋体" w:hAnsi="宋体"/>
          <w:b w:val="0"/>
          <w:color w:val="auto"/>
          <w:sz w:val="21"/>
          <w:szCs w:val="21"/>
          <w:highlight w:val="none"/>
        </w:rPr>
        <w:t>17.3投标人的投标文件在投标有效期内均保持有效。</w:t>
      </w:r>
      <w:bookmarkEnd w:id="110"/>
      <w:bookmarkEnd w:id="111"/>
    </w:p>
    <w:p w14:paraId="16FD1AA7">
      <w:pPr>
        <w:pStyle w:val="8"/>
        <w:keepNext w:val="0"/>
        <w:keepLines w:val="0"/>
        <w:spacing w:before="0" w:after="0" w:line="360" w:lineRule="auto"/>
        <w:ind w:left="420" w:leftChars="200"/>
        <w:rPr>
          <w:rFonts w:ascii="黑体" w:hAnsi="黑体" w:eastAsia="黑体"/>
          <w:color w:val="auto"/>
          <w:sz w:val="24"/>
          <w:highlight w:val="none"/>
        </w:rPr>
      </w:pPr>
      <w:bookmarkStart w:id="112" w:name="_18.投标保证金"/>
      <w:bookmarkEnd w:id="112"/>
      <w:bookmarkStart w:id="113" w:name="_Toc254970682"/>
      <w:bookmarkStart w:id="114" w:name="_Toc254970541"/>
      <w:r>
        <w:rPr>
          <w:rFonts w:hint="eastAsia" w:ascii="黑体" w:hAnsi="黑体" w:eastAsia="黑体"/>
          <w:color w:val="auto"/>
          <w:sz w:val="24"/>
          <w:highlight w:val="none"/>
        </w:rPr>
        <w:t>18.投标保证金</w:t>
      </w:r>
      <w:bookmarkEnd w:id="113"/>
      <w:bookmarkEnd w:id="114"/>
    </w:p>
    <w:p w14:paraId="04D56B6A">
      <w:pPr>
        <w:pStyle w:val="8"/>
        <w:keepNext w:val="0"/>
        <w:keepLines w:val="0"/>
        <w:spacing w:before="0" w:after="0" w:line="360" w:lineRule="auto"/>
        <w:ind w:left="420" w:leftChars="200"/>
        <w:rPr>
          <w:rFonts w:ascii="宋体" w:hAnsi="宋体"/>
          <w:b w:val="0"/>
          <w:color w:val="auto"/>
          <w:sz w:val="21"/>
          <w:szCs w:val="21"/>
          <w:highlight w:val="none"/>
        </w:rPr>
      </w:pPr>
      <w:r>
        <w:rPr>
          <w:rFonts w:hint="eastAsia" w:ascii="宋体" w:hAnsi="宋体"/>
          <w:b w:val="0"/>
          <w:color w:val="auto"/>
          <w:sz w:val="21"/>
          <w:szCs w:val="21"/>
          <w:highlight w:val="none"/>
        </w:rPr>
        <w:t>18.1投标人须按“投标人须知前附表” 的规定提交投标保证金。</w:t>
      </w:r>
    </w:p>
    <w:p w14:paraId="0609B585">
      <w:pPr>
        <w:pStyle w:val="8"/>
        <w:keepNext w:val="0"/>
        <w:keepLines w:val="0"/>
        <w:spacing w:before="0" w:after="0" w:line="360" w:lineRule="auto"/>
        <w:ind w:firstLine="420" w:firstLineChars="200"/>
        <w:rPr>
          <w:rFonts w:ascii="宋体" w:hAnsi="宋体"/>
          <w:b w:val="0"/>
          <w:color w:val="auto"/>
          <w:sz w:val="21"/>
          <w:szCs w:val="21"/>
          <w:highlight w:val="none"/>
        </w:rPr>
      </w:pPr>
      <w:r>
        <w:rPr>
          <w:rFonts w:hint="eastAsia" w:ascii="宋体" w:hAnsi="宋体"/>
          <w:b w:val="0"/>
          <w:color w:val="auto"/>
          <w:sz w:val="21"/>
          <w:szCs w:val="21"/>
          <w:highlight w:val="none"/>
        </w:rPr>
        <w:t>18.2投标保证金的退还</w:t>
      </w:r>
    </w:p>
    <w:p w14:paraId="030E9164">
      <w:pPr>
        <w:pStyle w:val="8"/>
        <w:keepNext w:val="0"/>
        <w:keepLines w:val="0"/>
        <w:spacing w:before="0" w:after="0" w:line="360" w:lineRule="auto"/>
        <w:ind w:firstLine="420" w:firstLineChars="200"/>
        <w:rPr>
          <w:rFonts w:ascii="宋体" w:hAnsi="宋体"/>
          <w:b w:val="0"/>
          <w:color w:val="auto"/>
          <w:sz w:val="21"/>
          <w:szCs w:val="21"/>
          <w:highlight w:val="none"/>
        </w:rPr>
      </w:pPr>
      <w:r>
        <w:rPr>
          <w:rFonts w:hint="eastAsia" w:ascii="宋体" w:hAnsi="宋体"/>
          <w:b w:val="0"/>
          <w:color w:val="auto"/>
          <w:sz w:val="21"/>
          <w:szCs w:val="21"/>
          <w:highlight w:val="none"/>
        </w:rPr>
        <w:t xml:space="preserve">未中标人的投标保证金自中标通知书发出之日起4个工作日内退还；中标人的投标保证金自政府采购合同签订之日起4个工作日内退还。 </w:t>
      </w:r>
    </w:p>
    <w:p w14:paraId="51DA3459">
      <w:pPr>
        <w:pStyle w:val="8"/>
        <w:keepNext w:val="0"/>
        <w:keepLines w:val="0"/>
        <w:spacing w:before="0" w:after="0" w:line="360" w:lineRule="auto"/>
        <w:ind w:left="420" w:leftChars="200"/>
        <w:rPr>
          <w:rFonts w:ascii="宋体" w:hAnsi="宋体"/>
          <w:b w:val="0"/>
          <w:color w:val="auto"/>
          <w:sz w:val="21"/>
          <w:szCs w:val="21"/>
          <w:highlight w:val="none"/>
        </w:rPr>
      </w:pPr>
      <w:r>
        <w:rPr>
          <w:rFonts w:hint="eastAsia" w:ascii="宋体" w:hAnsi="宋体"/>
          <w:b w:val="0"/>
          <w:color w:val="auto"/>
          <w:sz w:val="21"/>
          <w:szCs w:val="21"/>
          <w:highlight w:val="none"/>
        </w:rPr>
        <w:t>18.3除逾期退还投标保证金和终止招标的情形以外，投标保证金不计息。</w:t>
      </w:r>
    </w:p>
    <w:p w14:paraId="3A166BD1">
      <w:pPr>
        <w:pStyle w:val="8"/>
        <w:keepNext w:val="0"/>
        <w:keepLines w:val="0"/>
        <w:spacing w:before="0" w:after="0" w:line="360" w:lineRule="auto"/>
        <w:ind w:left="420" w:leftChars="200"/>
        <w:rPr>
          <w:rFonts w:ascii="宋体" w:hAnsi="宋体"/>
          <w:b w:val="0"/>
          <w:color w:val="auto"/>
          <w:sz w:val="21"/>
          <w:szCs w:val="21"/>
          <w:highlight w:val="none"/>
        </w:rPr>
      </w:pPr>
      <w:r>
        <w:rPr>
          <w:rFonts w:hint="eastAsia" w:ascii="宋体" w:hAnsi="宋体"/>
          <w:b w:val="0"/>
          <w:color w:val="auto"/>
          <w:sz w:val="21"/>
          <w:szCs w:val="21"/>
          <w:highlight w:val="none"/>
        </w:rPr>
        <w:t xml:space="preserve">18.4投标人有下列情形之一的，投标保证金将不予退还： </w:t>
      </w:r>
    </w:p>
    <w:p w14:paraId="555B9FE0">
      <w:pPr>
        <w:snapToGrid w:val="0"/>
        <w:spacing w:line="360" w:lineRule="auto"/>
        <w:ind w:firstLine="411" w:firstLineChars="196"/>
        <w:jc w:val="left"/>
        <w:rPr>
          <w:rFonts w:ascii="宋体" w:hAnsi="宋体"/>
          <w:color w:val="auto"/>
          <w:szCs w:val="21"/>
          <w:highlight w:val="none"/>
        </w:rPr>
      </w:pPr>
      <w:r>
        <w:rPr>
          <w:rFonts w:hint="eastAsia" w:ascii="宋体" w:hAnsi="宋体"/>
          <w:color w:val="auto"/>
          <w:szCs w:val="21"/>
          <w:highlight w:val="none"/>
        </w:rPr>
        <w:t>（1）投标人在投标有效期内撤销投标文件的；</w:t>
      </w:r>
    </w:p>
    <w:p w14:paraId="1FFB4D55">
      <w:pPr>
        <w:snapToGrid w:val="0"/>
        <w:spacing w:line="360" w:lineRule="auto"/>
        <w:ind w:firstLine="411" w:firstLineChars="196"/>
        <w:jc w:val="left"/>
        <w:rPr>
          <w:rFonts w:ascii="宋体" w:hAnsi="宋体"/>
          <w:color w:val="auto"/>
          <w:szCs w:val="21"/>
          <w:highlight w:val="none"/>
        </w:rPr>
      </w:pPr>
      <w:r>
        <w:rPr>
          <w:rFonts w:hint="eastAsia" w:ascii="宋体" w:hAnsi="宋体"/>
          <w:color w:val="auto"/>
          <w:szCs w:val="21"/>
          <w:highlight w:val="none"/>
        </w:rPr>
        <w:t>（2）未按规定提交履约保证金的；</w:t>
      </w:r>
    </w:p>
    <w:p w14:paraId="49DD7D22">
      <w:pPr>
        <w:snapToGrid w:val="0"/>
        <w:spacing w:line="360" w:lineRule="auto"/>
        <w:ind w:firstLine="411" w:firstLineChars="196"/>
        <w:jc w:val="left"/>
        <w:rPr>
          <w:rFonts w:ascii="宋体" w:hAnsi="宋体"/>
          <w:color w:val="auto"/>
          <w:szCs w:val="21"/>
          <w:highlight w:val="none"/>
        </w:rPr>
      </w:pPr>
      <w:r>
        <w:rPr>
          <w:rFonts w:hint="eastAsia" w:ascii="宋体" w:hAnsi="宋体"/>
          <w:color w:val="auto"/>
          <w:szCs w:val="21"/>
          <w:highlight w:val="none"/>
        </w:rPr>
        <w:t>（3）投标人在投标过程中弄虚作假，提供虚假材料的；</w:t>
      </w:r>
    </w:p>
    <w:p w14:paraId="6DCC53C1">
      <w:pPr>
        <w:snapToGrid w:val="0"/>
        <w:spacing w:line="360" w:lineRule="auto"/>
        <w:ind w:firstLine="411" w:firstLineChars="196"/>
        <w:rPr>
          <w:rFonts w:ascii="宋体" w:hAnsi="宋体"/>
          <w:color w:val="auto"/>
          <w:szCs w:val="21"/>
          <w:highlight w:val="none"/>
        </w:rPr>
      </w:pPr>
      <w:r>
        <w:rPr>
          <w:rFonts w:hint="eastAsia" w:ascii="宋体" w:hAnsi="宋体"/>
          <w:color w:val="auto"/>
          <w:szCs w:val="21"/>
          <w:highlight w:val="none"/>
        </w:rPr>
        <w:t>（4）中标人无正当理由不与采购人签订合同的；</w:t>
      </w:r>
    </w:p>
    <w:p w14:paraId="2914311C">
      <w:pPr>
        <w:snapToGrid w:val="0"/>
        <w:spacing w:line="360" w:lineRule="auto"/>
        <w:ind w:firstLine="420" w:firstLineChars="200"/>
        <w:rPr>
          <w:rFonts w:ascii="宋体" w:hAnsi="宋体"/>
          <w:color w:val="auto"/>
          <w:szCs w:val="21"/>
          <w:highlight w:val="none"/>
        </w:rPr>
      </w:pPr>
      <w:bookmarkStart w:id="115" w:name="_Toc254970683"/>
      <w:bookmarkStart w:id="116" w:name="_Toc254970542"/>
      <w:r>
        <w:rPr>
          <w:rFonts w:hint="eastAsia" w:ascii="宋体" w:hAnsi="宋体"/>
          <w:color w:val="auto"/>
          <w:szCs w:val="21"/>
          <w:highlight w:val="none"/>
        </w:rPr>
        <w:t>（5）投标人出现本章第9.2、9.3情形的；</w:t>
      </w:r>
    </w:p>
    <w:p w14:paraId="7FD17782">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w:t>
      </w:r>
      <w:r>
        <w:rPr>
          <w:rFonts w:hint="eastAsia" w:ascii="宋体" w:hAnsi="宋体" w:cs="宋体"/>
          <w:color w:val="auto"/>
          <w:szCs w:val="21"/>
          <w:highlight w:val="none"/>
        </w:rPr>
        <w:t>法律法规规定的其他情形</w:t>
      </w:r>
      <w:r>
        <w:rPr>
          <w:rFonts w:hint="eastAsia" w:ascii="宋体" w:hAnsi="宋体"/>
          <w:color w:val="auto"/>
          <w:szCs w:val="21"/>
          <w:highlight w:val="none"/>
        </w:rPr>
        <w:t>。</w:t>
      </w:r>
    </w:p>
    <w:bookmarkEnd w:id="115"/>
    <w:bookmarkEnd w:id="116"/>
    <w:p w14:paraId="204827C6">
      <w:pPr>
        <w:pStyle w:val="8"/>
        <w:keepNext w:val="0"/>
        <w:keepLines w:val="0"/>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19.投标文件的编制</w:t>
      </w:r>
    </w:p>
    <w:p w14:paraId="489EA7D8">
      <w:pPr>
        <w:pStyle w:val="8"/>
        <w:keepNext w:val="0"/>
        <w:keepLines w:val="0"/>
        <w:spacing w:before="0" w:after="0" w:line="360" w:lineRule="auto"/>
        <w:ind w:firstLine="315" w:firstLineChars="150"/>
        <w:rPr>
          <w:rFonts w:ascii="宋体" w:hAnsi="宋体"/>
          <w:b w:val="0"/>
          <w:color w:val="auto"/>
          <w:sz w:val="21"/>
          <w:szCs w:val="21"/>
          <w:highlight w:val="none"/>
        </w:rPr>
      </w:pPr>
      <w:r>
        <w:rPr>
          <w:rFonts w:hint="eastAsia" w:ascii="宋体" w:hAnsi="宋体"/>
          <w:b w:val="0"/>
          <w:color w:val="auto"/>
          <w:sz w:val="21"/>
          <w:szCs w:val="21"/>
          <w:highlight w:val="none"/>
        </w:rPr>
        <w:t xml:space="preserve"> 19.1投标人应先安装“广西政府采购云平台新版客户端”（请自行前往</w:t>
      </w:r>
      <w:r>
        <w:rPr>
          <w:rFonts w:hint="eastAsia" w:ascii="宋体" w:hAnsi="宋体" w:cs="宋体"/>
          <w:color w:val="auto"/>
          <w:sz w:val="21"/>
          <w:szCs w:val="21"/>
          <w:highlight w:val="none"/>
        </w:rPr>
        <w:t>广西政府采购云平台</w:t>
      </w:r>
      <w:r>
        <w:rPr>
          <w:rFonts w:hint="eastAsia" w:ascii="宋体" w:hAnsi="宋体"/>
          <w:b w:val="0"/>
          <w:color w:val="auto"/>
          <w:sz w:val="21"/>
          <w:szCs w:val="21"/>
          <w:highlight w:val="none"/>
        </w:rPr>
        <w:t>进行下载），并按照本项目招标文件规定的格式和顺序和</w:t>
      </w:r>
      <w:r>
        <w:rPr>
          <w:rFonts w:hint="eastAsia" w:ascii="宋体" w:hAnsi="宋体" w:cs="宋体"/>
          <w:color w:val="auto"/>
          <w:sz w:val="21"/>
          <w:szCs w:val="21"/>
          <w:highlight w:val="none"/>
        </w:rPr>
        <w:t>广西政府采购云平台</w:t>
      </w:r>
      <w:r>
        <w:rPr>
          <w:rFonts w:hint="eastAsia" w:ascii="宋体" w:hAnsi="宋体"/>
          <w:b w:val="0"/>
          <w:color w:val="auto"/>
          <w:sz w:val="21"/>
          <w:szCs w:val="21"/>
          <w:highlight w:val="none"/>
        </w:rPr>
        <w:t>的要求编制并加密。投标文件内容不完整、编排混乱导致投标文件被误读、漏读或者查找不到相关内容的，由此引发的后果由投标人承担。</w:t>
      </w:r>
    </w:p>
    <w:p w14:paraId="0949BE3D">
      <w:pPr>
        <w:pStyle w:val="8"/>
        <w:keepNext w:val="0"/>
        <w:keepLines w:val="0"/>
        <w:spacing w:before="0" w:after="0" w:line="360" w:lineRule="auto"/>
        <w:ind w:firstLine="315" w:firstLineChars="150"/>
        <w:rPr>
          <w:rFonts w:ascii="宋体" w:hAnsi="宋体"/>
          <w:b w:val="0"/>
          <w:color w:val="auto"/>
          <w:sz w:val="21"/>
          <w:szCs w:val="21"/>
          <w:highlight w:val="none"/>
        </w:rPr>
      </w:pPr>
      <w:bookmarkStart w:id="117" w:name="_19.2投标文件应按报价文件、资格证明文件、商务文件、技术文件分别编制"/>
      <w:bookmarkEnd w:id="117"/>
      <w:r>
        <w:rPr>
          <w:rFonts w:hint="eastAsia" w:ascii="宋体" w:hAnsi="宋体"/>
          <w:b w:val="0"/>
          <w:color w:val="auto"/>
          <w:sz w:val="21"/>
          <w:szCs w:val="21"/>
          <w:highlight w:val="none"/>
        </w:rPr>
        <w:t xml:space="preserve"> 19.2为确保网上操作合法、有效和安全，投标人应当在投标截止时间前完成在</w:t>
      </w:r>
      <w:r>
        <w:rPr>
          <w:rFonts w:hint="eastAsia" w:ascii="宋体" w:hAnsi="宋体" w:cs="宋体"/>
          <w:color w:val="auto"/>
          <w:sz w:val="21"/>
          <w:szCs w:val="21"/>
          <w:highlight w:val="none"/>
        </w:rPr>
        <w:t>广西政府采购云平台</w:t>
      </w:r>
      <w:r>
        <w:rPr>
          <w:rFonts w:hint="eastAsia" w:ascii="宋体" w:hAnsi="宋体"/>
          <w:b w:val="0"/>
          <w:color w:val="auto"/>
          <w:sz w:val="21"/>
          <w:szCs w:val="21"/>
          <w:highlight w:val="none"/>
        </w:rPr>
        <w:t>的身份认证，确保在电子投标过程中能够对相关数据电文进行加密和使用电子签章。</w:t>
      </w:r>
    </w:p>
    <w:p w14:paraId="2F29BF75">
      <w:pPr>
        <w:pStyle w:val="8"/>
        <w:keepNext w:val="0"/>
        <w:keepLines w:val="0"/>
        <w:spacing w:before="0" w:after="0" w:line="360" w:lineRule="auto"/>
        <w:rPr>
          <w:rFonts w:ascii="宋体" w:hAnsi="宋体"/>
          <w:b w:val="0"/>
          <w:color w:val="auto"/>
          <w:sz w:val="21"/>
          <w:szCs w:val="21"/>
          <w:highlight w:val="none"/>
        </w:rPr>
      </w:pPr>
      <w:r>
        <w:rPr>
          <w:rFonts w:hint="eastAsia" w:ascii="宋体" w:hAnsi="宋体"/>
          <w:b w:val="0"/>
          <w:color w:val="auto"/>
          <w:sz w:val="21"/>
          <w:szCs w:val="21"/>
          <w:highlight w:val="none"/>
        </w:rPr>
        <w:t xml:space="preserve">   19.3投标文件须由投标人在规定位置签字（或者电子签名）、盖章（具体以投标人须知前附表或投标文件格式规定为准），</w:t>
      </w:r>
      <w:r>
        <w:rPr>
          <w:rFonts w:hint="eastAsia" w:ascii="宋体" w:hAnsi="宋体"/>
          <w:bCs/>
          <w:color w:val="auto"/>
          <w:sz w:val="21"/>
          <w:szCs w:val="21"/>
          <w:highlight w:val="none"/>
        </w:rPr>
        <w:t>否则按无效投标处理</w:t>
      </w:r>
      <w:r>
        <w:rPr>
          <w:rFonts w:hint="eastAsia" w:ascii="宋体" w:hAnsi="宋体"/>
          <w:b w:val="0"/>
          <w:color w:val="auto"/>
          <w:sz w:val="21"/>
          <w:szCs w:val="21"/>
          <w:highlight w:val="none"/>
        </w:rPr>
        <w:t>。</w:t>
      </w:r>
    </w:p>
    <w:p w14:paraId="4688FDE9">
      <w:pPr>
        <w:pStyle w:val="8"/>
        <w:keepNext w:val="0"/>
        <w:keepLines w:val="0"/>
        <w:spacing w:before="0" w:after="0" w:line="360" w:lineRule="auto"/>
        <w:ind w:firstLine="315" w:firstLineChars="150"/>
        <w:rPr>
          <w:rFonts w:ascii="宋体" w:hAnsi="宋体"/>
          <w:b w:val="0"/>
          <w:color w:val="auto"/>
          <w:sz w:val="21"/>
          <w:szCs w:val="21"/>
          <w:highlight w:val="none"/>
        </w:rPr>
      </w:pPr>
      <w:r>
        <w:rPr>
          <w:rFonts w:hint="eastAsia" w:ascii="宋体" w:hAnsi="宋体"/>
          <w:b w:val="0"/>
          <w:color w:val="auto"/>
          <w:sz w:val="21"/>
          <w:szCs w:val="21"/>
          <w:highlight w:val="none"/>
        </w:rPr>
        <w:t>19.4投标文件中标注的投标人名称应与主体资格证明（如营业执照或者事业单位法人证书或者执业许可证或者登记证书等）及公章一致，并与</w:t>
      </w:r>
      <w:r>
        <w:rPr>
          <w:rFonts w:hint="eastAsia" w:ascii="宋体" w:hAnsi="宋体" w:cs="宋体"/>
          <w:color w:val="auto"/>
          <w:sz w:val="21"/>
          <w:szCs w:val="21"/>
          <w:highlight w:val="none"/>
        </w:rPr>
        <w:t>广西政府采购云平台</w:t>
      </w:r>
      <w:r>
        <w:rPr>
          <w:rFonts w:hint="eastAsia" w:ascii="宋体" w:hAnsi="宋体"/>
          <w:b w:val="0"/>
          <w:color w:val="auto"/>
          <w:sz w:val="21"/>
          <w:szCs w:val="21"/>
          <w:highlight w:val="none"/>
        </w:rPr>
        <w:t>中获取招标文件的投标人名称一致，投标人为自然人的，标注的投标人名称应与身份证姓名及签名一致，</w:t>
      </w:r>
      <w:r>
        <w:rPr>
          <w:rFonts w:hint="eastAsia" w:ascii="宋体" w:hAnsi="宋体"/>
          <w:color w:val="auto"/>
          <w:sz w:val="21"/>
          <w:szCs w:val="21"/>
          <w:highlight w:val="none"/>
        </w:rPr>
        <w:t>否则按无效投标处理</w:t>
      </w:r>
      <w:r>
        <w:rPr>
          <w:rFonts w:hint="eastAsia" w:ascii="宋体" w:hAnsi="宋体"/>
          <w:b w:val="0"/>
          <w:color w:val="auto"/>
          <w:sz w:val="21"/>
          <w:szCs w:val="21"/>
          <w:highlight w:val="none"/>
        </w:rPr>
        <w:t>。</w:t>
      </w:r>
    </w:p>
    <w:p w14:paraId="1B40734C">
      <w:pPr>
        <w:pStyle w:val="8"/>
        <w:keepNext w:val="0"/>
        <w:keepLines w:val="0"/>
        <w:spacing w:before="0" w:after="0" w:line="360" w:lineRule="auto"/>
        <w:ind w:firstLine="315" w:firstLineChars="150"/>
        <w:rPr>
          <w:rFonts w:ascii="宋体" w:hAnsi="宋体"/>
          <w:b w:val="0"/>
          <w:color w:val="auto"/>
          <w:sz w:val="21"/>
          <w:szCs w:val="21"/>
          <w:highlight w:val="none"/>
        </w:rPr>
      </w:pPr>
      <w:r>
        <w:rPr>
          <w:rFonts w:hint="eastAsia" w:ascii="宋体" w:hAnsi="宋体"/>
          <w:b w:val="0"/>
          <w:color w:val="auto"/>
          <w:sz w:val="21"/>
          <w:szCs w:val="21"/>
          <w:highlight w:val="none"/>
        </w:rPr>
        <w:t xml:space="preserve"> 19.5投标文件应尽量避免涂改、行间插字或者删除。如果出现上述情况，改动之处应由投标人的法定代表人或者其委托代理人签字（或者电子签名）或者加盖公章或者加盖电子签章。投标文件因字迹潦草或者表达不清所引起的后果由投标人承担。</w:t>
      </w:r>
    </w:p>
    <w:p w14:paraId="1A9F4EC5">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20.电子备份投标文件</w:t>
      </w:r>
    </w:p>
    <w:p w14:paraId="44D2689F">
      <w:pPr>
        <w:spacing w:line="360" w:lineRule="auto"/>
        <w:ind w:firstLine="420" w:firstLineChars="200"/>
        <w:rPr>
          <w:rFonts w:ascii="黑体" w:hAnsi="黑体" w:eastAsia="黑体"/>
          <w:color w:val="auto"/>
          <w:sz w:val="24"/>
          <w:highlight w:val="none"/>
        </w:rPr>
      </w:pPr>
      <w:r>
        <w:rPr>
          <w:rFonts w:hint="eastAsia"/>
          <w:color w:val="auto"/>
          <w:highlight w:val="none"/>
        </w:rPr>
        <w:t>电子备份投标文件是指通过“</w:t>
      </w:r>
      <w:r>
        <w:rPr>
          <w:rFonts w:hint="eastAsia" w:ascii="宋体" w:hAnsi="宋体"/>
          <w:color w:val="auto"/>
          <w:szCs w:val="21"/>
          <w:highlight w:val="none"/>
        </w:rPr>
        <w:t>广西政府采购云平台新版客户端</w:t>
      </w:r>
      <w:r>
        <w:rPr>
          <w:rFonts w:hint="eastAsia"/>
          <w:color w:val="auto"/>
          <w:highlight w:val="none"/>
        </w:rPr>
        <w:t>”在线编制生成且后缀名为“</w:t>
      </w:r>
      <w:r>
        <w:rPr>
          <w:color w:val="auto"/>
          <w:highlight w:val="none"/>
        </w:rPr>
        <w:t>bfbs</w:t>
      </w:r>
      <w:r>
        <w:rPr>
          <w:rFonts w:hint="eastAsia"/>
          <w:color w:val="auto"/>
          <w:highlight w:val="none"/>
        </w:rPr>
        <w:t>”的文件，是否接受电子备份投标文件</w:t>
      </w:r>
      <w:r>
        <w:rPr>
          <w:rFonts w:hint="eastAsia" w:hAnsi="宋体"/>
          <w:bCs/>
          <w:color w:val="auto"/>
          <w:szCs w:val="21"/>
          <w:highlight w:val="none"/>
        </w:rPr>
        <w:t>详见在“投标人须知前附表”。</w:t>
      </w:r>
    </w:p>
    <w:p w14:paraId="50CD68F7">
      <w:pPr>
        <w:pStyle w:val="8"/>
        <w:keepNext w:val="0"/>
        <w:keepLines w:val="0"/>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21.投标文件的提交</w:t>
      </w:r>
    </w:p>
    <w:p w14:paraId="370CF07E">
      <w:pPr>
        <w:spacing w:line="360" w:lineRule="auto"/>
        <w:ind w:firstLine="420" w:firstLineChars="200"/>
        <w:rPr>
          <w:rFonts w:hAnsi="宋体"/>
          <w:b/>
          <w:color w:val="auto"/>
          <w:highlight w:val="none"/>
        </w:rPr>
      </w:pPr>
      <w:bookmarkStart w:id="118" w:name="_21.1投标人必须在“投标人须知中的前附表”规定的投标文件接收时间和投"/>
      <w:bookmarkEnd w:id="118"/>
      <w:r>
        <w:rPr>
          <w:rFonts w:hint="eastAsia" w:hAnsi="宋体"/>
          <w:bCs/>
          <w:color w:val="auto"/>
          <w:szCs w:val="21"/>
          <w:highlight w:val="none"/>
        </w:rPr>
        <w:t>21.1投标人必须在“投标人须知前附表”规定的</w:t>
      </w:r>
      <w:r>
        <w:rPr>
          <w:rFonts w:hint="eastAsia" w:ascii="宋体" w:hAnsi="宋体"/>
          <w:color w:val="auto"/>
          <w:szCs w:val="21"/>
          <w:highlight w:val="none"/>
        </w:rPr>
        <w:t>投标文件提交截止时间前将</w:t>
      </w:r>
      <w:r>
        <w:rPr>
          <w:rFonts w:hint="eastAsia" w:hAnsi="宋体"/>
          <w:bCs/>
          <w:color w:val="auto"/>
          <w:szCs w:val="21"/>
          <w:highlight w:val="none"/>
        </w:rPr>
        <w:t>电子投标文件提交至投标地点。电子投标文件应在制作完成后，</w:t>
      </w:r>
      <w:r>
        <w:rPr>
          <w:rFonts w:hAnsi="宋体"/>
          <w:bCs/>
          <w:color w:val="auto"/>
          <w:szCs w:val="21"/>
          <w:highlight w:val="none"/>
        </w:rPr>
        <w:t>在投标截止时间前</w:t>
      </w:r>
      <w:r>
        <w:rPr>
          <w:rFonts w:hint="eastAsia" w:hAnsi="宋体"/>
          <w:bCs/>
          <w:color w:val="auto"/>
          <w:szCs w:val="21"/>
          <w:highlight w:val="none"/>
        </w:rPr>
        <w:t>通过有效数字证书（CA认证锁）进行电子签章、加密，然后通过网络将加密的电子投标文件递交至</w:t>
      </w:r>
      <w:r>
        <w:rPr>
          <w:rFonts w:hint="eastAsia" w:ascii="宋体" w:hAnsi="宋体" w:cs="宋体"/>
          <w:color w:val="auto"/>
          <w:szCs w:val="21"/>
          <w:highlight w:val="none"/>
        </w:rPr>
        <w:t>广西政府采购云平台</w:t>
      </w:r>
      <w:r>
        <w:rPr>
          <w:rFonts w:hint="eastAsia" w:hAnsi="宋体"/>
          <w:bCs/>
          <w:color w:val="auto"/>
          <w:szCs w:val="21"/>
          <w:highlight w:val="none"/>
        </w:rPr>
        <w:t xml:space="preserve">。 </w:t>
      </w:r>
    </w:p>
    <w:p w14:paraId="1BEC56A6">
      <w:pPr>
        <w:spacing w:line="360" w:lineRule="auto"/>
        <w:ind w:firstLine="422" w:firstLineChars="200"/>
        <w:rPr>
          <w:rFonts w:ascii="宋体" w:hAnsi="宋体"/>
          <w:b/>
          <w:color w:val="auto"/>
          <w:szCs w:val="20"/>
          <w:highlight w:val="none"/>
        </w:rPr>
      </w:pPr>
      <w:r>
        <w:rPr>
          <w:rFonts w:hint="eastAsia" w:ascii="宋体" w:hAnsi="宋体"/>
          <w:b/>
          <w:color w:val="auto"/>
          <w:szCs w:val="21"/>
          <w:highlight w:val="none"/>
        </w:rPr>
        <w:t>21.</w:t>
      </w:r>
      <w:r>
        <w:rPr>
          <w:rFonts w:ascii="宋体" w:hAnsi="宋体"/>
          <w:b/>
          <w:color w:val="auto"/>
          <w:szCs w:val="21"/>
          <w:highlight w:val="none"/>
        </w:rPr>
        <w:t>2</w:t>
      </w:r>
      <w:r>
        <w:rPr>
          <w:rFonts w:hint="eastAsia" w:ascii="宋体" w:hAnsi="宋体"/>
          <w:b/>
          <w:color w:val="auto"/>
          <w:szCs w:val="21"/>
          <w:highlight w:val="none"/>
        </w:rPr>
        <w:t>未在规定时间内提交或者未按照招标文件要求加密的电子投标文件，</w:t>
      </w:r>
      <w:r>
        <w:rPr>
          <w:rFonts w:hint="eastAsia" w:ascii="宋体" w:hAnsi="宋体" w:cs="宋体"/>
          <w:color w:val="auto"/>
          <w:szCs w:val="21"/>
          <w:highlight w:val="none"/>
        </w:rPr>
        <w:t>广西政府采购云平台</w:t>
      </w:r>
      <w:r>
        <w:rPr>
          <w:rFonts w:hint="eastAsia" w:ascii="宋体" w:hAnsi="宋体"/>
          <w:b/>
          <w:color w:val="auto"/>
          <w:szCs w:val="21"/>
          <w:highlight w:val="none"/>
        </w:rPr>
        <w:t>将拒收。</w:t>
      </w:r>
    </w:p>
    <w:p w14:paraId="1087C811">
      <w:pPr>
        <w:pStyle w:val="8"/>
        <w:keepNext w:val="0"/>
        <w:keepLines w:val="0"/>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22. 投标文件的补充、修改、撤回与退回</w:t>
      </w:r>
    </w:p>
    <w:p w14:paraId="032D41CB">
      <w:pPr>
        <w:snapToGrid w:val="0"/>
        <w:spacing w:line="360" w:lineRule="auto"/>
        <w:ind w:firstLine="420"/>
        <w:jc w:val="left"/>
        <w:rPr>
          <w:rFonts w:ascii="宋体" w:hAnsi="宋体"/>
          <w:color w:val="auto"/>
          <w:szCs w:val="21"/>
          <w:highlight w:val="none"/>
        </w:rPr>
      </w:pPr>
      <w:bookmarkStart w:id="119" w:name="_Toc254970543"/>
      <w:bookmarkStart w:id="120" w:name="_Toc254970684"/>
      <w:r>
        <w:rPr>
          <w:rFonts w:ascii="宋体" w:hAnsi="宋体" w:cs="宋体"/>
          <w:color w:val="auto"/>
          <w:szCs w:val="21"/>
          <w:highlight w:val="none"/>
        </w:rPr>
        <w:t>22</w:t>
      </w:r>
      <w:r>
        <w:rPr>
          <w:rFonts w:hint="eastAsia" w:ascii="宋体" w:hAnsi="宋体" w:cs="宋体"/>
          <w:color w:val="auto"/>
          <w:szCs w:val="21"/>
          <w:highlight w:val="none"/>
        </w:rPr>
        <w:t>.1</w:t>
      </w:r>
      <w:r>
        <w:rPr>
          <w:rFonts w:hint="eastAsia" w:ascii="宋体" w:hAnsi="宋体"/>
          <w:bCs/>
          <w:color w:val="auto"/>
          <w:szCs w:val="21"/>
          <w:highlight w:val="none"/>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w:t>
      </w:r>
      <w:r>
        <w:rPr>
          <w:rFonts w:hint="eastAsia" w:ascii="宋体" w:hAnsi="宋体" w:cs="宋体"/>
          <w:color w:val="auto"/>
          <w:szCs w:val="21"/>
          <w:highlight w:val="none"/>
        </w:rPr>
        <w:t>广西政府采购云平台</w:t>
      </w:r>
      <w:r>
        <w:rPr>
          <w:rFonts w:hint="eastAsia" w:ascii="宋体" w:hAnsi="宋体"/>
          <w:bCs/>
          <w:color w:val="auto"/>
          <w:szCs w:val="21"/>
          <w:highlight w:val="none"/>
        </w:rPr>
        <w:t>将予以拒收。</w:t>
      </w:r>
      <w:r>
        <w:rPr>
          <w:rFonts w:hint="eastAsia" w:ascii="宋体" w:hAnsi="宋体" w:cs="宋体"/>
          <w:color w:val="auto"/>
          <w:szCs w:val="21"/>
          <w:highlight w:val="none"/>
        </w:rPr>
        <w:t>（补充、修改或者撤回方式可</w:t>
      </w:r>
      <w:r>
        <w:rPr>
          <w:rFonts w:hint="eastAsia" w:ascii="宋体" w:hAnsi="宋体"/>
          <w:color w:val="auto"/>
          <w:szCs w:val="21"/>
          <w:highlight w:val="none"/>
        </w:rPr>
        <w:t>登录</w:t>
      </w:r>
      <w:r>
        <w:rPr>
          <w:rFonts w:hint="eastAsia" w:ascii="宋体" w:hAnsi="宋体" w:cs="宋体"/>
          <w:color w:val="auto"/>
          <w:szCs w:val="21"/>
          <w:highlight w:val="none"/>
        </w:rPr>
        <w:t>广西政府采购云平台</w:t>
      </w:r>
      <w:r>
        <w:rPr>
          <w:rFonts w:hint="eastAsia" w:ascii="宋体" w:hAnsi="宋体" w:cs="宋体"/>
          <w:color w:val="auto"/>
          <w:kern w:val="0"/>
          <w:szCs w:val="21"/>
          <w:highlight w:val="none"/>
        </w:rPr>
        <w:t>，</w:t>
      </w:r>
      <w:r>
        <w:rPr>
          <w:rFonts w:hint="eastAsia" w:ascii="宋体" w:hAnsi="宋体"/>
          <w:color w:val="auto"/>
          <w:szCs w:val="21"/>
          <w:highlight w:val="none"/>
        </w:rPr>
        <w:t>依次进入“服务中心”中查看</w:t>
      </w:r>
      <w:r>
        <w:rPr>
          <w:rFonts w:hint="eastAsia" w:ascii="宋体" w:hAnsi="宋体" w:cs="宋体"/>
          <w:color w:val="auto"/>
          <w:szCs w:val="21"/>
          <w:highlight w:val="none"/>
        </w:rPr>
        <w:t xml:space="preserve"> “电子投标文件制作与投送教程”）</w:t>
      </w:r>
    </w:p>
    <w:bookmarkEnd w:id="119"/>
    <w:bookmarkEnd w:id="120"/>
    <w:p w14:paraId="7D698CDA">
      <w:pPr>
        <w:pStyle w:val="116"/>
        <w:spacing w:before="0"/>
        <w:ind w:firstLine="420"/>
        <w:rPr>
          <w:rFonts w:ascii="宋体" w:hAnsi="宋体" w:cs="宋体"/>
          <w:color w:val="auto"/>
          <w:sz w:val="21"/>
          <w:szCs w:val="21"/>
          <w:highlight w:val="none"/>
        </w:rPr>
      </w:pPr>
      <w:r>
        <w:rPr>
          <w:rFonts w:ascii="宋体" w:hAnsi="宋体" w:cs="宋体"/>
          <w:color w:val="auto"/>
          <w:sz w:val="21"/>
          <w:szCs w:val="21"/>
          <w:highlight w:val="none"/>
        </w:rPr>
        <w:t>22.</w:t>
      </w:r>
      <w:r>
        <w:rPr>
          <w:rFonts w:hint="eastAsia" w:ascii="宋体" w:hAnsi="宋体" w:cs="宋体"/>
          <w:color w:val="auto"/>
          <w:sz w:val="21"/>
          <w:szCs w:val="21"/>
          <w:highlight w:val="none"/>
        </w:rPr>
        <w:t>2广西政府采购云平台收到投标文件后向供应商发出确认回执通知。在投标截止时间前，除供应商补充、修改或者撤回投标文件外，任何单位和个人不得解密或提取投标文件。</w:t>
      </w:r>
    </w:p>
    <w:p w14:paraId="08CAE4B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w:t>
      </w:r>
      <w:r>
        <w:rPr>
          <w:rFonts w:ascii="宋体" w:hAnsi="宋体" w:cs="宋体"/>
          <w:color w:val="auto"/>
          <w:szCs w:val="21"/>
          <w:highlight w:val="none"/>
        </w:rPr>
        <w:t>3</w:t>
      </w:r>
      <w:r>
        <w:rPr>
          <w:rFonts w:hint="eastAsia" w:ascii="宋体" w:hAnsi="宋体" w:cs="宋体"/>
          <w:color w:val="auto"/>
          <w:szCs w:val="21"/>
          <w:highlight w:val="none"/>
        </w:rPr>
        <w:t>在投标截止时间后，采购人和采购代理机构对已提交的投标文件概不退回。</w:t>
      </w:r>
    </w:p>
    <w:p w14:paraId="3B5985ED">
      <w:pPr>
        <w:pStyle w:val="6"/>
        <w:keepNext w:val="0"/>
        <w:keepLines w:val="0"/>
        <w:jc w:val="center"/>
        <w:rPr>
          <w:color w:val="auto"/>
          <w:highlight w:val="none"/>
        </w:rPr>
      </w:pPr>
      <w:bookmarkStart w:id="121" w:name="_Toc254970544"/>
      <w:bookmarkStart w:id="122" w:name="_Toc254970685"/>
      <w:r>
        <w:rPr>
          <w:rFonts w:hint="eastAsia"/>
          <w:color w:val="auto"/>
          <w:highlight w:val="none"/>
        </w:rPr>
        <w:t>四、开    标</w:t>
      </w:r>
      <w:bookmarkEnd w:id="121"/>
      <w:bookmarkEnd w:id="122"/>
    </w:p>
    <w:p w14:paraId="20CD256D">
      <w:pPr>
        <w:pStyle w:val="8"/>
        <w:keepNext w:val="0"/>
        <w:keepLines w:val="0"/>
        <w:spacing w:before="0" w:after="0" w:line="360" w:lineRule="auto"/>
        <w:ind w:left="420" w:leftChars="200"/>
        <w:rPr>
          <w:rFonts w:ascii="黑体" w:hAnsi="黑体" w:eastAsia="黑体"/>
          <w:color w:val="auto"/>
          <w:sz w:val="24"/>
          <w:highlight w:val="none"/>
        </w:rPr>
      </w:pPr>
      <w:bookmarkStart w:id="123" w:name="_23.开标时间和地点"/>
      <w:bookmarkEnd w:id="123"/>
      <w:r>
        <w:rPr>
          <w:rFonts w:hint="eastAsia" w:ascii="黑体" w:hAnsi="黑体" w:eastAsia="黑体"/>
          <w:color w:val="auto"/>
          <w:sz w:val="24"/>
          <w:highlight w:val="none"/>
        </w:rPr>
        <w:t>23.开标时间和地点</w:t>
      </w:r>
    </w:p>
    <w:p w14:paraId="227BD902">
      <w:pPr>
        <w:spacing w:line="360" w:lineRule="auto"/>
        <w:ind w:firstLine="420" w:firstLineChars="200"/>
        <w:rPr>
          <w:rFonts w:hAnsi="宋体"/>
          <w:bCs/>
          <w:color w:val="auto"/>
          <w:highlight w:val="none"/>
        </w:rPr>
      </w:pPr>
      <w:r>
        <w:rPr>
          <w:rFonts w:hint="eastAsia" w:hAnsi="宋体"/>
          <w:bCs/>
          <w:color w:val="auto"/>
          <w:highlight w:val="none"/>
        </w:rPr>
        <w:t>开标时间及地点详见“投标人须知前附表”</w:t>
      </w:r>
    </w:p>
    <w:p w14:paraId="6B16391C">
      <w:pPr>
        <w:pStyle w:val="8"/>
        <w:keepNext w:val="0"/>
        <w:keepLines w:val="0"/>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24.开标程序</w:t>
      </w:r>
    </w:p>
    <w:p w14:paraId="0383E176">
      <w:pPr>
        <w:pStyle w:val="9"/>
        <w:spacing w:line="360" w:lineRule="auto"/>
        <w:rPr>
          <w:color w:val="auto"/>
          <w:highlight w:val="none"/>
        </w:rPr>
      </w:pPr>
      <w:r>
        <w:rPr>
          <w:rFonts w:hint="eastAsia"/>
          <w:color w:val="auto"/>
          <w:highlight w:val="none"/>
        </w:rPr>
        <w:t>2</w:t>
      </w:r>
      <w:r>
        <w:rPr>
          <w:color w:val="auto"/>
          <w:highlight w:val="none"/>
        </w:rPr>
        <w:t>4.1</w:t>
      </w:r>
      <w:r>
        <w:rPr>
          <w:rFonts w:hint="eastAsia"/>
          <w:color w:val="auto"/>
          <w:highlight w:val="none"/>
        </w:rPr>
        <w:t>提交投标文件截止时间止，投标人不足3家的，不得开标。</w:t>
      </w:r>
    </w:p>
    <w:p w14:paraId="29B42B00">
      <w:pPr>
        <w:pStyle w:val="9"/>
        <w:spacing w:line="360" w:lineRule="auto"/>
        <w:rPr>
          <w:color w:val="auto"/>
          <w:highlight w:val="none"/>
        </w:rPr>
      </w:pPr>
      <w:r>
        <w:rPr>
          <w:rFonts w:hint="eastAsia"/>
          <w:color w:val="auto"/>
          <w:highlight w:val="none"/>
        </w:rPr>
        <w:t>24.</w:t>
      </w:r>
      <w:r>
        <w:rPr>
          <w:color w:val="auto"/>
          <w:highlight w:val="none"/>
        </w:rPr>
        <w:t>2</w:t>
      </w:r>
      <w:r>
        <w:rPr>
          <w:rFonts w:hint="eastAsia"/>
          <w:color w:val="auto"/>
          <w:highlight w:val="none"/>
        </w:rPr>
        <w:t>采购代理机构将按照招标文件规定的时间通过</w:t>
      </w:r>
      <w:r>
        <w:rPr>
          <w:rFonts w:hint="eastAsia" w:ascii="宋体" w:hAnsi="宋体" w:cs="宋体"/>
          <w:color w:val="auto"/>
          <w:szCs w:val="21"/>
          <w:highlight w:val="none"/>
        </w:rPr>
        <w:t>广西政府采购云平台</w:t>
      </w:r>
      <w:r>
        <w:rPr>
          <w:rFonts w:hint="eastAsia"/>
          <w:color w:val="auto"/>
          <w:highlight w:val="none"/>
        </w:rPr>
        <w:t>组织线上开标活动，所有供应商均应当准时在线参加，投标人因未在线参加开标而导致投标文件无法按时解密等一切后果由投标人自己承担。</w:t>
      </w:r>
    </w:p>
    <w:p w14:paraId="62313224">
      <w:pPr>
        <w:pStyle w:val="9"/>
        <w:spacing w:line="360" w:lineRule="auto"/>
        <w:rPr>
          <w:color w:val="auto"/>
          <w:highlight w:val="none"/>
        </w:rPr>
      </w:pPr>
      <w:r>
        <w:rPr>
          <w:rFonts w:hint="eastAsia"/>
          <w:color w:val="auto"/>
          <w:highlight w:val="none"/>
        </w:rPr>
        <w:t>24.</w:t>
      </w:r>
      <w:r>
        <w:rPr>
          <w:color w:val="auto"/>
          <w:highlight w:val="none"/>
        </w:rPr>
        <w:t>3</w:t>
      </w:r>
      <w:r>
        <w:rPr>
          <w:rFonts w:hint="eastAsia"/>
          <w:color w:val="auto"/>
          <w:highlight w:val="none"/>
        </w:rPr>
        <w:t>开标程序</w:t>
      </w:r>
    </w:p>
    <w:p w14:paraId="3BBF00CF">
      <w:pPr>
        <w:pStyle w:val="9"/>
        <w:spacing w:line="360" w:lineRule="auto"/>
        <w:rPr>
          <w:color w:val="auto"/>
          <w:highlight w:val="none"/>
        </w:rPr>
      </w:pPr>
      <w:r>
        <w:rPr>
          <w:rFonts w:hint="eastAsia"/>
          <w:color w:val="auto"/>
          <w:highlight w:val="none"/>
        </w:rPr>
        <w:t>（1）解密电子投标文件。</w:t>
      </w:r>
      <w:r>
        <w:rPr>
          <w:rFonts w:hint="eastAsia" w:ascii="宋体" w:hAnsi="宋体" w:cs="宋体"/>
          <w:color w:val="auto"/>
          <w:szCs w:val="21"/>
          <w:highlight w:val="none"/>
        </w:rPr>
        <w:t>广西政府采购云平台</w:t>
      </w:r>
      <w:r>
        <w:rPr>
          <w:rFonts w:hint="eastAsia"/>
          <w:color w:val="auto"/>
          <w:highlight w:val="none"/>
        </w:rPr>
        <w:t>按开标时间自动提取所有投标文件。采购代理机构依托</w:t>
      </w:r>
      <w:r>
        <w:rPr>
          <w:rFonts w:hint="eastAsia" w:ascii="宋体" w:hAnsi="宋体" w:cs="宋体"/>
          <w:color w:val="auto"/>
          <w:szCs w:val="21"/>
          <w:highlight w:val="none"/>
        </w:rPr>
        <w:t>广西政府采购云平台</w:t>
      </w:r>
      <w:r>
        <w:rPr>
          <w:rFonts w:hint="eastAsia"/>
          <w:color w:val="auto"/>
          <w:highlight w:val="none"/>
        </w:rPr>
        <w:t>向各投标人发出电子加密投标文件【开始解密】通知，由投标人按</w:t>
      </w:r>
      <w:r>
        <w:rPr>
          <w:rFonts w:hint="eastAsia" w:hAnsi="宋体"/>
          <w:bCs/>
          <w:color w:val="auto"/>
          <w:szCs w:val="21"/>
          <w:highlight w:val="none"/>
        </w:rPr>
        <w:t>“投标人须知前附表”</w:t>
      </w:r>
      <w:r>
        <w:rPr>
          <w:rFonts w:hint="eastAsia"/>
          <w:color w:val="auto"/>
          <w:highlight w:val="none"/>
        </w:rPr>
        <w:t>规定的时间内自行进行投标文件解密。投标人的法定代表人或其委托代理人须凭加密时所用的CA锁准时登录到</w:t>
      </w:r>
      <w:r>
        <w:rPr>
          <w:rFonts w:hint="eastAsia" w:ascii="宋体" w:hAnsi="宋体" w:cs="宋体"/>
          <w:color w:val="auto"/>
          <w:szCs w:val="21"/>
          <w:highlight w:val="none"/>
        </w:rPr>
        <w:t>广西政府采购云平台</w:t>
      </w:r>
      <w:r>
        <w:rPr>
          <w:rFonts w:hint="eastAsia"/>
          <w:color w:val="auto"/>
          <w:highlight w:val="none"/>
        </w:rPr>
        <w:t>电子开标大厅签到并对电子投标文件解密。</w:t>
      </w:r>
      <w:r>
        <w:rPr>
          <w:b/>
          <w:color w:val="auto"/>
          <w:highlight w:val="none"/>
        </w:rPr>
        <w:t>投标人</w:t>
      </w:r>
      <w:r>
        <w:rPr>
          <w:rFonts w:hint="eastAsia"/>
          <w:b/>
          <w:color w:val="auto"/>
          <w:highlight w:val="none"/>
        </w:rPr>
        <w:t>未在</w:t>
      </w:r>
      <w:r>
        <w:rPr>
          <w:b/>
          <w:color w:val="auto"/>
          <w:highlight w:val="none"/>
        </w:rPr>
        <w:t>规定的时间内解密</w:t>
      </w:r>
      <w:r>
        <w:rPr>
          <w:rFonts w:hint="eastAsia"/>
          <w:b/>
          <w:color w:val="auto"/>
          <w:highlight w:val="none"/>
        </w:rPr>
        <w:t>投标文件</w:t>
      </w:r>
      <w:r>
        <w:rPr>
          <w:b/>
          <w:color w:val="auto"/>
          <w:highlight w:val="none"/>
        </w:rPr>
        <w:t>或</w:t>
      </w:r>
      <w:r>
        <w:rPr>
          <w:rFonts w:hint="eastAsia"/>
          <w:b/>
          <w:color w:val="auto"/>
          <w:highlight w:val="none"/>
        </w:rPr>
        <w:t>者</w:t>
      </w:r>
      <w:r>
        <w:rPr>
          <w:b/>
          <w:color w:val="auto"/>
          <w:highlight w:val="none"/>
        </w:rPr>
        <w:t>解密失败的</w:t>
      </w:r>
      <w:r>
        <w:rPr>
          <w:rFonts w:hint="eastAsia"/>
          <w:b/>
          <w:color w:val="auto"/>
          <w:highlight w:val="none"/>
        </w:rPr>
        <w:t>，</w:t>
      </w:r>
      <w:r>
        <w:rPr>
          <w:rFonts w:hint="eastAsia" w:ascii="宋体" w:hAnsi="宋体"/>
          <w:b/>
          <w:color w:val="auto"/>
          <w:szCs w:val="21"/>
          <w:highlight w:val="none"/>
        </w:rPr>
        <w:t>投标人的投标文件作无效处理</w:t>
      </w:r>
      <w:r>
        <w:rPr>
          <w:b/>
          <w:color w:val="auto"/>
          <w:highlight w:val="none"/>
        </w:rPr>
        <w:t>。</w:t>
      </w:r>
    </w:p>
    <w:p w14:paraId="5900360E">
      <w:pPr>
        <w:pStyle w:val="9"/>
        <w:spacing w:line="360" w:lineRule="auto"/>
        <w:rPr>
          <w:color w:val="auto"/>
          <w:highlight w:val="none"/>
        </w:rPr>
      </w:pPr>
      <w:r>
        <w:rPr>
          <w:rFonts w:hint="eastAsia"/>
          <w:color w:val="auto"/>
          <w:highlight w:val="none"/>
        </w:rPr>
        <w:t>（2）电子唱标。投标文件解密结束，宣布的内容均在</w:t>
      </w:r>
      <w:r>
        <w:rPr>
          <w:rFonts w:hint="eastAsia" w:ascii="宋体" w:hAnsi="宋体" w:cs="宋体"/>
          <w:color w:val="auto"/>
          <w:szCs w:val="21"/>
          <w:highlight w:val="none"/>
        </w:rPr>
        <w:t>广西政府采购云平台</w:t>
      </w:r>
      <w:r>
        <w:rPr>
          <w:rFonts w:hint="eastAsia"/>
          <w:color w:val="auto"/>
          <w:highlight w:val="none"/>
        </w:rPr>
        <w:t>远程开标大厅展示，具体详见</w:t>
      </w:r>
      <w:r>
        <w:rPr>
          <w:rFonts w:hint="eastAsia" w:hAnsi="宋体"/>
          <w:bCs/>
          <w:color w:val="auto"/>
          <w:highlight w:val="none"/>
        </w:rPr>
        <w:t>“投标人须知前附表”</w:t>
      </w:r>
      <w:r>
        <w:rPr>
          <w:rFonts w:hint="eastAsia"/>
          <w:color w:val="auto"/>
          <w:highlight w:val="none"/>
        </w:rPr>
        <w:t>；</w:t>
      </w:r>
    </w:p>
    <w:p w14:paraId="54C74E74">
      <w:pPr>
        <w:pStyle w:val="9"/>
        <w:spacing w:line="360" w:lineRule="auto"/>
        <w:rPr>
          <w:color w:val="auto"/>
          <w:highlight w:val="none"/>
        </w:rPr>
      </w:pPr>
      <w:r>
        <w:rPr>
          <w:rFonts w:hint="eastAsia"/>
          <w:color w:val="auto"/>
          <w:highlight w:val="none"/>
        </w:rPr>
        <w:t>（3）开标过程由采购代理机构如实记录，并电子留痕，由参加电子开标的各投标人代表对电子开标记录在开标记录公布后15分钟内进行当场校核及勘误，并线上确认是否有异议，未确认的视同认可开标结果。</w:t>
      </w:r>
    </w:p>
    <w:p w14:paraId="3F1F8184">
      <w:pPr>
        <w:pStyle w:val="9"/>
        <w:spacing w:line="360" w:lineRule="auto"/>
        <w:rPr>
          <w:color w:val="auto"/>
          <w:highlight w:val="none"/>
        </w:rPr>
      </w:pPr>
      <w:r>
        <w:rPr>
          <w:rFonts w:hint="eastAsia"/>
          <w:color w:val="auto"/>
          <w:highlight w:val="none"/>
        </w:rPr>
        <w:t>（4）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42A60E7C">
      <w:pPr>
        <w:pStyle w:val="9"/>
        <w:spacing w:line="360" w:lineRule="auto"/>
        <w:rPr>
          <w:color w:val="auto"/>
          <w:szCs w:val="21"/>
          <w:highlight w:val="none"/>
        </w:rPr>
      </w:pPr>
      <w:r>
        <w:rPr>
          <w:rFonts w:hint="eastAsia"/>
          <w:color w:val="auto"/>
          <w:szCs w:val="21"/>
          <w:highlight w:val="none"/>
        </w:rPr>
        <w:t>（5）开标结束。</w:t>
      </w:r>
    </w:p>
    <w:p w14:paraId="472CAC42">
      <w:pPr>
        <w:pStyle w:val="26"/>
        <w:snapToGrid w:val="0"/>
        <w:spacing w:line="360" w:lineRule="auto"/>
        <w:ind w:firstLine="420" w:firstLineChars="200"/>
        <w:rPr>
          <w:rFonts w:hAnsi="宋体"/>
          <w:color w:val="auto"/>
          <w:sz w:val="21"/>
          <w:highlight w:val="none"/>
        </w:rPr>
      </w:pPr>
      <w:r>
        <w:rPr>
          <w:rFonts w:hint="eastAsia"/>
          <w:color w:val="auto"/>
          <w:sz w:val="21"/>
          <w:highlight w:val="none"/>
        </w:rPr>
        <w:t>特别说明：如遇</w:t>
      </w:r>
      <w:r>
        <w:rPr>
          <w:rFonts w:hint="eastAsia" w:hAnsi="宋体" w:cs="宋体"/>
          <w:color w:val="auto"/>
          <w:sz w:val="21"/>
          <w:highlight w:val="none"/>
        </w:rPr>
        <w:t>广西政府采购云平台</w:t>
      </w:r>
      <w:r>
        <w:rPr>
          <w:rFonts w:hint="eastAsia"/>
          <w:color w:val="auto"/>
          <w:sz w:val="21"/>
          <w:highlight w:val="none"/>
        </w:rPr>
        <w:t>电子化开标或评审程序调整的，按调整后执行。</w:t>
      </w:r>
    </w:p>
    <w:p w14:paraId="085BF3CB">
      <w:pPr>
        <w:pStyle w:val="26"/>
        <w:snapToGrid w:val="0"/>
        <w:spacing w:line="360" w:lineRule="auto"/>
        <w:ind w:left="689" w:leftChars="228" w:hanging="210" w:hangingChars="100"/>
        <w:rPr>
          <w:rFonts w:hAnsi="宋体"/>
          <w:color w:val="auto"/>
          <w:sz w:val="21"/>
          <w:highlight w:val="none"/>
        </w:rPr>
      </w:pPr>
    </w:p>
    <w:p w14:paraId="21BCF512">
      <w:pPr>
        <w:pStyle w:val="6"/>
        <w:keepNext w:val="0"/>
        <w:keepLines w:val="0"/>
        <w:jc w:val="center"/>
        <w:rPr>
          <w:color w:val="auto"/>
          <w:highlight w:val="none"/>
        </w:rPr>
      </w:pPr>
      <w:r>
        <w:rPr>
          <w:rFonts w:hint="eastAsia"/>
          <w:color w:val="auto"/>
          <w:highlight w:val="none"/>
        </w:rPr>
        <w:t>五、资格审查</w:t>
      </w:r>
    </w:p>
    <w:p w14:paraId="1502D949">
      <w:pPr>
        <w:pStyle w:val="8"/>
        <w:keepNext w:val="0"/>
        <w:keepLines w:val="0"/>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25.资格审查</w:t>
      </w:r>
    </w:p>
    <w:p w14:paraId="666709E9">
      <w:pPr>
        <w:pStyle w:val="8"/>
        <w:keepNext w:val="0"/>
        <w:keepLines w:val="0"/>
        <w:spacing w:before="0" w:after="0" w:line="360" w:lineRule="auto"/>
        <w:ind w:firstLine="315" w:firstLineChars="150"/>
        <w:rPr>
          <w:rFonts w:ascii="宋体" w:hAnsi="宋体"/>
          <w:b w:val="0"/>
          <w:color w:val="auto"/>
          <w:sz w:val="21"/>
          <w:szCs w:val="21"/>
          <w:highlight w:val="none"/>
        </w:rPr>
      </w:pPr>
      <w:r>
        <w:rPr>
          <w:rFonts w:hint="eastAsia" w:ascii="宋体" w:hAnsi="宋体"/>
          <w:b w:val="0"/>
          <w:color w:val="auto"/>
          <w:sz w:val="21"/>
          <w:szCs w:val="21"/>
          <w:highlight w:val="none"/>
        </w:rPr>
        <w:t xml:space="preserve"> 25.1</w:t>
      </w:r>
      <w:r>
        <w:rPr>
          <w:rFonts w:ascii="宋体" w:hAnsi="宋体"/>
          <w:b w:val="0"/>
          <w:color w:val="auto"/>
          <w:sz w:val="21"/>
          <w:szCs w:val="21"/>
          <w:highlight w:val="none"/>
        </w:rPr>
        <w:t>开标结束后，</w:t>
      </w:r>
      <w:r>
        <w:rPr>
          <w:rFonts w:hint="eastAsia" w:ascii="宋体" w:hAnsi="宋体"/>
          <w:b w:val="0"/>
          <w:color w:val="auto"/>
          <w:sz w:val="21"/>
          <w:szCs w:val="21"/>
          <w:highlight w:val="none"/>
        </w:rPr>
        <w:t>采购人或者采购代理机构通过电子开评标系统依据招标文件对电子投标文件进行线上资格审查</w:t>
      </w:r>
      <w:r>
        <w:rPr>
          <w:rFonts w:ascii="宋体" w:hAnsi="宋体"/>
          <w:b w:val="0"/>
          <w:color w:val="auto"/>
          <w:sz w:val="21"/>
          <w:szCs w:val="21"/>
          <w:highlight w:val="none"/>
        </w:rPr>
        <w:t>。</w:t>
      </w:r>
    </w:p>
    <w:p w14:paraId="33F6D617">
      <w:pPr>
        <w:pStyle w:val="8"/>
        <w:keepNext w:val="0"/>
        <w:keepLines w:val="0"/>
        <w:spacing w:before="0" w:after="0" w:line="360" w:lineRule="auto"/>
        <w:ind w:firstLine="315" w:firstLineChars="150"/>
        <w:rPr>
          <w:rFonts w:ascii="宋体" w:hAnsi="宋体"/>
          <w:b w:val="0"/>
          <w:color w:val="auto"/>
          <w:sz w:val="21"/>
          <w:szCs w:val="21"/>
          <w:highlight w:val="none"/>
        </w:rPr>
      </w:pPr>
      <w:r>
        <w:rPr>
          <w:rFonts w:hint="eastAsia" w:ascii="宋体" w:hAnsi="宋体"/>
          <w:b w:val="0"/>
          <w:color w:val="auto"/>
          <w:sz w:val="21"/>
          <w:szCs w:val="21"/>
          <w:highlight w:val="none"/>
        </w:rPr>
        <w:t xml:space="preserve"> 25.2资格审查标准为本招标文件中载明对投标人资格要求的条件。本项目资格审查采用合格制，凡符合招标文件规定的投标人资格要求的投标人均通过资格审查。</w:t>
      </w:r>
    </w:p>
    <w:p w14:paraId="29845C90">
      <w:pPr>
        <w:pStyle w:val="8"/>
        <w:keepNext w:val="0"/>
        <w:keepLines w:val="0"/>
        <w:numPr>
          <w:ilvl w:val="0"/>
          <w:numId w:val="0"/>
        </w:numPr>
        <w:spacing w:before="0" w:after="0" w:line="360" w:lineRule="auto"/>
        <w:ind w:firstLine="422" w:firstLineChars="200"/>
        <w:rPr>
          <w:rFonts w:ascii="宋体" w:hAnsi="宋体"/>
          <w:color w:val="auto"/>
          <w:sz w:val="21"/>
          <w:szCs w:val="21"/>
          <w:highlight w:val="none"/>
        </w:rPr>
      </w:pPr>
      <w:bookmarkStart w:id="124" w:name="_25.3_投标人有下列情形之一的，资格审查不通过而导致其投标无效："/>
      <w:bookmarkEnd w:id="124"/>
      <w:r>
        <w:rPr>
          <w:rFonts w:hint="eastAsia" w:ascii="宋体" w:hAnsi="宋体"/>
          <w:color w:val="auto"/>
          <w:sz w:val="21"/>
          <w:szCs w:val="21"/>
          <w:highlight w:val="none"/>
        </w:rPr>
        <w:t>25.3 投标人有下列情形之一的，资格审查不通过，作无效投标处理：</w:t>
      </w:r>
    </w:p>
    <w:p w14:paraId="420BDD26">
      <w:pPr>
        <w:pStyle w:val="26"/>
        <w:snapToGrid w:val="0"/>
        <w:spacing w:line="360" w:lineRule="auto"/>
        <w:ind w:firstLine="422" w:firstLineChars="200"/>
        <w:rPr>
          <w:rFonts w:hAnsi="宋体"/>
          <w:b/>
          <w:color w:val="auto"/>
          <w:sz w:val="21"/>
          <w:highlight w:val="none"/>
        </w:rPr>
      </w:pPr>
      <w:r>
        <w:rPr>
          <w:rFonts w:hint="eastAsia" w:hAnsi="宋体"/>
          <w:b/>
          <w:color w:val="auto"/>
          <w:sz w:val="21"/>
          <w:highlight w:val="none"/>
        </w:rPr>
        <w:t>（1）不具备招标文件中规定的资格要求的；</w:t>
      </w:r>
    </w:p>
    <w:p w14:paraId="06FE8032">
      <w:pPr>
        <w:pStyle w:val="26"/>
        <w:snapToGrid w:val="0"/>
        <w:spacing w:line="360" w:lineRule="auto"/>
        <w:ind w:firstLine="422" w:firstLineChars="200"/>
        <w:rPr>
          <w:rFonts w:hAnsi="宋体"/>
          <w:b/>
          <w:color w:val="auto"/>
          <w:sz w:val="21"/>
          <w:highlight w:val="none"/>
        </w:rPr>
      </w:pPr>
      <w:r>
        <w:rPr>
          <w:rFonts w:hint="eastAsia" w:hAnsi="宋体"/>
          <w:b/>
          <w:color w:val="auto"/>
          <w:sz w:val="21"/>
          <w:highlight w:val="none"/>
        </w:rPr>
        <w:t>（2）在“信用中国”网站（www.creditchina.gov.cn）、中国政府采购网（www.ccgp.gov.cn）被列入失信被执行人、重大税收违法案件当事人名单、政府采购严重违法失信行为记录名单及其他不符合《中华人民共和国政府采购法》第二十二条规定条件的；（注：其中信用查询规则见“投标人须知前附表”，</w:t>
      </w:r>
      <w:r>
        <w:rPr>
          <w:rFonts w:hint="eastAsia" w:hAnsi="宋体" w:cs="宋体"/>
          <w:color w:val="auto"/>
          <w:sz w:val="21"/>
          <w:highlight w:val="none"/>
        </w:rPr>
        <w:t>广西政府采购云平台</w:t>
      </w:r>
      <w:r>
        <w:rPr>
          <w:rFonts w:hint="eastAsia" w:hAnsi="宋体"/>
          <w:b/>
          <w:color w:val="auto"/>
          <w:sz w:val="21"/>
          <w:highlight w:val="none"/>
        </w:rPr>
        <w:t>已与“信用中国”网站、中国政府采购网实现数据对接，可直接在线查询）；</w:t>
      </w:r>
    </w:p>
    <w:p w14:paraId="24502757">
      <w:pPr>
        <w:pStyle w:val="26"/>
        <w:snapToGrid w:val="0"/>
        <w:spacing w:line="360" w:lineRule="auto"/>
        <w:ind w:firstLine="422" w:firstLineChars="200"/>
        <w:rPr>
          <w:rFonts w:hAnsi="宋体"/>
          <w:b/>
          <w:color w:val="auto"/>
          <w:sz w:val="21"/>
          <w:highlight w:val="none"/>
        </w:rPr>
      </w:pPr>
      <w:r>
        <w:rPr>
          <w:rFonts w:hint="eastAsia" w:hAnsi="宋体"/>
          <w:b/>
          <w:color w:val="auto"/>
          <w:sz w:val="21"/>
          <w:highlight w:val="none"/>
        </w:rPr>
        <w:t>（3）同一合同项下的不同投标人，单位负责人为同一人或者存在直接控股、管理关系的；为本项目提供过整体设计、规范编制或者项目管理、监理、检测等服务的供应商，再参加该采购项目的其他采购活动的；</w:t>
      </w:r>
    </w:p>
    <w:p w14:paraId="1AF7F446">
      <w:pPr>
        <w:pStyle w:val="26"/>
        <w:snapToGrid w:val="0"/>
        <w:spacing w:line="360" w:lineRule="auto"/>
        <w:ind w:firstLine="422" w:firstLineChars="200"/>
        <w:rPr>
          <w:rFonts w:hAnsi="宋体"/>
          <w:b/>
          <w:color w:val="auto"/>
          <w:sz w:val="21"/>
          <w:highlight w:val="none"/>
        </w:rPr>
      </w:pPr>
      <w:r>
        <w:rPr>
          <w:rFonts w:hint="eastAsia" w:hAnsi="宋体"/>
          <w:b/>
          <w:color w:val="auto"/>
          <w:sz w:val="21"/>
          <w:highlight w:val="none"/>
        </w:rPr>
        <w:t>（4）投标文件中的资格证明文件缺少任一项“投标人须知前附表”资格证明文件规定“必须提供”的文件资料的；</w:t>
      </w:r>
    </w:p>
    <w:p w14:paraId="5112B025">
      <w:pPr>
        <w:pStyle w:val="26"/>
        <w:snapToGrid w:val="0"/>
        <w:spacing w:line="360" w:lineRule="auto"/>
        <w:ind w:firstLine="422" w:firstLineChars="200"/>
        <w:rPr>
          <w:rFonts w:hAnsi="宋体"/>
          <w:b/>
          <w:color w:val="auto"/>
          <w:sz w:val="21"/>
          <w:highlight w:val="none"/>
        </w:rPr>
      </w:pPr>
      <w:r>
        <w:rPr>
          <w:rFonts w:hint="eastAsia" w:hAnsi="宋体"/>
          <w:b/>
          <w:color w:val="auto"/>
          <w:sz w:val="21"/>
          <w:highlight w:val="none"/>
        </w:rPr>
        <w:t>（5）投标文件中的资格证明文件出现任一项不符合“投标人须知前附表”资格证明文件规定“必须提供”的文件资料要求或者无效的。</w:t>
      </w:r>
    </w:p>
    <w:p w14:paraId="73F1F312">
      <w:pPr>
        <w:pStyle w:val="8"/>
        <w:keepNext w:val="0"/>
        <w:keepLines w:val="0"/>
        <w:spacing w:before="0" w:after="0" w:line="360" w:lineRule="auto"/>
        <w:ind w:left="420" w:leftChars="200"/>
        <w:rPr>
          <w:rFonts w:ascii="宋体" w:hAnsi="宋体"/>
          <w:b w:val="0"/>
          <w:color w:val="auto"/>
          <w:sz w:val="21"/>
          <w:szCs w:val="21"/>
          <w:highlight w:val="none"/>
        </w:rPr>
      </w:pPr>
      <w:r>
        <w:rPr>
          <w:rFonts w:hint="eastAsia" w:ascii="宋体" w:hAnsi="宋体"/>
          <w:color w:val="auto"/>
          <w:sz w:val="21"/>
          <w:szCs w:val="21"/>
          <w:highlight w:val="none"/>
        </w:rPr>
        <w:t>25.4</w:t>
      </w:r>
      <w:r>
        <w:rPr>
          <w:rFonts w:ascii="宋体" w:hAnsi="宋体"/>
          <w:color w:val="auto"/>
          <w:sz w:val="21"/>
          <w:szCs w:val="21"/>
          <w:highlight w:val="none"/>
        </w:rPr>
        <w:t>合格投标人不足3家的，不得评标。</w:t>
      </w:r>
    </w:p>
    <w:p w14:paraId="155D1C0F">
      <w:pPr>
        <w:pStyle w:val="26"/>
        <w:snapToGrid w:val="0"/>
        <w:spacing w:line="360" w:lineRule="auto"/>
        <w:ind w:left="689" w:leftChars="228" w:hanging="210" w:hangingChars="100"/>
        <w:rPr>
          <w:rFonts w:hAnsi="宋体"/>
          <w:color w:val="auto"/>
          <w:sz w:val="21"/>
          <w:highlight w:val="none"/>
        </w:rPr>
      </w:pPr>
    </w:p>
    <w:p w14:paraId="79D0D30F">
      <w:pPr>
        <w:pStyle w:val="6"/>
        <w:keepNext w:val="0"/>
        <w:keepLines w:val="0"/>
        <w:jc w:val="center"/>
        <w:rPr>
          <w:color w:val="auto"/>
          <w:highlight w:val="none"/>
        </w:rPr>
      </w:pPr>
      <w:r>
        <w:rPr>
          <w:rFonts w:hint="eastAsia"/>
          <w:color w:val="auto"/>
          <w:highlight w:val="none"/>
        </w:rPr>
        <w:t>六、评   标</w:t>
      </w:r>
    </w:p>
    <w:p w14:paraId="7A83F98E">
      <w:pPr>
        <w:pStyle w:val="8"/>
        <w:keepNext w:val="0"/>
        <w:keepLines w:val="0"/>
        <w:spacing w:before="0" w:after="0" w:line="360" w:lineRule="auto"/>
        <w:ind w:left="420" w:leftChars="200"/>
        <w:rPr>
          <w:rFonts w:ascii="黑体" w:hAnsi="黑体" w:eastAsia="黑体"/>
          <w:color w:val="auto"/>
          <w:sz w:val="24"/>
          <w:highlight w:val="none"/>
        </w:rPr>
      </w:pPr>
      <w:bookmarkStart w:id="125" w:name="_26.组建评标委员会"/>
      <w:bookmarkEnd w:id="125"/>
      <w:r>
        <w:rPr>
          <w:rFonts w:hint="eastAsia" w:ascii="黑体" w:hAnsi="黑体" w:eastAsia="黑体"/>
          <w:color w:val="auto"/>
          <w:sz w:val="24"/>
          <w:highlight w:val="none"/>
        </w:rPr>
        <w:t>26.组建评标委员会</w:t>
      </w:r>
    </w:p>
    <w:p w14:paraId="10AAB8B5">
      <w:pPr>
        <w:pStyle w:val="26"/>
        <w:snapToGrid w:val="0"/>
        <w:spacing w:line="360" w:lineRule="auto"/>
        <w:ind w:firstLine="420" w:firstLineChars="200"/>
        <w:rPr>
          <w:rFonts w:hAnsi="宋体"/>
          <w:color w:val="auto"/>
          <w:sz w:val="21"/>
          <w:highlight w:val="none"/>
        </w:rPr>
      </w:pPr>
      <w:r>
        <w:rPr>
          <w:rFonts w:hint="eastAsia" w:hAnsi="宋体"/>
          <w:color w:val="auto"/>
          <w:sz w:val="21"/>
          <w:highlight w:val="none"/>
        </w:rPr>
        <w:t>26.1评标委员会由采购人代表和评审专家组成，具体人数详见“投标人须知前附表”，其中评审专家不得少于成员总数的三分之二。</w:t>
      </w:r>
    </w:p>
    <w:p w14:paraId="3E4F967E">
      <w:pPr>
        <w:pStyle w:val="26"/>
        <w:snapToGrid w:val="0"/>
        <w:spacing w:line="360" w:lineRule="auto"/>
        <w:ind w:left="2" w:leftChars="1" w:firstLine="420" w:firstLineChars="200"/>
        <w:rPr>
          <w:rFonts w:hAnsi="宋体"/>
          <w:color w:val="auto"/>
          <w:sz w:val="21"/>
          <w:highlight w:val="none"/>
        </w:rPr>
      </w:pPr>
      <w:r>
        <w:rPr>
          <w:rFonts w:hint="eastAsia" w:hAnsi="宋体"/>
          <w:color w:val="auto"/>
          <w:sz w:val="21"/>
          <w:highlight w:val="none"/>
        </w:rPr>
        <w:t>26.2参加过采购项目前期咨询论证的专家，不得参加该采购项目的评审活动。</w:t>
      </w:r>
    </w:p>
    <w:p w14:paraId="5E1A6B9C">
      <w:pPr>
        <w:pStyle w:val="26"/>
        <w:snapToGrid w:val="0"/>
        <w:spacing w:line="360" w:lineRule="auto"/>
        <w:ind w:left="2" w:leftChars="1" w:firstLine="420" w:firstLineChars="200"/>
        <w:rPr>
          <w:rFonts w:hAnsi="宋体"/>
          <w:color w:val="auto"/>
          <w:sz w:val="21"/>
          <w:highlight w:val="none"/>
        </w:rPr>
      </w:pPr>
      <w:r>
        <w:rPr>
          <w:rFonts w:hint="eastAsia" w:hAnsi="宋体"/>
          <w:color w:val="auto"/>
          <w:sz w:val="21"/>
          <w:highlight w:val="none"/>
        </w:rPr>
        <w:t>26.3</w:t>
      </w:r>
      <w:r>
        <w:rPr>
          <w:rFonts w:hint="eastAsia" w:hAnsi="宋体"/>
          <w:bCs/>
          <w:color w:val="auto"/>
          <w:sz w:val="21"/>
          <w:highlight w:val="none"/>
        </w:rPr>
        <w:t>采购代理机构应当基于</w:t>
      </w:r>
      <w:r>
        <w:rPr>
          <w:rFonts w:hint="eastAsia" w:hAnsi="宋体" w:cs="宋体"/>
          <w:color w:val="auto"/>
          <w:sz w:val="21"/>
          <w:highlight w:val="none"/>
        </w:rPr>
        <w:t>广西政府采购云平台</w:t>
      </w:r>
      <w:r>
        <w:rPr>
          <w:rFonts w:hint="eastAsia" w:hAnsi="宋体"/>
          <w:bCs/>
          <w:color w:val="auto"/>
          <w:sz w:val="21"/>
          <w:highlight w:val="none"/>
        </w:rPr>
        <w:t>抽（选）取评审专家。</w:t>
      </w:r>
    </w:p>
    <w:p w14:paraId="46B72696">
      <w:pPr>
        <w:pStyle w:val="8"/>
        <w:keepNext w:val="0"/>
        <w:keepLines w:val="0"/>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27.评标的依据</w:t>
      </w:r>
    </w:p>
    <w:p w14:paraId="35A8E75A">
      <w:pPr>
        <w:pStyle w:val="26"/>
        <w:snapToGrid w:val="0"/>
        <w:spacing w:line="360" w:lineRule="auto"/>
        <w:ind w:firstLine="420" w:firstLineChars="200"/>
        <w:rPr>
          <w:rFonts w:hAnsi="宋体"/>
          <w:color w:val="auto"/>
          <w:sz w:val="21"/>
          <w:highlight w:val="none"/>
        </w:rPr>
      </w:pPr>
      <w:r>
        <w:rPr>
          <w:rFonts w:hint="eastAsia" w:hAnsi="宋体"/>
          <w:color w:val="auto"/>
          <w:sz w:val="21"/>
          <w:highlight w:val="none"/>
        </w:rPr>
        <w:t>评标委员会以</w:t>
      </w:r>
      <w:r>
        <w:rPr>
          <w:rFonts w:hint="eastAsia" w:hAnsi="宋体" w:cs="宋体"/>
          <w:color w:val="auto"/>
          <w:sz w:val="21"/>
          <w:highlight w:val="none"/>
        </w:rPr>
        <w:t>“第四章 评标方法和评标标准”</w:t>
      </w:r>
      <w:r>
        <w:rPr>
          <w:rFonts w:hint="eastAsia" w:hAnsi="宋体"/>
          <w:color w:val="auto"/>
          <w:sz w:val="21"/>
          <w:highlight w:val="none"/>
        </w:rPr>
        <w:t>为依据对投标文件进行评审，</w:t>
      </w:r>
      <w:r>
        <w:rPr>
          <w:rFonts w:hAnsi="宋体"/>
          <w:color w:val="auto"/>
          <w:sz w:val="21"/>
          <w:highlight w:val="none"/>
        </w:rPr>
        <w:t>没有规定的方法、评审因素和标准，不作为评标依据。</w:t>
      </w:r>
    </w:p>
    <w:p w14:paraId="0DADB9A3">
      <w:pPr>
        <w:pStyle w:val="8"/>
        <w:keepNext w:val="0"/>
        <w:keepLines w:val="0"/>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28.评标原则</w:t>
      </w:r>
    </w:p>
    <w:p w14:paraId="65E17859">
      <w:pPr>
        <w:pStyle w:val="26"/>
        <w:snapToGrid w:val="0"/>
        <w:spacing w:line="360" w:lineRule="auto"/>
        <w:ind w:firstLine="420" w:firstLineChars="200"/>
        <w:rPr>
          <w:rFonts w:hAnsi="宋体"/>
          <w:color w:val="auto"/>
          <w:sz w:val="21"/>
          <w:highlight w:val="none"/>
        </w:rPr>
      </w:pPr>
      <w:r>
        <w:rPr>
          <w:rFonts w:hint="eastAsia" w:hAnsi="宋体"/>
          <w:color w:val="auto"/>
          <w:sz w:val="21"/>
          <w:highlight w:val="none"/>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79B8FA48">
      <w:pPr>
        <w:pStyle w:val="26"/>
        <w:snapToGrid w:val="0"/>
        <w:spacing w:line="360" w:lineRule="auto"/>
        <w:ind w:firstLine="420" w:firstLineChars="200"/>
        <w:rPr>
          <w:rFonts w:hAnsi="宋体"/>
          <w:color w:val="auto"/>
          <w:sz w:val="21"/>
          <w:highlight w:val="none"/>
        </w:rPr>
      </w:pPr>
      <w:r>
        <w:rPr>
          <w:rFonts w:hint="eastAsia" w:hAnsi="宋体"/>
          <w:color w:val="auto"/>
          <w:sz w:val="21"/>
          <w:highlight w:val="none"/>
        </w:rPr>
        <w:t>28.2</w:t>
      </w:r>
      <w:bookmarkStart w:id="126" w:name="_28.3评标方法。本项目将按须知前附表规定的评标办法进行评标，具体评标"/>
      <w:bookmarkEnd w:id="126"/>
      <w:r>
        <w:rPr>
          <w:rFonts w:hint="eastAsia" w:hAnsi="宋体"/>
          <w:color w:val="auto"/>
          <w:sz w:val="21"/>
          <w:highlight w:val="none"/>
        </w:rPr>
        <w:t>评委表决。评标委员会成员对需要共同认定的事项存在争议的，应当按照少数服从多数的原则作出结论。</w:t>
      </w:r>
    </w:p>
    <w:p w14:paraId="7BE0D37D">
      <w:pPr>
        <w:pStyle w:val="26"/>
        <w:snapToGrid w:val="0"/>
        <w:spacing w:line="360" w:lineRule="auto"/>
        <w:ind w:firstLine="420" w:firstLineChars="200"/>
        <w:rPr>
          <w:rFonts w:hAnsi="宋体"/>
          <w:color w:val="auto"/>
          <w:sz w:val="21"/>
          <w:highlight w:val="none"/>
        </w:rPr>
      </w:pPr>
      <w:r>
        <w:rPr>
          <w:rFonts w:hint="eastAsia" w:hAnsi="宋体"/>
          <w:color w:val="auto"/>
          <w:sz w:val="21"/>
          <w:highlight w:val="none"/>
        </w:rPr>
        <w:t>28.</w:t>
      </w:r>
      <w:r>
        <w:rPr>
          <w:rFonts w:hAnsi="宋体"/>
          <w:color w:val="auto"/>
          <w:sz w:val="21"/>
          <w:highlight w:val="none"/>
        </w:rPr>
        <w:t>3</w:t>
      </w:r>
      <w:r>
        <w:rPr>
          <w:rFonts w:hint="eastAsia" w:hAnsi="宋体"/>
          <w:color w:val="auto"/>
          <w:sz w:val="21"/>
          <w:highlight w:val="none"/>
        </w:rPr>
        <w:t>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41ED1EAB">
      <w:pPr>
        <w:pStyle w:val="26"/>
        <w:snapToGrid w:val="0"/>
        <w:spacing w:line="360" w:lineRule="auto"/>
        <w:ind w:firstLine="420" w:firstLineChars="200"/>
        <w:rPr>
          <w:rFonts w:hAnsi="宋体"/>
          <w:color w:val="auto"/>
          <w:sz w:val="21"/>
          <w:highlight w:val="none"/>
        </w:rPr>
      </w:pPr>
      <w:r>
        <w:rPr>
          <w:rFonts w:hint="eastAsia" w:hAnsi="宋体"/>
          <w:color w:val="auto"/>
          <w:sz w:val="21"/>
          <w:highlight w:val="none"/>
        </w:rPr>
        <w:t>2</w:t>
      </w:r>
      <w:r>
        <w:rPr>
          <w:rFonts w:hAnsi="宋体"/>
          <w:color w:val="auto"/>
          <w:sz w:val="21"/>
          <w:highlight w:val="none"/>
        </w:rPr>
        <w:t>8.4</w:t>
      </w:r>
      <w:r>
        <w:rPr>
          <w:rFonts w:hint="eastAsia" w:hAnsi="宋体"/>
          <w:color w:val="auto"/>
          <w:sz w:val="21"/>
          <w:highlight w:val="none"/>
        </w:rPr>
        <w:t>评标过程的监控。本项目电子评标过程实行网上留痕、全程录音、录像监控，</w:t>
      </w:r>
      <w:r>
        <w:rPr>
          <w:rFonts w:hint="eastAsia" w:hAnsi="宋体"/>
          <w:b/>
          <w:color w:val="auto"/>
          <w:sz w:val="21"/>
          <w:highlight w:val="none"/>
        </w:rPr>
        <w:t>投标人在评标过程中所进行的试图影响评标结果的不公正活动，可能导致其投标按无效处理。</w:t>
      </w:r>
    </w:p>
    <w:p w14:paraId="23DDDF7A">
      <w:pPr>
        <w:pStyle w:val="8"/>
        <w:keepNext w:val="0"/>
        <w:keepLines w:val="0"/>
        <w:spacing w:before="0" w:after="0" w:line="360" w:lineRule="auto"/>
        <w:ind w:left="420" w:leftChars="200"/>
        <w:rPr>
          <w:rFonts w:ascii="黑体" w:hAnsi="黑体" w:eastAsia="黑体"/>
          <w:color w:val="auto"/>
          <w:sz w:val="21"/>
          <w:szCs w:val="21"/>
          <w:highlight w:val="none"/>
        </w:rPr>
      </w:pPr>
      <w:r>
        <w:rPr>
          <w:rFonts w:hint="eastAsia" w:ascii="黑体" w:hAnsi="黑体" w:eastAsia="黑体"/>
          <w:color w:val="auto"/>
          <w:sz w:val="21"/>
          <w:szCs w:val="21"/>
          <w:highlight w:val="none"/>
        </w:rPr>
        <w:t>29.评标方法及中标候选人推荐</w:t>
      </w:r>
    </w:p>
    <w:p w14:paraId="462C7BA2">
      <w:pPr>
        <w:pStyle w:val="26"/>
        <w:snapToGrid w:val="0"/>
        <w:spacing w:line="360" w:lineRule="auto"/>
        <w:ind w:firstLine="420" w:firstLineChars="200"/>
        <w:rPr>
          <w:rFonts w:hAnsi="宋体"/>
          <w:color w:val="auto"/>
          <w:sz w:val="21"/>
          <w:highlight w:val="none"/>
        </w:rPr>
      </w:pPr>
      <w:r>
        <w:rPr>
          <w:rFonts w:hint="eastAsia" w:hAnsi="宋体"/>
          <w:color w:val="auto"/>
          <w:sz w:val="21"/>
          <w:highlight w:val="none"/>
        </w:rPr>
        <w:t>2</w:t>
      </w:r>
      <w:r>
        <w:rPr>
          <w:rFonts w:hAnsi="宋体"/>
          <w:color w:val="auto"/>
          <w:sz w:val="21"/>
          <w:highlight w:val="none"/>
        </w:rPr>
        <w:t>9.1</w:t>
      </w:r>
      <w:r>
        <w:rPr>
          <w:rFonts w:hint="eastAsia" w:hAnsi="宋体"/>
          <w:color w:val="auto"/>
          <w:sz w:val="21"/>
          <w:highlight w:val="none"/>
        </w:rPr>
        <w:t>本项目的评标方法详见“投标人须知前附表”。</w:t>
      </w:r>
    </w:p>
    <w:p w14:paraId="12988131">
      <w:pPr>
        <w:pStyle w:val="26"/>
        <w:snapToGrid w:val="0"/>
        <w:spacing w:line="360" w:lineRule="auto"/>
        <w:ind w:firstLine="420" w:firstLineChars="200"/>
        <w:rPr>
          <w:rFonts w:hAnsi="宋体"/>
          <w:color w:val="auto"/>
          <w:sz w:val="21"/>
          <w:highlight w:val="none"/>
        </w:rPr>
      </w:pPr>
      <w:r>
        <w:rPr>
          <w:rFonts w:hint="eastAsia" w:hAnsi="宋体"/>
          <w:color w:val="auto"/>
          <w:sz w:val="21"/>
          <w:highlight w:val="none"/>
        </w:rPr>
        <w:t>2</w:t>
      </w:r>
      <w:r>
        <w:rPr>
          <w:rFonts w:hAnsi="宋体"/>
          <w:color w:val="auto"/>
          <w:sz w:val="21"/>
          <w:highlight w:val="none"/>
        </w:rPr>
        <w:t>9.2</w:t>
      </w:r>
      <w:r>
        <w:rPr>
          <w:rFonts w:hint="eastAsia" w:hAnsi="宋体" w:cs="宋体"/>
          <w:color w:val="auto"/>
          <w:sz w:val="21"/>
          <w:highlight w:val="none"/>
        </w:rPr>
        <w:t>商务/技术要求</w:t>
      </w:r>
      <w:r>
        <w:rPr>
          <w:rFonts w:hint="eastAsia" w:hAnsi="宋体"/>
          <w:color w:val="auto"/>
          <w:sz w:val="21"/>
          <w:highlight w:val="none"/>
        </w:rPr>
        <w:t>允许负偏离的条款数</w:t>
      </w:r>
      <w:r>
        <w:rPr>
          <w:rFonts w:hAnsi="宋体"/>
          <w:color w:val="auto"/>
          <w:sz w:val="21"/>
          <w:highlight w:val="none"/>
        </w:rPr>
        <w:t>详见</w:t>
      </w:r>
      <w:r>
        <w:rPr>
          <w:rFonts w:hint="eastAsia" w:hAnsi="宋体"/>
          <w:color w:val="auto"/>
          <w:sz w:val="21"/>
          <w:highlight w:val="none"/>
        </w:rPr>
        <w:t>“投标人须知前附表”。</w:t>
      </w:r>
    </w:p>
    <w:p w14:paraId="7DEFD0F5">
      <w:pPr>
        <w:pStyle w:val="26"/>
        <w:snapToGrid w:val="0"/>
        <w:spacing w:line="360" w:lineRule="auto"/>
        <w:ind w:firstLine="420" w:firstLineChars="200"/>
        <w:rPr>
          <w:rFonts w:hAnsi="宋体" w:cs="宋体"/>
          <w:color w:val="auto"/>
          <w:sz w:val="21"/>
          <w:highlight w:val="none"/>
        </w:rPr>
      </w:pPr>
      <w:r>
        <w:rPr>
          <w:rFonts w:hint="eastAsia" w:hAnsi="宋体"/>
          <w:color w:val="auto"/>
          <w:sz w:val="21"/>
          <w:highlight w:val="none"/>
        </w:rPr>
        <w:t>2</w:t>
      </w:r>
      <w:r>
        <w:rPr>
          <w:rFonts w:hAnsi="宋体"/>
          <w:color w:val="auto"/>
          <w:sz w:val="21"/>
          <w:highlight w:val="none"/>
        </w:rPr>
        <w:t>9.3中标候选人推荐数量详见</w:t>
      </w:r>
      <w:r>
        <w:rPr>
          <w:rFonts w:hint="eastAsia" w:hAnsi="宋体"/>
          <w:color w:val="auto"/>
          <w:sz w:val="21"/>
          <w:highlight w:val="none"/>
        </w:rPr>
        <w:t>“投标人须知前附表”。</w:t>
      </w:r>
    </w:p>
    <w:p w14:paraId="4F0FC61E">
      <w:pPr>
        <w:spacing w:line="360" w:lineRule="auto"/>
        <w:ind w:firstLine="420" w:firstLineChars="200"/>
        <w:rPr>
          <w:rFonts w:hAnsi="宋体"/>
          <w:color w:val="auto"/>
          <w:highlight w:val="none"/>
        </w:rPr>
      </w:pPr>
      <w:r>
        <w:rPr>
          <w:rFonts w:hint="eastAsia" w:hAnsi="宋体"/>
          <w:color w:val="auto"/>
          <w:szCs w:val="21"/>
          <w:highlight w:val="none"/>
        </w:rPr>
        <w:t>29.</w:t>
      </w:r>
      <w:r>
        <w:rPr>
          <w:rFonts w:hAnsi="宋体"/>
          <w:color w:val="auto"/>
          <w:szCs w:val="21"/>
          <w:highlight w:val="none"/>
        </w:rPr>
        <w:t>4</w:t>
      </w:r>
      <w:r>
        <w:rPr>
          <w:rFonts w:hint="eastAsia" w:hAnsi="宋体"/>
          <w:color w:val="auto"/>
          <w:szCs w:val="21"/>
          <w:highlight w:val="none"/>
        </w:rPr>
        <w:t xml:space="preserve"> 电子交易活动的中止。采购过程中出现以下情形，导致</w:t>
      </w:r>
      <w:r>
        <w:rPr>
          <w:rFonts w:hint="eastAsia" w:hAnsi="宋体"/>
          <w:color w:val="auto"/>
          <w:highlight w:val="none"/>
        </w:rPr>
        <w:t>电子交易平台无法正常运行，或者无法保证电子交易的公平、公正和安全时，采购代理机构可以中止电子交易活动：</w:t>
      </w:r>
    </w:p>
    <w:p w14:paraId="2730CA22">
      <w:pPr>
        <w:spacing w:line="360" w:lineRule="auto"/>
        <w:ind w:firstLine="420" w:firstLineChars="200"/>
        <w:rPr>
          <w:rFonts w:hAnsi="宋体"/>
          <w:color w:val="auto"/>
          <w:highlight w:val="none"/>
        </w:rPr>
      </w:pPr>
      <w:r>
        <w:rPr>
          <w:rFonts w:hint="eastAsia" w:hAnsi="宋体"/>
          <w:color w:val="auto"/>
          <w:highlight w:val="none"/>
        </w:rPr>
        <w:t xml:space="preserve">（1）电子交易平台发生故障而无法登录访问的； </w:t>
      </w:r>
    </w:p>
    <w:p w14:paraId="2DA6469D">
      <w:pPr>
        <w:spacing w:line="360" w:lineRule="auto"/>
        <w:ind w:firstLine="420" w:firstLineChars="200"/>
        <w:rPr>
          <w:rFonts w:hAnsi="宋体"/>
          <w:color w:val="auto"/>
          <w:highlight w:val="none"/>
        </w:rPr>
      </w:pPr>
      <w:r>
        <w:rPr>
          <w:rFonts w:hint="eastAsia" w:hAnsi="宋体"/>
          <w:color w:val="auto"/>
          <w:highlight w:val="none"/>
        </w:rPr>
        <w:t>（2）电子交易平台应用或数据库出现错误，不能进行正常操作的；</w:t>
      </w:r>
    </w:p>
    <w:p w14:paraId="506D5B54">
      <w:pPr>
        <w:spacing w:line="360" w:lineRule="auto"/>
        <w:ind w:firstLine="420" w:firstLineChars="200"/>
        <w:rPr>
          <w:rFonts w:hAnsi="宋体"/>
          <w:color w:val="auto"/>
          <w:highlight w:val="none"/>
        </w:rPr>
      </w:pPr>
      <w:r>
        <w:rPr>
          <w:rFonts w:hint="eastAsia" w:hAnsi="宋体"/>
          <w:color w:val="auto"/>
          <w:highlight w:val="none"/>
        </w:rPr>
        <w:t>（3）电子交易平台发现严重安全漏洞，有潜在泄密危险的；</w:t>
      </w:r>
    </w:p>
    <w:p w14:paraId="0576F370">
      <w:pPr>
        <w:spacing w:line="360" w:lineRule="auto"/>
        <w:ind w:firstLine="420" w:firstLineChars="200"/>
        <w:rPr>
          <w:rFonts w:hAnsi="宋体"/>
          <w:color w:val="auto"/>
          <w:highlight w:val="none"/>
        </w:rPr>
      </w:pPr>
      <w:r>
        <w:rPr>
          <w:rFonts w:hint="eastAsia" w:hAnsi="宋体"/>
          <w:color w:val="auto"/>
          <w:highlight w:val="none"/>
        </w:rPr>
        <w:t xml:space="preserve">（4）病毒发作导致不能进行正常操作的； </w:t>
      </w:r>
    </w:p>
    <w:p w14:paraId="0F83DD40">
      <w:pPr>
        <w:spacing w:line="360" w:lineRule="auto"/>
        <w:ind w:firstLine="420" w:firstLineChars="200"/>
        <w:rPr>
          <w:rFonts w:hAnsi="宋体"/>
          <w:color w:val="auto"/>
          <w:highlight w:val="none"/>
        </w:rPr>
      </w:pPr>
      <w:r>
        <w:rPr>
          <w:rFonts w:hint="eastAsia" w:hAnsi="宋体"/>
          <w:color w:val="auto"/>
          <w:highlight w:val="none"/>
        </w:rPr>
        <w:t>（5）其他无法保证电子交易的公平、公正和安全的情况。</w:t>
      </w:r>
    </w:p>
    <w:p w14:paraId="16D7E701">
      <w:pPr>
        <w:spacing w:line="360" w:lineRule="auto"/>
        <w:ind w:firstLine="420" w:firstLineChars="200"/>
        <w:rPr>
          <w:rFonts w:hAnsi="宋体"/>
          <w:color w:val="auto"/>
          <w:highlight w:val="none"/>
        </w:rPr>
      </w:pPr>
      <w:r>
        <w:rPr>
          <w:rFonts w:hint="eastAsia" w:hAnsi="宋体"/>
          <w:color w:val="auto"/>
          <w:highlight w:val="none"/>
        </w:rPr>
        <w:t>出现以上情形，不影响采购公平、公正性的，采购代理机构可以待上述情形消除后继续组织电子交易活动；影响或可能影响采购公平、公正性的，经采购代理机构确认、报采购人同意后，终止电子采购活动，应当重新采购。采购代理机构必须对原有的资料及信息作出妥善保密处理，并报财政部门备案。</w:t>
      </w:r>
    </w:p>
    <w:p w14:paraId="2D041F89">
      <w:pPr>
        <w:pStyle w:val="26"/>
        <w:snapToGrid w:val="0"/>
        <w:spacing w:line="360" w:lineRule="auto"/>
        <w:rPr>
          <w:rFonts w:hAnsi="宋体"/>
          <w:color w:val="auto"/>
          <w:sz w:val="21"/>
          <w:highlight w:val="none"/>
        </w:rPr>
      </w:pPr>
    </w:p>
    <w:p w14:paraId="0CBD07EF">
      <w:pPr>
        <w:pStyle w:val="6"/>
        <w:keepNext w:val="0"/>
        <w:keepLines w:val="0"/>
        <w:jc w:val="center"/>
        <w:rPr>
          <w:color w:val="auto"/>
          <w:highlight w:val="none"/>
        </w:rPr>
      </w:pPr>
      <w:bookmarkStart w:id="127" w:name="_Toc254970546"/>
      <w:bookmarkStart w:id="128" w:name="_Toc254970687"/>
      <w:r>
        <w:rPr>
          <w:rFonts w:hint="eastAsia"/>
          <w:color w:val="auto"/>
          <w:highlight w:val="none"/>
        </w:rPr>
        <w:t>七、</w:t>
      </w:r>
      <w:bookmarkEnd w:id="127"/>
      <w:bookmarkEnd w:id="128"/>
      <w:r>
        <w:rPr>
          <w:rFonts w:hint="eastAsia"/>
          <w:color w:val="auto"/>
          <w:highlight w:val="none"/>
        </w:rPr>
        <w:t>中标和合同</w:t>
      </w:r>
    </w:p>
    <w:p w14:paraId="5D46CCAB">
      <w:pPr>
        <w:pStyle w:val="8"/>
        <w:keepNext w:val="0"/>
        <w:keepLines w:val="0"/>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30确定中标人</w:t>
      </w:r>
    </w:p>
    <w:p w14:paraId="2C1F75AD">
      <w:pPr>
        <w:pStyle w:val="8"/>
        <w:keepNext w:val="0"/>
        <w:keepLines w:val="0"/>
        <w:spacing w:before="0" w:after="0" w:line="360" w:lineRule="auto"/>
        <w:ind w:firstLine="420" w:firstLineChars="200"/>
        <w:rPr>
          <w:rFonts w:ascii="宋体" w:hAnsi="宋体"/>
          <w:b w:val="0"/>
          <w:color w:val="auto"/>
          <w:sz w:val="21"/>
          <w:szCs w:val="21"/>
          <w:highlight w:val="none"/>
        </w:rPr>
      </w:pPr>
      <w:r>
        <w:rPr>
          <w:rFonts w:ascii="宋体" w:hAnsi="宋体"/>
          <w:b w:val="0"/>
          <w:color w:val="auto"/>
          <w:sz w:val="21"/>
          <w:szCs w:val="21"/>
          <w:highlight w:val="none"/>
        </w:rPr>
        <w:t>30.1</w:t>
      </w:r>
      <w:r>
        <w:rPr>
          <w:rFonts w:hint="eastAsia" w:ascii="宋体" w:hAnsi="宋体"/>
          <w:b w:val="0"/>
          <w:color w:val="auto"/>
          <w:sz w:val="21"/>
          <w:szCs w:val="21"/>
          <w:highlight w:val="none"/>
        </w:rPr>
        <w:t>采购代理机构在评标结束之日起2个工作日内将评标报</w:t>
      </w:r>
      <w:r>
        <w:rPr>
          <w:rFonts w:hint="eastAsia" w:ascii="宋体" w:hAnsi="宋体"/>
          <w:color w:val="auto"/>
          <w:sz w:val="21"/>
          <w:szCs w:val="21"/>
          <w:highlight w:val="none"/>
        </w:rPr>
        <w:t>告提交给采购人确认</w:t>
      </w:r>
      <w:r>
        <w:rPr>
          <w:rFonts w:hint="eastAsia" w:ascii="宋体" w:hAnsi="宋体"/>
          <w:b w:val="0"/>
          <w:color w:val="auto"/>
          <w:sz w:val="21"/>
          <w:szCs w:val="21"/>
          <w:highlight w:val="none"/>
        </w:rPr>
        <w:t>，采购人在收到评标报告之日起5个工作日内，在评标报告确定的中标候选人名单中按顺序确定中标人。中标候选人并列的，按照“投标人须知前附表”规定的方式确定中标人。采购人也可以事先授权评标委员会直接确定中标人。</w:t>
      </w:r>
    </w:p>
    <w:p w14:paraId="236416EB">
      <w:pPr>
        <w:snapToGrid w:val="0"/>
        <w:spacing w:line="360" w:lineRule="auto"/>
        <w:ind w:firstLine="420" w:firstLineChars="200"/>
        <w:rPr>
          <w:rFonts w:ascii="宋体" w:hAnsi="宋体" w:cs="Courier New"/>
          <w:color w:val="auto"/>
          <w:szCs w:val="21"/>
          <w:highlight w:val="none"/>
        </w:rPr>
      </w:pPr>
      <w:r>
        <w:rPr>
          <w:rFonts w:ascii="宋体" w:hAnsi="宋体" w:cs="Courier New"/>
          <w:color w:val="auto"/>
          <w:szCs w:val="21"/>
          <w:highlight w:val="none"/>
        </w:rPr>
        <w:t>30.2</w:t>
      </w:r>
      <w:r>
        <w:rPr>
          <w:rFonts w:hint="eastAsia" w:ascii="宋体" w:hAnsi="宋体" w:cs="Courier New"/>
          <w:color w:val="auto"/>
          <w:szCs w:val="21"/>
          <w:highlight w:val="none"/>
        </w:rPr>
        <w:t>采购人在收到评标报告5个工作日内未按评标报告推荐的中标候选人顺序确定中标人，又不能说明合法理由的，视同按评标报告推荐的顺序确定排名第一的中标候选人为中标人。</w:t>
      </w:r>
    </w:p>
    <w:p w14:paraId="5D922736">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30.3出现下列情形之一的，应予废标：</w:t>
      </w:r>
    </w:p>
    <w:p w14:paraId="1B3B4D72">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（1）符合专业条件的供应商或者对招标文件作实质响应的供应商不足三家的；</w:t>
      </w:r>
    </w:p>
    <w:p w14:paraId="5E46EB18">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（2）出现影响采购公正的违法、违规行为的；</w:t>
      </w:r>
    </w:p>
    <w:p w14:paraId="31FC1E2B">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（3）投标人的报价均超过了采购预算，采购人不能支付的；</w:t>
      </w:r>
    </w:p>
    <w:p w14:paraId="16BC7A96">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（4）因重大变故，采购任务取消的。</w:t>
      </w:r>
    </w:p>
    <w:p w14:paraId="00F1BD3C">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废标后，采购人应当将废标理由通知所有投标人。</w:t>
      </w:r>
    </w:p>
    <w:p w14:paraId="7CC912B6">
      <w:pPr>
        <w:pStyle w:val="8"/>
        <w:keepNext w:val="0"/>
        <w:keepLines w:val="0"/>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31. 结果公告</w:t>
      </w:r>
    </w:p>
    <w:p w14:paraId="6E1D4AC3">
      <w:pPr>
        <w:pStyle w:val="8"/>
        <w:keepNext w:val="0"/>
        <w:keepLines w:val="0"/>
        <w:spacing w:before="0" w:after="0" w:line="360" w:lineRule="auto"/>
        <w:ind w:firstLine="420" w:firstLineChars="200"/>
        <w:rPr>
          <w:rFonts w:ascii="宋体" w:hAnsi="宋体"/>
          <w:b w:val="0"/>
          <w:color w:val="auto"/>
          <w:sz w:val="21"/>
          <w:szCs w:val="21"/>
          <w:highlight w:val="none"/>
        </w:rPr>
      </w:pPr>
      <w:r>
        <w:rPr>
          <w:rFonts w:hint="eastAsia" w:ascii="宋体" w:hAnsi="宋体"/>
          <w:b w:val="0"/>
          <w:color w:val="auto"/>
          <w:sz w:val="21"/>
          <w:szCs w:val="21"/>
          <w:highlight w:val="none"/>
        </w:rPr>
        <w:t>3</w:t>
      </w:r>
      <w:r>
        <w:rPr>
          <w:rFonts w:ascii="宋体" w:hAnsi="宋体"/>
          <w:b w:val="0"/>
          <w:color w:val="auto"/>
          <w:sz w:val="21"/>
          <w:szCs w:val="21"/>
          <w:highlight w:val="none"/>
        </w:rPr>
        <w:t>1.1</w:t>
      </w:r>
      <w:r>
        <w:rPr>
          <w:rFonts w:hint="eastAsia" w:ascii="宋体" w:hAnsi="宋体"/>
          <w:b w:val="0"/>
          <w:color w:val="auto"/>
          <w:sz w:val="21"/>
          <w:szCs w:val="21"/>
          <w:highlight w:val="none"/>
        </w:rPr>
        <w:t>采购人或者采购代理机构应当自中标人确定之日起2个工作日内，在省级以上财政部门指定的媒体上公告中标结果，招标文件应当随中标结果同时公告。采购人或者采购代理发出中标通知书前，应当对中标人信用进行查询，对列入失信被执行人、重大税收违法案件当事人名单、政府采购严重违法失信行为记录名单及其他不符合《中华人民共和国政府采购法》第二十二条规定条件的投标人，取消其中标资格，并确定排名第二的中标候选人为中标人。排名第二的中标候选人因前款规定的同样原因被取消中标资格的，采购人可以确定排名第三的中标候选人为中标人，以此类推。</w:t>
      </w:r>
    </w:p>
    <w:p w14:paraId="4EA90C06">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以上信息查询记录及相关证据与招标文件一并保存。</w:t>
      </w:r>
    </w:p>
    <w:p w14:paraId="6F947864">
      <w:pPr>
        <w:pStyle w:val="8"/>
        <w:keepNext w:val="0"/>
        <w:keepLines w:val="0"/>
        <w:spacing w:before="0" w:after="0" w:line="360" w:lineRule="auto"/>
        <w:ind w:firstLine="420" w:firstLineChars="200"/>
        <w:rPr>
          <w:rFonts w:ascii="宋体" w:hAnsi="宋体"/>
          <w:b w:val="0"/>
          <w:color w:val="auto"/>
          <w:sz w:val="21"/>
          <w:szCs w:val="21"/>
          <w:highlight w:val="none"/>
        </w:rPr>
      </w:pPr>
      <w:r>
        <w:rPr>
          <w:rFonts w:hint="eastAsia" w:ascii="宋体" w:hAnsi="宋体"/>
          <w:b w:val="0"/>
          <w:color w:val="auto"/>
          <w:sz w:val="21"/>
          <w:szCs w:val="21"/>
          <w:highlight w:val="none"/>
        </w:rPr>
        <w:t>31.2中标供应商享受《政府采购促进中小企业发展管理办法》（财库〔2020〕46号）规定的中小企业扶持政策的，采购人、采购代理机构应当随中标结果公开中标供应商的《中小企业声明函》。</w:t>
      </w:r>
    </w:p>
    <w:p w14:paraId="026259F9">
      <w:pPr>
        <w:pStyle w:val="8"/>
        <w:keepNext w:val="0"/>
        <w:keepLines w:val="0"/>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32.发出中标通知书</w:t>
      </w:r>
    </w:p>
    <w:p w14:paraId="2AE5BD85">
      <w:pPr>
        <w:pStyle w:val="8"/>
        <w:keepNext w:val="0"/>
        <w:keepLines w:val="0"/>
        <w:spacing w:before="0" w:after="0" w:line="360" w:lineRule="auto"/>
        <w:rPr>
          <w:rFonts w:ascii="宋体" w:hAnsi="宋体"/>
          <w:b w:val="0"/>
          <w:color w:val="auto"/>
          <w:sz w:val="21"/>
          <w:szCs w:val="21"/>
          <w:highlight w:val="none"/>
        </w:rPr>
      </w:pPr>
      <w:r>
        <w:rPr>
          <w:rFonts w:hint="eastAsia" w:ascii="宋体" w:hAnsi="宋体"/>
          <w:b w:val="0"/>
          <w:color w:val="auto"/>
          <w:sz w:val="21"/>
          <w:szCs w:val="21"/>
          <w:highlight w:val="none"/>
        </w:rPr>
        <w:t>在发布中标公告的同时，采购代理机构向中标人通过</w:t>
      </w:r>
      <w:r>
        <w:rPr>
          <w:rFonts w:hint="eastAsia" w:ascii="宋体" w:hAnsi="宋体" w:cs="宋体"/>
          <w:color w:val="auto"/>
          <w:sz w:val="21"/>
          <w:szCs w:val="21"/>
          <w:highlight w:val="none"/>
        </w:rPr>
        <w:t>广西政府采购云平台</w:t>
      </w:r>
      <w:r>
        <w:rPr>
          <w:rFonts w:hint="eastAsia" w:ascii="宋体" w:hAnsi="宋体"/>
          <w:b w:val="0"/>
          <w:color w:val="auto"/>
          <w:sz w:val="21"/>
          <w:szCs w:val="21"/>
          <w:highlight w:val="none"/>
        </w:rPr>
        <w:t>发出电子中标通知书。对未通过资格审查的投标人，应当告知其未通过的原因；采用综合评分办法评审的，还应当告知未中标人本人的评审得分与排序。</w:t>
      </w:r>
    </w:p>
    <w:p w14:paraId="49088CBF">
      <w:pPr>
        <w:pStyle w:val="8"/>
        <w:keepNext w:val="0"/>
        <w:keepLines w:val="0"/>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33. 无义务解释未中标原因</w:t>
      </w:r>
    </w:p>
    <w:p w14:paraId="3225E71A">
      <w:pPr>
        <w:pStyle w:val="8"/>
        <w:keepNext w:val="0"/>
        <w:keepLines w:val="0"/>
        <w:spacing w:before="0" w:after="0" w:line="360" w:lineRule="auto"/>
        <w:ind w:left="420" w:leftChars="200"/>
        <w:rPr>
          <w:rFonts w:ascii="宋体" w:hAnsi="宋体"/>
          <w:b w:val="0"/>
          <w:color w:val="auto"/>
          <w:sz w:val="21"/>
          <w:szCs w:val="21"/>
          <w:highlight w:val="none"/>
        </w:rPr>
      </w:pPr>
      <w:r>
        <w:rPr>
          <w:rFonts w:hint="eastAsia" w:ascii="宋体" w:hAnsi="宋体"/>
          <w:b w:val="0"/>
          <w:color w:val="auto"/>
          <w:sz w:val="21"/>
          <w:szCs w:val="21"/>
          <w:highlight w:val="none"/>
        </w:rPr>
        <w:t>采购代理机构无义务向未中标的投标人解释未中标原因。</w:t>
      </w:r>
    </w:p>
    <w:p w14:paraId="6F454FD8">
      <w:pPr>
        <w:pStyle w:val="8"/>
        <w:keepNext w:val="0"/>
        <w:keepLines w:val="0"/>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34.合同授予标准</w:t>
      </w:r>
    </w:p>
    <w:p w14:paraId="2429BE33">
      <w:pPr>
        <w:snapToGrid w:val="0"/>
        <w:spacing w:line="360" w:lineRule="auto"/>
        <w:ind w:firstLine="420" w:firstLineChars="200"/>
        <w:rPr>
          <w:rFonts w:ascii="宋体" w:hAnsi="宋体"/>
          <w:color w:val="auto"/>
          <w:szCs w:val="21"/>
          <w:highlight w:val="none"/>
        </w:rPr>
      </w:pPr>
      <w:r>
        <w:rPr>
          <w:rFonts w:hint="eastAsia" w:ascii="宋体" w:hAnsi="宋体" w:cs="Courier New"/>
          <w:color w:val="auto"/>
          <w:szCs w:val="21"/>
          <w:highlight w:val="none"/>
        </w:rPr>
        <w:t>合同将授予被确定实质上响应招标文件要求，具备履行合同能力的中标人。</w:t>
      </w:r>
    </w:p>
    <w:p w14:paraId="46662FD6">
      <w:pPr>
        <w:pStyle w:val="8"/>
        <w:keepNext w:val="0"/>
        <w:keepLines w:val="0"/>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35.履约保证金</w:t>
      </w:r>
    </w:p>
    <w:p w14:paraId="161384CF">
      <w:pPr>
        <w:pStyle w:val="8"/>
        <w:keepNext w:val="0"/>
        <w:keepLines w:val="0"/>
        <w:spacing w:before="0" w:after="0" w:line="360" w:lineRule="auto"/>
        <w:ind w:firstLine="315" w:firstLineChars="150"/>
        <w:rPr>
          <w:rFonts w:ascii="宋体" w:hAnsi="宋体"/>
          <w:b w:val="0"/>
          <w:color w:val="auto"/>
          <w:sz w:val="21"/>
          <w:szCs w:val="21"/>
          <w:highlight w:val="none"/>
        </w:rPr>
      </w:pPr>
      <w:bookmarkStart w:id="129" w:name="_39.1中标人须于签订合同前按本须知前附表规定的金额转账或电汇到指定账"/>
      <w:bookmarkEnd w:id="129"/>
      <w:r>
        <w:rPr>
          <w:rFonts w:hint="eastAsia" w:ascii="宋体" w:hAnsi="宋体"/>
          <w:b w:val="0"/>
          <w:color w:val="auto"/>
          <w:sz w:val="21"/>
          <w:szCs w:val="21"/>
          <w:highlight w:val="none"/>
        </w:rPr>
        <w:t>3</w:t>
      </w:r>
      <w:r>
        <w:rPr>
          <w:rFonts w:ascii="宋体" w:hAnsi="宋体"/>
          <w:b w:val="0"/>
          <w:color w:val="auto"/>
          <w:sz w:val="21"/>
          <w:szCs w:val="21"/>
          <w:highlight w:val="none"/>
        </w:rPr>
        <w:t>5</w:t>
      </w:r>
      <w:r>
        <w:rPr>
          <w:rFonts w:hint="eastAsia" w:ascii="宋体" w:hAnsi="宋体"/>
          <w:b w:val="0"/>
          <w:color w:val="auto"/>
          <w:sz w:val="21"/>
          <w:szCs w:val="21"/>
          <w:highlight w:val="none"/>
        </w:rPr>
        <w:t>.1 履约保证金的金额、提交方式、退付的时间和条件详见 “投标人须知前附表”。中标人未按规定提交履约保证金的，视为拒绝与采购人签订合同。</w:t>
      </w:r>
    </w:p>
    <w:p w14:paraId="2A3FD0C1">
      <w:pPr>
        <w:pStyle w:val="8"/>
        <w:keepNext w:val="0"/>
        <w:keepLines w:val="0"/>
        <w:spacing w:before="0" w:after="0" w:line="360" w:lineRule="auto"/>
        <w:ind w:firstLine="315" w:firstLineChars="150"/>
        <w:rPr>
          <w:rFonts w:ascii="宋体" w:hAnsi="宋体"/>
          <w:color w:val="auto"/>
          <w:sz w:val="21"/>
          <w:szCs w:val="21"/>
          <w:highlight w:val="none"/>
        </w:rPr>
      </w:pPr>
      <w:r>
        <w:rPr>
          <w:rFonts w:hint="eastAsia" w:ascii="宋体" w:hAnsi="宋体"/>
          <w:b w:val="0"/>
          <w:bCs/>
          <w:color w:val="auto"/>
          <w:sz w:val="21"/>
          <w:szCs w:val="21"/>
          <w:highlight w:val="none"/>
        </w:rPr>
        <w:t>35.2在履约保证金退还日期前，若中标人的开户名称、开户银行、帐号有变动的，请以书面形式通知履约保证金收取单位，否则由此产生的后果由中标人自行承担。</w:t>
      </w:r>
    </w:p>
    <w:p w14:paraId="2309293C">
      <w:pPr>
        <w:pStyle w:val="8"/>
        <w:keepNext w:val="0"/>
        <w:keepLines w:val="0"/>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36.签订合同</w:t>
      </w:r>
    </w:p>
    <w:p w14:paraId="3CBE8AAC">
      <w:pPr>
        <w:pStyle w:val="8"/>
        <w:keepNext w:val="0"/>
        <w:keepLines w:val="0"/>
        <w:spacing w:before="0" w:after="0" w:line="360" w:lineRule="auto"/>
        <w:ind w:firstLine="316" w:firstLineChars="150"/>
        <w:rPr>
          <w:rFonts w:ascii="宋体" w:hAnsi="宋体"/>
          <w:b w:val="0"/>
          <w:color w:val="auto"/>
          <w:sz w:val="21"/>
          <w:szCs w:val="21"/>
          <w:highlight w:val="none"/>
        </w:rPr>
      </w:pPr>
      <w:bookmarkStart w:id="130" w:name="_40.1投标人接到中标通知书后，按须知前附表规定向采购人出示相关资格证"/>
      <w:bookmarkEnd w:id="130"/>
      <w:r>
        <w:rPr>
          <w:rFonts w:hint="eastAsia" w:ascii="宋体" w:hAnsi="宋体"/>
          <w:color w:val="auto"/>
          <w:sz w:val="21"/>
          <w:szCs w:val="21"/>
          <w:highlight w:val="none"/>
        </w:rPr>
        <w:t>36.1签订电子采购合同：中标人领取电子中标通知书后，</w:t>
      </w:r>
      <w:r>
        <w:rPr>
          <w:rFonts w:hint="eastAsia" w:ascii="宋体" w:hAnsi="宋体"/>
          <w:color w:val="auto"/>
          <w:kern w:val="0"/>
          <w:sz w:val="21"/>
          <w:szCs w:val="21"/>
          <w:highlight w:val="none"/>
        </w:rPr>
        <w:t>在</w:t>
      </w:r>
      <w:r>
        <w:rPr>
          <w:rFonts w:hint="eastAsia" w:ascii="宋体" w:hAnsi="宋体"/>
          <w:color w:val="auto"/>
          <w:kern w:val="0"/>
          <w:sz w:val="21"/>
          <w:szCs w:val="21"/>
          <w:highlight w:val="none"/>
          <w:lang w:val="zh-CN"/>
        </w:rPr>
        <w:t>规定的日期、时间、地点，由法定代表人或其授权代表与采购人代表签订电子采购合同。如中标人为联合体的，由联合体成员各方法定代表人或其授权代表与采购人代表签订合同。</w:t>
      </w:r>
    </w:p>
    <w:p w14:paraId="4494DD46">
      <w:pPr>
        <w:pStyle w:val="8"/>
        <w:keepNext w:val="0"/>
        <w:keepLines w:val="0"/>
        <w:spacing w:before="0" w:after="0" w:line="360" w:lineRule="auto"/>
        <w:ind w:firstLine="315" w:firstLineChars="150"/>
        <w:rPr>
          <w:rFonts w:ascii="宋体" w:hAnsi="宋体"/>
          <w:b w:val="0"/>
          <w:color w:val="auto"/>
          <w:sz w:val="21"/>
          <w:szCs w:val="21"/>
          <w:highlight w:val="none"/>
        </w:rPr>
      </w:pPr>
      <w:r>
        <w:rPr>
          <w:rFonts w:hint="eastAsia" w:ascii="宋体" w:hAnsi="宋体"/>
          <w:b w:val="0"/>
          <w:color w:val="auto"/>
          <w:sz w:val="21"/>
          <w:szCs w:val="21"/>
          <w:highlight w:val="none"/>
        </w:rPr>
        <w:t xml:space="preserve"> 线下签订纸质合同：投标人领取中标通知书后，按“投标人须知前附表”规定向采购人出示相关证明材料，经采购人核验合格后方可签订合同。</w:t>
      </w:r>
    </w:p>
    <w:p w14:paraId="722CC068">
      <w:pPr>
        <w:pStyle w:val="8"/>
        <w:keepNext w:val="0"/>
        <w:keepLines w:val="0"/>
        <w:numPr>
          <w:ilvl w:val="0"/>
          <w:numId w:val="0"/>
        </w:numPr>
        <w:spacing w:before="0" w:after="0" w:line="360" w:lineRule="auto"/>
        <w:ind w:firstLine="420" w:firstLineChars="200"/>
        <w:rPr>
          <w:rFonts w:ascii="宋体" w:hAnsi="宋体"/>
          <w:b w:val="0"/>
          <w:color w:val="auto"/>
          <w:sz w:val="21"/>
          <w:szCs w:val="21"/>
          <w:highlight w:val="none"/>
        </w:rPr>
      </w:pPr>
      <w:r>
        <w:rPr>
          <w:rFonts w:hint="eastAsia" w:ascii="宋体" w:hAnsi="宋体"/>
          <w:b w:val="0"/>
          <w:color w:val="auto"/>
          <w:sz w:val="21"/>
          <w:szCs w:val="21"/>
          <w:highlight w:val="none"/>
        </w:rPr>
        <w:t>36.2签订合同时间：按中标通知书规定的时间与采购人签订合同。</w:t>
      </w:r>
    </w:p>
    <w:p w14:paraId="351DF34C">
      <w:pPr>
        <w:pStyle w:val="8"/>
        <w:keepNext w:val="0"/>
        <w:keepLines w:val="0"/>
        <w:spacing w:before="0" w:after="0" w:line="360" w:lineRule="auto"/>
        <w:rPr>
          <w:rFonts w:ascii="宋体" w:hAnsi="宋体"/>
          <w:b w:val="0"/>
          <w:color w:val="auto"/>
          <w:sz w:val="21"/>
          <w:szCs w:val="21"/>
          <w:highlight w:val="none"/>
        </w:rPr>
      </w:pPr>
      <w:r>
        <w:rPr>
          <w:rFonts w:hint="eastAsia" w:ascii="宋体" w:hAnsi="宋体"/>
          <w:b w:val="0"/>
          <w:color w:val="auto"/>
          <w:sz w:val="21"/>
          <w:szCs w:val="21"/>
          <w:highlight w:val="none"/>
        </w:rPr>
        <w:t xml:space="preserve">    36.</w:t>
      </w:r>
      <w:r>
        <w:rPr>
          <w:rFonts w:ascii="宋体" w:hAnsi="宋体"/>
          <w:b w:val="0"/>
          <w:color w:val="auto"/>
          <w:sz w:val="21"/>
          <w:szCs w:val="21"/>
          <w:highlight w:val="none"/>
        </w:rPr>
        <w:t>3</w:t>
      </w:r>
      <w:r>
        <w:rPr>
          <w:rFonts w:hint="eastAsia" w:ascii="宋体" w:hAnsi="宋体"/>
          <w:b w:val="0"/>
          <w:color w:val="auto"/>
          <w:sz w:val="21"/>
          <w:szCs w:val="21"/>
          <w:highlight w:val="none"/>
        </w:rPr>
        <w:t>中标人拒绝签订政府采购合同（包括但不限于放弃中标、因不可抗力不能履行合同而放弃签订合同），采购人可以按照评审报告推荐的中标候选人名单排序，确定下一候选人为中标供应商，也可以重新开展政府采购活动。如采购人无正当理由拒签合同的，给中标供应商造成损失的，中标供应商可追究采购人承担相应的法律责任。</w:t>
      </w:r>
    </w:p>
    <w:p w14:paraId="730FC9E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36.4政府采购合同是政府采购项目验收的依据，中标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1E57312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36.5采购人或中标供应商不得单方面向合同另一方提出任何招标文件没有约定的条件或不合理的要求，作为签订合同的条件；也不得协商另行订立背离招标文件和合同实质性内容的协议。</w:t>
      </w:r>
    </w:p>
    <w:p w14:paraId="64FDE61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36.6</w:t>
      </w:r>
      <w:r>
        <w:rPr>
          <w:rFonts w:hint="eastAsia" w:ascii="宋体" w:hAnsi="宋体" w:cs="仿宋_GB2312"/>
          <w:color w:val="auto"/>
          <w:szCs w:val="21"/>
          <w:highlight w:val="none"/>
        </w:rPr>
        <w:t>如签订合同并生效后，供应商无故拒绝或延期，除按照合同条款处理外，将承担相应的法律责任。</w:t>
      </w:r>
    </w:p>
    <w:p w14:paraId="4C5AA76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36.7</w:t>
      </w:r>
      <w:r>
        <w:rPr>
          <w:rFonts w:hint="eastAsia" w:ascii="宋体" w:hAnsi="宋体" w:cs="宋体"/>
          <w:color w:val="auto"/>
          <w:szCs w:val="21"/>
          <w:highlight w:val="none"/>
        </w:rPr>
        <w:t>政府采购合同履行中，采购人需追加与合同标的相同的货物、工程或者服务的，在不改变合同其他条款的前提下，可以与供应商协商签订补充合同，但所有补充合同的采购金额不得超过原合同采购金额的10%。</w:t>
      </w:r>
    </w:p>
    <w:p w14:paraId="12E2A0C6">
      <w:pPr>
        <w:pStyle w:val="8"/>
        <w:keepNext w:val="0"/>
        <w:keepLines w:val="0"/>
        <w:spacing w:before="0" w:after="0" w:line="360" w:lineRule="auto"/>
        <w:ind w:left="420" w:leftChars="200"/>
        <w:rPr>
          <w:rFonts w:ascii="黑体" w:hAnsi="黑体" w:eastAsia="黑体"/>
          <w:color w:val="auto"/>
          <w:sz w:val="24"/>
          <w:highlight w:val="none"/>
        </w:rPr>
      </w:pPr>
      <w:bookmarkStart w:id="131" w:name="_41.政府采购合同公告"/>
      <w:bookmarkEnd w:id="131"/>
      <w:r>
        <w:rPr>
          <w:rFonts w:hint="eastAsia" w:ascii="黑体" w:hAnsi="黑体" w:eastAsia="黑体"/>
          <w:color w:val="auto"/>
          <w:sz w:val="24"/>
          <w:highlight w:val="none"/>
        </w:rPr>
        <w:t>37.政府采购合同公告</w:t>
      </w:r>
    </w:p>
    <w:p w14:paraId="4C83834B">
      <w:pPr>
        <w:pStyle w:val="26"/>
        <w:snapToGrid w:val="0"/>
        <w:spacing w:line="360" w:lineRule="auto"/>
        <w:ind w:firstLine="420" w:firstLineChars="200"/>
        <w:rPr>
          <w:rFonts w:hAnsi="宋体"/>
          <w:color w:val="auto"/>
          <w:sz w:val="21"/>
          <w:highlight w:val="none"/>
        </w:rPr>
      </w:pPr>
      <w:r>
        <w:rPr>
          <w:rFonts w:hint="eastAsia" w:hAnsi="宋体"/>
          <w:color w:val="auto"/>
          <w:sz w:val="21"/>
          <w:highlight w:val="none"/>
        </w:rPr>
        <w:t>采购人或者受托采购代理机构应当自政府采购合同签订之日起2个工作日内，将政府采购合同在省级以上人民政府财政部门指定的媒体上公告，</w:t>
      </w:r>
      <w:r>
        <w:rPr>
          <w:rFonts w:hAnsi="宋体"/>
          <w:color w:val="auto"/>
          <w:sz w:val="21"/>
          <w:highlight w:val="none"/>
        </w:rPr>
        <w:t>但政府采购合同中涉及国家秘密、商业秘密的内容除外。</w:t>
      </w:r>
    </w:p>
    <w:p w14:paraId="6129CEE9">
      <w:pPr>
        <w:pStyle w:val="8"/>
        <w:keepNext w:val="0"/>
        <w:keepLines w:val="0"/>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3</w:t>
      </w:r>
      <w:r>
        <w:rPr>
          <w:rFonts w:ascii="黑体" w:hAnsi="黑体" w:eastAsia="黑体"/>
          <w:color w:val="auto"/>
          <w:sz w:val="24"/>
          <w:highlight w:val="none"/>
        </w:rPr>
        <w:t>8.</w:t>
      </w:r>
      <w:r>
        <w:rPr>
          <w:rFonts w:hint="eastAsia" w:ascii="黑体" w:hAnsi="黑体" w:eastAsia="黑体"/>
          <w:color w:val="auto"/>
          <w:sz w:val="24"/>
          <w:highlight w:val="none"/>
        </w:rPr>
        <w:t xml:space="preserve"> 询问、质疑和投诉</w:t>
      </w:r>
    </w:p>
    <w:p w14:paraId="36569FBF">
      <w:pPr>
        <w:pStyle w:val="9"/>
        <w:spacing w:line="360" w:lineRule="auto"/>
        <w:rPr>
          <w:rFonts w:ascii="宋体" w:hAnsi="宋体"/>
          <w:color w:val="auto"/>
          <w:szCs w:val="21"/>
          <w:highlight w:val="none"/>
        </w:rPr>
      </w:pPr>
      <w:r>
        <w:rPr>
          <w:rFonts w:ascii="宋体" w:hAnsi="宋体"/>
          <w:color w:val="auto"/>
          <w:szCs w:val="21"/>
          <w:highlight w:val="none"/>
        </w:rPr>
        <w:t>38.1</w:t>
      </w:r>
      <w:r>
        <w:rPr>
          <w:rFonts w:hint="eastAsia" w:ascii="宋体" w:hAnsi="宋体"/>
          <w:color w:val="auto"/>
          <w:szCs w:val="21"/>
          <w:highlight w:val="none"/>
        </w:rPr>
        <w:t>供应商对政府采购活动事项有疑问的，可以向采购人提出询问，采购人或者采购代理机构应当在3个工作日内对供应商依法提出的询问作出答复，但答复的内容不得涉及商业秘密。</w:t>
      </w:r>
    </w:p>
    <w:p w14:paraId="4AB62D06">
      <w:pPr>
        <w:pStyle w:val="8"/>
        <w:keepNext w:val="0"/>
        <w:keepLines w:val="0"/>
        <w:spacing w:before="0" w:after="0" w:line="360" w:lineRule="auto"/>
        <w:ind w:firstLine="315" w:firstLineChars="150"/>
        <w:rPr>
          <w:rFonts w:ascii="宋体" w:hAnsi="宋体"/>
          <w:b w:val="0"/>
          <w:color w:val="auto"/>
          <w:sz w:val="21"/>
          <w:szCs w:val="21"/>
          <w:highlight w:val="none"/>
        </w:rPr>
      </w:pPr>
      <w:r>
        <w:rPr>
          <w:rFonts w:ascii="宋体" w:hAnsi="宋体"/>
          <w:b w:val="0"/>
          <w:color w:val="auto"/>
          <w:sz w:val="21"/>
          <w:szCs w:val="21"/>
          <w:highlight w:val="none"/>
        </w:rPr>
        <w:t>38</w:t>
      </w:r>
      <w:r>
        <w:rPr>
          <w:rFonts w:hint="eastAsia" w:ascii="宋体" w:hAnsi="宋体"/>
          <w:b w:val="0"/>
          <w:color w:val="auto"/>
          <w:sz w:val="21"/>
          <w:szCs w:val="21"/>
          <w:highlight w:val="none"/>
        </w:rPr>
        <w:t>.</w:t>
      </w:r>
      <w:r>
        <w:rPr>
          <w:rFonts w:ascii="宋体" w:hAnsi="宋体"/>
          <w:b w:val="0"/>
          <w:color w:val="auto"/>
          <w:sz w:val="21"/>
          <w:szCs w:val="21"/>
          <w:highlight w:val="none"/>
        </w:rPr>
        <w:t>2</w:t>
      </w:r>
      <w:r>
        <w:rPr>
          <w:rFonts w:hint="eastAsia" w:ascii="宋体" w:hAnsi="宋体"/>
          <w:b w:val="0"/>
          <w:color w:val="auto"/>
          <w:sz w:val="21"/>
          <w:szCs w:val="21"/>
          <w:highlight w:val="none"/>
        </w:rPr>
        <w:t xml:space="preserve">供应商认为招标文件、采购过程或者中标结果使自己的合法权益受到损害的，必须在知道或者应知其权益受到损害之日起7个工作日内，以书面形式向采购人、采购代理机构提出质疑。采购人、采购代理机构接收质疑函的方式、联系部门、联系电话和通讯地址等信息详见“投标人须知前附表”。具体质疑起算时间如下： </w:t>
      </w:r>
    </w:p>
    <w:p w14:paraId="3AB636F3">
      <w:pPr>
        <w:pStyle w:val="26"/>
        <w:snapToGrid w:val="0"/>
        <w:spacing w:line="360" w:lineRule="auto"/>
        <w:ind w:firstLine="420" w:firstLineChars="200"/>
        <w:rPr>
          <w:rFonts w:hAnsi="宋体"/>
          <w:color w:val="auto"/>
          <w:sz w:val="21"/>
          <w:highlight w:val="none"/>
        </w:rPr>
      </w:pPr>
      <w:r>
        <w:rPr>
          <w:rFonts w:hAnsi="宋体"/>
          <w:color w:val="auto"/>
          <w:sz w:val="21"/>
          <w:highlight w:val="none"/>
        </w:rPr>
        <w:t>（</w:t>
      </w:r>
      <w:r>
        <w:rPr>
          <w:rFonts w:hint="eastAsia" w:hAnsi="宋体"/>
          <w:color w:val="auto"/>
          <w:sz w:val="21"/>
          <w:highlight w:val="none"/>
        </w:rPr>
        <w:t>1</w:t>
      </w:r>
      <w:r>
        <w:rPr>
          <w:rFonts w:hAnsi="宋体"/>
          <w:color w:val="auto"/>
          <w:sz w:val="21"/>
          <w:highlight w:val="none"/>
        </w:rPr>
        <w:t>）对可以质疑的</w:t>
      </w:r>
      <w:r>
        <w:rPr>
          <w:rFonts w:hint="eastAsia" w:hAnsi="宋体"/>
          <w:color w:val="auto"/>
          <w:sz w:val="21"/>
          <w:highlight w:val="none"/>
        </w:rPr>
        <w:t>招标</w:t>
      </w:r>
      <w:r>
        <w:rPr>
          <w:rFonts w:hAnsi="宋体"/>
          <w:color w:val="auto"/>
          <w:sz w:val="21"/>
          <w:highlight w:val="none"/>
        </w:rPr>
        <w:t>文件提出质疑的，为收到</w:t>
      </w:r>
      <w:r>
        <w:rPr>
          <w:rFonts w:hint="eastAsia" w:hAnsi="宋体"/>
          <w:color w:val="auto"/>
          <w:sz w:val="21"/>
          <w:highlight w:val="none"/>
        </w:rPr>
        <w:t>招标</w:t>
      </w:r>
      <w:r>
        <w:rPr>
          <w:rFonts w:hAnsi="宋体"/>
          <w:color w:val="auto"/>
          <w:sz w:val="21"/>
          <w:highlight w:val="none"/>
        </w:rPr>
        <w:t>文件之日</w:t>
      </w:r>
      <w:r>
        <w:rPr>
          <w:rFonts w:hint="eastAsia" w:hAnsi="宋体"/>
          <w:color w:val="auto"/>
          <w:sz w:val="21"/>
          <w:highlight w:val="none"/>
        </w:rPr>
        <w:t>或者招标文件公告期限届满之日</w:t>
      </w:r>
      <w:r>
        <w:rPr>
          <w:rFonts w:hAnsi="宋体"/>
          <w:color w:val="auto"/>
          <w:sz w:val="21"/>
          <w:highlight w:val="none"/>
        </w:rPr>
        <w:t>；</w:t>
      </w:r>
    </w:p>
    <w:p w14:paraId="04FE1144">
      <w:pPr>
        <w:pStyle w:val="26"/>
        <w:snapToGrid w:val="0"/>
        <w:spacing w:line="360" w:lineRule="auto"/>
        <w:ind w:firstLine="420" w:firstLineChars="200"/>
        <w:rPr>
          <w:rFonts w:hAnsi="宋体"/>
          <w:color w:val="auto"/>
          <w:sz w:val="21"/>
          <w:highlight w:val="none"/>
        </w:rPr>
      </w:pPr>
      <w:r>
        <w:rPr>
          <w:rFonts w:hAnsi="宋体"/>
          <w:color w:val="auto"/>
          <w:sz w:val="21"/>
          <w:highlight w:val="none"/>
        </w:rPr>
        <w:t>（</w:t>
      </w:r>
      <w:r>
        <w:rPr>
          <w:rFonts w:hint="eastAsia" w:hAnsi="宋体"/>
          <w:color w:val="auto"/>
          <w:sz w:val="21"/>
          <w:highlight w:val="none"/>
        </w:rPr>
        <w:t>2</w:t>
      </w:r>
      <w:r>
        <w:rPr>
          <w:rFonts w:hAnsi="宋体"/>
          <w:color w:val="auto"/>
          <w:sz w:val="21"/>
          <w:highlight w:val="none"/>
        </w:rPr>
        <w:t>）对</w:t>
      </w:r>
      <w:r>
        <w:rPr>
          <w:rFonts w:hint="eastAsia" w:hAnsi="宋体"/>
          <w:color w:val="auto"/>
          <w:sz w:val="21"/>
          <w:highlight w:val="none"/>
        </w:rPr>
        <w:t>采购</w:t>
      </w:r>
      <w:r>
        <w:rPr>
          <w:rFonts w:hAnsi="宋体"/>
          <w:color w:val="auto"/>
          <w:sz w:val="21"/>
          <w:highlight w:val="none"/>
        </w:rPr>
        <w:t>过程提出质疑的，为各采购程序环节结束之日；</w:t>
      </w:r>
    </w:p>
    <w:p w14:paraId="4494C9D3">
      <w:pPr>
        <w:pStyle w:val="26"/>
        <w:snapToGrid w:val="0"/>
        <w:spacing w:line="360" w:lineRule="auto"/>
        <w:ind w:firstLine="420" w:firstLineChars="200"/>
        <w:rPr>
          <w:rFonts w:hAnsi="宋体"/>
          <w:bCs/>
          <w:color w:val="auto"/>
          <w:sz w:val="21"/>
          <w:highlight w:val="none"/>
        </w:rPr>
      </w:pPr>
      <w:r>
        <w:rPr>
          <w:rFonts w:hAnsi="宋体"/>
          <w:color w:val="auto"/>
          <w:sz w:val="21"/>
          <w:highlight w:val="none"/>
        </w:rPr>
        <w:t>（</w:t>
      </w:r>
      <w:r>
        <w:rPr>
          <w:rFonts w:hint="eastAsia" w:hAnsi="宋体"/>
          <w:color w:val="auto"/>
          <w:sz w:val="21"/>
          <w:highlight w:val="none"/>
        </w:rPr>
        <w:t>3</w:t>
      </w:r>
      <w:r>
        <w:rPr>
          <w:rFonts w:hAnsi="宋体"/>
          <w:color w:val="auto"/>
          <w:sz w:val="21"/>
          <w:highlight w:val="none"/>
        </w:rPr>
        <w:t>）对中标结果提出质疑的，为中标结果公告期限届满之日。</w:t>
      </w:r>
    </w:p>
    <w:p w14:paraId="284F6011">
      <w:pPr>
        <w:pStyle w:val="8"/>
        <w:keepNext w:val="0"/>
        <w:keepLines w:val="0"/>
        <w:spacing w:before="0" w:after="0" w:line="360" w:lineRule="auto"/>
        <w:ind w:firstLine="315" w:firstLineChars="150"/>
        <w:rPr>
          <w:rFonts w:ascii="宋体" w:hAnsi="宋体"/>
          <w:b w:val="0"/>
          <w:color w:val="auto"/>
          <w:sz w:val="21"/>
          <w:szCs w:val="21"/>
          <w:highlight w:val="none"/>
        </w:rPr>
      </w:pPr>
      <w:bookmarkStart w:id="132" w:name="_9.2质疑、投诉应当采用书面形式，质疑函、投诉书均应明确阐述招标文件、"/>
      <w:bookmarkEnd w:id="132"/>
      <w:r>
        <w:rPr>
          <w:rFonts w:ascii="宋体" w:hAnsi="宋体"/>
          <w:b w:val="0"/>
          <w:color w:val="auto"/>
          <w:sz w:val="21"/>
          <w:szCs w:val="21"/>
          <w:highlight w:val="none"/>
        </w:rPr>
        <w:t>38</w:t>
      </w:r>
      <w:r>
        <w:rPr>
          <w:rFonts w:hint="eastAsia" w:ascii="宋体" w:hAnsi="宋体"/>
          <w:b w:val="0"/>
          <w:color w:val="auto"/>
          <w:sz w:val="21"/>
          <w:szCs w:val="21"/>
          <w:highlight w:val="none"/>
        </w:rPr>
        <w:t>.</w:t>
      </w:r>
      <w:r>
        <w:rPr>
          <w:rFonts w:ascii="宋体" w:hAnsi="宋体"/>
          <w:b w:val="0"/>
          <w:color w:val="auto"/>
          <w:sz w:val="21"/>
          <w:szCs w:val="21"/>
          <w:highlight w:val="none"/>
        </w:rPr>
        <w:t>3</w:t>
      </w:r>
      <w:r>
        <w:rPr>
          <w:rFonts w:hAnsi="宋体"/>
          <w:b w:val="0"/>
          <w:bCs/>
          <w:color w:val="auto"/>
          <w:sz w:val="21"/>
          <w:highlight w:val="none"/>
        </w:rPr>
        <w:t>供应商提出质疑应当提交质疑函和必要的证明材料</w:t>
      </w:r>
      <w:r>
        <w:rPr>
          <w:rFonts w:hint="eastAsia" w:hAnsi="宋体"/>
          <w:b w:val="0"/>
          <w:bCs/>
          <w:color w:val="auto"/>
          <w:sz w:val="21"/>
          <w:highlight w:val="none"/>
        </w:rPr>
        <w:t>，</w:t>
      </w:r>
      <w:r>
        <w:rPr>
          <w:rFonts w:hAnsi="宋体"/>
          <w:b w:val="0"/>
          <w:bCs/>
          <w:color w:val="auto"/>
          <w:sz w:val="21"/>
          <w:highlight w:val="none"/>
        </w:rPr>
        <w:t>针对同一采购程序环节的质疑</w:t>
      </w:r>
      <w:r>
        <w:rPr>
          <w:rFonts w:hint="eastAsia" w:hAnsi="宋体"/>
          <w:b w:val="0"/>
          <w:bCs/>
          <w:color w:val="auto"/>
          <w:sz w:val="21"/>
          <w:highlight w:val="none"/>
        </w:rPr>
        <w:t>必须</w:t>
      </w:r>
      <w:r>
        <w:rPr>
          <w:rFonts w:hAnsi="宋体"/>
          <w:b w:val="0"/>
          <w:bCs/>
          <w:color w:val="auto"/>
          <w:sz w:val="21"/>
          <w:highlight w:val="none"/>
        </w:rPr>
        <w:t>在法定质疑期内一次性提出。质疑函应当包括下列内容</w:t>
      </w:r>
      <w:r>
        <w:rPr>
          <w:rFonts w:hint="eastAsia" w:hAnsi="宋体"/>
          <w:b w:val="0"/>
          <w:bCs/>
          <w:color w:val="auto"/>
          <w:sz w:val="21"/>
          <w:highlight w:val="none"/>
        </w:rPr>
        <w:t>（质疑函格式后附）</w:t>
      </w:r>
      <w:r>
        <w:rPr>
          <w:rFonts w:hAnsi="宋体"/>
          <w:b w:val="0"/>
          <w:bCs/>
          <w:color w:val="auto"/>
          <w:sz w:val="21"/>
          <w:highlight w:val="none"/>
        </w:rPr>
        <w:t>：</w:t>
      </w:r>
    </w:p>
    <w:p w14:paraId="065BAD0E">
      <w:pPr>
        <w:pStyle w:val="26"/>
        <w:snapToGrid w:val="0"/>
        <w:spacing w:line="360" w:lineRule="auto"/>
        <w:ind w:firstLine="420" w:firstLineChars="200"/>
        <w:rPr>
          <w:rFonts w:hAnsi="宋体"/>
          <w:bCs/>
          <w:color w:val="auto"/>
          <w:sz w:val="21"/>
          <w:highlight w:val="none"/>
        </w:rPr>
      </w:pPr>
      <w:r>
        <w:rPr>
          <w:rFonts w:hAnsi="宋体"/>
          <w:bCs/>
          <w:color w:val="auto"/>
          <w:sz w:val="21"/>
          <w:highlight w:val="none"/>
        </w:rPr>
        <w:t>（</w:t>
      </w:r>
      <w:r>
        <w:rPr>
          <w:rFonts w:hint="eastAsia" w:hAnsi="宋体"/>
          <w:bCs/>
          <w:color w:val="auto"/>
          <w:sz w:val="21"/>
          <w:highlight w:val="none"/>
        </w:rPr>
        <w:t>1</w:t>
      </w:r>
      <w:r>
        <w:rPr>
          <w:rFonts w:hAnsi="宋体"/>
          <w:bCs/>
          <w:color w:val="auto"/>
          <w:sz w:val="21"/>
          <w:highlight w:val="none"/>
        </w:rPr>
        <w:t>）供应商的姓名或者名称、地址、邮编、联系人及联系电话；</w:t>
      </w:r>
    </w:p>
    <w:p w14:paraId="73CF36AC">
      <w:pPr>
        <w:pStyle w:val="26"/>
        <w:snapToGrid w:val="0"/>
        <w:spacing w:line="360" w:lineRule="auto"/>
        <w:ind w:firstLine="420" w:firstLineChars="200"/>
        <w:rPr>
          <w:rFonts w:hAnsi="宋体"/>
          <w:bCs/>
          <w:color w:val="auto"/>
          <w:sz w:val="21"/>
          <w:highlight w:val="none"/>
        </w:rPr>
      </w:pPr>
      <w:r>
        <w:rPr>
          <w:rFonts w:hAnsi="宋体"/>
          <w:bCs/>
          <w:color w:val="auto"/>
          <w:sz w:val="21"/>
          <w:highlight w:val="none"/>
        </w:rPr>
        <w:t>（</w:t>
      </w:r>
      <w:r>
        <w:rPr>
          <w:rFonts w:hint="eastAsia" w:hAnsi="宋体"/>
          <w:bCs/>
          <w:color w:val="auto"/>
          <w:sz w:val="21"/>
          <w:highlight w:val="none"/>
        </w:rPr>
        <w:t>2</w:t>
      </w:r>
      <w:r>
        <w:rPr>
          <w:rFonts w:hAnsi="宋体"/>
          <w:bCs/>
          <w:color w:val="auto"/>
          <w:sz w:val="21"/>
          <w:highlight w:val="none"/>
        </w:rPr>
        <w:t>）质疑项目的名称、编号；</w:t>
      </w:r>
    </w:p>
    <w:p w14:paraId="08CC49BE">
      <w:pPr>
        <w:pStyle w:val="26"/>
        <w:snapToGrid w:val="0"/>
        <w:spacing w:line="360" w:lineRule="auto"/>
        <w:ind w:firstLine="420" w:firstLineChars="200"/>
        <w:rPr>
          <w:rFonts w:hAnsi="宋体"/>
          <w:bCs/>
          <w:color w:val="auto"/>
          <w:sz w:val="21"/>
          <w:highlight w:val="none"/>
        </w:rPr>
      </w:pPr>
      <w:r>
        <w:rPr>
          <w:rFonts w:hAnsi="宋体"/>
          <w:bCs/>
          <w:color w:val="auto"/>
          <w:sz w:val="21"/>
          <w:highlight w:val="none"/>
        </w:rPr>
        <w:t>（</w:t>
      </w:r>
      <w:r>
        <w:rPr>
          <w:rFonts w:hint="eastAsia" w:hAnsi="宋体"/>
          <w:bCs/>
          <w:color w:val="auto"/>
          <w:sz w:val="21"/>
          <w:highlight w:val="none"/>
        </w:rPr>
        <w:t>3</w:t>
      </w:r>
      <w:r>
        <w:rPr>
          <w:rFonts w:hAnsi="宋体"/>
          <w:bCs/>
          <w:color w:val="auto"/>
          <w:sz w:val="21"/>
          <w:highlight w:val="none"/>
        </w:rPr>
        <w:t>）具体、明确的质疑事项和与质疑事项相关的请求；</w:t>
      </w:r>
    </w:p>
    <w:p w14:paraId="4FE79B42">
      <w:pPr>
        <w:pStyle w:val="26"/>
        <w:snapToGrid w:val="0"/>
        <w:spacing w:line="360" w:lineRule="auto"/>
        <w:ind w:firstLine="420" w:firstLineChars="200"/>
        <w:rPr>
          <w:rFonts w:hAnsi="宋体"/>
          <w:bCs/>
          <w:color w:val="auto"/>
          <w:sz w:val="21"/>
          <w:highlight w:val="none"/>
        </w:rPr>
      </w:pPr>
      <w:r>
        <w:rPr>
          <w:rFonts w:hAnsi="宋体"/>
          <w:bCs/>
          <w:color w:val="auto"/>
          <w:sz w:val="21"/>
          <w:highlight w:val="none"/>
        </w:rPr>
        <w:t>（</w:t>
      </w:r>
      <w:r>
        <w:rPr>
          <w:rFonts w:hint="eastAsia" w:hAnsi="宋体"/>
          <w:bCs/>
          <w:color w:val="auto"/>
          <w:sz w:val="21"/>
          <w:highlight w:val="none"/>
        </w:rPr>
        <w:t>4</w:t>
      </w:r>
      <w:r>
        <w:rPr>
          <w:rFonts w:hAnsi="宋体"/>
          <w:bCs/>
          <w:color w:val="auto"/>
          <w:sz w:val="21"/>
          <w:highlight w:val="none"/>
        </w:rPr>
        <w:t>）事实依据；</w:t>
      </w:r>
    </w:p>
    <w:p w14:paraId="53729DD3">
      <w:pPr>
        <w:pStyle w:val="26"/>
        <w:snapToGrid w:val="0"/>
        <w:spacing w:line="360" w:lineRule="auto"/>
        <w:ind w:firstLine="420" w:firstLineChars="200"/>
        <w:rPr>
          <w:rFonts w:hAnsi="宋体"/>
          <w:bCs/>
          <w:color w:val="auto"/>
          <w:sz w:val="21"/>
          <w:highlight w:val="none"/>
        </w:rPr>
      </w:pPr>
      <w:r>
        <w:rPr>
          <w:rFonts w:hAnsi="宋体"/>
          <w:bCs/>
          <w:color w:val="auto"/>
          <w:sz w:val="21"/>
          <w:highlight w:val="none"/>
        </w:rPr>
        <w:t>（</w:t>
      </w:r>
      <w:r>
        <w:rPr>
          <w:rFonts w:hint="eastAsia" w:hAnsi="宋体"/>
          <w:bCs/>
          <w:color w:val="auto"/>
          <w:sz w:val="21"/>
          <w:highlight w:val="none"/>
        </w:rPr>
        <w:t>5</w:t>
      </w:r>
      <w:r>
        <w:rPr>
          <w:rFonts w:hAnsi="宋体"/>
          <w:bCs/>
          <w:color w:val="auto"/>
          <w:sz w:val="21"/>
          <w:highlight w:val="none"/>
        </w:rPr>
        <w:t>）必要的法律依据；</w:t>
      </w:r>
    </w:p>
    <w:p w14:paraId="62DD0B5D">
      <w:pPr>
        <w:pStyle w:val="26"/>
        <w:snapToGrid w:val="0"/>
        <w:spacing w:line="360" w:lineRule="auto"/>
        <w:ind w:firstLine="420" w:firstLineChars="200"/>
        <w:rPr>
          <w:rFonts w:hAnsi="宋体"/>
          <w:bCs/>
          <w:color w:val="auto"/>
          <w:sz w:val="21"/>
          <w:highlight w:val="none"/>
        </w:rPr>
      </w:pPr>
      <w:r>
        <w:rPr>
          <w:rFonts w:hAnsi="宋体"/>
          <w:bCs/>
          <w:color w:val="auto"/>
          <w:sz w:val="21"/>
          <w:highlight w:val="none"/>
        </w:rPr>
        <w:t>（</w:t>
      </w:r>
      <w:r>
        <w:rPr>
          <w:rFonts w:hint="eastAsia" w:hAnsi="宋体"/>
          <w:bCs/>
          <w:color w:val="auto"/>
          <w:sz w:val="21"/>
          <w:highlight w:val="none"/>
        </w:rPr>
        <w:t>6</w:t>
      </w:r>
      <w:r>
        <w:rPr>
          <w:rFonts w:hAnsi="宋体"/>
          <w:bCs/>
          <w:color w:val="auto"/>
          <w:sz w:val="21"/>
          <w:highlight w:val="none"/>
        </w:rPr>
        <w:t>）提出质疑的日期。</w:t>
      </w:r>
    </w:p>
    <w:p w14:paraId="50FB7113">
      <w:pPr>
        <w:pStyle w:val="26"/>
        <w:snapToGrid w:val="0"/>
        <w:spacing w:line="360" w:lineRule="auto"/>
        <w:ind w:firstLine="420" w:firstLineChars="200"/>
        <w:rPr>
          <w:rFonts w:hAnsi="宋体"/>
          <w:bCs/>
          <w:color w:val="auto"/>
          <w:sz w:val="21"/>
          <w:highlight w:val="none"/>
        </w:rPr>
      </w:pPr>
      <w:r>
        <w:rPr>
          <w:rFonts w:hAnsi="宋体"/>
          <w:bCs/>
          <w:color w:val="auto"/>
          <w:sz w:val="21"/>
          <w:highlight w:val="none"/>
        </w:rPr>
        <w:t>供应商为自然人的，应当由本人签字；供应商为法人或者其他组织的，应当由法定代表人、主要负责人，或者其委托代理人签字或者盖章，并加盖公章</w:t>
      </w:r>
      <w:r>
        <w:rPr>
          <w:rFonts w:hint="eastAsia" w:hAnsi="宋体"/>
          <w:bCs/>
          <w:color w:val="auto"/>
          <w:sz w:val="21"/>
          <w:highlight w:val="none"/>
        </w:rPr>
        <w:t>。</w:t>
      </w:r>
    </w:p>
    <w:p w14:paraId="5E1F80BC">
      <w:pPr>
        <w:pStyle w:val="8"/>
        <w:keepNext w:val="0"/>
        <w:keepLines w:val="0"/>
        <w:snapToGrid w:val="0"/>
        <w:spacing w:before="0" w:after="0" w:line="360" w:lineRule="auto"/>
        <w:ind w:firstLine="420" w:firstLineChars="200"/>
        <w:rPr>
          <w:rFonts w:ascii="宋体" w:hAnsi="宋体"/>
          <w:b w:val="0"/>
          <w:bCs/>
          <w:color w:val="auto"/>
          <w:sz w:val="21"/>
          <w:szCs w:val="21"/>
          <w:highlight w:val="none"/>
        </w:rPr>
      </w:pPr>
      <w:r>
        <w:rPr>
          <w:rFonts w:ascii="宋体" w:hAnsi="宋体"/>
          <w:b w:val="0"/>
          <w:color w:val="auto"/>
          <w:sz w:val="21"/>
          <w:szCs w:val="21"/>
          <w:highlight w:val="none"/>
        </w:rPr>
        <w:t>3</w:t>
      </w:r>
      <w:r>
        <w:rPr>
          <w:rFonts w:ascii="宋体" w:hAnsi="宋体"/>
          <w:b w:val="0"/>
          <w:bCs/>
          <w:color w:val="auto"/>
          <w:sz w:val="21"/>
          <w:szCs w:val="21"/>
          <w:highlight w:val="none"/>
        </w:rPr>
        <w:t>8.4</w:t>
      </w:r>
      <w:r>
        <w:rPr>
          <w:rFonts w:hint="eastAsia" w:ascii="宋体" w:hAnsi="宋体"/>
          <w:b w:val="0"/>
          <w:bCs/>
          <w:color w:val="auto"/>
          <w:sz w:val="21"/>
          <w:szCs w:val="21"/>
          <w:highlight w:val="none"/>
        </w:rPr>
        <w:t>采购人、采购代理机构认为供应商质疑不成立，或者成立但未对中标结果构成影响的，继续开展采购活动；认为供应商质疑成立且影响或者可能影响中标结果的，按照下列情况处理：</w:t>
      </w:r>
    </w:p>
    <w:p w14:paraId="5AD5ED43">
      <w:pPr>
        <w:pStyle w:val="26"/>
        <w:snapToGrid w:val="0"/>
        <w:spacing w:line="360" w:lineRule="auto"/>
        <w:rPr>
          <w:rFonts w:hAnsi="宋体"/>
          <w:bCs/>
          <w:color w:val="auto"/>
          <w:sz w:val="21"/>
          <w:highlight w:val="none"/>
        </w:rPr>
      </w:pPr>
      <w:r>
        <w:rPr>
          <w:rFonts w:hint="eastAsia" w:hAnsi="宋体"/>
          <w:bCs/>
          <w:color w:val="auto"/>
          <w:sz w:val="21"/>
          <w:highlight w:val="none"/>
        </w:rPr>
        <w:t>　　（一）对招标文件提出的质疑，依法通过澄清或者修改可以继续开展采购活动的，澄清或者修改招标文件后继续开展采购活动；否则应当修改招标文件后重新开展采购活动。</w:t>
      </w:r>
    </w:p>
    <w:p w14:paraId="2F935286">
      <w:pPr>
        <w:pStyle w:val="26"/>
        <w:snapToGrid w:val="0"/>
        <w:spacing w:line="360" w:lineRule="auto"/>
        <w:rPr>
          <w:rFonts w:hAnsi="宋体"/>
          <w:bCs/>
          <w:color w:val="auto"/>
          <w:sz w:val="21"/>
          <w:highlight w:val="none"/>
        </w:rPr>
      </w:pPr>
      <w:r>
        <w:rPr>
          <w:rFonts w:hint="eastAsia" w:hAnsi="宋体"/>
          <w:bCs/>
          <w:color w:val="auto"/>
          <w:sz w:val="21"/>
          <w:highlight w:val="none"/>
        </w:rPr>
        <w:t>　　（二）对采购过程、中标结果提出的质疑，合格供应商符合法定数量时，可以从合格的中标候选人中另行确定中标供应商的，应当依法另行确定中标供应商；否则应当重新开展采购活动。</w:t>
      </w:r>
    </w:p>
    <w:p w14:paraId="648E86E2">
      <w:pPr>
        <w:pStyle w:val="26"/>
        <w:snapToGrid w:val="0"/>
        <w:spacing w:line="360" w:lineRule="auto"/>
        <w:ind w:firstLine="420"/>
        <w:rPr>
          <w:rFonts w:hAnsi="宋体"/>
          <w:bCs/>
          <w:color w:val="auto"/>
          <w:sz w:val="21"/>
          <w:highlight w:val="none"/>
        </w:rPr>
      </w:pPr>
      <w:r>
        <w:rPr>
          <w:rFonts w:hint="eastAsia" w:hAnsi="宋体"/>
          <w:bCs/>
          <w:color w:val="auto"/>
          <w:sz w:val="21"/>
          <w:highlight w:val="none"/>
        </w:rPr>
        <w:t>质疑答复导致中标结果改变的，采购人或者采购代理机构应当将有关情况书面报告本级财政部门。</w:t>
      </w:r>
    </w:p>
    <w:p w14:paraId="1C959174">
      <w:pPr>
        <w:pStyle w:val="26"/>
        <w:snapToGrid w:val="0"/>
        <w:spacing w:line="360" w:lineRule="auto"/>
        <w:ind w:firstLine="420" w:firstLineChars="200"/>
        <w:rPr>
          <w:rFonts w:hAnsi="宋体"/>
          <w:color w:val="auto"/>
          <w:sz w:val="21"/>
          <w:highlight w:val="none"/>
        </w:rPr>
      </w:pPr>
      <w:r>
        <w:rPr>
          <w:rFonts w:hAnsi="宋体"/>
          <w:color w:val="auto"/>
          <w:sz w:val="21"/>
          <w:highlight w:val="none"/>
        </w:rPr>
        <w:t>38</w:t>
      </w:r>
      <w:r>
        <w:rPr>
          <w:rFonts w:hint="eastAsia" w:hAnsi="宋体"/>
          <w:color w:val="auto"/>
          <w:sz w:val="21"/>
          <w:highlight w:val="none"/>
        </w:rPr>
        <w:t>.</w:t>
      </w:r>
      <w:r>
        <w:rPr>
          <w:rFonts w:hAnsi="宋体"/>
          <w:color w:val="auto"/>
          <w:sz w:val="21"/>
          <w:highlight w:val="none"/>
        </w:rPr>
        <w:t>5</w:t>
      </w:r>
      <w:r>
        <w:rPr>
          <w:rFonts w:hint="eastAsia" w:hAnsi="宋体"/>
          <w:color w:val="auto"/>
          <w:sz w:val="21"/>
          <w:highlight w:val="none"/>
        </w:rPr>
        <w:t>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5E7AC0CF">
      <w:pPr>
        <w:pStyle w:val="6"/>
        <w:keepNext w:val="0"/>
        <w:keepLines w:val="0"/>
        <w:spacing w:before="240" w:after="240" w:line="415" w:lineRule="auto"/>
        <w:jc w:val="center"/>
        <w:rPr>
          <w:color w:val="auto"/>
          <w:highlight w:val="none"/>
        </w:rPr>
      </w:pPr>
      <w:bookmarkStart w:id="133" w:name="_八、其他事项"/>
      <w:bookmarkEnd w:id="133"/>
      <w:r>
        <w:rPr>
          <w:rFonts w:hint="eastAsia"/>
          <w:color w:val="auto"/>
          <w:highlight w:val="none"/>
        </w:rPr>
        <w:t>八、其他事项</w:t>
      </w:r>
    </w:p>
    <w:p w14:paraId="5D558588">
      <w:pPr>
        <w:pStyle w:val="8"/>
        <w:keepNext w:val="0"/>
        <w:keepLines w:val="0"/>
        <w:spacing w:before="0" w:after="0" w:line="360" w:lineRule="auto"/>
        <w:ind w:left="420" w:leftChars="200"/>
        <w:rPr>
          <w:rFonts w:ascii="黑体" w:hAnsi="黑体" w:eastAsia="黑体"/>
          <w:color w:val="auto"/>
          <w:sz w:val="24"/>
          <w:highlight w:val="none"/>
        </w:rPr>
      </w:pPr>
      <w:bookmarkStart w:id="134" w:name="_42.代理服务费"/>
      <w:bookmarkEnd w:id="134"/>
      <w:r>
        <w:rPr>
          <w:rFonts w:hint="eastAsia" w:ascii="黑体" w:hAnsi="黑体" w:eastAsia="黑体"/>
          <w:color w:val="auto"/>
          <w:sz w:val="24"/>
          <w:highlight w:val="none"/>
        </w:rPr>
        <w:t>3</w:t>
      </w:r>
      <w:r>
        <w:rPr>
          <w:rFonts w:ascii="黑体" w:hAnsi="黑体" w:eastAsia="黑体"/>
          <w:color w:val="auto"/>
          <w:sz w:val="24"/>
          <w:highlight w:val="none"/>
        </w:rPr>
        <w:t>9</w:t>
      </w:r>
      <w:r>
        <w:rPr>
          <w:rFonts w:hint="eastAsia" w:ascii="黑体" w:hAnsi="黑体" w:eastAsia="黑体"/>
          <w:color w:val="auto"/>
          <w:sz w:val="24"/>
          <w:highlight w:val="none"/>
        </w:rPr>
        <w:t>.代理服务费</w:t>
      </w:r>
    </w:p>
    <w:p w14:paraId="3D29CE63">
      <w:pPr>
        <w:pStyle w:val="8"/>
        <w:keepNext w:val="0"/>
        <w:keepLines w:val="0"/>
        <w:spacing w:before="0" w:after="0" w:line="360" w:lineRule="auto"/>
        <w:ind w:left="420" w:leftChars="200"/>
        <w:rPr>
          <w:rFonts w:ascii="宋体" w:hAnsi="宋体"/>
          <w:b w:val="0"/>
          <w:color w:val="auto"/>
          <w:sz w:val="21"/>
          <w:szCs w:val="21"/>
          <w:highlight w:val="none"/>
        </w:rPr>
      </w:pPr>
      <w:r>
        <w:rPr>
          <w:rFonts w:hint="eastAsia" w:ascii="宋体" w:hAnsi="宋体"/>
          <w:b w:val="0"/>
          <w:color w:val="auto"/>
          <w:sz w:val="21"/>
          <w:szCs w:val="21"/>
          <w:highlight w:val="none"/>
        </w:rPr>
        <w:t>3</w:t>
      </w:r>
      <w:r>
        <w:rPr>
          <w:rFonts w:ascii="宋体" w:hAnsi="宋体"/>
          <w:b w:val="0"/>
          <w:color w:val="auto"/>
          <w:sz w:val="21"/>
          <w:szCs w:val="21"/>
          <w:highlight w:val="none"/>
        </w:rPr>
        <w:t>9</w:t>
      </w:r>
      <w:r>
        <w:rPr>
          <w:rFonts w:hint="eastAsia" w:ascii="宋体" w:hAnsi="宋体"/>
          <w:b w:val="0"/>
          <w:color w:val="auto"/>
          <w:sz w:val="21"/>
          <w:szCs w:val="21"/>
          <w:highlight w:val="none"/>
        </w:rPr>
        <w:t>.1代理服务收取标准及缴费账户详见“投标人须知前附表”，投标人为联合体的，可以由联合体中的一方或者多方共同交纳代理服务费。</w:t>
      </w:r>
    </w:p>
    <w:p w14:paraId="6E908099">
      <w:pPr>
        <w:pStyle w:val="8"/>
        <w:keepNext w:val="0"/>
        <w:keepLines w:val="0"/>
        <w:spacing w:before="0" w:after="0" w:line="360" w:lineRule="auto"/>
        <w:ind w:left="420" w:leftChars="200"/>
        <w:rPr>
          <w:rFonts w:ascii="宋体" w:hAnsi="宋体"/>
          <w:b w:val="0"/>
          <w:color w:val="auto"/>
          <w:sz w:val="21"/>
          <w:szCs w:val="21"/>
          <w:highlight w:val="none"/>
        </w:rPr>
      </w:pPr>
      <w:r>
        <w:rPr>
          <w:rFonts w:hint="eastAsia" w:ascii="宋体" w:hAnsi="宋体"/>
          <w:b w:val="0"/>
          <w:color w:val="auto"/>
          <w:sz w:val="21"/>
          <w:szCs w:val="21"/>
          <w:highlight w:val="none"/>
        </w:rPr>
        <w:t>3</w:t>
      </w:r>
      <w:r>
        <w:rPr>
          <w:rFonts w:ascii="宋体" w:hAnsi="宋体"/>
          <w:b w:val="0"/>
          <w:color w:val="auto"/>
          <w:sz w:val="21"/>
          <w:szCs w:val="21"/>
          <w:highlight w:val="none"/>
        </w:rPr>
        <w:t>9</w:t>
      </w:r>
      <w:r>
        <w:rPr>
          <w:rFonts w:hint="eastAsia" w:ascii="宋体" w:hAnsi="宋体"/>
          <w:b w:val="0"/>
          <w:color w:val="auto"/>
          <w:sz w:val="21"/>
          <w:szCs w:val="21"/>
          <w:highlight w:val="none"/>
        </w:rPr>
        <w:t>.2代理服务收费标准：</w:t>
      </w:r>
    </w:p>
    <w:p w14:paraId="75FC9FA9">
      <w:pPr>
        <w:spacing w:line="360" w:lineRule="auto"/>
        <w:rPr>
          <w:rFonts w:ascii="宋体" w:hAnsi="宋体"/>
          <w:color w:val="auto"/>
          <w:szCs w:val="21"/>
          <w:highlight w:val="none"/>
        </w:rPr>
      </w:pPr>
    </w:p>
    <w:tbl>
      <w:tblPr>
        <w:tblStyle w:val="48"/>
        <w:tblW w:w="8477"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687"/>
        <w:gridCol w:w="1659"/>
      </w:tblGrid>
      <w:tr w14:paraId="36A4B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472" w:type="dxa"/>
            <w:tcBorders>
              <w:tl2br w:val="single" w:color="auto" w:sz="4" w:space="0"/>
            </w:tcBorders>
          </w:tcPr>
          <w:p w14:paraId="4004DEA1">
            <w:pPr>
              <w:spacing w:line="360" w:lineRule="auto"/>
              <w:rPr>
                <w:rFonts w:ascii="宋体" w:hAnsi="宋体"/>
                <w:color w:val="auto"/>
                <w:szCs w:val="21"/>
                <w:highlight w:val="none"/>
              </w:rPr>
            </w:pPr>
            <w:r>
              <w:rPr>
                <w:rFonts w:hint="eastAsia" w:ascii="宋体" w:hAnsi="宋体"/>
                <w:color w:val="auto"/>
                <w:szCs w:val="21"/>
                <w:highlight w:val="none"/>
              </w:rPr>
              <w:t xml:space="preserve">               费率</w:t>
            </w:r>
          </w:p>
          <w:p w14:paraId="3D4B4440">
            <w:pPr>
              <w:spacing w:line="360" w:lineRule="auto"/>
              <w:rPr>
                <w:rFonts w:ascii="宋体" w:hAnsi="宋体"/>
                <w:color w:val="auto"/>
                <w:szCs w:val="21"/>
                <w:highlight w:val="none"/>
              </w:rPr>
            </w:pPr>
            <w:r>
              <w:rPr>
                <w:rFonts w:hint="eastAsia" w:ascii="宋体" w:hAnsi="宋体"/>
                <w:color w:val="auto"/>
                <w:szCs w:val="21"/>
                <w:highlight w:val="none"/>
              </w:rPr>
              <w:t>中标金额</w:t>
            </w:r>
          </w:p>
        </w:tc>
        <w:tc>
          <w:tcPr>
            <w:tcW w:w="1659" w:type="dxa"/>
            <w:vAlign w:val="center"/>
          </w:tcPr>
          <w:p w14:paraId="6AA7BAC1">
            <w:pPr>
              <w:spacing w:line="360" w:lineRule="auto"/>
              <w:ind w:firstLine="105" w:firstLineChars="50"/>
              <w:jc w:val="center"/>
              <w:rPr>
                <w:rFonts w:ascii="宋体" w:hAnsi="宋体"/>
                <w:color w:val="auto"/>
                <w:szCs w:val="21"/>
                <w:highlight w:val="none"/>
              </w:rPr>
            </w:pPr>
            <w:r>
              <w:rPr>
                <w:rFonts w:hint="eastAsia" w:ascii="宋体" w:hAnsi="宋体"/>
                <w:color w:val="auto"/>
                <w:szCs w:val="21"/>
                <w:highlight w:val="none"/>
              </w:rPr>
              <w:t>货物招标</w:t>
            </w:r>
          </w:p>
        </w:tc>
        <w:tc>
          <w:tcPr>
            <w:tcW w:w="1687" w:type="dxa"/>
            <w:vAlign w:val="center"/>
          </w:tcPr>
          <w:p w14:paraId="57C09830">
            <w:pPr>
              <w:spacing w:line="360" w:lineRule="auto"/>
              <w:jc w:val="center"/>
              <w:rPr>
                <w:rFonts w:ascii="宋体" w:hAnsi="宋体"/>
                <w:color w:val="auto"/>
                <w:szCs w:val="21"/>
                <w:highlight w:val="none"/>
              </w:rPr>
            </w:pPr>
            <w:r>
              <w:rPr>
                <w:rFonts w:hint="eastAsia" w:ascii="宋体" w:hAnsi="宋体"/>
                <w:color w:val="auto"/>
                <w:szCs w:val="21"/>
                <w:highlight w:val="none"/>
              </w:rPr>
              <w:t>服务招标</w:t>
            </w:r>
          </w:p>
        </w:tc>
        <w:tc>
          <w:tcPr>
            <w:tcW w:w="1659" w:type="dxa"/>
            <w:vAlign w:val="center"/>
          </w:tcPr>
          <w:p w14:paraId="445F0640">
            <w:pPr>
              <w:spacing w:line="360" w:lineRule="auto"/>
              <w:jc w:val="center"/>
              <w:rPr>
                <w:rFonts w:ascii="宋体" w:hAnsi="宋体"/>
                <w:color w:val="auto"/>
                <w:szCs w:val="21"/>
                <w:highlight w:val="none"/>
              </w:rPr>
            </w:pPr>
            <w:r>
              <w:rPr>
                <w:rFonts w:hint="eastAsia" w:ascii="宋体" w:hAnsi="宋体"/>
                <w:color w:val="auto"/>
                <w:szCs w:val="21"/>
                <w:highlight w:val="none"/>
              </w:rPr>
              <w:t>工程招标</w:t>
            </w:r>
          </w:p>
        </w:tc>
      </w:tr>
      <w:tr w14:paraId="0326C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4C0C7727">
            <w:pPr>
              <w:spacing w:line="360" w:lineRule="auto"/>
              <w:rPr>
                <w:rFonts w:ascii="宋体" w:hAnsi="宋体"/>
                <w:color w:val="auto"/>
                <w:szCs w:val="21"/>
                <w:highlight w:val="none"/>
              </w:rPr>
            </w:pPr>
            <w:r>
              <w:rPr>
                <w:rFonts w:hint="eastAsia" w:ascii="宋体" w:hAnsi="宋体"/>
                <w:color w:val="auto"/>
                <w:szCs w:val="21"/>
                <w:highlight w:val="none"/>
              </w:rPr>
              <w:t>100万元以下</w:t>
            </w:r>
          </w:p>
        </w:tc>
        <w:tc>
          <w:tcPr>
            <w:tcW w:w="1659" w:type="dxa"/>
          </w:tcPr>
          <w:p w14:paraId="295B07A1">
            <w:pPr>
              <w:spacing w:line="360" w:lineRule="auto"/>
              <w:rPr>
                <w:rFonts w:ascii="宋体" w:hAnsi="宋体"/>
                <w:color w:val="auto"/>
                <w:szCs w:val="21"/>
                <w:highlight w:val="none"/>
              </w:rPr>
            </w:pPr>
            <w:r>
              <w:rPr>
                <w:rFonts w:ascii="宋体" w:hAnsi="宋体" w:cs="宋体"/>
                <w:color w:val="auto"/>
                <w:kern w:val="0"/>
                <w:szCs w:val="21"/>
                <w:highlight w:val="none"/>
              </w:rPr>
              <w:t xml:space="preserve">1.5% </w:t>
            </w:r>
          </w:p>
        </w:tc>
        <w:tc>
          <w:tcPr>
            <w:tcW w:w="1687" w:type="dxa"/>
          </w:tcPr>
          <w:p w14:paraId="3D861CDC">
            <w:pP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1.5%</w:t>
            </w:r>
          </w:p>
        </w:tc>
        <w:tc>
          <w:tcPr>
            <w:tcW w:w="1659" w:type="dxa"/>
          </w:tcPr>
          <w:p w14:paraId="4A2428D3">
            <w:pP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 xml:space="preserve">1.0% </w:t>
            </w:r>
          </w:p>
        </w:tc>
      </w:tr>
      <w:tr w14:paraId="192D1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266386CE">
            <w:pPr>
              <w:spacing w:line="360" w:lineRule="auto"/>
              <w:rPr>
                <w:rFonts w:ascii="宋体" w:hAnsi="宋体"/>
                <w:color w:val="auto"/>
                <w:szCs w:val="21"/>
                <w:highlight w:val="none"/>
              </w:rPr>
            </w:pPr>
            <w:r>
              <w:rPr>
                <w:rFonts w:hint="eastAsia" w:ascii="宋体" w:hAnsi="宋体"/>
                <w:color w:val="auto"/>
                <w:szCs w:val="21"/>
                <w:highlight w:val="none"/>
              </w:rPr>
              <w:t>100～500万元</w:t>
            </w:r>
          </w:p>
        </w:tc>
        <w:tc>
          <w:tcPr>
            <w:tcW w:w="1659" w:type="dxa"/>
          </w:tcPr>
          <w:p w14:paraId="021A047A">
            <w:pP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 xml:space="preserve">1.1% </w:t>
            </w:r>
          </w:p>
        </w:tc>
        <w:tc>
          <w:tcPr>
            <w:tcW w:w="1687" w:type="dxa"/>
          </w:tcPr>
          <w:p w14:paraId="2AEE1119">
            <w:pP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0.8%</w:t>
            </w:r>
          </w:p>
        </w:tc>
        <w:tc>
          <w:tcPr>
            <w:tcW w:w="1659" w:type="dxa"/>
          </w:tcPr>
          <w:p w14:paraId="0F4A6D44">
            <w:pP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 xml:space="preserve">0.7% </w:t>
            </w:r>
          </w:p>
        </w:tc>
      </w:tr>
      <w:tr w14:paraId="6214F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3C00BB7C">
            <w:pPr>
              <w:spacing w:line="360" w:lineRule="auto"/>
              <w:rPr>
                <w:rFonts w:ascii="宋体" w:hAnsi="宋体"/>
                <w:color w:val="auto"/>
                <w:szCs w:val="21"/>
                <w:highlight w:val="none"/>
              </w:rPr>
            </w:pPr>
            <w:r>
              <w:rPr>
                <w:rFonts w:hint="eastAsia" w:ascii="宋体" w:hAnsi="宋体"/>
                <w:color w:val="auto"/>
                <w:szCs w:val="21"/>
                <w:highlight w:val="none"/>
              </w:rPr>
              <w:t>500～1000万元</w:t>
            </w:r>
          </w:p>
        </w:tc>
        <w:tc>
          <w:tcPr>
            <w:tcW w:w="1659" w:type="dxa"/>
          </w:tcPr>
          <w:p w14:paraId="310572E7">
            <w:pPr>
              <w:spacing w:line="360" w:lineRule="auto"/>
              <w:rPr>
                <w:rFonts w:ascii="宋体" w:hAnsi="宋体"/>
                <w:color w:val="auto"/>
                <w:szCs w:val="21"/>
                <w:highlight w:val="none"/>
              </w:rPr>
            </w:pPr>
            <w:r>
              <w:rPr>
                <w:rFonts w:ascii="宋体" w:hAnsi="宋体" w:cs="宋体"/>
                <w:color w:val="auto"/>
                <w:kern w:val="0"/>
                <w:szCs w:val="21"/>
                <w:highlight w:val="none"/>
              </w:rPr>
              <w:t xml:space="preserve">0.8% </w:t>
            </w:r>
          </w:p>
        </w:tc>
        <w:tc>
          <w:tcPr>
            <w:tcW w:w="1687" w:type="dxa"/>
          </w:tcPr>
          <w:p w14:paraId="33B5A9E2">
            <w:pP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0.45%</w:t>
            </w:r>
          </w:p>
        </w:tc>
        <w:tc>
          <w:tcPr>
            <w:tcW w:w="1659" w:type="dxa"/>
          </w:tcPr>
          <w:p w14:paraId="7EBC9B21">
            <w:pP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0.55%</w:t>
            </w:r>
          </w:p>
        </w:tc>
      </w:tr>
      <w:tr w14:paraId="71D05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73FCE211">
            <w:pPr>
              <w:spacing w:line="360" w:lineRule="auto"/>
              <w:rPr>
                <w:rFonts w:ascii="宋体" w:hAnsi="宋体"/>
                <w:color w:val="auto"/>
                <w:szCs w:val="21"/>
                <w:highlight w:val="none"/>
              </w:rPr>
            </w:pPr>
            <w:r>
              <w:rPr>
                <w:rFonts w:hint="eastAsia" w:ascii="宋体" w:hAnsi="宋体"/>
                <w:color w:val="auto"/>
                <w:szCs w:val="21"/>
                <w:highlight w:val="none"/>
              </w:rPr>
              <w:t>1000～5000万元</w:t>
            </w:r>
          </w:p>
        </w:tc>
        <w:tc>
          <w:tcPr>
            <w:tcW w:w="1659" w:type="dxa"/>
          </w:tcPr>
          <w:p w14:paraId="6C9AA39F">
            <w:pP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 xml:space="preserve">0.5% </w:t>
            </w:r>
          </w:p>
        </w:tc>
        <w:tc>
          <w:tcPr>
            <w:tcW w:w="1687" w:type="dxa"/>
          </w:tcPr>
          <w:p w14:paraId="3D97D460">
            <w:pP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0.25%</w:t>
            </w:r>
          </w:p>
        </w:tc>
        <w:tc>
          <w:tcPr>
            <w:tcW w:w="1659" w:type="dxa"/>
          </w:tcPr>
          <w:p w14:paraId="298F3ACA">
            <w:pP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 xml:space="preserve">0.35% </w:t>
            </w:r>
          </w:p>
        </w:tc>
      </w:tr>
      <w:tr w14:paraId="47F70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42A2369E">
            <w:pPr>
              <w:spacing w:line="360" w:lineRule="auto"/>
              <w:rPr>
                <w:rFonts w:ascii="宋体" w:hAnsi="宋体"/>
                <w:color w:val="auto"/>
                <w:szCs w:val="21"/>
                <w:highlight w:val="none"/>
              </w:rPr>
            </w:pPr>
            <w:r>
              <w:rPr>
                <w:rFonts w:hint="eastAsia" w:ascii="宋体" w:hAnsi="宋体"/>
                <w:color w:val="auto"/>
                <w:szCs w:val="21"/>
                <w:highlight w:val="none"/>
              </w:rPr>
              <w:t>5000万元～1亿元</w:t>
            </w:r>
          </w:p>
        </w:tc>
        <w:tc>
          <w:tcPr>
            <w:tcW w:w="1659" w:type="dxa"/>
          </w:tcPr>
          <w:p w14:paraId="1DAB5D6D">
            <w:pP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 xml:space="preserve">0.25% </w:t>
            </w:r>
          </w:p>
        </w:tc>
        <w:tc>
          <w:tcPr>
            <w:tcW w:w="1687" w:type="dxa"/>
          </w:tcPr>
          <w:p w14:paraId="0EA3BF67">
            <w:pP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0.1%</w:t>
            </w:r>
          </w:p>
        </w:tc>
        <w:tc>
          <w:tcPr>
            <w:tcW w:w="1659" w:type="dxa"/>
          </w:tcPr>
          <w:p w14:paraId="7B36CD06">
            <w:pP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0.2%</w:t>
            </w:r>
          </w:p>
        </w:tc>
      </w:tr>
      <w:tr w14:paraId="10BD9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10B08A8D">
            <w:pPr>
              <w:spacing w:line="360" w:lineRule="auto"/>
              <w:rPr>
                <w:rFonts w:ascii="宋体" w:hAnsi="宋体"/>
                <w:color w:val="auto"/>
                <w:szCs w:val="21"/>
                <w:highlight w:val="none"/>
              </w:rPr>
            </w:pPr>
            <w:r>
              <w:rPr>
                <w:rFonts w:hint="eastAsia" w:ascii="宋体" w:hAnsi="宋体"/>
                <w:color w:val="auto"/>
                <w:szCs w:val="21"/>
                <w:highlight w:val="none"/>
              </w:rPr>
              <w:t>1～5亿元</w:t>
            </w:r>
          </w:p>
        </w:tc>
        <w:tc>
          <w:tcPr>
            <w:tcW w:w="1659" w:type="dxa"/>
          </w:tcPr>
          <w:p w14:paraId="08DCB35D">
            <w:pPr>
              <w:spacing w:line="360" w:lineRule="auto"/>
              <w:ind w:firstLine="210" w:firstLineChars="100"/>
              <w:rPr>
                <w:rFonts w:ascii="宋体" w:hAnsi="宋体"/>
                <w:color w:val="auto"/>
                <w:szCs w:val="21"/>
                <w:highlight w:val="none"/>
              </w:rPr>
            </w:pPr>
            <w:r>
              <w:rPr>
                <w:rFonts w:hint="eastAsia" w:ascii="宋体" w:hAnsi="宋体"/>
                <w:color w:val="auto"/>
                <w:szCs w:val="21"/>
                <w:highlight w:val="none"/>
              </w:rPr>
              <w:t>0.05%</w:t>
            </w:r>
          </w:p>
        </w:tc>
        <w:tc>
          <w:tcPr>
            <w:tcW w:w="1687" w:type="dxa"/>
          </w:tcPr>
          <w:p w14:paraId="11DEFC23">
            <w:pPr>
              <w:spacing w:line="360" w:lineRule="auto"/>
              <w:rPr>
                <w:rFonts w:ascii="宋体" w:hAnsi="宋体"/>
                <w:color w:val="auto"/>
                <w:szCs w:val="21"/>
                <w:highlight w:val="none"/>
              </w:rPr>
            </w:pPr>
            <w:r>
              <w:rPr>
                <w:rFonts w:hint="eastAsia" w:ascii="宋体" w:hAnsi="宋体"/>
                <w:color w:val="auto"/>
                <w:szCs w:val="21"/>
                <w:highlight w:val="none"/>
              </w:rPr>
              <w:t xml:space="preserve">  0.05%</w:t>
            </w:r>
          </w:p>
        </w:tc>
        <w:tc>
          <w:tcPr>
            <w:tcW w:w="1659" w:type="dxa"/>
          </w:tcPr>
          <w:p w14:paraId="0EF136C6">
            <w:pPr>
              <w:spacing w:line="360" w:lineRule="auto"/>
              <w:rPr>
                <w:rFonts w:ascii="宋体" w:hAnsi="宋体"/>
                <w:color w:val="auto"/>
                <w:szCs w:val="21"/>
                <w:highlight w:val="none"/>
              </w:rPr>
            </w:pPr>
            <w:r>
              <w:rPr>
                <w:rFonts w:hint="eastAsia" w:ascii="宋体" w:hAnsi="宋体"/>
                <w:color w:val="auto"/>
                <w:szCs w:val="21"/>
                <w:highlight w:val="none"/>
              </w:rPr>
              <w:t xml:space="preserve">  0.05%</w:t>
            </w:r>
          </w:p>
        </w:tc>
      </w:tr>
      <w:tr w14:paraId="40697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297BD559">
            <w:pPr>
              <w:spacing w:line="360" w:lineRule="auto"/>
              <w:rPr>
                <w:rFonts w:ascii="宋体" w:hAnsi="宋体"/>
                <w:color w:val="auto"/>
                <w:szCs w:val="21"/>
                <w:highlight w:val="none"/>
              </w:rPr>
            </w:pPr>
            <w:r>
              <w:rPr>
                <w:rFonts w:hint="eastAsia" w:ascii="宋体" w:hAnsi="宋体"/>
                <w:color w:val="auto"/>
                <w:szCs w:val="21"/>
                <w:highlight w:val="none"/>
              </w:rPr>
              <w:t>5～10亿元</w:t>
            </w:r>
          </w:p>
        </w:tc>
        <w:tc>
          <w:tcPr>
            <w:tcW w:w="1659" w:type="dxa"/>
          </w:tcPr>
          <w:p w14:paraId="48FD65F4">
            <w:pPr>
              <w:spacing w:line="360" w:lineRule="auto"/>
              <w:ind w:firstLine="105" w:firstLineChars="50"/>
              <w:rPr>
                <w:rFonts w:ascii="宋体" w:hAnsi="宋体"/>
                <w:color w:val="auto"/>
                <w:szCs w:val="21"/>
                <w:highlight w:val="none"/>
              </w:rPr>
            </w:pPr>
            <w:r>
              <w:rPr>
                <w:rFonts w:hint="eastAsia" w:ascii="宋体" w:hAnsi="宋体"/>
                <w:color w:val="auto"/>
                <w:szCs w:val="21"/>
                <w:highlight w:val="none"/>
              </w:rPr>
              <w:t>0.035%</w:t>
            </w:r>
          </w:p>
        </w:tc>
        <w:tc>
          <w:tcPr>
            <w:tcW w:w="1687" w:type="dxa"/>
          </w:tcPr>
          <w:p w14:paraId="63033B49">
            <w:pPr>
              <w:spacing w:line="360" w:lineRule="auto"/>
              <w:rPr>
                <w:rFonts w:ascii="宋体" w:hAnsi="宋体"/>
                <w:color w:val="auto"/>
                <w:szCs w:val="21"/>
                <w:highlight w:val="none"/>
              </w:rPr>
            </w:pPr>
            <w:r>
              <w:rPr>
                <w:rFonts w:hint="eastAsia" w:ascii="宋体" w:hAnsi="宋体"/>
                <w:color w:val="auto"/>
                <w:szCs w:val="21"/>
                <w:highlight w:val="none"/>
              </w:rPr>
              <w:t xml:space="preserve">  0.035%</w:t>
            </w:r>
          </w:p>
        </w:tc>
        <w:tc>
          <w:tcPr>
            <w:tcW w:w="1659" w:type="dxa"/>
          </w:tcPr>
          <w:p w14:paraId="78DAA514">
            <w:pPr>
              <w:spacing w:line="360" w:lineRule="auto"/>
              <w:ind w:firstLine="105" w:firstLineChars="50"/>
              <w:rPr>
                <w:rFonts w:ascii="宋体" w:hAnsi="宋体"/>
                <w:color w:val="auto"/>
                <w:szCs w:val="21"/>
                <w:highlight w:val="none"/>
              </w:rPr>
            </w:pPr>
            <w:r>
              <w:rPr>
                <w:rFonts w:hint="eastAsia" w:ascii="宋体" w:hAnsi="宋体"/>
                <w:color w:val="auto"/>
                <w:szCs w:val="21"/>
                <w:highlight w:val="none"/>
              </w:rPr>
              <w:t>0.035%</w:t>
            </w:r>
          </w:p>
        </w:tc>
      </w:tr>
      <w:tr w14:paraId="7623D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7A9FDE9B">
            <w:pPr>
              <w:spacing w:line="360" w:lineRule="auto"/>
              <w:rPr>
                <w:rFonts w:ascii="宋体" w:hAnsi="宋体"/>
                <w:color w:val="auto"/>
                <w:szCs w:val="21"/>
                <w:highlight w:val="none"/>
              </w:rPr>
            </w:pPr>
            <w:r>
              <w:rPr>
                <w:rFonts w:hint="eastAsia" w:ascii="宋体" w:hAnsi="宋体"/>
                <w:color w:val="auto"/>
                <w:szCs w:val="21"/>
                <w:highlight w:val="none"/>
              </w:rPr>
              <w:t>10～50亿元</w:t>
            </w:r>
          </w:p>
        </w:tc>
        <w:tc>
          <w:tcPr>
            <w:tcW w:w="1659" w:type="dxa"/>
          </w:tcPr>
          <w:p w14:paraId="22683048">
            <w:pPr>
              <w:spacing w:line="360" w:lineRule="auto"/>
              <w:ind w:firstLine="105" w:firstLineChars="50"/>
              <w:rPr>
                <w:rFonts w:ascii="宋体" w:hAnsi="宋体"/>
                <w:color w:val="auto"/>
                <w:szCs w:val="21"/>
                <w:highlight w:val="none"/>
              </w:rPr>
            </w:pPr>
            <w:r>
              <w:rPr>
                <w:rFonts w:hint="eastAsia" w:ascii="宋体" w:hAnsi="宋体"/>
                <w:color w:val="auto"/>
                <w:szCs w:val="21"/>
                <w:highlight w:val="none"/>
              </w:rPr>
              <w:t>0.008%</w:t>
            </w:r>
          </w:p>
        </w:tc>
        <w:tc>
          <w:tcPr>
            <w:tcW w:w="1687" w:type="dxa"/>
          </w:tcPr>
          <w:p w14:paraId="519397DA">
            <w:pPr>
              <w:spacing w:line="360" w:lineRule="auto"/>
              <w:ind w:firstLine="210" w:firstLineChars="100"/>
              <w:rPr>
                <w:rFonts w:ascii="宋体" w:hAnsi="宋体"/>
                <w:color w:val="auto"/>
                <w:szCs w:val="21"/>
                <w:highlight w:val="none"/>
              </w:rPr>
            </w:pPr>
            <w:r>
              <w:rPr>
                <w:rFonts w:hint="eastAsia" w:ascii="宋体" w:hAnsi="宋体"/>
                <w:color w:val="auto"/>
                <w:szCs w:val="21"/>
                <w:highlight w:val="none"/>
              </w:rPr>
              <w:t>0.008%</w:t>
            </w:r>
          </w:p>
        </w:tc>
        <w:tc>
          <w:tcPr>
            <w:tcW w:w="1659" w:type="dxa"/>
          </w:tcPr>
          <w:p w14:paraId="7D74A3AA">
            <w:pPr>
              <w:spacing w:line="360" w:lineRule="auto"/>
              <w:ind w:firstLine="105" w:firstLineChars="50"/>
              <w:rPr>
                <w:rFonts w:ascii="宋体" w:hAnsi="宋体"/>
                <w:color w:val="auto"/>
                <w:szCs w:val="21"/>
                <w:highlight w:val="none"/>
              </w:rPr>
            </w:pPr>
            <w:r>
              <w:rPr>
                <w:rFonts w:hint="eastAsia" w:ascii="宋体" w:hAnsi="宋体"/>
                <w:color w:val="auto"/>
                <w:szCs w:val="21"/>
                <w:highlight w:val="none"/>
              </w:rPr>
              <w:t>0.008%</w:t>
            </w:r>
          </w:p>
        </w:tc>
      </w:tr>
      <w:tr w14:paraId="5950F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09E0FF1F">
            <w:pPr>
              <w:spacing w:line="360" w:lineRule="auto"/>
              <w:rPr>
                <w:rFonts w:ascii="宋体" w:hAnsi="宋体"/>
                <w:color w:val="auto"/>
                <w:szCs w:val="21"/>
                <w:highlight w:val="none"/>
              </w:rPr>
            </w:pPr>
            <w:r>
              <w:rPr>
                <w:rFonts w:hint="eastAsia" w:ascii="宋体" w:hAnsi="宋体"/>
                <w:color w:val="auto"/>
                <w:szCs w:val="21"/>
                <w:highlight w:val="none"/>
              </w:rPr>
              <w:t>50～100亿元</w:t>
            </w:r>
          </w:p>
        </w:tc>
        <w:tc>
          <w:tcPr>
            <w:tcW w:w="1659" w:type="dxa"/>
          </w:tcPr>
          <w:p w14:paraId="6FF99E11">
            <w:pPr>
              <w:spacing w:line="360" w:lineRule="auto"/>
              <w:rPr>
                <w:rFonts w:ascii="宋体" w:hAnsi="宋体"/>
                <w:color w:val="auto"/>
                <w:szCs w:val="21"/>
                <w:highlight w:val="none"/>
              </w:rPr>
            </w:pPr>
            <w:r>
              <w:rPr>
                <w:rFonts w:hint="eastAsia" w:ascii="宋体" w:hAnsi="宋体"/>
                <w:color w:val="auto"/>
                <w:szCs w:val="21"/>
                <w:highlight w:val="none"/>
              </w:rPr>
              <w:t xml:space="preserve"> 0.006%</w:t>
            </w:r>
          </w:p>
        </w:tc>
        <w:tc>
          <w:tcPr>
            <w:tcW w:w="1687" w:type="dxa"/>
          </w:tcPr>
          <w:p w14:paraId="6E275F7F">
            <w:pPr>
              <w:spacing w:line="360" w:lineRule="auto"/>
              <w:ind w:firstLine="210" w:firstLineChars="100"/>
              <w:rPr>
                <w:rFonts w:ascii="宋体" w:hAnsi="宋体"/>
                <w:color w:val="auto"/>
                <w:szCs w:val="21"/>
                <w:highlight w:val="none"/>
              </w:rPr>
            </w:pPr>
            <w:r>
              <w:rPr>
                <w:rFonts w:hint="eastAsia" w:ascii="宋体" w:hAnsi="宋体"/>
                <w:color w:val="auto"/>
                <w:szCs w:val="21"/>
                <w:highlight w:val="none"/>
              </w:rPr>
              <w:t>0.006%</w:t>
            </w:r>
          </w:p>
        </w:tc>
        <w:tc>
          <w:tcPr>
            <w:tcW w:w="1659" w:type="dxa"/>
          </w:tcPr>
          <w:p w14:paraId="14C76485">
            <w:pPr>
              <w:spacing w:line="360" w:lineRule="auto"/>
              <w:ind w:firstLine="105" w:firstLineChars="50"/>
              <w:rPr>
                <w:rFonts w:ascii="宋体" w:hAnsi="宋体"/>
                <w:color w:val="auto"/>
                <w:szCs w:val="21"/>
                <w:highlight w:val="none"/>
              </w:rPr>
            </w:pPr>
            <w:r>
              <w:rPr>
                <w:rFonts w:hint="eastAsia" w:ascii="宋体" w:hAnsi="宋体"/>
                <w:color w:val="auto"/>
                <w:szCs w:val="21"/>
                <w:highlight w:val="none"/>
              </w:rPr>
              <w:t>0.006%</w:t>
            </w:r>
          </w:p>
        </w:tc>
      </w:tr>
      <w:tr w14:paraId="09586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2B53F8DC">
            <w:pPr>
              <w:spacing w:line="360" w:lineRule="auto"/>
              <w:rPr>
                <w:rFonts w:ascii="宋体" w:hAnsi="宋体"/>
                <w:color w:val="auto"/>
                <w:szCs w:val="21"/>
                <w:highlight w:val="none"/>
              </w:rPr>
            </w:pPr>
            <w:r>
              <w:rPr>
                <w:rFonts w:hint="eastAsia" w:ascii="宋体" w:hAnsi="宋体"/>
                <w:color w:val="auto"/>
                <w:szCs w:val="21"/>
                <w:highlight w:val="none"/>
              </w:rPr>
              <w:t>100亿以上</w:t>
            </w:r>
          </w:p>
        </w:tc>
        <w:tc>
          <w:tcPr>
            <w:tcW w:w="1659" w:type="dxa"/>
          </w:tcPr>
          <w:p w14:paraId="61F8F7CD">
            <w:pPr>
              <w:spacing w:line="360" w:lineRule="auto"/>
              <w:rPr>
                <w:rFonts w:ascii="宋体" w:hAnsi="宋体"/>
                <w:color w:val="auto"/>
                <w:szCs w:val="21"/>
                <w:highlight w:val="none"/>
              </w:rPr>
            </w:pPr>
            <w:r>
              <w:rPr>
                <w:rFonts w:hint="eastAsia" w:ascii="宋体" w:hAnsi="宋体"/>
                <w:color w:val="auto"/>
                <w:szCs w:val="21"/>
                <w:highlight w:val="none"/>
              </w:rPr>
              <w:t xml:space="preserve"> 0.004%</w:t>
            </w:r>
          </w:p>
        </w:tc>
        <w:tc>
          <w:tcPr>
            <w:tcW w:w="1687" w:type="dxa"/>
          </w:tcPr>
          <w:p w14:paraId="7CCF1E84">
            <w:pPr>
              <w:spacing w:line="360" w:lineRule="auto"/>
              <w:ind w:firstLine="210" w:firstLineChars="100"/>
              <w:rPr>
                <w:rFonts w:ascii="宋体" w:hAnsi="宋体"/>
                <w:color w:val="auto"/>
                <w:szCs w:val="21"/>
                <w:highlight w:val="none"/>
              </w:rPr>
            </w:pPr>
            <w:r>
              <w:rPr>
                <w:rFonts w:hint="eastAsia" w:ascii="宋体" w:hAnsi="宋体"/>
                <w:color w:val="auto"/>
                <w:szCs w:val="21"/>
                <w:highlight w:val="none"/>
              </w:rPr>
              <w:t>0.004%</w:t>
            </w:r>
          </w:p>
        </w:tc>
        <w:tc>
          <w:tcPr>
            <w:tcW w:w="1659" w:type="dxa"/>
          </w:tcPr>
          <w:p w14:paraId="08817C21">
            <w:pPr>
              <w:spacing w:line="360" w:lineRule="auto"/>
              <w:ind w:firstLine="105" w:firstLineChars="50"/>
              <w:rPr>
                <w:rFonts w:ascii="宋体" w:hAnsi="宋体"/>
                <w:color w:val="auto"/>
                <w:szCs w:val="21"/>
                <w:highlight w:val="none"/>
              </w:rPr>
            </w:pPr>
            <w:r>
              <w:rPr>
                <w:rFonts w:hint="eastAsia" w:ascii="宋体" w:hAnsi="宋体"/>
                <w:color w:val="auto"/>
                <w:szCs w:val="21"/>
                <w:highlight w:val="none"/>
              </w:rPr>
              <w:t>0.004%</w:t>
            </w:r>
          </w:p>
        </w:tc>
      </w:tr>
    </w:tbl>
    <w:p w14:paraId="46E6C654">
      <w:pPr>
        <w:spacing w:line="360" w:lineRule="auto"/>
        <w:ind w:firstLine="420" w:firstLineChars="200"/>
        <w:rPr>
          <w:rFonts w:ascii="宋体" w:hAnsi="宋体" w:cs="宋体"/>
          <w:color w:val="auto"/>
          <w:szCs w:val="21"/>
          <w:highlight w:val="none"/>
        </w:rPr>
      </w:pPr>
      <w:r>
        <w:rPr>
          <w:rFonts w:hint="eastAsia" w:ascii="宋体" w:hAnsi="宋体"/>
          <w:color w:val="auto"/>
          <w:szCs w:val="21"/>
          <w:highlight w:val="none"/>
        </w:rPr>
        <w:t>注:</w:t>
      </w:r>
    </w:p>
    <w:p w14:paraId="2D0AF3C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按本表费率计算的收费为</w:t>
      </w:r>
      <w:r>
        <w:rPr>
          <w:rFonts w:hint="eastAsia" w:ascii="宋体" w:hAnsi="宋体" w:cs="宋体"/>
          <w:color w:val="auto"/>
          <w:szCs w:val="21"/>
          <w:highlight w:val="none"/>
        </w:rPr>
        <w:t>采购</w:t>
      </w:r>
      <w:r>
        <w:rPr>
          <w:rFonts w:ascii="宋体" w:hAnsi="宋体" w:cs="宋体"/>
          <w:color w:val="auto"/>
          <w:szCs w:val="21"/>
          <w:highlight w:val="none"/>
        </w:rPr>
        <w:t>代理的收费基准价格</w:t>
      </w:r>
      <w:r>
        <w:rPr>
          <w:rFonts w:hint="eastAsia" w:ascii="宋体" w:hAnsi="宋体" w:cs="宋体"/>
          <w:color w:val="auto"/>
          <w:szCs w:val="21"/>
          <w:highlight w:val="none"/>
        </w:rPr>
        <w:t>；</w:t>
      </w:r>
    </w:p>
    <w:p w14:paraId="44F7A8D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（2）采购</w:t>
      </w:r>
      <w:r>
        <w:rPr>
          <w:rFonts w:ascii="宋体" w:hAnsi="宋体" w:cs="宋体"/>
          <w:color w:val="auto"/>
          <w:szCs w:val="21"/>
          <w:highlight w:val="none"/>
        </w:rPr>
        <w:t>代理收费按差额定率累进法计算。</w:t>
      </w:r>
    </w:p>
    <w:p w14:paraId="55A4BF7F">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例如：某</w:t>
      </w:r>
      <w:r>
        <w:rPr>
          <w:rFonts w:hint="eastAsia" w:ascii="宋体" w:hAnsi="宋体" w:cs="宋体"/>
          <w:color w:val="auto"/>
          <w:szCs w:val="21"/>
          <w:highlight w:val="none"/>
        </w:rPr>
        <w:t>服务采购</w:t>
      </w:r>
      <w:r>
        <w:rPr>
          <w:rFonts w:ascii="宋体" w:hAnsi="宋体" w:cs="宋体"/>
          <w:color w:val="auto"/>
          <w:szCs w:val="21"/>
          <w:highlight w:val="none"/>
        </w:rPr>
        <w:t>代理业务</w:t>
      </w:r>
      <w:r>
        <w:rPr>
          <w:rFonts w:hint="eastAsia" w:ascii="宋体" w:hAnsi="宋体" w:cs="宋体"/>
          <w:color w:val="auto"/>
          <w:szCs w:val="21"/>
          <w:highlight w:val="none"/>
        </w:rPr>
        <w:t>中标</w:t>
      </w:r>
      <w:r>
        <w:rPr>
          <w:rFonts w:ascii="宋体" w:hAnsi="宋体" w:cs="宋体"/>
          <w:color w:val="auto"/>
          <w:szCs w:val="21"/>
          <w:highlight w:val="none"/>
        </w:rPr>
        <w:t>金额</w:t>
      </w:r>
      <w:r>
        <w:rPr>
          <w:rFonts w:hint="eastAsia" w:ascii="宋体" w:hAnsi="宋体" w:cs="宋体"/>
          <w:color w:val="auto"/>
          <w:szCs w:val="21"/>
          <w:highlight w:val="none"/>
        </w:rPr>
        <w:t>或者暂定价</w:t>
      </w:r>
      <w:r>
        <w:rPr>
          <w:rFonts w:ascii="宋体" w:hAnsi="宋体" w:cs="宋体"/>
          <w:color w:val="auto"/>
          <w:szCs w:val="21"/>
          <w:highlight w:val="none"/>
        </w:rPr>
        <w:t>为200万元，计算</w:t>
      </w:r>
      <w:r>
        <w:rPr>
          <w:rFonts w:hint="eastAsia" w:ascii="宋体" w:hAnsi="宋体" w:cs="宋体"/>
          <w:color w:val="auto"/>
          <w:szCs w:val="21"/>
          <w:highlight w:val="none"/>
        </w:rPr>
        <w:t>采购</w:t>
      </w:r>
      <w:r>
        <w:rPr>
          <w:rFonts w:ascii="宋体" w:hAnsi="宋体" w:cs="宋体"/>
          <w:color w:val="auto"/>
          <w:szCs w:val="21"/>
          <w:highlight w:val="none"/>
        </w:rPr>
        <w:t>代理收费额如下：</w:t>
      </w:r>
    </w:p>
    <w:p w14:paraId="16F9E6CA">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100 万元×l.5 %＝ 1.5 万元</w:t>
      </w:r>
    </w:p>
    <w:p w14:paraId="78B32CB1">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 200 － 100 ）万元 ×0.8%＝0.8万元</w:t>
      </w:r>
    </w:p>
    <w:p w14:paraId="4C4BF41B">
      <w:pPr>
        <w:pStyle w:val="26"/>
        <w:snapToGrid w:val="0"/>
        <w:spacing w:line="360" w:lineRule="auto"/>
        <w:ind w:firstLine="420" w:firstLineChars="200"/>
        <w:rPr>
          <w:rFonts w:hAnsi="宋体" w:cs="宋体"/>
          <w:color w:val="auto"/>
          <w:sz w:val="21"/>
          <w:highlight w:val="none"/>
        </w:rPr>
      </w:pPr>
      <w:r>
        <w:rPr>
          <w:rFonts w:hAnsi="宋体" w:cs="宋体"/>
          <w:color w:val="auto"/>
          <w:sz w:val="21"/>
          <w:highlight w:val="none"/>
        </w:rPr>
        <w:t>合计收费＝ 1.5</w:t>
      </w:r>
      <w:r>
        <w:rPr>
          <w:rFonts w:hint="eastAsia" w:hAnsi="宋体" w:cs="宋体"/>
          <w:color w:val="auto"/>
          <w:sz w:val="21"/>
          <w:highlight w:val="none"/>
        </w:rPr>
        <w:t>+</w:t>
      </w:r>
      <w:r>
        <w:rPr>
          <w:rFonts w:hAnsi="宋体" w:cs="宋体"/>
          <w:color w:val="auto"/>
          <w:sz w:val="21"/>
          <w:highlight w:val="none"/>
        </w:rPr>
        <w:t>0.8＝ 2.3（万元）</w:t>
      </w:r>
    </w:p>
    <w:p w14:paraId="2B892AEA">
      <w:pPr>
        <w:pStyle w:val="8"/>
        <w:keepNext w:val="0"/>
        <w:keepLines w:val="0"/>
        <w:spacing w:before="0" w:after="0" w:line="360" w:lineRule="auto"/>
        <w:ind w:left="420" w:leftChars="200"/>
        <w:rPr>
          <w:rFonts w:ascii="黑体" w:hAnsi="黑体" w:eastAsia="黑体"/>
          <w:color w:val="auto"/>
          <w:sz w:val="24"/>
          <w:highlight w:val="none"/>
        </w:rPr>
      </w:pPr>
      <w:r>
        <w:rPr>
          <w:rFonts w:ascii="黑体" w:hAnsi="黑体" w:eastAsia="黑体"/>
          <w:color w:val="auto"/>
          <w:sz w:val="24"/>
          <w:highlight w:val="none"/>
        </w:rPr>
        <w:t>40. 需要补充的其他内容</w:t>
      </w:r>
    </w:p>
    <w:p w14:paraId="69E415F7">
      <w:pPr>
        <w:pStyle w:val="26"/>
        <w:spacing w:line="360" w:lineRule="auto"/>
        <w:ind w:firstLine="420" w:firstLineChars="200"/>
        <w:rPr>
          <w:rFonts w:hAnsi="宋体" w:cs="宋体"/>
          <w:color w:val="auto"/>
          <w:sz w:val="21"/>
          <w:highlight w:val="none"/>
        </w:rPr>
      </w:pPr>
      <w:r>
        <w:rPr>
          <w:rFonts w:hint="eastAsia" w:hAnsi="宋体" w:cs="宋体"/>
          <w:color w:val="auto"/>
          <w:sz w:val="21"/>
          <w:highlight w:val="none"/>
        </w:rPr>
        <w:t>40.1本招标文件解释规则详见“投标人须知前附表”。</w:t>
      </w:r>
    </w:p>
    <w:p w14:paraId="578E53EF">
      <w:pPr>
        <w:pStyle w:val="26"/>
        <w:spacing w:line="360" w:lineRule="auto"/>
        <w:ind w:firstLine="420" w:firstLineChars="200"/>
        <w:rPr>
          <w:rFonts w:hAnsi="宋体" w:cs="宋体"/>
          <w:color w:val="auto"/>
          <w:sz w:val="21"/>
          <w:highlight w:val="none"/>
        </w:rPr>
      </w:pPr>
      <w:r>
        <w:rPr>
          <w:rFonts w:hint="eastAsia" w:hAnsi="宋体" w:cs="宋体"/>
          <w:color w:val="auto"/>
          <w:sz w:val="21"/>
          <w:highlight w:val="none"/>
        </w:rPr>
        <w:t>40.2 其他事项详见“投标人须知前附表”。</w:t>
      </w:r>
    </w:p>
    <w:p w14:paraId="4EE4A31A">
      <w:pPr>
        <w:pStyle w:val="26"/>
        <w:spacing w:line="360" w:lineRule="auto"/>
        <w:ind w:firstLine="420" w:firstLineChars="200"/>
        <w:rPr>
          <w:rFonts w:hAnsi="宋体" w:cs="宋体"/>
          <w:color w:val="auto"/>
          <w:sz w:val="21"/>
          <w:highlight w:val="none"/>
        </w:rPr>
      </w:pPr>
      <w:r>
        <w:rPr>
          <w:rFonts w:hint="eastAsia" w:hAnsi="宋体" w:cs="宋体"/>
          <w:color w:val="auto"/>
          <w:sz w:val="21"/>
          <w:highlight w:val="none"/>
        </w:rPr>
        <w:t>40.3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招标文件规定的中小企业扶持政策：</w:t>
      </w:r>
    </w:p>
    <w:p w14:paraId="502C3B30">
      <w:pPr>
        <w:pStyle w:val="26"/>
        <w:spacing w:line="360" w:lineRule="auto"/>
        <w:ind w:firstLine="420" w:firstLineChars="200"/>
        <w:rPr>
          <w:rFonts w:hAnsi="宋体" w:cs="宋体"/>
          <w:color w:val="auto"/>
          <w:sz w:val="21"/>
          <w:highlight w:val="none"/>
        </w:rPr>
      </w:pPr>
      <w:r>
        <w:rPr>
          <w:rFonts w:hint="eastAsia" w:hAnsi="宋体" w:cs="宋体"/>
          <w:color w:val="auto"/>
          <w:sz w:val="21"/>
          <w:highlight w:val="none"/>
        </w:rPr>
        <w:t>（1）在货物采购项目中，货物由中小企业制造，即货物由中小企业生产且使用该中小企业商号或者注册商标，不对其中涉及的工程承建商和服务的承接商作出要求；</w:t>
      </w:r>
    </w:p>
    <w:p w14:paraId="0527992D">
      <w:pPr>
        <w:pStyle w:val="26"/>
        <w:spacing w:line="360" w:lineRule="auto"/>
        <w:ind w:firstLine="420" w:firstLineChars="200"/>
        <w:rPr>
          <w:rFonts w:hAnsi="宋体" w:cs="宋体"/>
          <w:color w:val="auto"/>
          <w:sz w:val="21"/>
          <w:highlight w:val="none"/>
        </w:rPr>
      </w:pPr>
      <w:r>
        <w:rPr>
          <w:rFonts w:hint="eastAsia" w:hAnsi="宋体" w:cs="宋体"/>
          <w:color w:val="auto"/>
          <w:sz w:val="21"/>
          <w:highlight w:val="none"/>
        </w:rPr>
        <w:t>（2）在工程采购项目中，工程由中小企业承建，即工程施工单位为中小企业，不对其中涉及的货物的制造商和服务的承接商作出要求；</w:t>
      </w:r>
    </w:p>
    <w:p w14:paraId="064A581A">
      <w:pPr>
        <w:pStyle w:val="26"/>
        <w:spacing w:line="360" w:lineRule="auto"/>
        <w:ind w:firstLine="420" w:firstLineChars="200"/>
        <w:rPr>
          <w:rFonts w:hAnsi="宋体" w:cs="宋体"/>
          <w:color w:val="auto"/>
          <w:sz w:val="21"/>
          <w:highlight w:val="none"/>
        </w:rPr>
      </w:pPr>
      <w:r>
        <w:rPr>
          <w:rFonts w:hint="eastAsia" w:hAnsi="宋体" w:cs="宋体"/>
          <w:color w:val="auto"/>
          <w:sz w:val="21"/>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75090BC1">
      <w:pPr>
        <w:pStyle w:val="26"/>
        <w:spacing w:line="360" w:lineRule="auto"/>
        <w:ind w:firstLine="420" w:firstLineChars="200"/>
        <w:rPr>
          <w:rFonts w:hAnsi="宋体" w:cs="宋体"/>
          <w:color w:val="auto"/>
          <w:sz w:val="21"/>
          <w:highlight w:val="none"/>
        </w:rPr>
      </w:pPr>
      <w:r>
        <w:rPr>
          <w:rFonts w:hint="eastAsia" w:hAnsi="宋体" w:cs="宋体"/>
          <w:color w:val="auto"/>
          <w:sz w:val="21"/>
          <w:highlight w:val="none"/>
        </w:rPr>
        <w:t>在货物采购项目中，供应商提供的货物既有中小企业制造货物，也有大型企业制造货物的，不享受本招标文件规定的中小企业扶持政策。以联合体形式参加政府采购活动，联合体各方均为中小企业的，联合体视同中小企业。其中，联合体各方均为小微企业的，联合体视同小微企业。</w:t>
      </w:r>
    </w:p>
    <w:p w14:paraId="04FB7074">
      <w:pPr>
        <w:pStyle w:val="20"/>
        <w:ind w:left="449" w:leftChars="114" w:hanging="210" w:hangingChars="100"/>
        <w:rPr>
          <w:rFonts w:hAnsi="宋体"/>
          <w:color w:val="auto"/>
          <w:highlight w:val="none"/>
        </w:rPr>
      </w:pPr>
      <w:r>
        <w:rPr>
          <w:rFonts w:hint="eastAsia" w:hAnsi="宋体"/>
          <w:color w:val="auto"/>
          <w:sz w:val="21"/>
          <w:highlight w:val="none"/>
        </w:rPr>
        <w:t>依据</w:t>
      </w:r>
      <w:r>
        <w:rPr>
          <w:rFonts w:hint="eastAsia" w:hAnsi="宋体" w:cs="宋体"/>
          <w:color w:val="auto"/>
          <w:sz w:val="21"/>
          <w:highlight w:val="none"/>
        </w:rPr>
        <w:t>本招标文件</w:t>
      </w:r>
      <w:r>
        <w:rPr>
          <w:rFonts w:hint="eastAsia" w:hAnsi="宋体"/>
          <w:color w:val="auto"/>
          <w:sz w:val="21"/>
          <w:highlight w:val="none"/>
        </w:rPr>
        <w:t>规定享受扶持政策获得政府采购合同的，小微企业不得将合同分包给大中型企业，中型企业不得将合同分包给大型企业。</w:t>
      </w:r>
      <w:r>
        <w:rPr>
          <w:rFonts w:hAnsi="宋体"/>
          <w:color w:val="auto"/>
          <w:highlight w:val="none"/>
        </w:rPr>
        <w:br w:type="page"/>
      </w:r>
    </w:p>
    <w:p w14:paraId="1E3BCECC">
      <w:pPr>
        <w:pStyle w:val="4"/>
        <w:ind w:firstLine="442" w:firstLineChars="100"/>
        <w:jc w:val="center"/>
        <w:rPr>
          <w:rFonts w:hAnsi="宋体"/>
          <w:color w:val="auto"/>
          <w:highlight w:val="none"/>
        </w:rPr>
      </w:pPr>
      <w:bookmarkStart w:id="135" w:name="_Toc254970548"/>
      <w:bookmarkStart w:id="136" w:name="_Toc330456896"/>
      <w:bookmarkStart w:id="137" w:name="_Toc24782"/>
      <w:bookmarkStart w:id="138" w:name="_Toc254970689"/>
      <w:r>
        <w:rPr>
          <w:rFonts w:hint="eastAsia"/>
          <w:color w:val="auto"/>
          <w:highlight w:val="none"/>
        </w:rPr>
        <w:t>第四章  评标方法及评标标准</w:t>
      </w:r>
      <w:bookmarkEnd w:id="135"/>
      <w:bookmarkEnd w:id="136"/>
      <w:bookmarkEnd w:id="137"/>
      <w:bookmarkEnd w:id="138"/>
    </w:p>
    <w:p w14:paraId="211D7A53">
      <w:pPr>
        <w:pStyle w:val="6"/>
        <w:keepNext w:val="0"/>
        <w:keepLines w:val="0"/>
        <w:jc w:val="center"/>
        <w:rPr>
          <w:color w:val="auto"/>
          <w:highlight w:val="none"/>
        </w:rPr>
      </w:pPr>
      <w:r>
        <w:rPr>
          <w:rFonts w:hint="eastAsia"/>
          <w:color w:val="auto"/>
          <w:highlight w:val="none"/>
        </w:rPr>
        <w:t>一、评标方法</w:t>
      </w:r>
    </w:p>
    <w:p w14:paraId="1734FA27">
      <w:pPr>
        <w:pStyle w:val="26"/>
        <w:spacing w:line="360" w:lineRule="auto"/>
        <w:ind w:firstLine="420"/>
        <w:rPr>
          <w:rFonts w:hAnsi="宋体"/>
          <w:color w:val="auto"/>
          <w:sz w:val="21"/>
          <w:highlight w:val="none"/>
        </w:rPr>
      </w:pPr>
      <w:r>
        <w:rPr>
          <w:rFonts w:hint="eastAsia" w:hAnsi="宋体"/>
          <w:color w:val="auto"/>
          <w:sz w:val="21"/>
          <w:highlight w:val="none"/>
        </w:rPr>
        <w:t>综合评分法，是指投标文件满足招标文件全部实质性要求，且按照评审因素的量化指标评审得分最高的投标人为中标候选人的评标方法。</w:t>
      </w:r>
    </w:p>
    <w:p w14:paraId="1889EEA7">
      <w:pPr>
        <w:pStyle w:val="26"/>
        <w:spacing w:line="360" w:lineRule="auto"/>
        <w:ind w:firstLine="420"/>
        <w:rPr>
          <w:rFonts w:hAnsi="宋体"/>
          <w:color w:val="auto"/>
          <w:sz w:val="21"/>
          <w:highlight w:val="none"/>
        </w:rPr>
      </w:pPr>
      <w:r>
        <w:rPr>
          <w:rFonts w:hint="eastAsia" w:hAnsi="宋体"/>
          <w:color w:val="auto"/>
          <w:sz w:val="21"/>
          <w:highlight w:val="none"/>
        </w:rPr>
        <w:t>最低评标报法，是指投标文件满足招标文件全部实质性要求，且投标报价最低的投标人为中标候选人的评标方法。</w:t>
      </w:r>
    </w:p>
    <w:p w14:paraId="74C0261D">
      <w:pPr>
        <w:pStyle w:val="6"/>
        <w:keepNext w:val="0"/>
        <w:keepLines w:val="0"/>
        <w:jc w:val="center"/>
        <w:rPr>
          <w:color w:val="auto"/>
          <w:highlight w:val="none"/>
        </w:rPr>
      </w:pPr>
      <w:r>
        <w:rPr>
          <w:rFonts w:hint="eastAsia"/>
          <w:color w:val="auto"/>
          <w:highlight w:val="none"/>
        </w:rPr>
        <w:t>二、评标程序</w:t>
      </w:r>
    </w:p>
    <w:p w14:paraId="1B297096">
      <w:pPr>
        <w:pStyle w:val="8"/>
        <w:keepNext w:val="0"/>
        <w:keepLines w:val="0"/>
        <w:spacing w:before="0" w:after="0" w:line="360" w:lineRule="auto"/>
        <w:ind w:left="420" w:leftChars="200"/>
        <w:rPr>
          <w:rFonts w:ascii="宋体" w:hAnsi="宋体"/>
          <w:color w:val="auto"/>
          <w:sz w:val="21"/>
          <w:szCs w:val="21"/>
          <w:highlight w:val="none"/>
        </w:rPr>
      </w:pPr>
      <w:r>
        <w:rPr>
          <w:rFonts w:hint="eastAsia" w:ascii="宋体" w:hAnsi="宋体"/>
          <w:color w:val="auto"/>
          <w:sz w:val="21"/>
          <w:szCs w:val="21"/>
          <w:highlight w:val="none"/>
        </w:rPr>
        <w:t>1.符合性审查</w:t>
      </w:r>
    </w:p>
    <w:p w14:paraId="1EFA4B27">
      <w:pPr>
        <w:pStyle w:val="26"/>
        <w:snapToGrid w:val="0"/>
        <w:spacing w:line="360" w:lineRule="auto"/>
        <w:ind w:left="1" w:firstLine="420"/>
        <w:rPr>
          <w:rFonts w:hAnsi="宋体"/>
          <w:b/>
          <w:color w:val="auto"/>
          <w:kern w:val="2"/>
          <w:sz w:val="21"/>
          <w:highlight w:val="none"/>
        </w:rPr>
      </w:pPr>
      <w:r>
        <w:rPr>
          <w:rFonts w:hint="eastAsia" w:hAnsi="宋体"/>
          <w:b/>
          <w:color w:val="auto"/>
          <w:kern w:val="2"/>
          <w:sz w:val="21"/>
          <w:highlight w:val="none"/>
        </w:rPr>
        <w:t>评标委员会应当对符合资格的投标人的投标文件进行投标报价、商务、技术等实质性内容符合性审查，以确定其是否满足招标文件的实质性要求。</w:t>
      </w:r>
    </w:p>
    <w:p w14:paraId="374DB3F8">
      <w:pPr>
        <w:pStyle w:val="8"/>
        <w:keepNext w:val="0"/>
        <w:keepLines w:val="0"/>
        <w:spacing w:before="0" w:after="0" w:line="360" w:lineRule="auto"/>
        <w:ind w:left="420" w:leftChars="200"/>
        <w:rPr>
          <w:rFonts w:ascii="宋体" w:hAnsi="宋体"/>
          <w:color w:val="auto"/>
          <w:sz w:val="21"/>
          <w:szCs w:val="21"/>
          <w:highlight w:val="none"/>
        </w:rPr>
      </w:pPr>
      <w:r>
        <w:rPr>
          <w:rFonts w:hint="eastAsia" w:ascii="宋体" w:hAnsi="宋体"/>
          <w:color w:val="auto"/>
          <w:sz w:val="21"/>
          <w:szCs w:val="21"/>
          <w:highlight w:val="none"/>
        </w:rPr>
        <w:t>2</w:t>
      </w:r>
      <w:r>
        <w:rPr>
          <w:rFonts w:ascii="宋体" w:hAnsi="宋体"/>
          <w:color w:val="auto"/>
          <w:sz w:val="21"/>
          <w:szCs w:val="21"/>
          <w:highlight w:val="none"/>
        </w:rPr>
        <w:t>.</w:t>
      </w:r>
      <w:r>
        <w:rPr>
          <w:rFonts w:hint="eastAsia" w:ascii="宋体" w:hAnsi="宋体"/>
          <w:color w:val="auto"/>
          <w:sz w:val="21"/>
          <w:szCs w:val="21"/>
          <w:highlight w:val="none"/>
        </w:rPr>
        <w:t>符合性审查不通过而导致投标无效的情形</w:t>
      </w:r>
    </w:p>
    <w:p w14:paraId="0536F3AA">
      <w:p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投标人的投标文件中存在对招标文件的任何实质性要求和条件的负偏离，将被视为投标无效。</w:t>
      </w:r>
    </w:p>
    <w:p w14:paraId="6959B448">
      <w:pPr>
        <w:pStyle w:val="8"/>
        <w:keepNext w:val="0"/>
        <w:keepLines w:val="0"/>
        <w:spacing w:before="0" w:after="0" w:line="360" w:lineRule="auto"/>
        <w:ind w:left="420" w:leftChars="200"/>
        <w:rPr>
          <w:rFonts w:ascii="宋体" w:hAnsi="宋体"/>
          <w:color w:val="auto"/>
          <w:sz w:val="21"/>
          <w:szCs w:val="21"/>
          <w:highlight w:val="none"/>
        </w:rPr>
      </w:pPr>
      <w:r>
        <w:rPr>
          <w:rFonts w:hint="eastAsia" w:ascii="宋体" w:hAnsi="宋体"/>
          <w:color w:val="auto"/>
          <w:sz w:val="21"/>
          <w:szCs w:val="21"/>
          <w:highlight w:val="none"/>
        </w:rPr>
        <w:t>2.1在报价评审时，如发现下列情形之一的，将被视为投标无效：</w:t>
      </w:r>
    </w:p>
    <w:p w14:paraId="04A5556E">
      <w:pPr>
        <w:pStyle w:val="9"/>
        <w:numPr>
          <w:ilvl w:val="0"/>
          <w:numId w:val="4"/>
        </w:numPr>
        <w:spacing w:line="360" w:lineRule="auto"/>
        <w:ind w:firstLine="398" w:firstLineChars="200"/>
        <w:rPr>
          <w:rFonts w:ascii="宋体" w:hAnsi="宋体"/>
          <w:b/>
          <w:color w:val="auto"/>
          <w:spacing w:val="-6"/>
          <w:szCs w:val="21"/>
          <w:highlight w:val="none"/>
        </w:rPr>
      </w:pPr>
      <w:r>
        <w:rPr>
          <w:rFonts w:hint="eastAsia" w:ascii="宋体" w:hAnsi="宋体"/>
          <w:b/>
          <w:color w:val="auto"/>
          <w:spacing w:val="-6"/>
          <w:szCs w:val="21"/>
          <w:highlight w:val="none"/>
        </w:rPr>
        <w:t>报价文件未提供“投标人须知前附表”第13.1条规定中“必须提供”的文件资料的；</w:t>
      </w:r>
    </w:p>
    <w:p w14:paraId="5F526E34">
      <w:pPr>
        <w:pStyle w:val="9"/>
        <w:numPr>
          <w:ilvl w:val="0"/>
          <w:numId w:val="4"/>
        </w:num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未采用人民币报价或者未按照招标文件标明的币种报价的；</w:t>
      </w:r>
    </w:p>
    <w:p w14:paraId="5FF6411E">
      <w:pPr>
        <w:pStyle w:val="9"/>
        <w:numPr>
          <w:ilvl w:val="0"/>
          <w:numId w:val="4"/>
        </w:numPr>
        <w:spacing w:line="360" w:lineRule="auto"/>
        <w:ind w:left="-2" w:firstLine="422"/>
        <w:rPr>
          <w:rFonts w:ascii="宋体" w:hAnsi="宋体"/>
          <w:b/>
          <w:color w:val="auto"/>
          <w:spacing w:val="-6"/>
          <w:szCs w:val="21"/>
          <w:highlight w:val="none"/>
        </w:rPr>
      </w:pPr>
      <w:r>
        <w:rPr>
          <w:rFonts w:hint="eastAsia" w:ascii="宋体" w:hAnsi="宋体"/>
          <w:b/>
          <w:color w:val="auto"/>
          <w:spacing w:val="-6"/>
          <w:szCs w:val="21"/>
          <w:highlight w:val="none"/>
        </w:rPr>
        <w:t>各分标报价超出招标文件相应分标规定最高限价，或者超出相应分标采购预算金额的；</w:t>
      </w:r>
    </w:p>
    <w:p w14:paraId="7C1C1044">
      <w:pPr>
        <w:pStyle w:val="9"/>
        <w:numPr>
          <w:ilvl w:val="0"/>
          <w:numId w:val="4"/>
        </w:num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投标人未就所投分标进行报价或者存在漏项报价；投标人未就所投分标的单项内容作唯一报价；投标人未就所投分标的全部内容作完整唯一总价报价；存在有选择、有条件报价的（招标文件允许有备选方案或者其他约定的除外）；</w:t>
      </w:r>
    </w:p>
    <w:p w14:paraId="69CF0893">
      <w:pPr>
        <w:pStyle w:val="9"/>
        <w:numPr>
          <w:ilvl w:val="0"/>
          <w:numId w:val="4"/>
        </w:num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修正后的报价，投标人不确认的；</w:t>
      </w:r>
    </w:p>
    <w:p w14:paraId="45C8A4B5">
      <w:pPr>
        <w:pStyle w:val="9"/>
        <w:numPr>
          <w:ilvl w:val="0"/>
          <w:numId w:val="4"/>
        </w:num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投标人属于本章第</w:t>
      </w:r>
      <w:r>
        <w:rPr>
          <w:rFonts w:ascii="宋体" w:hAnsi="宋体"/>
          <w:b/>
          <w:color w:val="auto"/>
          <w:szCs w:val="21"/>
          <w:highlight w:val="none"/>
        </w:rPr>
        <w:t>5.1</w:t>
      </w:r>
      <w:r>
        <w:rPr>
          <w:rFonts w:hint="eastAsia" w:ascii="宋体" w:hAnsi="宋体"/>
          <w:b/>
          <w:color w:val="auto"/>
          <w:szCs w:val="21"/>
          <w:highlight w:val="none"/>
        </w:rPr>
        <w:t>条（2）或者第5</w:t>
      </w:r>
      <w:r>
        <w:rPr>
          <w:rFonts w:ascii="宋体" w:hAnsi="宋体"/>
          <w:b/>
          <w:color w:val="auto"/>
          <w:szCs w:val="21"/>
          <w:highlight w:val="none"/>
        </w:rPr>
        <w:t>.2条</w:t>
      </w:r>
      <w:r>
        <w:rPr>
          <w:rFonts w:hint="eastAsia" w:ascii="宋体" w:hAnsi="宋体"/>
          <w:b/>
          <w:color w:val="auto"/>
          <w:szCs w:val="21"/>
          <w:highlight w:val="none"/>
        </w:rPr>
        <w:t>（2）项情形的。</w:t>
      </w:r>
    </w:p>
    <w:p w14:paraId="35E6D6A6">
      <w:pPr>
        <w:pStyle w:val="9"/>
        <w:numPr>
          <w:ilvl w:val="0"/>
          <w:numId w:val="4"/>
        </w:numPr>
        <w:spacing w:line="360" w:lineRule="auto"/>
        <w:ind w:firstLine="398" w:firstLineChars="200"/>
        <w:rPr>
          <w:rFonts w:ascii="宋体" w:hAnsi="宋体"/>
          <w:b/>
          <w:color w:val="auto"/>
          <w:szCs w:val="21"/>
          <w:highlight w:val="none"/>
        </w:rPr>
      </w:pPr>
      <w:r>
        <w:rPr>
          <w:rFonts w:hint="eastAsia" w:ascii="宋体" w:hAnsi="宋体"/>
          <w:b/>
          <w:color w:val="auto"/>
          <w:spacing w:val="-6"/>
          <w:szCs w:val="21"/>
          <w:highlight w:val="none"/>
        </w:rPr>
        <w:t>报价文件</w:t>
      </w:r>
      <w:r>
        <w:rPr>
          <w:rFonts w:hint="eastAsia" w:ascii="宋体" w:hAnsi="宋体"/>
          <w:b/>
          <w:color w:val="auto"/>
          <w:szCs w:val="21"/>
          <w:highlight w:val="none"/>
        </w:rPr>
        <w:t>响应的标的数量及单位与招标文件要求实质性不一致的。</w:t>
      </w:r>
    </w:p>
    <w:p w14:paraId="3B7C97FC">
      <w:pPr>
        <w:pStyle w:val="8"/>
        <w:keepNext w:val="0"/>
        <w:keepLines w:val="0"/>
        <w:spacing w:before="0" w:after="0" w:line="360" w:lineRule="auto"/>
        <w:ind w:left="420" w:leftChars="200"/>
        <w:rPr>
          <w:rFonts w:ascii="宋体" w:hAnsi="宋体"/>
          <w:color w:val="auto"/>
          <w:sz w:val="21"/>
          <w:szCs w:val="21"/>
          <w:highlight w:val="none"/>
        </w:rPr>
      </w:pPr>
      <w:r>
        <w:rPr>
          <w:rFonts w:hint="eastAsia" w:ascii="宋体" w:hAnsi="宋体"/>
          <w:color w:val="auto"/>
          <w:sz w:val="21"/>
          <w:szCs w:val="21"/>
          <w:highlight w:val="none"/>
        </w:rPr>
        <w:t>2.2在商务评审时，如发现下列情形之一的，将被视为投标无效：</w:t>
      </w:r>
    </w:p>
    <w:p w14:paraId="10C20F6D">
      <w:pPr>
        <w:numPr>
          <w:ilvl w:val="0"/>
          <w:numId w:val="5"/>
        </w:num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投标文件未按招标文件要求签署、盖章的；</w:t>
      </w:r>
    </w:p>
    <w:p w14:paraId="1A9210BA">
      <w:pPr>
        <w:numPr>
          <w:ilvl w:val="0"/>
          <w:numId w:val="5"/>
        </w:num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 xml:space="preserve">委托代理人未能出具有效身份证或者出具的身份证与授权委托书中的信息不符的； </w:t>
      </w:r>
    </w:p>
    <w:p w14:paraId="573187C1">
      <w:pPr>
        <w:numPr>
          <w:ilvl w:val="0"/>
          <w:numId w:val="5"/>
        </w:num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为无效投标保证金的或者未按照招标文件的规定提交投标保证金的；</w:t>
      </w:r>
    </w:p>
    <w:p w14:paraId="076951EF">
      <w:pPr>
        <w:numPr>
          <w:ilvl w:val="0"/>
          <w:numId w:val="5"/>
        </w:num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投标文件未提供“投标人须知前附表”第13.</w:t>
      </w:r>
      <w:r>
        <w:rPr>
          <w:rFonts w:ascii="宋体" w:hAnsi="宋体"/>
          <w:b/>
          <w:color w:val="auto"/>
          <w:szCs w:val="21"/>
          <w:highlight w:val="none"/>
        </w:rPr>
        <w:t>1</w:t>
      </w:r>
      <w:r>
        <w:rPr>
          <w:rFonts w:hint="eastAsia" w:ascii="宋体" w:hAnsi="宋体"/>
          <w:b/>
          <w:color w:val="auto"/>
          <w:szCs w:val="21"/>
          <w:highlight w:val="none"/>
        </w:rPr>
        <w:t>条规定中“必须提供”或者“委托时必须提供”的文件资料的；</w:t>
      </w:r>
    </w:p>
    <w:p w14:paraId="0CDC49A4">
      <w:pPr>
        <w:numPr>
          <w:ilvl w:val="0"/>
          <w:numId w:val="5"/>
        </w:num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商务要求评审允许负偏离的条款数超过“投标人须知前附表”规定项数的；</w:t>
      </w:r>
    </w:p>
    <w:p w14:paraId="648F38D3">
      <w:pPr>
        <w:numPr>
          <w:ilvl w:val="0"/>
          <w:numId w:val="5"/>
        </w:num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投标文件的实质性内容未使用中文表述、使用计量单位不符合招标文件要求的；</w:t>
      </w:r>
    </w:p>
    <w:p w14:paraId="774C0EAA">
      <w:pPr>
        <w:numPr>
          <w:ilvl w:val="0"/>
          <w:numId w:val="5"/>
        </w:num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投标文件中的文件资料因填写不齐全或者内容虚假或者出现其他情形而导致被评标委员会认定无效的；</w:t>
      </w:r>
    </w:p>
    <w:p w14:paraId="2F4BD7BB">
      <w:pPr>
        <w:numPr>
          <w:ilvl w:val="0"/>
          <w:numId w:val="5"/>
        </w:num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投标文件含有采购人不能接受的附加条件的；</w:t>
      </w:r>
    </w:p>
    <w:p w14:paraId="141BA4E6">
      <w:pPr>
        <w:numPr>
          <w:ilvl w:val="0"/>
          <w:numId w:val="5"/>
        </w:num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属于投标人须知正文第</w:t>
      </w:r>
      <w:r>
        <w:rPr>
          <w:rFonts w:ascii="宋体" w:hAnsi="宋体"/>
          <w:b/>
          <w:color w:val="auto"/>
          <w:szCs w:val="21"/>
          <w:highlight w:val="none"/>
        </w:rPr>
        <w:t>9.2</w:t>
      </w:r>
      <w:r>
        <w:rPr>
          <w:rFonts w:hint="eastAsia" w:ascii="宋体" w:hAnsi="宋体"/>
          <w:b/>
          <w:color w:val="auto"/>
          <w:szCs w:val="21"/>
          <w:highlight w:val="none"/>
        </w:rPr>
        <w:t>条情形的；</w:t>
      </w:r>
    </w:p>
    <w:p w14:paraId="2867F602">
      <w:pPr>
        <w:numPr>
          <w:ilvl w:val="0"/>
          <w:numId w:val="5"/>
        </w:num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投标文件标注的项目名称或者项目编号与招标文件标注的项目名称或者项目编号不一致的；</w:t>
      </w:r>
    </w:p>
    <w:p w14:paraId="7E493678">
      <w:pPr>
        <w:numPr>
          <w:ilvl w:val="0"/>
          <w:numId w:val="5"/>
        </w:num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招标文件明确不允许分包，投标文件拟分包的；</w:t>
      </w:r>
    </w:p>
    <w:p w14:paraId="716CD07C">
      <w:pPr>
        <w:numPr>
          <w:ilvl w:val="0"/>
          <w:numId w:val="5"/>
        </w:num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未响应招标文件实质性要求的；</w:t>
      </w:r>
    </w:p>
    <w:p w14:paraId="742BC1E0">
      <w:pPr>
        <w:numPr>
          <w:ilvl w:val="0"/>
          <w:numId w:val="5"/>
        </w:num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法律、法规和招标文件规定的其他无效情形。</w:t>
      </w:r>
    </w:p>
    <w:p w14:paraId="53CA9EF7">
      <w:pPr>
        <w:pStyle w:val="8"/>
        <w:keepNext w:val="0"/>
        <w:keepLines w:val="0"/>
        <w:spacing w:before="0" w:after="0" w:line="360" w:lineRule="auto"/>
        <w:ind w:left="420" w:leftChars="200"/>
        <w:rPr>
          <w:rFonts w:ascii="宋体" w:hAnsi="宋体"/>
          <w:color w:val="auto"/>
          <w:sz w:val="21"/>
          <w:szCs w:val="21"/>
          <w:highlight w:val="none"/>
        </w:rPr>
      </w:pPr>
      <w:r>
        <w:rPr>
          <w:rFonts w:hint="eastAsia" w:ascii="宋体" w:hAnsi="宋体"/>
          <w:color w:val="auto"/>
          <w:sz w:val="21"/>
          <w:szCs w:val="21"/>
          <w:highlight w:val="none"/>
        </w:rPr>
        <w:t>2.3在技术评审时，如发现下列情形之一的，将被视为投标无效：</w:t>
      </w:r>
    </w:p>
    <w:p w14:paraId="021E1122">
      <w:pPr>
        <w:pStyle w:val="3"/>
        <w:snapToGrid w:val="0"/>
        <w:spacing w:line="360" w:lineRule="auto"/>
        <w:ind w:firstLine="413" w:firstLineChars="196"/>
        <w:rPr>
          <w:rFonts w:ascii="宋体" w:hAnsi="宋体" w:eastAsia="宋体"/>
          <w:b/>
          <w:color w:val="auto"/>
          <w:kern w:val="2"/>
          <w:sz w:val="21"/>
          <w:szCs w:val="21"/>
          <w:highlight w:val="none"/>
        </w:rPr>
      </w:pPr>
      <w:r>
        <w:rPr>
          <w:rFonts w:hint="eastAsia" w:ascii="宋体" w:hAnsi="宋体" w:eastAsia="宋体"/>
          <w:b/>
          <w:color w:val="auto"/>
          <w:kern w:val="2"/>
          <w:sz w:val="21"/>
          <w:szCs w:val="21"/>
          <w:highlight w:val="none"/>
        </w:rPr>
        <w:t>（1）技术要求评审允许负偏离的条款数超过“投标人须知前附表”规定项数的；</w:t>
      </w:r>
    </w:p>
    <w:p w14:paraId="212031F2">
      <w:pPr>
        <w:pStyle w:val="3"/>
        <w:snapToGrid w:val="0"/>
        <w:spacing w:line="360" w:lineRule="auto"/>
        <w:ind w:firstLine="413" w:firstLineChars="196"/>
        <w:rPr>
          <w:rFonts w:ascii="宋体" w:hAnsi="宋体" w:eastAsia="宋体"/>
          <w:b/>
          <w:color w:val="auto"/>
          <w:kern w:val="2"/>
          <w:sz w:val="21"/>
          <w:szCs w:val="21"/>
          <w:highlight w:val="none"/>
        </w:rPr>
      </w:pPr>
      <w:r>
        <w:rPr>
          <w:rFonts w:hint="eastAsia" w:ascii="宋体" w:hAnsi="宋体" w:eastAsia="宋体"/>
          <w:b/>
          <w:color w:val="auto"/>
          <w:kern w:val="2"/>
          <w:sz w:val="21"/>
          <w:szCs w:val="21"/>
          <w:highlight w:val="none"/>
        </w:rPr>
        <w:t>（2）投标文件未提供“投标人须知前附表”第13.</w:t>
      </w:r>
      <w:r>
        <w:rPr>
          <w:rFonts w:ascii="宋体" w:hAnsi="宋体" w:eastAsia="宋体"/>
          <w:b/>
          <w:color w:val="auto"/>
          <w:kern w:val="2"/>
          <w:sz w:val="21"/>
          <w:szCs w:val="21"/>
          <w:highlight w:val="none"/>
        </w:rPr>
        <w:t>1</w:t>
      </w:r>
      <w:r>
        <w:rPr>
          <w:rFonts w:hint="eastAsia" w:ascii="宋体" w:hAnsi="宋体" w:eastAsia="宋体"/>
          <w:b/>
          <w:color w:val="auto"/>
          <w:kern w:val="2"/>
          <w:sz w:val="21"/>
          <w:szCs w:val="21"/>
          <w:highlight w:val="none"/>
        </w:rPr>
        <w:t>条规定中“必须提供”的文件资料的；</w:t>
      </w:r>
    </w:p>
    <w:p w14:paraId="49056D76">
      <w:pPr>
        <w:pStyle w:val="3"/>
        <w:snapToGrid w:val="0"/>
        <w:spacing w:line="360" w:lineRule="auto"/>
        <w:ind w:firstLine="413" w:firstLineChars="196"/>
        <w:rPr>
          <w:rFonts w:ascii="宋体" w:hAnsi="宋体" w:eastAsia="宋体"/>
          <w:b/>
          <w:color w:val="auto"/>
          <w:kern w:val="2"/>
          <w:sz w:val="21"/>
          <w:szCs w:val="21"/>
          <w:highlight w:val="none"/>
        </w:rPr>
      </w:pPr>
      <w:r>
        <w:rPr>
          <w:rFonts w:hint="eastAsia" w:ascii="宋体" w:hAnsi="宋体" w:eastAsia="宋体"/>
          <w:b/>
          <w:color w:val="auto"/>
          <w:kern w:val="2"/>
          <w:sz w:val="21"/>
          <w:szCs w:val="21"/>
          <w:highlight w:val="none"/>
        </w:rPr>
        <w:t>（3）虚假投标，或者出现其他情形而导致被评标委员会认定无效的；</w:t>
      </w:r>
    </w:p>
    <w:p w14:paraId="2A5FBBDA">
      <w:pPr>
        <w:pStyle w:val="3"/>
        <w:snapToGrid w:val="0"/>
        <w:spacing w:line="360" w:lineRule="auto"/>
        <w:ind w:firstLine="413" w:firstLineChars="196"/>
        <w:rPr>
          <w:rFonts w:ascii="宋体" w:hAnsi="宋体" w:eastAsia="宋体"/>
          <w:b/>
          <w:color w:val="auto"/>
          <w:kern w:val="2"/>
          <w:sz w:val="21"/>
          <w:szCs w:val="21"/>
          <w:highlight w:val="none"/>
        </w:rPr>
      </w:pPr>
      <w:r>
        <w:rPr>
          <w:rFonts w:hint="eastAsia" w:ascii="宋体" w:hAnsi="宋体" w:eastAsia="宋体"/>
          <w:b/>
          <w:color w:val="auto"/>
          <w:kern w:val="2"/>
          <w:sz w:val="21"/>
          <w:szCs w:val="21"/>
          <w:highlight w:val="none"/>
        </w:rPr>
        <w:t>（4）</w:t>
      </w:r>
      <w:bookmarkStart w:id="139" w:name="_Hlk71706244"/>
      <w:r>
        <w:rPr>
          <w:rFonts w:hint="eastAsia" w:ascii="宋体" w:hAnsi="宋体" w:eastAsia="宋体"/>
          <w:b/>
          <w:color w:val="auto"/>
          <w:kern w:val="2"/>
          <w:sz w:val="21"/>
          <w:szCs w:val="21"/>
          <w:highlight w:val="none"/>
        </w:rPr>
        <w:t>招标文件未载明允许提供备选（替代）投标方案或明确不允许提供备选（替代）投标方案时，投标人提供了备选（替代）投标方案的；</w:t>
      </w:r>
      <w:bookmarkEnd w:id="139"/>
    </w:p>
    <w:p w14:paraId="0935BD11">
      <w:pPr>
        <w:pStyle w:val="3"/>
        <w:snapToGrid w:val="0"/>
        <w:spacing w:line="360" w:lineRule="auto"/>
        <w:ind w:firstLine="413" w:firstLineChars="196"/>
        <w:rPr>
          <w:rFonts w:ascii="宋体" w:hAnsi="宋体" w:eastAsia="宋体"/>
          <w:b/>
          <w:color w:val="auto"/>
          <w:kern w:val="2"/>
          <w:sz w:val="21"/>
          <w:szCs w:val="21"/>
          <w:highlight w:val="none"/>
        </w:rPr>
      </w:pPr>
      <w:r>
        <w:rPr>
          <w:rFonts w:hint="eastAsia" w:ascii="宋体" w:hAnsi="宋体" w:eastAsia="宋体"/>
          <w:b/>
          <w:color w:val="auto"/>
          <w:kern w:val="2"/>
          <w:sz w:val="21"/>
          <w:szCs w:val="21"/>
          <w:highlight w:val="none"/>
        </w:rPr>
        <w:t>（5）未响应招标文件实质性要求的。</w:t>
      </w:r>
    </w:p>
    <w:p w14:paraId="1CA75A09">
      <w:pPr>
        <w:pStyle w:val="8"/>
        <w:keepNext w:val="0"/>
        <w:keepLines w:val="0"/>
        <w:spacing w:before="0" w:after="0" w:line="360" w:lineRule="auto"/>
        <w:ind w:left="420" w:leftChars="200"/>
        <w:rPr>
          <w:rFonts w:ascii="宋体" w:hAnsi="宋体"/>
          <w:color w:val="auto"/>
          <w:sz w:val="21"/>
          <w:szCs w:val="21"/>
          <w:highlight w:val="none"/>
        </w:rPr>
      </w:pPr>
      <w:r>
        <w:rPr>
          <w:rFonts w:hint="eastAsia" w:ascii="宋体" w:hAnsi="宋体"/>
          <w:color w:val="auto"/>
          <w:sz w:val="21"/>
          <w:szCs w:val="21"/>
          <w:highlight w:val="none"/>
        </w:rPr>
        <w:t>3</w:t>
      </w:r>
      <w:r>
        <w:rPr>
          <w:rFonts w:ascii="宋体" w:hAnsi="宋体"/>
          <w:color w:val="auto"/>
          <w:sz w:val="21"/>
          <w:szCs w:val="21"/>
          <w:highlight w:val="none"/>
        </w:rPr>
        <w:t>.</w:t>
      </w:r>
      <w:r>
        <w:rPr>
          <w:rFonts w:hint="eastAsia" w:ascii="宋体" w:hAnsi="宋体"/>
          <w:color w:val="auto"/>
          <w:sz w:val="21"/>
          <w:szCs w:val="21"/>
          <w:highlight w:val="none"/>
        </w:rPr>
        <w:t>澄清补正</w:t>
      </w:r>
    </w:p>
    <w:p w14:paraId="0E1E5159">
      <w:pPr>
        <w:spacing w:line="360" w:lineRule="auto"/>
        <w:ind w:firstLine="420" w:firstLineChars="200"/>
        <w:rPr>
          <w:rFonts w:ascii="宋体" w:hAnsi="宋体" w:cs="Courier New"/>
          <w:b/>
          <w:color w:val="auto"/>
          <w:szCs w:val="21"/>
          <w:highlight w:val="none"/>
        </w:rPr>
      </w:pPr>
      <w:r>
        <w:rPr>
          <w:rFonts w:hint="eastAsia" w:ascii="宋体" w:hAnsi="宋体" w:cs="Courier New"/>
          <w:color w:val="auto"/>
          <w:szCs w:val="21"/>
          <w:highlight w:val="none"/>
        </w:rPr>
        <w:t>对投标文件中含义不明确、同类问题表述不一致或者有明显文字和计算错误的内容，评标委员会应在</w:t>
      </w:r>
      <w:r>
        <w:rPr>
          <w:rFonts w:hint="eastAsia" w:ascii="宋体" w:hAnsi="宋体" w:cs="宋体"/>
          <w:color w:val="auto"/>
          <w:szCs w:val="21"/>
          <w:highlight w:val="none"/>
        </w:rPr>
        <w:t>广西政府采购云平台</w:t>
      </w:r>
      <w:r>
        <w:rPr>
          <w:rFonts w:hint="eastAsia" w:ascii="宋体" w:hAnsi="宋体" w:cs="Courier New"/>
          <w:color w:val="auto"/>
          <w:szCs w:val="21"/>
          <w:highlight w:val="none"/>
        </w:rPr>
        <w:t>发布电子澄清函，要求投标人在规定时间内作出必要的澄清、说明或者补正。投标人在</w:t>
      </w:r>
      <w:r>
        <w:rPr>
          <w:rFonts w:hint="eastAsia" w:ascii="宋体" w:hAnsi="宋体" w:cs="宋体"/>
          <w:color w:val="auto"/>
          <w:szCs w:val="21"/>
          <w:highlight w:val="none"/>
        </w:rPr>
        <w:t>广西政府采购云平台</w:t>
      </w:r>
      <w:r>
        <w:rPr>
          <w:rFonts w:hint="eastAsia" w:ascii="宋体" w:hAnsi="宋体" w:cs="Courier New"/>
          <w:color w:val="auto"/>
          <w:szCs w:val="21"/>
          <w:highlight w:val="none"/>
        </w:rPr>
        <w:t>接收到电子澄清函后根据澄清函内容上传PDF格式回函，电子澄清答复函使用CA证书加盖投标人电子签章后在线上传至评标委员会。投标人的澄清、说明或者补正不得超出投标文件的范围或者改变投标文件的实质性内容。</w:t>
      </w:r>
    </w:p>
    <w:p w14:paraId="7EA04CA8">
      <w:pPr>
        <w:spacing w:line="360" w:lineRule="auto"/>
        <w:ind w:firstLine="420" w:firstLineChars="200"/>
        <w:rPr>
          <w:rFonts w:ascii="宋体" w:hAnsi="宋体" w:cs="Courier New"/>
          <w:color w:val="auto"/>
          <w:szCs w:val="21"/>
          <w:highlight w:val="none"/>
        </w:rPr>
      </w:pPr>
      <w:r>
        <w:rPr>
          <w:rFonts w:hint="eastAsia" w:ascii="宋体" w:hAnsi="宋体" w:cs="Courier New"/>
          <w:color w:val="auto"/>
          <w:szCs w:val="21"/>
          <w:highlight w:val="none"/>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46DAE7C0">
      <w:pPr>
        <w:spacing w:line="360" w:lineRule="auto"/>
        <w:ind w:firstLine="420" w:firstLineChars="200"/>
        <w:rPr>
          <w:rFonts w:ascii="宋体" w:hAnsi="宋体" w:cs="Courier New"/>
          <w:color w:val="auto"/>
          <w:szCs w:val="21"/>
          <w:highlight w:val="none"/>
        </w:rPr>
      </w:pPr>
      <w:r>
        <w:rPr>
          <w:rFonts w:hint="eastAsia" w:ascii="宋体" w:hAnsi="宋体" w:cs="Courier New"/>
          <w:color w:val="auto"/>
          <w:szCs w:val="21"/>
          <w:highlight w:val="none"/>
        </w:rPr>
        <w:t>未按评标委员会的要求作出明确澄清、说明或者更正的投标人的投标文件将按照有利于采购人的原则由评标委员会进行判定。</w:t>
      </w:r>
    </w:p>
    <w:p w14:paraId="5E12DE79">
      <w:pPr>
        <w:pStyle w:val="8"/>
        <w:keepNext w:val="0"/>
        <w:keepLines w:val="0"/>
        <w:spacing w:before="0" w:after="0" w:line="360" w:lineRule="auto"/>
        <w:ind w:left="420" w:leftChars="200"/>
        <w:rPr>
          <w:rFonts w:ascii="宋体" w:hAnsi="宋体"/>
          <w:color w:val="auto"/>
          <w:sz w:val="21"/>
          <w:szCs w:val="21"/>
          <w:highlight w:val="none"/>
        </w:rPr>
      </w:pPr>
      <w:r>
        <w:rPr>
          <w:rFonts w:ascii="宋体" w:hAnsi="宋体"/>
          <w:color w:val="auto"/>
          <w:sz w:val="21"/>
          <w:szCs w:val="21"/>
          <w:highlight w:val="none"/>
        </w:rPr>
        <w:t>4.</w:t>
      </w:r>
      <w:r>
        <w:rPr>
          <w:rFonts w:hint="eastAsia" w:ascii="宋体" w:hAnsi="宋体"/>
          <w:color w:val="auto"/>
          <w:sz w:val="21"/>
          <w:szCs w:val="21"/>
          <w:highlight w:val="none"/>
        </w:rPr>
        <w:t>投标文件修正</w:t>
      </w:r>
    </w:p>
    <w:p w14:paraId="016AFE98">
      <w:pPr>
        <w:pStyle w:val="8"/>
        <w:keepNext w:val="0"/>
        <w:keepLines w:val="0"/>
        <w:spacing w:before="0" w:after="0" w:line="360" w:lineRule="auto"/>
        <w:ind w:left="420" w:leftChars="200"/>
        <w:rPr>
          <w:rFonts w:ascii="宋体" w:hAnsi="宋体"/>
          <w:b w:val="0"/>
          <w:color w:val="auto"/>
          <w:sz w:val="21"/>
          <w:szCs w:val="21"/>
          <w:highlight w:val="none"/>
        </w:rPr>
      </w:pPr>
      <w:r>
        <w:rPr>
          <w:rFonts w:ascii="宋体" w:hAnsi="宋体"/>
          <w:b w:val="0"/>
          <w:color w:val="auto"/>
          <w:sz w:val="21"/>
          <w:szCs w:val="21"/>
          <w:highlight w:val="none"/>
        </w:rPr>
        <w:t>4</w:t>
      </w:r>
      <w:r>
        <w:rPr>
          <w:rFonts w:hint="eastAsia" w:ascii="宋体" w:hAnsi="宋体"/>
          <w:b w:val="0"/>
          <w:color w:val="auto"/>
          <w:sz w:val="21"/>
          <w:szCs w:val="21"/>
          <w:highlight w:val="none"/>
        </w:rPr>
        <w:t xml:space="preserve">.1投标文件报价出现前后不一致的，按照下列规定修正： </w:t>
      </w:r>
    </w:p>
    <w:p w14:paraId="2A897C68">
      <w:pPr>
        <w:pStyle w:val="26"/>
        <w:snapToGrid w:val="0"/>
        <w:spacing w:line="360" w:lineRule="auto"/>
        <w:ind w:firstLine="420" w:firstLineChars="200"/>
        <w:rPr>
          <w:rFonts w:hAnsi="宋体"/>
          <w:color w:val="auto"/>
          <w:sz w:val="21"/>
          <w:highlight w:val="none"/>
        </w:rPr>
      </w:pPr>
      <w:r>
        <w:rPr>
          <w:rFonts w:hint="eastAsia" w:hAnsi="宋体"/>
          <w:color w:val="auto"/>
          <w:sz w:val="21"/>
          <w:highlight w:val="none"/>
        </w:rPr>
        <w:t>（1）投标文件中开标一览表（报价表）内容与投标文件中相应内容不一致的，以开标一览表（报价表）为准；</w:t>
      </w:r>
    </w:p>
    <w:p w14:paraId="0EDBBF58">
      <w:pPr>
        <w:pStyle w:val="26"/>
        <w:snapToGrid w:val="0"/>
        <w:spacing w:line="360" w:lineRule="auto"/>
        <w:ind w:firstLine="420" w:firstLineChars="200"/>
        <w:rPr>
          <w:rFonts w:hAnsi="宋体"/>
          <w:color w:val="auto"/>
          <w:sz w:val="21"/>
          <w:highlight w:val="none"/>
        </w:rPr>
      </w:pPr>
      <w:r>
        <w:rPr>
          <w:rFonts w:hint="eastAsia" w:hAnsi="宋体"/>
          <w:color w:val="auto"/>
          <w:sz w:val="21"/>
          <w:highlight w:val="none"/>
        </w:rPr>
        <w:t>（2）大写金额和小写金额不一致的，以大写金额为准；</w:t>
      </w:r>
    </w:p>
    <w:p w14:paraId="1106F1DF">
      <w:pPr>
        <w:pStyle w:val="26"/>
        <w:snapToGrid w:val="0"/>
        <w:spacing w:line="360" w:lineRule="auto"/>
        <w:ind w:firstLine="420" w:firstLineChars="200"/>
        <w:rPr>
          <w:rFonts w:hAnsi="宋体"/>
          <w:color w:val="auto"/>
          <w:sz w:val="21"/>
          <w:highlight w:val="none"/>
        </w:rPr>
      </w:pPr>
      <w:r>
        <w:rPr>
          <w:rFonts w:hint="eastAsia" w:hAnsi="宋体"/>
          <w:color w:val="auto"/>
          <w:sz w:val="21"/>
          <w:highlight w:val="none"/>
        </w:rPr>
        <w:t>（3）单价金额小数点或者百分比有明显错位的，以开标一览表的总价为准，并修改单价；</w:t>
      </w:r>
    </w:p>
    <w:p w14:paraId="10600962">
      <w:pPr>
        <w:pStyle w:val="26"/>
        <w:snapToGrid w:val="0"/>
        <w:spacing w:line="360" w:lineRule="auto"/>
        <w:ind w:firstLine="420" w:firstLineChars="200"/>
        <w:rPr>
          <w:rFonts w:hAnsi="宋体"/>
          <w:color w:val="auto"/>
          <w:sz w:val="21"/>
          <w:highlight w:val="none"/>
        </w:rPr>
      </w:pPr>
      <w:r>
        <w:rPr>
          <w:rFonts w:hint="eastAsia" w:hAnsi="宋体"/>
          <w:color w:val="auto"/>
          <w:sz w:val="21"/>
          <w:highlight w:val="none"/>
        </w:rPr>
        <w:t>（4）总价金额与按单价汇总金额不一致的，以单价金额计算结果为准。</w:t>
      </w:r>
    </w:p>
    <w:p w14:paraId="3D821264">
      <w:pPr>
        <w:pStyle w:val="26"/>
        <w:snapToGrid w:val="0"/>
        <w:spacing w:line="360" w:lineRule="auto"/>
        <w:ind w:firstLine="420" w:firstLineChars="200"/>
        <w:rPr>
          <w:rFonts w:hAnsi="宋体"/>
          <w:color w:val="auto"/>
          <w:sz w:val="21"/>
          <w:highlight w:val="none"/>
        </w:rPr>
      </w:pPr>
      <w:r>
        <w:rPr>
          <w:rFonts w:hint="eastAsia" w:hAnsi="宋体"/>
          <w:color w:val="auto"/>
          <w:sz w:val="21"/>
          <w:highlight w:val="none"/>
        </w:rPr>
        <w:t>同时出现两种以上不一致的，按照以上（1）-（4）规定的顺序修正。修正后的报价经投标人确认后产生约束力，投标人不确认的，</w:t>
      </w:r>
      <w:r>
        <w:rPr>
          <w:rFonts w:hint="eastAsia" w:hAnsi="宋体"/>
          <w:b/>
          <w:color w:val="auto"/>
          <w:kern w:val="2"/>
          <w:sz w:val="21"/>
          <w:highlight w:val="none"/>
        </w:rPr>
        <w:t>其投标无效</w:t>
      </w:r>
      <w:r>
        <w:rPr>
          <w:rFonts w:hint="eastAsia" w:hAnsi="宋体"/>
          <w:color w:val="auto"/>
          <w:sz w:val="21"/>
          <w:highlight w:val="none"/>
        </w:rPr>
        <w:t>。</w:t>
      </w:r>
    </w:p>
    <w:p w14:paraId="1BC25F73">
      <w:pPr>
        <w:pStyle w:val="8"/>
        <w:keepNext w:val="0"/>
        <w:keepLines w:val="0"/>
        <w:spacing w:before="0" w:after="0" w:line="360" w:lineRule="auto"/>
        <w:rPr>
          <w:rFonts w:ascii="宋体" w:hAnsi="宋体"/>
          <w:b w:val="0"/>
          <w:color w:val="auto"/>
          <w:sz w:val="21"/>
          <w:szCs w:val="21"/>
          <w:highlight w:val="none"/>
        </w:rPr>
      </w:pPr>
      <w:r>
        <w:rPr>
          <w:rFonts w:ascii="宋体" w:hAnsi="宋体"/>
          <w:b w:val="0"/>
          <w:color w:val="auto"/>
          <w:sz w:val="21"/>
          <w:szCs w:val="21"/>
          <w:highlight w:val="none"/>
        </w:rPr>
        <w:t xml:space="preserve">    4</w:t>
      </w:r>
      <w:r>
        <w:rPr>
          <w:rFonts w:hint="eastAsia" w:ascii="宋体" w:hAnsi="宋体"/>
          <w:b w:val="0"/>
          <w:color w:val="auto"/>
          <w:sz w:val="21"/>
          <w:szCs w:val="21"/>
          <w:highlight w:val="none"/>
        </w:rPr>
        <w:t>.2经投标人确认修正后的报价若超过采购预算金额或者最高限价，</w:t>
      </w:r>
      <w:r>
        <w:rPr>
          <w:rFonts w:hint="eastAsia" w:ascii="宋体" w:hAnsi="宋体"/>
          <w:color w:val="auto"/>
          <w:sz w:val="21"/>
          <w:szCs w:val="21"/>
          <w:highlight w:val="none"/>
        </w:rPr>
        <w:t>投标人的投标文件作无效投标处理</w:t>
      </w:r>
      <w:r>
        <w:rPr>
          <w:rFonts w:hint="eastAsia" w:ascii="宋体" w:hAnsi="宋体"/>
          <w:b w:val="0"/>
          <w:color w:val="auto"/>
          <w:sz w:val="21"/>
          <w:szCs w:val="21"/>
          <w:highlight w:val="none"/>
        </w:rPr>
        <w:t>。</w:t>
      </w:r>
    </w:p>
    <w:p w14:paraId="1BB1C153">
      <w:pPr>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.3经投标人确认修正后的报价作为签订合同的依据，并以此报价计算价格分。</w:t>
      </w:r>
    </w:p>
    <w:p w14:paraId="0AE7A54A">
      <w:pPr>
        <w:pStyle w:val="8"/>
        <w:keepNext w:val="0"/>
        <w:keepLines w:val="0"/>
        <w:spacing w:before="0" w:after="0" w:line="360" w:lineRule="auto"/>
        <w:ind w:left="420" w:leftChars="200"/>
        <w:rPr>
          <w:rFonts w:ascii="宋体" w:hAnsi="宋体"/>
          <w:color w:val="auto"/>
          <w:sz w:val="21"/>
          <w:szCs w:val="21"/>
          <w:highlight w:val="none"/>
        </w:rPr>
      </w:pPr>
      <w:r>
        <w:rPr>
          <w:rFonts w:ascii="宋体" w:hAnsi="宋体"/>
          <w:color w:val="auto"/>
          <w:sz w:val="21"/>
          <w:szCs w:val="21"/>
          <w:highlight w:val="none"/>
        </w:rPr>
        <w:t>5.</w:t>
      </w:r>
      <w:r>
        <w:rPr>
          <w:rFonts w:hint="eastAsia" w:ascii="宋体" w:hAnsi="宋体"/>
          <w:color w:val="auto"/>
          <w:sz w:val="21"/>
          <w:szCs w:val="21"/>
          <w:highlight w:val="none"/>
        </w:rPr>
        <w:t>比较与评价</w:t>
      </w:r>
    </w:p>
    <w:p w14:paraId="75B9D8C8">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5.1采用综合评分法的</w:t>
      </w:r>
    </w:p>
    <w:p w14:paraId="3C261E8B">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（1）评标委员会按照招标文件中规定的评标方法及评标标准，对符合性审查合格的投标文件进行商务和技术评估，综合比较与评价。</w:t>
      </w:r>
    </w:p>
    <w:p w14:paraId="77648CE1">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（2）评标委员会独立对每个投标人的投标文件进行评价，并汇总每个投标人的得分。</w:t>
      </w:r>
    </w:p>
    <w:p w14:paraId="6DE4E495">
      <w:pPr>
        <w:snapToGrid w:val="0"/>
        <w:spacing w:line="360" w:lineRule="auto"/>
        <w:ind w:firstLine="420" w:firstLineChars="200"/>
        <w:rPr>
          <w:rFonts w:ascii="宋体" w:hAnsi="宋体"/>
          <w:b/>
          <w:color w:val="auto"/>
          <w:szCs w:val="21"/>
          <w:highlight w:val="none"/>
        </w:rPr>
      </w:pPr>
      <w:r>
        <w:rPr>
          <w:rFonts w:hint="eastAsia" w:ascii="宋体" w:hAnsi="宋体"/>
          <w:color w:val="auto"/>
          <w:szCs w:val="21"/>
          <w:highlight w:val="none"/>
        </w:rPr>
        <w:t>评标委员会认为投标人的报价明显低于其他通过符合性审查投标人的报价，有可能影响产品质量或者不能诚信履约的，应当要求其在评标现场合理的时间内提供书面说明，必要时提交相关证明材料；</w:t>
      </w:r>
      <w:r>
        <w:rPr>
          <w:rFonts w:hint="eastAsia" w:ascii="宋体" w:hAnsi="宋体"/>
          <w:b/>
          <w:color w:val="auto"/>
          <w:szCs w:val="21"/>
          <w:highlight w:val="none"/>
        </w:rPr>
        <w:t>投标人不能证明其报价合理性的，评标委员会将其作为无效投标处理。</w:t>
      </w:r>
    </w:p>
    <w:p w14:paraId="3054FA78">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（3）评标委员会按照招标文件中规定的评标方法和标准计算各投标人的报价得分。在计算过程中，不得去掉最高报价或者最低报价。</w:t>
      </w:r>
    </w:p>
    <w:p w14:paraId="6CF33881">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（4）各投标人的得分为所有评委的有效评分的算术平均数。</w:t>
      </w:r>
    </w:p>
    <w:p w14:paraId="619CA44D">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（5）评标委员会按照招标文件中的规定推荐中标候选人。</w:t>
      </w:r>
    </w:p>
    <w:p w14:paraId="77DFD92C">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56A99750">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5.2采用</w:t>
      </w:r>
      <w:r>
        <w:rPr>
          <w:rFonts w:hint="eastAsia" w:hAnsi="宋体"/>
          <w:color w:val="auto"/>
          <w:highlight w:val="none"/>
        </w:rPr>
        <w:t>最低评标报法</w:t>
      </w:r>
      <w:r>
        <w:rPr>
          <w:rFonts w:hint="eastAsia" w:ascii="宋体" w:hAnsi="宋体"/>
          <w:color w:val="auto"/>
          <w:szCs w:val="21"/>
          <w:highlight w:val="none"/>
        </w:rPr>
        <w:t>的</w:t>
      </w:r>
    </w:p>
    <w:p w14:paraId="0E64AE2D">
      <w:pPr>
        <w:snapToGrid w:val="0"/>
        <w:spacing w:line="360" w:lineRule="auto"/>
        <w:ind w:firstLine="424" w:firstLineChars="202"/>
        <w:jc w:val="left"/>
        <w:rPr>
          <w:rFonts w:ascii="宋体" w:hAnsi="宋体"/>
          <w:color w:val="auto"/>
          <w:szCs w:val="21"/>
          <w:highlight w:val="none"/>
        </w:rPr>
      </w:pPr>
      <w:r>
        <w:rPr>
          <w:rFonts w:hint="eastAsia" w:ascii="宋体" w:hAnsi="宋体"/>
          <w:color w:val="auto"/>
          <w:szCs w:val="21"/>
          <w:highlight w:val="none"/>
        </w:rPr>
        <w:t>（1）评标委员会按照招标文件中规定的评标方法及评标标准，对符合性审查合格的投标文件报价进行比较。</w:t>
      </w:r>
    </w:p>
    <w:p w14:paraId="66B004AB">
      <w:pPr>
        <w:snapToGrid w:val="0"/>
        <w:spacing w:line="360" w:lineRule="auto"/>
        <w:ind w:firstLine="424" w:firstLineChars="202"/>
        <w:jc w:val="left"/>
        <w:rPr>
          <w:rFonts w:ascii="宋体" w:hAnsi="宋体"/>
          <w:b/>
          <w:color w:val="auto"/>
          <w:szCs w:val="21"/>
          <w:highlight w:val="none"/>
        </w:rPr>
      </w:pPr>
      <w:r>
        <w:rPr>
          <w:rFonts w:hint="eastAsia" w:ascii="宋体" w:hAnsi="宋体"/>
          <w:color w:val="auto"/>
          <w:szCs w:val="21"/>
          <w:highlight w:val="none"/>
        </w:rPr>
        <w:t>（2）评标委员会认为投标人的报价明显低于其他通过符合性审查投标人的报价，有可能影响产品质量或者不能诚信履约的，应当要求其在评标现场合理的时间内提供书面说明，必要时提交相关证明材料；</w:t>
      </w:r>
      <w:r>
        <w:rPr>
          <w:rFonts w:hint="eastAsia" w:ascii="宋体" w:hAnsi="宋体"/>
          <w:b/>
          <w:color w:val="auto"/>
          <w:szCs w:val="21"/>
          <w:highlight w:val="none"/>
        </w:rPr>
        <w:t>投标人不能证明其报价合理性的，评标委员会将其作为无效投标处理。</w:t>
      </w:r>
    </w:p>
    <w:p w14:paraId="1F00E0FA">
      <w:pPr>
        <w:snapToGrid w:val="0"/>
        <w:spacing w:line="360" w:lineRule="auto"/>
        <w:ind w:firstLine="424" w:firstLineChars="202"/>
        <w:jc w:val="left"/>
        <w:rPr>
          <w:rFonts w:ascii="宋体" w:hAnsi="宋体"/>
          <w:color w:val="auto"/>
          <w:szCs w:val="21"/>
          <w:highlight w:val="none"/>
        </w:rPr>
      </w:pPr>
      <w:r>
        <w:rPr>
          <w:rFonts w:hint="eastAsia" w:ascii="宋体" w:hAnsi="宋体"/>
          <w:color w:val="auto"/>
          <w:szCs w:val="21"/>
          <w:highlight w:val="none"/>
        </w:rPr>
        <w:t>（3）评标委员会按照招标文件中的规定推荐中标候选人。</w:t>
      </w:r>
    </w:p>
    <w:p w14:paraId="21382015">
      <w:pPr>
        <w:snapToGrid w:val="0"/>
        <w:spacing w:line="360" w:lineRule="auto"/>
        <w:ind w:firstLine="424" w:firstLineChars="202"/>
        <w:jc w:val="left"/>
        <w:rPr>
          <w:rFonts w:ascii="宋体" w:hAnsi="宋体"/>
          <w:color w:val="auto"/>
          <w:szCs w:val="21"/>
          <w:highlight w:val="none"/>
        </w:rPr>
      </w:pPr>
      <w:r>
        <w:rPr>
          <w:rFonts w:hint="eastAsia" w:ascii="宋体" w:hAnsi="宋体"/>
          <w:color w:val="auto"/>
          <w:szCs w:val="21"/>
          <w:highlight w:val="none"/>
        </w:rPr>
        <w:t>（4）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435ED3E6">
      <w:pPr>
        <w:snapToGrid w:val="0"/>
        <w:spacing w:line="360" w:lineRule="auto"/>
        <w:ind w:firstLine="649" w:firstLineChars="202"/>
        <w:rPr>
          <w:color w:val="auto"/>
          <w:highlight w:val="none"/>
        </w:rPr>
      </w:pPr>
      <w:bookmarkStart w:id="140" w:name="_Hlk71707917"/>
      <w:r>
        <w:rPr>
          <w:rFonts w:ascii="宋体" w:hAnsi="宋体" w:cs="宋体"/>
          <w:b/>
          <w:bCs/>
          <w:color w:val="auto"/>
          <w:sz w:val="32"/>
          <w:szCs w:val="32"/>
          <w:highlight w:val="none"/>
        </w:rPr>
        <w:t>三</w:t>
      </w:r>
      <w:r>
        <w:rPr>
          <w:rFonts w:hint="eastAsia" w:ascii="宋体" w:hAnsi="宋体" w:cs="宋体"/>
          <w:b/>
          <w:bCs/>
          <w:color w:val="auto"/>
          <w:sz w:val="32"/>
          <w:szCs w:val="32"/>
          <w:highlight w:val="none"/>
        </w:rPr>
        <w:t>、评标标准</w:t>
      </w:r>
    </w:p>
    <w:bookmarkEnd w:id="140"/>
    <w:p w14:paraId="1FA78069">
      <w:pPr>
        <w:pStyle w:val="6"/>
        <w:keepNext w:val="0"/>
        <w:keepLines w:val="0"/>
        <w:jc w:val="center"/>
        <w:rPr>
          <w:color w:val="auto"/>
          <w:highlight w:val="none"/>
        </w:rPr>
      </w:pPr>
      <w:r>
        <w:rPr>
          <w:rFonts w:hint="eastAsia"/>
          <w:color w:val="auto"/>
          <w:highlight w:val="none"/>
        </w:rPr>
        <w:t>综合评分法</w:t>
      </w:r>
    </w:p>
    <w:tbl>
      <w:tblPr>
        <w:tblStyle w:val="48"/>
        <w:tblW w:w="91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
        <w:gridCol w:w="1500"/>
        <w:gridCol w:w="6677"/>
      </w:tblGrid>
      <w:tr w14:paraId="094E8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53" w:type="dxa"/>
            <w:gridSpan w:val="2"/>
            <w:vAlign w:val="center"/>
          </w:tcPr>
          <w:p w14:paraId="1CB7851E">
            <w:pPr>
              <w:adjustRightInd w:val="0"/>
              <w:spacing w:line="360" w:lineRule="auto"/>
              <w:jc w:val="center"/>
              <w:textAlignment w:val="baseline"/>
              <w:rPr>
                <w:rFonts w:ascii="宋体" w:hAnsi="宋体" w:cs="宋体"/>
                <w:color w:val="auto"/>
                <w:szCs w:val="21"/>
                <w:highlight w:val="none"/>
              </w:rPr>
            </w:pPr>
            <w:r>
              <w:rPr>
                <w:rFonts w:hint="eastAsia" w:ascii="宋体" w:hAnsi="宋体" w:cs="宋体"/>
                <w:b/>
                <w:color w:val="auto"/>
                <w:szCs w:val="21"/>
                <w:highlight w:val="none"/>
              </w:rPr>
              <w:t>评审因素</w:t>
            </w:r>
          </w:p>
        </w:tc>
        <w:tc>
          <w:tcPr>
            <w:tcW w:w="6677" w:type="dxa"/>
            <w:vAlign w:val="center"/>
          </w:tcPr>
          <w:p w14:paraId="4E536E89">
            <w:pPr>
              <w:adjustRightInd w:val="0"/>
              <w:spacing w:line="360" w:lineRule="auto"/>
              <w:jc w:val="center"/>
              <w:textAlignment w:val="baseline"/>
              <w:rPr>
                <w:rFonts w:ascii="宋体" w:hAnsi="宋体" w:cs="宋体"/>
                <w:b/>
                <w:color w:val="auto"/>
                <w:szCs w:val="21"/>
                <w:highlight w:val="none"/>
              </w:rPr>
            </w:pPr>
            <w:r>
              <w:rPr>
                <w:rFonts w:hint="eastAsia" w:ascii="宋体" w:hAnsi="宋体" w:cs="宋体"/>
                <w:b/>
                <w:color w:val="auto"/>
                <w:szCs w:val="21"/>
                <w:highlight w:val="none"/>
              </w:rPr>
              <w:t>评标标准</w:t>
            </w:r>
          </w:p>
        </w:tc>
      </w:tr>
      <w:tr w14:paraId="462E2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3" w:type="dxa"/>
            <w:vAlign w:val="center"/>
          </w:tcPr>
          <w:p w14:paraId="2C491C85">
            <w:pPr>
              <w:adjustRightInd w:val="0"/>
              <w:spacing w:line="360" w:lineRule="auto"/>
              <w:jc w:val="center"/>
              <w:textAlignment w:val="baseline"/>
              <w:rPr>
                <w:rFonts w:ascii="宋体" w:hAnsi="宋体" w:cs="宋体"/>
                <w:b/>
                <w:color w:val="auto"/>
                <w:szCs w:val="21"/>
                <w:highlight w:val="none"/>
              </w:rPr>
            </w:pPr>
            <w:r>
              <w:rPr>
                <w:rFonts w:hint="eastAsia" w:ascii="宋体" w:hAnsi="宋体" w:cs="宋体"/>
                <w:b/>
                <w:color w:val="auto"/>
                <w:szCs w:val="21"/>
                <w:highlight w:val="none"/>
              </w:rPr>
              <w:t>1.价格分（满分20分）</w:t>
            </w:r>
          </w:p>
        </w:tc>
        <w:tc>
          <w:tcPr>
            <w:tcW w:w="1500" w:type="dxa"/>
            <w:vAlign w:val="center"/>
          </w:tcPr>
          <w:p w14:paraId="252D160F">
            <w:pPr>
              <w:adjustRightInd w:val="0"/>
              <w:spacing w:line="360" w:lineRule="auto"/>
              <w:jc w:val="center"/>
              <w:textAlignment w:val="baseline"/>
              <w:rPr>
                <w:rFonts w:ascii="宋体" w:hAnsi="宋体" w:cs="宋体"/>
                <w:b/>
                <w:color w:val="auto"/>
                <w:szCs w:val="21"/>
                <w:highlight w:val="none"/>
              </w:rPr>
            </w:pPr>
            <w:r>
              <w:rPr>
                <w:rFonts w:hint="eastAsia" w:ascii="宋体" w:hAnsi="宋体" w:cs="宋体"/>
                <w:b/>
                <w:color w:val="auto"/>
                <w:szCs w:val="21"/>
                <w:highlight w:val="none"/>
              </w:rPr>
              <w:t>投标报价</w:t>
            </w:r>
          </w:p>
          <w:p w14:paraId="3F53AC2E">
            <w:pPr>
              <w:adjustRightInd w:val="0"/>
              <w:spacing w:line="360" w:lineRule="auto"/>
              <w:jc w:val="center"/>
              <w:textAlignment w:val="baseline"/>
              <w:rPr>
                <w:rFonts w:ascii="宋体" w:hAnsi="宋体" w:cs="宋体"/>
                <w:color w:val="auto"/>
                <w:szCs w:val="21"/>
                <w:highlight w:val="none"/>
              </w:rPr>
            </w:pPr>
          </w:p>
        </w:tc>
        <w:tc>
          <w:tcPr>
            <w:tcW w:w="6677" w:type="dxa"/>
            <w:vAlign w:val="center"/>
          </w:tcPr>
          <w:p w14:paraId="53991457">
            <w:pPr>
              <w:snapToGrid w:val="0"/>
              <w:spacing w:line="360" w:lineRule="auto"/>
              <w:ind w:firstLine="233" w:firstLineChars="111"/>
              <w:rPr>
                <w:rFonts w:ascii="宋体" w:hAnsi="宋体" w:cs="宋体"/>
                <w:bCs/>
                <w:color w:val="auto"/>
                <w:szCs w:val="21"/>
                <w:highlight w:val="none"/>
              </w:rPr>
            </w:pPr>
            <w:r>
              <w:rPr>
                <w:rFonts w:hint="eastAsia" w:ascii="宋体" w:hAnsi="宋体" w:cs="宋体"/>
                <w:bCs/>
                <w:color w:val="auto"/>
                <w:szCs w:val="21"/>
                <w:highlight w:val="none"/>
              </w:rPr>
              <w:t>（1）评标报价为投标人的投标报价进行政策性扣除后的价格，评标报价只是作为评标时使用。最终中标人的中标金额等于投标报价。</w:t>
            </w:r>
          </w:p>
          <w:p w14:paraId="7B325CE2">
            <w:pPr>
              <w:snapToGrid w:val="0"/>
              <w:spacing w:line="360" w:lineRule="auto"/>
              <w:ind w:firstLine="233" w:firstLineChars="111"/>
              <w:rPr>
                <w:rFonts w:ascii="宋体" w:hAnsi="宋体" w:cs="宋体"/>
                <w:bCs/>
                <w:color w:val="auto"/>
                <w:szCs w:val="21"/>
                <w:highlight w:val="none"/>
              </w:rPr>
            </w:pPr>
            <w:r>
              <w:rPr>
                <w:rFonts w:hint="eastAsia" w:ascii="宋体" w:hAnsi="宋体" w:cs="宋体"/>
                <w:bCs/>
                <w:color w:val="auto"/>
                <w:szCs w:val="21"/>
                <w:highlight w:val="none"/>
              </w:rPr>
              <w:t>（2）政策性扣除计算方法。</w:t>
            </w:r>
          </w:p>
          <w:p w14:paraId="05FED44C">
            <w:pPr>
              <w:snapToGrid w:val="0"/>
              <w:spacing w:line="360" w:lineRule="auto"/>
              <w:ind w:firstLine="443" w:firstLineChars="211"/>
              <w:rPr>
                <w:rFonts w:ascii="宋体" w:hAnsi="宋体" w:cs="宋体"/>
                <w:color w:val="auto"/>
                <w:szCs w:val="21"/>
                <w:highlight w:val="none"/>
              </w:rPr>
            </w:pPr>
            <w:r>
              <w:rPr>
                <w:rFonts w:hint="eastAsia" w:ascii="宋体" w:hAnsi="宋体" w:cs="宋体"/>
                <w:bCs/>
                <w:color w:val="auto"/>
                <w:szCs w:val="21"/>
                <w:highlight w:val="none"/>
              </w:rPr>
              <w:t>根据《政府采购促进中小企业发展管理办法》（财库〔2020〕46号）和《广西壮族自治区财政厅关于进一步发挥政府采购政策功能促进企业发展的通知》（桂财采〔2022〕30号）的规定，投标人在其投标文件中提供《中小企业声明函》，且服务全部由小微企业承接，对其投标报价给予20%的扣除，扣除后的价格为评标报价，即评标报价=投标报价×（1-20%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4%的扣除，用扣除后的价格参加评审，扣除后的价格为评标报价，即评标报价=投标报价×（1-4%）。除上述情况外，评标报价=投标报价。</w:t>
            </w:r>
          </w:p>
          <w:p w14:paraId="0BCD0609">
            <w:pPr>
              <w:snapToGrid w:val="0"/>
              <w:spacing w:line="360" w:lineRule="auto"/>
              <w:ind w:firstLine="233" w:firstLineChars="111"/>
              <w:rPr>
                <w:rFonts w:ascii="宋体" w:hAnsi="宋体" w:cs="宋体"/>
                <w:bCs/>
                <w:color w:val="auto"/>
                <w:szCs w:val="21"/>
                <w:highlight w:val="none"/>
              </w:rPr>
            </w:pPr>
            <w:r>
              <w:rPr>
                <w:rFonts w:hint="eastAsia" w:ascii="宋体" w:hAnsi="宋体" w:cs="宋体"/>
                <w:bCs/>
                <w:color w:val="auto"/>
                <w:szCs w:val="21"/>
                <w:highlight w:val="none"/>
              </w:rPr>
              <w:t>（3）按照《财政部、司法部关于政府采购支持监狱企业发展有关问题的通知》（财库〔2014〕68号）的规定，监狱企业视同小型、微型企业，享受预留份额、评审中价格扣除等促进中小企业发展的政府采购政策。</w:t>
            </w:r>
            <w:r>
              <w:rPr>
                <w:rFonts w:hint="eastAsia" w:ascii="宋体" w:hAnsi="宋体" w:cs="宋体"/>
                <w:color w:val="auto"/>
                <w:szCs w:val="21"/>
                <w:highlight w:val="none"/>
              </w:rPr>
              <w:t>监狱企业参加政府采购活动时，应当提供由省级以上监狱管理局、戒毒管理局（含新疆生产建设兵团）出具的属于监狱企业的证明文件。</w:t>
            </w:r>
            <w:r>
              <w:rPr>
                <w:rFonts w:hint="eastAsia" w:ascii="宋体" w:hAnsi="宋体" w:cs="宋体"/>
                <w:bCs/>
                <w:color w:val="auto"/>
                <w:szCs w:val="21"/>
                <w:highlight w:val="none"/>
              </w:rPr>
              <w:t>监狱企业属于小型、微型企业的，不重复享受政策。</w:t>
            </w:r>
          </w:p>
          <w:p w14:paraId="5D08E9C2">
            <w:pPr>
              <w:snapToGrid w:val="0"/>
              <w:spacing w:line="360" w:lineRule="auto"/>
              <w:ind w:firstLine="233" w:firstLineChars="111"/>
              <w:rPr>
                <w:rFonts w:ascii="宋体" w:hAnsi="宋体" w:cs="宋体"/>
                <w:bCs/>
                <w:color w:val="auto"/>
                <w:szCs w:val="21"/>
                <w:highlight w:val="none"/>
              </w:rPr>
            </w:pPr>
            <w:r>
              <w:rPr>
                <w:rFonts w:hint="eastAsia" w:ascii="宋体" w:hAnsi="宋体" w:cs="宋体"/>
                <w:color w:val="auto"/>
                <w:szCs w:val="21"/>
                <w:highlight w:val="none"/>
              </w:rPr>
              <w:t>（4）按照</w:t>
            </w:r>
            <w:r>
              <w:rPr>
                <w:rFonts w:hint="eastAsia" w:ascii="宋体" w:hAnsi="宋体" w:cs="宋体"/>
                <w:bCs/>
                <w:color w:val="auto"/>
                <w:szCs w:val="21"/>
                <w:highlight w:val="none"/>
              </w:rPr>
              <w:t>《关于促进残疾人就业政府采购政策的通知》（财库〔2017〕141号）的规定，残疾人福利性单位视同小型、微型企业，享受预留份额、评审中价格扣除等促进中小企业发展的政府采购政策。</w:t>
            </w:r>
            <w:r>
              <w:rPr>
                <w:rFonts w:hint="eastAsia" w:ascii="宋体" w:hAnsi="宋体" w:cs="宋体"/>
                <w:color w:val="auto"/>
                <w:szCs w:val="21"/>
                <w:highlight w:val="none"/>
              </w:rPr>
              <w:t>残疾人福利性单位参加政府采购活动时，应当提供该通知规定的《残疾人福利性单位声明函》，并对声明的真实性负责。</w:t>
            </w:r>
            <w:r>
              <w:rPr>
                <w:rFonts w:hint="eastAsia" w:ascii="宋体" w:hAnsi="宋体" w:cs="宋体"/>
                <w:bCs/>
                <w:color w:val="auto"/>
                <w:szCs w:val="21"/>
                <w:highlight w:val="none"/>
              </w:rPr>
              <w:t>残疾人福利性单位属于小型、微型企业的，不重复享受政策。</w:t>
            </w:r>
          </w:p>
          <w:p w14:paraId="7F7D90B6">
            <w:pPr>
              <w:snapToGrid w:val="0"/>
              <w:spacing w:line="360" w:lineRule="auto"/>
              <w:ind w:firstLine="233" w:firstLineChars="111"/>
              <w:rPr>
                <w:rFonts w:ascii="宋体" w:hAnsi="宋体" w:cs="宋体"/>
                <w:bCs/>
                <w:color w:val="auto"/>
                <w:szCs w:val="21"/>
                <w:highlight w:val="none"/>
              </w:rPr>
            </w:pPr>
            <w:r>
              <w:rPr>
                <w:rFonts w:hint="eastAsia" w:ascii="宋体" w:hAnsi="宋体" w:cs="宋体"/>
                <w:bCs/>
                <w:color w:val="auto"/>
                <w:szCs w:val="21"/>
                <w:highlight w:val="none"/>
              </w:rPr>
              <w:t>（5）满足招标文件要求且评标报价最低的评标报价为评标基准价，其价格分为满分。</w:t>
            </w:r>
          </w:p>
          <w:p w14:paraId="6454CA13">
            <w:pPr>
              <w:spacing w:line="360" w:lineRule="auto"/>
              <w:ind w:firstLine="233" w:firstLineChars="111"/>
              <w:rPr>
                <w:rFonts w:ascii="宋体" w:hAnsi="宋体" w:cs="宋体"/>
                <w:bCs/>
                <w:color w:val="auto"/>
                <w:szCs w:val="21"/>
                <w:highlight w:val="none"/>
              </w:rPr>
            </w:pPr>
            <w:r>
              <w:rPr>
                <w:rFonts w:hint="eastAsia" w:ascii="宋体" w:hAnsi="宋体" w:cs="宋体"/>
                <w:bCs/>
                <w:color w:val="auto"/>
                <w:szCs w:val="21"/>
                <w:highlight w:val="none"/>
              </w:rPr>
              <w:t xml:space="preserve">（6）价格分计算公式：        </w:t>
            </w:r>
          </w:p>
          <w:p w14:paraId="2D111563">
            <w:pPr>
              <w:spacing w:line="360" w:lineRule="auto"/>
              <w:ind w:firstLine="420" w:firstLineChars="200"/>
              <w:rPr>
                <w:rFonts w:ascii="宋体" w:hAnsi="宋体" w:cs="宋体"/>
                <w:color w:val="auto"/>
                <w:szCs w:val="21"/>
                <w:highlight w:val="none"/>
              </w:rPr>
            </w:pPr>
            <w:r>
              <w:rPr>
                <w:rFonts w:hint="eastAsia" w:hAnsi="宋体" w:cs="宋体"/>
                <w:color w:val="auto"/>
                <w:highlight w:val="none"/>
              </w:rPr>
              <w:t>某有效投标人价格分</w:t>
            </w:r>
            <w:r>
              <w:rPr>
                <w:rFonts w:hint="eastAsia" w:ascii="宋体" w:hAnsi="宋体" w:cs="宋体"/>
                <w:bCs/>
                <w:color w:val="auto"/>
                <w:szCs w:val="21"/>
                <w:highlight w:val="none"/>
              </w:rPr>
              <w:t>=［有效投标人最低投标报价金额（元）／某投标人投标报价金额（元）］×</w:t>
            </w:r>
            <w:r>
              <w:rPr>
                <w:rFonts w:hint="eastAsia" w:ascii="宋体" w:hAnsi="宋体" w:cs="宋体"/>
                <w:bCs/>
                <w:color w:val="auto"/>
                <w:szCs w:val="21"/>
                <w:highlight w:val="none"/>
                <w:u w:val="single"/>
              </w:rPr>
              <w:t>20</w:t>
            </w:r>
            <w:r>
              <w:rPr>
                <w:rFonts w:hint="eastAsia" w:ascii="宋体" w:hAnsi="宋体" w:cs="宋体"/>
                <w:bCs/>
                <w:color w:val="auto"/>
                <w:szCs w:val="21"/>
                <w:highlight w:val="none"/>
              </w:rPr>
              <w:t>分。</w:t>
            </w:r>
          </w:p>
        </w:tc>
      </w:tr>
      <w:tr w14:paraId="2B02F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6" w:hRule="atLeast"/>
          <w:jc w:val="center"/>
        </w:trPr>
        <w:tc>
          <w:tcPr>
            <w:tcW w:w="953" w:type="dxa"/>
            <w:vMerge w:val="restart"/>
            <w:vAlign w:val="center"/>
          </w:tcPr>
          <w:p w14:paraId="062123BA">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2.技术分（满分45分）</w:t>
            </w:r>
          </w:p>
        </w:tc>
        <w:tc>
          <w:tcPr>
            <w:tcW w:w="1500" w:type="dxa"/>
            <w:tcMar>
              <w:left w:w="57" w:type="dxa"/>
              <w:right w:w="57" w:type="dxa"/>
            </w:tcMar>
            <w:vAlign w:val="center"/>
          </w:tcPr>
          <w:p w14:paraId="78306740">
            <w:pPr>
              <w:spacing w:line="360" w:lineRule="auto"/>
              <w:jc w:val="center"/>
              <w:rPr>
                <w:rFonts w:ascii="宋体" w:hAnsi="宋体" w:cs="宋体"/>
                <w:bCs/>
                <w:color w:val="auto"/>
                <w:szCs w:val="21"/>
                <w:highlight w:val="none"/>
              </w:rPr>
            </w:pPr>
            <w:r>
              <w:rPr>
                <w:rFonts w:hint="eastAsia" w:ascii="宋体" w:hAnsi="宋体" w:cs="宋体"/>
                <w:b/>
                <w:color w:val="auto"/>
                <w:szCs w:val="21"/>
                <w:highlight w:val="none"/>
              </w:rPr>
              <w:t>增值服务（满分</w:t>
            </w:r>
            <w:r>
              <w:rPr>
                <w:rFonts w:hint="eastAsia" w:ascii="宋体" w:hAnsi="宋体" w:cs="宋体"/>
                <w:b/>
                <w:color w:val="auto"/>
                <w:szCs w:val="21"/>
                <w:highlight w:val="none"/>
                <w:lang w:val="en-US" w:eastAsia="zh-CN"/>
              </w:rPr>
              <w:t>10</w:t>
            </w:r>
            <w:r>
              <w:rPr>
                <w:rFonts w:hint="eastAsia" w:ascii="宋体" w:hAnsi="宋体" w:cs="宋体"/>
                <w:b/>
                <w:color w:val="auto"/>
                <w:szCs w:val="21"/>
                <w:highlight w:val="none"/>
              </w:rPr>
              <w:t>分）</w:t>
            </w:r>
          </w:p>
        </w:tc>
        <w:tc>
          <w:tcPr>
            <w:tcW w:w="6677" w:type="dxa"/>
            <w:vAlign w:val="center"/>
          </w:tcPr>
          <w:p w14:paraId="353893EE">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一</w:t>
            </w:r>
            <w:r>
              <w:rPr>
                <w:rFonts w:hint="eastAsia" w:ascii="宋体" w:hAnsi="宋体" w:cs="宋体"/>
                <w:color w:val="auto"/>
                <w:szCs w:val="21"/>
                <w:highlight w:val="none"/>
              </w:rPr>
              <w:t>档（</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分）:满足招标文件要求</w:t>
            </w:r>
            <w:r>
              <w:rPr>
                <w:rFonts w:hint="eastAsia" w:ascii="宋体" w:hAnsi="宋体" w:cs="宋体"/>
                <w:color w:val="auto"/>
                <w:szCs w:val="21"/>
                <w:highlight w:val="none"/>
                <w:lang w:eastAsia="zh-CN"/>
              </w:rPr>
              <w:t>，</w:t>
            </w:r>
            <w:r>
              <w:rPr>
                <w:rFonts w:hint="eastAsia" w:ascii="宋体" w:hAnsi="宋体" w:cs="宋体"/>
                <w:color w:val="auto"/>
                <w:szCs w:val="21"/>
                <w:highlight w:val="none"/>
              </w:rPr>
              <w:t>每月数据流量服务不少于</w:t>
            </w:r>
            <w:r>
              <w:rPr>
                <w:rFonts w:hint="eastAsia" w:ascii="宋体" w:hAnsi="宋体" w:cs="宋体"/>
                <w:color w:val="auto"/>
                <w:szCs w:val="21"/>
                <w:highlight w:val="none"/>
                <w:lang w:val="en-US" w:eastAsia="zh-CN"/>
              </w:rPr>
              <w:t>320</w:t>
            </w:r>
            <w:r>
              <w:rPr>
                <w:rFonts w:hint="eastAsia" w:ascii="宋体" w:hAnsi="宋体" w:cs="宋体"/>
                <w:color w:val="auto"/>
                <w:szCs w:val="21"/>
                <w:highlight w:val="none"/>
              </w:rPr>
              <w:t>G流量/人</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国内120G加区内200G</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r>
              <w:rPr>
                <w:rFonts w:hint="eastAsia" w:ascii="宋体" w:hAnsi="宋体" w:eastAsia="宋体" w:cs="宋体"/>
                <w:color w:val="auto"/>
                <w:szCs w:val="21"/>
                <w:highlight w:val="none"/>
                <w:lang w:val="en-US" w:eastAsia="zh-CN"/>
              </w:rPr>
              <w:t>提供不少于2000分钟/人的国内通话服务，提供集团内不少于2000分钟/人通话服务，提供短信不少于200条/人</w:t>
            </w:r>
            <w:r>
              <w:rPr>
                <w:rFonts w:hint="eastAsia" w:ascii="宋体" w:hAnsi="宋体" w:cs="宋体"/>
                <w:color w:val="auto"/>
                <w:szCs w:val="21"/>
                <w:highlight w:val="none"/>
              </w:rPr>
              <w:t>等更多的优惠业务。</w:t>
            </w:r>
          </w:p>
          <w:p w14:paraId="5A820B80">
            <w:pPr>
              <w:spacing w:line="360" w:lineRule="auto"/>
              <w:ind w:firstLine="420" w:firstLineChars="200"/>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二档（6分）:满足招标文件要求，每月数据流量服务不少于320G流量/人（国内120G加区内200G），</w:t>
            </w:r>
            <w:r>
              <w:rPr>
                <w:rFonts w:hint="eastAsia" w:ascii="宋体" w:hAnsi="宋体" w:eastAsia="宋体" w:cs="宋体"/>
                <w:color w:val="auto"/>
                <w:szCs w:val="21"/>
                <w:highlight w:val="none"/>
                <w:lang w:val="en-US" w:eastAsia="zh-CN"/>
              </w:rPr>
              <w:t>提供不少于2000分钟/人的国内通话服务，提供集团内不少于2000分钟/人通话服务，提供短信不少于200条/人</w:t>
            </w:r>
            <w:r>
              <w:rPr>
                <w:rFonts w:hint="eastAsia" w:ascii="宋体" w:hAnsi="宋体" w:cs="宋体"/>
                <w:color w:val="auto"/>
                <w:szCs w:val="21"/>
                <w:highlight w:val="none"/>
                <w:lang w:val="en-US" w:eastAsia="zh-CN"/>
              </w:rPr>
              <w:t>等更多的优惠业务，赠送手机壳，服务日12次，提供贴膜服务。</w:t>
            </w:r>
          </w:p>
          <w:p w14:paraId="2CA54FA4">
            <w:pPr>
              <w:spacing w:line="360" w:lineRule="auto"/>
              <w:ind w:firstLine="420" w:firstLineChars="200"/>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三档（8分）:满足招标文件要求，每月数据流量服务不少于320G流量/人（国内120G加区内200G），</w:t>
            </w:r>
            <w:r>
              <w:rPr>
                <w:rFonts w:hint="eastAsia" w:ascii="宋体" w:hAnsi="宋体" w:eastAsia="宋体" w:cs="宋体"/>
                <w:color w:val="auto"/>
                <w:szCs w:val="21"/>
                <w:highlight w:val="none"/>
                <w:lang w:val="en-US" w:eastAsia="zh-CN"/>
              </w:rPr>
              <w:t>提供不少于2000分钟/人的国内通话服务，提供集团内不少于2000分钟/人通话服务，提供短信不少于200条/人</w:t>
            </w:r>
            <w:r>
              <w:rPr>
                <w:rFonts w:hint="eastAsia" w:ascii="宋体" w:hAnsi="宋体" w:cs="宋体"/>
                <w:color w:val="auto"/>
                <w:szCs w:val="21"/>
                <w:highlight w:val="none"/>
                <w:lang w:val="en-US" w:eastAsia="zh-CN"/>
              </w:rPr>
              <w:t>等更多的优惠业务，赠送手机壳，服务日12次，提供贴膜服务，增加一条1000兆家庭宽带。</w:t>
            </w:r>
          </w:p>
          <w:p w14:paraId="1DD37941">
            <w:pPr>
              <w:spacing w:line="360" w:lineRule="auto"/>
              <w:ind w:firstLine="420" w:firstLineChars="200"/>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四档（10分）:满足招标文件要求，每月数据流量服务不少于320G流量/人（国内120G加区内200G），</w:t>
            </w:r>
            <w:r>
              <w:rPr>
                <w:rFonts w:hint="eastAsia" w:ascii="宋体" w:hAnsi="宋体" w:eastAsia="宋体" w:cs="宋体"/>
                <w:color w:val="auto"/>
                <w:szCs w:val="21"/>
                <w:highlight w:val="none"/>
                <w:lang w:val="en-US" w:eastAsia="zh-CN"/>
              </w:rPr>
              <w:t>提供不少于2000分钟/人的国内通话服务，提供集团内不少于2000分钟/人通话服务，提供短信不少于200条/人</w:t>
            </w:r>
            <w:r>
              <w:rPr>
                <w:rFonts w:hint="eastAsia" w:ascii="宋体" w:hAnsi="宋体" w:cs="宋体"/>
                <w:color w:val="auto"/>
                <w:szCs w:val="21"/>
                <w:highlight w:val="none"/>
                <w:lang w:val="en-US" w:eastAsia="zh-CN"/>
              </w:rPr>
              <w:t>等更多的优惠业务，赠送手机壳，提供贴膜服务，服务日12次，增加一条1000兆家庭宽带。增加至少一次碎屏险服务，提供指定官方售后网点终端三包1年延保服务。</w:t>
            </w:r>
          </w:p>
          <w:p w14:paraId="7872D636">
            <w:pPr>
              <w:pStyle w:val="2"/>
              <w:rPr>
                <w:rFonts w:hint="eastAsia" w:ascii="宋体" w:hAnsi="宋体" w:cs="宋体"/>
                <w:color w:val="auto"/>
                <w:szCs w:val="21"/>
                <w:highlight w:val="none"/>
                <w:lang w:val="en-US" w:eastAsia="zh-CN"/>
              </w:rPr>
            </w:pPr>
          </w:p>
          <w:p w14:paraId="6A91BDEB">
            <w:pPr>
              <w:pStyle w:val="2"/>
              <w:rPr>
                <w:rFonts w:hint="eastAsia" w:ascii="宋体" w:hAnsi="宋体" w:cs="宋体"/>
                <w:color w:val="auto"/>
                <w:szCs w:val="21"/>
                <w:highlight w:val="none"/>
                <w:lang w:val="en-US" w:eastAsia="zh-CN"/>
              </w:rPr>
            </w:pPr>
          </w:p>
        </w:tc>
      </w:tr>
      <w:tr w14:paraId="15FA1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3" w:hRule="atLeast"/>
          <w:jc w:val="center"/>
        </w:trPr>
        <w:tc>
          <w:tcPr>
            <w:tcW w:w="953" w:type="dxa"/>
            <w:vMerge w:val="continue"/>
            <w:vAlign w:val="center"/>
          </w:tcPr>
          <w:p w14:paraId="0516422C">
            <w:pPr>
              <w:spacing w:line="360" w:lineRule="auto"/>
              <w:jc w:val="center"/>
              <w:rPr>
                <w:rFonts w:ascii="宋体" w:hAnsi="宋体" w:cs="宋体"/>
                <w:b/>
                <w:bCs/>
                <w:color w:val="auto"/>
                <w:szCs w:val="21"/>
                <w:highlight w:val="none"/>
              </w:rPr>
            </w:pPr>
          </w:p>
        </w:tc>
        <w:tc>
          <w:tcPr>
            <w:tcW w:w="1500" w:type="dxa"/>
            <w:tcMar>
              <w:left w:w="57" w:type="dxa"/>
              <w:right w:w="57" w:type="dxa"/>
            </w:tcMar>
            <w:vAlign w:val="center"/>
          </w:tcPr>
          <w:p w14:paraId="345772B9">
            <w:pPr>
              <w:spacing w:line="360" w:lineRule="auto"/>
              <w:jc w:val="center"/>
              <w:rPr>
                <w:rFonts w:ascii="宋体" w:hAnsi="宋体" w:cs="宋体"/>
                <w:b/>
                <w:color w:val="auto"/>
                <w:szCs w:val="21"/>
                <w:highlight w:val="none"/>
              </w:rPr>
            </w:pPr>
            <w:r>
              <w:rPr>
                <w:rFonts w:hint="eastAsia" w:ascii="宋体" w:hAnsi="宋体" w:cs="宋体"/>
                <w:b/>
                <w:bCs/>
                <w:color w:val="auto"/>
                <w:szCs w:val="21"/>
                <w:highlight w:val="none"/>
              </w:rPr>
              <w:t>技术方案分（满分</w:t>
            </w:r>
            <w:r>
              <w:rPr>
                <w:rFonts w:hint="eastAsia" w:ascii="宋体" w:hAnsi="宋体" w:cs="宋体"/>
                <w:b/>
                <w:bCs/>
                <w:color w:val="auto"/>
                <w:szCs w:val="21"/>
                <w:highlight w:val="none"/>
                <w:lang w:val="en-US" w:eastAsia="zh-CN"/>
              </w:rPr>
              <w:t>15</w:t>
            </w:r>
            <w:r>
              <w:rPr>
                <w:rFonts w:hint="eastAsia" w:ascii="宋体" w:hAnsi="宋体" w:cs="宋体"/>
                <w:b/>
                <w:bCs/>
                <w:color w:val="auto"/>
                <w:szCs w:val="21"/>
                <w:highlight w:val="none"/>
              </w:rPr>
              <w:t>分）</w:t>
            </w:r>
          </w:p>
        </w:tc>
        <w:tc>
          <w:tcPr>
            <w:tcW w:w="6677" w:type="dxa"/>
            <w:vAlign w:val="center"/>
          </w:tcPr>
          <w:p w14:paraId="4A141AD9">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一档（</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分）:基本了解项目背景，能够理解本项目的特点，提出了基本可行的技术方案。</w:t>
            </w:r>
          </w:p>
          <w:p w14:paraId="164EA5A6">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二档（</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分）:满足招标文件基本要求，同时能够较准确理解本项目的特点，分析项目需求；提出比较完整可行的技术方案。</w:t>
            </w:r>
          </w:p>
          <w:p w14:paraId="7598688B">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三档（</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分）:在第二档基础上，准确理解本项目的特点；较好地把握本项目的技术重点、难点和要点，同时提出完整可行的技术方案，且能详细介绍双系统终端解决方案。</w:t>
            </w:r>
          </w:p>
          <w:p w14:paraId="5367DF30">
            <w:pPr>
              <w:spacing w:line="360" w:lineRule="auto"/>
              <w:ind w:firstLine="420" w:firstLineChars="200"/>
              <w:jc w:val="left"/>
              <w:rPr>
                <w:color w:val="auto"/>
                <w:highlight w:val="none"/>
              </w:rPr>
            </w:pPr>
            <w:r>
              <w:rPr>
                <w:rFonts w:hint="eastAsia" w:ascii="宋体" w:hAnsi="宋体" w:cs="宋体"/>
                <w:color w:val="auto"/>
                <w:szCs w:val="21"/>
                <w:highlight w:val="none"/>
              </w:rPr>
              <w:t>四档（</w:t>
            </w:r>
            <w:r>
              <w:rPr>
                <w:rFonts w:hint="eastAsia" w:ascii="宋体" w:hAnsi="宋体" w:cs="宋体"/>
                <w:color w:val="auto"/>
                <w:szCs w:val="21"/>
                <w:highlight w:val="none"/>
                <w:lang w:val="en-US" w:eastAsia="zh-CN"/>
              </w:rPr>
              <w:t>15</w:t>
            </w:r>
            <w:r>
              <w:rPr>
                <w:rFonts w:hint="eastAsia" w:ascii="宋体" w:hAnsi="宋体" w:cs="宋体"/>
                <w:color w:val="auto"/>
                <w:szCs w:val="21"/>
                <w:highlight w:val="none"/>
              </w:rPr>
              <w:t>分）:在第三档基础上，准确理解本项目的特点；较好地把握本项目的技术重点、难点和要点，提供需求分析和对应的解决方案，能根据所提供的运营商网络提供符合项目的组网方案；同时提出完整可行的技术方案，且能详细介绍双系统终端实现原理、双系统功能、解决方案。</w:t>
            </w:r>
          </w:p>
        </w:tc>
      </w:tr>
      <w:tr w14:paraId="5DE8F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3" w:type="dxa"/>
            <w:vMerge w:val="continue"/>
            <w:vAlign w:val="center"/>
          </w:tcPr>
          <w:p w14:paraId="784D42EA">
            <w:pPr>
              <w:spacing w:line="360" w:lineRule="auto"/>
              <w:jc w:val="center"/>
              <w:rPr>
                <w:rFonts w:ascii="宋体" w:hAnsi="宋体" w:cs="宋体"/>
                <w:b/>
                <w:bCs/>
                <w:color w:val="auto"/>
                <w:kern w:val="0"/>
                <w:szCs w:val="21"/>
                <w:highlight w:val="none"/>
              </w:rPr>
            </w:pPr>
          </w:p>
        </w:tc>
        <w:tc>
          <w:tcPr>
            <w:tcW w:w="1500" w:type="dxa"/>
            <w:tcMar>
              <w:left w:w="57" w:type="dxa"/>
              <w:right w:w="57" w:type="dxa"/>
            </w:tcMar>
            <w:vAlign w:val="center"/>
          </w:tcPr>
          <w:p w14:paraId="23F2AB38">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项目实施方案分（满分20分）</w:t>
            </w:r>
          </w:p>
        </w:tc>
        <w:tc>
          <w:tcPr>
            <w:tcW w:w="6677" w:type="dxa"/>
            <w:vAlign w:val="center"/>
          </w:tcPr>
          <w:p w14:paraId="1C323716">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一档（5分）：项目实施方案较为简单，仅简单罗列了项目实施步骤和要求，但不够具体，基本能满足项目要求。</w:t>
            </w:r>
          </w:p>
          <w:p w14:paraId="5408AFA9">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二档（10分）：项目实施方案较详细、实施步骤和要求描述具体，具有项目实施组织架构、实施措施可行，实施人员配备合理，提供实施人员名单，职责分工明确且拟投入本项目的实施人员3-5人（其中</w:t>
            </w:r>
            <w:r>
              <w:rPr>
                <w:rFonts w:ascii="宋体" w:hAnsi="宋体" w:cs="宋体"/>
                <w:bCs/>
                <w:color w:val="auto"/>
                <w:szCs w:val="21"/>
                <w:highlight w:val="none"/>
              </w:rPr>
              <w:t>,</w:t>
            </w:r>
          </w:p>
          <w:p w14:paraId="0B40CF26">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项目经理1人，具有信息系统项目管理师（高级）资质证书；</w:t>
            </w:r>
          </w:p>
          <w:p w14:paraId="35056E7C">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技术经理1人，具有信息系统项目管理师（高级）资质证书。</w:t>
            </w:r>
          </w:p>
          <w:p w14:paraId="267C54B0">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技术人员1人，具有注册信息安全工程师CISE证书或注册信息安全专业人员CISP证书。提供相关证书及近半年内任意3个月投标人为其缴纳的社保证明复印件）。</w:t>
            </w:r>
          </w:p>
          <w:p w14:paraId="32119280">
            <w:pPr>
              <w:spacing w:line="360" w:lineRule="auto"/>
              <w:ind w:firstLine="420" w:firstLineChars="200"/>
              <w:rPr>
                <w:color w:val="auto"/>
                <w:highlight w:val="none"/>
              </w:rPr>
            </w:pPr>
            <w:r>
              <w:rPr>
                <w:rFonts w:hint="eastAsia" w:ascii="宋体" w:hAnsi="宋体" w:cs="宋体"/>
                <w:bCs/>
                <w:color w:val="auto"/>
                <w:szCs w:val="21"/>
                <w:highlight w:val="none"/>
              </w:rPr>
              <w:t>三档（15分）：方案详细全面，实施步骤和要求描述具体，项目组织架构健全，阶段计划及目标详细，需求分析、实施措施详细可行，实施流程科学合理，完全能满足项目实施需要，实施人员配备充足，提供实施人员名单，职责分工明确且拟投入本项目的实施人员6-9人,（其中</w:t>
            </w:r>
            <w:r>
              <w:rPr>
                <w:rFonts w:ascii="宋体" w:hAnsi="宋体" w:cs="宋体"/>
                <w:bCs/>
                <w:color w:val="auto"/>
                <w:szCs w:val="21"/>
                <w:highlight w:val="none"/>
              </w:rPr>
              <w:t>,</w:t>
            </w:r>
          </w:p>
          <w:p w14:paraId="6CEF7E7B">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项目经理1人，具有信息系统项目管理师（高级）资质证书和通信类高级工程师证书；</w:t>
            </w:r>
          </w:p>
          <w:p w14:paraId="7F745D0B">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技术经理1人，具有信息系统项目管理师（高级）资质证书；</w:t>
            </w:r>
          </w:p>
          <w:p w14:paraId="7C0B196A">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技术人员1人，具备信息系统项目管理师资质证书；</w:t>
            </w:r>
          </w:p>
          <w:p w14:paraId="51DF12D2">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技术人员1人，具有软件设计师（中级）或软件设计师（高级）证书；</w:t>
            </w:r>
          </w:p>
          <w:p w14:paraId="33181F9B">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技术人员1人，具有网络工程师（中级）或网络工程师（高级、网络规划师）证书；</w:t>
            </w:r>
          </w:p>
          <w:p w14:paraId="27CC3F6C">
            <w:pPr>
              <w:spacing w:line="360" w:lineRule="auto"/>
              <w:ind w:firstLine="420" w:firstLineChars="200"/>
              <w:rPr>
                <w:color w:val="auto"/>
                <w:highlight w:val="none"/>
              </w:rPr>
            </w:pPr>
            <w:r>
              <w:rPr>
                <w:rFonts w:hint="eastAsia" w:ascii="宋体" w:hAnsi="宋体" w:cs="宋体"/>
                <w:bCs/>
                <w:color w:val="auto"/>
                <w:szCs w:val="21"/>
                <w:highlight w:val="none"/>
              </w:rPr>
              <w:t>技术人员1人，具有注册信息安全工程师CISE证书或注册信息安全专业人员CISP证书；</w:t>
            </w:r>
          </w:p>
          <w:p w14:paraId="6B3DB300">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提供相关证书及近半年内任意3个月投标人为其缴纳的社保证明复印件）。</w:t>
            </w:r>
          </w:p>
          <w:p w14:paraId="5A964809">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四档（20分）：方案详细全面，实施步骤和要求描述具体，项目组织架构健全，阶段计划及目标详细，需求分析、实施措施详细可行，实施流程科学合理，完全能满足项目实施需要，同时提出完整可行的技术方案，且能详细介绍双系统终端解决方案。实施人员配备充足，提供实施人员名单，职责分工明确且拟投入本项目的实施人员10人以上（</w:t>
            </w:r>
          </w:p>
          <w:p w14:paraId="06E3AC8C">
            <w:pPr>
              <w:spacing w:line="360" w:lineRule="auto"/>
              <w:ind w:firstLine="420" w:firstLineChars="200"/>
              <w:rPr>
                <w:color w:val="auto"/>
                <w:highlight w:val="none"/>
              </w:rPr>
            </w:pPr>
            <w:r>
              <w:rPr>
                <w:rFonts w:hint="eastAsia" w:ascii="宋体" w:hAnsi="宋体" w:cs="宋体"/>
                <w:bCs/>
                <w:color w:val="auto"/>
                <w:szCs w:val="21"/>
                <w:highlight w:val="none"/>
              </w:rPr>
              <w:t>其中</w:t>
            </w:r>
            <w:r>
              <w:rPr>
                <w:rFonts w:ascii="宋体" w:hAnsi="宋体" w:cs="宋体"/>
                <w:bCs/>
                <w:color w:val="auto"/>
                <w:szCs w:val="21"/>
                <w:highlight w:val="none"/>
              </w:rPr>
              <w:t>,</w:t>
            </w:r>
          </w:p>
          <w:p w14:paraId="337E3F61">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项目经理1人，具有信息系统项目管理师（高级）资质证书和通信类高级工程师证书、</w:t>
            </w:r>
            <w:r>
              <w:rPr>
                <w:rFonts w:hint="eastAsia" w:ascii="宋体" w:hAnsi="宋体" w:cs="宋体"/>
                <w:color w:val="auto"/>
                <w:szCs w:val="21"/>
                <w:highlight w:val="none"/>
              </w:rPr>
              <w:t>网络与信息安全应急人员技术Ⅰ级证书或网络与信息安全应急人员技术更高级别的证书</w:t>
            </w:r>
            <w:r>
              <w:rPr>
                <w:rFonts w:hint="eastAsia" w:ascii="宋体" w:hAnsi="宋体" w:cs="宋体"/>
                <w:bCs/>
                <w:color w:val="auto"/>
                <w:szCs w:val="21"/>
                <w:highlight w:val="none"/>
              </w:rPr>
              <w:t>；</w:t>
            </w:r>
          </w:p>
          <w:p w14:paraId="409C39A3">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技术经理1人，具有信息系统项目管理师（高级）资质证书；</w:t>
            </w:r>
          </w:p>
          <w:p w14:paraId="612266AB">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技术人员1人，具有软件设计师（中级）或软件设计师（高级）证书；</w:t>
            </w:r>
          </w:p>
          <w:p w14:paraId="0F5F0CE3">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技术人员1人，具有网络工程师（中级）或网络工程师（高级）证书；</w:t>
            </w:r>
          </w:p>
          <w:p w14:paraId="1CEDBC31">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技术人员1人，具有注册信息安全工程师CISE证书或注册信息安全专业人员CISP证书；</w:t>
            </w:r>
          </w:p>
          <w:p w14:paraId="64B93179">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技术人员2人：具备设备管理测评证书。</w:t>
            </w:r>
          </w:p>
          <w:p w14:paraId="0EE0BA66">
            <w:pPr>
              <w:spacing w:line="360" w:lineRule="auto"/>
              <w:ind w:firstLine="420" w:firstLineChars="200"/>
              <w:rPr>
                <w:color w:val="auto"/>
                <w:highlight w:val="none"/>
              </w:rPr>
            </w:pPr>
            <w:r>
              <w:rPr>
                <w:rFonts w:hint="eastAsia" w:ascii="宋体" w:hAnsi="宋体" w:cs="宋体"/>
                <w:bCs/>
                <w:color w:val="auto"/>
                <w:szCs w:val="21"/>
                <w:highlight w:val="none"/>
              </w:rPr>
              <w:t>提供相关证书及近半年内任意3个月投标人为其缴纳的社保证明复印件）。</w:t>
            </w:r>
          </w:p>
        </w:tc>
      </w:tr>
      <w:tr w14:paraId="334C1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3" w:type="dxa"/>
            <w:vMerge w:val="restart"/>
            <w:vAlign w:val="center"/>
          </w:tcPr>
          <w:p w14:paraId="6CD0E216">
            <w:pPr>
              <w:adjustRightInd w:val="0"/>
              <w:spacing w:line="360" w:lineRule="auto"/>
              <w:jc w:val="center"/>
              <w:textAlignment w:val="baseline"/>
              <w:rPr>
                <w:rFonts w:ascii="宋体" w:hAnsi="宋体" w:cs="宋体"/>
                <w:b/>
                <w:color w:val="auto"/>
                <w:szCs w:val="21"/>
                <w:highlight w:val="none"/>
              </w:rPr>
            </w:pPr>
            <w:r>
              <w:rPr>
                <w:rFonts w:hint="eastAsia" w:ascii="宋体" w:hAnsi="宋体" w:cs="宋体"/>
                <w:b/>
                <w:color w:val="auto"/>
                <w:szCs w:val="21"/>
                <w:highlight w:val="none"/>
              </w:rPr>
              <w:t>3.</w:t>
            </w:r>
            <w:r>
              <w:rPr>
                <w:rFonts w:hint="eastAsia" w:ascii="宋体" w:hAnsi="宋体" w:cs="宋体"/>
                <w:b/>
                <w:bCs/>
                <w:color w:val="auto"/>
                <w:szCs w:val="21"/>
                <w:highlight w:val="none"/>
              </w:rPr>
              <w:t>商务分（35分）</w:t>
            </w:r>
          </w:p>
        </w:tc>
        <w:tc>
          <w:tcPr>
            <w:tcW w:w="1500" w:type="dxa"/>
            <w:vAlign w:val="center"/>
          </w:tcPr>
          <w:p w14:paraId="46B964D5">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售后服务分（满分20分）</w:t>
            </w:r>
          </w:p>
        </w:tc>
        <w:tc>
          <w:tcPr>
            <w:tcW w:w="6677" w:type="dxa"/>
            <w:tcMar>
              <w:left w:w="57" w:type="dxa"/>
              <w:right w:w="57" w:type="dxa"/>
            </w:tcMar>
          </w:tcPr>
          <w:p w14:paraId="2E2DDF2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一档（5分）：提供售后服务方案简单可行，方案包含有售后服务承诺、服务质量承诺、项目服务维护和突发故障应急方案。</w:t>
            </w:r>
          </w:p>
          <w:p w14:paraId="5A0A005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二档（10分）：提供售后服务方案较详细，方案包含有售后服务方较详细的售后服务承诺、服务质量承诺、项目服务维护和突发故障应急方案以及实现方式，突发故障应急方案考虑周全完整，有额外优惠服务。</w:t>
            </w:r>
          </w:p>
          <w:p w14:paraId="7DACF2A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三档（15分）：服务期内投标人方案描述包括售后服务支持、服务流程、维修期限、响应时间、用户回访、保密承诺、故障解决等内容，表述较详细，可操作性、先进性、完整性较强；培训计划或方案能够满足对采购服务的基本维护，在本市辖区内设立不少于20个自有服务网点（属于本法人或负责人）或承诺中标后设立；（提供证明材料复印件：营业执照或房屋租赁合同、不动产登记证等复印件）。</w:t>
            </w:r>
          </w:p>
          <w:p w14:paraId="0A97926E">
            <w:pPr>
              <w:spacing w:line="360" w:lineRule="auto"/>
              <w:ind w:firstLine="420" w:firstLineChars="200"/>
              <w:rPr>
                <w:color w:val="auto"/>
                <w:highlight w:val="none"/>
              </w:rPr>
            </w:pPr>
            <w:r>
              <w:rPr>
                <w:rFonts w:hint="eastAsia" w:ascii="宋体" w:hAnsi="宋体" w:cs="宋体"/>
                <w:color w:val="auto"/>
                <w:szCs w:val="21"/>
                <w:highlight w:val="none"/>
              </w:rPr>
              <w:t>四档（20分）：服务期内投标人方案描述包括售后服务支持，在防城港市辖区内设有市县乡镇三级服务机构的，具备网络维护经验，服务流程、响应时间等优于采购需求，提供用户回访、保密承诺、故障解决等内容，表述清晰详细，方案可操作性、先进性、完整性强；培训计划或方案能够结合当前先进技术，培训内容详实，培训讲师具有高级工程师证书，在本市内设立不少于30个自有售后服务网点（属于本法人或负责人）或承诺中标后30天内设立（提供证明材料复印件：营业执照或房屋租赁合同、不动产登记证等复印件），且在本市辖区内设立定点维修中心不少于1个，为终端设备提供及时的故障诊断维修服务，提供有详细地址和联系方式。</w:t>
            </w:r>
          </w:p>
        </w:tc>
      </w:tr>
      <w:tr w14:paraId="6993D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3" w:type="dxa"/>
            <w:vMerge w:val="continue"/>
            <w:vAlign w:val="center"/>
          </w:tcPr>
          <w:p w14:paraId="37F49E9A">
            <w:pPr>
              <w:adjustRightInd w:val="0"/>
              <w:spacing w:line="360" w:lineRule="auto"/>
              <w:jc w:val="center"/>
              <w:textAlignment w:val="baseline"/>
              <w:rPr>
                <w:rFonts w:ascii="宋体" w:hAnsi="宋体" w:cs="宋体"/>
                <w:b/>
                <w:color w:val="auto"/>
                <w:szCs w:val="21"/>
                <w:highlight w:val="none"/>
              </w:rPr>
            </w:pPr>
          </w:p>
        </w:tc>
        <w:tc>
          <w:tcPr>
            <w:tcW w:w="1500" w:type="dxa"/>
            <w:vAlign w:val="center"/>
          </w:tcPr>
          <w:p w14:paraId="0F08E4CA">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综合实力分（满分15分）</w:t>
            </w:r>
          </w:p>
        </w:tc>
        <w:tc>
          <w:tcPr>
            <w:tcW w:w="6677" w:type="dxa"/>
            <w:tcMar>
              <w:left w:w="57" w:type="dxa"/>
              <w:right w:w="57" w:type="dxa"/>
            </w:tcMar>
          </w:tcPr>
          <w:p w14:paraId="39C8DE3A">
            <w:pPr>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w:t>
            </w:r>
            <w:r>
              <w:rPr>
                <w:rFonts w:ascii="宋体" w:hAnsi="宋体" w:cs="宋体"/>
                <w:bCs/>
                <w:color w:val="auto"/>
                <w:szCs w:val="21"/>
                <w:highlight w:val="none"/>
              </w:rPr>
              <w:t>1</w:t>
            </w:r>
            <w:r>
              <w:rPr>
                <w:rFonts w:hint="eastAsia" w:ascii="宋体" w:hAnsi="宋体" w:cs="宋体"/>
                <w:bCs/>
                <w:color w:val="auto"/>
                <w:szCs w:val="21"/>
                <w:highlight w:val="none"/>
              </w:rPr>
              <w:t>）投标人具备同类项目的经验，提供自2021年以来类似项目合同或中标通知书复印件的，每个得</w:t>
            </w:r>
            <w:r>
              <w:rPr>
                <w:rFonts w:ascii="宋体" w:hAnsi="宋体" w:cs="宋体"/>
                <w:bCs/>
                <w:color w:val="auto"/>
                <w:szCs w:val="21"/>
                <w:highlight w:val="none"/>
              </w:rPr>
              <w:t>1</w:t>
            </w:r>
            <w:r>
              <w:rPr>
                <w:rFonts w:hint="eastAsia" w:ascii="宋体" w:hAnsi="宋体" w:cs="宋体"/>
                <w:bCs/>
                <w:color w:val="auto"/>
                <w:szCs w:val="21"/>
                <w:highlight w:val="none"/>
                <w:lang w:val="en-US" w:eastAsia="zh-CN"/>
              </w:rPr>
              <w:t>.5</w:t>
            </w:r>
            <w:r>
              <w:rPr>
                <w:rFonts w:hint="eastAsia" w:ascii="宋体" w:hAnsi="宋体" w:cs="宋体"/>
                <w:bCs/>
                <w:color w:val="auto"/>
                <w:szCs w:val="21"/>
                <w:highlight w:val="none"/>
              </w:rPr>
              <w:t>分，满分</w:t>
            </w:r>
            <w:r>
              <w:rPr>
                <w:rFonts w:ascii="宋体" w:hAnsi="宋体" w:cs="宋体"/>
                <w:bCs/>
                <w:color w:val="auto"/>
                <w:szCs w:val="21"/>
                <w:highlight w:val="none"/>
              </w:rPr>
              <w:t>3</w:t>
            </w:r>
            <w:r>
              <w:rPr>
                <w:rFonts w:hint="eastAsia" w:ascii="宋体" w:hAnsi="宋体" w:cs="宋体"/>
                <w:bCs/>
                <w:color w:val="auto"/>
                <w:szCs w:val="21"/>
                <w:highlight w:val="none"/>
              </w:rPr>
              <w:t>分；</w:t>
            </w:r>
          </w:p>
          <w:p w14:paraId="77C031E3">
            <w:pPr>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w:t>
            </w:r>
            <w:r>
              <w:rPr>
                <w:rFonts w:ascii="宋体" w:hAnsi="宋体" w:cs="宋体"/>
                <w:bCs/>
                <w:color w:val="auto"/>
                <w:szCs w:val="21"/>
                <w:highlight w:val="none"/>
              </w:rPr>
              <w:t>2</w:t>
            </w:r>
            <w:r>
              <w:rPr>
                <w:rFonts w:hint="eastAsia" w:ascii="宋体" w:hAnsi="宋体" w:cs="宋体"/>
                <w:bCs/>
                <w:color w:val="auto"/>
                <w:szCs w:val="21"/>
                <w:highlight w:val="none"/>
              </w:rPr>
              <w:t>）投标人或上级机构具备标准化管理体系认证证书5A级（GB/T15496），提供复印件得</w:t>
            </w:r>
            <w:r>
              <w:rPr>
                <w:rFonts w:ascii="宋体" w:hAnsi="宋体" w:cs="宋体"/>
                <w:bCs/>
                <w:color w:val="auto"/>
                <w:szCs w:val="21"/>
                <w:highlight w:val="none"/>
              </w:rPr>
              <w:t>3</w:t>
            </w:r>
            <w:r>
              <w:rPr>
                <w:rFonts w:hint="eastAsia" w:ascii="宋体" w:hAnsi="宋体" w:cs="宋体"/>
                <w:bCs/>
                <w:color w:val="auto"/>
                <w:szCs w:val="21"/>
                <w:highlight w:val="none"/>
              </w:rPr>
              <w:t>分；投标人具备标准化管理体系认证证书4A级（GB/T15496）及以下证书，提供复印件得</w:t>
            </w:r>
            <w:r>
              <w:rPr>
                <w:rFonts w:ascii="宋体" w:hAnsi="宋体" w:cs="宋体"/>
                <w:bCs/>
                <w:color w:val="auto"/>
                <w:szCs w:val="21"/>
                <w:highlight w:val="none"/>
              </w:rPr>
              <w:t>1</w:t>
            </w:r>
            <w:r>
              <w:rPr>
                <w:rFonts w:hint="eastAsia" w:ascii="宋体" w:hAnsi="宋体" w:cs="宋体"/>
                <w:bCs/>
                <w:color w:val="auto"/>
                <w:szCs w:val="21"/>
                <w:highlight w:val="none"/>
              </w:rPr>
              <w:t>分。（满分</w:t>
            </w:r>
            <w:r>
              <w:rPr>
                <w:rFonts w:ascii="宋体" w:hAnsi="宋体" w:cs="宋体"/>
                <w:bCs/>
                <w:color w:val="auto"/>
                <w:szCs w:val="21"/>
                <w:highlight w:val="none"/>
              </w:rPr>
              <w:t>3</w:t>
            </w:r>
            <w:r>
              <w:rPr>
                <w:rFonts w:hint="eastAsia" w:ascii="宋体" w:hAnsi="宋体" w:cs="宋体"/>
                <w:bCs/>
                <w:color w:val="auto"/>
                <w:szCs w:val="21"/>
                <w:highlight w:val="none"/>
              </w:rPr>
              <w:t>分）</w:t>
            </w:r>
          </w:p>
          <w:p w14:paraId="6D6B3F1E">
            <w:pPr>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w:t>
            </w:r>
            <w:r>
              <w:rPr>
                <w:rFonts w:ascii="宋体" w:hAnsi="宋体" w:cs="宋体"/>
                <w:bCs/>
                <w:color w:val="auto"/>
                <w:szCs w:val="21"/>
                <w:highlight w:val="none"/>
              </w:rPr>
              <w:t>3</w:t>
            </w:r>
            <w:r>
              <w:rPr>
                <w:rFonts w:hint="eastAsia" w:ascii="宋体" w:hAnsi="宋体" w:cs="宋体"/>
                <w:bCs/>
                <w:color w:val="auto"/>
                <w:szCs w:val="21"/>
                <w:highlight w:val="none"/>
              </w:rPr>
              <w:t>）投标人或上级机构具备服务质量达标测评认证证书五星级（GB/T16868），提供复印件得</w:t>
            </w:r>
            <w:r>
              <w:rPr>
                <w:rFonts w:ascii="宋体" w:hAnsi="宋体" w:cs="宋体"/>
                <w:bCs/>
                <w:color w:val="auto"/>
                <w:szCs w:val="21"/>
                <w:highlight w:val="none"/>
              </w:rPr>
              <w:t>3</w:t>
            </w:r>
            <w:r>
              <w:rPr>
                <w:rFonts w:hint="eastAsia" w:ascii="宋体" w:hAnsi="宋体" w:cs="宋体"/>
                <w:bCs/>
                <w:color w:val="auto"/>
                <w:szCs w:val="21"/>
                <w:highlight w:val="none"/>
              </w:rPr>
              <w:t>分；投标人具备服务质量达标测评认证证书四星级（GB/T16868）及以下证书，提供复印件得</w:t>
            </w:r>
            <w:r>
              <w:rPr>
                <w:rFonts w:ascii="宋体" w:hAnsi="宋体" w:cs="宋体"/>
                <w:bCs/>
                <w:color w:val="auto"/>
                <w:szCs w:val="21"/>
                <w:highlight w:val="none"/>
              </w:rPr>
              <w:t>1</w:t>
            </w:r>
            <w:r>
              <w:rPr>
                <w:rFonts w:hint="eastAsia" w:ascii="宋体" w:hAnsi="宋体" w:cs="宋体"/>
                <w:bCs/>
                <w:color w:val="auto"/>
                <w:szCs w:val="21"/>
                <w:highlight w:val="none"/>
              </w:rPr>
              <w:t>分。（满分</w:t>
            </w:r>
            <w:r>
              <w:rPr>
                <w:rFonts w:ascii="宋体" w:hAnsi="宋体" w:cs="宋体"/>
                <w:bCs/>
                <w:color w:val="auto"/>
                <w:szCs w:val="21"/>
                <w:highlight w:val="none"/>
              </w:rPr>
              <w:t>3</w:t>
            </w:r>
            <w:r>
              <w:rPr>
                <w:rFonts w:hint="eastAsia" w:ascii="宋体" w:hAnsi="宋体" w:cs="宋体"/>
                <w:bCs/>
                <w:color w:val="auto"/>
                <w:szCs w:val="21"/>
                <w:highlight w:val="none"/>
              </w:rPr>
              <w:t>分）</w:t>
            </w:r>
          </w:p>
          <w:p w14:paraId="319A84B7">
            <w:pPr>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w:t>
            </w:r>
            <w:r>
              <w:rPr>
                <w:rFonts w:ascii="宋体" w:hAnsi="宋体" w:cs="宋体"/>
                <w:bCs/>
                <w:color w:val="auto"/>
                <w:szCs w:val="21"/>
                <w:highlight w:val="none"/>
              </w:rPr>
              <w:t>4</w:t>
            </w:r>
            <w:r>
              <w:rPr>
                <w:rFonts w:hint="eastAsia" w:ascii="宋体" w:hAnsi="宋体" w:cs="宋体"/>
                <w:bCs/>
                <w:color w:val="auto"/>
                <w:szCs w:val="21"/>
                <w:highlight w:val="none"/>
              </w:rPr>
              <w:t>）投标人或上级机构具备合同履约能力达标测评认证5A级证书，提供复印件得</w:t>
            </w:r>
            <w:r>
              <w:rPr>
                <w:rFonts w:ascii="宋体" w:hAnsi="宋体" w:cs="宋体"/>
                <w:bCs/>
                <w:color w:val="auto"/>
                <w:szCs w:val="21"/>
                <w:highlight w:val="none"/>
              </w:rPr>
              <w:t>3</w:t>
            </w:r>
            <w:r>
              <w:rPr>
                <w:rFonts w:hint="eastAsia" w:ascii="宋体" w:hAnsi="宋体" w:cs="宋体"/>
                <w:bCs/>
                <w:color w:val="auto"/>
                <w:szCs w:val="21"/>
                <w:highlight w:val="none"/>
              </w:rPr>
              <w:t>分；投标人具备合同履约能力达标测评认证4A级及以下证书，提供复印件得</w:t>
            </w:r>
            <w:r>
              <w:rPr>
                <w:rFonts w:ascii="宋体" w:hAnsi="宋体" w:cs="宋体"/>
                <w:bCs/>
                <w:color w:val="auto"/>
                <w:szCs w:val="21"/>
                <w:highlight w:val="none"/>
              </w:rPr>
              <w:t>1</w:t>
            </w:r>
            <w:r>
              <w:rPr>
                <w:rFonts w:hint="eastAsia" w:ascii="宋体" w:hAnsi="宋体" w:cs="宋体"/>
                <w:bCs/>
                <w:color w:val="auto"/>
                <w:szCs w:val="21"/>
                <w:highlight w:val="none"/>
              </w:rPr>
              <w:t>分。（满分</w:t>
            </w:r>
            <w:r>
              <w:rPr>
                <w:rFonts w:ascii="宋体" w:hAnsi="宋体" w:cs="宋体"/>
                <w:bCs/>
                <w:color w:val="auto"/>
                <w:szCs w:val="21"/>
                <w:highlight w:val="none"/>
              </w:rPr>
              <w:t>3</w:t>
            </w:r>
            <w:r>
              <w:rPr>
                <w:rFonts w:hint="eastAsia" w:ascii="宋体" w:hAnsi="宋体" w:cs="宋体"/>
                <w:bCs/>
                <w:color w:val="auto"/>
                <w:szCs w:val="21"/>
                <w:highlight w:val="none"/>
              </w:rPr>
              <w:t>分）</w:t>
            </w:r>
          </w:p>
          <w:p w14:paraId="03AD7434">
            <w:pPr>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w:t>
            </w:r>
            <w:r>
              <w:rPr>
                <w:rFonts w:ascii="宋体" w:hAnsi="宋体" w:cs="宋体"/>
                <w:bCs/>
                <w:color w:val="auto"/>
                <w:szCs w:val="21"/>
                <w:highlight w:val="none"/>
              </w:rPr>
              <w:t>5</w:t>
            </w:r>
            <w:r>
              <w:rPr>
                <w:rFonts w:hint="eastAsia" w:ascii="宋体" w:hAnsi="宋体" w:cs="宋体"/>
                <w:bCs/>
                <w:color w:val="auto"/>
                <w:szCs w:val="21"/>
                <w:highlight w:val="none"/>
              </w:rPr>
              <w:t>）投标人或上级机构具备供应商综合实力评价认证3A级证书，提供复印件得</w:t>
            </w:r>
            <w:r>
              <w:rPr>
                <w:rFonts w:ascii="宋体" w:hAnsi="宋体" w:cs="宋体"/>
                <w:bCs/>
                <w:color w:val="auto"/>
                <w:szCs w:val="21"/>
                <w:highlight w:val="none"/>
              </w:rPr>
              <w:t>3</w:t>
            </w:r>
            <w:r>
              <w:rPr>
                <w:rFonts w:hint="eastAsia" w:ascii="宋体" w:hAnsi="宋体" w:cs="宋体"/>
                <w:bCs/>
                <w:color w:val="auto"/>
                <w:szCs w:val="21"/>
                <w:highlight w:val="none"/>
              </w:rPr>
              <w:t>分；投标人具备供应商综合实力评价认证2A级及以下证书，提供复印件得</w:t>
            </w:r>
            <w:r>
              <w:rPr>
                <w:rFonts w:ascii="宋体" w:hAnsi="宋体" w:cs="宋体"/>
                <w:bCs/>
                <w:color w:val="auto"/>
                <w:szCs w:val="21"/>
                <w:highlight w:val="none"/>
              </w:rPr>
              <w:t>1</w:t>
            </w:r>
            <w:r>
              <w:rPr>
                <w:rFonts w:hint="eastAsia" w:ascii="宋体" w:hAnsi="宋体" w:cs="宋体"/>
                <w:bCs/>
                <w:color w:val="auto"/>
                <w:szCs w:val="21"/>
                <w:highlight w:val="none"/>
              </w:rPr>
              <w:t>分。（满分</w:t>
            </w:r>
            <w:r>
              <w:rPr>
                <w:rFonts w:ascii="宋体" w:hAnsi="宋体" w:cs="宋体"/>
                <w:bCs/>
                <w:color w:val="auto"/>
                <w:szCs w:val="21"/>
                <w:highlight w:val="none"/>
              </w:rPr>
              <w:t>3</w:t>
            </w:r>
            <w:r>
              <w:rPr>
                <w:rFonts w:hint="eastAsia" w:ascii="宋体" w:hAnsi="宋体" w:cs="宋体"/>
                <w:bCs/>
                <w:color w:val="auto"/>
                <w:szCs w:val="21"/>
                <w:highlight w:val="none"/>
              </w:rPr>
              <w:t>分）</w:t>
            </w:r>
          </w:p>
        </w:tc>
      </w:tr>
      <w:tr w14:paraId="5AA96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9130" w:type="dxa"/>
            <w:gridSpan w:val="3"/>
            <w:vAlign w:val="center"/>
          </w:tcPr>
          <w:p w14:paraId="1CAFD4FB">
            <w:pPr>
              <w:adjustRightInd w:val="0"/>
              <w:spacing w:line="360" w:lineRule="auto"/>
              <w:ind w:firstLine="422" w:firstLineChars="200"/>
              <w:contextualSpacing/>
              <w:rPr>
                <w:rFonts w:ascii="宋体" w:hAnsi="宋体" w:cs="宋体"/>
                <w:b/>
                <w:color w:val="auto"/>
                <w:kern w:val="0"/>
                <w:szCs w:val="21"/>
                <w:highlight w:val="none"/>
              </w:rPr>
            </w:pPr>
            <w:r>
              <w:rPr>
                <w:rFonts w:hint="eastAsia" w:ascii="宋体" w:hAnsi="宋体" w:cs="宋体"/>
                <w:b/>
                <w:color w:val="auto"/>
                <w:kern w:val="0"/>
                <w:szCs w:val="21"/>
                <w:highlight w:val="none"/>
              </w:rPr>
              <w:t>备注：总得分=1+2+3</w:t>
            </w:r>
          </w:p>
        </w:tc>
      </w:tr>
    </w:tbl>
    <w:p w14:paraId="0731FCCB">
      <w:pPr>
        <w:pStyle w:val="26"/>
        <w:spacing w:line="360" w:lineRule="auto"/>
        <w:ind w:firstLine="420"/>
        <w:rPr>
          <w:color w:val="auto"/>
          <w:sz w:val="30"/>
          <w:szCs w:val="30"/>
          <w:highlight w:val="none"/>
        </w:rPr>
      </w:pPr>
      <w:r>
        <w:rPr>
          <w:rFonts w:hint="eastAsia" w:hAnsi="宋体"/>
          <w:bCs/>
          <w:color w:val="auto"/>
          <w:sz w:val="21"/>
          <w:highlight w:val="none"/>
        </w:rPr>
        <w:t>注：计分方法按四舍五入取至百分位</w:t>
      </w:r>
    </w:p>
    <w:p w14:paraId="35BF969C">
      <w:pPr>
        <w:pStyle w:val="6"/>
        <w:keepNext w:val="0"/>
        <w:keepLines w:val="0"/>
        <w:jc w:val="center"/>
        <w:rPr>
          <w:color w:val="auto"/>
          <w:sz w:val="30"/>
          <w:szCs w:val="30"/>
          <w:highlight w:val="none"/>
        </w:rPr>
      </w:pPr>
    </w:p>
    <w:p w14:paraId="18F09BF1">
      <w:pPr>
        <w:pStyle w:val="6"/>
        <w:keepNext w:val="0"/>
        <w:keepLines w:val="0"/>
        <w:jc w:val="center"/>
        <w:rPr>
          <w:color w:val="auto"/>
          <w:sz w:val="30"/>
          <w:szCs w:val="30"/>
          <w:highlight w:val="none"/>
        </w:rPr>
      </w:pPr>
    </w:p>
    <w:p w14:paraId="60C6D568">
      <w:pPr>
        <w:pStyle w:val="6"/>
        <w:keepNext w:val="0"/>
        <w:keepLines w:val="0"/>
        <w:jc w:val="center"/>
        <w:rPr>
          <w:color w:val="auto"/>
          <w:sz w:val="30"/>
          <w:szCs w:val="30"/>
          <w:highlight w:val="none"/>
        </w:rPr>
      </w:pPr>
    </w:p>
    <w:p w14:paraId="67AE6778">
      <w:pPr>
        <w:rPr>
          <w:color w:val="auto"/>
          <w:sz w:val="30"/>
          <w:szCs w:val="30"/>
          <w:highlight w:val="none"/>
        </w:rPr>
      </w:pPr>
    </w:p>
    <w:p w14:paraId="06D37BF0">
      <w:pPr>
        <w:rPr>
          <w:color w:val="auto"/>
          <w:sz w:val="30"/>
          <w:szCs w:val="30"/>
          <w:highlight w:val="none"/>
        </w:rPr>
      </w:pPr>
    </w:p>
    <w:p w14:paraId="5FD79F0C">
      <w:pPr>
        <w:pStyle w:val="6"/>
        <w:keepNext w:val="0"/>
        <w:keepLines w:val="0"/>
        <w:jc w:val="center"/>
        <w:rPr>
          <w:color w:val="auto"/>
          <w:sz w:val="30"/>
          <w:szCs w:val="30"/>
          <w:highlight w:val="none"/>
        </w:rPr>
      </w:pPr>
    </w:p>
    <w:p w14:paraId="449EC2D3">
      <w:pPr>
        <w:pStyle w:val="6"/>
        <w:keepNext w:val="0"/>
        <w:keepLines w:val="0"/>
        <w:jc w:val="center"/>
        <w:rPr>
          <w:color w:val="auto"/>
          <w:sz w:val="30"/>
          <w:szCs w:val="30"/>
          <w:highlight w:val="none"/>
        </w:rPr>
      </w:pPr>
      <w:r>
        <w:rPr>
          <w:rFonts w:hint="eastAsia"/>
          <w:color w:val="auto"/>
          <w:sz w:val="30"/>
          <w:szCs w:val="30"/>
          <w:highlight w:val="none"/>
        </w:rPr>
        <w:t>四、中标候选人推荐原则</w:t>
      </w:r>
    </w:p>
    <w:p w14:paraId="781D5056">
      <w:pPr>
        <w:pStyle w:val="26"/>
        <w:spacing w:line="360" w:lineRule="auto"/>
        <w:contextualSpacing/>
        <w:rPr>
          <w:rFonts w:hAnsi="宋体"/>
          <w:b/>
          <w:bCs/>
          <w:color w:val="auto"/>
          <w:sz w:val="24"/>
          <w:szCs w:val="24"/>
          <w:highlight w:val="none"/>
        </w:rPr>
      </w:pPr>
      <w:r>
        <w:rPr>
          <w:rFonts w:hint="eastAsia" w:hAnsi="宋体"/>
          <w:b/>
          <w:bCs/>
          <w:color w:val="auto"/>
          <w:sz w:val="24"/>
          <w:szCs w:val="24"/>
          <w:highlight w:val="none"/>
        </w:rPr>
        <w:t>（一）综合评分法</w:t>
      </w:r>
    </w:p>
    <w:p w14:paraId="2811C5C0">
      <w:pPr>
        <w:pStyle w:val="26"/>
        <w:spacing w:line="360" w:lineRule="auto"/>
        <w:ind w:firstLine="420" w:firstLineChars="200"/>
        <w:contextualSpacing/>
        <w:rPr>
          <w:rFonts w:hAnsi="宋体"/>
          <w:color w:val="auto"/>
          <w:sz w:val="21"/>
          <w:highlight w:val="none"/>
        </w:rPr>
      </w:pPr>
      <w:r>
        <w:rPr>
          <w:rFonts w:hint="eastAsia" w:hAnsi="宋体"/>
          <w:color w:val="auto"/>
          <w:sz w:val="21"/>
          <w:highlight w:val="none"/>
        </w:rPr>
        <w:t>1</w:t>
      </w:r>
      <w:r>
        <w:rPr>
          <w:rFonts w:hAnsi="宋体"/>
          <w:color w:val="auto"/>
          <w:sz w:val="21"/>
          <w:highlight w:val="none"/>
        </w:rPr>
        <w:t>.</w:t>
      </w:r>
      <w:r>
        <w:rPr>
          <w:rFonts w:hint="eastAsia" w:hAnsi="宋体"/>
          <w:color w:val="auto"/>
          <w:sz w:val="21"/>
          <w:highlight w:val="none"/>
        </w:rPr>
        <w:t>评标委员会根据原始评标记录和评标结果编写评标报告，并通过电子交易平台向采购人、采购代理机构提交。</w:t>
      </w:r>
    </w:p>
    <w:p w14:paraId="3BD63B81">
      <w:pPr>
        <w:pStyle w:val="26"/>
        <w:spacing w:line="360" w:lineRule="auto"/>
        <w:ind w:firstLine="420" w:firstLineChars="200"/>
        <w:contextualSpacing/>
        <w:rPr>
          <w:rFonts w:hAnsi="宋体"/>
          <w:color w:val="auto"/>
          <w:sz w:val="21"/>
          <w:highlight w:val="none"/>
        </w:rPr>
      </w:pPr>
      <w:r>
        <w:rPr>
          <w:rFonts w:hint="eastAsia" w:hAnsi="宋体"/>
          <w:color w:val="auto"/>
          <w:sz w:val="21"/>
          <w:highlight w:val="none"/>
        </w:rPr>
        <w:t>2</w:t>
      </w:r>
      <w:r>
        <w:rPr>
          <w:rFonts w:hAnsi="宋体"/>
          <w:color w:val="auto"/>
          <w:sz w:val="21"/>
          <w:highlight w:val="none"/>
        </w:rPr>
        <w:t>.</w:t>
      </w:r>
      <w:r>
        <w:rPr>
          <w:rFonts w:hint="eastAsia" w:hAnsi="宋体"/>
          <w:color w:val="auto"/>
          <w:sz w:val="21"/>
          <w:highlight w:val="none"/>
        </w:rPr>
        <w:t>评标委员会将根据总得分由高到低排列次序并推荐中标候选人。得分相同的，以投标报价由低到高顺序排列。得分相同且投标报价相同的并列，投标文件满足招标文件全部实质性要求，且按照评审因素的量化指标评审得分最高的投标人为排名第一的中标候选人。</w:t>
      </w:r>
    </w:p>
    <w:p w14:paraId="57D45875">
      <w:pPr>
        <w:jc w:val="center"/>
        <w:rPr>
          <w:color w:val="auto"/>
          <w:highlight w:val="none"/>
        </w:rPr>
      </w:pPr>
      <w:r>
        <w:rPr>
          <w:color w:val="auto"/>
          <w:highlight w:val="none"/>
        </w:rPr>
        <w:br w:type="page"/>
      </w:r>
    </w:p>
    <w:p w14:paraId="45616DC9">
      <w:pPr>
        <w:pStyle w:val="4"/>
        <w:jc w:val="center"/>
        <w:rPr>
          <w:color w:val="auto"/>
          <w:highlight w:val="none"/>
        </w:rPr>
      </w:pPr>
      <w:bookmarkStart w:id="141" w:name="_Toc6445"/>
      <w:r>
        <w:rPr>
          <w:rFonts w:hint="eastAsia"/>
          <w:color w:val="auto"/>
          <w:highlight w:val="none"/>
        </w:rPr>
        <w:t>第五章  拟签订的合同文本</w:t>
      </w:r>
      <w:bookmarkEnd w:id="141"/>
    </w:p>
    <w:p w14:paraId="2136E4F5">
      <w:pPr>
        <w:spacing w:line="440" w:lineRule="exact"/>
        <w:rPr>
          <w:rFonts w:ascii="宋体" w:hAnsi="宋体" w:cs="宋体"/>
          <w:bCs/>
          <w:color w:val="auto"/>
          <w:szCs w:val="21"/>
          <w:highlight w:val="none"/>
        </w:rPr>
      </w:pPr>
    </w:p>
    <w:p w14:paraId="20E7E53E">
      <w:pPr>
        <w:jc w:val="center"/>
        <w:rPr>
          <w:rFonts w:ascii="黑体" w:hAnsi="黑体" w:eastAsia="黑体"/>
          <w:color w:val="auto"/>
          <w:sz w:val="32"/>
          <w:szCs w:val="32"/>
          <w:highlight w:val="none"/>
        </w:rPr>
      </w:pPr>
      <w:r>
        <w:rPr>
          <w:rFonts w:hint="eastAsia"/>
          <w:b/>
          <w:bCs/>
          <w:color w:val="auto"/>
          <w:kern w:val="44"/>
          <w:sz w:val="44"/>
          <w:szCs w:val="44"/>
          <w:highlight w:val="none"/>
        </w:rPr>
        <w:t>合同文本</w:t>
      </w:r>
    </w:p>
    <w:p w14:paraId="5ECCDB96">
      <w:pPr>
        <w:spacing w:line="520" w:lineRule="exact"/>
        <w:rPr>
          <w:rFonts w:ascii="宋体" w:hAnsi="宋体" w:cs="Courier New"/>
          <w:b/>
          <w:color w:val="auto"/>
          <w:sz w:val="32"/>
          <w:szCs w:val="32"/>
          <w:highlight w:val="none"/>
        </w:rPr>
      </w:pPr>
    </w:p>
    <w:p w14:paraId="4BB807A6">
      <w:pPr>
        <w:spacing w:line="360" w:lineRule="auto"/>
        <w:ind w:right="800"/>
        <w:rPr>
          <w:rFonts w:ascii="宋体" w:hAnsi="宋体" w:cs="宋体"/>
          <w:bCs/>
          <w:color w:val="auto"/>
          <w:szCs w:val="21"/>
          <w:highlight w:val="none"/>
          <w:u w:val="single"/>
        </w:rPr>
      </w:pPr>
      <w:r>
        <w:rPr>
          <w:rFonts w:hint="eastAsia" w:ascii="宋体" w:hAnsi="宋体" w:cs="宋体"/>
          <w:color w:val="auto"/>
          <w:szCs w:val="21"/>
          <w:highlight w:val="none"/>
        </w:rPr>
        <w:t>采购计划号：</w:t>
      </w:r>
      <w:r>
        <w:rPr>
          <w:rFonts w:hint="eastAsia" w:ascii="宋体" w:hAnsi="宋体" w:cs="宋体"/>
          <w:bCs/>
          <w:color w:val="auto"/>
          <w:szCs w:val="21"/>
          <w:highlight w:val="none"/>
        </w:rPr>
        <w:t>合同编号：</w:t>
      </w:r>
    </w:p>
    <w:p w14:paraId="493044E4">
      <w:pPr>
        <w:spacing w:line="360" w:lineRule="auto"/>
        <w:rPr>
          <w:rFonts w:ascii="宋体" w:hAnsi="宋体" w:cs="宋体"/>
          <w:color w:val="auto"/>
          <w:szCs w:val="21"/>
          <w:highlight w:val="none"/>
          <w:u w:val="single"/>
        </w:rPr>
      </w:pPr>
      <w:r>
        <w:rPr>
          <w:rFonts w:hint="eastAsia" w:ascii="宋体" w:hAnsi="宋体" w:cs="宋体"/>
          <w:color w:val="auto"/>
          <w:szCs w:val="21"/>
          <w:highlight w:val="none"/>
        </w:rPr>
        <w:t>采购人（甲方）：   供应商（乙方）：</w:t>
      </w:r>
    </w:p>
    <w:p w14:paraId="5E069F12">
      <w:pPr>
        <w:spacing w:line="360" w:lineRule="auto"/>
        <w:rPr>
          <w:rFonts w:ascii="宋体" w:hAnsi="宋体" w:cs="宋体"/>
          <w:color w:val="auto"/>
          <w:szCs w:val="21"/>
          <w:highlight w:val="none"/>
          <w:u w:val="single"/>
        </w:rPr>
      </w:pPr>
      <w:r>
        <w:rPr>
          <w:rFonts w:hint="eastAsia" w:ascii="宋体" w:hAnsi="宋体" w:cs="宋体"/>
          <w:color w:val="auto"/>
          <w:szCs w:val="21"/>
          <w:highlight w:val="none"/>
        </w:rPr>
        <w:t>项目名称：项目编号：</w:t>
      </w:r>
    </w:p>
    <w:p w14:paraId="28462E31">
      <w:pPr>
        <w:spacing w:line="360" w:lineRule="auto"/>
        <w:rPr>
          <w:rFonts w:ascii="宋体" w:hAnsi="宋体" w:cs="宋体"/>
          <w:color w:val="auto"/>
          <w:szCs w:val="21"/>
          <w:highlight w:val="none"/>
          <w:u w:val="single"/>
        </w:rPr>
      </w:pPr>
      <w:r>
        <w:rPr>
          <w:rFonts w:hint="eastAsia" w:ascii="宋体" w:hAnsi="宋体" w:cs="宋体"/>
          <w:color w:val="auto"/>
          <w:szCs w:val="21"/>
          <w:highlight w:val="none"/>
        </w:rPr>
        <w:t>签订地点：   签订时间：</w:t>
      </w:r>
    </w:p>
    <w:p w14:paraId="5AEABB41">
      <w:pPr>
        <w:spacing w:line="360" w:lineRule="auto"/>
        <w:rPr>
          <w:rFonts w:ascii="宋体" w:hAnsi="宋体" w:cs="宋体"/>
          <w:color w:val="auto"/>
          <w:szCs w:val="21"/>
          <w:highlight w:val="none"/>
        </w:rPr>
      </w:pPr>
      <w:r>
        <w:rPr>
          <w:rFonts w:hint="eastAsia" w:ascii="宋体" w:hAnsi="宋体" w:cs="宋体"/>
          <w:color w:val="auto"/>
          <w:szCs w:val="21"/>
          <w:highlight w:val="none"/>
        </w:rPr>
        <w:t>本合同为中小企业预留合同：</w:t>
      </w:r>
      <w:r>
        <w:rPr>
          <w:rFonts w:hint="eastAsia" w:ascii="宋体" w:hAnsi="宋体" w:cs="宋体"/>
          <w:color w:val="auto"/>
          <w:szCs w:val="21"/>
          <w:highlight w:val="none"/>
          <w:u w:val="single"/>
        </w:rPr>
        <w:t>（否）</w:t>
      </w:r>
      <w:r>
        <w:rPr>
          <w:rFonts w:hint="eastAsia" w:ascii="宋体" w:hAnsi="宋体" w:cs="宋体"/>
          <w:color w:val="auto"/>
          <w:szCs w:val="21"/>
          <w:highlight w:val="none"/>
        </w:rPr>
        <w:t>。</w:t>
      </w:r>
    </w:p>
    <w:p w14:paraId="3D1DAAE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根据《中华人民共和国政府采购法》、《中华人民共和国民法典》等法律、法规规定，按照</w:t>
      </w:r>
      <w:r>
        <w:rPr>
          <w:rFonts w:hint="eastAsia" w:ascii="宋体" w:hAnsi="宋体"/>
          <w:color w:val="auto"/>
          <w:szCs w:val="21"/>
          <w:highlight w:val="none"/>
        </w:rPr>
        <w:t>招标文件规定条款和乙方投标文件及其承诺，甲乙双方签订本合同。</w:t>
      </w:r>
    </w:p>
    <w:p w14:paraId="34612358">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第一条　合同标的</w:t>
      </w:r>
    </w:p>
    <w:tbl>
      <w:tblPr>
        <w:tblStyle w:val="48"/>
        <w:tblpPr w:leftFromText="180" w:rightFromText="180" w:vertAnchor="text" w:horzAnchor="page" w:tblpX="1248" w:tblpY="390"/>
        <w:tblOverlap w:val="never"/>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742"/>
        <w:gridCol w:w="1920"/>
        <w:gridCol w:w="1271"/>
        <w:gridCol w:w="1200"/>
        <w:gridCol w:w="1300"/>
        <w:gridCol w:w="1207"/>
      </w:tblGrid>
      <w:tr w14:paraId="3E583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20" w:type="dxa"/>
            <w:tcBorders>
              <w:top w:val="single" w:color="auto" w:sz="4" w:space="0"/>
              <w:left w:val="single" w:color="auto" w:sz="4" w:space="0"/>
              <w:bottom w:val="single" w:color="auto" w:sz="4" w:space="0"/>
              <w:right w:val="single" w:color="auto" w:sz="4" w:space="0"/>
            </w:tcBorders>
            <w:vAlign w:val="center"/>
          </w:tcPr>
          <w:p w14:paraId="25E8C64C">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742" w:type="dxa"/>
            <w:tcBorders>
              <w:top w:val="single" w:color="auto" w:sz="4" w:space="0"/>
              <w:left w:val="single" w:color="auto" w:sz="4" w:space="0"/>
              <w:bottom w:val="single" w:color="auto" w:sz="4" w:space="0"/>
              <w:right w:val="single" w:color="auto" w:sz="4" w:space="0"/>
            </w:tcBorders>
            <w:vAlign w:val="center"/>
          </w:tcPr>
          <w:p w14:paraId="7AEA1846">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名称</w:t>
            </w:r>
          </w:p>
        </w:tc>
        <w:tc>
          <w:tcPr>
            <w:tcW w:w="1920" w:type="dxa"/>
            <w:tcBorders>
              <w:top w:val="single" w:color="auto" w:sz="4" w:space="0"/>
              <w:left w:val="single" w:color="auto" w:sz="4" w:space="0"/>
              <w:bottom w:val="single" w:color="auto" w:sz="4" w:space="0"/>
              <w:right w:val="single" w:color="auto" w:sz="4" w:space="0"/>
            </w:tcBorders>
            <w:vAlign w:val="center"/>
          </w:tcPr>
          <w:p w14:paraId="2ED8F0F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服务内容</w:t>
            </w:r>
          </w:p>
        </w:tc>
        <w:tc>
          <w:tcPr>
            <w:tcW w:w="1271" w:type="dxa"/>
            <w:tcBorders>
              <w:top w:val="single" w:color="auto" w:sz="4" w:space="0"/>
              <w:left w:val="single" w:color="auto" w:sz="4" w:space="0"/>
              <w:bottom w:val="single" w:color="auto" w:sz="4" w:space="0"/>
              <w:right w:val="single" w:color="auto" w:sz="4" w:space="0"/>
            </w:tcBorders>
            <w:vAlign w:val="center"/>
          </w:tcPr>
          <w:p w14:paraId="712BFDF4">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数  量</w:t>
            </w:r>
          </w:p>
        </w:tc>
        <w:tc>
          <w:tcPr>
            <w:tcW w:w="1200" w:type="dxa"/>
            <w:tcBorders>
              <w:top w:val="single" w:color="auto" w:sz="4" w:space="0"/>
              <w:left w:val="single" w:color="auto" w:sz="4" w:space="0"/>
              <w:bottom w:val="single" w:color="auto" w:sz="4" w:space="0"/>
              <w:right w:val="single" w:color="auto" w:sz="4" w:space="0"/>
            </w:tcBorders>
            <w:vAlign w:val="center"/>
          </w:tcPr>
          <w:p w14:paraId="0365182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单位</w:t>
            </w:r>
          </w:p>
        </w:tc>
        <w:tc>
          <w:tcPr>
            <w:tcW w:w="1300" w:type="dxa"/>
            <w:tcBorders>
              <w:top w:val="single" w:color="auto" w:sz="4" w:space="0"/>
              <w:left w:val="single" w:color="auto" w:sz="4" w:space="0"/>
              <w:bottom w:val="single" w:color="auto" w:sz="4" w:space="0"/>
              <w:right w:val="single" w:color="auto" w:sz="4" w:space="0"/>
            </w:tcBorders>
            <w:vAlign w:val="center"/>
          </w:tcPr>
          <w:p w14:paraId="1B29C6A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单  价</w:t>
            </w:r>
          </w:p>
          <w:p w14:paraId="748C40ED">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（元）</w:t>
            </w:r>
          </w:p>
        </w:tc>
        <w:tc>
          <w:tcPr>
            <w:tcW w:w="1207" w:type="dxa"/>
            <w:tcBorders>
              <w:top w:val="single" w:color="auto" w:sz="4" w:space="0"/>
              <w:left w:val="single" w:color="auto" w:sz="4" w:space="0"/>
              <w:bottom w:val="single" w:color="auto" w:sz="4" w:space="0"/>
              <w:right w:val="single" w:color="auto" w:sz="4" w:space="0"/>
            </w:tcBorders>
            <w:vAlign w:val="center"/>
          </w:tcPr>
          <w:p w14:paraId="578A8D86">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总 价</w:t>
            </w:r>
          </w:p>
          <w:p w14:paraId="0C45AAD4">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（元）</w:t>
            </w:r>
          </w:p>
        </w:tc>
      </w:tr>
      <w:tr w14:paraId="340FA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20" w:type="dxa"/>
            <w:tcBorders>
              <w:top w:val="single" w:color="auto" w:sz="4" w:space="0"/>
              <w:left w:val="single" w:color="auto" w:sz="4" w:space="0"/>
              <w:bottom w:val="single" w:color="auto" w:sz="4" w:space="0"/>
              <w:right w:val="single" w:color="auto" w:sz="4" w:space="0"/>
            </w:tcBorders>
            <w:vAlign w:val="center"/>
          </w:tcPr>
          <w:p w14:paraId="00E5C5E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w:t>
            </w:r>
          </w:p>
        </w:tc>
        <w:tc>
          <w:tcPr>
            <w:tcW w:w="1742" w:type="dxa"/>
            <w:tcBorders>
              <w:top w:val="single" w:color="auto" w:sz="4" w:space="0"/>
              <w:left w:val="single" w:color="auto" w:sz="4" w:space="0"/>
              <w:right w:val="single" w:color="auto" w:sz="4" w:space="0"/>
            </w:tcBorders>
            <w:vAlign w:val="center"/>
          </w:tcPr>
          <w:p w14:paraId="7F7C9710">
            <w:pPr>
              <w:spacing w:line="360" w:lineRule="auto"/>
              <w:jc w:val="center"/>
              <w:rPr>
                <w:rFonts w:ascii="宋体" w:hAnsi="宋体" w:cs="宋体"/>
                <w:color w:val="auto"/>
                <w:szCs w:val="21"/>
                <w:highlight w:val="none"/>
              </w:rPr>
            </w:pPr>
          </w:p>
        </w:tc>
        <w:tc>
          <w:tcPr>
            <w:tcW w:w="1920" w:type="dxa"/>
            <w:tcBorders>
              <w:top w:val="single" w:color="auto" w:sz="4" w:space="0"/>
              <w:left w:val="single" w:color="auto" w:sz="4" w:space="0"/>
              <w:bottom w:val="single" w:color="auto" w:sz="4" w:space="0"/>
              <w:right w:val="single" w:color="auto" w:sz="4" w:space="0"/>
            </w:tcBorders>
            <w:vAlign w:val="center"/>
          </w:tcPr>
          <w:p w14:paraId="543F91BB">
            <w:pPr>
              <w:spacing w:line="360" w:lineRule="auto"/>
              <w:jc w:val="center"/>
              <w:rPr>
                <w:rFonts w:ascii="宋体" w:hAnsi="宋体" w:cs="宋体"/>
                <w:color w:val="auto"/>
                <w:szCs w:val="21"/>
                <w:highlight w:val="none"/>
              </w:rPr>
            </w:pPr>
          </w:p>
        </w:tc>
        <w:tc>
          <w:tcPr>
            <w:tcW w:w="1271" w:type="dxa"/>
            <w:tcBorders>
              <w:top w:val="single" w:color="auto" w:sz="4" w:space="0"/>
              <w:left w:val="single" w:color="auto" w:sz="4" w:space="0"/>
              <w:bottom w:val="single" w:color="auto" w:sz="4" w:space="0"/>
              <w:right w:val="single" w:color="auto" w:sz="4" w:space="0"/>
            </w:tcBorders>
            <w:vAlign w:val="center"/>
          </w:tcPr>
          <w:p w14:paraId="68124447">
            <w:pPr>
              <w:spacing w:line="360" w:lineRule="auto"/>
              <w:jc w:val="center"/>
              <w:rPr>
                <w:rFonts w:ascii="宋体" w:hAnsi="宋体" w:cs="宋体"/>
                <w:color w:val="auto"/>
                <w:szCs w:val="21"/>
                <w:highlight w:val="none"/>
              </w:rPr>
            </w:pPr>
          </w:p>
        </w:tc>
        <w:tc>
          <w:tcPr>
            <w:tcW w:w="1200" w:type="dxa"/>
            <w:tcBorders>
              <w:top w:val="single" w:color="auto" w:sz="4" w:space="0"/>
              <w:left w:val="single" w:color="auto" w:sz="4" w:space="0"/>
              <w:bottom w:val="single" w:color="auto" w:sz="4" w:space="0"/>
              <w:right w:val="single" w:color="auto" w:sz="4" w:space="0"/>
            </w:tcBorders>
            <w:vAlign w:val="center"/>
          </w:tcPr>
          <w:p w14:paraId="50343CA4">
            <w:pPr>
              <w:spacing w:line="360" w:lineRule="auto"/>
              <w:jc w:val="center"/>
              <w:rPr>
                <w:rFonts w:ascii="宋体" w:hAnsi="宋体" w:cs="宋体"/>
                <w:color w:val="auto"/>
                <w:szCs w:val="21"/>
                <w:highlight w:val="none"/>
              </w:rPr>
            </w:pPr>
          </w:p>
        </w:tc>
        <w:tc>
          <w:tcPr>
            <w:tcW w:w="1300" w:type="dxa"/>
            <w:tcBorders>
              <w:top w:val="single" w:color="auto" w:sz="4" w:space="0"/>
              <w:left w:val="single" w:color="auto" w:sz="4" w:space="0"/>
              <w:bottom w:val="single" w:color="auto" w:sz="4" w:space="0"/>
              <w:right w:val="single" w:color="auto" w:sz="4" w:space="0"/>
            </w:tcBorders>
            <w:vAlign w:val="center"/>
          </w:tcPr>
          <w:p w14:paraId="7FD9DD7C">
            <w:pPr>
              <w:spacing w:line="360" w:lineRule="auto"/>
              <w:jc w:val="center"/>
              <w:rPr>
                <w:rFonts w:ascii="宋体" w:hAnsi="宋体" w:cs="宋体"/>
                <w:color w:val="auto"/>
                <w:szCs w:val="21"/>
                <w:highlight w:val="none"/>
              </w:rPr>
            </w:pPr>
          </w:p>
        </w:tc>
        <w:tc>
          <w:tcPr>
            <w:tcW w:w="1207" w:type="dxa"/>
            <w:tcBorders>
              <w:top w:val="single" w:color="auto" w:sz="4" w:space="0"/>
              <w:left w:val="single" w:color="auto" w:sz="4" w:space="0"/>
              <w:bottom w:val="single" w:color="auto" w:sz="4" w:space="0"/>
              <w:right w:val="single" w:color="auto" w:sz="4" w:space="0"/>
            </w:tcBorders>
            <w:vAlign w:val="center"/>
          </w:tcPr>
          <w:p w14:paraId="1D369A73">
            <w:pPr>
              <w:spacing w:line="360" w:lineRule="auto"/>
              <w:jc w:val="center"/>
              <w:rPr>
                <w:rFonts w:ascii="宋体" w:hAnsi="宋体" w:cs="宋体"/>
                <w:color w:val="auto"/>
                <w:szCs w:val="21"/>
                <w:highlight w:val="none"/>
              </w:rPr>
            </w:pPr>
          </w:p>
        </w:tc>
      </w:tr>
      <w:tr w14:paraId="10362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360" w:type="dxa"/>
            <w:gridSpan w:val="7"/>
            <w:tcBorders>
              <w:top w:val="single" w:color="auto" w:sz="4" w:space="0"/>
              <w:left w:val="single" w:color="auto" w:sz="4" w:space="0"/>
              <w:bottom w:val="single" w:color="auto" w:sz="4" w:space="0"/>
              <w:right w:val="single" w:color="auto" w:sz="4" w:space="0"/>
            </w:tcBorders>
            <w:vAlign w:val="center"/>
          </w:tcPr>
          <w:p w14:paraId="041518CE">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人民币合计金额（大写）：元整（¥）              </w:t>
            </w:r>
          </w:p>
        </w:tc>
      </w:tr>
    </w:tbl>
    <w:p w14:paraId="2533A31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1、项目一览表</w:t>
      </w:r>
    </w:p>
    <w:p w14:paraId="561A622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合同合计金额包括但不限于满足本次投标全部采购需求所应提供的服务，以及伴随的货物和工程（如有）的价格；包含投标服务、货物、工程的成本、运输（含保险）、安装（如有）、调试、检验、技术服务、培训、税费等所有费用。如招标文件对其另有规定的，从其规定。</w:t>
      </w:r>
    </w:p>
    <w:p w14:paraId="19EA709C">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第二条　质量保证</w:t>
      </w:r>
    </w:p>
    <w:p w14:paraId="45955E15">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乙方所提供的服务及服务内容必须与投标文件承诺相一致，有国家强制性标准的，还必须符合国家强制性标准的规定，没有国家强制性标准但有其他强制性标准的，必须符合其他强制性标准的规定。</w:t>
      </w:r>
    </w:p>
    <w:p w14:paraId="21B01D9D">
      <w:pPr>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第三条　权利保证</w:t>
      </w:r>
    </w:p>
    <w:p w14:paraId="774103A6">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1、乙方应保证所提供服务在使用时不会侵犯任何第三方的专利权、商标权、工业设计权等知识产权及其他合法权利，且所有权、处分权等没有受到任何限制。</w:t>
      </w:r>
    </w:p>
    <w:p w14:paraId="7AB6FE8F">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乙方的保密义务持续有效，不因为本合同履行终止、解除或者无效而解除。</w:t>
      </w:r>
    </w:p>
    <w:p w14:paraId="05B0CFB4">
      <w:pPr>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第四条　交付和验收</w:t>
      </w:r>
    </w:p>
    <w:p w14:paraId="7CF6D7F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1、交付时间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；服务期限：；服务地点：。</w:t>
      </w:r>
    </w:p>
    <w:p w14:paraId="5404A179">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2、乙方应按投标文件的承诺向甲方提供相应的服务，并提供所服务内容的相关技术资料。</w:t>
      </w:r>
    </w:p>
    <w:p w14:paraId="4EB210E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3、乙方提供不符合投标文件和本合同规定的服务成果，甲方有权拒绝接受。</w:t>
      </w:r>
    </w:p>
    <w:p w14:paraId="2362833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4、乙方完成服务后应及时书面通知甲方进行验收，甲方应在收到通知后五个工作日内进行验收。验收合格后由甲乙双方签署验收单并加盖采购人公章，甲乙双方各执一份。</w:t>
      </w:r>
    </w:p>
    <w:p w14:paraId="2701E040">
      <w:pPr>
        <w:spacing w:line="360" w:lineRule="auto"/>
        <w:ind w:firstLine="420" w:firstLineChars="200"/>
        <w:rPr>
          <w:rFonts w:ascii="宋体" w:hAnsi="宋体"/>
          <w:color w:val="auto"/>
          <w:szCs w:val="21"/>
          <w:highlight w:val="none"/>
        </w:rPr>
      </w:pPr>
      <w:r>
        <w:rPr>
          <w:rFonts w:hint="eastAsia" w:ascii="宋体" w:hAnsi="宋体" w:cs="宋体"/>
          <w:color w:val="auto"/>
          <w:szCs w:val="21"/>
          <w:highlight w:val="none"/>
        </w:rPr>
        <w:t>5、甲乙双方应按照《</w:t>
      </w:r>
      <w:r>
        <w:rPr>
          <w:rFonts w:ascii="宋体" w:hAnsi="宋体" w:cs="宋体"/>
          <w:color w:val="auto"/>
          <w:szCs w:val="21"/>
          <w:highlight w:val="none"/>
        </w:rPr>
        <w:t>广西壮族自治区政府采购项目履约验收管理办法</w:t>
      </w:r>
      <w:r>
        <w:rPr>
          <w:rFonts w:hint="eastAsia" w:ascii="宋体" w:hAnsi="宋体" w:cs="宋体"/>
          <w:color w:val="auto"/>
          <w:szCs w:val="21"/>
          <w:highlight w:val="none"/>
        </w:rPr>
        <w:t>》、双方合同、投标文件验收。</w:t>
      </w:r>
    </w:p>
    <w:p w14:paraId="4903FEF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6、甲方在初步验收或者最终验收过程中如发现乙方提供的服务成果不满足投标文件及本合同规定的，可暂缓向乙方付款，直到乙方及时完善并提交相应的服务成果且经甲方验收合格后，方可办理付款。</w:t>
      </w:r>
    </w:p>
    <w:p w14:paraId="06B31F4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7、甲方验收时以书面形式提出异议的，乙方应自收到甲方书面异议后五个工作日内及时予以解决，否则甲方有权不出具服务验收合格单。</w:t>
      </w:r>
    </w:p>
    <w:p w14:paraId="15605FFE">
      <w:pPr>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第五条  售后服务及培训</w:t>
      </w:r>
    </w:p>
    <w:p w14:paraId="582D9C0C">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1、乙方应按照国家有关法律法规和本合同所附的《售后服务方案》要求为甲方提供相应的售后服务。</w:t>
      </w:r>
    </w:p>
    <w:p w14:paraId="2BB3B7A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2、甲方应提供必要测试条件（如场地、电源、水源等）。</w:t>
      </w:r>
    </w:p>
    <w:p w14:paraId="1D3B6F3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3、乙方负责甲方有关人员的培训。培训时间、地点：。</w:t>
      </w:r>
    </w:p>
    <w:p w14:paraId="2335B12C">
      <w:pPr>
        <w:snapToGrid w:val="0"/>
        <w:spacing w:line="360" w:lineRule="auto"/>
        <w:ind w:firstLine="422" w:firstLineChars="200"/>
        <w:rPr>
          <w:rFonts w:ascii="宋体" w:hAnsi="宋体" w:cs="宋体"/>
          <w:color w:val="auto"/>
          <w:szCs w:val="21"/>
          <w:highlight w:val="none"/>
          <w:u w:val="single"/>
        </w:rPr>
      </w:pPr>
      <w:r>
        <w:rPr>
          <w:rFonts w:hint="eastAsia" w:ascii="宋体" w:hAnsi="宋体" w:cs="宋体"/>
          <w:b/>
          <w:color w:val="auto"/>
          <w:szCs w:val="21"/>
          <w:highlight w:val="none"/>
        </w:rPr>
        <w:t>第六条　付款方式</w:t>
      </w:r>
    </w:p>
    <w:p w14:paraId="54CB332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1、验收后付合同总金额的32%，12个月内支付合同总金额的35%，其余合同总金额的33%按照23个月平均支付。（支付的具体费用根据采购人实际使用量计付）</w:t>
      </w:r>
    </w:p>
    <w:p w14:paraId="348BA4BC">
      <w:pPr>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第七条　履约保证金</w:t>
      </w:r>
    </w:p>
    <w:p w14:paraId="10E2634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履约保证金金额：本项目不收取履约保证金</w:t>
      </w:r>
      <w:r>
        <w:rPr>
          <w:rFonts w:hint="eastAsia" w:ascii="宋体" w:hAnsi="宋体"/>
          <w:color w:val="auto"/>
          <w:szCs w:val="21"/>
          <w:highlight w:val="none"/>
        </w:rPr>
        <w:t>。</w:t>
      </w:r>
    </w:p>
    <w:p w14:paraId="5CA4FBD4">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第八条  税费</w:t>
      </w:r>
    </w:p>
    <w:p w14:paraId="7FC94AF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本合同执行中相关的一切税费均由乙方负担，合同另有约定的除外。</w:t>
      </w:r>
    </w:p>
    <w:p w14:paraId="0331BB77">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第九条　违约责任</w:t>
      </w:r>
    </w:p>
    <w:p w14:paraId="14BD75D4">
      <w:pPr>
        <w:snapToGrid w:val="0"/>
        <w:spacing w:line="360" w:lineRule="auto"/>
        <w:ind w:firstLine="420" w:firstLineChars="200"/>
        <w:rPr>
          <w:rFonts w:ascii="宋体" w:hAnsi="宋体" w:cs="宋体"/>
          <w:color w:val="auto"/>
          <w:szCs w:val="21"/>
          <w:highlight w:val="none"/>
        </w:rPr>
      </w:pPr>
      <w:r>
        <w:rPr>
          <w:rFonts w:hint="eastAsia" w:ascii="宋体" w:hAnsi="宋体"/>
          <w:color w:val="auto"/>
          <w:szCs w:val="21"/>
          <w:highlight w:val="none"/>
        </w:rPr>
        <w:t>1、除不可抗力原因外，乙方没有按照合同规定的时间提供服务的，甲方可要求乙方支付违约金。每推迟一天按合同金额的3‰支付违约金，该违约金累计不超过合同金额的10%。</w:t>
      </w:r>
    </w:p>
    <w:p w14:paraId="5E5DDB86">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2、乙方提供的服务如侵犯了第三方合法权益而引发的任何纠纷或者诉讼，均由乙方负责交涉并承担全部责任。</w:t>
      </w:r>
    </w:p>
    <w:p w14:paraId="35A889D8">
      <w:pPr>
        <w:snapToGrid w:val="0"/>
        <w:spacing w:line="360" w:lineRule="auto"/>
        <w:ind w:firstLine="420" w:firstLineChars="200"/>
        <w:rPr>
          <w:rFonts w:ascii="宋体" w:hAnsi="宋体" w:cs="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、甲方延期付款的，每天向乙方偿付延期款额3‰滞纳金，但滞纳金累计不得超过延期款额5%。</w:t>
      </w:r>
    </w:p>
    <w:p w14:paraId="7285AE06">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第十条  不可抗力事件处理</w:t>
      </w:r>
    </w:p>
    <w:p w14:paraId="25C6C09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1、在合同有效期内，任何一方因不可抗力事件导致不能履行合同，则合同履行期可延长，其延长期与不可抗力影响期相同。</w:t>
      </w:r>
    </w:p>
    <w:p w14:paraId="1F9F876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2、不可抗力事件发生后，应立即通知对方，并寄送有关权威机构出具的证明。</w:t>
      </w:r>
    </w:p>
    <w:p w14:paraId="438AD6F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3、不可抗力事件延续一百二十天以上，双方应通过友好协商，确定是否继续履行合同。</w:t>
      </w:r>
    </w:p>
    <w:p w14:paraId="0B6EB11C">
      <w:pPr>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第十一条  合同争议解决</w:t>
      </w:r>
    </w:p>
    <w:p w14:paraId="502F8ECD">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1、因服务质量问题发生争议的，应邀请国家认可的质量检测机构进行鉴定。服务符合标准的，鉴定费由甲方承担；服务不符合标准的，鉴定费由乙方承担。</w:t>
      </w:r>
    </w:p>
    <w:p w14:paraId="479A3B91">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2、因履行本合同引起的或者与本合同有关的争议，甲乙双方应首先通过友好协商解决，如果协商不能解决，可向甲方所在地有管辖权人民法院提起诉讼。</w:t>
      </w:r>
    </w:p>
    <w:p w14:paraId="590438C9">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3、诉讼期间，本合同继续履行。</w:t>
      </w:r>
    </w:p>
    <w:p w14:paraId="1E995C14">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第十二条  合同生效及其它</w:t>
      </w:r>
    </w:p>
    <w:p w14:paraId="3CBC933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1、合同经双方法定代表人或者授权代表签字并加盖单位公章后生效（委托代理人签字的需后附授权委托书，格式自拟）。</w:t>
      </w:r>
    </w:p>
    <w:p w14:paraId="1F9F107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2、合同执行中涉及采购资金和采购内容修改或者补充的，须经财政部门审批，并签书面补充协议报财政部门备案，方可作为主合同不可分割的一部分。</w:t>
      </w:r>
    </w:p>
    <w:p w14:paraId="44D3094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3、本合同未尽事宜，遵照《中华人民共和国民法典》有关条文执行。</w:t>
      </w:r>
    </w:p>
    <w:p w14:paraId="7AA928C2">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第十三条　合同的变更、终止与转让</w:t>
      </w:r>
    </w:p>
    <w:p w14:paraId="048C288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1、除《中华人民共和国政府采购法》第五十条规定的情形外，本合同一经签订，甲乙双方不得擅自变更、中止或者终止。</w:t>
      </w:r>
    </w:p>
    <w:p w14:paraId="16CAC6C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2、乙方不得擅自转让其应履行的合同义务。</w:t>
      </w:r>
    </w:p>
    <w:p w14:paraId="4C991A71">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第十四条　签订本合同依据</w:t>
      </w:r>
    </w:p>
    <w:p w14:paraId="122B725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1、采购文件</w:t>
      </w:r>
    </w:p>
    <w:p w14:paraId="5D83782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2、中标通知书；</w:t>
      </w:r>
    </w:p>
    <w:p w14:paraId="35140F3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3、技术要求偏离表和商务要求偏离表；</w:t>
      </w:r>
    </w:p>
    <w:p w14:paraId="42B1CC2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4、投标文件中的其他相关文件；</w:t>
      </w:r>
    </w:p>
    <w:p w14:paraId="0D097FE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5、上述合同文件互相补充和解释。如果合同文件之间存在矛盾或者不一致之处，以上述文件的排列顺序在先者为准。</w:t>
      </w:r>
    </w:p>
    <w:p w14:paraId="15F980F1">
      <w:pPr>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第十五条　</w:t>
      </w:r>
      <w:r>
        <w:rPr>
          <w:rFonts w:hint="eastAsia" w:ascii="宋体" w:hAnsi="宋体" w:cs="宋体"/>
          <w:color w:val="auto"/>
          <w:szCs w:val="21"/>
          <w:highlight w:val="none"/>
        </w:rPr>
        <w:t>本合同一式伍份，具有同等法律效力，采购代理机构一份，甲乙双方各贰份（可根据需要另增加）。</w:t>
      </w:r>
    </w:p>
    <w:p w14:paraId="52512B8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本合同甲乙双方签字盖章后生效，自签订之日起七个工作日内，甲方应当将合同副本报同级财政部门备案。</w:t>
      </w:r>
    </w:p>
    <w:p w14:paraId="7E9828E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本合同自签订之日起2个工作日内，甲方应当将采购合同在广西壮族自治区财政厅指定的媒体上公告。</w:t>
      </w:r>
    </w:p>
    <w:tbl>
      <w:tblPr>
        <w:tblStyle w:val="48"/>
        <w:tblpPr w:leftFromText="180" w:rightFromText="180" w:vertAnchor="text" w:horzAnchor="margin" w:tblpX="126" w:tblpY="2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41"/>
        <w:gridCol w:w="4691"/>
      </w:tblGrid>
      <w:tr w14:paraId="06083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80" w:hRule="atLeast"/>
        </w:trPr>
        <w:tc>
          <w:tcPr>
            <w:tcW w:w="5141" w:type="dxa"/>
            <w:tcBorders>
              <w:top w:val="single" w:color="auto" w:sz="4" w:space="0"/>
              <w:left w:val="single" w:color="auto" w:sz="4" w:space="0"/>
              <w:bottom w:val="single" w:color="auto" w:sz="4" w:space="0"/>
              <w:right w:val="single" w:color="auto" w:sz="4" w:space="0"/>
            </w:tcBorders>
            <w:vAlign w:val="center"/>
          </w:tcPr>
          <w:p w14:paraId="11BF330E">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甲方：（章）</w:t>
            </w:r>
          </w:p>
          <w:p w14:paraId="4BA22AC8">
            <w:pPr>
              <w:snapToGrid w:val="0"/>
              <w:spacing w:line="360" w:lineRule="auto"/>
              <w:rPr>
                <w:rFonts w:ascii="宋体" w:hAnsi="宋体" w:cs="宋体"/>
                <w:color w:val="auto"/>
                <w:szCs w:val="21"/>
                <w:highlight w:val="none"/>
              </w:rPr>
            </w:pPr>
          </w:p>
          <w:p w14:paraId="3B73C511">
            <w:pPr>
              <w:snapToGrid w:val="0"/>
              <w:spacing w:line="360" w:lineRule="auto"/>
              <w:rPr>
                <w:rFonts w:ascii="宋体" w:hAnsi="宋体" w:cs="宋体"/>
                <w:color w:val="auto"/>
                <w:szCs w:val="21"/>
                <w:highlight w:val="none"/>
              </w:rPr>
            </w:pPr>
          </w:p>
          <w:p w14:paraId="3363CB33">
            <w:pPr>
              <w:snapToGrid w:val="0"/>
              <w:spacing w:line="360" w:lineRule="auto"/>
              <w:ind w:firstLine="945" w:firstLineChars="450"/>
              <w:jc w:val="right"/>
              <w:rPr>
                <w:rFonts w:ascii="宋体" w:hAnsi="宋体" w:cs="宋体"/>
                <w:color w:val="auto"/>
                <w:szCs w:val="21"/>
                <w:highlight w:val="none"/>
              </w:rPr>
            </w:pPr>
          </w:p>
          <w:p w14:paraId="0942F3D0">
            <w:pPr>
              <w:snapToGrid w:val="0"/>
              <w:spacing w:line="360" w:lineRule="auto"/>
              <w:ind w:firstLine="945" w:firstLineChars="450"/>
              <w:jc w:val="right"/>
              <w:rPr>
                <w:rFonts w:ascii="宋体" w:hAnsi="宋体" w:cs="宋体"/>
                <w:color w:val="auto"/>
                <w:szCs w:val="21"/>
                <w:highlight w:val="none"/>
              </w:rPr>
            </w:pPr>
            <w:r>
              <w:rPr>
                <w:rFonts w:hint="eastAsia" w:ascii="宋体" w:hAnsi="宋体" w:cs="宋体"/>
                <w:color w:val="auto"/>
                <w:szCs w:val="21"/>
                <w:highlight w:val="none"/>
              </w:rPr>
              <w:t>年   月   日</w:t>
            </w:r>
          </w:p>
        </w:tc>
        <w:tc>
          <w:tcPr>
            <w:tcW w:w="4691" w:type="dxa"/>
            <w:tcBorders>
              <w:top w:val="single" w:color="auto" w:sz="4" w:space="0"/>
              <w:left w:val="single" w:color="auto" w:sz="4" w:space="0"/>
              <w:bottom w:val="single" w:color="auto" w:sz="4" w:space="0"/>
              <w:right w:val="single" w:color="auto" w:sz="4" w:space="0"/>
            </w:tcBorders>
            <w:vAlign w:val="center"/>
          </w:tcPr>
          <w:p w14:paraId="66438DF8">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乙方：（章）       </w:t>
            </w:r>
          </w:p>
          <w:p w14:paraId="7EFFDA71">
            <w:pPr>
              <w:snapToGrid w:val="0"/>
              <w:spacing w:line="360" w:lineRule="auto"/>
              <w:rPr>
                <w:rFonts w:ascii="宋体" w:hAnsi="宋体" w:cs="宋体"/>
                <w:color w:val="auto"/>
                <w:szCs w:val="21"/>
                <w:highlight w:val="none"/>
              </w:rPr>
            </w:pPr>
          </w:p>
          <w:p w14:paraId="5DA42F9B">
            <w:pPr>
              <w:snapToGrid w:val="0"/>
              <w:spacing w:line="360" w:lineRule="auto"/>
              <w:rPr>
                <w:rFonts w:ascii="宋体" w:hAnsi="宋体" w:cs="宋体"/>
                <w:color w:val="auto"/>
                <w:szCs w:val="21"/>
                <w:highlight w:val="none"/>
              </w:rPr>
            </w:pPr>
          </w:p>
          <w:p w14:paraId="6107000E">
            <w:pPr>
              <w:snapToGrid w:val="0"/>
              <w:spacing w:line="360" w:lineRule="auto"/>
              <w:jc w:val="right"/>
              <w:rPr>
                <w:rFonts w:ascii="宋体" w:hAnsi="宋体" w:cs="宋体"/>
                <w:color w:val="auto"/>
                <w:szCs w:val="21"/>
                <w:highlight w:val="none"/>
              </w:rPr>
            </w:pPr>
          </w:p>
          <w:p w14:paraId="2EDD5DBC">
            <w:pPr>
              <w:snapToGrid w:val="0"/>
              <w:spacing w:line="360" w:lineRule="auto"/>
              <w:jc w:val="right"/>
              <w:rPr>
                <w:rFonts w:ascii="宋体" w:hAnsi="宋体" w:cs="宋体"/>
                <w:color w:val="auto"/>
                <w:szCs w:val="21"/>
                <w:highlight w:val="none"/>
              </w:rPr>
            </w:pPr>
            <w:r>
              <w:rPr>
                <w:rFonts w:hint="eastAsia" w:ascii="宋体" w:hAnsi="宋体" w:cs="宋体"/>
                <w:color w:val="auto"/>
                <w:szCs w:val="21"/>
                <w:highlight w:val="none"/>
              </w:rPr>
              <w:t xml:space="preserve"> 年   月   日</w:t>
            </w:r>
          </w:p>
        </w:tc>
      </w:tr>
      <w:tr w14:paraId="5499E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5141" w:type="dxa"/>
            <w:tcBorders>
              <w:top w:val="single" w:color="auto" w:sz="4" w:space="0"/>
              <w:left w:val="single" w:color="auto" w:sz="4" w:space="0"/>
              <w:bottom w:val="single" w:color="auto" w:sz="4" w:space="0"/>
              <w:right w:val="single" w:color="auto" w:sz="4" w:space="0"/>
            </w:tcBorders>
            <w:vAlign w:val="center"/>
          </w:tcPr>
          <w:p w14:paraId="406CD59F">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单位地址：</w:t>
            </w:r>
          </w:p>
        </w:tc>
        <w:tc>
          <w:tcPr>
            <w:tcW w:w="4691" w:type="dxa"/>
            <w:tcBorders>
              <w:top w:val="single" w:color="auto" w:sz="4" w:space="0"/>
              <w:left w:val="single" w:color="auto" w:sz="4" w:space="0"/>
              <w:bottom w:val="single" w:color="auto" w:sz="4" w:space="0"/>
              <w:right w:val="single" w:color="auto" w:sz="4" w:space="0"/>
            </w:tcBorders>
            <w:vAlign w:val="center"/>
          </w:tcPr>
          <w:p w14:paraId="2977BB58">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单位地址： </w:t>
            </w:r>
          </w:p>
        </w:tc>
      </w:tr>
      <w:tr w14:paraId="6F5A7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5141" w:type="dxa"/>
            <w:tcBorders>
              <w:top w:val="single" w:color="auto" w:sz="4" w:space="0"/>
              <w:left w:val="single" w:color="auto" w:sz="4" w:space="0"/>
              <w:bottom w:val="single" w:color="auto" w:sz="4" w:space="0"/>
              <w:right w:val="single" w:color="auto" w:sz="4" w:space="0"/>
            </w:tcBorders>
            <w:vAlign w:val="center"/>
          </w:tcPr>
          <w:p w14:paraId="3DA09AB6">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法定代表人：</w:t>
            </w:r>
          </w:p>
        </w:tc>
        <w:tc>
          <w:tcPr>
            <w:tcW w:w="4691" w:type="dxa"/>
            <w:tcBorders>
              <w:top w:val="single" w:color="auto" w:sz="4" w:space="0"/>
              <w:left w:val="single" w:color="auto" w:sz="4" w:space="0"/>
              <w:bottom w:val="single" w:color="auto" w:sz="4" w:space="0"/>
              <w:right w:val="single" w:color="auto" w:sz="4" w:space="0"/>
            </w:tcBorders>
            <w:vAlign w:val="center"/>
          </w:tcPr>
          <w:p w14:paraId="05C305F7">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法定代表人：</w:t>
            </w:r>
          </w:p>
        </w:tc>
      </w:tr>
      <w:tr w14:paraId="0C6F7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5141" w:type="dxa"/>
            <w:tcBorders>
              <w:top w:val="single" w:color="auto" w:sz="4" w:space="0"/>
              <w:left w:val="single" w:color="auto" w:sz="4" w:space="0"/>
              <w:bottom w:val="single" w:color="auto" w:sz="4" w:space="0"/>
              <w:right w:val="single" w:color="auto" w:sz="4" w:space="0"/>
            </w:tcBorders>
            <w:vAlign w:val="center"/>
          </w:tcPr>
          <w:p w14:paraId="2F10921B">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委托代理人：</w:t>
            </w:r>
          </w:p>
        </w:tc>
        <w:tc>
          <w:tcPr>
            <w:tcW w:w="4691" w:type="dxa"/>
            <w:tcBorders>
              <w:top w:val="single" w:color="auto" w:sz="4" w:space="0"/>
              <w:left w:val="single" w:color="auto" w:sz="4" w:space="0"/>
              <w:bottom w:val="single" w:color="auto" w:sz="4" w:space="0"/>
              <w:right w:val="single" w:color="auto" w:sz="4" w:space="0"/>
            </w:tcBorders>
            <w:vAlign w:val="center"/>
          </w:tcPr>
          <w:p w14:paraId="2C65D738">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委托代理人：</w:t>
            </w:r>
          </w:p>
        </w:tc>
      </w:tr>
      <w:tr w14:paraId="1108F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5141" w:type="dxa"/>
            <w:tcBorders>
              <w:top w:val="single" w:color="auto" w:sz="4" w:space="0"/>
              <w:left w:val="single" w:color="auto" w:sz="4" w:space="0"/>
              <w:bottom w:val="single" w:color="auto" w:sz="4" w:space="0"/>
              <w:right w:val="single" w:color="auto" w:sz="4" w:space="0"/>
            </w:tcBorders>
            <w:vAlign w:val="center"/>
          </w:tcPr>
          <w:p w14:paraId="34835BAF">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电话：</w:t>
            </w:r>
          </w:p>
        </w:tc>
        <w:tc>
          <w:tcPr>
            <w:tcW w:w="4691" w:type="dxa"/>
            <w:tcBorders>
              <w:top w:val="single" w:color="auto" w:sz="4" w:space="0"/>
              <w:left w:val="single" w:color="auto" w:sz="4" w:space="0"/>
              <w:bottom w:val="single" w:color="auto" w:sz="4" w:space="0"/>
              <w:right w:val="single" w:color="auto" w:sz="4" w:space="0"/>
            </w:tcBorders>
            <w:vAlign w:val="center"/>
          </w:tcPr>
          <w:p w14:paraId="203C2035">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电话：</w:t>
            </w:r>
          </w:p>
        </w:tc>
      </w:tr>
      <w:tr w14:paraId="53301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5141" w:type="dxa"/>
            <w:tcBorders>
              <w:top w:val="single" w:color="auto" w:sz="4" w:space="0"/>
              <w:left w:val="single" w:color="auto" w:sz="4" w:space="0"/>
              <w:bottom w:val="single" w:color="auto" w:sz="4" w:space="0"/>
              <w:right w:val="single" w:color="auto" w:sz="4" w:space="0"/>
            </w:tcBorders>
            <w:vAlign w:val="center"/>
          </w:tcPr>
          <w:p w14:paraId="2FDD10B7">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开户银行： </w:t>
            </w:r>
          </w:p>
        </w:tc>
        <w:tc>
          <w:tcPr>
            <w:tcW w:w="4691" w:type="dxa"/>
            <w:tcBorders>
              <w:top w:val="single" w:color="auto" w:sz="4" w:space="0"/>
              <w:left w:val="single" w:color="auto" w:sz="4" w:space="0"/>
              <w:bottom w:val="single" w:color="auto" w:sz="4" w:space="0"/>
              <w:right w:val="single" w:color="auto" w:sz="4" w:space="0"/>
            </w:tcBorders>
            <w:vAlign w:val="center"/>
          </w:tcPr>
          <w:p w14:paraId="08A88800">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开户银行： </w:t>
            </w:r>
          </w:p>
        </w:tc>
      </w:tr>
      <w:tr w14:paraId="064A8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5141" w:type="dxa"/>
            <w:tcBorders>
              <w:top w:val="single" w:color="auto" w:sz="4" w:space="0"/>
              <w:left w:val="single" w:color="auto" w:sz="4" w:space="0"/>
              <w:bottom w:val="single" w:color="auto" w:sz="4" w:space="0"/>
              <w:right w:val="single" w:color="auto" w:sz="4" w:space="0"/>
            </w:tcBorders>
            <w:vAlign w:val="center"/>
          </w:tcPr>
          <w:p w14:paraId="4C012238">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账号：</w:t>
            </w:r>
          </w:p>
        </w:tc>
        <w:tc>
          <w:tcPr>
            <w:tcW w:w="4691" w:type="dxa"/>
            <w:tcBorders>
              <w:top w:val="single" w:color="auto" w:sz="4" w:space="0"/>
              <w:left w:val="single" w:color="auto" w:sz="4" w:space="0"/>
              <w:bottom w:val="single" w:color="auto" w:sz="4" w:space="0"/>
              <w:right w:val="single" w:color="auto" w:sz="4" w:space="0"/>
            </w:tcBorders>
            <w:vAlign w:val="center"/>
          </w:tcPr>
          <w:p w14:paraId="267B15AD">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账号：</w:t>
            </w:r>
          </w:p>
        </w:tc>
      </w:tr>
      <w:tr w14:paraId="6B1DB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5141" w:type="dxa"/>
            <w:tcBorders>
              <w:top w:val="single" w:color="auto" w:sz="4" w:space="0"/>
              <w:left w:val="single" w:color="auto" w:sz="4" w:space="0"/>
              <w:bottom w:val="single" w:color="auto" w:sz="4" w:space="0"/>
              <w:right w:val="single" w:color="auto" w:sz="4" w:space="0"/>
            </w:tcBorders>
            <w:vAlign w:val="center"/>
          </w:tcPr>
          <w:p w14:paraId="48A38182">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邮政编码：</w:t>
            </w:r>
          </w:p>
        </w:tc>
        <w:tc>
          <w:tcPr>
            <w:tcW w:w="4691" w:type="dxa"/>
            <w:tcBorders>
              <w:top w:val="single" w:color="auto" w:sz="4" w:space="0"/>
              <w:left w:val="single" w:color="auto" w:sz="4" w:space="0"/>
              <w:bottom w:val="single" w:color="auto" w:sz="4" w:space="0"/>
              <w:right w:val="single" w:color="auto" w:sz="4" w:space="0"/>
            </w:tcBorders>
            <w:vAlign w:val="center"/>
          </w:tcPr>
          <w:p w14:paraId="62D3F13B">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邮政编码：</w:t>
            </w:r>
          </w:p>
        </w:tc>
      </w:tr>
    </w:tbl>
    <w:p w14:paraId="45FB9523">
      <w:pPr>
        <w:snapToGrid w:val="0"/>
        <w:jc w:val="center"/>
        <w:rPr>
          <w:rFonts w:ascii="宋体" w:hAnsi="宋体"/>
          <w:b/>
          <w:bCs/>
          <w:color w:val="auto"/>
          <w:sz w:val="32"/>
          <w:szCs w:val="32"/>
          <w:highlight w:val="none"/>
        </w:rPr>
      </w:pPr>
    </w:p>
    <w:p w14:paraId="651D9E20">
      <w:pPr>
        <w:snapToGrid w:val="0"/>
        <w:spacing w:line="360" w:lineRule="auto"/>
        <w:ind w:left="420" w:hanging="420" w:hangingChars="200"/>
        <w:rPr>
          <w:rFonts w:ascii="宋体" w:hAnsi="宋体"/>
          <w:color w:val="auto"/>
          <w:szCs w:val="21"/>
          <w:highlight w:val="none"/>
        </w:rPr>
      </w:pPr>
    </w:p>
    <w:p w14:paraId="30E55951">
      <w:pPr>
        <w:spacing w:line="440" w:lineRule="exact"/>
        <w:rPr>
          <w:rFonts w:ascii="宋体" w:hAnsi="宋体" w:cs="宋体"/>
          <w:bCs/>
          <w:color w:val="auto"/>
          <w:szCs w:val="21"/>
          <w:highlight w:val="none"/>
        </w:rPr>
      </w:pPr>
    </w:p>
    <w:p w14:paraId="7638CA80">
      <w:pPr>
        <w:pStyle w:val="32"/>
        <w:rPr>
          <w:rFonts w:ascii="宋体" w:hAnsi="宋体" w:cs="宋体"/>
          <w:bCs/>
          <w:color w:val="auto"/>
          <w:szCs w:val="21"/>
          <w:highlight w:val="none"/>
        </w:rPr>
      </w:pPr>
    </w:p>
    <w:p w14:paraId="76AA957C">
      <w:pPr>
        <w:rPr>
          <w:rFonts w:ascii="宋体" w:hAnsi="宋体" w:cs="宋体"/>
          <w:bCs/>
          <w:color w:val="auto"/>
          <w:szCs w:val="21"/>
          <w:highlight w:val="none"/>
        </w:rPr>
      </w:pPr>
    </w:p>
    <w:p w14:paraId="742F80A0">
      <w:pPr>
        <w:pStyle w:val="32"/>
        <w:rPr>
          <w:rFonts w:ascii="宋体" w:hAnsi="宋体" w:cs="宋体"/>
          <w:bCs/>
          <w:color w:val="auto"/>
          <w:szCs w:val="21"/>
          <w:highlight w:val="none"/>
        </w:rPr>
      </w:pPr>
    </w:p>
    <w:p w14:paraId="68BD5F16">
      <w:pPr>
        <w:rPr>
          <w:rFonts w:ascii="宋体" w:hAnsi="宋体" w:cs="宋体"/>
          <w:bCs/>
          <w:color w:val="auto"/>
          <w:szCs w:val="21"/>
          <w:highlight w:val="none"/>
        </w:rPr>
      </w:pPr>
    </w:p>
    <w:p w14:paraId="35202D37">
      <w:pPr>
        <w:pStyle w:val="32"/>
        <w:rPr>
          <w:rFonts w:ascii="宋体" w:hAnsi="宋体" w:cs="宋体"/>
          <w:bCs/>
          <w:color w:val="auto"/>
          <w:szCs w:val="21"/>
          <w:highlight w:val="none"/>
        </w:rPr>
      </w:pPr>
    </w:p>
    <w:p w14:paraId="5EA549F2">
      <w:pPr>
        <w:rPr>
          <w:rFonts w:ascii="宋体" w:hAnsi="宋体" w:cs="宋体"/>
          <w:bCs/>
          <w:color w:val="auto"/>
          <w:szCs w:val="21"/>
          <w:highlight w:val="none"/>
        </w:rPr>
      </w:pPr>
    </w:p>
    <w:p w14:paraId="0546B9E0">
      <w:pPr>
        <w:pStyle w:val="32"/>
        <w:rPr>
          <w:rFonts w:ascii="宋体" w:hAnsi="宋体" w:cs="宋体"/>
          <w:bCs/>
          <w:color w:val="auto"/>
          <w:szCs w:val="21"/>
          <w:highlight w:val="none"/>
        </w:rPr>
      </w:pPr>
    </w:p>
    <w:p w14:paraId="04C5DC99">
      <w:pPr>
        <w:rPr>
          <w:rFonts w:ascii="宋体" w:hAnsi="宋体" w:cs="宋体"/>
          <w:bCs/>
          <w:color w:val="auto"/>
          <w:szCs w:val="21"/>
          <w:highlight w:val="none"/>
        </w:rPr>
      </w:pPr>
    </w:p>
    <w:p w14:paraId="378870DC">
      <w:pPr>
        <w:pStyle w:val="32"/>
        <w:rPr>
          <w:rFonts w:ascii="宋体" w:hAnsi="宋体" w:cs="宋体"/>
          <w:bCs/>
          <w:color w:val="auto"/>
          <w:szCs w:val="21"/>
          <w:highlight w:val="none"/>
        </w:rPr>
      </w:pPr>
    </w:p>
    <w:p w14:paraId="0573BFBE">
      <w:pPr>
        <w:rPr>
          <w:rFonts w:ascii="宋体" w:hAnsi="宋体" w:cs="宋体"/>
          <w:bCs/>
          <w:color w:val="auto"/>
          <w:szCs w:val="21"/>
          <w:highlight w:val="none"/>
        </w:rPr>
      </w:pPr>
    </w:p>
    <w:p w14:paraId="557FC3B6">
      <w:pPr>
        <w:pStyle w:val="32"/>
        <w:rPr>
          <w:rFonts w:ascii="宋体" w:hAnsi="宋体" w:cs="宋体"/>
          <w:bCs/>
          <w:color w:val="auto"/>
          <w:szCs w:val="21"/>
          <w:highlight w:val="none"/>
        </w:rPr>
      </w:pPr>
    </w:p>
    <w:p w14:paraId="064A38C0">
      <w:pPr>
        <w:rPr>
          <w:rFonts w:ascii="宋体" w:hAnsi="宋体" w:cs="宋体"/>
          <w:bCs/>
          <w:color w:val="auto"/>
          <w:szCs w:val="21"/>
          <w:highlight w:val="none"/>
        </w:rPr>
      </w:pPr>
    </w:p>
    <w:p w14:paraId="0D74AE69">
      <w:pPr>
        <w:pStyle w:val="32"/>
        <w:rPr>
          <w:rFonts w:ascii="宋体" w:hAnsi="宋体" w:cs="宋体"/>
          <w:bCs/>
          <w:color w:val="auto"/>
          <w:szCs w:val="21"/>
          <w:highlight w:val="none"/>
        </w:rPr>
      </w:pPr>
    </w:p>
    <w:p w14:paraId="1847B357">
      <w:pPr>
        <w:rPr>
          <w:rFonts w:ascii="宋体" w:hAnsi="宋体" w:cs="宋体"/>
          <w:bCs/>
          <w:color w:val="auto"/>
          <w:szCs w:val="21"/>
          <w:highlight w:val="none"/>
        </w:rPr>
      </w:pPr>
    </w:p>
    <w:p w14:paraId="228FA2BD">
      <w:pPr>
        <w:pStyle w:val="32"/>
        <w:rPr>
          <w:rFonts w:ascii="宋体" w:hAnsi="宋体" w:cs="宋体"/>
          <w:bCs/>
          <w:color w:val="auto"/>
          <w:szCs w:val="21"/>
          <w:highlight w:val="none"/>
        </w:rPr>
      </w:pPr>
    </w:p>
    <w:p w14:paraId="253D4243">
      <w:pPr>
        <w:rPr>
          <w:rFonts w:ascii="宋体" w:hAnsi="宋体" w:cs="宋体"/>
          <w:bCs/>
          <w:color w:val="auto"/>
          <w:szCs w:val="21"/>
          <w:highlight w:val="none"/>
        </w:rPr>
      </w:pPr>
    </w:p>
    <w:p w14:paraId="63CD4EA1">
      <w:pPr>
        <w:pStyle w:val="32"/>
        <w:rPr>
          <w:rFonts w:ascii="宋体" w:hAnsi="宋体" w:cs="宋体"/>
          <w:bCs/>
          <w:color w:val="auto"/>
          <w:szCs w:val="21"/>
          <w:highlight w:val="none"/>
        </w:rPr>
      </w:pPr>
    </w:p>
    <w:p w14:paraId="0282F085">
      <w:pPr>
        <w:rPr>
          <w:rFonts w:ascii="宋体" w:hAnsi="宋体" w:cs="宋体"/>
          <w:bCs/>
          <w:color w:val="auto"/>
          <w:szCs w:val="21"/>
          <w:highlight w:val="none"/>
        </w:rPr>
      </w:pPr>
    </w:p>
    <w:p w14:paraId="0E0BD541">
      <w:pPr>
        <w:pStyle w:val="32"/>
        <w:rPr>
          <w:rFonts w:ascii="宋体" w:hAnsi="宋体" w:cs="宋体"/>
          <w:bCs/>
          <w:color w:val="auto"/>
          <w:szCs w:val="21"/>
          <w:highlight w:val="none"/>
        </w:rPr>
      </w:pPr>
    </w:p>
    <w:p w14:paraId="3F925CA8">
      <w:pPr>
        <w:rPr>
          <w:rFonts w:ascii="宋体" w:hAnsi="宋体" w:cs="宋体"/>
          <w:bCs/>
          <w:color w:val="auto"/>
          <w:szCs w:val="21"/>
          <w:highlight w:val="none"/>
        </w:rPr>
      </w:pPr>
    </w:p>
    <w:p w14:paraId="6A02882C">
      <w:pPr>
        <w:pStyle w:val="32"/>
        <w:rPr>
          <w:rFonts w:ascii="宋体" w:hAnsi="宋体" w:cs="宋体"/>
          <w:bCs/>
          <w:color w:val="auto"/>
          <w:szCs w:val="21"/>
          <w:highlight w:val="none"/>
        </w:rPr>
      </w:pPr>
    </w:p>
    <w:p w14:paraId="59ACA689">
      <w:pPr>
        <w:rPr>
          <w:rFonts w:ascii="宋体" w:hAnsi="宋体" w:cs="宋体"/>
          <w:bCs/>
          <w:color w:val="auto"/>
          <w:szCs w:val="21"/>
          <w:highlight w:val="none"/>
        </w:rPr>
      </w:pPr>
    </w:p>
    <w:p w14:paraId="20BE1054">
      <w:pPr>
        <w:pStyle w:val="32"/>
        <w:rPr>
          <w:rFonts w:ascii="宋体" w:hAnsi="宋体" w:cs="宋体"/>
          <w:bCs/>
          <w:color w:val="auto"/>
          <w:szCs w:val="21"/>
          <w:highlight w:val="none"/>
        </w:rPr>
      </w:pPr>
    </w:p>
    <w:p w14:paraId="0DAE3D8A">
      <w:pPr>
        <w:rPr>
          <w:rFonts w:ascii="宋体" w:hAnsi="宋体" w:cs="宋体"/>
          <w:bCs/>
          <w:color w:val="auto"/>
          <w:szCs w:val="21"/>
          <w:highlight w:val="none"/>
        </w:rPr>
      </w:pPr>
    </w:p>
    <w:p w14:paraId="00FF5976">
      <w:pPr>
        <w:spacing w:line="440" w:lineRule="exact"/>
        <w:rPr>
          <w:rFonts w:ascii="宋体" w:hAnsi="宋体" w:cs="宋体"/>
          <w:color w:val="auto"/>
          <w:szCs w:val="21"/>
          <w:highlight w:val="none"/>
        </w:rPr>
      </w:pPr>
      <w:r>
        <w:rPr>
          <w:rFonts w:hint="eastAsia" w:ascii="宋体" w:hAnsi="宋体" w:cs="宋体"/>
          <w:bCs/>
          <w:color w:val="auto"/>
          <w:szCs w:val="21"/>
          <w:highlight w:val="none"/>
        </w:rPr>
        <w:t>附件1：</w:t>
      </w:r>
    </w:p>
    <w:p w14:paraId="43A0B0C5">
      <w:pPr>
        <w:widowControl/>
        <w:spacing w:line="440" w:lineRule="exact"/>
        <w:jc w:val="center"/>
        <w:rPr>
          <w:rFonts w:ascii="宋体" w:hAnsi="宋体" w:cs="宋体"/>
          <w:color w:val="auto"/>
          <w:kern w:val="0"/>
          <w:szCs w:val="21"/>
          <w:highlight w:val="none"/>
        </w:rPr>
      </w:pPr>
      <w:r>
        <w:rPr>
          <w:rFonts w:hint="eastAsia" w:ascii="宋体" w:hAnsi="宋体" w:cs="宋体"/>
          <w:b/>
          <w:bCs/>
          <w:color w:val="auto"/>
          <w:kern w:val="0"/>
          <w:szCs w:val="21"/>
          <w:highlight w:val="none"/>
        </w:rPr>
        <w:t>广西壮族自治区政府采购项目合同验收书（格式）</w:t>
      </w:r>
    </w:p>
    <w:p w14:paraId="01205B9F">
      <w:pPr>
        <w:widowControl/>
        <w:snapToGrid w:val="0"/>
        <w:spacing w:line="440" w:lineRule="exac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根据政府采购项目（</w:t>
      </w:r>
      <w:r>
        <w:rPr>
          <w:rFonts w:hint="eastAsia" w:ascii="宋体" w:hAnsi="宋体" w:cs="宋体"/>
          <w:color w:val="auto"/>
          <w:kern w:val="0"/>
          <w:szCs w:val="21"/>
          <w:highlight w:val="none"/>
          <w:u w:val="single"/>
        </w:rPr>
        <w:t>采购合同编号：</w:t>
      </w:r>
      <w:r>
        <w:rPr>
          <w:rFonts w:hint="eastAsia" w:ascii="宋体" w:hAnsi="宋体" w:cs="宋体"/>
          <w:color w:val="auto"/>
          <w:kern w:val="0"/>
          <w:szCs w:val="21"/>
          <w:highlight w:val="none"/>
          <w:u w:val="single"/>
        </w:rPr>
        <w:softHyphen/>
      </w:r>
      <w:r>
        <w:rPr>
          <w:rFonts w:hint="eastAsia" w:ascii="宋体" w:hAnsi="宋体" w:cs="宋体"/>
          <w:color w:val="auto"/>
          <w:kern w:val="0"/>
          <w:szCs w:val="21"/>
          <w:highlight w:val="none"/>
        </w:rPr>
        <w:t>）的约定，我单位对（</w:t>
      </w:r>
      <w:r>
        <w:rPr>
          <w:rFonts w:hint="eastAsia" w:ascii="宋体" w:hAnsi="宋体" w:cs="宋体"/>
          <w:color w:val="auto"/>
          <w:kern w:val="0"/>
          <w:szCs w:val="21"/>
          <w:highlight w:val="none"/>
          <w:u w:val="single"/>
        </w:rPr>
        <w:t xml:space="preserve"> 项目名称 </w:t>
      </w:r>
      <w:r>
        <w:rPr>
          <w:rFonts w:hint="eastAsia" w:ascii="宋体" w:hAnsi="宋体" w:cs="宋体"/>
          <w:color w:val="auto"/>
          <w:kern w:val="0"/>
          <w:szCs w:val="21"/>
          <w:highlight w:val="none"/>
        </w:rPr>
        <w:t>） 政府采购项目成交供应商（</w:t>
      </w:r>
      <w:r>
        <w:rPr>
          <w:rFonts w:hint="eastAsia" w:ascii="宋体" w:hAnsi="宋体" w:cs="宋体"/>
          <w:color w:val="auto"/>
          <w:kern w:val="0"/>
          <w:szCs w:val="21"/>
          <w:highlight w:val="none"/>
          <w:u w:val="single"/>
        </w:rPr>
        <w:t xml:space="preserve"> 公司名称 </w:t>
      </w:r>
      <w:r>
        <w:rPr>
          <w:rFonts w:hint="eastAsia" w:ascii="宋体" w:hAnsi="宋体" w:cs="宋体"/>
          <w:color w:val="auto"/>
          <w:kern w:val="0"/>
          <w:szCs w:val="21"/>
          <w:highlight w:val="none"/>
        </w:rPr>
        <w:t>） 提供的货物（或者工程、服务）进行了验收，验收情况如下：</w:t>
      </w:r>
    </w:p>
    <w:tbl>
      <w:tblPr>
        <w:tblStyle w:val="48"/>
        <w:tblW w:w="9121" w:type="dxa"/>
        <w:jc w:val="center"/>
        <w:tblLayout w:type="fixed"/>
        <w:tblCellMar>
          <w:top w:w="0" w:type="dxa"/>
          <w:left w:w="0" w:type="dxa"/>
          <w:bottom w:w="0" w:type="dxa"/>
          <w:right w:w="0" w:type="dxa"/>
        </w:tblCellMar>
      </w:tblPr>
      <w:tblGrid>
        <w:gridCol w:w="1197"/>
        <w:gridCol w:w="825"/>
        <w:gridCol w:w="1623"/>
        <w:gridCol w:w="798"/>
        <w:gridCol w:w="102"/>
        <w:gridCol w:w="2002"/>
        <w:gridCol w:w="178"/>
        <w:gridCol w:w="685"/>
        <w:gridCol w:w="1711"/>
      </w:tblGrid>
      <w:tr w14:paraId="418D3DE5">
        <w:tblPrEx>
          <w:tblCellMar>
            <w:top w:w="0" w:type="dxa"/>
            <w:left w:w="0" w:type="dxa"/>
            <w:bottom w:w="0" w:type="dxa"/>
            <w:right w:w="0" w:type="dxa"/>
          </w:tblCellMar>
        </w:tblPrEx>
        <w:trPr>
          <w:trHeight w:val="497" w:hRule="atLeast"/>
          <w:jc w:val="center"/>
        </w:trPr>
        <w:tc>
          <w:tcPr>
            <w:tcW w:w="3645" w:type="dxa"/>
            <w:gridSpan w:val="3"/>
            <w:tcBorders>
              <w:top w:val="single" w:color="auto" w:sz="8" w:space="0"/>
              <w:left w:val="single" w:color="auto" w:sz="8" w:space="0"/>
              <w:bottom w:val="single" w:color="auto" w:sz="8" w:space="0"/>
              <w:right w:val="single" w:color="auto" w:sz="8" w:space="0"/>
            </w:tcBorders>
            <w:vAlign w:val="center"/>
          </w:tcPr>
          <w:p w14:paraId="3ACE484F">
            <w:pPr>
              <w:widowControl/>
              <w:snapToGrid w:val="0"/>
              <w:spacing w:before="100" w:beforeAutospacing="1" w:after="100" w:afterAutospacing="1" w:line="440" w:lineRule="exact"/>
              <w:ind w:firstLine="5"/>
              <w:jc w:val="center"/>
              <w:rPr>
                <w:rFonts w:ascii="宋体" w:hAnsi="宋体" w:cs="宋体"/>
                <w:color w:val="auto"/>
                <w:kern w:val="0"/>
                <w:szCs w:val="21"/>
                <w:highlight w:val="none"/>
              </w:rPr>
            </w:pPr>
            <w:r>
              <w:rPr>
                <w:rFonts w:hint="eastAsia" w:ascii="宋体" w:hAnsi="宋体" w:cs="宋体"/>
                <w:color w:val="auto"/>
                <w:kern w:val="0"/>
                <w:szCs w:val="21"/>
                <w:highlight w:val="none"/>
              </w:rPr>
              <w:t>验收方式：</w:t>
            </w:r>
          </w:p>
        </w:tc>
        <w:tc>
          <w:tcPr>
            <w:tcW w:w="5476" w:type="dxa"/>
            <w:gridSpan w:val="6"/>
            <w:tcBorders>
              <w:top w:val="single" w:color="auto" w:sz="8" w:space="0"/>
              <w:left w:val="nil"/>
              <w:bottom w:val="single" w:color="auto" w:sz="8" w:space="0"/>
              <w:right w:val="single" w:color="auto" w:sz="8" w:space="0"/>
            </w:tcBorders>
            <w:vAlign w:val="center"/>
          </w:tcPr>
          <w:p w14:paraId="0AA733EE">
            <w:pPr>
              <w:widowControl/>
              <w:snapToGrid w:val="0"/>
              <w:spacing w:before="100" w:beforeAutospacing="1" w:after="100" w:afterAutospacing="1" w:line="4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□自行验收 □委托验收</w:t>
            </w:r>
          </w:p>
        </w:tc>
      </w:tr>
      <w:tr w14:paraId="4049A24D">
        <w:tblPrEx>
          <w:tblCellMar>
            <w:top w:w="0" w:type="dxa"/>
            <w:left w:w="0" w:type="dxa"/>
            <w:bottom w:w="0" w:type="dxa"/>
            <w:right w:w="0" w:type="dxa"/>
          </w:tblCellMar>
        </w:tblPrEx>
        <w:trPr>
          <w:trHeight w:val="622" w:hRule="atLeast"/>
          <w:jc w:val="center"/>
        </w:trPr>
        <w:tc>
          <w:tcPr>
            <w:tcW w:w="1197" w:type="dxa"/>
            <w:tcBorders>
              <w:top w:val="nil"/>
              <w:left w:val="single" w:color="auto" w:sz="8" w:space="0"/>
              <w:bottom w:val="single" w:color="auto" w:sz="8" w:space="0"/>
              <w:right w:val="single" w:color="auto" w:sz="8" w:space="0"/>
            </w:tcBorders>
            <w:vAlign w:val="center"/>
          </w:tcPr>
          <w:p w14:paraId="7C7FB476">
            <w:pPr>
              <w:widowControl/>
              <w:snapToGrid w:val="0"/>
              <w:spacing w:before="100" w:beforeAutospacing="1" w:after="100" w:afterAutospacing="1" w:line="440" w:lineRule="exact"/>
              <w:ind w:firstLine="2"/>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2448" w:type="dxa"/>
            <w:gridSpan w:val="2"/>
            <w:tcBorders>
              <w:top w:val="nil"/>
              <w:left w:val="nil"/>
              <w:bottom w:val="single" w:color="auto" w:sz="8" w:space="0"/>
              <w:right w:val="single" w:color="auto" w:sz="8" w:space="0"/>
            </w:tcBorders>
            <w:vAlign w:val="center"/>
          </w:tcPr>
          <w:p w14:paraId="74B67E17">
            <w:pPr>
              <w:widowControl/>
              <w:snapToGrid w:val="0"/>
              <w:spacing w:before="100" w:beforeAutospacing="1" w:after="100" w:afterAutospacing="1" w:line="440" w:lineRule="exact"/>
              <w:ind w:firstLine="2"/>
              <w:jc w:val="center"/>
              <w:rPr>
                <w:rFonts w:ascii="宋体" w:hAnsi="宋体" w:cs="宋体"/>
                <w:color w:val="auto"/>
                <w:kern w:val="0"/>
                <w:szCs w:val="21"/>
                <w:highlight w:val="none"/>
              </w:rPr>
            </w:pPr>
            <w:r>
              <w:rPr>
                <w:rFonts w:hint="eastAsia" w:ascii="宋体" w:hAnsi="宋体" w:cs="宋体"/>
                <w:color w:val="auto"/>
                <w:kern w:val="0"/>
                <w:szCs w:val="21"/>
                <w:highlight w:val="none"/>
              </w:rPr>
              <w:t>名称</w:t>
            </w:r>
          </w:p>
        </w:tc>
        <w:tc>
          <w:tcPr>
            <w:tcW w:w="2902" w:type="dxa"/>
            <w:gridSpan w:val="3"/>
            <w:tcBorders>
              <w:top w:val="nil"/>
              <w:left w:val="nil"/>
              <w:bottom w:val="single" w:color="auto" w:sz="8" w:space="0"/>
              <w:right w:val="single" w:color="auto" w:sz="8" w:space="0"/>
            </w:tcBorders>
            <w:vAlign w:val="center"/>
          </w:tcPr>
          <w:p w14:paraId="54CC6629">
            <w:pPr>
              <w:widowControl/>
              <w:snapToGrid w:val="0"/>
              <w:spacing w:before="100" w:beforeAutospacing="1" w:after="100" w:afterAutospacing="1" w:line="440" w:lineRule="exact"/>
              <w:ind w:firstLine="2"/>
              <w:jc w:val="center"/>
              <w:rPr>
                <w:rFonts w:ascii="宋体" w:hAnsi="宋体" w:cs="宋体"/>
                <w:color w:val="auto"/>
                <w:kern w:val="0"/>
                <w:szCs w:val="21"/>
                <w:highlight w:val="none"/>
              </w:rPr>
            </w:pPr>
            <w:r>
              <w:rPr>
                <w:rFonts w:hint="eastAsia" w:ascii="宋体" w:hAnsi="宋体" w:cs="宋体"/>
                <w:color w:val="auto"/>
                <w:kern w:val="0"/>
                <w:szCs w:val="21"/>
                <w:highlight w:val="none"/>
              </w:rPr>
              <w:t>货物型号规格、标准及配置等（或者服务内容、标准）</w:t>
            </w:r>
          </w:p>
        </w:tc>
        <w:tc>
          <w:tcPr>
            <w:tcW w:w="863" w:type="dxa"/>
            <w:gridSpan w:val="2"/>
            <w:tcBorders>
              <w:top w:val="nil"/>
              <w:left w:val="nil"/>
              <w:bottom w:val="single" w:color="auto" w:sz="8" w:space="0"/>
              <w:right w:val="single" w:color="auto" w:sz="8" w:space="0"/>
            </w:tcBorders>
            <w:vAlign w:val="center"/>
          </w:tcPr>
          <w:p w14:paraId="0A001B63">
            <w:pPr>
              <w:widowControl/>
              <w:snapToGrid w:val="0"/>
              <w:spacing w:before="100" w:beforeAutospacing="1" w:after="100" w:afterAutospacing="1" w:line="4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数量</w:t>
            </w:r>
          </w:p>
        </w:tc>
        <w:tc>
          <w:tcPr>
            <w:tcW w:w="1711" w:type="dxa"/>
            <w:tcBorders>
              <w:top w:val="nil"/>
              <w:left w:val="nil"/>
              <w:bottom w:val="single" w:color="auto" w:sz="8" w:space="0"/>
              <w:right w:val="single" w:color="auto" w:sz="8" w:space="0"/>
            </w:tcBorders>
            <w:vAlign w:val="center"/>
          </w:tcPr>
          <w:p w14:paraId="7CBC40AE">
            <w:pPr>
              <w:widowControl/>
              <w:snapToGrid w:val="0"/>
              <w:spacing w:before="100" w:beforeAutospacing="1" w:after="100" w:afterAutospacing="1" w:line="440" w:lineRule="exact"/>
              <w:ind w:firstLine="2"/>
              <w:jc w:val="center"/>
              <w:rPr>
                <w:rFonts w:ascii="宋体" w:hAnsi="宋体" w:cs="宋体"/>
                <w:color w:val="auto"/>
                <w:kern w:val="0"/>
                <w:szCs w:val="21"/>
                <w:highlight w:val="none"/>
              </w:rPr>
            </w:pPr>
            <w:r>
              <w:rPr>
                <w:rFonts w:hint="eastAsia" w:ascii="宋体" w:hAnsi="宋体" w:cs="宋体"/>
                <w:color w:val="auto"/>
                <w:kern w:val="0"/>
                <w:szCs w:val="21"/>
                <w:highlight w:val="none"/>
              </w:rPr>
              <w:t>金额</w:t>
            </w:r>
          </w:p>
        </w:tc>
      </w:tr>
      <w:tr w14:paraId="4B82F3B6">
        <w:tblPrEx>
          <w:tblCellMar>
            <w:top w:w="0" w:type="dxa"/>
            <w:left w:w="0" w:type="dxa"/>
            <w:bottom w:w="0" w:type="dxa"/>
            <w:right w:w="0" w:type="dxa"/>
          </w:tblCellMar>
        </w:tblPrEx>
        <w:trPr>
          <w:trHeight w:val="487" w:hRule="atLeast"/>
          <w:jc w:val="center"/>
        </w:trPr>
        <w:tc>
          <w:tcPr>
            <w:tcW w:w="1197" w:type="dxa"/>
            <w:tcBorders>
              <w:top w:val="nil"/>
              <w:left w:val="single" w:color="auto" w:sz="8" w:space="0"/>
              <w:bottom w:val="single" w:color="auto" w:sz="8" w:space="0"/>
              <w:right w:val="single" w:color="auto" w:sz="8" w:space="0"/>
            </w:tcBorders>
            <w:vAlign w:val="center"/>
          </w:tcPr>
          <w:p w14:paraId="308E741A">
            <w:pPr>
              <w:widowControl/>
              <w:spacing w:before="100" w:beforeAutospacing="1" w:after="100" w:afterAutospacing="1" w:line="440" w:lineRule="exact"/>
              <w:jc w:val="center"/>
              <w:rPr>
                <w:rFonts w:ascii="宋体" w:hAnsi="宋体" w:cs="宋体"/>
                <w:color w:val="auto"/>
                <w:kern w:val="0"/>
                <w:szCs w:val="21"/>
                <w:highlight w:val="none"/>
              </w:rPr>
            </w:pPr>
          </w:p>
        </w:tc>
        <w:tc>
          <w:tcPr>
            <w:tcW w:w="2448" w:type="dxa"/>
            <w:gridSpan w:val="2"/>
            <w:tcBorders>
              <w:top w:val="nil"/>
              <w:left w:val="nil"/>
              <w:bottom w:val="single" w:color="auto" w:sz="8" w:space="0"/>
              <w:right w:val="single" w:color="auto" w:sz="8" w:space="0"/>
            </w:tcBorders>
            <w:vAlign w:val="center"/>
          </w:tcPr>
          <w:p w14:paraId="6F3A396F">
            <w:pPr>
              <w:widowControl/>
              <w:spacing w:before="100" w:beforeAutospacing="1" w:after="100" w:afterAutospacing="1" w:line="440" w:lineRule="exact"/>
              <w:jc w:val="center"/>
              <w:rPr>
                <w:rFonts w:ascii="宋体" w:hAnsi="宋体" w:cs="宋体"/>
                <w:color w:val="auto"/>
                <w:kern w:val="0"/>
                <w:szCs w:val="21"/>
                <w:highlight w:val="none"/>
              </w:rPr>
            </w:pPr>
          </w:p>
        </w:tc>
        <w:tc>
          <w:tcPr>
            <w:tcW w:w="2902" w:type="dxa"/>
            <w:gridSpan w:val="3"/>
            <w:tcBorders>
              <w:top w:val="nil"/>
              <w:left w:val="nil"/>
              <w:bottom w:val="single" w:color="auto" w:sz="8" w:space="0"/>
              <w:right w:val="single" w:color="auto" w:sz="8" w:space="0"/>
            </w:tcBorders>
            <w:vAlign w:val="center"/>
          </w:tcPr>
          <w:p w14:paraId="206F19FB">
            <w:pPr>
              <w:widowControl/>
              <w:spacing w:before="100" w:beforeAutospacing="1" w:after="100" w:afterAutospacing="1" w:line="440" w:lineRule="exact"/>
              <w:jc w:val="center"/>
              <w:rPr>
                <w:rFonts w:ascii="宋体" w:hAnsi="宋体" w:cs="宋体"/>
                <w:color w:val="auto"/>
                <w:kern w:val="0"/>
                <w:szCs w:val="21"/>
                <w:highlight w:val="none"/>
              </w:rPr>
            </w:pPr>
          </w:p>
        </w:tc>
        <w:tc>
          <w:tcPr>
            <w:tcW w:w="863" w:type="dxa"/>
            <w:gridSpan w:val="2"/>
            <w:tcBorders>
              <w:top w:val="nil"/>
              <w:left w:val="nil"/>
              <w:bottom w:val="single" w:color="auto" w:sz="8" w:space="0"/>
              <w:right w:val="single" w:color="auto" w:sz="8" w:space="0"/>
            </w:tcBorders>
            <w:vAlign w:val="center"/>
          </w:tcPr>
          <w:p w14:paraId="5FC33E20">
            <w:pPr>
              <w:widowControl/>
              <w:spacing w:before="100" w:beforeAutospacing="1" w:after="100" w:afterAutospacing="1" w:line="440" w:lineRule="exact"/>
              <w:jc w:val="center"/>
              <w:rPr>
                <w:rFonts w:ascii="宋体" w:hAnsi="宋体" w:cs="宋体"/>
                <w:color w:val="auto"/>
                <w:kern w:val="0"/>
                <w:szCs w:val="21"/>
                <w:highlight w:val="none"/>
              </w:rPr>
            </w:pPr>
          </w:p>
        </w:tc>
        <w:tc>
          <w:tcPr>
            <w:tcW w:w="1711" w:type="dxa"/>
            <w:tcBorders>
              <w:top w:val="nil"/>
              <w:left w:val="nil"/>
              <w:bottom w:val="single" w:color="auto" w:sz="8" w:space="0"/>
              <w:right w:val="single" w:color="auto" w:sz="8" w:space="0"/>
            </w:tcBorders>
            <w:vAlign w:val="center"/>
          </w:tcPr>
          <w:p w14:paraId="7226471D">
            <w:pPr>
              <w:widowControl/>
              <w:spacing w:before="100" w:beforeAutospacing="1" w:after="100" w:afterAutospacing="1" w:line="440" w:lineRule="exact"/>
              <w:jc w:val="center"/>
              <w:rPr>
                <w:rFonts w:ascii="宋体" w:hAnsi="宋体" w:cs="宋体"/>
                <w:color w:val="auto"/>
                <w:kern w:val="0"/>
                <w:szCs w:val="21"/>
                <w:highlight w:val="none"/>
              </w:rPr>
            </w:pPr>
          </w:p>
        </w:tc>
      </w:tr>
      <w:tr w14:paraId="79BF34C4">
        <w:tblPrEx>
          <w:tblCellMar>
            <w:top w:w="0" w:type="dxa"/>
            <w:left w:w="0" w:type="dxa"/>
            <w:bottom w:w="0" w:type="dxa"/>
            <w:right w:w="0" w:type="dxa"/>
          </w:tblCellMar>
        </w:tblPrEx>
        <w:trPr>
          <w:trHeight w:val="487" w:hRule="atLeast"/>
          <w:jc w:val="center"/>
        </w:trPr>
        <w:tc>
          <w:tcPr>
            <w:tcW w:w="1197" w:type="dxa"/>
            <w:tcBorders>
              <w:top w:val="nil"/>
              <w:left w:val="single" w:color="auto" w:sz="8" w:space="0"/>
              <w:bottom w:val="single" w:color="auto" w:sz="8" w:space="0"/>
              <w:right w:val="single" w:color="auto" w:sz="8" w:space="0"/>
            </w:tcBorders>
            <w:vAlign w:val="center"/>
          </w:tcPr>
          <w:p w14:paraId="47E03A2F">
            <w:pPr>
              <w:widowControl/>
              <w:spacing w:before="100" w:beforeAutospacing="1" w:after="100" w:afterAutospacing="1" w:line="440" w:lineRule="exact"/>
              <w:jc w:val="center"/>
              <w:rPr>
                <w:rFonts w:ascii="宋体" w:hAnsi="宋体" w:cs="宋体"/>
                <w:color w:val="auto"/>
                <w:kern w:val="0"/>
                <w:szCs w:val="21"/>
                <w:highlight w:val="none"/>
              </w:rPr>
            </w:pPr>
          </w:p>
        </w:tc>
        <w:tc>
          <w:tcPr>
            <w:tcW w:w="2448" w:type="dxa"/>
            <w:gridSpan w:val="2"/>
            <w:tcBorders>
              <w:top w:val="nil"/>
              <w:left w:val="nil"/>
              <w:bottom w:val="single" w:color="auto" w:sz="8" w:space="0"/>
              <w:right w:val="single" w:color="auto" w:sz="8" w:space="0"/>
            </w:tcBorders>
            <w:vAlign w:val="center"/>
          </w:tcPr>
          <w:p w14:paraId="13C51775">
            <w:pPr>
              <w:widowControl/>
              <w:spacing w:before="100" w:beforeAutospacing="1" w:after="100" w:afterAutospacing="1" w:line="440" w:lineRule="exact"/>
              <w:jc w:val="center"/>
              <w:rPr>
                <w:rFonts w:ascii="宋体" w:hAnsi="宋体" w:cs="宋体"/>
                <w:color w:val="auto"/>
                <w:kern w:val="0"/>
                <w:szCs w:val="21"/>
                <w:highlight w:val="none"/>
              </w:rPr>
            </w:pPr>
          </w:p>
        </w:tc>
        <w:tc>
          <w:tcPr>
            <w:tcW w:w="2902" w:type="dxa"/>
            <w:gridSpan w:val="3"/>
            <w:tcBorders>
              <w:top w:val="nil"/>
              <w:left w:val="nil"/>
              <w:bottom w:val="single" w:color="auto" w:sz="8" w:space="0"/>
              <w:right w:val="single" w:color="auto" w:sz="8" w:space="0"/>
            </w:tcBorders>
            <w:vAlign w:val="center"/>
          </w:tcPr>
          <w:p w14:paraId="5C86330D">
            <w:pPr>
              <w:widowControl/>
              <w:spacing w:before="100" w:beforeAutospacing="1" w:after="100" w:afterAutospacing="1" w:line="440" w:lineRule="exact"/>
              <w:jc w:val="center"/>
              <w:rPr>
                <w:rFonts w:ascii="宋体" w:hAnsi="宋体" w:cs="宋体"/>
                <w:color w:val="auto"/>
                <w:kern w:val="0"/>
                <w:szCs w:val="21"/>
                <w:highlight w:val="none"/>
              </w:rPr>
            </w:pPr>
          </w:p>
        </w:tc>
        <w:tc>
          <w:tcPr>
            <w:tcW w:w="863" w:type="dxa"/>
            <w:gridSpan w:val="2"/>
            <w:tcBorders>
              <w:top w:val="nil"/>
              <w:left w:val="nil"/>
              <w:bottom w:val="single" w:color="auto" w:sz="8" w:space="0"/>
              <w:right w:val="single" w:color="auto" w:sz="8" w:space="0"/>
            </w:tcBorders>
            <w:vAlign w:val="center"/>
          </w:tcPr>
          <w:p w14:paraId="668F7A6D">
            <w:pPr>
              <w:widowControl/>
              <w:spacing w:before="100" w:beforeAutospacing="1" w:after="100" w:afterAutospacing="1" w:line="440" w:lineRule="exact"/>
              <w:jc w:val="center"/>
              <w:rPr>
                <w:rFonts w:ascii="宋体" w:hAnsi="宋体" w:cs="宋体"/>
                <w:color w:val="auto"/>
                <w:kern w:val="0"/>
                <w:szCs w:val="21"/>
                <w:highlight w:val="none"/>
              </w:rPr>
            </w:pPr>
          </w:p>
        </w:tc>
        <w:tc>
          <w:tcPr>
            <w:tcW w:w="1711" w:type="dxa"/>
            <w:tcBorders>
              <w:top w:val="nil"/>
              <w:left w:val="nil"/>
              <w:bottom w:val="single" w:color="auto" w:sz="8" w:space="0"/>
              <w:right w:val="single" w:color="auto" w:sz="8" w:space="0"/>
            </w:tcBorders>
            <w:vAlign w:val="center"/>
          </w:tcPr>
          <w:p w14:paraId="5AD68116">
            <w:pPr>
              <w:widowControl/>
              <w:spacing w:before="100" w:beforeAutospacing="1" w:after="100" w:afterAutospacing="1" w:line="440" w:lineRule="exact"/>
              <w:jc w:val="center"/>
              <w:rPr>
                <w:rFonts w:ascii="宋体" w:hAnsi="宋体" w:cs="宋体"/>
                <w:color w:val="auto"/>
                <w:kern w:val="0"/>
                <w:szCs w:val="21"/>
                <w:highlight w:val="none"/>
              </w:rPr>
            </w:pPr>
          </w:p>
        </w:tc>
      </w:tr>
      <w:tr w14:paraId="72855EC3">
        <w:tblPrEx>
          <w:tblCellMar>
            <w:top w:w="0" w:type="dxa"/>
            <w:left w:w="0" w:type="dxa"/>
            <w:bottom w:w="0" w:type="dxa"/>
            <w:right w:w="0" w:type="dxa"/>
          </w:tblCellMar>
        </w:tblPrEx>
        <w:trPr>
          <w:trHeight w:val="487" w:hRule="atLeast"/>
          <w:jc w:val="center"/>
        </w:trPr>
        <w:tc>
          <w:tcPr>
            <w:tcW w:w="6547" w:type="dxa"/>
            <w:gridSpan w:val="6"/>
            <w:tcBorders>
              <w:top w:val="nil"/>
              <w:left w:val="single" w:color="auto" w:sz="8" w:space="0"/>
              <w:bottom w:val="single" w:color="auto" w:sz="8" w:space="0"/>
              <w:right w:val="single" w:color="auto" w:sz="8" w:space="0"/>
            </w:tcBorders>
            <w:vAlign w:val="center"/>
          </w:tcPr>
          <w:p w14:paraId="2F58099C">
            <w:pPr>
              <w:widowControl/>
              <w:snapToGrid w:val="0"/>
              <w:spacing w:before="100" w:beforeAutospacing="1" w:after="100" w:afterAutospacing="1" w:line="440" w:lineRule="exact"/>
              <w:ind w:firstLine="5"/>
              <w:jc w:val="center"/>
              <w:rPr>
                <w:rFonts w:ascii="宋体" w:hAnsi="宋体" w:cs="宋体"/>
                <w:color w:val="auto"/>
                <w:kern w:val="0"/>
                <w:szCs w:val="21"/>
                <w:highlight w:val="none"/>
              </w:rPr>
            </w:pPr>
            <w:r>
              <w:rPr>
                <w:rFonts w:hint="eastAsia" w:ascii="宋体" w:hAnsi="宋体" w:cs="宋体"/>
                <w:color w:val="auto"/>
                <w:kern w:val="0"/>
                <w:szCs w:val="21"/>
                <w:highlight w:val="none"/>
              </w:rPr>
              <w:t>合 计</w:t>
            </w:r>
          </w:p>
        </w:tc>
        <w:tc>
          <w:tcPr>
            <w:tcW w:w="863" w:type="dxa"/>
            <w:gridSpan w:val="2"/>
            <w:tcBorders>
              <w:top w:val="nil"/>
              <w:left w:val="nil"/>
              <w:bottom w:val="single" w:color="auto" w:sz="8" w:space="0"/>
              <w:right w:val="single" w:color="auto" w:sz="8" w:space="0"/>
            </w:tcBorders>
            <w:vAlign w:val="center"/>
          </w:tcPr>
          <w:p w14:paraId="555177A5">
            <w:pPr>
              <w:widowControl/>
              <w:spacing w:before="100" w:beforeAutospacing="1" w:after="100" w:afterAutospacing="1" w:line="440" w:lineRule="exact"/>
              <w:jc w:val="center"/>
              <w:rPr>
                <w:rFonts w:ascii="宋体" w:hAnsi="宋体" w:cs="宋体"/>
                <w:color w:val="auto"/>
                <w:kern w:val="0"/>
                <w:szCs w:val="21"/>
                <w:highlight w:val="none"/>
              </w:rPr>
            </w:pPr>
          </w:p>
        </w:tc>
        <w:tc>
          <w:tcPr>
            <w:tcW w:w="1711" w:type="dxa"/>
            <w:tcBorders>
              <w:top w:val="nil"/>
              <w:left w:val="nil"/>
              <w:bottom w:val="single" w:color="auto" w:sz="8" w:space="0"/>
              <w:right w:val="single" w:color="auto" w:sz="8" w:space="0"/>
            </w:tcBorders>
            <w:vAlign w:val="center"/>
          </w:tcPr>
          <w:p w14:paraId="71449111">
            <w:pPr>
              <w:widowControl/>
              <w:spacing w:before="100" w:beforeAutospacing="1" w:after="100" w:afterAutospacing="1" w:line="440" w:lineRule="exact"/>
              <w:jc w:val="center"/>
              <w:rPr>
                <w:rFonts w:ascii="宋体" w:hAnsi="宋体" w:cs="宋体"/>
                <w:color w:val="auto"/>
                <w:kern w:val="0"/>
                <w:szCs w:val="21"/>
                <w:highlight w:val="none"/>
              </w:rPr>
            </w:pPr>
          </w:p>
        </w:tc>
      </w:tr>
      <w:tr w14:paraId="5AD80DD9">
        <w:tblPrEx>
          <w:tblCellMar>
            <w:top w:w="0" w:type="dxa"/>
            <w:left w:w="0" w:type="dxa"/>
            <w:bottom w:w="0" w:type="dxa"/>
            <w:right w:w="0" w:type="dxa"/>
          </w:tblCellMar>
        </w:tblPrEx>
        <w:trPr>
          <w:trHeight w:val="641" w:hRule="atLeast"/>
          <w:jc w:val="center"/>
        </w:trPr>
        <w:tc>
          <w:tcPr>
            <w:tcW w:w="9121" w:type="dxa"/>
            <w:gridSpan w:val="9"/>
            <w:tcBorders>
              <w:top w:val="nil"/>
              <w:left w:val="single" w:color="auto" w:sz="8" w:space="0"/>
              <w:bottom w:val="single" w:color="auto" w:sz="8" w:space="0"/>
              <w:right w:val="single" w:color="auto" w:sz="8" w:space="0"/>
            </w:tcBorders>
            <w:vAlign w:val="center"/>
          </w:tcPr>
          <w:p w14:paraId="796D7CC7">
            <w:pPr>
              <w:widowControl/>
              <w:snapToGrid w:val="0"/>
              <w:spacing w:before="100" w:beforeAutospacing="1" w:after="100" w:afterAutospacing="1" w:line="440" w:lineRule="exact"/>
              <w:ind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合计大写金额：  仟  佰  拾  万  仟  佰  拾  元</w:t>
            </w:r>
          </w:p>
        </w:tc>
      </w:tr>
      <w:tr w14:paraId="373F8A0C">
        <w:tblPrEx>
          <w:tblCellMar>
            <w:top w:w="0" w:type="dxa"/>
            <w:left w:w="0" w:type="dxa"/>
            <w:bottom w:w="0" w:type="dxa"/>
            <w:right w:w="0" w:type="dxa"/>
          </w:tblCellMar>
        </w:tblPrEx>
        <w:trPr>
          <w:trHeight w:val="641" w:hRule="atLeast"/>
          <w:jc w:val="center"/>
        </w:trPr>
        <w:tc>
          <w:tcPr>
            <w:tcW w:w="2022" w:type="dxa"/>
            <w:gridSpan w:val="2"/>
            <w:tcBorders>
              <w:top w:val="nil"/>
              <w:left w:val="single" w:color="auto" w:sz="8" w:space="0"/>
              <w:bottom w:val="single" w:color="auto" w:sz="8" w:space="0"/>
              <w:right w:val="single" w:color="auto" w:sz="8" w:space="0"/>
            </w:tcBorders>
            <w:vAlign w:val="center"/>
          </w:tcPr>
          <w:p w14:paraId="40F499BB">
            <w:pPr>
              <w:widowControl/>
              <w:snapToGrid w:val="0"/>
              <w:spacing w:before="100" w:beforeAutospacing="1" w:after="100" w:afterAutospacing="1" w:line="440" w:lineRule="exact"/>
              <w:ind w:firstLine="2"/>
              <w:jc w:val="center"/>
              <w:rPr>
                <w:rFonts w:ascii="宋体" w:hAnsi="宋体" w:cs="宋体"/>
                <w:color w:val="auto"/>
                <w:kern w:val="0"/>
                <w:szCs w:val="21"/>
                <w:highlight w:val="none"/>
              </w:rPr>
            </w:pPr>
            <w:r>
              <w:rPr>
                <w:rFonts w:hint="eastAsia" w:ascii="宋体" w:hAnsi="宋体" w:cs="宋体"/>
                <w:color w:val="auto"/>
                <w:kern w:val="0"/>
                <w:szCs w:val="21"/>
                <w:highlight w:val="none"/>
              </w:rPr>
              <w:t>实际供货日期</w:t>
            </w:r>
          </w:p>
        </w:tc>
        <w:tc>
          <w:tcPr>
            <w:tcW w:w="2421" w:type="dxa"/>
            <w:gridSpan w:val="2"/>
            <w:tcBorders>
              <w:top w:val="nil"/>
              <w:left w:val="nil"/>
              <w:bottom w:val="single" w:color="auto" w:sz="8" w:space="0"/>
              <w:right w:val="single" w:color="auto" w:sz="8" w:space="0"/>
            </w:tcBorders>
            <w:vAlign w:val="center"/>
          </w:tcPr>
          <w:p w14:paraId="1C1AA45F">
            <w:pPr>
              <w:widowControl/>
              <w:spacing w:before="100" w:beforeAutospacing="1" w:after="100" w:afterAutospacing="1" w:line="440" w:lineRule="exact"/>
              <w:jc w:val="center"/>
              <w:rPr>
                <w:rFonts w:ascii="宋体" w:hAnsi="宋体" w:cs="宋体"/>
                <w:color w:val="auto"/>
                <w:kern w:val="0"/>
                <w:szCs w:val="21"/>
                <w:highlight w:val="none"/>
              </w:rPr>
            </w:pPr>
          </w:p>
        </w:tc>
        <w:tc>
          <w:tcPr>
            <w:tcW w:w="2282" w:type="dxa"/>
            <w:gridSpan w:val="3"/>
            <w:tcBorders>
              <w:top w:val="nil"/>
              <w:left w:val="nil"/>
              <w:bottom w:val="single" w:color="auto" w:sz="8" w:space="0"/>
              <w:right w:val="single" w:color="auto" w:sz="8" w:space="0"/>
            </w:tcBorders>
            <w:vAlign w:val="center"/>
          </w:tcPr>
          <w:p w14:paraId="0D7FDDB5">
            <w:pPr>
              <w:widowControl/>
              <w:snapToGrid w:val="0"/>
              <w:spacing w:before="100" w:beforeAutospacing="1" w:after="100" w:afterAutospacing="1" w:line="440" w:lineRule="exact"/>
              <w:ind w:firstLine="46"/>
              <w:jc w:val="center"/>
              <w:rPr>
                <w:rFonts w:ascii="宋体" w:hAnsi="宋体" w:cs="宋体"/>
                <w:color w:val="auto"/>
                <w:kern w:val="0"/>
                <w:szCs w:val="21"/>
                <w:highlight w:val="none"/>
              </w:rPr>
            </w:pPr>
            <w:r>
              <w:rPr>
                <w:rFonts w:hint="eastAsia" w:ascii="宋体" w:hAnsi="宋体" w:cs="宋体"/>
                <w:color w:val="auto"/>
                <w:kern w:val="0"/>
                <w:szCs w:val="21"/>
                <w:highlight w:val="none"/>
              </w:rPr>
              <w:t>合同交货验收日期</w:t>
            </w:r>
          </w:p>
        </w:tc>
        <w:tc>
          <w:tcPr>
            <w:tcW w:w="2396" w:type="dxa"/>
            <w:gridSpan w:val="2"/>
            <w:tcBorders>
              <w:top w:val="nil"/>
              <w:left w:val="nil"/>
              <w:bottom w:val="single" w:color="auto" w:sz="8" w:space="0"/>
              <w:right w:val="single" w:color="auto" w:sz="8" w:space="0"/>
            </w:tcBorders>
            <w:vAlign w:val="center"/>
          </w:tcPr>
          <w:p w14:paraId="68123AA1">
            <w:pPr>
              <w:widowControl/>
              <w:spacing w:before="100" w:beforeAutospacing="1" w:after="100" w:afterAutospacing="1" w:line="440" w:lineRule="exact"/>
              <w:jc w:val="center"/>
              <w:rPr>
                <w:rFonts w:ascii="宋体" w:hAnsi="宋体" w:cs="宋体"/>
                <w:color w:val="auto"/>
                <w:kern w:val="0"/>
                <w:szCs w:val="21"/>
                <w:highlight w:val="none"/>
              </w:rPr>
            </w:pPr>
          </w:p>
        </w:tc>
      </w:tr>
      <w:tr w14:paraId="1ECE5EBC">
        <w:tblPrEx>
          <w:tblCellMar>
            <w:top w:w="0" w:type="dxa"/>
            <w:left w:w="0" w:type="dxa"/>
            <w:bottom w:w="0" w:type="dxa"/>
            <w:right w:w="0" w:type="dxa"/>
          </w:tblCellMar>
        </w:tblPrEx>
        <w:trPr>
          <w:trHeight w:val="693" w:hRule="atLeast"/>
          <w:jc w:val="center"/>
        </w:trPr>
        <w:tc>
          <w:tcPr>
            <w:tcW w:w="2022"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9CB7D79">
            <w:pPr>
              <w:widowControl/>
              <w:snapToGrid w:val="0"/>
              <w:spacing w:before="100" w:beforeAutospacing="1" w:after="100" w:afterAutospacing="1"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验收具体内容</w:t>
            </w:r>
          </w:p>
        </w:tc>
        <w:tc>
          <w:tcPr>
            <w:tcW w:w="7099" w:type="dxa"/>
            <w:gridSpan w:val="7"/>
            <w:tcBorders>
              <w:top w:val="nil"/>
              <w:left w:val="nil"/>
              <w:bottom w:val="single" w:color="auto" w:sz="8" w:space="0"/>
              <w:right w:val="single" w:color="auto" w:sz="8" w:space="0"/>
            </w:tcBorders>
            <w:tcMar>
              <w:top w:w="0" w:type="dxa"/>
              <w:left w:w="108" w:type="dxa"/>
              <w:bottom w:w="0" w:type="dxa"/>
              <w:right w:w="108" w:type="dxa"/>
            </w:tcMar>
            <w:vAlign w:val="center"/>
          </w:tcPr>
          <w:p w14:paraId="349F34DE">
            <w:pPr>
              <w:widowControl/>
              <w:snapToGrid w:val="0"/>
              <w:spacing w:before="100" w:beforeAutospacing="1" w:after="100" w:afterAutospacing="1"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应按采购合同、招标文件、投标文件及验收方案等进行验收；并核对成交供应商在安装调试等方面是否违反合同约定或者服务规范要求、提供的质量保证证明材料是否齐全、应有的配件及附件是否达到合同约定等。可附件)</w:t>
            </w:r>
          </w:p>
        </w:tc>
      </w:tr>
      <w:tr w14:paraId="4C10E399">
        <w:tblPrEx>
          <w:tblCellMar>
            <w:top w:w="0" w:type="dxa"/>
            <w:left w:w="0" w:type="dxa"/>
            <w:bottom w:w="0" w:type="dxa"/>
            <w:right w:w="0" w:type="dxa"/>
          </w:tblCellMar>
        </w:tblPrEx>
        <w:trPr>
          <w:trHeight w:val="798" w:hRule="atLeast"/>
          <w:jc w:val="center"/>
        </w:trPr>
        <w:tc>
          <w:tcPr>
            <w:tcW w:w="2022" w:type="dxa"/>
            <w:gridSpan w:val="2"/>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3D5DBB5">
            <w:pPr>
              <w:widowControl/>
              <w:spacing w:before="100" w:beforeAutospacing="1" w:after="100" w:afterAutospacing="1"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验收小组意见</w:t>
            </w:r>
          </w:p>
        </w:tc>
        <w:tc>
          <w:tcPr>
            <w:tcW w:w="7099" w:type="dxa"/>
            <w:gridSpan w:val="7"/>
            <w:tcBorders>
              <w:top w:val="nil"/>
              <w:left w:val="nil"/>
              <w:bottom w:val="single" w:color="auto" w:sz="8" w:space="0"/>
              <w:right w:val="single" w:color="auto" w:sz="8" w:space="0"/>
            </w:tcBorders>
            <w:vAlign w:val="center"/>
          </w:tcPr>
          <w:p w14:paraId="0A1FB4A8">
            <w:pPr>
              <w:widowControl/>
              <w:spacing w:before="100" w:beforeAutospacing="1" w:after="100" w:afterAutospacing="1" w:line="440" w:lineRule="exact"/>
              <w:ind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验收结论性意见：</w:t>
            </w:r>
          </w:p>
        </w:tc>
      </w:tr>
      <w:tr w14:paraId="69FE730E">
        <w:tblPrEx>
          <w:tblCellMar>
            <w:top w:w="0" w:type="dxa"/>
            <w:left w:w="0" w:type="dxa"/>
            <w:bottom w:w="0" w:type="dxa"/>
            <w:right w:w="0" w:type="dxa"/>
          </w:tblCellMar>
        </w:tblPrEx>
        <w:trPr>
          <w:trHeight w:val="943" w:hRule="atLeast"/>
          <w:jc w:val="center"/>
        </w:trPr>
        <w:tc>
          <w:tcPr>
            <w:tcW w:w="2022" w:type="dxa"/>
            <w:gridSpan w:val="2"/>
            <w:vMerge w:val="continue"/>
            <w:tcBorders>
              <w:top w:val="nil"/>
              <w:left w:val="single" w:color="auto" w:sz="8" w:space="0"/>
              <w:bottom w:val="single" w:color="auto" w:sz="8" w:space="0"/>
              <w:right w:val="single" w:color="auto" w:sz="8" w:space="0"/>
            </w:tcBorders>
            <w:vAlign w:val="center"/>
          </w:tcPr>
          <w:p w14:paraId="261E7909">
            <w:pPr>
              <w:widowControl/>
              <w:spacing w:line="440" w:lineRule="exact"/>
              <w:jc w:val="left"/>
              <w:rPr>
                <w:rFonts w:ascii="宋体" w:hAnsi="宋体" w:cs="宋体"/>
                <w:color w:val="auto"/>
                <w:kern w:val="0"/>
                <w:szCs w:val="21"/>
                <w:highlight w:val="none"/>
              </w:rPr>
            </w:pPr>
          </w:p>
        </w:tc>
        <w:tc>
          <w:tcPr>
            <w:tcW w:w="7099" w:type="dxa"/>
            <w:gridSpan w:val="7"/>
            <w:tcBorders>
              <w:top w:val="nil"/>
              <w:left w:val="nil"/>
              <w:bottom w:val="single" w:color="auto" w:sz="8" w:space="0"/>
              <w:right w:val="single" w:color="auto" w:sz="8" w:space="0"/>
            </w:tcBorders>
            <w:vAlign w:val="center"/>
          </w:tcPr>
          <w:p w14:paraId="0649B615">
            <w:pPr>
              <w:widowControl/>
              <w:spacing w:before="100" w:beforeAutospacing="1" w:after="100" w:afterAutospacing="1" w:line="440" w:lineRule="exact"/>
              <w:ind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有异议的意见和说明理由：</w:t>
            </w:r>
          </w:p>
          <w:p w14:paraId="14B5785C">
            <w:pPr>
              <w:widowControl/>
              <w:spacing w:before="100" w:beforeAutospacing="1" w:after="100" w:afterAutospacing="1" w:line="440" w:lineRule="exact"/>
              <w:ind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签字：</w:t>
            </w:r>
          </w:p>
        </w:tc>
      </w:tr>
      <w:tr w14:paraId="39E33E2F">
        <w:tblPrEx>
          <w:tblCellMar>
            <w:top w:w="0" w:type="dxa"/>
            <w:left w:w="0" w:type="dxa"/>
            <w:bottom w:w="0" w:type="dxa"/>
            <w:right w:w="0" w:type="dxa"/>
          </w:tblCellMar>
        </w:tblPrEx>
        <w:trPr>
          <w:trHeight w:val="507" w:hRule="atLeast"/>
          <w:jc w:val="center"/>
        </w:trPr>
        <w:tc>
          <w:tcPr>
            <w:tcW w:w="9121" w:type="dxa"/>
            <w:gridSpan w:val="9"/>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59C11D4">
            <w:pPr>
              <w:widowControl/>
              <w:spacing w:before="100" w:beforeAutospacing="1" w:after="100" w:afterAutospacing="1"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验收小组成员签字：</w:t>
            </w:r>
          </w:p>
        </w:tc>
      </w:tr>
      <w:tr w14:paraId="23F1BB78">
        <w:tblPrEx>
          <w:tblCellMar>
            <w:top w:w="0" w:type="dxa"/>
            <w:left w:w="0" w:type="dxa"/>
            <w:bottom w:w="0" w:type="dxa"/>
            <w:right w:w="0" w:type="dxa"/>
          </w:tblCellMar>
        </w:tblPrEx>
        <w:trPr>
          <w:trHeight w:val="736" w:hRule="atLeast"/>
          <w:jc w:val="center"/>
        </w:trPr>
        <w:tc>
          <w:tcPr>
            <w:tcW w:w="9121" w:type="dxa"/>
            <w:gridSpan w:val="9"/>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FFEEB82">
            <w:pPr>
              <w:widowControl/>
              <w:spacing w:before="100" w:beforeAutospacing="1" w:after="100" w:afterAutospacing="1"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监督人员或者其他相关人员签字：</w:t>
            </w:r>
          </w:p>
          <w:p w14:paraId="28037A2A">
            <w:pPr>
              <w:widowControl/>
              <w:spacing w:before="100" w:beforeAutospacing="1" w:after="100" w:afterAutospacing="1" w:line="440" w:lineRule="exact"/>
              <w:ind w:firstLine="74"/>
              <w:jc w:val="left"/>
              <w:rPr>
                <w:rFonts w:ascii="宋体" w:hAnsi="宋体" w:cs="宋体"/>
                <w:color w:val="auto"/>
                <w:kern w:val="0"/>
                <w:szCs w:val="21"/>
                <w:highlight w:val="none"/>
              </w:rPr>
            </w:pPr>
            <w:r>
              <w:rPr>
                <w:rFonts w:hint="eastAsia" w:ascii="宋体" w:hAnsi="宋体" w:cs="宋体"/>
                <w:color w:val="auto"/>
                <w:kern w:val="0"/>
                <w:szCs w:val="21"/>
                <w:highlight w:val="none"/>
              </w:rPr>
              <w:t>或者受邀机构的意见（盖章）：</w:t>
            </w:r>
          </w:p>
        </w:tc>
      </w:tr>
      <w:tr w14:paraId="55398626">
        <w:tblPrEx>
          <w:tblCellMar>
            <w:top w:w="0" w:type="dxa"/>
            <w:left w:w="0" w:type="dxa"/>
            <w:bottom w:w="0" w:type="dxa"/>
            <w:right w:w="0" w:type="dxa"/>
          </w:tblCellMar>
        </w:tblPrEx>
        <w:trPr>
          <w:trHeight w:val="1160" w:hRule="atLeast"/>
          <w:jc w:val="center"/>
        </w:trPr>
        <w:tc>
          <w:tcPr>
            <w:tcW w:w="4545" w:type="dxa"/>
            <w:gridSpan w:val="5"/>
            <w:tcBorders>
              <w:top w:val="nil"/>
              <w:left w:val="single" w:color="auto" w:sz="8" w:space="0"/>
              <w:bottom w:val="single" w:color="auto" w:sz="8" w:space="0"/>
              <w:right w:val="nil"/>
            </w:tcBorders>
            <w:tcMar>
              <w:top w:w="0" w:type="dxa"/>
              <w:left w:w="108" w:type="dxa"/>
              <w:bottom w:w="0" w:type="dxa"/>
              <w:right w:w="108" w:type="dxa"/>
            </w:tcMar>
            <w:vAlign w:val="center"/>
          </w:tcPr>
          <w:p w14:paraId="456AA18D">
            <w:pPr>
              <w:widowControl/>
              <w:spacing w:before="100" w:beforeAutospacing="1" w:after="100" w:afterAutospacing="1"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成交供应商负责人签字或者盖章：</w:t>
            </w:r>
          </w:p>
          <w:p w14:paraId="2AC9A479">
            <w:pPr>
              <w:widowControl/>
              <w:spacing w:before="100" w:beforeAutospacing="1" w:after="100" w:afterAutospacing="1" w:line="440" w:lineRule="exact"/>
              <w:jc w:val="left"/>
              <w:rPr>
                <w:rFonts w:ascii="宋体" w:hAnsi="宋体" w:cs="宋体"/>
                <w:color w:val="auto"/>
                <w:kern w:val="0"/>
                <w:szCs w:val="21"/>
                <w:highlight w:val="none"/>
              </w:rPr>
            </w:pPr>
          </w:p>
          <w:p w14:paraId="695FA43C">
            <w:pPr>
              <w:widowControl/>
              <w:spacing w:before="100" w:beforeAutospacing="1" w:after="100" w:afterAutospacing="1"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联系电话：                年  月  日</w:t>
            </w:r>
          </w:p>
        </w:tc>
        <w:tc>
          <w:tcPr>
            <w:tcW w:w="4576" w:type="dxa"/>
            <w:gridSpan w:val="4"/>
            <w:tcBorders>
              <w:top w:val="nil"/>
              <w:left w:val="nil"/>
              <w:bottom w:val="single" w:color="auto" w:sz="8" w:space="0"/>
              <w:right w:val="single" w:color="auto" w:sz="8" w:space="0"/>
            </w:tcBorders>
            <w:vAlign w:val="center"/>
          </w:tcPr>
          <w:p w14:paraId="3A1EEBB6">
            <w:pPr>
              <w:widowControl/>
              <w:spacing w:before="100" w:beforeAutospacing="1" w:after="100" w:afterAutospacing="1" w:line="440" w:lineRule="exact"/>
              <w:ind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采购人或者受托机构的意见（盖章）：</w:t>
            </w:r>
          </w:p>
          <w:p w14:paraId="6F845932">
            <w:pPr>
              <w:widowControl/>
              <w:spacing w:before="100" w:beforeAutospacing="1" w:after="100" w:afterAutospacing="1" w:line="440" w:lineRule="exact"/>
              <w:ind w:firstLine="210" w:firstLineChars="100"/>
              <w:jc w:val="left"/>
              <w:rPr>
                <w:rFonts w:ascii="宋体" w:hAnsi="宋体" w:cs="宋体"/>
                <w:color w:val="auto"/>
                <w:kern w:val="0"/>
                <w:szCs w:val="21"/>
                <w:highlight w:val="none"/>
              </w:rPr>
            </w:pPr>
          </w:p>
          <w:p w14:paraId="28763E32">
            <w:pPr>
              <w:widowControl/>
              <w:spacing w:before="100" w:beforeAutospacing="1" w:after="100" w:afterAutospacing="1" w:line="440" w:lineRule="exact"/>
              <w:ind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联系电话：              年  月  日</w:t>
            </w:r>
          </w:p>
        </w:tc>
      </w:tr>
    </w:tbl>
    <w:p w14:paraId="506A75E2">
      <w:pPr>
        <w:rPr>
          <w:rFonts w:ascii="宋体" w:hAnsi="宋体" w:cs="宋体"/>
          <w:color w:val="auto"/>
          <w:szCs w:val="21"/>
          <w:highlight w:val="none"/>
        </w:rPr>
      </w:pPr>
    </w:p>
    <w:p w14:paraId="6F79B56E">
      <w:pPr>
        <w:rPr>
          <w:rFonts w:ascii="宋体" w:hAnsi="宋体" w:cs="宋体"/>
          <w:b/>
          <w:bCs/>
          <w:color w:val="auto"/>
          <w:szCs w:val="21"/>
          <w:highlight w:val="none"/>
        </w:rPr>
      </w:pPr>
      <w:r>
        <w:rPr>
          <w:rFonts w:hint="eastAsia" w:ascii="宋体" w:hAnsi="宋体" w:cs="宋体"/>
          <w:b/>
          <w:bCs/>
          <w:color w:val="auto"/>
          <w:szCs w:val="21"/>
          <w:highlight w:val="none"/>
        </w:rPr>
        <w:br w:type="page"/>
      </w:r>
    </w:p>
    <w:p w14:paraId="0E687739">
      <w:pPr>
        <w:spacing w:line="440" w:lineRule="exact"/>
        <w:jc w:val="left"/>
        <w:rPr>
          <w:rFonts w:ascii="宋体" w:hAnsi="宋体" w:cs="宋体"/>
          <w:color w:val="auto"/>
          <w:szCs w:val="21"/>
          <w:highlight w:val="none"/>
        </w:rPr>
      </w:pPr>
      <w:r>
        <w:rPr>
          <w:rFonts w:hint="eastAsia" w:ascii="宋体" w:hAnsi="宋体" w:cs="宋体"/>
          <w:b/>
          <w:bCs/>
          <w:color w:val="auto"/>
          <w:szCs w:val="21"/>
          <w:highlight w:val="none"/>
        </w:rPr>
        <w:t>附件2：</w:t>
      </w:r>
    </w:p>
    <w:p w14:paraId="1F7A2AD8">
      <w:pPr>
        <w:spacing w:line="440" w:lineRule="exact"/>
        <w:jc w:val="center"/>
        <w:rPr>
          <w:rFonts w:ascii="宋体" w:hAnsi="宋体" w:cs="宋体"/>
          <w:b/>
          <w:bCs/>
          <w:color w:val="auto"/>
          <w:szCs w:val="21"/>
          <w:highlight w:val="none"/>
        </w:rPr>
      </w:pPr>
      <w:r>
        <w:rPr>
          <w:rFonts w:hint="eastAsia" w:ascii="宋体" w:hAnsi="宋体" w:cs="宋体"/>
          <w:b/>
          <w:bCs/>
          <w:color w:val="auto"/>
          <w:szCs w:val="21"/>
          <w:highlight w:val="none"/>
        </w:rPr>
        <w:t>政府采购项目履约保证金退付意见书（参考）</w:t>
      </w:r>
    </w:p>
    <w:p w14:paraId="4FE140D4">
      <w:pPr>
        <w:spacing w:line="440" w:lineRule="exact"/>
        <w:jc w:val="center"/>
        <w:rPr>
          <w:rFonts w:ascii="宋体" w:hAnsi="宋体" w:cs="宋体"/>
          <w:color w:val="auto"/>
          <w:szCs w:val="21"/>
          <w:highlight w:val="none"/>
        </w:rPr>
      </w:pPr>
    </w:p>
    <w:tbl>
      <w:tblPr>
        <w:tblStyle w:val="48"/>
        <w:tblW w:w="94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8456"/>
      </w:tblGrid>
      <w:tr w14:paraId="46B70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008" w:type="dxa"/>
            <w:vMerge w:val="restart"/>
            <w:vAlign w:val="center"/>
          </w:tcPr>
          <w:p w14:paraId="4B6A5296">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供</w:t>
            </w:r>
          </w:p>
          <w:p w14:paraId="0E8A1881">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应</w:t>
            </w:r>
          </w:p>
          <w:p w14:paraId="20373959">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商</w:t>
            </w:r>
          </w:p>
          <w:p w14:paraId="1A0B3712">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申</w:t>
            </w:r>
          </w:p>
          <w:p w14:paraId="19B9FA3A">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请</w:t>
            </w:r>
          </w:p>
        </w:tc>
        <w:tc>
          <w:tcPr>
            <w:tcW w:w="8456" w:type="dxa"/>
            <w:vAlign w:val="center"/>
          </w:tcPr>
          <w:p w14:paraId="2F45AFD0">
            <w:pPr>
              <w:spacing w:line="440" w:lineRule="exact"/>
              <w:rPr>
                <w:rFonts w:ascii="宋体" w:hAnsi="宋体" w:cs="宋体"/>
                <w:color w:val="auto"/>
                <w:szCs w:val="21"/>
                <w:highlight w:val="none"/>
              </w:rPr>
            </w:pPr>
            <w:r>
              <w:rPr>
                <w:rFonts w:hint="eastAsia" w:ascii="宋体" w:hAnsi="宋体" w:cs="宋体"/>
                <w:color w:val="auto"/>
                <w:szCs w:val="21"/>
                <w:highlight w:val="none"/>
              </w:rPr>
              <w:t>项目编号：</w:t>
            </w:r>
          </w:p>
        </w:tc>
      </w:tr>
      <w:tr w14:paraId="57CB3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008" w:type="dxa"/>
            <w:vMerge w:val="continue"/>
            <w:vAlign w:val="center"/>
          </w:tcPr>
          <w:p w14:paraId="364B6534">
            <w:pPr>
              <w:spacing w:line="440" w:lineRule="exact"/>
              <w:rPr>
                <w:rFonts w:ascii="宋体" w:hAnsi="宋体" w:cs="宋体"/>
                <w:color w:val="auto"/>
                <w:szCs w:val="21"/>
                <w:highlight w:val="none"/>
              </w:rPr>
            </w:pPr>
          </w:p>
        </w:tc>
        <w:tc>
          <w:tcPr>
            <w:tcW w:w="8456" w:type="dxa"/>
            <w:vAlign w:val="center"/>
          </w:tcPr>
          <w:p w14:paraId="51237337">
            <w:pPr>
              <w:spacing w:line="440" w:lineRule="exact"/>
              <w:rPr>
                <w:rFonts w:ascii="宋体" w:hAnsi="宋体" w:cs="宋体"/>
                <w:color w:val="auto"/>
                <w:szCs w:val="21"/>
                <w:highlight w:val="none"/>
              </w:rPr>
            </w:pPr>
            <w:r>
              <w:rPr>
                <w:rFonts w:hint="eastAsia" w:ascii="宋体" w:hAnsi="宋体" w:cs="宋体"/>
                <w:color w:val="auto"/>
                <w:szCs w:val="21"/>
                <w:highlight w:val="none"/>
              </w:rPr>
              <w:t>项目名称：</w:t>
            </w:r>
          </w:p>
        </w:tc>
      </w:tr>
      <w:tr w14:paraId="0319A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08" w:type="dxa"/>
            <w:vMerge w:val="continue"/>
          </w:tcPr>
          <w:p w14:paraId="79FDEBB5">
            <w:pPr>
              <w:spacing w:line="440" w:lineRule="exact"/>
              <w:rPr>
                <w:rFonts w:ascii="宋体" w:hAnsi="宋体" w:cs="宋体"/>
                <w:color w:val="auto"/>
                <w:szCs w:val="21"/>
                <w:highlight w:val="none"/>
              </w:rPr>
            </w:pPr>
          </w:p>
        </w:tc>
        <w:tc>
          <w:tcPr>
            <w:tcW w:w="8456" w:type="dxa"/>
          </w:tcPr>
          <w:p w14:paraId="1AFDA643">
            <w:pPr>
              <w:spacing w:line="440" w:lineRule="exact"/>
              <w:rPr>
                <w:rFonts w:ascii="宋体" w:hAnsi="宋体" w:cs="宋体"/>
                <w:color w:val="auto"/>
                <w:szCs w:val="21"/>
                <w:highlight w:val="none"/>
              </w:rPr>
            </w:pPr>
          </w:p>
          <w:p w14:paraId="5D47DC4D">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该项目已于年月日验收并交付使用。根据合同规定，该项目的履约保证金期限于年月日已满，请将履约保证金（大写）￥（小写）退付到达以下帐户。</w:t>
            </w:r>
          </w:p>
          <w:p w14:paraId="3C034BE4">
            <w:pPr>
              <w:spacing w:line="440" w:lineRule="exact"/>
              <w:ind w:firstLine="705"/>
              <w:rPr>
                <w:rFonts w:ascii="宋体" w:hAnsi="宋体" w:cs="宋体"/>
                <w:color w:val="auto"/>
                <w:szCs w:val="21"/>
                <w:highlight w:val="none"/>
              </w:rPr>
            </w:pPr>
            <w:r>
              <w:rPr>
                <w:rFonts w:hint="eastAsia" w:ascii="宋体" w:hAnsi="宋体" w:cs="宋体"/>
                <w:color w:val="auto"/>
                <w:szCs w:val="21"/>
                <w:highlight w:val="none"/>
              </w:rPr>
              <w:t>单位名称：</w:t>
            </w:r>
          </w:p>
          <w:p w14:paraId="0193AABE">
            <w:pPr>
              <w:spacing w:line="440" w:lineRule="exact"/>
              <w:ind w:firstLine="705"/>
              <w:rPr>
                <w:rFonts w:ascii="宋体" w:hAnsi="宋体" w:cs="宋体"/>
                <w:color w:val="auto"/>
                <w:szCs w:val="21"/>
                <w:highlight w:val="none"/>
              </w:rPr>
            </w:pPr>
            <w:r>
              <w:rPr>
                <w:rFonts w:hint="eastAsia" w:ascii="宋体" w:hAnsi="宋体" w:cs="宋体"/>
                <w:color w:val="auto"/>
                <w:szCs w:val="21"/>
                <w:highlight w:val="none"/>
              </w:rPr>
              <w:t>开户银行：</w:t>
            </w:r>
          </w:p>
          <w:p w14:paraId="1A42F313">
            <w:pPr>
              <w:spacing w:line="440" w:lineRule="exact"/>
              <w:ind w:firstLine="705"/>
              <w:rPr>
                <w:rFonts w:ascii="宋体" w:hAnsi="宋体" w:cs="宋体"/>
                <w:color w:val="auto"/>
                <w:szCs w:val="21"/>
                <w:highlight w:val="none"/>
              </w:rPr>
            </w:pPr>
            <w:r>
              <w:rPr>
                <w:rFonts w:hint="eastAsia" w:ascii="宋体" w:hAnsi="宋体" w:cs="宋体"/>
                <w:color w:val="auto"/>
                <w:szCs w:val="21"/>
                <w:highlight w:val="none"/>
              </w:rPr>
              <w:t>帐   号：</w:t>
            </w:r>
          </w:p>
          <w:p w14:paraId="63DAF7F6">
            <w:pPr>
              <w:spacing w:line="440" w:lineRule="exact"/>
              <w:rPr>
                <w:rFonts w:ascii="宋体" w:hAnsi="宋体" w:cs="宋体"/>
                <w:color w:val="auto"/>
                <w:szCs w:val="21"/>
                <w:highlight w:val="none"/>
              </w:rPr>
            </w:pPr>
            <w:r>
              <w:rPr>
                <w:rFonts w:hint="eastAsia" w:ascii="宋体" w:hAnsi="宋体" w:cs="宋体"/>
                <w:color w:val="auto"/>
                <w:szCs w:val="21"/>
                <w:highlight w:val="none"/>
              </w:rPr>
              <w:t>联系人及电话：</w:t>
            </w:r>
          </w:p>
          <w:p w14:paraId="7F9FC38C">
            <w:pPr>
              <w:spacing w:line="440" w:lineRule="exact"/>
              <w:rPr>
                <w:rFonts w:ascii="宋体" w:hAnsi="宋体" w:cs="宋体"/>
                <w:color w:val="auto"/>
                <w:szCs w:val="21"/>
                <w:highlight w:val="none"/>
              </w:rPr>
            </w:pPr>
          </w:p>
          <w:p w14:paraId="18A88C47">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 xml:space="preserve">         供应商签章：</w:t>
            </w:r>
          </w:p>
          <w:p w14:paraId="730C2231">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 xml:space="preserve">                           年    月     日</w:t>
            </w:r>
          </w:p>
        </w:tc>
      </w:tr>
      <w:tr w14:paraId="2A565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6" w:hRule="atLeast"/>
        </w:trPr>
        <w:tc>
          <w:tcPr>
            <w:tcW w:w="1008" w:type="dxa"/>
            <w:vAlign w:val="center"/>
          </w:tcPr>
          <w:p w14:paraId="45D369FB">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采</w:t>
            </w:r>
          </w:p>
          <w:p w14:paraId="1052F136">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购</w:t>
            </w:r>
          </w:p>
          <w:p w14:paraId="02F672D1">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人</w:t>
            </w:r>
          </w:p>
          <w:p w14:paraId="44F6C349">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意</w:t>
            </w:r>
          </w:p>
          <w:p w14:paraId="0B3AEF2F">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见</w:t>
            </w:r>
          </w:p>
        </w:tc>
        <w:tc>
          <w:tcPr>
            <w:tcW w:w="8456" w:type="dxa"/>
          </w:tcPr>
          <w:p w14:paraId="1F43B9C5">
            <w:pPr>
              <w:spacing w:line="440" w:lineRule="exact"/>
              <w:rPr>
                <w:rFonts w:ascii="宋体" w:hAnsi="宋体" w:cs="宋体"/>
                <w:color w:val="auto"/>
                <w:szCs w:val="21"/>
                <w:highlight w:val="none"/>
              </w:rPr>
            </w:pPr>
          </w:p>
          <w:p w14:paraId="6BF0487A">
            <w:pPr>
              <w:spacing w:line="440" w:lineRule="exact"/>
              <w:rPr>
                <w:rFonts w:ascii="宋体" w:hAnsi="宋体" w:cs="宋体"/>
                <w:color w:val="auto"/>
                <w:szCs w:val="21"/>
                <w:highlight w:val="none"/>
              </w:rPr>
            </w:pPr>
            <w:r>
              <w:rPr>
                <w:rFonts w:hint="eastAsia" w:ascii="宋体" w:hAnsi="宋体" w:cs="宋体"/>
                <w:color w:val="auto"/>
                <w:szCs w:val="21"/>
                <w:highlight w:val="none"/>
              </w:rPr>
              <w:t>退付意见：（是否同意退付履约保证金及退付金额）</w:t>
            </w:r>
          </w:p>
          <w:p w14:paraId="138EC4AD">
            <w:pPr>
              <w:spacing w:line="440" w:lineRule="exact"/>
              <w:rPr>
                <w:rFonts w:ascii="宋体" w:hAnsi="宋体" w:cs="宋体"/>
                <w:color w:val="auto"/>
                <w:szCs w:val="21"/>
                <w:highlight w:val="none"/>
              </w:rPr>
            </w:pPr>
          </w:p>
          <w:p w14:paraId="7CB16188">
            <w:pPr>
              <w:spacing w:line="440" w:lineRule="exact"/>
              <w:rPr>
                <w:rFonts w:ascii="宋体" w:hAnsi="宋体" w:cs="宋体"/>
                <w:color w:val="auto"/>
                <w:szCs w:val="21"/>
                <w:highlight w:val="none"/>
              </w:rPr>
            </w:pPr>
          </w:p>
          <w:p w14:paraId="6B5879F9">
            <w:pPr>
              <w:spacing w:line="440" w:lineRule="exact"/>
              <w:rPr>
                <w:rFonts w:ascii="宋体" w:hAnsi="宋体" w:cs="宋体"/>
                <w:color w:val="auto"/>
                <w:szCs w:val="21"/>
                <w:highlight w:val="none"/>
              </w:rPr>
            </w:pPr>
          </w:p>
          <w:p w14:paraId="0A9F323F">
            <w:pPr>
              <w:spacing w:line="440" w:lineRule="exact"/>
              <w:rPr>
                <w:rFonts w:ascii="宋体" w:hAnsi="宋体" w:cs="宋体"/>
                <w:color w:val="auto"/>
                <w:szCs w:val="21"/>
                <w:highlight w:val="none"/>
              </w:rPr>
            </w:pPr>
          </w:p>
          <w:p w14:paraId="34DE5117">
            <w:pPr>
              <w:spacing w:line="440" w:lineRule="exact"/>
              <w:rPr>
                <w:rFonts w:ascii="宋体" w:hAnsi="宋体" w:cs="宋体"/>
                <w:color w:val="auto"/>
                <w:szCs w:val="21"/>
                <w:highlight w:val="none"/>
              </w:rPr>
            </w:pPr>
          </w:p>
          <w:p w14:paraId="44EFBF71">
            <w:pPr>
              <w:spacing w:line="440" w:lineRule="exact"/>
              <w:rPr>
                <w:rFonts w:ascii="宋体" w:hAnsi="宋体" w:cs="宋体"/>
                <w:color w:val="auto"/>
                <w:szCs w:val="21"/>
                <w:highlight w:val="none"/>
              </w:rPr>
            </w:pPr>
          </w:p>
          <w:p w14:paraId="6FDDBF21">
            <w:pPr>
              <w:spacing w:line="440" w:lineRule="exact"/>
              <w:rPr>
                <w:rFonts w:ascii="宋体" w:hAnsi="宋体" w:cs="宋体"/>
                <w:color w:val="auto"/>
                <w:szCs w:val="21"/>
                <w:highlight w:val="none"/>
              </w:rPr>
            </w:pPr>
          </w:p>
          <w:p w14:paraId="46732B46">
            <w:pPr>
              <w:spacing w:line="440" w:lineRule="exact"/>
              <w:rPr>
                <w:rFonts w:ascii="宋体" w:hAnsi="宋体" w:cs="宋体"/>
                <w:color w:val="auto"/>
                <w:szCs w:val="21"/>
                <w:highlight w:val="none"/>
              </w:rPr>
            </w:pPr>
            <w:r>
              <w:rPr>
                <w:rFonts w:hint="eastAsia" w:ascii="宋体" w:hAnsi="宋体" w:cs="宋体"/>
                <w:color w:val="auto"/>
                <w:szCs w:val="21"/>
                <w:highlight w:val="none"/>
              </w:rPr>
              <w:t>联系人及电话：                         采购人签章</w:t>
            </w:r>
          </w:p>
          <w:p w14:paraId="464DD621">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 xml:space="preserve">                                        年    月     日</w:t>
            </w:r>
          </w:p>
          <w:p w14:paraId="77566231">
            <w:pPr>
              <w:spacing w:line="440" w:lineRule="exact"/>
              <w:jc w:val="center"/>
              <w:rPr>
                <w:rFonts w:ascii="宋体" w:hAnsi="宋体" w:cs="宋体"/>
                <w:color w:val="auto"/>
                <w:szCs w:val="21"/>
                <w:highlight w:val="none"/>
              </w:rPr>
            </w:pPr>
          </w:p>
        </w:tc>
      </w:tr>
    </w:tbl>
    <w:p w14:paraId="72D88D36">
      <w:pPr>
        <w:pStyle w:val="20"/>
        <w:spacing w:line="440" w:lineRule="exact"/>
        <w:ind w:left="480" w:leftChars="114" w:hanging="241" w:hangingChars="100"/>
        <w:rPr>
          <w:rFonts w:ascii="宋体" w:hAnsi="宋体" w:cs="宋体"/>
          <w:b/>
          <w:bCs/>
          <w:color w:val="auto"/>
          <w:szCs w:val="21"/>
          <w:highlight w:val="none"/>
        </w:rPr>
      </w:pPr>
      <w:r>
        <w:rPr>
          <w:rFonts w:hint="eastAsia" w:ascii="宋体" w:hAnsi="宋体" w:cs="宋体"/>
          <w:b/>
          <w:bCs/>
          <w:color w:val="auto"/>
          <w:szCs w:val="21"/>
          <w:highlight w:val="none"/>
        </w:rPr>
        <w:t>注：供应商凭经采购人审批的退付意见书到保证金收取单位办理履约保证金退付事宜。</w:t>
      </w:r>
    </w:p>
    <w:p w14:paraId="4F4EA1D8">
      <w:pPr>
        <w:snapToGrid w:val="0"/>
        <w:jc w:val="center"/>
        <w:rPr>
          <w:rFonts w:ascii="宋体" w:hAnsi="宋体"/>
          <w:bCs/>
          <w:color w:val="auto"/>
          <w:sz w:val="32"/>
          <w:szCs w:val="32"/>
          <w:highlight w:val="none"/>
        </w:rPr>
      </w:pPr>
      <w:r>
        <w:rPr>
          <w:rFonts w:ascii="宋体" w:hAnsi="宋体"/>
          <w:b/>
          <w:color w:val="auto"/>
          <w:sz w:val="32"/>
          <w:szCs w:val="32"/>
          <w:highlight w:val="none"/>
        </w:rPr>
        <w:br w:type="page"/>
      </w:r>
    </w:p>
    <w:p w14:paraId="58005A4E">
      <w:pPr>
        <w:snapToGrid w:val="0"/>
        <w:spacing w:line="480" w:lineRule="auto"/>
        <w:rPr>
          <w:rFonts w:ascii="宋体" w:hAnsi="宋体"/>
          <w:bCs/>
          <w:color w:val="auto"/>
          <w:sz w:val="32"/>
          <w:szCs w:val="32"/>
          <w:highlight w:val="none"/>
        </w:rPr>
      </w:pPr>
    </w:p>
    <w:p w14:paraId="3F61701F">
      <w:pPr>
        <w:snapToGrid w:val="0"/>
        <w:jc w:val="center"/>
        <w:rPr>
          <w:rFonts w:ascii="宋体" w:hAnsi="宋体"/>
          <w:bCs/>
          <w:color w:val="auto"/>
          <w:sz w:val="32"/>
          <w:szCs w:val="32"/>
          <w:highlight w:val="none"/>
        </w:rPr>
      </w:pPr>
    </w:p>
    <w:p w14:paraId="5430BECE">
      <w:pPr>
        <w:snapToGrid w:val="0"/>
        <w:jc w:val="center"/>
        <w:rPr>
          <w:rFonts w:ascii="宋体" w:hAnsi="宋体"/>
          <w:bCs/>
          <w:color w:val="auto"/>
          <w:sz w:val="32"/>
          <w:szCs w:val="32"/>
          <w:highlight w:val="none"/>
        </w:rPr>
      </w:pPr>
    </w:p>
    <w:p w14:paraId="1BCAA9D8">
      <w:pPr>
        <w:snapToGrid w:val="0"/>
        <w:jc w:val="center"/>
        <w:rPr>
          <w:rFonts w:ascii="宋体" w:hAnsi="宋体"/>
          <w:bCs/>
          <w:color w:val="auto"/>
          <w:sz w:val="32"/>
          <w:szCs w:val="32"/>
          <w:highlight w:val="none"/>
        </w:rPr>
      </w:pPr>
    </w:p>
    <w:p w14:paraId="58A41EEC">
      <w:pPr>
        <w:snapToGrid w:val="0"/>
        <w:jc w:val="center"/>
        <w:rPr>
          <w:rFonts w:ascii="宋体" w:hAnsi="宋体"/>
          <w:bCs/>
          <w:color w:val="auto"/>
          <w:sz w:val="32"/>
          <w:szCs w:val="32"/>
          <w:highlight w:val="none"/>
        </w:rPr>
      </w:pPr>
    </w:p>
    <w:p w14:paraId="7998FB25">
      <w:pPr>
        <w:snapToGrid w:val="0"/>
        <w:jc w:val="center"/>
        <w:rPr>
          <w:rFonts w:ascii="宋体" w:hAnsi="宋体"/>
          <w:bCs/>
          <w:color w:val="auto"/>
          <w:sz w:val="32"/>
          <w:szCs w:val="32"/>
          <w:highlight w:val="none"/>
        </w:rPr>
      </w:pPr>
    </w:p>
    <w:p w14:paraId="3070ED6F">
      <w:pPr>
        <w:snapToGrid w:val="0"/>
        <w:jc w:val="center"/>
        <w:rPr>
          <w:rFonts w:ascii="宋体" w:hAnsi="宋体"/>
          <w:bCs/>
          <w:color w:val="auto"/>
          <w:sz w:val="32"/>
          <w:szCs w:val="32"/>
          <w:highlight w:val="none"/>
        </w:rPr>
      </w:pPr>
    </w:p>
    <w:p w14:paraId="61D39407">
      <w:pPr>
        <w:snapToGrid w:val="0"/>
        <w:jc w:val="center"/>
        <w:rPr>
          <w:rFonts w:ascii="宋体" w:hAnsi="宋体"/>
          <w:bCs/>
          <w:color w:val="auto"/>
          <w:sz w:val="32"/>
          <w:szCs w:val="32"/>
          <w:highlight w:val="none"/>
        </w:rPr>
      </w:pPr>
    </w:p>
    <w:p w14:paraId="37963927">
      <w:pPr>
        <w:snapToGrid w:val="0"/>
        <w:jc w:val="center"/>
        <w:rPr>
          <w:rFonts w:ascii="宋体" w:hAnsi="宋体"/>
          <w:bCs/>
          <w:color w:val="auto"/>
          <w:sz w:val="32"/>
          <w:szCs w:val="32"/>
          <w:highlight w:val="none"/>
        </w:rPr>
      </w:pPr>
    </w:p>
    <w:p w14:paraId="3603E6DE">
      <w:pPr>
        <w:snapToGrid w:val="0"/>
        <w:jc w:val="center"/>
        <w:rPr>
          <w:rFonts w:ascii="宋体" w:hAnsi="宋体"/>
          <w:bCs/>
          <w:color w:val="auto"/>
          <w:sz w:val="32"/>
          <w:szCs w:val="32"/>
          <w:highlight w:val="none"/>
        </w:rPr>
      </w:pPr>
    </w:p>
    <w:p w14:paraId="084C39EF">
      <w:pPr>
        <w:snapToGrid w:val="0"/>
        <w:jc w:val="center"/>
        <w:rPr>
          <w:rFonts w:ascii="宋体" w:hAnsi="宋体"/>
          <w:bCs/>
          <w:color w:val="auto"/>
          <w:sz w:val="32"/>
          <w:szCs w:val="32"/>
          <w:highlight w:val="none"/>
        </w:rPr>
      </w:pPr>
    </w:p>
    <w:p w14:paraId="2712492B">
      <w:pPr>
        <w:snapToGrid w:val="0"/>
        <w:jc w:val="center"/>
        <w:rPr>
          <w:rFonts w:ascii="宋体" w:hAnsi="宋体"/>
          <w:bCs/>
          <w:color w:val="auto"/>
          <w:sz w:val="32"/>
          <w:szCs w:val="32"/>
          <w:highlight w:val="none"/>
        </w:rPr>
      </w:pPr>
    </w:p>
    <w:p w14:paraId="3125514C">
      <w:pPr>
        <w:pStyle w:val="4"/>
        <w:jc w:val="center"/>
        <w:rPr>
          <w:color w:val="auto"/>
          <w:highlight w:val="none"/>
        </w:rPr>
      </w:pPr>
      <w:bookmarkStart w:id="142" w:name="_Toc15478"/>
      <w:r>
        <w:rPr>
          <w:rFonts w:hint="eastAsia"/>
          <w:color w:val="auto"/>
          <w:highlight w:val="none"/>
        </w:rPr>
        <w:t>第六章　投标文件格式</w:t>
      </w:r>
      <w:bookmarkEnd w:id="142"/>
    </w:p>
    <w:p w14:paraId="32FC9A65">
      <w:pPr>
        <w:snapToGrid w:val="0"/>
        <w:spacing w:before="50" w:after="50"/>
        <w:outlineLvl w:val="1"/>
        <w:rPr>
          <w:rFonts w:ascii="宋体" w:hAnsi="宋体"/>
          <w:color w:val="auto"/>
          <w:sz w:val="32"/>
          <w:szCs w:val="20"/>
          <w:highlight w:val="none"/>
        </w:rPr>
      </w:pPr>
    </w:p>
    <w:p w14:paraId="49AE025E">
      <w:pPr>
        <w:snapToGrid w:val="0"/>
        <w:spacing w:before="50" w:after="50"/>
        <w:outlineLvl w:val="1"/>
        <w:rPr>
          <w:rFonts w:ascii="宋体" w:hAnsi="宋体"/>
          <w:color w:val="auto"/>
          <w:sz w:val="32"/>
          <w:szCs w:val="20"/>
          <w:highlight w:val="none"/>
        </w:rPr>
      </w:pPr>
    </w:p>
    <w:p w14:paraId="1A0F3768">
      <w:pPr>
        <w:snapToGrid w:val="0"/>
        <w:spacing w:before="50" w:after="50"/>
        <w:outlineLvl w:val="1"/>
        <w:rPr>
          <w:rFonts w:ascii="宋体" w:hAnsi="宋体"/>
          <w:color w:val="auto"/>
          <w:sz w:val="32"/>
          <w:szCs w:val="20"/>
          <w:highlight w:val="none"/>
        </w:rPr>
      </w:pPr>
    </w:p>
    <w:p w14:paraId="40175BA0">
      <w:pPr>
        <w:snapToGrid w:val="0"/>
        <w:spacing w:before="50" w:after="50"/>
        <w:outlineLvl w:val="1"/>
        <w:rPr>
          <w:rFonts w:ascii="宋体" w:hAnsi="宋体"/>
          <w:color w:val="auto"/>
          <w:sz w:val="32"/>
          <w:szCs w:val="20"/>
          <w:highlight w:val="none"/>
        </w:rPr>
      </w:pPr>
    </w:p>
    <w:p w14:paraId="4CF6DDA4">
      <w:pPr>
        <w:snapToGrid w:val="0"/>
        <w:spacing w:before="50" w:after="50"/>
        <w:outlineLvl w:val="1"/>
        <w:rPr>
          <w:rFonts w:ascii="宋体" w:hAnsi="宋体"/>
          <w:color w:val="auto"/>
          <w:sz w:val="32"/>
          <w:szCs w:val="20"/>
          <w:highlight w:val="none"/>
        </w:rPr>
      </w:pPr>
    </w:p>
    <w:p w14:paraId="13566691">
      <w:pPr>
        <w:snapToGrid w:val="0"/>
        <w:spacing w:before="50" w:after="50"/>
        <w:outlineLvl w:val="1"/>
        <w:rPr>
          <w:rFonts w:ascii="宋体" w:hAnsi="宋体"/>
          <w:color w:val="auto"/>
          <w:sz w:val="32"/>
          <w:szCs w:val="20"/>
          <w:highlight w:val="none"/>
        </w:rPr>
      </w:pPr>
    </w:p>
    <w:p w14:paraId="005B2411">
      <w:pPr>
        <w:snapToGrid w:val="0"/>
        <w:spacing w:before="50" w:after="50"/>
        <w:outlineLvl w:val="1"/>
        <w:rPr>
          <w:rFonts w:ascii="宋体" w:hAnsi="宋体"/>
          <w:color w:val="auto"/>
          <w:sz w:val="32"/>
          <w:szCs w:val="20"/>
          <w:highlight w:val="none"/>
        </w:rPr>
      </w:pPr>
    </w:p>
    <w:p w14:paraId="1364AB77">
      <w:pPr>
        <w:snapToGrid w:val="0"/>
        <w:spacing w:before="50" w:after="50"/>
        <w:outlineLvl w:val="1"/>
        <w:rPr>
          <w:rFonts w:ascii="宋体" w:hAnsi="宋体"/>
          <w:color w:val="auto"/>
          <w:sz w:val="32"/>
          <w:szCs w:val="20"/>
          <w:highlight w:val="none"/>
        </w:rPr>
      </w:pPr>
    </w:p>
    <w:p w14:paraId="27A94C3E">
      <w:pPr>
        <w:snapToGrid w:val="0"/>
        <w:spacing w:before="50" w:after="50"/>
        <w:outlineLvl w:val="1"/>
        <w:rPr>
          <w:rFonts w:ascii="宋体" w:hAnsi="宋体"/>
          <w:color w:val="auto"/>
          <w:sz w:val="32"/>
          <w:szCs w:val="20"/>
          <w:highlight w:val="none"/>
        </w:rPr>
      </w:pPr>
    </w:p>
    <w:p w14:paraId="1EBEF9DD">
      <w:pPr>
        <w:snapToGrid w:val="0"/>
        <w:spacing w:before="50" w:after="50"/>
        <w:outlineLvl w:val="1"/>
        <w:rPr>
          <w:rFonts w:ascii="宋体" w:hAnsi="宋体"/>
          <w:color w:val="auto"/>
          <w:sz w:val="32"/>
          <w:szCs w:val="20"/>
          <w:highlight w:val="none"/>
        </w:rPr>
      </w:pPr>
    </w:p>
    <w:p w14:paraId="0CCEFDB2">
      <w:pPr>
        <w:snapToGrid w:val="0"/>
        <w:spacing w:before="50" w:after="50"/>
        <w:outlineLvl w:val="1"/>
        <w:rPr>
          <w:rFonts w:ascii="宋体" w:hAnsi="宋体"/>
          <w:color w:val="auto"/>
          <w:sz w:val="32"/>
          <w:szCs w:val="20"/>
          <w:highlight w:val="none"/>
        </w:rPr>
      </w:pPr>
    </w:p>
    <w:p w14:paraId="6CB7B6F7">
      <w:pPr>
        <w:snapToGrid w:val="0"/>
        <w:spacing w:before="50" w:after="50"/>
        <w:outlineLvl w:val="1"/>
        <w:rPr>
          <w:rFonts w:ascii="宋体" w:hAnsi="宋体"/>
          <w:color w:val="auto"/>
          <w:sz w:val="32"/>
          <w:szCs w:val="20"/>
          <w:highlight w:val="none"/>
        </w:rPr>
      </w:pPr>
    </w:p>
    <w:p w14:paraId="19886F0D">
      <w:pPr>
        <w:rPr>
          <w:b/>
          <w:color w:val="auto"/>
          <w:sz w:val="28"/>
          <w:szCs w:val="28"/>
          <w:highlight w:val="none"/>
        </w:rPr>
      </w:pPr>
      <w:r>
        <w:rPr>
          <w:color w:val="auto"/>
          <w:sz w:val="32"/>
          <w:szCs w:val="20"/>
          <w:highlight w:val="none"/>
        </w:rPr>
        <w:br w:type="page"/>
      </w:r>
      <w:bookmarkStart w:id="143" w:name="_Toc19686836"/>
      <w:bookmarkStart w:id="144" w:name="_Toc254970698"/>
      <w:bookmarkStart w:id="145" w:name="_Toc254970557"/>
      <w:r>
        <w:rPr>
          <w:rFonts w:hint="eastAsia"/>
          <w:b/>
          <w:color w:val="auto"/>
          <w:sz w:val="28"/>
          <w:szCs w:val="28"/>
          <w:highlight w:val="none"/>
        </w:rPr>
        <w:t>一、报价文件格式</w:t>
      </w:r>
      <w:bookmarkEnd w:id="143"/>
    </w:p>
    <w:p w14:paraId="3CDF1D59">
      <w:pPr>
        <w:snapToGrid w:val="0"/>
        <w:spacing w:beforeLines="50" w:after="50" w:line="360" w:lineRule="auto"/>
        <w:ind w:left="142"/>
        <w:jc w:val="left"/>
        <w:rPr>
          <w:rFonts w:ascii="宋体" w:hAnsi="宋体"/>
          <w:color w:val="auto"/>
          <w:sz w:val="24"/>
          <w:szCs w:val="20"/>
          <w:highlight w:val="none"/>
        </w:rPr>
      </w:pPr>
      <w:r>
        <w:rPr>
          <w:rFonts w:hint="eastAsia" w:ascii="宋体" w:hAnsi="宋体"/>
          <w:b/>
          <w:color w:val="auto"/>
          <w:sz w:val="24"/>
          <w:highlight w:val="none"/>
        </w:rPr>
        <w:t xml:space="preserve">1. 报价文件封面格式： </w:t>
      </w:r>
    </w:p>
    <w:p w14:paraId="5EE4A001">
      <w:pPr>
        <w:snapToGrid w:val="0"/>
        <w:spacing w:beforeLines="50" w:after="50" w:line="360" w:lineRule="auto"/>
        <w:ind w:left="142"/>
        <w:jc w:val="center"/>
        <w:rPr>
          <w:rFonts w:ascii="宋体" w:hAnsi="宋体" w:eastAsia="方正小标宋简体"/>
          <w:bCs/>
          <w:color w:val="auto"/>
          <w:sz w:val="48"/>
          <w:szCs w:val="48"/>
          <w:highlight w:val="none"/>
        </w:rPr>
      </w:pPr>
      <w:r>
        <w:rPr>
          <w:rFonts w:hint="eastAsia" w:ascii="宋体" w:hAnsi="宋体" w:eastAsia="方正小标宋简体"/>
          <w:bCs/>
          <w:color w:val="auto"/>
          <w:sz w:val="48"/>
          <w:szCs w:val="48"/>
          <w:highlight w:val="none"/>
        </w:rPr>
        <w:t>电子投标文件</w:t>
      </w:r>
    </w:p>
    <w:p w14:paraId="327F602D">
      <w:pPr>
        <w:snapToGrid w:val="0"/>
        <w:spacing w:beforeLines="50" w:after="50" w:line="400" w:lineRule="exact"/>
        <w:rPr>
          <w:rFonts w:ascii="宋体" w:hAnsi="宋体"/>
          <w:bCs/>
          <w:color w:val="auto"/>
          <w:sz w:val="32"/>
          <w:szCs w:val="20"/>
          <w:highlight w:val="none"/>
        </w:rPr>
      </w:pPr>
    </w:p>
    <w:p w14:paraId="2DF6E383">
      <w:pPr>
        <w:snapToGrid w:val="0"/>
        <w:spacing w:beforeLines="50" w:after="50" w:line="400" w:lineRule="exact"/>
        <w:jc w:val="center"/>
        <w:rPr>
          <w:rFonts w:ascii="宋体" w:hAnsi="宋体"/>
          <w:bCs/>
          <w:color w:val="auto"/>
          <w:sz w:val="24"/>
          <w:szCs w:val="20"/>
          <w:highlight w:val="none"/>
        </w:rPr>
      </w:pPr>
    </w:p>
    <w:p w14:paraId="13CC4A39">
      <w:pPr>
        <w:snapToGrid w:val="0"/>
        <w:spacing w:beforeLines="50" w:after="50" w:line="400" w:lineRule="exact"/>
        <w:jc w:val="center"/>
        <w:rPr>
          <w:rFonts w:ascii="宋体" w:hAnsi="宋体"/>
          <w:b/>
          <w:bCs/>
          <w:color w:val="auto"/>
          <w:sz w:val="32"/>
          <w:szCs w:val="32"/>
          <w:highlight w:val="none"/>
        </w:rPr>
      </w:pPr>
      <w:r>
        <w:rPr>
          <w:rFonts w:hint="eastAsia" w:ascii="宋体" w:hAnsi="宋体"/>
          <w:b/>
          <w:bCs/>
          <w:color w:val="auto"/>
          <w:sz w:val="32"/>
          <w:szCs w:val="32"/>
          <w:highlight w:val="none"/>
        </w:rPr>
        <w:t>报价文件</w:t>
      </w:r>
    </w:p>
    <w:p w14:paraId="56E2E720">
      <w:pPr>
        <w:snapToGrid w:val="0"/>
        <w:spacing w:beforeLines="50" w:after="50" w:line="400" w:lineRule="exact"/>
        <w:rPr>
          <w:rFonts w:ascii="宋体" w:hAnsi="宋体"/>
          <w:bCs/>
          <w:color w:val="auto"/>
          <w:sz w:val="24"/>
          <w:szCs w:val="20"/>
          <w:highlight w:val="none"/>
        </w:rPr>
      </w:pPr>
    </w:p>
    <w:p w14:paraId="373457F8">
      <w:pPr>
        <w:snapToGrid w:val="0"/>
        <w:spacing w:beforeLines="50" w:after="50" w:line="400" w:lineRule="exact"/>
        <w:rPr>
          <w:rFonts w:ascii="宋体" w:hAnsi="宋体"/>
          <w:bCs/>
          <w:color w:val="auto"/>
          <w:sz w:val="24"/>
          <w:szCs w:val="20"/>
          <w:highlight w:val="none"/>
        </w:rPr>
      </w:pPr>
    </w:p>
    <w:p w14:paraId="7AAD1BDF">
      <w:pPr>
        <w:snapToGrid w:val="0"/>
        <w:spacing w:beforeLines="50" w:after="50" w:line="400" w:lineRule="exact"/>
        <w:rPr>
          <w:rFonts w:ascii="宋体" w:hAnsi="宋体"/>
          <w:bCs/>
          <w:color w:val="auto"/>
          <w:sz w:val="24"/>
          <w:szCs w:val="20"/>
          <w:highlight w:val="none"/>
        </w:rPr>
      </w:pPr>
    </w:p>
    <w:p w14:paraId="63EE599B">
      <w:pPr>
        <w:snapToGrid w:val="0"/>
        <w:spacing w:beforeLines="50" w:after="50" w:line="400" w:lineRule="exact"/>
        <w:rPr>
          <w:rFonts w:ascii="宋体" w:hAnsi="宋体"/>
          <w:bCs/>
          <w:color w:val="auto"/>
          <w:sz w:val="24"/>
          <w:szCs w:val="20"/>
          <w:highlight w:val="none"/>
        </w:rPr>
      </w:pPr>
    </w:p>
    <w:p w14:paraId="7118B85E">
      <w:pPr>
        <w:snapToGrid w:val="0"/>
        <w:spacing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 xml:space="preserve">项目名称： </w:t>
      </w:r>
    </w:p>
    <w:p w14:paraId="3A107DB5">
      <w:pPr>
        <w:snapToGrid w:val="0"/>
        <w:spacing w:beforeLines="50" w:after="50" w:line="400" w:lineRule="exact"/>
        <w:ind w:firstLine="360" w:firstLineChars="150"/>
        <w:rPr>
          <w:rFonts w:ascii="宋体" w:hAnsi="宋体"/>
          <w:bCs/>
          <w:color w:val="auto"/>
          <w:sz w:val="24"/>
          <w:highlight w:val="none"/>
        </w:rPr>
      </w:pPr>
    </w:p>
    <w:p w14:paraId="26F587F1">
      <w:pPr>
        <w:snapToGrid w:val="0"/>
        <w:spacing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 xml:space="preserve">项目编号： </w:t>
      </w:r>
    </w:p>
    <w:p w14:paraId="183B689B">
      <w:pPr>
        <w:snapToGrid w:val="0"/>
        <w:spacing w:beforeLines="50" w:after="50" w:line="400" w:lineRule="exact"/>
        <w:ind w:firstLine="360" w:firstLineChars="150"/>
        <w:rPr>
          <w:rFonts w:ascii="宋体" w:hAnsi="宋体"/>
          <w:bCs/>
          <w:color w:val="auto"/>
          <w:sz w:val="24"/>
          <w:highlight w:val="none"/>
        </w:rPr>
      </w:pPr>
    </w:p>
    <w:p w14:paraId="6991E152">
      <w:pPr>
        <w:snapToGrid w:val="0"/>
        <w:spacing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所投分标：</w:t>
      </w:r>
    </w:p>
    <w:p w14:paraId="566AC256">
      <w:pPr>
        <w:snapToGrid w:val="0"/>
        <w:spacing w:beforeLines="50" w:after="50" w:line="400" w:lineRule="exact"/>
        <w:ind w:firstLine="360" w:firstLineChars="150"/>
        <w:rPr>
          <w:rFonts w:ascii="宋体" w:hAnsi="宋体"/>
          <w:bCs/>
          <w:color w:val="auto"/>
          <w:sz w:val="24"/>
          <w:highlight w:val="none"/>
        </w:rPr>
      </w:pPr>
    </w:p>
    <w:p w14:paraId="744E8139">
      <w:pPr>
        <w:snapToGrid w:val="0"/>
        <w:spacing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投标人名称：</w:t>
      </w:r>
    </w:p>
    <w:p w14:paraId="06D95BFF">
      <w:pPr>
        <w:snapToGrid w:val="0"/>
        <w:spacing w:beforeLines="50" w:after="50" w:line="400" w:lineRule="exact"/>
        <w:ind w:firstLine="360" w:firstLineChars="150"/>
        <w:rPr>
          <w:rFonts w:ascii="宋体" w:hAnsi="宋体"/>
          <w:bCs/>
          <w:color w:val="auto"/>
          <w:sz w:val="24"/>
          <w:highlight w:val="none"/>
        </w:rPr>
      </w:pPr>
    </w:p>
    <w:p w14:paraId="6F4F976A">
      <w:pPr>
        <w:snapToGrid w:val="0"/>
        <w:spacing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投标人地址：</w:t>
      </w:r>
    </w:p>
    <w:p w14:paraId="3653BDC1">
      <w:pPr>
        <w:pStyle w:val="9"/>
        <w:snapToGrid w:val="0"/>
        <w:spacing w:before="50" w:after="50" w:line="400" w:lineRule="exact"/>
        <w:ind w:firstLine="960" w:firstLineChars="400"/>
        <w:rPr>
          <w:rFonts w:ascii="宋体" w:hAnsi="宋体"/>
          <w:bCs/>
          <w:color w:val="auto"/>
          <w:sz w:val="24"/>
          <w:szCs w:val="24"/>
          <w:highlight w:val="none"/>
        </w:rPr>
      </w:pPr>
    </w:p>
    <w:p w14:paraId="1E87F790">
      <w:pPr>
        <w:snapToGrid w:val="0"/>
        <w:spacing w:beforeLines="50" w:after="50" w:line="400" w:lineRule="exact"/>
        <w:rPr>
          <w:rFonts w:ascii="宋体" w:hAnsi="宋体"/>
          <w:color w:val="auto"/>
          <w:sz w:val="30"/>
          <w:szCs w:val="20"/>
          <w:highlight w:val="none"/>
        </w:rPr>
      </w:pPr>
      <w:r>
        <w:rPr>
          <w:rFonts w:hint="eastAsia" w:ascii="宋体" w:hAnsi="宋体"/>
          <w:color w:val="auto"/>
          <w:sz w:val="24"/>
          <w:highlight w:val="none"/>
        </w:rPr>
        <w:t xml:space="preserve">                                   年  月  日</w:t>
      </w:r>
    </w:p>
    <w:p w14:paraId="0DD8B541">
      <w:pPr>
        <w:snapToGrid w:val="0"/>
        <w:spacing w:beforeLines="50" w:after="50" w:line="360" w:lineRule="auto"/>
        <w:jc w:val="left"/>
        <w:rPr>
          <w:rFonts w:ascii="宋体" w:hAnsi="宋体"/>
          <w:color w:val="auto"/>
          <w:sz w:val="24"/>
          <w:szCs w:val="20"/>
          <w:highlight w:val="none"/>
        </w:rPr>
      </w:pPr>
      <w:r>
        <w:rPr>
          <w:rFonts w:ascii="宋体" w:hAnsi="宋体"/>
          <w:b/>
          <w:color w:val="auto"/>
          <w:sz w:val="24"/>
          <w:highlight w:val="none"/>
        </w:rPr>
        <w:br w:type="page"/>
      </w:r>
      <w:r>
        <w:rPr>
          <w:rFonts w:hint="eastAsia" w:ascii="宋体" w:hAnsi="宋体"/>
          <w:b/>
          <w:bCs/>
          <w:color w:val="auto"/>
          <w:sz w:val="24"/>
          <w:highlight w:val="none"/>
        </w:rPr>
        <w:t>报价文件目录</w:t>
      </w:r>
    </w:p>
    <w:p w14:paraId="34C55E18">
      <w:pPr>
        <w:snapToGrid w:val="0"/>
        <w:spacing w:before="50" w:afterLines="50" w:line="360" w:lineRule="auto"/>
        <w:jc w:val="left"/>
        <w:rPr>
          <w:rFonts w:ascii="宋体" w:hAnsi="宋体"/>
          <w:b/>
          <w:color w:val="auto"/>
          <w:sz w:val="24"/>
          <w:highlight w:val="none"/>
        </w:rPr>
      </w:pPr>
      <w:r>
        <w:rPr>
          <w:rFonts w:hint="eastAsia" w:ascii="宋体" w:hAnsi="宋体"/>
          <w:color w:val="auto"/>
          <w:szCs w:val="21"/>
          <w:highlight w:val="none"/>
        </w:rPr>
        <w:t>根据招标文件规定及投标人提供的材料自行编写目录。</w:t>
      </w:r>
    </w:p>
    <w:p w14:paraId="576535B3">
      <w:pPr>
        <w:snapToGrid w:val="0"/>
        <w:spacing w:beforeLines="50" w:after="50"/>
        <w:rPr>
          <w:rFonts w:ascii="宋体" w:hAnsi="宋体"/>
          <w:b/>
          <w:color w:val="auto"/>
          <w:sz w:val="24"/>
          <w:highlight w:val="none"/>
        </w:rPr>
      </w:pPr>
    </w:p>
    <w:p w14:paraId="04B457FD">
      <w:pPr>
        <w:snapToGrid w:val="0"/>
        <w:spacing w:beforeLines="50" w:after="50"/>
        <w:rPr>
          <w:rFonts w:ascii="宋体" w:hAnsi="宋体"/>
          <w:b/>
          <w:color w:val="auto"/>
          <w:sz w:val="24"/>
          <w:highlight w:val="none"/>
        </w:rPr>
      </w:pPr>
    </w:p>
    <w:p w14:paraId="22C57715">
      <w:pPr>
        <w:snapToGrid w:val="0"/>
        <w:spacing w:beforeLines="50" w:after="50"/>
        <w:rPr>
          <w:rFonts w:ascii="宋体" w:hAnsi="宋体"/>
          <w:b/>
          <w:color w:val="auto"/>
          <w:sz w:val="24"/>
          <w:highlight w:val="none"/>
        </w:rPr>
      </w:pPr>
    </w:p>
    <w:p w14:paraId="483F9AA3">
      <w:pPr>
        <w:snapToGrid w:val="0"/>
        <w:spacing w:beforeLines="50" w:after="50"/>
        <w:ind w:left="142"/>
        <w:jc w:val="left"/>
        <w:rPr>
          <w:rFonts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4"/>
          <w:highlight w:val="none"/>
        </w:rPr>
        <w:t>1. 投标函格式：</w:t>
      </w:r>
    </w:p>
    <w:p w14:paraId="28C4D2DF">
      <w:pPr>
        <w:snapToGrid w:val="0"/>
        <w:spacing w:beforeLines="50" w:after="50" w:line="320" w:lineRule="exact"/>
        <w:jc w:val="center"/>
        <w:rPr>
          <w:rFonts w:ascii="宋体" w:hAnsi="宋体"/>
          <w:b/>
          <w:color w:val="auto"/>
          <w:sz w:val="32"/>
          <w:szCs w:val="32"/>
          <w:highlight w:val="none"/>
        </w:rPr>
      </w:pPr>
      <w:r>
        <w:rPr>
          <w:rFonts w:hint="eastAsia" w:ascii="宋体" w:hAnsi="宋体"/>
          <w:b/>
          <w:color w:val="auto"/>
          <w:sz w:val="32"/>
          <w:szCs w:val="32"/>
          <w:highlight w:val="none"/>
        </w:rPr>
        <w:t>投 标 函</w:t>
      </w:r>
    </w:p>
    <w:p w14:paraId="1966BA7C">
      <w:pPr>
        <w:snapToGrid w:val="0"/>
        <w:spacing w:beforeLines="50" w:after="50" w:line="320" w:lineRule="exact"/>
        <w:rPr>
          <w:rFonts w:ascii="宋体" w:hAnsi="宋体"/>
          <w:b/>
          <w:color w:val="auto"/>
          <w:sz w:val="24"/>
          <w:szCs w:val="20"/>
          <w:highlight w:val="none"/>
        </w:rPr>
      </w:pPr>
    </w:p>
    <w:p w14:paraId="2B6BD8B5">
      <w:pPr>
        <w:snapToGrid w:val="0"/>
        <w:spacing w:line="360" w:lineRule="auto"/>
        <w:rPr>
          <w:rFonts w:ascii="宋体" w:hAnsi="宋体"/>
          <w:color w:val="auto"/>
          <w:szCs w:val="21"/>
          <w:highlight w:val="none"/>
        </w:rPr>
      </w:pPr>
      <w:r>
        <w:rPr>
          <w:rFonts w:hint="eastAsia" w:ascii="宋体" w:hAnsi="宋体"/>
          <w:color w:val="auto"/>
          <w:szCs w:val="21"/>
          <w:highlight w:val="none"/>
        </w:rPr>
        <w:t>致：</w:t>
      </w:r>
      <w:r>
        <w:rPr>
          <w:rFonts w:hint="eastAsia" w:ascii="宋体" w:hAnsi="宋体"/>
          <w:color w:val="auto"/>
          <w:szCs w:val="21"/>
          <w:highlight w:val="none"/>
          <w:u w:val="single"/>
        </w:rPr>
        <w:t>采购人名称</w:t>
      </w:r>
      <w:r>
        <w:rPr>
          <w:rFonts w:hint="eastAsia" w:ascii="宋体" w:hAnsi="宋体"/>
          <w:color w:val="auto"/>
          <w:szCs w:val="21"/>
          <w:highlight w:val="none"/>
        </w:rPr>
        <w:t>：</w:t>
      </w:r>
    </w:p>
    <w:p w14:paraId="21553A2A">
      <w:pPr>
        <w:snapToGrid w:val="0"/>
        <w:spacing w:line="360" w:lineRule="auto"/>
        <w:ind w:firstLine="480"/>
        <w:rPr>
          <w:rFonts w:ascii="宋体" w:hAnsi="宋体"/>
          <w:color w:val="auto"/>
          <w:szCs w:val="21"/>
          <w:highlight w:val="none"/>
        </w:rPr>
      </w:pPr>
      <w:r>
        <w:rPr>
          <w:rFonts w:hint="eastAsia" w:ascii="宋体" w:hAnsi="宋体"/>
          <w:color w:val="auto"/>
          <w:szCs w:val="21"/>
          <w:highlight w:val="none"/>
        </w:rPr>
        <w:t>根据贵方</w:t>
      </w:r>
      <w:r>
        <w:rPr>
          <w:rFonts w:hint="eastAsia" w:ascii="宋体" w:hAnsi="宋体"/>
          <w:color w:val="auto"/>
          <w:szCs w:val="21"/>
          <w:highlight w:val="none"/>
          <w:u w:val="single"/>
        </w:rPr>
        <w:t xml:space="preserve"> 项目名称</w:t>
      </w:r>
      <w:r>
        <w:rPr>
          <w:rFonts w:hint="eastAsia" w:ascii="宋体" w:hAnsi="宋体"/>
          <w:color w:val="auto"/>
          <w:szCs w:val="21"/>
          <w:highlight w:val="none"/>
        </w:rPr>
        <w:t>（项目编号：）的招标公告，签字代表______（姓名）经正式授权并代表投标人（投标人名称）提交投标文件。</w:t>
      </w:r>
    </w:p>
    <w:p w14:paraId="0FD39FFA">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据此函，我方宣布同意如下：</w:t>
      </w:r>
    </w:p>
    <w:p w14:paraId="00DBBF41">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1.我方已详细审查全部“招标文件”，包括修改文件（如有的话）以及全部参考资料和有关附件，已经了解我方对于招标文件、采购过程、采购结果有依法进行询问、质疑、投诉的权利及相关渠道和要求。</w:t>
      </w:r>
    </w:p>
    <w:p w14:paraId="32155C5D">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2.我方在投标之前已经完全理解并接受招标文件的各项规定和要求，对招标文件的合理性、合法性不再有异议。</w:t>
      </w:r>
    </w:p>
    <w:p w14:paraId="61804EAD">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3.本投标有效期自投标截止之日起日。</w:t>
      </w:r>
    </w:p>
    <w:p w14:paraId="4193EE60">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4.如中标，本投标文件至本项目合同履行完毕止均保持有效，我方将按“招标文件”及政府采购法律、法规的规定履行合同责任和义务。</w:t>
      </w:r>
    </w:p>
    <w:p w14:paraId="71F6B3A2">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5.我方同意按照贵方要求提供与投标有关的一切数据或者资料。</w:t>
      </w:r>
    </w:p>
    <w:p w14:paraId="230497D3">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6.我方向贵方提交的所有投标文件、资料都是准确的和真实的。</w:t>
      </w:r>
    </w:p>
    <w:p w14:paraId="51F89190">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7.以上事项如有虚假或者隐瞒，我方愿意承担一切后果，并不再寻求任何旨在减轻或者免除法律责任的辩解。</w:t>
      </w:r>
    </w:p>
    <w:p w14:paraId="02C02F2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8.根据</w:t>
      </w:r>
      <w:r>
        <w:rPr>
          <w:rFonts w:ascii="宋体" w:hAnsi="宋体"/>
          <w:color w:val="auto"/>
          <w:szCs w:val="21"/>
          <w:highlight w:val="none"/>
        </w:rPr>
        <w:t>《中华人民共和国政府采购法实施条例》第五十条要求对政府采购合同进行公告</w:t>
      </w:r>
      <w:r>
        <w:rPr>
          <w:rFonts w:hint="eastAsia" w:ascii="宋体" w:hAnsi="宋体"/>
          <w:color w:val="auto"/>
          <w:szCs w:val="21"/>
          <w:highlight w:val="none"/>
        </w:rPr>
        <w:t>，</w:t>
      </w:r>
      <w:r>
        <w:rPr>
          <w:rFonts w:ascii="宋体" w:hAnsi="宋体"/>
          <w:color w:val="auto"/>
          <w:szCs w:val="21"/>
          <w:highlight w:val="none"/>
        </w:rPr>
        <w:t>但政府采购合同中涉及国家秘密、商业秘密的内容除外。</w:t>
      </w:r>
      <w:r>
        <w:rPr>
          <w:rFonts w:hint="eastAsia" w:ascii="宋体" w:hAnsi="宋体"/>
          <w:color w:val="auto"/>
          <w:szCs w:val="21"/>
          <w:highlight w:val="none"/>
        </w:rPr>
        <w:t>我方就对本次投标文件进行注明如下：（两项内容中必须选择一项）</w:t>
      </w:r>
    </w:p>
    <w:p w14:paraId="198A9FE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□我方本次投标文件</w:t>
      </w:r>
      <w:r>
        <w:rPr>
          <w:rFonts w:ascii="宋体" w:hAnsi="宋体" w:cs="宋体"/>
          <w:color w:val="auto"/>
          <w:kern w:val="0"/>
          <w:szCs w:val="21"/>
          <w:highlight w:val="none"/>
        </w:rPr>
        <w:t>内容中</w:t>
      </w:r>
      <w:r>
        <w:rPr>
          <w:rFonts w:hint="eastAsia" w:ascii="宋体" w:hAnsi="宋体"/>
          <w:color w:val="auto"/>
          <w:szCs w:val="21"/>
          <w:highlight w:val="none"/>
        </w:rPr>
        <w:t>未</w:t>
      </w:r>
      <w:r>
        <w:rPr>
          <w:rFonts w:ascii="宋体" w:hAnsi="宋体" w:cs="宋体"/>
          <w:color w:val="auto"/>
          <w:kern w:val="0"/>
          <w:szCs w:val="21"/>
          <w:highlight w:val="none"/>
        </w:rPr>
        <w:t>涉及商业秘密</w:t>
      </w:r>
      <w:r>
        <w:rPr>
          <w:rFonts w:hint="eastAsia" w:ascii="宋体" w:hAnsi="宋体" w:cs="宋体"/>
          <w:color w:val="auto"/>
          <w:kern w:val="0"/>
          <w:szCs w:val="21"/>
          <w:highlight w:val="none"/>
        </w:rPr>
        <w:t>；</w:t>
      </w:r>
    </w:p>
    <w:p w14:paraId="527A9B30">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□我方本次投标文件</w:t>
      </w:r>
      <w:r>
        <w:rPr>
          <w:rFonts w:ascii="宋体" w:hAnsi="宋体" w:cs="宋体"/>
          <w:color w:val="auto"/>
          <w:kern w:val="0"/>
          <w:szCs w:val="21"/>
          <w:highlight w:val="none"/>
        </w:rPr>
        <w:t>涉及商业秘密</w:t>
      </w:r>
      <w:r>
        <w:rPr>
          <w:rFonts w:hint="eastAsia" w:ascii="宋体" w:hAnsi="宋体" w:cs="宋体"/>
          <w:color w:val="auto"/>
          <w:kern w:val="0"/>
          <w:szCs w:val="21"/>
          <w:highlight w:val="none"/>
        </w:rPr>
        <w:t>的</w:t>
      </w:r>
      <w:r>
        <w:rPr>
          <w:rFonts w:ascii="宋体" w:hAnsi="宋体" w:cs="宋体"/>
          <w:color w:val="auto"/>
          <w:kern w:val="0"/>
          <w:szCs w:val="21"/>
          <w:highlight w:val="none"/>
        </w:rPr>
        <w:t>内容</w:t>
      </w:r>
      <w:r>
        <w:rPr>
          <w:rFonts w:hint="eastAsia" w:ascii="宋体" w:hAnsi="宋体" w:cs="宋体"/>
          <w:color w:val="auto"/>
          <w:kern w:val="0"/>
          <w:szCs w:val="21"/>
          <w:highlight w:val="none"/>
        </w:rPr>
        <w:t>有：；</w:t>
      </w:r>
    </w:p>
    <w:p w14:paraId="4393C08D">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9.与本投标有关的一切正式往来信函请寄：</w:t>
      </w:r>
    </w:p>
    <w:p w14:paraId="412655BD">
      <w:pPr>
        <w:snapToGrid w:val="0"/>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rPr>
        <w:t>地址：邮编：</w:t>
      </w:r>
    </w:p>
    <w:p w14:paraId="7E6DBD31">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电话：传真：电子邮箱：</w:t>
      </w:r>
    </w:p>
    <w:p w14:paraId="6E415A08">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投标人名称:</w:t>
      </w:r>
    </w:p>
    <w:p w14:paraId="3D10C1D9">
      <w:pPr>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开户银行：   银行帐号：</w:t>
      </w:r>
    </w:p>
    <w:p w14:paraId="62337973">
      <w:pPr>
        <w:snapToGrid w:val="0"/>
        <w:spacing w:line="360" w:lineRule="auto"/>
        <w:ind w:firstLine="420" w:firstLineChars="200"/>
        <w:jc w:val="left"/>
        <w:rPr>
          <w:rFonts w:ascii="宋体" w:hAnsi="宋体"/>
          <w:color w:val="auto"/>
          <w:szCs w:val="21"/>
          <w:highlight w:val="none"/>
        </w:rPr>
      </w:pPr>
    </w:p>
    <w:p w14:paraId="12EF84A9">
      <w:pPr>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 xml:space="preserve">               法定代表人或者委托代理人（签字或者电子签名）:_______ </w:t>
      </w:r>
    </w:p>
    <w:p w14:paraId="4C3E0DBA">
      <w:pPr>
        <w:pStyle w:val="26"/>
        <w:snapToGrid w:val="0"/>
        <w:spacing w:before="295" w:after="295" w:line="360" w:lineRule="auto"/>
        <w:jc w:val="center"/>
        <w:rPr>
          <w:rFonts w:hAnsi="宋体"/>
          <w:color w:val="auto"/>
          <w:sz w:val="21"/>
          <w:highlight w:val="none"/>
          <w:u w:val="single"/>
        </w:rPr>
      </w:pPr>
      <w:r>
        <w:rPr>
          <w:rFonts w:hint="eastAsia" w:hAnsi="宋体"/>
          <w:color w:val="auto"/>
          <w:sz w:val="21"/>
          <w:highlight w:val="none"/>
        </w:rPr>
        <w:t>投标人名称（电子签章）：</w:t>
      </w:r>
    </w:p>
    <w:p w14:paraId="4002B7C4">
      <w:pPr>
        <w:pStyle w:val="26"/>
        <w:snapToGrid w:val="0"/>
        <w:spacing w:before="295" w:after="295" w:line="360" w:lineRule="auto"/>
        <w:rPr>
          <w:rFonts w:hAnsi="宋体"/>
          <w:color w:val="auto"/>
          <w:sz w:val="21"/>
          <w:highlight w:val="none"/>
        </w:rPr>
      </w:pPr>
      <w:r>
        <w:rPr>
          <w:rFonts w:hint="eastAsia" w:hAnsi="宋体"/>
          <w:color w:val="auto"/>
          <w:sz w:val="21"/>
          <w:highlight w:val="none"/>
        </w:rPr>
        <w:t>年月日</w:t>
      </w:r>
    </w:p>
    <w:p w14:paraId="7789F352">
      <w:pPr>
        <w:snapToGrid w:val="0"/>
        <w:spacing w:beforeLines="50" w:after="50"/>
        <w:jc w:val="left"/>
        <w:rPr>
          <w:rFonts w:ascii="宋体" w:hAnsi="宋体"/>
          <w:b/>
          <w:color w:val="auto"/>
          <w:sz w:val="24"/>
          <w:highlight w:val="none"/>
        </w:rPr>
      </w:pPr>
      <w:r>
        <w:rPr>
          <w:rFonts w:hAnsi="宋体"/>
          <w:color w:val="auto"/>
          <w:highlight w:val="none"/>
          <w:u w:val="single"/>
        </w:rPr>
        <w:br w:type="page"/>
      </w:r>
      <w:r>
        <w:rPr>
          <w:rFonts w:hint="eastAsia" w:ascii="宋体" w:hAnsi="宋体"/>
          <w:b/>
          <w:color w:val="auto"/>
          <w:sz w:val="24"/>
          <w:highlight w:val="none"/>
        </w:rPr>
        <w:t>2.开标一览表</w:t>
      </w:r>
    </w:p>
    <w:p w14:paraId="5A6D643B">
      <w:pPr>
        <w:pStyle w:val="2"/>
        <w:ind w:firstLine="0" w:firstLineChars="0"/>
        <w:rPr>
          <w:rFonts w:eastAsia="宋体"/>
          <w:color w:val="auto"/>
          <w:highlight w:val="none"/>
        </w:rPr>
      </w:pPr>
    </w:p>
    <w:p w14:paraId="7733F950">
      <w:pPr>
        <w:snapToGrid w:val="0"/>
        <w:spacing w:before="50" w:after="50"/>
        <w:jc w:val="center"/>
        <w:rPr>
          <w:rFonts w:ascii="宋体" w:hAnsi="宋体"/>
          <w:b/>
          <w:color w:val="auto"/>
          <w:sz w:val="30"/>
          <w:highlight w:val="none"/>
        </w:rPr>
      </w:pPr>
      <w:r>
        <w:rPr>
          <w:rFonts w:hint="eastAsia" w:ascii="宋体" w:hAnsi="宋体"/>
          <w:b/>
          <w:color w:val="auto"/>
          <w:sz w:val="30"/>
          <w:highlight w:val="none"/>
        </w:rPr>
        <w:t>开标一览表</w:t>
      </w:r>
    </w:p>
    <w:p w14:paraId="2EEACA00">
      <w:pPr>
        <w:snapToGrid w:val="0"/>
        <w:spacing w:before="50" w:after="50"/>
        <w:jc w:val="center"/>
        <w:rPr>
          <w:rFonts w:ascii="宋体" w:hAnsi="宋体"/>
          <w:b/>
          <w:color w:val="auto"/>
          <w:sz w:val="30"/>
          <w:szCs w:val="20"/>
          <w:highlight w:val="none"/>
        </w:rPr>
      </w:pPr>
    </w:p>
    <w:p w14:paraId="2B372E18">
      <w:pPr>
        <w:snapToGrid w:val="0"/>
        <w:spacing w:before="50" w:after="50" w:line="360" w:lineRule="auto"/>
        <w:rPr>
          <w:rFonts w:ascii="宋体" w:hAnsi="宋体"/>
          <w:color w:val="auto"/>
          <w:sz w:val="24"/>
          <w:highlight w:val="none"/>
          <w:u w:val="single"/>
        </w:rPr>
      </w:pPr>
      <w:r>
        <w:rPr>
          <w:rFonts w:hint="eastAsia" w:ascii="宋体" w:hAnsi="宋体"/>
          <w:color w:val="auto"/>
          <w:sz w:val="24"/>
          <w:highlight w:val="none"/>
        </w:rPr>
        <w:t>项目名称：项目编号：         分标：</w:t>
      </w:r>
      <w:r>
        <w:rPr>
          <w:rFonts w:hint="eastAsia" w:ascii="宋体" w:hAnsi="宋体"/>
          <w:color w:val="auto"/>
          <w:sz w:val="24"/>
          <w:highlight w:val="none"/>
          <w:u w:val="single"/>
        </w:rPr>
        <w:t xml:space="preserve"> /          </w:t>
      </w:r>
    </w:p>
    <w:p w14:paraId="290F2814">
      <w:pPr>
        <w:snapToGrid w:val="0"/>
        <w:spacing w:before="50" w:after="50" w:line="360" w:lineRule="auto"/>
        <w:rPr>
          <w:rFonts w:ascii="宋体" w:hAnsi="宋体"/>
          <w:color w:val="auto"/>
          <w:sz w:val="24"/>
          <w:highlight w:val="none"/>
        </w:rPr>
      </w:pPr>
      <w:r>
        <w:rPr>
          <w:rFonts w:hint="eastAsia" w:ascii="宋体" w:hAnsi="宋体"/>
          <w:color w:val="auto"/>
          <w:sz w:val="24"/>
          <w:highlight w:val="none"/>
        </w:rPr>
        <w:t>投标人名称：</w:t>
      </w:r>
    </w:p>
    <w:p w14:paraId="4F9F6A9D">
      <w:pPr>
        <w:snapToGrid w:val="0"/>
        <w:spacing w:before="50" w:after="50" w:line="360" w:lineRule="auto"/>
        <w:jc w:val="left"/>
        <w:rPr>
          <w:rFonts w:ascii="宋体" w:hAnsi="宋体"/>
          <w:color w:val="auto"/>
          <w:sz w:val="24"/>
          <w:highlight w:val="none"/>
        </w:rPr>
      </w:pPr>
      <w:r>
        <w:rPr>
          <w:rFonts w:hint="eastAsia" w:ascii="宋体" w:hAnsi="宋体"/>
          <w:color w:val="auto"/>
          <w:sz w:val="24"/>
          <w:highlight w:val="none"/>
        </w:rPr>
        <w:t>单位：元</w:t>
      </w:r>
    </w:p>
    <w:tbl>
      <w:tblPr>
        <w:tblStyle w:val="48"/>
        <w:tblW w:w="9520"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2"/>
        <w:gridCol w:w="2303"/>
        <w:gridCol w:w="1930"/>
        <w:gridCol w:w="1525"/>
        <w:gridCol w:w="1500"/>
        <w:gridCol w:w="1250"/>
      </w:tblGrid>
      <w:tr w14:paraId="7FEC9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1012" w:type="dxa"/>
            <w:tcBorders>
              <w:top w:val="single" w:color="auto" w:sz="4" w:space="0"/>
              <w:left w:val="single" w:color="auto" w:sz="4" w:space="0"/>
              <w:bottom w:val="single" w:color="auto" w:sz="4" w:space="0"/>
              <w:right w:val="single" w:color="auto" w:sz="4" w:space="0"/>
            </w:tcBorders>
            <w:vAlign w:val="center"/>
          </w:tcPr>
          <w:p w14:paraId="0665D551">
            <w:pPr>
              <w:spacing w:line="360" w:lineRule="auto"/>
              <w:jc w:val="center"/>
              <w:rPr>
                <w:rFonts w:ascii="宋体" w:hAnsi="宋体" w:cs="仿宋_GB2312"/>
                <w:color w:val="auto"/>
                <w:sz w:val="24"/>
                <w:highlight w:val="none"/>
              </w:rPr>
            </w:pPr>
            <w:r>
              <w:rPr>
                <w:rFonts w:hint="eastAsia" w:ascii="宋体" w:hAnsi="宋体" w:cs="仿宋_GB2312"/>
                <w:color w:val="auto"/>
                <w:sz w:val="24"/>
                <w:highlight w:val="none"/>
              </w:rPr>
              <w:t>序号</w:t>
            </w:r>
          </w:p>
        </w:tc>
        <w:tc>
          <w:tcPr>
            <w:tcW w:w="2303" w:type="dxa"/>
            <w:tcBorders>
              <w:top w:val="single" w:color="auto" w:sz="4" w:space="0"/>
              <w:left w:val="single" w:color="auto" w:sz="4" w:space="0"/>
              <w:bottom w:val="single" w:color="auto" w:sz="4" w:space="0"/>
              <w:right w:val="single" w:color="auto" w:sz="4" w:space="0"/>
            </w:tcBorders>
            <w:vAlign w:val="center"/>
          </w:tcPr>
          <w:p w14:paraId="138ACA6E">
            <w:pPr>
              <w:spacing w:line="360" w:lineRule="auto"/>
              <w:jc w:val="center"/>
              <w:rPr>
                <w:rFonts w:ascii="宋体" w:hAnsi="宋体" w:cs="仿宋_GB2312"/>
                <w:color w:val="auto"/>
                <w:sz w:val="24"/>
                <w:highlight w:val="none"/>
              </w:rPr>
            </w:pPr>
            <w:r>
              <w:rPr>
                <w:rFonts w:hint="eastAsia" w:ascii="宋体" w:hAnsi="宋体" w:cs="仿宋_GB2312"/>
                <w:color w:val="auto"/>
                <w:sz w:val="24"/>
                <w:highlight w:val="none"/>
              </w:rPr>
              <w:t>标的名称</w:t>
            </w:r>
          </w:p>
        </w:tc>
        <w:tc>
          <w:tcPr>
            <w:tcW w:w="1930" w:type="dxa"/>
            <w:tcBorders>
              <w:top w:val="single" w:color="auto" w:sz="4" w:space="0"/>
              <w:left w:val="single" w:color="auto" w:sz="4" w:space="0"/>
              <w:bottom w:val="single" w:color="auto" w:sz="4" w:space="0"/>
              <w:right w:val="single" w:color="auto" w:sz="4" w:space="0"/>
            </w:tcBorders>
            <w:vAlign w:val="center"/>
          </w:tcPr>
          <w:p w14:paraId="4AAD9BB2">
            <w:pPr>
              <w:spacing w:line="360" w:lineRule="auto"/>
              <w:jc w:val="center"/>
              <w:rPr>
                <w:rFonts w:ascii="宋体" w:hAnsi="宋体" w:cs="仿宋_GB2312"/>
                <w:color w:val="auto"/>
                <w:sz w:val="24"/>
                <w:highlight w:val="none"/>
              </w:rPr>
            </w:pPr>
            <w:r>
              <w:rPr>
                <w:rFonts w:hint="eastAsia" w:ascii="宋体" w:hAnsi="宋体" w:cs="仿宋_GB2312"/>
                <w:color w:val="auto"/>
                <w:sz w:val="24"/>
                <w:highlight w:val="none"/>
              </w:rPr>
              <w:t>技术要求内容</w:t>
            </w:r>
          </w:p>
        </w:tc>
        <w:tc>
          <w:tcPr>
            <w:tcW w:w="1525" w:type="dxa"/>
            <w:tcBorders>
              <w:top w:val="single" w:color="auto" w:sz="4" w:space="0"/>
              <w:left w:val="single" w:color="auto" w:sz="4" w:space="0"/>
              <w:bottom w:val="single" w:color="auto" w:sz="4" w:space="0"/>
              <w:right w:val="single" w:color="auto" w:sz="4" w:space="0"/>
            </w:tcBorders>
            <w:vAlign w:val="center"/>
          </w:tcPr>
          <w:p w14:paraId="4C41554F">
            <w:pPr>
              <w:spacing w:line="360" w:lineRule="auto"/>
              <w:jc w:val="center"/>
              <w:rPr>
                <w:rFonts w:ascii="宋体" w:hAnsi="宋体" w:cs="仿宋_GB2312"/>
                <w:color w:val="auto"/>
                <w:sz w:val="24"/>
                <w:highlight w:val="none"/>
              </w:rPr>
            </w:pPr>
            <w:r>
              <w:rPr>
                <w:rFonts w:hint="eastAsia" w:ascii="宋体" w:hAnsi="宋体" w:cs="仿宋_GB2312"/>
                <w:color w:val="auto"/>
                <w:sz w:val="24"/>
                <w:highlight w:val="none"/>
              </w:rPr>
              <w:t>数量及单位</w:t>
            </w:r>
          </w:p>
        </w:tc>
        <w:tc>
          <w:tcPr>
            <w:tcW w:w="1500" w:type="dxa"/>
            <w:tcBorders>
              <w:top w:val="single" w:color="auto" w:sz="4" w:space="0"/>
              <w:left w:val="single" w:color="auto" w:sz="4" w:space="0"/>
              <w:bottom w:val="single" w:color="auto" w:sz="4" w:space="0"/>
              <w:right w:val="single" w:color="auto" w:sz="4" w:space="0"/>
            </w:tcBorders>
            <w:vAlign w:val="center"/>
          </w:tcPr>
          <w:p w14:paraId="51FE7776">
            <w:pPr>
              <w:spacing w:line="360" w:lineRule="auto"/>
              <w:jc w:val="center"/>
              <w:rPr>
                <w:rFonts w:ascii="宋体" w:hAnsi="宋体" w:cs="仿宋_GB2312"/>
                <w:color w:val="auto"/>
                <w:sz w:val="24"/>
                <w:highlight w:val="none"/>
              </w:rPr>
            </w:pPr>
            <w:r>
              <w:rPr>
                <w:rFonts w:hint="eastAsia" w:ascii="宋体" w:hAnsi="宋体" w:cs="仿宋_GB2312"/>
                <w:color w:val="auto"/>
                <w:sz w:val="24"/>
                <w:highlight w:val="none"/>
              </w:rPr>
              <w:t>投标报价</w:t>
            </w:r>
          </w:p>
        </w:tc>
        <w:tc>
          <w:tcPr>
            <w:tcW w:w="1250" w:type="dxa"/>
            <w:tcBorders>
              <w:top w:val="single" w:color="auto" w:sz="4" w:space="0"/>
              <w:left w:val="single" w:color="auto" w:sz="4" w:space="0"/>
              <w:bottom w:val="single" w:color="auto" w:sz="4" w:space="0"/>
              <w:right w:val="single" w:color="auto" w:sz="4" w:space="0"/>
            </w:tcBorders>
            <w:vAlign w:val="center"/>
          </w:tcPr>
          <w:p w14:paraId="0257006A">
            <w:pPr>
              <w:spacing w:line="360" w:lineRule="auto"/>
              <w:jc w:val="center"/>
              <w:rPr>
                <w:rFonts w:ascii="宋体" w:hAnsi="宋体" w:cs="仿宋_GB2312"/>
                <w:color w:val="auto"/>
                <w:sz w:val="24"/>
                <w:highlight w:val="none"/>
              </w:rPr>
            </w:pPr>
            <w:r>
              <w:rPr>
                <w:rFonts w:hint="eastAsia" w:ascii="宋体" w:hAnsi="宋体" w:cs="仿宋_GB2312"/>
                <w:color w:val="auto"/>
                <w:sz w:val="24"/>
                <w:highlight w:val="none"/>
              </w:rPr>
              <w:t>备注</w:t>
            </w:r>
          </w:p>
        </w:tc>
      </w:tr>
      <w:tr w14:paraId="2D749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6" w:hRule="atLeast"/>
          <w:jc w:val="right"/>
        </w:trPr>
        <w:tc>
          <w:tcPr>
            <w:tcW w:w="1012" w:type="dxa"/>
            <w:tcBorders>
              <w:top w:val="single" w:color="auto" w:sz="4" w:space="0"/>
              <w:left w:val="single" w:color="auto" w:sz="4" w:space="0"/>
              <w:bottom w:val="single" w:color="auto" w:sz="4" w:space="0"/>
              <w:right w:val="single" w:color="auto" w:sz="4" w:space="0"/>
            </w:tcBorders>
            <w:vAlign w:val="center"/>
          </w:tcPr>
          <w:p w14:paraId="656788A1">
            <w:pPr>
              <w:spacing w:line="360" w:lineRule="auto"/>
              <w:jc w:val="center"/>
              <w:rPr>
                <w:rFonts w:ascii="宋体" w:hAnsi="宋体" w:cs="仿宋_GB2312"/>
                <w:color w:val="auto"/>
                <w:sz w:val="24"/>
                <w:highlight w:val="none"/>
              </w:rPr>
            </w:pPr>
            <w:r>
              <w:rPr>
                <w:rFonts w:ascii="宋体" w:hAnsi="宋体" w:cs="仿宋_GB2312"/>
                <w:color w:val="auto"/>
                <w:sz w:val="24"/>
                <w:highlight w:val="none"/>
              </w:rPr>
              <w:t>1</w:t>
            </w:r>
          </w:p>
        </w:tc>
        <w:tc>
          <w:tcPr>
            <w:tcW w:w="2303" w:type="dxa"/>
            <w:tcBorders>
              <w:top w:val="single" w:color="auto" w:sz="4" w:space="0"/>
              <w:left w:val="single" w:color="auto" w:sz="4" w:space="0"/>
              <w:right w:val="single" w:color="auto" w:sz="4" w:space="0"/>
            </w:tcBorders>
            <w:vAlign w:val="center"/>
          </w:tcPr>
          <w:p w14:paraId="16A0AF5D">
            <w:pPr>
              <w:spacing w:line="360" w:lineRule="auto"/>
              <w:jc w:val="center"/>
              <w:rPr>
                <w:rFonts w:ascii="宋体" w:hAnsi="宋体" w:cs="仿宋_GB2312"/>
                <w:color w:val="auto"/>
                <w:sz w:val="24"/>
                <w:highlight w:val="none"/>
              </w:rPr>
            </w:pPr>
            <w:r>
              <w:rPr>
                <w:rFonts w:hint="eastAsia" w:ascii="宋体" w:hAnsi="宋体" w:cs="仿宋_GB2312"/>
                <w:b/>
                <w:bCs/>
                <w:color w:val="auto"/>
                <w:sz w:val="24"/>
                <w:highlight w:val="none"/>
              </w:rPr>
              <w:t>移动警务通流量项目服务采购（市公安局）</w:t>
            </w:r>
          </w:p>
        </w:tc>
        <w:tc>
          <w:tcPr>
            <w:tcW w:w="1930" w:type="dxa"/>
            <w:tcBorders>
              <w:top w:val="single" w:color="auto" w:sz="4" w:space="0"/>
              <w:left w:val="single" w:color="auto" w:sz="4" w:space="0"/>
              <w:bottom w:val="single" w:color="auto" w:sz="4" w:space="0"/>
              <w:right w:val="single" w:color="auto" w:sz="4" w:space="0"/>
            </w:tcBorders>
            <w:vAlign w:val="center"/>
          </w:tcPr>
          <w:p w14:paraId="42FB25BB">
            <w:pPr>
              <w:spacing w:line="360" w:lineRule="auto"/>
              <w:jc w:val="center"/>
              <w:rPr>
                <w:rFonts w:ascii="宋体" w:hAnsi="宋体" w:cs="仿宋_GB2312"/>
                <w:color w:val="auto"/>
                <w:sz w:val="24"/>
                <w:highlight w:val="none"/>
              </w:rPr>
            </w:pPr>
          </w:p>
        </w:tc>
        <w:tc>
          <w:tcPr>
            <w:tcW w:w="1525" w:type="dxa"/>
            <w:tcBorders>
              <w:top w:val="single" w:color="auto" w:sz="4" w:space="0"/>
              <w:left w:val="single" w:color="auto" w:sz="4" w:space="0"/>
              <w:bottom w:val="single" w:color="auto" w:sz="4" w:space="0"/>
              <w:right w:val="single" w:color="auto" w:sz="4" w:space="0"/>
            </w:tcBorders>
            <w:vAlign w:val="center"/>
          </w:tcPr>
          <w:p w14:paraId="7F35E672">
            <w:pPr>
              <w:spacing w:line="360" w:lineRule="auto"/>
              <w:jc w:val="center"/>
              <w:rPr>
                <w:rFonts w:ascii="宋体" w:hAnsi="宋体" w:cs="仿宋_GB2312"/>
                <w:color w:val="auto"/>
                <w:sz w:val="24"/>
                <w:highlight w:val="none"/>
              </w:rPr>
            </w:pPr>
          </w:p>
        </w:tc>
        <w:tc>
          <w:tcPr>
            <w:tcW w:w="1500" w:type="dxa"/>
            <w:tcBorders>
              <w:top w:val="single" w:color="auto" w:sz="4" w:space="0"/>
              <w:left w:val="single" w:color="auto" w:sz="4" w:space="0"/>
              <w:bottom w:val="single" w:color="auto" w:sz="4" w:space="0"/>
              <w:right w:val="single" w:color="auto" w:sz="4" w:space="0"/>
            </w:tcBorders>
          </w:tcPr>
          <w:p w14:paraId="74C29DF2">
            <w:pPr>
              <w:spacing w:line="360" w:lineRule="auto"/>
              <w:rPr>
                <w:rFonts w:ascii="宋体" w:hAnsi="宋体" w:cs="仿宋_GB2312"/>
                <w:color w:val="auto"/>
                <w:sz w:val="24"/>
                <w:highlight w:val="none"/>
              </w:rPr>
            </w:pPr>
          </w:p>
        </w:tc>
        <w:tc>
          <w:tcPr>
            <w:tcW w:w="1250" w:type="dxa"/>
            <w:tcBorders>
              <w:top w:val="single" w:color="auto" w:sz="4" w:space="0"/>
              <w:left w:val="single" w:color="auto" w:sz="4" w:space="0"/>
              <w:right w:val="single" w:color="auto" w:sz="4" w:space="0"/>
            </w:tcBorders>
            <w:vAlign w:val="center"/>
          </w:tcPr>
          <w:p w14:paraId="5885AFA1">
            <w:pPr>
              <w:spacing w:line="360" w:lineRule="auto"/>
              <w:rPr>
                <w:rFonts w:ascii="宋体" w:hAnsi="宋体" w:cs="仿宋_GB2312"/>
                <w:color w:val="auto"/>
                <w:sz w:val="24"/>
                <w:highlight w:val="none"/>
              </w:rPr>
            </w:pPr>
          </w:p>
        </w:tc>
      </w:tr>
      <w:tr w14:paraId="42B78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jc w:val="right"/>
        </w:trPr>
        <w:tc>
          <w:tcPr>
            <w:tcW w:w="9520" w:type="dxa"/>
            <w:gridSpan w:val="6"/>
            <w:tcBorders>
              <w:top w:val="single" w:color="auto" w:sz="4" w:space="0"/>
              <w:left w:val="single" w:color="auto" w:sz="4" w:space="0"/>
              <w:bottom w:val="single" w:color="auto" w:sz="4" w:space="0"/>
              <w:right w:val="single" w:color="auto" w:sz="4" w:space="0"/>
            </w:tcBorders>
            <w:vAlign w:val="center"/>
          </w:tcPr>
          <w:p w14:paraId="54092FA0">
            <w:pPr>
              <w:autoSpaceDE w:val="0"/>
              <w:autoSpaceDN w:val="0"/>
              <w:spacing w:line="360" w:lineRule="auto"/>
              <w:rPr>
                <w:rFonts w:ascii="宋体" w:hAnsi="宋体" w:cs="宋体"/>
                <w:color w:val="auto"/>
                <w:sz w:val="24"/>
                <w:highlight w:val="none"/>
                <w:u w:val="single"/>
                <w:lang w:bidi="zh-CN"/>
              </w:rPr>
            </w:pPr>
            <w:r>
              <w:rPr>
                <w:rFonts w:hint="eastAsia" w:ascii="宋体" w:hAnsi="宋体" w:cs="宋体"/>
                <w:color w:val="auto"/>
                <w:sz w:val="24"/>
                <w:highlight w:val="none"/>
                <w:lang w:bidi="zh-CN"/>
              </w:rPr>
              <w:t>1、合计金额大写：</w:t>
            </w:r>
            <w:r>
              <w:rPr>
                <w:rFonts w:hint="eastAsia" w:ascii="宋体" w:hAnsi="宋体" w:cs="宋体"/>
                <w:color w:val="auto"/>
                <w:sz w:val="24"/>
                <w:highlight w:val="none"/>
                <w:u w:val="single"/>
                <w:lang w:bidi="zh-CN"/>
              </w:rPr>
              <w:t>人民币        （¥          ）</w:t>
            </w:r>
          </w:p>
          <w:p w14:paraId="1D2CC580">
            <w:pPr>
              <w:autoSpaceDE w:val="0"/>
              <w:autoSpaceDN w:val="0"/>
              <w:spacing w:line="360" w:lineRule="auto"/>
              <w:rPr>
                <w:color w:val="auto"/>
                <w:highlight w:val="none"/>
                <w:lang w:val="zh-CN"/>
              </w:rPr>
            </w:pPr>
            <w:r>
              <w:rPr>
                <w:rFonts w:hint="eastAsia" w:ascii="宋体" w:hAnsi="宋体" w:cs="宋体"/>
                <w:color w:val="auto"/>
                <w:sz w:val="24"/>
                <w:highlight w:val="none"/>
                <w:lang w:bidi="zh-CN"/>
              </w:rPr>
              <w:t>2、</w:t>
            </w:r>
            <w:r>
              <w:rPr>
                <w:rFonts w:hint="eastAsia" w:ascii="宋体" w:hAnsi="宋体" w:cs="宋体"/>
                <w:color w:val="auto"/>
                <w:sz w:val="24"/>
                <w:highlight w:val="none"/>
                <w:lang w:val="zh-CN" w:bidi="zh-CN"/>
              </w:rPr>
              <w:t>服务期限：</w:t>
            </w:r>
          </w:p>
          <w:p w14:paraId="5E375E20">
            <w:pPr>
              <w:snapToGrid w:val="0"/>
              <w:spacing w:before="50" w:after="50" w:line="360" w:lineRule="auto"/>
              <w:rPr>
                <w:rFonts w:ascii="宋体" w:hAnsi="宋体" w:cs="仿宋_GB2312"/>
                <w:color w:val="auto"/>
                <w:sz w:val="24"/>
                <w:highlight w:val="none"/>
              </w:rPr>
            </w:pPr>
            <w:r>
              <w:rPr>
                <w:rFonts w:hint="eastAsia"/>
                <w:color w:val="auto"/>
                <w:sz w:val="24"/>
                <w:highlight w:val="none"/>
              </w:rPr>
              <w:t>3、提交服务成果时间：</w:t>
            </w:r>
          </w:p>
        </w:tc>
      </w:tr>
    </w:tbl>
    <w:p w14:paraId="463398BF">
      <w:pPr>
        <w:snapToGrid w:val="0"/>
        <w:spacing w:line="360" w:lineRule="auto"/>
        <w:jc w:val="left"/>
        <w:rPr>
          <w:rFonts w:ascii="宋体" w:hAnsi="宋体"/>
          <w:color w:val="auto"/>
          <w:sz w:val="24"/>
          <w:highlight w:val="none"/>
        </w:rPr>
      </w:pPr>
      <w:r>
        <w:rPr>
          <w:rFonts w:hint="eastAsia" w:ascii="宋体" w:hAnsi="宋体"/>
          <w:color w:val="auto"/>
          <w:sz w:val="24"/>
          <w:highlight w:val="none"/>
        </w:rPr>
        <w:t xml:space="preserve">注: </w:t>
      </w:r>
    </w:p>
    <w:p w14:paraId="038F70B7">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1.投标人的开标一览表必须加盖投标人电子签章并由</w:t>
      </w:r>
      <w:r>
        <w:rPr>
          <w:rFonts w:ascii="宋体" w:hAnsi="宋体"/>
          <w:color w:val="auto"/>
          <w:sz w:val="24"/>
          <w:highlight w:val="none"/>
        </w:rPr>
        <w:t>法定代表人或者委托代理人</w:t>
      </w:r>
      <w:r>
        <w:rPr>
          <w:rFonts w:hint="eastAsia" w:ascii="宋体" w:hAnsi="宋体"/>
          <w:color w:val="auto"/>
          <w:sz w:val="24"/>
          <w:highlight w:val="none"/>
        </w:rPr>
        <w:t>签字或者电子签名，</w:t>
      </w:r>
      <w:r>
        <w:rPr>
          <w:rFonts w:hint="eastAsia" w:ascii="宋体" w:hAnsi="宋体"/>
          <w:b/>
          <w:color w:val="auto"/>
          <w:sz w:val="24"/>
          <w:highlight w:val="none"/>
        </w:rPr>
        <w:t>否则其投标作无效标处理</w:t>
      </w:r>
      <w:r>
        <w:rPr>
          <w:rFonts w:hint="eastAsia" w:ascii="宋体" w:hAnsi="宋体"/>
          <w:color w:val="auto"/>
          <w:sz w:val="24"/>
          <w:highlight w:val="none"/>
        </w:rPr>
        <w:t>。</w:t>
      </w:r>
    </w:p>
    <w:p w14:paraId="0C044418">
      <w:pPr>
        <w:snapToGrid w:val="0"/>
        <w:spacing w:line="360" w:lineRule="auto"/>
        <w:ind w:firstLine="480" w:firstLineChars="200"/>
        <w:jc w:val="left"/>
        <w:rPr>
          <w:rFonts w:ascii="宋体" w:hAnsi="宋体"/>
          <w:b/>
          <w:color w:val="auto"/>
          <w:sz w:val="24"/>
          <w:highlight w:val="none"/>
        </w:rPr>
      </w:pPr>
      <w:r>
        <w:rPr>
          <w:rFonts w:hint="eastAsia" w:ascii="宋体" w:hAnsi="宋体"/>
          <w:bCs/>
          <w:color w:val="auto"/>
          <w:sz w:val="24"/>
          <w:highlight w:val="none"/>
        </w:rPr>
        <w:t>2.</w:t>
      </w:r>
      <w:r>
        <w:rPr>
          <w:rFonts w:hint="eastAsia" w:ascii="宋体" w:hAnsi="宋体"/>
          <w:color w:val="auto"/>
          <w:sz w:val="24"/>
          <w:highlight w:val="none"/>
        </w:rPr>
        <w:t>报价一经涂改，应在涂改处加盖投标人公章</w:t>
      </w:r>
      <w:r>
        <w:rPr>
          <w:rFonts w:hint="eastAsia" w:ascii="宋体" w:hAnsi="宋体" w:cs="仿宋_GB2312"/>
          <w:color w:val="auto"/>
          <w:sz w:val="24"/>
          <w:highlight w:val="none"/>
        </w:rPr>
        <w:t>或者加盖电子签章</w:t>
      </w:r>
      <w:r>
        <w:rPr>
          <w:rFonts w:hint="eastAsia" w:ascii="宋体" w:hAnsi="宋体"/>
          <w:color w:val="auto"/>
          <w:sz w:val="24"/>
          <w:highlight w:val="none"/>
        </w:rPr>
        <w:t>或者由法定代表人或者委托代理人签字（或者电子签名）</w:t>
      </w:r>
      <w:r>
        <w:rPr>
          <w:rFonts w:hint="eastAsia" w:ascii="宋体" w:hAnsi="宋体"/>
          <w:b/>
          <w:color w:val="auto"/>
          <w:sz w:val="24"/>
          <w:highlight w:val="none"/>
        </w:rPr>
        <w:t>，否则其投标作无效标处理。</w:t>
      </w:r>
    </w:p>
    <w:p w14:paraId="26077A75">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3.招标文件中列明采购专用耗材的，应按招标文件规定的耗材量或者按耗材的常规试用量提供报价。</w:t>
      </w:r>
    </w:p>
    <w:p w14:paraId="0F57A516">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4.如为联合体投标，“投标人名称”处必须列明联合体各方名称，并标注联合体牵头人名称，</w:t>
      </w:r>
      <w:r>
        <w:rPr>
          <w:rFonts w:hint="eastAsia" w:ascii="宋体" w:hAnsi="宋体"/>
          <w:b/>
          <w:color w:val="auto"/>
          <w:sz w:val="24"/>
          <w:highlight w:val="none"/>
        </w:rPr>
        <w:t>否则其投标作无效标处理。</w:t>
      </w:r>
    </w:p>
    <w:p w14:paraId="16028FA4">
      <w:pPr>
        <w:snapToGrid w:val="0"/>
        <w:spacing w:line="360" w:lineRule="auto"/>
        <w:ind w:firstLine="456" w:firstLineChars="200"/>
        <w:jc w:val="left"/>
        <w:rPr>
          <w:rFonts w:ascii="宋体" w:hAnsi="宋体"/>
          <w:color w:val="auto"/>
          <w:spacing w:val="-6"/>
          <w:sz w:val="24"/>
          <w:highlight w:val="none"/>
        </w:rPr>
      </w:pPr>
      <w:r>
        <w:rPr>
          <w:rFonts w:hint="eastAsia" w:ascii="宋体" w:hAnsi="宋体"/>
          <w:color w:val="auto"/>
          <w:spacing w:val="-6"/>
          <w:sz w:val="24"/>
          <w:highlight w:val="none"/>
        </w:rPr>
        <w:t>5.如为联合体投标，盖章处须加盖联合体牵头人电子签章，</w:t>
      </w:r>
      <w:r>
        <w:rPr>
          <w:rFonts w:hint="eastAsia" w:ascii="宋体" w:hAnsi="宋体"/>
          <w:b/>
          <w:color w:val="auto"/>
          <w:spacing w:val="-6"/>
          <w:sz w:val="24"/>
          <w:highlight w:val="none"/>
        </w:rPr>
        <w:t>否则其投标作无效标处理。</w:t>
      </w:r>
    </w:p>
    <w:p w14:paraId="12921ACF">
      <w:pPr>
        <w:snapToGrid w:val="0"/>
        <w:spacing w:line="360" w:lineRule="auto"/>
        <w:ind w:firstLine="480" w:firstLineChars="200"/>
        <w:rPr>
          <w:rFonts w:ascii="宋体" w:hAnsi="宋体"/>
          <w:b/>
          <w:color w:val="auto"/>
          <w:sz w:val="24"/>
          <w:highlight w:val="none"/>
        </w:rPr>
      </w:pPr>
      <w:r>
        <w:rPr>
          <w:rFonts w:hint="eastAsia" w:ascii="宋体" w:hAnsi="宋体"/>
          <w:color w:val="auto"/>
          <w:sz w:val="24"/>
          <w:highlight w:val="none"/>
        </w:rPr>
        <w:t>6.如有多分标，按分标分别提供开标一览表，</w:t>
      </w:r>
      <w:r>
        <w:rPr>
          <w:rFonts w:hint="eastAsia" w:ascii="宋体" w:hAnsi="宋体"/>
          <w:b/>
          <w:color w:val="auto"/>
          <w:sz w:val="24"/>
          <w:highlight w:val="none"/>
        </w:rPr>
        <w:t>否则投标无效。</w:t>
      </w:r>
    </w:p>
    <w:p w14:paraId="617B213E">
      <w:pPr>
        <w:snapToGrid w:val="0"/>
        <w:spacing w:line="360" w:lineRule="auto"/>
        <w:ind w:left="-2" w:leftChars="-1" w:right="-817" w:rightChars="-389"/>
        <w:rPr>
          <w:rFonts w:ascii="宋体" w:hAnsi="宋体"/>
          <w:color w:val="auto"/>
          <w:sz w:val="24"/>
          <w:highlight w:val="none"/>
        </w:rPr>
      </w:pPr>
      <w:r>
        <w:rPr>
          <w:rFonts w:hint="eastAsia" w:ascii="宋体" w:hAnsi="宋体"/>
          <w:color w:val="auto"/>
          <w:sz w:val="24"/>
          <w:highlight w:val="none"/>
        </w:rPr>
        <w:t xml:space="preserve">                           法定代表人或者委托代理人（签字或者电子签名）： </w:t>
      </w:r>
    </w:p>
    <w:p w14:paraId="3E1DA57D">
      <w:pPr>
        <w:snapToGrid w:val="0"/>
        <w:spacing w:line="360" w:lineRule="auto"/>
        <w:ind w:left="-3" w:leftChars="-15" w:right="-817" w:rightChars="-389" w:hanging="28" w:hangingChars="12"/>
        <w:rPr>
          <w:rFonts w:ascii="宋体" w:hAnsi="宋体"/>
          <w:color w:val="auto"/>
          <w:sz w:val="24"/>
          <w:highlight w:val="none"/>
        </w:rPr>
      </w:pPr>
      <w:r>
        <w:rPr>
          <w:rFonts w:hint="eastAsia" w:ascii="宋体" w:hAnsi="宋体"/>
          <w:color w:val="auto"/>
          <w:sz w:val="24"/>
          <w:highlight w:val="none"/>
        </w:rPr>
        <w:t xml:space="preserve">                                  投标人名称（电子签章）：</w:t>
      </w:r>
    </w:p>
    <w:p w14:paraId="153D82FA">
      <w:pPr>
        <w:snapToGrid w:val="0"/>
        <w:spacing w:line="360" w:lineRule="auto"/>
        <w:ind w:left="-3" w:leftChars="-15" w:right="-817" w:rightChars="-389" w:hanging="28" w:hangingChars="12"/>
        <w:rPr>
          <w:rFonts w:ascii="宋体" w:hAnsi="宋体"/>
          <w:color w:val="auto"/>
          <w:sz w:val="24"/>
          <w:highlight w:val="none"/>
        </w:rPr>
      </w:pPr>
      <w:r>
        <w:rPr>
          <w:rFonts w:hint="eastAsia" w:ascii="宋体" w:hAnsi="宋体"/>
          <w:color w:val="auto"/>
          <w:sz w:val="24"/>
          <w:highlight w:val="none"/>
        </w:rPr>
        <w:t xml:space="preserve">                                  日期：    年   月   日</w:t>
      </w:r>
    </w:p>
    <w:p w14:paraId="0E84D2E9">
      <w:pPr>
        <w:spacing w:before="199"/>
        <w:ind w:right="979"/>
        <w:jc w:val="left"/>
        <w:rPr>
          <w:b/>
          <w:color w:val="auto"/>
          <w:sz w:val="32"/>
          <w:szCs w:val="32"/>
          <w:highlight w:val="none"/>
        </w:rPr>
      </w:pPr>
    </w:p>
    <w:p w14:paraId="46F104F2">
      <w:pPr>
        <w:snapToGrid w:val="0"/>
        <w:spacing w:beforeLines="50" w:after="50"/>
        <w:jc w:val="left"/>
        <w:rPr>
          <w:rFonts w:ascii="宋体" w:hAnsi="宋体"/>
          <w:b/>
          <w:color w:val="auto"/>
          <w:sz w:val="24"/>
          <w:highlight w:val="none"/>
        </w:rPr>
      </w:pPr>
      <w:r>
        <w:rPr>
          <w:rFonts w:hint="eastAsia" w:ascii="宋体" w:hAnsi="宋体"/>
          <w:b/>
          <w:color w:val="auto"/>
          <w:sz w:val="24"/>
          <w:highlight w:val="none"/>
        </w:rPr>
        <w:t>3.交警支队部分：</w:t>
      </w:r>
    </w:p>
    <w:p w14:paraId="1A10EC8C">
      <w:pPr>
        <w:pStyle w:val="2"/>
        <w:ind w:firstLine="0" w:firstLineChars="0"/>
        <w:rPr>
          <w:rFonts w:eastAsia="宋体"/>
          <w:color w:val="auto"/>
          <w:highlight w:val="none"/>
        </w:rPr>
      </w:pPr>
    </w:p>
    <w:p w14:paraId="5AB23AFB">
      <w:pPr>
        <w:snapToGrid w:val="0"/>
        <w:spacing w:before="50" w:after="50"/>
        <w:jc w:val="center"/>
        <w:rPr>
          <w:rFonts w:ascii="宋体" w:hAnsi="宋体"/>
          <w:b/>
          <w:color w:val="auto"/>
          <w:sz w:val="30"/>
          <w:highlight w:val="none"/>
        </w:rPr>
      </w:pPr>
      <w:r>
        <w:rPr>
          <w:rFonts w:hint="eastAsia" w:ascii="宋体" w:hAnsi="宋体"/>
          <w:b/>
          <w:color w:val="auto"/>
          <w:sz w:val="30"/>
          <w:highlight w:val="none"/>
        </w:rPr>
        <w:t>开标一览表</w:t>
      </w:r>
    </w:p>
    <w:p w14:paraId="6BD98661">
      <w:pPr>
        <w:snapToGrid w:val="0"/>
        <w:spacing w:before="50" w:after="50"/>
        <w:jc w:val="center"/>
        <w:rPr>
          <w:rFonts w:ascii="宋体" w:hAnsi="宋体"/>
          <w:b/>
          <w:color w:val="auto"/>
          <w:sz w:val="30"/>
          <w:szCs w:val="20"/>
          <w:highlight w:val="none"/>
        </w:rPr>
      </w:pPr>
    </w:p>
    <w:p w14:paraId="77E68660">
      <w:pPr>
        <w:snapToGrid w:val="0"/>
        <w:spacing w:before="50" w:after="50" w:line="360" w:lineRule="auto"/>
        <w:rPr>
          <w:rFonts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项目名称：         项目编号：         分标：</w:t>
      </w:r>
      <w:r>
        <w:rPr>
          <w:rFonts w:hint="eastAsia" w:asciiTheme="minorEastAsia" w:hAnsiTheme="minorEastAsia" w:eastAsiaTheme="minorEastAsia" w:cstheme="minorEastAsia"/>
          <w:color w:val="auto"/>
          <w:sz w:val="24"/>
          <w:highlight w:val="none"/>
          <w:u w:val="single"/>
        </w:rPr>
        <w:t xml:space="preserve"> /          </w:t>
      </w:r>
    </w:p>
    <w:p w14:paraId="47CB1849">
      <w:pPr>
        <w:snapToGrid w:val="0"/>
        <w:spacing w:before="50" w:after="50"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投标人名称：</w:t>
      </w:r>
    </w:p>
    <w:p w14:paraId="30CC7C85">
      <w:pPr>
        <w:pStyle w:val="2"/>
        <w:ind w:firstLine="915"/>
        <w:rPr>
          <w:rFonts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单位：元</w:t>
      </w:r>
    </w:p>
    <w:tbl>
      <w:tblPr>
        <w:tblStyle w:val="49"/>
        <w:tblW w:w="0" w:type="auto"/>
        <w:tblInd w:w="-2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5"/>
        <w:gridCol w:w="2105"/>
        <w:gridCol w:w="3041"/>
        <w:gridCol w:w="1936"/>
        <w:gridCol w:w="1950"/>
      </w:tblGrid>
      <w:tr w14:paraId="74512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215" w:type="dxa"/>
            <w:vAlign w:val="center"/>
          </w:tcPr>
          <w:p w14:paraId="467144AA">
            <w:pPr>
              <w:pStyle w:val="2"/>
              <w:ind w:firstLine="0" w:firstLineChars="0"/>
              <w:jc w:val="center"/>
              <w:rPr>
                <w:rFonts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项号</w:t>
            </w:r>
          </w:p>
        </w:tc>
        <w:tc>
          <w:tcPr>
            <w:tcW w:w="2105" w:type="dxa"/>
            <w:vAlign w:val="center"/>
          </w:tcPr>
          <w:p w14:paraId="3DFA6F6F">
            <w:pPr>
              <w:pStyle w:val="2"/>
              <w:ind w:firstLine="0" w:firstLineChars="0"/>
              <w:jc w:val="center"/>
              <w:rPr>
                <w:rFonts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服务名称</w:t>
            </w:r>
          </w:p>
        </w:tc>
        <w:tc>
          <w:tcPr>
            <w:tcW w:w="3041" w:type="dxa"/>
            <w:vAlign w:val="center"/>
          </w:tcPr>
          <w:p w14:paraId="33FF712A">
            <w:pPr>
              <w:pStyle w:val="2"/>
              <w:ind w:firstLine="0" w:firstLineChars="0"/>
              <w:jc w:val="center"/>
              <w:rPr>
                <w:rFonts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技术要求内容</w:t>
            </w:r>
          </w:p>
        </w:tc>
        <w:tc>
          <w:tcPr>
            <w:tcW w:w="1936" w:type="dxa"/>
            <w:vAlign w:val="center"/>
          </w:tcPr>
          <w:p w14:paraId="081B2278">
            <w:pPr>
              <w:pStyle w:val="2"/>
              <w:ind w:firstLine="0" w:firstLineChars="0"/>
              <w:jc w:val="center"/>
              <w:rPr>
                <w:rFonts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数量及单位</w:t>
            </w:r>
          </w:p>
        </w:tc>
        <w:tc>
          <w:tcPr>
            <w:tcW w:w="1950" w:type="dxa"/>
            <w:vAlign w:val="center"/>
          </w:tcPr>
          <w:p w14:paraId="19EAACF9">
            <w:pPr>
              <w:pStyle w:val="2"/>
              <w:ind w:firstLine="0" w:firstLineChars="0"/>
              <w:jc w:val="center"/>
              <w:rPr>
                <w:rFonts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投标报价</w:t>
            </w:r>
          </w:p>
        </w:tc>
      </w:tr>
      <w:tr w14:paraId="25036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trPr>
        <w:tc>
          <w:tcPr>
            <w:tcW w:w="1215" w:type="dxa"/>
            <w:vAlign w:val="center"/>
          </w:tcPr>
          <w:p w14:paraId="4F22E04F">
            <w:pPr>
              <w:pStyle w:val="2"/>
              <w:ind w:firstLine="0" w:firstLineChars="0"/>
              <w:jc w:val="center"/>
              <w:rPr>
                <w:rFonts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1</w:t>
            </w:r>
          </w:p>
        </w:tc>
        <w:tc>
          <w:tcPr>
            <w:tcW w:w="2105" w:type="dxa"/>
            <w:vAlign w:val="center"/>
          </w:tcPr>
          <w:p w14:paraId="676645FF">
            <w:pPr>
              <w:pStyle w:val="2"/>
              <w:ind w:firstLine="0" w:firstLineChars="0"/>
              <w:jc w:val="center"/>
              <w:rPr>
                <w:rFonts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移动警务通流量项目服务采购（交警支队）</w:t>
            </w:r>
          </w:p>
        </w:tc>
        <w:tc>
          <w:tcPr>
            <w:tcW w:w="3041" w:type="dxa"/>
            <w:vAlign w:val="center"/>
          </w:tcPr>
          <w:p w14:paraId="14979B8C">
            <w:pPr>
              <w:pStyle w:val="2"/>
              <w:ind w:firstLine="915"/>
              <w:jc w:val="center"/>
              <w:rPr>
                <w:rFonts w:asciiTheme="minorEastAsia" w:hAnsiTheme="minorEastAsia" w:eastAsiaTheme="minorEastAsia" w:cstheme="minorEastAsia"/>
                <w:color w:val="auto"/>
                <w:szCs w:val="24"/>
                <w:highlight w:val="none"/>
              </w:rPr>
            </w:pPr>
          </w:p>
        </w:tc>
        <w:tc>
          <w:tcPr>
            <w:tcW w:w="1936" w:type="dxa"/>
            <w:vAlign w:val="center"/>
          </w:tcPr>
          <w:p w14:paraId="6171A3F6">
            <w:pPr>
              <w:pStyle w:val="2"/>
              <w:ind w:firstLine="915"/>
              <w:jc w:val="center"/>
              <w:rPr>
                <w:rFonts w:asciiTheme="minorEastAsia" w:hAnsiTheme="minorEastAsia" w:eastAsiaTheme="minorEastAsia" w:cstheme="minorEastAsia"/>
                <w:color w:val="auto"/>
                <w:szCs w:val="24"/>
                <w:highlight w:val="none"/>
              </w:rPr>
            </w:pPr>
          </w:p>
        </w:tc>
        <w:tc>
          <w:tcPr>
            <w:tcW w:w="1950" w:type="dxa"/>
            <w:vAlign w:val="center"/>
          </w:tcPr>
          <w:p w14:paraId="0C2AA688">
            <w:pPr>
              <w:pStyle w:val="2"/>
              <w:ind w:firstLine="915"/>
              <w:jc w:val="center"/>
              <w:rPr>
                <w:rFonts w:asciiTheme="minorEastAsia" w:hAnsiTheme="minorEastAsia" w:eastAsiaTheme="minorEastAsia" w:cstheme="minorEastAsia"/>
                <w:color w:val="auto"/>
                <w:szCs w:val="24"/>
                <w:highlight w:val="none"/>
              </w:rPr>
            </w:pPr>
          </w:p>
        </w:tc>
      </w:tr>
      <w:tr w14:paraId="5E011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0" w:hRule="atLeast"/>
        </w:trPr>
        <w:tc>
          <w:tcPr>
            <w:tcW w:w="10247" w:type="dxa"/>
            <w:gridSpan w:val="5"/>
          </w:tcPr>
          <w:p w14:paraId="2B802D54">
            <w:pPr>
              <w:numPr>
                <w:ilvl w:val="255"/>
                <w:numId w:val="0"/>
              </w:numPr>
              <w:autoSpaceDE w:val="0"/>
              <w:autoSpaceDN w:val="0"/>
              <w:spacing w:line="360" w:lineRule="auto"/>
              <w:rPr>
                <w:rFonts w:asciiTheme="minorEastAsia" w:hAnsiTheme="minorEastAsia" w:eastAsiaTheme="minorEastAsia" w:cstheme="minorEastAsia"/>
                <w:color w:val="auto"/>
                <w:sz w:val="24"/>
                <w:highlight w:val="none"/>
                <w:u w:val="single"/>
                <w:lang w:bidi="zh-CN"/>
              </w:rPr>
            </w:pPr>
            <w:r>
              <w:rPr>
                <w:rFonts w:hint="eastAsia" w:asciiTheme="minorEastAsia" w:hAnsiTheme="minorEastAsia" w:eastAsiaTheme="minorEastAsia" w:cstheme="minorEastAsia"/>
                <w:color w:val="auto"/>
                <w:sz w:val="24"/>
                <w:highlight w:val="none"/>
                <w:lang w:bidi="zh-CN"/>
              </w:rPr>
              <w:t>1、合计金额大写：</w:t>
            </w:r>
            <w:r>
              <w:rPr>
                <w:rFonts w:hint="eastAsia" w:asciiTheme="minorEastAsia" w:hAnsiTheme="minorEastAsia" w:eastAsiaTheme="minorEastAsia" w:cstheme="minorEastAsia"/>
                <w:color w:val="auto"/>
                <w:sz w:val="24"/>
                <w:highlight w:val="none"/>
                <w:u w:val="single"/>
                <w:lang w:bidi="zh-CN"/>
              </w:rPr>
              <w:t>人民币        （¥          ）</w:t>
            </w:r>
          </w:p>
          <w:p w14:paraId="4F3EF1B8">
            <w:pPr>
              <w:autoSpaceDE w:val="0"/>
              <w:autoSpaceDN w:val="0"/>
              <w:spacing w:line="360" w:lineRule="auto"/>
              <w:rPr>
                <w:rFonts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lang w:bidi="zh-CN"/>
              </w:rPr>
              <w:t>2、</w:t>
            </w:r>
            <w:r>
              <w:rPr>
                <w:rFonts w:hint="eastAsia" w:asciiTheme="minorEastAsia" w:hAnsiTheme="minorEastAsia" w:eastAsiaTheme="minorEastAsia" w:cstheme="minorEastAsia"/>
                <w:color w:val="auto"/>
                <w:sz w:val="24"/>
                <w:highlight w:val="none"/>
                <w:lang w:val="zh-CN" w:bidi="zh-CN"/>
              </w:rPr>
              <w:t>服务期限：</w:t>
            </w:r>
          </w:p>
          <w:p w14:paraId="04C5AEC2">
            <w:pPr>
              <w:pStyle w:val="2"/>
              <w:ind w:firstLine="0" w:firstLineChars="0"/>
              <w:rPr>
                <w:rFonts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3、提交服务成果时间：</w:t>
            </w:r>
          </w:p>
        </w:tc>
      </w:tr>
    </w:tbl>
    <w:p w14:paraId="0C42CAC3">
      <w:pPr>
        <w:snapToGrid w:val="0"/>
        <w:spacing w:line="360" w:lineRule="auto"/>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注: </w:t>
      </w:r>
    </w:p>
    <w:p w14:paraId="71F60FDD">
      <w:pPr>
        <w:snapToGrid w:val="0"/>
        <w:spacing w:line="360" w:lineRule="auto"/>
        <w:ind w:firstLine="480" w:firstLineChars="2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1.投标人的开标一览表必须加盖投标人电子签章并由法定代表人或者委托代理人签字或者电子签名，</w:t>
      </w:r>
      <w:r>
        <w:rPr>
          <w:rFonts w:hint="eastAsia" w:asciiTheme="minorEastAsia" w:hAnsiTheme="minorEastAsia" w:eastAsiaTheme="minorEastAsia" w:cstheme="minorEastAsia"/>
          <w:b/>
          <w:color w:val="auto"/>
          <w:sz w:val="24"/>
          <w:highlight w:val="none"/>
        </w:rPr>
        <w:t>否则其投标作无效标处理</w:t>
      </w:r>
      <w:r>
        <w:rPr>
          <w:rFonts w:hint="eastAsia" w:asciiTheme="minorEastAsia" w:hAnsiTheme="minorEastAsia" w:eastAsiaTheme="minorEastAsia" w:cstheme="minorEastAsia"/>
          <w:color w:val="auto"/>
          <w:sz w:val="24"/>
          <w:highlight w:val="none"/>
        </w:rPr>
        <w:t>。</w:t>
      </w:r>
    </w:p>
    <w:p w14:paraId="2AC0F686">
      <w:pPr>
        <w:snapToGrid w:val="0"/>
        <w:spacing w:line="360" w:lineRule="auto"/>
        <w:ind w:firstLine="480" w:firstLineChars="200"/>
        <w:jc w:val="lef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Cs/>
          <w:color w:val="auto"/>
          <w:sz w:val="24"/>
          <w:highlight w:val="none"/>
        </w:rPr>
        <w:t>2.</w:t>
      </w:r>
      <w:r>
        <w:rPr>
          <w:rFonts w:hint="eastAsia" w:asciiTheme="minorEastAsia" w:hAnsiTheme="minorEastAsia" w:eastAsiaTheme="minorEastAsia" w:cstheme="minorEastAsia"/>
          <w:color w:val="auto"/>
          <w:sz w:val="24"/>
          <w:highlight w:val="none"/>
        </w:rPr>
        <w:t>报价一经涂改，应在涂改处加盖投标人公章或者加盖电子签章或者由法定代表人或者委托代理人签字（或者电子签名）</w:t>
      </w:r>
      <w:r>
        <w:rPr>
          <w:rFonts w:hint="eastAsia" w:asciiTheme="minorEastAsia" w:hAnsiTheme="minorEastAsia" w:eastAsiaTheme="minorEastAsia" w:cstheme="minorEastAsia"/>
          <w:b/>
          <w:color w:val="auto"/>
          <w:sz w:val="24"/>
          <w:highlight w:val="none"/>
        </w:rPr>
        <w:t>，否则其投标作无效标处理。</w:t>
      </w:r>
    </w:p>
    <w:p w14:paraId="11176C73">
      <w:pPr>
        <w:snapToGrid w:val="0"/>
        <w:spacing w:line="360" w:lineRule="auto"/>
        <w:ind w:firstLine="480" w:firstLineChars="2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3.招标文件中列明采购专用耗材的，应按招标文件规定的耗材量或者按耗材的常规试用量提供报价。</w:t>
      </w:r>
    </w:p>
    <w:p w14:paraId="5C86B79F">
      <w:pPr>
        <w:snapToGrid w:val="0"/>
        <w:spacing w:line="360" w:lineRule="auto"/>
        <w:ind w:firstLine="480" w:firstLineChars="2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4.如为联合体投标，“投标人名称”处必须列明联合体各方名称，并标注联合体牵头人名称，</w:t>
      </w:r>
      <w:r>
        <w:rPr>
          <w:rFonts w:hint="eastAsia" w:asciiTheme="minorEastAsia" w:hAnsiTheme="minorEastAsia" w:eastAsiaTheme="minorEastAsia" w:cstheme="minorEastAsia"/>
          <w:b/>
          <w:color w:val="auto"/>
          <w:sz w:val="24"/>
          <w:highlight w:val="none"/>
        </w:rPr>
        <w:t>否则其投标作无效标处理。</w:t>
      </w:r>
    </w:p>
    <w:p w14:paraId="30010176">
      <w:pPr>
        <w:snapToGrid w:val="0"/>
        <w:spacing w:line="360" w:lineRule="auto"/>
        <w:ind w:firstLine="456" w:firstLineChars="200"/>
        <w:jc w:val="left"/>
        <w:rPr>
          <w:rFonts w:asciiTheme="minorEastAsia" w:hAnsiTheme="minorEastAsia" w:eastAsiaTheme="minorEastAsia" w:cstheme="minorEastAsia"/>
          <w:color w:val="auto"/>
          <w:spacing w:val="-6"/>
          <w:sz w:val="24"/>
          <w:highlight w:val="none"/>
        </w:rPr>
      </w:pPr>
      <w:r>
        <w:rPr>
          <w:rFonts w:hint="eastAsia" w:asciiTheme="minorEastAsia" w:hAnsiTheme="minorEastAsia" w:eastAsiaTheme="minorEastAsia" w:cstheme="minorEastAsia"/>
          <w:color w:val="auto"/>
          <w:spacing w:val="-6"/>
          <w:sz w:val="24"/>
          <w:highlight w:val="none"/>
        </w:rPr>
        <w:t>5.如为联合体投标，盖章处须加盖联合体牵头人电子签章，</w:t>
      </w:r>
      <w:r>
        <w:rPr>
          <w:rFonts w:hint="eastAsia" w:asciiTheme="minorEastAsia" w:hAnsiTheme="minorEastAsia" w:eastAsiaTheme="minorEastAsia" w:cstheme="minorEastAsia"/>
          <w:b/>
          <w:color w:val="auto"/>
          <w:spacing w:val="-6"/>
          <w:sz w:val="24"/>
          <w:highlight w:val="none"/>
        </w:rPr>
        <w:t>否则其投标作无效标处理。</w:t>
      </w:r>
    </w:p>
    <w:p w14:paraId="3560BF3E">
      <w:pPr>
        <w:snapToGrid w:val="0"/>
        <w:spacing w:line="360" w:lineRule="auto"/>
        <w:ind w:firstLine="480" w:firstLineChars="200"/>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highlight w:val="none"/>
        </w:rPr>
        <w:t>6.如有多分标，按分标分别提供开标一览表，</w:t>
      </w:r>
      <w:r>
        <w:rPr>
          <w:rFonts w:hint="eastAsia" w:asciiTheme="minorEastAsia" w:hAnsiTheme="minorEastAsia" w:eastAsiaTheme="minorEastAsia" w:cstheme="minorEastAsia"/>
          <w:b/>
          <w:color w:val="auto"/>
          <w:sz w:val="24"/>
          <w:highlight w:val="none"/>
        </w:rPr>
        <w:t>否则投标无效。</w:t>
      </w:r>
    </w:p>
    <w:p w14:paraId="48723268">
      <w:pPr>
        <w:snapToGrid w:val="0"/>
        <w:spacing w:line="360" w:lineRule="auto"/>
        <w:ind w:left="-2" w:leftChars="-1" w:right="-817" w:rightChars="-389"/>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法定代表人或者委托代理人（签字或者电子签名）： </w:t>
      </w:r>
    </w:p>
    <w:p w14:paraId="701A45E5">
      <w:pPr>
        <w:snapToGrid w:val="0"/>
        <w:spacing w:line="360" w:lineRule="auto"/>
        <w:ind w:left="-3" w:leftChars="-15" w:right="-817" w:rightChars="-389" w:hanging="28" w:hangingChars="12"/>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投标人名称（电子签章）：</w:t>
      </w:r>
    </w:p>
    <w:p w14:paraId="5A344F54">
      <w:pPr>
        <w:snapToGrid w:val="0"/>
        <w:spacing w:line="360" w:lineRule="auto"/>
        <w:ind w:left="-3" w:leftChars="-15" w:right="-817" w:rightChars="-389" w:hanging="28" w:hangingChars="12"/>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日期：    年   月   日</w:t>
      </w:r>
    </w:p>
    <w:p w14:paraId="3076BFA3">
      <w:pPr>
        <w:pStyle w:val="2"/>
        <w:ind w:firstLine="0" w:firstLineChars="0"/>
        <w:rPr>
          <w:rFonts w:ascii="宋体" w:hAnsi="宋体"/>
          <w:color w:val="auto"/>
          <w:highlight w:val="none"/>
        </w:rPr>
      </w:pPr>
    </w:p>
    <w:p w14:paraId="4DD14101">
      <w:pPr>
        <w:pStyle w:val="20"/>
        <w:spacing w:line="360" w:lineRule="auto"/>
        <w:contextualSpacing/>
        <w:jc w:val="left"/>
        <w:rPr>
          <w:rFonts w:ascii="宋体" w:hAnsi="宋体"/>
          <w:color w:val="auto"/>
          <w:kern w:val="24"/>
          <w:szCs w:val="21"/>
          <w:highlight w:val="none"/>
        </w:rPr>
        <w:sectPr>
          <w:footerReference r:id="rId3" w:type="default"/>
          <w:pgSz w:w="11905" w:h="16838"/>
          <w:pgMar w:top="1134" w:right="1020" w:bottom="1134" w:left="1020" w:header="720" w:footer="720" w:gutter="0"/>
          <w:pgNumType w:start="1"/>
          <w:cols w:space="0" w:num="1"/>
          <w:docGrid w:type="lines" w:linePitch="331" w:charSpace="0"/>
        </w:sectPr>
      </w:pPr>
    </w:p>
    <w:p w14:paraId="312F7453">
      <w:pPr>
        <w:rPr>
          <w:b/>
          <w:color w:val="auto"/>
          <w:sz w:val="28"/>
          <w:szCs w:val="28"/>
          <w:highlight w:val="none"/>
        </w:rPr>
      </w:pPr>
      <w:bookmarkStart w:id="146" w:name="_Toc19686837"/>
      <w:r>
        <w:rPr>
          <w:rFonts w:hint="eastAsia"/>
          <w:b/>
          <w:color w:val="auto"/>
          <w:sz w:val="28"/>
          <w:szCs w:val="28"/>
          <w:highlight w:val="none"/>
        </w:rPr>
        <w:t>二、资格证明文件格式</w:t>
      </w:r>
      <w:bookmarkEnd w:id="144"/>
      <w:bookmarkEnd w:id="145"/>
      <w:bookmarkEnd w:id="146"/>
    </w:p>
    <w:p w14:paraId="67AD1A99">
      <w:pPr>
        <w:numPr>
          <w:ilvl w:val="2"/>
          <w:numId w:val="0"/>
        </w:numPr>
        <w:snapToGrid w:val="0"/>
        <w:spacing w:beforeLines="50" w:after="50" w:line="360" w:lineRule="auto"/>
        <w:jc w:val="left"/>
        <w:rPr>
          <w:rFonts w:ascii="宋体" w:hAnsi="宋体"/>
          <w:b/>
          <w:color w:val="auto"/>
          <w:sz w:val="24"/>
          <w:highlight w:val="none"/>
        </w:rPr>
      </w:pPr>
      <w:r>
        <w:rPr>
          <w:rFonts w:ascii="宋体" w:hAnsi="宋体"/>
          <w:b/>
          <w:color w:val="auto"/>
          <w:sz w:val="24"/>
          <w:highlight w:val="none"/>
        </w:rPr>
        <w:t>1.</w:t>
      </w:r>
      <w:r>
        <w:rPr>
          <w:rFonts w:hint="eastAsia" w:ascii="宋体" w:hAnsi="宋体"/>
          <w:b/>
          <w:color w:val="auto"/>
          <w:sz w:val="24"/>
          <w:highlight w:val="none"/>
        </w:rPr>
        <w:t xml:space="preserve">资格证明文件封面格式： </w:t>
      </w:r>
    </w:p>
    <w:p w14:paraId="41D3AF08">
      <w:pPr>
        <w:snapToGrid w:val="0"/>
        <w:spacing w:beforeLines="50" w:after="50"/>
        <w:jc w:val="center"/>
        <w:rPr>
          <w:rFonts w:ascii="宋体" w:hAnsi="宋体" w:eastAsia="方正小标宋简体"/>
          <w:bCs/>
          <w:color w:val="auto"/>
          <w:sz w:val="48"/>
          <w:szCs w:val="48"/>
          <w:highlight w:val="none"/>
        </w:rPr>
      </w:pPr>
      <w:r>
        <w:rPr>
          <w:rFonts w:hint="eastAsia" w:ascii="宋体" w:hAnsi="宋体" w:eastAsia="方正小标宋简体"/>
          <w:bCs/>
          <w:color w:val="auto"/>
          <w:sz w:val="48"/>
          <w:szCs w:val="48"/>
          <w:highlight w:val="none"/>
        </w:rPr>
        <w:t>电子投标文件</w:t>
      </w:r>
    </w:p>
    <w:p w14:paraId="12DCBEEC">
      <w:pPr>
        <w:snapToGrid w:val="0"/>
        <w:spacing w:beforeLines="50" w:after="50"/>
        <w:rPr>
          <w:rFonts w:ascii="宋体" w:hAnsi="宋体"/>
          <w:color w:val="auto"/>
          <w:sz w:val="24"/>
          <w:szCs w:val="20"/>
          <w:highlight w:val="none"/>
        </w:rPr>
      </w:pPr>
    </w:p>
    <w:p w14:paraId="6A779152">
      <w:pPr>
        <w:snapToGrid w:val="0"/>
        <w:spacing w:beforeLines="50" w:after="50"/>
        <w:jc w:val="center"/>
        <w:rPr>
          <w:rFonts w:ascii="宋体" w:hAnsi="宋体"/>
          <w:b/>
          <w:color w:val="auto"/>
          <w:sz w:val="24"/>
          <w:szCs w:val="20"/>
          <w:highlight w:val="none"/>
        </w:rPr>
      </w:pPr>
      <w:r>
        <w:rPr>
          <w:rFonts w:hint="eastAsia" w:ascii="宋体" w:hAnsi="宋体"/>
          <w:b/>
          <w:color w:val="auto"/>
          <w:sz w:val="32"/>
          <w:szCs w:val="32"/>
          <w:highlight w:val="none"/>
        </w:rPr>
        <w:t>资格证明文件</w:t>
      </w:r>
    </w:p>
    <w:p w14:paraId="0BF56ECB">
      <w:pPr>
        <w:snapToGrid w:val="0"/>
        <w:spacing w:beforeLines="50" w:after="50"/>
        <w:rPr>
          <w:rFonts w:ascii="宋体" w:hAnsi="宋体"/>
          <w:bCs/>
          <w:color w:val="auto"/>
          <w:sz w:val="24"/>
          <w:szCs w:val="20"/>
          <w:highlight w:val="none"/>
        </w:rPr>
      </w:pPr>
    </w:p>
    <w:p w14:paraId="6FF36243">
      <w:pPr>
        <w:snapToGrid w:val="0"/>
        <w:spacing w:beforeLines="50" w:after="50"/>
        <w:rPr>
          <w:rFonts w:ascii="宋体" w:hAnsi="宋体"/>
          <w:bCs/>
          <w:color w:val="auto"/>
          <w:sz w:val="24"/>
          <w:szCs w:val="20"/>
          <w:highlight w:val="none"/>
        </w:rPr>
      </w:pPr>
    </w:p>
    <w:p w14:paraId="70A9702F">
      <w:pPr>
        <w:snapToGrid w:val="0"/>
        <w:spacing w:beforeLines="50" w:after="50"/>
        <w:rPr>
          <w:rFonts w:ascii="宋体" w:hAnsi="宋体"/>
          <w:bCs/>
          <w:color w:val="auto"/>
          <w:sz w:val="24"/>
          <w:szCs w:val="20"/>
          <w:highlight w:val="none"/>
        </w:rPr>
      </w:pPr>
    </w:p>
    <w:p w14:paraId="1423EC6E">
      <w:pPr>
        <w:snapToGrid w:val="0"/>
        <w:spacing w:beforeLines="50" w:after="50"/>
        <w:rPr>
          <w:rFonts w:ascii="宋体" w:hAnsi="宋体"/>
          <w:bCs/>
          <w:color w:val="auto"/>
          <w:sz w:val="24"/>
          <w:szCs w:val="20"/>
          <w:highlight w:val="none"/>
        </w:rPr>
      </w:pPr>
    </w:p>
    <w:p w14:paraId="6434868C">
      <w:pPr>
        <w:snapToGrid w:val="0"/>
        <w:spacing w:beforeLines="50" w:after="50"/>
        <w:rPr>
          <w:rFonts w:ascii="宋体" w:hAnsi="宋体"/>
          <w:bCs/>
          <w:color w:val="auto"/>
          <w:sz w:val="24"/>
          <w:szCs w:val="20"/>
          <w:highlight w:val="none"/>
        </w:rPr>
      </w:pPr>
    </w:p>
    <w:p w14:paraId="04501622">
      <w:pPr>
        <w:snapToGrid w:val="0"/>
        <w:spacing w:beforeLines="50" w:after="50"/>
        <w:rPr>
          <w:rFonts w:ascii="宋体" w:hAnsi="宋体"/>
          <w:bCs/>
          <w:color w:val="auto"/>
          <w:sz w:val="24"/>
          <w:szCs w:val="20"/>
          <w:highlight w:val="none"/>
        </w:rPr>
      </w:pPr>
    </w:p>
    <w:p w14:paraId="5A3DF14F">
      <w:pPr>
        <w:snapToGrid w:val="0"/>
        <w:spacing w:beforeLines="50" w:after="50"/>
        <w:rPr>
          <w:rFonts w:ascii="宋体" w:hAnsi="宋体"/>
          <w:bCs/>
          <w:color w:val="auto"/>
          <w:sz w:val="24"/>
          <w:szCs w:val="20"/>
          <w:highlight w:val="none"/>
        </w:rPr>
      </w:pPr>
    </w:p>
    <w:p w14:paraId="576D4BEF">
      <w:pPr>
        <w:snapToGrid w:val="0"/>
        <w:spacing w:beforeLines="50" w:after="50"/>
        <w:ind w:firstLine="540" w:firstLineChars="225"/>
        <w:rPr>
          <w:rFonts w:ascii="宋体" w:hAnsi="宋体"/>
          <w:bCs/>
          <w:color w:val="auto"/>
          <w:sz w:val="24"/>
          <w:highlight w:val="none"/>
        </w:rPr>
      </w:pPr>
      <w:r>
        <w:rPr>
          <w:rFonts w:hint="eastAsia" w:ascii="宋体" w:hAnsi="宋体"/>
          <w:bCs/>
          <w:color w:val="auto"/>
          <w:sz w:val="24"/>
          <w:highlight w:val="none"/>
        </w:rPr>
        <w:t>项目名称：</w:t>
      </w:r>
    </w:p>
    <w:p w14:paraId="345C68C6">
      <w:pPr>
        <w:snapToGrid w:val="0"/>
        <w:spacing w:beforeLines="50" w:after="50"/>
        <w:ind w:firstLine="540" w:firstLineChars="225"/>
        <w:rPr>
          <w:rFonts w:ascii="宋体" w:hAnsi="宋体"/>
          <w:bCs/>
          <w:color w:val="auto"/>
          <w:sz w:val="24"/>
          <w:szCs w:val="20"/>
          <w:highlight w:val="none"/>
        </w:rPr>
      </w:pPr>
    </w:p>
    <w:p w14:paraId="46A52DBA">
      <w:pPr>
        <w:snapToGrid w:val="0"/>
        <w:spacing w:beforeLines="50" w:after="50"/>
        <w:ind w:firstLine="540" w:firstLineChars="225"/>
        <w:rPr>
          <w:rFonts w:ascii="宋体" w:hAnsi="宋体"/>
          <w:bCs/>
          <w:color w:val="auto"/>
          <w:sz w:val="24"/>
          <w:highlight w:val="none"/>
        </w:rPr>
      </w:pPr>
      <w:r>
        <w:rPr>
          <w:rFonts w:hint="eastAsia" w:ascii="宋体" w:hAnsi="宋体"/>
          <w:bCs/>
          <w:color w:val="auto"/>
          <w:sz w:val="24"/>
          <w:highlight w:val="none"/>
        </w:rPr>
        <w:t>项目编号：</w:t>
      </w:r>
    </w:p>
    <w:p w14:paraId="612BA694">
      <w:pPr>
        <w:snapToGrid w:val="0"/>
        <w:spacing w:beforeLines="50" w:after="50"/>
        <w:ind w:firstLine="540" w:firstLineChars="225"/>
        <w:rPr>
          <w:rFonts w:ascii="宋体" w:hAnsi="宋体"/>
          <w:bCs/>
          <w:color w:val="auto"/>
          <w:sz w:val="24"/>
          <w:szCs w:val="20"/>
          <w:highlight w:val="none"/>
        </w:rPr>
      </w:pPr>
    </w:p>
    <w:p w14:paraId="7ADF68FF">
      <w:pPr>
        <w:snapToGrid w:val="0"/>
        <w:spacing w:beforeLines="50" w:after="50"/>
        <w:ind w:firstLine="540" w:firstLineChars="225"/>
        <w:rPr>
          <w:rFonts w:ascii="宋体" w:hAnsi="宋体"/>
          <w:bCs/>
          <w:color w:val="auto"/>
          <w:sz w:val="24"/>
          <w:highlight w:val="none"/>
        </w:rPr>
      </w:pPr>
      <w:r>
        <w:rPr>
          <w:rFonts w:hint="eastAsia" w:ascii="宋体" w:hAnsi="宋体"/>
          <w:bCs/>
          <w:color w:val="auto"/>
          <w:sz w:val="24"/>
          <w:highlight w:val="none"/>
        </w:rPr>
        <w:t>所投分标：</w:t>
      </w:r>
    </w:p>
    <w:p w14:paraId="31818756">
      <w:pPr>
        <w:pStyle w:val="9"/>
        <w:snapToGrid w:val="0"/>
        <w:spacing w:before="50" w:after="50"/>
        <w:ind w:firstLine="540" w:firstLineChars="225"/>
        <w:rPr>
          <w:rFonts w:ascii="宋体" w:hAnsi="宋体"/>
          <w:bCs/>
          <w:color w:val="auto"/>
          <w:sz w:val="24"/>
          <w:szCs w:val="24"/>
          <w:highlight w:val="none"/>
        </w:rPr>
      </w:pPr>
    </w:p>
    <w:p w14:paraId="27E52207">
      <w:pPr>
        <w:pStyle w:val="9"/>
        <w:snapToGrid w:val="0"/>
        <w:spacing w:before="50" w:after="50"/>
        <w:ind w:firstLine="540" w:firstLineChars="225"/>
        <w:rPr>
          <w:rFonts w:ascii="宋体" w:hAnsi="宋体"/>
          <w:bCs/>
          <w:color w:val="auto"/>
          <w:sz w:val="24"/>
          <w:szCs w:val="24"/>
          <w:highlight w:val="none"/>
        </w:rPr>
      </w:pPr>
      <w:r>
        <w:rPr>
          <w:rFonts w:hint="eastAsia" w:ascii="宋体" w:hAnsi="宋体"/>
          <w:bCs/>
          <w:color w:val="auto"/>
          <w:sz w:val="24"/>
          <w:szCs w:val="24"/>
          <w:highlight w:val="none"/>
        </w:rPr>
        <w:t>投标人名称：</w:t>
      </w:r>
    </w:p>
    <w:p w14:paraId="0C665BCF">
      <w:pPr>
        <w:pStyle w:val="9"/>
        <w:snapToGrid w:val="0"/>
        <w:spacing w:before="50" w:after="50"/>
        <w:ind w:firstLine="540" w:firstLineChars="225"/>
        <w:rPr>
          <w:rFonts w:ascii="宋体" w:hAnsi="宋体"/>
          <w:bCs/>
          <w:color w:val="auto"/>
          <w:sz w:val="24"/>
          <w:szCs w:val="24"/>
          <w:highlight w:val="none"/>
        </w:rPr>
      </w:pPr>
    </w:p>
    <w:p w14:paraId="3DF8C101">
      <w:pPr>
        <w:pStyle w:val="9"/>
        <w:snapToGrid w:val="0"/>
        <w:spacing w:before="50" w:after="50"/>
        <w:ind w:firstLine="960" w:firstLineChars="400"/>
        <w:rPr>
          <w:rFonts w:ascii="宋体" w:hAnsi="宋体"/>
          <w:bCs/>
          <w:color w:val="auto"/>
          <w:sz w:val="24"/>
          <w:szCs w:val="24"/>
          <w:highlight w:val="none"/>
        </w:rPr>
      </w:pPr>
    </w:p>
    <w:p w14:paraId="0A15671D">
      <w:pPr>
        <w:snapToGrid w:val="0"/>
        <w:spacing w:beforeLines="50" w:after="50"/>
        <w:ind w:firstLine="645"/>
        <w:jc w:val="center"/>
        <w:rPr>
          <w:rFonts w:ascii="宋体" w:hAnsi="宋体"/>
          <w:color w:val="auto"/>
          <w:sz w:val="24"/>
          <w:highlight w:val="none"/>
        </w:rPr>
      </w:pPr>
      <w:r>
        <w:rPr>
          <w:rFonts w:hint="eastAsia" w:ascii="宋体" w:hAnsi="宋体"/>
          <w:color w:val="auto"/>
          <w:sz w:val="24"/>
          <w:highlight w:val="none"/>
        </w:rPr>
        <w:t>年  月  日</w:t>
      </w:r>
    </w:p>
    <w:p w14:paraId="6A361C28">
      <w:pPr>
        <w:snapToGrid w:val="0"/>
        <w:spacing w:beforeLines="50" w:after="50"/>
        <w:rPr>
          <w:rFonts w:ascii="宋体" w:hAnsi="宋体"/>
          <w:color w:val="auto"/>
          <w:sz w:val="24"/>
          <w:szCs w:val="20"/>
          <w:highlight w:val="none"/>
        </w:rPr>
      </w:pPr>
    </w:p>
    <w:p w14:paraId="27B9D074">
      <w:pPr>
        <w:snapToGrid w:val="0"/>
        <w:spacing w:beforeLines="50" w:after="50"/>
        <w:rPr>
          <w:rFonts w:ascii="宋体" w:hAnsi="宋体"/>
          <w:color w:val="auto"/>
          <w:sz w:val="24"/>
          <w:szCs w:val="20"/>
          <w:highlight w:val="none"/>
        </w:rPr>
      </w:pPr>
    </w:p>
    <w:p w14:paraId="7C440FF4">
      <w:pPr>
        <w:snapToGrid w:val="0"/>
        <w:spacing w:beforeLines="50" w:after="50" w:line="360" w:lineRule="auto"/>
        <w:jc w:val="left"/>
        <w:rPr>
          <w:rFonts w:ascii="宋体" w:hAnsi="宋体"/>
          <w:color w:val="auto"/>
          <w:sz w:val="24"/>
          <w:szCs w:val="20"/>
          <w:highlight w:val="none"/>
        </w:rPr>
      </w:pPr>
      <w:r>
        <w:rPr>
          <w:rFonts w:ascii="宋体" w:hAnsi="宋体"/>
          <w:b/>
          <w:bCs/>
          <w:color w:val="auto"/>
          <w:sz w:val="24"/>
          <w:highlight w:val="none"/>
        </w:rPr>
        <w:br w:type="page"/>
      </w:r>
      <w:r>
        <w:rPr>
          <w:rFonts w:hint="eastAsia" w:ascii="宋体" w:hAnsi="宋体"/>
          <w:b/>
          <w:bCs/>
          <w:color w:val="auto"/>
          <w:sz w:val="24"/>
          <w:highlight w:val="none"/>
        </w:rPr>
        <w:t>资格证明文件目录</w:t>
      </w:r>
    </w:p>
    <w:p w14:paraId="11F81ECC">
      <w:pPr>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根据招标文件规定及投标人提供的材料自行编写目录。</w:t>
      </w:r>
    </w:p>
    <w:p w14:paraId="2FB02F9E">
      <w:pPr>
        <w:snapToGrid w:val="0"/>
        <w:spacing w:before="50" w:afterLines="50"/>
        <w:jc w:val="left"/>
        <w:rPr>
          <w:rFonts w:ascii="宋体" w:hAnsi="宋体"/>
          <w:color w:val="auto"/>
          <w:sz w:val="24"/>
          <w:highlight w:val="none"/>
        </w:rPr>
      </w:pPr>
    </w:p>
    <w:p w14:paraId="025D32F7">
      <w:pPr>
        <w:snapToGrid w:val="0"/>
        <w:spacing w:before="50" w:afterLines="50"/>
        <w:jc w:val="left"/>
        <w:rPr>
          <w:rFonts w:ascii="宋体" w:hAnsi="宋体"/>
          <w:color w:val="auto"/>
          <w:sz w:val="24"/>
          <w:highlight w:val="none"/>
        </w:rPr>
      </w:pPr>
    </w:p>
    <w:p w14:paraId="78A2F19C">
      <w:pPr>
        <w:numPr>
          <w:ilvl w:val="0"/>
          <w:numId w:val="6"/>
        </w:numPr>
        <w:snapToGrid w:val="0"/>
        <w:spacing w:beforeLines="50" w:after="50"/>
        <w:jc w:val="left"/>
        <w:rPr>
          <w:rFonts w:ascii="宋体" w:hAnsi="宋体"/>
          <w:b/>
          <w:color w:val="auto"/>
          <w:sz w:val="24"/>
          <w:highlight w:val="none"/>
        </w:rPr>
      </w:pPr>
      <w:r>
        <w:rPr>
          <w:rFonts w:ascii="宋体" w:hAnsi="宋体"/>
          <w:b/>
          <w:color w:val="auto"/>
          <w:sz w:val="24"/>
          <w:highlight w:val="none"/>
        </w:rPr>
        <w:br w:type="page"/>
      </w:r>
    </w:p>
    <w:p w14:paraId="1EF1AB0E">
      <w:pPr>
        <w:spacing w:line="520" w:lineRule="exact"/>
        <w:jc w:val="center"/>
        <w:rPr>
          <w:rFonts w:ascii="宋体" w:hAnsi="宋体"/>
          <w:b/>
          <w:color w:val="auto"/>
          <w:sz w:val="32"/>
          <w:szCs w:val="32"/>
          <w:highlight w:val="none"/>
        </w:rPr>
      </w:pPr>
      <w:r>
        <w:rPr>
          <w:rFonts w:hint="eastAsia" w:ascii="宋体" w:hAnsi="宋体"/>
          <w:b/>
          <w:color w:val="auto"/>
          <w:sz w:val="32"/>
          <w:szCs w:val="32"/>
          <w:highlight w:val="none"/>
        </w:rPr>
        <w:t>1.防城港市政府采购供应商信用承诺函（格式）</w:t>
      </w:r>
    </w:p>
    <w:p w14:paraId="62E07BCE">
      <w:pPr>
        <w:spacing w:line="520" w:lineRule="exact"/>
        <w:ind w:firstLine="640" w:firstLineChars="200"/>
        <w:rPr>
          <w:rFonts w:ascii="仿宋_GB2312" w:hAnsi="黑体" w:eastAsia="仿宋_GB2312"/>
          <w:color w:val="auto"/>
          <w:sz w:val="32"/>
          <w:szCs w:val="32"/>
          <w:highlight w:val="none"/>
        </w:rPr>
      </w:pPr>
    </w:p>
    <w:p w14:paraId="18292784">
      <w:pPr>
        <w:spacing w:line="520" w:lineRule="exact"/>
        <w:rPr>
          <w:rFonts w:ascii="宋体" w:hAnsi="宋体" w:cs="宋体"/>
          <w:color w:val="auto"/>
          <w:sz w:val="24"/>
          <w:highlight w:val="none"/>
        </w:rPr>
      </w:pPr>
      <w:r>
        <w:rPr>
          <w:rFonts w:hint="eastAsia" w:ascii="宋体" w:hAnsi="宋体" w:cs="宋体"/>
          <w:color w:val="auto"/>
          <w:sz w:val="24"/>
          <w:highlight w:val="none"/>
        </w:rPr>
        <w:t>致（采购人或采购代理机构） ：</w:t>
      </w:r>
    </w:p>
    <w:p w14:paraId="7B73EE47">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我方自愿参加</w:t>
      </w:r>
      <w:r>
        <w:rPr>
          <w:rFonts w:hint="eastAsia" w:ascii="宋体" w:hAnsi="宋体" w:cs="宋体"/>
          <w:color w:val="auto"/>
          <w:sz w:val="24"/>
          <w:highlight w:val="none"/>
          <w:u w:val="single"/>
        </w:rPr>
        <w:t xml:space="preserve"> （项目名称） </w:t>
      </w:r>
      <w:r>
        <w:rPr>
          <w:rFonts w:hint="eastAsia" w:ascii="宋体" w:hAnsi="宋体" w:cs="宋体"/>
          <w:color w:val="auto"/>
          <w:sz w:val="24"/>
          <w:highlight w:val="none"/>
        </w:rPr>
        <w:t>项目（</w:t>
      </w:r>
      <w:r>
        <w:rPr>
          <w:rFonts w:hint="eastAsia" w:ascii="宋体" w:hAnsi="宋体" w:cs="宋体"/>
          <w:color w:val="auto"/>
          <w:sz w:val="24"/>
          <w:highlight w:val="none"/>
          <w:u w:val="single"/>
        </w:rPr>
        <w:t xml:space="preserve">项目编号：       </w:t>
      </w:r>
      <w:r>
        <w:rPr>
          <w:rFonts w:hint="eastAsia" w:ascii="宋体" w:hAnsi="宋体" w:cs="宋体"/>
          <w:color w:val="auto"/>
          <w:sz w:val="24"/>
          <w:highlight w:val="none"/>
        </w:rPr>
        <w:t xml:space="preserve">）的政府采购活动，严格遵守《中华人民共和国政府采购法》及相关法律法规，依法诚信经营，无条件遵守本次政府采购活动的各项规定，并郑重承诺： </w:t>
      </w:r>
    </w:p>
    <w:p w14:paraId="0A4DD07B">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1.我方具有符合采购文件资格要求的财务状况报告。 </w:t>
      </w:r>
    </w:p>
    <w:p w14:paraId="5CD4BE0A">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2.我方具有符合采购文件资格要求的依法缴纳税收和社会保障资金的良好记录。 </w:t>
      </w:r>
    </w:p>
    <w:p w14:paraId="5B581776">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3.我方参加政府采购活动前三年内在经营活动中没有重大违法记录。 </w:t>
      </w:r>
    </w:p>
    <w:p w14:paraId="5D112CE7">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我方对以上承诺内容的真实性负责。如有虚假，将依法承担相应责任。</w:t>
      </w:r>
    </w:p>
    <w:p w14:paraId="425B1D62">
      <w:pPr>
        <w:spacing w:line="520" w:lineRule="exact"/>
        <w:ind w:firstLine="2760" w:firstLineChars="1150"/>
        <w:rPr>
          <w:rFonts w:ascii="宋体" w:hAnsi="宋体" w:cs="宋体"/>
          <w:color w:val="auto"/>
          <w:sz w:val="24"/>
          <w:highlight w:val="none"/>
        </w:rPr>
      </w:pPr>
    </w:p>
    <w:p w14:paraId="0DB24689">
      <w:pPr>
        <w:snapToGrid w:val="0"/>
        <w:spacing w:line="360" w:lineRule="auto"/>
        <w:ind w:left="-3" w:leftChars="-15" w:right="-817" w:rightChars="-389" w:hanging="28" w:hangingChars="12"/>
        <w:rPr>
          <w:rFonts w:asciiTheme="minorEastAsia" w:hAnsiTheme="minorEastAsia" w:eastAsiaTheme="minorEastAsia" w:cstheme="minorEastAsia"/>
          <w:color w:val="auto"/>
          <w:sz w:val="24"/>
          <w:highlight w:val="none"/>
        </w:rPr>
      </w:pPr>
    </w:p>
    <w:p w14:paraId="58DD4760">
      <w:pPr>
        <w:spacing w:line="520" w:lineRule="exact"/>
        <w:ind w:firstLine="2760" w:firstLineChars="1150"/>
        <w:rPr>
          <w:rFonts w:ascii="宋体" w:hAnsi="宋体" w:cs="宋体"/>
          <w:color w:val="auto"/>
          <w:sz w:val="24"/>
          <w:highlight w:val="none"/>
        </w:rPr>
      </w:pPr>
    </w:p>
    <w:p w14:paraId="176B14A4">
      <w:pPr>
        <w:spacing w:line="520" w:lineRule="exact"/>
        <w:ind w:firstLine="2760" w:firstLineChars="1150"/>
        <w:rPr>
          <w:rFonts w:ascii="宋体" w:hAnsi="宋体" w:cs="宋体"/>
          <w:color w:val="auto"/>
          <w:sz w:val="24"/>
          <w:highlight w:val="none"/>
        </w:rPr>
      </w:pPr>
      <w:r>
        <w:rPr>
          <w:rFonts w:hint="eastAsia" w:ascii="宋体" w:hAnsi="宋体" w:cs="宋体"/>
          <w:color w:val="auto"/>
          <w:sz w:val="24"/>
          <w:highlight w:val="none"/>
        </w:rPr>
        <w:t>供应商名称</w:t>
      </w:r>
      <w:r>
        <w:rPr>
          <w:rFonts w:hint="eastAsia" w:asciiTheme="minorEastAsia" w:hAnsiTheme="minorEastAsia" w:eastAsiaTheme="minorEastAsia" w:cstheme="minorEastAsia"/>
          <w:color w:val="auto"/>
          <w:sz w:val="24"/>
          <w:highlight w:val="none"/>
        </w:rPr>
        <w:t>（电子签章）</w:t>
      </w:r>
      <w:r>
        <w:rPr>
          <w:rFonts w:hint="eastAsia" w:ascii="宋体" w:hAnsi="宋体" w:cs="宋体"/>
          <w:color w:val="auto"/>
          <w:sz w:val="24"/>
          <w:highlight w:val="none"/>
        </w:rPr>
        <w:t>：</w:t>
      </w:r>
    </w:p>
    <w:p w14:paraId="42324025">
      <w:pPr>
        <w:spacing w:line="600" w:lineRule="exact"/>
        <w:ind w:firstLine="2640" w:firstLineChars="1100"/>
        <w:rPr>
          <w:rFonts w:ascii="宋体" w:hAnsi="宋体" w:cs="宋体"/>
          <w:color w:val="auto"/>
          <w:sz w:val="24"/>
          <w:highlight w:val="none"/>
        </w:rPr>
      </w:pPr>
      <w:r>
        <w:rPr>
          <w:rFonts w:hint="eastAsia" w:ascii="宋体" w:hAnsi="宋体" w:cs="宋体"/>
          <w:color w:val="auto"/>
          <w:sz w:val="24"/>
          <w:highlight w:val="none"/>
        </w:rPr>
        <w:t>统一社会信用代码：</w:t>
      </w:r>
    </w:p>
    <w:p w14:paraId="492AC42C">
      <w:pPr>
        <w:spacing w:line="520" w:lineRule="exact"/>
        <w:ind w:firstLine="1680" w:firstLineChars="700"/>
        <w:rPr>
          <w:rFonts w:ascii="宋体" w:hAnsi="宋体" w:cs="宋体"/>
          <w:color w:val="auto"/>
          <w:sz w:val="24"/>
          <w:highlight w:val="none"/>
        </w:rPr>
      </w:pPr>
      <w:r>
        <w:rPr>
          <w:rFonts w:hint="eastAsia" w:ascii="宋体" w:hAnsi="宋体" w:cs="宋体"/>
          <w:color w:val="auto"/>
          <w:sz w:val="24"/>
          <w:highlight w:val="none"/>
        </w:rPr>
        <w:t>法定代表人或授权代表</w:t>
      </w:r>
      <w:r>
        <w:rPr>
          <w:rFonts w:hint="eastAsia" w:asciiTheme="minorEastAsia" w:hAnsiTheme="minorEastAsia" w:eastAsiaTheme="minorEastAsia" w:cstheme="minorEastAsia"/>
          <w:color w:val="auto"/>
          <w:sz w:val="24"/>
          <w:highlight w:val="none"/>
        </w:rPr>
        <w:t>（签字或者电子签名）</w:t>
      </w:r>
      <w:r>
        <w:rPr>
          <w:rFonts w:hint="eastAsia" w:ascii="宋体" w:hAnsi="宋体" w:cs="宋体"/>
          <w:color w:val="auto"/>
          <w:sz w:val="24"/>
          <w:highlight w:val="none"/>
        </w:rPr>
        <w:t>：</w:t>
      </w:r>
    </w:p>
    <w:p w14:paraId="27A01CBA">
      <w:pPr>
        <w:spacing w:line="520" w:lineRule="exact"/>
        <w:ind w:firstLine="3120" w:firstLineChars="1300"/>
        <w:rPr>
          <w:rFonts w:ascii="宋体" w:hAnsi="宋体" w:cs="宋体"/>
          <w:color w:val="auto"/>
          <w:sz w:val="24"/>
          <w:highlight w:val="none"/>
        </w:rPr>
      </w:pPr>
      <w:r>
        <w:rPr>
          <w:rFonts w:hint="eastAsia" w:ascii="宋体" w:hAnsi="宋体" w:cs="宋体"/>
          <w:color w:val="auto"/>
          <w:sz w:val="24"/>
          <w:highlight w:val="none"/>
        </w:rPr>
        <w:t>日期： 年 月 日</w:t>
      </w:r>
    </w:p>
    <w:p w14:paraId="204C4839">
      <w:pPr>
        <w:spacing w:line="600" w:lineRule="exact"/>
        <w:ind w:firstLine="480" w:firstLineChars="200"/>
        <w:rPr>
          <w:rFonts w:ascii="宋体" w:hAnsi="宋体" w:cs="宋体"/>
          <w:color w:val="auto"/>
          <w:sz w:val="24"/>
          <w:highlight w:val="none"/>
        </w:rPr>
      </w:pPr>
    </w:p>
    <w:p w14:paraId="1D5F89FE">
      <w:pPr>
        <w:spacing w:line="6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注：1.供应商须在电子投标（响应）文件中按此模板提供承诺函，未提供视为未实质性响应招标（采购）文件要求，按无效投标（响应）处理。</w:t>
      </w:r>
    </w:p>
    <w:p w14:paraId="661CBCEA">
      <w:pPr>
        <w:spacing w:line="6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2.供应商的法定代表人（其他组织的为负责人）或者授权代表的签名或电子签章应真实、有效，如由授权代表签名或电子签章的，应提供“法定代表人授权书”。</w:t>
      </w:r>
    </w:p>
    <w:p w14:paraId="5BDE45FD">
      <w:pPr>
        <w:snapToGrid w:val="0"/>
        <w:spacing w:beforeLines="50" w:after="50"/>
        <w:jc w:val="left"/>
        <w:rPr>
          <w:rFonts w:ascii="宋体" w:hAnsi="宋体"/>
          <w:b/>
          <w:color w:val="auto"/>
          <w:sz w:val="24"/>
          <w:highlight w:val="none"/>
        </w:rPr>
      </w:pPr>
    </w:p>
    <w:p w14:paraId="364B7BD1">
      <w:pPr>
        <w:snapToGrid w:val="0"/>
        <w:spacing w:beforeLines="50" w:after="50"/>
        <w:jc w:val="left"/>
        <w:rPr>
          <w:rFonts w:ascii="宋体" w:hAnsi="宋体"/>
          <w:b/>
          <w:color w:val="auto"/>
          <w:sz w:val="24"/>
          <w:highlight w:val="none"/>
        </w:rPr>
      </w:pPr>
    </w:p>
    <w:p w14:paraId="75A65472">
      <w:pPr>
        <w:snapToGrid w:val="0"/>
        <w:spacing w:beforeLines="50" w:after="50"/>
        <w:jc w:val="left"/>
        <w:rPr>
          <w:rFonts w:ascii="宋体" w:hAnsi="宋体"/>
          <w:b/>
          <w:color w:val="auto"/>
          <w:sz w:val="24"/>
          <w:highlight w:val="none"/>
        </w:rPr>
      </w:pPr>
    </w:p>
    <w:p w14:paraId="5C4079E0">
      <w:pPr>
        <w:snapToGrid w:val="0"/>
        <w:spacing w:beforeLines="50" w:after="50"/>
        <w:jc w:val="left"/>
        <w:rPr>
          <w:rFonts w:ascii="宋体" w:hAnsi="宋体"/>
          <w:b/>
          <w:color w:val="auto"/>
          <w:sz w:val="24"/>
          <w:highlight w:val="none"/>
        </w:rPr>
      </w:pPr>
    </w:p>
    <w:p w14:paraId="1E3FDCC2">
      <w:pPr>
        <w:snapToGrid w:val="0"/>
        <w:spacing w:beforeLines="50" w:after="50"/>
        <w:jc w:val="left"/>
        <w:rPr>
          <w:rFonts w:ascii="宋体" w:hAnsi="宋体"/>
          <w:b/>
          <w:color w:val="auto"/>
          <w:sz w:val="24"/>
          <w:highlight w:val="none"/>
        </w:rPr>
      </w:pPr>
    </w:p>
    <w:p w14:paraId="1381B445">
      <w:pPr>
        <w:snapToGrid w:val="0"/>
        <w:spacing w:beforeLines="50" w:after="50"/>
        <w:jc w:val="left"/>
        <w:rPr>
          <w:rFonts w:ascii="宋体" w:hAnsi="宋体"/>
          <w:b/>
          <w:color w:val="auto"/>
          <w:sz w:val="24"/>
          <w:highlight w:val="none"/>
        </w:rPr>
      </w:pPr>
    </w:p>
    <w:p w14:paraId="0372433A">
      <w:pPr>
        <w:snapToGrid w:val="0"/>
        <w:spacing w:beforeLines="50" w:after="50"/>
        <w:jc w:val="left"/>
        <w:rPr>
          <w:rFonts w:ascii="宋体" w:hAnsi="宋体"/>
          <w:b/>
          <w:color w:val="auto"/>
          <w:sz w:val="24"/>
          <w:highlight w:val="none"/>
        </w:rPr>
      </w:pPr>
    </w:p>
    <w:p w14:paraId="6E202D62">
      <w:pPr>
        <w:snapToGrid w:val="0"/>
        <w:spacing w:beforeLines="50" w:after="50"/>
        <w:jc w:val="left"/>
        <w:rPr>
          <w:rFonts w:ascii="宋体" w:hAnsi="宋体"/>
          <w:b/>
          <w:color w:val="auto"/>
          <w:sz w:val="24"/>
          <w:highlight w:val="none"/>
        </w:rPr>
      </w:pPr>
      <w:r>
        <w:rPr>
          <w:rFonts w:hint="eastAsia" w:ascii="宋体" w:hAnsi="宋体"/>
          <w:b/>
          <w:color w:val="auto"/>
          <w:sz w:val="24"/>
          <w:highlight w:val="none"/>
        </w:rPr>
        <w:t>2.</w:t>
      </w:r>
      <w:r>
        <w:rPr>
          <w:rFonts w:hint="eastAsia" w:ascii="宋体" w:hAnsi="宋体"/>
          <w:b/>
          <w:color w:val="auto"/>
          <w:sz w:val="28"/>
          <w:szCs w:val="28"/>
          <w:highlight w:val="none"/>
        </w:rPr>
        <w:t>投标人直接控股、管理关系信息表</w:t>
      </w:r>
    </w:p>
    <w:p w14:paraId="615A13C2">
      <w:pPr>
        <w:snapToGrid w:val="0"/>
        <w:spacing w:before="50" w:afterLines="50"/>
        <w:jc w:val="center"/>
        <w:rPr>
          <w:rFonts w:ascii="宋体" w:hAnsi="宋体"/>
          <w:b/>
          <w:color w:val="auto"/>
          <w:sz w:val="28"/>
          <w:szCs w:val="28"/>
          <w:highlight w:val="none"/>
        </w:rPr>
      </w:pPr>
    </w:p>
    <w:p w14:paraId="55BEF864">
      <w:pPr>
        <w:snapToGrid w:val="0"/>
        <w:spacing w:before="50" w:afterLines="50" w:line="360" w:lineRule="auto"/>
        <w:jc w:val="center"/>
        <w:rPr>
          <w:rFonts w:ascii="宋体" w:hAnsi="宋体"/>
          <w:b/>
          <w:color w:val="auto"/>
          <w:sz w:val="32"/>
          <w:szCs w:val="32"/>
          <w:highlight w:val="none"/>
        </w:rPr>
      </w:pPr>
      <w:r>
        <w:rPr>
          <w:rFonts w:hint="eastAsia" w:ascii="宋体" w:hAnsi="宋体"/>
          <w:b/>
          <w:color w:val="auto"/>
          <w:sz w:val="32"/>
          <w:szCs w:val="32"/>
          <w:highlight w:val="none"/>
        </w:rPr>
        <w:t>投标人直接控股股东信息表</w:t>
      </w:r>
    </w:p>
    <w:tbl>
      <w:tblPr>
        <w:tblStyle w:val="48"/>
        <w:tblW w:w="9476" w:type="dxa"/>
        <w:tblInd w:w="0"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4D885C99">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13CAB82">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136287E">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336451D">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A6325B4">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808D552">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48184C07">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2127CE3">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A8DFDDF">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E728DEC">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8E2DF5C">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FDB5F6A">
            <w:pPr>
              <w:spacing w:line="360" w:lineRule="auto"/>
              <w:jc w:val="center"/>
              <w:rPr>
                <w:rFonts w:ascii="宋体" w:hAnsi="宋体" w:cs="宋体"/>
                <w:color w:val="auto"/>
                <w:kern w:val="0"/>
                <w:sz w:val="24"/>
                <w:highlight w:val="none"/>
              </w:rPr>
            </w:pPr>
          </w:p>
        </w:tc>
      </w:tr>
      <w:tr w14:paraId="3DD37B69">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88EFA4D">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2D4C5A1">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2101083">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9166EE5">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0B24A68">
            <w:pPr>
              <w:spacing w:line="360" w:lineRule="auto"/>
              <w:jc w:val="center"/>
              <w:rPr>
                <w:rFonts w:ascii="宋体" w:hAnsi="宋体" w:cs="宋体"/>
                <w:color w:val="auto"/>
                <w:kern w:val="0"/>
                <w:sz w:val="24"/>
                <w:highlight w:val="none"/>
              </w:rPr>
            </w:pPr>
          </w:p>
        </w:tc>
      </w:tr>
      <w:tr w14:paraId="72AB51EE">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1CD5817">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0ED2A08">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34BF312">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C44485B">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13C227B">
            <w:pPr>
              <w:spacing w:line="360" w:lineRule="auto"/>
              <w:jc w:val="center"/>
              <w:rPr>
                <w:rFonts w:ascii="宋体" w:hAnsi="宋体" w:cs="宋体"/>
                <w:color w:val="auto"/>
                <w:kern w:val="0"/>
                <w:sz w:val="24"/>
                <w:highlight w:val="none"/>
              </w:rPr>
            </w:pPr>
          </w:p>
        </w:tc>
      </w:tr>
      <w:tr w14:paraId="00F4E24F">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0876740">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2F482F6">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8AB1D23">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AC4704E">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7113A43">
            <w:pPr>
              <w:spacing w:line="360" w:lineRule="auto"/>
              <w:jc w:val="center"/>
              <w:rPr>
                <w:rFonts w:ascii="宋体" w:hAnsi="宋体" w:cs="宋体"/>
                <w:color w:val="auto"/>
                <w:kern w:val="0"/>
                <w:sz w:val="24"/>
                <w:highlight w:val="none"/>
              </w:rPr>
            </w:pPr>
          </w:p>
        </w:tc>
      </w:tr>
    </w:tbl>
    <w:p w14:paraId="742C0E38">
      <w:pPr>
        <w:snapToGrid w:val="0"/>
        <w:spacing w:line="360" w:lineRule="auto"/>
        <w:jc w:val="left"/>
        <w:rPr>
          <w:rFonts w:ascii="宋体" w:hAnsi="宋体"/>
          <w:color w:val="auto"/>
          <w:sz w:val="24"/>
          <w:highlight w:val="none"/>
        </w:rPr>
      </w:pPr>
      <w:r>
        <w:rPr>
          <w:rFonts w:hint="eastAsia" w:ascii="宋体" w:hAnsi="宋体"/>
          <w:color w:val="auto"/>
          <w:sz w:val="24"/>
          <w:highlight w:val="none"/>
        </w:rPr>
        <w:t>注：</w:t>
      </w:r>
    </w:p>
    <w:p w14:paraId="652F5396">
      <w:pPr>
        <w:snapToGrid w:val="0"/>
        <w:spacing w:line="360" w:lineRule="auto"/>
        <w:jc w:val="left"/>
        <w:rPr>
          <w:rFonts w:ascii="宋体" w:hAnsi="宋体"/>
          <w:color w:val="auto"/>
          <w:sz w:val="24"/>
          <w:highlight w:val="none"/>
        </w:rPr>
      </w:pPr>
      <w:r>
        <w:rPr>
          <w:rFonts w:hint="eastAsia" w:ascii="宋体" w:hAnsi="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09243B8A">
      <w:pPr>
        <w:snapToGrid w:val="0"/>
        <w:spacing w:line="360" w:lineRule="auto"/>
        <w:jc w:val="left"/>
        <w:rPr>
          <w:rFonts w:ascii="宋体" w:hAnsi="宋体"/>
          <w:color w:val="auto"/>
          <w:sz w:val="24"/>
          <w:highlight w:val="none"/>
        </w:rPr>
      </w:pPr>
      <w:r>
        <w:rPr>
          <w:rFonts w:hint="eastAsia" w:ascii="宋体" w:hAnsi="宋体"/>
          <w:color w:val="auto"/>
          <w:sz w:val="24"/>
          <w:highlight w:val="none"/>
        </w:rPr>
        <w:t>2.本表所指的控股关系仅限于直接控股关系，不包括间接的控股关系。公司实际控制人与公司之间的关系不属于本表所指的直接控股关系。</w:t>
      </w:r>
    </w:p>
    <w:p w14:paraId="29F7819E">
      <w:pPr>
        <w:snapToGrid w:val="0"/>
        <w:spacing w:line="360" w:lineRule="auto"/>
        <w:jc w:val="left"/>
        <w:rPr>
          <w:rFonts w:ascii="宋体" w:hAnsi="宋体"/>
          <w:color w:val="auto"/>
          <w:sz w:val="24"/>
          <w:highlight w:val="none"/>
        </w:rPr>
      </w:pPr>
      <w:r>
        <w:rPr>
          <w:rFonts w:hint="eastAsia" w:ascii="宋体" w:hAnsi="宋体"/>
          <w:color w:val="auto"/>
          <w:sz w:val="24"/>
          <w:highlight w:val="none"/>
        </w:rPr>
        <w:t>3.供应商不存在直接控股股东的，则在“</w:t>
      </w:r>
      <w:r>
        <w:rPr>
          <w:rFonts w:hint="eastAsia" w:ascii="宋体" w:hAnsi="宋体" w:cs="宋体"/>
          <w:b/>
          <w:bCs/>
          <w:color w:val="auto"/>
          <w:kern w:val="0"/>
          <w:sz w:val="24"/>
          <w:highlight w:val="none"/>
        </w:rPr>
        <w:t>直接控股股东名称</w:t>
      </w:r>
      <w:r>
        <w:rPr>
          <w:rFonts w:hint="eastAsia" w:ascii="宋体" w:hAnsi="宋体"/>
          <w:color w:val="auto"/>
          <w:sz w:val="24"/>
          <w:highlight w:val="none"/>
        </w:rPr>
        <w:t>”中填“无”。</w:t>
      </w:r>
    </w:p>
    <w:p w14:paraId="2056C585">
      <w:pPr>
        <w:snapToGrid w:val="0"/>
        <w:spacing w:line="360" w:lineRule="auto"/>
        <w:jc w:val="left"/>
        <w:rPr>
          <w:rFonts w:ascii="宋体" w:hAnsi="宋体"/>
          <w:color w:val="auto"/>
          <w:sz w:val="24"/>
          <w:highlight w:val="none"/>
        </w:rPr>
      </w:pPr>
    </w:p>
    <w:p w14:paraId="0483EB03">
      <w:pPr>
        <w:snapToGrid w:val="0"/>
        <w:spacing w:line="360" w:lineRule="auto"/>
        <w:jc w:val="left"/>
        <w:rPr>
          <w:rFonts w:ascii="宋体" w:hAnsi="宋体"/>
          <w:color w:val="auto"/>
          <w:sz w:val="24"/>
          <w:highlight w:val="none"/>
        </w:rPr>
      </w:pPr>
    </w:p>
    <w:p w14:paraId="23F1B867">
      <w:pPr>
        <w:snapToGrid w:val="0"/>
        <w:spacing w:line="360" w:lineRule="auto"/>
        <w:jc w:val="left"/>
        <w:rPr>
          <w:rFonts w:ascii="宋体" w:hAnsi="宋体"/>
          <w:color w:val="auto"/>
          <w:sz w:val="24"/>
          <w:highlight w:val="none"/>
        </w:rPr>
      </w:pPr>
    </w:p>
    <w:p w14:paraId="534BFCD8">
      <w:pPr>
        <w:snapToGrid w:val="0"/>
        <w:spacing w:line="360" w:lineRule="auto"/>
        <w:jc w:val="left"/>
        <w:rPr>
          <w:rFonts w:ascii="宋体" w:hAnsi="宋体"/>
          <w:color w:val="auto"/>
          <w:sz w:val="24"/>
          <w:highlight w:val="none"/>
        </w:rPr>
      </w:pPr>
    </w:p>
    <w:p w14:paraId="3F813097">
      <w:pPr>
        <w:snapToGrid w:val="0"/>
        <w:spacing w:line="360" w:lineRule="auto"/>
        <w:jc w:val="left"/>
        <w:rPr>
          <w:rFonts w:ascii="宋体" w:hAnsi="宋体"/>
          <w:color w:val="auto"/>
          <w:sz w:val="24"/>
          <w:highlight w:val="none"/>
        </w:rPr>
      </w:pPr>
    </w:p>
    <w:p w14:paraId="7D9A6009">
      <w:pPr>
        <w:snapToGrid w:val="0"/>
        <w:spacing w:line="360" w:lineRule="auto"/>
        <w:ind w:left="-2" w:leftChars="-1" w:right="-817" w:rightChars="-389" w:firstLine="1920" w:firstLineChars="800"/>
        <w:rPr>
          <w:rFonts w:ascii="宋体" w:hAnsi="宋体"/>
          <w:color w:val="auto"/>
          <w:sz w:val="24"/>
          <w:highlight w:val="none"/>
        </w:rPr>
      </w:pPr>
      <w:r>
        <w:rPr>
          <w:rFonts w:hint="eastAsia" w:ascii="宋体" w:hAnsi="宋体"/>
          <w:color w:val="auto"/>
          <w:sz w:val="24"/>
          <w:highlight w:val="none"/>
        </w:rPr>
        <w:t xml:space="preserve">法定代表人或者委托代理人（签字或者电子签名）： </w:t>
      </w:r>
    </w:p>
    <w:p w14:paraId="21A9D6DB">
      <w:pPr>
        <w:snapToGrid w:val="0"/>
        <w:spacing w:line="360" w:lineRule="auto"/>
        <w:ind w:left="-3" w:leftChars="-15" w:right="-817" w:rightChars="-389" w:hanging="28" w:hangingChars="12"/>
        <w:rPr>
          <w:rFonts w:ascii="宋体" w:hAnsi="宋体"/>
          <w:color w:val="auto"/>
          <w:sz w:val="24"/>
          <w:highlight w:val="none"/>
        </w:rPr>
      </w:pPr>
      <w:r>
        <w:rPr>
          <w:rFonts w:hint="eastAsia" w:ascii="宋体" w:hAnsi="宋体"/>
          <w:color w:val="auto"/>
          <w:sz w:val="24"/>
          <w:highlight w:val="none"/>
        </w:rPr>
        <w:t xml:space="preserve">                                    投标人名称（电子签章）：</w:t>
      </w:r>
    </w:p>
    <w:p w14:paraId="5D5C13E3">
      <w:pPr>
        <w:snapToGrid w:val="0"/>
        <w:spacing w:line="360" w:lineRule="auto"/>
        <w:jc w:val="left"/>
        <w:rPr>
          <w:rFonts w:ascii="宋体" w:hAnsi="宋体"/>
          <w:color w:val="auto"/>
          <w:szCs w:val="21"/>
          <w:highlight w:val="none"/>
        </w:rPr>
      </w:pPr>
      <w:r>
        <w:rPr>
          <w:rFonts w:hint="eastAsia" w:ascii="宋体" w:hAnsi="宋体"/>
          <w:color w:val="auto"/>
          <w:sz w:val="24"/>
          <w:highlight w:val="none"/>
        </w:rPr>
        <w:t xml:space="preserve">                                    日期：    年   月   日</w:t>
      </w:r>
    </w:p>
    <w:p w14:paraId="1031D1FE">
      <w:pPr>
        <w:snapToGrid w:val="0"/>
        <w:spacing w:beforeLines="50" w:after="50" w:line="360" w:lineRule="auto"/>
        <w:ind w:right="480" w:firstLine="6465" w:firstLineChars="2300"/>
        <w:rPr>
          <w:rFonts w:ascii="宋体" w:hAnsi="宋体"/>
          <w:b/>
          <w:color w:val="auto"/>
          <w:sz w:val="28"/>
          <w:szCs w:val="28"/>
          <w:highlight w:val="none"/>
        </w:rPr>
      </w:pPr>
      <w:r>
        <w:rPr>
          <w:rFonts w:ascii="宋体" w:hAnsi="宋体"/>
          <w:b/>
          <w:color w:val="auto"/>
          <w:sz w:val="28"/>
          <w:szCs w:val="28"/>
          <w:highlight w:val="none"/>
        </w:rPr>
        <w:br w:type="page"/>
      </w:r>
    </w:p>
    <w:p w14:paraId="48EE4257">
      <w:pPr>
        <w:snapToGrid w:val="0"/>
        <w:spacing w:line="360" w:lineRule="auto"/>
        <w:jc w:val="center"/>
        <w:rPr>
          <w:rFonts w:ascii="宋体" w:hAnsi="宋体"/>
          <w:color w:val="auto"/>
          <w:sz w:val="32"/>
          <w:szCs w:val="32"/>
          <w:highlight w:val="none"/>
        </w:rPr>
      </w:pPr>
      <w:r>
        <w:rPr>
          <w:rFonts w:hint="eastAsia" w:ascii="宋体" w:hAnsi="宋体"/>
          <w:b/>
          <w:color w:val="auto"/>
          <w:sz w:val="32"/>
          <w:szCs w:val="32"/>
          <w:highlight w:val="none"/>
        </w:rPr>
        <w:t>投标人直接管理关系信息表</w:t>
      </w:r>
    </w:p>
    <w:tbl>
      <w:tblPr>
        <w:tblStyle w:val="48"/>
        <w:tblW w:w="9652" w:type="dxa"/>
        <w:tblInd w:w="0" w:type="dxa"/>
        <w:shd w:val="clear" w:color="auto" w:fill="FBFBFB"/>
        <w:tblLayout w:type="fixed"/>
        <w:tblCellMar>
          <w:top w:w="0" w:type="dxa"/>
          <w:left w:w="0" w:type="dxa"/>
          <w:bottom w:w="0" w:type="dxa"/>
          <w:right w:w="0" w:type="dxa"/>
        </w:tblCellMar>
      </w:tblPr>
      <w:tblGrid>
        <w:gridCol w:w="1005"/>
        <w:gridCol w:w="2659"/>
        <w:gridCol w:w="3924"/>
        <w:gridCol w:w="2064"/>
      </w:tblGrid>
      <w:tr w14:paraId="4F85624D">
        <w:tblPrEx>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2887034">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A548219">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72AB17E">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FDD4501">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214B98DD">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0158466">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089F1E4">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35057DD">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D03FB3D">
            <w:pPr>
              <w:spacing w:line="360" w:lineRule="auto"/>
              <w:jc w:val="center"/>
              <w:rPr>
                <w:rFonts w:ascii="宋体" w:hAnsi="宋体" w:cs="宋体"/>
                <w:color w:val="auto"/>
                <w:kern w:val="0"/>
                <w:sz w:val="24"/>
                <w:highlight w:val="none"/>
              </w:rPr>
            </w:pPr>
          </w:p>
        </w:tc>
      </w:tr>
      <w:tr w14:paraId="60E66B1F">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6E898EA">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877CBF0">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B1F2E92">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A003227">
            <w:pPr>
              <w:spacing w:line="360" w:lineRule="auto"/>
              <w:jc w:val="center"/>
              <w:rPr>
                <w:rFonts w:ascii="宋体" w:hAnsi="宋体" w:cs="宋体"/>
                <w:color w:val="auto"/>
                <w:kern w:val="0"/>
                <w:sz w:val="24"/>
                <w:highlight w:val="none"/>
              </w:rPr>
            </w:pPr>
          </w:p>
        </w:tc>
      </w:tr>
      <w:tr w14:paraId="42182621">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C5E6E66">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0545543">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9A3B006">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A6B2973">
            <w:pPr>
              <w:spacing w:line="360" w:lineRule="auto"/>
              <w:jc w:val="center"/>
              <w:rPr>
                <w:rFonts w:ascii="宋体" w:hAnsi="宋体" w:cs="宋体"/>
                <w:color w:val="auto"/>
                <w:kern w:val="0"/>
                <w:sz w:val="24"/>
                <w:highlight w:val="none"/>
              </w:rPr>
            </w:pPr>
          </w:p>
        </w:tc>
      </w:tr>
      <w:tr w14:paraId="3C96FD05">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60A95C5">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11C190C">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002F1E9">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888F41C">
            <w:pPr>
              <w:spacing w:line="360" w:lineRule="auto"/>
              <w:jc w:val="center"/>
              <w:rPr>
                <w:rFonts w:ascii="宋体" w:hAnsi="宋体" w:cs="宋体"/>
                <w:color w:val="auto"/>
                <w:kern w:val="0"/>
                <w:sz w:val="24"/>
                <w:highlight w:val="none"/>
              </w:rPr>
            </w:pPr>
          </w:p>
        </w:tc>
      </w:tr>
    </w:tbl>
    <w:p w14:paraId="20D44946">
      <w:pPr>
        <w:snapToGrid w:val="0"/>
        <w:spacing w:line="360" w:lineRule="auto"/>
        <w:jc w:val="left"/>
        <w:rPr>
          <w:rFonts w:ascii="宋体" w:hAnsi="宋体"/>
          <w:color w:val="auto"/>
          <w:sz w:val="24"/>
          <w:highlight w:val="none"/>
        </w:rPr>
      </w:pPr>
      <w:r>
        <w:rPr>
          <w:rFonts w:hint="eastAsia" w:ascii="宋体" w:hAnsi="宋体"/>
          <w:color w:val="auto"/>
          <w:sz w:val="24"/>
          <w:highlight w:val="none"/>
        </w:rPr>
        <w:t>注：</w:t>
      </w:r>
    </w:p>
    <w:p w14:paraId="32BBF6EC">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1.管理关系：是指不具有出资持股关系的其他单位之间存在的管理与被管理关系，如一些上下级关系的事业单位和团体组织。</w:t>
      </w:r>
    </w:p>
    <w:p w14:paraId="298F6980">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w:t>
      </w:r>
      <w:r>
        <w:rPr>
          <w:rFonts w:hint="eastAsia" w:ascii="宋体" w:hAnsi="宋体"/>
          <w:color w:val="auto"/>
          <w:spacing w:val="-6"/>
          <w:sz w:val="24"/>
          <w:highlight w:val="none"/>
        </w:rPr>
        <w:t>本表所指的管理关系仅限于直接管理关系，不包括间接的管理关系。</w:t>
      </w:r>
    </w:p>
    <w:p w14:paraId="4E55EA49">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3.供应商不存在直接管理关系的，则在“</w:t>
      </w:r>
      <w:r>
        <w:rPr>
          <w:rFonts w:hint="eastAsia" w:ascii="宋体" w:hAnsi="宋体" w:cs="宋体"/>
          <w:b/>
          <w:bCs/>
          <w:color w:val="auto"/>
          <w:kern w:val="0"/>
          <w:sz w:val="24"/>
          <w:highlight w:val="none"/>
        </w:rPr>
        <w:t>直接管理关系单位名称</w:t>
      </w:r>
      <w:r>
        <w:rPr>
          <w:rFonts w:hint="eastAsia" w:ascii="宋体" w:hAnsi="宋体"/>
          <w:color w:val="auto"/>
          <w:sz w:val="24"/>
          <w:highlight w:val="none"/>
        </w:rPr>
        <w:t>”中填“无”。</w:t>
      </w:r>
    </w:p>
    <w:p w14:paraId="2AFE9B3B">
      <w:pPr>
        <w:snapToGrid w:val="0"/>
        <w:spacing w:line="360" w:lineRule="auto"/>
        <w:ind w:firstLine="480" w:firstLineChars="200"/>
        <w:jc w:val="left"/>
        <w:rPr>
          <w:rFonts w:ascii="宋体" w:hAnsi="宋体"/>
          <w:color w:val="auto"/>
          <w:sz w:val="24"/>
          <w:highlight w:val="none"/>
        </w:rPr>
      </w:pPr>
    </w:p>
    <w:p w14:paraId="041548E6">
      <w:pPr>
        <w:snapToGrid w:val="0"/>
        <w:spacing w:line="360" w:lineRule="auto"/>
        <w:jc w:val="left"/>
        <w:rPr>
          <w:rFonts w:ascii="宋体" w:hAnsi="宋体"/>
          <w:color w:val="auto"/>
          <w:sz w:val="24"/>
          <w:highlight w:val="none"/>
        </w:rPr>
      </w:pPr>
    </w:p>
    <w:p w14:paraId="4A1EBE54">
      <w:pPr>
        <w:snapToGrid w:val="0"/>
        <w:spacing w:line="360" w:lineRule="auto"/>
        <w:jc w:val="left"/>
        <w:rPr>
          <w:rFonts w:ascii="宋体" w:hAnsi="宋体"/>
          <w:color w:val="auto"/>
          <w:sz w:val="24"/>
          <w:highlight w:val="none"/>
        </w:rPr>
      </w:pPr>
    </w:p>
    <w:p w14:paraId="3AE8C97E">
      <w:pPr>
        <w:snapToGrid w:val="0"/>
        <w:spacing w:line="360" w:lineRule="auto"/>
        <w:jc w:val="left"/>
        <w:rPr>
          <w:rFonts w:ascii="宋体" w:hAnsi="宋体"/>
          <w:color w:val="auto"/>
          <w:sz w:val="24"/>
          <w:highlight w:val="none"/>
        </w:rPr>
      </w:pPr>
    </w:p>
    <w:p w14:paraId="65AD271C">
      <w:pPr>
        <w:snapToGrid w:val="0"/>
        <w:spacing w:line="360" w:lineRule="auto"/>
        <w:jc w:val="left"/>
        <w:rPr>
          <w:color w:val="auto"/>
          <w:sz w:val="24"/>
          <w:highlight w:val="none"/>
        </w:rPr>
      </w:pPr>
    </w:p>
    <w:p w14:paraId="18CA49EB">
      <w:pPr>
        <w:snapToGrid w:val="0"/>
        <w:spacing w:line="360" w:lineRule="auto"/>
        <w:jc w:val="left"/>
        <w:rPr>
          <w:color w:val="auto"/>
          <w:sz w:val="24"/>
          <w:highlight w:val="none"/>
        </w:rPr>
      </w:pPr>
    </w:p>
    <w:p w14:paraId="3C947B58">
      <w:pPr>
        <w:snapToGrid w:val="0"/>
        <w:spacing w:line="360" w:lineRule="auto"/>
        <w:jc w:val="left"/>
        <w:rPr>
          <w:color w:val="auto"/>
          <w:sz w:val="24"/>
          <w:highlight w:val="none"/>
        </w:rPr>
      </w:pPr>
    </w:p>
    <w:p w14:paraId="17DEFA8F">
      <w:pPr>
        <w:snapToGrid w:val="0"/>
        <w:spacing w:line="360" w:lineRule="auto"/>
        <w:jc w:val="left"/>
        <w:rPr>
          <w:rFonts w:ascii="宋体" w:hAnsi="宋体"/>
          <w:color w:val="auto"/>
          <w:sz w:val="24"/>
          <w:highlight w:val="none"/>
        </w:rPr>
      </w:pPr>
    </w:p>
    <w:p w14:paraId="6FAF748C">
      <w:pPr>
        <w:snapToGrid w:val="0"/>
        <w:spacing w:line="360" w:lineRule="auto"/>
        <w:ind w:left="-2" w:leftChars="-1" w:right="-817" w:rightChars="-389" w:firstLine="1920" w:firstLineChars="800"/>
        <w:rPr>
          <w:rFonts w:ascii="宋体" w:hAnsi="宋体"/>
          <w:color w:val="auto"/>
          <w:sz w:val="24"/>
          <w:highlight w:val="none"/>
        </w:rPr>
      </w:pPr>
      <w:r>
        <w:rPr>
          <w:rFonts w:hint="eastAsia" w:ascii="宋体" w:hAnsi="宋体"/>
          <w:color w:val="auto"/>
          <w:sz w:val="24"/>
          <w:highlight w:val="none"/>
        </w:rPr>
        <w:t xml:space="preserve">法定代表人或者委托代理人（签字或者电子签名）： </w:t>
      </w:r>
    </w:p>
    <w:p w14:paraId="2F725B21">
      <w:pPr>
        <w:snapToGrid w:val="0"/>
        <w:spacing w:line="360" w:lineRule="auto"/>
        <w:ind w:left="-3" w:leftChars="-15" w:right="-817" w:rightChars="-389" w:hanging="28" w:hangingChars="12"/>
        <w:rPr>
          <w:rFonts w:ascii="宋体" w:hAnsi="宋体"/>
          <w:color w:val="auto"/>
          <w:sz w:val="24"/>
          <w:highlight w:val="none"/>
        </w:rPr>
      </w:pPr>
      <w:r>
        <w:rPr>
          <w:rFonts w:hint="eastAsia" w:ascii="宋体" w:hAnsi="宋体"/>
          <w:color w:val="auto"/>
          <w:sz w:val="24"/>
          <w:highlight w:val="none"/>
        </w:rPr>
        <w:t xml:space="preserve">                                  投标人名称（电子签章）：</w:t>
      </w:r>
    </w:p>
    <w:p w14:paraId="1A7D609F">
      <w:pPr>
        <w:snapToGrid w:val="0"/>
        <w:spacing w:line="360" w:lineRule="auto"/>
        <w:ind w:right="480" w:firstLine="240" w:firstLineChars="100"/>
        <w:jc w:val="left"/>
        <w:rPr>
          <w:rFonts w:ascii="宋体" w:hAnsi="宋体"/>
          <w:color w:val="auto"/>
          <w:szCs w:val="21"/>
          <w:highlight w:val="none"/>
        </w:rPr>
      </w:pPr>
      <w:r>
        <w:rPr>
          <w:rFonts w:hint="eastAsia" w:ascii="宋体" w:hAnsi="宋体"/>
          <w:color w:val="auto"/>
          <w:sz w:val="24"/>
          <w:highlight w:val="none"/>
        </w:rPr>
        <w:t xml:space="preserve">                                日期：    年   月   日</w:t>
      </w:r>
    </w:p>
    <w:p w14:paraId="77D95723">
      <w:pPr>
        <w:snapToGrid w:val="0"/>
        <w:spacing w:beforeLines="50" w:after="50" w:line="360" w:lineRule="auto"/>
        <w:ind w:right="480" w:firstLine="240" w:firstLineChars="100"/>
        <w:jc w:val="right"/>
        <w:rPr>
          <w:rFonts w:ascii="宋体" w:hAnsi="宋体"/>
          <w:color w:val="auto"/>
          <w:sz w:val="24"/>
          <w:highlight w:val="none"/>
        </w:rPr>
      </w:pPr>
    </w:p>
    <w:p w14:paraId="206D9149">
      <w:pPr>
        <w:pStyle w:val="58"/>
        <w:rPr>
          <w:rFonts w:ascii="宋体"/>
          <w:color w:val="auto"/>
          <w:highlight w:val="none"/>
        </w:rPr>
      </w:pPr>
    </w:p>
    <w:p w14:paraId="12ED0A51">
      <w:pPr>
        <w:pStyle w:val="58"/>
        <w:rPr>
          <w:rFonts w:ascii="宋体"/>
          <w:color w:val="auto"/>
          <w:highlight w:val="none"/>
        </w:rPr>
      </w:pPr>
    </w:p>
    <w:p w14:paraId="6B018F0D">
      <w:pPr>
        <w:snapToGrid w:val="0"/>
        <w:spacing w:before="50" w:afterLines="50"/>
        <w:jc w:val="left"/>
        <w:rPr>
          <w:rFonts w:ascii="宋体" w:hAnsi="宋体"/>
          <w:color w:val="auto"/>
          <w:szCs w:val="21"/>
          <w:highlight w:val="none"/>
        </w:rPr>
      </w:pPr>
    </w:p>
    <w:p w14:paraId="04E95140">
      <w:pPr>
        <w:snapToGrid w:val="0"/>
        <w:spacing w:beforeLines="50" w:after="50"/>
        <w:jc w:val="left"/>
        <w:rPr>
          <w:rFonts w:ascii="宋体" w:hAnsi="宋体"/>
          <w:b/>
          <w:color w:val="auto"/>
          <w:sz w:val="24"/>
          <w:szCs w:val="20"/>
          <w:highlight w:val="none"/>
        </w:rPr>
      </w:pPr>
    </w:p>
    <w:p w14:paraId="3D8BBB27">
      <w:pPr>
        <w:numPr>
          <w:ilvl w:val="2"/>
          <w:numId w:val="0"/>
        </w:numPr>
        <w:snapToGrid w:val="0"/>
        <w:spacing w:beforeLines="50" w:after="50"/>
        <w:jc w:val="left"/>
        <w:rPr>
          <w:rFonts w:ascii="宋体" w:hAnsi="宋体"/>
          <w:b/>
          <w:color w:val="auto"/>
          <w:sz w:val="24"/>
          <w:highlight w:val="none"/>
        </w:rPr>
      </w:pPr>
    </w:p>
    <w:p w14:paraId="304ED13F">
      <w:pPr>
        <w:numPr>
          <w:ilvl w:val="2"/>
          <w:numId w:val="0"/>
        </w:numPr>
        <w:snapToGrid w:val="0"/>
        <w:spacing w:beforeLines="50" w:after="50"/>
        <w:jc w:val="left"/>
        <w:rPr>
          <w:rFonts w:ascii="宋体" w:hAnsi="宋体"/>
          <w:b/>
          <w:color w:val="auto"/>
          <w:sz w:val="24"/>
          <w:szCs w:val="20"/>
          <w:highlight w:val="none"/>
        </w:rPr>
      </w:pPr>
      <w:r>
        <w:rPr>
          <w:rFonts w:ascii="宋体" w:hAnsi="宋体"/>
          <w:b/>
          <w:color w:val="auto"/>
          <w:sz w:val="24"/>
          <w:highlight w:val="none"/>
        </w:rPr>
        <w:t>3.</w:t>
      </w:r>
      <w:r>
        <w:rPr>
          <w:rFonts w:hint="eastAsia" w:ascii="宋体" w:hAnsi="宋体"/>
          <w:b/>
          <w:color w:val="auto"/>
          <w:sz w:val="24"/>
          <w:highlight w:val="none"/>
        </w:rPr>
        <w:t>投标声明</w:t>
      </w:r>
    </w:p>
    <w:p w14:paraId="3BD91875">
      <w:pPr>
        <w:snapToGrid w:val="0"/>
        <w:spacing w:before="50" w:afterLines="50"/>
        <w:jc w:val="left"/>
        <w:rPr>
          <w:rFonts w:ascii="宋体" w:hAnsi="宋体"/>
          <w:color w:val="auto"/>
          <w:highlight w:val="none"/>
        </w:rPr>
      </w:pPr>
    </w:p>
    <w:p w14:paraId="1A6C2D02">
      <w:pPr>
        <w:snapToGrid w:val="0"/>
        <w:spacing w:before="50" w:afterLines="50"/>
        <w:jc w:val="center"/>
        <w:rPr>
          <w:rFonts w:ascii="宋体" w:hAnsi="宋体"/>
          <w:b/>
          <w:color w:val="auto"/>
          <w:sz w:val="32"/>
          <w:szCs w:val="32"/>
          <w:highlight w:val="none"/>
        </w:rPr>
      </w:pPr>
      <w:r>
        <w:rPr>
          <w:rFonts w:hint="eastAsia" w:ascii="宋体" w:hAnsi="宋体"/>
          <w:b/>
          <w:color w:val="auto"/>
          <w:sz w:val="32"/>
          <w:szCs w:val="32"/>
          <w:highlight w:val="none"/>
        </w:rPr>
        <w:t>投标声明</w:t>
      </w:r>
    </w:p>
    <w:p w14:paraId="216E7077">
      <w:pPr>
        <w:spacing w:line="400" w:lineRule="exact"/>
        <w:contextualSpacing/>
        <w:jc w:val="left"/>
        <w:rPr>
          <w:color w:val="auto"/>
          <w:sz w:val="24"/>
          <w:highlight w:val="none"/>
        </w:rPr>
      </w:pPr>
      <w:r>
        <w:rPr>
          <w:rFonts w:hint="eastAsia"/>
          <w:color w:val="auto"/>
          <w:sz w:val="24"/>
          <w:highlight w:val="none"/>
        </w:rPr>
        <w:t>（采购人名称）：</w:t>
      </w:r>
    </w:p>
    <w:p w14:paraId="10347C14">
      <w:pPr>
        <w:spacing w:line="400" w:lineRule="exact"/>
        <w:ind w:firstLine="523" w:firstLineChars="218"/>
        <w:contextualSpacing/>
        <w:jc w:val="left"/>
        <w:rPr>
          <w:rFonts w:ascii="宋体" w:hAnsi="宋体"/>
          <w:color w:val="auto"/>
          <w:sz w:val="24"/>
          <w:highlight w:val="none"/>
        </w:rPr>
      </w:pPr>
      <w:r>
        <w:rPr>
          <w:rFonts w:hint="eastAsia" w:ascii="宋体" w:hAnsi="宋体"/>
          <w:color w:val="auto"/>
          <w:sz w:val="24"/>
          <w:highlight w:val="none"/>
        </w:rPr>
        <w:t>我方参加贵单位组织项目（项目编号：）的政府采购活动。我方在此郑重声明：</w:t>
      </w:r>
    </w:p>
    <w:p w14:paraId="47776E8F">
      <w:pPr>
        <w:spacing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1.我方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41B3FD85">
      <w:pPr>
        <w:spacing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2.我方不是为本次采购项目提供整体设计、规范编制或者项目管理、监理、检测等服务的供应商。</w:t>
      </w:r>
    </w:p>
    <w:p w14:paraId="6CC38E35">
      <w:pPr>
        <w:spacing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3. 我方承诺符合《中华人民共和国政府采购法》第二十二条规定：</w:t>
      </w:r>
    </w:p>
    <w:p w14:paraId="3C7C4296">
      <w:pPr>
        <w:spacing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（一）具有独立承担民事责任的能力；</w:t>
      </w:r>
    </w:p>
    <w:p w14:paraId="3C4B98A1">
      <w:pPr>
        <w:spacing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（二）具有良好的商业信誉和健全的财务会计制度；</w:t>
      </w:r>
    </w:p>
    <w:p w14:paraId="1C367767">
      <w:pPr>
        <w:spacing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（三）具有履行合同所必需的设备和专业技术能力；</w:t>
      </w:r>
    </w:p>
    <w:p w14:paraId="54E7202F">
      <w:pPr>
        <w:spacing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（四）有依法缴纳税收和社会保障资金的良好记录；</w:t>
      </w:r>
    </w:p>
    <w:p w14:paraId="2D524DD9">
      <w:pPr>
        <w:spacing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（五）参加政府采购活动前三年内，在经营活动中没有重大违法记录；</w:t>
      </w:r>
    </w:p>
    <w:p w14:paraId="76B9144E">
      <w:pPr>
        <w:spacing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（六）法律、行政法规规定的其他条件。</w:t>
      </w:r>
    </w:p>
    <w:p w14:paraId="00DFB4AE">
      <w:pPr>
        <w:spacing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4.以上事项如有虚假或者隐瞒，我方愿意承担一切后果，并不再寻求任何旨在减轻或者免除法律责任的辩解。</w:t>
      </w:r>
    </w:p>
    <w:p w14:paraId="5EBFC4F0">
      <w:pPr>
        <w:spacing w:line="400" w:lineRule="exact"/>
        <w:contextualSpacing/>
        <w:jc w:val="left"/>
        <w:rPr>
          <w:rFonts w:ascii="宋体" w:hAnsi="宋体"/>
          <w:color w:val="auto"/>
          <w:sz w:val="24"/>
          <w:highlight w:val="none"/>
        </w:rPr>
      </w:pPr>
      <w:r>
        <w:rPr>
          <w:rFonts w:hint="eastAsia" w:ascii="宋体" w:hAnsi="宋体"/>
          <w:color w:val="auto"/>
          <w:sz w:val="24"/>
          <w:highlight w:val="none"/>
        </w:rPr>
        <w:t xml:space="preserve">    特此承诺。</w:t>
      </w:r>
    </w:p>
    <w:p w14:paraId="58878ED3">
      <w:pPr>
        <w:spacing w:line="400" w:lineRule="exact"/>
        <w:contextualSpacing/>
        <w:jc w:val="left"/>
        <w:rPr>
          <w:rFonts w:ascii="宋体" w:hAnsi="宋体"/>
          <w:color w:val="auto"/>
          <w:sz w:val="24"/>
          <w:highlight w:val="none"/>
        </w:rPr>
      </w:pPr>
      <w:r>
        <w:rPr>
          <w:rFonts w:hint="eastAsia" w:ascii="宋体" w:hAnsi="宋体"/>
          <w:color w:val="auto"/>
          <w:sz w:val="24"/>
          <w:highlight w:val="none"/>
        </w:rPr>
        <w:t>法定代表人（签字或者盖章或者电子签名）：</w:t>
      </w:r>
    </w:p>
    <w:p w14:paraId="5E7AD816">
      <w:pPr>
        <w:spacing w:line="400" w:lineRule="exact"/>
        <w:contextualSpacing/>
        <w:jc w:val="left"/>
        <w:rPr>
          <w:rFonts w:ascii="宋体" w:hAnsi="宋体"/>
          <w:color w:val="auto"/>
          <w:sz w:val="24"/>
          <w:highlight w:val="none"/>
        </w:rPr>
      </w:pPr>
      <w:r>
        <w:rPr>
          <w:rFonts w:hint="eastAsia" w:ascii="宋体" w:hAnsi="宋体"/>
          <w:color w:val="auto"/>
          <w:sz w:val="24"/>
          <w:highlight w:val="none"/>
        </w:rPr>
        <w:t xml:space="preserve">                             投标人名称（电子签章）：</w:t>
      </w:r>
    </w:p>
    <w:p w14:paraId="0FACA1A2">
      <w:pPr>
        <w:spacing w:line="400" w:lineRule="exact"/>
        <w:contextualSpacing/>
        <w:jc w:val="left"/>
        <w:rPr>
          <w:rFonts w:ascii="宋体" w:hAnsi="宋体"/>
          <w:color w:val="auto"/>
          <w:highlight w:val="none"/>
        </w:rPr>
      </w:pPr>
      <w:r>
        <w:rPr>
          <w:rFonts w:hint="eastAsia" w:ascii="宋体" w:hAnsi="宋体"/>
          <w:color w:val="auto"/>
          <w:sz w:val="24"/>
          <w:highlight w:val="none"/>
        </w:rPr>
        <w:t xml:space="preserve">                                                  年    月    日</w:t>
      </w:r>
    </w:p>
    <w:p w14:paraId="2CA8E332">
      <w:pPr>
        <w:spacing w:line="440" w:lineRule="exact"/>
        <w:contextualSpacing/>
        <w:rPr>
          <w:rFonts w:ascii="宋体" w:hAnsi="宋体"/>
          <w:b/>
          <w:color w:val="auto"/>
          <w:sz w:val="24"/>
          <w:highlight w:val="none"/>
        </w:rPr>
      </w:pPr>
      <w:r>
        <w:rPr>
          <w:rFonts w:hint="eastAsia" w:ascii="宋体" w:hAnsi="宋体"/>
          <w:b/>
          <w:color w:val="auto"/>
          <w:sz w:val="24"/>
          <w:highlight w:val="none"/>
        </w:rPr>
        <w:t>注：如为联合体投标，盖章处须加盖联合体牵头人电子签章并由联合体牵头人法定代表人分别签字或者盖章或者电子签名，否则投标无效。</w:t>
      </w:r>
    </w:p>
    <w:p w14:paraId="094B25A1">
      <w:pPr>
        <w:spacing w:line="400" w:lineRule="exact"/>
        <w:contextualSpacing/>
        <w:jc w:val="left"/>
        <w:rPr>
          <w:rFonts w:ascii="宋体" w:hAnsi="宋体"/>
          <w:color w:val="auto"/>
          <w:sz w:val="24"/>
          <w:highlight w:val="none"/>
        </w:rPr>
      </w:pPr>
    </w:p>
    <w:p w14:paraId="50AAF09C">
      <w:pPr>
        <w:spacing w:line="400" w:lineRule="exact"/>
        <w:contextualSpacing/>
        <w:jc w:val="left"/>
        <w:rPr>
          <w:rFonts w:ascii="宋体" w:hAnsi="宋体"/>
          <w:color w:val="auto"/>
          <w:sz w:val="24"/>
          <w:highlight w:val="none"/>
        </w:rPr>
      </w:pPr>
    </w:p>
    <w:p w14:paraId="0C14D84E">
      <w:pPr>
        <w:spacing w:line="400" w:lineRule="exact"/>
        <w:contextualSpacing/>
        <w:jc w:val="left"/>
        <w:rPr>
          <w:rFonts w:ascii="宋体" w:hAnsi="宋体"/>
          <w:color w:val="auto"/>
          <w:sz w:val="24"/>
          <w:highlight w:val="none"/>
        </w:rPr>
      </w:pPr>
    </w:p>
    <w:p w14:paraId="0345DA38">
      <w:pPr>
        <w:rPr>
          <w:b/>
          <w:color w:val="auto"/>
          <w:sz w:val="28"/>
          <w:szCs w:val="28"/>
          <w:highlight w:val="none"/>
        </w:rPr>
      </w:pPr>
      <w:bookmarkStart w:id="147" w:name="_Toc19686838"/>
      <w:r>
        <w:rPr>
          <w:rFonts w:hint="eastAsia"/>
          <w:b/>
          <w:color w:val="auto"/>
          <w:sz w:val="28"/>
          <w:szCs w:val="28"/>
          <w:highlight w:val="none"/>
        </w:rPr>
        <w:br w:type="page"/>
      </w:r>
      <w:r>
        <w:rPr>
          <w:rFonts w:hint="eastAsia"/>
          <w:b/>
          <w:color w:val="auto"/>
          <w:sz w:val="28"/>
          <w:szCs w:val="28"/>
          <w:highlight w:val="none"/>
        </w:rPr>
        <w:t>三、商务文件格式</w:t>
      </w:r>
      <w:bookmarkEnd w:id="147"/>
    </w:p>
    <w:p w14:paraId="7D76154F">
      <w:pPr>
        <w:snapToGrid w:val="0"/>
        <w:spacing w:beforeLines="50" w:after="50" w:line="360" w:lineRule="auto"/>
        <w:jc w:val="left"/>
        <w:rPr>
          <w:rFonts w:ascii="宋体" w:hAnsi="宋体"/>
          <w:b/>
          <w:color w:val="auto"/>
          <w:sz w:val="24"/>
          <w:highlight w:val="none"/>
        </w:rPr>
      </w:pPr>
      <w:r>
        <w:rPr>
          <w:rFonts w:hint="eastAsia" w:ascii="宋体" w:hAnsi="宋体"/>
          <w:b/>
          <w:color w:val="auto"/>
          <w:sz w:val="24"/>
          <w:highlight w:val="none"/>
        </w:rPr>
        <w:t xml:space="preserve">1.商务文件封面格式： </w:t>
      </w:r>
    </w:p>
    <w:p w14:paraId="6878A087">
      <w:pPr>
        <w:snapToGrid w:val="0"/>
        <w:spacing w:beforeLines="50" w:after="50"/>
        <w:jc w:val="center"/>
        <w:rPr>
          <w:rFonts w:ascii="宋体" w:hAnsi="宋体"/>
          <w:color w:val="auto"/>
          <w:sz w:val="24"/>
          <w:highlight w:val="none"/>
        </w:rPr>
      </w:pPr>
      <w:r>
        <w:rPr>
          <w:rFonts w:hint="eastAsia" w:ascii="宋体" w:hAnsi="宋体" w:eastAsia="方正小标宋简体"/>
          <w:bCs/>
          <w:color w:val="auto"/>
          <w:sz w:val="48"/>
          <w:szCs w:val="48"/>
          <w:highlight w:val="none"/>
        </w:rPr>
        <w:t>电子投标文件</w:t>
      </w:r>
    </w:p>
    <w:p w14:paraId="6EA20788">
      <w:pPr>
        <w:snapToGrid w:val="0"/>
        <w:spacing w:beforeLines="50" w:after="50"/>
        <w:rPr>
          <w:rFonts w:ascii="宋体" w:hAnsi="宋体"/>
          <w:color w:val="auto"/>
          <w:sz w:val="24"/>
          <w:szCs w:val="20"/>
          <w:highlight w:val="none"/>
        </w:rPr>
      </w:pPr>
    </w:p>
    <w:p w14:paraId="7413CA50">
      <w:pPr>
        <w:snapToGrid w:val="0"/>
        <w:spacing w:beforeLines="50" w:after="50"/>
        <w:jc w:val="center"/>
        <w:rPr>
          <w:rFonts w:ascii="宋体" w:hAnsi="宋体"/>
          <w:b/>
          <w:color w:val="auto"/>
          <w:sz w:val="24"/>
          <w:szCs w:val="20"/>
          <w:highlight w:val="none"/>
        </w:rPr>
      </w:pPr>
      <w:r>
        <w:rPr>
          <w:rFonts w:hint="eastAsia" w:ascii="宋体" w:hAnsi="宋体"/>
          <w:b/>
          <w:color w:val="auto"/>
          <w:sz w:val="32"/>
          <w:szCs w:val="32"/>
          <w:highlight w:val="none"/>
        </w:rPr>
        <w:t>商务文件</w:t>
      </w:r>
    </w:p>
    <w:p w14:paraId="4655B4B3">
      <w:pPr>
        <w:snapToGrid w:val="0"/>
        <w:spacing w:beforeLines="50" w:after="50"/>
        <w:rPr>
          <w:rFonts w:ascii="宋体" w:hAnsi="宋体"/>
          <w:bCs/>
          <w:color w:val="auto"/>
          <w:sz w:val="24"/>
          <w:szCs w:val="20"/>
          <w:highlight w:val="none"/>
        </w:rPr>
      </w:pPr>
    </w:p>
    <w:p w14:paraId="68FD41CF">
      <w:pPr>
        <w:snapToGrid w:val="0"/>
        <w:spacing w:beforeLines="50" w:after="50"/>
        <w:ind w:firstLine="540" w:firstLineChars="225"/>
        <w:rPr>
          <w:rFonts w:ascii="宋体" w:hAnsi="宋体"/>
          <w:bCs/>
          <w:color w:val="auto"/>
          <w:sz w:val="24"/>
          <w:highlight w:val="none"/>
        </w:rPr>
      </w:pPr>
      <w:r>
        <w:rPr>
          <w:rFonts w:hint="eastAsia" w:ascii="宋体" w:hAnsi="宋体"/>
          <w:bCs/>
          <w:color w:val="auto"/>
          <w:sz w:val="24"/>
          <w:highlight w:val="none"/>
        </w:rPr>
        <w:t>项目名称：</w:t>
      </w:r>
    </w:p>
    <w:p w14:paraId="43594440">
      <w:pPr>
        <w:snapToGrid w:val="0"/>
        <w:spacing w:beforeLines="50" w:after="50"/>
        <w:ind w:firstLine="540" w:firstLineChars="225"/>
        <w:rPr>
          <w:rFonts w:ascii="宋体" w:hAnsi="宋体"/>
          <w:bCs/>
          <w:color w:val="auto"/>
          <w:sz w:val="24"/>
          <w:szCs w:val="20"/>
          <w:highlight w:val="none"/>
        </w:rPr>
      </w:pPr>
    </w:p>
    <w:p w14:paraId="3A9CFE3B">
      <w:pPr>
        <w:snapToGrid w:val="0"/>
        <w:spacing w:beforeLines="50" w:after="50"/>
        <w:ind w:firstLine="540" w:firstLineChars="225"/>
        <w:rPr>
          <w:rFonts w:ascii="宋体" w:hAnsi="宋体"/>
          <w:bCs/>
          <w:color w:val="auto"/>
          <w:sz w:val="24"/>
          <w:highlight w:val="none"/>
        </w:rPr>
      </w:pPr>
      <w:r>
        <w:rPr>
          <w:rFonts w:hint="eastAsia" w:ascii="宋体" w:hAnsi="宋体"/>
          <w:bCs/>
          <w:color w:val="auto"/>
          <w:sz w:val="24"/>
          <w:highlight w:val="none"/>
        </w:rPr>
        <w:t>项目编号：</w:t>
      </w:r>
    </w:p>
    <w:p w14:paraId="01CACF79">
      <w:pPr>
        <w:snapToGrid w:val="0"/>
        <w:spacing w:beforeLines="50" w:after="50"/>
        <w:ind w:firstLine="540" w:firstLineChars="225"/>
        <w:rPr>
          <w:rFonts w:ascii="宋体" w:hAnsi="宋体"/>
          <w:bCs/>
          <w:color w:val="auto"/>
          <w:sz w:val="24"/>
          <w:szCs w:val="20"/>
          <w:highlight w:val="none"/>
        </w:rPr>
      </w:pPr>
    </w:p>
    <w:p w14:paraId="489A8B49">
      <w:pPr>
        <w:snapToGrid w:val="0"/>
        <w:spacing w:beforeLines="50" w:after="50"/>
        <w:ind w:firstLine="540" w:firstLineChars="225"/>
        <w:rPr>
          <w:rFonts w:ascii="宋体" w:hAnsi="宋体"/>
          <w:bCs/>
          <w:color w:val="auto"/>
          <w:sz w:val="24"/>
          <w:highlight w:val="none"/>
        </w:rPr>
      </w:pPr>
      <w:r>
        <w:rPr>
          <w:rFonts w:hint="eastAsia" w:ascii="宋体" w:hAnsi="宋体"/>
          <w:bCs/>
          <w:color w:val="auto"/>
          <w:sz w:val="24"/>
          <w:highlight w:val="none"/>
        </w:rPr>
        <w:t>所投分标：</w:t>
      </w:r>
    </w:p>
    <w:p w14:paraId="5E56A38F">
      <w:pPr>
        <w:snapToGrid w:val="0"/>
        <w:spacing w:beforeLines="50" w:after="50"/>
        <w:ind w:firstLine="540" w:firstLineChars="225"/>
        <w:rPr>
          <w:rFonts w:ascii="宋体" w:hAnsi="宋体"/>
          <w:bCs/>
          <w:color w:val="auto"/>
          <w:sz w:val="24"/>
          <w:szCs w:val="20"/>
          <w:highlight w:val="none"/>
        </w:rPr>
      </w:pPr>
    </w:p>
    <w:p w14:paraId="79271CB3">
      <w:pPr>
        <w:pStyle w:val="9"/>
        <w:snapToGrid w:val="0"/>
        <w:spacing w:before="50" w:after="50"/>
        <w:ind w:firstLine="540" w:firstLineChars="225"/>
        <w:rPr>
          <w:rFonts w:ascii="宋体" w:hAnsi="宋体"/>
          <w:bCs/>
          <w:color w:val="auto"/>
          <w:sz w:val="24"/>
          <w:szCs w:val="24"/>
          <w:highlight w:val="none"/>
        </w:rPr>
      </w:pPr>
      <w:r>
        <w:rPr>
          <w:rFonts w:hint="eastAsia" w:ascii="宋体" w:hAnsi="宋体"/>
          <w:bCs/>
          <w:color w:val="auto"/>
          <w:sz w:val="24"/>
          <w:szCs w:val="24"/>
          <w:highlight w:val="none"/>
        </w:rPr>
        <w:t>投标人名称：</w:t>
      </w:r>
    </w:p>
    <w:p w14:paraId="4A5C1396">
      <w:pPr>
        <w:pStyle w:val="9"/>
        <w:snapToGrid w:val="0"/>
        <w:spacing w:before="50" w:after="50"/>
        <w:ind w:firstLine="540" w:firstLineChars="225"/>
        <w:rPr>
          <w:rFonts w:ascii="宋体" w:hAnsi="宋体"/>
          <w:bCs/>
          <w:color w:val="auto"/>
          <w:sz w:val="24"/>
          <w:szCs w:val="24"/>
          <w:highlight w:val="none"/>
        </w:rPr>
      </w:pPr>
    </w:p>
    <w:p w14:paraId="2FCEEFD0">
      <w:pPr>
        <w:pStyle w:val="9"/>
        <w:snapToGrid w:val="0"/>
        <w:spacing w:before="50" w:after="50"/>
        <w:ind w:firstLine="540" w:firstLineChars="225"/>
        <w:rPr>
          <w:rFonts w:ascii="宋体" w:hAnsi="宋体"/>
          <w:bCs/>
          <w:color w:val="auto"/>
          <w:sz w:val="24"/>
          <w:szCs w:val="24"/>
          <w:highlight w:val="none"/>
        </w:rPr>
      </w:pPr>
      <w:r>
        <w:rPr>
          <w:rFonts w:hint="eastAsia" w:ascii="宋体" w:hAnsi="宋体"/>
          <w:bCs/>
          <w:color w:val="auto"/>
          <w:sz w:val="24"/>
          <w:szCs w:val="24"/>
          <w:highlight w:val="none"/>
        </w:rPr>
        <w:t>投标人地址：</w:t>
      </w:r>
    </w:p>
    <w:p w14:paraId="1D780276">
      <w:pPr>
        <w:pStyle w:val="9"/>
        <w:snapToGrid w:val="0"/>
        <w:spacing w:before="50" w:after="50"/>
        <w:ind w:firstLine="960" w:firstLineChars="400"/>
        <w:rPr>
          <w:rFonts w:ascii="宋体" w:hAnsi="宋体"/>
          <w:bCs/>
          <w:color w:val="auto"/>
          <w:sz w:val="24"/>
          <w:szCs w:val="24"/>
          <w:highlight w:val="none"/>
        </w:rPr>
      </w:pPr>
    </w:p>
    <w:p w14:paraId="4270E578">
      <w:pPr>
        <w:snapToGrid w:val="0"/>
        <w:spacing w:beforeLines="50" w:after="50"/>
        <w:ind w:firstLine="645"/>
        <w:rPr>
          <w:rFonts w:ascii="宋体" w:hAnsi="宋体"/>
          <w:color w:val="auto"/>
          <w:sz w:val="24"/>
          <w:highlight w:val="none"/>
        </w:rPr>
      </w:pPr>
      <w:r>
        <w:rPr>
          <w:rFonts w:hint="eastAsia" w:ascii="宋体" w:hAnsi="宋体"/>
          <w:color w:val="auto"/>
          <w:sz w:val="24"/>
          <w:highlight w:val="none"/>
        </w:rPr>
        <w:t xml:space="preserve">                        年  月  日</w:t>
      </w:r>
    </w:p>
    <w:p w14:paraId="05639971">
      <w:pPr>
        <w:snapToGrid w:val="0"/>
        <w:spacing w:beforeLines="50" w:after="50"/>
        <w:rPr>
          <w:rFonts w:ascii="宋体" w:hAnsi="宋体"/>
          <w:color w:val="auto"/>
          <w:sz w:val="24"/>
          <w:szCs w:val="20"/>
          <w:highlight w:val="none"/>
        </w:rPr>
      </w:pPr>
    </w:p>
    <w:p w14:paraId="65CF568E">
      <w:pPr>
        <w:snapToGrid w:val="0"/>
        <w:spacing w:line="360" w:lineRule="auto"/>
        <w:jc w:val="left"/>
        <w:rPr>
          <w:rFonts w:ascii="宋体" w:hAnsi="宋体"/>
          <w:b/>
          <w:bCs/>
          <w:color w:val="auto"/>
          <w:sz w:val="28"/>
          <w:szCs w:val="28"/>
          <w:highlight w:val="none"/>
        </w:rPr>
      </w:pPr>
      <w:r>
        <w:rPr>
          <w:rFonts w:ascii="宋体" w:hAnsi="宋体"/>
          <w:color w:val="auto"/>
          <w:sz w:val="24"/>
          <w:szCs w:val="20"/>
          <w:highlight w:val="none"/>
        </w:rPr>
        <w:br w:type="page"/>
      </w:r>
      <w:r>
        <w:rPr>
          <w:rFonts w:hint="eastAsia" w:ascii="宋体" w:hAnsi="宋体"/>
          <w:b/>
          <w:bCs/>
          <w:color w:val="auto"/>
          <w:sz w:val="28"/>
          <w:szCs w:val="28"/>
          <w:highlight w:val="none"/>
        </w:rPr>
        <w:t>商务文件目录</w:t>
      </w:r>
    </w:p>
    <w:p w14:paraId="5A02BC35">
      <w:pPr>
        <w:snapToGrid w:val="0"/>
        <w:spacing w:before="50" w:afterLines="50" w:line="360" w:lineRule="auto"/>
        <w:jc w:val="left"/>
        <w:rPr>
          <w:rFonts w:ascii="微软雅黑" w:hAnsi="微软雅黑" w:eastAsia="微软雅黑"/>
          <w:b/>
          <w:bCs/>
          <w:color w:val="auto"/>
          <w:sz w:val="24"/>
          <w:highlight w:val="none"/>
        </w:rPr>
      </w:pPr>
      <w:r>
        <w:rPr>
          <w:rFonts w:hint="eastAsia" w:ascii="宋体" w:hAnsi="宋体"/>
          <w:color w:val="auto"/>
          <w:szCs w:val="21"/>
          <w:highlight w:val="none"/>
        </w:rPr>
        <w:t>根据招标文件规定及投标人提供的材料自行编写目录。</w:t>
      </w:r>
    </w:p>
    <w:p w14:paraId="359E0729">
      <w:pPr>
        <w:snapToGrid w:val="0"/>
        <w:spacing w:before="50" w:afterLines="50"/>
        <w:jc w:val="left"/>
        <w:rPr>
          <w:rFonts w:ascii="宋体" w:hAnsi="宋体"/>
          <w:color w:val="auto"/>
          <w:highlight w:val="none"/>
        </w:rPr>
      </w:pPr>
    </w:p>
    <w:p w14:paraId="5F970044">
      <w:pPr>
        <w:snapToGrid w:val="0"/>
        <w:spacing w:beforeLines="50" w:after="50"/>
        <w:jc w:val="left"/>
        <w:rPr>
          <w:rFonts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4"/>
          <w:highlight w:val="none"/>
        </w:rPr>
        <w:t>1.无串通投标行为的承诺函</w:t>
      </w:r>
    </w:p>
    <w:p w14:paraId="0CD0FBDC">
      <w:pPr>
        <w:snapToGrid w:val="0"/>
        <w:spacing w:beforeLines="50" w:after="50"/>
        <w:jc w:val="left"/>
        <w:rPr>
          <w:rFonts w:ascii="宋体" w:hAnsi="宋体"/>
          <w:b/>
          <w:color w:val="auto"/>
          <w:sz w:val="24"/>
          <w:highlight w:val="none"/>
        </w:rPr>
      </w:pPr>
    </w:p>
    <w:p w14:paraId="28E1691A">
      <w:pPr>
        <w:snapToGrid w:val="0"/>
        <w:spacing w:beforeLines="50" w:after="50"/>
        <w:ind w:left="420"/>
        <w:jc w:val="center"/>
        <w:rPr>
          <w:rFonts w:ascii="宋体" w:hAnsi="宋体"/>
          <w:b/>
          <w:color w:val="auto"/>
          <w:spacing w:val="-17"/>
          <w:sz w:val="32"/>
          <w:szCs w:val="32"/>
          <w:highlight w:val="none"/>
        </w:rPr>
      </w:pPr>
      <w:r>
        <w:rPr>
          <w:rFonts w:hint="eastAsia" w:ascii="宋体" w:hAnsi="宋体"/>
          <w:b/>
          <w:color w:val="auto"/>
          <w:spacing w:val="-17"/>
          <w:sz w:val="32"/>
          <w:szCs w:val="32"/>
          <w:highlight w:val="none"/>
        </w:rPr>
        <w:t>无串通投标行为的承诺函</w:t>
      </w:r>
    </w:p>
    <w:p w14:paraId="43D92F41">
      <w:pPr>
        <w:snapToGrid w:val="0"/>
        <w:spacing w:beforeLines="50" w:after="50"/>
        <w:rPr>
          <w:rFonts w:ascii="宋体" w:hAnsi="宋体"/>
          <w:b/>
          <w:color w:val="auto"/>
          <w:sz w:val="24"/>
          <w:highlight w:val="none"/>
        </w:rPr>
      </w:pPr>
    </w:p>
    <w:p w14:paraId="78728635">
      <w:pPr>
        <w:spacing w:line="400" w:lineRule="exact"/>
        <w:contextualSpacing/>
        <w:jc w:val="left"/>
        <w:rPr>
          <w:rFonts w:ascii="宋体" w:hAnsi="宋体"/>
          <w:b/>
          <w:color w:val="auto"/>
          <w:sz w:val="24"/>
          <w:highlight w:val="none"/>
        </w:rPr>
      </w:pPr>
      <w:r>
        <w:rPr>
          <w:rFonts w:hint="eastAsia" w:ascii="宋体" w:hAnsi="宋体"/>
          <w:b/>
          <w:color w:val="auto"/>
          <w:sz w:val="24"/>
          <w:highlight w:val="none"/>
        </w:rPr>
        <w:t>一、我方承诺无下列相互串通投标的情形：</w:t>
      </w:r>
    </w:p>
    <w:p w14:paraId="530CD61F">
      <w:pPr>
        <w:spacing w:line="400" w:lineRule="exact"/>
        <w:ind w:firstLine="470" w:firstLineChars="196"/>
        <w:contextualSpacing/>
        <w:jc w:val="left"/>
        <w:rPr>
          <w:rFonts w:ascii="宋体" w:hAnsi="宋体"/>
          <w:color w:val="auto"/>
          <w:sz w:val="24"/>
          <w:highlight w:val="none"/>
        </w:rPr>
      </w:pPr>
      <w:r>
        <w:rPr>
          <w:rFonts w:hint="eastAsia" w:ascii="宋体" w:hAnsi="宋体"/>
          <w:color w:val="auto"/>
          <w:sz w:val="24"/>
          <w:highlight w:val="none"/>
        </w:rPr>
        <w:t xml:space="preserve">1.不同投标人的投标文件由同一单位或者个人编制； </w:t>
      </w:r>
    </w:p>
    <w:p w14:paraId="00274EF5">
      <w:pPr>
        <w:spacing w:line="400" w:lineRule="exact"/>
        <w:ind w:firstLine="470" w:firstLineChars="196"/>
        <w:contextualSpacing/>
        <w:jc w:val="left"/>
        <w:rPr>
          <w:rFonts w:ascii="宋体" w:hAnsi="宋体"/>
          <w:color w:val="auto"/>
          <w:sz w:val="24"/>
          <w:highlight w:val="none"/>
        </w:rPr>
      </w:pPr>
      <w:r>
        <w:rPr>
          <w:rFonts w:hint="eastAsia" w:ascii="宋体" w:hAnsi="宋体"/>
          <w:color w:val="auto"/>
          <w:sz w:val="24"/>
          <w:highlight w:val="none"/>
        </w:rPr>
        <w:t>2.不同投标人委托同一单位或者个人办理投标事宜；</w:t>
      </w:r>
    </w:p>
    <w:p w14:paraId="55E7C032">
      <w:pPr>
        <w:spacing w:line="400" w:lineRule="exact"/>
        <w:ind w:firstLine="470" w:firstLineChars="196"/>
        <w:contextualSpacing/>
        <w:jc w:val="left"/>
        <w:rPr>
          <w:rFonts w:ascii="宋体" w:hAnsi="宋体"/>
          <w:color w:val="auto"/>
          <w:sz w:val="24"/>
          <w:highlight w:val="none"/>
        </w:rPr>
      </w:pPr>
      <w:r>
        <w:rPr>
          <w:rFonts w:hint="eastAsia" w:ascii="宋体" w:hAnsi="宋体"/>
          <w:color w:val="auto"/>
          <w:sz w:val="24"/>
          <w:highlight w:val="none"/>
        </w:rPr>
        <w:t>3.不同的投标人的投标文件载明的项目管理员为同一个人；</w:t>
      </w:r>
    </w:p>
    <w:p w14:paraId="3AF3FEF9">
      <w:pPr>
        <w:spacing w:line="400" w:lineRule="exact"/>
        <w:ind w:firstLine="470" w:firstLineChars="196"/>
        <w:contextualSpacing/>
        <w:jc w:val="left"/>
        <w:rPr>
          <w:rFonts w:ascii="宋体" w:hAnsi="宋体"/>
          <w:color w:val="auto"/>
          <w:sz w:val="24"/>
          <w:highlight w:val="none"/>
        </w:rPr>
      </w:pPr>
      <w:r>
        <w:rPr>
          <w:rFonts w:hint="eastAsia" w:ascii="宋体" w:hAnsi="宋体"/>
          <w:color w:val="auto"/>
          <w:sz w:val="24"/>
          <w:highlight w:val="none"/>
        </w:rPr>
        <w:t>4.不同投标人的投标文件异常一致或者投标报价呈规律性差异；</w:t>
      </w:r>
    </w:p>
    <w:p w14:paraId="04E2A70A">
      <w:pPr>
        <w:spacing w:line="400" w:lineRule="exact"/>
        <w:ind w:firstLine="470" w:firstLineChars="196"/>
        <w:contextualSpacing/>
        <w:jc w:val="left"/>
        <w:rPr>
          <w:rFonts w:ascii="宋体" w:hAnsi="宋体"/>
          <w:color w:val="auto"/>
          <w:sz w:val="24"/>
          <w:highlight w:val="none"/>
        </w:rPr>
      </w:pPr>
      <w:r>
        <w:rPr>
          <w:rFonts w:hint="eastAsia" w:ascii="宋体" w:hAnsi="宋体"/>
          <w:color w:val="auto"/>
          <w:sz w:val="24"/>
          <w:highlight w:val="none"/>
        </w:rPr>
        <w:t>5.不同投标人的投标文件相互混装；</w:t>
      </w:r>
    </w:p>
    <w:p w14:paraId="7BCB1A82">
      <w:pPr>
        <w:spacing w:line="400" w:lineRule="exact"/>
        <w:ind w:firstLine="470" w:firstLineChars="196"/>
        <w:contextualSpacing/>
        <w:jc w:val="left"/>
        <w:rPr>
          <w:rFonts w:ascii="宋体" w:hAnsi="宋体"/>
          <w:color w:val="auto"/>
          <w:sz w:val="24"/>
          <w:highlight w:val="none"/>
        </w:rPr>
      </w:pPr>
      <w:r>
        <w:rPr>
          <w:rFonts w:hint="eastAsia" w:ascii="宋体" w:hAnsi="宋体"/>
          <w:color w:val="auto"/>
          <w:sz w:val="24"/>
          <w:highlight w:val="none"/>
        </w:rPr>
        <w:t>6.不同投标人的投标保证金从同一单位或者个人账户转出。</w:t>
      </w:r>
    </w:p>
    <w:p w14:paraId="4B8E2430">
      <w:pPr>
        <w:spacing w:line="400" w:lineRule="exact"/>
        <w:contextualSpacing/>
        <w:jc w:val="left"/>
        <w:rPr>
          <w:rFonts w:ascii="宋体" w:hAnsi="宋体"/>
          <w:color w:val="auto"/>
          <w:sz w:val="24"/>
          <w:highlight w:val="none"/>
        </w:rPr>
      </w:pPr>
      <w:r>
        <w:rPr>
          <w:rFonts w:hint="eastAsia" w:ascii="宋体" w:hAnsi="宋体"/>
          <w:b/>
          <w:color w:val="auto"/>
          <w:sz w:val="24"/>
          <w:highlight w:val="none"/>
        </w:rPr>
        <w:t>二、我方承诺无下列恶意串通的情形：</w:t>
      </w:r>
    </w:p>
    <w:p w14:paraId="70F0827D">
      <w:pPr>
        <w:spacing w:line="400" w:lineRule="exact"/>
        <w:ind w:firstLine="470" w:firstLineChars="196"/>
        <w:contextualSpacing/>
        <w:jc w:val="left"/>
        <w:rPr>
          <w:rFonts w:ascii="宋体" w:hAnsi="宋体"/>
          <w:color w:val="auto"/>
          <w:sz w:val="24"/>
          <w:highlight w:val="none"/>
        </w:rPr>
      </w:pPr>
      <w:r>
        <w:rPr>
          <w:rFonts w:hint="eastAsia" w:ascii="宋体" w:hAnsi="宋体"/>
          <w:color w:val="auto"/>
          <w:sz w:val="24"/>
          <w:highlight w:val="none"/>
        </w:rPr>
        <w:t>1.投标人直接或者间接从采购人或者采购代理机构处获得其他投标人的相关信息并修改其投标文件或者响应文件；</w:t>
      </w:r>
    </w:p>
    <w:p w14:paraId="0903FA89">
      <w:pPr>
        <w:spacing w:line="400" w:lineRule="exact"/>
        <w:ind w:firstLine="470" w:firstLineChars="196"/>
        <w:contextualSpacing/>
        <w:jc w:val="left"/>
        <w:rPr>
          <w:rFonts w:ascii="宋体" w:hAnsi="宋体"/>
          <w:color w:val="auto"/>
          <w:sz w:val="24"/>
          <w:highlight w:val="none"/>
        </w:rPr>
      </w:pPr>
      <w:r>
        <w:rPr>
          <w:rFonts w:hint="eastAsia" w:ascii="宋体" w:hAnsi="宋体"/>
          <w:color w:val="auto"/>
          <w:sz w:val="24"/>
          <w:highlight w:val="none"/>
        </w:rPr>
        <w:t>2.投标人按照采购人或者采购代理机构的授意撤换、修改投标文件或者响应文件；</w:t>
      </w:r>
    </w:p>
    <w:p w14:paraId="5948C681">
      <w:pPr>
        <w:spacing w:line="400" w:lineRule="exact"/>
        <w:ind w:firstLine="470" w:firstLineChars="196"/>
        <w:contextualSpacing/>
        <w:jc w:val="left"/>
        <w:rPr>
          <w:rFonts w:ascii="宋体" w:hAnsi="宋体"/>
          <w:color w:val="auto"/>
          <w:sz w:val="24"/>
          <w:highlight w:val="none"/>
        </w:rPr>
      </w:pPr>
      <w:r>
        <w:rPr>
          <w:rFonts w:hint="eastAsia" w:ascii="宋体" w:hAnsi="宋体"/>
          <w:color w:val="auto"/>
          <w:sz w:val="24"/>
          <w:highlight w:val="none"/>
        </w:rPr>
        <w:t>3.投标人之间协商报价、技术方案等投标文件或者响应文件的实质性内容；</w:t>
      </w:r>
    </w:p>
    <w:p w14:paraId="687565FC">
      <w:pPr>
        <w:spacing w:line="400" w:lineRule="exact"/>
        <w:ind w:firstLine="470" w:firstLineChars="196"/>
        <w:contextualSpacing/>
        <w:jc w:val="left"/>
        <w:rPr>
          <w:rFonts w:ascii="宋体" w:hAnsi="宋体"/>
          <w:color w:val="auto"/>
          <w:sz w:val="24"/>
          <w:highlight w:val="none"/>
        </w:rPr>
      </w:pPr>
      <w:r>
        <w:rPr>
          <w:rFonts w:hint="eastAsia" w:ascii="宋体" w:hAnsi="宋体"/>
          <w:color w:val="auto"/>
          <w:sz w:val="24"/>
          <w:highlight w:val="none"/>
        </w:rPr>
        <w:t>4.属于同一集团、协会、商会等组织成员的投标人按照该组织要求协同参加政府采购活动；</w:t>
      </w:r>
    </w:p>
    <w:p w14:paraId="37D1191C">
      <w:pPr>
        <w:spacing w:line="400" w:lineRule="exact"/>
        <w:ind w:firstLine="470" w:firstLineChars="196"/>
        <w:contextualSpacing/>
        <w:jc w:val="left"/>
        <w:rPr>
          <w:rFonts w:ascii="宋体" w:hAnsi="宋体"/>
          <w:color w:val="auto"/>
          <w:sz w:val="24"/>
          <w:highlight w:val="none"/>
        </w:rPr>
      </w:pPr>
      <w:r>
        <w:rPr>
          <w:rFonts w:hint="eastAsia" w:ascii="宋体" w:hAnsi="宋体"/>
          <w:color w:val="auto"/>
          <w:sz w:val="24"/>
          <w:highlight w:val="none"/>
        </w:rPr>
        <w:t>5.投标人之间事先约定一致抬高或者压低投标报价，或者在招标项目中事先约定轮流以高价位或者低价位中标，或者事先约定由某一特定投标人中标，然后再参加投标；</w:t>
      </w:r>
    </w:p>
    <w:p w14:paraId="6B29C1B7">
      <w:pPr>
        <w:spacing w:line="400" w:lineRule="exact"/>
        <w:ind w:firstLine="470" w:firstLineChars="196"/>
        <w:contextualSpacing/>
        <w:jc w:val="left"/>
        <w:rPr>
          <w:rFonts w:ascii="宋体" w:hAnsi="宋体"/>
          <w:color w:val="auto"/>
          <w:sz w:val="24"/>
          <w:highlight w:val="none"/>
        </w:rPr>
      </w:pPr>
      <w:r>
        <w:rPr>
          <w:rFonts w:hint="eastAsia" w:ascii="宋体" w:hAnsi="宋体"/>
          <w:color w:val="auto"/>
          <w:sz w:val="24"/>
          <w:highlight w:val="none"/>
        </w:rPr>
        <w:t>6.投标人之间商定部分投标人放弃参加政府采购活动或者放弃中标；</w:t>
      </w:r>
    </w:p>
    <w:p w14:paraId="55BAB50A">
      <w:pPr>
        <w:spacing w:line="400" w:lineRule="exact"/>
        <w:ind w:firstLine="470" w:firstLineChars="196"/>
        <w:contextualSpacing/>
        <w:jc w:val="left"/>
        <w:rPr>
          <w:rFonts w:ascii="宋体" w:hAnsi="宋体"/>
          <w:color w:val="auto"/>
          <w:sz w:val="24"/>
          <w:highlight w:val="none"/>
        </w:rPr>
      </w:pPr>
      <w:r>
        <w:rPr>
          <w:rFonts w:hint="eastAsia" w:ascii="宋体" w:hAnsi="宋体"/>
          <w:color w:val="auto"/>
          <w:sz w:val="24"/>
          <w:highlight w:val="none"/>
        </w:rPr>
        <w:t>7.投标人与采购人或者采购代理机构之间、投标人相互之间，为谋求特定投标人中标或者排斥其他投标人的其他串通行为。</w:t>
      </w:r>
    </w:p>
    <w:p w14:paraId="2D08CCEC">
      <w:pPr>
        <w:spacing w:line="400" w:lineRule="exact"/>
        <w:ind w:firstLine="472" w:firstLineChars="196"/>
        <w:contextualSpacing/>
        <w:jc w:val="left"/>
        <w:rPr>
          <w:rFonts w:ascii="宋体" w:hAnsi="宋体"/>
          <w:b/>
          <w:color w:val="auto"/>
          <w:sz w:val="24"/>
          <w:highlight w:val="none"/>
        </w:rPr>
      </w:pPr>
      <w:r>
        <w:rPr>
          <w:rFonts w:hint="eastAsia" w:ascii="宋体" w:hAnsi="宋体"/>
          <w:b/>
          <w:color w:val="auto"/>
          <w:sz w:val="24"/>
          <w:highlight w:val="none"/>
        </w:rPr>
        <w:t>以上情形一经核查属实，我方愿意承担一切后果，并不再寻求任何旨在减轻或者免除法律责任的辩解。</w:t>
      </w:r>
    </w:p>
    <w:p w14:paraId="30691463">
      <w:pPr>
        <w:pStyle w:val="26"/>
        <w:spacing w:line="400" w:lineRule="exact"/>
        <w:ind w:firstLine="6840" w:firstLineChars="2850"/>
        <w:contextualSpacing/>
        <w:rPr>
          <w:rFonts w:hAnsi="宋体"/>
          <w:color w:val="auto"/>
          <w:sz w:val="24"/>
          <w:szCs w:val="24"/>
          <w:highlight w:val="none"/>
        </w:rPr>
      </w:pPr>
    </w:p>
    <w:p w14:paraId="3F2A82C7">
      <w:pPr>
        <w:pStyle w:val="26"/>
        <w:spacing w:line="400" w:lineRule="exact"/>
        <w:contextualSpacing/>
        <w:jc w:val="center"/>
        <w:rPr>
          <w:rFonts w:hAnsi="宋体"/>
          <w:color w:val="auto"/>
          <w:sz w:val="24"/>
          <w:szCs w:val="24"/>
          <w:highlight w:val="none"/>
        </w:rPr>
      </w:pPr>
      <w:r>
        <w:rPr>
          <w:rFonts w:hint="eastAsia" w:hAnsi="宋体"/>
          <w:color w:val="auto"/>
          <w:sz w:val="24"/>
          <w:szCs w:val="24"/>
          <w:highlight w:val="none"/>
        </w:rPr>
        <w:t>投标人名称（电子签章）</w:t>
      </w:r>
    </w:p>
    <w:p w14:paraId="288B494B">
      <w:pPr>
        <w:pStyle w:val="26"/>
        <w:spacing w:line="400" w:lineRule="exact"/>
        <w:contextualSpacing/>
        <w:rPr>
          <w:rFonts w:hAnsi="宋体"/>
          <w:color w:val="auto"/>
          <w:sz w:val="24"/>
          <w:highlight w:val="none"/>
        </w:rPr>
      </w:pPr>
      <w:r>
        <w:rPr>
          <w:rFonts w:hint="eastAsia" w:hAnsi="宋体"/>
          <w:color w:val="auto"/>
          <w:sz w:val="24"/>
          <w:highlight w:val="none"/>
        </w:rPr>
        <w:t>年月日</w:t>
      </w:r>
    </w:p>
    <w:p w14:paraId="0C308B21">
      <w:pPr>
        <w:snapToGrid w:val="0"/>
        <w:spacing w:beforeLines="50" w:after="50"/>
        <w:ind w:firstLine="472" w:firstLineChars="196"/>
        <w:jc w:val="left"/>
        <w:rPr>
          <w:rFonts w:ascii="宋体" w:hAnsi="宋体"/>
          <w:b/>
          <w:color w:val="auto"/>
          <w:sz w:val="24"/>
          <w:szCs w:val="20"/>
          <w:highlight w:val="none"/>
        </w:rPr>
      </w:pPr>
      <w:r>
        <w:rPr>
          <w:rFonts w:ascii="宋体" w:hAnsi="宋体"/>
          <w:b/>
          <w:color w:val="auto"/>
          <w:sz w:val="24"/>
          <w:highlight w:val="none"/>
        </w:rPr>
        <w:br w:type="page"/>
      </w:r>
      <w:r>
        <w:rPr>
          <w:rFonts w:hint="eastAsia" w:ascii="宋体" w:hAnsi="宋体"/>
          <w:b/>
          <w:color w:val="auto"/>
          <w:sz w:val="24"/>
          <w:highlight w:val="none"/>
        </w:rPr>
        <w:t>2.法定代表人身份证明</w:t>
      </w:r>
    </w:p>
    <w:p w14:paraId="0F3F23A4">
      <w:pPr>
        <w:spacing w:beforeLines="100" w:afterLines="50"/>
        <w:ind w:left="540"/>
        <w:jc w:val="center"/>
        <w:rPr>
          <w:rFonts w:ascii="宋体" w:hAnsi="Courier New"/>
          <w:b/>
          <w:color w:val="auto"/>
          <w:sz w:val="32"/>
          <w:szCs w:val="32"/>
          <w:highlight w:val="none"/>
        </w:rPr>
      </w:pPr>
    </w:p>
    <w:p w14:paraId="02D96ABE">
      <w:pPr>
        <w:spacing w:beforeLines="100" w:afterLines="50"/>
        <w:ind w:left="540"/>
        <w:jc w:val="center"/>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法定代表人身份证明</w:t>
      </w:r>
    </w:p>
    <w:p w14:paraId="786F32E4">
      <w:pPr>
        <w:spacing w:line="500" w:lineRule="exact"/>
        <w:ind w:left="540"/>
        <w:rPr>
          <w:rFonts w:ascii="宋体" w:hAnsi="宋体"/>
          <w:color w:val="auto"/>
          <w:sz w:val="24"/>
          <w:highlight w:val="none"/>
        </w:rPr>
      </w:pPr>
      <w:r>
        <w:rPr>
          <w:rFonts w:hint="eastAsia" w:ascii="宋体" w:hAnsi="宋体"/>
          <w:color w:val="auto"/>
          <w:sz w:val="24"/>
          <w:highlight w:val="none"/>
        </w:rPr>
        <w:t>投 标 人：</w:t>
      </w:r>
    </w:p>
    <w:p w14:paraId="13D9BCDD">
      <w:pPr>
        <w:spacing w:line="500" w:lineRule="exact"/>
        <w:ind w:left="540"/>
        <w:rPr>
          <w:rFonts w:ascii="宋体" w:hAnsi="宋体"/>
          <w:color w:val="auto"/>
          <w:sz w:val="24"/>
          <w:highlight w:val="none"/>
        </w:rPr>
      </w:pPr>
      <w:r>
        <w:rPr>
          <w:rFonts w:hint="eastAsia" w:ascii="宋体" w:hAnsi="宋体"/>
          <w:color w:val="auto"/>
          <w:sz w:val="24"/>
          <w:highlight w:val="none"/>
        </w:rPr>
        <w:t>地    址：</w:t>
      </w:r>
    </w:p>
    <w:p w14:paraId="1FD10CDD">
      <w:pPr>
        <w:spacing w:line="500" w:lineRule="exact"/>
        <w:ind w:left="540"/>
        <w:rPr>
          <w:rFonts w:ascii="宋体" w:hAnsi="宋体"/>
          <w:color w:val="auto"/>
          <w:sz w:val="24"/>
          <w:highlight w:val="none"/>
        </w:rPr>
      </w:pPr>
      <w:r>
        <w:rPr>
          <w:rFonts w:hint="eastAsia" w:ascii="宋体" w:hAnsi="宋体"/>
          <w:color w:val="auto"/>
          <w:sz w:val="24"/>
          <w:highlight w:val="none"/>
        </w:rPr>
        <w:t>姓    名：性      别：</w:t>
      </w:r>
    </w:p>
    <w:p w14:paraId="2B8184DB">
      <w:pPr>
        <w:spacing w:line="500" w:lineRule="exact"/>
        <w:ind w:left="540"/>
        <w:rPr>
          <w:rFonts w:ascii="宋体" w:hAnsi="宋体"/>
          <w:color w:val="auto"/>
          <w:sz w:val="24"/>
          <w:highlight w:val="none"/>
          <w:u w:val="single"/>
        </w:rPr>
      </w:pPr>
      <w:r>
        <w:rPr>
          <w:rFonts w:hint="eastAsia" w:ascii="宋体" w:hAnsi="宋体"/>
          <w:color w:val="auto"/>
          <w:sz w:val="24"/>
          <w:highlight w:val="none"/>
        </w:rPr>
        <w:t>年    龄：职      务：</w:t>
      </w:r>
    </w:p>
    <w:p w14:paraId="6CBFE139">
      <w:pPr>
        <w:spacing w:line="500" w:lineRule="exact"/>
        <w:ind w:left="540"/>
        <w:rPr>
          <w:rFonts w:ascii="宋体" w:hAnsi="宋体"/>
          <w:color w:val="auto"/>
          <w:sz w:val="24"/>
          <w:highlight w:val="none"/>
        </w:rPr>
      </w:pPr>
      <w:r>
        <w:rPr>
          <w:rFonts w:hint="eastAsia" w:ascii="宋体" w:hAnsi="宋体"/>
          <w:color w:val="auto"/>
          <w:sz w:val="24"/>
          <w:highlight w:val="none"/>
        </w:rPr>
        <w:t>身份证</w:t>
      </w:r>
      <w:r>
        <w:rPr>
          <w:rFonts w:hint="eastAsia"/>
          <w:color w:val="auto"/>
          <w:sz w:val="24"/>
          <w:highlight w:val="none"/>
        </w:rPr>
        <w:t>号码：</w:t>
      </w:r>
    </w:p>
    <w:p w14:paraId="3E947302">
      <w:pPr>
        <w:spacing w:line="500" w:lineRule="exact"/>
        <w:ind w:left="540"/>
        <w:rPr>
          <w:rFonts w:ascii="宋体" w:hAnsi="宋体"/>
          <w:color w:val="auto"/>
          <w:sz w:val="24"/>
          <w:highlight w:val="none"/>
        </w:rPr>
      </w:pPr>
      <w:r>
        <w:rPr>
          <w:rFonts w:hint="eastAsia" w:ascii="宋体" w:hAnsi="宋体"/>
          <w:color w:val="auto"/>
          <w:sz w:val="24"/>
          <w:highlight w:val="none"/>
        </w:rPr>
        <w:t>系</w:t>
      </w:r>
      <w:r>
        <w:rPr>
          <w:rFonts w:hint="eastAsia" w:ascii="宋体" w:hAnsi="宋体"/>
          <w:color w:val="auto"/>
          <w:sz w:val="24"/>
          <w:highlight w:val="none"/>
          <w:u w:val="single"/>
        </w:rPr>
        <w:t xml:space="preserve">            （投标人名称）              </w:t>
      </w:r>
      <w:r>
        <w:rPr>
          <w:rFonts w:hint="eastAsia" w:ascii="宋体" w:hAnsi="宋体"/>
          <w:color w:val="auto"/>
          <w:sz w:val="24"/>
          <w:highlight w:val="none"/>
        </w:rPr>
        <w:t>的法定代表人。</w:t>
      </w:r>
    </w:p>
    <w:p w14:paraId="198B6B39">
      <w:pPr>
        <w:spacing w:line="500" w:lineRule="exact"/>
        <w:ind w:left="540"/>
        <w:rPr>
          <w:rFonts w:ascii="宋体" w:hAnsi="宋体"/>
          <w:color w:val="auto"/>
          <w:sz w:val="24"/>
          <w:highlight w:val="none"/>
        </w:rPr>
      </w:pPr>
      <w:r>
        <w:rPr>
          <w:rFonts w:hint="eastAsia" w:ascii="宋体" w:hAnsi="宋体"/>
          <w:color w:val="auto"/>
          <w:sz w:val="24"/>
          <w:highlight w:val="none"/>
        </w:rPr>
        <w:t>特此证明。</w:t>
      </w:r>
    </w:p>
    <w:p w14:paraId="738D17C6">
      <w:pPr>
        <w:spacing w:line="500" w:lineRule="exact"/>
        <w:ind w:left="540"/>
        <w:rPr>
          <w:rFonts w:ascii="宋体" w:hAnsi="宋体"/>
          <w:color w:val="auto"/>
          <w:sz w:val="24"/>
          <w:highlight w:val="none"/>
        </w:rPr>
      </w:pPr>
    </w:p>
    <w:p w14:paraId="5CE7E093">
      <w:pPr>
        <w:spacing w:line="500" w:lineRule="exact"/>
        <w:ind w:left="540"/>
        <w:rPr>
          <w:rFonts w:ascii="宋体" w:hAnsi="宋体"/>
          <w:color w:val="auto"/>
          <w:sz w:val="24"/>
          <w:highlight w:val="none"/>
        </w:rPr>
      </w:pPr>
    </w:p>
    <w:p w14:paraId="75342D8D">
      <w:pPr>
        <w:spacing w:line="500" w:lineRule="exact"/>
        <w:ind w:left="540"/>
        <w:rPr>
          <w:rFonts w:ascii="宋体" w:hAnsi="宋体"/>
          <w:color w:val="auto"/>
          <w:sz w:val="24"/>
          <w:highlight w:val="none"/>
        </w:rPr>
      </w:pPr>
      <w:r>
        <w:rPr>
          <w:rFonts w:hint="eastAsia" w:ascii="宋体" w:hAnsi="宋体"/>
          <w:color w:val="auto"/>
          <w:sz w:val="24"/>
          <w:highlight w:val="none"/>
        </w:rPr>
        <w:t>附件：法定代表人有效身份证正反面复印件</w:t>
      </w:r>
    </w:p>
    <w:p w14:paraId="77D0079B">
      <w:pPr>
        <w:spacing w:line="500" w:lineRule="exact"/>
        <w:ind w:left="540"/>
        <w:rPr>
          <w:rFonts w:ascii="宋体" w:hAnsi="宋体"/>
          <w:color w:val="auto"/>
          <w:sz w:val="24"/>
          <w:highlight w:val="none"/>
        </w:rPr>
      </w:pPr>
    </w:p>
    <w:p w14:paraId="39C50373">
      <w:pPr>
        <w:spacing w:line="500" w:lineRule="exact"/>
        <w:ind w:left="540"/>
        <w:jc w:val="right"/>
        <w:rPr>
          <w:rFonts w:ascii="宋体" w:hAnsi="宋体"/>
          <w:color w:val="auto"/>
          <w:sz w:val="24"/>
          <w:highlight w:val="none"/>
        </w:rPr>
      </w:pPr>
      <w:r>
        <w:rPr>
          <w:rFonts w:hint="eastAsia" w:ascii="宋体" w:hAnsi="宋体"/>
          <w:color w:val="auto"/>
          <w:sz w:val="24"/>
          <w:highlight w:val="none"/>
        </w:rPr>
        <w:t>投标人名称（电子签章）</w:t>
      </w:r>
    </w:p>
    <w:p w14:paraId="6AF3F80A">
      <w:pPr>
        <w:snapToGrid w:val="0"/>
        <w:spacing w:beforeLines="50" w:after="50"/>
        <w:ind w:left="540"/>
        <w:jc w:val="right"/>
        <w:rPr>
          <w:rFonts w:ascii="宋体" w:hAnsi="宋体"/>
          <w:color w:val="auto"/>
          <w:sz w:val="24"/>
          <w:highlight w:val="none"/>
        </w:rPr>
      </w:pPr>
      <w:r>
        <w:rPr>
          <w:rFonts w:hint="eastAsia" w:ascii="宋体" w:hAnsi="宋体"/>
          <w:color w:val="auto"/>
          <w:sz w:val="24"/>
          <w:highlight w:val="none"/>
        </w:rPr>
        <w:t>年月日</w:t>
      </w:r>
    </w:p>
    <w:p w14:paraId="207BCDC7">
      <w:pPr>
        <w:snapToGrid w:val="0"/>
        <w:spacing w:beforeLines="50" w:after="50"/>
        <w:jc w:val="center"/>
        <w:rPr>
          <w:rFonts w:ascii="宋体" w:hAnsi="宋体"/>
          <w:b/>
          <w:color w:val="auto"/>
          <w:sz w:val="24"/>
          <w:highlight w:val="none"/>
        </w:rPr>
      </w:pPr>
    </w:p>
    <w:p w14:paraId="476A957A">
      <w:pPr>
        <w:snapToGrid w:val="0"/>
        <w:spacing w:beforeLines="50" w:after="50"/>
        <w:jc w:val="left"/>
        <w:rPr>
          <w:rFonts w:ascii="宋体" w:hAnsi="宋体"/>
          <w:b/>
          <w:color w:val="auto"/>
          <w:sz w:val="24"/>
          <w:szCs w:val="20"/>
          <w:highlight w:val="none"/>
        </w:rPr>
      </w:pPr>
      <w:r>
        <w:rPr>
          <w:rFonts w:hint="eastAsia" w:ascii="宋体" w:hAnsi="宋体"/>
          <w:color w:val="auto"/>
          <w:sz w:val="24"/>
          <w:highlight w:val="none"/>
        </w:rPr>
        <w:t>注：自然人投标的无需提供</w:t>
      </w:r>
    </w:p>
    <w:p w14:paraId="76C64A71">
      <w:pPr>
        <w:snapToGrid w:val="0"/>
        <w:spacing w:beforeLines="50" w:after="50"/>
        <w:jc w:val="left"/>
        <w:rPr>
          <w:rFonts w:ascii="宋体" w:hAnsi="宋体"/>
          <w:b/>
          <w:color w:val="auto"/>
          <w:sz w:val="24"/>
          <w:szCs w:val="20"/>
          <w:highlight w:val="none"/>
        </w:rPr>
      </w:pPr>
      <w:r>
        <w:rPr>
          <w:rFonts w:ascii="宋体" w:hAnsi="宋体"/>
          <w:b/>
          <w:color w:val="auto"/>
          <w:sz w:val="24"/>
          <w:highlight w:val="none"/>
        </w:rPr>
        <w:br w:type="page"/>
      </w:r>
      <w:r>
        <w:rPr>
          <w:rFonts w:hint="eastAsia" w:ascii="宋体" w:hAnsi="宋体"/>
          <w:b/>
          <w:color w:val="auto"/>
          <w:sz w:val="24"/>
          <w:highlight w:val="none"/>
        </w:rPr>
        <w:t>3.授权委托书格式</w:t>
      </w:r>
    </w:p>
    <w:p w14:paraId="40BB0D00">
      <w:pPr>
        <w:snapToGrid w:val="0"/>
        <w:spacing w:beforeLines="50" w:after="50"/>
        <w:jc w:val="center"/>
        <w:rPr>
          <w:rFonts w:ascii="宋体" w:hAnsi="宋体"/>
          <w:b/>
          <w:color w:val="auto"/>
          <w:sz w:val="44"/>
          <w:szCs w:val="44"/>
          <w:highlight w:val="none"/>
        </w:rPr>
      </w:pPr>
    </w:p>
    <w:p w14:paraId="4A7E529E">
      <w:pPr>
        <w:snapToGrid w:val="0"/>
        <w:spacing w:beforeLines="50" w:after="50"/>
        <w:jc w:val="center"/>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授权委托书</w:t>
      </w:r>
    </w:p>
    <w:p w14:paraId="47581667">
      <w:pPr>
        <w:snapToGrid w:val="0"/>
        <w:spacing w:beforeLines="50" w:after="50"/>
        <w:jc w:val="center"/>
        <w:rPr>
          <w:rFonts w:ascii="宋体" w:hAnsi="宋体"/>
          <w:b/>
          <w:color w:val="auto"/>
          <w:sz w:val="24"/>
          <w:highlight w:val="none"/>
        </w:rPr>
      </w:pPr>
      <w:r>
        <w:rPr>
          <w:rFonts w:hint="eastAsia" w:ascii="宋体" w:hAnsi="宋体"/>
          <w:b/>
          <w:color w:val="auto"/>
          <w:sz w:val="32"/>
          <w:szCs w:val="32"/>
          <w:highlight w:val="none"/>
        </w:rPr>
        <w:t>（如有委托时）</w:t>
      </w:r>
    </w:p>
    <w:p w14:paraId="7629655F">
      <w:pPr>
        <w:snapToGrid w:val="0"/>
        <w:spacing w:beforeLines="50" w:after="50"/>
        <w:jc w:val="center"/>
        <w:rPr>
          <w:rFonts w:ascii="宋体" w:hAnsi="宋体"/>
          <w:b/>
          <w:color w:val="auto"/>
          <w:sz w:val="24"/>
          <w:highlight w:val="none"/>
        </w:rPr>
      </w:pPr>
    </w:p>
    <w:p w14:paraId="5E948D3F">
      <w:pPr>
        <w:spacing w:line="360" w:lineRule="auto"/>
        <w:contextualSpacing/>
        <w:rPr>
          <w:rFonts w:ascii="宋体" w:hAnsi="宋体"/>
          <w:b/>
          <w:bCs/>
          <w:color w:val="auto"/>
          <w:sz w:val="24"/>
          <w:highlight w:val="none"/>
        </w:rPr>
      </w:pPr>
      <w:r>
        <w:rPr>
          <w:rFonts w:hint="eastAsia" w:ascii="宋体" w:hAnsi="宋体"/>
          <w:bCs/>
          <w:color w:val="auto"/>
          <w:sz w:val="24"/>
          <w:highlight w:val="none"/>
        </w:rPr>
        <w:t>致：</w:t>
      </w:r>
      <w:r>
        <w:rPr>
          <w:rFonts w:hint="eastAsia" w:ascii="宋体" w:hAnsi="宋体"/>
          <w:color w:val="auto"/>
          <w:sz w:val="24"/>
          <w:highlight w:val="none"/>
          <w:u w:val="single"/>
        </w:rPr>
        <w:t>采购人名称</w:t>
      </w:r>
      <w:r>
        <w:rPr>
          <w:rFonts w:hint="eastAsia" w:ascii="宋体" w:hAnsi="宋体"/>
          <w:color w:val="auto"/>
          <w:sz w:val="24"/>
          <w:highlight w:val="none"/>
        </w:rPr>
        <w:t>：</w:t>
      </w:r>
    </w:p>
    <w:p w14:paraId="6ECA0C81">
      <w:pPr>
        <w:spacing w:line="360" w:lineRule="auto"/>
        <w:ind w:firstLine="566" w:firstLineChars="236"/>
        <w:contextualSpacing/>
        <w:rPr>
          <w:rFonts w:ascii="宋体" w:hAnsi="宋体"/>
          <w:color w:val="auto"/>
          <w:sz w:val="24"/>
          <w:highlight w:val="none"/>
        </w:rPr>
      </w:pPr>
      <w:r>
        <w:rPr>
          <w:rFonts w:hint="eastAsia" w:ascii="宋体" w:hAnsi="宋体"/>
          <w:color w:val="auto"/>
          <w:sz w:val="24"/>
          <w:highlight w:val="none"/>
        </w:rPr>
        <w:t>我（姓名）系（投标人名称）的法定代表人，现授权委托</w:t>
      </w:r>
      <w:r>
        <w:rPr>
          <w:rFonts w:hint="eastAsia" w:ascii="宋体" w:hAnsi="宋体"/>
          <w:color w:val="auto"/>
          <w:sz w:val="24"/>
          <w:highlight w:val="none"/>
          <w:u w:val="single"/>
        </w:rPr>
        <w:t xml:space="preserve">              （姓名）</w:t>
      </w:r>
      <w:r>
        <w:rPr>
          <w:rFonts w:hint="eastAsia" w:ascii="宋体" w:hAnsi="宋体"/>
          <w:color w:val="auto"/>
          <w:sz w:val="24"/>
          <w:highlight w:val="none"/>
        </w:rPr>
        <w:t>以我方的名义参加项目的投标活动，并代表我方全权办理针对上述项目的所有采购程序和环节的具体事务和签署相关文件。</w:t>
      </w:r>
    </w:p>
    <w:p w14:paraId="00545DF0">
      <w:pPr>
        <w:spacing w:line="360" w:lineRule="auto"/>
        <w:contextualSpacing/>
        <w:rPr>
          <w:rFonts w:ascii="宋体" w:hAnsi="宋体"/>
          <w:color w:val="auto"/>
          <w:sz w:val="24"/>
          <w:highlight w:val="none"/>
        </w:rPr>
      </w:pPr>
      <w:r>
        <w:rPr>
          <w:rFonts w:hint="eastAsia" w:ascii="宋体" w:hAnsi="宋体"/>
          <w:color w:val="auto"/>
          <w:sz w:val="24"/>
          <w:highlight w:val="none"/>
        </w:rPr>
        <w:t xml:space="preserve">    我方对委托代理人的签字或者电子签名事项负全部责任。</w:t>
      </w:r>
    </w:p>
    <w:p w14:paraId="0715B5AA">
      <w:pPr>
        <w:spacing w:line="360" w:lineRule="auto"/>
        <w:ind w:firstLine="480"/>
        <w:contextualSpacing/>
        <w:rPr>
          <w:rFonts w:ascii="宋体" w:hAnsi="宋体"/>
          <w:color w:val="auto"/>
          <w:sz w:val="24"/>
          <w:highlight w:val="none"/>
        </w:rPr>
      </w:pPr>
      <w:r>
        <w:rPr>
          <w:rFonts w:hint="eastAsia" w:ascii="宋体" w:hAnsi="宋体"/>
          <w:color w:val="auto"/>
          <w:sz w:val="24"/>
          <w:highlight w:val="none"/>
          <w:u w:val="single"/>
        </w:rPr>
        <w:t>本授权书自签署之日起生效，在撤销授权的书面通知以前，本授权书一直有效。委托代理人在授权书有效期内签署的所有文件不因授权的撤销而失效。</w:t>
      </w:r>
    </w:p>
    <w:p w14:paraId="4493B9BC">
      <w:pPr>
        <w:spacing w:line="360" w:lineRule="auto"/>
        <w:ind w:firstLine="480"/>
        <w:contextualSpacing/>
        <w:rPr>
          <w:rFonts w:ascii="宋体" w:hAnsi="宋体"/>
          <w:color w:val="auto"/>
          <w:sz w:val="24"/>
          <w:highlight w:val="none"/>
        </w:rPr>
      </w:pPr>
      <w:r>
        <w:rPr>
          <w:rFonts w:hint="eastAsia" w:ascii="宋体" w:hAnsi="宋体"/>
          <w:color w:val="auto"/>
          <w:sz w:val="24"/>
          <w:highlight w:val="none"/>
        </w:rPr>
        <w:t>委托代理人无转委托权，特此委托。</w:t>
      </w:r>
    </w:p>
    <w:p w14:paraId="233B6460">
      <w:pPr>
        <w:spacing w:line="360" w:lineRule="auto"/>
        <w:ind w:firstLine="480"/>
        <w:contextualSpacing/>
        <w:rPr>
          <w:rFonts w:ascii="宋体" w:hAnsi="宋体"/>
          <w:color w:val="auto"/>
          <w:sz w:val="24"/>
          <w:highlight w:val="none"/>
        </w:rPr>
      </w:pPr>
      <w:r>
        <w:rPr>
          <w:rFonts w:hint="eastAsia" w:ascii="宋体" w:hAnsi="宋体"/>
          <w:color w:val="auto"/>
          <w:sz w:val="24"/>
          <w:highlight w:val="none"/>
        </w:rPr>
        <w:t>附：法定代表人身份证明及委托代理人有效身份证正反面复印件</w:t>
      </w:r>
    </w:p>
    <w:p w14:paraId="68B7B619">
      <w:pPr>
        <w:spacing w:line="360" w:lineRule="auto"/>
        <w:contextualSpacing/>
        <w:rPr>
          <w:rFonts w:ascii="宋体" w:hAnsi="宋体"/>
          <w:color w:val="auto"/>
          <w:sz w:val="24"/>
          <w:highlight w:val="none"/>
        </w:rPr>
      </w:pPr>
    </w:p>
    <w:p w14:paraId="199F67BF">
      <w:pPr>
        <w:spacing w:line="440" w:lineRule="exact"/>
        <w:contextualSpacing/>
        <w:rPr>
          <w:rFonts w:ascii="宋体" w:hAnsi="宋体"/>
          <w:color w:val="auto"/>
          <w:sz w:val="24"/>
          <w:highlight w:val="none"/>
        </w:rPr>
      </w:pPr>
      <w:r>
        <w:rPr>
          <w:rFonts w:hint="eastAsia" w:ascii="宋体" w:hAnsi="宋体"/>
          <w:color w:val="auto"/>
          <w:sz w:val="24"/>
          <w:highlight w:val="none"/>
        </w:rPr>
        <w:t>委托代理人（签字或者电子签名）：</w:t>
      </w:r>
    </w:p>
    <w:p w14:paraId="2C805A0C">
      <w:pPr>
        <w:spacing w:line="440" w:lineRule="exact"/>
        <w:contextualSpacing/>
        <w:rPr>
          <w:rFonts w:ascii="宋体" w:hAnsi="宋体"/>
          <w:color w:val="auto"/>
          <w:sz w:val="24"/>
          <w:highlight w:val="none"/>
          <w:u w:val="single"/>
        </w:rPr>
      </w:pPr>
      <w:r>
        <w:rPr>
          <w:rFonts w:hint="eastAsia" w:ascii="宋体" w:hAnsi="宋体"/>
          <w:color w:val="auto"/>
          <w:sz w:val="24"/>
          <w:highlight w:val="none"/>
        </w:rPr>
        <w:t>委托代理人身份证号码：</w:t>
      </w:r>
    </w:p>
    <w:p w14:paraId="7BF9B710">
      <w:pPr>
        <w:spacing w:line="440" w:lineRule="exact"/>
        <w:contextualSpacing/>
        <w:rPr>
          <w:rFonts w:ascii="宋体" w:hAnsi="宋体"/>
          <w:color w:val="auto"/>
          <w:sz w:val="24"/>
          <w:highlight w:val="none"/>
          <w:u w:val="single"/>
        </w:rPr>
      </w:pPr>
      <w:r>
        <w:rPr>
          <w:rFonts w:hint="eastAsia" w:ascii="宋体" w:hAnsi="宋体"/>
          <w:color w:val="auto"/>
          <w:sz w:val="24"/>
          <w:highlight w:val="none"/>
        </w:rPr>
        <w:t>法定代表人（签字或者盖章或者电子签名）：</w:t>
      </w:r>
    </w:p>
    <w:p w14:paraId="6EAFC762">
      <w:pPr>
        <w:spacing w:line="440" w:lineRule="exact"/>
        <w:contextualSpacing/>
        <w:rPr>
          <w:rFonts w:ascii="宋体" w:hAnsi="宋体"/>
          <w:color w:val="auto"/>
          <w:sz w:val="24"/>
          <w:highlight w:val="none"/>
        </w:rPr>
      </w:pPr>
    </w:p>
    <w:p w14:paraId="761A2A90">
      <w:pPr>
        <w:spacing w:line="440" w:lineRule="exact"/>
        <w:contextualSpacing/>
        <w:jc w:val="center"/>
        <w:rPr>
          <w:rFonts w:ascii="宋体" w:hAnsi="宋体"/>
          <w:color w:val="auto"/>
          <w:sz w:val="24"/>
          <w:highlight w:val="none"/>
        </w:rPr>
      </w:pPr>
      <w:r>
        <w:rPr>
          <w:rFonts w:hint="eastAsia" w:ascii="宋体" w:hAnsi="宋体"/>
          <w:color w:val="auto"/>
          <w:sz w:val="24"/>
          <w:highlight w:val="none"/>
        </w:rPr>
        <w:t xml:space="preserve">                                                投标人名称（电子签章）：</w:t>
      </w:r>
    </w:p>
    <w:p w14:paraId="0AF84763">
      <w:pPr>
        <w:spacing w:line="440" w:lineRule="exact"/>
        <w:contextualSpacing/>
        <w:jc w:val="center"/>
        <w:rPr>
          <w:rFonts w:ascii="宋体" w:hAnsi="宋体"/>
          <w:color w:val="auto"/>
          <w:sz w:val="24"/>
          <w:highlight w:val="none"/>
        </w:rPr>
      </w:pPr>
      <w:r>
        <w:rPr>
          <w:rFonts w:hint="eastAsia" w:ascii="宋体" w:hAnsi="宋体"/>
          <w:color w:val="auto"/>
          <w:sz w:val="24"/>
          <w:highlight w:val="none"/>
        </w:rPr>
        <w:t xml:space="preserve">                                              年    月    日</w:t>
      </w:r>
    </w:p>
    <w:p w14:paraId="03A5FC1C">
      <w:pPr>
        <w:spacing w:line="440" w:lineRule="exact"/>
        <w:contextualSpacing/>
        <w:rPr>
          <w:rFonts w:ascii="宋体" w:hAnsi="宋体" w:cs="仿宋_GB2312"/>
          <w:color w:val="auto"/>
          <w:sz w:val="24"/>
          <w:highlight w:val="none"/>
        </w:rPr>
      </w:pPr>
      <w:r>
        <w:rPr>
          <w:rFonts w:hint="eastAsia" w:ascii="宋体" w:hAnsi="宋体" w:cs="仿宋_GB2312"/>
          <w:color w:val="auto"/>
          <w:sz w:val="24"/>
          <w:highlight w:val="none"/>
        </w:rPr>
        <w:t>注：1.</w:t>
      </w:r>
      <w:bookmarkStart w:id="148" w:name="_Hlk65851555"/>
      <w:bookmarkStart w:id="149" w:name="_Hlk65851620"/>
      <w:r>
        <w:rPr>
          <w:rFonts w:hint="eastAsia" w:ascii="宋体" w:hAnsi="宋体" w:cs="仿宋_GB2312"/>
          <w:color w:val="auto"/>
          <w:sz w:val="24"/>
          <w:highlight w:val="none"/>
        </w:rPr>
        <w:t>法定代表人必须在授权委托书上签字或者盖章</w:t>
      </w:r>
      <w:r>
        <w:rPr>
          <w:rFonts w:hint="eastAsia" w:ascii="宋体" w:hAnsi="宋体"/>
          <w:color w:val="auto"/>
          <w:sz w:val="24"/>
          <w:highlight w:val="none"/>
        </w:rPr>
        <w:t>或者电子签名</w:t>
      </w:r>
      <w:r>
        <w:rPr>
          <w:rFonts w:hint="eastAsia" w:ascii="宋体" w:hAnsi="宋体" w:cs="仿宋_GB2312"/>
          <w:color w:val="auto"/>
          <w:sz w:val="24"/>
          <w:highlight w:val="none"/>
        </w:rPr>
        <w:t>，</w:t>
      </w:r>
      <w:bookmarkEnd w:id="148"/>
      <w:r>
        <w:rPr>
          <w:rFonts w:hint="eastAsia" w:ascii="宋体" w:hAnsi="宋体" w:cs="仿宋_GB2312"/>
          <w:color w:val="auto"/>
          <w:sz w:val="24"/>
          <w:highlight w:val="none"/>
        </w:rPr>
        <w:t>委托代理人必须在授权委托书上签字</w:t>
      </w:r>
      <w:r>
        <w:rPr>
          <w:rFonts w:hint="eastAsia" w:ascii="宋体" w:hAnsi="宋体"/>
          <w:color w:val="auto"/>
          <w:sz w:val="24"/>
          <w:highlight w:val="none"/>
        </w:rPr>
        <w:t>或者电子签名</w:t>
      </w:r>
      <w:r>
        <w:rPr>
          <w:rFonts w:hint="eastAsia" w:ascii="宋体" w:hAnsi="宋体" w:cs="仿宋_GB2312"/>
          <w:color w:val="auto"/>
          <w:sz w:val="24"/>
          <w:highlight w:val="none"/>
        </w:rPr>
        <w:t>，</w:t>
      </w:r>
      <w:r>
        <w:rPr>
          <w:rFonts w:hint="eastAsia" w:ascii="宋体" w:hAnsi="宋体" w:cs="仿宋_GB2312"/>
          <w:b/>
          <w:bCs/>
          <w:color w:val="auto"/>
          <w:sz w:val="24"/>
          <w:highlight w:val="none"/>
        </w:rPr>
        <w:t>否则按无效投标处理</w:t>
      </w:r>
      <w:r>
        <w:rPr>
          <w:rFonts w:hint="eastAsia" w:ascii="宋体" w:hAnsi="宋体" w:cs="仿宋_GB2312"/>
          <w:color w:val="auto"/>
          <w:sz w:val="24"/>
          <w:highlight w:val="none"/>
        </w:rPr>
        <w:t>；</w:t>
      </w:r>
      <w:bookmarkEnd w:id="149"/>
    </w:p>
    <w:p w14:paraId="70DEA196">
      <w:pPr>
        <w:spacing w:line="440" w:lineRule="exact"/>
        <w:ind w:firstLine="480" w:firstLineChars="200"/>
        <w:contextualSpacing/>
        <w:jc w:val="left"/>
        <w:rPr>
          <w:rFonts w:ascii="宋体" w:hAnsi="宋体"/>
          <w:color w:val="auto"/>
          <w:sz w:val="24"/>
          <w:highlight w:val="none"/>
        </w:rPr>
      </w:pPr>
      <w:r>
        <w:rPr>
          <w:rFonts w:hint="eastAsia" w:ascii="宋体" w:hAnsi="宋体" w:cs="仿宋_GB2312"/>
          <w:color w:val="auto"/>
          <w:sz w:val="24"/>
          <w:highlight w:val="none"/>
        </w:rPr>
        <w:t>2.法人、其他组织投标时“我方”是指“我单位”，自然人投标时“我方”是指“本人”。</w:t>
      </w:r>
    </w:p>
    <w:p w14:paraId="0B1834F3">
      <w:pPr>
        <w:rPr>
          <w:rFonts w:ascii="宋体" w:hAnsi="宋体"/>
          <w:b/>
          <w:color w:val="auto"/>
          <w:sz w:val="24"/>
          <w:szCs w:val="20"/>
          <w:highlight w:val="none"/>
        </w:rPr>
      </w:pPr>
      <w:r>
        <w:rPr>
          <w:rFonts w:ascii="宋体" w:hAnsi="宋体"/>
          <w:color w:val="auto"/>
          <w:sz w:val="24"/>
          <w:highlight w:val="none"/>
        </w:rPr>
        <w:br w:type="page"/>
      </w:r>
      <w:r>
        <w:rPr>
          <w:rFonts w:hint="eastAsia" w:ascii="宋体" w:hAnsi="宋体"/>
          <w:b/>
          <w:color w:val="auto"/>
          <w:sz w:val="24"/>
          <w:highlight w:val="none"/>
        </w:rPr>
        <w:t>4.商务要求偏离表格式</w:t>
      </w:r>
    </w:p>
    <w:p w14:paraId="6D49B539">
      <w:pPr>
        <w:snapToGrid w:val="0"/>
        <w:spacing w:before="50"/>
        <w:jc w:val="left"/>
        <w:rPr>
          <w:rFonts w:ascii="宋体" w:hAnsi="宋体"/>
          <w:color w:val="auto"/>
          <w:sz w:val="24"/>
          <w:highlight w:val="none"/>
        </w:rPr>
      </w:pPr>
    </w:p>
    <w:p w14:paraId="586A3BBC">
      <w:pPr>
        <w:pStyle w:val="26"/>
        <w:rPr>
          <w:rFonts w:hAnsi="宋体"/>
          <w:color w:val="auto"/>
          <w:sz w:val="24"/>
          <w:szCs w:val="24"/>
          <w:highlight w:val="none"/>
        </w:rPr>
      </w:pPr>
      <w:r>
        <w:rPr>
          <w:rFonts w:hint="eastAsia" w:hAnsi="宋体"/>
          <w:color w:val="auto"/>
          <w:sz w:val="24"/>
          <w:szCs w:val="24"/>
          <w:highlight w:val="none"/>
        </w:rPr>
        <w:t>所投分标：分标</w:t>
      </w:r>
    </w:p>
    <w:p w14:paraId="4B0CC089">
      <w:pPr>
        <w:snapToGrid w:val="0"/>
        <w:spacing w:before="50"/>
        <w:jc w:val="left"/>
        <w:rPr>
          <w:rFonts w:ascii="宋体" w:hAnsi="宋体"/>
          <w:color w:val="auto"/>
          <w:sz w:val="24"/>
          <w:highlight w:val="none"/>
          <w:u w:val="single"/>
        </w:rPr>
      </w:pPr>
    </w:p>
    <w:tbl>
      <w:tblPr>
        <w:tblStyle w:val="48"/>
        <w:tblW w:w="8641" w:type="dxa"/>
        <w:tblInd w:w="-11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10"/>
        <w:gridCol w:w="3336"/>
        <w:gridCol w:w="1760"/>
        <w:gridCol w:w="2035"/>
      </w:tblGrid>
      <w:tr w14:paraId="256E08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10" w:type="dxa"/>
            <w:tcBorders>
              <w:top w:val="single" w:color="auto" w:sz="4" w:space="0"/>
              <w:left w:val="single" w:color="auto" w:sz="4" w:space="0"/>
              <w:bottom w:val="single" w:color="auto" w:sz="4" w:space="0"/>
              <w:right w:val="single" w:color="auto" w:sz="4" w:space="0"/>
            </w:tcBorders>
          </w:tcPr>
          <w:p w14:paraId="605C4D3F">
            <w:pPr>
              <w:snapToGrid w:val="0"/>
              <w:spacing w:beforeLines="50"/>
              <w:jc w:val="center"/>
              <w:rPr>
                <w:rFonts w:ascii="宋体" w:hAnsi="宋体"/>
                <w:color w:val="auto"/>
                <w:sz w:val="24"/>
                <w:highlight w:val="none"/>
              </w:rPr>
            </w:pPr>
            <w:r>
              <w:rPr>
                <w:rFonts w:hint="eastAsia" w:ascii="宋体" w:hAnsi="宋体"/>
                <w:color w:val="auto"/>
                <w:sz w:val="24"/>
                <w:highlight w:val="none"/>
              </w:rPr>
              <w:t>项目</w:t>
            </w:r>
          </w:p>
        </w:tc>
        <w:tc>
          <w:tcPr>
            <w:tcW w:w="3336" w:type="dxa"/>
            <w:tcBorders>
              <w:top w:val="single" w:color="auto" w:sz="4" w:space="0"/>
              <w:left w:val="single" w:color="auto" w:sz="4" w:space="0"/>
              <w:bottom w:val="single" w:color="auto" w:sz="4" w:space="0"/>
              <w:right w:val="single" w:color="auto" w:sz="4" w:space="0"/>
            </w:tcBorders>
          </w:tcPr>
          <w:p w14:paraId="42CA59D9">
            <w:pPr>
              <w:snapToGrid w:val="0"/>
              <w:spacing w:beforeLines="50"/>
              <w:jc w:val="center"/>
              <w:rPr>
                <w:rFonts w:ascii="宋体" w:hAnsi="宋体"/>
                <w:color w:val="auto"/>
                <w:sz w:val="24"/>
                <w:highlight w:val="none"/>
              </w:rPr>
            </w:pPr>
            <w:r>
              <w:rPr>
                <w:rFonts w:hint="eastAsia" w:ascii="宋体" w:hAnsi="宋体"/>
                <w:color w:val="auto"/>
                <w:sz w:val="24"/>
                <w:highlight w:val="none"/>
              </w:rPr>
              <w:t>招标文件商务要求</w:t>
            </w:r>
          </w:p>
        </w:tc>
        <w:tc>
          <w:tcPr>
            <w:tcW w:w="1760" w:type="dxa"/>
            <w:tcBorders>
              <w:top w:val="single" w:color="auto" w:sz="4" w:space="0"/>
              <w:left w:val="single" w:color="auto" w:sz="4" w:space="0"/>
              <w:bottom w:val="single" w:color="auto" w:sz="4" w:space="0"/>
              <w:right w:val="single" w:color="auto" w:sz="4" w:space="0"/>
            </w:tcBorders>
          </w:tcPr>
          <w:p w14:paraId="01190D51">
            <w:pPr>
              <w:snapToGrid w:val="0"/>
              <w:spacing w:beforeLines="50"/>
              <w:jc w:val="center"/>
              <w:rPr>
                <w:rFonts w:ascii="宋体" w:hAnsi="宋体"/>
                <w:color w:val="auto"/>
                <w:sz w:val="24"/>
                <w:highlight w:val="none"/>
              </w:rPr>
            </w:pPr>
            <w:r>
              <w:rPr>
                <w:rFonts w:hint="eastAsia" w:ascii="宋体" w:hAnsi="宋体"/>
                <w:color w:val="auto"/>
                <w:sz w:val="24"/>
                <w:highlight w:val="none"/>
              </w:rPr>
              <w:t>投标人的承诺</w:t>
            </w:r>
          </w:p>
        </w:tc>
        <w:tc>
          <w:tcPr>
            <w:tcW w:w="2035" w:type="dxa"/>
            <w:tcBorders>
              <w:top w:val="single" w:color="auto" w:sz="4" w:space="0"/>
              <w:left w:val="single" w:color="auto" w:sz="4" w:space="0"/>
              <w:bottom w:val="single" w:color="auto" w:sz="4" w:space="0"/>
              <w:right w:val="single" w:color="auto" w:sz="4" w:space="0"/>
            </w:tcBorders>
          </w:tcPr>
          <w:p w14:paraId="39E26D97">
            <w:pPr>
              <w:snapToGrid w:val="0"/>
              <w:spacing w:beforeLines="50"/>
              <w:jc w:val="center"/>
              <w:rPr>
                <w:rFonts w:ascii="宋体" w:hAnsi="宋体"/>
                <w:color w:val="auto"/>
                <w:sz w:val="24"/>
                <w:highlight w:val="none"/>
              </w:rPr>
            </w:pPr>
            <w:r>
              <w:rPr>
                <w:rFonts w:hint="eastAsia" w:ascii="宋体" w:hAnsi="宋体"/>
                <w:color w:val="auto"/>
                <w:sz w:val="24"/>
                <w:highlight w:val="none"/>
              </w:rPr>
              <w:t>偏离说明</w:t>
            </w:r>
          </w:p>
        </w:tc>
      </w:tr>
      <w:tr w14:paraId="73B673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510" w:type="dxa"/>
            <w:tcBorders>
              <w:top w:val="single" w:color="auto" w:sz="4" w:space="0"/>
              <w:left w:val="single" w:color="auto" w:sz="4" w:space="0"/>
              <w:bottom w:val="single" w:color="auto" w:sz="4" w:space="0"/>
              <w:right w:val="single" w:color="auto" w:sz="4" w:space="0"/>
            </w:tcBorders>
            <w:vAlign w:val="center"/>
          </w:tcPr>
          <w:p w14:paraId="0AB45BAF">
            <w:pPr>
              <w:jc w:val="center"/>
              <w:rPr>
                <w:rFonts w:ascii="宋体" w:hAnsi="宋体"/>
                <w:color w:val="auto"/>
                <w:sz w:val="24"/>
                <w:highlight w:val="none"/>
              </w:rPr>
            </w:pPr>
            <w:r>
              <w:rPr>
                <w:rFonts w:hint="eastAsia" w:ascii="宋体" w:hAnsi="宋体"/>
                <w:color w:val="auto"/>
                <w:sz w:val="24"/>
                <w:highlight w:val="none"/>
              </w:rPr>
              <w:t>交付时间和地点</w:t>
            </w:r>
          </w:p>
        </w:tc>
        <w:tc>
          <w:tcPr>
            <w:tcW w:w="3336" w:type="dxa"/>
            <w:tcBorders>
              <w:top w:val="single" w:color="auto" w:sz="4" w:space="0"/>
              <w:left w:val="single" w:color="auto" w:sz="4" w:space="0"/>
              <w:bottom w:val="single" w:color="auto" w:sz="4" w:space="0"/>
              <w:right w:val="single" w:color="auto" w:sz="4" w:space="0"/>
            </w:tcBorders>
            <w:vAlign w:val="center"/>
          </w:tcPr>
          <w:p w14:paraId="5FC2E34E">
            <w:pPr>
              <w:jc w:val="left"/>
              <w:rPr>
                <w:rFonts w:ascii="宋体" w:hAnsi="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tcPr>
          <w:p w14:paraId="04EC4F7D">
            <w:pPr>
              <w:snapToGrid w:val="0"/>
              <w:spacing w:beforeLines="50"/>
              <w:jc w:val="center"/>
              <w:rPr>
                <w:rFonts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tcPr>
          <w:p w14:paraId="2BA1D4FD">
            <w:pPr>
              <w:snapToGrid w:val="0"/>
              <w:spacing w:beforeLines="50"/>
              <w:jc w:val="center"/>
              <w:rPr>
                <w:rFonts w:ascii="宋体" w:hAnsi="宋体"/>
                <w:color w:val="auto"/>
                <w:sz w:val="24"/>
                <w:highlight w:val="none"/>
              </w:rPr>
            </w:pPr>
          </w:p>
        </w:tc>
      </w:tr>
      <w:tr w14:paraId="23817B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510" w:type="dxa"/>
            <w:tcBorders>
              <w:top w:val="single" w:color="auto" w:sz="4" w:space="0"/>
              <w:left w:val="single" w:color="auto" w:sz="4" w:space="0"/>
              <w:bottom w:val="single" w:color="auto" w:sz="4" w:space="0"/>
              <w:right w:val="single" w:color="auto" w:sz="4" w:space="0"/>
            </w:tcBorders>
            <w:vAlign w:val="center"/>
          </w:tcPr>
          <w:p w14:paraId="46EAE2D0">
            <w:pPr>
              <w:jc w:val="center"/>
              <w:rPr>
                <w:rFonts w:ascii="宋体" w:hAnsi="宋体"/>
                <w:color w:val="auto"/>
                <w:sz w:val="24"/>
                <w:highlight w:val="none"/>
              </w:rPr>
            </w:pPr>
            <w:r>
              <w:rPr>
                <w:rFonts w:hint="eastAsia" w:ascii="宋体" w:hAnsi="宋体"/>
                <w:color w:val="auto"/>
                <w:sz w:val="24"/>
                <w:highlight w:val="none"/>
              </w:rPr>
              <w:t>合同签订时间</w:t>
            </w:r>
          </w:p>
        </w:tc>
        <w:tc>
          <w:tcPr>
            <w:tcW w:w="3336" w:type="dxa"/>
            <w:tcBorders>
              <w:top w:val="single" w:color="auto" w:sz="4" w:space="0"/>
              <w:left w:val="single" w:color="auto" w:sz="4" w:space="0"/>
              <w:bottom w:val="single" w:color="auto" w:sz="4" w:space="0"/>
              <w:right w:val="single" w:color="auto" w:sz="4" w:space="0"/>
            </w:tcBorders>
            <w:vAlign w:val="center"/>
          </w:tcPr>
          <w:p w14:paraId="54D426A3">
            <w:pPr>
              <w:jc w:val="left"/>
              <w:rPr>
                <w:rFonts w:ascii="宋体" w:hAnsi="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tcPr>
          <w:p w14:paraId="37FFDB09">
            <w:pPr>
              <w:snapToGrid w:val="0"/>
              <w:spacing w:beforeLines="50"/>
              <w:ind w:left="43"/>
              <w:jc w:val="center"/>
              <w:rPr>
                <w:rFonts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tcPr>
          <w:p w14:paraId="15F35794">
            <w:pPr>
              <w:snapToGrid w:val="0"/>
              <w:spacing w:beforeLines="50"/>
              <w:ind w:left="43"/>
              <w:jc w:val="center"/>
              <w:rPr>
                <w:rFonts w:ascii="宋体" w:hAnsi="宋体"/>
                <w:color w:val="auto"/>
                <w:sz w:val="24"/>
                <w:highlight w:val="none"/>
              </w:rPr>
            </w:pPr>
          </w:p>
        </w:tc>
      </w:tr>
      <w:tr w14:paraId="174177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10" w:type="dxa"/>
            <w:tcBorders>
              <w:top w:val="single" w:color="auto" w:sz="4" w:space="0"/>
              <w:left w:val="single" w:color="auto" w:sz="4" w:space="0"/>
              <w:bottom w:val="single" w:color="auto" w:sz="4" w:space="0"/>
              <w:right w:val="single" w:color="auto" w:sz="4" w:space="0"/>
            </w:tcBorders>
          </w:tcPr>
          <w:p w14:paraId="4D43DA68">
            <w:pPr>
              <w:snapToGrid w:val="0"/>
              <w:spacing w:beforeLines="50"/>
              <w:jc w:val="center"/>
              <w:rPr>
                <w:rFonts w:ascii="宋体" w:hAnsi="宋体"/>
                <w:color w:val="auto"/>
                <w:sz w:val="24"/>
                <w:highlight w:val="none"/>
              </w:rPr>
            </w:pPr>
            <w:r>
              <w:rPr>
                <w:rFonts w:hint="eastAsia" w:ascii="宋体" w:hAnsi="宋体"/>
                <w:color w:val="auto"/>
                <w:sz w:val="24"/>
                <w:highlight w:val="none"/>
              </w:rPr>
              <w:t>付款方式及进度</w:t>
            </w:r>
          </w:p>
        </w:tc>
        <w:tc>
          <w:tcPr>
            <w:tcW w:w="3336" w:type="dxa"/>
            <w:tcBorders>
              <w:top w:val="single" w:color="auto" w:sz="4" w:space="0"/>
              <w:left w:val="single" w:color="auto" w:sz="4" w:space="0"/>
              <w:bottom w:val="single" w:color="auto" w:sz="4" w:space="0"/>
              <w:right w:val="single" w:color="auto" w:sz="4" w:space="0"/>
            </w:tcBorders>
          </w:tcPr>
          <w:p w14:paraId="5B1054B5">
            <w:pPr>
              <w:snapToGrid w:val="0"/>
              <w:spacing w:beforeLines="50"/>
              <w:jc w:val="center"/>
              <w:rPr>
                <w:rFonts w:ascii="宋体" w:hAnsi="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tcPr>
          <w:p w14:paraId="638A67A5">
            <w:pPr>
              <w:snapToGrid w:val="0"/>
              <w:spacing w:beforeLines="50"/>
              <w:jc w:val="center"/>
              <w:rPr>
                <w:rFonts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tcPr>
          <w:p w14:paraId="43B08188">
            <w:pPr>
              <w:snapToGrid w:val="0"/>
              <w:spacing w:beforeLines="50"/>
              <w:jc w:val="center"/>
              <w:rPr>
                <w:rFonts w:ascii="宋体" w:hAnsi="宋体"/>
                <w:color w:val="auto"/>
                <w:sz w:val="24"/>
                <w:highlight w:val="none"/>
              </w:rPr>
            </w:pPr>
          </w:p>
        </w:tc>
      </w:tr>
      <w:tr w14:paraId="564CCC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10" w:type="dxa"/>
            <w:tcBorders>
              <w:top w:val="single" w:color="auto" w:sz="4" w:space="0"/>
              <w:left w:val="single" w:color="auto" w:sz="4" w:space="0"/>
              <w:bottom w:val="single" w:color="auto" w:sz="4" w:space="0"/>
              <w:right w:val="single" w:color="auto" w:sz="4" w:space="0"/>
            </w:tcBorders>
          </w:tcPr>
          <w:p w14:paraId="277DF132">
            <w:pPr>
              <w:snapToGrid w:val="0"/>
              <w:spacing w:beforeLines="50"/>
              <w:jc w:val="center"/>
              <w:rPr>
                <w:rFonts w:ascii="宋体" w:hAnsi="宋体"/>
                <w:color w:val="auto"/>
                <w:sz w:val="24"/>
                <w:highlight w:val="none"/>
              </w:rPr>
            </w:pPr>
            <w:r>
              <w:rPr>
                <w:rFonts w:hint="eastAsia" w:ascii="宋体" w:hAnsi="宋体"/>
                <w:color w:val="auto"/>
                <w:sz w:val="24"/>
                <w:highlight w:val="none"/>
              </w:rPr>
              <w:t>售后服务</w:t>
            </w:r>
          </w:p>
        </w:tc>
        <w:tc>
          <w:tcPr>
            <w:tcW w:w="3336" w:type="dxa"/>
            <w:tcBorders>
              <w:top w:val="single" w:color="auto" w:sz="4" w:space="0"/>
              <w:left w:val="single" w:color="auto" w:sz="4" w:space="0"/>
              <w:bottom w:val="single" w:color="auto" w:sz="4" w:space="0"/>
              <w:right w:val="single" w:color="auto" w:sz="4" w:space="0"/>
            </w:tcBorders>
          </w:tcPr>
          <w:p w14:paraId="21468106">
            <w:pPr>
              <w:snapToGrid w:val="0"/>
              <w:spacing w:beforeLines="50"/>
              <w:jc w:val="center"/>
              <w:rPr>
                <w:rFonts w:ascii="宋体" w:hAnsi="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tcPr>
          <w:p w14:paraId="32261B1C">
            <w:pPr>
              <w:snapToGrid w:val="0"/>
              <w:spacing w:beforeLines="50"/>
              <w:jc w:val="center"/>
              <w:rPr>
                <w:rFonts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tcPr>
          <w:p w14:paraId="6BA55195">
            <w:pPr>
              <w:snapToGrid w:val="0"/>
              <w:spacing w:beforeLines="50"/>
              <w:jc w:val="center"/>
              <w:rPr>
                <w:rFonts w:ascii="宋体" w:hAnsi="宋体"/>
                <w:color w:val="auto"/>
                <w:sz w:val="24"/>
                <w:highlight w:val="none"/>
              </w:rPr>
            </w:pPr>
          </w:p>
        </w:tc>
      </w:tr>
      <w:tr w14:paraId="4596CF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10" w:type="dxa"/>
            <w:tcBorders>
              <w:top w:val="single" w:color="auto" w:sz="4" w:space="0"/>
              <w:left w:val="single" w:color="auto" w:sz="4" w:space="0"/>
              <w:bottom w:val="single" w:color="auto" w:sz="4" w:space="0"/>
              <w:right w:val="single" w:color="auto" w:sz="4" w:space="0"/>
            </w:tcBorders>
            <w:vAlign w:val="center"/>
          </w:tcPr>
          <w:p w14:paraId="0762B425">
            <w:pPr>
              <w:snapToGrid w:val="0"/>
              <w:spacing w:beforeLines="50"/>
              <w:jc w:val="center"/>
              <w:rPr>
                <w:rFonts w:ascii="宋体" w:hAnsi="宋体"/>
                <w:color w:val="auto"/>
                <w:sz w:val="24"/>
                <w:highlight w:val="none"/>
              </w:rPr>
            </w:pPr>
            <w:r>
              <w:rPr>
                <w:rFonts w:hint="eastAsia" w:ascii="宋体" w:hAnsi="宋体"/>
                <w:color w:val="auto"/>
                <w:sz w:val="24"/>
                <w:highlight w:val="none"/>
              </w:rPr>
              <w:t>...</w:t>
            </w:r>
          </w:p>
        </w:tc>
        <w:tc>
          <w:tcPr>
            <w:tcW w:w="3336" w:type="dxa"/>
            <w:tcBorders>
              <w:top w:val="single" w:color="auto" w:sz="4" w:space="0"/>
              <w:left w:val="single" w:color="auto" w:sz="4" w:space="0"/>
              <w:bottom w:val="single" w:color="auto" w:sz="4" w:space="0"/>
              <w:right w:val="single" w:color="auto" w:sz="4" w:space="0"/>
            </w:tcBorders>
            <w:vAlign w:val="center"/>
          </w:tcPr>
          <w:p w14:paraId="7B06E497">
            <w:pPr>
              <w:snapToGrid w:val="0"/>
              <w:spacing w:beforeLines="50"/>
              <w:jc w:val="center"/>
              <w:rPr>
                <w:rFonts w:ascii="宋体" w:hAnsi="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vAlign w:val="center"/>
          </w:tcPr>
          <w:p w14:paraId="002526F3">
            <w:pPr>
              <w:snapToGrid w:val="0"/>
              <w:spacing w:beforeLines="50"/>
              <w:jc w:val="center"/>
              <w:rPr>
                <w:rFonts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vAlign w:val="center"/>
          </w:tcPr>
          <w:p w14:paraId="1554487B">
            <w:pPr>
              <w:snapToGrid w:val="0"/>
              <w:spacing w:beforeLines="50"/>
              <w:jc w:val="center"/>
              <w:rPr>
                <w:rFonts w:ascii="宋体" w:hAnsi="宋体"/>
                <w:color w:val="auto"/>
                <w:sz w:val="24"/>
                <w:highlight w:val="none"/>
              </w:rPr>
            </w:pPr>
          </w:p>
        </w:tc>
      </w:tr>
    </w:tbl>
    <w:p w14:paraId="3DDD0554">
      <w:pPr>
        <w:pStyle w:val="19"/>
        <w:rPr>
          <w:rFonts w:ascii="宋体" w:hAnsi="宋体"/>
          <w:color w:val="auto"/>
          <w:highlight w:val="none"/>
        </w:rPr>
      </w:pPr>
      <w:r>
        <w:rPr>
          <w:rFonts w:hint="eastAsia" w:ascii="宋体" w:hAnsi="宋体"/>
          <w:color w:val="auto"/>
          <w:highlight w:val="none"/>
        </w:rPr>
        <w:t>注：</w:t>
      </w:r>
    </w:p>
    <w:p w14:paraId="3986AC11">
      <w:pPr>
        <w:pStyle w:val="3"/>
        <w:spacing w:line="520" w:lineRule="exact"/>
        <w:ind w:firstLine="0" w:firstLineChars="0"/>
        <w:rPr>
          <w:rFonts w:hAnsi="仿宋_GB2312" w:cs="仿宋_GB2312"/>
          <w:color w:val="auto"/>
          <w:szCs w:val="32"/>
          <w:highlight w:val="none"/>
        </w:rPr>
      </w:pPr>
      <w:r>
        <w:rPr>
          <w:rFonts w:hint="eastAsia" w:ascii="宋体" w:hAnsi="宋体" w:eastAsia="宋体"/>
          <w:color w:val="auto"/>
          <w:sz w:val="24"/>
          <w:szCs w:val="24"/>
          <w:highlight w:val="none"/>
        </w:rPr>
        <w:t>1. 说明：应对照招标文件“第二章 采购需求”中的商务要求逐条作明确的投标响应，并作出偏离说明。</w:t>
      </w:r>
    </w:p>
    <w:p w14:paraId="260818B4">
      <w:pPr>
        <w:pStyle w:val="19"/>
        <w:rPr>
          <w:rFonts w:ascii="宋体" w:hAnsi="宋体"/>
          <w:b w:val="0"/>
          <w:bCs w:val="0"/>
          <w:color w:val="auto"/>
          <w:highlight w:val="none"/>
        </w:rPr>
      </w:pPr>
      <w:r>
        <w:rPr>
          <w:rFonts w:ascii="宋体" w:hAnsi="宋体"/>
          <w:b w:val="0"/>
          <w:bCs w:val="0"/>
          <w:color w:val="auto"/>
          <w:highlight w:val="none"/>
        </w:rPr>
        <w:t>2.</w:t>
      </w:r>
      <w:r>
        <w:rPr>
          <w:rFonts w:hint="eastAsia" w:ascii="宋体" w:hAnsi="宋体"/>
          <w:b w:val="0"/>
          <w:bCs w:val="0"/>
          <w:color w:val="auto"/>
          <w:highlight w:val="none"/>
        </w:rPr>
        <w:t>投标人应根据自身的承诺，对照招标文件要求在“偏离说明”中注明“</w:t>
      </w:r>
      <w:r>
        <w:rPr>
          <w:rFonts w:hint="eastAsia" w:ascii="宋体" w:hAnsi="宋体"/>
          <w:color w:val="auto"/>
          <w:highlight w:val="none"/>
        </w:rPr>
        <w:t>正偏离</w:t>
      </w:r>
      <w:r>
        <w:rPr>
          <w:rFonts w:hint="eastAsia" w:ascii="宋体" w:hAnsi="宋体"/>
          <w:b w:val="0"/>
          <w:bCs w:val="0"/>
          <w:color w:val="auto"/>
          <w:highlight w:val="none"/>
        </w:rPr>
        <w:t>”、“</w:t>
      </w:r>
      <w:r>
        <w:rPr>
          <w:rFonts w:hint="eastAsia" w:ascii="宋体" w:hAnsi="宋体"/>
          <w:color w:val="auto"/>
          <w:highlight w:val="none"/>
        </w:rPr>
        <w:t>负偏离</w:t>
      </w:r>
      <w:r>
        <w:rPr>
          <w:rFonts w:hint="eastAsia" w:ascii="宋体" w:hAnsi="宋体"/>
          <w:b w:val="0"/>
          <w:bCs w:val="0"/>
          <w:color w:val="auto"/>
          <w:highlight w:val="none"/>
        </w:rPr>
        <w:t>”或者“</w:t>
      </w:r>
      <w:r>
        <w:rPr>
          <w:rFonts w:hint="eastAsia" w:ascii="宋体" w:hAnsi="宋体"/>
          <w:color w:val="auto"/>
          <w:highlight w:val="none"/>
        </w:rPr>
        <w:t>无偏离</w:t>
      </w:r>
      <w:r>
        <w:rPr>
          <w:rFonts w:hint="eastAsia" w:ascii="宋体" w:hAnsi="宋体"/>
          <w:b w:val="0"/>
          <w:bCs w:val="0"/>
          <w:color w:val="auto"/>
          <w:highlight w:val="none"/>
        </w:rPr>
        <w:t>”。既不属于“</w:t>
      </w:r>
      <w:r>
        <w:rPr>
          <w:rFonts w:hint="eastAsia" w:ascii="宋体" w:hAnsi="宋体"/>
          <w:color w:val="auto"/>
          <w:highlight w:val="none"/>
        </w:rPr>
        <w:t>正偏离</w:t>
      </w:r>
      <w:r>
        <w:rPr>
          <w:rFonts w:hint="eastAsia" w:ascii="宋体" w:hAnsi="宋体"/>
          <w:b w:val="0"/>
          <w:bCs w:val="0"/>
          <w:color w:val="auto"/>
          <w:highlight w:val="none"/>
        </w:rPr>
        <w:t>”也不属于“</w:t>
      </w:r>
      <w:r>
        <w:rPr>
          <w:rFonts w:hint="eastAsia" w:ascii="宋体" w:hAnsi="宋体"/>
          <w:color w:val="auto"/>
          <w:highlight w:val="none"/>
        </w:rPr>
        <w:t>负偏离</w:t>
      </w:r>
      <w:r>
        <w:rPr>
          <w:rFonts w:hint="eastAsia" w:ascii="宋体" w:hAnsi="宋体"/>
          <w:b w:val="0"/>
          <w:bCs w:val="0"/>
          <w:color w:val="auto"/>
          <w:highlight w:val="none"/>
        </w:rPr>
        <w:t>”即为“</w:t>
      </w:r>
      <w:r>
        <w:rPr>
          <w:rFonts w:hint="eastAsia" w:ascii="宋体" w:hAnsi="宋体"/>
          <w:color w:val="auto"/>
          <w:highlight w:val="none"/>
        </w:rPr>
        <w:t>无偏离</w:t>
      </w:r>
      <w:r>
        <w:rPr>
          <w:rFonts w:hint="eastAsia" w:ascii="宋体" w:hAnsi="宋体"/>
          <w:b w:val="0"/>
          <w:bCs w:val="0"/>
          <w:color w:val="auto"/>
          <w:highlight w:val="none"/>
        </w:rPr>
        <w:t>”。</w:t>
      </w:r>
    </w:p>
    <w:p w14:paraId="0EDDEB1E">
      <w:pPr>
        <w:snapToGrid w:val="0"/>
        <w:spacing w:before="50" w:after="50"/>
        <w:rPr>
          <w:rFonts w:ascii="宋体" w:hAnsi="宋体"/>
          <w:color w:val="auto"/>
          <w:sz w:val="24"/>
          <w:highlight w:val="none"/>
        </w:rPr>
      </w:pPr>
    </w:p>
    <w:p w14:paraId="2A103B0E">
      <w:pPr>
        <w:snapToGrid w:val="0"/>
        <w:spacing w:before="50" w:after="50"/>
        <w:rPr>
          <w:rFonts w:ascii="宋体" w:hAnsi="宋体"/>
          <w:color w:val="auto"/>
          <w:sz w:val="24"/>
          <w:highlight w:val="none"/>
        </w:rPr>
      </w:pPr>
    </w:p>
    <w:p w14:paraId="39922216">
      <w:pPr>
        <w:snapToGrid w:val="0"/>
        <w:spacing w:before="50" w:after="50"/>
        <w:rPr>
          <w:rFonts w:ascii="宋体" w:hAnsi="宋体"/>
          <w:color w:val="auto"/>
          <w:spacing w:val="20"/>
          <w:sz w:val="24"/>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（签字或者电子签名）：</w:t>
      </w:r>
    </w:p>
    <w:p w14:paraId="3FC28D39">
      <w:pPr>
        <w:snapToGrid w:val="0"/>
        <w:spacing w:beforeLines="50"/>
        <w:rPr>
          <w:rFonts w:ascii="宋体" w:hAnsi="宋体"/>
          <w:color w:val="auto"/>
          <w:spacing w:val="20"/>
          <w:sz w:val="24"/>
          <w:highlight w:val="none"/>
        </w:rPr>
      </w:pPr>
      <w:r>
        <w:rPr>
          <w:rFonts w:hint="eastAsia" w:ascii="宋体" w:hAnsi="宋体"/>
          <w:color w:val="auto"/>
          <w:spacing w:val="20"/>
          <w:sz w:val="24"/>
          <w:highlight w:val="none"/>
        </w:rPr>
        <w:t>投标人名称（电子签章）：</w:t>
      </w:r>
    </w:p>
    <w:p w14:paraId="3C3F9E51">
      <w:pPr>
        <w:snapToGrid w:val="0"/>
        <w:spacing w:beforeLines="50"/>
        <w:rPr>
          <w:rFonts w:ascii="宋体" w:hAnsi="宋体"/>
          <w:color w:val="auto"/>
          <w:sz w:val="24"/>
          <w:szCs w:val="20"/>
          <w:highlight w:val="none"/>
        </w:rPr>
      </w:pPr>
      <w:r>
        <w:rPr>
          <w:rFonts w:hint="eastAsia" w:ascii="宋体" w:hAnsi="宋体"/>
          <w:color w:val="auto"/>
          <w:spacing w:val="20"/>
          <w:sz w:val="24"/>
          <w:highlight w:val="none"/>
        </w:rPr>
        <w:t>日  期：</w:t>
      </w:r>
    </w:p>
    <w:p w14:paraId="6F38BC07">
      <w:pPr>
        <w:snapToGrid w:val="0"/>
        <w:spacing w:beforeLines="50"/>
        <w:rPr>
          <w:rFonts w:ascii="宋体" w:hAnsi="宋体"/>
          <w:color w:val="auto"/>
          <w:sz w:val="24"/>
          <w:szCs w:val="20"/>
          <w:highlight w:val="none"/>
        </w:rPr>
      </w:pPr>
    </w:p>
    <w:p w14:paraId="2BA22DAC">
      <w:pPr>
        <w:snapToGrid w:val="0"/>
        <w:spacing w:beforeLines="50"/>
        <w:rPr>
          <w:rFonts w:ascii="宋体" w:hAnsi="宋体"/>
          <w:color w:val="auto"/>
          <w:sz w:val="24"/>
          <w:szCs w:val="20"/>
          <w:highlight w:val="none"/>
        </w:rPr>
      </w:pPr>
    </w:p>
    <w:p w14:paraId="4D87A083">
      <w:pPr>
        <w:snapToGrid w:val="0"/>
        <w:spacing w:beforeLines="50"/>
        <w:rPr>
          <w:rFonts w:ascii="宋体" w:hAnsi="宋体"/>
          <w:color w:val="auto"/>
          <w:sz w:val="24"/>
          <w:szCs w:val="20"/>
          <w:highlight w:val="none"/>
        </w:rPr>
      </w:pPr>
    </w:p>
    <w:p w14:paraId="51572B02">
      <w:pPr>
        <w:snapToGrid w:val="0"/>
        <w:spacing w:beforeLines="50"/>
        <w:rPr>
          <w:rFonts w:ascii="宋体" w:hAnsi="宋体"/>
          <w:color w:val="auto"/>
          <w:sz w:val="24"/>
          <w:szCs w:val="20"/>
          <w:highlight w:val="none"/>
        </w:rPr>
      </w:pPr>
    </w:p>
    <w:p w14:paraId="2768A72D">
      <w:pPr>
        <w:snapToGrid w:val="0"/>
        <w:spacing w:beforeLines="50"/>
        <w:rPr>
          <w:rFonts w:ascii="宋体" w:hAnsi="宋体"/>
          <w:color w:val="auto"/>
          <w:sz w:val="24"/>
          <w:szCs w:val="20"/>
          <w:highlight w:val="none"/>
        </w:rPr>
      </w:pPr>
    </w:p>
    <w:p w14:paraId="1AC27DC3">
      <w:pPr>
        <w:snapToGrid w:val="0"/>
        <w:spacing w:beforeLines="50"/>
        <w:rPr>
          <w:rFonts w:ascii="宋体" w:hAnsi="宋体"/>
          <w:color w:val="auto"/>
          <w:sz w:val="24"/>
          <w:szCs w:val="20"/>
          <w:highlight w:val="none"/>
        </w:rPr>
      </w:pPr>
    </w:p>
    <w:p w14:paraId="63CF248D">
      <w:pPr>
        <w:snapToGrid w:val="0"/>
        <w:spacing w:beforeLines="50"/>
        <w:rPr>
          <w:rFonts w:ascii="宋体" w:hAnsi="宋体"/>
          <w:color w:val="auto"/>
          <w:sz w:val="24"/>
          <w:szCs w:val="20"/>
          <w:highlight w:val="none"/>
        </w:rPr>
      </w:pPr>
    </w:p>
    <w:p w14:paraId="7B08FBF5">
      <w:pPr>
        <w:snapToGrid w:val="0"/>
        <w:spacing w:beforeLines="50"/>
        <w:rPr>
          <w:rFonts w:ascii="宋体" w:hAnsi="宋体"/>
          <w:color w:val="auto"/>
          <w:sz w:val="24"/>
          <w:szCs w:val="20"/>
          <w:highlight w:val="none"/>
        </w:rPr>
      </w:pPr>
    </w:p>
    <w:p w14:paraId="59D83CA6">
      <w:pPr>
        <w:rPr>
          <w:rFonts w:ascii="宋体" w:hAnsi="宋体"/>
          <w:b/>
          <w:color w:val="auto"/>
          <w:sz w:val="24"/>
          <w:highlight w:val="none"/>
        </w:rPr>
      </w:pPr>
    </w:p>
    <w:p w14:paraId="387C1382">
      <w:pPr>
        <w:rPr>
          <w:rFonts w:ascii="宋体" w:hAnsi="宋体"/>
          <w:b/>
          <w:color w:val="auto"/>
          <w:sz w:val="24"/>
          <w:highlight w:val="none"/>
        </w:rPr>
      </w:pPr>
      <w:r>
        <w:rPr>
          <w:rFonts w:hint="eastAsia" w:ascii="宋体" w:hAnsi="宋体"/>
          <w:b/>
          <w:color w:val="auto"/>
          <w:sz w:val="24"/>
          <w:highlight w:val="none"/>
        </w:rPr>
        <w:t>5.廉洁承诺书格式</w:t>
      </w:r>
    </w:p>
    <w:p w14:paraId="63CFA2DF">
      <w:pPr>
        <w:spacing w:line="360" w:lineRule="auto"/>
        <w:rPr>
          <w:rFonts w:ascii="宋体" w:hAnsi="宋体" w:cs="宋体"/>
          <w:b/>
          <w:bCs/>
          <w:color w:val="auto"/>
          <w:sz w:val="32"/>
          <w:szCs w:val="32"/>
          <w:highlight w:val="none"/>
        </w:rPr>
      </w:pPr>
    </w:p>
    <w:p w14:paraId="4C107B56">
      <w:pPr>
        <w:spacing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廉洁承诺书</w:t>
      </w:r>
    </w:p>
    <w:p w14:paraId="119CF4DC">
      <w:pPr>
        <w:spacing w:line="360" w:lineRule="auto"/>
        <w:rPr>
          <w:rFonts w:ascii="宋体" w:hAnsi="宋体" w:cs="宋体"/>
          <w:color w:val="auto"/>
          <w:szCs w:val="21"/>
          <w:highlight w:val="none"/>
        </w:rPr>
      </w:pPr>
    </w:p>
    <w:p w14:paraId="7122E27D">
      <w:pPr>
        <w:spacing w:line="360" w:lineRule="auto"/>
        <w:rPr>
          <w:rFonts w:ascii="宋体" w:hAnsi="宋体" w:cs="宋体"/>
          <w:color w:val="auto"/>
          <w:szCs w:val="21"/>
          <w:highlight w:val="none"/>
        </w:rPr>
      </w:pPr>
      <w:r>
        <w:rPr>
          <w:rFonts w:hint="eastAsia" w:ascii="宋体" w:hAnsi="宋体" w:cs="宋体"/>
          <w:color w:val="auto"/>
          <w:szCs w:val="21"/>
          <w:highlight w:val="none"/>
        </w:rPr>
        <w:t>致:</w:t>
      </w:r>
      <w:r>
        <w:rPr>
          <w:rFonts w:hint="eastAsia" w:ascii="宋体" w:hAnsi="宋体" w:cs="宋体"/>
          <w:color w:val="auto"/>
          <w:szCs w:val="21"/>
          <w:highlight w:val="none"/>
          <w:u w:val="single"/>
        </w:rPr>
        <w:t>采购人名称</w:t>
      </w:r>
    </w:p>
    <w:p w14:paraId="6D219DC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为了积极配合项目的招标工作，有效遏制不公平竞争和违规违纪问题的发生，确保招标工作的公平、公正、公开，我们特向贵单位承诺如下事项:</w:t>
      </w:r>
    </w:p>
    <w:p w14:paraId="0EF86EA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（1）自觉遵守国家法律法规及贵单位有关廉政建设制度。</w:t>
      </w:r>
    </w:p>
    <w:p w14:paraId="6DE00D1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（2）不使用不正当手段妨碍、排挤其它投标单位或串通投标。</w:t>
      </w:r>
    </w:p>
    <w:p w14:paraId="09B1C91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（3）按照招标文件规定的方式进行投标，不隐瞒本单位投标资质的真实情况，投标资质符合规定。保证不会以其他人名义投标或者以其他方式弄虚作假，骗取中标。</w:t>
      </w:r>
    </w:p>
    <w:p w14:paraId="6A2B9C6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不以任何方式向招标人员或者评标成员赠送礼品、礼金及有价证券、不宴请或邀请招标方的任何人参加高档娱乐消费、旅游等活动、不以任何形式报销招标方的任何人以及亲友的各种票据及费用、不进行可能影响招标公平、公正的任何活动。</w:t>
      </w:r>
    </w:p>
    <w:p w14:paraId="1DE07DD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（5）不向贵单位涉及招标的部门及个人支付好处费、介绍费、购置或提供通讯工具、交通工具、电脑等。</w:t>
      </w:r>
    </w:p>
    <w:p w14:paraId="211795F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（6）一旦发现相关人员在招标过程中有索要财物等不廉洁行为，坚决予以抵制，并及时向贵单位纪检部门举报。</w:t>
      </w:r>
    </w:p>
    <w:p w14:paraId="42BCF08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（7）我方自愿将本承诺书作为投标文件及合同的附件，具有同等的法律效力。</w:t>
      </w:r>
    </w:p>
    <w:p w14:paraId="7CD8CA5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（8）本承诺书自签署之日起生效。</w:t>
      </w:r>
    </w:p>
    <w:p w14:paraId="2A434B78">
      <w:pPr>
        <w:spacing w:line="360" w:lineRule="auto"/>
        <w:rPr>
          <w:rFonts w:ascii="宋体" w:hAnsi="宋体" w:cs="宋体"/>
          <w:color w:val="auto"/>
          <w:szCs w:val="21"/>
          <w:highlight w:val="none"/>
        </w:rPr>
      </w:pPr>
    </w:p>
    <w:p w14:paraId="2093B1FE">
      <w:pPr>
        <w:spacing w:line="360" w:lineRule="auto"/>
        <w:rPr>
          <w:rFonts w:ascii="宋体" w:hAnsi="宋体" w:cs="宋体"/>
          <w:color w:val="auto"/>
          <w:szCs w:val="21"/>
          <w:highlight w:val="none"/>
        </w:rPr>
      </w:pPr>
    </w:p>
    <w:p w14:paraId="65511BCF">
      <w:pPr>
        <w:spacing w:line="360" w:lineRule="auto"/>
        <w:rPr>
          <w:rFonts w:ascii="宋体" w:hAnsi="宋体" w:cs="宋体"/>
          <w:color w:val="auto"/>
          <w:szCs w:val="21"/>
          <w:highlight w:val="none"/>
        </w:rPr>
      </w:pPr>
    </w:p>
    <w:p w14:paraId="086116E5">
      <w:pPr>
        <w:spacing w:line="360" w:lineRule="auto"/>
        <w:rPr>
          <w:rFonts w:ascii="宋体" w:hAnsi="宋体" w:cs="宋体"/>
          <w:color w:val="auto"/>
          <w:szCs w:val="21"/>
          <w:highlight w:val="none"/>
        </w:rPr>
      </w:pPr>
      <w:r>
        <w:rPr>
          <w:rFonts w:hint="eastAsia" w:ascii="宋体" w:hAnsi="宋体" w:cs="宋体"/>
          <w:color w:val="auto"/>
          <w:szCs w:val="21"/>
          <w:highlight w:val="none"/>
        </w:rPr>
        <w:t>投标人名称（电子签章）：</w:t>
      </w:r>
    </w:p>
    <w:p w14:paraId="3A226917">
      <w:pPr>
        <w:spacing w:line="360" w:lineRule="auto"/>
        <w:rPr>
          <w:rFonts w:ascii="宋体" w:hAnsi="宋体" w:cs="宋体"/>
          <w:color w:val="auto"/>
          <w:szCs w:val="21"/>
          <w:highlight w:val="none"/>
        </w:rPr>
      </w:pPr>
      <w:r>
        <w:rPr>
          <w:rFonts w:hint="eastAsia" w:ascii="宋体" w:hAnsi="宋体" w:cs="宋体"/>
          <w:color w:val="auto"/>
          <w:szCs w:val="21"/>
          <w:highlight w:val="none"/>
        </w:rPr>
        <w:t>年月日</w:t>
      </w:r>
    </w:p>
    <w:p w14:paraId="7C56BFA8">
      <w:pPr>
        <w:rPr>
          <w:color w:val="auto"/>
          <w:highlight w:val="none"/>
        </w:rPr>
      </w:pPr>
    </w:p>
    <w:p w14:paraId="714E136F">
      <w:pPr>
        <w:rPr>
          <w:color w:val="auto"/>
          <w:highlight w:val="none"/>
        </w:rPr>
      </w:pPr>
    </w:p>
    <w:p w14:paraId="7D2EE355">
      <w:pPr>
        <w:rPr>
          <w:color w:val="auto"/>
          <w:highlight w:val="none"/>
        </w:rPr>
      </w:pPr>
    </w:p>
    <w:p w14:paraId="2EB27F70">
      <w:pPr>
        <w:rPr>
          <w:color w:val="auto"/>
          <w:highlight w:val="none"/>
        </w:rPr>
      </w:pPr>
    </w:p>
    <w:p w14:paraId="79933F1F">
      <w:pPr>
        <w:rPr>
          <w:color w:val="auto"/>
          <w:highlight w:val="none"/>
        </w:rPr>
      </w:pPr>
    </w:p>
    <w:p w14:paraId="43A19D20">
      <w:pPr>
        <w:rPr>
          <w:color w:val="auto"/>
          <w:highlight w:val="none"/>
        </w:rPr>
      </w:pPr>
    </w:p>
    <w:p w14:paraId="7C61340E">
      <w:pPr>
        <w:rPr>
          <w:color w:val="auto"/>
          <w:highlight w:val="none"/>
        </w:rPr>
      </w:pPr>
    </w:p>
    <w:p w14:paraId="3C96FD90">
      <w:pPr>
        <w:rPr>
          <w:color w:val="auto"/>
          <w:highlight w:val="none"/>
        </w:rPr>
      </w:pPr>
    </w:p>
    <w:p w14:paraId="12E9E93C">
      <w:pPr>
        <w:rPr>
          <w:color w:val="auto"/>
          <w:highlight w:val="none"/>
        </w:rPr>
      </w:pPr>
    </w:p>
    <w:p w14:paraId="3FC517D1">
      <w:pPr>
        <w:rPr>
          <w:color w:val="auto"/>
          <w:highlight w:val="none"/>
        </w:rPr>
      </w:pPr>
    </w:p>
    <w:p w14:paraId="6A6B898F">
      <w:pPr>
        <w:rPr>
          <w:color w:val="auto"/>
          <w:highlight w:val="none"/>
        </w:rPr>
      </w:pPr>
    </w:p>
    <w:p w14:paraId="2A53F6EF">
      <w:pPr>
        <w:rPr>
          <w:color w:val="auto"/>
          <w:highlight w:val="none"/>
        </w:rPr>
      </w:pPr>
    </w:p>
    <w:p w14:paraId="02F56A6C">
      <w:pPr>
        <w:rPr>
          <w:color w:val="auto"/>
          <w:highlight w:val="none"/>
        </w:rPr>
      </w:pPr>
    </w:p>
    <w:p w14:paraId="314C76DB">
      <w:pPr>
        <w:rPr>
          <w:color w:val="auto"/>
          <w:highlight w:val="none"/>
        </w:rPr>
      </w:pPr>
    </w:p>
    <w:p w14:paraId="3E333AE0">
      <w:pPr>
        <w:rPr>
          <w:b/>
          <w:color w:val="auto"/>
          <w:sz w:val="28"/>
          <w:szCs w:val="28"/>
          <w:highlight w:val="none"/>
        </w:rPr>
      </w:pPr>
      <w:bookmarkStart w:id="150" w:name="_Toc19686839"/>
    </w:p>
    <w:p w14:paraId="005065F0">
      <w:pPr>
        <w:rPr>
          <w:b/>
          <w:color w:val="auto"/>
          <w:sz w:val="28"/>
          <w:szCs w:val="28"/>
          <w:highlight w:val="none"/>
        </w:rPr>
      </w:pPr>
      <w:r>
        <w:rPr>
          <w:rFonts w:hint="eastAsia"/>
          <w:b/>
          <w:color w:val="auto"/>
          <w:sz w:val="28"/>
          <w:szCs w:val="28"/>
          <w:highlight w:val="none"/>
        </w:rPr>
        <w:t>四、技术文件格式</w:t>
      </w:r>
      <w:bookmarkEnd w:id="150"/>
    </w:p>
    <w:p w14:paraId="01AD602C">
      <w:pPr>
        <w:snapToGrid w:val="0"/>
        <w:spacing w:beforeLines="50" w:after="50"/>
        <w:ind w:left="142"/>
        <w:jc w:val="left"/>
        <w:rPr>
          <w:rFonts w:ascii="宋体" w:hAnsi="宋体"/>
          <w:b/>
          <w:color w:val="auto"/>
          <w:sz w:val="24"/>
          <w:highlight w:val="none"/>
        </w:rPr>
      </w:pPr>
      <w:r>
        <w:rPr>
          <w:rFonts w:hint="eastAsia" w:ascii="宋体" w:hAnsi="宋体"/>
          <w:b/>
          <w:color w:val="auto"/>
          <w:sz w:val="24"/>
          <w:highlight w:val="none"/>
        </w:rPr>
        <w:t xml:space="preserve">1. 技术文件封面格式： </w:t>
      </w:r>
    </w:p>
    <w:p w14:paraId="3C4CC258">
      <w:pPr>
        <w:snapToGrid w:val="0"/>
        <w:spacing w:beforeLines="50" w:after="50" w:line="360" w:lineRule="auto"/>
        <w:ind w:left="142"/>
        <w:jc w:val="center"/>
        <w:rPr>
          <w:rFonts w:ascii="宋体" w:hAnsi="宋体" w:eastAsia="方正小标宋简体"/>
          <w:bCs/>
          <w:color w:val="auto"/>
          <w:sz w:val="48"/>
          <w:szCs w:val="48"/>
          <w:highlight w:val="none"/>
        </w:rPr>
      </w:pPr>
      <w:r>
        <w:rPr>
          <w:rFonts w:hint="eastAsia" w:ascii="宋体" w:hAnsi="宋体" w:eastAsia="方正小标宋简体"/>
          <w:bCs/>
          <w:color w:val="auto"/>
          <w:sz w:val="48"/>
          <w:szCs w:val="48"/>
          <w:highlight w:val="none"/>
        </w:rPr>
        <w:t>电子投标文件</w:t>
      </w:r>
    </w:p>
    <w:p w14:paraId="6C2A45DA">
      <w:pPr>
        <w:snapToGrid w:val="0"/>
        <w:spacing w:beforeLines="50" w:after="50"/>
        <w:jc w:val="center"/>
        <w:rPr>
          <w:rFonts w:ascii="宋体" w:hAnsi="宋体"/>
          <w:b/>
          <w:bCs/>
          <w:color w:val="auto"/>
          <w:sz w:val="32"/>
          <w:szCs w:val="32"/>
          <w:highlight w:val="none"/>
        </w:rPr>
      </w:pPr>
      <w:r>
        <w:rPr>
          <w:rFonts w:hint="eastAsia" w:ascii="宋体" w:hAnsi="宋体"/>
          <w:b/>
          <w:bCs/>
          <w:color w:val="auto"/>
          <w:sz w:val="32"/>
          <w:szCs w:val="32"/>
          <w:highlight w:val="none"/>
        </w:rPr>
        <w:t>技术文件</w:t>
      </w:r>
    </w:p>
    <w:p w14:paraId="5F39B36A">
      <w:pPr>
        <w:snapToGrid w:val="0"/>
        <w:spacing w:beforeLines="50" w:after="50"/>
        <w:rPr>
          <w:rFonts w:ascii="宋体" w:hAnsi="宋体"/>
          <w:bCs/>
          <w:color w:val="auto"/>
          <w:sz w:val="24"/>
          <w:szCs w:val="20"/>
          <w:highlight w:val="none"/>
        </w:rPr>
      </w:pPr>
    </w:p>
    <w:p w14:paraId="4A6382A8">
      <w:pPr>
        <w:snapToGrid w:val="0"/>
        <w:spacing w:beforeLines="50" w:after="50" w:line="400" w:lineRule="exact"/>
        <w:ind w:firstLine="360" w:firstLineChars="150"/>
        <w:rPr>
          <w:rFonts w:ascii="宋体" w:hAnsi="宋体"/>
          <w:bCs/>
          <w:color w:val="auto"/>
          <w:sz w:val="24"/>
          <w:szCs w:val="20"/>
          <w:highlight w:val="none"/>
        </w:rPr>
      </w:pPr>
      <w:r>
        <w:rPr>
          <w:rFonts w:hint="eastAsia" w:ascii="宋体" w:hAnsi="宋体"/>
          <w:bCs/>
          <w:color w:val="auto"/>
          <w:sz w:val="24"/>
          <w:highlight w:val="none"/>
        </w:rPr>
        <w:t xml:space="preserve">项目名称： </w:t>
      </w:r>
    </w:p>
    <w:p w14:paraId="28718398">
      <w:pPr>
        <w:snapToGrid w:val="0"/>
        <w:spacing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 xml:space="preserve">项目编号： </w:t>
      </w:r>
    </w:p>
    <w:p w14:paraId="64EAFD77">
      <w:pPr>
        <w:snapToGrid w:val="0"/>
        <w:spacing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所投分标：</w:t>
      </w:r>
    </w:p>
    <w:p w14:paraId="4D0A4126">
      <w:pPr>
        <w:snapToGrid w:val="0"/>
        <w:spacing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投标人名称：</w:t>
      </w:r>
    </w:p>
    <w:p w14:paraId="78A8FD1B">
      <w:pPr>
        <w:snapToGrid w:val="0"/>
        <w:spacing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投标人地址：</w:t>
      </w:r>
    </w:p>
    <w:p w14:paraId="1D06A8A3">
      <w:pPr>
        <w:snapToGrid w:val="0"/>
        <w:spacing w:beforeLines="50" w:after="50"/>
        <w:ind w:firstLine="645"/>
        <w:jc w:val="center"/>
        <w:rPr>
          <w:rFonts w:ascii="宋体" w:hAnsi="宋体"/>
          <w:color w:val="auto"/>
          <w:sz w:val="24"/>
          <w:highlight w:val="none"/>
        </w:rPr>
      </w:pPr>
      <w:r>
        <w:rPr>
          <w:rFonts w:hint="eastAsia" w:ascii="宋体" w:hAnsi="宋体"/>
          <w:color w:val="auto"/>
          <w:sz w:val="24"/>
          <w:highlight w:val="none"/>
        </w:rPr>
        <w:t xml:space="preserve">                        年    月    日</w:t>
      </w:r>
    </w:p>
    <w:p w14:paraId="4BDD2CED">
      <w:pPr>
        <w:snapToGrid w:val="0"/>
        <w:spacing w:beforeLines="50" w:after="50"/>
        <w:ind w:firstLine="645"/>
        <w:jc w:val="center"/>
        <w:rPr>
          <w:rFonts w:ascii="宋体" w:hAnsi="宋体"/>
          <w:color w:val="auto"/>
          <w:sz w:val="24"/>
          <w:szCs w:val="20"/>
          <w:highlight w:val="none"/>
        </w:rPr>
      </w:pPr>
    </w:p>
    <w:p w14:paraId="4939BD0E">
      <w:pPr>
        <w:snapToGrid w:val="0"/>
        <w:spacing w:beforeLines="50" w:after="50"/>
        <w:ind w:left="142"/>
        <w:jc w:val="left"/>
        <w:rPr>
          <w:rFonts w:ascii="宋体" w:hAnsi="宋体"/>
          <w:b/>
          <w:bCs/>
          <w:color w:val="auto"/>
          <w:sz w:val="24"/>
          <w:highlight w:val="none"/>
        </w:rPr>
      </w:pPr>
      <w:r>
        <w:rPr>
          <w:rFonts w:ascii="宋体" w:hAnsi="宋体"/>
          <w:b/>
          <w:bCs/>
          <w:color w:val="auto"/>
          <w:sz w:val="24"/>
          <w:highlight w:val="none"/>
        </w:rPr>
        <w:br w:type="page"/>
      </w:r>
      <w:r>
        <w:rPr>
          <w:rFonts w:hint="eastAsia" w:ascii="宋体" w:hAnsi="宋体"/>
          <w:b/>
          <w:bCs/>
          <w:color w:val="auto"/>
          <w:sz w:val="24"/>
          <w:highlight w:val="none"/>
        </w:rPr>
        <w:t>技术文件目录</w:t>
      </w:r>
    </w:p>
    <w:p w14:paraId="2BFC7E86">
      <w:pPr>
        <w:snapToGrid w:val="0"/>
        <w:spacing w:before="50" w:afterLines="50" w:line="280" w:lineRule="exact"/>
        <w:ind w:left="283" w:leftChars="135"/>
        <w:jc w:val="left"/>
        <w:rPr>
          <w:rFonts w:ascii="宋体" w:hAnsi="宋体"/>
          <w:color w:val="auto"/>
          <w:sz w:val="24"/>
          <w:szCs w:val="20"/>
          <w:highlight w:val="none"/>
        </w:rPr>
      </w:pPr>
      <w:r>
        <w:rPr>
          <w:rFonts w:hint="eastAsia" w:ascii="宋体" w:hAnsi="宋体"/>
          <w:color w:val="auto"/>
          <w:szCs w:val="21"/>
          <w:highlight w:val="none"/>
        </w:rPr>
        <w:t>根据招标文件规定及投标人提供的材料自行编写目录。</w:t>
      </w:r>
    </w:p>
    <w:p w14:paraId="0ECB5B5F">
      <w:pPr>
        <w:snapToGrid w:val="0"/>
        <w:spacing w:beforeLines="50" w:after="50"/>
        <w:jc w:val="left"/>
        <w:rPr>
          <w:rFonts w:ascii="宋体" w:hAnsi="宋体"/>
          <w:b/>
          <w:color w:val="auto"/>
          <w:sz w:val="24"/>
          <w:highlight w:val="none"/>
        </w:rPr>
      </w:pPr>
    </w:p>
    <w:p w14:paraId="57562460">
      <w:pPr>
        <w:snapToGrid w:val="0"/>
        <w:spacing w:beforeLines="50" w:after="50"/>
        <w:ind w:left="142"/>
        <w:jc w:val="left"/>
        <w:rPr>
          <w:rFonts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4"/>
          <w:highlight w:val="none"/>
        </w:rPr>
        <w:t>1.技术要求偏离表格式</w:t>
      </w:r>
    </w:p>
    <w:p w14:paraId="64F8D3CD">
      <w:pPr>
        <w:snapToGrid w:val="0"/>
        <w:spacing w:beforeLines="50" w:after="50"/>
        <w:ind w:left="142"/>
        <w:jc w:val="left"/>
        <w:rPr>
          <w:rFonts w:ascii="宋体" w:hAnsi="宋体"/>
          <w:b/>
          <w:color w:val="auto"/>
          <w:sz w:val="24"/>
          <w:highlight w:val="none"/>
        </w:rPr>
      </w:pPr>
    </w:p>
    <w:p w14:paraId="6290E38C">
      <w:pPr>
        <w:snapToGrid w:val="0"/>
        <w:spacing w:beforeLines="50" w:after="50"/>
        <w:ind w:left="142"/>
        <w:jc w:val="center"/>
        <w:rPr>
          <w:rFonts w:ascii="宋体" w:hAnsi="宋体"/>
          <w:b/>
          <w:color w:val="auto"/>
          <w:sz w:val="32"/>
          <w:szCs w:val="32"/>
          <w:highlight w:val="none"/>
        </w:rPr>
      </w:pPr>
      <w:r>
        <w:rPr>
          <w:rFonts w:hint="eastAsia" w:ascii="宋体" w:hAnsi="宋体"/>
          <w:b/>
          <w:color w:val="auto"/>
          <w:sz w:val="32"/>
          <w:szCs w:val="32"/>
          <w:highlight w:val="none"/>
        </w:rPr>
        <w:t>技术要求偏离表</w:t>
      </w:r>
    </w:p>
    <w:p w14:paraId="37BE3355">
      <w:pPr>
        <w:pStyle w:val="26"/>
        <w:rPr>
          <w:rFonts w:hAnsi="宋体"/>
          <w:color w:val="auto"/>
          <w:sz w:val="24"/>
          <w:szCs w:val="24"/>
          <w:highlight w:val="none"/>
        </w:rPr>
      </w:pPr>
      <w:r>
        <w:rPr>
          <w:rFonts w:hint="eastAsia" w:hAnsi="宋体"/>
          <w:color w:val="auto"/>
          <w:sz w:val="24"/>
          <w:szCs w:val="24"/>
          <w:highlight w:val="none"/>
        </w:rPr>
        <w:t>所投分标：分标</w:t>
      </w:r>
    </w:p>
    <w:tbl>
      <w:tblPr>
        <w:tblStyle w:val="48"/>
        <w:tblW w:w="8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143"/>
        <w:gridCol w:w="1834"/>
        <w:gridCol w:w="2181"/>
        <w:gridCol w:w="1934"/>
      </w:tblGrid>
      <w:tr w14:paraId="78B4D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52" w:type="dxa"/>
            <w:vAlign w:val="center"/>
          </w:tcPr>
          <w:p w14:paraId="41824109">
            <w:pPr>
              <w:pStyle w:val="26"/>
              <w:spacing w:line="400" w:lineRule="exact"/>
              <w:jc w:val="center"/>
              <w:rPr>
                <w:rFonts w:hAnsi="宋体" w:cs="Courier New"/>
                <w:color w:val="auto"/>
                <w:kern w:val="2"/>
                <w:sz w:val="24"/>
                <w:szCs w:val="24"/>
                <w:highlight w:val="none"/>
              </w:rPr>
            </w:pPr>
            <w:r>
              <w:rPr>
                <w:rFonts w:hint="eastAsia" w:hAnsi="宋体" w:cs="Courier New"/>
                <w:color w:val="auto"/>
                <w:kern w:val="2"/>
                <w:sz w:val="24"/>
                <w:szCs w:val="24"/>
                <w:highlight w:val="none"/>
              </w:rPr>
              <w:t>项号</w:t>
            </w:r>
          </w:p>
        </w:tc>
        <w:tc>
          <w:tcPr>
            <w:tcW w:w="2143" w:type="dxa"/>
            <w:vAlign w:val="center"/>
          </w:tcPr>
          <w:p w14:paraId="1F53C79D">
            <w:pPr>
              <w:pStyle w:val="26"/>
              <w:spacing w:line="400" w:lineRule="exact"/>
              <w:jc w:val="center"/>
              <w:rPr>
                <w:rFonts w:hAnsi="宋体" w:cs="Courier New"/>
                <w:color w:val="auto"/>
                <w:kern w:val="2"/>
                <w:sz w:val="24"/>
                <w:szCs w:val="24"/>
                <w:highlight w:val="none"/>
              </w:rPr>
            </w:pPr>
            <w:r>
              <w:rPr>
                <w:rFonts w:hint="eastAsia" w:hAnsi="宋体" w:cs="Courier New"/>
                <w:color w:val="auto"/>
                <w:kern w:val="2"/>
                <w:sz w:val="24"/>
                <w:szCs w:val="24"/>
                <w:highlight w:val="none"/>
              </w:rPr>
              <w:t>标的名称</w:t>
            </w:r>
          </w:p>
        </w:tc>
        <w:tc>
          <w:tcPr>
            <w:tcW w:w="1834" w:type="dxa"/>
            <w:vAlign w:val="center"/>
          </w:tcPr>
          <w:p w14:paraId="34345D99">
            <w:pPr>
              <w:pStyle w:val="26"/>
              <w:spacing w:line="400" w:lineRule="exact"/>
              <w:jc w:val="center"/>
              <w:rPr>
                <w:rFonts w:hAnsi="宋体" w:cs="Courier New"/>
                <w:color w:val="auto"/>
                <w:kern w:val="2"/>
                <w:sz w:val="24"/>
                <w:szCs w:val="24"/>
                <w:highlight w:val="none"/>
              </w:rPr>
            </w:pPr>
            <w:r>
              <w:rPr>
                <w:rFonts w:hint="eastAsia" w:hAnsi="宋体" w:cs="Courier New"/>
                <w:color w:val="auto"/>
                <w:kern w:val="2"/>
                <w:sz w:val="24"/>
                <w:szCs w:val="24"/>
                <w:highlight w:val="none"/>
              </w:rPr>
              <w:t>技术参数要求</w:t>
            </w:r>
          </w:p>
        </w:tc>
        <w:tc>
          <w:tcPr>
            <w:tcW w:w="2181" w:type="dxa"/>
            <w:vAlign w:val="center"/>
          </w:tcPr>
          <w:p w14:paraId="4EFE9DC1">
            <w:pPr>
              <w:pStyle w:val="26"/>
              <w:spacing w:line="400" w:lineRule="exact"/>
              <w:jc w:val="center"/>
              <w:rPr>
                <w:rFonts w:hAnsi="宋体" w:cs="Courier New"/>
                <w:color w:val="auto"/>
                <w:kern w:val="2"/>
                <w:sz w:val="24"/>
                <w:szCs w:val="24"/>
                <w:highlight w:val="none"/>
              </w:rPr>
            </w:pPr>
            <w:r>
              <w:rPr>
                <w:rFonts w:hint="eastAsia" w:hAnsi="宋体" w:cs="Courier New"/>
                <w:color w:val="auto"/>
                <w:kern w:val="2"/>
                <w:sz w:val="24"/>
                <w:szCs w:val="24"/>
                <w:highlight w:val="none"/>
              </w:rPr>
              <w:t>投标响应</w:t>
            </w:r>
          </w:p>
        </w:tc>
        <w:tc>
          <w:tcPr>
            <w:tcW w:w="1934" w:type="dxa"/>
            <w:vAlign w:val="center"/>
          </w:tcPr>
          <w:p w14:paraId="6DAE16F9">
            <w:pPr>
              <w:pStyle w:val="26"/>
              <w:spacing w:line="400" w:lineRule="exact"/>
              <w:jc w:val="center"/>
              <w:rPr>
                <w:rFonts w:hAnsi="宋体" w:cs="Courier New"/>
                <w:color w:val="auto"/>
                <w:kern w:val="2"/>
                <w:sz w:val="24"/>
                <w:szCs w:val="24"/>
                <w:highlight w:val="none"/>
              </w:rPr>
            </w:pPr>
            <w:r>
              <w:rPr>
                <w:rFonts w:hint="eastAsia" w:hAnsi="宋体" w:cs="Courier New"/>
                <w:color w:val="auto"/>
                <w:kern w:val="2"/>
                <w:sz w:val="24"/>
                <w:szCs w:val="24"/>
                <w:highlight w:val="none"/>
              </w:rPr>
              <w:t>偏离说明</w:t>
            </w:r>
          </w:p>
        </w:tc>
      </w:tr>
      <w:tr w14:paraId="306AF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2C39DE5F">
            <w:pPr>
              <w:pStyle w:val="26"/>
              <w:spacing w:line="600" w:lineRule="exact"/>
              <w:jc w:val="center"/>
              <w:rPr>
                <w:rFonts w:hAnsi="宋体" w:cs="Courier New"/>
                <w:color w:val="auto"/>
                <w:kern w:val="2"/>
                <w:sz w:val="24"/>
                <w:szCs w:val="24"/>
                <w:highlight w:val="none"/>
              </w:rPr>
            </w:pPr>
          </w:p>
        </w:tc>
        <w:tc>
          <w:tcPr>
            <w:tcW w:w="2143" w:type="dxa"/>
            <w:vAlign w:val="center"/>
          </w:tcPr>
          <w:p w14:paraId="28EC5810">
            <w:pPr>
              <w:pStyle w:val="26"/>
              <w:spacing w:line="600" w:lineRule="exact"/>
              <w:jc w:val="center"/>
              <w:rPr>
                <w:rFonts w:hAnsi="宋体" w:cs="Courier New"/>
                <w:color w:val="auto"/>
                <w:kern w:val="2"/>
                <w:sz w:val="24"/>
                <w:szCs w:val="24"/>
                <w:highlight w:val="none"/>
              </w:rPr>
            </w:pPr>
          </w:p>
        </w:tc>
        <w:tc>
          <w:tcPr>
            <w:tcW w:w="1834" w:type="dxa"/>
            <w:vAlign w:val="center"/>
          </w:tcPr>
          <w:p w14:paraId="629F9A68">
            <w:pPr>
              <w:pStyle w:val="26"/>
              <w:spacing w:line="600" w:lineRule="exact"/>
              <w:jc w:val="center"/>
              <w:rPr>
                <w:rFonts w:hAnsi="宋体" w:cs="Courier New"/>
                <w:color w:val="auto"/>
                <w:kern w:val="2"/>
                <w:sz w:val="24"/>
                <w:szCs w:val="24"/>
                <w:highlight w:val="none"/>
              </w:rPr>
            </w:pPr>
          </w:p>
        </w:tc>
        <w:tc>
          <w:tcPr>
            <w:tcW w:w="2181" w:type="dxa"/>
            <w:vAlign w:val="center"/>
          </w:tcPr>
          <w:p w14:paraId="68A3D9F1">
            <w:pPr>
              <w:pStyle w:val="26"/>
              <w:spacing w:line="600" w:lineRule="exact"/>
              <w:jc w:val="center"/>
              <w:rPr>
                <w:rFonts w:hAnsi="宋体" w:cs="Courier New"/>
                <w:color w:val="auto"/>
                <w:kern w:val="2"/>
                <w:sz w:val="24"/>
                <w:szCs w:val="24"/>
                <w:highlight w:val="none"/>
              </w:rPr>
            </w:pPr>
          </w:p>
        </w:tc>
        <w:tc>
          <w:tcPr>
            <w:tcW w:w="1934" w:type="dxa"/>
            <w:vAlign w:val="center"/>
          </w:tcPr>
          <w:p w14:paraId="0B5686BB">
            <w:pPr>
              <w:pStyle w:val="26"/>
              <w:spacing w:line="600" w:lineRule="exact"/>
              <w:jc w:val="center"/>
              <w:rPr>
                <w:rFonts w:hAnsi="宋体" w:cs="Courier New"/>
                <w:color w:val="auto"/>
                <w:kern w:val="2"/>
                <w:sz w:val="24"/>
                <w:szCs w:val="24"/>
                <w:highlight w:val="none"/>
              </w:rPr>
            </w:pPr>
          </w:p>
        </w:tc>
      </w:tr>
      <w:tr w14:paraId="0AFDF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779094BF">
            <w:pPr>
              <w:pStyle w:val="26"/>
              <w:spacing w:line="600" w:lineRule="exact"/>
              <w:rPr>
                <w:rFonts w:hAnsi="宋体" w:cs="Courier New"/>
                <w:color w:val="auto"/>
                <w:kern w:val="2"/>
                <w:sz w:val="24"/>
                <w:szCs w:val="24"/>
                <w:highlight w:val="none"/>
              </w:rPr>
            </w:pPr>
          </w:p>
        </w:tc>
        <w:tc>
          <w:tcPr>
            <w:tcW w:w="2143" w:type="dxa"/>
          </w:tcPr>
          <w:p w14:paraId="558A9D74">
            <w:pPr>
              <w:pStyle w:val="26"/>
              <w:spacing w:line="600" w:lineRule="exact"/>
              <w:rPr>
                <w:rFonts w:hAnsi="宋体" w:cs="Courier New"/>
                <w:color w:val="auto"/>
                <w:kern w:val="2"/>
                <w:sz w:val="24"/>
                <w:szCs w:val="24"/>
                <w:highlight w:val="none"/>
              </w:rPr>
            </w:pPr>
          </w:p>
        </w:tc>
        <w:tc>
          <w:tcPr>
            <w:tcW w:w="1834" w:type="dxa"/>
          </w:tcPr>
          <w:p w14:paraId="5A28E2E4">
            <w:pPr>
              <w:pStyle w:val="26"/>
              <w:spacing w:line="600" w:lineRule="exact"/>
              <w:rPr>
                <w:rFonts w:hAnsi="宋体" w:cs="Courier New"/>
                <w:color w:val="auto"/>
                <w:kern w:val="2"/>
                <w:sz w:val="24"/>
                <w:szCs w:val="24"/>
                <w:highlight w:val="none"/>
              </w:rPr>
            </w:pPr>
          </w:p>
        </w:tc>
        <w:tc>
          <w:tcPr>
            <w:tcW w:w="2181" w:type="dxa"/>
          </w:tcPr>
          <w:p w14:paraId="3193F247">
            <w:pPr>
              <w:pStyle w:val="26"/>
              <w:spacing w:line="600" w:lineRule="exact"/>
              <w:rPr>
                <w:rFonts w:hAnsi="宋体" w:cs="Courier New"/>
                <w:color w:val="auto"/>
                <w:kern w:val="2"/>
                <w:sz w:val="24"/>
                <w:szCs w:val="24"/>
                <w:highlight w:val="none"/>
              </w:rPr>
            </w:pPr>
          </w:p>
        </w:tc>
        <w:tc>
          <w:tcPr>
            <w:tcW w:w="1934" w:type="dxa"/>
          </w:tcPr>
          <w:p w14:paraId="33FA2F02">
            <w:pPr>
              <w:pStyle w:val="26"/>
              <w:spacing w:line="600" w:lineRule="exact"/>
              <w:rPr>
                <w:rFonts w:hAnsi="宋体" w:cs="Courier New"/>
                <w:color w:val="auto"/>
                <w:kern w:val="2"/>
                <w:sz w:val="24"/>
                <w:szCs w:val="24"/>
                <w:highlight w:val="none"/>
              </w:rPr>
            </w:pPr>
          </w:p>
        </w:tc>
      </w:tr>
      <w:tr w14:paraId="3106A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267B49F4">
            <w:pPr>
              <w:pStyle w:val="26"/>
              <w:spacing w:line="600" w:lineRule="exact"/>
              <w:rPr>
                <w:rFonts w:hAnsi="宋体" w:cs="Courier New"/>
                <w:color w:val="auto"/>
                <w:kern w:val="2"/>
                <w:sz w:val="24"/>
                <w:szCs w:val="24"/>
                <w:highlight w:val="none"/>
              </w:rPr>
            </w:pPr>
          </w:p>
        </w:tc>
        <w:tc>
          <w:tcPr>
            <w:tcW w:w="2143" w:type="dxa"/>
          </w:tcPr>
          <w:p w14:paraId="5F94C0AD">
            <w:pPr>
              <w:pStyle w:val="26"/>
              <w:spacing w:line="600" w:lineRule="exact"/>
              <w:rPr>
                <w:rFonts w:hAnsi="宋体" w:cs="Courier New"/>
                <w:color w:val="auto"/>
                <w:kern w:val="2"/>
                <w:sz w:val="24"/>
                <w:szCs w:val="24"/>
                <w:highlight w:val="none"/>
              </w:rPr>
            </w:pPr>
          </w:p>
        </w:tc>
        <w:tc>
          <w:tcPr>
            <w:tcW w:w="1834" w:type="dxa"/>
          </w:tcPr>
          <w:p w14:paraId="28C7F8C8">
            <w:pPr>
              <w:pStyle w:val="26"/>
              <w:spacing w:line="600" w:lineRule="exact"/>
              <w:rPr>
                <w:rFonts w:hAnsi="宋体" w:cs="Courier New"/>
                <w:color w:val="auto"/>
                <w:kern w:val="2"/>
                <w:sz w:val="24"/>
                <w:szCs w:val="24"/>
                <w:highlight w:val="none"/>
              </w:rPr>
            </w:pPr>
          </w:p>
        </w:tc>
        <w:tc>
          <w:tcPr>
            <w:tcW w:w="2181" w:type="dxa"/>
          </w:tcPr>
          <w:p w14:paraId="41020BA7">
            <w:pPr>
              <w:pStyle w:val="26"/>
              <w:spacing w:line="600" w:lineRule="exact"/>
              <w:rPr>
                <w:rFonts w:hAnsi="宋体" w:cs="Courier New"/>
                <w:color w:val="auto"/>
                <w:kern w:val="2"/>
                <w:sz w:val="24"/>
                <w:szCs w:val="24"/>
                <w:highlight w:val="none"/>
              </w:rPr>
            </w:pPr>
          </w:p>
        </w:tc>
        <w:tc>
          <w:tcPr>
            <w:tcW w:w="1934" w:type="dxa"/>
          </w:tcPr>
          <w:p w14:paraId="1CAD8E16">
            <w:pPr>
              <w:pStyle w:val="26"/>
              <w:spacing w:line="600" w:lineRule="exact"/>
              <w:rPr>
                <w:rFonts w:hAnsi="宋体" w:cs="Courier New"/>
                <w:color w:val="auto"/>
                <w:kern w:val="2"/>
                <w:sz w:val="24"/>
                <w:szCs w:val="24"/>
                <w:highlight w:val="none"/>
              </w:rPr>
            </w:pPr>
          </w:p>
        </w:tc>
      </w:tr>
      <w:tr w14:paraId="2199C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3B2F615C">
            <w:pPr>
              <w:pStyle w:val="26"/>
              <w:spacing w:line="600" w:lineRule="exact"/>
              <w:rPr>
                <w:rFonts w:hAnsi="宋体" w:cs="Courier New"/>
                <w:color w:val="auto"/>
                <w:kern w:val="2"/>
                <w:sz w:val="24"/>
                <w:szCs w:val="24"/>
                <w:highlight w:val="none"/>
              </w:rPr>
            </w:pPr>
          </w:p>
        </w:tc>
        <w:tc>
          <w:tcPr>
            <w:tcW w:w="2143" w:type="dxa"/>
          </w:tcPr>
          <w:p w14:paraId="1F6B1D2B">
            <w:pPr>
              <w:pStyle w:val="26"/>
              <w:spacing w:line="600" w:lineRule="exact"/>
              <w:rPr>
                <w:rFonts w:hAnsi="宋体" w:cs="Courier New"/>
                <w:color w:val="auto"/>
                <w:kern w:val="2"/>
                <w:sz w:val="24"/>
                <w:szCs w:val="24"/>
                <w:highlight w:val="none"/>
              </w:rPr>
            </w:pPr>
          </w:p>
        </w:tc>
        <w:tc>
          <w:tcPr>
            <w:tcW w:w="1834" w:type="dxa"/>
          </w:tcPr>
          <w:p w14:paraId="3B12854E">
            <w:pPr>
              <w:pStyle w:val="26"/>
              <w:spacing w:line="600" w:lineRule="exact"/>
              <w:rPr>
                <w:rFonts w:hAnsi="宋体" w:cs="Courier New"/>
                <w:color w:val="auto"/>
                <w:kern w:val="2"/>
                <w:sz w:val="24"/>
                <w:szCs w:val="24"/>
                <w:highlight w:val="none"/>
              </w:rPr>
            </w:pPr>
          </w:p>
        </w:tc>
        <w:tc>
          <w:tcPr>
            <w:tcW w:w="2181" w:type="dxa"/>
          </w:tcPr>
          <w:p w14:paraId="43A1039B">
            <w:pPr>
              <w:pStyle w:val="26"/>
              <w:spacing w:line="600" w:lineRule="exact"/>
              <w:rPr>
                <w:rFonts w:hAnsi="宋体" w:cs="Courier New"/>
                <w:color w:val="auto"/>
                <w:kern w:val="2"/>
                <w:sz w:val="24"/>
                <w:szCs w:val="24"/>
                <w:highlight w:val="none"/>
              </w:rPr>
            </w:pPr>
          </w:p>
        </w:tc>
        <w:tc>
          <w:tcPr>
            <w:tcW w:w="1934" w:type="dxa"/>
          </w:tcPr>
          <w:p w14:paraId="1C3CCB81">
            <w:pPr>
              <w:pStyle w:val="26"/>
              <w:spacing w:line="600" w:lineRule="exact"/>
              <w:rPr>
                <w:rFonts w:hAnsi="宋体" w:cs="Courier New"/>
                <w:color w:val="auto"/>
                <w:kern w:val="2"/>
                <w:sz w:val="24"/>
                <w:szCs w:val="24"/>
                <w:highlight w:val="none"/>
              </w:rPr>
            </w:pPr>
          </w:p>
        </w:tc>
      </w:tr>
      <w:tr w14:paraId="46B29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0B533F2E">
            <w:pPr>
              <w:pStyle w:val="26"/>
              <w:spacing w:line="600" w:lineRule="exact"/>
              <w:rPr>
                <w:rFonts w:hAnsi="宋体" w:cs="Courier New"/>
                <w:color w:val="auto"/>
                <w:kern w:val="2"/>
                <w:sz w:val="24"/>
                <w:szCs w:val="24"/>
                <w:highlight w:val="none"/>
              </w:rPr>
            </w:pPr>
          </w:p>
        </w:tc>
        <w:tc>
          <w:tcPr>
            <w:tcW w:w="2143" w:type="dxa"/>
          </w:tcPr>
          <w:p w14:paraId="14DE3AC9">
            <w:pPr>
              <w:pStyle w:val="26"/>
              <w:spacing w:line="600" w:lineRule="exact"/>
              <w:rPr>
                <w:rFonts w:hAnsi="宋体" w:cs="Courier New"/>
                <w:color w:val="auto"/>
                <w:kern w:val="2"/>
                <w:sz w:val="24"/>
                <w:szCs w:val="24"/>
                <w:highlight w:val="none"/>
              </w:rPr>
            </w:pPr>
          </w:p>
        </w:tc>
        <w:tc>
          <w:tcPr>
            <w:tcW w:w="1834" w:type="dxa"/>
          </w:tcPr>
          <w:p w14:paraId="0E67F042">
            <w:pPr>
              <w:pStyle w:val="26"/>
              <w:spacing w:line="600" w:lineRule="exact"/>
              <w:rPr>
                <w:rFonts w:hAnsi="宋体" w:cs="Courier New"/>
                <w:color w:val="auto"/>
                <w:kern w:val="2"/>
                <w:sz w:val="24"/>
                <w:szCs w:val="24"/>
                <w:highlight w:val="none"/>
              </w:rPr>
            </w:pPr>
          </w:p>
        </w:tc>
        <w:tc>
          <w:tcPr>
            <w:tcW w:w="2181" w:type="dxa"/>
          </w:tcPr>
          <w:p w14:paraId="12D78BF7">
            <w:pPr>
              <w:pStyle w:val="26"/>
              <w:spacing w:line="600" w:lineRule="exact"/>
              <w:rPr>
                <w:rFonts w:hAnsi="宋体" w:cs="Courier New"/>
                <w:color w:val="auto"/>
                <w:kern w:val="2"/>
                <w:sz w:val="24"/>
                <w:szCs w:val="24"/>
                <w:highlight w:val="none"/>
              </w:rPr>
            </w:pPr>
          </w:p>
        </w:tc>
        <w:tc>
          <w:tcPr>
            <w:tcW w:w="1934" w:type="dxa"/>
          </w:tcPr>
          <w:p w14:paraId="40740762">
            <w:pPr>
              <w:pStyle w:val="26"/>
              <w:spacing w:line="600" w:lineRule="exact"/>
              <w:rPr>
                <w:rFonts w:hAnsi="宋体" w:cs="Courier New"/>
                <w:color w:val="auto"/>
                <w:kern w:val="2"/>
                <w:sz w:val="24"/>
                <w:szCs w:val="24"/>
                <w:highlight w:val="none"/>
              </w:rPr>
            </w:pPr>
          </w:p>
        </w:tc>
      </w:tr>
      <w:tr w14:paraId="751FE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219F4959">
            <w:pPr>
              <w:pStyle w:val="26"/>
              <w:spacing w:line="600" w:lineRule="exact"/>
              <w:rPr>
                <w:rFonts w:hAnsi="宋体" w:cs="Courier New"/>
                <w:color w:val="auto"/>
                <w:kern w:val="2"/>
                <w:sz w:val="24"/>
                <w:szCs w:val="24"/>
                <w:highlight w:val="none"/>
              </w:rPr>
            </w:pPr>
          </w:p>
        </w:tc>
        <w:tc>
          <w:tcPr>
            <w:tcW w:w="2143" w:type="dxa"/>
          </w:tcPr>
          <w:p w14:paraId="1B694271">
            <w:pPr>
              <w:pStyle w:val="26"/>
              <w:spacing w:line="600" w:lineRule="exact"/>
              <w:rPr>
                <w:rFonts w:hAnsi="宋体" w:cs="Courier New"/>
                <w:color w:val="auto"/>
                <w:kern w:val="2"/>
                <w:sz w:val="24"/>
                <w:szCs w:val="24"/>
                <w:highlight w:val="none"/>
              </w:rPr>
            </w:pPr>
          </w:p>
        </w:tc>
        <w:tc>
          <w:tcPr>
            <w:tcW w:w="1834" w:type="dxa"/>
          </w:tcPr>
          <w:p w14:paraId="5F2C70E9">
            <w:pPr>
              <w:pStyle w:val="26"/>
              <w:spacing w:line="600" w:lineRule="exact"/>
              <w:rPr>
                <w:rFonts w:hAnsi="宋体" w:cs="Courier New"/>
                <w:color w:val="auto"/>
                <w:kern w:val="2"/>
                <w:sz w:val="24"/>
                <w:szCs w:val="24"/>
                <w:highlight w:val="none"/>
              </w:rPr>
            </w:pPr>
          </w:p>
        </w:tc>
        <w:tc>
          <w:tcPr>
            <w:tcW w:w="2181" w:type="dxa"/>
          </w:tcPr>
          <w:p w14:paraId="6BCE5C27">
            <w:pPr>
              <w:pStyle w:val="26"/>
              <w:spacing w:line="600" w:lineRule="exact"/>
              <w:rPr>
                <w:rFonts w:hAnsi="宋体" w:cs="Courier New"/>
                <w:color w:val="auto"/>
                <w:kern w:val="2"/>
                <w:sz w:val="24"/>
                <w:szCs w:val="24"/>
                <w:highlight w:val="none"/>
              </w:rPr>
            </w:pPr>
          </w:p>
        </w:tc>
        <w:tc>
          <w:tcPr>
            <w:tcW w:w="1934" w:type="dxa"/>
          </w:tcPr>
          <w:p w14:paraId="77887F09">
            <w:pPr>
              <w:pStyle w:val="26"/>
              <w:spacing w:line="600" w:lineRule="exact"/>
              <w:rPr>
                <w:rFonts w:hAnsi="宋体" w:cs="Courier New"/>
                <w:color w:val="auto"/>
                <w:kern w:val="2"/>
                <w:sz w:val="24"/>
                <w:szCs w:val="24"/>
                <w:highlight w:val="none"/>
              </w:rPr>
            </w:pPr>
          </w:p>
        </w:tc>
      </w:tr>
      <w:tr w14:paraId="570ED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5EE0CDCF">
            <w:pPr>
              <w:pStyle w:val="26"/>
              <w:spacing w:line="600" w:lineRule="exact"/>
              <w:rPr>
                <w:rFonts w:hAnsi="宋体" w:cs="Courier New"/>
                <w:color w:val="auto"/>
                <w:kern w:val="2"/>
                <w:sz w:val="24"/>
                <w:szCs w:val="24"/>
                <w:highlight w:val="none"/>
              </w:rPr>
            </w:pPr>
          </w:p>
        </w:tc>
        <w:tc>
          <w:tcPr>
            <w:tcW w:w="2143" w:type="dxa"/>
          </w:tcPr>
          <w:p w14:paraId="56DB929B">
            <w:pPr>
              <w:pStyle w:val="26"/>
              <w:spacing w:line="600" w:lineRule="exact"/>
              <w:rPr>
                <w:rFonts w:hAnsi="宋体" w:cs="Courier New"/>
                <w:color w:val="auto"/>
                <w:kern w:val="2"/>
                <w:sz w:val="24"/>
                <w:szCs w:val="24"/>
                <w:highlight w:val="none"/>
              </w:rPr>
            </w:pPr>
          </w:p>
        </w:tc>
        <w:tc>
          <w:tcPr>
            <w:tcW w:w="1834" w:type="dxa"/>
          </w:tcPr>
          <w:p w14:paraId="2C716C2C">
            <w:pPr>
              <w:pStyle w:val="26"/>
              <w:spacing w:line="600" w:lineRule="exact"/>
              <w:rPr>
                <w:rFonts w:hAnsi="宋体" w:cs="Courier New"/>
                <w:color w:val="auto"/>
                <w:kern w:val="2"/>
                <w:sz w:val="24"/>
                <w:szCs w:val="24"/>
                <w:highlight w:val="none"/>
              </w:rPr>
            </w:pPr>
          </w:p>
        </w:tc>
        <w:tc>
          <w:tcPr>
            <w:tcW w:w="2181" w:type="dxa"/>
          </w:tcPr>
          <w:p w14:paraId="0C3B06AC">
            <w:pPr>
              <w:pStyle w:val="26"/>
              <w:spacing w:line="600" w:lineRule="exact"/>
              <w:rPr>
                <w:rFonts w:hAnsi="宋体" w:cs="Courier New"/>
                <w:color w:val="auto"/>
                <w:kern w:val="2"/>
                <w:sz w:val="24"/>
                <w:szCs w:val="24"/>
                <w:highlight w:val="none"/>
              </w:rPr>
            </w:pPr>
          </w:p>
        </w:tc>
        <w:tc>
          <w:tcPr>
            <w:tcW w:w="1934" w:type="dxa"/>
          </w:tcPr>
          <w:p w14:paraId="681F81F7">
            <w:pPr>
              <w:pStyle w:val="26"/>
              <w:spacing w:line="600" w:lineRule="exact"/>
              <w:rPr>
                <w:rFonts w:hAnsi="宋体" w:cs="Courier New"/>
                <w:color w:val="auto"/>
                <w:kern w:val="2"/>
                <w:sz w:val="24"/>
                <w:szCs w:val="24"/>
                <w:highlight w:val="none"/>
              </w:rPr>
            </w:pPr>
          </w:p>
        </w:tc>
      </w:tr>
    </w:tbl>
    <w:p w14:paraId="4B3B1ACD">
      <w:pPr>
        <w:pStyle w:val="19"/>
        <w:spacing w:line="360" w:lineRule="auto"/>
        <w:contextualSpacing/>
        <w:rPr>
          <w:rFonts w:ascii="宋体" w:hAnsi="宋体"/>
          <w:color w:val="auto"/>
          <w:highlight w:val="none"/>
        </w:rPr>
      </w:pPr>
      <w:r>
        <w:rPr>
          <w:rFonts w:hint="eastAsia" w:ascii="宋体" w:hAnsi="宋体"/>
          <w:color w:val="auto"/>
          <w:highlight w:val="none"/>
        </w:rPr>
        <w:t>注：</w:t>
      </w:r>
    </w:p>
    <w:p w14:paraId="01105075">
      <w:pPr>
        <w:pStyle w:val="3"/>
        <w:spacing w:line="360" w:lineRule="auto"/>
        <w:ind w:firstLine="0" w:firstLineChars="0"/>
        <w:contextualSpacing/>
        <w:rPr>
          <w:rFonts w:hAnsi="仿宋_GB2312" w:cs="仿宋_GB2312"/>
          <w:color w:val="auto"/>
          <w:szCs w:val="32"/>
          <w:highlight w:val="none"/>
        </w:rPr>
      </w:pPr>
      <w:r>
        <w:rPr>
          <w:rFonts w:hint="eastAsia" w:ascii="宋体" w:hAnsi="宋体" w:eastAsia="宋体"/>
          <w:color w:val="auto"/>
          <w:sz w:val="24"/>
          <w:szCs w:val="24"/>
          <w:highlight w:val="none"/>
        </w:rPr>
        <w:t>1. 说明：应对照招标文件“第二章 采购需求”中的技术要求逐条作明确的投标响应，并作出偏离说明。</w:t>
      </w:r>
    </w:p>
    <w:p w14:paraId="77D9D420">
      <w:pPr>
        <w:pStyle w:val="19"/>
        <w:spacing w:line="360" w:lineRule="auto"/>
        <w:contextualSpacing/>
        <w:rPr>
          <w:rFonts w:ascii="宋体" w:hAnsi="宋体"/>
          <w:color w:val="auto"/>
          <w:highlight w:val="none"/>
        </w:rPr>
      </w:pPr>
      <w:r>
        <w:rPr>
          <w:rFonts w:ascii="宋体" w:hAnsi="宋体"/>
          <w:b w:val="0"/>
          <w:bCs w:val="0"/>
          <w:color w:val="auto"/>
          <w:highlight w:val="none"/>
        </w:rPr>
        <w:t>2.</w:t>
      </w:r>
      <w:r>
        <w:rPr>
          <w:rFonts w:hint="eastAsia" w:ascii="宋体" w:hAnsi="宋体"/>
          <w:b w:val="0"/>
          <w:bCs w:val="0"/>
          <w:color w:val="auto"/>
          <w:highlight w:val="none"/>
        </w:rPr>
        <w:t>投标人应根据自身的承诺，对照招标文件要求，在“偏离说明”中注明“</w:t>
      </w:r>
      <w:r>
        <w:rPr>
          <w:rFonts w:hint="eastAsia" w:ascii="宋体" w:hAnsi="宋体"/>
          <w:color w:val="auto"/>
          <w:highlight w:val="none"/>
        </w:rPr>
        <w:t>正偏离</w:t>
      </w:r>
      <w:r>
        <w:rPr>
          <w:rFonts w:hint="eastAsia" w:ascii="宋体" w:hAnsi="宋体"/>
          <w:b w:val="0"/>
          <w:bCs w:val="0"/>
          <w:color w:val="auto"/>
          <w:highlight w:val="none"/>
        </w:rPr>
        <w:t>”、“</w:t>
      </w:r>
      <w:r>
        <w:rPr>
          <w:rFonts w:hint="eastAsia" w:ascii="宋体" w:hAnsi="宋体"/>
          <w:color w:val="auto"/>
          <w:highlight w:val="none"/>
        </w:rPr>
        <w:t>负偏离</w:t>
      </w:r>
      <w:r>
        <w:rPr>
          <w:rFonts w:hint="eastAsia" w:ascii="宋体" w:hAnsi="宋体"/>
          <w:b w:val="0"/>
          <w:bCs w:val="0"/>
          <w:color w:val="auto"/>
          <w:highlight w:val="none"/>
        </w:rPr>
        <w:t>”或者“</w:t>
      </w:r>
      <w:r>
        <w:rPr>
          <w:rFonts w:hint="eastAsia" w:ascii="宋体" w:hAnsi="宋体"/>
          <w:color w:val="auto"/>
          <w:highlight w:val="none"/>
        </w:rPr>
        <w:t>无偏离</w:t>
      </w:r>
      <w:r>
        <w:rPr>
          <w:rFonts w:hint="eastAsia" w:ascii="宋体" w:hAnsi="宋体"/>
          <w:b w:val="0"/>
          <w:bCs w:val="0"/>
          <w:color w:val="auto"/>
          <w:highlight w:val="none"/>
        </w:rPr>
        <w:t>”。既不属于“</w:t>
      </w:r>
      <w:r>
        <w:rPr>
          <w:rFonts w:hint="eastAsia" w:ascii="宋体" w:hAnsi="宋体"/>
          <w:color w:val="auto"/>
          <w:highlight w:val="none"/>
        </w:rPr>
        <w:t>正偏离</w:t>
      </w:r>
      <w:r>
        <w:rPr>
          <w:rFonts w:hint="eastAsia" w:ascii="宋体" w:hAnsi="宋体"/>
          <w:b w:val="0"/>
          <w:bCs w:val="0"/>
          <w:color w:val="auto"/>
          <w:highlight w:val="none"/>
        </w:rPr>
        <w:t>”也不属于“</w:t>
      </w:r>
      <w:r>
        <w:rPr>
          <w:rFonts w:hint="eastAsia" w:ascii="宋体" w:hAnsi="宋体"/>
          <w:color w:val="auto"/>
          <w:highlight w:val="none"/>
        </w:rPr>
        <w:t>负偏离</w:t>
      </w:r>
      <w:r>
        <w:rPr>
          <w:rFonts w:hint="eastAsia" w:ascii="宋体" w:hAnsi="宋体"/>
          <w:b w:val="0"/>
          <w:bCs w:val="0"/>
          <w:color w:val="auto"/>
          <w:highlight w:val="none"/>
        </w:rPr>
        <w:t>”即为“</w:t>
      </w:r>
      <w:r>
        <w:rPr>
          <w:rFonts w:hint="eastAsia" w:ascii="宋体" w:hAnsi="宋体"/>
          <w:color w:val="auto"/>
          <w:highlight w:val="none"/>
        </w:rPr>
        <w:t>无偏离</w:t>
      </w:r>
      <w:r>
        <w:rPr>
          <w:rFonts w:hint="eastAsia" w:ascii="宋体" w:hAnsi="宋体"/>
          <w:b w:val="0"/>
          <w:bCs w:val="0"/>
          <w:color w:val="auto"/>
          <w:highlight w:val="none"/>
        </w:rPr>
        <w:t>”。</w:t>
      </w:r>
    </w:p>
    <w:p w14:paraId="4CF1A85D">
      <w:pPr>
        <w:pStyle w:val="19"/>
        <w:spacing w:line="360" w:lineRule="auto"/>
        <w:contextualSpacing/>
        <w:rPr>
          <w:rFonts w:ascii="宋体" w:hAnsi="宋体"/>
          <w:color w:val="auto"/>
          <w:spacing w:val="20"/>
          <w:highlight w:val="none"/>
        </w:rPr>
      </w:pPr>
    </w:p>
    <w:p w14:paraId="043E6BA0">
      <w:pPr>
        <w:spacing w:line="360" w:lineRule="auto"/>
        <w:contextualSpacing/>
        <w:rPr>
          <w:rFonts w:ascii="宋体" w:hAnsi="宋体"/>
          <w:color w:val="auto"/>
          <w:spacing w:val="20"/>
          <w:sz w:val="24"/>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（签字或者电子签名）：</w:t>
      </w:r>
    </w:p>
    <w:p w14:paraId="2141ECF9">
      <w:pPr>
        <w:spacing w:line="360" w:lineRule="auto"/>
        <w:contextualSpacing/>
        <w:rPr>
          <w:rFonts w:ascii="宋体" w:hAnsi="宋体"/>
          <w:color w:val="auto"/>
          <w:spacing w:val="20"/>
          <w:sz w:val="24"/>
          <w:highlight w:val="none"/>
        </w:rPr>
      </w:pPr>
      <w:r>
        <w:rPr>
          <w:rFonts w:hint="eastAsia" w:ascii="宋体" w:hAnsi="宋体"/>
          <w:color w:val="auto"/>
          <w:spacing w:val="20"/>
          <w:sz w:val="24"/>
          <w:highlight w:val="none"/>
        </w:rPr>
        <w:t>投标人名称（电子签章）：</w:t>
      </w:r>
    </w:p>
    <w:p w14:paraId="63BA6FB5">
      <w:pPr>
        <w:spacing w:line="360" w:lineRule="auto"/>
        <w:contextualSpacing/>
        <w:rPr>
          <w:rFonts w:ascii="宋体" w:hAnsi="宋体"/>
          <w:color w:val="auto"/>
          <w:sz w:val="24"/>
          <w:szCs w:val="20"/>
          <w:highlight w:val="none"/>
        </w:rPr>
      </w:pPr>
      <w:r>
        <w:rPr>
          <w:rFonts w:hint="eastAsia" w:ascii="宋体" w:hAnsi="宋体"/>
          <w:color w:val="auto"/>
          <w:spacing w:val="20"/>
          <w:sz w:val="24"/>
          <w:highlight w:val="none"/>
        </w:rPr>
        <w:t>日  期：</w:t>
      </w:r>
    </w:p>
    <w:p w14:paraId="28DE897F">
      <w:pPr>
        <w:spacing w:line="360" w:lineRule="auto"/>
        <w:contextualSpacing/>
        <w:rPr>
          <w:rFonts w:ascii="宋体" w:hAnsi="宋体"/>
          <w:color w:val="auto"/>
          <w:spacing w:val="20"/>
          <w:sz w:val="24"/>
          <w:highlight w:val="none"/>
          <w:u w:val="single"/>
        </w:rPr>
      </w:pPr>
    </w:p>
    <w:p w14:paraId="468F8157">
      <w:pPr>
        <w:spacing w:line="360" w:lineRule="auto"/>
        <w:contextualSpacing/>
        <w:rPr>
          <w:rFonts w:ascii="宋体" w:hAnsi="宋体"/>
          <w:color w:val="auto"/>
          <w:sz w:val="24"/>
          <w:szCs w:val="20"/>
          <w:highlight w:val="none"/>
        </w:rPr>
      </w:pPr>
    </w:p>
    <w:p w14:paraId="1897D43D">
      <w:pPr>
        <w:snapToGrid w:val="0"/>
        <w:spacing w:beforeLines="50" w:after="50"/>
        <w:ind w:left="142"/>
        <w:jc w:val="left"/>
        <w:rPr>
          <w:rFonts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4"/>
          <w:highlight w:val="none"/>
        </w:rPr>
        <w:t>2.项目实施人员一览表格式</w:t>
      </w:r>
    </w:p>
    <w:p w14:paraId="755C400C">
      <w:pPr>
        <w:snapToGrid w:val="0"/>
        <w:spacing w:beforeLines="50" w:after="50"/>
        <w:ind w:left="142"/>
        <w:jc w:val="left"/>
        <w:rPr>
          <w:rFonts w:ascii="宋体" w:hAnsi="宋体"/>
          <w:b/>
          <w:color w:val="auto"/>
          <w:sz w:val="24"/>
          <w:highlight w:val="none"/>
        </w:rPr>
      </w:pPr>
    </w:p>
    <w:p w14:paraId="7F781D8F">
      <w:pPr>
        <w:snapToGrid w:val="0"/>
        <w:spacing w:beforeLines="50" w:after="50"/>
        <w:ind w:left="142"/>
        <w:jc w:val="center"/>
        <w:rPr>
          <w:rFonts w:ascii="宋体" w:hAnsi="宋体"/>
          <w:b/>
          <w:color w:val="auto"/>
          <w:sz w:val="32"/>
          <w:szCs w:val="32"/>
          <w:highlight w:val="none"/>
        </w:rPr>
      </w:pPr>
      <w:r>
        <w:rPr>
          <w:rFonts w:hint="eastAsia" w:ascii="宋体" w:hAnsi="宋体"/>
          <w:b/>
          <w:color w:val="auto"/>
          <w:sz w:val="32"/>
          <w:szCs w:val="32"/>
          <w:highlight w:val="none"/>
        </w:rPr>
        <w:t>项目实施人员一览表</w:t>
      </w:r>
    </w:p>
    <w:p w14:paraId="4010D05C">
      <w:pPr>
        <w:pStyle w:val="26"/>
        <w:rPr>
          <w:color w:val="auto"/>
          <w:sz w:val="24"/>
          <w:szCs w:val="24"/>
          <w:highlight w:val="none"/>
        </w:rPr>
      </w:pPr>
      <w:r>
        <w:rPr>
          <w:rFonts w:hint="eastAsia"/>
          <w:color w:val="auto"/>
          <w:sz w:val="24"/>
          <w:szCs w:val="24"/>
          <w:highlight w:val="none"/>
        </w:rPr>
        <w:t>所投分标：分标</w:t>
      </w:r>
    </w:p>
    <w:tbl>
      <w:tblPr>
        <w:tblStyle w:val="48"/>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1701"/>
        <w:gridCol w:w="1420"/>
        <w:gridCol w:w="1698"/>
        <w:gridCol w:w="1843"/>
      </w:tblGrid>
      <w:tr w14:paraId="471C8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621DF5FD">
            <w:pPr>
              <w:snapToGrid w:val="0"/>
              <w:spacing w:before="50" w:afterLines="50"/>
              <w:jc w:val="center"/>
              <w:rPr>
                <w:rFonts w:ascii="宋体" w:hAnsi="宋体"/>
                <w:color w:val="auto"/>
                <w:sz w:val="24"/>
                <w:szCs w:val="20"/>
                <w:highlight w:val="none"/>
              </w:rPr>
            </w:pPr>
            <w:r>
              <w:rPr>
                <w:rFonts w:hint="eastAsia" w:ascii="宋体" w:hAnsi="宋体"/>
                <w:color w:val="auto"/>
                <w:sz w:val="24"/>
                <w:szCs w:val="20"/>
                <w:highlight w:val="none"/>
              </w:rPr>
              <w:t>姓名</w:t>
            </w:r>
          </w:p>
        </w:tc>
        <w:tc>
          <w:tcPr>
            <w:tcW w:w="709" w:type="dxa"/>
            <w:vAlign w:val="center"/>
          </w:tcPr>
          <w:p w14:paraId="5FE85BAC">
            <w:pPr>
              <w:snapToGrid w:val="0"/>
              <w:spacing w:before="50" w:afterLines="50"/>
              <w:jc w:val="center"/>
              <w:rPr>
                <w:rFonts w:ascii="宋体" w:hAnsi="宋体"/>
                <w:color w:val="auto"/>
                <w:sz w:val="24"/>
                <w:szCs w:val="20"/>
                <w:highlight w:val="none"/>
              </w:rPr>
            </w:pPr>
            <w:r>
              <w:rPr>
                <w:rFonts w:hint="eastAsia" w:ascii="宋体" w:hAnsi="宋体"/>
                <w:color w:val="auto"/>
                <w:sz w:val="24"/>
                <w:szCs w:val="20"/>
                <w:highlight w:val="none"/>
              </w:rPr>
              <w:t>职务</w:t>
            </w:r>
          </w:p>
        </w:tc>
        <w:tc>
          <w:tcPr>
            <w:tcW w:w="1701" w:type="dxa"/>
            <w:vAlign w:val="center"/>
          </w:tcPr>
          <w:p w14:paraId="0F1E934D">
            <w:pPr>
              <w:snapToGrid w:val="0"/>
              <w:spacing w:before="50" w:afterLines="50"/>
              <w:jc w:val="center"/>
              <w:rPr>
                <w:rFonts w:ascii="宋体" w:hAnsi="宋体"/>
                <w:color w:val="auto"/>
                <w:sz w:val="24"/>
                <w:szCs w:val="20"/>
                <w:highlight w:val="none"/>
              </w:rPr>
            </w:pPr>
            <w:r>
              <w:rPr>
                <w:rFonts w:hint="eastAsia" w:ascii="宋体" w:hAnsi="宋体"/>
                <w:color w:val="auto"/>
                <w:sz w:val="24"/>
                <w:szCs w:val="20"/>
                <w:highlight w:val="none"/>
              </w:rPr>
              <w:t>专业技术资格（职称）或者职业资格或者执业资格证或者其他证书</w:t>
            </w:r>
          </w:p>
        </w:tc>
        <w:tc>
          <w:tcPr>
            <w:tcW w:w="1420" w:type="dxa"/>
            <w:vAlign w:val="center"/>
          </w:tcPr>
          <w:p w14:paraId="5B2CA4C8">
            <w:pPr>
              <w:snapToGrid w:val="0"/>
              <w:spacing w:before="50" w:afterLines="50"/>
              <w:jc w:val="center"/>
              <w:rPr>
                <w:rFonts w:ascii="宋体" w:hAnsi="宋体"/>
                <w:color w:val="auto"/>
                <w:sz w:val="24"/>
                <w:szCs w:val="20"/>
                <w:highlight w:val="none"/>
              </w:rPr>
            </w:pPr>
            <w:r>
              <w:rPr>
                <w:rFonts w:hint="eastAsia" w:ascii="宋体" w:hAnsi="宋体"/>
                <w:color w:val="auto"/>
                <w:sz w:val="24"/>
                <w:szCs w:val="20"/>
                <w:highlight w:val="none"/>
              </w:rPr>
              <w:t>证书编号</w:t>
            </w:r>
          </w:p>
        </w:tc>
        <w:tc>
          <w:tcPr>
            <w:tcW w:w="1698" w:type="dxa"/>
            <w:vAlign w:val="center"/>
          </w:tcPr>
          <w:p w14:paraId="3349A30A">
            <w:pPr>
              <w:snapToGrid w:val="0"/>
              <w:spacing w:before="50" w:afterLines="50"/>
              <w:jc w:val="center"/>
              <w:rPr>
                <w:rFonts w:ascii="宋体" w:hAnsi="宋体"/>
                <w:color w:val="auto"/>
                <w:sz w:val="24"/>
                <w:szCs w:val="20"/>
                <w:highlight w:val="none"/>
              </w:rPr>
            </w:pPr>
            <w:r>
              <w:rPr>
                <w:rFonts w:hint="eastAsia" w:ascii="宋体" w:hAnsi="宋体"/>
                <w:color w:val="auto"/>
                <w:sz w:val="24"/>
                <w:szCs w:val="20"/>
                <w:highlight w:val="none"/>
              </w:rPr>
              <w:t>参加本单位</w:t>
            </w:r>
          </w:p>
          <w:p w14:paraId="646491EA">
            <w:pPr>
              <w:snapToGrid w:val="0"/>
              <w:spacing w:before="50" w:afterLines="50"/>
              <w:jc w:val="center"/>
              <w:rPr>
                <w:rFonts w:ascii="宋体" w:hAnsi="宋体"/>
                <w:color w:val="auto"/>
                <w:sz w:val="24"/>
                <w:szCs w:val="20"/>
                <w:highlight w:val="none"/>
              </w:rPr>
            </w:pPr>
            <w:r>
              <w:rPr>
                <w:rFonts w:hint="eastAsia" w:ascii="宋体" w:hAnsi="宋体"/>
                <w:color w:val="auto"/>
                <w:sz w:val="24"/>
                <w:szCs w:val="20"/>
                <w:highlight w:val="none"/>
              </w:rPr>
              <w:t>工作时间</w:t>
            </w:r>
          </w:p>
        </w:tc>
        <w:tc>
          <w:tcPr>
            <w:tcW w:w="1843" w:type="dxa"/>
            <w:vAlign w:val="center"/>
          </w:tcPr>
          <w:p w14:paraId="6246DDEA">
            <w:pPr>
              <w:snapToGrid w:val="0"/>
              <w:spacing w:before="50" w:afterLines="50"/>
              <w:jc w:val="center"/>
              <w:rPr>
                <w:rFonts w:ascii="宋体" w:hAnsi="宋体"/>
                <w:color w:val="auto"/>
                <w:sz w:val="24"/>
                <w:szCs w:val="20"/>
                <w:highlight w:val="none"/>
              </w:rPr>
            </w:pPr>
            <w:r>
              <w:rPr>
                <w:rFonts w:hint="eastAsia" w:ascii="宋体" w:hAnsi="宋体"/>
                <w:color w:val="auto"/>
                <w:sz w:val="24"/>
                <w:szCs w:val="20"/>
                <w:highlight w:val="none"/>
              </w:rPr>
              <w:t>劳动合同编号</w:t>
            </w:r>
          </w:p>
        </w:tc>
      </w:tr>
      <w:tr w14:paraId="650D9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7260C770">
            <w:pPr>
              <w:snapToGrid w:val="0"/>
              <w:spacing w:before="50" w:afterLines="50"/>
              <w:jc w:val="center"/>
              <w:rPr>
                <w:rFonts w:ascii="宋体" w:hAnsi="宋体"/>
                <w:color w:val="auto"/>
                <w:sz w:val="24"/>
                <w:szCs w:val="20"/>
                <w:highlight w:val="none"/>
              </w:rPr>
            </w:pPr>
          </w:p>
        </w:tc>
        <w:tc>
          <w:tcPr>
            <w:tcW w:w="709" w:type="dxa"/>
            <w:vAlign w:val="center"/>
          </w:tcPr>
          <w:p w14:paraId="1AED5645">
            <w:pPr>
              <w:snapToGrid w:val="0"/>
              <w:spacing w:before="50" w:afterLines="50"/>
              <w:jc w:val="center"/>
              <w:rPr>
                <w:rFonts w:ascii="宋体" w:hAnsi="宋体"/>
                <w:color w:val="auto"/>
                <w:sz w:val="24"/>
                <w:szCs w:val="20"/>
                <w:highlight w:val="none"/>
              </w:rPr>
            </w:pPr>
          </w:p>
        </w:tc>
        <w:tc>
          <w:tcPr>
            <w:tcW w:w="1701" w:type="dxa"/>
            <w:vAlign w:val="center"/>
          </w:tcPr>
          <w:p w14:paraId="383D5416">
            <w:pPr>
              <w:snapToGrid w:val="0"/>
              <w:spacing w:before="50" w:afterLines="50"/>
              <w:jc w:val="center"/>
              <w:rPr>
                <w:rFonts w:ascii="宋体" w:hAnsi="宋体"/>
                <w:color w:val="auto"/>
                <w:sz w:val="24"/>
                <w:szCs w:val="20"/>
                <w:highlight w:val="none"/>
              </w:rPr>
            </w:pPr>
          </w:p>
        </w:tc>
        <w:tc>
          <w:tcPr>
            <w:tcW w:w="1420" w:type="dxa"/>
            <w:vAlign w:val="center"/>
          </w:tcPr>
          <w:p w14:paraId="6AEB5826">
            <w:pPr>
              <w:snapToGrid w:val="0"/>
              <w:spacing w:before="50" w:afterLines="50"/>
              <w:jc w:val="center"/>
              <w:rPr>
                <w:rFonts w:ascii="宋体" w:hAnsi="宋体"/>
                <w:color w:val="auto"/>
                <w:sz w:val="24"/>
                <w:szCs w:val="20"/>
                <w:highlight w:val="none"/>
              </w:rPr>
            </w:pPr>
          </w:p>
        </w:tc>
        <w:tc>
          <w:tcPr>
            <w:tcW w:w="1698" w:type="dxa"/>
            <w:vAlign w:val="center"/>
          </w:tcPr>
          <w:p w14:paraId="07505359">
            <w:pPr>
              <w:snapToGrid w:val="0"/>
              <w:spacing w:before="50" w:afterLines="50"/>
              <w:jc w:val="center"/>
              <w:rPr>
                <w:rFonts w:ascii="宋体" w:hAnsi="宋体"/>
                <w:color w:val="auto"/>
                <w:sz w:val="24"/>
                <w:szCs w:val="20"/>
                <w:highlight w:val="none"/>
              </w:rPr>
            </w:pPr>
          </w:p>
        </w:tc>
        <w:tc>
          <w:tcPr>
            <w:tcW w:w="1843" w:type="dxa"/>
            <w:vAlign w:val="center"/>
          </w:tcPr>
          <w:p w14:paraId="372C82A8">
            <w:pPr>
              <w:snapToGrid w:val="0"/>
              <w:spacing w:before="50" w:afterLines="50"/>
              <w:jc w:val="center"/>
              <w:rPr>
                <w:rFonts w:ascii="宋体" w:hAnsi="宋体"/>
                <w:color w:val="auto"/>
                <w:sz w:val="24"/>
                <w:szCs w:val="20"/>
                <w:highlight w:val="none"/>
              </w:rPr>
            </w:pPr>
          </w:p>
        </w:tc>
      </w:tr>
      <w:tr w14:paraId="3A9AA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11B58338">
            <w:pPr>
              <w:snapToGrid w:val="0"/>
              <w:spacing w:before="50" w:afterLines="50"/>
              <w:jc w:val="center"/>
              <w:rPr>
                <w:rFonts w:ascii="宋体" w:hAnsi="宋体"/>
                <w:color w:val="auto"/>
                <w:sz w:val="24"/>
                <w:szCs w:val="20"/>
                <w:highlight w:val="none"/>
              </w:rPr>
            </w:pPr>
          </w:p>
        </w:tc>
        <w:tc>
          <w:tcPr>
            <w:tcW w:w="709" w:type="dxa"/>
            <w:vAlign w:val="center"/>
          </w:tcPr>
          <w:p w14:paraId="6D7EAE53">
            <w:pPr>
              <w:snapToGrid w:val="0"/>
              <w:spacing w:before="50" w:afterLines="50"/>
              <w:jc w:val="center"/>
              <w:rPr>
                <w:rFonts w:ascii="宋体" w:hAnsi="宋体"/>
                <w:color w:val="auto"/>
                <w:sz w:val="24"/>
                <w:szCs w:val="20"/>
                <w:highlight w:val="none"/>
              </w:rPr>
            </w:pPr>
          </w:p>
        </w:tc>
        <w:tc>
          <w:tcPr>
            <w:tcW w:w="1701" w:type="dxa"/>
            <w:vAlign w:val="center"/>
          </w:tcPr>
          <w:p w14:paraId="7E41FD2F">
            <w:pPr>
              <w:snapToGrid w:val="0"/>
              <w:spacing w:before="50" w:afterLines="50"/>
              <w:jc w:val="center"/>
              <w:rPr>
                <w:rFonts w:ascii="宋体" w:hAnsi="宋体"/>
                <w:color w:val="auto"/>
                <w:sz w:val="24"/>
                <w:szCs w:val="20"/>
                <w:highlight w:val="none"/>
              </w:rPr>
            </w:pPr>
          </w:p>
        </w:tc>
        <w:tc>
          <w:tcPr>
            <w:tcW w:w="1420" w:type="dxa"/>
            <w:vAlign w:val="center"/>
          </w:tcPr>
          <w:p w14:paraId="22538964">
            <w:pPr>
              <w:snapToGrid w:val="0"/>
              <w:spacing w:before="50" w:afterLines="50"/>
              <w:jc w:val="center"/>
              <w:rPr>
                <w:rFonts w:ascii="宋体" w:hAnsi="宋体"/>
                <w:color w:val="auto"/>
                <w:sz w:val="24"/>
                <w:szCs w:val="20"/>
                <w:highlight w:val="none"/>
              </w:rPr>
            </w:pPr>
          </w:p>
        </w:tc>
        <w:tc>
          <w:tcPr>
            <w:tcW w:w="1698" w:type="dxa"/>
            <w:vAlign w:val="center"/>
          </w:tcPr>
          <w:p w14:paraId="54F7536E">
            <w:pPr>
              <w:snapToGrid w:val="0"/>
              <w:spacing w:before="50" w:afterLines="50"/>
              <w:jc w:val="center"/>
              <w:rPr>
                <w:rFonts w:ascii="宋体" w:hAnsi="宋体"/>
                <w:color w:val="auto"/>
                <w:sz w:val="24"/>
                <w:szCs w:val="20"/>
                <w:highlight w:val="none"/>
              </w:rPr>
            </w:pPr>
          </w:p>
        </w:tc>
        <w:tc>
          <w:tcPr>
            <w:tcW w:w="1843" w:type="dxa"/>
            <w:vAlign w:val="center"/>
          </w:tcPr>
          <w:p w14:paraId="44276E85">
            <w:pPr>
              <w:snapToGrid w:val="0"/>
              <w:spacing w:before="50" w:afterLines="50"/>
              <w:jc w:val="center"/>
              <w:rPr>
                <w:rFonts w:ascii="宋体" w:hAnsi="宋体"/>
                <w:color w:val="auto"/>
                <w:sz w:val="24"/>
                <w:szCs w:val="20"/>
                <w:highlight w:val="none"/>
              </w:rPr>
            </w:pPr>
          </w:p>
        </w:tc>
      </w:tr>
      <w:tr w14:paraId="6DDCA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0111A2D1">
            <w:pPr>
              <w:snapToGrid w:val="0"/>
              <w:spacing w:before="50" w:afterLines="50"/>
              <w:jc w:val="center"/>
              <w:rPr>
                <w:rFonts w:ascii="宋体" w:hAnsi="宋体"/>
                <w:color w:val="auto"/>
                <w:sz w:val="24"/>
                <w:szCs w:val="20"/>
                <w:highlight w:val="none"/>
              </w:rPr>
            </w:pPr>
          </w:p>
        </w:tc>
        <w:tc>
          <w:tcPr>
            <w:tcW w:w="709" w:type="dxa"/>
            <w:vAlign w:val="center"/>
          </w:tcPr>
          <w:p w14:paraId="3153BB80">
            <w:pPr>
              <w:snapToGrid w:val="0"/>
              <w:spacing w:before="50" w:afterLines="50"/>
              <w:jc w:val="center"/>
              <w:rPr>
                <w:rFonts w:ascii="宋体" w:hAnsi="宋体"/>
                <w:color w:val="auto"/>
                <w:sz w:val="24"/>
                <w:szCs w:val="20"/>
                <w:highlight w:val="none"/>
              </w:rPr>
            </w:pPr>
          </w:p>
        </w:tc>
        <w:tc>
          <w:tcPr>
            <w:tcW w:w="1701" w:type="dxa"/>
            <w:vAlign w:val="center"/>
          </w:tcPr>
          <w:p w14:paraId="6C359345">
            <w:pPr>
              <w:snapToGrid w:val="0"/>
              <w:spacing w:before="50" w:afterLines="50"/>
              <w:jc w:val="center"/>
              <w:rPr>
                <w:rFonts w:ascii="宋体" w:hAnsi="宋体"/>
                <w:color w:val="auto"/>
                <w:sz w:val="24"/>
                <w:szCs w:val="20"/>
                <w:highlight w:val="none"/>
              </w:rPr>
            </w:pPr>
          </w:p>
        </w:tc>
        <w:tc>
          <w:tcPr>
            <w:tcW w:w="1420" w:type="dxa"/>
            <w:vAlign w:val="center"/>
          </w:tcPr>
          <w:p w14:paraId="29A32B66">
            <w:pPr>
              <w:snapToGrid w:val="0"/>
              <w:spacing w:before="50" w:afterLines="50"/>
              <w:jc w:val="center"/>
              <w:rPr>
                <w:rFonts w:ascii="宋体" w:hAnsi="宋体"/>
                <w:color w:val="auto"/>
                <w:sz w:val="24"/>
                <w:szCs w:val="20"/>
                <w:highlight w:val="none"/>
              </w:rPr>
            </w:pPr>
          </w:p>
        </w:tc>
        <w:tc>
          <w:tcPr>
            <w:tcW w:w="1698" w:type="dxa"/>
            <w:vAlign w:val="center"/>
          </w:tcPr>
          <w:p w14:paraId="2C1B1E31">
            <w:pPr>
              <w:snapToGrid w:val="0"/>
              <w:spacing w:before="50" w:afterLines="50"/>
              <w:jc w:val="center"/>
              <w:rPr>
                <w:rFonts w:ascii="宋体" w:hAnsi="宋体"/>
                <w:color w:val="auto"/>
                <w:sz w:val="24"/>
                <w:szCs w:val="20"/>
                <w:highlight w:val="none"/>
              </w:rPr>
            </w:pPr>
          </w:p>
        </w:tc>
        <w:tc>
          <w:tcPr>
            <w:tcW w:w="1843" w:type="dxa"/>
            <w:vAlign w:val="center"/>
          </w:tcPr>
          <w:p w14:paraId="4667387F">
            <w:pPr>
              <w:snapToGrid w:val="0"/>
              <w:spacing w:before="50" w:afterLines="50"/>
              <w:jc w:val="center"/>
              <w:rPr>
                <w:rFonts w:ascii="宋体" w:hAnsi="宋体"/>
                <w:color w:val="auto"/>
                <w:sz w:val="24"/>
                <w:szCs w:val="20"/>
                <w:highlight w:val="none"/>
              </w:rPr>
            </w:pPr>
          </w:p>
        </w:tc>
      </w:tr>
    </w:tbl>
    <w:p w14:paraId="59F59846">
      <w:pPr>
        <w:snapToGrid w:val="0"/>
        <w:spacing w:before="50" w:afterLines="50"/>
        <w:jc w:val="left"/>
        <w:rPr>
          <w:rFonts w:ascii="宋体" w:hAnsi="宋体"/>
          <w:color w:val="auto"/>
          <w:sz w:val="24"/>
          <w:szCs w:val="20"/>
          <w:highlight w:val="none"/>
        </w:rPr>
      </w:pPr>
    </w:p>
    <w:p w14:paraId="00A2AF88">
      <w:pPr>
        <w:spacing w:line="360" w:lineRule="auto"/>
        <w:contextualSpacing/>
        <w:jc w:val="left"/>
        <w:rPr>
          <w:rFonts w:ascii="宋体" w:hAnsi="宋体"/>
          <w:color w:val="auto"/>
          <w:sz w:val="24"/>
          <w:szCs w:val="20"/>
          <w:highlight w:val="none"/>
        </w:rPr>
      </w:pPr>
      <w:r>
        <w:rPr>
          <w:rFonts w:hint="eastAsia" w:ascii="宋体" w:hAnsi="宋体"/>
          <w:color w:val="auto"/>
          <w:sz w:val="24"/>
          <w:szCs w:val="20"/>
          <w:highlight w:val="none"/>
        </w:rPr>
        <w:t>注：</w:t>
      </w:r>
    </w:p>
    <w:p w14:paraId="1322A291">
      <w:pPr>
        <w:spacing w:line="360" w:lineRule="auto"/>
        <w:contextualSpacing/>
        <w:jc w:val="left"/>
        <w:rPr>
          <w:rFonts w:ascii="宋体" w:hAnsi="宋体"/>
          <w:color w:val="auto"/>
          <w:sz w:val="24"/>
          <w:szCs w:val="20"/>
          <w:highlight w:val="none"/>
        </w:rPr>
      </w:pPr>
      <w:r>
        <w:rPr>
          <w:rFonts w:hint="eastAsia" w:ascii="宋体" w:hAnsi="宋体"/>
          <w:color w:val="auto"/>
          <w:sz w:val="24"/>
          <w:szCs w:val="20"/>
          <w:highlight w:val="none"/>
        </w:rPr>
        <w:t>1.在填写时，如本表格不适合投标单位的实际情况，可根据本表格式自行制表填写。</w:t>
      </w:r>
    </w:p>
    <w:p w14:paraId="6B77779A">
      <w:pPr>
        <w:spacing w:line="360" w:lineRule="auto"/>
        <w:contextualSpacing/>
        <w:jc w:val="left"/>
        <w:rPr>
          <w:rFonts w:ascii="宋体" w:hAnsi="宋体"/>
          <w:color w:val="auto"/>
          <w:sz w:val="24"/>
          <w:szCs w:val="20"/>
          <w:highlight w:val="none"/>
        </w:rPr>
      </w:pPr>
      <w:r>
        <w:rPr>
          <w:rFonts w:hint="eastAsia" w:ascii="宋体" w:hAnsi="宋体"/>
          <w:color w:val="auto"/>
          <w:sz w:val="24"/>
          <w:szCs w:val="20"/>
          <w:highlight w:val="none"/>
        </w:rPr>
        <w:t>2.投标人应当附本表所列证书的复印件并加盖投标人电子签章。</w:t>
      </w:r>
    </w:p>
    <w:p w14:paraId="342E8041">
      <w:pPr>
        <w:spacing w:line="360" w:lineRule="auto"/>
        <w:contextualSpacing/>
        <w:rPr>
          <w:rFonts w:ascii="宋体" w:hAnsi="宋体"/>
          <w:color w:val="auto"/>
          <w:spacing w:val="20"/>
          <w:sz w:val="24"/>
          <w:szCs w:val="20"/>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（签字或者电子签名）：</w:t>
      </w:r>
    </w:p>
    <w:p w14:paraId="0C914F39">
      <w:pPr>
        <w:spacing w:line="360" w:lineRule="auto"/>
        <w:contextualSpacing/>
        <w:jc w:val="left"/>
        <w:rPr>
          <w:rFonts w:ascii="宋体" w:hAnsi="宋体"/>
          <w:color w:val="auto"/>
          <w:spacing w:val="20"/>
          <w:sz w:val="24"/>
          <w:highlight w:val="none"/>
        </w:rPr>
      </w:pPr>
      <w:r>
        <w:rPr>
          <w:rFonts w:hint="eastAsia" w:ascii="宋体" w:hAnsi="宋体"/>
          <w:color w:val="auto"/>
          <w:spacing w:val="20"/>
          <w:sz w:val="24"/>
          <w:highlight w:val="none"/>
        </w:rPr>
        <w:t>投标人名称（电子签章）：</w:t>
      </w:r>
    </w:p>
    <w:p w14:paraId="57C91836">
      <w:pPr>
        <w:spacing w:line="360" w:lineRule="auto"/>
        <w:contextualSpacing/>
        <w:jc w:val="left"/>
        <w:rPr>
          <w:rFonts w:ascii="宋体" w:hAnsi="宋体"/>
          <w:color w:val="auto"/>
          <w:sz w:val="24"/>
          <w:szCs w:val="20"/>
          <w:highlight w:val="none"/>
        </w:rPr>
      </w:pPr>
      <w:r>
        <w:rPr>
          <w:rFonts w:hint="eastAsia" w:ascii="宋体" w:hAnsi="宋体"/>
          <w:color w:val="auto"/>
          <w:spacing w:val="20"/>
          <w:sz w:val="24"/>
          <w:highlight w:val="none"/>
        </w:rPr>
        <w:t>日 期：</w:t>
      </w:r>
    </w:p>
    <w:p w14:paraId="4B633D6D">
      <w:pPr>
        <w:spacing w:line="360" w:lineRule="auto"/>
        <w:contextualSpacing/>
        <w:jc w:val="left"/>
        <w:rPr>
          <w:rFonts w:ascii="宋体" w:hAnsi="宋体"/>
          <w:color w:val="auto"/>
          <w:sz w:val="24"/>
          <w:szCs w:val="20"/>
          <w:highlight w:val="none"/>
        </w:rPr>
      </w:pPr>
    </w:p>
    <w:p w14:paraId="0AFCCF84">
      <w:pPr>
        <w:snapToGrid w:val="0"/>
        <w:spacing w:before="50" w:afterLines="50"/>
        <w:jc w:val="left"/>
        <w:rPr>
          <w:rFonts w:ascii="宋体" w:hAnsi="宋体"/>
          <w:color w:val="auto"/>
          <w:sz w:val="24"/>
          <w:szCs w:val="20"/>
          <w:highlight w:val="none"/>
        </w:rPr>
      </w:pPr>
    </w:p>
    <w:p w14:paraId="6979501B">
      <w:pPr>
        <w:snapToGrid w:val="0"/>
        <w:spacing w:beforeLines="50" w:after="50"/>
        <w:jc w:val="left"/>
        <w:rPr>
          <w:rFonts w:ascii="宋体" w:hAnsi="宋体"/>
          <w:color w:val="auto"/>
          <w:sz w:val="24"/>
          <w:szCs w:val="20"/>
          <w:highlight w:val="none"/>
        </w:rPr>
      </w:pPr>
    </w:p>
    <w:p w14:paraId="705DB909">
      <w:pPr>
        <w:snapToGrid w:val="0"/>
        <w:spacing w:before="50" w:afterLines="50"/>
        <w:jc w:val="left"/>
        <w:rPr>
          <w:rFonts w:ascii="宋体" w:hAnsi="宋体"/>
          <w:color w:val="auto"/>
          <w:sz w:val="24"/>
          <w:szCs w:val="20"/>
          <w:highlight w:val="none"/>
        </w:rPr>
      </w:pPr>
    </w:p>
    <w:p w14:paraId="3BFE1AB8">
      <w:pPr>
        <w:rPr>
          <w:b/>
          <w:color w:val="auto"/>
          <w:sz w:val="28"/>
          <w:szCs w:val="28"/>
          <w:highlight w:val="none"/>
        </w:rPr>
      </w:pPr>
      <w:r>
        <w:rPr>
          <w:rFonts w:ascii="宋体" w:hAnsi="宋体"/>
          <w:b/>
          <w:bCs/>
          <w:color w:val="auto"/>
          <w:sz w:val="24"/>
          <w:highlight w:val="none"/>
        </w:rPr>
        <w:br w:type="page"/>
      </w:r>
      <w:bookmarkStart w:id="151" w:name="_Toc19686840"/>
      <w:r>
        <w:rPr>
          <w:rFonts w:hint="eastAsia"/>
          <w:b/>
          <w:color w:val="auto"/>
          <w:sz w:val="28"/>
          <w:szCs w:val="28"/>
          <w:highlight w:val="none"/>
        </w:rPr>
        <w:t>五、其他文书、文件格式</w:t>
      </w:r>
      <w:bookmarkEnd w:id="151"/>
    </w:p>
    <w:p w14:paraId="6CC35E2F">
      <w:pPr>
        <w:spacing w:beforeLines="50" w:afterLines="50" w:line="400" w:lineRule="exact"/>
        <w:rPr>
          <w:rFonts w:ascii="宋体" w:hAnsi="宋体"/>
          <w:color w:val="auto"/>
          <w:sz w:val="24"/>
          <w:highlight w:val="none"/>
        </w:rPr>
      </w:pPr>
    </w:p>
    <w:p w14:paraId="75F3D43E">
      <w:pPr>
        <w:snapToGrid w:val="0"/>
        <w:spacing w:beforeLines="50" w:after="50"/>
        <w:jc w:val="left"/>
        <w:rPr>
          <w:color w:val="auto"/>
          <w:highlight w:val="none"/>
        </w:rPr>
      </w:pPr>
      <w:r>
        <w:rPr>
          <w:rFonts w:hint="eastAsia" w:ascii="宋体" w:hAnsi="宋体"/>
          <w:b/>
          <w:color w:val="auto"/>
          <w:sz w:val="24"/>
          <w:highlight w:val="none"/>
        </w:rPr>
        <w:t>1.中小企业声明函格式</w:t>
      </w:r>
    </w:p>
    <w:p w14:paraId="6B33D095">
      <w:pPr>
        <w:rPr>
          <w:color w:val="auto"/>
          <w:highlight w:val="none"/>
        </w:rPr>
      </w:pPr>
    </w:p>
    <w:p w14:paraId="33F21D6E">
      <w:pPr>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中小企业声明函（货物）</w:t>
      </w:r>
    </w:p>
    <w:p w14:paraId="1D0C2DC9">
      <w:pPr>
        <w:pStyle w:val="20"/>
        <w:spacing w:line="360" w:lineRule="auto"/>
        <w:ind w:left="-426" w:right="142" w:firstLine="640"/>
        <w:contextualSpacing/>
        <w:rPr>
          <w:rFonts w:ascii="宋体" w:hAnsi="宋体" w:cs="宋体"/>
          <w:color w:val="auto"/>
          <w:szCs w:val="21"/>
          <w:highlight w:val="none"/>
        </w:rPr>
      </w:pPr>
    </w:p>
    <w:p w14:paraId="37705CA7">
      <w:pPr>
        <w:pStyle w:val="20"/>
        <w:spacing w:line="360" w:lineRule="auto"/>
        <w:ind w:left="-426" w:right="142" w:firstLine="640"/>
        <w:contextualSpacing/>
        <w:rPr>
          <w:rFonts w:ascii="宋体" w:hAnsi="宋体" w:cs="宋体"/>
          <w:color w:val="auto"/>
          <w:highlight w:val="none"/>
        </w:rPr>
      </w:pPr>
      <w:r>
        <w:rPr>
          <w:rFonts w:hint="eastAsia" w:ascii="宋体" w:hAnsi="宋体" w:cs="宋体"/>
          <w:color w:val="auto"/>
          <w:highlight w:val="none"/>
        </w:rPr>
        <w:t>本公司（联合体）郑重声明，根据《政府采购促进中小企业发展管理办法》（财库﹝2020﹞46号）的规定，本公司（联合体）参加</w:t>
      </w:r>
      <w:r>
        <w:rPr>
          <w:rFonts w:hint="eastAsia" w:ascii="宋体" w:hAnsi="宋体" w:cs="宋体"/>
          <w:color w:val="auto"/>
          <w:highlight w:val="none"/>
          <w:u w:val="single"/>
        </w:rPr>
        <w:t>（单位名称）</w:t>
      </w:r>
      <w:r>
        <w:rPr>
          <w:rFonts w:hint="eastAsia" w:ascii="宋体" w:hAnsi="宋体" w:cs="宋体"/>
          <w:color w:val="auto"/>
          <w:highlight w:val="none"/>
        </w:rPr>
        <w:t>的</w:t>
      </w:r>
      <w:r>
        <w:rPr>
          <w:rFonts w:hint="eastAsia" w:ascii="宋体" w:hAnsi="宋体" w:cs="宋体"/>
          <w:color w:val="auto"/>
          <w:highlight w:val="none"/>
          <w:u w:val="single"/>
        </w:rPr>
        <w:t>（项目名称）</w:t>
      </w:r>
      <w:r>
        <w:rPr>
          <w:rFonts w:hint="eastAsia" w:ascii="宋体" w:hAnsi="宋体" w:cs="宋体"/>
          <w:color w:val="auto"/>
          <w:highlight w:val="none"/>
        </w:rPr>
        <w:t>采购活动，提供的货物全部由符合政策要求的中小企业制造。相关企业（含联合体中的中小企业、签订分包意向协议的中小企业）的具体情况如下：</w:t>
      </w:r>
    </w:p>
    <w:p w14:paraId="3BB57DA6">
      <w:pPr>
        <w:tabs>
          <w:tab w:val="left" w:pos="1384"/>
          <w:tab w:val="left" w:pos="4562"/>
          <w:tab w:val="left" w:pos="6803"/>
        </w:tabs>
        <w:spacing w:line="360" w:lineRule="auto"/>
        <w:ind w:left="-426" w:right="-58" w:firstLine="655"/>
        <w:contextualSpacing/>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u w:val="single"/>
        </w:rPr>
        <w:t>（标的名称）</w:t>
      </w:r>
      <w:r>
        <w:rPr>
          <w:rFonts w:hint="eastAsia" w:ascii="宋体" w:hAnsi="宋体" w:cs="宋体"/>
          <w:color w:val="auto"/>
          <w:sz w:val="24"/>
          <w:highlight w:val="none"/>
        </w:rPr>
        <w:t>，属于</w:t>
      </w:r>
      <w:r>
        <w:rPr>
          <w:rFonts w:hint="eastAsia" w:ascii="宋体" w:hAnsi="宋体" w:cs="宋体"/>
          <w:color w:val="auto"/>
          <w:sz w:val="24"/>
          <w:highlight w:val="none"/>
          <w:u w:val="single"/>
        </w:rPr>
        <w:t>（采购文件中明确的所属行业）</w:t>
      </w:r>
      <w:r>
        <w:rPr>
          <w:rFonts w:hint="eastAsia" w:ascii="宋体" w:hAnsi="宋体" w:cs="宋体"/>
          <w:color w:val="auto"/>
          <w:sz w:val="24"/>
          <w:highlight w:val="none"/>
        </w:rPr>
        <w:t>行业；制造商为</w:t>
      </w:r>
      <w:r>
        <w:rPr>
          <w:rFonts w:hint="eastAsia" w:ascii="宋体" w:hAnsi="宋体" w:cs="宋体"/>
          <w:color w:val="auto"/>
          <w:sz w:val="24"/>
          <w:highlight w:val="none"/>
          <w:u w:val="single"/>
        </w:rPr>
        <w:t>（企业名称）</w:t>
      </w:r>
      <w:r>
        <w:rPr>
          <w:rFonts w:hint="eastAsia" w:ascii="宋体" w:hAnsi="宋体" w:cs="宋体"/>
          <w:color w:val="auto"/>
          <w:sz w:val="24"/>
          <w:highlight w:val="none"/>
        </w:rPr>
        <w:t>，从业人员人，营业收入为万元，资产总额为万元，属于</w:t>
      </w:r>
      <w:r>
        <w:rPr>
          <w:rFonts w:hint="eastAsia" w:ascii="宋体" w:hAnsi="宋体" w:cs="宋体"/>
          <w:color w:val="auto"/>
          <w:sz w:val="24"/>
          <w:highlight w:val="none"/>
          <w:u w:val="single"/>
        </w:rPr>
        <w:t>（中型企业、小型企业、微型企业）</w:t>
      </w:r>
      <w:r>
        <w:rPr>
          <w:rFonts w:hint="eastAsia" w:ascii="宋体" w:hAnsi="宋体" w:cs="宋体"/>
          <w:color w:val="auto"/>
          <w:sz w:val="24"/>
          <w:highlight w:val="none"/>
        </w:rPr>
        <w:t>；</w:t>
      </w:r>
    </w:p>
    <w:p w14:paraId="1C4052C3">
      <w:pPr>
        <w:tabs>
          <w:tab w:val="left" w:pos="1065"/>
          <w:tab w:val="left" w:pos="6477"/>
        </w:tabs>
        <w:spacing w:line="360" w:lineRule="auto"/>
        <w:ind w:left="-426" w:right="-58" w:firstLine="655"/>
        <w:contextualSpacing/>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u w:val="single"/>
        </w:rPr>
        <w:t>（标的名称）</w:t>
      </w:r>
      <w:r>
        <w:rPr>
          <w:rFonts w:hint="eastAsia" w:ascii="宋体" w:hAnsi="宋体" w:cs="宋体"/>
          <w:color w:val="auto"/>
          <w:sz w:val="24"/>
          <w:highlight w:val="none"/>
        </w:rPr>
        <w:t>，属于</w:t>
      </w:r>
      <w:r>
        <w:rPr>
          <w:rFonts w:hint="eastAsia" w:ascii="宋体" w:hAnsi="宋体" w:cs="宋体"/>
          <w:color w:val="auto"/>
          <w:sz w:val="24"/>
          <w:highlight w:val="none"/>
          <w:u w:val="single"/>
        </w:rPr>
        <w:t>（采购文件中明确的所属行业）</w:t>
      </w:r>
      <w:r>
        <w:rPr>
          <w:rFonts w:hint="eastAsia" w:ascii="宋体" w:hAnsi="宋体" w:cs="宋体"/>
          <w:color w:val="auto"/>
          <w:sz w:val="24"/>
          <w:highlight w:val="none"/>
        </w:rPr>
        <w:t>行业；制造商为</w:t>
      </w:r>
      <w:r>
        <w:rPr>
          <w:rFonts w:hint="eastAsia" w:ascii="宋体" w:hAnsi="宋体" w:cs="宋体"/>
          <w:color w:val="auto"/>
          <w:sz w:val="24"/>
          <w:highlight w:val="none"/>
          <w:u w:val="single"/>
        </w:rPr>
        <w:t>（企业名称）</w:t>
      </w:r>
      <w:r>
        <w:rPr>
          <w:rFonts w:hint="eastAsia" w:ascii="宋体" w:hAnsi="宋体" w:cs="宋体"/>
          <w:color w:val="auto"/>
          <w:sz w:val="24"/>
          <w:highlight w:val="none"/>
        </w:rPr>
        <w:t>，从业人员人，营业收入为万元，资产总额为万元，属于</w:t>
      </w:r>
      <w:r>
        <w:rPr>
          <w:rFonts w:hint="eastAsia" w:ascii="宋体" w:hAnsi="宋体" w:cs="宋体"/>
          <w:color w:val="auto"/>
          <w:sz w:val="24"/>
          <w:highlight w:val="none"/>
          <w:u w:val="single"/>
        </w:rPr>
        <w:t>（中型企业、小型企业、微型企业）</w:t>
      </w:r>
      <w:r>
        <w:rPr>
          <w:rFonts w:hint="eastAsia" w:ascii="宋体" w:hAnsi="宋体" w:cs="宋体"/>
          <w:color w:val="auto"/>
          <w:sz w:val="24"/>
          <w:highlight w:val="none"/>
        </w:rPr>
        <w:t>；</w:t>
      </w:r>
    </w:p>
    <w:p w14:paraId="6AC51C48">
      <w:pPr>
        <w:pStyle w:val="20"/>
        <w:spacing w:line="360" w:lineRule="auto"/>
        <w:ind w:left="142" w:right="142"/>
        <w:contextualSpacing/>
        <w:rPr>
          <w:rFonts w:ascii="宋体" w:hAnsi="宋体" w:cs="宋体"/>
          <w:color w:val="auto"/>
          <w:highlight w:val="none"/>
        </w:rPr>
      </w:pPr>
      <w:r>
        <w:rPr>
          <w:rFonts w:hint="eastAsia" w:ascii="宋体" w:hAnsi="宋体" w:cs="宋体"/>
          <w:color w:val="auto"/>
          <w:highlight w:val="none"/>
        </w:rPr>
        <w:t xml:space="preserve">…… </w:t>
      </w:r>
    </w:p>
    <w:p w14:paraId="74D60F6D">
      <w:pPr>
        <w:pStyle w:val="20"/>
        <w:spacing w:line="360" w:lineRule="auto"/>
        <w:ind w:left="-405" w:leftChars="-193" w:right="142" w:firstLine="453" w:firstLineChars="189"/>
        <w:contextualSpacing/>
        <w:rPr>
          <w:rFonts w:ascii="宋体" w:hAnsi="宋体" w:cs="宋体"/>
          <w:color w:val="auto"/>
          <w:highlight w:val="none"/>
        </w:rPr>
      </w:pPr>
      <w:r>
        <w:rPr>
          <w:rFonts w:hint="eastAsia" w:ascii="宋体" w:hAnsi="宋体" w:cs="宋体"/>
          <w:color w:val="auto"/>
          <w:highlight w:val="none"/>
        </w:rPr>
        <w:t>以上企业，不属于大企业的分支机构，不存在控股股东为大企业的情形，也不存在与大企业的负责人为同一人的情形。</w:t>
      </w:r>
    </w:p>
    <w:p w14:paraId="3C02B0A0">
      <w:pPr>
        <w:pStyle w:val="20"/>
        <w:spacing w:line="360" w:lineRule="auto"/>
        <w:ind w:left="-426" w:right="142" w:firstLine="567"/>
        <w:contextualSpacing/>
        <w:rPr>
          <w:rFonts w:ascii="宋体" w:hAnsi="宋体" w:cs="宋体"/>
          <w:color w:val="auto"/>
          <w:highlight w:val="none"/>
        </w:rPr>
      </w:pPr>
      <w:r>
        <w:rPr>
          <w:rFonts w:hint="eastAsia" w:ascii="宋体" w:hAnsi="宋体" w:cs="宋体"/>
          <w:color w:val="auto"/>
          <w:highlight w:val="none"/>
        </w:rPr>
        <w:t>本企业对上述声明内容的真实性负责。如有虚假，将依法承担相应责任。</w:t>
      </w:r>
    </w:p>
    <w:p w14:paraId="6B0129E5">
      <w:pPr>
        <w:pStyle w:val="20"/>
        <w:spacing w:line="360" w:lineRule="auto"/>
        <w:ind w:left="3960" w:right="1808"/>
        <w:contextualSpacing/>
        <w:rPr>
          <w:rFonts w:ascii="宋体" w:hAnsi="宋体" w:cs="宋体"/>
          <w:color w:val="auto"/>
          <w:highlight w:val="none"/>
        </w:rPr>
      </w:pPr>
    </w:p>
    <w:p w14:paraId="6FD37DF2">
      <w:pPr>
        <w:autoSpaceDE w:val="0"/>
        <w:autoSpaceDN w:val="0"/>
        <w:spacing w:line="360" w:lineRule="auto"/>
        <w:ind w:left="4334" w:leftChars="2064" w:firstLine="1200" w:firstLineChars="5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630E212E">
      <w:pPr>
        <w:autoSpaceDE w:val="0"/>
        <w:autoSpaceDN w:val="0"/>
        <w:spacing w:line="360" w:lineRule="auto"/>
        <w:ind w:firstLine="6480" w:firstLineChars="27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02548008">
      <w:pPr>
        <w:pStyle w:val="20"/>
        <w:spacing w:line="360" w:lineRule="auto"/>
        <w:ind w:left="3960" w:right="1808"/>
        <w:contextualSpacing/>
        <w:rPr>
          <w:rFonts w:ascii="宋体" w:hAnsi="宋体" w:cs="宋体"/>
          <w:color w:val="auto"/>
          <w:szCs w:val="21"/>
          <w:highlight w:val="none"/>
        </w:rPr>
      </w:pPr>
    </w:p>
    <w:p w14:paraId="60025552">
      <w:pPr>
        <w:spacing w:line="360" w:lineRule="auto"/>
        <w:contextualSpacing/>
        <w:jc w:val="left"/>
        <w:rPr>
          <w:rFonts w:ascii="宋体" w:hAnsi="宋体" w:cs="宋体"/>
          <w:color w:val="auto"/>
          <w:szCs w:val="21"/>
          <w:highlight w:val="none"/>
        </w:rPr>
      </w:pPr>
      <w:r>
        <w:rPr>
          <w:rFonts w:hint="eastAsia" w:ascii="宋体" w:hAnsi="宋体" w:cs="宋体"/>
          <w:color w:val="auto"/>
          <w:szCs w:val="21"/>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76CC727F">
      <w:pPr>
        <w:spacing w:before="2" w:line="500" w:lineRule="exact"/>
        <w:rPr>
          <w:rFonts w:ascii="宋体" w:hAnsi="宋体" w:cs="宋体"/>
          <w:b/>
          <w:bCs/>
          <w:color w:val="auto"/>
          <w:sz w:val="24"/>
          <w:highlight w:val="none"/>
        </w:rPr>
      </w:pPr>
    </w:p>
    <w:p w14:paraId="3093B09C">
      <w:pPr>
        <w:rPr>
          <w:rFonts w:ascii="宋体" w:hAnsi="宋体"/>
          <w:b/>
          <w:color w:val="auto"/>
          <w:sz w:val="24"/>
          <w:highlight w:val="none"/>
        </w:rPr>
      </w:pPr>
      <w:r>
        <w:rPr>
          <w:rFonts w:hint="eastAsia" w:ascii="宋体" w:hAnsi="宋体"/>
          <w:b/>
          <w:color w:val="auto"/>
          <w:sz w:val="24"/>
          <w:highlight w:val="none"/>
        </w:rPr>
        <w:br w:type="page"/>
      </w:r>
    </w:p>
    <w:p w14:paraId="77AE13D2">
      <w:pPr>
        <w:rPr>
          <w:rFonts w:ascii="宋体" w:hAnsi="宋体"/>
          <w:b/>
          <w:color w:val="auto"/>
          <w:sz w:val="24"/>
          <w:highlight w:val="none"/>
        </w:rPr>
      </w:pPr>
      <w:r>
        <w:rPr>
          <w:rFonts w:hint="eastAsia" w:ascii="宋体" w:hAnsi="宋体"/>
          <w:b/>
          <w:color w:val="auto"/>
          <w:sz w:val="24"/>
          <w:highlight w:val="none"/>
        </w:rPr>
        <w:t>2.残疾人福利性单位声明函格式</w:t>
      </w:r>
    </w:p>
    <w:p w14:paraId="651B5ACC">
      <w:pPr>
        <w:spacing w:line="588" w:lineRule="exact"/>
        <w:jc w:val="center"/>
        <w:rPr>
          <w:rFonts w:ascii="仿宋_GB2312" w:eastAsia="仿宋_GB2312"/>
          <w:b/>
          <w:color w:val="auto"/>
          <w:spacing w:val="6"/>
          <w:sz w:val="32"/>
          <w:szCs w:val="32"/>
          <w:highlight w:val="none"/>
        </w:rPr>
      </w:pPr>
      <w:bookmarkStart w:id="152" w:name="OLE_LINK14"/>
      <w:bookmarkStart w:id="153" w:name="OLE_LINK13"/>
    </w:p>
    <w:p w14:paraId="7949285B">
      <w:pPr>
        <w:spacing w:line="588" w:lineRule="exact"/>
        <w:jc w:val="center"/>
        <w:rPr>
          <w:rFonts w:ascii="方正小标宋简体" w:hAnsi="方正小标宋简体" w:eastAsia="方正小标宋简体" w:cs="方正小标宋简体"/>
          <w:bCs/>
          <w:color w:val="auto"/>
          <w:spacing w:val="6"/>
          <w:sz w:val="44"/>
          <w:szCs w:val="44"/>
          <w:highlight w:val="none"/>
        </w:rPr>
      </w:pPr>
      <w:r>
        <w:rPr>
          <w:rFonts w:hint="eastAsia" w:ascii="方正小标宋简体" w:hAnsi="方正小标宋简体" w:eastAsia="方正小标宋简体" w:cs="方正小标宋简体"/>
          <w:bCs/>
          <w:color w:val="auto"/>
          <w:spacing w:val="6"/>
          <w:sz w:val="44"/>
          <w:szCs w:val="44"/>
          <w:highlight w:val="none"/>
        </w:rPr>
        <w:t>残疾人福利性单位声明函</w:t>
      </w:r>
    </w:p>
    <w:bookmarkEnd w:id="152"/>
    <w:bookmarkEnd w:id="153"/>
    <w:p w14:paraId="35795574">
      <w:pPr>
        <w:spacing w:line="588" w:lineRule="exact"/>
        <w:rPr>
          <w:rFonts w:ascii="仿宋_GB2312" w:eastAsia="仿宋_GB2312"/>
          <w:b/>
          <w:color w:val="auto"/>
          <w:spacing w:val="6"/>
          <w:sz w:val="30"/>
          <w:szCs w:val="30"/>
          <w:highlight w:val="none"/>
        </w:rPr>
      </w:pPr>
    </w:p>
    <w:p w14:paraId="143ACB3F">
      <w:pPr>
        <w:spacing w:line="360" w:lineRule="auto"/>
        <w:ind w:firstLine="504" w:firstLineChars="200"/>
        <w:contextualSpacing/>
        <w:rPr>
          <w:rFonts w:ascii="宋体" w:hAnsi="宋体"/>
          <w:color w:val="auto"/>
          <w:spacing w:val="6"/>
          <w:sz w:val="24"/>
          <w:highlight w:val="none"/>
        </w:rPr>
      </w:pPr>
      <w:r>
        <w:rPr>
          <w:rFonts w:hint="eastAsia" w:ascii="宋体" w:hAnsi="宋体"/>
          <w:color w:val="auto"/>
          <w:spacing w:val="6"/>
          <w:sz w:val="24"/>
          <w:highlight w:val="none"/>
        </w:rPr>
        <w:t>本单位郑重声明，根据《财政部 民政部 中国残疾人联合会关于促进残疾人就业政府采购政策的通知》（财库</w:t>
      </w:r>
      <w:r>
        <w:rPr>
          <w:rFonts w:hint="eastAsia" w:ascii="宋体" w:hAnsi="宋体"/>
          <w:color w:val="auto"/>
          <w:sz w:val="24"/>
          <w:highlight w:val="none"/>
        </w:rPr>
        <w:t>〔2017〕 141</w:t>
      </w:r>
      <w:r>
        <w:rPr>
          <w:rFonts w:hint="eastAsia" w:ascii="宋体" w:hAnsi="宋体"/>
          <w:color w:val="auto"/>
          <w:spacing w:val="6"/>
          <w:sz w:val="24"/>
          <w:highlight w:val="none"/>
        </w:rPr>
        <w:t>号）的规定，本单位为符合条件的残疾人福利性单位，且本单位参加______单位的______项目采购活动提供本单位制造的货物（由本单位承担工程/提供服务），或者提供其他残</w:t>
      </w:r>
      <w:r>
        <w:rPr>
          <w:rFonts w:hint="eastAsia" w:ascii="宋体" w:hAnsi="宋体"/>
          <w:color w:val="auto"/>
          <w:spacing w:val="-6"/>
          <w:sz w:val="24"/>
          <w:highlight w:val="none"/>
        </w:rPr>
        <w:t>疾人福利性单位制造的货物（不包括使用非残疾人福利性单位注册商标的货物）。</w:t>
      </w:r>
    </w:p>
    <w:p w14:paraId="282E3626">
      <w:pPr>
        <w:spacing w:line="360" w:lineRule="auto"/>
        <w:ind w:firstLine="504" w:firstLineChars="200"/>
        <w:contextualSpacing/>
        <w:rPr>
          <w:rFonts w:ascii="宋体" w:hAnsi="宋体"/>
          <w:color w:val="auto"/>
          <w:spacing w:val="6"/>
          <w:sz w:val="24"/>
          <w:highlight w:val="none"/>
        </w:rPr>
      </w:pPr>
      <w:r>
        <w:rPr>
          <w:rFonts w:hint="eastAsia" w:ascii="宋体" w:hAnsi="宋体"/>
          <w:color w:val="auto"/>
          <w:spacing w:val="6"/>
          <w:sz w:val="24"/>
          <w:highlight w:val="none"/>
        </w:rPr>
        <w:t>本单位对上述声明的真实性负责。如有虚假，将依法承担相应责任。</w:t>
      </w:r>
    </w:p>
    <w:p w14:paraId="24C16B1D">
      <w:pPr>
        <w:spacing w:line="360" w:lineRule="auto"/>
        <w:ind w:firstLine="504" w:firstLineChars="200"/>
        <w:contextualSpacing/>
        <w:rPr>
          <w:rFonts w:ascii="宋体" w:hAnsi="宋体"/>
          <w:color w:val="auto"/>
          <w:spacing w:val="6"/>
          <w:sz w:val="24"/>
          <w:highlight w:val="none"/>
        </w:rPr>
      </w:pPr>
    </w:p>
    <w:p w14:paraId="73EE9FA8">
      <w:pPr>
        <w:spacing w:line="360" w:lineRule="auto"/>
        <w:ind w:firstLine="504" w:firstLineChars="200"/>
        <w:contextualSpacing/>
        <w:rPr>
          <w:rFonts w:ascii="宋体" w:hAnsi="宋体"/>
          <w:color w:val="auto"/>
          <w:spacing w:val="6"/>
          <w:sz w:val="24"/>
          <w:highlight w:val="none"/>
        </w:rPr>
      </w:pPr>
    </w:p>
    <w:p w14:paraId="0C0B1A09">
      <w:pPr>
        <w:tabs>
          <w:tab w:val="left" w:pos="4860"/>
        </w:tabs>
        <w:spacing w:line="360" w:lineRule="auto"/>
        <w:ind w:right="1560" w:firstLine="504" w:firstLineChars="200"/>
        <w:contextualSpacing/>
        <w:jc w:val="center"/>
        <w:rPr>
          <w:rFonts w:ascii="宋体" w:hAnsi="宋体"/>
          <w:color w:val="auto"/>
          <w:spacing w:val="6"/>
          <w:sz w:val="24"/>
          <w:highlight w:val="none"/>
        </w:rPr>
      </w:pPr>
      <w:r>
        <w:rPr>
          <w:rFonts w:hint="eastAsia" w:ascii="宋体" w:hAnsi="宋体"/>
          <w:color w:val="auto"/>
          <w:spacing w:val="6"/>
          <w:sz w:val="24"/>
          <w:highlight w:val="none"/>
        </w:rPr>
        <w:t>单位名称（电子签章）：</w:t>
      </w:r>
    </w:p>
    <w:p w14:paraId="2866A51B">
      <w:pPr>
        <w:tabs>
          <w:tab w:val="left" w:pos="4860"/>
        </w:tabs>
        <w:spacing w:line="360" w:lineRule="auto"/>
        <w:ind w:right="1560" w:firstLine="504" w:firstLineChars="200"/>
        <w:contextualSpacing/>
        <w:jc w:val="center"/>
        <w:rPr>
          <w:rFonts w:ascii="宋体" w:hAnsi="宋体"/>
          <w:color w:val="auto"/>
          <w:spacing w:val="6"/>
          <w:sz w:val="24"/>
          <w:highlight w:val="none"/>
        </w:rPr>
      </w:pPr>
      <w:r>
        <w:rPr>
          <w:rFonts w:hint="eastAsia" w:ascii="宋体" w:hAnsi="宋体"/>
          <w:color w:val="auto"/>
          <w:spacing w:val="6"/>
          <w:sz w:val="24"/>
          <w:highlight w:val="none"/>
        </w:rPr>
        <w:t>日  期：</w:t>
      </w:r>
    </w:p>
    <w:p w14:paraId="4AB08E89">
      <w:pPr>
        <w:spacing w:line="360" w:lineRule="auto"/>
        <w:contextualSpacing/>
        <w:rPr>
          <w:rFonts w:ascii="宋体" w:hAnsi="宋体"/>
          <w:color w:val="auto"/>
          <w:sz w:val="24"/>
          <w:highlight w:val="none"/>
        </w:rPr>
      </w:pPr>
    </w:p>
    <w:p w14:paraId="5CA7720D">
      <w:pPr>
        <w:spacing w:line="360" w:lineRule="auto"/>
        <w:contextualSpacing/>
        <w:rPr>
          <w:rFonts w:ascii="宋体" w:hAnsi="宋体"/>
          <w:color w:val="auto"/>
          <w:sz w:val="24"/>
          <w:highlight w:val="none"/>
        </w:rPr>
      </w:pPr>
    </w:p>
    <w:p w14:paraId="53916189">
      <w:pPr>
        <w:spacing w:line="360" w:lineRule="auto"/>
        <w:contextualSpacing/>
        <w:rPr>
          <w:rFonts w:ascii="宋体" w:hAnsi="宋体"/>
          <w:color w:val="auto"/>
          <w:sz w:val="24"/>
          <w:highlight w:val="none"/>
        </w:rPr>
      </w:pPr>
    </w:p>
    <w:p w14:paraId="57D6180D">
      <w:pPr>
        <w:spacing w:line="360" w:lineRule="auto"/>
        <w:contextualSpacing/>
        <w:rPr>
          <w:rFonts w:ascii="宋体" w:hAnsi="宋体"/>
          <w:color w:val="auto"/>
          <w:sz w:val="24"/>
          <w:highlight w:val="none"/>
        </w:rPr>
      </w:pPr>
      <w:r>
        <w:rPr>
          <w:rFonts w:hint="eastAsia" w:ascii="宋体" w:hAnsi="宋体"/>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6B74C218">
      <w:pPr>
        <w:spacing w:line="360" w:lineRule="auto"/>
        <w:jc w:val="left"/>
        <w:rPr>
          <w:rFonts w:ascii="宋体" w:hAnsi="宋体"/>
          <w:b/>
          <w:bCs/>
          <w:color w:val="auto"/>
          <w:sz w:val="32"/>
          <w:szCs w:val="32"/>
          <w:highlight w:val="none"/>
        </w:rPr>
      </w:pPr>
      <w:r>
        <w:rPr>
          <w:rFonts w:ascii="宋体" w:hAnsi="宋体"/>
          <w:color w:val="auto"/>
          <w:sz w:val="24"/>
          <w:highlight w:val="none"/>
        </w:rPr>
        <w:br w:type="page"/>
      </w:r>
      <w:r>
        <w:rPr>
          <w:rFonts w:hint="eastAsia" w:ascii="宋体" w:hAnsi="宋体"/>
          <w:b/>
          <w:color w:val="auto"/>
          <w:sz w:val="24"/>
          <w:highlight w:val="none"/>
        </w:rPr>
        <w:t>3.质疑函（格式）</w:t>
      </w:r>
    </w:p>
    <w:p w14:paraId="6D47D4DC">
      <w:pPr>
        <w:spacing w:line="360" w:lineRule="auto"/>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质疑函（格式）</w:t>
      </w:r>
    </w:p>
    <w:p w14:paraId="09E6D028">
      <w:pPr>
        <w:pStyle w:val="26"/>
        <w:snapToGrid w:val="0"/>
        <w:spacing w:line="360" w:lineRule="auto"/>
        <w:ind w:firstLine="482" w:firstLineChars="200"/>
        <w:rPr>
          <w:rFonts w:hAnsi="宋体"/>
          <w:b/>
          <w:bCs/>
          <w:color w:val="auto"/>
          <w:sz w:val="24"/>
          <w:szCs w:val="24"/>
          <w:highlight w:val="none"/>
        </w:rPr>
      </w:pPr>
      <w:r>
        <w:rPr>
          <w:rFonts w:hint="eastAsia" w:hAnsi="宋体"/>
          <w:b/>
          <w:bCs/>
          <w:color w:val="auto"/>
          <w:sz w:val="24"/>
          <w:szCs w:val="24"/>
          <w:highlight w:val="none"/>
        </w:rPr>
        <w:t>一、质疑供应商基本信息：</w:t>
      </w:r>
    </w:p>
    <w:p w14:paraId="7B645CEE">
      <w:pPr>
        <w:pStyle w:val="26"/>
        <w:snapToGrid w:val="0"/>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质疑供应商：</w:t>
      </w:r>
    </w:p>
    <w:p w14:paraId="232300CD">
      <w:pPr>
        <w:pStyle w:val="26"/>
        <w:snapToGrid w:val="0"/>
        <w:spacing w:line="360" w:lineRule="auto"/>
        <w:ind w:firstLine="480" w:firstLineChars="200"/>
        <w:rPr>
          <w:rFonts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Ansi="宋体"/>
          <w:bCs/>
          <w:color w:val="auto"/>
          <w:sz w:val="24"/>
          <w:szCs w:val="24"/>
          <w:highlight w:val="none"/>
        </w:rPr>
        <w:t>邮编</w:t>
      </w:r>
      <w:r>
        <w:rPr>
          <w:rFonts w:hint="eastAsia" w:hAnsi="宋体"/>
          <w:bCs/>
          <w:color w:val="auto"/>
          <w:sz w:val="24"/>
          <w:szCs w:val="24"/>
          <w:highlight w:val="none"/>
        </w:rPr>
        <w:t>：</w:t>
      </w:r>
    </w:p>
    <w:p w14:paraId="68E8EB9C">
      <w:pPr>
        <w:pStyle w:val="26"/>
        <w:snapToGrid w:val="0"/>
        <w:spacing w:line="360" w:lineRule="auto"/>
        <w:ind w:firstLine="480" w:firstLineChars="200"/>
        <w:rPr>
          <w:rFonts w:hAnsi="宋体"/>
          <w:bCs/>
          <w:color w:val="auto"/>
          <w:sz w:val="24"/>
          <w:szCs w:val="24"/>
          <w:highlight w:val="none"/>
        </w:rPr>
      </w:pPr>
      <w:r>
        <w:rPr>
          <w:rFonts w:hAnsi="宋体"/>
          <w:bCs/>
          <w:color w:val="auto"/>
          <w:sz w:val="24"/>
          <w:szCs w:val="24"/>
          <w:highlight w:val="none"/>
        </w:rPr>
        <w:t>联系人</w:t>
      </w:r>
      <w:r>
        <w:rPr>
          <w:rFonts w:hint="eastAsia" w:hAnsi="宋体"/>
          <w:bCs/>
          <w:color w:val="auto"/>
          <w:sz w:val="24"/>
          <w:szCs w:val="24"/>
          <w:highlight w:val="none"/>
        </w:rPr>
        <w:t>：</w:t>
      </w:r>
      <w:r>
        <w:rPr>
          <w:rFonts w:hAnsi="宋体"/>
          <w:bCs/>
          <w:color w:val="auto"/>
          <w:sz w:val="24"/>
          <w:szCs w:val="24"/>
          <w:highlight w:val="none"/>
        </w:rPr>
        <w:t>联系电话</w:t>
      </w:r>
      <w:r>
        <w:rPr>
          <w:rFonts w:hint="eastAsia" w:hAnsi="宋体"/>
          <w:bCs/>
          <w:color w:val="auto"/>
          <w:sz w:val="24"/>
          <w:szCs w:val="24"/>
          <w:highlight w:val="none"/>
        </w:rPr>
        <w:t>：</w:t>
      </w:r>
    </w:p>
    <w:p w14:paraId="7A8B315C">
      <w:pPr>
        <w:pStyle w:val="26"/>
        <w:snapToGrid w:val="0"/>
        <w:spacing w:line="360" w:lineRule="auto"/>
        <w:ind w:firstLine="480" w:firstLineChars="200"/>
        <w:rPr>
          <w:rFonts w:hAnsi="宋体"/>
          <w:bCs/>
          <w:color w:val="auto"/>
          <w:sz w:val="24"/>
          <w:szCs w:val="24"/>
          <w:highlight w:val="none"/>
        </w:rPr>
      </w:pPr>
      <w:r>
        <w:rPr>
          <w:rFonts w:hint="eastAsia" w:hAnsi="宋体"/>
          <w:bCs/>
          <w:color w:val="auto"/>
          <w:sz w:val="24"/>
          <w:szCs w:val="24"/>
          <w:highlight w:val="none"/>
        </w:rPr>
        <w:t>授权代表：</w:t>
      </w:r>
    </w:p>
    <w:p w14:paraId="18867D6C">
      <w:pPr>
        <w:pStyle w:val="26"/>
        <w:snapToGrid w:val="0"/>
        <w:spacing w:line="360" w:lineRule="auto"/>
        <w:ind w:firstLine="480" w:firstLineChars="200"/>
        <w:rPr>
          <w:rFonts w:hAnsi="宋体"/>
          <w:bCs/>
          <w:color w:val="auto"/>
          <w:sz w:val="24"/>
          <w:szCs w:val="24"/>
          <w:highlight w:val="none"/>
          <w:u w:val="single"/>
        </w:rPr>
      </w:pPr>
      <w:r>
        <w:rPr>
          <w:rFonts w:hAnsi="宋体"/>
          <w:bCs/>
          <w:color w:val="auto"/>
          <w:sz w:val="24"/>
          <w:szCs w:val="24"/>
          <w:highlight w:val="none"/>
        </w:rPr>
        <w:t>联系</w:t>
      </w:r>
      <w:r>
        <w:rPr>
          <w:rFonts w:hint="eastAsia" w:hAnsi="宋体"/>
          <w:bCs/>
          <w:color w:val="auto"/>
          <w:sz w:val="24"/>
          <w:szCs w:val="24"/>
          <w:highlight w:val="none"/>
        </w:rPr>
        <w:t>电话：</w:t>
      </w:r>
    </w:p>
    <w:p w14:paraId="74EF27DA">
      <w:pPr>
        <w:pStyle w:val="26"/>
        <w:snapToGrid w:val="0"/>
        <w:spacing w:line="360" w:lineRule="auto"/>
        <w:ind w:firstLine="480" w:firstLineChars="200"/>
        <w:rPr>
          <w:rFonts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Ansi="宋体"/>
          <w:bCs/>
          <w:color w:val="auto"/>
          <w:sz w:val="24"/>
          <w:szCs w:val="24"/>
          <w:highlight w:val="none"/>
        </w:rPr>
        <w:t>邮编</w:t>
      </w:r>
      <w:r>
        <w:rPr>
          <w:rFonts w:hint="eastAsia" w:hAnsi="宋体"/>
          <w:bCs/>
          <w:color w:val="auto"/>
          <w:sz w:val="24"/>
          <w:szCs w:val="24"/>
          <w:highlight w:val="none"/>
        </w:rPr>
        <w:t>：</w:t>
      </w:r>
    </w:p>
    <w:p w14:paraId="5AFE9F57">
      <w:pPr>
        <w:pStyle w:val="26"/>
        <w:snapToGrid w:val="0"/>
        <w:spacing w:line="360" w:lineRule="auto"/>
        <w:ind w:firstLine="482" w:firstLineChars="200"/>
        <w:rPr>
          <w:rFonts w:hAnsi="宋体"/>
          <w:b/>
          <w:bCs/>
          <w:color w:val="auto"/>
          <w:sz w:val="24"/>
          <w:szCs w:val="24"/>
          <w:highlight w:val="none"/>
        </w:rPr>
      </w:pPr>
      <w:r>
        <w:rPr>
          <w:rFonts w:hint="eastAsia" w:hAnsi="宋体"/>
          <w:b/>
          <w:bCs/>
          <w:color w:val="auto"/>
          <w:sz w:val="24"/>
          <w:szCs w:val="24"/>
          <w:highlight w:val="none"/>
        </w:rPr>
        <w:t>二、质疑项目基本情况：</w:t>
      </w:r>
    </w:p>
    <w:p w14:paraId="52D7B3E7">
      <w:pPr>
        <w:pStyle w:val="26"/>
        <w:spacing w:line="360" w:lineRule="auto"/>
        <w:ind w:left="25" w:leftChars="12" w:firstLine="472" w:firstLineChars="197"/>
        <w:rPr>
          <w:rFonts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项目的名称：</w:t>
      </w:r>
    </w:p>
    <w:p w14:paraId="6A7B0041">
      <w:pPr>
        <w:pStyle w:val="26"/>
        <w:spacing w:line="360" w:lineRule="auto"/>
        <w:ind w:left="25" w:leftChars="12" w:firstLine="472" w:firstLineChars="197"/>
        <w:rPr>
          <w:rFonts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项目的编号：</w:t>
      </w:r>
    </w:p>
    <w:p w14:paraId="7C17EA43">
      <w:pPr>
        <w:pStyle w:val="26"/>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采购人名称：</w:t>
      </w:r>
    </w:p>
    <w:p w14:paraId="7AA0ACA3">
      <w:pPr>
        <w:pStyle w:val="26"/>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质疑事项：</w:t>
      </w:r>
    </w:p>
    <w:p w14:paraId="63A3016D">
      <w:pPr>
        <w:pStyle w:val="26"/>
        <w:spacing w:line="360" w:lineRule="auto"/>
        <w:ind w:left="25" w:leftChars="12" w:firstLine="352" w:firstLineChars="147"/>
        <w:rPr>
          <w:rFonts w:hAnsi="宋体"/>
          <w:color w:val="auto"/>
          <w:sz w:val="24"/>
          <w:szCs w:val="24"/>
          <w:highlight w:val="none"/>
        </w:rPr>
      </w:pPr>
      <w:r>
        <w:rPr>
          <w:rFonts w:hint="eastAsia" w:hAnsi="宋体"/>
          <w:color w:val="auto"/>
          <w:sz w:val="24"/>
          <w:szCs w:val="24"/>
          <w:highlight w:val="none"/>
        </w:rPr>
        <w:t>□采购文件   采购文件获取日期：</w:t>
      </w:r>
    </w:p>
    <w:p w14:paraId="31DBC6EE">
      <w:pPr>
        <w:pStyle w:val="26"/>
        <w:spacing w:line="360" w:lineRule="auto"/>
        <w:ind w:left="25" w:leftChars="12" w:firstLine="352" w:firstLineChars="147"/>
        <w:rPr>
          <w:rFonts w:hAnsi="宋体"/>
          <w:color w:val="auto"/>
          <w:sz w:val="24"/>
          <w:szCs w:val="24"/>
          <w:highlight w:val="none"/>
        </w:rPr>
      </w:pPr>
      <w:r>
        <w:rPr>
          <w:rFonts w:hint="eastAsia" w:hAnsi="宋体"/>
          <w:color w:val="auto"/>
          <w:sz w:val="24"/>
          <w:szCs w:val="24"/>
          <w:highlight w:val="none"/>
        </w:rPr>
        <w:t xml:space="preserve">□采购过程   </w:t>
      </w:r>
    </w:p>
    <w:p w14:paraId="50612C5C">
      <w:pPr>
        <w:pStyle w:val="26"/>
        <w:spacing w:line="360" w:lineRule="auto"/>
        <w:ind w:left="25" w:leftChars="12" w:firstLine="352" w:firstLineChars="147"/>
        <w:rPr>
          <w:rFonts w:hAnsi="宋体"/>
          <w:bCs/>
          <w:color w:val="auto"/>
          <w:sz w:val="24"/>
          <w:szCs w:val="24"/>
          <w:highlight w:val="none"/>
          <w:u w:val="single"/>
        </w:rPr>
      </w:pPr>
      <w:r>
        <w:rPr>
          <w:rFonts w:hint="eastAsia" w:hAnsi="宋体"/>
          <w:color w:val="auto"/>
          <w:sz w:val="24"/>
          <w:szCs w:val="24"/>
          <w:highlight w:val="none"/>
        </w:rPr>
        <w:t xml:space="preserve">□采购结果   </w:t>
      </w:r>
    </w:p>
    <w:p w14:paraId="009AB0F2">
      <w:pPr>
        <w:pStyle w:val="26"/>
        <w:spacing w:line="360" w:lineRule="auto"/>
        <w:ind w:left="25" w:leftChars="12" w:firstLine="472" w:firstLineChars="196"/>
        <w:rPr>
          <w:rFonts w:hAnsi="宋体"/>
          <w:b/>
          <w:color w:val="auto"/>
          <w:sz w:val="24"/>
          <w:szCs w:val="24"/>
          <w:highlight w:val="none"/>
        </w:rPr>
      </w:pPr>
      <w:r>
        <w:rPr>
          <w:rFonts w:hint="eastAsia" w:hAnsi="宋体"/>
          <w:b/>
          <w:color w:val="auto"/>
          <w:sz w:val="24"/>
          <w:szCs w:val="24"/>
          <w:highlight w:val="none"/>
        </w:rPr>
        <w:t>三、质疑事项具体内容</w:t>
      </w:r>
    </w:p>
    <w:p w14:paraId="4034C6D6">
      <w:pPr>
        <w:pStyle w:val="26"/>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质疑事项1：</w:t>
      </w:r>
    </w:p>
    <w:p w14:paraId="484CC1D4">
      <w:pPr>
        <w:pStyle w:val="26"/>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事实依据：</w:t>
      </w:r>
    </w:p>
    <w:p w14:paraId="4BB69E4B">
      <w:pPr>
        <w:pStyle w:val="26"/>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法律依据：</w:t>
      </w:r>
    </w:p>
    <w:p w14:paraId="600C3CC5">
      <w:pPr>
        <w:pStyle w:val="26"/>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质疑事项2</w:t>
      </w:r>
    </w:p>
    <w:p w14:paraId="267E3B18">
      <w:pPr>
        <w:pStyle w:val="26"/>
        <w:spacing w:line="360" w:lineRule="auto"/>
        <w:ind w:left="25" w:leftChars="12" w:firstLine="472" w:firstLineChars="197"/>
        <w:rPr>
          <w:rFonts w:hAnsi="宋体"/>
          <w:color w:val="auto"/>
          <w:sz w:val="24"/>
          <w:szCs w:val="24"/>
          <w:highlight w:val="none"/>
        </w:rPr>
      </w:pPr>
      <w:r>
        <w:rPr>
          <w:rFonts w:hAnsi="宋体"/>
          <w:color w:val="auto"/>
          <w:sz w:val="24"/>
          <w:szCs w:val="24"/>
          <w:highlight w:val="none"/>
        </w:rPr>
        <w:t>……</w:t>
      </w:r>
    </w:p>
    <w:p w14:paraId="58C46B77">
      <w:pPr>
        <w:pStyle w:val="26"/>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四、与质疑事项相关的质疑请求：</w:t>
      </w:r>
    </w:p>
    <w:p w14:paraId="438AB8EE">
      <w:pPr>
        <w:pStyle w:val="26"/>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请求：</w:t>
      </w:r>
    </w:p>
    <w:p w14:paraId="60B5A5A7">
      <w:pPr>
        <w:pStyle w:val="26"/>
        <w:spacing w:line="360" w:lineRule="auto"/>
        <w:ind w:left="25" w:leftChars="12" w:firstLine="352" w:firstLineChars="147"/>
        <w:rPr>
          <w:rFonts w:hAnsi="宋体"/>
          <w:color w:val="auto"/>
          <w:sz w:val="24"/>
          <w:szCs w:val="24"/>
          <w:highlight w:val="none"/>
        </w:rPr>
      </w:pPr>
    </w:p>
    <w:p w14:paraId="4A3DF202">
      <w:pPr>
        <w:pStyle w:val="26"/>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签字（签章）：                                       公章：</w:t>
      </w:r>
    </w:p>
    <w:p w14:paraId="7A9E895D">
      <w:pPr>
        <w:pStyle w:val="26"/>
        <w:spacing w:line="360" w:lineRule="auto"/>
        <w:ind w:left="25" w:leftChars="12" w:firstLine="352" w:firstLineChars="147"/>
        <w:rPr>
          <w:rFonts w:hAnsi="宋体"/>
          <w:color w:val="auto"/>
          <w:sz w:val="24"/>
          <w:szCs w:val="24"/>
          <w:highlight w:val="none"/>
        </w:rPr>
      </w:pPr>
    </w:p>
    <w:p w14:paraId="505A193E">
      <w:pPr>
        <w:pStyle w:val="26"/>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日期：</w:t>
      </w:r>
    </w:p>
    <w:p w14:paraId="23F3F48F">
      <w:pPr>
        <w:pStyle w:val="26"/>
        <w:snapToGrid w:val="0"/>
        <w:spacing w:line="360" w:lineRule="auto"/>
        <w:rPr>
          <w:rFonts w:hAnsi="宋体"/>
          <w:b/>
          <w:color w:val="auto"/>
          <w:sz w:val="24"/>
          <w:szCs w:val="24"/>
          <w:highlight w:val="none"/>
        </w:rPr>
      </w:pPr>
    </w:p>
    <w:p w14:paraId="183523FA">
      <w:pPr>
        <w:pStyle w:val="26"/>
        <w:snapToGrid w:val="0"/>
        <w:spacing w:line="360" w:lineRule="auto"/>
        <w:rPr>
          <w:rFonts w:hAnsi="宋体"/>
          <w:b/>
          <w:color w:val="auto"/>
          <w:sz w:val="24"/>
          <w:szCs w:val="24"/>
          <w:highlight w:val="none"/>
        </w:rPr>
      </w:pPr>
      <w:r>
        <w:rPr>
          <w:rFonts w:hint="eastAsia" w:hAnsi="宋体"/>
          <w:b/>
          <w:color w:val="auto"/>
          <w:sz w:val="24"/>
          <w:szCs w:val="24"/>
          <w:highlight w:val="none"/>
        </w:rPr>
        <w:t>说明：</w:t>
      </w:r>
    </w:p>
    <w:p w14:paraId="2D0BA421">
      <w:pPr>
        <w:pStyle w:val="26"/>
        <w:spacing w:line="360" w:lineRule="auto"/>
        <w:ind w:left="25" w:leftChars="12" w:firstLine="354" w:firstLineChars="147"/>
        <w:rPr>
          <w:rFonts w:hAnsi="宋体"/>
          <w:b/>
          <w:bCs/>
          <w:color w:val="auto"/>
          <w:sz w:val="24"/>
          <w:szCs w:val="24"/>
          <w:highlight w:val="none"/>
        </w:rPr>
      </w:pPr>
      <w:r>
        <w:rPr>
          <w:rFonts w:hint="eastAsia" w:hAnsi="宋体"/>
          <w:b/>
          <w:color w:val="auto"/>
          <w:sz w:val="24"/>
          <w:szCs w:val="24"/>
          <w:highlight w:val="none"/>
        </w:rPr>
        <w:t>1.供应商提出质疑时，应提交质疑函和必要的证明材料</w:t>
      </w:r>
      <w:r>
        <w:rPr>
          <w:rFonts w:hint="eastAsia" w:hAnsi="宋体"/>
          <w:b/>
          <w:bCs/>
          <w:color w:val="auto"/>
          <w:sz w:val="24"/>
          <w:szCs w:val="24"/>
          <w:highlight w:val="none"/>
        </w:rPr>
        <w:t>。</w:t>
      </w:r>
    </w:p>
    <w:p w14:paraId="5506C0B7">
      <w:pPr>
        <w:pStyle w:val="26"/>
        <w:spacing w:line="360" w:lineRule="auto"/>
        <w:ind w:left="25" w:leftChars="12" w:firstLine="354" w:firstLineChars="147"/>
        <w:rPr>
          <w:rFonts w:hAnsi="宋体"/>
          <w:b/>
          <w:color w:val="auto"/>
          <w:sz w:val="24"/>
          <w:szCs w:val="24"/>
          <w:highlight w:val="none"/>
        </w:rPr>
      </w:pPr>
      <w:r>
        <w:rPr>
          <w:rFonts w:hint="eastAsia" w:hAnsi="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5CC50193">
      <w:pPr>
        <w:pStyle w:val="26"/>
        <w:spacing w:line="360" w:lineRule="auto"/>
        <w:ind w:left="25" w:leftChars="12" w:firstLine="354" w:firstLineChars="147"/>
        <w:rPr>
          <w:rFonts w:hAnsi="宋体"/>
          <w:b/>
          <w:color w:val="auto"/>
          <w:sz w:val="24"/>
          <w:szCs w:val="24"/>
          <w:highlight w:val="none"/>
        </w:rPr>
      </w:pPr>
      <w:r>
        <w:rPr>
          <w:rFonts w:hint="eastAsia" w:hAnsi="宋体"/>
          <w:b/>
          <w:color w:val="auto"/>
          <w:sz w:val="24"/>
          <w:szCs w:val="24"/>
          <w:highlight w:val="none"/>
        </w:rPr>
        <w:t>3.质疑函的质疑事项应具体、明确，并有必要的事实依据和法律依据。</w:t>
      </w:r>
    </w:p>
    <w:p w14:paraId="32591B15">
      <w:pPr>
        <w:pStyle w:val="26"/>
        <w:spacing w:line="360" w:lineRule="auto"/>
        <w:ind w:left="25" w:leftChars="12" w:firstLine="354" w:firstLineChars="147"/>
        <w:rPr>
          <w:rFonts w:hAnsi="宋体"/>
          <w:b/>
          <w:color w:val="auto"/>
          <w:sz w:val="24"/>
          <w:szCs w:val="24"/>
          <w:highlight w:val="none"/>
        </w:rPr>
      </w:pPr>
      <w:r>
        <w:rPr>
          <w:rFonts w:hint="eastAsia" w:hAnsi="宋体"/>
          <w:b/>
          <w:color w:val="auto"/>
          <w:sz w:val="24"/>
          <w:szCs w:val="24"/>
          <w:highlight w:val="none"/>
        </w:rPr>
        <w:t>4.质疑函的质疑请求应与质疑事项相关。</w:t>
      </w:r>
    </w:p>
    <w:p w14:paraId="1A13AD44">
      <w:pPr>
        <w:pStyle w:val="26"/>
        <w:spacing w:line="360" w:lineRule="auto"/>
        <w:ind w:left="25" w:leftChars="12" w:firstLine="354" w:firstLineChars="147"/>
        <w:rPr>
          <w:rFonts w:hAnsi="宋体"/>
          <w:b/>
          <w:color w:val="auto"/>
          <w:highlight w:val="none"/>
        </w:rPr>
      </w:pPr>
      <w:r>
        <w:rPr>
          <w:rFonts w:hint="eastAsia" w:hAnsi="宋体"/>
          <w:b/>
          <w:color w:val="auto"/>
          <w:sz w:val="24"/>
          <w:szCs w:val="24"/>
          <w:highlight w:val="none"/>
        </w:rPr>
        <w:t>5.质疑供应商为法人或者其他组织的，质疑函应由法定代表人、主要负责人，或者其授权代表签字或者盖章，并加盖公章。</w:t>
      </w:r>
    </w:p>
    <w:p w14:paraId="754EC5A5">
      <w:pPr>
        <w:spacing w:line="460" w:lineRule="exact"/>
        <w:rPr>
          <w:rFonts w:eastAsia="隶书"/>
          <w:color w:val="auto"/>
          <w:sz w:val="44"/>
          <w:highlight w:val="none"/>
        </w:rPr>
      </w:pPr>
    </w:p>
    <w:p w14:paraId="40E172DC">
      <w:pPr>
        <w:spacing w:line="360" w:lineRule="auto"/>
        <w:jc w:val="left"/>
        <w:rPr>
          <w:rFonts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4"/>
          <w:highlight w:val="none"/>
        </w:rPr>
        <w:t>4.投诉书（格式）</w:t>
      </w:r>
    </w:p>
    <w:p w14:paraId="2C6A8F0D">
      <w:pPr>
        <w:spacing w:line="360" w:lineRule="auto"/>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投诉书（格式）</w:t>
      </w:r>
    </w:p>
    <w:p w14:paraId="571A5FEF">
      <w:pPr>
        <w:pStyle w:val="26"/>
        <w:snapToGrid w:val="0"/>
        <w:spacing w:line="360" w:lineRule="auto"/>
        <w:ind w:firstLine="482" w:firstLineChars="200"/>
        <w:rPr>
          <w:rFonts w:hAnsi="宋体"/>
          <w:b/>
          <w:bCs/>
          <w:color w:val="auto"/>
          <w:sz w:val="24"/>
          <w:szCs w:val="24"/>
          <w:highlight w:val="none"/>
        </w:rPr>
      </w:pPr>
      <w:r>
        <w:rPr>
          <w:rFonts w:hint="eastAsia" w:hAnsi="宋体"/>
          <w:b/>
          <w:bCs/>
          <w:color w:val="auto"/>
          <w:sz w:val="24"/>
          <w:szCs w:val="24"/>
          <w:highlight w:val="none"/>
        </w:rPr>
        <w:t>一、投诉相关主体基本情况：</w:t>
      </w:r>
    </w:p>
    <w:p w14:paraId="0A149801">
      <w:pPr>
        <w:pStyle w:val="26"/>
        <w:snapToGrid w:val="0"/>
        <w:spacing w:line="360" w:lineRule="auto"/>
        <w:ind w:firstLine="480" w:firstLineChars="200"/>
        <w:jc w:val="left"/>
        <w:rPr>
          <w:rFonts w:hAnsi="宋体"/>
          <w:bCs/>
          <w:color w:val="auto"/>
          <w:sz w:val="24"/>
          <w:szCs w:val="24"/>
          <w:highlight w:val="none"/>
          <w:u w:val="single"/>
        </w:rPr>
      </w:pPr>
      <w:r>
        <w:rPr>
          <w:rFonts w:hint="eastAsia" w:hAnsi="宋体"/>
          <w:bCs/>
          <w:color w:val="auto"/>
          <w:sz w:val="24"/>
          <w:szCs w:val="24"/>
          <w:highlight w:val="none"/>
        </w:rPr>
        <w:t>投标人：</w:t>
      </w:r>
    </w:p>
    <w:p w14:paraId="5C250982">
      <w:pPr>
        <w:pStyle w:val="26"/>
        <w:snapToGrid w:val="0"/>
        <w:spacing w:line="360" w:lineRule="auto"/>
        <w:ind w:firstLine="480" w:firstLineChars="200"/>
        <w:jc w:val="left"/>
        <w:rPr>
          <w:rFonts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Ansi="宋体"/>
          <w:bCs/>
          <w:color w:val="auto"/>
          <w:sz w:val="24"/>
          <w:szCs w:val="24"/>
          <w:highlight w:val="none"/>
        </w:rPr>
        <w:t>邮编</w:t>
      </w:r>
      <w:r>
        <w:rPr>
          <w:rFonts w:hint="eastAsia" w:hAnsi="宋体"/>
          <w:bCs/>
          <w:color w:val="auto"/>
          <w:sz w:val="24"/>
          <w:szCs w:val="24"/>
          <w:highlight w:val="none"/>
        </w:rPr>
        <w:t>：</w:t>
      </w:r>
    </w:p>
    <w:p w14:paraId="11F2E1A3">
      <w:pPr>
        <w:pStyle w:val="26"/>
        <w:snapToGrid w:val="0"/>
        <w:spacing w:line="360" w:lineRule="auto"/>
        <w:ind w:firstLine="480" w:firstLineChars="200"/>
        <w:jc w:val="left"/>
        <w:rPr>
          <w:rFonts w:hAnsi="宋体"/>
          <w:bCs/>
          <w:color w:val="auto"/>
          <w:sz w:val="24"/>
          <w:szCs w:val="24"/>
          <w:highlight w:val="none"/>
          <w:u w:val="single"/>
        </w:rPr>
      </w:pPr>
      <w:r>
        <w:rPr>
          <w:rFonts w:hint="eastAsia" w:hAnsi="宋体"/>
          <w:bCs/>
          <w:color w:val="auto"/>
          <w:sz w:val="24"/>
          <w:szCs w:val="24"/>
          <w:highlight w:val="none"/>
        </w:rPr>
        <w:t>法定代表人/主要负责人：</w:t>
      </w:r>
    </w:p>
    <w:p w14:paraId="05D05666">
      <w:pPr>
        <w:pStyle w:val="26"/>
        <w:snapToGrid w:val="0"/>
        <w:spacing w:line="360" w:lineRule="auto"/>
        <w:ind w:firstLine="480" w:firstLineChars="200"/>
        <w:jc w:val="left"/>
        <w:rPr>
          <w:rFonts w:hAnsi="宋体"/>
          <w:bCs/>
          <w:color w:val="auto"/>
          <w:sz w:val="24"/>
          <w:szCs w:val="24"/>
          <w:highlight w:val="none"/>
        </w:rPr>
      </w:pPr>
      <w:r>
        <w:rPr>
          <w:rFonts w:hAnsi="宋体"/>
          <w:bCs/>
          <w:color w:val="auto"/>
          <w:sz w:val="24"/>
          <w:szCs w:val="24"/>
          <w:highlight w:val="none"/>
        </w:rPr>
        <w:t>联系电话</w:t>
      </w:r>
      <w:r>
        <w:rPr>
          <w:rFonts w:hint="eastAsia" w:hAnsi="宋体"/>
          <w:bCs/>
          <w:color w:val="auto"/>
          <w:sz w:val="24"/>
          <w:szCs w:val="24"/>
          <w:highlight w:val="none"/>
        </w:rPr>
        <w:t>：</w:t>
      </w:r>
    </w:p>
    <w:p w14:paraId="5DB2CB16">
      <w:pPr>
        <w:pStyle w:val="26"/>
        <w:snapToGrid w:val="0"/>
        <w:spacing w:line="360" w:lineRule="auto"/>
        <w:ind w:firstLine="480" w:firstLineChars="200"/>
        <w:jc w:val="left"/>
        <w:rPr>
          <w:rFonts w:hAnsi="宋体"/>
          <w:bCs/>
          <w:color w:val="auto"/>
          <w:sz w:val="24"/>
          <w:szCs w:val="24"/>
          <w:highlight w:val="none"/>
          <w:u w:val="single"/>
        </w:rPr>
      </w:pPr>
      <w:r>
        <w:rPr>
          <w:rFonts w:hint="eastAsia" w:hAnsi="宋体"/>
          <w:bCs/>
          <w:color w:val="auto"/>
          <w:sz w:val="24"/>
          <w:szCs w:val="24"/>
          <w:highlight w:val="none"/>
        </w:rPr>
        <w:t>授权代表：</w:t>
      </w:r>
      <w:r>
        <w:rPr>
          <w:rFonts w:hAnsi="宋体"/>
          <w:bCs/>
          <w:color w:val="auto"/>
          <w:sz w:val="24"/>
          <w:szCs w:val="24"/>
          <w:highlight w:val="none"/>
        </w:rPr>
        <w:t>联系</w:t>
      </w:r>
      <w:r>
        <w:rPr>
          <w:rFonts w:hint="eastAsia" w:hAnsi="宋体"/>
          <w:bCs/>
          <w:color w:val="auto"/>
          <w:sz w:val="24"/>
          <w:szCs w:val="24"/>
          <w:highlight w:val="none"/>
        </w:rPr>
        <w:t>电话：</w:t>
      </w:r>
    </w:p>
    <w:p w14:paraId="2B01C4EF">
      <w:pPr>
        <w:pStyle w:val="26"/>
        <w:snapToGrid w:val="0"/>
        <w:spacing w:line="360" w:lineRule="auto"/>
        <w:ind w:firstLine="480" w:firstLineChars="200"/>
        <w:jc w:val="left"/>
        <w:rPr>
          <w:rFonts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p>
    <w:p w14:paraId="59E06F41">
      <w:pPr>
        <w:pStyle w:val="26"/>
        <w:snapToGrid w:val="0"/>
        <w:spacing w:line="360" w:lineRule="auto"/>
        <w:ind w:firstLine="480" w:firstLineChars="200"/>
        <w:jc w:val="left"/>
        <w:rPr>
          <w:rFonts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p>
    <w:p w14:paraId="4095DA07">
      <w:pPr>
        <w:pStyle w:val="26"/>
        <w:snapToGrid w:val="0"/>
        <w:spacing w:line="360" w:lineRule="auto"/>
        <w:ind w:firstLine="480" w:firstLineChars="200"/>
        <w:jc w:val="left"/>
        <w:rPr>
          <w:rFonts w:hAnsi="宋体"/>
          <w:bCs/>
          <w:color w:val="auto"/>
          <w:sz w:val="24"/>
          <w:szCs w:val="24"/>
          <w:highlight w:val="none"/>
        </w:rPr>
      </w:pPr>
      <w:r>
        <w:rPr>
          <w:rFonts w:hint="eastAsia" w:hAnsi="宋体"/>
          <w:bCs/>
          <w:color w:val="auto"/>
          <w:sz w:val="24"/>
          <w:szCs w:val="24"/>
          <w:highlight w:val="none"/>
        </w:rPr>
        <w:t>被投诉人1：</w:t>
      </w:r>
    </w:p>
    <w:p w14:paraId="22371C63">
      <w:pPr>
        <w:pStyle w:val="26"/>
        <w:snapToGrid w:val="0"/>
        <w:spacing w:line="360" w:lineRule="auto"/>
        <w:ind w:firstLine="480" w:firstLineChars="200"/>
        <w:jc w:val="left"/>
        <w:rPr>
          <w:rFonts w:hAnsi="宋体"/>
          <w:bCs/>
          <w:color w:val="auto"/>
          <w:sz w:val="24"/>
          <w:szCs w:val="24"/>
          <w:highlight w:val="none"/>
          <w:u w:val="single"/>
        </w:rPr>
      </w:pPr>
      <w:r>
        <w:rPr>
          <w:rFonts w:hint="eastAsia" w:hAnsi="宋体"/>
          <w:bCs/>
          <w:color w:val="auto"/>
          <w:sz w:val="24"/>
          <w:szCs w:val="24"/>
          <w:highlight w:val="none"/>
        </w:rPr>
        <w:t>地址：</w:t>
      </w:r>
    </w:p>
    <w:p w14:paraId="452CA44B">
      <w:pPr>
        <w:pStyle w:val="26"/>
        <w:snapToGrid w:val="0"/>
        <w:spacing w:line="360" w:lineRule="auto"/>
        <w:ind w:firstLine="480" w:firstLineChars="200"/>
        <w:jc w:val="left"/>
        <w:rPr>
          <w:rFonts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p>
    <w:p w14:paraId="63488469">
      <w:pPr>
        <w:pStyle w:val="26"/>
        <w:snapToGrid w:val="0"/>
        <w:spacing w:line="360" w:lineRule="auto"/>
        <w:ind w:firstLine="480" w:firstLineChars="200"/>
        <w:jc w:val="left"/>
        <w:rPr>
          <w:rFonts w:hAnsi="宋体"/>
          <w:bCs/>
          <w:color w:val="auto"/>
          <w:sz w:val="24"/>
          <w:szCs w:val="24"/>
          <w:highlight w:val="none"/>
          <w:u w:val="single"/>
        </w:rPr>
      </w:pPr>
      <w:r>
        <w:rPr>
          <w:rFonts w:hint="eastAsia" w:hAnsi="宋体"/>
          <w:bCs/>
          <w:color w:val="auto"/>
          <w:sz w:val="24"/>
          <w:szCs w:val="24"/>
          <w:highlight w:val="none"/>
        </w:rPr>
        <w:t>联系人：</w:t>
      </w:r>
      <w:r>
        <w:rPr>
          <w:rFonts w:hAnsi="宋体"/>
          <w:bCs/>
          <w:color w:val="auto"/>
          <w:sz w:val="24"/>
          <w:szCs w:val="24"/>
          <w:highlight w:val="none"/>
        </w:rPr>
        <w:t>联系</w:t>
      </w:r>
      <w:r>
        <w:rPr>
          <w:rFonts w:hint="eastAsia" w:hAnsi="宋体"/>
          <w:bCs/>
          <w:color w:val="auto"/>
          <w:sz w:val="24"/>
          <w:szCs w:val="24"/>
          <w:highlight w:val="none"/>
        </w:rPr>
        <w:t>电话：</w:t>
      </w:r>
    </w:p>
    <w:p w14:paraId="4698B854">
      <w:pPr>
        <w:pStyle w:val="26"/>
        <w:snapToGrid w:val="0"/>
        <w:spacing w:line="360" w:lineRule="auto"/>
        <w:ind w:firstLine="480" w:firstLineChars="200"/>
        <w:jc w:val="left"/>
        <w:rPr>
          <w:rFonts w:hAnsi="宋体"/>
          <w:bCs/>
          <w:color w:val="auto"/>
          <w:sz w:val="24"/>
          <w:szCs w:val="24"/>
          <w:highlight w:val="none"/>
        </w:rPr>
      </w:pPr>
      <w:r>
        <w:rPr>
          <w:rFonts w:hint="eastAsia" w:hAnsi="宋体"/>
          <w:bCs/>
          <w:color w:val="auto"/>
          <w:sz w:val="24"/>
          <w:szCs w:val="24"/>
          <w:highlight w:val="none"/>
        </w:rPr>
        <w:t>被投诉人2：</w:t>
      </w:r>
    </w:p>
    <w:p w14:paraId="5E8246A8">
      <w:pPr>
        <w:pStyle w:val="26"/>
        <w:snapToGrid w:val="0"/>
        <w:spacing w:line="360" w:lineRule="auto"/>
        <w:ind w:firstLine="480" w:firstLineChars="200"/>
        <w:jc w:val="left"/>
        <w:rPr>
          <w:rFonts w:hAnsi="宋体"/>
          <w:bCs/>
          <w:color w:val="auto"/>
          <w:sz w:val="24"/>
          <w:szCs w:val="24"/>
          <w:highlight w:val="none"/>
        </w:rPr>
      </w:pPr>
      <w:r>
        <w:rPr>
          <w:rFonts w:hAnsi="宋体"/>
          <w:bCs/>
          <w:color w:val="auto"/>
          <w:sz w:val="24"/>
          <w:szCs w:val="24"/>
          <w:highlight w:val="none"/>
        </w:rPr>
        <w:t>……</w:t>
      </w:r>
    </w:p>
    <w:p w14:paraId="1DD49E95">
      <w:pPr>
        <w:pStyle w:val="26"/>
        <w:snapToGrid w:val="0"/>
        <w:spacing w:line="360" w:lineRule="auto"/>
        <w:ind w:firstLine="480" w:firstLineChars="200"/>
        <w:jc w:val="left"/>
        <w:rPr>
          <w:rFonts w:hAnsi="宋体"/>
          <w:bCs/>
          <w:color w:val="auto"/>
          <w:sz w:val="24"/>
          <w:szCs w:val="24"/>
          <w:highlight w:val="none"/>
          <w:u w:val="single"/>
        </w:rPr>
      </w:pPr>
      <w:r>
        <w:rPr>
          <w:rFonts w:hint="eastAsia" w:hAnsi="宋体"/>
          <w:bCs/>
          <w:color w:val="auto"/>
          <w:sz w:val="24"/>
          <w:szCs w:val="24"/>
          <w:highlight w:val="none"/>
        </w:rPr>
        <w:t>相关供应商：</w:t>
      </w:r>
    </w:p>
    <w:p w14:paraId="42226179">
      <w:pPr>
        <w:pStyle w:val="26"/>
        <w:snapToGrid w:val="0"/>
        <w:spacing w:line="360" w:lineRule="auto"/>
        <w:ind w:firstLine="480" w:firstLineChars="200"/>
        <w:jc w:val="left"/>
        <w:rPr>
          <w:rFonts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r>
        <w:rPr>
          <w:rFonts w:hAnsi="宋体"/>
          <w:bCs/>
          <w:color w:val="auto"/>
          <w:sz w:val="24"/>
          <w:szCs w:val="24"/>
          <w:highlight w:val="none"/>
        </w:rPr>
        <w:t>邮编</w:t>
      </w:r>
      <w:r>
        <w:rPr>
          <w:rFonts w:hint="eastAsia" w:hAnsi="宋体"/>
          <w:bCs/>
          <w:color w:val="auto"/>
          <w:sz w:val="24"/>
          <w:szCs w:val="24"/>
          <w:highlight w:val="none"/>
        </w:rPr>
        <w:t>：</w:t>
      </w:r>
    </w:p>
    <w:p w14:paraId="5353B2B3">
      <w:pPr>
        <w:pStyle w:val="26"/>
        <w:snapToGrid w:val="0"/>
        <w:spacing w:line="360" w:lineRule="auto"/>
        <w:ind w:firstLine="480" w:firstLineChars="200"/>
        <w:jc w:val="left"/>
        <w:rPr>
          <w:rFonts w:hAnsi="宋体"/>
          <w:bCs/>
          <w:color w:val="auto"/>
          <w:sz w:val="24"/>
          <w:szCs w:val="24"/>
          <w:highlight w:val="none"/>
        </w:rPr>
      </w:pPr>
      <w:r>
        <w:rPr>
          <w:rFonts w:hint="eastAsia" w:hAnsi="宋体"/>
          <w:bCs/>
          <w:color w:val="auto"/>
          <w:sz w:val="24"/>
          <w:szCs w:val="24"/>
          <w:highlight w:val="none"/>
        </w:rPr>
        <w:t>联系人：</w:t>
      </w:r>
      <w:r>
        <w:rPr>
          <w:rFonts w:hAnsi="宋体"/>
          <w:bCs/>
          <w:color w:val="auto"/>
          <w:sz w:val="24"/>
          <w:szCs w:val="24"/>
          <w:highlight w:val="none"/>
        </w:rPr>
        <w:t>联系</w:t>
      </w:r>
      <w:r>
        <w:rPr>
          <w:rFonts w:hint="eastAsia" w:hAnsi="宋体"/>
          <w:bCs/>
          <w:color w:val="auto"/>
          <w:sz w:val="24"/>
          <w:szCs w:val="24"/>
          <w:highlight w:val="none"/>
        </w:rPr>
        <w:t>电话：</w:t>
      </w:r>
    </w:p>
    <w:p w14:paraId="38D6D09E">
      <w:pPr>
        <w:pStyle w:val="26"/>
        <w:snapToGrid w:val="0"/>
        <w:spacing w:line="360" w:lineRule="auto"/>
        <w:ind w:firstLine="482" w:firstLineChars="200"/>
        <w:rPr>
          <w:rFonts w:hAnsi="宋体"/>
          <w:b/>
          <w:bCs/>
          <w:color w:val="auto"/>
          <w:sz w:val="24"/>
          <w:szCs w:val="24"/>
          <w:highlight w:val="none"/>
        </w:rPr>
      </w:pPr>
      <w:r>
        <w:rPr>
          <w:rFonts w:hint="eastAsia" w:hAnsi="宋体"/>
          <w:b/>
          <w:bCs/>
          <w:color w:val="auto"/>
          <w:sz w:val="24"/>
          <w:szCs w:val="24"/>
          <w:highlight w:val="none"/>
        </w:rPr>
        <w:t>二、投诉项目基本情况：</w:t>
      </w:r>
    </w:p>
    <w:p w14:paraId="4A6EAF52">
      <w:pPr>
        <w:pStyle w:val="26"/>
        <w:spacing w:line="360" w:lineRule="auto"/>
        <w:ind w:left="25" w:leftChars="12" w:firstLine="472" w:firstLineChars="197"/>
        <w:rPr>
          <w:rFonts w:hAnsi="宋体"/>
          <w:color w:val="auto"/>
          <w:sz w:val="24"/>
          <w:szCs w:val="24"/>
          <w:highlight w:val="none"/>
        </w:rPr>
      </w:pPr>
      <w:r>
        <w:rPr>
          <w:rFonts w:hint="eastAsia" w:hAnsi="宋体"/>
          <w:bCs/>
          <w:color w:val="auto"/>
          <w:sz w:val="24"/>
          <w:szCs w:val="24"/>
          <w:highlight w:val="none"/>
        </w:rPr>
        <w:t>采购</w:t>
      </w:r>
      <w:r>
        <w:rPr>
          <w:rFonts w:hint="eastAsia" w:hAnsi="宋体"/>
          <w:color w:val="auto"/>
          <w:sz w:val="24"/>
          <w:szCs w:val="24"/>
          <w:highlight w:val="none"/>
        </w:rPr>
        <w:t>项目的名称：</w:t>
      </w:r>
    </w:p>
    <w:p w14:paraId="31076439">
      <w:pPr>
        <w:pStyle w:val="26"/>
        <w:spacing w:line="360" w:lineRule="auto"/>
        <w:ind w:left="25" w:leftChars="12" w:firstLine="472" w:firstLineChars="197"/>
        <w:rPr>
          <w:rFonts w:hAnsi="宋体"/>
          <w:color w:val="auto"/>
          <w:sz w:val="24"/>
          <w:szCs w:val="24"/>
          <w:highlight w:val="none"/>
        </w:rPr>
      </w:pPr>
      <w:r>
        <w:rPr>
          <w:rFonts w:hint="eastAsia" w:hAnsi="宋体"/>
          <w:bCs/>
          <w:color w:val="auto"/>
          <w:sz w:val="24"/>
          <w:szCs w:val="24"/>
          <w:highlight w:val="none"/>
        </w:rPr>
        <w:t>采购</w:t>
      </w:r>
      <w:r>
        <w:rPr>
          <w:rFonts w:hint="eastAsia" w:hAnsi="宋体"/>
          <w:color w:val="auto"/>
          <w:sz w:val="24"/>
          <w:szCs w:val="24"/>
          <w:highlight w:val="none"/>
        </w:rPr>
        <w:t>项目的编号：</w:t>
      </w:r>
    </w:p>
    <w:p w14:paraId="4B5B7EA2">
      <w:pPr>
        <w:pStyle w:val="26"/>
        <w:spacing w:line="360" w:lineRule="auto"/>
        <w:ind w:left="25" w:leftChars="12" w:firstLine="472" w:firstLineChars="197"/>
        <w:rPr>
          <w:rFonts w:hAnsi="宋体"/>
          <w:bCs/>
          <w:color w:val="auto"/>
          <w:sz w:val="24"/>
          <w:szCs w:val="24"/>
          <w:highlight w:val="none"/>
          <w:u w:val="single"/>
        </w:rPr>
      </w:pPr>
      <w:r>
        <w:rPr>
          <w:rFonts w:hint="eastAsia" w:hAnsi="宋体"/>
          <w:color w:val="auto"/>
          <w:sz w:val="24"/>
          <w:szCs w:val="24"/>
          <w:highlight w:val="none"/>
        </w:rPr>
        <w:t>采购人名称：</w:t>
      </w:r>
    </w:p>
    <w:p w14:paraId="4EFE2080">
      <w:pPr>
        <w:pStyle w:val="26"/>
        <w:spacing w:line="360" w:lineRule="auto"/>
        <w:ind w:left="25" w:leftChars="12" w:firstLine="472" w:firstLineChars="197"/>
        <w:rPr>
          <w:rFonts w:hAnsi="宋体"/>
          <w:bCs/>
          <w:color w:val="auto"/>
          <w:sz w:val="24"/>
          <w:szCs w:val="24"/>
          <w:highlight w:val="none"/>
          <w:u w:val="single"/>
        </w:rPr>
      </w:pPr>
      <w:r>
        <w:rPr>
          <w:rFonts w:hint="eastAsia" w:hAnsi="宋体"/>
          <w:color w:val="auto"/>
          <w:sz w:val="24"/>
          <w:szCs w:val="24"/>
          <w:highlight w:val="none"/>
        </w:rPr>
        <w:t>代理机构名称：</w:t>
      </w:r>
    </w:p>
    <w:p w14:paraId="31039D6A">
      <w:pPr>
        <w:pStyle w:val="26"/>
        <w:spacing w:line="360" w:lineRule="auto"/>
        <w:ind w:left="25" w:leftChars="12" w:firstLine="472" w:firstLineChars="197"/>
        <w:rPr>
          <w:rFonts w:hAnsi="宋体"/>
          <w:bCs/>
          <w:color w:val="auto"/>
          <w:sz w:val="24"/>
          <w:szCs w:val="24"/>
          <w:highlight w:val="none"/>
          <w:u w:val="single"/>
        </w:rPr>
      </w:pPr>
      <w:r>
        <w:rPr>
          <w:rFonts w:hint="eastAsia" w:hAnsi="宋体"/>
          <w:bCs/>
          <w:color w:val="auto"/>
          <w:sz w:val="24"/>
          <w:szCs w:val="24"/>
          <w:highlight w:val="none"/>
        </w:rPr>
        <w:t>采购文件公告：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p>
    <w:p w14:paraId="6E65AD92">
      <w:pPr>
        <w:pStyle w:val="26"/>
        <w:spacing w:line="360" w:lineRule="auto"/>
        <w:ind w:left="25" w:leftChars="12" w:firstLine="472" w:firstLineChars="197"/>
        <w:rPr>
          <w:rFonts w:hAnsi="宋体"/>
          <w:b/>
          <w:color w:val="auto"/>
          <w:sz w:val="24"/>
          <w:szCs w:val="24"/>
          <w:highlight w:val="none"/>
        </w:rPr>
      </w:pPr>
      <w:r>
        <w:rPr>
          <w:rFonts w:hint="eastAsia" w:hAnsi="宋体"/>
          <w:bCs/>
          <w:color w:val="auto"/>
          <w:sz w:val="24"/>
          <w:szCs w:val="24"/>
          <w:highlight w:val="none"/>
        </w:rPr>
        <w:t>采购结果公告：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p>
    <w:p w14:paraId="388F4393">
      <w:pPr>
        <w:pStyle w:val="26"/>
        <w:spacing w:line="360" w:lineRule="auto"/>
        <w:ind w:left="25" w:leftChars="12" w:firstLine="472" w:firstLineChars="196"/>
        <w:rPr>
          <w:rFonts w:hAnsi="宋体"/>
          <w:b/>
          <w:color w:val="auto"/>
          <w:sz w:val="24"/>
          <w:szCs w:val="24"/>
          <w:highlight w:val="none"/>
        </w:rPr>
      </w:pPr>
      <w:r>
        <w:rPr>
          <w:rFonts w:hint="eastAsia" w:hAnsi="宋体"/>
          <w:b/>
          <w:color w:val="auto"/>
          <w:sz w:val="24"/>
          <w:szCs w:val="24"/>
          <w:highlight w:val="none"/>
        </w:rPr>
        <w:t>三、质疑基本情况</w:t>
      </w:r>
    </w:p>
    <w:p w14:paraId="701C3C19">
      <w:pPr>
        <w:pStyle w:val="26"/>
        <w:spacing w:line="360" w:lineRule="auto"/>
        <w:ind w:left="25" w:leftChars="12" w:firstLine="480" w:firstLineChars="200"/>
        <w:rPr>
          <w:rFonts w:hAnsi="宋体"/>
          <w:color w:val="auto"/>
          <w:sz w:val="24"/>
          <w:szCs w:val="24"/>
          <w:highlight w:val="none"/>
        </w:rPr>
      </w:pPr>
      <w:r>
        <w:rPr>
          <w:rFonts w:hint="eastAsia" w:hAnsi="宋体"/>
          <w:color w:val="auto"/>
          <w:sz w:val="24"/>
          <w:szCs w:val="24"/>
          <w:highlight w:val="none"/>
        </w:rPr>
        <w:t>投诉人于年月日，向提出质疑，质疑事项为：</w:t>
      </w:r>
    </w:p>
    <w:p w14:paraId="47E55B52">
      <w:pPr>
        <w:pStyle w:val="26"/>
        <w:spacing w:line="360" w:lineRule="auto"/>
        <w:ind w:firstLine="241"/>
        <w:rPr>
          <w:rFonts w:hAnsi="宋体"/>
          <w:bCs/>
          <w:color w:val="auto"/>
          <w:sz w:val="24"/>
          <w:szCs w:val="24"/>
          <w:highlight w:val="none"/>
          <w:u w:val="single"/>
        </w:rPr>
      </w:pPr>
    </w:p>
    <w:p w14:paraId="480F640C">
      <w:pPr>
        <w:pStyle w:val="26"/>
        <w:spacing w:line="360" w:lineRule="auto"/>
        <w:ind w:firstLine="241"/>
        <w:rPr>
          <w:rFonts w:hAnsi="宋体"/>
          <w:bCs/>
          <w:color w:val="auto"/>
          <w:sz w:val="24"/>
          <w:szCs w:val="24"/>
          <w:highlight w:val="none"/>
          <w:u w:val="single"/>
        </w:rPr>
      </w:pPr>
    </w:p>
    <w:p w14:paraId="3EADF878">
      <w:pPr>
        <w:pStyle w:val="26"/>
        <w:spacing w:line="360" w:lineRule="auto"/>
        <w:ind w:firstLine="480" w:firstLineChars="200"/>
        <w:rPr>
          <w:rFonts w:hAnsi="宋体"/>
          <w:color w:val="auto"/>
          <w:sz w:val="24"/>
          <w:szCs w:val="24"/>
          <w:highlight w:val="none"/>
        </w:rPr>
      </w:pPr>
      <w:r>
        <w:rPr>
          <w:rFonts w:hint="eastAsia" w:hAnsi="宋体"/>
          <w:bCs/>
          <w:color w:val="auto"/>
          <w:sz w:val="24"/>
          <w:szCs w:val="24"/>
          <w:highlight w:val="none"/>
          <w:u w:val="single"/>
        </w:rPr>
        <w:t>采购人/代理机构</w:t>
      </w:r>
      <w:r>
        <w:rPr>
          <w:rFonts w:hint="eastAsia" w:hAnsi="宋体"/>
          <w:bCs/>
          <w:color w:val="auto"/>
          <w:sz w:val="24"/>
          <w:szCs w:val="24"/>
          <w:highlight w:val="none"/>
        </w:rPr>
        <w:t>于</w:t>
      </w:r>
      <w:r>
        <w:rPr>
          <w:rFonts w:hint="eastAsia" w:hAnsi="宋体"/>
          <w:color w:val="auto"/>
          <w:sz w:val="24"/>
          <w:szCs w:val="24"/>
          <w:highlight w:val="none"/>
        </w:rPr>
        <w:t>年月日，</w:t>
      </w:r>
      <w:r>
        <w:rPr>
          <w:rFonts w:hint="eastAsia" w:hAnsi="宋体"/>
          <w:bCs/>
          <w:color w:val="auto"/>
          <w:sz w:val="24"/>
          <w:szCs w:val="24"/>
          <w:highlight w:val="none"/>
        </w:rPr>
        <w:t xml:space="preserve">就质疑事项作出了答复/没有在法定期限内作出答复。                                                                                             </w:t>
      </w:r>
    </w:p>
    <w:p w14:paraId="0DFB9910">
      <w:pPr>
        <w:pStyle w:val="26"/>
        <w:spacing w:line="360" w:lineRule="auto"/>
        <w:ind w:left="25" w:leftChars="12" w:firstLine="472" w:firstLineChars="196"/>
        <w:rPr>
          <w:rFonts w:hAnsi="宋体"/>
          <w:b/>
          <w:color w:val="auto"/>
          <w:sz w:val="24"/>
          <w:szCs w:val="24"/>
          <w:highlight w:val="none"/>
        </w:rPr>
      </w:pPr>
      <w:r>
        <w:rPr>
          <w:rFonts w:hint="eastAsia" w:hAnsi="宋体"/>
          <w:b/>
          <w:color w:val="auto"/>
          <w:sz w:val="24"/>
          <w:szCs w:val="24"/>
          <w:highlight w:val="none"/>
        </w:rPr>
        <w:t>四、投诉事项具体内容</w:t>
      </w:r>
    </w:p>
    <w:p w14:paraId="0EFB7C78">
      <w:pPr>
        <w:pStyle w:val="26"/>
        <w:spacing w:line="360" w:lineRule="auto"/>
        <w:ind w:left="25" w:leftChars="12" w:firstLine="472" w:firstLineChars="197"/>
        <w:rPr>
          <w:rFonts w:hAnsi="宋体"/>
          <w:bCs/>
          <w:color w:val="auto"/>
          <w:sz w:val="24"/>
          <w:szCs w:val="24"/>
          <w:highlight w:val="none"/>
          <w:u w:val="single"/>
        </w:rPr>
      </w:pPr>
      <w:r>
        <w:rPr>
          <w:rFonts w:hint="eastAsia" w:hAnsi="宋体"/>
          <w:color w:val="auto"/>
          <w:sz w:val="24"/>
          <w:szCs w:val="24"/>
          <w:highlight w:val="none"/>
        </w:rPr>
        <w:t>投诉事项1：</w:t>
      </w:r>
    </w:p>
    <w:p w14:paraId="6E0344D6">
      <w:pPr>
        <w:pStyle w:val="26"/>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事实依据：</w:t>
      </w:r>
    </w:p>
    <w:p w14:paraId="466F934E">
      <w:pPr>
        <w:pStyle w:val="26"/>
        <w:spacing w:line="360" w:lineRule="auto"/>
        <w:ind w:left="25" w:leftChars="12" w:firstLine="472" w:firstLineChars="197"/>
        <w:rPr>
          <w:rFonts w:hAnsi="宋体"/>
          <w:color w:val="auto"/>
          <w:sz w:val="24"/>
          <w:szCs w:val="24"/>
          <w:highlight w:val="none"/>
        </w:rPr>
      </w:pPr>
    </w:p>
    <w:p w14:paraId="12E1B7C0">
      <w:pPr>
        <w:pStyle w:val="26"/>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法律依据：</w:t>
      </w:r>
    </w:p>
    <w:p w14:paraId="61F10643">
      <w:pPr>
        <w:pStyle w:val="26"/>
        <w:spacing w:line="360" w:lineRule="auto"/>
        <w:ind w:left="25" w:leftChars="12" w:firstLine="352" w:firstLineChars="147"/>
        <w:rPr>
          <w:rFonts w:hAnsi="宋体"/>
          <w:bCs/>
          <w:color w:val="auto"/>
          <w:sz w:val="24"/>
          <w:szCs w:val="24"/>
          <w:highlight w:val="none"/>
          <w:u w:val="single"/>
        </w:rPr>
      </w:pPr>
    </w:p>
    <w:p w14:paraId="1D6F3025">
      <w:pPr>
        <w:pStyle w:val="26"/>
        <w:spacing w:line="360" w:lineRule="auto"/>
        <w:ind w:left="25" w:leftChars="12" w:firstLine="472" w:firstLineChars="197"/>
        <w:rPr>
          <w:rFonts w:hAnsi="宋体"/>
          <w:bCs/>
          <w:color w:val="auto"/>
          <w:sz w:val="24"/>
          <w:szCs w:val="24"/>
          <w:highlight w:val="none"/>
        </w:rPr>
      </w:pPr>
      <w:r>
        <w:rPr>
          <w:rFonts w:hint="eastAsia" w:hAnsi="宋体"/>
          <w:color w:val="auto"/>
          <w:sz w:val="24"/>
          <w:szCs w:val="24"/>
          <w:highlight w:val="none"/>
        </w:rPr>
        <w:t xml:space="preserve">投诉事项2  </w:t>
      </w:r>
    </w:p>
    <w:p w14:paraId="3157D32D">
      <w:pPr>
        <w:pStyle w:val="26"/>
        <w:spacing w:line="360" w:lineRule="auto"/>
        <w:ind w:left="25" w:leftChars="12" w:firstLine="472" w:firstLineChars="197"/>
        <w:rPr>
          <w:rFonts w:hAnsi="宋体"/>
          <w:bCs/>
          <w:color w:val="auto"/>
          <w:sz w:val="24"/>
          <w:szCs w:val="24"/>
          <w:highlight w:val="none"/>
        </w:rPr>
      </w:pPr>
      <w:r>
        <w:rPr>
          <w:rFonts w:hAnsi="宋体"/>
          <w:bCs/>
          <w:color w:val="auto"/>
          <w:sz w:val="24"/>
          <w:szCs w:val="24"/>
          <w:highlight w:val="none"/>
        </w:rPr>
        <w:t>……</w:t>
      </w:r>
    </w:p>
    <w:p w14:paraId="0B31B5EE">
      <w:pPr>
        <w:pStyle w:val="26"/>
        <w:spacing w:line="360" w:lineRule="auto"/>
        <w:ind w:left="25" w:leftChars="12" w:firstLine="472" w:firstLineChars="196"/>
        <w:rPr>
          <w:rFonts w:hAnsi="宋体"/>
          <w:b/>
          <w:color w:val="auto"/>
          <w:sz w:val="24"/>
          <w:szCs w:val="24"/>
          <w:highlight w:val="none"/>
        </w:rPr>
      </w:pPr>
      <w:r>
        <w:rPr>
          <w:rFonts w:hint="eastAsia" w:hAnsi="宋体"/>
          <w:b/>
          <w:color w:val="auto"/>
          <w:sz w:val="24"/>
          <w:szCs w:val="24"/>
          <w:highlight w:val="none"/>
        </w:rPr>
        <w:t>五、与投诉事项相关的投诉请求：</w:t>
      </w:r>
    </w:p>
    <w:p w14:paraId="4C4A7E1D">
      <w:pPr>
        <w:pStyle w:val="26"/>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请求：</w:t>
      </w:r>
    </w:p>
    <w:p w14:paraId="4D039CBE">
      <w:pPr>
        <w:pStyle w:val="26"/>
        <w:spacing w:line="360" w:lineRule="auto"/>
        <w:ind w:left="25" w:leftChars="12" w:firstLine="352" w:firstLineChars="147"/>
        <w:rPr>
          <w:rFonts w:hAnsi="宋体"/>
          <w:color w:val="auto"/>
          <w:sz w:val="24"/>
          <w:szCs w:val="24"/>
          <w:highlight w:val="none"/>
        </w:rPr>
      </w:pPr>
    </w:p>
    <w:p w14:paraId="32C592B9">
      <w:pPr>
        <w:pStyle w:val="26"/>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签字（签章）：                                       公章：</w:t>
      </w:r>
    </w:p>
    <w:p w14:paraId="05C46B5E">
      <w:pPr>
        <w:pStyle w:val="26"/>
        <w:spacing w:line="360" w:lineRule="auto"/>
        <w:ind w:left="25" w:leftChars="12" w:firstLine="352" w:firstLineChars="147"/>
        <w:rPr>
          <w:rFonts w:hAnsi="宋体"/>
          <w:color w:val="auto"/>
          <w:sz w:val="24"/>
          <w:szCs w:val="24"/>
          <w:highlight w:val="none"/>
        </w:rPr>
      </w:pPr>
    </w:p>
    <w:p w14:paraId="24632180">
      <w:pPr>
        <w:pStyle w:val="26"/>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日期：</w:t>
      </w:r>
    </w:p>
    <w:p w14:paraId="7B71AAB4">
      <w:pPr>
        <w:pStyle w:val="26"/>
        <w:spacing w:line="360" w:lineRule="auto"/>
        <w:ind w:left="25" w:leftChars="12" w:firstLine="475" w:firstLineChars="197"/>
        <w:rPr>
          <w:rFonts w:hAnsi="宋体"/>
          <w:b/>
          <w:color w:val="auto"/>
          <w:sz w:val="24"/>
          <w:szCs w:val="24"/>
          <w:highlight w:val="none"/>
        </w:rPr>
      </w:pPr>
      <w:r>
        <w:rPr>
          <w:rFonts w:hint="eastAsia" w:hAnsi="宋体"/>
          <w:b/>
          <w:color w:val="auto"/>
          <w:sz w:val="24"/>
          <w:szCs w:val="24"/>
          <w:highlight w:val="none"/>
        </w:rPr>
        <w:t>说明：</w:t>
      </w:r>
    </w:p>
    <w:p w14:paraId="1CFA0FDE">
      <w:pPr>
        <w:pStyle w:val="26"/>
        <w:spacing w:line="360" w:lineRule="auto"/>
        <w:ind w:left="25" w:leftChars="12" w:firstLine="354" w:firstLineChars="147"/>
        <w:rPr>
          <w:rFonts w:hAnsi="宋体"/>
          <w:b/>
          <w:bCs/>
          <w:color w:val="auto"/>
          <w:sz w:val="24"/>
          <w:szCs w:val="24"/>
          <w:highlight w:val="none"/>
        </w:rPr>
      </w:pPr>
      <w:r>
        <w:rPr>
          <w:rFonts w:hint="eastAsia" w:hAnsi="宋体"/>
          <w:b/>
          <w:color w:val="auto"/>
          <w:sz w:val="24"/>
          <w:szCs w:val="24"/>
          <w:highlight w:val="none"/>
        </w:rPr>
        <w:t>1.投诉人提起投诉时，应当提交投诉书和必要的证明材料，并按照被投诉人和与投诉事项有关的供应商数量提供投诉书副本</w:t>
      </w:r>
      <w:r>
        <w:rPr>
          <w:rFonts w:hint="eastAsia" w:hAnsi="宋体"/>
          <w:b/>
          <w:bCs/>
          <w:color w:val="auto"/>
          <w:sz w:val="24"/>
          <w:szCs w:val="24"/>
          <w:highlight w:val="none"/>
        </w:rPr>
        <w:t>。</w:t>
      </w:r>
    </w:p>
    <w:p w14:paraId="4693B64E">
      <w:pPr>
        <w:pStyle w:val="26"/>
        <w:spacing w:line="360" w:lineRule="auto"/>
        <w:ind w:left="25" w:leftChars="12" w:firstLine="354" w:firstLineChars="147"/>
        <w:rPr>
          <w:rFonts w:hAnsi="宋体"/>
          <w:b/>
          <w:color w:val="auto"/>
          <w:sz w:val="24"/>
          <w:szCs w:val="24"/>
          <w:highlight w:val="none"/>
        </w:rPr>
      </w:pPr>
      <w:r>
        <w:rPr>
          <w:rFonts w:hint="eastAsia" w:hAnsi="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624FA2CC">
      <w:pPr>
        <w:pStyle w:val="26"/>
        <w:spacing w:line="360" w:lineRule="auto"/>
        <w:ind w:left="25" w:leftChars="12" w:firstLine="354" w:firstLineChars="147"/>
        <w:rPr>
          <w:rFonts w:hAnsi="宋体"/>
          <w:b/>
          <w:color w:val="auto"/>
          <w:sz w:val="24"/>
          <w:szCs w:val="24"/>
          <w:highlight w:val="none"/>
        </w:rPr>
      </w:pPr>
      <w:r>
        <w:rPr>
          <w:rFonts w:hint="eastAsia" w:hAnsi="宋体"/>
          <w:b/>
          <w:color w:val="auto"/>
          <w:sz w:val="24"/>
          <w:szCs w:val="24"/>
          <w:highlight w:val="none"/>
        </w:rPr>
        <w:t>3.投诉书应简要列明质疑事项，质疑函、质疑答复等作为附件材料提供。</w:t>
      </w:r>
    </w:p>
    <w:p w14:paraId="3C7A14BF">
      <w:pPr>
        <w:pStyle w:val="26"/>
        <w:spacing w:line="360" w:lineRule="auto"/>
        <w:ind w:left="25" w:leftChars="12" w:firstLine="354" w:firstLineChars="147"/>
        <w:rPr>
          <w:rFonts w:hAnsi="宋体"/>
          <w:b/>
          <w:color w:val="auto"/>
          <w:sz w:val="24"/>
          <w:szCs w:val="24"/>
          <w:highlight w:val="none"/>
        </w:rPr>
      </w:pPr>
      <w:r>
        <w:rPr>
          <w:rFonts w:hint="eastAsia" w:hAnsi="宋体"/>
          <w:b/>
          <w:color w:val="auto"/>
          <w:sz w:val="24"/>
          <w:szCs w:val="24"/>
          <w:highlight w:val="none"/>
        </w:rPr>
        <w:t>4.投诉书的投诉事项应具体、明确，并有必要的事实依据和法律依据。</w:t>
      </w:r>
    </w:p>
    <w:p w14:paraId="288381DC">
      <w:pPr>
        <w:pStyle w:val="26"/>
        <w:spacing w:line="360" w:lineRule="auto"/>
        <w:ind w:left="25" w:leftChars="12" w:firstLine="354" w:firstLineChars="147"/>
        <w:rPr>
          <w:rFonts w:hAnsi="宋体"/>
          <w:b/>
          <w:color w:val="auto"/>
          <w:sz w:val="24"/>
          <w:szCs w:val="24"/>
          <w:highlight w:val="none"/>
        </w:rPr>
      </w:pPr>
      <w:r>
        <w:rPr>
          <w:rFonts w:hint="eastAsia" w:hAnsi="宋体"/>
          <w:b/>
          <w:color w:val="auto"/>
          <w:sz w:val="24"/>
          <w:szCs w:val="24"/>
          <w:highlight w:val="none"/>
        </w:rPr>
        <w:t>5.投诉书的投诉请求应与投诉事项相关。</w:t>
      </w:r>
    </w:p>
    <w:p w14:paraId="3BEC5EC0">
      <w:pPr>
        <w:pStyle w:val="26"/>
        <w:spacing w:line="360" w:lineRule="auto"/>
        <w:ind w:left="25" w:leftChars="12" w:firstLine="354" w:firstLineChars="147"/>
        <w:rPr>
          <w:rFonts w:hAnsi="宋体"/>
          <w:b/>
          <w:color w:val="auto"/>
          <w:highlight w:val="none"/>
        </w:rPr>
      </w:pPr>
      <w:r>
        <w:rPr>
          <w:rFonts w:hint="eastAsia" w:hAnsi="宋体"/>
          <w:b/>
          <w:color w:val="auto"/>
          <w:sz w:val="24"/>
          <w:szCs w:val="24"/>
          <w:highlight w:val="none"/>
        </w:rPr>
        <w:t>6.投诉人为法人或者其他组织的，投诉书应由法定代表人、主要负责人，或者其授权代表签字或者盖章，并加盖公章。</w:t>
      </w:r>
    </w:p>
    <w:sectPr>
      <w:footerReference r:id="rId7" w:type="first"/>
      <w:headerReference r:id="rId4" w:type="default"/>
      <w:footerReference r:id="rId5" w:type="default"/>
      <w:footerReference r:id="rId6" w:type="even"/>
      <w:pgSz w:w="11906" w:h="16838"/>
      <w:pgMar w:top="1134" w:right="1503" w:bottom="1559" w:left="1678"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438277B-EE92-4CCF-B046-AD342DEA3378}"/>
  </w:font>
  <w:font w:name="Courier New">
    <w:panose1 w:val="02070309020205020404"/>
    <w:charset w:val="01"/>
    <w:family w:val="modern"/>
    <w:pitch w:val="default"/>
    <w:sig w:usb0="E0002EFF" w:usb1="C0007843" w:usb2="00000009" w:usb3="00000000" w:csb0="400001FF" w:csb1="FFFF0000"/>
    <w:embedRegular r:id="rId2" w:fontKey="{C80E1DDE-5CBB-4D24-B7BC-E2B31D277DD3}"/>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embedRegular r:id="rId3" w:fontKey="{368C7C65-55DE-42BB-8291-9CD156FAC578}"/>
  </w:font>
  <w:font w:name="楷体_GB2312">
    <w:panose1 w:val="02010609030101010101"/>
    <w:charset w:val="86"/>
    <w:family w:val="modern"/>
    <w:pitch w:val="default"/>
    <w:sig w:usb0="00000001" w:usb1="080E0000" w:usb2="00000000" w:usb3="00000000" w:csb0="00040000" w:csb1="00000000"/>
    <w:embedRegular r:id="rId4" w:fontKey="{633C0F31-7676-495A-85E2-F29E4601AB0F}"/>
  </w:font>
  <w:font w:name="_x000B__x000C_">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Century">
    <w:altName w:val="Bookman Old Style"/>
    <w:panose1 w:val="02040604050505020304"/>
    <w:charset w:val="00"/>
    <w:family w:val="roman"/>
    <w:pitch w:val="default"/>
    <w:sig w:usb0="00000000" w:usb1="00000000" w:usb2="00000000" w:usb3="00000000" w:csb0="2000009F" w:csb1="DFD70000"/>
  </w:font>
  <w:font w:name="Bookman Old Style">
    <w:panose1 w:val="02050604050505020204"/>
    <w:charset w:val="00"/>
    <w:family w:val="auto"/>
    <w:pitch w:val="default"/>
    <w:sig w:usb0="00000287" w:usb1="00000000" w:usb2="00000000" w:usb3="00000000" w:csb0="2000009F" w:csb1="DFD70000"/>
  </w:font>
  <w:font w:name="方正小标宋简体">
    <w:altName w:val="宋体-方正超大字符集"/>
    <w:panose1 w:val="02010601030101010101"/>
    <w:charset w:val="86"/>
    <w:family w:val="auto"/>
    <w:pitch w:val="default"/>
    <w:sig w:usb0="00000000" w:usb1="00000000" w:usb2="00000000" w:usb3="00000000" w:csb0="00040000" w:csb1="00000000"/>
    <w:embedRegular r:id="rId5" w:fontKey="{BDB4642A-4A62-4F24-BA24-9785CF16B86C}"/>
  </w:font>
  <w:font w:name="宋体-方正超大字符集">
    <w:panose1 w:val="03000509000000000000"/>
    <w:charset w:val="86"/>
    <w:family w:val="auto"/>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embedRegular r:id="rId6" w:fontKey="{3650F3C7-2A1D-464B-997D-3AD4841115F7}"/>
  </w:font>
  <w:font w:name="Helvetica">
    <w:altName w:val="Arial"/>
    <w:panose1 w:val="020B0604020202020204"/>
    <w:charset w:val="00"/>
    <w:family w:val="swiss"/>
    <w:pitch w:val="default"/>
    <w:sig w:usb0="00000000" w:usb1="00000000" w:usb2="00000009" w:usb3="00000000" w:csb0="000001FF" w:csb1="00000000"/>
    <w:embedRegular r:id="rId7" w:fontKey="{F0BCF945-9FC9-44E4-950C-3F3723E90791}"/>
  </w:font>
  <w:font w:name="微软雅黑">
    <w:panose1 w:val="020B0503020204020204"/>
    <w:charset w:val="86"/>
    <w:family w:val="swiss"/>
    <w:pitch w:val="default"/>
    <w:sig w:usb0="80000287" w:usb1="2ACF3C50" w:usb2="00000016" w:usb3="00000000" w:csb0="0004001F" w:csb1="00000000"/>
    <w:embedRegular r:id="rId8" w:fontKey="{28CE6698-2494-43EB-AA85-62FEA1FADC9E}"/>
  </w:font>
  <w:font w:name="隶书">
    <w:panose1 w:val="02010509060101010101"/>
    <w:charset w:val="86"/>
    <w:family w:val="modern"/>
    <w:pitch w:val="default"/>
    <w:sig w:usb0="00000001" w:usb1="080E0000" w:usb2="00000000" w:usb3="00000000" w:csb0="00040000" w:csb1="00000000"/>
    <w:embedRegular r:id="rId9" w:fontKey="{51A52E92-7F49-4167-A3A3-4CD23CFF0CD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80B7D0">
    <w:pPr>
      <w:pStyle w:val="32"/>
    </w:pPr>
    <w:r>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1A42865C">
                <w:pPr>
                  <w:pStyle w:val="32"/>
                </w:pPr>
                <w:r>
                  <w:fldChar w:fldCharType="begin"/>
                </w:r>
                <w:r>
                  <w:instrText xml:space="preserve"> PAGE  \* MERGEFORMAT </w:instrText>
                </w:r>
                <w:r>
                  <w:fldChar w:fldCharType="separate"/>
                </w:r>
                <w:r>
                  <w:t>15</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97F70">
    <w:pPr>
      <w:pStyle w:val="32"/>
      <w:jc w:val="center"/>
    </w:pPr>
    <w:r>
      <w:pict>
        <v:shape id="文本框 1029" o:spid="_x0000_s1027"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IgHoUsQBAACQAwAADgAAAAAAAAABACAAAAAeAQAAZHJzL2Uyb0RvYy54bWxQ&#10;SwUGAAAAAAYABgBZAQAAVAUAAAAA&#10;">
          <v:path/>
          <v:fill on="f" focussize="0,0"/>
          <v:stroke on="f" joinstyle="miter"/>
          <v:imagedata o:title=""/>
          <o:lock v:ext="edit"/>
          <v:textbox inset="0mm,0mm,0mm,0mm" style="mso-fit-shape-to-text:t;">
            <w:txbxContent>
              <w:p w14:paraId="18649862">
                <w:pPr>
                  <w:pStyle w:val="32"/>
                </w:pPr>
                <w:r>
                  <w:fldChar w:fldCharType="begin"/>
                </w:r>
                <w:r>
                  <w:instrText xml:space="preserve"> PAGE  \* MERGEFORMAT </w:instrText>
                </w:r>
                <w:r>
                  <w:fldChar w:fldCharType="separate"/>
                </w:r>
                <w:r>
                  <w:t>73</w:t>
                </w:r>
                <w:r>
                  <w:fldChar w:fldCharType="end"/>
                </w:r>
              </w:p>
            </w:txbxContent>
          </v:textbox>
        </v:shape>
      </w:pict>
    </w:r>
  </w:p>
  <w:p w14:paraId="38358535">
    <w:pPr>
      <w:pStyle w:val="3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381945">
    <w:pPr>
      <w:pStyle w:val="32"/>
      <w:framePr w:wrap="around" w:vAnchor="text" w:hAnchor="margin" w:xAlign="center" w:y="1"/>
      <w:rPr>
        <w:rStyle w:val="52"/>
      </w:rPr>
    </w:pPr>
    <w:r>
      <w:fldChar w:fldCharType="begin"/>
    </w:r>
    <w:r>
      <w:rPr>
        <w:rStyle w:val="52"/>
      </w:rPr>
      <w:instrText xml:space="preserve">PAGE  </w:instrText>
    </w:r>
    <w:r>
      <w:fldChar w:fldCharType="end"/>
    </w:r>
  </w:p>
  <w:p w14:paraId="6DB02C63">
    <w:pPr>
      <w:pStyle w:val="3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6672B4">
    <w:pPr>
      <w:pStyle w:val="32"/>
      <w:ind w:right="360"/>
      <w:jc w:val="both"/>
    </w:pPr>
    <w:r>
      <w:pict>
        <v:shape id="文本框 1030" o:spid="_x0000_s1028"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AXW4inwwEAAJADAAAOAAAAAAAAAAEAIAAAAB4BAABkcnMvZTJvRG9jLnhtbFBL&#10;BQYAAAAABgAGAFkBAABTBQAAAAA=&#10;">
          <v:path/>
          <v:fill on="f" focussize="0,0"/>
          <v:stroke on="f" joinstyle="miter"/>
          <v:imagedata o:title=""/>
          <o:lock v:ext="edit"/>
          <v:textbox inset="0mm,0mm,0mm,0mm" style="mso-fit-shape-to-text:t;">
            <w:txbxContent>
              <w:p w14:paraId="304BFB46">
                <w:pPr>
                  <w:pStyle w:val="32"/>
                </w:pPr>
                <w:r>
                  <w:fldChar w:fldCharType="begin"/>
                </w:r>
                <w:r>
                  <w:instrText xml:space="preserve"> PAGE  \* MERGEFORMAT </w:instrText>
                </w:r>
                <w:r>
                  <w:fldChar w:fldCharType="separate"/>
                </w:r>
                <w:r>
                  <w:t>50</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2A0648">
    <w:pPr>
      <w:pStyle w:val="3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F6CA66"/>
    <w:multiLevelType w:val="singleLevel"/>
    <w:tmpl w:val="A4F6CA66"/>
    <w:lvl w:ilvl="0" w:tentative="0">
      <w:start w:val="2"/>
      <w:numFmt w:val="chineseCounting"/>
      <w:suff w:val="nothing"/>
      <w:lvlText w:val="%1、"/>
      <w:lvlJc w:val="left"/>
      <w:rPr>
        <w:rFonts w:hint="eastAsia"/>
      </w:rPr>
    </w:lvl>
  </w:abstractNum>
  <w:abstractNum w:abstractNumId="1">
    <w:nsid w:val="FFFFFF7E"/>
    <w:multiLevelType w:val="singleLevel"/>
    <w:tmpl w:val="FFFFFF7E"/>
    <w:lvl w:ilvl="0" w:tentative="0">
      <w:start w:val="1"/>
      <w:numFmt w:val="decimal"/>
      <w:pStyle w:val="22"/>
      <w:lvlText w:val="%1."/>
      <w:lvlJc w:val="left"/>
      <w:pPr>
        <w:tabs>
          <w:tab w:val="left" w:pos="1200"/>
        </w:tabs>
        <w:ind w:left="1200" w:hanging="360"/>
      </w:pPr>
    </w:lvl>
  </w:abstractNum>
  <w:abstractNum w:abstractNumId="2">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8"/>
      <w:suff w:val="nothing"/>
      <w:lvlText w:val=""/>
      <w:lvlJc w:val="left"/>
      <w:pPr>
        <w:ind w:left="0" w:firstLine="0"/>
      </w:pPr>
      <w:rPr>
        <w:rFonts w:hint="eastAsia"/>
      </w:rPr>
    </w:lvl>
    <w:lvl w:ilvl="5" w:tentative="0">
      <w:start w:val="1"/>
      <w:numFmt w:val="none"/>
      <w:pStyle w:val="10"/>
      <w:suff w:val="nothing"/>
      <w:lvlText w:val=""/>
      <w:lvlJc w:val="left"/>
      <w:pPr>
        <w:ind w:left="0" w:firstLine="0"/>
      </w:pPr>
      <w:rPr>
        <w:rFonts w:hint="eastAsia"/>
      </w:rPr>
    </w:lvl>
    <w:lvl w:ilvl="6" w:tentative="0">
      <w:start w:val="1"/>
      <w:numFmt w:val="none"/>
      <w:pStyle w:val="11"/>
      <w:suff w:val="nothing"/>
      <w:lvlText w:val=""/>
      <w:lvlJc w:val="left"/>
      <w:pPr>
        <w:ind w:left="0" w:firstLine="0"/>
      </w:pPr>
      <w:rPr>
        <w:rFonts w:hint="eastAsia"/>
      </w:rPr>
    </w:lvl>
    <w:lvl w:ilvl="7" w:tentative="0">
      <w:start w:val="1"/>
      <w:numFmt w:val="none"/>
      <w:pStyle w:val="12"/>
      <w:suff w:val="nothing"/>
      <w:lvlText w:val=""/>
      <w:lvlJc w:val="left"/>
      <w:pPr>
        <w:ind w:left="0" w:firstLine="0"/>
      </w:pPr>
      <w:rPr>
        <w:rFonts w:hint="eastAsia"/>
      </w:rPr>
    </w:lvl>
    <w:lvl w:ilvl="8" w:tentative="0">
      <w:start w:val="1"/>
      <w:numFmt w:val="none"/>
      <w:pStyle w:val="13"/>
      <w:suff w:val="nothing"/>
      <w:lvlText w:val=""/>
      <w:lvlJc w:val="left"/>
      <w:pPr>
        <w:ind w:left="0" w:firstLine="0"/>
      </w:pPr>
      <w:rPr>
        <w:rFonts w:hint="eastAsia"/>
      </w:rPr>
    </w:lvl>
  </w:abstractNum>
  <w:abstractNum w:abstractNumId="3">
    <w:nsid w:val="3CE037EB"/>
    <w:multiLevelType w:val="singleLevel"/>
    <w:tmpl w:val="3CE037EB"/>
    <w:lvl w:ilvl="0" w:tentative="0">
      <w:start w:val="2"/>
      <w:numFmt w:val="decimal"/>
      <w:lvlText w:val="%1."/>
      <w:lvlJc w:val="left"/>
      <w:pPr>
        <w:tabs>
          <w:tab w:val="left" w:pos="312"/>
        </w:tabs>
      </w:pPr>
    </w:lvl>
  </w:abstractNum>
  <w:abstractNum w:abstractNumId="4">
    <w:nsid w:val="4C601917"/>
    <w:multiLevelType w:val="singleLevel"/>
    <w:tmpl w:val="4C601917"/>
    <w:lvl w:ilvl="0" w:tentative="0">
      <w:start w:val="1"/>
      <w:numFmt w:val="decimal"/>
      <w:suff w:val="nothing"/>
      <w:lvlText w:val="（%1）"/>
      <w:lvlJc w:val="left"/>
    </w:lvl>
  </w:abstractNum>
  <w:abstractNum w:abstractNumId="5">
    <w:nsid w:val="5FABD14B"/>
    <w:multiLevelType w:val="singleLevel"/>
    <w:tmpl w:val="5FABD14B"/>
    <w:lvl w:ilvl="0" w:tentative="0">
      <w:start w:val="1"/>
      <w:numFmt w:val="decimal"/>
      <w:suff w:val="nothing"/>
      <w:lvlText w:val="（%1）"/>
      <w:lvlJc w:val="left"/>
    </w:lvl>
  </w:abstractNum>
  <w:num w:numId="1">
    <w:abstractNumId w:val="2"/>
  </w:num>
  <w:num w:numId="2">
    <w:abstractNumId w:val="1"/>
  </w:num>
  <w:num w:numId="3">
    <w:abstractNumId w:val="0"/>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dit="readOnly" w:enforcement="0"/>
  <w:defaultTabStop w:val="420"/>
  <w:drawingGridHorizontalSpacing w:val="105"/>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WFiODhjMzlmNWU0NmU1YmQ2MTQ0ODAzN2Q5MmE2NTQifQ=="/>
  </w:docVars>
  <w:rsids>
    <w:rsidRoot w:val="00F9008B"/>
    <w:rsid w:val="0000010C"/>
    <w:rsid w:val="00000D21"/>
    <w:rsid w:val="00000FE0"/>
    <w:rsid w:val="00001068"/>
    <w:rsid w:val="0000114A"/>
    <w:rsid w:val="00001731"/>
    <w:rsid w:val="00001C2D"/>
    <w:rsid w:val="00001C55"/>
    <w:rsid w:val="00001CA8"/>
    <w:rsid w:val="00001FAE"/>
    <w:rsid w:val="00002291"/>
    <w:rsid w:val="00002644"/>
    <w:rsid w:val="00002DBF"/>
    <w:rsid w:val="00002EC0"/>
    <w:rsid w:val="00003224"/>
    <w:rsid w:val="000033F5"/>
    <w:rsid w:val="000034EA"/>
    <w:rsid w:val="0000358C"/>
    <w:rsid w:val="00003BEF"/>
    <w:rsid w:val="00004130"/>
    <w:rsid w:val="0000431F"/>
    <w:rsid w:val="00004634"/>
    <w:rsid w:val="00004D8B"/>
    <w:rsid w:val="000059E2"/>
    <w:rsid w:val="00006AE7"/>
    <w:rsid w:val="00006B9B"/>
    <w:rsid w:val="00006C35"/>
    <w:rsid w:val="000072B1"/>
    <w:rsid w:val="00007329"/>
    <w:rsid w:val="00007E28"/>
    <w:rsid w:val="00007E84"/>
    <w:rsid w:val="00010401"/>
    <w:rsid w:val="000105A1"/>
    <w:rsid w:val="000107AD"/>
    <w:rsid w:val="00010835"/>
    <w:rsid w:val="00011842"/>
    <w:rsid w:val="00012137"/>
    <w:rsid w:val="000121EE"/>
    <w:rsid w:val="000121FF"/>
    <w:rsid w:val="000125B8"/>
    <w:rsid w:val="00012692"/>
    <w:rsid w:val="00013446"/>
    <w:rsid w:val="00013509"/>
    <w:rsid w:val="000135BC"/>
    <w:rsid w:val="000135DC"/>
    <w:rsid w:val="000136D6"/>
    <w:rsid w:val="00013979"/>
    <w:rsid w:val="00014085"/>
    <w:rsid w:val="00014B4C"/>
    <w:rsid w:val="00014DD9"/>
    <w:rsid w:val="000151E4"/>
    <w:rsid w:val="000153D8"/>
    <w:rsid w:val="00015577"/>
    <w:rsid w:val="000156E4"/>
    <w:rsid w:val="000159A7"/>
    <w:rsid w:val="00015FB8"/>
    <w:rsid w:val="0001609F"/>
    <w:rsid w:val="0001635B"/>
    <w:rsid w:val="00016549"/>
    <w:rsid w:val="00016BF7"/>
    <w:rsid w:val="00016D20"/>
    <w:rsid w:val="0001767E"/>
    <w:rsid w:val="0001776D"/>
    <w:rsid w:val="00017C00"/>
    <w:rsid w:val="00017F31"/>
    <w:rsid w:val="00020607"/>
    <w:rsid w:val="0002103A"/>
    <w:rsid w:val="000217E4"/>
    <w:rsid w:val="00021852"/>
    <w:rsid w:val="00021A12"/>
    <w:rsid w:val="00022622"/>
    <w:rsid w:val="00023363"/>
    <w:rsid w:val="000235F3"/>
    <w:rsid w:val="00023644"/>
    <w:rsid w:val="00023712"/>
    <w:rsid w:val="0002476C"/>
    <w:rsid w:val="00024E3C"/>
    <w:rsid w:val="00024EB0"/>
    <w:rsid w:val="00025A93"/>
    <w:rsid w:val="0002646A"/>
    <w:rsid w:val="0002651D"/>
    <w:rsid w:val="00026CFD"/>
    <w:rsid w:val="000279F9"/>
    <w:rsid w:val="00027A11"/>
    <w:rsid w:val="00027C8B"/>
    <w:rsid w:val="00027CD9"/>
    <w:rsid w:val="00030242"/>
    <w:rsid w:val="00030B06"/>
    <w:rsid w:val="0003183A"/>
    <w:rsid w:val="00031CDC"/>
    <w:rsid w:val="00031DC8"/>
    <w:rsid w:val="0003263B"/>
    <w:rsid w:val="0003282C"/>
    <w:rsid w:val="0003304A"/>
    <w:rsid w:val="0003317E"/>
    <w:rsid w:val="00033413"/>
    <w:rsid w:val="000337F3"/>
    <w:rsid w:val="00034C27"/>
    <w:rsid w:val="00034E2A"/>
    <w:rsid w:val="0003577F"/>
    <w:rsid w:val="000361E7"/>
    <w:rsid w:val="00036466"/>
    <w:rsid w:val="0003675E"/>
    <w:rsid w:val="00037633"/>
    <w:rsid w:val="00037E9E"/>
    <w:rsid w:val="00037F87"/>
    <w:rsid w:val="00037FA2"/>
    <w:rsid w:val="000400D0"/>
    <w:rsid w:val="0004044E"/>
    <w:rsid w:val="000425AC"/>
    <w:rsid w:val="00042F4A"/>
    <w:rsid w:val="00043BE5"/>
    <w:rsid w:val="00044003"/>
    <w:rsid w:val="00044527"/>
    <w:rsid w:val="0004469E"/>
    <w:rsid w:val="00044897"/>
    <w:rsid w:val="00044ACF"/>
    <w:rsid w:val="00044D83"/>
    <w:rsid w:val="00044E06"/>
    <w:rsid w:val="000454F4"/>
    <w:rsid w:val="00045670"/>
    <w:rsid w:val="00045D1E"/>
    <w:rsid w:val="00045E69"/>
    <w:rsid w:val="00045EF4"/>
    <w:rsid w:val="00046547"/>
    <w:rsid w:val="000466D7"/>
    <w:rsid w:val="00046753"/>
    <w:rsid w:val="00047254"/>
    <w:rsid w:val="000472FD"/>
    <w:rsid w:val="0005022B"/>
    <w:rsid w:val="00050771"/>
    <w:rsid w:val="000513F3"/>
    <w:rsid w:val="00052287"/>
    <w:rsid w:val="000522E0"/>
    <w:rsid w:val="00052609"/>
    <w:rsid w:val="000532F4"/>
    <w:rsid w:val="000536AE"/>
    <w:rsid w:val="00054CD5"/>
    <w:rsid w:val="00054D03"/>
    <w:rsid w:val="000550AC"/>
    <w:rsid w:val="0005580E"/>
    <w:rsid w:val="0005584D"/>
    <w:rsid w:val="00055CC3"/>
    <w:rsid w:val="00055CEE"/>
    <w:rsid w:val="000566FA"/>
    <w:rsid w:val="00056A2B"/>
    <w:rsid w:val="00056E37"/>
    <w:rsid w:val="00056EE2"/>
    <w:rsid w:val="00056FE2"/>
    <w:rsid w:val="000570FB"/>
    <w:rsid w:val="000575B8"/>
    <w:rsid w:val="00060131"/>
    <w:rsid w:val="0006026B"/>
    <w:rsid w:val="00060293"/>
    <w:rsid w:val="00061BDA"/>
    <w:rsid w:val="000621FE"/>
    <w:rsid w:val="00062B90"/>
    <w:rsid w:val="00062C70"/>
    <w:rsid w:val="00062DD0"/>
    <w:rsid w:val="00062E6F"/>
    <w:rsid w:val="000630C7"/>
    <w:rsid w:val="0006400F"/>
    <w:rsid w:val="000643DA"/>
    <w:rsid w:val="000645DD"/>
    <w:rsid w:val="00064D7E"/>
    <w:rsid w:val="00064F65"/>
    <w:rsid w:val="00064FD0"/>
    <w:rsid w:val="0006534A"/>
    <w:rsid w:val="00065A5D"/>
    <w:rsid w:val="00065BA2"/>
    <w:rsid w:val="000661CA"/>
    <w:rsid w:val="0006668D"/>
    <w:rsid w:val="00066F2B"/>
    <w:rsid w:val="00067002"/>
    <w:rsid w:val="0006710A"/>
    <w:rsid w:val="00067993"/>
    <w:rsid w:val="00067B1C"/>
    <w:rsid w:val="00067CED"/>
    <w:rsid w:val="00067D39"/>
    <w:rsid w:val="00067F66"/>
    <w:rsid w:val="0007041A"/>
    <w:rsid w:val="00070634"/>
    <w:rsid w:val="00070883"/>
    <w:rsid w:val="00070C3F"/>
    <w:rsid w:val="0007102C"/>
    <w:rsid w:val="00071D68"/>
    <w:rsid w:val="00071FCE"/>
    <w:rsid w:val="00072661"/>
    <w:rsid w:val="00072CCC"/>
    <w:rsid w:val="00073549"/>
    <w:rsid w:val="00073A58"/>
    <w:rsid w:val="0007483E"/>
    <w:rsid w:val="000751DB"/>
    <w:rsid w:val="0007578F"/>
    <w:rsid w:val="000759A3"/>
    <w:rsid w:val="00075E43"/>
    <w:rsid w:val="00077706"/>
    <w:rsid w:val="00077878"/>
    <w:rsid w:val="00077DE2"/>
    <w:rsid w:val="000804EF"/>
    <w:rsid w:val="00080558"/>
    <w:rsid w:val="00081230"/>
    <w:rsid w:val="000814E2"/>
    <w:rsid w:val="000815EA"/>
    <w:rsid w:val="000818C9"/>
    <w:rsid w:val="00081CBB"/>
    <w:rsid w:val="00081D42"/>
    <w:rsid w:val="000822EF"/>
    <w:rsid w:val="0008241E"/>
    <w:rsid w:val="000826F5"/>
    <w:rsid w:val="000829B1"/>
    <w:rsid w:val="00082AAB"/>
    <w:rsid w:val="0008307D"/>
    <w:rsid w:val="000831E9"/>
    <w:rsid w:val="00083288"/>
    <w:rsid w:val="000833BB"/>
    <w:rsid w:val="00083A55"/>
    <w:rsid w:val="0008452D"/>
    <w:rsid w:val="0008467B"/>
    <w:rsid w:val="000846E2"/>
    <w:rsid w:val="000850FA"/>
    <w:rsid w:val="00085C12"/>
    <w:rsid w:val="00085DA0"/>
    <w:rsid w:val="00085F82"/>
    <w:rsid w:val="00086506"/>
    <w:rsid w:val="00086B6E"/>
    <w:rsid w:val="00086C64"/>
    <w:rsid w:val="00087213"/>
    <w:rsid w:val="0008781A"/>
    <w:rsid w:val="00090951"/>
    <w:rsid w:val="00090A61"/>
    <w:rsid w:val="000918F5"/>
    <w:rsid w:val="000919B5"/>
    <w:rsid w:val="00091C1D"/>
    <w:rsid w:val="00091E08"/>
    <w:rsid w:val="00091E29"/>
    <w:rsid w:val="000922D8"/>
    <w:rsid w:val="000932E7"/>
    <w:rsid w:val="0009333A"/>
    <w:rsid w:val="00093459"/>
    <w:rsid w:val="00093B8B"/>
    <w:rsid w:val="000951E7"/>
    <w:rsid w:val="00095B82"/>
    <w:rsid w:val="00096098"/>
    <w:rsid w:val="000961C5"/>
    <w:rsid w:val="000968AF"/>
    <w:rsid w:val="000969D9"/>
    <w:rsid w:val="00096F37"/>
    <w:rsid w:val="00097FE5"/>
    <w:rsid w:val="000A0354"/>
    <w:rsid w:val="000A091F"/>
    <w:rsid w:val="000A0958"/>
    <w:rsid w:val="000A0FCC"/>
    <w:rsid w:val="000A1033"/>
    <w:rsid w:val="000A2712"/>
    <w:rsid w:val="000A2877"/>
    <w:rsid w:val="000A2D31"/>
    <w:rsid w:val="000A355D"/>
    <w:rsid w:val="000A35DA"/>
    <w:rsid w:val="000A371E"/>
    <w:rsid w:val="000A3DE5"/>
    <w:rsid w:val="000A4011"/>
    <w:rsid w:val="000A4397"/>
    <w:rsid w:val="000A45D5"/>
    <w:rsid w:val="000A490E"/>
    <w:rsid w:val="000A5B49"/>
    <w:rsid w:val="000A5FE5"/>
    <w:rsid w:val="000A688F"/>
    <w:rsid w:val="000A7218"/>
    <w:rsid w:val="000A740A"/>
    <w:rsid w:val="000A7446"/>
    <w:rsid w:val="000A7A56"/>
    <w:rsid w:val="000A7E7F"/>
    <w:rsid w:val="000A7ECD"/>
    <w:rsid w:val="000B04DD"/>
    <w:rsid w:val="000B0F01"/>
    <w:rsid w:val="000B1346"/>
    <w:rsid w:val="000B1795"/>
    <w:rsid w:val="000B1914"/>
    <w:rsid w:val="000B19DC"/>
    <w:rsid w:val="000B1CA2"/>
    <w:rsid w:val="000B202E"/>
    <w:rsid w:val="000B2293"/>
    <w:rsid w:val="000B24A4"/>
    <w:rsid w:val="000B255A"/>
    <w:rsid w:val="000B255C"/>
    <w:rsid w:val="000B292B"/>
    <w:rsid w:val="000B395E"/>
    <w:rsid w:val="000B39C3"/>
    <w:rsid w:val="000B3A00"/>
    <w:rsid w:val="000B3BFD"/>
    <w:rsid w:val="000B4840"/>
    <w:rsid w:val="000B4D79"/>
    <w:rsid w:val="000B5627"/>
    <w:rsid w:val="000B5671"/>
    <w:rsid w:val="000B6BF0"/>
    <w:rsid w:val="000B6CE8"/>
    <w:rsid w:val="000B7DAF"/>
    <w:rsid w:val="000C01A9"/>
    <w:rsid w:val="000C071C"/>
    <w:rsid w:val="000C0BB4"/>
    <w:rsid w:val="000C0BEE"/>
    <w:rsid w:val="000C1CB9"/>
    <w:rsid w:val="000C2159"/>
    <w:rsid w:val="000C21BB"/>
    <w:rsid w:val="000C289B"/>
    <w:rsid w:val="000C34B8"/>
    <w:rsid w:val="000C3F01"/>
    <w:rsid w:val="000C420D"/>
    <w:rsid w:val="000C4773"/>
    <w:rsid w:val="000C4944"/>
    <w:rsid w:val="000C4E24"/>
    <w:rsid w:val="000C5C4A"/>
    <w:rsid w:val="000C5F01"/>
    <w:rsid w:val="000C63C4"/>
    <w:rsid w:val="000C66C1"/>
    <w:rsid w:val="000C6F0B"/>
    <w:rsid w:val="000C6F32"/>
    <w:rsid w:val="000C708E"/>
    <w:rsid w:val="000C778C"/>
    <w:rsid w:val="000C7833"/>
    <w:rsid w:val="000C7DFB"/>
    <w:rsid w:val="000C7E1B"/>
    <w:rsid w:val="000C7E73"/>
    <w:rsid w:val="000D001B"/>
    <w:rsid w:val="000D0A45"/>
    <w:rsid w:val="000D136E"/>
    <w:rsid w:val="000D14AC"/>
    <w:rsid w:val="000D15BA"/>
    <w:rsid w:val="000D2C9B"/>
    <w:rsid w:val="000D35FD"/>
    <w:rsid w:val="000D3D2D"/>
    <w:rsid w:val="000D3D99"/>
    <w:rsid w:val="000D4653"/>
    <w:rsid w:val="000D4696"/>
    <w:rsid w:val="000D4817"/>
    <w:rsid w:val="000D4FB9"/>
    <w:rsid w:val="000D54B4"/>
    <w:rsid w:val="000D54F8"/>
    <w:rsid w:val="000D584B"/>
    <w:rsid w:val="000D5F55"/>
    <w:rsid w:val="000D6372"/>
    <w:rsid w:val="000D6979"/>
    <w:rsid w:val="000D6CE7"/>
    <w:rsid w:val="000D6E38"/>
    <w:rsid w:val="000D6E63"/>
    <w:rsid w:val="000D711C"/>
    <w:rsid w:val="000D7B6E"/>
    <w:rsid w:val="000E042A"/>
    <w:rsid w:val="000E0644"/>
    <w:rsid w:val="000E076D"/>
    <w:rsid w:val="000E0CD2"/>
    <w:rsid w:val="000E187C"/>
    <w:rsid w:val="000E1B28"/>
    <w:rsid w:val="000E1E8D"/>
    <w:rsid w:val="000E1EBC"/>
    <w:rsid w:val="000E2173"/>
    <w:rsid w:val="000E220B"/>
    <w:rsid w:val="000E2A50"/>
    <w:rsid w:val="000E30F2"/>
    <w:rsid w:val="000E316B"/>
    <w:rsid w:val="000E3D08"/>
    <w:rsid w:val="000E4728"/>
    <w:rsid w:val="000E4D1F"/>
    <w:rsid w:val="000E5658"/>
    <w:rsid w:val="000E5698"/>
    <w:rsid w:val="000E5723"/>
    <w:rsid w:val="000E581B"/>
    <w:rsid w:val="000E58B4"/>
    <w:rsid w:val="000E65D2"/>
    <w:rsid w:val="000E6919"/>
    <w:rsid w:val="000E6B1B"/>
    <w:rsid w:val="000E6F0C"/>
    <w:rsid w:val="000E732D"/>
    <w:rsid w:val="000F07ED"/>
    <w:rsid w:val="000F0CF2"/>
    <w:rsid w:val="000F14F6"/>
    <w:rsid w:val="000F1A32"/>
    <w:rsid w:val="000F1CC2"/>
    <w:rsid w:val="000F1D15"/>
    <w:rsid w:val="000F270A"/>
    <w:rsid w:val="000F34C8"/>
    <w:rsid w:val="000F38BC"/>
    <w:rsid w:val="000F3E2A"/>
    <w:rsid w:val="000F4D26"/>
    <w:rsid w:val="000F5639"/>
    <w:rsid w:val="000F58A4"/>
    <w:rsid w:val="000F6833"/>
    <w:rsid w:val="000F6A24"/>
    <w:rsid w:val="000F7616"/>
    <w:rsid w:val="000F7DE9"/>
    <w:rsid w:val="000F7F7A"/>
    <w:rsid w:val="0010004B"/>
    <w:rsid w:val="001002F4"/>
    <w:rsid w:val="001005B4"/>
    <w:rsid w:val="001011FC"/>
    <w:rsid w:val="0010165F"/>
    <w:rsid w:val="001018C1"/>
    <w:rsid w:val="00101E7C"/>
    <w:rsid w:val="00102260"/>
    <w:rsid w:val="001023DC"/>
    <w:rsid w:val="0010256D"/>
    <w:rsid w:val="00102572"/>
    <w:rsid w:val="00102946"/>
    <w:rsid w:val="00102FBF"/>
    <w:rsid w:val="0010333D"/>
    <w:rsid w:val="0010372A"/>
    <w:rsid w:val="00103F41"/>
    <w:rsid w:val="00104E77"/>
    <w:rsid w:val="00104F34"/>
    <w:rsid w:val="00104F3E"/>
    <w:rsid w:val="001053C5"/>
    <w:rsid w:val="001055AD"/>
    <w:rsid w:val="00105C14"/>
    <w:rsid w:val="001065A3"/>
    <w:rsid w:val="0010691D"/>
    <w:rsid w:val="00106B33"/>
    <w:rsid w:val="00106E69"/>
    <w:rsid w:val="00110AC5"/>
    <w:rsid w:val="00110F0B"/>
    <w:rsid w:val="0011108B"/>
    <w:rsid w:val="00111136"/>
    <w:rsid w:val="00111164"/>
    <w:rsid w:val="00111761"/>
    <w:rsid w:val="00112164"/>
    <w:rsid w:val="0011241F"/>
    <w:rsid w:val="001128BF"/>
    <w:rsid w:val="00112D09"/>
    <w:rsid w:val="00112F03"/>
    <w:rsid w:val="00112F38"/>
    <w:rsid w:val="00113821"/>
    <w:rsid w:val="0011394B"/>
    <w:rsid w:val="00113CEE"/>
    <w:rsid w:val="00114058"/>
    <w:rsid w:val="00114342"/>
    <w:rsid w:val="0011449E"/>
    <w:rsid w:val="001153EF"/>
    <w:rsid w:val="00115D55"/>
    <w:rsid w:val="00115E45"/>
    <w:rsid w:val="00115F85"/>
    <w:rsid w:val="00115FD1"/>
    <w:rsid w:val="001165CC"/>
    <w:rsid w:val="0011688E"/>
    <w:rsid w:val="00116ACD"/>
    <w:rsid w:val="00117B7D"/>
    <w:rsid w:val="00120284"/>
    <w:rsid w:val="001205A8"/>
    <w:rsid w:val="00120948"/>
    <w:rsid w:val="0012180B"/>
    <w:rsid w:val="00122A64"/>
    <w:rsid w:val="00123641"/>
    <w:rsid w:val="0012388A"/>
    <w:rsid w:val="0012388C"/>
    <w:rsid w:val="00123AFA"/>
    <w:rsid w:val="00123C8C"/>
    <w:rsid w:val="00123D68"/>
    <w:rsid w:val="00123E8B"/>
    <w:rsid w:val="00124B43"/>
    <w:rsid w:val="00124DF8"/>
    <w:rsid w:val="001253EA"/>
    <w:rsid w:val="00125B99"/>
    <w:rsid w:val="00126160"/>
    <w:rsid w:val="00126DB5"/>
    <w:rsid w:val="00127178"/>
    <w:rsid w:val="00127D2B"/>
    <w:rsid w:val="00127F09"/>
    <w:rsid w:val="0013002A"/>
    <w:rsid w:val="0013085D"/>
    <w:rsid w:val="0013089C"/>
    <w:rsid w:val="00130A2D"/>
    <w:rsid w:val="00130F54"/>
    <w:rsid w:val="00131888"/>
    <w:rsid w:val="00131F17"/>
    <w:rsid w:val="001323F9"/>
    <w:rsid w:val="0013251F"/>
    <w:rsid w:val="00132FA3"/>
    <w:rsid w:val="00133088"/>
    <w:rsid w:val="00133346"/>
    <w:rsid w:val="001335B1"/>
    <w:rsid w:val="0013372D"/>
    <w:rsid w:val="00133733"/>
    <w:rsid w:val="00133B4E"/>
    <w:rsid w:val="00133D47"/>
    <w:rsid w:val="001346AF"/>
    <w:rsid w:val="00134990"/>
    <w:rsid w:val="00134AD9"/>
    <w:rsid w:val="00135416"/>
    <w:rsid w:val="001354D1"/>
    <w:rsid w:val="001355E7"/>
    <w:rsid w:val="00135A0A"/>
    <w:rsid w:val="00135BB9"/>
    <w:rsid w:val="0013621D"/>
    <w:rsid w:val="00136354"/>
    <w:rsid w:val="00136674"/>
    <w:rsid w:val="00136B0E"/>
    <w:rsid w:val="00136C3B"/>
    <w:rsid w:val="00137103"/>
    <w:rsid w:val="001376AB"/>
    <w:rsid w:val="0013777C"/>
    <w:rsid w:val="00137D5F"/>
    <w:rsid w:val="00140082"/>
    <w:rsid w:val="00140175"/>
    <w:rsid w:val="00140757"/>
    <w:rsid w:val="00140B62"/>
    <w:rsid w:val="00140D07"/>
    <w:rsid w:val="00141A3A"/>
    <w:rsid w:val="001422F4"/>
    <w:rsid w:val="001423FA"/>
    <w:rsid w:val="001427B5"/>
    <w:rsid w:val="001428CF"/>
    <w:rsid w:val="00142D0C"/>
    <w:rsid w:val="00142E3C"/>
    <w:rsid w:val="00144013"/>
    <w:rsid w:val="001454B8"/>
    <w:rsid w:val="00145A17"/>
    <w:rsid w:val="00145BBE"/>
    <w:rsid w:val="00145D7F"/>
    <w:rsid w:val="001460B5"/>
    <w:rsid w:val="0014641F"/>
    <w:rsid w:val="001464A8"/>
    <w:rsid w:val="00146618"/>
    <w:rsid w:val="001467BB"/>
    <w:rsid w:val="00146AB3"/>
    <w:rsid w:val="00146CA8"/>
    <w:rsid w:val="001472A5"/>
    <w:rsid w:val="00147884"/>
    <w:rsid w:val="00150669"/>
    <w:rsid w:val="00150827"/>
    <w:rsid w:val="00150B0D"/>
    <w:rsid w:val="00151E31"/>
    <w:rsid w:val="00151F9B"/>
    <w:rsid w:val="00152095"/>
    <w:rsid w:val="00152289"/>
    <w:rsid w:val="00152425"/>
    <w:rsid w:val="00152BAD"/>
    <w:rsid w:val="00152CE3"/>
    <w:rsid w:val="00153652"/>
    <w:rsid w:val="00153697"/>
    <w:rsid w:val="00153956"/>
    <w:rsid w:val="00153B95"/>
    <w:rsid w:val="00154146"/>
    <w:rsid w:val="00154190"/>
    <w:rsid w:val="001545EA"/>
    <w:rsid w:val="001549BA"/>
    <w:rsid w:val="00154FFC"/>
    <w:rsid w:val="00155099"/>
    <w:rsid w:val="001553F5"/>
    <w:rsid w:val="00155C85"/>
    <w:rsid w:val="00156A6C"/>
    <w:rsid w:val="00156B10"/>
    <w:rsid w:val="00157823"/>
    <w:rsid w:val="0015790D"/>
    <w:rsid w:val="00157C5E"/>
    <w:rsid w:val="0016015A"/>
    <w:rsid w:val="0016020E"/>
    <w:rsid w:val="00160503"/>
    <w:rsid w:val="00160701"/>
    <w:rsid w:val="00160D7C"/>
    <w:rsid w:val="00160E30"/>
    <w:rsid w:val="0016106D"/>
    <w:rsid w:val="001612E1"/>
    <w:rsid w:val="001614DB"/>
    <w:rsid w:val="0016194E"/>
    <w:rsid w:val="0016236C"/>
    <w:rsid w:val="00162625"/>
    <w:rsid w:val="001630A8"/>
    <w:rsid w:val="001634C7"/>
    <w:rsid w:val="00163826"/>
    <w:rsid w:val="00163943"/>
    <w:rsid w:val="00163BA1"/>
    <w:rsid w:val="00163F22"/>
    <w:rsid w:val="0016417B"/>
    <w:rsid w:val="0016470E"/>
    <w:rsid w:val="00164E0A"/>
    <w:rsid w:val="0016520F"/>
    <w:rsid w:val="001652D7"/>
    <w:rsid w:val="0016596E"/>
    <w:rsid w:val="00165A5F"/>
    <w:rsid w:val="00166223"/>
    <w:rsid w:val="00166492"/>
    <w:rsid w:val="001670D8"/>
    <w:rsid w:val="0016793E"/>
    <w:rsid w:val="00167D4D"/>
    <w:rsid w:val="00170635"/>
    <w:rsid w:val="0017070D"/>
    <w:rsid w:val="00170837"/>
    <w:rsid w:val="00171035"/>
    <w:rsid w:val="001713B7"/>
    <w:rsid w:val="00171ADB"/>
    <w:rsid w:val="00172029"/>
    <w:rsid w:val="001733A4"/>
    <w:rsid w:val="00173AB9"/>
    <w:rsid w:val="00173EED"/>
    <w:rsid w:val="00174368"/>
    <w:rsid w:val="001744EA"/>
    <w:rsid w:val="00174D82"/>
    <w:rsid w:val="00174E44"/>
    <w:rsid w:val="00175053"/>
    <w:rsid w:val="001753B7"/>
    <w:rsid w:val="001757E7"/>
    <w:rsid w:val="00175873"/>
    <w:rsid w:val="0017592E"/>
    <w:rsid w:val="00175C59"/>
    <w:rsid w:val="001760BC"/>
    <w:rsid w:val="00176674"/>
    <w:rsid w:val="00176818"/>
    <w:rsid w:val="00176B82"/>
    <w:rsid w:val="00176E3B"/>
    <w:rsid w:val="00176ECB"/>
    <w:rsid w:val="0017716E"/>
    <w:rsid w:val="0017752D"/>
    <w:rsid w:val="0017759F"/>
    <w:rsid w:val="00177832"/>
    <w:rsid w:val="00177D48"/>
    <w:rsid w:val="00181178"/>
    <w:rsid w:val="0018119E"/>
    <w:rsid w:val="00181EEF"/>
    <w:rsid w:val="00181F3E"/>
    <w:rsid w:val="00182FE0"/>
    <w:rsid w:val="00183911"/>
    <w:rsid w:val="001845FB"/>
    <w:rsid w:val="00184CDD"/>
    <w:rsid w:val="00184DAB"/>
    <w:rsid w:val="00185490"/>
    <w:rsid w:val="00185DA6"/>
    <w:rsid w:val="00185F64"/>
    <w:rsid w:val="00186096"/>
    <w:rsid w:val="00186F7C"/>
    <w:rsid w:val="0018772E"/>
    <w:rsid w:val="00187A94"/>
    <w:rsid w:val="0019029E"/>
    <w:rsid w:val="00190329"/>
    <w:rsid w:val="00190804"/>
    <w:rsid w:val="0019088F"/>
    <w:rsid w:val="00190C51"/>
    <w:rsid w:val="00192FA5"/>
    <w:rsid w:val="0019336B"/>
    <w:rsid w:val="001939A6"/>
    <w:rsid w:val="00193ACC"/>
    <w:rsid w:val="00193BFE"/>
    <w:rsid w:val="00194E7E"/>
    <w:rsid w:val="00195322"/>
    <w:rsid w:val="0019560E"/>
    <w:rsid w:val="00195702"/>
    <w:rsid w:val="001958E3"/>
    <w:rsid w:val="0019601B"/>
    <w:rsid w:val="00196048"/>
    <w:rsid w:val="00196A82"/>
    <w:rsid w:val="0019769B"/>
    <w:rsid w:val="00197FFE"/>
    <w:rsid w:val="001A0D25"/>
    <w:rsid w:val="001A1570"/>
    <w:rsid w:val="001A1917"/>
    <w:rsid w:val="001A1C64"/>
    <w:rsid w:val="001A1E7F"/>
    <w:rsid w:val="001A228D"/>
    <w:rsid w:val="001A2918"/>
    <w:rsid w:val="001A2D02"/>
    <w:rsid w:val="001A2DFE"/>
    <w:rsid w:val="001A3076"/>
    <w:rsid w:val="001A3120"/>
    <w:rsid w:val="001A31A5"/>
    <w:rsid w:val="001A389C"/>
    <w:rsid w:val="001A3B75"/>
    <w:rsid w:val="001A46FB"/>
    <w:rsid w:val="001A5944"/>
    <w:rsid w:val="001A5FB1"/>
    <w:rsid w:val="001A698A"/>
    <w:rsid w:val="001A6CCC"/>
    <w:rsid w:val="001A70C8"/>
    <w:rsid w:val="001A71C9"/>
    <w:rsid w:val="001A7429"/>
    <w:rsid w:val="001A760C"/>
    <w:rsid w:val="001A799B"/>
    <w:rsid w:val="001A7AC7"/>
    <w:rsid w:val="001A7C38"/>
    <w:rsid w:val="001B02F8"/>
    <w:rsid w:val="001B2104"/>
    <w:rsid w:val="001B2279"/>
    <w:rsid w:val="001B2729"/>
    <w:rsid w:val="001B2866"/>
    <w:rsid w:val="001B2881"/>
    <w:rsid w:val="001B34A3"/>
    <w:rsid w:val="001B3675"/>
    <w:rsid w:val="001B37C8"/>
    <w:rsid w:val="001B4B2C"/>
    <w:rsid w:val="001B4F10"/>
    <w:rsid w:val="001B5026"/>
    <w:rsid w:val="001B5154"/>
    <w:rsid w:val="001B5B75"/>
    <w:rsid w:val="001B6E30"/>
    <w:rsid w:val="001B7C83"/>
    <w:rsid w:val="001B7F9E"/>
    <w:rsid w:val="001C0206"/>
    <w:rsid w:val="001C0246"/>
    <w:rsid w:val="001C04D4"/>
    <w:rsid w:val="001C0B34"/>
    <w:rsid w:val="001C12A3"/>
    <w:rsid w:val="001C17BB"/>
    <w:rsid w:val="001C187E"/>
    <w:rsid w:val="001C1A37"/>
    <w:rsid w:val="001C1C49"/>
    <w:rsid w:val="001C286F"/>
    <w:rsid w:val="001C2B86"/>
    <w:rsid w:val="001C2F54"/>
    <w:rsid w:val="001C2FBE"/>
    <w:rsid w:val="001C3308"/>
    <w:rsid w:val="001C3BBB"/>
    <w:rsid w:val="001C40D1"/>
    <w:rsid w:val="001C468A"/>
    <w:rsid w:val="001C4A38"/>
    <w:rsid w:val="001C4A9E"/>
    <w:rsid w:val="001C5001"/>
    <w:rsid w:val="001C5103"/>
    <w:rsid w:val="001C52A8"/>
    <w:rsid w:val="001C5ADF"/>
    <w:rsid w:val="001C5E8E"/>
    <w:rsid w:val="001C6120"/>
    <w:rsid w:val="001C6516"/>
    <w:rsid w:val="001C6B5C"/>
    <w:rsid w:val="001C7155"/>
    <w:rsid w:val="001C71D9"/>
    <w:rsid w:val="001C7E48"/>
    <w:rsid w:val="001D039B"/>
    <w:rsid w:val="001D1258"/>
    <w:rsid w:val="001D14AB"/>
    <w:rsid w:val="001D1AB8"/>
    <w:rsid w:val="001D286F"/>
    <w:rsid w:val="001D2C94"/>
    <w:rsid w:val="001D33D9"/>
    <w:rsid w:val="001D36F6"/>
    <w:rsid w:val="001D3D5F"/>
    <w:rsid w:val="001D4303"/>
    <w:rsid w:val="001D45E5"/>
    <w:rsid w:val="001D461A"/>
    <w:rsid w:val="001D4A9D"/>
    <w:rsid w:val="001D4AAD"/>
    <w:rsid w:val="001D5AFA"/>
    <w:rsid w:val="001D7177"/>
    <w:rsid w:val="001D756E"/>
    <w:rsid w:val="001D784A"/>
    <w:rsid w:val="001E04A4"/>
    <w:rsid w:val="001E04EE"/>
    <w:rsid w:val="001E07C5"/>
    <w:rsid w:val="001E176D"/>
    <w:rsid w:val="001E1BCE"/>
    <w:rsid w:val="001E1E05"/>
    <w:rsid w:val="001E2086"/>
    <w:rsid w:val="001E339F"/>
    <w:rsid w:val="001E3629"/>
    <w:rsid w:val="001E3B2C"/>
    <w:rsid w:val="001E40F0"/>
    <w:rsid w:val="001E4172"/>
    <w:rsid w:val="001E4AC7"/>
    <w:rsid w:val="001E5490"/>
    <w:rsid w:val="001E5513"/>
    <w:rsid w:val="001E5730"/>
    <w:rsid w:val="001E5E2E"/>
    <w:rsid w:val="001E6352"/>
    <w:rsid w:val="001E70AD"/>
    <w:rsid w:val="001E7237"/>
    <w:rsid w:val="001E7AF6"/>
    <w:rsid w:val="001E7FBF"/>
    <w:rsid w:val="001F01B8"/>
    <w:rsid w:val="001F0FC3"/>
    <w:rsid w:val="001F1188"/>
    <w:rsid w:val="001F1B8D"/>
    <w:rsid w:val="001F274F"/>
    <w:rsid w:val="001F289C"/>
    <w:rsid w:val="001F2BF9"/>
    <w:rsid w:val="001F3AF2"/>
    <w:rsid w:val="001F6008"/>
    <w:rsid w:val="001F641B"/>
    <w:rsid w:val="001F6C19"/>
    <w:rsid w:val="001F6D4D"/>
    <w:rsid w:val="001F7C00"/>
    <w:rsid w:val="0020042C"/>
    <w:rsid w:val="002009A3"/>
    <w:rsid w:val="00200F1A"/>
    <w:rsid w:val="0020130D"/>
    <w:rsid w:val="00201D06"/>
    <w:rsid w:val="00201E9F"/>
    <w:rsid w:val="00202790"/>
    <w:rsid w:val="00202F25"/>
    <w:rsid w:val="002035B3"/>
    <w:rsid w:val="00203929"/>
    <w:rsid w:val="00203CD6"/>
    <w:rsid w:val="00203F0A"/>
    <w:rsid w:val="00204460"/>
    <w:rsid w:val="002051EA"/>
    <w:rsid w:val="00205CBC"/>
    <w:rsid w:val="00205E9E"/>
    <w:rsid w:val="00206259"/>
    <w:rsid w:val="00206CE5"/>
    <w:rsid w:val="00207032"/>
    <w:rsid w:val="002074B7"/>
    <w:rsid w:val="0020758D"/>
    <w:rsid w:val="00207C7B"/>
    <w:rsid w:val="00211470"/>
    <w:rsid w:val="00211922"/>
    <w:rsid w:val="0021213A"/>
    <w:rsid w:val="0021265F"/>
    <w:rsid w:val="00213817"/>
    <w:rsid w:val="00214428"/>
    <w:rsid w:val="002145EB"/>
    <w:rsid w:val="00215834"/>
    <w:rsid w:val="00215CC2"/>
    <w:rsid w:val="00215ED8"/>
    <w:rsid w:val="00217700"/>
    <w:rsid w:val="002177E2"/>
    <w:rsid w:val="002205F3"/>
    <w:rsid w:val="0022085B"/>
    <w:rsid w:val="00220E53"/>
    <w:rsid w:val="0022176C"/>
    <w:rsid w:val="002225D1"/>
    <w:rsid w:val="002230FA"/>
    <w:rsid w:val="002235D9"/>
    <w:rsid w:val="00223AB9"/>
    <w:rsid w:val="00223DF2"/>
    <w:rsid w:val="00224737"/>
    <w:rsid w:val="00224C0C"/>
    <w:rsid w:val="00225323"/>
    <w:rsid w:val="002256C2"/>
    <w:rsid w:val="002256D0"/>
    <w:rsid w:val="00225C8E"/>
    <w:rsid w:val="00226428"/>
    <w:rsid w:val="002265A9"/>
    <w:rsid w:val="002266CB"/>
    <w:rsid w:val="00226777"/>
    <w:rsid w:val="0022701E"/>
    <w:rsid w:val="00227052"/>
    <w:rsid w:val="002272D5"/>
    <w:rsid w:val="0022738E"/>
    <w:rsid w:val="00227906"/>
    <w:rsid w:val="00227934"/>
    <w:rsid w:val="00227E21"/>
    <w:rsid w:val="00230178"/>
    <w:rsid w:val="00231D05"/>
    <w:rsid w:val="002336E2"/>
    <w:rsid w:val="00233AC2"/>
    <w:rsid w:val="00233BAF"/>
    <w:rsid w:val="00235420"/>
    <w:rsid w:val="002356A5"/>
    <w:rsid w:val="00235DAA"/>
    <w:rsid w:val="0024065B"/>
    <w:rsid w:val="002409A6"/>
    <w:rsid w:val="00240EA5"/>
    <w:rsid w:val="00241132"/>
    <w:rsid w:val="00241205"/>
    <w:rsid w:val="002418C5"/>
    <w:rsid w:val="002419ED"/>
    <w:rsid w:val="0024261D"/>
    <w:rsid w:val="00242DFB"/>
    <w:rsid w:val="00243807"/>
    <w:rsid w:val="002440AC"/>
    <w:rsid w:val="00244365"/>
    <w:rsid w:val="0024459A"/>
    <w:rsid w:val="00244771"/>
    <w:rsid w:val="00244903"/>
    <w:rsid w:val="00244AFB"/>
    <w:rsid w:val="002453DF"/>
    <w:rsid w:val="00245A81"/>
    <w:rsid w:val="00246B86"/>
    <w:rsid w:val="00247335"/>
    <w:rsid w:val="002473EF"/>
    <w:rsid w:val="002477B9"/>
    <w:rsid w:val="00247CBE"/>
    <w:rsid w:val="00250100"/>
    <w:rsid w:val="00250A1F"/>
    <w:rsid w:val="00250ADA"/>
    <w:rsid w:val="00250F1D"/>
    <w:rsid w:val="0025194E"/>
    <w:rsid w:val="00251FF1"/>
    <w:rsid w:val="002520BA"/>
    <w:rsid w:val="00252234"/>
    <w:rsid w:val="002527AF"/>
    <w:rsid w:val="002528E3"/>
    <w:rsid w:val="00252944"/>
    <w:rsid w:val="00252D55"/>
    <w:rsid w:val="00252D82"/>
    <w:rsid w:val="00253006"/>
    <w:rsid w:val="002533F5"/>
    <w:rsid w:val="002538CE"/>
    <w:rsid w:val="00253C60"/>
    <w:rsid w:val="00253F21"/>
    <w:rsid w:val="0025429D"/>
    <w:rsid w:val="002549E9"/>
    <w:rsid w:val="00254FF6"/>
    <w:rsid w:val="00255099"/>
    <w:rsid w:val="002555C6"/>
    <w:rsid w:val="00255E14"/>
    <w:rsid w:val="0025615C"/>
    <w:rsid w:val="00257059"/>
    <w:rsid w:val="0025712F"/>
    <w:rsid w:val="00257395"/>
    <w:rsid w:val="00257857"/>
    <w:rsid w:val="002578DA"/>
    <w:rsid w:val="00257CBC"/>
    <w:rsid w:val="002602C2"/>
    <w:rsid w:val="002602DA"/>
    <w:rsid w:val="0026040B"/>
    <w:rsid w:val="00260802"/>
    <w:rsid w:val="002609E3"/>
    <w:rsid w:val="00261223"/>
    <w:rsid w:val="002617AB"/>
    <w:rsid w:val="00261D08"/>
    <w:rsid w:val="00261DCC"/>
    <w:rsid w:val="002624D0"/>
    <w:rsid w:val="00263AE7"/>
    <w:rsid w:val="00263EC7"/>
    <w:rsid w:val="00264441"/>
    <w:rsid w:val="0026491B"/>
    <w:rsid w:val="00264A36"/>
    <w:rsid w:val="00264B06"/>
    <w:rsid w:val="00264C1B"/>
    <w:rsid w:val="00265E2E"/>
    <w:rsid w:val="002661AB"/>
    <w:rsid w:val="002668DB"/>
    <w:rsid w:val="0026742B"/>
    <w:rsid w:val="002674FE"/>
    <w:rsid w:val="00270748"/>
    <w:rsid w:val="0027105A"/>
    <w:rsid w:val="0027117F"/>
    <w:rsid w:val="00271283"/>
    <w:rsid w:val="002712DC"/>
    <w:rsid w:val="00271875"/>
    <w:rsid w:val="002718FF"/>
    <w:rsid w:val="00271955"/>
    <w:rsid w:val="00272278"/>
    <w:rsid w:val="00272432"/>
    <w:rsid w:val="00272633"/>
    <w:rsid w:val="00272CAB"/>
    <w:rsid w:val="00272FBF"/>
    <w:rsid w:val="00273A10"/>
    <w:rsid w:val="00273A58"/>
    <w:rsid w:val="00273FBB"/>
    <w:rsid w:val="00274CAB"/>
    <w:rsid w:val="00274E8A"/>
    <w:rsid w:val="0027507D"/>
    <w:rsid w:val="00275FCE"/>
    <w:rsid w:val="002766B8"/>
    <w:rsid w:val="0027680F"/>
    <w:rsid w:val="00281006"/>
    <w:rsid w:val="002815B1"/>
    <w:rsid w:val="00281A3D"/>
    <w:rsid w:val="00281C1F"/>
    <w:rsid w:val="00281EEA"/>
    <w:rsid w:val="00281F88"/>
    <w:rsid w:val="0028288D"/>
    <w:rsid w:val="002829B7"/>
    <w:rsid w:val="00282B82"/>
    <w:rsid w:val="00282C74"/>
    <w:rsid w:val="00282E5B"/>
    <w:rsid w:val="00282F51"/>
    <w:rsid w:val="00283995"/>
    <w:rsid w:val="00283B11"/>
    <w:rsid w:val="002841A9"/>
    <w:rsid w:val="00284313"/>
    <w:rsid w:val="002848AD"/>
    <w:rsid w:val="00284A5E"/>
    <w:rsid w:val="00285154"/>
    <w:rsid w:val="00285BF2"/>
    <w:rsid w:val="00285C78"/>
    <w:rsid w:val="002863CE"/>
    <w:rsid w:val="002868CF"/>
    <w:rsid w:val="0028702A"/>
    <w:rsid w:val="0028732A"/>
    <w:rsid w:val="00290F01"/>
    <w:rsid w:val="00291035"/>
    <w:rsid w:val="00291492"/>
    <w:rsid w:val="00291527"/>
    <w:rsid w:val="0029199A"/>
    <w:rsid w:val="00291BBE"/>
    <w:rsid w:val="00291FEB"/>
    <w:rsid w:val="002920B3"/>
    <w:rsid w:val="00293146"/>
    <w:rsid w:val="0029361E"/>
    <w:rsid w:val="00293D68"/>
    <w:rsid w:val="0029431E"/>
    <w:rsid w:val="00294352"/>
    <w:rsid w:val="002944A0"/>
    <w:rsid w:val="002946E4"/>
    <w:rsid w:val="0029495C"/>
    <w:rsid w:val="00294CEE"/>
    <w:rsid w:val="002957D9"/>
    <w:rsid w:val="00295B52"/>
    <w:rsid w:val="00296024"/>
    <w:rsid w:val="00296293"/>
    <w:rsid w:val="00296330"/>
    <w:rsid w:val="0029686F"/>
    <w:rsid w:val="00296AF7"/>
    <w:rsid w:val="002972F9"/>
    <w:rsid w:val="002977CA"/>
    <w:rsid w:val="00297DC9"/>
    <w:rsid w:val="00297ED7"/>
    <w:rsid w:val="002A0007"/>
    <w:rsid w:val="002A03AA"/>
    <w:rsid w:val="002A056D"/>
    <w:rsid w:val="002A0649"/>
    <w:rsid w:val="002A07FE"/>
    <w:rsid w:val="002A094D"/>
    <w:rsid w:val="002A0CAF"/>
    <w:rsid w:val="002A1565"/>
    <w:rsid w:val="002A16A9"/>
    <w:rsid w:val="002A2941"/>
    <w:rsid w:val="002A2DC4"/>
    <w:rsid w:val="002A3E69"/>
    <w:rsid w:val="002A41F7"/>
    <w:rsid w:val="002A44F9"/>
    <w:rsid w:val="002A46D1"/>
    <w:rsid w:val="002A49EF"/>
    <w:rsid w:val="002A4B8B"/>
    <w:rsid w:val="002A4C3D"/>
    <w:rsid w:val="002A5107"/>
    <w:rsid w:val="002A535E"/>
    <w:rsid w:val="002A6406"/>
    <w:rsid w:val="002A6AD0"/>
    <w:rsid w:val="002A6CF0"/>
    <w:rsid w:val="002A6FFC"/>
    <w:rsid w:val="002A7010"/>
    <w:rsid w:val="002A70BA"/>
    <w:rsid w:val="002A7A57"/>
    <w:rsid w:val="002A7BB2"/>
    <w:rsid w:val="002A7DCB"/>
    <w:rsid w:val="002B0B53"/>
    <w:rsid w:val="002B1617"/>
    <w:rsid w:val="002B194B"/>
    <w:rsid w:val="002B1D11"/>
    <w:rsid w:val="002B273B"/>
    <w:rsid w:val="002B29AA"/>
    <w:rsid w:val="002B2A7E"/>
    <w:rsid w:val="002B2F1B"/>
    <w:rsid w:val="002B4A32"/>
    <w:rsid w:val="002B4C6B"/>
    <w:rsid w:val="002B5AFB"/>
    <w:rsid w:val="002B6320"/>
    <w:rsid w:val="002B66AC"/>
    <w:rsid w:val="002B6852"/>
    <w:rsid w:val="002B77E1"/>
    <w:rsid w:val="002C0714"/>
    <w:rsid w:val="002C0A96"/>
    <w:rsid w:val="002C10A8"/>
    <w:rsid w:val="002C1BF4"/>
    <w:rsid w:val="002C1E0D"/>
    <w:rsid w:val="002C2266"/>
    <w:rsid w:val="002C2309"/>
    <w:rsid w:val="002C24D1"/>
    <w:rsid w:val="002C28EB"/>
    <w:rsid w:val="002C3265"/>
    <w:rsid w:val="002C3666"/>
    <w:rsid w:val="002C3AED"/>
    <w:rsid w:val="002C3E56"/>
    <w:rsid w:val="002C414C"/>
    <w:rsid w:val="002C4C2F"/>
    <w:rsid w:val="002C5776"/>
    <w:rsid w:val="002C5CD6"/>
    <w:rsid w:val="002C5EED"/>
    <w:rsid w:val="002C66DE"/>
    <w:rsid w:val="002C7193"/>
    <w:rsid w:val="002C7699"/>
    <w:rsid w:val="002C7A49"/>
    <w:rsid w:val="002C7B1A"/>
    <w:rsid w:val="002D0128"/>
    <w:rsid w:val="002D0E85"/>
    <w:rsid w:val="002D0FA7"/>
    <w:rsid w:val="002D12FB"/>
    <w:rsid w:val="002D1306"/>
    <w:rsid w:val="002D19D1"/>
    <w:rsid w:val="002D1F35"/>
    <w:rsid w:val="002D1FA3"/>
    <w:rsid w:val="002D20CD"/>
    <w:rsid w:val="002D23C6"/>
    <w:rsid w:val="002D24F0"/>
    <w:rsid w:val="002D25EB"/>
    <w:rsid w:val="002D29F3"/>
    <w:rsid w:val="002D3126"/>
    <w:rsid w:val="002D3529"/>
    <w:rsid w:val="002D3D0A"/>
    <w:rsid w:val="002D478E"/>
    <w:rsid w:val="002D47AE"/>
    <w:rsid w:val="002D4A94"/>
    <w:rsid w:val="002D5CBF"/>
    <w:rsid w:val="002D65FF"/>
    <w:rsid w:val="002D6D10"/>
    <w:rsid w:val="002D71E2"/>
    <w:rsid w:val="002D7367"/>
    <w:rsid w:val="002D7961"/>
    <w:rsid w:val="002D7B6A"/>
    <w:rsid w:val="002D7E36"/>
    <w:rsid w:val="002E0026"/>
    <w:rsid w:val="002E08E8"/>
    <w:rsid w:val="002E0918"/>
    <w:rsid w:val="002E0BAA"/>
    <w:rsid w:val="002E0D96"/>
    <w:rsid w:val="002E0EA5"/>
    <w:rsid w:val="002E1E19"/>
    <w:rsid w:val="002E283F"/>
    <w:rsid w:val="002E2854"/>
    <w:rsid w:val="002E2E74"/>
    <w:rsid w:val="002E32D2"/>
    <w:rsid w:val="002E361B"/>
    <w:rsid w:val="002E37AB"/>
    <w:rsid w:val="002E3A80"/>
    <w:rsid w:val="002E41C7"/>
    <w:rsid w:val="002E51DF"/>
    <w:rsid w:val="002E555B"/>
    <w:rsid w:val="002E57B9"/>
    <w:rsid w:val="002E6127"/>
    <w:rsid w:val="002E6885"/>
    <w:rsid w:val="002E6E81"/>
    <w:rsid w:val="002E72E4"/>
    <w:rsid w:val="002E739D"/>
    <w:rsid w:val="002F0F36"/>
    <w:rsid w:val="002F1276"/>
    <w:rsid w:val="002F1986"/>
    <w:rsid w:val="002F1E5F"/>
    <w:rsid w:val="002F2A49"/>
    <w:rsid w:val="002F3550"/>
    <w:rsid w:val="002F3B63"/>
    <w:rsid w:val="002F3C56"/>
    <w:rsid w:val="002F46B0"/>
    <w:rsid w:val="002F4B17"/>
    <w:rsid w:val="002F5150"/>
    <w:rsid w:val="002F5463"/>
    <w:rsid w:val="002F58C2"/>
    <w:rsid w:val="002F5932"/>
    <w:rsid w:val="002F5C85"/>
    <w:rsid w:val="002F603B"/>
    <w:rsid w:val="002F6201"/>
    <w:rsid w:val="002F6884"/>
    <w:rsid w:val="002F6A2B"/>
    <w:rsid w:val="002F6CB1"/>
    <w:rsid w:val="002F702F"/>
    <w:rsid w:val="002F724B"/>
    <w:rsid w:val="002F72BA"/>
    <w:rsid w:val="00300267"/>
    <w:rsid w:val="003004D2"/>
    <w:rsid w:val="00300674"/>
    <w:rsid w:val="00300C88"/>
    <w:rsid w:val="00300D6B"/>
    <w:rsid w:val="00301380"/>
    <w:rsid w:val="00301E89"/>
    <w:rsid w:val="00302052"/>
    <w:rsid w:val="00302142"/>
    <w:rsid w:val="00302169"/>
    <w:rsid w:val="00302612"/>
    <w:rsid w:val="00303254"/>
    <w:rsid w:val="00303B08"/>
    <w:rsid w:val="0030408D"/>
    <w:rsid w:val="003044D9"/>
    <w:rsid w:val="00304D8A"/>
    <w:rsid w:val="00305216"/>
    <w:rsid w:val="0030555B"/>
    <w:rsid w:val="00305BFD"/>
    <w:rsid w:val="003061F5"/>
    <w:rsid w:val="00306D27"/>
    <w:rsid w:val="0030739C"/>
    <w:rsid w:val="00310D51"/>
    <w:rsid w:val="00311B36"/>
    <w:rsid w:val="00311C92"/>
    <w:rsid w:val="003133AE"/>
    <w:rsid w:val="00313414"/>
    <w:rsid w:val="0031371B"/>
    <w:rsid w:val="00313F2D"/>
    <w:rsid w:val="00314156"/>
    <w:rsid w:val="00315081"/>
    <w:rsid w:val="0031535B"/>
    <w:rsid w:val="003170F4"/>
    <w:rsid w:val="0031750F"/>
    <w:rsid w:val="0032035D"/>
    <w:rsid w:val="003205E9"/>
    <w:rsid w:val="00320B28"/>
    <w:rsid w:val="0032123E"/>
    <w:rsid w:val="003216D5"/>
    <w:rsid w:val="003216FF"/>
    <w:rsid w:val="00321866"/>
    <w:rsid w:val="00321A83"/>
    <w:rsid w:val="00321C1A"/>
    <w:rsid w:val="00321F6B"/>
    <w:rsid w:val="00322389"/>
    <w:rsid w:val="00322BE5"/>
    <w:rsid w:val="00322E87"/>
    <w:rsid w:val="0032312D"/>
    <w:rsid w:val="00323AA5"/>
    <w:rsid w:val="003242E4"/>
    <w:rsid w:val="0032468D"/>
    <w:rsid w:val="00324801"/>
    <w:rsid w:val="00324926"/>
    <w:rsid w:val="00324B25"/>
    <w:rsid w:val="0032522F"/>
    <w:rsid w:val="003253C4"/>
    <w:rsid w:val="0032550F"/>
    <w:rsid w:val="00325992"/>
    <w:rsid w:val="00325B74"/>
    <w:rsid w:val="0032638F"/>
    <w:rsid w:val="00326B59"/>
    <w:rsid w:val="003272C6"/>
    <w:rsid w:val="0032746C"/>
    <w:rsid w:val="00327752"/>
    <w:rsid w:val="00327C7C"/>
    <w:rsid w:val="00330009"/>
    <w:rsid w:val="003301E6"/>
    <w:rsid w:val="003310AB"/>
    <w:rsid w:val="003314D2"/>
    <w:rsid w:val="00331712"/>
    <w:rsid w:val="00331A3F"/>
    <w:rsid w:val="00332191"/>
    <w:rsid w:val="00332720"/>
    <w:rsid w:val="00332EED"/>
    <w:rsid w:val="003334A7"/>
    <w:rsid w:val="003337E8"/>
    <w:rsid w:val="00333A14"/>
    <w:rsid w:val="00333B2A"/>
    <w:rsid w:val="00333FD5"/>
    <w:rsid w:val="003350E9"/>
    <w:rsid w:val="003351BA"/>
    <w:rsid w:val="0033520F"/>
    <w:rsid w:val="00335519"/>
    <w:rsid w:val="0033596B"/>
    <w:rsid w:val="00335A93"/>
    <w:rsid w:val="0033650E"/>
    <w:rsid w:val="003366EF"/>
    <w:rsid w:val="00336907"/>
    <w:rsid w:val="003369DF"/>
    <w:rsid w:val="00336C71"/>
    <w:rsid w:val="00336D96"/>
    <w:rsid w:val="00336DFC"/>
    <w:rsid w:val="00337230"/>
    <w:rsid w:val="00337588"/>
    <w:rsid w:val="003377D0"/>
    <w:rsid w:val="00337D75"/>
    <w:rsid w:val="00340020"/>
    <w:rsid w:val="0034081A"/>
    <w:rsid w:val="00341162"/>
    <w:rsid w:val="00341866"/>
    <w:rsid w:val="00341DAF"/>
    <w:rsid w:val="00342181"/>
    <w:rsid w:val="0034339B"/>
    <w:rsid w:val="00343560"/>
    <w:rsid w:val="00343A20"/>
    <w:rsid w:val="0034402B"/>
    <w:rsid w:val="0034449E"/>
    <w:rsid w:val="00344D46"/>
    <w:rsid w:val="0034621B"/>
    <w:rsid w:val="003465A5"/>
    <w:rsid w:val="00346817"/>
    <w:rsid w:val="00347440"/>
    <w:rsid w:val="003475EA"/>
    <w:rsid w:val="0034792D"/>
    <w:rsid w:val="00347A27"/>
    <w:rsid w:val="00347CD4"/>
    <w:rsid w:val="00350A55"/>
    <w:rsid w:val="00350DF8"/>
    <w:rsid w:val="00351A8A"/>
    <w:rsid w:val="00352541"/>
    <w:rsid w:val="0035266A"/>
    <w:rsid w:val="0035279C"/>
    <w:rsid w:val="00352B23"/>
    <w:rsid w:val="00352C49"/>
    <w:rsid w:val="003534D3"/>
    <w:rsid w:val="003535D2"/>
    <w:rsid w:val="0035384D"/>
    <w:rsid w:val="00353BF0"/>
    <w:rsid w:val="00353C0B"/>
    <w:rsid w:val="00354AE4"/>
    <w:rsid w:val="00354B0A"/>
    <w:rsid w:val="0035551B"/>
    <w:rsid w:val="003555ED"/>
    <w:rsid w:val="00355911"/>
    <w:rsid w:val="0035636B"/>
    <w:rsid w:val="00356714"/>
    <w:rsid w:val="00357424"/>
    <w:rsid w:val="00361789"/>
    <w:rsid w:val="0036196D"/>
    <w:rsid w:val="00361EEC"/>
    <w:rsid w:val="0036208F"/>
    <w:rsid w:val="003627BD"/>
    <w:rsid w:val="00362997"/>
    <w:rsid w:val="003629B5"/>
    <w:rsid w:val="00362C59"/>
    <w:rsid w:val="00363040"/>
    <w:rsid w:val="003630B7"/>
    <w:rsid w:val="00363275"/>
    <w:rsid w:val="00363786"/>
    <w:rsid w:val="003638A4"/>
    <w:rsid w:val="003639BF"/>
    <w:rsid w:val="00363DDC"/>
    <w:rsid w:val="00363E41"/>
    <w:rsid w:val="00363ED8"/>
    <w:rsid w:val="00363FD2"/>
    <w:rsid w:val="003644D0"/>
    <w:rsid w:val="003651F5"/>
    <w:rsid w:val="0036572E"/>
    <w:rsid w:val="003663D9"/>
    <w:rsid w:val="003666BF"/>
    <w:rsid w:val="00366707"/>
    <w:rsid w:val="00366FA9"/>
    <w:rsid w:val="00367E49"/>
    <w:rsid w:val="003700E6"/>
    <w:rsid w:val="00371C86"/>
    <w:rsid w:val="0037236C"/>
    <w:rsid w:val="003729DE"/>
    <w:rsid w:val="003735D3"/>
    <w:rsid w:val="0037386D"/>
    <w:rsid w:val="00373956"/>
    <w:rsid w:val="00374153"/>
    <w:rsid w:val="003750E0"/>
    <w:rsid w:val="00375AF1"/>
    <w:rsid w:val="00375C2F"/>
    <w:rsid w:val="00375FC5"/>
    <w:rsid w:val="003769BA"/>
    <w:rsid w:val="00377871"/>
    <w:rsid w:val="003778B2"/>
    <w:rsid w:val="00377E58"/>
    <w:rsid w:val="003805E3"/>
    <w:rsid w:val="00380618"/>
    <w:rsid w:val="0038062E"/>
    <w:rsid w:val="003807F7"/>
    <w:rsid w:val="00381610"/>
    <w:rsid w:val="00382106"/>
    <w:rsid w:val="00382657"/>
    <w:rsid w:val="00382B82"/>
    <w:rsid w:val="00383E73"/>
    <w:rsid w:val="003844BF"/>
    <w:rsid w:val="003852BA"/>
    <w:rsid w:val="003854D5"/>
    <w:rsid w:val="0038552A"/>
    <w:rsid w:val="003859EA"/>
    <w:rsid w:val="0038709E"/>
    <w:rsid w:val="00387D30"/>
    <w:rsid w:val="00390A4D"/>
    <w:rsid w:val="00391753"/>
    <w:rsid w:val="00391C7F"/>
    <w:rsid w:val="00392454"/>
    <w:rsid w:val="00392A6C"/>
    <w:rsid w:val="00392C85"/>
    <w:rsid w:val="00392FD8"/>
    <w:rsid w:val="00393E11"/>
    <w:rsid w:val="00394475"/>
    <w:rsid w:val="00394C48"/>
    <w:rsid w:val="0039517A"/>
    <w:rsid w:val="00395B51"/>
    <w:rsid w:val="00396796"/>
    <w:rsid w:val="00396EC6"/>
    <w:rsid w:val="00396F3C"/>
    <w:rsid w:val="003970BA"/>
    <w:rsid w:val="0039746C"/>
    <w:rsid w:val="00397DC6"/>
    <w:rsid w:val="003A0E82"/>
    <w:rsid w:val="003A0FAC"/>
    <w:rsid w:val="003A184D"/>
    <w:rsid w:val="003A1C35"/>
    <w:rsid w:val="003A1FB7"/>
    <w:rsid w:val="003A2962"/>
    <w:rsid w:val="003A371E"/>
    <w:rsid w:val="003A462A"/>
    <w:rsid w:val="003A4CE8"/>
    <w:rsid w:val="003A595F"/>
    <w:rsid w:val="003A5EEC"/>
    <w:rsid w:val="003A5FC2"/>
    <w:rsid w:val="003A79AE"/>
    <w:rsid w:val="003A7CA3"/>
    <w:rsid w:val="003B00B6"/>
    <w:rsid w:val="003B01C4"/>
    <w:rsid w:val="003B0BB0"/>
    <w:rsid w:val="003B11EE"/>
    <w:rsid w:val="003B1332"/>
    <w:rsid w:val="003B15F8"/>
    <w:rsid w:val="003B18EB"/>
    <w:rsid w:val="003B230B"/>
    <w:rsid w:val="003B23BC"/>
    <w:rsid w:val="003B2DB5"/>
    <w:rsid w:val="003B2F05"/>
    <w:rsid w:val="003B3966"/>
    <w:rsid w:val="003B39B7"/>
    <w:rsid w:val="003B4EB0"/>
    <w:rsid w:val="003B5F6A"/>
    <w:rsid w:val="003B6B7F"/>
    <w:rsid w:val="003B7820"/>
    <w:rsid w:val="003C01A4"/>
    <w:rsid w:val="003C0219"/>
    <w:rsid w:val="003C07FE"/>
    <w:rsid w:val="003C0C12"/>
    <w:rsid w:val="003C16EE"/>
    <w:rsid w:val="003C1C87"/>
    <w:rsid w:val="003C2C85"/>
    <w:rsid w:val="003C2F61"/>
    <w:rsid w:val="003C345E"/>
    <w:rsid w:val="003C4409"/>
    <w:rsid w:val="003C4997"/>
    <w:rsid w:val="003C4DA5"/>
    <w:rsid w:val="003C5666"/>
    <w:rsid w:val="003C6304"/>
    <w:rsid w:val="003C64F4"/>
    <w:rsid w:val="003C6DE1"/>
    <w:rsid w:val="003C724B"/>
    <w:rsid w:val="003C73DB"/>
    <w:rsid w:val="003D0185"/>
    <w:rsid w:val="003D02CB"/>
    <w:rsid w:val="003D0382"/>
    <w:rsid w:val="003D057A"/>
    <w:rsid w:val="003D069C"/>
    <w:rsid w:val="003D0BC2"/>
    <w:rsid w:val="003D191E"/>
    <w:rsid w:val="003D22A5"/>
    <w:rsid w:val="003D22C7"/>
    <w:rsid w:val="003D23A4"/>
    <w:rsid w:val="003D3414"/>
    <w:rsid w:val="003D3426"/>
    <w:rsid w:val="003D3721"/>
    <w:rsid w:val="003D46BA"/>
    <w:rsid w:val="003D590A"/>
    <w:rsid w:val="003D6722"/>
    <w:rsid w:val="003D7428"/>
    <w:rsid w:val="003D77F2"/>
    <w:rsid w:val="003D78CC"/>
    <w:rsid w:val="003D7901"/>
    <w:rsid w:val="003D7D01"/>
    <w:rsid w:val="003D7ED8"/>
    <w:rsid w:val="003E0003"/>
    <w:rsid w:val="003E0099"/>
    <w:rsid w:val="003E08C7"/>
    <w:rsid w:val="003E0992"/>
    <w:rsid w:val="003E1A72"/>
    <w:rsid w:val="003E2880"/>
    <w:rsid w:val="003E28FB"/>
    <w:rsid w:val="003E2A00"/>
    <w:rsid w:val="003E382C"/>
    <w:rsid w:val="003E3D00"/>
    <w:rsid w:val="003E3FD6"/>
    <w:rsid w:val="003E4531"/>
    <w:rsid w:val="003E4771"/>
    <w:rsid w:val="003E54A8"/>
    <w:rsid w:val="003E5833"/>
    <w:rsid w:val="003E5DA8"/>
    <w:rsid w:val="003E7109"/>
    <w:rsid w:val="003E77DC"/>
    <w:rsid w:val="003E7BC1"/>
    <w:rsid w:val="003F0453"/>
    <w:rsid w:val="003F097D"/>
    <w:rsid w:val="003F0C9F"/>
    <w:rsid w:val="003F144A"/>
    <w:rsid w:val="003F1B02"/>
    <w:rsid w:val="003F1EFE"/>
    <w:rsid w:val="003F2212"/>
    <w:rsid w:val="003F2240"/>
    <w:rsid w:val="003F2460"/>
    <w:rsid w:val="003F2BD1"/>
    <w:rsid w:val="003F2E7B"/>
    <w:rsid w:val="003F3932"/>
    <w:rsid w:val="003F39C7"/>
    <w:rsid w:val="003F3CD5"/>
    <w:rsid w:val="003F4473"/>
    <w:rsid w:val="003F4CF5"/>
    <w:rsid w:val="003F4E31"/>
    <w:rsid w:val="003F51EE"/>
    <w:rsid w:val="003F574E"/>
    <w:rsid w:val="003F60D6"/>
    <w:rsid w:val="003F68E9"/>
    <w:rsid w:val="003F73EA"/>
    <w:rsid w:val="003F7E15"/>
    <w:rsid w:val="003F7FDA"/>
    <w:rsid w:val="00400DE4"/>
    <w:rsid w:val="004013AD"/>
    <w:rsid w:val="004021C0"/>
    <w:rsid w:val="0040278E"/>
    <w:rsid w:val="004028CE"/>
    <w:rsid w:val="0040313D"/>
    <w:rsid w:val="004043FA"/>
    <w:rsid w:val="00404970"/>
    <w:rsid w:val="00405181"/>
    <w:rsid w:val="0040567F"/>
    <w:rsid w:val="00405873"/>
    <w:rsid w:val="00405F09"/>
    <w:rsid w:val="004066F4"/>
    <w:rsid w:val="00406A32"/>
    <w:rsid w:val="0040760B"/>
    <w:rsid w:val="00410117"/>
    <w:rsid w:val="00410C32"/>
    <w:rsid w:val="004111FB"/>
    <w:rsid w:val="00411237"/>
    <w:rsid w:val="00411557"/>
    <w:rsid w:val="00411994"/>
    <w:rsid w:val="00411D74"/>
    <w:rsid w:val="00411DDE"/>
    <w:rsid w:val="00411F84"/>
    <w:rsid w:val="00412069"/>
    <w:rsid w:val="004121A1"/>
    <w:rsid w:val="00412477"/>
    <w:rsid w:val="00412570"/>
    <w:rsid w:val="004127A2"/>
    <w:rsid w:val="0041280A"/>
    <w:rsid w:val="00412A9D"/>
    <w:rsid w:val="00412CB1"/>
    <w:rsid w:val="004133A5"/>
    <w:rsid w:val="00413B02"/>
    <w:rsid w:val="00413D45"/>
    <w:rsid w:val="00414197"/>
    <w:rsid w:val="00414D68"/>
    <w:rsid w:val="00414FD9"/>
    <w:rsid w:val="00415773"/>
    <w:rsid w:val="00415CAE"/>
    <w:rsid w:val="00415EE7"/>
    <w:rsid w:val="004160FA"/>
    <w:rsid w:val="004164AE"/>
    <w:rsid w:val="0041669E"/>
    <w:rsid w:val="00416ACA"/>
    <w:rsid w:val="00416C56"/>
    <w:rsid w:val="00417294"/>
    <w:rsid w:val="004176B8"/>
    <w:rsid w:val="00417B99"/>
    <w:rsid w:val="00417CE0"/>
    <w:rsid w:val="004209D5"/>
    <w:rsid w:val="00420FAF"/>
    <w:rsid w:val="00421184"/>
    <w:rsid w:val="004212C1"/>
    <w:rsid w:val="004214B7"/>
    <w:rsid w:val="00421988"/>
    <w:rsid w:val="00421FB5"/>
    <w:rsid w:val="0042219F"/>
    <w:rsid w:val="004226ED"/>
    <w:rsid w:val="00422AF4"/>
    <w:rsid w:val="004235F4"/>
    <w:rsid w:val="004236C9"/>
    <w:rsid w:val="00423CF3"/>
    <w:rsid w:val="00423E18"/>
    <w:rsid w:val="00424B7C"/>
    <w:rsid w:val="0042500C"/>
    <w:rsid w:val="00425514"/>
    <w:rsid w:val="004256BD"/>
    <w:rsid w:val="00425863"/>
    <w:rsid w:val="00425D02"/>
    <w:rsid w:val="00425EDC"/>
    <w:rsid w:val="00426C3E"/>
    <w:rsid w:val="004275CD"/>
    <w:rsid w:val="00427FEB"/>
    <w:rsid w:val="00427FF2"/>
    <w:rsid w:val="004305C0"/>
    <w:rsid w:val="00430B20"/>
    <w:rsid w:val="00430B6C"/>
    <w:rsid w:val="0043135D"/>
    <w:rsid w:val="0043227C"/>
    <w:rsid w:val="004335C0"/>
    <w:rsid w:val="00433AFC"/>
    <w:rsid w:val="00434193"/>
    <w:rsid w:val="00435068"/>
    <w:rsid w:val="00435715"/>
    <w:rsid w:val="0043571B"/>
    <w:rsid w:val="00435EE0"/>
    <w:rsid w:val="00435F29"/>
    <w:rsid w:val="0043610C"/>
    <w:rsid w:val="004366FF"/>
    <w:rsid w:val="004376D3"/>
    <w:rsid w:val="0043777D"/>
    <w:rsid w:val="00437D83"/>
    <w:rsid w:val="004401DD"/>
    <w:rsid w:val="00440344"/>
    <w:rsid w:val="00441264"/>
    <w:rsid w:val="00441B0F"/>
    <w:rsid w:val="004425C6"/>
    <w:rsid w:val="00443512"/>
    <w:rsid w:val="00443A55"/>
    <w:rsid w:val="00443CA6"/>
    <w:rsid w:val="00443D5D"/>
    <w:rsid w:val="00445CBA"/>
    <w:rsid w:val="004463CB"/>
    <w:rsid w:val="004466F7"/>
    <w:rsid w:val="00446858"/>
    <w:rsid w:val="00447304"/>
    <w:rsid w:val="00450127"/>
    <w:rsid w:val="0045075F"/>
    <w:rsid w:val="004516AD"/>
    <w:rsid w:val="00451E84"/>
    <w:rsid w:val="00451EA3"/>
    <w:rsid w:val="00451F01"/>
    <w:rsid w:val="00453349"/>
    <w:rsid w:val="004546A7"/>
    <w:rsid w:val="00454831"/>
    <w:rsid w:val="004548DF"/>
    <w:rsid w:val="00455B98"/>
    <w:rsid w:val="00455E25"/>
    <w:rsid w:val="0045653A"/>
    <w:rsid w:val="00456CC0"/>
    <w:rsid w:val="0045755C"/>
    <w:rsid w:val="00457933"/>
    <w:rsid w:val="00457C78"/>
    <w:rsid w:val="00460136"/>
    <w:rsid w:val="00460735"/>
    <w:rsid w:val="00460AD5"/>
    <w:rsid w:val="00460CDD"/>
    <w:rsid w:val="00460EB8"/>
    <w:rsid w:val="00461090"/>
    <w:rsid w:val="004611D5"/>
    <w:rsid w:val="004617D8"/>
    <w:rsid w:val="00461991"/>
    <w:rsid w:val="00461A6B"/>
    <w:rsid w:val="00461C43"/>
    <w:rsid w:val="00462125"/>
    <w:rsid w:val="00463216"/>
    <w:rsid w:val="0046334D"/>
    <w:rsid w:val="00463848"/>
    <w:rsid w:val="00463BBF"/>
    <w:rsid w:val="00463C95"/>
    <w:rsid w:val="00463E1C"/>
    <w:rsid w:val="00464052"/>
    <w:rsid w:val="00464C9C"/>
    <w:rsid w:val="00465153"/>
    <w:rsid w:val="00465602"/>
    <w:rsid w:val="004669A6"/>
    <w:rsid w:val="00466AFD"/>
    <w:rsid w:val="00466E99"/>
    <w:rsid w:val="00470563"/>
    <w:rsid w:val="00470696"/>
    <w:rsid w:val="004724C9"/>
    <w:rsid w:val="00472585"/>
    <w:rsid w:val="00473045"/>
    <w:rsid w:val="00474130"/>
    <w:rsid w:val="004754EE"/>
    <w:rsid w:val="00475A6C"/>
    <w:rsid w:val="004764AF"/>
    <w:rsid w:val="00476D04"/>
    <w:rsid w:val="0047775E"/>
    <w:rsid w:val="00477AAE"/>
    <w:rsid w:val="00477AF6"/>
    <w:rsid w:val="00477B3B"/>
    <w:rsid w:val="00477BCB"/>
    <w:rsid w:val="004801A7"/>
    <w:rsid w:val="00480E47"/>
    <w:rsid w:val="00481666"/>
    <w:rsid w:val="0048181B"/>
    <w:rsid w:val="00481F2B"/>
    <w:rsid w:val="004820C5"/>
    <w:rsid w:val="00482198"/>
    <w:rsid w:val="004823D8"/>
    <w:rsid w:val="0048285B"/>
    <w:rsid w:val="00482F20"/>
    <w:rsid w:val="00483196"/>
    <w:rsid w:val="0048340F"/>
    <w:rsid w:val="0048384A"/>
    <w:rsid w:val="0048423C"/>
    <w:rsid w:val="00484449"/>
    <w:rsid w:val="004845A6"/>
    <w:rsid w:val="00484C71"/>
    <w:rsid w:val="004852CE"/>
    <w:rsid w:val="0048540C"/>
    <w:rsid w:val="0048561D"/>
    <w:rsid w:val="00485DE6"/>
    <w:rsid w:val="00485EDD"/>
    <w:rsid w:val="00485F92"/>
    <w:rsid w:val="004860BD"/>
    <w:rsid w:val="004866E1"/>
    <w:rsid w:val="00486C72"/>
    <w:rsid w:val="0049030D"/>
    <w:rsid w:val="00490954"/>
    <w:rsid w:val="004921DC"/>
    <w:rsid w:val="0049277A"/>
    <w:rsid w:val="00492B38"/>
    <w:rsid w:val="00492FE4"/>
    <w:rsid w:val="00493035"/>
    <w:rsid w:val="00493321"/>
    <w:rsid w:val="004936DE"/>
    <w:rsid w:val="0049544E"/>
    <w:rsid w:val="00495670"/>
    <w:rsid w:val="0049604B"/>
    <w:rsid w:val="00496AC9"/>
    <w:rsid w:val="004A040E"/>
    <w:rsid w:val="004A042D"/>
    <w:rsid w:val="004A11E0"/>
    <w:rsid w:val="004A1FC5"/>
    <w:rsid w:val="004A2158"/>
    <w:rsid w:val="004A29A5"/>
    <w:rsid w:val="004A3225"/>
    <w:rsid w:val="004A374A"/>
    <w:rsid w:val="004A395B"/>
    <w:rsid w:val="004A39D9"/>
    <w:rsid w:val="004A3C59"/>
    <w:rsid w:val="004A3FE2"/>
    <w:rsid w:val="004A480D"/>
    <w:rsid w:val="004A4D76"/>
    <w:rsid w:val="004A522F"/>
    <w:rsid w:val="004A5851"/>
    <w:rsid w:val="004A5A91"/>
    <w:rsid w:val="004A5B0F"/>
    <w:rsid w:val="004A5CF1"/>
    <w:rsid w:val="004A66E0"/>
    <w:rsid w:val="004A7AAE"/>
    <w:rsid w:val="004A7D49"/>
    <w:rsid w:val="004A7F21"/>
    <w:rsid w:val="004B08DB"/>
    <w:rsid w:val="004B1422"/>
    <w:rsid w:val="004B24EB"/>
    <w:rsid w:val="004B29AC"/>
    <w:rsid w:val="004B3C8B"/>
    <w:rsid w:val="004B44A9"/>
    <w:rsid w:val="004B4509"/>
    <w:rsid w:val="004B452A"/>
    <w:rsid w:val="004B4871"/>
    <w:rsid w:val="004B4ADF"/>
    <w:rsid w:val="004B4C00"/>
    <w:rsid w:val="004B4E06"/>
    <w:rsid w:val="004B5493"/>
    <w:rsid w:val="004B5914"/>
    <w:rsid w:val="004B6C77"/>
    <w:rsid w:val="004B6D0A"/>
    <w:rsid w:val="004B7995"/>
    <w:rsid w:val="004C02B3"/>
    <w:rsid w:val="004C098E"/>
    <w:rsid w:val="004C0BBE"/>
    <w:rsid w:val="004C0E2F"/>
    <w:rsid w:val="004C1194"/>
    <w:rsid w:val="004C222E"/>
    <w:rsid w:val="004C2561"/>
    <w:rsid w:val="004C2806"/>
    <w:rsid w:val="004C3ADD"/>
    <w:rsid w:val="004C428E"/>
    <w:rsid w:val="004C4775"/>
    <w:rsid w:val="004C483D"/>
    <w:rsid w:val="004C48A9"/>
    <w:rsid w:val="004C590B"/>
    <w:rsid w:val="004C6326"/>
    <w:rsid w:val="004C63C7"/>
    <w:rsid w:val="004C6D39"/>
    <w:rsid w:val="004C6D98"/>
    <w:rsid w:val="004C7217"/>
    <w:rsid w:val="004C75B5"/>
    <w:rsid w:val="004C7743"/>
    <w:rsid w:val="004C77A7"/>
    <w:rsid w:val="004C7DBE"/>
    <w:rsid w:val="004C7F57"/>
    <w:rsid w:val="004D032B"/>
    <w:rsid w:val="004D039E"/>
    <w:rsid w:val="004D04A3"/>
    <w:rsid w:val="004D0C9F"/>
    <w:rsid w:val="004D15FD"/>
    <w:rsid w:val="004D2369"/>
    <w:rsid w:val="004D2485"/>
    <w:rsid w:val="004D2998"/>
    <w:rsid w:val="004D3A57"/>
    <w:rsid w:val="004D3B2A"/>
    <w:rsid w:val="004D47FF"/>
    <w:rsid w:val="004D4D35"/>
    <w:rsid w:val="004D518F"/>
    <w:rsid w:val="004D54D7"/>
    <w:rsid w:val="004D5BB7"/>
    <w:rsid w:val="004D6053"/>
    <w:rsid w:val="004D61EF"/>
    <w:rsid w:val="004D6FA4"/>
    <w:rsid w:val="004D7C23"/>
    <w:rsid w:val="004D7EBE"/>
    <w:rsid w:val="004E01C6"/>
    <w:rsid w:val="004E0212"/>
    <w:rsid w:val="004E0ADC"/>
    <w:rsid w:val="004E0FB1"/>
    <w:rsid w:val="004E1043"/>
    <w:rsid w:val="004E1DCA"/>
    <w:rsid w:val="004E1F76"/>
    <w:rsid w:val="004E21B4"/>
    <w:rsid w:val="004E252B"/>
    <w:rsid w:val="004E2861"/>
    <w:rsid w:val="004E2A85"/>
    <w:rsid w:val="004E2C09"/>
    <w:rsid w:val="004E3F72"/>
    <w:rsid w:val="004E4A78"/>
    <w:rsid w:val="004E551E"/>
    <w:rsid w:val="004E58F6"/>
    <w:rsid w:val="004E5E37"/>
    <w:rsid w:val="004E5E4C"/>
    <w:rsid w:val="004E623E"/>
    <w:rsid w:val="004E6CF9"/>
    <w:rsid w:val="004E734E"/>
    <w:rsid w:val="004E7EC0"/>
    <w:rsid w:val="004E7EC9"/>
    <w:rsid w:val="004E7F48"/>
    <w:rsid w:val="004F014E"/>
    <w:rsid w:val="004F0BC6"/>
    <w:rsid w:val="004F1123"/>
    <w:rsid w:val="004F1715"/>
    <w:rsid w:val="004F17DA"/>
    <w:rsid w:val="004F184C"/>
    <w:rsid w:val="004F2927"/>
    <w:rsid w:val="004F3BD2"/>
    <w:rsid w:val="004F4372"/>
    <w:rsid w:val="004F43E0"/>
    <w:rsid w:val="004F45EB"/>
    <w:rsid w:val="004F521B"/>
    <w:rsid w:val="004F52BB"/>
    <w:rsid w:val="004F53BF"/>
    <w:rsid w:val="004F5582"/>
    <w:rsid w:val="004F59B8"/>
    <w:rsid w:val="004F5BD9"/>
    <w:rsid w:val="004F62A7"/>
    <w:rsid w:val="004F62F9"/>
    <w:rsid w:val="004F66B3"/>
    <w:rsid w:val="004F674C"/>
    <w:rsid w:val="004F7352"/>
    <w:rsid w:val="004F7EE2"/>
    <w:rsid w:val="0050015C"/>
    <w:rsid w:val="00500418"/>
    <w:rsid w:val="00500CCF"/>
    <w:rsid w:val="00500E62"/>
    <w:rsid w:val="005010DE"/>
    <w:rsid w:val="005011FD"/>
    <w:rsid w:val="0050164B"/>
    <w:rsid w:val="00502958"/>
    <w:rsid w:val="00502BD2"/>
    <w:rsid w:val="00502DA4"/>
    <w:rsid w:val="00503F83"/>
    <w:rsid w:val="0050421C"/>
    <w:rsid w:val="00504A9B"/>
    <w:rsid w:val="00504E9A"/>
    <w:rsid w:val="00504F83"/>
    <w:rsid w:val="005059B9"/>
    <w:rsid w:val="00505F64"/>
    <w:rsid w:val="00506DCD"/>
    <w:rsid w:val="00507325"/>
    <w:rsid w:val="00507C56"/>
    <w:rsid w:val="00507F13"/>
    <w:rsid w:val="00510809"/>
    <w:rsid w:val="005109D4"/>
    <w:rsid w:val="00510CF4"/>
    <w:rsid w:val="0051160A"/>
    <w:rsid w:val="005118BA"/>
    <w:rsid w:val="00512D87"/>
    <w:rsid w:val="005130DA"/>
    <w:rsid w:val="00513998"/>
    <w:rsid w:val="00513DDA"/>
    <w:rsid w:val="00513E19"/>
    <w:rsid w:val="005148B4"/>
    <w:rsid w:val="00514B29"/>
    <w:rsid w:val="00514C19"/>
    <w:rsid w:val="005152B1"/>
    <w:rsid w:val="005152F0"/>
    <w:rsid w:val="00515856"/>
    <w:rsid w:val="005163E6"/>
    <w:rsid w:val="005167B6"/>
    <w:rsid w:val="005172EC"/>
    <w:rsid w:val="0051740D"/>
    <w:rsid w:val="00517888"/>
    <w:rsid w:val="005178CE"/>
    <w:rsid w:val="00521CAB"/>
    <w:rsid w:val="005224EF"/>
    <w:rsid w:val="00522654"/>
    <w:rsid w:val="00522835"/>
    <w:rsid w:val="0052293D"/>
    <w:rsid w:val="00522AF4"/>
    <w:rsid w:val="00522B93"/>
    <w:rsid w:val="00523499"/>
    <w:rsid w:val="00523BC7"/>
    <w:rsid w:val="00523C08"/>
    <w:rsid w:val="00523C10"/>
    <w:rsid w:val="005245D5"/>
    <w:rsid w:val="00524889"/>
    <w:rsid w:val="0052575D"/>
    <w:rsid w:val="00525A53"/>
    <w:rsid w:val="00525C1F"/>
    <w:rsid w:val="00526569"/>
    <w:rsid w:val="00526726"/>
    <w:rsid w:val="00527256"/>
    <w:rsid w:val="00527B57"/>
    <w:rsid w:val="00527C8D"/>
    <w:rsid w:val="0053021B"/>
    <w:rsid w:val="00530AC4"/>
    <w:rsid w:val="00532115"/>
    <w:rsid w:val="0053265B"/>
    <w:rsid w:val="00533169"/>
    <w:rsid w:val="00533194"/>
    <w:rsid w:val="005332C8"/>
    <w:rsid w:val="0053464E"/>
    <w:rsid w:val="005346C8"/>
    <w:rsid w:val="005352C8"/>
    <w:rsid w:val="005354C1"/>
    <w:rsid w:val="00535F99"/>
    <w:rsid w:val="00536356"/>
    <w:rsid w:val="00536CBB"/>
    <w:rsid w:val="00536DDD"/>
    <w:rsid w:val="00537033"/>
    <w:rsid w:val="00537085"/>
    <w:rsid w:val="00540A37"/>
    <w:rsid w:val="00540B49"/>
    <w:rsid w:val="005418DB"/>
    <w:rsid w:val="005434EA"/>
    <w:rsid w:val="00545CDE"/>
    <w:rsid w:val="00545D55"/>
    <w:rsid w:val="005461AB"/>
    <w:rsid w:val="00546C6A"/>
    <w:rsid w:val="00546FBA"/>
    <w:rsid w:val="0054782D"/>
    <w:rsid w:val="00547F04"/>
    <w:rsid w:val="00550924"/>
    <w:rsid w:val="00550D63"/>
    <w:rsid w:val="00550EF1"/>
    <w:rsid w:val="00551075"/>
    <w:rsid w:val="005513C8"/>
    <w:rsid w:val="0055248E"/>
    <w:rsid w:val="0055352C"/>
    <w:rsid w:val="00553672"/>
    <w:rsid w:val="005538A6"/>
    <w:rsid w:val="00554F94"/>
    <w:rsid w:val="00555161"/>
    <w:rsid w:val="00555DE6"/>
    <w:rsid w:val="00555EB3"/>
    <w:rsid w:val="005567F6"/>
    <w:rsid w:val="00556E29"/>
    <w:rsid w:val="00557474"/>
    <w:rsid w:val="005575C9"/>
    <w:rsid w:val="00557DAA"/>
    <w:rsid w:val="00557DAD"/>
    <w:rsid w:val="00561138"/>
    <w:rsid w:val="00561699"/>
    <w:rsid w:val="0056194F"/>
    <w:rsid w:val="005619E1"/>
    <w:rsid w:val="00562629"/>
    <w:rsid w:val="005628FE"/>
    <w:rsid w:val="0056330E"/>
    <w:rsid w:val="0056364B"/>
    <w:rsid w:val="00564191"/>
    <w:rsid w:val="00564557"/>
    <w:rsid w:val="0056458C"/>
    <w:rsid w:val="00564628"/>
    <w:rsid w:val="005648B9"/>
    <w:rsid w:val="00564A3C"/>
    <w:rsid w:val="00564F82"/>
    <w:rsid w:val="005653AF"/>
    <w:rsid w:val="00565501"/>
    <w:rsid w:val="00565755"/>
    <w:rsid w:val="0056601E"/>
    <w:rsid w:val="00566406"/>
    <w:rsid w:val="00566538"/>
    <w:rsid w:val="0056725A"/>
    <w:rsid w:val="0056741F"/>
    <w:rsid w:val="00567647"/>
    <w:rsid w:val="0056781B"/>
    <w:rsid w:val="00567BE2"/>
    <w:rsid w:val="00570102"/>
    <w:rsid w:val="00570505"/>
    <w:rsid w:val="005712E6"/>
    <w:rsid w:val="00572942"/>
    <w:rsid w:val="005730DB"/>
    <w:rsid w:val="00573251"/>
    <w:rsid w:val="005733A8"/>
    <w:rsid w:val="00573B5B"/>
    <w:rsid w:val="00573F55"/>
    <w:rsid w:val="0057540E"/>
    <w:rsid w:val="005757B6"/>
    <w:rsid w:val="00576EB8"/>
    <w:rsid w:val="0058000F"/>
    <w:rsid w:val="00580557"/>
    <w:rsid w:val="0058074F"/>
    <w:rsid w:val="005808F3"/>
    <w:rsid w:val="00580A76"/>
    <w:rsid w:val="00581042"/>
    <w:rsid w:val="00581703"/>
    <w:rsid w:val="00581B15"/>
    <w:rsid w:val="005821DD"/>
    <w:rsid w:val="00582E42"/>
    <w:rsid w:val="00583908"/>
    <w:rsid w:val="005842FB"/>
    <w:rsid w:val="00584757"/>
    <w:rsid w:val="00584E21"/>
    <w:rsid w:val="005856D5"/>
    <w:rsid w:val="0058608B"/>
    <w:rsid w:val="005863C1"/>
    <w:rsid w:val="0058654D"/>
    <w:rsid w:val="00586786"/>
    <w:rsid w:val="00587729"/>
    <w:rsid w:val="00587886"/>
    <w:rsid w:val="00587A66"/>
    <w:rsid w:val="00590147"/>
    <w:rsid w:val="00590BD1"/>
    <w:rsid w:val="00590D26"/>
    <w:rsid w:val="00591276"/>
    <w:rsid w:val="00591490"/>
    <w:rsid w:val="0059151A"/>
    <w:rsid w:val="005916C9"/>
    <w:rsid w:val="00591C7E"/>
    <w:rsid w:val="00591DCF"/>
    <w:rsid w:val="005929B4"/>
    <w:rsid w:val="00592A3C"/>
    <w:rsid w:val="0059367F"/>
    <w:rsid w:val="00593720"/>
    <w:rsid w:val="00593909"/>
    <w:rsid w:val="00593A71"/>
    <w:rsid w:val="005941E1"/>
    <w:rsid w:val="005943E2"/>
    <w:rsid w:val="005946A0"/>
    <w:rsid w:val="00594B8A"/>
    <w:rsid w:val="00595009"/>
    <w:rsid w:val="005954B7"/>
    <w:rsid w:val="00595A05"/>
    <w:rsid w:val="00595F17"/>
    <w:rsid w:val="00595F3D"/>
    <w:rsid w:val="00595F89"/>
    <w:rsid w:val="00596873"/>
    <w:rsid w:val="00596BB3"/>
    <w:rsid w:val="00596BD4"/>
    <w:rsid w:val="00596FA8"/>
    <w:rsid w:val="005971A7"/>
    <w:rsid w:val="00597310"/>
    <w:rsid w:val="005977AB"/>
    <w:rsid w:val="005A01C5"/>
    <w:rsid w:val="005A0201"/>
    <w:rsid w:val="005A0532"/>
    <w:rsid w:val="005A07E7"/>
    <w:rsid w:val="005A0A57"/>
    <w:rsid w:val="005A0B9F"/>
    <w:rsid w:val="005A0DBB"/>
    <w:rsid w:val="005A0EBD"/>
    <w:rsid w:val="005A1270"/>
    <w:rsid w:val="005A1295"/>
    <w:rsid w:val="005A1FBF"/>
    <w:rsid w:val="005A2081"/>
    <w:rsid w:val="005A29B1"/>
    <w:rsid w:val="005A2EBF"/>
    <w:rsid w:val="005A380B"/>
    <w:rsid w:val="005A4890"/>
    <w:rsid w:val="005A49D4"/>
    <w:rsid w:val="005A4D7C"/>
    <w:rsid w:val="005A51C9"/>
    <w:rsid w:val="005A5DC0"/>
    <w:rsid w:val="005A6B6D"/>
    <w:rsid w:val="005A6F0E"/>
    <w:rsid w:val="005A6F57"/>
    <w:rsid w:val="005A7079"/>
    <w:rsid w:val="005A7235"/>
    <w:rsid w:val="005A795B"/>
    <w:rsid w:val="005A7A1A"/>
    <w:rsid w:val="005A7BAF"/>
    <w:rsid w:val="005B0652"/>
    <w:rsid w:val="005B1213"/>
    <w:rsid w:val="005B1329"/>
    <w:rsid w:val="005B1512"/>
    <w:rsid w:val="005B1B55"/>
    <w:rsid w:val="005B1DBD"/>
    <w:rsid w:val="005B2769"/>
    <w:rsid w:val="005B3EBD"/>
    <w:rsid w:val="005B48E8"/>
    <w:rsid w:val="005B56D9"/>
    <w:rsid w:val="005B5BA3"/>
    <w:rsid w:val="005B5E62"/>
    <w:rsid w:val="005B727B"/>
    <w:rsid w:val="005B7341"/>
    <w:rsid w:val="005B778C"/>
    <w:rsid w:val="005B7E97"/>
    <w:rsid w:val="005B7F46"/>
    <w:rsid w:val="005C09A7"/>
    <w:rsid w:val="005C102D"/>
    <w:rsid w:val="005C132C"/>
    <w:rsid w:val="005C17FB"/>
    <w:rsid w:val="005C1833"/>
    <w:rsid w:val="005C1838"/>
    <w:rsid w:val="005C18C2"/>
    <w:rsid w:val="005C1D93"/>
    <w:rsid w:val="005C2063"/>
    <w:rsid w:val="005C244F"/>
    <w:rsid w:val="005C2767"/>
    <w:rsid w:val="005C2922"/>
    <w:rsid w:val="005C2F60"/>
    <w:rsid w:val="005C323D"/>
    <w:rsid w:val="005C3772"/>
    <w:rsid w:val="005C39C3"/>
    <w:rsid w:val="005C4229"/>
    <w:rsid w:val="005C4580"/>
    <w:rsid w:val="005C5065"/>
    <w:rsid w:val="005C52F3"/>
    <w:rsid w:val="005C564C"/>
    <w:rsid w:val="005C6234"/>
    <w:rsid w:val="005C6605"/>
    <w:rsid w:val="005C71A0"/>
    <w:rsid w:val="005C751C"/>
    <w:rsid w:val="005C7802"/>
    <w:rsid w:val="005C7B50"/>
    <w:rsid w:val="005C7E73"/>
    <w:rsid w:val="005D029E"/>
    <w:rsid w:val="005D0427"/>
    <w:rsid w:val="005D0776"/>
    <w:rsid w:val="005D07AE"/>
    <w:rsid w:val="005D0B55"/>
    <w:rsid w:val="005D0C83"/>
    <w:rsid w:val="005D113B"/>
    <w:rsid w:val="005D1732"/>
    <w:rsid w:val="005D1BAC"/>
    <w:rsid w:val="005D2D9A"/>
    <w:rsid w:val="005D3A6E"/>
    <w:rsid w:val="005D3B21"/>
    <w:rsid w:val="005D4019"/>
    <w:rsid w:val="005D41DC"/>
    <w:rsid w:val="005D43C3"/>
    <w:rsid w:val="005D460F"/>
    <w:rsid w:val="005D4638"/>
    <w:rsid w:val="005D4D7D"/>
    <w:rsid w:val="005D4DC5"/>
    <w:rsid w:val="005D5C22"/>
    <w:rsid w:val="005D5E6C"/>
    <w:rsid w:val="005D63A9"/>
    <w:rsid w:val="005D65D5"/>
    <w:rsid w:val="005D6C56"/>
    <w:rsid w:val="005D6F49"/>
    <w:rsid w:val="005D7E8A"/>
    <w:rsid w:val="005E06FA"/>
    <w:rsid w:val="005E11A5"/>
    <w:rsid w:val="005E13D4"/>
    <w:rsid w:val="005E1435"/>
    <w:rsid w:val="005E21F3"/>
    <w:rsid w:val="005E235C"/>
    <w:rsid w:val="005E3078"/>
    <w:rsid w:val="005E34C0"/>
    <w:rsid w:val="005E3D71"/>
    <w:rsid w:val="005E44F1"/>
    <w:rsid w:val="005E49CA"/>
    <w:rsid w:val="005E5427"/>
    <w:rsid w:val="005E5428"/>
    <w:rsid w:val="005E5A7C"/>
    <w:rsid w:val="005E5C33"/>
    <w:rsid w:val="005E5F53"/>
    <w:rsid w:val="005E6976"/>
    <w:rsid w:val="005E6E12"/>
    <w:rsid w:val="005E70CD"/>
    <w:rsid w:val="005E74B3"/>
    <w:rsid w:val="005E74EC"/>
    <w:rsid w:val="005E7AB6"/>
    <w:rsid w:val="005E7B1E"/>
    <w:rsid w:val="005E7CBC"/>
    <w:rsid w:val="005F0A62"/>
    <w:rsid w:val="005F0FA8"/>
    <w:rsid w:val="005F1C5D"/>
    <w:rsid w:val="005F222B"/>
    <w:rsid w:val="005F2317"/>
    <w:rsid w:val="005F2550"/>
    <w:rsid w:val="005F297E"/>
    <w:rsid w:val="005F2B2D"/>
    <w:rsid w:val="005F2D9C"/>
    <w:rsid w:val="005F2FD5"/>
    <w:rsid w:val="005F340A"/>
    <w:rsid w:val="005F3AE8"/>
    <w:rsid w:val="005F3B09"/>
    <w:rsid w:val="005F3B47"/>
    <w:rsid w:val="005F47C1"/>
    <w:rsid w:val="005F4926"/>
    <w:rsid w:val="005F4B6F"/>
    <w:rsid w:val="005F5009"/>
    <w:rsid w:val="005F5054"/>
    <w:rsid w:val="005F530F"/>
    <w:rsid w:val="005F65D9"/>
    <w:rsid w:val="005F6768"/>
    <w:rsid w:val="005F69CF"/>
    <w:rsid w:val="005F6E39"/>
    <w:rsid w:val="005F6E58"/>
    <w:rsid w:val="005F704C"/>
    <w:rsid w:val="005F7A22"/>
    <w:rsid w:val="005F7B9D"/>
    <w:rsid w:val="00600501"/>
    <w:rsid w:val="006006CD"/>
    <w:rsid w:val="00600B0C"/>
    <w:rsid w:val="00601078"/>
    <w:rsid w:val="00602543"/>
    <w:rsid w:val="0060254C"/>
    <w:rsid w:val="00602DFA"/>
    <w:rsid w:val="006031D1"/>
    <w:rsid w:val="006033BF"/>
    <w:rsid w:val="00603702"/>
    <w:rsid w:val="00603B4B"/>
    <w:rsid w:val="00603F20"/>
    <w:rsid w:val="006042BD"/>
    <w:rsid w:val="00604A11"/>
    <w:rsid w:val="00604F37"/>
    <w:rsid w:val="0060508A"/>
    <w:rsid w:val="006055AF"/>
    <w:rsid w:val="00605942"/>
    <w:rsid w:val="00605C9F"/>
    <w:rsid w:val="00606814"/>
    <w:rsid w:val="006068E8"/>
    <w:rsid w:val="00606ADB"/>
    <w:rsid w:val="006072DE"/>
    <w:rsid w:val="006075F4"/>
    <w:rsid w:val="006078A8"/>
    <w:rsid w:val="00607BAD"/>
    <w:rsid w:val="00607EC7"/>
    <w:rsid w:val="0061048A"/>
    <w:rsid w:val="006104F8"/>
    <w:rsid w:val="00610AE7"/>
    <w:rsid w:val="00610BEE"/>
    <w:rsid w:val="00611178"/>
    <w:rsid w:val="0061148D"/>
    <w:rsid w:val="00611D01"/>
    <w:rsid w:val="006124B3"/>
    <w:rsid w:val="00612611"/>
    <w:rsid w:val="0061279A"/>
    <w:rsid w:val="00613009"/>
    <w:rsid w:val="006132EA"/>
    <w:rsid w:val="0061401C"/>
    <w:rsid w:val="0061420B"/>
    <w:rsid w:val="00614931"/>
    <w:rsid w:val="00614D33"/>
    <w:rsid w:val="0061537D"/>
    <w:rsid w:val="0061537F"/>
    <w:rsid w:val="00615DEA"/>
    <w:rsid w:val="00616A60"/>
    <w:rsid w:val="00616EE6"/>
    <w:rsid w:val="006171FB"/>
    <w:rsid w:val="00617A2A"/>
    <w:rsid w:val="006207F4"/>
    <w:rsid w:val="00620C67"/>
    <w:rsid w:val="00621646"/>
    <w:rsid w:val="00621803"/>
    <w:rsid w:val="006220F1"/>
    <w:rsid w:val="00623C68"/>
    <w:rsid w:val="00623E46"/>
    <w:rsid w:val="00624604"/>
    <w:rsid w:val="00624D2C"/>
    <w:rsid w:val="00624EF1"/>
    <w:rsid w:val="00625145"/>
    <w:rsid w:val="00627402"/>
    <w:rsid w:val="00630480"/>
    <w:rsid w:val="0063058E"/>
    <w:rsid w:val="006305F8"/>
    <w:rsid w:val="00631DA7"/>
    <w:rsid w:val="00632B9C"/>
    <w:rsid w:val="00632F18"/>
    <w:rsid w:val="006332D7"/>
    <w:rsid w:val="0063333D"/>
    <w:rsid w:val="00634225"/>
    <w:rsid w:val="00635003"/>
    <w:rsid w:val="006351CE"/>
    <w:rsid w:val="006352FD"/>
    <w:rsid w:val="00635B15"/>
    <w:rsid w:val="006362E1"/>
    <w:rsid w:val="006367DA"/>
    <w:rsid w:val="00636FAD"/>
    <w:rsid w:val="006370E1"/>
    <w:rsid w:val="006375B2"/>
    <w:rsid w:val="006375BB"/>
    <w:rsid w:val="006379DE"/>
    <w:rsid w:val="006407FE"/>
    <w:rsid w:val="006409EE"/>
    <w:rsid w:val="00640BF7"/>
    <w:rsid w:val="00640C7D"/>
    <w:rsid w:val="00640E7E"/>
    <w:rsid w:val="00640FFF"/>
    <w:rsid w:val="00641761"/>
    <w:rsid w:val="006421D9"/>
    <w:rsid w:val="006424FE"/>
    <w:rsid w:val="006425FC"/>
    <w:rsid w:val="00642631"/>
    <w:rsid w:val="00642C3C"/>
    <w:rsid w:val="00642DF5"/>
    <w:rsid w:val="0064304A"/>
    <w:rsid w:val="0064329C"/>
    <w:rsid w:val="0064380B"/>
    <w:rsid w:val="00643A4F"/>
    <w:rsid w:val="00643FF5"/>
    <w:rsid w:val="006441FD"/>
    <w:rsid w:val="00644E5A"/>
    <w:rsid w:val="00644F2C"/>
    <w:rsid w:val="00645141"/>
    <w:rsid w:val="00645AEE"/>
    <w:rsid w:val="00646428"/>
    <w:rsid w:val="0064707F"/>
    <w:rsid w:val="006471E8"/>
    <w:rsid w:val="00647E90"/>
    <w:rsid w:val="00647FA3"/>
    <w:rsid w:val="006500F7"/>
    <w:rsid w:val="00650769"/>
    <w:rsid w:val="00650DF8"/>
    <w:rsid w:val="006516B7"/>
    <w:rsid w:val="006518E4"/>
    <w:rsid w:val="00651FB8"/>
    <w:rsid w:val="00652BA0"/>
    <w:rsid w:val="00652DF6"/>
    <w:rsid w:val="00652FCA"/>
    <w:rsid w:val="00653045"/>
    <w:rsid w:val="00653A25"/>
    <w:rsid w:val="00653D93"/>
    <w:rsid w:val="00653FDA"/>
    <w:rsid w:val="006541A0"/>
    <w:rsid w:val="00654E99"/>
    <w:rsid w:val="00655104"/>
    <w:rsid w:val="0065548F"/>
    <w:rsid w:val="0065558B"/>
    <w:rsid w:val="00655633"/>
    <w:rsid w:val="006559BB"/>
    <w:rsid w:val="00655A93"/>
    <w:rsid w:val="00655D93"/>
    <w:rsid w:val="00655E86"/>
    <w:rsid w:val="00656614"/>
    <w:rsid w:val="00656C4D"/>
    <w:rsid w:val="006577CD"/>
    <w:rsid w:val="006578A6"/>
    <w:rsid w:val="00657CCC"/>
    <w:rsid w:val="00660162"/>
    <w:rsid w:val="0066036D"/>
    <w:rsid w:val="006604FA"/>
    <w:rsid w:val="00660879"/>
    <w:rsid w:val="00661639"/>
    <w:rsid w:val="0066174D"/>
    <w:rsid w:val="00661E36"/>
    <w:rsid w:val="00661F03"/>
    <w:rsid w:val="006631D3"/>
    <w:rsid w:val="00663D0F"/>
    <w:rsid w:val="00664525"/>
    <w:rsid w:val="0066465B"/>
    <w:rsid w:val="00664C81"/>
    <w:rsid w:val="0066521A"/>
    <w:rsid w:val="0066540C"/>
    <w:rsid w:val="00665EAE"/>
    <w:rsid w:val="006661EA"/>
    <w:rsid w:val="00666909"/>
    <w:rsid w:val="00666EBC"/>
    <w:rsid w:val="00667034"/>
    <w:rsid w:val="00667189"/>
    <w:rsid w:val="0066749E"/>
    <w:rsid w:val="00667CCB"/>
    <w:rsid w:val="00667EFD"/>
    <w:rsid w:val="00670475"/>
    <w:rsid w:val="00670B8C"/>
    <w:rsid w:val="00670C4A"/>
    <w:rsid w:val="00671F3E"/>
    <w:rsid w:val="00672482"/>
    <w:rsid w:val="00672A18"/>
    <w:rsid w:val="006735D0"/>
    <w:rsid w:val="006739E9"/>
    <w:rsid w:val="00674AF5"/>
    <w:rsid w:val="00674D52"/>
    <w:rsid w:val="00674F93"/>
    <w:rsid w:val="0067546F"/>
    <w:rsid w:val="00675A94"/>
    <w:rsid w:val="00676CE4"/>
    <w:rsid w:val="00676EC2"/>
    <w:rsid w:val="00676FA5"/>
    <w:rsid w:val="006771A4"/>
    <w:rsid w:val="006771AD"/>
    <w:rsid w:val="006774A8"/>
    <w:rsid w:val="00677572"/>
    <w:rsid w:val="00681229"/>
    <w:rsid w:val="0068185E"/>
    <w:rsid w:val="00681BE5"/>
    <w:rsid w:val="00681E30"/>
    <w:rsid w:val="0068379B"/>
    <w:rsid w:val="00683D98"/>
    <w:rsid w:val="00683D99"/>
    <w:rsid w:val="00684079"/>
    <w:rsid w:val="0068629B"/>
    <w:rsid w:val="00686C12"/>
    <w:rsid w:val="00686D75"/>
    <w:rsid w:val="0068736A"/>
    <w:rsid w:val="00687D17"/>
    <w:rsid w:val="00690024"/>
    <w:rsid w:val="0069017D"/>
    <w:rsid w:val="006903A4"/>
    <w:rsid w:val="00690883"/>
    <w:rsid w:val="00690CAA"/>
    <w:rsid w:val="00690E5A"/>
    <w:rsid w:val="00690EFB"/>
    <w:rsid w:val="006911F9"/>
    <w:rsid w:val="006912CB"/>
    <w:rsid w:val="0069137B"/>
    <w:rsid w:val="006913EC"/>
    <w:rsid w:val="006914B7"/>
    <w:rsid w:val="00691742"/>
    <w:rsid w:val="00691DEE"/>
    <w:rsid w:val="00692147"/>
    <w:rsid w:val="00692242"/>
    <w:rsid w:val="0069236E"/>
    <w:rsid w:val="00692704"/>
    <w:rsid w:val="00692E67"/>
    <w:rsid w:val="00693ACF"/>
    <w:rsid w:val="00693EE5"/>
    <w:rsid w:val="00693FBC"/>
    <w:rsid w:val="006944C5"/>
    <w:rsid w:val="00694A7E"/>
    <w:rsid w:val="00694B8D"/>
    <w:rsid w:val="0069561C"/>
    <w:rsid w:val="00695634"/>
    <w:rsid w:val="0069600D"/>
    <w:rsid w:val="00696143"/>
    <w:rsid w:val="006963AE"/>
    <w:rsid w:val="0069640F"/>
    <w:rsid w:val="006965A1"/>
    <w:rsid w:val="00696B07"/>
    <w:rsid w:val="00697053"/>
    <w:rsid w:val="006A066A"/>
    <w:rsid w:val="006A06CA"/>
    <w:rsid w:val="006A083E"/>
    <w:rsid w:val="006A0FFD"/>
    <w:rsid w:val="006A1170"/>
    <w:rsid w:val="006A14A3"/>
    <w:rsid w:val="006A159D"/>
    <w:rsid w:val="006A18BF"/>
    <w:rsid w:val="006A1F58"/>
    <w:rsid w:val="006A242E"/>
    <w:rsid w:val="006A26AB"/>
    <w:rsid w:val="006A298D"/>
    <w:rsid w:val="006A2F80"/>
    <w:rsid w:val="006A3FD6"/>
    <w:rsid w:val="006A4076"/>
    <w:rsid w:val="006A436F"/>
    <w:rsid w:val="006A4E5B"/>
    <w:rsid w:val="006A59D8"/>
    <w:rsid w:val="006A5A45"/>
    <w:rsid w:val="006A5C13"/>
    <w:rsid w:val="006A608E"/>
    <w:rsid w:val="006A6B7B"/>
    <w:rsid w:val="006A73D2"/>
    <w:rsid w:val="006A78F8"/>
    <w:rsid w:val="006A7991"/>
    <w:rsid w:val="006A7C26"/>
    <w:rsid w:val="006A7E27"/>
    <w:rsid w:val="006B010E"/>
    <w:rsid w:val="006B091F"/>
    <w:rsid w:val="006B0CAF"/>
    <w:rsid w:val="006B0ED0"/>
    <w:rsid w:val="006B0EED"/>
    <w:rsid w:val="006B147E"/>
    <w:rsid w:val="006B1DF6"/>
    <w:rsid w:val="006B233F"/>
    <w:rsid w:val="006B275E"/>
    <w:rsid w:val="006B28EA"/>
    <w:rsid w:val="006B2DA3"/>
    <w:rsid w:val="006B2FBB"/>
    <w:rsid w:val="006B378A"/>
    <w:rsid w:val="006B3BD5"/>
    <w:rsid w:val="006B4185"/>
    <w:rsid w:val="006B4224"/>
    <w:rsid w:val="006B4493"/>
    <w:rsid w:val="006B4B62"/>
    <w:rsid w:val="006B53DC"/>
    <w:rsid w:val="006B5423"/>
    <w:rsid w:val="006B5855"/>
    <w:rsid w:val="006B5AB2"/>
    <w:rsid w:val="006B5C67"/>
    <w:rsid w:val="006B6B5D"/>
    <w:rsid w:val="006B6C0D"/>
    <w:rsid w:val="006B7825"/>
    <w:rsid w:val="006B7D68"/>
    <w:rsid w:val="006C033F"/>
    <w:rsid w:val="006C1818"/>
    <w:rsid w:val="006C1F8B"/>
    <w:rsid w:val="006C2721"/>
    <w:rsid w:val="006C323A"/>
    <w:rsid w:val="006C3868"/>
    <w:rsid w:val="006C38FF"/>
    <w:rsid w:val="006C39EC"/>
    <w:rsid w:val="006C3E6E"/>
    <w:rsid w:val="006C3EEA"/>
    <w:rsid w:val="006C43A6"/>
    <w:rsid w:val="006C44EC"/>
    <w:rsid w:val="006C4A4A"/>
    <w:rsid w:val="006C53EB"/>
    <w:rsid w:val="006C5D29"/>
    <w:rsid w:val="006C650D"/>
    <w:rsid w:val="006C69A5"/>
    <w:rsid w:val="006C6A4D"/>
    <w:rsid w:val="006C6CF3"/>
    <w:rsid w:val="006C7740"/>
    <w:rsid w:val="006D0389"/>
    <w:rsid w:val="006D0848"/>
    <w:rsid w:val="006D0BA5"/>
    <w:rsid w:val="006D0C15"/>
    <w:rsid w:val="006D0D8B"/>
    <w:rsid w:val="006D0FBF"/>
    <w:rsid w:val="006D10DC"/>
    <w:rsid w:val="006D1586"/>
    <w:rsid w:val="006D19C1"/>
    <w:rsid w:val="006D2827"/>
    <w:rsid w:val="006D2848"/>
    <w:rsid w:val="006D2B19"/>
    <w:rsid w:val="006D2EC9"/>
    <w:rsid w:val="006D3A05"/>
    <w:rsid w:val="006D3B62"/>
    <w:rsid w:val="006D3FDF"/>
    <w:rsid w:val="006D4527"/>
    <w:rsid w:val="006D4B05"/>
    <w:rsid w:val="006D4EE5"/>
    <w:rsid w:val="006D4F86"/>
    <w:rsid w:val="006D5F98"/>
    <w:rsid w:val="006D6665"/>
    <w:rsid w:val="006D7098"/>
    <w:rsid w:val="006D740E"/>
    <w:rsid w:val="006D7C8A"/>
    <w:rsid w:val="006D7F72"/>
    <w:rsid w:val="006E00B7"/>
    <w:rsid w:val="006E0CB5"/>
    <w:rsid w:val="006E0E5B"/>
    <w:rsid w:val="006E132F"/>
    <w:rsid w:val="006E2701"/>
    <w:rsid w:val="006E3023"/>
    <w:rsid w:val="006E3369"/>
    <w:rsid w:val="006E3D12"/>
    <w:rsid w:val="006E449C"/>
    <w:rsid w:val="006E4726"/>
    <w:rsid w:val="006E4E72"/>
    <w:rsid w:val="006E4FCD"/>
    <w:rsid w:val="006E50D0"/>
    <w:rsid w:val="006E5B0B"/>
    <w:rsid w:val="006E663E"/>
    <w:rsid w:val="006E6655"/>
    <w:rsid w:val="006E6EDF"/>
    <w:rsid w:val="006E7BA5"/>
    <w:rsid w:val="006F01E8"/>
    <w:rsid w:val="006F02D7"/>
    <w:rsid w:val="006F07FA"/>
    <w:rsid w:val="006F0EBB"/>
    <w:rsid w:val="006F1E96"/>
    <w:rsid w:val="006F2D24"/>
    <w:rsid w:val="006F37F7"/>
    <w:rsid w:val="006F38C3"/>
    <w:rsid w:val="006F3909"/>
    <w:rsid w:val="006F4036"/>
    <w:rsid w:val="006F428E"/>
    <w:rsid w:val="006F48E1"/>
    <w:rsid w:val="006F5160"/>
    <w:rsid w:val="006F5374"/>
    <w:rsid w:val="006F60DF"/>
    <w:rsid w:val="006F68C1"/>
    <w:rsid w:val="006F6B60"/>
    <w:rsid w:val="006F6CE2"/>
    <w:rsid w:val="006F6E10"/>
    <w:rsid w:val="006F7800"/>
    <w:rsid w:val="007014F8"/>
    <w:rsid w:val="0070150D"/>
    <w:rsid w:val="007016D2"/>
    <w:rsid w:val="007018D8"/>
    <w:rsid w:val="007029E8"/>
    <w:rsid w:val="00703107"/>
    <w:rsid w:val="00703138"/>
    <w:rsid w:val="00703277"/>
    <w:rsid w:val="0070356D"/>
    <w:rsid w:val="00703981"/>
    <w:rsid w:val="00703D7E"/>
    <w:rsid w:val="00703DE6"/>
    <w:rsid w:val="007041A7"/>
    <w:rsid w:val="0070495F"/>
    <w:rsid w:val="00704B6E"/>
    <w:rsid w:val="00704F73"/>
    <w:rsid w:val="0070508D"/>
    <w:rsid w:val="0070542E"/>
    <w:rsid w:val="00706096"/>
    <w:rsid w:val="007060D4"/>
    <w:rsid w:val="0070624C"/>
    <w:rsid w:val="00706451"/>
    <w:rsid w:val="00707E0F"/>
    <w:rsid w:val="007100F9"/>
    <w:rsid w:val="0071068A"/>
    <w:rsid w:val="00710E19"/>
    <w:rsid w:val="00710E52"/>
    <w:rsid w:val="0071154B"/>
    <w:rsid w:val="007116B6"/>
    <w:rsid w:val="0071174F"/>
    <w:rsid w:val="0071196A"/>
    <w:rsid w:val="00711C03"/>
    <w:rsid w:val="0071227C"/>
    <w:rsid w:val="007131CF"/>
    <w:rsid w:val="007132CD"/>
    <w:rsid w:val="007133C0"/>
    <w:rsid w:val="00713613"/>
    <w:rsid w:val="007137C6"/>
    <w:rsid w:val="007138FC"/>
    <w:rsid w:val="0071393D"/>
    <w:rsid w:val="00713E79"/>
    <w:rsid w:val="00714245"/>
    <w:rsid w:val="00714C20"/>
    <w:rsid w:val="00715441"/>
    <w:rsid w:val="00715739"/>
    <w:rsid w:val="0071576C"/>
    <w:rsid w:val="00715C94"/>
    <w:rsid w:val="00715EA7"/>
    <w:rsid w:val="00716A09"/>
    <w:rsid w:val="007170DB"/>
    <w:rsid w:val="00717880"/>
    <w:rsid w:val="00717CA8"/>
    <w:rsid w:val="007205E7"/>
    <w:rsid w:val="007209C4"/>
    <w:rsid w:val="00721ACB"/>
    <w:rsid w:val="00721E9E"/>
    <w:rsid w:val="007227FE"/>
    <w:rsid w:val="0072290A"/>
    <w:rsid w:val="007233C3"/>
    <w:rsid w:val="00723C82"/>
    <w:rsid w:val="00723C95"/>
    <w:rsid w:val="007244E7"/>
    <w:rsid w:val="0072505F"/>
    <w:rsid w:val="00725B00"/>
    <w:rsid w:val="00725E54"/>
    <w:rsid w:val="0072680C"/>
    <w:rsid w:val="0072698B"/>
    <w:rsid w:val="00726A25"/>
    <w:rsid w:val="00726B3D"/>
    <w:rsid w:val="00726C64"/>
    <w:rsid w:val="007310B7"/>
    <w:rsid w:val="00731237"/>
    <w:rsid w:val="0073207E"/>
    <w:rsid w:val="00732664"/>
    <w:rsid w:val="00732BA7"/>
    <w:rsid w:val="007333EA"/>
    <w:rsid w:val="00733535"/>
    <w:rsid w:val="00733601"/>
    <w:rsid w:val="00733A57"/>
    <w:rsid w:val="00733F36"/>
    <w:rsid w:val="007340CE"/>
    <w:rsid w:val="00734781"/>
    <w:rsid w:val="007349FC"/>
    <w:rsid w:val="00734B6F"/>
    <w:rsid w:val="00735293"/>
    <w:rsid w:val="00735376"/>
    <w:rsid w:val="007363EA"/>
    <w:rsid w:val="00736E06"/>
    <w:rsid w:val="00736E37"/>
    <w:rsid w:val="00737286"/>
    <w:rsid w:val="007373DB"/>
    <w:rsid w:val="00737F27"/>
    <w:rsid w:val="00737FD3"/>
    <w:rsid w:val="007407DB"/>
    <w:rsid w:val="0074085F"/>
    <w:rsid w:val="00740BFC"/>
    <w:rsid w:val="00740F76"/>
    <w:rsid w:val="00741037"/>
    <w:rsid w:val="0074198F"/>
    <w:rsid w:val="007422B3"/>
    <w:rsid w:val="007424BF"/>
    <w:rsid w:val="007434BD"/>
    <w:rsid w:val="007435F1"/>
    <w:rsid w:val="00743DDD"/>
    <w:rsid w:val="00744625"/>
    <w:rsid w:val="007446BB"/>
    <w:rsid w:val="00745882"/>
    <w:rsid w:val="00745A04"/>
    <w:rsid w:val="00745A0F"/>
    <w:rsid w:val="00745DFD"/>
    <w:rsid w:val="00746197"/>
    <w:rsid w:val="0074689C"/>
    <w:rsid w:val="00746B3F"/>
    <w:rsid w:val="00747117"/>
    <w:rsid w:val="007479C2"/>
    <w:rsid w:val="00747B0D"/>
    <w:rsid w:val="00750712"/>
    <w:rsid w:val="007511BA"/>
    <w:rsid w:val="00751452"/>
    <w:rsid w:val="00751D06"/>
    <w:rsid w:val="00751D74"/>
    <w:rsid w:val="007521A5"/>
    <w:rsid w:val="00752243"/>
    <w:rsid w:val="007531BA"/>
    <w:rsid w:val="00753959"/>
    <w:rsid w:val="00753DD6"/>
    <w:rsid w:val="00754A4A"/>
    <w:rsid w:val="007567A8"/>
    <w:rsid w:val="00760D1E"/>
    <w:rsid w:val="00760F66"/>
    <w:rsid w:val="007610A0"/>
    <w:rsid w:val="00761103"/>
    <w:rsid w:val="007611F8"/>
    <w:rsid w:val="00761200"/>
    <w:rsid w:val="007615F6"/>
    <w:rsid w:val="007618E2"/>
    <w:rsid w:val="00761931"/>
    <w:rsid w:val="00761BD1"/>
    <w:rsid w:val="007627BA"/>
    <w:rsid w:val="0076291E"/>
    <w:rsid w:val="00762D81"/>
    <w:rsid w:val="0076317B"/>
    <w:rsid w:val="007634C7"/>
    <w:rsid w:val="00763CB9"/>
    <w:rsid w:val="007643D5"/>
    <w:rsid w:val="00765366"/>
    <w:rsid w:val="00765614"/>
    <w:rsid w:val="00765914"/>
    <w:rsid w:val="0076614D"/>
    <w:rsid w:val="0076624C"/>
    <w:rsid w:val="0076627D"/>
    <w:rsid w:val="00766304"/>
    <w:rsid w:val="00767A28"/>
    <w:rsid w:val="00767DD2"/>
    <w:rsid w:val="0077082B"/>
    <w:rsid w:val="00770B12"/>
    <w:rsid w:val="00770E60"/>
    <w:rsid w:val="00771C8F"/>
    <w:rsid w:val="00772019"/>
    <w:rsid w:val="0077266E"/>
    <w:rsid w:val="0077292E"/>
    <w:rsid w:val="007737D8"/>
    <w:rsid w:val="0077391C"/>
    <w:rsid w:val="00773D24"/>
    <w:rsid w:val="00774576"/>
    <w:rsid w:val="0077508A"/>
    <w:rsid w:val="00775567"/>
    <w:rsid w:val="00775E0D"/>
    <w:rsid w:val="00776343"/>
    <w:rsid w:val="00776416"/>
    <w:rsid w:val="00776C7B"/>
    <w:rsid w:val="00776CEF"/>
    <w:rsid w:val="0077790B"/>
    <w:rsid w:val="00777E7E"/>
    <w:rsid w:val="007804DD"/>
    <w:rsid w:val="0078095A"/>
    <w:rsid w:val="00780F3B"/>
    <w:rsid w:val="007816EE"/>
    <w:rsid w:val="00782071"/>
    <w:rsid w:val="00782946"/>
    <w:rsid w:val="00782AB1"/>
    <w:rsid w:val="00782ECD"/>
    <w:rsid w:val="0078363B"/>
    <w:rsid w:val="00783CCF"/>
    <w:rsid w:val="00783F5B"/>
    <w:rsid w:val="00784609"/>
    <w:rsid w:val="00784720"/>
    <w:rsid w:val="0078481D"/>
    <w:rsid w:val="007859FC"/>
    <w:rsid w:val="00785F4C"/>
    <w:rsid w:val="0078609C"/>
    <w:rsid w:val="00786355"/>
    <w:rsid w:val="00787370"/>
    <w:rsid w:val="007874AE"/>
    <w:rsid w:val="0078750B"/>
    <w:rsid w:val="00787F5E"/>
    <w:rsid w:val="0079024D"/>
    <w:rsid w:val="007911B8"/>
    <w:rsid w:val="00791DAE"/>
    <w:rsid w:val="007930E8"/>
    <w:rsid w:val="00793342"/>
    <w:rsid w:val="007935F5"/>
    <w:rsid w:val="00793D04"/>
    <w:rsid w:val="00793F28"/>
    <w:rsid w:val="00793FDB"/>
    <w:rsid w:val="00794252"/>
    <w:rsid w:val="007944D2"/>
    <w:rsid w:val="00794B19"/>
    <w:rsid w:val="00795B8D"/>
    <w:rsid w:val="00795EB9"/>
    <w:rsid w:val="00795F0E"/>
    <w:rsid w:val="007960A9"/>
    <w:rsid w:val="00797D8F"/>
    <w:rsid w:val="007A0C00"/>
    <w:rsid w:val="007A0E15"/>
    <w:rsid w:val="007A176E"/>
    <w:rsid w:val="007A19BF"/>
    <w:rsid w:val="007A2A69"/>
    <w:rsid w:val="007A2CF1"/>
    <w:rsid w:val="007A41B5"/>
    <w:rsid w:val="007A4486"/>
    <w:rsid w:val="007A4682"/>
    <w:rsid w:val="007A5879"/>
    <w:rsid w:val="007A58A8"/>
    <w:rsid w:val="007A5BDC"/>
    <w:rsid w:val="007A629D"/>
    <w:rsid w:val="007A6610"/>
    <w:rsid w:val="007A6DD3"/>
    <w:rsid w:val="007A6FF3"/>
    <w:rsid w:val="007A71DC"/>
    <w:rsid w:val="007A7A04"/>
    <w:rsid w:val="007B04FF"/>
    <w:rsid w:val="007B0976"/>
    <w:rsid w:val="007B0CAC"/>
    <w:rsid w:val="007B15F3"/>
    <w:rsid w:val="007B1701"/>
    <w:rsid w:val="007B17C0"/>
    <w:rsid w:val="007B1C32"/>
    <w:rsid w:val="007B1DBB"/>
    <w:rsid w:val="007B2319"/>
    <w:rsid w:val="007B2FBF"/>
    <w:rsid w:val="007B3E13"/>
    <w:rsid w:val="007B4046"/>
    <w:rsid w:val="007B4300"/>
    <w:rsid w:val="007B44CE"/>
    <w:rsid w:val="007B44F9"/>
    <w:rsid w:val="007B565C"/>
    <w:rsid w:val="007B595F"/>
    <w:rsid w:val="007B5D75"/>
    <w:rsid w:val="007B6388"/>
    <w:rsid w:val="007B6D5E"/>
    <w:rsid w:val="007B7115"/>
    <w:rsid w:val="007B736B"/>
    <w:rsid w:val="007C0090"/>
    <w:rsid w:val="007C0853"/>
    <w:rsid w:val="007C08D0"/>
    <w:rsid w:val="007C08FD"/>
    <w:rsid w:val="007C0C90"/>
    <w:rsid w:val="007C0E07"/>
    <w:rsid w:val="007C0E86"/>
    <w:rsid w:val="007C249E"/>
    <w:rsid w:val="007C26CF"/>
    <w:rsid w:val="007C271B"/>
    <w:rsid w:val="007C2C14"/>
    <w:rsid w:val="007C2D50"/>
    <w:rsid w:val="007C357D"/>
    <w:rsid w:val="007C3A55"/>
    <w:rsid w:val="007C4166"/>
    <w:rsid w:val="007C44E1"/>
    <w:rsid w:val="007C48DD"/>
    <w:rsid w:val="007C4A05"/>
    <w:rsid w:val="007C4D79"/>
    <w:rsid w:val="007C5711"/>
    <w:rsid w:val="007C57B9"/>
    <w:rsid w:val="007C6325"/>
    <w:rsid w:val="007C6C53"/>
    <w:rsid w:val="007C71FB"/>
    <w:rsid w:val="007C73A3"/>
    <w:rsid w:val="007C7975"/>
    <w:rsid w:val="007C7EF5"/>
    <w:rsid w:val="007D06AC"/>
    <w:rsid w:val="007D0741"/>
    <w:rsid w:val="007D0A53"/>
    <w:rsid w:val="007D0C62"/>
    <w:rsid w:val="007D0FFC"/>
    <w:rsid w:val="007D1013"/>
    <w:rsid w:val="007D19EC"/>
    <w:rsid w:val="007D2180"/>
    <w:rsid w:val="007D2608"/>
    <w:rsid w:val="007D30C3"/>
    <w:rsid w:val="007D35AC"/>
    <w:rsid w:val="007D36B1"/>
    <w:rsid w:val="007D36D7"/>
    <w:rsid w:val="007D3BA1"/>
    <w:rsid w:val="007D3BDB"/>
    <w:rsid w:val="007D3EC8"/>
    <w:rsid w:val="007D40AC"/>
    <w:rsid w:val="007D4317"/>
    <w:rsid w:val="007D4C12"/>
    <w:rsid w:val="007D57E0"/>
    <w:rsid w:val="007D5962"/>
    <w:rsid w:val="007D63B2"/>
    <w:rsid w:val="007D651D"/>
    <w:rsid w:val="007D71B7"/>
    <w:rsid w:val="007D7C66"/>
    <w:rsid w:val="007D7CF3"/>
    <w:rsid w:val="007E0274"/>
    <w:rsid w:val="007E02A7"/>
    <w:rsid w:val="007E0415"/>
    <w:rsid w:val="007E0991"/>
    <w:rsid w:val="007E0B2C"/>
    <w:rsid w:val="007E107F"/>
    <w:rsid w:val="007E1C84"/>
    <w:rsid w:val="007E25ED"/>
    <w:rsid w:val="007E2FD7"/>
    <w:rsid w:val="007E310B"/>
    <w:rsid w:val="007E38DA"/>
    <w:rsid w:val="007E3D65"/>
    <w:rsid w:val="007E3EE2"/>
    <w:rsid w:val="007E47E7"/>
    <w:rsid w:val="007E4A98"/>
    <w:rsid w:val="007E4EB6"/>
    <w:rsid w:val="007E5DD7"/>
    <w:rsid w:val="007E712A"/>
    <w:rsid w:val="007E7139"/>
    <w:rsid w:val="007E7366"/>
    <w:rsid w:val="007E7EA1"/>
    <w:rsid w:val="007E7EA4"/>
    <w:rsid w:val="007F03CE"/>
    <w:rsid w:val="007F04D3"/>
    <w:rsid w:val="007F0DB7"/>
    <w:rsid w:val="007F0E95"/>
    <w:rsid w:val="007F137D"/>
    <w:rsid w:val="007F2D8D"/>
    <w:rsid w:val="007F2EBF"/>
    <w:rsid w:val="007F3044"/>
    <w:rsid w:val="007F3249"/>
    <w:rsid w:val="007F4657"/>
    <w:rsid w:val="007F49E6"/>
    <w:rsid w:val="007F5609"/>
    <w:rsid w:val="007F5625"/>
    <w:rsid w:val="007F568A"/>
    <w:rsid w:val="007F59F7"/>
    <w:rsid w:val="007F5D13"/>
    <w:rsid w:val="007F5E21"/>
    <w:rsid w:val="007F619D"/>
    <w:rsid w:val="007F6413"/>
    <w:rsid w:val="007F676E"/>
    <w:rsid w:val="007F6B11"/>
    <w:rsid w:val="007F6C91"/>
    <w:rsid w:val="007F6E2B"/>
    <w:rsid w:val="007F6F3C"/>
    <w:rsid w:val="007F7D12"/>
    <w:rsid w:val="007F7F02"/>
    <w:rsid w:val="00800258"/>
    <w:rsid w:val="00800562"/>
    <w:rsid w:val="00800C97"/>
    <w:rsid w:val="00800E69"/>
    <w:rsid w:val="008015BF"/>
    <w:rsid w:val="0080220F"/>
    <w:rsid w:val="00802735"/>
    <w:rsid w:val="008028C2"/>
    <w:rsid w:val="00802DDB"/>
    <w:rsid w:val="00803165"/>
    <w:rsid w:val="008037D8"/>
    <w:rsid w:val="00803B7E"/>
    <w:rsid w:val="00803DA6"/>
    <w:rsid w:val="008040D9"/>
    <w:rsid w:val="0080436E"/>
    <w:rsid w:val="00804937"/>
    <w:rsid w:val="00804E1E"/>
    <w:rsid w:val="00804E43"/>
    <w:rsid w:val="008050F5"/>
    <w:rsid w:val="00805112"/>
    <w:rsid w:val="0080512F"/>
    <w:rsid w:val="0080519C"/>
    <w:rsid w:val="00810BC2"/>
    <w:rsid w:val="00811683"/>
    <w:rsid w:val="00811AFF"/>
    <w:rsid w:val="00812102"/>
    <w:rsid w:val="00812373"/>
    <w:rsid w:val="00813F3A"/>
    <w:rsid w:val="008140E8"/>
    <w:rsid w:val="00814271"/>
    <w:rsid w:val="00814941"/>
    <w:rsid w:val="00814955"/>
    <w:rsid w:val="00814A65"/>
    <w:rsid w:val="00814BD9"/>
    <w:rsid w:val="008158AC"/>
    <w:rsid w:val="00816805"/>
    <w:rsid w:val="00816BE8"/>
    <w:rsid w:val="00816CD5"/>
    <w:rsid w:val="00816DBD"/>
    <w:rsid w:val="00816FE2"/>
    <w:rsid w:val="00817062"/>
    <w:rsid w:val="00817991"/>
    <w:rsid w:val="00817F58"/>
    <w:rsid w:val="008203C5"/>
    <w:rsid w:val="00820B84"/>
    <w:rsid w:val="0082199B"/>
    <w:rsid w:val="00821C2A"/>
    <w:rsid w:val="008227B7"/>
    <w:rsid w:val="008243A8"/>
    <w:rsid w:val="00824925"/>
    <w:rsid w:val="00824C8B"/>
    <w:rsid w:val="008252E8"/>
    <w:rsid w:val="00825BA8"/>
    <w:rsid w:val="00825C14"/>
    <w:rsid w:val="00825FD5"/>
    <w:rsid w:val="0082641D"/>
    <w:rsid w:val="008267CA"/>
    <w:rsid w:val="0082722B"/>
    <w:rsid w:val="00827C1B"/>
    <w:rsid w:val="0083016B"/>
    <w:rsid w:val="008301F1"/>
    <w:rsid w:val="00830C0E"/>
    <w:rsid w:val="008313E0"/>
    <w:rsid w:val="00831742"/>
    <w:rsid w:val="008317EC"/>
    <w:rsid w:val="0083195D"/>
    <w:rsid w:val="00831B7B"/>
    <w:rsid w:val="00831D90"/>
    <w:rsid w:val="008324F3"/>
    <w:rsid w:val="00832691"/>
    <w:rsid w:val="0083296B"/>
    <w:rsid w:val="00833547"/>
    <w:rsid w:val="00833852"/>
    <w:rsid w:val="00833AB9"/>
    <w:rsid w:val="008344EC"/>
    <w:rsid w:val="00834820"/>
    <w:rsid w:val="00834C82"/>
    <w:rsid w:val="00834DB6"/>
    <w:rsid w:val="00834F93"/>
    <w:rsid w:val="008354DB"/>
    <w:rsid w:val="00840C4A"/>
    <w:rsid w:val="008411B9"/>
    <w:rsid w:val="0084122F"/>
    <w:rsid w:val="00841573"/>
    <w:rsid w:val="00841D08"/>
    <w:rsid w:val="00842D43"/>
    <w:rsid w:val="0084323E"/>
    <w:rsid w:val="0084375D"/>
    <w:rsid w:val="00843D50"/>
    <w:rsid w:val="0084464E"/>
    <w:rsid w:val="008458BF"/>
    <w:rsid w:val="00846262"/>
    <w:rsid w:val="00846370"/>
    <w:rsid w:val="00846DCD"/>
    <w:rsid w:val="00847665"/>
    <w:rsid w:val="00847BC5"/>
    <w:rsid w:val="00847F11"/>
    <w:rsid w:val="00850010"/>
    <w:rsid w:val="008503F4"/>
    <w:rsid w:val="008504A0"/>
    <w:rsid w:val="00850AC1"/>
    <w:rsid w:val="00850C2A"/>
    <w:rsid w:val="00850DFA"/>
    <w:rsid w:val="00851331"/>
    <w:rsid w:val="008516D1"/>
    <w:rsid w:val="00851BC6"/>
    <w:rsid w:val="00852003"/>
    <w:rsid w:val="0085212C"/>
    <w:rsid w:val="00852F9E"/>
    <w:rsid w:val="00854053"/>
    <w:rsid w:val="008543AC"/>
    <w:rsid w:val="008548B8"/>
    <w:rsid w:val="00854965"/>
    <w:rsid w:val="008554D1"/>
    <w:rsid w:val="008558E0"/>
    <w:rsid w:val="00857AF7"/>
    <w:rsid w:val="00860109"/>
    <w:rsid w:val="008601BD"/>
    <w:rsid w:val="00860359"/>
    <w:rsid w:val="00860700"/>
    <w:rsid w:val="00860E43"/>
    <w:rsid w:val="00860EE9"/>
    <w:rsid w:val="00861075"/>
    <w:rsid w:val="00861252"/>
    <w:rsid w:val="0086171A"/>
    <w:rsid w:val="00861B89"/>
    <w:rsid w:val="0086226C"/>
    <w:rsid w:val="00862C76"/>
    <w:rsid w:val="00863968"/>
    <w:rsid w:val="008644A4"/>
    <w:rsid w:val="00864A6C"/>
    <w:rsid w:val="00864BB1"/>
    <w:rsid w:val="00864DF7"/>
    <w:rsid w:val="00864FDB"/>
    <w:rsid w:val="00865278"/>
    <w:rsid w:val="008654F9"/>
    <w:rsid w:val="008657DA"/>
    <w:rsid w:val="008658C0"/>
    <w:rsid w:val="00866388"/>
    <w:rsid w:val="00866FE3"/>
    <w:rsid w:val="0086722D"/>
    <w:rsid w:val="00867D56"/>
    <w:rsid w:val="0087028A"/>
    <w:rsid w:val="00870BAA"/>
    <w:rsid w:val="00870D91"/>
    <w:rsid w:val="008716D1"/>
    <w:rsid w:val="008716ED"/>
    <w:rsid w:val="0087193F"/>
    <w:rsid w:val="008724E6"/>
    <w:rsid w:val="00872767"/>
    <w:rsid w:val="008728C8"/>
    <w:rsid w:val="00873205"/>
    <w:rsid w:val="008735E8"/>
    <w:rsid w:val="0087377E"/>
    <w:rsid w:val="008739AB"/>
    <w:rsid w:val="00874043"/>
    <w:rsid w:val="00874594"/>
    <w:rsid w:val="00874776"/>
    <w:rsid w:val="0087487C"/>
    <w:rsid w:val="00874A07"/>
    <w:rsid w:val="00874B75"/>
    <w:rsid w:val="00875007"/>
    <w:rsid w:val="008750DB"/>
    <w:rsid w:val="00875144"/>
    <w:rsid w:val="008751B4"/>
    <w:rsid w:val="0087527F"/>
    <w:rsid w:val="0087543F"/>
    <w:rsid w:val="008754B5"/>
    <w:rsid w:val="008758A8"/>
    <w:rsid w:val="00875AF3"/>
    <w:rsid w:val="008765E9"/>
    <w:rsid w:val="00876605"/>
    <w:rsid w:val="00876B13"/>
    <w:rsid w:val="00880017"/>
    <w:rsid w:val="00880305"/>
    <w:rsid w:val="00880315"/>
    <w:rsid w:val="0088031C"/>
    <w:rsid w:val="0088088A"/>
    <w:rsid w:val="00880A3F"/>
    <w:rsid w:val="00880EE2"/>
    <w:rsid w:val="00881318"/>
    <w:rsid w:val="00881732"/>
    <w:rsid w:val="008818A2"/>
    <w:rsid w:val="008820FB"/>
    <w:rsid w:val="0088213D"/>
    <w:rsid w:val="008821C6"/>
    <w:rsid w:val="0088243C"/>
    <w:rsid w:val="0088243D"/>
    <w:rsid w:val="0088251A"/>
    <w:rsid w:val="00882D28"/>
    <w:rsid w:val="00883A67"/>
    <w:rsid w:val="0088400F"/>
    <w:rsid w:val="008848E9"/>
    <w:rsid w:val="00884FD8"/>
    <w:rsid w:val="00885244"/>
    <w:rsid w:val="008857C7"/>
    <w:rsid w:val="008858B3"/>
    <w:rsid w:val="008866CF"/>
    <w:rsid w:val="00886782"/>
    <w:rsid w:val="008869A1"/>
    <w:rsid w:val="00886B3F"/>
    <w:rsid w:val="0089015D"/>
    <w:rsid w:val="0089021A"/>
    <w:rsid w:val="0089022E"/>
    <w:rsid w:val="00890475"/>
    <w:rsid w:val="00890A7C"/>
    <w:rsid w:val="00890D11"/>
    <w:rsid w:val="008910EE"/>
    <w:rsid w:val="00891563"/>
    <w:rsid w:val="00891A26"/>
    <w:rsid w:val="008923F8"/>
    <w:rsid w:val="0089253F"/>
    <w:rsid w:val="008928F1"/>
    <w:rsid w:val="00892BBF"/>
    <w:rsid w:val="00892DB5"/>
    <w:rsid w:val="00892F62"/>
    <w:rsid w:val="0089389C"/>
    <w:rsid w:val="0089414C"/>
    <w:rsid w:val="008942BD"/>
    <w:rsid w:val="0089478A"/>
    <w:rsid w:val="0089480A"/>
    <w:rsid w:val="00894BEE"/>
    <w:rsid w:val="00894FE5"/>
    <w:rsid w:val="008954D2"/>
    <w:rsid w:val="00895658"/>
    <w:rsid w:val="008956DA"/>
    <w:rsid w:val="008959E5"/>
    <w:rsid w:val="00895BA9"/>
    <w:rsid w:val="00895D79"/>
    <w:rsid w:val="0089601B"/>
    <w:rsid w:val="0089655D"/>
    <w:rsid w:val="00896784"/>
    <w:rsid w:val="00897824"/>
    <w:rsid w:val="008979DB"/>
    <w:rsid w:val="00897BCB"/>
    <w:rsid w:val="00897C07"/>
    <w:rsid w:val="00897DBA"/>
    <w:rsid w:val="008A02FA"/>
    <w:rsid w:val="008A06A8"/>
    <w:rsid w:val="008A1AAC"/>
    <w:rsid w:val="008A1D3C"/>
    <w:rsid w:val="008A20CA"/>
    <w:rsid w:val="008A239B"/>
    <w:rsid w:val="008A2956"/>
    <w:rsid w:val="008A2EA1"/>
    <w:rsid w:val="008A2EF6"/>
    <w:rsid w:val="008A3480"/>
    <w:rsid w:val="008A425D"/>
    <w:rsid w:val="008A4B88"/>
    <w:rsid w:val="008A4F3C"/>
    <w:rsid w:val="008A51AD"/>
    <w:rsid w:val="008A53BA"/>
    <w:rsid w:val="008A551D"/>
    <w:rsid w:val="008A56BA"/>
    <w:rsid w:val="008A570A"/>
    <w:rsid w:val="008A58E4"/>
    <w:rsid w:val="008A58E7"/>
    <w:rsid w:val="008A5C1D"/>
    <w:rsid w:val="008A615A"/>
    <w:rsid w:val="008A650C"/>
    <w:rsid w:val="008A6A36"/>
    <w:rsid w:val="008A6CB9"/>
    <w:rsid w:val="008A6DC1"/>
    <w:rsid w:val="008A7100"/>
    <w:rsid w:val="008A7139"/>
    <w:rsid w:val="008A776D"/>
    <w:rsid w:val="008A7C74"/>
    <w:rsid w:val="008B0107"/>
    <w:rsid w:val="008B04C0"/>
    <w:rsid w:val="008B0A83"/>
    <w:rsid w:val="008B0E93"/>
    <w:rsid w:val="008B198D"/>
    <w:rsid w:val="008B29A4"/>
    <w:rsid w:val="008B2BB4"/>
    <w:rsid w:val="008B2C30"/>
    <w:rsid w:val="008B2D73"/>
    <w:rsid w:val="008B3AB6"/>
    <w:rsid w:val="008B3C2B"/>
    <w:rsid w:val="008B4679"/>
    <w:rsid w:val="008B4D00"/>
    <w:rsid w:val="008B4D13"/>
    <w:rsid w:val="008B4E78"/>
    <w:rsid w:val="008B4FE2"/>
    <w:rsid w:val="008B61A1"/>
    <w:rsid w:val="008B66EE"/>
    <w:rsid w:val="008B6793"/>
    <w:rsid w:val="008B6E62"/>
    <w:rsid w:val="008B6E87"/>
    <w:rsid w:val="008B728A"/>
    <w:rsid w:val="008B7342"/>
    <w:rsid w:val="008B75C2"/>
    <w:rsid w:val="008B770F"/>
    <w:rsid w:val="008B787A"/>
    <w:rsid w:val="008C0773"/>
    <w:rsid w:val="008C0A89"/>
    <w:rsid w:val="008C0E71"/>
    <w:rsid w:val="008C1852"/>
    <w:rsid w:val="008C27B4"/>
    <w:rsid w:val="008C2CFF"/>
    <w:rsid w:val="008C2E1E"/>
    <w:rsid w:val="008C2E22"/>
    <w:rsid w:val="008C2ED2"/>
    <w:rsid w:val="008C3D4D"/>
    <w:rsid w:val="008C4026"/>
    <w:rsid w:val="008C417E"/>
    <w:rsid w:val="008C5B51"/>
    <w:rsid w:val="008C5F0A"/>
    <w:rsid w:val="008C6105"/>
    <w:rsid w:val="008C6124"/>
    <w:rsid w:val="008C6334"/>
    <w:rsid w:val="008C66BD"/>
    <w:rsid w:val="008C6968"/>
    <w:rsid w:val="008C742A"/>
    <w:rsid w:val="008C74C7"/>
    <w:rsid w:val="008C7714"/>
    <w:rsid w:val="008C7F4F"/>
    <w:rsid w:val="008D00F3"/>
    <w:rsid w:val="008D0F27"/>
    <w:rsid w:val="008D15A2"/>
    <w:rsid w:val="008D18CD"/>
    <w:rsid w:val="008D1F86"/>
    <w:rsid w:val="008D20E0"/>
    <w:rsid w:val="008D2796"/>
    <w:rsid w:val="008D2B6E"/>
    <w:rsid w:val="008D335C"/>
    <w:rsid w:val="008D35B7"/>
    <w:rsid w:val="008D4007"/>
    <w:rsid w:val="008D436A"/>
    <w:rsid w:val="008D4C72"/>
    <w:rsid w:val="008D50BA"/>
    <w:rsid w:val="008D561B"/>
    <w:rsid w:val="008D582B"/>
    <w:rsid w:val="008D5CF9"/>
    <w:rsid w:val="008D5D0A"/>
    <w:rsid w:val="008D6794"/>
    <w:rsid w:val="008D7F65"/>
    <w:rsid w:val="008E0178"/>
    <w:rsid w:val="008E02F8"/>
    <w:rsid w:val="008E1189"/>
    <w:rsid w:val="008E12AF"/>
    <w:rsid w:val="008E1592"/>
    <w:rsid w:val="008E211C"/>
    <w:rsid w:val="008E2BB3"/>
    <w:rsid w:val="008E2BC5"/>
    <w:rsid w:val="008E2C79"/>
    <w:rsid w:val="008E3176"/>
    <w:rsid w:val="008E3564"/>
    <w:rsid w:val="008E3A0B"/>
    <w:rsid w:val="008E3A90"/>
    <w:rsid w:val="008E3AAB"/>
    <w:rsid w:val="008E4043"/>
    <w:rsid w:val="008E4160"/>
    <w:rsid w:val="008E4163"/>
    <w:rsid w:val="008E41E2"/>
    <w:rsid w:val="008E4520"/>
    <w:rsid w:val="008E54E8"/>
    <w:rsid w:val="008E5740"/>
    <w:rsid w:val="008E5868"/>
    <w:rsid w:val="008E5DC8"/>
    <w:rsid w:val="008E6465"/>
    <w:rsid w:val="008E6C57"/>
    <w:rsid w:val="008E6E66"/>
    <w:rsid w:val="008E7082"/>
    <w:rsid w:val="008E72AF"/>
    <w:rsid w:val="008F0952"/>
    <w:rsid w:val="008F1154"/>
    <w:rsid w:val="008F1B84"/>
    <w:rsid w:val="008F1B9D"/>
    <w:rsid w:val="008F1DB6"/>
    <w:rsid w:val="008F1DDC"/>
    <w:rsid w:val="008F39C0"/>
    <w:rsid w:val="008F3CC0"/>
    <w:rsid w:val="008F57CD"/>
    <w:rsid w:val="008F5960"/>
    <w:rsid w:val="008F5CD0"/>
    <w:rsid w:val="008F6100"/>
    <w:rsid w:val="008F629A"/>
    <w:rsid w:val="008F6A9B"/>
    <w:rsid w:val="008F6F03"/>
    <w:rsid w:val="008F6F9D"/>
    <w:rsid w:val="008F7603"/>
    <w:rsid w:val="008F769D"/>
    <w:rsid w:val="008F76DC"/>
    <w:rsid w:val="008F7A06"/>
    <w:rsid w:val="008F7D2F"/>
    <w:rsid w:val="009013C5"/>
    <w:rsid w:val="0090147B"/>
    <w:rsid w:val="00901649"/>
    <w:rsid w:val="00901CBA"/>
    <w:rsid w:val="00901DC6"/>
    <w:rsid w:val="009021DC"/>
    <w:rsid w:val="00903026"/>
    <w:rsid w:val="0090357B"/>
    <w:rsid w:val="00903832"/>
    <w:rsid w:val="009044BE"/>
    <w:rsid w:val="009048EB"/>
    <w:rsid w:val="00904913"/>
    <w:rsid w:val="00904D4B"/>
    <w:rsid w:val="009050B3"/>
    <w:rsid w:val="00905945"/>
    <w:rsid w:val="00905FEB"/>
    <w:rsid w:val="00906252"/>
    <w:rsid w:val="0090672E"/>
    <w:rsid w:val="00906A4F"/>
    <w:rsid w:val="00906BD6"/>
    <w:rsid w:val="00907074"/>
    <w:rsid w:val="009073C7"/>
    <w:rsid w:val="009078BA"/>
    <w:rsid w:val="009079C7"/>
    <w:rsid w:val="009079F7"/>
    <w:rsid w:val="00907B44"/>
    <w:rsid w:val="00907C33"/>
    <w:rsid w:val="009108D2"/>
    <w:rsid w:val="00910C20"/>
    <w:rsid w:val="00910FE1"/>
    <w:rsid w:val="0091106A"/>
    <w:rsid w:val="009117D0"/>
    <w:rsid w:val="00911C77"/>
    <w:rsid w:val="00911D1C"/>
    <w:rsid w:val="00912F38"/>
    <w:rsid w:val="00913C58"/>
    <w:rsid w:val="00913FCD"/>
    <w:rsid w:val="009140B4"/>
    <w:rsid w:val="00914174"/>
    <w:rsid w:val="0091428A"/>
    <w:rsid w:val="00914733"/>
    <w:rsid w:val="00914AA5"/>
    <w:rsid w:val="009162DD"/>
    <w:rsid w:val="009163E7"/>
    <w:rsid w:val="0091671A"/>
    <w:rsid w:val="009169F6"/>
    <w:rsid w:val="00916D5B"/>
    <w:rsid w:val="0091715C"/>
    <w:rsid w:val="0091719D"/>
    <w:rsid w:val="00917903"/>
    <w:rsid w:val="009200D3"/>
    <w:rsid w:val="00920997"/>
    <w:rsid w:val="00920B1E"/>
    <w:rsid w:val="00920DD5"/>
    <w:rsid w:val="00921161"/>
    <w:rsid w:val="0092158B"/>
    <w:rsid w:val="00921E0A"/>
    <w:rsid w:val="00922492"/>
    <w:rsid w:val="009224EB"/>
    <w:rsid w:val="0092272F"/>
    <w:rsid w:val="00922BE2"/>
    <w:rsid w:val="00922EDE"/>
    <w:rsid w:val="0092337C"/>
    <w:rsid w:val="009237D9"/>
    <w:rsid w:val="009239D2"/>
    <w:rsid w:val="0092406C"/>
    <w:rsid w:val="00924096"/>
    <w:rsid w:val="009243BC"/>
    <w:rsid w:val="009244D5"/>
    <w:rsid w:val="009252F1"/>
    <w:rsid w:val="00925588"/>
    <w:rsid w:val="00925AF5"/>
    <w:rsid w:val="00925C76"/>
    <w:rsid w:val="00926268"/>
    <w:rsid w:val="009264A2"/>
    <w:rsid w:val="00926F3D"/>
    <w:rsid w:val="0092715D"/>
    <w:rsid w:val="00927206"/>
    <w:rsid w:val="00930057"/>
    <w:rsid w:val="00930632"/>
    <w:rsid w:val="009310BC"/>
    <w:rsid w:val="00931D3F"/>
    <w:rsid w:val="009324C4"/>
    <w:rsid w:val="00932671"/>
    <w:rsid w:val="00932A7A"/>
    <w:rsid w:val="009330BF"/>
    <w:rsid w:val="00933817"/>
    <w:rsid w:val="00933C07"/>
    <w:rsid w:val="00934510"/>
    <w:rsid w:val="0093476C"/>
    <w:rsid w:val="00935A1E"/>
    <w:rsid w:val="00935B7C"/>
    <w:rsid w:val="00935E3A"/>
    <w:rsid w:val="00936005"/>
    <w:rsid w:val="0093607C"/>
    <w:rsid w:val="00937A83"/>
    <w:rsid w:val="00937B51"/>
    <w:rsid w:val="00940008"/>
    <w:rsid w:val="00940FFA"/>
    <w:rsid w:val="00941503"/>
    <w:rsid w:val="00941543"/>
    <w:rsid w:val="0094187D"/>
    <w:rsid w:val="00942C90"/>
    <w:rsid w:val="00942F29"/>
    <w:rsid w:val="00942FB6"/>
    <w:rsid w:val="009434EB"/>
    <w:rsid w:val="00943EA6"/>
    <w:rsid w:val="00944400"/>
    <w:rsid w:val="009448F2"/>
    <w:rsid w:val="009448F3"/>
    <w:rsid w:val="0094524B"/>
    <w:rsid w:val="009456E3"/>
    <w:rsid w:val="00945759"/>
    <w:rsid w:val="009466E9"/>
    <w:rsid w:val="00946CB3"/>
    <w:rsid w:val="00946D20"/>
    <w:rsid w:val="00946E51"/>
    <w:rsid w:val="009473F4"/>
    <w:rsid w:val="0094767D"/>
    <w:rsid w:val="00950231"/>
    <w:rsid w:val="00950794"/>
    <w:rsid w:val="009507AA"/>
    <w:rsid w:val="009509EF"/>
    <w:rsid w:val="009515CA"/>
    <w:rsid w:val="00951691"/>
    <w:rsid w:val="00951A1F"/>
    <w:rsid w:val="00951FCE"/>
    <w:rsid w:val="009521CC"/>
    <w:rsid w:val="0095226C"/>
    <w:rsid w:val="00952C05"/>
    <w:rsid w:val="00952D52"/>
    <w:rsid w:val="009540B7"/>
    <w:rsid w:val="009543D0"/>
    <w:rsid w:val="00954DAE"/>
    <w:rsid w:val="00955410"/>
    <w:rsid w:val="0095555D"/>
    <w:rsid w:val="009558EE"/>
    <w:rsid w:val="009559D5"/>
    <w:rsid w:val="00955C17"/>
    <w:rsid w:val="00955D04"/>
    <w:rsid w:val="00955FFA"/>
    <w:rsid w:val="00956170"/>
    <w:rsid w:val="00956BA1"/>
    <w:rsid w:val="00956D42"/>
    <w:rsid w:val="00956F0F"/>
    <w:rsid w:val="00957065"/>
    <w:rsid w:val="0095727F"/>
    <w:rsid w:val="009572AF"/>
    <w:rsid w:val="00957E41"/>
    <w:rsid w:val="0096023A"/>
    <w:rsid w:val="009607AB"/>
    <w:rsid w:val="00960A9A"/>
    <w:rsid w:val="009615DB"/>
    <w:rsid w:val="00962683"/>
    <w:rsid w:val="00962E23"/>
    <w:rsid w:val="00963149"/>
    <w:rsid w:val="0096456D"/>
    <w:rsid w:val="0096487C"/>
    <w:rsid w:val="00964BC2"/>
    <w:rsid w:val="00964D4A"/>
    <w:rsid w:val="00964EAE"/>
    <w:rsid w:val="00965023"/>
    <w:rsid w:val="009650B7"/>
    <w:rsid w:val="0096515D"/>
    <w:rsid w:val="00965841"/>
    <w:rsid w:val="00965EE1"/>
    <w:rsid w:val="00966623"/>
    <w:rsid w:val="009668D5"/>
    <w:rsid w:val="00966D23"/>
    <w:rsid w:val="009678DB"/>
    <w:rsid w:val="00970728"/>
    <w:rsid w:val="009707C9"/>
    <w:rsid w:val="0097082A"/>
    <w:rsid w:val="00971E0B"/>
    <w:rsid w:val="00972101"/>
    <w:rsid w:val="00972D22"/>
    <w:rsid w:val="00972FB5"/>
    <w:rsid w:val="00973510"/>
    <w:rsid w:val="009736FE"/>
    <w:rsid w:val="00973B96"/>
    <w:rsid w:val="00973BAA"/>
    <w:rsid w:val="00973E3C"/>
    <w:rsid w:val="00974763"/>
    <w:rsid w:val="009757CA"/>
    <w:rsid w:val="00975C9D"/>
    <w:rsid w:val="00976E76"/>
    <w:rsid w:val="00977A14"/>
    <w:rsid w:val="00977E9B"/>
    <w:rsid w:val="009807BF"/>
    <w:rsid w:val="009809CE"/>
    <w:rsid w:val="00980D42"/>
    <w:rsid w:val="0098131F"/>
    <w:rsid w:val="00981479"/>
    <w:rsid w:val="00981CF9"/>
    <w:rsid w:val="00982295"/>
    <w:rsid w:val="009829B3"/>
    <w:rsid w:val="00982C31"/>
    <w:rsid w:val="00982D45"/>
    <w:rsid w:val="00982FE4"/>
    <w:rsid w:val="00983165"/>
    <w:rsid w:val="00983343"/>
    <w:rsid w:val="009833C4"/>
    <w:rsid w:val="009834E0"/>
    <w:rsid w:val="009838FF"/>
    <w:rsid w:val="00984149"/>
    <w:rsid w:val="00984788"/>
    <w:rsid w:val="00984909"/>
    <w:rsid w:val="00984D7E"/>
    <w:rsid w:val="00984FF3"/>
    <w:rsid w:val="00984FF9"/>
    <w:rsid w:val="009850C5"/>
    <w:rsid w:val="00986326"/>
    <w:rsid w:val="00986849"/>
    <w:rsid w:val="00986BB7"/>
    <w:rsid w:val="00986D4B"/>
    <w:rsid w:val="00986E1E"/>
    <w:rsid w:val="00986F6D"/>
    <w:rsid w:val="0098727C"/>
    <w:rsid w:val="00987708"/>
    <w:rsid w:val="00987DDD"/>
    <w:rsid w:val="00987DF0"/>
    <w:rsid w:val="00987DF4"/>
    <w:rsid w:val="00987E2E"/>
    <w:rsid w:val="0099008B"/>
    <w:rsid w:val="00991202"/>
    <w:rsid w:val="0099177B"/>
    <w:rsid w:val="009917E0"/>
    <w:rsid w:val="0099367E"/>
    <w:rsid w:val="00993FE4"/>
    <w:rsid w:val="0099425E"/>
    <w:rsid w:val="0099482F"/>
    <w:rsid w:val="00994CDC"/>
    <w:rsid w:val="009969CD"/>
    <w:rsid w:val="00996CFC"/>
    <w:rsid w:val="0099770A"/>
    <w:rsid w:val="00997769"/>
    <w:rsid w:val="00997A2E"/>
    <w:rsid w:val="00997CD9"/>
    <w:rsid w:val="009A048E"/>
    <w:rsid w:val="009A119F"/>
    <w:rsid w:val="009A1609"/>
    <w:rsid w:val="009A1A7E"/>
    <w:rsid w:val="009A3480"/>
    <w:rsid w:val="009A3DB8"/>
    <w:rsid w:val="009A4356"/>
    <w:rsid w:val="009A43B3"/>
    <w:rsid w:val="009A464D"/>
    <w:rsid w:val="009A496F"/>
    <w:rsid w:val="009A4B78"/>
    <w:rsid w:val="009A4D73"/>
    <w:rsid w:val="009A4E41"/>
    <w:rsid w:val="009A5297"/>
    <w:rsid w:val="009A5326"/>
    <w:rsid w:val="009A5D40"/>
    <w:rsid w:val="009A5E10"/>
    <w:rsid w:val="009A5E9E"/>
    <w:rsid w:val="009A6665"/>
    <w:rsid w:val="009A6785"/>
    <w:rsid w:val="009A743F"/>
    <w:rsid w:val="009A74F7"/>
    <w:rsid w:val="009A76B0"/>
    <w:rsid w:val="009A7FD7"/>
    <w:rsid w:val="009B00F2"/>
    <w:rsid w:val="009B0FB2"/>
    <w:rsid w:val="009B1113"/>
    <w:rsid w:val="009B1C34"/>
    <w:rsid w:val="009B1D22"/>
    <w:rsid w:val="009B1E86"/>
    <w:rsid w:val="009B27C4"/>
    <w:rsid w:val="009B2D92"/>
    <w:rsid w:val="009B3250"/>
    <w:rsid w:val="009B3344"/>
    <w:rsid w:val="009B42D2"/>
    <w:rsid w:val="009B4A06"/>
    <w:rsid w:val="009B5E9C"/>
    <w:rsid w:val="009B609E"/>
    <w:rsid w:val="009B70C8"/>
    <w:rsid w:val="009B722F"/>
    <w:rsid w:val="009B737C"/>
    <w:rsid w:val="009B742E"/>
    <w:rsid w:val="009C0AC6"/>
    <w:rsid w:val="009C0E66"/>
    <w:rsid w:val="009C11B2"/>
    <w:rsid w:val="009C1456"/>
    <w:rsid w:val="009C164F"/>
    <w:rsid w:val="009C1C30"/>
    <w:rsid w:val="009C22DD"/>
    <w:rsid w:val="009C29D5"/>
    <w:rsid w:val="009C30A0"/>
    <w:rsid w:val="009C359E"/>
    <w:rsid w:val="009C37FE"/>
    <w:rsid w:val="009C4082"/>
    <w:rsid w:val="009C4806"/>
    <w:rsid w:val="009C4A38"/>
    <w:rsid w:val="009C4AD8"/>
    <w:rsid w:val="009C4D3D"/>
    <w:rsid w:val="009C55E2"/>
    <w:rsid w:val="009C5A4E"/>
    <w:rsid w:val="009C5EE5"/>
    <w:rsid w:val="009C61E3"/>
    <w:rsid w:val="009C6B56"/>
    <w:rsid w:val="009C6C93"/>
    <w:rsid w:val="009C76F9"/>
    <w:rsid w:val="009C7785"/>
    <w:rsid w:val="009C7DB8"/>
    <w:rsid w:val="009C7FF0"/>
    <w:rsid w:val="009D010D"/>
    <w:rsid w:val="009D0244"/>
    <w:rsid w:val="009D050F"/>
    <w:rsid w:val="009D0F71"/>
    <w:rsid w:val="009D111C"/>
    <w:rsid w:val="009D141A"/>
    <w:rsid w:val="009D17A0"/>
    <w:rsid w:val="009D1A08"/>
    <w:rsid w:val="009D1F7A"/>
    <w:rsid w:val="009D2165"/>
    <w:rsid w:val="009D2873"/>
    <w:rsid w:val="009D2942"/>
    <w:rsid w:val="009D3827"/>
    <w:rsid w:val="009D3A1A"/>
    <w:rsid w:val="009D426A"/>
    <w:rsid w:val="009D5BDB"/>
    <w:rsid w:val="009D5CCA"/>
    <w:rsid w:val="009D6B03"/>
    <w:rsid w:val="009D6B3D"/>
    <w:rsid w:val="009D7422"/>
    <w:rsid w:val="009D77A4"/>
    <w:rsid w:val="009D78E7"/>
    <w:rsid w:val="009E0505"/>
    <w:rsid w:val="009E0742"/>
    <w:rsid w:val="009E1291"/>
    <w:rsid w:val="009E12BC"/>
    <w:rsid w:val="009E224D"/>
    <w:rsid w:val="009E26D5"/>
    <w:rsid w:val="009E276C"/>
    <w:rsid w:val="009E2A07"/>
    <w:rsid w:val="009E3398"/>
    <w:rsid w:val="009E3577"/>
    <w:rsid w:val="009E3D2B"/>
    <w:rsid w:val="009E3E84"/>
    <w:rsid w:val="009E4097"/>
    <w:rsid w:val="009E4664"/>
    <w:rsid w:val="009E4D8E"/>
    <w:rsid w:val="009E4E90"/>
    <w:rsid w:val="009E4EB7"/>
    <w:rsid w:val="009E56C7"/>
    <w:rsid w:val="009E57C1"/>
    <w:rsid w:val="009E624A"/>
    <w:rsid w:val="009E6B32"/>
    <w:rsid w:val="009E70F3"/>
    <w:rsid w:val="009E7E98"/>
    <w:rsid w:val="009F00EE"/>
    <w:rsid w:val="009F0827"/>
    <w:rsid w:val="009F0BED"/>
    <w:rsid w:val="009F1673"/>
    <w:rsid w:val="009F1EA5"/>
    <w:rsid w:val="009F3255"/>
    <w:rsid w:val="009F34AA"/>
    <w:rsid w:val="009F3DCE"/>
    <w:rsid w:val="009F44FF"/>
    <w:rsid w:val="009F46E8"/>
    <w:rsid w:val="009F472D"/>
    <w:rsid w:val="009F4CF0"/>
    <w:rsid w:val="009F4E88"/>
    <w:rsid w:val="009F50D1"/>
    <w:rsid w:val="009F568A"/>
    <w:rsid w:val="009F573B"/>
    <w:rsid w:val="009F5918"/>
    <w:rsid w:val="009F596D"/>
    <w:rsid w:val="009F6A91"/>
    <w:rsid w:val="009F71A6"/>
    <w:rsid w:val="009F71AA"/>
    <w:rsid w:val="009F7326"/>
    <w:rsid w:val="009F754A"/>
    <w:rsid w:val="009F791F"/>
    <w:rsid w:val="009F7F86"/>
    <w:rsid w:val="00A0034D"/>
    <w:rsid w:val="00A00BFB"/>
    <w:rsid w:val="00A00DCF"/>
    <w:rsid w:val="00A0126C"/>
    <w:rsid w:val="00A012DA"/>
    <w:rsid w:val="00A0187E"/>
    <w:rsid w:val="00A02450"/>
    <w:rsid w:val="00A026F0"/>
    <w:rsid w:val="00A02F2D"/>
    <w:rsid w:val="00A02F61"/>
    <w:rsid w:val="00A03E0E"/>
    <w:rsid w:val="00A040D1"/>
    <w:rsid w:val="00A04424"/>
    <w:rsid w:val="00A04A0A"/>
    <w:rsid w:val="00A050A8"/>
    <w:rsid w:val="00A056A3"/>
    <w:rsid w:val="00A056AA"/>
    <w:rsid w:val="00A05B51"/>
    <w:rsid w:val="00A06286"/>
    <w:rsid w:val="00A06318"/>
    <w:rsid w:val="00A063BC"/>
    <w:rsid w:val="00A068E1"/>
    <w:rsid w:val="00A06A80"/>
    <w:rsid w:val="00A06D8A"/>
    <w:rsid w:val="00A0711F"/>
    <w:rsid w:val="00A07B0B"/>
    <w:rsid w:val="00A102A0"/>
    <w:rsid w:val="00A108C2"/>
    <w:rsid w:val="00A114FA"/>
    <w:rsid w:val="00A11AF3"/>
    <w:rsid w:val="00A12C09"/>
    <w:rsid w:val="00A13084"/>
    <w:rsid w:val="00A1327F"/>
    <w:rsid w:val="00A13817"/>
    <w:rsid w:val="00A138D3"/>
    <w:rsid w:val="00A13E0F"/>
    <w:rsid w:val="00A144B7"/>
    <w:rsid w:val="00A149B4"/>
    <w:rsid w:val="00A15F4F"/>
    <w:rsid w:val="00A160AB"/>
    <w:rsid w:val="00A160F0"/>
    <w:rsid w:val="00A16745"/>
    <w:rsid w:val="00A16747"/>
    <w:rsid w:val="00A17C1D"/>
    <w:rsid w:val="00A20013"/>
    <w:rsid w:val="00A20582"/>
    <w:rsid w:val="00A20C65"/>
    <w:rsid w:val="00A214B2"/>
    <w:rsid w:val="00A21767"/>
    <w:rsid w:val="00A21FD5"/>
    <w:rsid w:val="00A22751"/>
    <w:rsid w:val="00A22940"/>
    <w:rsid w:val="00A23102"/>
    <w:rsid w:val="00A23284"/>
    <w:rsid w:val="00A2343F"/>
    <w:rsid w:val="00A23505"/>
    <w:rsid w:val="00A23598"/>
    <w:rsid w:val="00A2428B"/>
    <w:rsid w:val="00A2476B"/>
    <w:rsid w:val="00A247E5"/>
    <w:rsid w:val="00A24D81"/>
    <w:rsid w:val="00A24EA5"/>
    <w:rsid w:val="00A25173"/>
    <w:rsid w:val="00A252F0"/>
    <w:rsid w:val="00A259F2"/>
    <w:rsid w:val="00A25FDB"/>
    <w:rsid w:val="00A26463"/>
    <w:rsid w:val="00A26608"/>
    <w:rsid w:val="00A2660E"/>
    <w:rsid w:val="00A26916"/>
    <w:rsid w:val="00A26B47"/>
    <w:rsid w:val="00A26FF1"/>
    <w:rsid w:val="00A27806"/>
    <w:rsid w:val="00A3068C"/>
    <w:rsid w:val="00A3127F"/>
    <w:rsid w:val="00A31922"/>
    <w:rsid w:val="00A31BCC"/>
    <w:rsid w:val="00A31C70"/>
    <w:rsid w:val="00A32382"/>
    <w:rsid w:val="00A325BB"/>
    <w:rsid w:val="00A3297A"/>
    <w:rsid w:val="00A32A58"/>
    <w:rsid w:val="00A32EEC"/>
    <w:rsid w:val="00A336C5"/>
    <w:rsid w:val="00A3510A"/>
    <w:rsid w:val="00A3515F"/>
    <w:rsid w:val="00A35751"/>
    <w:rsid w:val="00A35762"/>
    <w:rsid w:val="00A3577F"/>
    <w:rsid w:val="00A35BBC"/>
    <w:rsid w:val="00A35DAB"/>
    <w:rsid w:val="00A36724"/>
    <w:rsid w:val="00A367AF"/>
    <w:rsid w:val="00A36AA0"/>
    <w:rsid w:val="00A36C13"/>
    <w:rsid w:val="00A377C2"/>
    <w:rsid w:val="00A37A31"/>
    <w:rsid w:val="00A40B1F"/>
    <w:rsid w:val="00A40B4D"/>
    <w:rsid w:val="00A411E2"/>
    <w:rsid w:val="00A41373"/>
    <w:rsid w:val="00A41638"/>
    <w:rsid w:val="00A41B15"/>
    <w:rsid w:val="00A4224E"/>
    <w:rsid w:val="00A4229F"/>
    <w:rsid w:val="00A428A9"/>
    <w:rsid w:val="00A42ACA"/>
    <w:rsid w:val="00A43AAB"/>
    <w:rsid w:val="00A43AFE"/>
    <w:rsid w:val="00A44AAD"/>
    <w:rsid w:val="00A44E8A"/>
    <w:rsid w:val="00A45280"/>
    <w:rsid w:val="00A45BF7"/>
    <w:rsid w:val="00A463B5"/>
    <w:rsid w:val="00A463BA"/>
    <w:rsid w:val="00A46675"/>
    <w:rsid w:val="00A471A3"/>
    <w:rsid w:val="00A47597"/>
    <w:rsid w:val="00A47E08"/>
    <w:rsid w:val="00A47E44"/>
    <w:rsid w:val="00A47F91"/>
    <w:rsid w:val="00A507D7"/>
    <w:rsid w:val="00A50A5C"/>
    <w:rsid w:val="00A50BE2"/>
    <w:rsid w:val="00A50CC6"/>
    <w:rsid w:val="00A50E40"/>
    <w:rsid w:val="00A51462"/>
    <w:rsid w:val="00A51946"/>
    <w:rsid w:val="00A51C1F"/>
    <w:rsid w:val="00A51FF7"/>
    <w:rsid w:val="00A52079"/>
    <w:rsid w:val="00A52143"/>
    <w:rsid w:val="00A521E9"/>
    <w:rsid w:val="00A5298E"/>
    <w:rsid w:val="00A52B3E"/>
    <w:rsid w:val="00A5313B"/>
    <w:rsid w:val="00A5320E"/>
    <w:rsid w:val="00A53F7B"/>
    <w:rsid w:val="00A54090"/>
    <w:rsid w:val="00A54282"/>
    <w:rsid w:val="00A549D3"/>
    <w:rsid w:val="00A54DF0"/>
    <w:rsid w:val="00A56E99"/>
    <w:rsid w:val="00A57212"/>
    <w:rsid w:val="00A57E98"/>
    <w:rsid w:val="00A60849"/>
    <w:rsid w:val="00A6105B"/>
    <w:rsid w:val="00A61355"/>
    <w:rsid w:val="00A61668"/>
    <w:rsid w:val="00A621D3"/>
    <w:rsid w:val="00A628F8"/>
    <w:rsid w:val="00A62B7A"/>
    <w:rsid w:val="00A632EA"/>
    <w:rsid w:val="00A634BE"/>
    <w:rsid w:val="00A63AD7"/>
    <w:rsid w:val="00A63BFD"/>
    <w:rsid w:val="00A6444A"/>
    <w:rsid w:val="00A6491F"/>
    <w:rsid w:val="00A64C72"/>
    <w:rsid w:val="00A64D1A"/>
    <w:rsid w:val="00A65320"/>
    <w:rsid w:val="00A65BA5"/>
    <w:rsid w:val="00A66288"/>
    <w:rsid w:val="00A66354"/>
    <w:rsid w:val="00A66E37"/>
    <w:rsid w:val="00A66ECF"/>
    <w:rsid w:val="00A67E38"/>
    <w:rsid w:val="00A703E4"/>
    <w:rsid w:val="00A70DC6"/>
    <w:rsid w:val="00A71080"/>
    <w:rsid w:val="00A713B3"/>
    <w:rsid w:val="00A71986"/>
    <w:rsid w:val="00A71E73"/>
    <w:rsid w:val="00A72740"/>
    <w:rsid w:val="00A73A64"/>
    <w:rsid w:val="00A742AD"/>
    <w:rsid w:val="00A746D7"/>
    <w:rsid w:val="00A74AB2"/>
    <w:rsid w:val="00A75A46"/>
    <w:rsid w:val="00A75B36"/>
    <w:rsid w:val="00A762F1"/>
    <w:rsid w:val="00A7663A"/>
    <w:rsid w:val="00A7696B"/>
    <w:rsid w:val="00A769D4"/>
    <w:rsid w:val="00A80268"/>
    <w:rsid w:val="00A804C7"/>
    <w:rsid w:val="00A80857"/>
    <w:rsid w:val="00A80A39"/>
    <w:rsid w:val="00A80DF0"/>
    <w:rsid w:val="00A80E64"/>
    <w:rsid w:val="00A81A16"/>
    <w:rsid w:val="00A823A7"/>
    <w:rsid w:val="00A825C8"/>
    <w:rsid w:val="00A82742"/>
    <w:rsid w:val="00A83984"/>
    <w:rsid w:val="00A83A1E"/>
    <w:rsid w:val="00A84198"/>
    <w:rsid w:val="00A841AB"/>
    <w:rsid w:val="00A84FFD"/>
    <w:rsid w:val="00A86104"/>
    <w:rsid w:val="00A8655A"/>
    <w:rsid w:val="00A86746"/>
    <w:rsid w:val="00A87203"/>
    <w:rsid w:val="00A87744"/>
    <w:rsid w:val="00A87AE6"/>
    <w:rsid w:val="00A87B09"/>
    <w:rsid w:val="00A87C22"/>
    <w:rsid w:val="00A90590"/>
    <w:rsid w:val="00A90A97"/>
    <w:rsid w:val="00A90CB4"/>
    <w:rsid w:val="00A910DA"/>
    <w:rsid w:val="00A920E1"/>
    <w:rsid w:val="00A923D6"/>
    <w:rsid w:val="00A92B42"/>
    <w:rsid w:val="00A933AE"/>
    <w:rsid w:val="00A93863"/>
    <w:rsid w:val="00A9415E"/>
    <w:rsid w:val="00A9423F"/>
    <w:rsid w:val="00A94EBD"/>
    <w:rsid w:val="00A9510D"/>
    <w:rsid w:val="00A956AC"/>
    <w:rsid w:val="00A95D2A"/>
    <w:rsid w:val="00A96214"/>
    <w:rsid w:val="00A967E8"/>
    <w:rsid w:val="00A97AF8"/>
    <w:rsid w:val="00A97D38"/>
    <w:rsid w:val="00A97F4B"/>
    <w:rsid w:val="00AA04C5"/>
    <w:rsid w:val="00AA1044"/>
    <w:rsid w:val="00AA10B1"/>
    <w:rsid w:val="00AA239B"/>
    <w:rsid w:val="00AA2803"/>
    <w:rsid w:val="00AA2BF2"/>
    <w:rsid w:val="00AA2D65"/>
    <w:rsid w:val="00AA2D68"/>
    <w:rsid w:val="00AA2D6F"/>
    <w:rsid w:val="00AA3987"/>
    <w:rsid w:val="00AA3B68"/>
    <w:rsid w:val="00AA3E79"/>
    <w:rsid w:val="00AA447C"/>
    <w:rsid w:val="00AA4FB4"/>
    <w:rsid w:val="00AA5C0B"/>
    <w:rsid w:val="00AA5E3B"/>
    <w:rsid w:val="00AA63AD"/>
    <w:rsid w:val="00AA65B4"/>
    <w:rsid w:val="00AA745E"/>
    <w:rsid w:val="00AA7E43"/>
    <w:rsid w:val="00AB0352"/>
    <w:rsid w:val="00AB047A"/>
    <w:rsid w:val="00AB04AB"/>
    <w:rsid w:val="00AB0733"/>
    <w:rsid w:val="00AB09D2"/>
    <w:rsid w:val="00AB0B64"/>
    <w:rsid w:val="00AB0C30"/>
    <w:rsid w:val="00AB161B"/>
    <w:rsid w:val="00AB176B"/>
    <w:rsid w:val="00AB37E6"/>
    <w:rsid w:val="00AB3DBA"/>
    <w:rsid w:val="00AB431C"/>
    <w:rsid w:val="00AB470E"/>
    <w:rsid w:val="00AB5A7E"/>
    <w:rsid w:val="00AB7538"/>
    <w:rsid w:val="00AB75A7"/>
    <w:rsid w:val="00AB77F3"/>
    <w:rsid w:val="00AB7BE7"/>
    <w:rsid w:val="00AC0AAD"/>
    <w:rsid w:val="00AC0C2A"/>
    <w:rsid w:val="00AC1231"/>
    <w:rsid w:val="00AC15D4"/>
    <w:rsid w:val="00AC1992"/>
    <w:rsid w:val="00AC1E14"/>
    <w:rsid w:val="00AC2CFA"/>
    <w:rsid w:val="00AC3263"/>
    <w:rsid w:val="00AC3E12"/>
    <w:rsid w:val="00AC406E"/>
    <w:rsid w:val="00AC430C"/>
    <w:rsid w:val="00AC4A6B"/>
    <w:rsid w:val="00AC5C19"/>
    <w:rsid w:val="00AC60F0"/>
    <w:rsid w:val="00AC6657"/>
    <w:rsid w:val="00AC6A24"/>
    <w:rsid w:val="00AC6D7A"/>
    <w:rsid w:val="00AC72B0"/>
    <w:rsid w:val="00AC7363"/>
    <w:rsid w:val="00AC7401"/>
    <w:rsid w:val="00AC7901"/>
    <w:rsid w:val="00AC79F3"/>
    <w:rsid w:val="00AC7F15"/>
    <w:rsid w:val="00AC7FDD"/>
    <w:rsid w:val="00AD0949"/>
    <w:rsid w:val="00AD0F1D"/>
    <w:rsid w:val="00AD1179"/>
    <w:rsid w:val="00AD1359"/>
    <w:rsid w:val="00AD194B"/>
    <w:rsid w:val="00AD19F0"/>
    <w:rsid w:val="00AD1FCE"/>
    <w:rsid w:val="00AD26E1"/>
    <w:rsid w:val="00AD29CC"/>
    <w:rsid w:val="00AD3268"/>
    <w:rsid w:val="00AD3DE2"/>
    <w:rsid w:val="00AD4261"/>
    <w:rsid w:val="00AD4473"/>
    <w:rsid w:val="00AD46F5"/>
    <w:rsid w:val="00AD51A3"/>
    <w:rsid w:val="00AD598B"/>
    <w:rsid w:val="00AD7154"/>
    <w:rsid w:val="00AD7844"/>
    <w:rsid w:val="00AD797D"/>
    <w:rsid w:val="00AD7C94"/>
    <w:rsid w:val="00AD7E02"/>
    <w:rsid w:val="00AE0483"/>
    <w:rsid w:val="00AE08DD"/>
    <w:rsid w:val="00AE13BD"/>
    <w:rsid w:val="00AE1681"/>
    <w:rsid w:val="00AE1AF9"/>
    <w:rsid w:val="00AE1E60"/>
    <w:rsid w:val="00AE2068"/>
    <w:rsid w:val="00AE2258"/>
    <w:rsid w:val="00AE277E"/>
    <w:rsid w:val="00AE2A36"/>
    <w:rsid w:val="00AE2BC6"/>
    <w:rsid w:val="00AE3251"/>
    <w:rsid w:val="00AE3FE0"/>
    <w:rsid w:val="00AE44A2"/>
    <w:rsid w:val="00AE4A71"/>
    <w:rsid w:val="00AE5058"/>
    <w:rsid w:val="00AE5170"/>
    <w:rsid w:val="00AE51CD"/>
    <w:rsid w:val="00AE5471"/>
    <w:rsid w:val="00AE54AA"/>
    <w:rsid w:val="00AE60E4"/>
    <w:rsid w:val="00AE6872"/>
    <w:rsid w:val="00AE6C58"/>
    <w:rsid w:val="00AE72C4"/>
    <w:rsid w:val="00AE7F05"/>
    <w:rsid w:val="00AE7F38"/>
    <w:rsid w:val="00AF054D"/>
    <w:rsid w:val="00AF0939"/>
    <w:rsid w:val="00AF0A7C"/>
    <w:rsid w:val="00AF1813"/>
    <w:rsid w:val="00AF24E7"/>
    <w:rsid w:val="00AF272B"/>
    <w:rsid w:val="00AF291B"/>
    <w:rsid w:val="00AF2DAA"/>
    <w:rsid w:val="00AF2EBD"/>
    <w:rsid w:val="00AF33AE"/>
    <w:rsid w:val="00AF409A"/>
    <w:rsid w:val="00AF44B1"/>
    <w:rsid w:val="00AF5800"/>
    <w:rsid w:val="00AF6986"/>
    <w:rsid w:val="00AF6D1B"/>
    <w:rsid w:val="00AF73ED"/>
    <w:rsid w:val="00AF7D69"/>
    <w:rsid w:val="00AF7ED2"/>
    <w:rsid w:val="00B004D8"/>
    <w:rsid w:val="00B00830"/>
    <w:rsid w:val="00B00CC5"/>
    <w:rsid w:val="00B016D2"/>
    <w:rsid w:val="00B01E41"/>
    <w:rsid w:val="00B02091"/>
    <w:rsid w:val="00B02B3F"/>
    <w:rsid w:val="00B02B43"/>
    <w:rsid w:val="00B02BCB"/>
    <w:rsid w:val="00B03D36"/>
    <w:rsid w:val="00B03F3D"/>
    <w:rsid w:val="00B04384"/>
    <w:rsid w:val="00B04540"/>
    <w:rsid w:val="00B05116"/>
    <w:rsid w:val="00B051A7"/>
    <w:rsid w:val="00B05574"/>
    <w:rsid w:val="00B05F1A"/>
    <w:rsid w:val="00B07B33"/>
    <w:rsid w:val="00B07FA2"/>
    <w:rsid w:val="00B100CF"/>
    <w:rsid w:val="00B10E82"/>
    <w:rsid w:val="00B111A6"/>
    <w:rsid w:val="00B115E5"/>
    <w:rsid w:val="00B118EE"/>
    <w:rsid w:val="00B11B03"/>
    <w:rsid w:val="00B11C5B"/>
    <w:rsid w:val="00B121CD"/>
    <w:rsid w:val="00B12343"/>
    <w:rsid w:val="00B12529"/>
    <w:rsid w:val="00B128C5"/>
    <w:rsid w:val="00B12B11"/>
    <w:rsid w:val="00B12C94"/>
    <w:rsid w:val="00B135AB"/>
    <w:rsid w:val="00B137BF"/>
    <w:rsid w:val="00B13A1B"/>
    <w:rsid w:val="00B13A59"/>
    <w:rsid w:val="00B142D9"/>
    <w:rsid w:val="00B14BC4"/>
    <w:rsid w:val="00B156C8"/>
    <w:rsid w:val="00B158A3"/>
    <w:rsid w:val="00B15B25"/>
    <w:rsid w:val="00B15EA0"/>
    <w:rsid w:val="00B17A4E"/>
    <w:rsid w:val="00B17B30"/>
    <w:rsid w:val="00B17C2F"/>
    <w:rsid w:val="00B21175"/>
    <w:rsid w:val="00B2153E"/>
    <w:rsid w:val="00B21FA7"/>
    <w:rsid w:val="00B22022"/>
    <w:rsid w:val="00B225E4"/>
    <w:rsid w:val="00B23F7A"/>
    <w:rsid w:val="00B240B1"/>
    <w:rsid w:val="00B24208"/>
    <w:rsid w:val="00B24616"/>
    <w:rsid w:val="00B24728"/>
    <w:rsid w:val="00B248A9"/>
    <w:rsid w:val="00B24D28"/>
    <w:rsid w:val="00B24F1C"/>
    <w:rsid w:val="00B25890"/>
    <w:rsid w:val="00B25D76"/>
    <w:rsid w:val="00B27032"/>
    <w:rsid w:val="00B30003"/>
    <w:rsid w:val="00B31201"/>
    <w:rsid w:val="00B3167E"/>
    <w:rsid w:val="00B319F7"/>
    <w:rsid w:val="00B31B4B"/>
    <w:rsid w:val="00B31CD5"/>
    <w:rsid w:val="00B31E36"/>
    <w:rsid w:val="00B32E26"/>
    <w:rsid w:val="00B338B7"/>
    <w:rsid w:val="00B34061"/>
    <w:rsid w:val="00B3440A"/>
    <w:rsid w:val="00B34441"/>
    <w:rsid w:val="00B35534"/>
    <w:rsid w:val="00B35A87"/>
    <w:rsid w:val="00B35AB6"/>
    <w:rsid w:val="00B35AFD"/>
    <w:rsid w:val="00B35F9A"/>
    <w:rsid w:val="00B36236"/>
    <w:rsid w:val="00B3662E"/>
    <w:rsid w:val="00B366D2"/>
    <w:rsid w:val="00B366FA"/>
    <w:rsid w:val="00B36E86"/>
    <w:rsid w:val="00B37122"/>
    <w:rsid w:val="00B379BA"/>
    <w:rsid w:val="00B40139"/>
    <w:rsid w:val="00B410E1"/>
    <w:rsid w:val="00B412FD"/>
    <w:rsid w:val="00B422BE"/>
    <w:rsid w:val="00B4241D"/>
    <w:rsid w:val="00B426BB"/>
    <w:rsid w:val="00B42EB9"/>
    <w:rsid w:val="00B434E9"/>
    <w:rsid w:val="00B441FE"/>
    <w:rsid w:val="00B44821"/>
    <w:rsid w:val="00B44AD3"/>
    <w:rsid w:val="00B44BDC"/>
    <w:rsid w:val="00B45152"/>
    <w:rsid w:val="00B45E54"/>
    <w:rsid w:val="00B461E5"/>
    <w:rsid w:val="00B464E4"/>
    <w:rsid w:val="00B4689A"/>
    <w:rsid w:val="00B46D5F"/>
    <w:rsid w:val="00B46E7B"/>
    <w:rsid w:val="00B47DC5"/>
    <w:rsid w:val="00B505B3"/>
    <w:rsid w:val="00B50A74"/>
    <w:rsid w:val="00B520A0"/>
    <w:rsid w:val="00B5257E"/>
    <w:rsid w:val="00B525CE"/>
    <w:rsid w:val="00B52CFD"/>
    <w:rsid w:val="00B545A8"/>
    <w:rsid w:val="00B548E8"/>
    <w:rsid w:val="00B56527"/>
    <w:rsid w:val="00B56918"/>
    <w:rsid w:val="00B576DA"/>
    <w:rsid w:val="00B57710"/>
    <w:rsid w:val="00B601C9"/>
    <w:rsid w:val="00B60D04"/>
    <w:rsid w:val="00B61EE8"/>
    <w:rsid w:val="00B62D9B"/>
    <w:rsid w:val="00B633A3"/>
    <w:rsid w:val="00B63533"/>
    <w:rsid w:val="00B63BDB"/>
    <w:rsid w:val="00B64A0E"/>
    <w:rsid w:val="00B64CC6"/>
    <w:rsid w:val="00B64DDF"/>
    <w:rsid w:val="00B65728"/>
    <w:rsid w:val="00B6601E"/>
    <w:rsid w:val="00B663AA"/>
    <w:rsid w:val="00B66DD5"/>
    <w:rsid w:val="00B6715C"/>
    <w:rsid w:val="00B67B97"/>
    <w:rsid w:val="00B67F01"/>
    <w:rsid w:val="00B711AB"/>
    <w:rsid w:val="00B714E9"/>
    <w:rsid w:val="00B714F0"/>
    <w:rsid w:val="00B71A40"/>
    <w:rsid w:val="00B71BFA"/>
    <w:rsid w:val="00B71C8C"/>
    <w:rsid w:val="00B71CB4"/>
    <w:rsid w:val="00B71FD7"/>
    <w:rsid w:val="00B72003"/>
    <w:rsid w:val="00B7210F"/>
    <w:rsid w:val="00B725E7"/>
    <w:rsid w:val="00B72C07"/>
    <w:rsid w:val="00B72DF7"/>
    <w:rsid w:val="00B72F42"/>
    <w:rsid w:val="00B73E44"/>
    <w:rsid w:val="00B74290"/>
    <w:rsid w:val="00B74510"/>
    <w:rsid w:val="00B74822"/>
    <w:rsid w:val="00B74BD4"/>
    <w:rsid w:val="00B74BF7"/>
    <w:rsid w:val="00B76185"/>
    <w:rsid w:val="00B7676C"/>
    <w:rsid w:val="00B76BCD"/>
    <w:rsid w:val="00B76FBC"/>
    <w:rsid w:val="00B7782B"/>
    <w:rsid w:val="00B779E6"/>
    <w:rsid w:val="00B804E2"/>
    <w:rsid w:val="00B811B2"/>
    <w:rsid w:val="00B82024"/>
    <w:rsid w:val="00B8276E"/>
    <w:rsid w:val="00B83997"/>
    <w:rsid w:val="00B83A62"/>
    <w:rsid w:val="00B83B59"/>
    <w:rsid w:val="00B84252"/>
    <w:rsid w:val="00B84677"/>
    <w:rsid w:val="00B8468F"/>
    <w:rsid w:val="00B84FC6"/>
    <w:rsid w:val="00B857F5"/>
    <w:rsid w:val="00B85A56"/>
    <w:rsid w:val="00B85B2C"/>
    <w:rsid w:val="00B86D6C"/>
    <w:rsid w:val="00B86F47"/>
    <w:rsid w:val="00B874B4"/>
    <w:rsid w:val="00B875E9"/>
    <w:rsid w:val="00B8787A"/>
    <w:rsid w:val="00B87887"/>
    <w:rsid w:val="00B90123"/>
    <w:rsid w:val="00B90196"/>
    <w:rsid w:val="00B90FBE"/>
    <w:rsid w:val="00B911C1"/>
    <w:rsid w:val="00B92008"/>
    <w:rsid w:val="00B922C3"/>
    <w:rsid w:val="00B9272E"/>
    <w:rsid w:val="00B927A7"/>
    <w:rsid w:val="00B92B9E"/>
    <w:rsid w:val="00B93315"/>
    <w:rsid w:val="00B93519"/>
    <w:rsid w:val="00B9372A"/>
    <w:rsid w:val="00B93FD0"/>
    <w:rsid w:val="00B9425C"/>
    <w:rsid w:val="00B94AAF"/>
    <w:rsid w:val="00B94DB1"/>
    <w:rsid w:val="00B953FF"/>
    <w:rsid w:val="00B9622D"/>
    <w:rsid w:val="00B96263"/>
    <w:rsid w:val="00B968A5"/>
    <w:rsid w:val="00B972CD"/>
    <w:rsid w:val="00B9769B"/>
    <w:rsid w:val="00B97D02"/>
    <w:rsid w:val="00BA0304"/>
    <w:rsid w:val="00BA0557"/>
    <w:rsid w:val="00BA2A34"/>
    <w:rsid w:val="00BA3038"/>
    <w:rsid w:val="00BA3319"/>
    <w:rsid w:val="00BA370A"/>
    <w:rsid w:val="00BA3826"/>
    <w:rsid w:val="00BA48BC"/>
    <w:rsid w:val="00BA4A29"/>
    <w:rsid w:val="00BA4BE7"/>
    <w:rsid w:val="00BA5F20"/>
    <w:rsid w:val="00BA68D9"/>
    <w:rsid w:val="00BA7172"/>
    <w:rsid w:val="00BA7B01"/>
    <w:rsid w:val="00BB02D7"/>
    <w:rsid w:val="00BB0D9F"/>
    <w:rsid w:val="00BB0DEE"/>
    <w:rsid w:val="00BB1031"/>
    <w:rsid w:val="00BB1B33"/>
    <w:rsid w:val="00BB2480"/>
    <w:rsid w:val="00BB2C4E"/>
    <w:rsid w:val="00BB2E29"/>
    <w:rsid w:val="00BB2F74"/>
    <w:rsid w:val="00BB3206"/>
    <w:rsid w:val="00BB32C2"/>
    <w:rsid w:val="00BB3B0D"/>
    <w:rsid w:val="00BB524C"/>
    <w:rsid w:val="00BB5DAB"/>
    <w:rsid w:val="00BB6195"/>
    <w:rsid w:val="00BB61A3"/>
    <w:rsid w:val="00BB707E"/>
    <w:rsid w:val="00BB7568"/>
    <w:rsid w:val="00BB7F82"/>
    <w:rsid w:val="00BC007C"/>
    <w:rsid w:val="00BC0AB2"/>
    <w:rsid w:val="00BC1308"/>
    <w:rsid w:val="00BC1BF4"/>
    <w:rsid w:val="00BC2600"/>
    <w:rsid w:val="00BC2F24"/>
    <w:rsid w:val="00BC33BE"/>
    <w:rsid w:val="00BC3A47"/>
    <w:rsid w:val="00BC3EEB"/>
    <w:rsid w:val="00BC4780"/>
    <w:rsid w:val="00BC4DD7"/>
    <w:rsid w:val="00BC4F46"/>
    <w:rsid w:val="00BC52C8"/>
    <w:rsid w:val="00BC5485"/>
    <w:rsid w:val="00BC549C"/>
    <w:rsid w:val="00BC570E"/>
    <w:rsid w:val="00BC5A6C"/>
    <w:rsid w:val="00BC5AF6"/>
    <w:rsid w:val="00BC5B4B"/>
    <w:rsid w:val="00BC5EDB"/>
    <w:rsid w:val="00BC69A2"/>
    <w:rsid w:val="00BC6ED6"/>
    <w:rsid w:val="00BC6F03"/>
    <w:rsid w:val="00BC6FA1"/>
    <w:rsid w:val="00BD024F"/>
    <w:rsid w:val="00BD0570"/>
    <w:rsid w:val="00BD0853"/>
    <w:rsid w:val="00BD112D"/>
    <w:rsid w:val="00BD214E"/>
    <w:rsid w:val="00BD22F7"/>
    <w:rsid w:val="00BD2395"/>
    <w:rsid w:val="00BD25B8"/>
    <w:rsid w:val="00BD2842"/>
    <w:rsid w:val="00BD2892"/>
    <w:rsid w:val="00BD3120"/>
    <w:rsid w:val="00BD3354"/>
    <w:rsid w:val="00BD368C"/>
    <w:rsid w:val="00BD384E"/>
    <w:rsid w:val="00BD3E76"/>
    <w:rsid w:val="00BD3EE2"/>
    <w:rsid w:val="00BD3FCF"/>
    <w:rsid w:val="00BD42D2"/>
    <w:rsid w:val="00BD47D7"/>
    <w:rsid w:val="00BD4EFB"/>
    <w:rsid w:val="00BD5076"/>
    <w:rsid w:val="00BD5551"/>
    <w:rsid w:val="00BD5AF1"/>
    <w:rsid w:val="00BD6D43"/>
    <w:rsid w:val="00BD7090"/>
    <w:rsid w:val="00BD7490"/>
    <w:rsid w:val="00BD767F"/>
    <w:rsid w:val="00BE09C3"/>
    <w:rsid w:val="00BE0C27"/>
    <w:rsid w:val="00BE15BB"/>
    <w:rsid w:val="00BE198F"/>
    <w:rsid w:val="00BE1A78"/>
    <w:rsid w:val="00BE473E"/>
    <w:rsid w:val="00BE5135"/>
    <w:rsid w:val="00BE5964"/>
    <w:rsid w:val="00BE5F2B"/>
    <w:rsid w:val="00BE660B"/>
    <w:rsid w:val="00BE6AFE"/>
    <w:rsid w:val="00BE6BBE"/>
    <w:rsid w:val="00BE6FDA"/>
    <w:rsid w:val="00BE7021"/>
    <w:rsid w:val="00BE7300"/>
    <w:rsid w:val="00BE784F"/>
    <w:rsid w:val="00BE78CE"/>
    <w:rsid w:val="00BF0238"/>
    <w:rsid w:val="00BF0717"/>
    <w:rsid w:val="00BF071D"/>
    <w:rsid w:val="00BF1750"/>
    <w:rsid w:val="00BF178E"/>
    <w:rsid w:val="00BF189F"/>
    <w:rsid w:val="00BF1B44"/>
    <w:rsid w:val="00BF1F01"/>
    <w:rsid w:val="00BF21FF"/>
    <w:rsid w:val="00BF23CC"/>
    <w:rsid w:val="00BF243F"/>
    <w:rsid w:val="00BF284E"/>
    <w:rsid w:val="00BF2F93"/>
    <w:rsid w:val="00BF3ACF"/>
    <w:rsid w:val="00BF3C2A"/>
    <w:rsid w:val="00BF4C2B"/>
    <w:rsid w:val="00BF507A"/>
    <w:rsid w:val="00BF53F1"/>
    <w:rsid w:val="00BF5717"/>
    <w:rsid w:val="00BF5B9D"/>
    <w:rsid w:val="00BF5CD8"/>
    <w:rsid w:val="00BF5FA3"/>
    <w:rsid w:val="00BF62F2"/>
    <w:rsid w:val="00BF63A5"/>
    <w:rsid w:val="00BF72A7"/>
    <w:rsid w:val="00BF7558"/>
    <w:rsid w:val="00C0111E"/>
    <w:rsid w:val="00C02676"/>
    <w:rsid w:val="00C029AB"/>
    <w:rsid w:val="00C02FBB"/>
    <w:rsid w:val="00C03BD5"/>
    <w:rsid w:val="00C03C8B"/>
    <w:rsid w:val="00C03F3C"/>
    <w:rsid w:val="00C049BE"/>
    <w:rsid w:val="00C04A71"/>
    <w:rsid w:val="00C04DF0"/>
    <w:rsid w:val="00C05A4C"/>
    <w:rsid w:val="00C05A67"/>
    <w:rsid w:val="00C073E0"/>
    <w:rsid w:val="00C1001D"/>
    <w:rsid w:val="00C10B5A"/>
    <w:rsid w:val="00C11113"/>
    <w:rsid w:val="00C11687"/>
    <w:rsid w:val="00C117BE"/>
    <w:rsid w:val="00C11E28"/>
    <w:rsid w:val="00C1225B"/>
    <w:rsid w:val="00C122F9"/>
    <w:rsid w:val="00C12459"/>
    <w:rsid w:val="00C1253A"/>
    <w:rsid w:val="00C128C9"/>
    <w:rsid w:val="00C12CF3"/>
    <w:rsid w:val="00C12F88"/>
    <w:rsid w:val="00C131A8"/>
    <w:rsid w:val="00C1322D"/>
    <w:rsid w:val="00C135A3"/>
    <w:rsid w:val="00C1477A"/>
    <w:rsid w:val="00C14A62"/>
    <w:rsid w:val="00C158EB"/>
    <w:rsid w:val="00C159B1"/>
    <w:rsid w:val="00C161F5"/>
    <w:rsid w:val="00C16C92"/>
    <w:rsid w:val="00C1706B"/>
    <w:rsid w:val="00C17648"/>
    <w:rsid w:val="00C17DB7"/>
    <w:rsid w:val="00C17E48"/>
    <w:rsid w:val="00C17E81"/>
    <w:rsid w:val="00C17FF5"/>
    <w:rsid w:val="00C201E7"/>
    <w:rsid w:val="00C20AA2"/>
    <w:rsid w:val="00C20B91"/>
    <w:rsid w:val="00C21155"/>
    <w:rsid w:val="00C21180"/>
    <w:rsid w:val="00C2146C"/>
    <w:rsid w:val="00C214D7"/>
    <w:rsid w:val="00C21561"/>
    <w:rsid w:val="00C217EE"/>
    <w:rsid w:val="00C21CBF"/>
    <w:rsid w:val="00C22784"/>
    <w:rsid w:val="00C227D6"/>
    <w:rsid w:val="00C2395D"/>
    <w:rsid w:val="00C23A4C"/>
    <w:rsid w:val="00C2419D"/>
    <w:rsid w:val="00C243A4"/>
    <w:rsid w:val="00C24416"/>
    <w:rsid w:val="00C248DB"/>
    <w:rsid w:val="00C26170"/>
    <w:rsid w:val="00C26B5A"/>
    <w:rsid w:val="00C26D52"/>
    <w:rsid w:val="00C26F21"/>
    <w:rsid w:val="00C277DA"/>
    <w:rsid w:val="00C303E4"/>
    <w:rsid w:val="00C30775"/>
    <w:rsid w:val="00C30B8D"/>
    <w:rsid w:val="00C310BA"/>
    <w:rsid w:val="00C3134E"/>
    <w:rsid w:val="00C315D8"/>
    <w:rsid w:val="00C31C4A"/>
    <w:rsid w:val="00C31D2D"/>
    <w:rsid w:val="00C32639"/>
    <w:rsid w:val="00C32AD2"/>
    <w:rsid w:val="00C34193"/>
    <w:rsid w:val="00C347FD"/>
    <w:rsid w:val="00C34DAE"/>
    <w:rsid w:val="00C34E1E"/>
    <w:rsid w:val="00C34E5A"/>
    <w:rsid w:val="00C35A84"/>
    <w:rsid w:val="00C36219"/>
    <w:rsid w:val="00C3698E"/>
    <w:rsid w:val="00C36CCA"/>
    <w:rsid w:val="00C36E1C"/>
    <w:rsid w:val="00C36F42"/>
    <w:rsid w:val="00C3718A"/>
    <w:rsid w:val="00C377B1"/>
    <w:rsid w:val="00C379C5"/>
    <w:rsid w:val="00C37E84"/>
    <w:rsid w:val="00C37EEE"/>
    <w:rsid w:val="00C40453"/>
    <w:rsid w:val="00C40E71"/>
    <w:rsid w:val="00C41879"/>
    <w:rsid w:val="00C41A7C"/>
    <w:rsid w:val="00C42651"/>
    <w:rsid w:val="00C42CEF"/>
    <w:rsid w:val="00C42D55"/>
    <w:rsid w:val="00C43080"/>
    <w:rsid w:val="00C4370E"/>
    <w:rsid w:val="00C43823"/>
    <w:rsid w:val="00C4384B"/>
    <w:rsid w:val="00C4393C"/>
    <w:rsid w:val="00C44068"/>
    <w:rsid w:val="00C442AE"/>
    <w:rsid w:val="00C4518B"/>
    <w:rsid w:val="00C45780"/>
    <w:rsid w:val="00C458D6"/>
    <w:rsid w:val="00C46268"/>
    <w:rsid w:val="00C4655A"/>
    <w:rsid w:val="00C466BF"/>
    <w:rsid w:val="00C47385"/>
    <w:rsid w:val="00C47555"/>
    <w:rsid w:val="00C476AC"/>
    <w:rsid w:val="00C47E67"/>
    <w:rsid w:val="00C47FD9"/>
    <w:rsid w:val="00C50387"/>
    <w:rsid w:val="00C50C1A"/>
    <w:rsid w:val="00C51508"/>
    <w:rsid w:val="00C51D73"/>
    <w:rsid w:val="00C51DEB"/>
    <w:rsid w:val="00C52A05"/>
    <w:rsid w:val="00C52E97"/>
    <w:rsid w:val="00C52EAF"/>
    <w:rsid w:val="00C53189"/>
    <w:rsid w:val="00C534E5"/>
    <w:rsid w:val="00C534F4"/>
    <w:rsid w:val="00C5375B"/>
    <w:rsid w:val="00C53B15"/>
    <w:rsid w:val="00C53DA9"/>
    <w:rsid w:val="00C53EF7"/>
    <w:rsid w:val="00C54280"/>
    <w:rsid w:val="00C54929"/>
    <w:rsid w:val="00C556B1"/>
    <w:rsid w:val="00C55A05"/>
    <w:rsid w:val="00C55A12"/>
    <w:rsid w:val="00C56101"/>
    <w:rsid w:val="00C565F2"/>
    <w:rsid w:val="00C56C45"/>
    <w:rsid w:val="00C573CC"/>
    <w:rsid w:val="00C57B81"/>
    <w:rsid w:val="00C57FB9"/>
    <w:rsid w:val="00C60145"/>
    <w:rsid w:val="00C6077B"/>
    <w:rsid w:val="00C60950"/>
    <w:rsid w:val="00C609FD"/>
    <w:rsid w:val="00C60DD1"/>
    <w:rsid w:val="00C61565"/>
    <w:rsid w:val="00C61574"/>
    <w:rsid w:val="00C615B4"/>
    <w:rsid w:val="00C61765"/>
    <w:rsid w:val="00C61A90"/>
    <w:rsid w:val="00C6211D"/>
    <w:rsid w:val="00C62B32"/>
    <w:rsid w:val="00C63DED"/>
    <w:rsid w:val="00C63E88"/>
    <w:rsid w:val="00C64F97"/>
    <w:rsid w:val="00C65585"/>
    <w:rsid w:val="00C656EB"/>
    <w:rsid w:val="00C65C5A"/>
    <w:rsid w:val="00C65D7B"/>
    <w:rsid w:val="00C65DF4"/>
    <w:rsid w:val="00C6762C"/>
    <w:rsid w:val="00C67B49"/>
    <w:rsid w:val="00C70942"/>
    <w:rsid w:val="00C711F5"/>
    <w:rsid w:val="00C713A1"/>
    <w:rsid w:val="00C71828"/>
    <w:rsid w:val="00C72105"/>
    <w:rsid w:val="00C72BCE"/>
    <w:rsid w:val="00C74954"/>
    <w:rsid w:val="00C76028"/>
    <w:rsid w:val="00C76184"/>
    <w:rsid w:val="00C7673D"/>
    <w:rsid w:val="00C76A80"/>
    <w:rsid w:val="00C76C27"/>
    <w:rsid w:val="00C76F07"/>
    <w:rsid w:val="00C77EF6"/>
    <w:rsid w:val="00C80B4B"/>
    <w:rsid w:val="00C80D63"/>
    <w:rsid w:val="00C812D5"/>
    <w:rsid w:val="00C818D0"/>
    <w:rsid w:val="00C81BEA"/>
    <w:rsid w:val="00C81DF5"/>
    <w:rsid w:val="00C82188"/>
    <w:rsid w:val="00C8242B"/>
    <w:rsid w:val="00C829FA"/>
    <w:rsid w:val="00C82A50"/>
    <w:rsid w:val="00C83240"/>
    <w:rsid w:val="00C832E7"/>
    <w:rsid w:val="00C83381"/>
    <w:rsid w:val="00C83607"/>
    <w:rsid w:val="00C83768"/>
    <w:rsid w:val="00C83B18"/>
    <w:rsid w:val="00C840C3"/>
    <w:rsid w:val="00C841B4"/>
    <w:rsid w:val="00C84266"/>
    <w:rsid w:val="00C849E0"/>
    <w:rsid w:val="00C84B74"/>
    <w:rsid w:val="00C8512A"/>
    <w:rsid w:val="00C85970"/>
    <w:rsid w:val="00C85E9B"/>
    <w:rsid w:val="00C874C8"/>
    <w:rsid w:val="00C90165"/>
    <w:rsid w:val="00C90733"/>
    <w:rsid w:val="00C921C4"/>
    <w:rsid w:val="00C9235F"/>
    <w:rsid w:val="00C9257F"/>
    <w:rsid w:val="00C9319C"/>
    <w:rsid w:val="00C934F6"/>
    <w:rsid w:val="00C93874"/>
    <w:rsid w:val="00C93A4C"/>
    <w:rsid w:val="00C9448D"/>
    <w:rsid w:val="00C94FD2"/>
    <w:rsid w:val="00C9514C"/>
    <w:rsid w:val="00C95341"/>
    <w:rsid w:val="00C95B76"/>
    <w:rsid w:val="00C964C3"/>
    <w:rsid w:val="00C96635"/>
    <w:rsid w:val="00C966B7"/>
    <w:rsid w:val="00C969DB"/>
    <w:rsid w:val="00C97A4A"/>
    <w:rsid w:val="00C97DC9"/>
    <w:rsid w:val="00C97EE3"/>
    <w:rsid w:val="00CA12BA"/>
    <w:rsid w:val="00CA165C"/>
    <w:rsid w:val="00CA1C0D"/>
    <w:rsid w:val="00CA1DAE"/>
    <w:rsid w:val="00CA2267"/>
    <w:rsid w:val="00CA38AD"/>
    <w:rsid w:val="00CA413F"/>
    <w:rsid w:val="00CA5098"/>
    <w:rsid w:val="00CA5503"/>
    <w:rsid w:val="00CA55C3"/>
    <w:rsid w:val="00CA65B3"/>
    <w:rsid w:val="00CA66C3"/>
    <w:rsid w:val="00CA6CAD"/>
    <w:rsid w:val="00CA70A8"/>
    <w:rsid w:val="00CA70D0"/>
    <w:rsid w:val="00CA74A4"/>
    <w:rsid w:val="00CA7683"/>
    <w:rsid w:val="00CA7EA1"/>
    <w:rsid w:val="00CA7EEB"/>
    <w:rsid w:val="00CB009B"/>
    <w:rsid w:val="00CB0231"/>
    <w:rsid w:val="00CB0838"/>
    <w:rsid w:val="00CB1AFD"/>
    <w:rsid w:val="00CB1E7F"/>
    <w:rsid w:val="00CB1EB3"/>
    <w:rsid w:val="00CB2126"/>
    <w:rsid w:val="00CB24AD"/>
    <w:rsid w:val="00CB2C59"/>
    <w:rsid w:val="00CB2D9C"/>
    <w:rsid w:val="00CB34AB"/>
    <w:rsid w:val="00CB3529"/>
    <w:rsid w:val="00CB3562"/>
    <w:rsid w:val="00CB38A9"/>
    <w:rsid w:val="00CB4728"/>
    <w:rsid w:val="00CB4994"/>
    <w:rsid w:val="00CB556C"/>
    <w:rsid w:val="00CB59E7"/>
    <w:rsid w:val="00CB5E4A"/>
    <w:rsid w:val="00CB668A"/>
    <w:rsid w:val="00CB6976"/>
    <w:rsid w:val="00CB6FCA"/>
    <w:rsid w:val="00CB724D"/>
    <w:rsid w:val="00CB73EA"/>
    <w:rsid w:val="00CB7D4E"/>
    <w:rsid w:val="00CC002B"/>
    <w:rsid w:val="00CC07E5"/>
    <w:rsid w:val="00CC09F0"/>
    <w:rsid w:val="00CC0C11"/>
    <w:rsid w:val="00CC15B5"/>
    <w:rsid w:val="00CC1671"/>
    <w:rsid w:val="00CC1F52"/>
    <w:rsid w:val="00CC233F"/>
    <w:rsid w:val="00CC27FD"/>
    <w:rsid w:val="00CC31E8"/>
    <w:rsid w:val="00CC33C6"/>
    <w:rsid w:val="00CC3AB9"/>
    <w:rsid w:val="00CC3C9E"/>
    <w:rsid w:val="00CC45E0"/>
    <w:rsid w:val="00CC4BBE"/>
    <w:rsid w:val="00CC4BC3"/>
    <w:rsid w:val="00CC50C7"/>
    <w:rsid w:val="00CC55AC"/>
    <w:rsid w:val="00CC5859"/>
    <w:rsid w:val="00CC6159"/>
    <w:rsid w:val="00CC65A8"/>
    <w:rsid w:val="00CC6FF2"/>
    <w:rsid w:val="00CC71F3"/>
    <w:rsid w:val="00CC72C0"/>
    <w:rsid w:val="00CC757D"/>
    <w:rsid w:val="00CC7C74"/>
    <w:rsid w:val="00CD00DB"/>
    <w:rsid w:val="00CD0119"/>
    <w:rsid w:val="00CD07FD"/>
    <w:rsid w:val="00CD0866"/>
    <w:rsid w:val="00CD1169"/>
    <w:rsid w:val="00CD16C7"/>
    <w:rsid w:val="00CD1A40"/>
    <w:rsid w:val="00CD1B33"/>
    <w:rsid w:val="00CD25F3"/>
    <w:rsid w:val="00CD27FF"/>
    <w:rsid w:val="00CD305C"/>
    <w:rsid w:val="00CD3A6D"/>
    <w:rsid w:val="00CD3E5A"/>
    <w:rsid w:val="00CD3E63"/>
    <w:rsid w:val="00CD40A3"/>
    <w:rsid w:val="00CD4CD3"/>
    <w:rsid w:val="00CD578C"/>
    <w:rsid w:val="00CD589F"/>
    <w:rsid w:val="00CD60C9"/>
    <w:rsid w:val="00CD6345"/>
    <w:rsid w:val="00CD6BBB"/>
    <w:rsid w:val="00CD6C19"/>
    <w:rsid w:val="00CD6E47"/>
    <w:rsid w:val="00CD7482"/>
    <w:rsid w:val="00CE07C1"/>
    <w:rsid w:val="00CE1567"/>
    <w:rsid w:val="00CE186F"/>
    <w:rsid w:val="00CE1BC4"/>
    <w:rsid w:val="00CE1C09"/>
    <w:rsid w:val="00CE20E3"/>
    <w:rsid w:val="00CE24B7"/>
    <w:rsid w:val="00CE273A"/>
    <w:rsid w:val="00CE321C"/>
    <w:rsid w:val="00CE32E8"/>
    <w:rsid w:val="00CE3700"/>
    <w:rsid w:val="00CE3B69"/>
    <w:rsid w:val="00CE3B77"/>
    <w:rsid w:val="00CE4559"/>
    <w:rsid w:val="00CE5118"/>
    <w:rsid w:val="00CE5487"/>
    <w:rsid w:val="00CE59B5"/>
    <w:rsid w:val="00CE59DB"/>
    <w:rsid w:val="00CE5D3A"/>
    <w:rsid w:val="00CE7381"/>
    <w:rsid w:val="00CE7447"/>
    <w:rsid w:val="00CE74CE"/>
    <w:rsid w:val="00CE7F36"/>
    <w:rsid w:val="00CF0829"/>
    <w:rsid w:val="00CF0E74"/>
    <w:rsid w:val="00CF1833"/>
    <w:rsid w:val="00CF1AEA"/>
    <w:rsid w:val="00CF1B4F"/>
    <w:rsid w:val="00CF2091"/>
    <w:rsid w:val="00CF21F6"/>
    <w:rsid w:val="00CF2278"/>
    <w:rsid w:val="00CF2C62"/>
    <w:rsid w:val="00CF2F66"/>
    <w:rsid w:val="00CF337B"/>
    <w:rsid w:val="00CF3FE7"/>
    <w:rsid w:val="00CF4059"/>
    <w:rsid w:val="00CF4416"/>
    <w:rsid w:val="00CF5762"/>
    <w:rsid w:val="00CF65B4"/>
    <w:rsid w:val="00CF69B0"/>
    <w:rsid w:val="00CF6C05"/>
    <w:rsid w:val="00CF7485"/>
    <w:rsid w:val="00CF7E56"/>
    <w:rsid w:val="00D0139C"/>
    <w:rsid w:val="00D01744"/>
    <w:rsid w:val="00D025CE"/>
    <w:rsid w:val="00D02A0F"/>
    <w:rsid w:val="00D02DF3"/>
    <w:rsid w:val="00D02FB3"/>
    <w:rsid w:val="00D03181"/>
    <w:rsid w:val="00D037DC"/>
    <w:rsid w:val="00D0383B"/>
    <w:rsid w:val="00D03A8A"/>
    <w:rsid w:val="00D03DA5"/>
    <w:rsid w:val="00D03F27"/>
    <w:rsid w:val="00D043EE"/>
    <w:rsid w:val="00D0470D"/>
    <w:rsid w:val="00D05249"/>
    <w:rsid w:val="00D055CA"/>
    <w:rsid w:val="00D059FC"/>
    <w:rsid w:val="00D05DEF"/>
    <w:rsid w:val="00D06861"/>
    <w:rsid w:val="00D0688A"/>
    <w:rsid w:val="00D06F22"/>
    <w:rsid w:val="00D07A9C"/>
    <w:rsid w:val="00D10076"/>
    <w:rsid w:val="00D1033B"/>
    <w:rsid w:val="00D10477"/>
    <w:rsid w:val="00D107E2"/>
    <w:rsid w:val="00D11D76"/>
    <w:rsid w:val="00D11E73"/>
    <w:rsid w:val="00D121F5"/>
    <w:rsid w:val="00D126E4"/>
    <w:rsid w:val="00D131BF"/>
    <w:rsid w:val="00D140E6"/>
    <w:rsid w:val="00D158EF"/>
    <w:rsid w:val="00D15C14"/>
    <w:rsid w:val="00D15E74"/>
    <w:rsid w:val="00D15FAA"/>
    <w:rsid w:val="00D16ECB"/>
    <w:rsid w:val="00D16EEE"/>
    <w:rsid w:val="00D17167"/>
    <w:rsid w:val="00D1794C"/>
    <w:rsid w:val="00D17BA5"/>
    <w:rsid w:val="00D17EC9"/>
    <w:rsid w:val="00D2058D"/>
    <w:rsid w:val="00D2176E"/>
    <w:rsid w:val="00D2182A"/>
    <w:rsid w:val="00D22105"/>
    <w:rsid w:val="00D2211C"/>
    <w:rsid w:val="00D22945"/>
    <w:rsid w:val="00D22B55"/>
    <w:rsid w:val="00D23055"/>
    <w:rsid w:val="00D230AD"/>
    <w:rsid w:val="00D251AB"/>
    <w:rsid w:val="00D25AC6"/>
    <w:rsid w:val="00D261D3"/>
    <w:rsid w:val="00D31255"/>
    <w:rsid w:val="00D319DF"/>
    <w:rsid w:val="00D3225E"/>
    <w:rsid w:val="00D324BC"/>
    <w:rsid w:val="00D33565"/>
    <w:rsid w:val="00D33762"/>
    <w:rsid w:val="00D34025"/>
    <w:rsid w:val="00D3413A"/>
    <w:rsid w:val="00D34BD1"/>
    <w:rsid w:val="00D35177"/>
    <w:rsid w:val="00D356E1"/>
    <w:rsid w:val="00D37006"/>
    <w:rsid w:val="00D40609"/>
    <w:rsid w:val="00D40983"/>
    <w:rsid w:val="00D41188"/>
    <w:rsid w:val="00D417D3"/>
    <w:rsid w:val="00D418D5"/>
    <w:rsid w:val="00D41A6B"/>
    <w:rsid w:val="00D41DB1"/>
    <w:rsid w:val="00D42045"/>
    <w:rsid w:val="00D4276D"/>
    <w:rsid w:val="00D42798"/>
    <w:rsid w:val="00D42970"/>
    <w:rsid w:val="00D43492"/>
    <w:rsid w:val="00D4364E"/>
    <w:rsid w:val="00D43AED"/>
    <w:rsid w:val="00D44916"/>
    <w:rsid w:val="00D45CA4"/>
    <w:rsid w:val="00D45EA7"/>
    <w:rsid w:val="00D45F22"/>
    <w:rsid w:val="00D46485"/>
    <w:rsid w:val="00D47178"/>
    <w:rsid w:val="00D4752E"/>
    <w:rsid w:val="00D47842"/>
    <w:rsid w:val="00D478A8"/>
    <w:rsid w:val="00D47BEF"/>
    <w:rsid w:val="00D50826"/>
    <w:rsid w:val="00D51675"/>
    <w:rsid w:val="00D51A75"/>
    <w:rsid w:val="00D51F73"/>
    <w:rsid w:val="00D52827"/>
    <w:rsid w:val="00D529BE"/>
    <w:rsid w:val="00D52CF6"/>
    <w:rsid w:val="00D53198"/>
    <w:rsid w:val="00D53D3E"/>
    <w:rsid w:val="00D547E0"/>
    <w:rsid w:val="00D54992"/>
    <w:rsid w:val="00D55291"/>
    <w:rsid w:val="00D55C48"/>
    <w:rsid w:val="00D55E47"/>
    <w:rsid w:val="00D56997"/>
    <w:rsid w:val="00D570E6"/>
    <w:rsid w:val="00D5730F"/>
    <w:rsid w:val="00D5774F"/>
    <w:rsid w:val="00D578B1"/>
    <w:rsid w:val="00D57A52"/>
    <w:rsid w:val="00D60809"/>
    <w:rsid w:val="00D60D7F"/>
    <w:rsid w:val="00D61C9C"/>
    <w:rsid w:val="00D62111"/>
    <w:rsid w:val="00D62229"/>
    <w:rsid w:val="00D625B8"/>
    <w:rsid w:val="00D626F8"/>
    <w:rsid w:val="00D634CD"/>
    <w:rsid w:val="00D636DC"/>
    <w:rsid w:val="00D63F4C"/>
    <w:rsid w:val="00D64265"/>
    <w:rsid w:val="00D64613"/>
    <w:rsid w:val="00D64702"/>
    <w:rsid w:val="00D66BD9"/>
    <w:rsid w:val="00D66BFD"/>
    <w:rsid w:val="00D66C91"/>
    <w:rsid w:val="00D674EE"/>
    <w:rsid w:val="00D67535"/>
    <w:rsid w:val="00D67B2A"/>
    <w:rsid w:val="00D67BC9"/>
    <w:rsid w:val="00D67DBC"/>
    <w:rsid w:val="00D704D9"/>
    <w:rsid w:val="00D70BD2"/>
    <w:rsid w:val="00D713F2"/>
    <w:rsid w:val="00D721AA"/>
    <w:rsid w:val="00D72705"/>
    <w:rsid w:val="00D738BF"/>
    <w:rsid w:val="00D73B93"/>
    <w:rsid w:val="00D73C95"/>
    <w:rsid w:val="00D73F99"/>
    <w:rsid w:val="00D745C1"/>
    <w:rsid w:val="00D75676"/>
    <w:rsid w:val="00D75731"/>
    <w:rsid w:val="00D75B45"/>
    <w:rsid w:val="00D75B5C"/>
    <w:rsid w:val="00D75F8C"/>
    <w:rsid w:val="00D76050"/>
    <w:rsid w:val="00D76309"/>
    <w:rsid w:val="00D76423"/>
    <w:rsid w:val="00D767BF"/>
    <w:rsid w:val="00D77278"/>
    <w:rsid w:val="00D775B5"/>
    <w:rsid w:val="00D77961"/>
    <w:rsid w:val="00D77B20"/>
    <w:rsid w:val="00D77B3B"/>
    <w:rsid w:val="00D8007C"/>
    <w:rsid w:val="00D8079F"/>
    <w:rsid w:val="00D8103B"/>
    <w:rsid w:val="00D8111B"/>
    <w:rsid w:val="00D81242"/>
    <w:rsid w:val="00D812D2"/>
    <w:rsid w:val="00D822FA"/>
    <w:rsid w:val="00D82D02"/>
    <w:rsid w:val="00D82D0F"/>
    <w:rsid w:val="00D83A5A"/>
    <w:rsid w:val="00D84157"/>
    <w:rsid w:val="00D84BD7"/>
    <w:rsid w:val="00D84DCA"/>
    <w:rsid w:val="00D850FC"/>
    <w:rsid w:val="00D85114"/>
    <w:rsid w:val="00D857BC"/>
    <w:rsid w:val="00D86144"/>
    <w:rsid w:val="00D8622E"/>
    <w:rsid w:val="00D8718F"/>
    <w:rsid w:val="00D871B6"/>
    <w:rsid w:val="00D875E1"/>
    <w:rsid w:val="00D90275"/>
    <w:rsid w:val="00D902F5"/>
    <w:rsid w:val="00D9075D"/>
    <w:rsid w:val="00D90959"/>
    <w:rsid w:val="00D91410"/>
    <w:rsid w:val="00D91438"/>
    <w:rsid w:val="00D91594"/>
    <w:rsid w:val="00D91A8F"/>
    <w:rsid w:val="00D91ABE"/>
    <w:rsid w:val="00D91DFB"/>
    <w:rsid w:val="00D921DA"/>
    <w:rsid w:val="00D92C2F"/>
    <w:rsid w:val="00D92F7F"/>
    <w:rsid w:val="00D9459D"/>
    <w:rsid w:val="00D94730"/>
    <w:rsid w:val="00D94858"/>
    <w:rsid w:val="00D94972"/>
    <w:rsid w:val="00D954A1"/>
    <w:rsid w:val="00D95519"/>
    <w:rsid w:val="00D95744"/>
    <w:rsid w:val="00D958FC"/>
    <w:rsid w:val="00D959AE"/>
    <w:rsid w:val="00D95DC2"/>
    <w:rsid w:val="00D96678"/>
    <w:rsid w:val="00D96C73"/>
    <w:rsid w:val="00D96D46"/>
    <w:rsid w:val="00D97C27"/>
    <w:rsid w:val="00DA0526"/>
    <w:rsid w:val="00DA0639"/>
    <w:rsid w:val="00DA0CF7"/>
    <w:rsid w:val="00DA0E96"/>
    <w:rsid w:val="00DA1203"/>
    <w:rsid w:val="00DA18DA"/>
    <w:rsid w:val="00DA1F0C"/>
    <w:rsid w:val="00DA1F38"/>
    <w:rsid w:val="00DA2F0F"/>
    <w:rsid w:val="00DA3565"/>
    <w:rsid w:val="00DA3A5B"/>
    <w:rsid w:val="00DA3D0B"/>
    <w:rsid w:val="00DA3F51"/>
    <w:rsid w:val="00DA45DB"/>
    <w:rsid w:val="00DA48D9"/>
    <w:rsid w:val="00DA49F8"/>
    <w:rsid w:val="00DA4AAE"/>
    <w:rsid w:val="00DA5572"/>
    <w:rsid w:val="00DA6A15"/>
    <w:rsid w:val="00DA6CC2"/>
    <w:rsid w:val="00DA7029"/>
    <w:rsid w:val="00DA77A0"/>
    <w:rsid w:val="00DB09A2"/>
    <w:rsid w:val="00DB0C79"/>
    <w:rsid w:val="00DB103D"/>
    <w:rsid w:val="00DB1448"/>
    <w:rsid w:val="00DB1998"/>
    <w:rsid w:val="00DB1FC4"/>
    <w:rsid w:val="00DB21F0"/>
    <w:rsid w:val="00DB24C0"/>
    <w:rsid w:val="00DB2C5F"/>
    <w:rsid w:val="00DB3A58"/>
    <w:rsid w:val="00DB3BDF"/>
    <w:rsid w:val="00DB3C58"/>
    <w:rsid w:val="00DB3D46"/>
    <w:rsid w:val="00DB401C"/>
    <w:rsid w:val="00DB46C8"/>
    <w:rsid w:val="00DB540E"/>
    <w:rsid w:val="00DB5A63"/>
    <w:rsid w:val="00DB6166"/>
    <w:rsid w:val="00DB656B"/>
    <w:rsid w:val="00DB691E"/>
    <w:rsid w:val="00DB75A3"/>
    <w:rsid w:val="00DB799D"/>
    <w:rsid w:val="00DB79C8"/>
    <w:rsid w:val="00DC0574"/>
    <w:rsid w:val="00DC0C65"/>
    <w:rsid w:val="00DC16BF"/>
    <w:rsid w:val="00DC16E1"/>
    <w:rsid w:val="00DC16FC"/>
    <w:rsid w:val="00DC1881"/>
    <w:rsid w:val="00DC1ED7"/>
    <w:rsid w:val="00DC3A6F"/>
    <w:rsid w:val="00DC3D1C"/>
    <w:rsid w:val="00DC43E1"/>
    <w:rsid w:val="00DC4EE7"/>
    <w:rsid w:val="00DC5199"/>
    <w:rsid w:val="00DC5A32"/>
    <w:rsid w:val="00DC5E4E"/>
    <w:rsid w:val="00DC651B"/>
    <w:rsid w:val="00DC662F"/>
    <w:rsid w:val="00DC6E78"/>
    <w:rsid w:val="00DC729A"/>
    <w:rsid w:val="00DC7328"/>
    <w:rsid w:val="00DC73B1"/>
    <w:rsid w:val="00DC7519"/>
    <w:rsid w:val="00DC75C6"/>
    <w:rsid w:val="00DC7630"/>
    <w:rsid w:val="00DC7EB5"/>
    <w:rsid w:val="00DD04AC"/>
    <w:rsid w:val="00DD04DD"/>
    <w:rsid w:val="00DD0891"/>
    <w:rsid w:val="00DD0B35"/>
    <w:rsid w:val="00DD0F9F"/>
    <w:rsid w:val="00DD11A7"/>
    <w:rsid w:val="00DD1298"/>
    <w:rsid w:val="00DD2300"/>
    <w:rsid w:val="00DD2309"/>
    <w:rsid w:val="00DD28B3"/>
    <w:rsid w:val="00DD2DE3"/>
    <w:rsid w:val="00DD2DE8"/>
    <w:rsid w:val="00DD316F"/>
    <w:rsid w:val="00DD357C"/>
    <w:rsid w:val="00DD37CA"/>
    <w:rsid w:val="00DD3D55"/>
    <w:rsid w:val="00DD3DF7"/>
    <w:rsid w:val="00DD4AE2"/>
    <w:rsid w:val="00DD4BFA"/>
    <w:rsid w:val="00DD51F8"/>
    <w:rsid w:val="00DD6388"/>
    <w:rsid w:val="00DD6C53"/>
    <w:rsid w:val="00DD7198"/>
    <w:rsid w:val="00DD7199"/>
    <w:rsid w:val="00DD7C44"/>
    <w:rsid w:val="00DD7CB6"/>
    <w:rsid w:val="00DE0077"/>
    <w:rsid w:val="00DE0137"/>
    <w:rsid w:val="00DE01BA"/>
    <w:rsid w:val="00DE0DCF"/>
    <w:rsid w:val="00DE137B"/>
    <w:rsid w:val="00DE13D4"/>
    <w:rsid w:val="00DE13FD"/>
    <w:rsid w:val="00DE19D9"/>
    <w:rsid w:val="00DE1C18"/>
    <w:rsid w:val="00DE1DC6"/>
    <w:rsid w:val="00DE1F77"/>
    <w:rsid w:val="00DE21C6"/>
    <w:rsid w:val="00DE22AA"/>
    <w:rsid w:val="00DE288F"/>
    <w:rsid w:val="00DE2D49"/>
    <w:rsid w:val="00DE388A"/>
    <w:rsid w:val="00DE3E66"/>
    <w:rsid w:val="00DE3F75"/>
    <w:rsid w:val="00DE45F5"/>
    <w:rsid w:val="00DE4AAD"/>
    <w:rsid w:val="00DE4C0C"/>
    <w:rsid w:val="00DE4FC8"/>
    <w:rsid w:val="00DE53B5"/>
    <w:rsid w:val="00DE5A50"/>
    <w:rsid w:val="00DE60C5"/>
    <w:rsid w:val="00DE7323"/>
    <w:rsid w:val="00DE75F0"/>
    <w:rsid w:val="00DE77CB"/>
    <w:rsid w:val="00DE7EBA"/>
    <w:rsid w:val="00DF04BD"/>
    <w:rsid w:val="00DF068D"/>
    <w:rsid w:val="00DF0D3A"/>
    <w:rsid w:val="00DF1A9A"/>
    <w:rsid w:val="00DF1C2D"/>
    <w:rsid w:val="00DF1DB6"/>
    <w:rsid w:val="00DF1F8A"/>
    <w:rsid w:val="00DF248E"/>
    <w:rsid w:val="00DF253D"/>
    <w:rsid w:val="00DF3222"/>
    <w:rsid w:val="00DF3577"/>
    <w:rsid w:val="00DF4063"/>
    <w:rsid w:val="00DF5F13"/>
    <w:rsid w:val="00DF63DD"/>
    <w:rsid w:val="00DF6B62"/>
    <w:rsid w:val="00DF7781"/>
    <w:rsid w:val="00DF7828"/>
    <w:rsid w:val="00DF7BD0"/>
    <w:rsid w:val="00DF7BDF"/>
    <w:rsid w:val="00E00303"/>
    <w:rsid w:val="00E00489"/>
    <w:rsid w:val="00E00A62"/>
    <w:rsid w:val="00E010A0"/>
    <w:rsid w:val="00E0125E"/>
    <w:rsid w:val="00E01668"/>
    <w:rsid w:val="00E0173A"/>
    <w:rsid w:val="00E01849"/>
    <w:rsid w:val="00E020D1"/>
    <w:rsid w:val="00E02B64"/>
    <w:rsid w:val="00E02EAD"/>
    <w:rsid w:val="00E03D3F"/>
    <w:rsid w:val="00E0437C"/>
    <w:rsid w:val="00E0452C"/>
    <w:rsid w:val="00E04D61"/>
    <w:rsid w:val="00E0504C"/>
    <w:rsid w:val="00E05074"/>
    <w:rsid w:val="00E05489"/>
    <w:rsid w:val="00E05741"/>
    <w:rsid w:val="00E05F7F"/>
    <w:rsid w:val="00E06930"/>
    <w:rsid w:val="00E06971"/>
    <w:rsid w:val="00E06B43"/>
    <w:rsid w:val="00E06E32"/>
    <w:rsid w:val="00E06EC4"/>
    <w:rsid w:val="00E070D9"/>
    <w:rsid w:val="00E105B3"/>
    <w:rsid w:val="00E10846"/>
    <w:rsid w:val="00E108F4"/>
    <w:rsid w:val="00E10A4B"/>
    <w:rsid w:val="00E10D4E"/>
    <w:rsid w:val="00E1100C"/>
    <w:rsid w:val="00E11489"/>
    <w:rsid w:val="00E11711"/>
    <w:rsid w:val="00E11E63"/>
    <w:rsid w:val="00E12696"/>
    <w:rsid w:val="00E12DEE"/>
    <w:rsid w:val="00E1310D"/>
    <w:rsid w:val="00E13359"/>
    <w:rsid w:val="00E138BF"/>
    <w:rsid w:val="00E14EFA"/>
    <w:rsid w:val="00E151B9"/>
    <w:rsid w:val="00E1566E"/>
    <w:rsid w:val="00E158C4"/>
    <w:rsid w:val="00E161E6"/>
    <w:rsid w:val="00E167C9"/>
    <w:rsid w:val="00E1698C"/>
    <w:rsid w:val="00E172BE"/>
    <w:rsid w:val="00E17CF7"/>
    <w:rsid w:val="00E205D6"/>
    <w:rsid w:val="00E216EC"/>
    <w:rsid w:val="00E2189A"/>
    <w:rsid w:val="00E22B5A"/>
    <w:rsid w:val="00E22B68"/>
    <w:rsid w:val="00E231C9"/>
    <w:rsid w:val="00E23379"/>
    <w:rsid w:val="00E23EBF"/>
    <w:rsid w:val="00E23FD5"/>
    <w:rsid w:val="00E24669"/>
    <w:rsid w:val="00E248B2"/>
    <w:rsid w:val="00E24C48"/>
    <w:rsid w:val="00E24D50"/>
    <w:rsid w:val="00E25981"/>
    <w:rsid w:val="00E25BC1"/>
    <w:rsid w:val="00E26141"/>
    <w:rsid w:val="00E266F5"/>
    <w:rsid w:val="00E26F90"/>
    <w:rsid w:val="00E270D3"/>
    <w:rsid w:val="00E27FC7"/>
    <w:rsid w:val="00E30700"/>
    <w:rsid w:val="00E30D87"/>
    <w:rsid w:val="00E30E57"/>
    <w:rsid w:val="00E31360"/>
    <w:rsid w:val="00E31D28"/>
    <w:rsid w:val="00E325FF"/>
    <w:rsid w:val="00E32CB8"/>
    <w:rsid w:val="00E3419B"/>
    <w:rsid w:val="00E3440F"/>
    <w:rsid w:val="00E34F3A"/>
    <w:rsid w:val="00E35030"/>
    <w:rsid w:val="00E35F99"/>
    <w:rsid w:val="00E35F9A"/>
    <w:rsid w:val="00E3637F"/>
    <w:rsid w:val="00E364B6"/>
    <w:rsid w:val="00E36723"/>
    <w:rsid w:val="00E3713C"/>
    <w:rsid w:val="00E3767B"/>
    <w:rsid w:val="00E37A3D"/>
    <w:rsid w:val="00E37E1C"/>
    <w:rsid w:val="00E40126"/>
    <w:rsid w:val="00E40CBF"/>
    <w:rsid w:val="00E40E7D"/>
    <w:rsid w:val="00E40EE4"/>
    <w:rsid w:val="00E413C6"/>
    <w:rsid w:val="00E41C4E"/>
    <w:rsid w:val="00E420D5"/>
    <w:rsid w:val="00E42517"/>
    <w:rsid w:val="00E42D55"/>
    <w:rsid w:val="00E42FFE"/>
    <w:rsid w:val="00E4316E"/>
    <w:rsid w:val="00E435AB"/>
    <w:rsid w:val="00E44275"/>
    <w:rsid w:val="00E44777"/>
    <w:rsid w:val="00E4535F"/>
    <w:rsid w:val="00E466BC"/>
    <w:rsid w:val="00E4686A"/>
    <w:rsid w:val="00E47538"/>
    <w:rsid w:val="00E479FD"/>
    <w:rsid w:val="00E504D6"/>
    <w:rsid w:val="00E50B6F"/>
    <w:rsid w:val="00E50DF1"/>
    <w:rsid w:val="00E50EBE"/>
    <w:rsid w:val="00E50F69"/>
    <w:rsid w:val="00E50FC6"/>
    <w:rsid w:val="00E517CD"/>
    <w:rsid w:val="00E52185"/>
    <w:rsid w:val="00E52372"/>
    <w:rsid w:val="00E52786"/>
    <w:rsid w:val="00E52C21"/>
    <w:rsid w:val="00E52F05"/>
    <w:rsid w:val="00E53785"/>
    <w:rsid w:val="00E53DB1"/>
    <w:rsid w:val="00E540CA"/>
    <w:rsid w:val="00E54B37"/>
    <w:rsid w:val="00E54DE9"/>
    <w:rsid w:val="00E55B28"/>
    <w:rsid w:val="00E56D4A"/>
    <w:rsid w:val="00E57119"/>
    <w:rsid w:val="00E5719E"/>
    <w:rsid w:val="00E57D7B"/>
    <w:rsid w:val="00E57F4B"/>
    <w:rsid w:val="00E602E5"/>
    <w:rsid w:val="00E602F8"/>
    <w:rsid w:val="00E6085B"/>
    <w:rsid w:val="00E60FBA"/>
    <w:rsid w:val="00E60FBF"/>
    <w:rsid w:val="00E616F9"/>
    <w:rsid w:val="00E61852"/>
    <w:rsid w:val="00E61A0C"/>
    <w:rsid w:val="00E61D22"/>
    <w:rsid w:val="00E61D96"/>
    <w:rsid w:val="00E61E4B"/>
    <w:rsid w:val="00E6342F"/>
    <w:rsid w:val="00E63DA2"/>
    <w:rsid w:val="00E642AF"/>
    <w:rsid w:val="00E644C6"/>
    <w:rsid w:val="00E64555"/>
    <w:rsid w:val="00E64595"/>
    <w:rsid w:val="00E646BB"/>
    <w:rsid w:val="00E64D24"/>
    <w:rsid w:val="00E64E69"/>
    <w:rsid w:val="00E6549C"/>
    <w:rsid w:val="00E654B9"/>
    <w:rsid w:val="00E6589D"/>
    <w:rsid w:val="00E65E8C"/>
    <w:rsid w:val="00E665E7"/>
    <w:rsid w:val="00E66C96"/>
    <w:rsid w:val="00E6703E"/>
    <w:rsid w:val="00E70130"/>
    <w:rsid w:val="00E7063F"/>
    <w:rsid w:val="00E715FC"/>
    <w:rsid w:val="00E71A45"/>
    <w:rsid w:val="00E71C21"/>
    <w:rsid w:val="00E72D84"/>
    <w:rsid w:val="00E730FC"/>
    <w:rsid w:val="00E7318D"/>
    <w:rsid w:val="00E7385A"/>
    <w:rsid w:val="00E73CE6"/>
    <w:rsid w:val="00E74780"/>
    <w:rsid w:val="00E7487D"/>
    <w:rsid w:val="00E74956"/>
    <w:rsid w:val="00E752F7"/>
    <w:rsid w:val="00E75848"/>
    <w:rsid w:val="00E759D4"/>
    <w:rsid w:val="00E76A3C"/>
    <w:rsid w:val="00E76F9B"/>
    <w:rsid w:val="00E771FC"/>
    <w:rsid w:val="00E773E5"/>
    <w:rsid w:val="00E77511"/>
    <w:rsid w:val="00E77BDD"/>
    <w:rsid w:val="00E806D3"/>
    <w:rsid w:val="00E81C34"/>
    <w:rsid w:val="00E81D83"/>
    <w:rsid w:val="00E821BB"/>
    <w:rsid w:val="00E822E9"/>
    <w:rsid w:val="00E826FE"/>
    <w:rsid w:val="00E8275E"/>
    <w:rsid w:val="00E827AF"/>
    <w:rsid w:val="00E82DE9"/>
    <w:rsid w:val="00E83253"/>
    <w:rsid w:val="00E844AB"/>
    <w:rsid w:val="00E84C97"/>
    <w:rsid w:val="00E85005"/>
    <w:rsid w:val="00E85296"/>
    <w:rsid w:val="00E8533B"/>
    <w:rsid w:val="00E8575B"/>
    <w:rsid w:val="00E85931"/>
    <w:rsid w:val="00E85E4E"/>
    <w:rsid w:val="00E862BB"/>
    <w:rsid w:val="00E86327"/>
    <w:rsid w:val="00E86DF0"/>
    <w:rsid w:val="00E87BD2"/>
    <w:rsid w:val="00E87CDC"/>
    <w:rsid w:val="00E906E0"/>
    <w:rsid w:val="00E90B33"/>
    <w:rsid w:val="00E911E0"/>
    <w:rsid w:val="00E93407"/>
    <w:rsid w:val="00E940A8"/>
    <w:rsid w:val="00E94759"/>
    <w:rsid w:val="00E947E8"/>
    <w:rsid w:val="00E94B0F"/>
    <w:rsid w:val="00E9503F"/>
    <w:rsid w:val="00E96726"/>
    <w:rsid w:val="00E96E68"/>
    <w:rsid w:val="00E973BA"/>
    <w:rsid w:val="00E97EA1"/>
    <w:rsid w:val="00EA0745"/>
    <w:rsid w:val="00EA0BBE"/>
    <w:rsid w:val="00EA1FBC"/>
    <w:rsid w:val="00EA20A1"/>
    <w:rsid w:val="00EA212B"/>
    <w:rsid w:val="00EA24FB"/>
    <w:rsid w:val="00EA2D44"/>
    <w:rsid w:val="00EA306E"/>
    <w:rsid w:val="00EA32F4"/>
    <w:rsid w:val="00EA33FA"/>
    <w:rsid w:val="00EA3A1D"/>
    <w:rsid w:val="00EA3CD7"/>
    <w:rsid w:val="00EA3E2D"/>
    <w:rsid w:val="00EA429D"/>
    <w:rsid w:val="00EA43AF"/>
    <w:rsid w:val="00EA4676"/>
    <w:rsid w:val="00EA4C7C"/>
    <w:rsid w:val="00EA4D4C"/>
    <w:rsid w:val="00EA554F"/>
    <w:rsid w:val="00EA6250"/>
    <w:rsid w:val="00EA66A4"/>
    <w:rsid w:val="00EA6819"/>
    <w:rsid w:val="00EA69E4"/>
    <w:rsid w:val="00EA6A1E"/>
    <w:rsid w:val="00EA75BD"/>
    <w:rsid w:val="00EA760C"/>
    <w:rsid w:val="00EA7C47"/>
    <w:rsid w:val="00EB0C01"/>
    <w:rsid w:val="00EB0F0F"/>
    <w:rsid w:val="00EB1053"/>
    <w:rsid w:val="00EB12A5"/>
    <w:rsid w:val="00EB24D8"/>
    <w:rsid w:val="00EB277B"/>
    <w:rsid w:val="00EB2F20"/>
    <w:rsid w:val="00EB2F35"/>
    <w:rsid w:val="00EB31DB"/>
    <w:rsid w:val="00EB3422"/>
    <w:rsid w:val="00EB3A31"/>
    <w:rsid w:val="00EB4EAF"/>
    <w:rsid w:val="00EB548E"/>
    <w:rsid w:val="00EB5C41"/>
    <w:rsid w:val="00EB5F5A"/>
    <w:rsid w:val="00EB657E"/>
    <w:rsid w:val="00EB695E"/>
    <w:rsid w:val="00EB69D1"/>
    <w:rsid w:val="00EB6FE9"/>
    <w:rsid w:val="00EB72FF"/>
    <w:rsid w:val="00EB756F"/>
    <w:rsid w:val="00EB79C8"/>
    <w:rsid w:val="00EB7E78"/>
    <w:rsid w:val="00EC0301"/>
    <w:rsid w:val="00EC09C6"/>
    <w:rsid w:val="00EC0EA5"/>
    <w:rsid w:val="00EC1056"/>
    <w:rsid w:val="00EC1470"/>
    <w:rsid w:val="00EC222E"/>
    <w:rsid w:val="00EC25CD"/>
    <w:rsid w:val="00EC2716"/>
    <w:rsid w:val="00EC2DBB"/>
    <w:rsid w:val="00EC3107"/>
    <w:rsid w:val="00EC358E"/>
    <w:rsid w:val="00EC3F3F"/>
    <w:rsid w:val="00EC3FD2"/>
    <w:rsid w:val="00EC4095"/>
    <w:rsid w:val="00EC43B5"/>
    <w:rsid w:val="00EC4537"/>
    <w:rsid w:val="00EC4960"/>
    <w:rsid w:val="00EC4AE3"/>
    <w:rsid w:val="00EC522B"/>
    <w:rsid w:val="00EC54EE"/>
    <w:rsid w:val="00EC59B2"/>
    <w:rsid w:val="00EC5A3B"/>
    <w:rsid w:val="00EC6BCB"/>
    <w:rsid w:val="00EC774E"/>
    <w:rsid w:val="00EC786C"/>
    <w:rsid w:val="00EC7ADD"/>
    <w:rsid w:val="00ED04FE"/>
    <w:rsid w:val="00ED0DD0"/>
    <w:rsid w:val="00ED1989"/>
    <w:rsid w:val="00ED28F2"/>
    <w:rsid w:val="00ED3145"/>
    <w:rsid w:val="00ED3309"/>
    <w:rsid w:val="00ED356E"/>
    <w:rsid w:val="00ED3BDA"/>
    <w:rsid w:val="00ED3DA4"/>
    <w:rsid w:val="00ED4B67"/>
    <w:rsid w:val="00ED4B69"/>
    <w:rsid w:val="00ED5A3B"/>
    <w:rsid w:val="00ED5C30"/>
    <w:rsid w:val="00ED5E02"/>
    <w:rsid w:val="00ED5EED"/>
    <w:rsid w:val="00ED6B1C"/>
    <w:rsid w:val="00ED6CF7"/>
    <w:rsid w:val="00ED6F33"/>
    <w:rsid w:val="00ED741E"/>
    <w:rsid w:val="00ED7716"/>
    <w:rsid w:val="00ED7737"/>
    <w:rsid w:val="00ED7747"/>
    <w:rsid w:val="00ED7CF4"/>
    <w:rsid w:val="00EE0EA8"/>
    <w:rsid w:val="00EE1B0E"/>
    <w:rsid w:val="00EE22FB"/>
    <w:rsid w:val="00EE2407"/>
    <w:rsid w:val="00EE26AE"/>
    <w:rsid w:val="00EE29C8"/>
    <w:rsid w:val="00EE2A54"/>
    <w:rsid w:val="00EE2FC2"/>
    <w:rsid w:val="00EE3B88"/>
    <w:rsid w:val="00EE4B75"/>
    <w:rsid w:val="00EE4DBD"/>
    <w:rsid w:val="00EE57D6"/>
    <w:rsid w:val="00EE6025"/>
    <w:rsid w:val="00EE6AC6"/>
    <w:rsid w:val="00EE6E26"/>
    <w:rsid w:val="00EE784F"/>
    <w:rsid w:val="00EE7A1D"/>
    <w:rsid w:val="00EF0500"/>
    <w:rsid w:val="00EF0B66"/>
    <w:rsid w:val="00EF1002"/>
    <w:rsid w:val="00EF143F"/>
    <w:rsid w:val="00EF23D8"/>
    <w:rsid w:val="00EF2A5A"/>
    <w:rsid w:val="00EF2A87"/>
    <w:rsid w:val="00EF3A74"/>
    <w:rsid w:val="00EF3AE9"/>
    <w:rsid w:val="00EF3EA5"/>
    <w:rsid w:val="00EF40DC"/>
    <w:rsid w:val="00EF49FB"/>
    <w:rsid w:val="00EF4D23"/>
    <w:rsid w:val="00EF55D6"/>
    <w:rsid w:val="00EF644D"/>
    <w:rsid w:val="00EF6D29"/>
    <w:rsid w:val="00EF7138"/>
    <w:rsid w:val="00EF7149"/>
    <w:rsid w:val="00F00881"/>
    <w:rsid w:val="00F00917"/>
    <w:rsid w:val="00F01032"/>
    <w:rsid w:val="00F010BB"/>
    <w:rsid w:val="00F012C1"/>
    <w:rsid w:val="00F0175F"/>
    <w:rsid w:val="00F01C5B"/>
    <w:rsid w:val="00F03280"/>
    <w:rsid w:val="00F0362A"/>
    <w:rsid w:val="00F0385C"/>
    <w:rsid w:val="00F03ABE"/>
    <w:rsid w:val="00F04345"/>
    <w:rsid w:val="00F047A4"/>
    <w:rsid w:val="00F04F52"/>
    <w:rsid w:val="00F0510F"/>
    <w:rsid w:val="00F0563F"/>
    <w:rsid w:val="00F06239"/>
    <w:rsid w:val="00F064EF"/>
    <w:rsid w:val="00F06558"/>
    <w:rsid w:val="00F06F42"/>
    <w:rsid w:val="00F07122"/>
    <w:rsid w:val="00F074C9"/>
    <w:rsid w:val="00F07C82"/>
    <w:rsid w:val="00F07F5E"/>
    <w:rsid w:val="00F1001E"/>
    <w:rsid w:val="00F106BB"/>
    <w:rsid w:val="00F11027"/>
    <w:rsid w:val="00F1106C"/>
    <w:rsid w:val="00F111BA"/>
    <w:rsid w:val="00F116DD"/>
    <w:rsid w:val="00F11D9F"/>
    <w:rsid w:val="00F11E31"/>
    <w:rsid w:val="00F13137"/>
    <w:rsid w:val="00F13AA1"/>
    <w:rsid w:val="00F13F2A"/>
    <w:rsid w:val="00F140EC"/>
    <w:rsid w:val="00F15097"/>
    <w:rsid w:val="00F15671"/>
    <w:rsid w:val="00F15DC7"/>
    <w:rsid w:val="00F16695"/>
    <w:rsid w:val="00F202E3"/>
    <w:rsid w:val="00F20C6E"/>
    <w:rsid w:val="00F20D6C"/>
    <w:rsid w:val="00F2242D"/>
    <w:rsid w:val="00F2255F"/>
    <w:rsid w:val="00F225CF"/>
    <w:rsid w:val="00F22882"/>
    <w:rsid w:val="00F22985"/>
    <w:rsid w:val="00F22AEF"/>
    <w:rsid w:val="00F22F7A"/>
    <w:rsid w:val="00F2322E"/>
    <w:rsid w:val="00F2343C"/>
    <w:rsid w:val="00F23CFC"/>
    <w:rsid w:val="00F24076"/>
    <w:rsid w:val="00F240CB"/>
    <w:rsid w:val="00F2492F"/>
    <w:rsid w:val="00F2500D"/>
    <w:rsid w:val="00F256DA"/>
    <w:rsid w:val="00F25742"/>
    <w:rsid w:val="00F2596D"/>
    <w:rsid w:val="00F25CAA"/>
    <w:rsid w:val="00F26AD6"/>
    <w:rsid w:val="00F2711C"/>
    <w:rsid w:val="00F277E8"/>
    <w:rsid w:val="00F27B04"/>
    <w:rsid w:val="00F27E3D"/>
    <w:rsid w:val="00F301D0"/>
    <w:rsid w:val="00F3069F"/>
    <w:rsid w:val="00F30BA9"/>
    <w:rsid w:val="00F30C3F"/>
    <w:rsid w:val="00F30C60"/>
    <w:rsid w:val="00F30EFB"/>
    <w:rsid w:val="00F30F38"/>
    <w:rsid w:val="00F311D1"/>
    <w:rsid w:val="00F3158A"/>
    <w:rsid w:val="00F318DB"/>
    <w:rsid w:val="00F3199C"/>
    <w:rsid w:val="00F31F7D"/>
    <w:rsid w:val="00F32AFF"/>
    <w:rsid w:val="00F33825"/>
    <w:rsid w:val="00F33A8B"/>
    <w:rsid w:val="00F33D3B"/>
    <w:rsid w:val="00F341D4"/>
    <w:rsid w:val="00F34A96"/>
    <w:rsid w:val="00F34EBF"/>
    <w:rsid w:val="00F34F05"/>
    <w:rsid w:val="00F34F85"/>
    <w:rsid w:val="00F353B0"/>
    <w:rsid w:val="00F356D5"/>
    <w:rsid w:val="00F361AE"/>
    <w:rsid w:val="00F36240"/>
    <w:rsid w:val="00F363EB"/>
    <w:rsid w:val="00F365DE"/>
    <w:rsid w:val="00F36764"/>
    <w:rsid w:val="00F367CF"/>
    <w:rsid w:val="00F36D37"/>
    <w:rsid w:val="00F3719A"/>
    <w:rsid w:val="00F379BF"/>
    <w:rsid w:val="00F37EA7"/>
    <w:rsid w:val="00F40805"/>
    <w:rsid w:val="00F40C5E"/>
    <w:rsid w:val="00F40E3E"/>
    <w:rsid w:val="00F4163A"/>
    <w:rsid w:val="00F41873"/>
    <w:rsid w:val="00F419C3"/>
    <w:rsid w:val="00F41D91"/>
    <w:rsid w:val="00F41E2B"/>
    <w:rsid w:val="00F423BE"/>
    <w:rsid w:val="00F424A5"/>
    <w:rsid w:val="00F425EF"/>
    <w:rsid w:val="00F428AC"/>
    <w:rsid w:val="00F42EE3"/>
    <w:rsid w:val="00F43660"/>
    <w:rsid w:val="00F44542"/>
    <w:rsid w:val="00F448DD"/>
    <w:rsid w:val="00F44C5F"/>
    <w:rsid w:val="00F44DB8"/>
    <w:rsid w:val="00F45760"/>
    <w:rsid w:val="00F45925"/>
    <w:rsid w:val="00F46BA6"/>
    <w:rsid w:val="00F46C97"/>
    <w:rsid w:val="00F4703E"/>
    <w:rsid w:val="00F50511"/>
    <w:rsid w:val="00F50781"/>
    <w:rsid w:val="00F50CA3"/>
    <w:rsid w:val="00F517ED"/>
    <w:rsid w:val="00F51F3F"/>
    <w:rsid w:val="00F528B5"/>
    <w:rsid w:val="00F528E7"/>
    <w:rsid w:val="00F52C8A"/>
    <w:rsid w:val="00F53615"/>
    <w:rsid w:val="00F53A91"/>
    <w:rsid w:val="00F54783"/>
    <w:rsid w:val="00F547E9"/>
    <w:rsid w:val="00F5494E"/>
    <w:rsid w:val="00F54ABE"/>
    <w:rsid w:val="00F553D2"/>
    <w:rsid w:val="00F5564F"/>
    <w:rsid w:val="00F55804"/>
    <w:rsid w:val="00F55F1A"/>
    <w:rsid w:val="00F56310"/>
    <w:rsid w:val="00F5684C"/>
    <w:rsid w:val="00F57210"/>
    <w:rsid w:val="00F577FC"/>
    <w:rsid w:val="00F602F0"/>
    <w:rsid w:val="00F6098E"/>
    <w:rsid w:val="00F60C90"/>
    <w:rsid w:val="00F619EE"/>
    <w:rsid w:val="00F61CF5"/>
    <w:rsid w:val="00F61FF9"/>
    <w:rsid w:val="00F62069"/>
    <w:rsid w:val="00F62159"/>
    <w:rsid w:val="00F62A7C"/>
    <w:rsid w:val="00F62B93"/>
    <w:rsid w:val="00F62EC6"/>
    <w:rsid w:val="00F633E5"/>
    <w:rsid w:val="00F63A07"/>
    <w:rsid w:val="00F63C89"/>
    <w:rsid w:val="00F643CA"/>
    <w:rsid w:val="00F647EC"/>
    <w:rsid w:val="00F64D57"/>
    <w:rsid w:val="00F64FAB"/>
    <w:rsid w:val="00F65329"/>
    <w:rsid w:val="00F6546A"/>
    <w:rsid w:val="00F65CEA"/>
    <w:rsid w:val="00F65F15"/>
    <w:rsid w:val="00F66443"/>
    <w:rsid w:val="00F675EA"/>
    <w:rsid w:val="00F67BEB"/>
    <w:rsid w:val="00F7074A"/>
    <w:rsid w:val="00F711A0"/>
    <w:rsid w:val="00F71687"/>
    <w:rsid w:val="00F71708"/>
    <w:rsid w:val="00F717C1"/>
    <w:rsid w:val="00F71AB3"/>
    <w:rsid w:val="00F725D3"/>
    <w:rsid w:val="00F7281E"/>
    <w:rsid w:val="00F72C1A"/>
    <w:rsid w:val="00F72C3D"/>
    <w:rsid w:val="00F73269"/>
    <w:rsid w:val="00F737AB"/>
    <w:rsid w:val="00F74216"/>
    <w:rsid w:val="00F74F0F"/>
    <w:rsid w:val="00F75731"/>
    <w:rsid w:val="00F75841"/>
    <w:rsid w:val="00F76333"/>
    <w:rsid w:val="00F77100"/>
    <w:rsid w:val="00F77C84"/>
    <w:rsid w:val="00F8090F"/>
    <w:rsid w:val="00F8139A"/>
    <w:rsid w:val="00F82AAE"/>
    <w:rsid w:val="00F834BE"/>
    <w:rsid w:val="00F838A9"/>
    <w:rsid w:val="00F849E3"/>
    <w:rsid w:val="00F84B4E"/>
    <w:rsid w:val="00F84C44"/>
    <w:rsid w:val="00F851B7"/>
    <w:rsid w:val="00F8566C"/>
    <w:rsid w:val="00F858D4"/>
    <w:rsid w:val="00F85C65"/>
    <w:rsid w:val="00F860EB"/>
    <w:rsid w:val="00F86268"/>
    <w:rsid w:val="00F868B6"/>
    <w:rsid w:val="00F86968"/>
    <w:rsid w:val="00F86C37"/>
    <w:rsid w:val="00F86E21"/>
    <w:rsid w:val="00F86E42"/>
    <w:rsid w:val="00F86FD9"/>
    <w:rsid w:val="00F876E6"/>
    <w:rsid w:val="00F87825"/>
    <w:rsid w:val="00F87838"/>
    <w:rsid w:val="00F879E8"/>
    <w:rsid w:val="00F87FCE"/>
    <w:rsid w:val="00F9008B"/>
    <w:rsid w:val="00F91669"/>
    <w:rsid w:val="00F9184F"/>
    <w:rsid w:val="00F91943"/>
    <w:rsid w:val="00F92A66"/>
    <w:rsid w:val="00F931CF"/>
    <w:rsid w:val="00F93A31"/>
    <w:rsid w:val="00F93BA1"/>
    <w:rsid w:val="00F93D6E"/>
    <w:rsid w:val="00F9423D"/>
    <w:rsid w:val="00F94609"/>
    <w:rsid w:val="00F95182"/>
    <w:rsid w:val="00F957D2"/>
    <w:rsid w:val="00F95D94"/>
    <w:rsid w:val="00F96F86"/>
    <w:rsid w:val="00F97711"/>
    <w:rsid w:val="00FA02B8"/>
    <w:rsid w:val="00FA0980"/>
    <w:rsid w:val="00FA1028"/>
    <w:rsid w:val="00FA10F7"/>
    <w:rsid w:val="00FA157E"/>
    <w:rsid w:val="00FA181F"/>
    <w:rsid w:val="00FA1C1F"/>
    <w:rsid w:val="00FA1E82"/>
    <w:rsid w:val="00FA2137"/>
    <w:rsid w:val="00FA21B0"/>
    <w:rsid w:val="00FA272D"/>
    <w:rsid w:val="00FA2C40"/>
    <w:rsid w:val="00FA338D"/>
    <w:rsid w:val="00FA34A2"/>
    <w:rsid w:val="00FA3742"/>
    <w:rsid w:val="00FA3837"/>
    <w:rsid w:val="00FA39FC"/>
    <w:rsid w:val="00FA44B4"/>
    <w:rsid w:val="00FA4538"/>
    <w:rsid w:val="00FA486C"/>
    <w:rsid w:val="00FA4998"/>
    <w:rsid w:val="00FA4DC2"/>
    <w:rsid w:val="00FA5EA3"/>
    <w:rsid w:val="00FA67E3"/>
    <w:rsid w:val="00FA7157"/>
    <w:rsid w:val="00FA73A6"/>
    <w:rsid w:val="00FA7698"/>
    <w:rsid w:val="00FA78C2"/>
    <w:rsid w:val="00FA7A2D"/>
    <w:rsid w:val="00FA7B4F"/>
    <w:rsid w:val="00FA7F36"/>
    <w:rsid w:val="00FB06E7"/>
    <w:rsid w:val="00FB06E9"/>
    <w:rsid w:val="00FB0822"/>
    <w:rsid w:val="00FB09AA"/>
    <w:rsid w:val="00FB1093"/>
    <w:rsid w:val="00FB13A0"/>
    <w:rsid w:val="00FB227E"/>
    <w:rsid w:val="00FB267D"/>
    <w:rsid w:val="00FB2A18"/>
    <w:rsid w:val="00FB2BF4"/>
    <w:rsid w:val="00FB2C8D"/>
    <w:rsid w:val="00FB2DC6"/>
    <w:rsid w:val="00FB4FDE"/>
    <w:rsid w:val="00FB507C"/>
    <w:rsid w:val="00FB5E81"/>
    <w:rsid w:val="00FB6E6C"/>
    <w:rsid w:val="00FB71B0"/>
    <w:rsid w:val="00FB7ABA"/>
    <w:rsid w:val="00FB7C21"/>
    <w:rsid w:val="00FB7C46"/>
    <w:rsid w:val="00FC04E0"/>
    <w:rsid w:val="00FC0D98"/>
    <w:rsid w:val="00FC1042"/>
    <w:rsid w:val="00FC11C6"/>
    <w:rsid w:val="00FC17D8"/>
    <w:rsid w:val="00FC279A"/>
    <w:rsid w:val="00FC324D"/>
    <w:rsid w:val="00FC39A1"/>
    <w:rsid w:val="00FC3BC3"/>
    <w:rsid w:val="00FC3E47"/>
    <w:rsid w:val="00FC4B53"/>
    <w:rsid w:val="00FC4BAE"/>
    <w:rsid w:val="00FC5160"/>
    <w:rsid w:val="00FC5A36"/>
    <w:rsid w:val="00FC69CF"/>
    <w:rsid w:val="00FC6B0B"/>
    <w:rsid w:val="00FC713B"/>
    <w:rsid w:val="00FC7862"/>
    <w:rsid w:val="00FC79D5"/>
    <w:rsid w:val="00FC7B35"/>
    <w:rsid w:val="00FC7B53"/>
    <w:rsid w:val="00FD0177"/>
    <w:rsid w:val="00FD051A"/>
    <w:rsid w:val="00FD0AE7"/>
    <w:rsid w:val="00FD0B44"/>
    <w:rsid w:val="00FD0F70"/>
    <w:rsid w:val="00FD2315"/>
    <w:rsid w:val="00FD29A7"/>
    <w:rsid w:val="00FD2B15"/>
    <w:rsid w:val="00FD3092"/>
    <w:rsid w:val="00FD35A1"/>
    <w:rsid w:val="00FD40FC"/>
    <w:rsid w:val="00FD412E"/>
    <w:rsid w:val="00FD420F"/>
    <w:rsid w:val="00FD4F2F"/>
    <w:rsid w:val="00FD51F7"/>
    <w:rsid w:val="00FD5258"/>
    <w:rsid w:val="00FD5602"/>
    <w:rsid w:val="00FD5A2A"/>
    <w:rsid w:val="00FD5AE2"/>
    <w:rsid w:val="00FD62B4"/>
    <w:rsid w:val="00FD7142"/>
    <w:rsid w:val="00FD750F"/>
    <w:rsid w:val="00FE011C"/>
    <w:rsid w:val="00FE07DC"/>
    <w:rsid w:val="00FE1116"/>
    <w:rsid w:val="00FE1E64"/>
    <w:rsid w:val="00FE2075"/>
    <w:rsid w:val="00FE2080"/>
    <w:rsid w:val="00FE2647"/>
    <w:rsid w:val="00FE27B9"/>
    <w:rsid w:val="00FE2E37"/>
    <w:rsid w:val="00FE3156"/>
    <w:rsid w:val="00FE3640"/>
    <w:rsid w:val="00FE3780"/>
    <w:rsid w:val="00FE3954"/>
    <w:rsid w:val="00FE3CF7"/>
    <w:rsid w:val="00FE4071"/>
    <w:rsid w:val="00FE42E3"/>
    <w:rsid w:val="00FE4ECD"/>
    <w:rsid w:val="00FE52B7"/>
    <w:rsid w:val="00FE53C5"/>
    <w:rsid w:val="00FE5807"/>
    <w:rsid w:val="00FE5C39"/>
    <w:rsid w:val="00FE5C57"/>
    <w:rsid w:val="00FE624E"/>
    <w:rsid w:val="00FE6415"/>
    <w:rsid w:val="00FE69E7"/>
    <w:rsid w:val="00FE6BB8"/>
    <w:rsid w:val="00FE6E76"/>
    <w:rsid w:val="00FE79AD"/>
    <w:rsid w:val="00FF027B"/>
    <w:rsid w:val="00FF1174"/>
    <w:rsid w:val="00FF165A"/>
    <w:rsid w:val="00FF1B72"/>
    <w:rsid w:val="00FF1CF1"/>
    <w:rsid w:val="00FF1F4C"/>
    <w:rsid w:val="00FF2654"/>
    <w:rsid w:val="00FF35DC"/>
    <w:rsid w:val="00FF3A6A"/>
    <w:rsid w:val="00FF3C7A"/>
    <w:rsid w:val="00FF3E09"/>
    <w:rsid w:val="00FF411C"/>
    <w:rsid w:val="00FF4B2E"/>
    <w:rsid w:val="00FF4E4B"/>
    <w:rsid w:val="00FF4E4E"/>
    <w:rsid w:val="00FF5049"/>
    <w:rsid w:val="00FF5D1F"/>
    <w:rsid w:val="00FF5F95"/>
    <w:rsid w:val="00FF6126"/>
    <w:rsid w:val="00FF61F5"/>
    <w:rsid w:val="00FF62AA"/>
    <w:rsid w:val="00FF64D7"/>
    <w:rsid w:val="00FF6B6C"/>
    <w:rsid w:val="01395070"/>
    <w:rsid w:val="01420B2A"/>
    <w:rsid w:val="01AA2C10"/>
    <w:rsid w:val="026E2F66"/>
    <w:rsid w:val="02AF31F6"/>
    <w:rsid w:val="02CB76A6"/>
    <w:rsid w:val="02D7201B"/>
    <w:rsid w:val="031071DE"/>
    <w:rsid w:val="035F182D"/>
    <w:rsid w:val="037738D8"/>
    <w:rsid w:val="03874951"/>
    <w:rsid w:val="038C592B"/>
    <w:rsid w:val="03E868D9"/>
    <w:rsid w:val="03EE579D"/>
    <w:rsid w:val="04335DA6"/>
    <w:rsid w:val="04367644"/>
    <w:rsid w:val="046C750A"/>
    <w:rsid w:val="04772B6E"/>
    <w:rsid w:val="047A1CA7"/>
    <w:rsid w:val="04A71780"/>
    <w:rsid w:val="04E70524"/>
    <w:rsid w:val="0528251C"/>
    <w:rsid w:val="053B5D91"/>
    <w:rsid w:val="05A96137"/>
    <w:rsid w:val="05B53FF0"/>
    <w:rsid w:val="05C173E2"/>
    <w:rsid w:val="05D53C72"/>
    <w:rsid w:val="05E717EA"/>
    <w:rsid w:val="05EB2F1E"/>
    <w:rsid w:val="06162FA7"/>
    <w:rsid w:val="06541B35"/>
    <w:rsid w:val="0687461E"/>
    <w:rsid w:val="06D5093D"/>
    <w:rsid w:val="07376758"/>
    <w:rsid w:val="075F0692"/>
    <w:rsid w:val="079F3753"/>
    <w:rsid w:val="07E04497"/>
    <w:rsid w:val="0884149B"/>
    <w:rsid w:val="08954201"/>
    <w:rsid w:val="08A74FB5"/>
    <w:rsid w:val="08CA47FF"/>
    <w:rsid w:val="08D12032"/>
    <w:rsid w:val="08F53B23"/>
    <w:rsid w:val="091447BF"/>
    <w:rsid w:val="091B0162"/>
    <w:rsid w:val="09374D50"/>
    <w:rsid w:val="09664B4B"/>
    <w:rsid w:val="0969441D"/>
    <w:rsid w:val="096F2B24"/>
    <w:rsid w:val="0979602F"/>
    <w:rsid w:val="09861D3A"/>
    <w:rsid w:val="09AF6D77"/>
    <w:rsid w:val="09CE4E98"/>
    <w:rsid w:val="0A070656"/>
    <w:rsid w:val="0A0E18F5"/>
    <w:rsid w:val="0A2251C8"/>
    <w:rsid w:val="0A913ED8"/>
    <w:rsid w:val="0AE25B70"/>
    <w:rsid w:val="0B24171E"/>
    <w:rsid w:val="0B4179BC"/>
    <w:rsid w:val="0B713D43"/>
    <w:rsid w:val="0BB33687"/>
    <w:rsid w:val="0BEB340A"/>
    <w:rsid w:val="0C462DBD"/>
    <w:rsid w:val="0C654B0C"/>
    <w:rsid w:val="0C752556"/>
    <w:rsid w:val="0CAA36E9"/>
    <w:rsid w:val="0CAB4505"/>
    <w:rsid w:val="0CCA6877"/>
    <w:rsid w:val="0D081F34"/>
    <w:rsid w:val="0D0B70B6"/>
    <w:rsid w:val="0D1122FB"/>
    <w:rsid w:val="0D584403"/>
    <w:rsid w:val="0DBA12E6"/>
    <w:rsid w:val="0DDA523F"/>
    <w:rsid w:val="0DF742E8"/>
    <w:rsid w:val="0E3735AF"/>
    <w:rsid w:val="0EA21BDD"/>
    <w:rsid w:val="0EB04E67"/>
    <w:rsid w:val="0EDC1984"/>
    <w:rsid w:val="0F333B7C"/>
    <w:rsid w:val="0F454C2B"/>
    <w:rsid w:val="0F602DE5"/>
    <w:rsid w:val="0F6A0E00"/>
    <w:rsid w:val="0FAA176C"/>
    <w:rsid w:val="101C0A97"/>
    <w:rsid w:val="10763AAB"/>
    <w:rsid w:val="10BF2A42"/>
    <w:rsid w:val="10F67974"/>
    <w:rsid w:val="11063069"/>
    <w:rsid w:val="111761F2"/>
    <w:rsid w:val="112772C7"/>
    <w:rsid w:val="114D740F"/>
    <w:rsid w:val="114F0FB9"/>
    <w:rsid w:val="116353E3"/>
    <w:rsid w:val="116C6D3E"/>
    <w:rsid w:val="117A4141"/>
    <w:rsid w:val="117C7228"/>
    <w:rsid w:val="11B050B7"/>
    <w:rsid w:val="12D6790A"/>
    <w:rsid w:val="12F438A7"/>
    <w:rsid w:val="13050B37"/>
    <w:rsid w:val="133961C3"/>
    <w:rsid w:val="13465603"/>
    <w:rsid w:val="137A3E89"/>
    <w:rsid w:val="138959E3"/>
    <w:rsid w:val="13977E74"/>
    <w:rsid w:val="13D44784"/>
    <w:rsid w:val="14095AB4"/>
    <w:rsid w:val="141B7F51"/>
    <w:rsid w:val="145C15C9"/>
    <w:rsid w:val="146F2C7A"/>
    <w:rsid w:val="149E4992"/>
    <w:rsid w:val="15401848"/>
    <w:rsid w:val="154D2A40"/>
    <w:rsid w:val="154D7150"/>
    <w:rsid w:val="159E5049"/>
    <w:rsid w:val="15A217AD"/>
    <w:rsid w:val="15A7764C"/>
    <w:rsid w:val="15BB2A37"/>
    <w:rsid w:val="15BC1CA8"/>
    <w:rsid w:val="15C026F1"/>
    <w:rsid w:val="162D31F8"/>
    <w:rsid w:val="16695657"/>
    <w:rsid w:val="16A855B4"/>
    <w:rsid w:val="16CD208A"/>
    <w:rsid w:val="17064457"/>
    <w:rsid w:val="176A78D9"/>
    <w:rsid w:val="17871245"/>
    <w:rsid w:val="182B350C"/>
    <w:rsid w:val="183573B4"/>
    <w:rsid w:val="183D5153"/>
    <w:rsid w:val="184E2018"/>
    <w:rsid w:val="189439F5"/>
    <w:rsid w:val="18AC0B7F"/>
    <w:rsid w:val="18B42547"/>
    <w:rsid w:val="18C643E3"/>
    <w:rsid w:val="18F13E8A"/>
    <w:rsid w:val="197F20D9"/>
    <w:rsid w:val="1A442DE9"/>
    <w:rsid w:val="1A807414"/>
    <w:rsid w:val="1A954B1E"/>
    <w:rsid w:val="1AA90718"/>
    <w:rsid w:val="1AC76DF0"/>
    <w:rsid w:val="1B142621"/>
    <w:rsid w:val="1B5508A0"/>
    <w:rsid w:val="1B593EEC"/>
    <w:rsid w:val="1B717A7B"/>
    <w:rsid w:val="1B835C93"/>
    <w:rsid w:val="1BF65BDF"/>
    <w:rsid w:val="1C2105CA"/>
    <w:rsid w:val="1C312DFB"/>
    <w:rsid w:val="1C8804E6"/>
    <w:rsid w:val="1CA17728"/>
    <w:rsid w:val="1D321E13"/>
    <w:rsid w:val="1D37450D"/>
    <w:rsid w:val="1D3764AF"/>
    <w:rsid w:val="1DA141F5"/>
    <w:rsid w:val="1DA208DA"/>
    <w:rsid w:val="1DF113CC"/>
    <w:rsid w:val="1DFE32CC"/>
    <w:rsid w:val="1DFF0438"/>
    <w:rsid w:val="1E292935"/>
    <w:rsid w:val="1E620680"/>
    <w:rsid w:val="1E7E78CD"/>
    <w:rsid w:val="1E8578E7"/>
    <w:rsid w:val="1EF60E9C"/>
    <w:rsid w:val="1F0D6EC2"/>
    <w:rsid w:val="1F462152"/>
    <w:rsid w:val="1F6B6784"/>
    <w:rsid w:val="1F6F696C"/>
    <w:rsid w:val="1FB738D7"/>
    <w:rsid w:val="1FD67A27"/>
    <w:rsid w:val="202F0140"/>
    <w:rsid w:val="20780ECB"/>
    <w:rsid w:val="20DC70AF"/>
    <w:rsid w:val="20FD5366"/>
    <w:rsid w:val="21304B8A"/>
    <w:rsid w:val="21455F84"/>
    <w:rsid w:val="215D400B"/>
    <w:rsid w:val="216D150F"/>
    <w:rsid w:val="21A327EA"/>
    <w:rsid w:val="21B4690D"/>
    <w:rsid w:val="21D60224"/>
    <w:rsid w:val="21DA5A2E"/>
    <w:rsid w:val="21E065EB"/>
    <w:rsid w:val="222A1F83"/>
    <w:rsid w:val="224176AA"/>
    <w:rsid w:val="228C1199"/>
    <w:rsid w:val="23094277"/>
    <w:rsid w:val="235634BB"/>
    <w:rsid w:val="237A26D3"/>
    <w:rsid w:val="239006C7"/>
    <w:rsid w:val="23A20138"/>
    <w:rsid w:val="23A777BF"/>
    <w:rsid w:val="23B10A2C"/>
    <w:rsid w:val="23CC0DA1"/>
    <w:rsid w:val="23DE2964"/>
    <w:rsid w:val="242D24F6"/>
    <w:rsid w:val="24403968"/>
    <w:rsid w:val="24575689"/>
    <w:rsid w:val="24801EBF"/>
    <w:rsid w:val="2489009F"/>
    <w:rsid w:val="24977600"/>
    <w:rsid w:val="25665B84"/>
    <w:rsid w:val="257E58B8"/>
    <w:rsid w:val="25B3069D"/>
    <w:rsid w:val="2634268D"/>
    <w:rsid w:val="263C1B0B"/>
    <w:rsid w:val="26596073"/>
    <w:rsid w:val="2675730D"/>
    <w:rsid w:val="267E1C4B"/>
    <w:rsid w:val="2688125E"/>
    <w:rsid w:val="26AA0F6E"/>
    <w:rsid w:val="26B75F6B"/>
    <w:rsid w:val="26C043F2"/>
    <w:rsid w:val="272F1A96"/>
    <w:rsid w:val="276635DB"/>
    <w:rsid w:val="27AC0841"/>
    <w:rsid w:val="27D52B4D"/>
    <w:rsid w:val="281318C7"/>
    <w:rsid w:val="2848646B"/>
    <w:rsid w:val="287016BC"/>
    <w:rsid w:val="29411A9F"/>
    <w:rsid w:val="29514FC0"/>
    <w:rsid w:val="296C3D60"/>
    <w:rsid w:val="297B0CF7"/>
    <w:rsid w:val="298B472F"/>
    <w:rsid w:val="299D3455"/>
    <w:rsid w:val="29A97CB7"/>
    <w:rsid w:val="29AC5096"/>
    <w:rsid w:val="29C23F6B"/>
    <w:rsid w:val="29C73D0E"/>
    <w:rsid w:val="29D218D6"/>
    <w:rsid w:val="2A1318CD"/>
    <w:rsid w:val="2A23789D"/>
    <w:rsid w:val="2A51423E"/>
    <w:rsid w:val="2A5471D8"/>
    <w:rsid w:val="2A927CFF"/>
    <w:rsid w:val="2AA8279A"/>
    <w:rsid w:val="2AD43590"/>
    <w:rsid w:val="2AFE23BA"/>
    <w:rsid w:val="2B1E0D76"/>
    <w:rsid w:val="2B7F67B7"/>
    <w:rsid w:val="2BA33DE7"/>
    <w:rsid w:val="2BB82D6E"/>
    <w:rsid w:val="2BB94533"/>
    <w:rsid w:val="2BC63A5D"/>
    <w:rsid w:val="2BDF043E"/>
    <w:rsid w:val="2C402863"/>
    <w:rsid w:val="2C4E7B9E"/>
    <w:rsid w:val="2D5B22B0"/>
    <w:rsid w:val="2DBD655D"/>
    <w:rsid w:val="2DCF4B5C"/>
    <w:rsid w:val="2DF425FF"/>
    <w:rsid w:val="2E7A444E"/>
    <w:rsid w:val="2EDA313F"/>
    <w:rsid w:val="2EDD2DD9"/>
    <w:rsid w:val="2EF428FF"/>
    <w:rsid w:val="2EFA61AC"/>
    <w:rsid w:val="2F01691D"/>
    <w:rsid w:val="2F1768E9"/>
    <w:rsid w:val="2F2D5524"/>
    <w:rsid w:val="2F423B36"/>
    <w:rsid w:val="2F5E50A5"/>
    <w:rsid w:val="2F723467"/>
    <w:rsid w:val="2F762E67"/>
    <w:rsid w:val="2FB17977"/>
    <w:rsid w:val="303C762A"/>
    <w:rsid w:val="3121551E"/>
    <w:rsid w:val="3126266B"/>
    <w:rsid w:val="31D077C5"/>
    <w:rsid w:val="32384404"/>
    <w:rsid w:val="32741E39"/>
    <w:rsid w:val="32A02B99"/>
    <w:rsid w:val="32C640F8"/>
    <w:rsid w:val="32FA0D58"/>
    <w:rsid w:val="331309CD"/>
    <w:rsid w:val="33184235"/>
    <w:rsid w:val="33191F77"/>
    <w:rsid w:val="338D4AEA"/>
    <w:rsid w:val="33953ABB"/>
    <w:rsid w:val="33D414D0"/>
    <w:rsid w:val="33DC34B5"/>
    <w:rsid w:val="3443477D"/>
    <w:rsid w:val="349E076A"/>
    <w:rsid w:val="350F4855"/>
    <w:rsid w:val="35310144"/>
    <w:rsid w:val="355F3DA6"/>
    <w:rsid w:val="35CD358A"/>
    <w:rsid w:val="36106216"/>
    <w:rsid w:val="362A09EF"/>
    <w:rsid w:val="362B1AFE"/>
    <w:rsid w:val="36840310"/>
    <w:rsid w:val="369C1105"/>
    <w:rsid w:val="37414671"/>
    <w:rsid w:val="37445691"/>
    <w:rsid w:val="37467D39"/>
    <w:rsid w:val="37914097"/>
    <w:rsid w:val="37DF17C6"/>
    <w:rsid w:val="37F620AF"/>
    <w:rsid w:val="384542BC"/>
    <w:rsid w:val="38537BEB"/>
    <w:rsid w:val="385775AE"/>
    <w:rsid w:val="385F359C"/>
    <w:rsid w:val="38763ED8"/>
    <w:rsid w:val="38DE55D9"/>
    <w:rsid w:val="38F372D7"/>
    <w:rsid w:val="38F41093"/>
    <w:rsid w:val="39047736"/>
    <w:rsid w:val="391B4A7F"/>
    <w:rsid w:val="39AE1450"/>
    <w:rsid w:val="39D339BA"/>
    <w:rsid w:val="3A217306"/>
    <w:rsid w:val="3A23690F"/>
    <w:rsid w:val="3A651A8B"/>
    <w:rsid w:val="3AAB4C39"/>
    <w:rsid w:val="3ABE226B"/>
    <w:rsid w:val="3AF11C2B"/>
    <w:rsid w:val="3AFE1F63"/>
    <w:rsid w:val="3B55332B"/>
    <w:rsid w:val="3B7A2BAD"/>
    <w:rsid w:val="3BA40D5C"/>
    <w:rsid w:val="3BA80B19"/>
    <w:rsid w:val="3C2D767D"/>
    <w:rsid w:val="3C327C29"/>
    <w:rsid w:val="3C4240EC"/>
    <w:rsid w:val="3CA77402"/>
    <w:rsid w:val="3CAC2091"/>
    <w:rsid w:val="3CB46D7D"/>
    <w:rsid w:val="3D6576C6"/>
    <w:rsid w:val="3D8C7CFA"/>
    <w:rsid w:val="3DBA603F"/>
    <w:rsid w:val="3E0A7A9B"/>
    <w:rsid w:val="3E2A73CF"/>
    <w:rsid w:val="3E997760"/>
    <w:rsid w:val="3EA707AB"/>
    <w:rsid w:val="3F3A1FEB"/>
    <w:rsid w:val="3F457DFD"/>
    <w:rsid w:val="3F676329"/>
    <w:rsid w:val="3F7D507B"/>
    <w:rsid w:val="3FB6105E"/>
    <w:rsid w:val="3FE931E1"/>
    <w:rsid w:val="3FF35E0E"/>
    <w:rsid w:val="403D31FE"/>
    <w:rsid w:val="40412D53"/>
    <w:rsid w:val="405F6B9A"/>
    <w:rsid w:val="40677AFF"/>
    <w:rsid w:val="40885740"/>
    <w:rsid w:val="40B37547"/>
    <w:rsid w:val="40F15841"/>
    <w:rsid w:val="40F735A4"/>
    <w:rsid w:val="410C7492"/>
    <w:rsid w:val="416267BD"/>
    <w:rsid w:val="418A09F4"/>
    <w:rsid w:val="41CB5019"/>
    <w:rsid w:val="41D2067E"/>
    <w:rsid w:val="41EA06EE"/>
    <w:rsid w:val="42253D73"/>
    <w:rsid w:val="42310E70"/>
    <w:rsid w:val="423114E4"/>
    <w:rsid w:val="4282229B"/>
    <w:rsid w:val="42AC3137"/>
    <w:rsid w:val="42CE66BF"/>
    <w:rsid w:val="42DB31BF"/>
    <w:rsid w:val="42DC0426"/>
    <w:rsid w:val="435B45D8"/>
    <w:rsid w:val="435F0B20"/>
    <w:rsid w:val="43622E59"/>
    <w:rsid w:val="436E3404"/>
    <w:rsid w:val="43BF32E9"/>
    <w:rsid w:val="43C76649"/>
    <w:rsid w:val="441C3924"/>
    <w:rsid w:val="442F258A"/>
    <w:rsid w:val="447A08AC"/>
    <w:rsid w:val="448764CC"/>
    <w:rsid w:val="448F6C73"/>
    <w:rsid w:val="44B91A5D"/>
    <w:rsid w:val="44D04970"/>
    <w:rsid w:val="44F00B6E"/>
    <w:rsid w:val="44F00C0F"/>
    <w:rsid w:val="452F03D4"/>
    <w:rsid w:val="45552589"/>
    <w:rsid w:val="459A3BBF"/>
    <w:rsid w:val="45A44924"/>
    <w:rsid w:val="45A94CCD"/>
    <w:rsid w:val="45AB2584"/>
    <w:rsid w:val="45CA34CD"/>
    <w:rsid w:val="45D161F1"/>
    <w:rsid w:val="45D65FB6"/>
    <w:rsid w:val="45DE453C"/>
    <w:rsid w:val="45E81387"/>
    <w:rsid w:val="46061C6A"/>
    <w:rsid w:val="46313AD8"/>
    <w:rsid w:val="464F1BEA"/>
    <w:rsid w:val="46B61684"/>
    <w:rsid w:val="46F22B9E"/>
    <w:rsid w:val="475F47AC"/>
    <w:rsid w:val="47727F60"/>
    <w:rsid w:val="47843179"/>
    <w:rsid w:val="479A4CE2"/>
    <w:rsid w:val="47A404A4"/>
    <w:rsid w:val="48193978"/>
    <w:rsid w:val="48815F68"/>
    <w:rsid w:val="488C6CCD"/>
    <w:rsid w:val="48CA3EE7"/>
    <w:rsid w:val="48CE0FD9"/>
    <w:rsid w:val="48D95D67"/>
    <w:rsid w:val="49945FC5"/>
    <w:rsid w:val="49B4660E"/>
    <w:rsid w:val="49EE109C"/>
    <w:rsid w:val="49F7474D"/>
    <w:rsid w:val="4A1951A2"/>
    <w:rsid w:val="4A2719F3"/>
    <w:rsid w:val="4ACF1036"/>
    <w:rsid w:val="4AE07B07"/>
    <w:rsid w:val="4AF875FC"/>
    <w:rsid w:val="4B09506F"/>
    <w:rsid w:val="4B11194E"/>
    <w:rsid w:val="4B7015D1"/>
    <w:rsid w:val="4B736055"/>
    <w:rsid w:val="4C4938FB"/>
    <w:rsid w:val="4C534308"/>
    <w:rsid w:val="4C703000"/>
    <w:rsid w:val="4C9B5863"/>
    <w:rsid w:val="4CE17940"/>
    <w:rsid w:val="4D317F76"/>
    <w:rsid w:val="4D913C5B"/>
    <w:rsid w:val="4E210610"/>
    <w:rsid w:val="4E404914"/>
    <w:rsid w:val="4E6268C7"/>
    <w:rsid w:val="4E6733C9"/>
    <w:rsid w:val="4EAC5711"/>
    <w:rsid w:val="4EB45262"/>
    <w:rsid w:val="4EDA0D8F"/>
    <w:rsid w:val="4EE67213"/>
    <w:rsid w:val="4EF61477"/>
    <w:rsid w:val="4F241C7C"/>
    <w:rsid w:val="4F53319C"/>
    <w:rsid w:val="4F650A82"/>
    <w:rsid w:val="50222A36"/>
    <w:rsid w:val="505C7478"/>
    <w:rsid w:val="50AE7D49"/>
    <w:rsid w:val="51A74466"/>
    <w:rsid w:val="51B2004B"/>
    <w:rsid w:val="51B72381"/>
    <w:rsid w:val="51ED6B61"/>
    <w:rsid w:val="52020133"/>
    <w:rsid w:val="52165867"/>
    <w:rsid w:val="527C2D46"/>
    <w:rsid w:val="5298156C"/>
    <w:rsid w:val="529B6283"/>
    <w:rsid w:val="52F061DD"/>
    <w:rsid w:val="536C276C"/>
    <w:rsid w:val="540811BC"/>
    <w:rsid w:val="543D36A4"/>
    <w:rsid w:val="549F6FA1"/>
    <w:rsid w:val="54A84643"/>
    <w:rsid w:val="54F57C61"/>
    <w:rsid w:val="55075CF5"/>
    <w:rsid w:val="55181FE0"/>
    <w:rsid w:val="55251950"/>
    <w:rsid w:val="55622629"/>
    <w:rsid w:val="55647B26"/>
    <w:rsid w:val="557701D2"/>
    <w:rsid w:val="55CE6CAA"/>
    <w:rsid w:val="55D46F26"/>
    <w:rsid w:val="56286591"/>
    <w:rsid w:val="56576D88"/>
    <w:rsid w:val="565963B2"/>
    <w:rsid w:val="565B47C1"/>
    <w:rsid w:val="56A63783"/>
    <w:rsid w:val="56E75BF1"/>
    <w:rsid w:val="56F869D4"/>
    <w:rsid w:val="57570AA4"/>
    <w:rsid w:val="57F55EB3"/>
    <w:rsid w:val="581E2406"/>
    <w:rsid w:val="583F4BEF"/>
    <w:rsid w:val="58DB6161"/>
    <w:rsid w:val="59400D32"/>
    <w:rsid w:val="59521B84"/>
    <w:rsid w:val="598002BB"/>
    <w:rsid w:val="59A44CDD"/>
    <w:rsid w:val="59DB03B7"/>
    <w:rsid w:val="5A3A2DDD"/>
    <w:rsid w:val="5AA75F4A"/>
    <w:rsid w:val="5AFE3B8D"/>
    <w:rsid w:val="5B081501"/>
    <w:rsid w:val="5B1A33BF"/>
    <w:rsid w:val="5B286E5C"/>
    <w:rsid w:val="5B3340CD"/>
    <w:rsid w:val="5B834092"/>
    <w:rsid w:val="5B93435C"/>
    <w:rsid w:val="5BB46942"/>
    <w:rsid w:val="5BC520ED"/>
    <w:rsid w:val="5BEB7D43"/>
    <w:rsid w:val="5BF136F2"/>
    <w:rsid w:val="5BF14BE0"/>
    <w:rsid w:val="5C115494"/>
    <w:rsid w:val="5C2B3504"/>
    <w:rsid w:val="5C4545A4"/>
    <w:rsid w:val="5C5427FB"/>
    <w:rsid w:val="5C877BB2"/>
    <w:rsid w:val="5C902F0B"/>
    <w:rsid w:val="5CD03307"/>
    <w:rsid w:val="5D11112B"/>
    <w:rsid w:val="5D201747"/>
    <w:rsid w:val="5D5E0913"/>
    <w:rsid w:val="5D787BA9"/>
    <w:rsid w:val="5D933A84"/>
    <w:rsid w:val="5D99435E"/>
    <w:rsid w:val="5DA31D4F"/>
    <w:rsid w:val="5DB46F7F"/>
    <w:rsid w:val="5DF76D59"/>
    <w:rsid w:val="5E415A31"/>
    <w:rsid w:val="5E432A62"/>
    <w:rsid w:val="5E6D09FC"/>
    <w:rsid w:val="5EE06817"/>
    <w:rsid w:val="5FB24197"/>
    <w:rsid w:val="5FB46EA2"/>
    <w:rsid w:val="5FC855F0"/>
    <w:rsid w:val="600357A2"/>
    <w:rsid w:val="601652AE"/>
    <w:rsid w:val="604104A0"/>
    <w:rsid w:val="60447752"/>
    <w:rsid w:val="605D5C3C"/>
    <w:rsid w:val="6065374D"/>
    <w:rsid w:val="607416C1"/>
    <w:rsid w:val="60775581"/>
    <w:rsid w:val="60844B29"/>
    <w:rsid w:val="60956018"/>
    <w:rsid w:val="60AD76E0"/>
    <w:rsid w:val="60CB549C"/>
    <w:rsid w:val="60F2773F"/>
    <w:rsid w:val="610B785E"/>
    <w:rsid w:val="61501C31"/>
    <w:rsid w:val="617943D0"/>
    <w:rsid w:val="61AC3176"/>
    <w:rsid w:val="61B53CEB"/>
    <w:rsid w:val="61B94616"/>
    <w:rsid w:val="61BD2F1C"/>
    <w:rsid w:val="61C3168D"/>
    <w:rsid w:val="61CB6793"/>
    <w:rsid w:val="62186316"/>
    <w:rsid w:val="627005BC"/>
    <w:rsid w:val="628A03FC"/>
    <w:rsid w:val="628B3ACA"/>
    <w:rsid w:val="62966EB6"/>
    <w:rsid w:val="62B279E1"/>
    <w:rsid w:val="62ED0082"/>
    <w:rsid w:val="631411CD"/>
    <w:rsid w:val="636A1E62"/>
    <w:rsid w:val="637A3FCD"/>
    <w:rsid w:val="63A14D89"/>
    <w:rsid w:val="63D842CF"/>
    <w:rsid w:val="63F83144"/>
    <w:rsid w:val="63F846BD"/>
    <w:rsid w:val="642D49C6"/>
    <w:rsid w:val="64441196"/>
    <w:rsid w:val="646978EA"/>
    <w:rsid w:val="64CA5A25"/>
    <w:rsid w:val="651E6CC2"/>
    <w:rsid w:val="654C7BEB"/>
    <w:rsid w:val="65AF48EF"/>
    <w:rsid w:val="65D55283"/>
    <w:rsid w:val="66281968"/>
    <w:rsid w:val="669F5C6A"/>
    <w:rsid w:val="66BB4A29"/>
    <w:rsid w:val="66DF399A"/>
    <w:rsid w:val="67123C38"/>
    <w:rsid w:val="671B5305"/>
    <w:rsid w:val="67A120C8"/>
    <w:rsid w:val="6846341F"/>
    <w:rsid w:val="68464DC5"/>
    <w:rsid w:val="6864130D"/>
    <w:rsid w:val="68881314"/>
    <w:rsid w:val="68C70FC8"/>
    <w:rsid w:val="69086183"/>
    <w:rsid w:val="69236EB5"/>
    <w:rsid w:val="692648EF"/>
    <w:rsid w:val="693B32B0"/>
    <w:rsid w:val="697B1CC3"/>
    <w:rsid w:val="698E07D2"/>
    <w:rsid w:val="699D0A15"/>
    <w:rsid w:val="6A133F43"/>
    <w:rsid w:val="6AB0096F"/>
    <w:rsid w:val="6AB4463E"/>
    <w:rsid w:val="6AE2441C"/>
    <w:rsid w:val="6AEC6EE2"/>
    <w:rsid w:val="6B1F7C72"/>
    <w:rsid w:val="6B241A17"/>
    <w:rsid w:val="6B28556D"/>
    <w:rsid w:val="6B7A2359"/>
    <w:rsid w:val="6BBD3BC6"/>
    <w:rsid w:val="6BC87EFA"/>
    <w:rsid w:val="6C5B4ADD"/>
    <w:rsid w:val="6CC621FB"/>
    <w:rsid w:val="6CEA2DE3"/>
    <w:rsid w:val="6D486AFE"/>
    <w:rsid w:val="6E3C6A8C"/>
    <w:rsid w:val="6E50288F"/>
    <w:rsid w:val="6E9C0F6F"/>
    <w:rsid w:val="6EA470E4"/>
    <w:rsid w:val="6EBA3E7E"/>
    <w:rsid w:val="6EEF3745"/>
    <w:rsid w:val="6F03131A"/>
    <w:rsid w:val="6F983C7A"/>
    <w:rsid w:val="6FA7614A"/>
    <w:rsid w:val="6FA913CD"/>
    <w:rsid w:val="6FC13B19"/>
    <w:rsid w:val="6FC211D5"/>
    <w:rsid w:val="6FC330EA"/>
    <w:rsid w:val="6FC405FF"/>
    <w:rsid w:val="7074549A"/>
    <w:rsid w:val="70750577"/>
    <w:rsid w:val="70950A8D"/>
    <w:rsid w:val="70BB16AE"/>
    <w:rsid w:val="70CE3BAA"/>
    <w:rsid w:val="70D07E72"/>
    <w:rsid w:val="70D477DA"/>
    <w:rsid w:val="7103031A"/>
    <w:rsid w:val="71121F70"/>
    <w:rsid w:val="714101C0"/>
    <w:rsid w:val="71AD7318"/>
    <w:rsid w:val="71C137C8"/>
    <w:rsid w:val="72232841"/>
    <w:rsid w:val="726D70E7"/>
    <w:rsid w:val="7399049F"/>
    <w:rsid w:val="73B952CA"/>
    <w:rsid w:val="73C65986"/>
    <w:rsid w:val="744D5EC9"/>
    <w:rsid w:val="746A3809"/>
    <w:rsid w:val="751706CE"/>
    <w:rsid w:val="75610B49"/>
    <w:rsid w:val="75886886"/>
    <w:rsid w:val="758A3D6D"/>
    <w:rsid w:val="76273C44"/>
    <w:rsid w:val="76275962"/>
    <w:rsid w:val="76697D64"/>
    <w:rsid w:val="76784B5F"/>
    <w:rsid w:val="7685528B"/>
    <w:rsid w:val="76A33C20"/>
    <w:rsid w:val="76C4185A"/>
    <w:rsid w:val="77072458"/>
    <w:rsid w:val="77130EC2"/>
    <w:rsid w:val="77833729"/>
    <w:rsid w:val="77A15EEB"/>
    <w:rsid w:val="77CC74DE"/>
    <w:rsid w:val="783A0EAF"/>
    <w:rsid w:val="78482494"/>
    <w:rsid w:val="78CC1B24"/>
    <w:rsid w:val="78E505A7"/>
    <w:rsid w:val="78EC63AD"/>
    <w:rsid w:val="79821A98"/>
    <w:rsid w:val="79886FAA"/>
    <w:rsid w:val="799D2E66"/>
    <w:rsid w:val="79E65A52"/>
    <w:rsid w:val="7A3538A9"/>
    <w:rsid w:val="7A5A4945"/>
    <w:rsid w:val="7A7C4102"/>
    <w:rsid w:val="7AFE32DE"/>
    <w:rsid w:val="7B0C43B1"/>
    <w:rsid w:val="7B1403CC"/>
    <w:rsid w:val="7B1D7C08"/>
    <w:rsid w:val="7B7C23F0"/>
    <w:rsid w:val="7BA52BBF"/>
    <w:rsid w:val="7C211032"/>
    <w:rsid w:val="7C4472F3"/>
    <w:rsid w:val="7C744EE5"/>
    <w:rsid w:val="7C7536C2"/>
    <w:rsid w:val="7C9C4E59"/>
    <w:rsid w:val="7CC145C3"/>
    <w:rsid w:val="7CE00C42"/>
    <w:rsid w:val="7D4C6582"/>
    <w:rsid w:val="7D6F401F"/>
    <w:rsid w:val="7DFA492C"/>
    <w:rsid w:val="7E1700E3"/>
    <w:rsid w:val="7E434EF6"/>
    <w:rsid w:val="7E477448"/>
    <w:rsid w:val="7E92673D"/>
    <w:rsid w:val="7E9572E5"/>
    <w:rsid w:val="7E9755DB"/>
    <w:rsid w:val="7EA32998"/>
    <w:rsid w:val="7EA55CBC"/>
    <w:rsid w:val="7EC53C21"/>
    <w:rsid w:val="7ED2669B"/>
    <w:rsid w:val="7EE051D4"/>
    <w:rsid w:val="7F04426C"/>
    <w:rsid w:val="7F2D7CE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semiHidden="0"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iPriority="99" w:semiHidden="0" w:name="footnote reference"/>
    <w:lsdException w:qFormat="1" w:uiPriority="0" w:semiHidden="0" w:name="annotation reference"/>
    <w:lsdException w:uiPriority="99" w:name="line number"/>
    <w:lsdException w:qFormat="1" w:unhideWhenUsed="0" w:uiPriority="0" w:semiHidden="0"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99"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59"/>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60"/>
    <w:qFormat/>
    <w:uiPriority w:val="0"/>
    <w:pPr>
      <w:keepNext/>
      <w:keepLines/>
      <w:spacing w:before="260" w:after="260" w:line="416" w:lineRule="auto"/>
      <w:outlineLvl w:val="1"/>
    </w:pPr>
    <w:rPr>
      <w:rFonts w:ascii="Arial" w:hAnsi="Arial" w:eastAsia="黑体"/>
      <w:b/>
      <w:bCs/>
      <w:kern w:val="0"/>
      <w:sz w:val="32"/>
      <w:szCs w:val="32"/>
    </w:rPr>
  </w:style>
  <w:style w:type="paragraph" w:styleId="6">
    <w:name w:val="heading 3"/>
    <w:basedOn w:val="1"/>
    <w:next w:val="1"/>
    <w:link w:val="61"/>
    <w:qFormat/>
    <w:uiPriority w:val="0"/>
    <w:pPr>
      <w:keepNext/>
      <w:keepLines/>
      <w:spacing w:before="260" w:after="260" w:line="416" w:lineRule="auto"/>
      <w:outlineLvl w:val="2"/>
    </w:pPr>
    <w:rPr>
      <w:b/>
      <w:bCs/>
      <w:kern w:val="0"/>
      <w:sz w:val="32"/>
      <w:szCs w:val="32"/>
    </w:rPr>
  </w:style>
  <w:style w:type="paragraph" w:styleId="7">
    <w:name w:val="heading 4"/>
    <w:basedOn w:val="1"/>
    <w:next w:val="1"/>
    <w:qFormat/>
    <w:uiPriority w:val="0"/>
    <w:pPr>
      <w:keepNext/>
      <w:keepLines/>
      <w:spacing w:before="280" w:after="290" w:line="376" w:lineRule="auto"/>
      <w:outlineLvl w:val="3"/>
    </w:pPr>
    <w:rPr>
      <w:rFonts w:ascii="Cambria" w:hAnsi="Cambria"/>
      <w:b/>
      <w:bCs/>
      <w:sz w:val="28"/>
      <w:szCs w:val="28"/>
    </w:rPr>
  </w:style>
  <w:style w:type="paragraph" w:styleId="8">
    <w:name w:val="heading 5"/>
    <w:basedOn w:val="1"/>
    <w:next w:val="9"/>
    <w:link w:val="62"/>
    <w:qFormat/>
    <w:uiPriority w:val="0"/>
    <w:pPr>
      <w:keepNext/>
      <w:keepLines/>
      <w:numPr>
        <w:ilvl w:val="4"/>
        <w:numId w:val="1"/>
      </w:numPr>
      <w:spacing w:before="280" w:after="290" w:line="376" w:lineRule="auto"/>
      <w:outlineLvl w:val="4"/>
    </w:pPr>
    <w:rPr>
      <w:b/>
      <w:sz w:val="28"/>
    </w:rPr>
  </w:style>
  <w:style w:type="paragraph" w:styleId="10">
    <w:name w:val="heading 6"/>
    <w:basedOn w:val="1"/>
    <w:next w:val="9"/>
    <w:link w:val="63"/>
    <w:qFormat/>
    <w:uiPriority w:val="0"/>
    <w:pPr>
      <w:keepNext/>
      <w:keepLines/>
      <w:numPr>
        <w:ilvl w:val="5"/>
        <w:numId w:val="1"/>
      </w:numPr>
      <w:spacing w:before="240" w:after="64" w:line="320" w:lineRule="auto"/>
      <w:outlineLvl w:val="5"/>
    </w:pPr>
    <w:rPr>
      <w:rFonts w:ascii="Arial" w:hAnsi="Arial" w:eastAsia="黑体"/>
      <w:b/>
      <w:sz w:val="24"/>
    </w:rPr>
  </w:style>
  <w:style w:type="paragraph" w:styleId="11">
    <w:name w:val="heading 7"/>
    <w:basedOn w:val="1"/>
    <w:next w:val="9"/>
    <w:link w:val="64"/>
    <w:qFormat/>
    <w:uiPriority w:val="0"/>
    <w:pPr>
      <w:keepNext/>
      <w:keepLines/>
      <w:numPr>
        <w:ilvl w:val="6"/>
        <w:numId w:val="1"/>
      </w:numPr>
      <w:spacing w:before="240" w:after="64" w:line="320" w:lineRule="auto"/>
      <w:outlineLvl w:val="6"/>
    </w:pPr>
    <w:rPr>
      <w:b/>
      <w:sz w:val="24"/>
    </w:rPr>
  </w:style>
  <w:style w:type="paragraph" w:styleId="12">
    <w:name w:val="heading 8"/>
    <w:basedOn w:val="1"/>
    <w:next w:val="9"/>
    <w:link w:val="65"/>
    <w:qFormat/>
    <w:uiPriority w:val="0"/>
    <w:pPr>
      <w:keepNext/>
      <w:keepLines/>
      <w:numPr>
        <w:ilvl w:val="7"/>
        <w:numId w:val="1"/>
      </w:numPr>
      <w:spacing w:before="240" w:after="64" w:line="320" w:lineRule="auto"/>
      <w:outlineLvl w:val="7"/>
    </w:pPr>
    <w:rPr>
      <w:rFonts w:ascii="Arial" w:hAnsi="Arial" w:eastAsia="黑体"/>
      <w:sz w:val="24"/>
    </w:rPr>
  </w:style>
  <w:style w:type="paragraph" w:styleId="13">
    <w:name w:val="heading 9"/>
    <w:basedOn w:val="1"/>
    <w:next w:val="9"/>
    <w:link w:val="66"/>
    <w:qFormat/>
    <w:uiPriority w:val="0"/>
    <w:pPr>
      <w:keepNext/>
      <w:keepLines/>
      <w:numPr>
        <w:ilvl w:val="8"/>
        <w:numId w:val="1"/>
      </w:numPr>
      <w:spacing w:before="240" w:after="64" w:line="320" w:lineRule="auto"/>
      <w:outlineLvl w:val="8"/>
    </w:pPr>
    <w:rPr>
      <w:rFonts w:ascii="Arial" w:hAnsi="Arial" w:eastAsia="黑体"/>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3"/>
    <w:qFormat/>
    <w:uiPriority w:val="99"/>
    <w:pPr>
      <w:spacing w:before="25" w:after="25"/>
      <w:jc w:val="left"/>
    </w:pPr>
    <w:rPr>
      <w:bCs/>
      <w:spacing w:val="10"/>
      <w:sz w:val="24"/>
    </w:rPr>
  </w:style>
  <w:style w:type="paragraph" w:styleId="3">
    <w:name w:val="Body Text Indent"/>
    <w:basedOn w:val="1"/>
    <w:link w:val="70"/>
    <w:qFormat/>
    <w:uiPriority w:val="0"/>
    <w:pPr>
      <w:ind w:firstLine="830" w:firstLineChars="352"/>
    </w:pPr>
    <w:rPr>
      <w:rFonts w:ascii="仿宋_GB2312" w:eastAsia="仿宋_GB2312"/>
      <w:kern w:val="0"/>
      <w:sz w:val="32"/>
      <w:szCs w:val="20"/>
    </w:rPr>
  </w:style>
  <w:style w:type="paragraph" w:styleId="9">
    <w:name w:val="Normal Indent"/>
    <w:basedOn w:val="1"/>
    <w:qFormat/>
    <w:uiPriority w:val="0"/>
    <w:pPr>
      <w:ind w:firstLine="420"/>
    </w:pPr>
    <w:rPr>
      <w:szCs w:val="20"/>
    </w:rPr>
  </w:style>
  <w:style w:type="paragraph" w:styleId="14">
    <w:name w:val="toc 7"/>
    <w:basedOn w:val="1"/>
    <w:next w:val="1"/>
    <w:unhideWhenUsed/>
    <w:qFormat/>
    <w:uiPriority w:val="39"/>
    <w:pPr>
      <w:ind w:left="2520" w:leftChars="1200"/>
    </w:pPr>
    <w:rPr>
      <w:rFonts w:ascii="Calibri" w:hAnsi="Calibri"/>
      <w:szCs w:val="22"/>
    </w:rPr>
  </w:style>
  <w:style w:type="paragraph" w:styleId="15">
    <w:name w:val="index 8"/>
    <w:basedOn w:val="1"/>
    <w:next w:val="1"/>
    <w:qFormat/>
    <w:uiPriority w:val="0"/>
    <w:pPr>
      <w:ind w:left="2940"/>
    </w:pPr>
  </w:style>
  <w:style w:type="paragraph" w:styleId="16">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17">
    <w:name w:val="caption"/>
    <w:basedOn w:val="1"/>
    <w:next w:val="1"/>
    <w:qFormat/>
    <w:uiPriority w:val="0"/>
    <w:pPr>
      <w:spacing w:before="152" w:after="160"/>
    </w:pPr>
    <w:rPr>
      <w:rFonts w:ascii="Arial" w:hAnsi="Arial" w:eastAsia="黑体" w:cs="Arial"/>
      <w:sz w:val="20"/>
      <w:szCs w:val="20"/>
    </w:rPr>
  </w:style>
  <w:style w:type="paragraph" w:styleId="18">
    <w:name w:val="annotation text"/>
    <w:basedOn w:val="1"/>
    <w:link w:val="67"/>
    <w:unhideWhenUsed/>
    <w:qFormat/>
    <w:uiPriority w:val="0"/>
    <w:pPr>
      <w:jc w:val="left"/>
    </w:pPr>
  </w:style>
  <w:style w:type="paragraph" w:styleId="19">
    <w:name w:val="Body Text 3"/>
    <w:basedOn w:val="1"/>
    <w:link w:val="68"/>
    <w:qFormat/>
    <w:uiPriority w:val="0"/>
    <w:pPr>
      <w:spacing w:line="500" w:lineRule="exact"/>
    </w:pPr>
    <w:rPr>
      <w:b/>
      <w:bCs/>
      <w:kern w:val="0"/>
      <w:sz w:val="24"/>
    </w:rPr>
  </w:style>
  <w:style w:type="paragraph" w:styleId="20">
    <w:name w:val="Body Text"/>
    <w:basedOn w:val="1"/>
    <w:next w:val="21"/>
    <w:link w:val="69"/>
    <w:qFormat/>
    <w:uiPriority w:val="99"/>
    <w:pPr>
      <w:spacing w:line="380" w:lineRule="exact"/>
    </w:pPr>
    <w:rPr>
      <w:kern w:val="0"/>
      <w:sz w:val="24"/>
    </w:rPr>
  </w:style>
  <w:style w:type="paragraph" w:styleId="21">
    <w:name w:val="Body Text First Indent"/>
    <w:basedOn w:val="20"/>
    <w:next w:val="1"/>
    <w:qFormat/>
    <w:uiPriority w:val="99"/>
    <w:pPr>
      <w:ind w:firstLine="420"/>
    </w:pPr>
    <w:rPr>
      <w:rFonts w:ascii="Arial" w:hAnsi="Arial"/>
    </w:rPr>
  </w:style>
  <w:style w:type="paragraph" w:styleId="22">
    <w:name w:val="List Number 3"/>
    <w:basedOn w:val="1"/>
    <w:qFormat/>
    <w:uiPriority w:val="0"/>
    <w:pPr>
      <w:numPr>
        <w:ilvl w:val="0"/>
        <w:numId w:val="2"/>
      </w:numPr>
    </w:pPr>
  </w:style>
  <w:style w:type="paragraph" w:styleId="23">
    <w:name w:val="List 2"/>
    <w:basedOn w:val="1"/>
    <w:qFormat/>
    <w:uiPriority w:val="0"/>
    <w:pPr>
      <w:ind w:left="100" w:leftChars="200" w:hanging="200" w:hangingChars="200"/>
    </w:pPr>
    <w:rPr>
      <w:sz w:val="28"/>
    </w:rPr>
  </w:style>
  <w:style w:type="paragraph" w:styleId="24">
    <w:name w:val="toc 5"/>
    <w:basedOn w:val="1"/>
    <w:next w:val="1"/>
    <w:unhideWhenUsed/>
    <w:qFormat/>
    <w:uiPriority w:val="39"/>
    <w:pPr>
      <w:ind w:left="1680" w:leftChars="800"/>
    </w:pPr>
    <w:rPr>
      <w:rFonts w:ascii="Calibri" w:hAnsi="Calibri"/>
      <w:szCs w:val="22"/>
    </w:rPr>
  </w:style>
  <w:style w:type="paragraph" w:styleId="25">
    <w:name w:val="toc 3"/>
    <w:basedOn w:val="1"/>
    <w:next w:val="1"/>
    <w:unhideWhenUsed/>
    <w:qFormat/>
    <w:uiPriority w:val="39"/>
    <w:pPr>
      <w:ind w:left="840" w:leftChars="400"/>
    </w:pPr>
    <w:rPr>
      <w:rFonts w:ascii="Calibri" w:hAnsi="Calibri"/>
      <w:szCs w:val="22"/>
    </w:rPr>
  </w:style>
  <w:style w:type="paragraph" w:styleId="26">
    <w:name w:val="Plain Text"/>
    <w:basedOn w:val="1"/>
    <w:next w:val="15"/>
    <w:link w:val="71"/>
    <w:qFormat/>
    <w:uiPriority w:val="0"/>
    <w:rPr>
      <w:rFonts w:ascii="宋体" w:hAnsi="Courier New"/>
      <w:kern w:val="0"/>
      <w:sz w:val="20"/>
      <w:szCs w:val="21"/>
    </w:rPr>
  </w:style>
  <w:style w:type="paragraph" w:styleId="27">
    <w:name w:val="toc 8"/>
    <w:basedOn w:val="1"/>
    <w:next w:val="1"/>
    <w:unhideWhenUsed/>
    <w:qFormat/>
    <w:uiPriority w:val="39"/>
    <w:pPr>
      <w:ind w:left="2940" w:leftChars="1400"/>
    </w:pPr>
    <w:rPr>
      <w:rFonts w:ascii="Calibri" w:hAnsi="Calibri"/>
      <w:szCs w:val="22"/>
    </w:rPr>
  </w:style>
  <w:style w:type="paragraph" w:styleId="28">
    <w:name w:val="Date"/>
    <w:basedOn w:val="1"/>
    <w:next w:val="1"/>
    <w:link w:val="72"/>
    <w:qFormat/>
    <w:uiPriority w:val="0"/>
    <w:pPr>
      <w:ind w:left="100" w:leftChars="2500"/>
    </w:pPr>
    <w:rPr>
      <w:rFonts w:ascii="宋体" w:hAnsi="Courier New"/>
      <w:kern w:val="0"/>
      <w:sz w:val="20"/>
      <w:szCs w:val="21"/>
    </w:rPr>
  </w:style>
  <w:style w:type="paragraph" w:styleId="29">
    <w:name w:val="Body Text Indent 2"/>
    <w:basedOn w:val="1"/>
    <w:link w:val="73"/>
    <w:qFormat/>
    <w:uiPriority w:val="0"/>
    <w:pPr>
      <w:ind w:firstLine="630"/>
    </w:pPr>
    <w:rPr>
      <w:kern w:val="0"/>
      <w:sz w:val="32"/>
      <w:szCs w:val="20"/>
    </w:rPr>
  </w:style>
  <w:style w:type="paragraph" w:styleId="30">
    <w:name w:val="endnote text"/>
    <w:basedOn w:val="1"/>
    <w:link w:val="74"/>
    <w:unhideWhenUsed/>
    <w:qFormat/>
    <w:uiPriority w:val="99"/>
    <w:pPr>
      <w:snapToGrid w:val="0"/>
      <w:jc w:val="left"/>
    </w:pPr>
  </w:style>
  <w:style w:type="paragraph" w:styleId="31">
    <w:name w:val="Balloon Text"/>
    <w:basedOn w:val="1"/>
    <w:link w:val="75"/>
    <w:semiHidden/>
    <w:qFormat/>
    <w:uiPriority w:val="0"/>
    <w:rPr>
      <w:kern w:val="0"/>
      <w:sz w:val="18"/>
      <w:szCs w:val="18"/>
    </w:rPr>
  </w:style>
  <w:style w:type="paragraph" w:styleId="32">
    <w:name w:val="footer"/>
    <w:basedOn w:val="1"/>
    <w:next w:val="1"/>
    <w:link w:val="76"/>
    <w:unhideWhenUsed/>
    <w:qFormat/>
    <w:uiPriority w:val="99"/>
    <w:pPr>
      <w:tabs>
        <w:tab w:val="center" w:pos="4153"/>
        <w:tab w:val="right" w:pos="8306"/>
      </w:tabs>
      <w:snapToGrid w:val="0"/>
      <w:jc w:val="left"/>
    </w:pPr>
    <w:rPr>
      <w:kern w:val="0"/>
      <w:sz w:val="18"/>
      <w:szCs w:val="18"/>
    </w:rPr>
  </w:style>
  <w:style w:type="paragraph" w:styleId="33">
    <w:name w:val="header"/>
    <w:basedOn w:val="1"/>
    <w:link w:val="77"/>
    <w:unhideWhenUsed/>
    <w:qFormat/>
    <w:uiPriority w:val="99"/>
    <w:pPr>
      <w:pBdr>
        <w:bottom w:val="single" w:color="auto" w:sz="6" w:space="1"/>
      </w:pBdr>
      <w:tabs>
        <w:tab w:val="center" w:pos="0"/>
        <w:tab w:val="left" w:pos="8306"/>
      </w:tabs>
      <w:snapToGrid w:val="0"/>
      <w:jc w:val="center"/>
    </w:pPr>
    <w:rPr>
      <w:sz w:val="18"/>
      <w:szCs w:val="18"/>
    </w:rPr>
  </w:style>
  <w:style w:type="paragraph" w:styleId="34">
    <w:name w:val="toc 1"/>
    <w:basedOn w:val="1"/>
    <w:next w:val="1"/>
    <w:qFormat/>
    <w:uiPriority w:val="39"/>
    <w:pPr>
      <w:tabs>
        <w:tab w:val="right" w:leader="dot" w:pos="8398"/>
      </w:tabs>
      <w:spacing w:before="120" w:after="120"/>
      <w:ind w:firstLine="240" w:firstLineChars="100"/>
      <w:jc w:val="left"/>
    </w:pPr>
    <w:rPr>
      <w:rFonts w:ascii="宋体" w:hAnsi="宋体"/>
      <w:b/>
      <w:bCs/>
      <w:caps/>
      <w:sz w:val="24"/>
    </w:rPr>
  </w:style>
  <w:style w:type="paragraph" w:styleId="35">
    <w:name w:val="toc 4"/>
    <w:basedOn w:val="1"/>
    <w:next w:val="1"/>
    <w:unhideWhenUsed/>
    <w:qFormat/>
    <w:uiPriority w:val="39"/>
    <w:pPr>
      <w:ind w:left="1260" w:leftChars="600"/>
    </w:pPr>
    <w:rPr>
      <w:rFonts w:ascii="Calibri" w:hAnsi="Calibri"/>
      <w:szCs w:val="22"/>
    </w:rPr>
  </w:style>
  <w:style w:type="paragraph" w:styleId="36">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37">
    <w:name w:val="List"/>
    <w:basedOn w:val="1"/>
    <w:qFormat/>
    <w:uiPriority w:val="0"/>
    <w:pPr>
      <w:ind w:left="200" w:hanging="200" w:hangingChars="200"/>
    </w:pPr>
    <w:rPr>
      <w:sz w:val="28"/>
    </w:rPr>
  </w:style>
  <w:style w:type="paragraph" w:styleId="38">
    <w:name w:val="footnote text"/>
    <w:basedOn w:val="1"/>
    <w:link w:val="78"/>
    <w:unhideWhenUsed/>
    <w:qFormat/>
    <w:uiPriority w:val="99"/>
    <w:pPr>
      <w:snapToGrid w:val="0"/>
      <w:jc w:val="left"/>
    </w:pPr>
    <w:rPr>
      <w:sz w:val="18"/>
      <w:szCs w:val="18"/>
    </w:rPr>
  </w:style>
  <w:style w:type="paragraph" w:styleId="39">
    <w:name w:val="toc 6"/>
    <w:basedOn w:val="1"/>
    <w:next w:val="1"/>
    <w:unhideWhenUsed/>
    <w:qFormat/>
    <w:uiPriority w:val="39"/>
    <w:pPr>
      <w:ind w:left="2100" w:leftChars="1000"/>
    </w:pPr>
    <w:rPr>
      <w:rFonts w:ascii="Calibri" w:hAnsi="Calibri"/>
      <w:szCs w:val="22"/>
    </w:rPr>
  </w:style>
  <w:style w:type="paragraph" w:styleId="40">
    <w:name w:val="Body Text Indent 3"/>
    <w:basedOn w:val="1"/>
    <w:link w:val="79"/>
    <w:qFormat/>
    <w:uiPriority w:val="0"/>
    <w:pPr>
      <w:spacing w:after="120"/>
      <w:ind w:left="420" w:leftChars="200"/>
    </w:pPr>
    <w:rPr>
      <w:kern w:val="0"/>
      <w:sz w:val="16"/>
      <w:szCs w:val="16"/>
    </w:rPr>
  </w:style>
  <w:style w:type="paragraph" w:styleId="41">
    <w:name w:val="toc 2"/>
    <w:basedOn w:val="1"/>
    <w:next w:val="1"/>
    <w:unhideWhenUsed/>
    <w:qFormat/>
    <w:uiPriority w:val="39"/>
    <w:pPr>
      <w:ind w:left="420" w:leftChars="200"/>
    </w:pPr>
  </w:style>
  <w:style w:type="paragraph" w:styleId="42">
    <w:name w:val="toc 9"/>
    <w:basedOn w:val="1"/>
    <w:next w:val="1"/>
    <w:unhideWhenUsed/>
    <w:qFormat/>
    <w:uiPriority w:val="39"/>
    <w:pPr>
      <w:ind w:left="3360" w:leftChars="1600"/>
    </w:pPr>
    <w:rPr>
      <w:rFonts w:ascii="Calibri" w:hAnsi="Calibri"/>
      <w:szCs w:val="22"/>
    </w:rPr>
  </w:style>
  <w:style w:type="paragraph" w:styleId="43">
    <w:name w:val="Body Text 2"/>
    <w:basedOn w:val="1"/>
    <w:link w:val="80"/>
    <w:qFormat/>
    <w:uiPriority w:val="0"/>
    <w:pPr>
      <w:spacing w:after="120" w:line="480" w:lineRule="auto"/>
    </w:pPr>
    <w:rPr>
      <w:kern w:val="0"/>
      <w:sz w:val="20"/>
    </w:rPr>
  </w:style>
  <w:style w:type="paragraph" w:styleId="44">
    <w:name w:val="Normal (Web)"/>
    <w:basedOn w:val="1"/>
    <w:qFormat/>
    <w:uiPriority w:val="99"/>
    <w:pPr>
      <w:widowControl/>
      <w:spacing w:before="100" w:beforeAutospacing="1" w:after="100" w:afterAutospacing="1"/>
      <w:jc w:val="left"/>
    </w:pPr>
    <w:rPr>
      <w:rFonts w:ascii="宋体" w:hAnsi="宋体"/>
      <w:kern w:val="0"/>
      <w:sz w:val="24"/>
    </w:rPr>
  </w:style>
  <w:style w:type="paragraph" w:styleId="45">
    <w:name w:val="index 1"/>
    <w:basedOn w:val="1"/>
    <w:next w:val="1"/>
    <w:semiHidden/>
    <w:qFormat/>
    <w:uiPriority w:val="0"/>
    <w:pPr>
      <w:spacing w:line="400" w:lineRule="exact"/>
      <w:ind w:firstLine="420" w:firstLineChars="200"/>
    </w:pPr>
    <w:rPr>
      <w:rFonts w:ascii="宋体" w:hAnsi="Courier New"/>
      <w:b/>
      <w:szCs w:val="20"/>
    </w:rPr>
  </w:style>
  <w:style w:type="paragraph" w:styleId="46">
    <w:name w:val="Title"/>
    <w:basedOn w:val="1"/>
    <w:next w:val="1"/>
    <w:link w:val="81"/>
    <w:qFormat/>
    <w:uiPriority w:val="10"/>
    <w:pPr>
      <w:spacing w:before="240" w:after="60"/>
      <w:jc w:val="center"/>
      <w:outlineLvl w:val="0"/>
    </w:pPr>
    <w:rPr>
      <w:rFonts w:ascii="Cambria" w:hAnsi="Cambria"/>
      <w:b/>
      <w:bCs/>
      <w:sz w:val="32"/>
      <w:szCs w:val="32"/>
    </w:rPr>
  </w:style>
  <w:style w:type="paragraph" w:styleId="47">
    <w:name w:val="annotation subject"/>
    <w:basedOn w:val="18"/>
    <w:next w:val="18"/>
    <w:link w:val="82"/>
    <w:unhideWhenUsed/>
    <w:qFormat/>
    <w:uiPriority w:val="99"/>
    <w:rPr>
      <w:b/>
      <w:bCs/>
    </w:rPr>
  </w:style>
  <w:style w:type="table" w:styleId="49">
    <w:name w:val="Table Grid"/>
    <w:basedOn w:val="4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1">
    <w:name w:val="endnote reference"/>
    <w:unhideWhenUsed/>
    <w:qFormat/>
    <w:uiPriority w:val="99"/>
    <w:rPr>
      <w:vertAlign w:val="superscript"/>
    </w:rPr>
  </w:style>
  <w:style w:type="character" w:styleId="52">
    <w:name w:val="page number"/>
    <w:qFormat/>
    <w:uiPriority w:val="0"/>
  </w:style>
  <w:style w:type="character" w:styleId="53">
    <w:name w:val="FollowedHyperlink"/>
    <w:qFormat/>
    <w:uiPriority w:val="0"/>
    <w:rPr>
      <w:color w:val="800080"/>
      <w:u w:val="single"/>
    </w:rPr>
  </w:style>
  <w:style w:type="character" w:styleId="54">
    <w:name w:val="Hyperlink"/>
    <w:qFormat/>
    <w:uiPriority w:val="99"/>
    <w:rPr>
      <w:color w:val="0000FF"/>
      <w:u w:val="single"/>
    </w:rPr>
  </w:style>
  <w:style w:type="character" w:styleId="55">
    <w:name w:val="annotation reference"/>
    <w:unhideWhenUsed/>
    <w:qFormat/>
    <w:uiPriority w:val="0"/>
    <w:rPr>
      <w:sz w:val="21"/>
      <w:szCs w:val="21"/>
    </w:rPr>
  </w:style>
  <w:style w:type="character" w:styleId="56">
    <w:name w:val="footnote reference"/>
    <w:unhideWhenUsed/>
    <w:qFormat/>
    <w:uiPriority w:val="99"/>
    <w:rPr>
      <w:vertAlign w:val="superscript"/>
    </w:rPr>
  </w:style>
  <w:style w:type="paragraph" w:customStyle="1" w:styleId="57">
    <w:name w:val="目录 82"/>
    <w:next w:val="1"/>
    <w:qFormat/>
    <w:uiPriority w:val="0"/>
    <w:pPr>
      <w:wordWrap w:val="0"/>
      <w:ind w:left="2550"/>
      <w:jc w:val="both"/>
    </w:pPr>
    <w:rPr>
      <w:rFonts w:hint="eastAsia" w:ascii="Times New Roman" w:hAnsi="Times New Roman" w:eastAsia="Times New Roman" w:cs="Times New Roman"/>
      <w:sz w:val="21"/>
      <w:lang w:val="en-US" w:eastAsia="zh-CN" w:bidi="ar-SA"/>
    </w:rPr>
  </w:style>
  <w:style w:type="paragraph" w:customStyle="1" w:styleId="58">
    <w:name w:val="UserStyle_0"/>
    <w:basedOn w:val="1"/>
    <w:qFormat/>
    <w:uiPriority w:val="0"/>
    <w:pPr>
      <w:jc w:val="left"/>
      <w:textAlignment w:val="baseline"/>
    </w:pPr>
    <w:rPr>
      <w:rFonts w:ascii="楷体_GB2312" w:hAnsi="宋体" w:eastAsia="楷体_GB2312"/>
      <w:color w:val="000000"/>
      <w:sz w:val="24"/>
    </w:rPr>
  </w:style>
  <w:style w:type="character" w:customStyle="1" w:styleId="59">
    <w:name w:val="标题 1 Char"/>
    <w:link w:val="4"/>
    <w:qFormat/>
    <w:uiPriority w:val="0"/>
    <w:rPr>
      <w:rFonts w:ascii="Times New Roman" w:hAnsi="Times New Roman" w:eastAsia="宋体" w:cs="Times New Roman"/>
      <w:b/>
      <w:bCs/>
      <w:kern w:val="44"/>
      <w:sz w:val="44"/>
      <w:szCs w:val="44"/>
    </w:rPr>
  </w:style>
  <w:style w:type="character" w:customStyle="1" w:styleId="60">
    <w:name w:val="标题 2 Char"/>
    <w:link w:val="5"/>
    <w:qFormat/>
    <w:uiPriority w:val="0"/>
    <w:rPr>
      <w:rFonts w:ascii="Arial" w:hAnsi="Arial" w:eastAsia="黑体" w:cs="Times New Roman"/>
      <w:b/>
      <w:bCs/>
      <w:sz w:val="32"/>
      <w:szCs w:val="32"/>
    </w:rPr>
  </w:style>
  <w:style w:type="character" w:customStyle="1" w:styleId="61">
    <w:name w:val="标题 3 Char"/>
    <w:link w:val="6"/>
    <w:qFormat/>
    <w:uiPriority w:val="0"/>
    <w:rPr>
      <w:rFonts w:ascii="Times New Roman" w:hAnsi="Times New Roman" w:eastAsia="宋体" w:cs="Times New Roman"/>
      <w:b/>
      <w:bCs/>
      <w:sz w:val="32"/>
      <w:szCs w:val="32"/>
    </w:rPr>
  </w:style>
  <w:style w:type="character" w:customStyle="1" w:styleId="62">
    <w:name w:val="标题 5 Char2"/>
    <w:link w:val="8"/>
    <w:qFormat/>
    <w:uiPriority w:val="0"/>
    <w:rPr>
      <w:b/>
      <w:kern w:val="2"/>
      <w:sz w:val="28"/>
      <w:szCs w:val="24"/>
    </w:rPr>
  </w:style>
  <w:style w:type="character" w:customStyle="1" w:styleId="63">
    <w:name w:val="标题 6 Char"/>
    <w:link w:val="10"/>
    <w:qFormat/>
    <w:uiPriority w:val="0"/>
    <w:rPr>
      <w:rFonts w:ascii="Arial" w:hAnsi="Arial" w:eastAsia="黑体"/>
      <w:b/>
      <w:kern w:val="2"/>
      <w:sz w:val="24"/>
      <w:szCs w:val="24"/>
    </w:rPr>
  </w:style>
  <w:style w:type="character" w:customStyle="1" w:styleId="64">
    <w:name w:val="标题 7 Char"/>
    <w:link w:val="11"/>
    <w:qFormat/>
    <w:uiPriority w:val="0"/>
    <w:rPr>
      <w:rFonts w:ascii="Times New Roman" w:hAnsi="Times New Roman"/>
      <w:b/>
      <w:kern w:val="2"/>
      <w:sz w:val="24"/>
      <w:szCs w:val="24"/>
    </w:rPr>
  </w:style>
  <w:style w:type="character" w:customStyle="1" w:styleId="65">
    <w:name w:val="标题 8 Char"/>
    <w:link w:val="12"/>
    <w:qFormat/>
    <w:uiPriority w:val="0"/>
    <w:rPr>
      <w:rFonts w:ascii="Arial" w:hAnsi="Arial" w:eastAsia="黑体"/>
      <w:kern w:val="2"/>
      <w:sz w:val="24"/>
      <w:szCs w:val="24"/>
    </w:rPr>
  </w:style>
  <w:style w:type="character" w:customStyle="1" w:styleId="66">
    <w:name w:val="标题 9 Char"/>
    <w:link w:val="13"/>
    <w:qFormat/>
    <w:uiPriority w:val="0"/>
    <w:rPr>
      <w:rFonts w:ascii="Arial" w:hAnsi="Arial" w:eastAsia="黑体"/>
      <w:kern w:val="2"/>
      <w:sz w:val="21"/>
      <w:szCs w:val="24"/>
    </w:rPr>
  </w:style>
  <w:style w:type="character" w:customStyle="1" w:styleId="67">
    <w:name w:val="批注文字 Char2"/>
    <w:link w:val="18"/>
    <w:qFormat/>
    <w:uiPriority w:val="0"/>
    <w:rPr>
      <w:rFonts w:ascii="Times New Roman" w:hAnsi="Times New Roman"/>
      <w:kern w:val="2"/>
      <w:sz w:val="21"/>
      <w:szCs w:val="24"/>
    </w:rPr>
  </w:style>
  <w:style w:type="character" w:customStyle="1" w:styleId="68">
    <w:name w:val="正文文本 3 Char"/>
    <w:link w:val="19"/>
    <w:qFormat/>
    <w:uiPriority w:val="0"/>
    <w:rPr>
      <w:rFonts w:ascii="Times New Roman" w:hAnsi="Times New Roman" w:eastAsia="宋体" w:cs="Times New Roman"/>
      <w:b/>
      <w:bCs/>
      <w:sz w:val="24"/>
      <w:szCs w:val="24"/>
    </w:rPr>
  </w:style>
  <w:style w:type="character" w:customStyle="1" w:styleId="69">
    <w:name w:val="正文文本 Char"/>
    <w:link w:val="20"/>
    <w:qFormat/>
    <w:uiPriority w:val="99"/>
    <w:rPr>
      <w:rFonts w:ascii="Times New Roman" w:hAnsi="Times New Roman" w:eastAsia="宋体" w:cs="Times New Roman"/>
      <w:sz w:val="24"/>
      <w:szCs w:val="24"/>
    </w:rPr>
  </w:style>
  <w:style w:type="character" w:customStyle="1" w:styleId="70">
    <w:name w:val="正文文本缩进 Char"/>
    <w:link w:val="3"/>
    <w:qFormat/>
    <w:uiPriority w:val="0"/>
    <w:rPr>
      <w:rFonts w:ascii="仿宋_GB2312" w:hAnsi="Times New Roman" w:eastAsia="仿宋_GB2312" w:cs="Times New Roman"/>
      <w:sz w:val="32"/>
      <w:szCs w:val="20"/>
    </w:rPr>
  </w:style>
  <w:style w:type="character" w:customStyle="1" w:styleId="71">
    <w:name w:val="纯文本 Char2"/>
    <w:link w:val="26"/>
    <w:qFormat/>
    <w:uiPriority w:val="0"/>
    <w:rPr>
      <w:rFonts w:ascii="宋体" w:hAnsi="Courier New" w:eastAsia="宋体" w:cs="Courier New"/>
      <w:szCs w:val="21"/>
    </w:rPr>
  </w:style>
  <w:style w:type="character" w:customStyle="1" w:styleId="72">
    <w:name w:val="日期 Char"/>
    <w:link w:val="28"/>
    <w:qFormat/>
    <w:uiPriority w:val="0"/>
    <w:rPr>
      <w:rFonts w:ascii="宋体" w:hAnsi="Courier New" w:eastAsia="宋体" w:cs="Courier New"/>
      <w:szCs w:val="21"/>
    </w:rPr>
  </w:style>
  <w:style w:type="character" w:customStyle="1" w:styleId="73">
    <w:name w:val="正文文本缩进 2 Char"/>
    <w:link w:val="29"/>
    <w:qFormat/>
    <w:uiPriority w:val="0"/>
    <w:rPr>
      <w:rFonts w:ascii="Times New Roman" w:hAnsi="Times New Roman" w:eastAsia="宋体" w:cs="Times New Roman"/>
      <w:sz w:val="32"/>
      <w:szCs w:val="20"/>
    </w:rPr>
  </w:style>
  <w:style w:type="character" w:customStyle="1" w:styleId="74">
    <w:name w:val="尾注文本 Char"/>
    <w:link w:val="30"/>
    <w:semiHidden/>
    <w:qFormat/>
    <w:uiPriority w:val="99"/>
    <w:rPr>
      <w:rFonts w:ascii="Times New Roman" w:hAnsi="Times New Roman"/>
      <w:kern w:val="2"/>
      <w:sz w:val="21"/>
      <w:szCs w:val="24"/>
    </w:rPr>
  </w:style>
  <w:style w:type="character" w:customStyle="1" w:styleId="75">
    <w:name w:val="批注框文本 Char"/>
    <w:link w:val="31"/>
    <w:semiHidden/>
    <w:qFormat/>
    <w:uiPriority w:val="0"/>
    <w:rPr>
      <w:rFonts w:ascii="Times New Roman" w:hAnsi="Times New Roman" w:eastAsia="宋体" w:cs="Times New Roman"/>
      <w:sz w:val="18"/>
      <w:szCs w:val="18"/>
    </w:rPr>
  </w:style>
  <w:style w:type="character" w:customStyle="1" w:styleId="76">
    <w:name w:val="页脚 Char"/>
    <w:link w:val="32"/>
    <w:qFormat/>
    <w:uiPriority w:val="99"/>
    <w:rPr>
      <w:sz w:val="18"/>
      <w:szCs w:val="18"/>
    </w:rPr>
  </w:style>
  <w:style w:type="character" w:customStyle="1" w:styleId="77">
    <w:name w:val="页眉 Char"/>
    <w:link w:val="33"/>
    <w:qFormat/>
    <w:uiPriority w:val="99"/>
    <w:rPr>
      <w:rFonts w:ascii="Times New Roman" w:hAnsi="Times New Roman"/>
      <w:kern w:val="2"/>
      <w:sz w:val="18"/>
      <w:szCs w:val="18"/>
    </w:rPr>
  </w:style>
  <w:style w:type="character" w:customStyle="1" w:styleId="78">
    <w:name w:val="脚注文本 Char"/>
    <w:link w:val="38"/>
    <w:semiHidden/>
    <w:qFormat/>
    <w:uiPriority w:val="99"/>
    <w:rPr>
      <w:rFonts w:ascii="Times New Roman" w:hAnsi="Times New Roman"/>
      <w:kern w:val="2"/>
      <w:sz w:val="18"/>
      <w:szCs w:val="18"/>
    </w:rPr>
  </w:style>
  <w:style w:type="character" w:customStyle="1" w:styleId="79">
    <w:name w:val="正文文本缩进 3 Char"/>
    <w:link w:val="40"/>
    <w:qFormat/>
    <w:uiPriority w:val="0"/>
    <w:rPr>
      <w:rFonts w:ascii="Times New Roman" w:hAnsi="Times New Roman" w:eastAsia="宋体" w:cs="Times New Roman"/>
      <w:sz w:val="16"/>
      <w:szCs w:val="16"/>
    </w:rPr>
  </w:style>
  <w:style w:type="character" w:customStyle="1" w:styleId="80">
    <w:name w:val="正文文本 2 Char"/>
    <w:link w:val="43"/>
    <w:qFormat/>
    <w:uiPriority w:val="0"/>
    <w:rPr>
      <w:rFonts w:ascii="Times New Roman" w:hAnsi="Times New Roman" w:eastAsia="宋体" w:cs="Times New Roman"/>
      <w:szCs w:val="24"/>
    </w:rPr>
  </w:style>
  <w:style w:type="character" w:customStyle="1" w:styleId="81">
    <w:name w:val="标题 Char"/>
    <w:link w:val="46"/>
    <w:qFormat/>
    <w:uiPriority w:val="10"/>
    <w:rPr>
      <w:rFonts w:ascii="Cambria" w:hAnsi="Cambria" w:cs="Times New Roman"/>
      <w:b/>
      <w:bCs/>
      <w:kern w:val="2"/>
      <w:sz w:val="32"/>
      <w:szCs w:val="32"/>
    </w:rPr>
  </w:style>
  <w:style w:type="character" w:customStyle="1" w:styleId="82">
    <w:name w:val="批注主题 Char"/>
    <w:link w:val="47"/>
    <w:semiHidden/>
    <w:qFormat/>
    <w:uiPriority w:val="99"/>
    <w:rPr>
      <w:rFonts w:ascii="Times New Roman" w:hAnsi="Times New Roman"/>
      <w:b/>
      <w:bCs/>
      <w:kern w:val="2"/>
      <w:sz w:val="21"/>
      <w:szCs w:val="24"/>
    </w:rPr>
  </w:style>
  <w:style w:type="character" w:customStyle="1" w:styleId="83">
    <w:name w:val="纯文本 字符1"/>
    <w:qFormat/>
    <w:uiPriority w:val="0"/>
    <w:rPr>
      <w:rFonts w:ascii="宋体" w:hAnsi="Courier New"/>
    </w:rPr>
  </w:style>
  <w:style w:type="character" w:customStyle="1" w:styleId="84">
    <w:name w:val="批注文字 Char1"/>
    <w:semiHidden/>
    <w:qFormat/>
    <w:locked/>
    <w:uiPriority w:val="0"/>
    <w:rPr>
      <w:rFonts w:ascii="Times New Roman" w:hAnsi="Times New Roman"/>
      <w:kern w:val="2"/>
      <w:sz w:val="21"/>
      <w:szCs w:val="24"/>
    </w:rPr>
  </w:style>
  <w:style w:type="character" w:customStyle="1" w:styleId="85">
    <w:name w:val="headline-content4"/>
    <w:qFormat/>
    <w:uiPriority w:val="0"/>
  </w:style>
  <w:style w:type="character" w:customStyle="1" w:styleId="86">
    <w:name w:val="批注文字 字符"/>
    <w:qFormat/>
    <w:uiPriority w:val="0"/>
    <w:rPr>
      <w:rFonts w:ascii="Times New Roman" w:hAnsi="Times New Roman"/>
      <w:kern w:val="2"/>
      <w:sz w:val="21"/>
      <w:szCs w:val="24"/>
    </w:rPr>
  </w:style>
  <w:style w:type="character" w:customStyle="1" w:styleId="87">
    <w:name w:val="标题 5 Char"/>
    <w:qFormat/>
    <w:uiPriority w:val="0"/>
    <w:rPr>
      <w:b/>
      <w:kern w:val="2"/>
      <w:sz w:val="28"/>
      <w:szCs w:val="24"/>
    </w:rPr>
  </w:style>
  <w:style w:type="character" w:customStyle="1" w:styleId="88">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89">
    <w:name w:val="批注文字 Char"/>
    <w:qFormat/>
    <w:uiPriority w:val="0"/>
    <w:rPr>
      <w:rFonts w:ascii="Times New Roman" w:hAnsi="Times New Roman"/>
      <w:kern w:val="2"/>
      <w:sz w:val="21"/>
      <w:szCs w:val="24"/>
    </w:rPr>
  </w:style>
  <w:style w:type="character" w:customStyle="1" w:styleId="90">
    <w:name w:val="标题 1 字符"/>
    <w:qFormat/>
    <w:uiPriority w:val="9"/>
    <w:rPr>
      <w:rFonts w:ascii="Times New Roman" w:hAnsi="Times New Roman" w:eastAsia="宋体" w:cs="Times New Roman"/>
      <w:b/>
      <w:bCs/>
      <w:kern w:val="44"/>
      <w:sz w:val="44"/>
      <w:szCs w:val="44"/>
    </w:rPr>
  </w:style>
  <w:style w:type="character" w:customStyle="1" w:styleId="91">
    <w:name w:val="apple-style-span"/>
    <w:qFormat/>
    <w:uiPriority w:val="0"/>
  </w:style>
  <w:style w:type="character" w:customStyle="1" w:styleId="92">
    <w:name w:val="正文文本缩进 字符"/>
    <w:qFormat/>
    <w:uiPriority w:val="0"/>
    <w:rPr>
      <w:rFonts w:ascii="仿宋_GB2312" w:hAnsi="Times New Roman" w:eastAsia="仿宋_GB2312" w:cs="Times New Roman"/>
      <w:sz w:val="32"/>
      <w:szCs w:val="20"/>
    </w:rPr>
  </w:style>
  <w:style w:type="character" w:customStyle="1" w:styleId="93">
    <w:name w:val="case31"/>
    <w:qFormat/>
    <w:uiPriority w:val="0"/>
    <w:rPr>
      <w:rFonts w:hint="default" w:ascii="_x000B__x000C_" w:hAnsi="_x000B__x000C_"/>
      <w:sz w:val="21"/>
      <w:szCs w:val="21"/>
    </w:rPr>
  </w:style>
  <w:style w:type="character" w:customStyle="1" w:styleId="94">
    <w:name w:val="纯文本 字符"/>
    <w:qFormat/>
    <w:uiPriority w:val="0"/>
    <w:rPr>
      <w:rFonts w:ascii="宋体" w:hAnsi="Courier New" w:eastAsia="宋体" w:cs="Courier New"/>
      <w:szCs w:val="21"/>
    </w:rPr>
  </w:style>
  <w:style w:type="character" w:customStyle="1" w:styleId="95">
    <w:name w:val="textcontents"/>
    <w:qFormat/>
    <w:uiPriority w:val="0"/>
  </w:style>
  <w:style w:type="character" w:customStyle="1" w:styleId="96">
    <w:name w:val="普通文字 Char Char2"/>
    <w:qFormat/>
    <w:uiPriority w:val="0"/>
    <w:rPr>
      <w:rFonts w:ascii="宋体" w:hAnsi="Courier New" w:eastAsia="宋体"/>
      <w:kern w:val="2"/>
      <w:sz w:val="21"/>
      <w:lang w:val="en-US" w:eastAsia="zh-CN" w:bidi="ar-SA"/>
    </w:rPr>
  </w:style>
  <w:style w:type="paragraph" w:customStyle="1" w:styleId="97">
    <w:name w:val="正文段"/>
    <w:basedOn w:val="1"/>
    <w:qFormat/>
    <w:uiPriority w:val="0"/>
    <w:pPr>
      <w:widowControl/>
      <w:snapToGrid w:val="0"/>
      <w:spacing w:afterLines="50"/>
      <w:ind w:firstLine="200" w:firstLineChars="200"/>
    </w:pPr>
    <w:rPr>
      <w:kern w:val="0"/>
      <w:sz w:val="24"/>
      <w:szCs w:val="20"/>
    </w:rPr>
  </w:style>
  <w:style w:type="paragraph" w:customStyle="1" w:styleId="98">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99">
    <w:name w:val="默认段落字体 Para Char Char Char Char Char Char Char Char Char1 Char Char Char Char"/>
    <w:basedOn w:val="1"/>
    <w:qFormat/>
    <w:uiPriority w:val="0"/>
    <w:rPr>
      <w:rFonts w:ascii="Tahoma" w:hAnsi="Tahoma"/>
      <w:sz w:val="24"/>
      <w:szCs w:val="20"/>
    </w:rPr>
  </w:style>
  <w:style w:type="paragraph" w:customStyle="1" w:styleId="100">
    <w:name w:val="xl22"/>
    <w:basedOn w:val="1"/>
    <w:qFormat/>
    <w:uiPriority w:val="0"/>
    <w:pPr>
      <w:widowControl/>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101">
    <w:name w:val="样式"/>
    <w:qFormat/>
    <w:uiPriority w:val="0"/>
    <w:pPr>
      <w:widowControl w:val="0"/>
      <w:autoSpaceDE w:val="0"/>
      <w:autoSpaceDN w:val="0"/>
      <w:adjustRightInd w:val="0"/>
      <w:jc w:val="center"/>
    </w:pPr>
    <w:rPr>
      <w:rFonts w:ascii="宋体" w:hAnsi="宋体" w:eastAsia="宋体" w:cs="宋体"/>
      <w:sz w:val="24"/>
      <w:szCs w:val="24"/>
      <w:lang w:val="en-US" w:eastAsia="zh-CN" w:bidi="ar-SA"/>
    </w:rPr>
  </w:style>
  <w:style w:type="paragraph" w:customStyle="1" w:styleId="102">
    <w:name w:val="样式 标题 2 + Times New Roman 四号 非加粗 段前: 5 磅 段后: 0 磅 行距: 固定值 20..."/>
    <w:basedOn w:val="5"/>
    <w:qFormat/>
    <w:uiPriority w:val="0"/>
    <w:pPr>
      <w:spacing w:before="100" w:after="0" w:line="400" w:lineRule="exact"/>
    </w:pPr>
    <w:rPr>
      <w:rFonts w:ascii="Times New Roman" w:hAnsi="Times New Roman" w:cs="宋体"/>
      <w:b w:val="0"/>
      <w:bCs w:val="0"/>
      <w:sz w:val="28"/>
      <w:szCs w:val="20"/>
    </w:rPr>
  </w:style>
  <w:style w:type="paragraph" w:customStyle="1" w:styleId="103">
    <w:name w:val="Table Paragraph"/>
    <w:basedOn w:val="1"/>
    <w:qFormat/>
    <w:uiPriority w:val="1"/>
    <w:pPr>
      <w:jc w:val="left"/>
    </w:pPr>
    <w:rPr>
      <w:rFonts w:ascii="Calibri" w:hAnsi="Calibri"/>
      <w:kern w:val="0"/>
      <w:sz w:val="22"/>
      <w:szCs w:val="22"/>
      <w:lang w:eastAsia="en-US"/>
    </w:rPr>
  </w:style>
  <w:style w:type="paragraph" w:customStyle="1" w:styleId="104">
    <w:name w:val="Char1"/>
    <w:basedOn w:val="1"/>
    <w:qFormat/>
    <w:uiPriority w:val="0"/>
    <w:rPr>
      <w:szCs w:val="21"/>
    </w:rPr>
  </w:style>
  <w:style w:type="paragraph" w:customStyle="1" w:styleId="105">
    <w:name w:val="正文首行缩进两字符"/>
    <w:basedOn w:val="1"/>
    <w:qFormat/>
    <w:uiPriority w:val="0"/>
    <w:pPr>
      <w:spacing w:line="360" w:lineRule="auto"/>
      <w:ind w:firstLine="200" w:firstLineChars="200"/>
    </w:pPr>
  </w:style>
  <w:style w:type="paragraph" w:customStyle="1" w:styleId="106">
    <w:name w:val="表格"/>
    <w:basedOn w:val="1"/>
    <w:qFormat/>
    <w:uiPriority w:val="0"/>
    <w:pPr>
      <w:spacing w:line="400" w:lineRule="exact"/>
    </w:pPr>
    <w:rPr>
      <w:sz w:val="24"/>
    </w:rPr>
  </w:style>
  <w:style w:type="paragraph" w:customStyle="1" w:styleId="107">
    <w:name w:val="样式 首行缩进:  2 字符"/>
    <w:basedOn w:val="1"/>
    <w:qFormat/>
    <w:uiPriority w:val="0"/>
    <w:pPr>
      <w:spacing w:line="400" w:lineRule="exact"/>
      <w:ind w:firstLine="200" w:firstLineChars="200"/>
    </w:pPr>
    <w:rPr>
      <w:rFonts w:cs="宋体"/>
      <w:sz w:val="24"/>
    </w:rPr>
  </w:style>
  <w:style w:type="paragraph" w:customStyle="1" w:styleId="108">
    <w:name w:val="纯文本1"/>
    <w:basedOn w:val="1"/>
    <w:qFormat/>
    <w:uiPriority w:val="0"/>
    <w:rPr>
      <w:rFonts w:ascii="宋体" w:hAnsi="Courier New" w:cs="Century"/>
      <w:szCs w:val="21"/>
    </w:rPr>
  </w:style>
  <w:style w:type="paragraph" w:customStyle="1" w:styleId="109">
    <w:name w:val="样式 标题 3 + (中文) 黑体 小四 非加粗 段前: 7.8 磅 段后: 0 磅 行距: 固定值 20 磅"/>
    <w:basedOn w:val="6"/>
    <w:qFormat/>
    <w:uiPriority w:val="0"/>
    <w:pPr>
      <w:spacing w:before="0" w:after="0" w:line="400" w:lineRule="exact"/>
    </w:pPr>
    <w:rPr>
      <w:rFonts w:eastAsia="黑体" w:cs="宋体"/>
      <w:b w:val="0"/>
      <w:bCs w:val="0"/>
      <w:sz w:val="24"/>
      <w:szCs w:val="20"/>
    </w:rPr>
  </w:style>
  <w:style w:type="paragraph" w:styleId="110">
    <w:name w:val="List Paragraph"/>
    <w:basedOn w:val="1"/>
    <w:qFormat/>
    <w:uiPriority w:val="34"/>
    <w:pPr>
      <w:ind w:firstLine="420" w:firstLineChars="200"/>
    </w:pPr>
  </w:style>
  <w:style w:type="table" w:customStyle="1" w:styleId="111">
    <w:name w:val="Table Normal"/>
    <w:semiHidden/>
    <w:qFormat/>
    <w:uiPriority w:val="2"/>
    <w:pPr>
      <w:widowControl w:val="0"/>
    </w:pPr>
    <w:rPr>
      <w:rFonts w:ascii="Calibri" w:hAnsi="Calibri" w:eastAsia="Times New Roman"/>
      <w:sz w:val="22"/>
      <w:szCs w:val="22"/>
      <w:lang w:eastAsia="en-US"/>
    </w:rPr>
    <w:tblPr>
      <w:tblCellMar>
        <w:top w:w="0" w:type="dxa"/>
        <w:left w:w="0" w:type="dxa"/>
        <w:bottom w:w="0" w:type="dxa"/>
        <w:right w:w="0" w:type="dxa"/>
      </w:tblCellMar>
    </w:tblPr>
  </w:style>
  <w:style w:type="character" w:customStyle="1" w:styleId="112">
    <w:name w:val="纯文本 Char1"/>
    <w:qFormat/>
    <w:uiPriority w:val="0"/>
    <w:rPr>
      <w:rFonts w:ascii="宋体" w:hAnsi="Courier New" w:eastAsia="宋体" w:cs="Courier New"/>
      <w:szCs w:val="21"/>
    </w:rPr>
  </w:style>
  <w:style w:type="character" w:customStyle="1" w:styleId="113">
    <w:name w:val="标题 5 Char1"/>
    <w:qFormat/>
    <w:uiPriority w:val="0"/>
    <w:rPr>
      <w:b/>
      <w:kern w:val="2"/>
      <w:sz w:val="28"/>
      <w:szCs w:val="24"/>
    </w:rPr>
  </w:style>
  <w:style w:type="character" w:customStyle="1" w:styleId="114">
    <w:name w:val="批注文字 字符2"/>
    <w:qFormat/>
    <w:uiPriority w:val="0"/>
    <w:rPr>
      <w:rFonts w:ascii="Times New Roman" w:hAnsi="Times New Roman"/>
      <w:kern w:val="2"/>
      <w:sz w:val="21"/>
      <w:szCs w:val="24"/>
    </w:rPr>
  </w:style>
  <w:style w:type="character" w:customStyle="1" w:styleId="115">
    <w:name w:val="纯文本 Char"/>
    <w:qFormat/>
    <w:uiPriority w:val="0"/>
    <w:rPr>
      <w:rFonts w:ascii="宋体" w:hAnsi="Courier New" w:eastAsia="宋体" w:cs="Courier New"/>
      <w:szCs w:val="21"/>
    </w:rPr>
  </w:style>
  <w:style w:type="paragraph" w:customStyle="1" w:styleId="116">
    <w:name w:val="正文2"/>
    <w:basedOn w:val="1"/>
    <w:qFormat/>
    <w:uiPriority w:val="0"/>
    <w:pPr>
      <w:adjustRightInd w:val="0"/>
      <w:spacing w:before="156" w:line="360" w:lineRule="auto"/>
      <w:ind w:firstLine="510" w:firstLineChars="200"/>
    </w:pPr>
    <w:rPr>
      <w:sz w:val="24"/>
      <w:szCs w:val="20"/>
    </w:rPr>
  </w:style>
  <w:style w:type="character" w:customStyle="1" w:styleId="117">
    <w:name w:val="font51"/>
    <w:basedOn w:val="50"/>
    <w:qFormat/>
    <w:uiPriority w:val="0"/>
    <w:rPr>
      <w:rFonts w:hint="default" w:ascii="仿宋_GB2312" w:eastAsia="仿宋_GB2312" w:cs="仿宋_GB2312"/>
      <w:b/>
      <w:bCs/>
      <w:color w:val="FF0000"/>
      <w:sz w:val="24"/>
      <w:szCs w:val="24"/>
      <w:u w:val="none"/>
    </w:rPr>
  </w:style>
  <w:style w:type="character" w:customStyle="1" w:styleId="118">
    <w:name w:val="font81"/>
    <w:basedOn w:val="50"/>
    <w:qFormat/>
    <w:uiPriority w:val="0"/>
    <w:rPr>
      <w:rFonts w:hint="default" w:ascii="Times New Roman" w:hAnsi="Times New Roman" w:cs="Times New Roman"/>
      <w:b/>
      <w:bCs/>
      <w:color w:val="FF0000"/>
      <w:sz w:val="24"/>
      <w:szCs w:val="24"/>
      <w:u w:val="none"/>
    </w:rPr>
  </w:style>
  <w:style w:type="character" w:customStyle="1" w:styleId="119">
    <w:name w:val="font13"/>
    <w:basedOn w:val="50"/>
    <w:qFormat/>
    <w:uiPriority w:val="0"/>
    <w:rPr>
      <w:rFonts w:hint="default" w:ascii="仿宋_GB2312" w:eastAsia="仿宋_GB2312" w:cs="仿宋_GB2312"/>
      <w:b/>
      <w:bCs/>
      <w:color w:val="000000"/>
      <w:sz w:val="24"/>
      <w:szCs w:val="24"/>
      <w:u w:val="none"/>
    </w:rPr>
  </w:style>
  <w:style w:type="character" w:customStyle="1" w:styleId="120">
    <w:name w:val="font21"/>
    <w:basedOn w:val="50"/>
    <w:qFormat/>
    <w:uiPriority w:val="0"/>
    <w:rPr>
      <w:rFonts w:hint="default" w:ascii="Times New Roman" w:hAnsi="Times New Roman" w:cs="Times New Roman"/>
      <w:b/>
      <w:bCs/>
      <w:color w:val="000000"/>
      <w:sz w:val="24"/>
      <w:szCs w:val="24"/>
      <w:u w:val="none"/>
    </w:rPr>
  </w:style>
  <w:style w:type="character" w:customStyle="1" w:styleId="121">
    <w:name w:val="font61"/>
    <w:basedOn w:val="50"/>
    <w:qFormat/>
    <w:uiPriority w:val="0"/>
    <w:rPr>
      <w:rFonts w:hint="default" w:ascii="Times New Roman" w:hAnsi="Times New Roman" w:cs="Times New Roman"/>
      <w:color w:val="000000"/>
      <w:sz w:val="24"/>
      <w:szCs w:val="24"/>
      <w:u w:val="none"/>
    </w:rPr>
  </w:style>
  <w:style w:type="character" w:customStyle="1" w:styleId="122">
    <w:name w:val="font71"/>
    <w:basedOn w:val="50"/>
    <w:qFormat/>
    <w:uiPriority w:val="0"/>
    <w:rPr>
      <w:rFonts w:hint="default" w:ascii="仿宋_GB2312" w:eastAsia="仿宋_GB2312" w:cs="仿宋_GB2312"/>
      <w:color w:val="000000"/>
      <w:sz w:val="24"/>
      <w:szCs w:val="24"/>
      <w:u w:val="none"/>
    </w:rPr>
  </w:style>
  <w:style w:type="character" w:customStyle="1" w:styleId="123">
    <w:name w:val="font132"/>
    <w:basedOn w:val="50"/>
    <w:qFormat/>
    <w:uiPriority w:val="0"/>
    <w:rPr>
      <w:rFonts w:hint="default" w:ascii="Times New Roman" w:hAnsi="Times New Roman" w:cs="Times New Roman"/>
      <w:color w:val="000000"/>
      <w:sz w:val="24"/>
      <w:szCs w:val="24"/>
      <w:u w:val="none"/>
      <w:vertAlign w:val="superscript"/>
    </w:rPr>
  </w:style>
  <w:style w:type="character" w:customStyle="1" w:styleId="124">
    <w:name w:val="font41"/>
    <w:basedOn w:val="50"/>
    <w:qFormat/>
    <w:uiPriority w:val="0"/>
    <w:rPr>
      <w:rFonts w:hint="default" w:ascii="Times New Roman" w:hAnsi="Times New Roman" w:cs="Times New Roman"/>
      <w:b/>
      <w:bCs/>
      <w:color w:val="000000"/>
      <w:sz w:val="24"/>
      <w:szCs w:val="24"/>
      <w:u w:val="none"/>
    </w:rPr>
  </w:style>
  <w:style w:type="character" w:customStyle="1" w:styleId="125">
    <w:name w:val="font31"/>
    <w:basedOn w:val="50"/>
    <w:qFormat/>
    <w:uiPriority w:val="0"/>
    <w:rPr>
      <w:rFonts w:hint="default" w:ascii="仿宋_GB2312" w:eastAsia="仿宋_GB2312" w:cs="仿宋_GB2312"/>
      <w:b/>
      <w:bCs/>
      <w:color w:val="000000"/>
      <w:sz w:val="24"/>
      <w:szCs w:val="24"/>
      <w:u w:val="none"/>
    </w:rPr>
  </w:style>
  <w:style w:type="character" w:customStyle="1" w:styleId="126">
    <w:name w:val="font11"/>
    <w:basedOn w:val="50"/>
    <w:qFormat/>
    <w:uiPriority w:val="0"/>
    <w:rPr>
      <w:rFonts w:hint="default" w:ascii="Times New Roman" w:hAnsi="Times New Roman" w:cs="Times New Roman"/>
      <w:color w:val="000000"/>
      <w:sz w:val="24"/>
      <w:szCs w:val="24"/>
      <w:u w:val="none"/>
    </w:rPr>
  </w:style>
  <w:style w:type="paragraph" w:customStyle="1" w:styleId="127">
    <w:name w:val="正文 A"/>
    <w:qFormat/>
    <w:uiPriority w:val="0"/>
    <w:pPr>
      <w:widowControl w:val="0"/>
      <w:jc w:val="both"/>
    </w:pPr>
    <w:rPr>
      <w:rFonts w:ascii="Times New Roman" w:hAnsi="Times New Roman" w:eastAsia="Times New Roman" w:cs="Times New Roman"/>
      <w:color w:val="000000"/>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74</Pages>
  <Words>13421</Words>
  <Characters>14744</Characters>
  <Lines>314</Lines>
  <Paragraphs>88</Paragraphs>
  <TotalTime>48</TotalTime>
  <ScaleCrop>false</ScaleCrop>
  <LinksUpToDate>false</LinksUpToDate>
  <CharactersWithSpaces>14967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2025-09-17T01:29:00Z</dcterms:created>
  <dc:creator>番茄花园</dc:creator>
  <cp:lastModifiedBy>Administrator</cp:lastModifiedBy>
  <cp:lastPrinted>2023-12-12T04:28:00Z</cp:lastPrinted>
  <dcterms:modified xsi:type="dcterms:W3CDTF">2025-09-29T07:18:45Z</dcterms:modified>
  <dc:title>公开招标采购文件范本</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AA292DC559B44171B6B6C95A42E061A1_13</vt:lpwstr>
  </property>
  <property fmtid="{D5CDD505-2E9C-101B-9397-08002B2CF9AE}" pid="4" name="KSOTemplateDocerSaveRecord">
    <vt:lpwstr>eyJoZGlkIjoiMWFiODhjMzlmNWU0NmU1YmQ2MTQ0ODAzN2Q5MmE2NTQiLCJ1c2VySWQiOiIxNTY2NzM1MDQxIn0=</vt:lpwstr>
  </property>
</Properties>
</file>