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p>
    <w:p>
      <w:pPr>
        <w:adjustRightInd/>
        <w:spacing w:line="360" w:lineRule="auto"/>
        <w:jc w:val="center"/>
        <w:rPr>
          <w:rFonts w:ascii="宋体" w:hAnsi="宋体" w:cs="宋体"/>
          <w:b/>
          <w:color w:val="auto"/>
          <w:sz w:val="44"/>
          <w:szCs w:val="44"/>
          <w:highlight w:val="none"/>
        </w:rPr>
      </w:pPr>
    </w:p>
    <w:p>
      <w:pPr>
        <w:adjustRightInd/>
        <w:spacing w:line="360" w:lineRule="auto"/>
        <w:rPr>
          <w:rFonts w:ascii="宋体" w:hAnsi="宋体" w:cs="宋体"/>
          <w:b/>
          <w:color w:val="auto"/>
          <w:sz w:val="48"/>
          <w:szCs w:val="48"/>
          <w:highlight w:val="none"/>
        </w:rPr>
      </w:pP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fldChar w:fldCharType="begin"/>
      </w:r>
      <w:r>
        <w:rPr>
          <w:rFonts w:ascii="宋体" w:hAnsi="宋体" w:cs="宋体"/>
          <w:color w:val="auto"/>
          <w:sz w:val="48"/>
          <w:szCs w:val="48"/>
          <w:highlight w:val="none"/>
        </w:rPr>
        <w:instrText xml:space="preserve"> HYPERLINK "https://www.gcy.zfcg.gxzf.gov.cn/delegation-order/_procurement_/order/orderInfo/detail/6821773913934694803" \t "https://www.gcy.zfcg.gxzf.gov.cn/delegation-order/_procurement_/order/_blank" </w:instrText>
      </w:r>
      <w:r>
        <w:rPr>
          <w:rFonts w:hint="eastAsia" w:ascii="宋体" w:hAnsi="宋体" w:cs="宋体"/>
          <w:color w:val="auto"/>
          <w:sz w:val="48"/>
          <w:szCs w:val="48"/>
          <w:highlight w:val="none"/>
        </w:rPr>
        <w:fldChar w:fldCharType="separate"/>
      </w:r>
    </w:p>
    <w:p>
      <w:pPr>
        <w:adjustRightInd/>
        <w:spacing w:line="360" w:lineRule="auto"/>
        <w:jc w:val="center"/>
        <w:rPr>
          <w:rFonts w:ascii="宋体" w:hAnsi="宋体" w:cs="宋体"/>
          <w:color w:val="auto"/>
          <w:sz w:val="48"/>
          <w:szCs w:val="48"/>
          <w:highlight w:val="none"/>
        </w:rPr>
      </w:pPr>
      <w:bookmarkStart w:id="0" w:name="OLE_LINK58"/>
      <w:bookmarkStart w:id="1" w:name="OLE_LINK3"/>
      <w:bookmarkStart w:id="2" w:name="OLE_LINK4"/>
      <w:bookmarkStart w:id="3" w:name="OLE_LINK136"/>
      <w:bookmarkStart w:id="4" w:name="OLE_LINK75"/>
      <w:bookmarkStart w:id="5" w:name="OLE_LINK55"/>
      <w:bookmarkStart w:id="6" w:name="OLE_LINK59"/>
      <w:bookmarkStart w:id="7" w:name="OLE_LINK34"/>
      <w:bookmarkStart w:id="8" w:name="OLE_LINK74"/>
      <w:r>
        <w:rPr>
          <w:rFonts w:hint="eastAsia" w:ascii="宋体" w:hAnsi="宋体" w:cs="宋体"/>
          <w:color w:val="auto"/>
          <w:sz w:val="48"/>
          <w:szCs w:val="48"/>
          <w:highlight w:val="none"/>
        </w:rPr>
        <w:t>2025-2027年北海市政务云服务平台项目监理及第三方服务</w:t>
      </w:r>
    </w:p>
    <w:bookmarkEnd w:id="0"/>
    <w:bookmarkEnd w:id="1"/>
    <w:bookmarkEnd w:id="2"/>
    <w:bookmarkEnd w:id="3"/>
    <w:bookmarkEnd w:id="4"/>
    <w:bookmarkEnd w:id="5"/>
    <w:bookmarkEnd w:id="6"/>
    <w:bookmarkEnd w:id="7"/>
    <w:bookmarkEnd w:id="8"/>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fldChar w:fldCharType="end"/>
      </w:r>
    </w:p>
    <w:p>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pPr>
        <w:snapToGrid w:val="0"/>
        <w:spacing w:line="360" w:lineRule="auto"/>
        <w:jc w:val="center"/>
        <w:rPr>
          <w:rFonts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BHZC2025-G3-990241-CGZX）</w:t>
      </w:r>
    </w:p>
    <w:p>
      <w:pPr>
        <w:adjustRightInd/>
        <w:spacing w:line="360" w:lineRule="auto"/>
        <w:rPr>
          <w:rFonts w:ascii="宋体" w:hAnsi="宋体" w:cs="宋体"/>
          <w:color w:val="auto"/>
          <w:sz w:val="28"/>
          <w:szCs w:val="20"/>
          <w:highlight w:val="none"/>
        </w:rPr>
      </w:pPr>
    </w:p>
    <w:p>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pPr>
        <w:spacing w:line="360" w:lineRule="auto"/>
        <w:jc w:val="center"/>
        <w:rPr>
          <w:rFonts w:ascii="宋体" w:hAnsi="宋体" w:cs="宋体"/>
          <w:color w:val="auto"/>
          <w:sz w:val="24"/>
          <w:highlight w:val="none"/>
        </w:rPr>
      </w:pPr>
    </w:p>
    <w:p>
      <w:pPr>
        <w:spacing w:line="360" w:lineRule="auto"/>
        <w:jc w:val="center"/>
        <w:rPr>
          <w:rFonts w:ascii="宋体" w:hAnsi="宋体" w:cs="宋体"/>
          <w:color w:val="auto"/>
          <w:sz w:val="24"/>
          <w:highlight w:val="none"/>
        </w:rPr>
      </w:pPr>
    </w:p>
    <w:p>
      <w:pPr>
        <w:spacing w:line="360" w:lineRule="auto"/>
        <w:rPr>
          <w:rFonts w:ascii="宋体" w:hAnsi="宋体" w:cs="宋体"/>
          <w:color w:val="auto"/>
          <w:sz w:val="32"/>
          <w:szCs w:val="32"/>
          <w:highlight w:val="none"/>
        </w:rPr>
      </w:pPr>
    </w:p>
    <w:p>
      <w:pPr>
        <w:spacing w:line="360" w:lineRule="auto"/>
        <w:jc w:val="center"/>
        <w:rPr>
          <w:rFonts w:ascii="宋体" w:hAnsi="宋体" w:cs="宋体"/>
          <w:bCs/>
          <w:color w:val="auto"/>
          <w:sz w:val="32"/>
          <w:szCs w:val="32"/>
          <w:highlight w:val="none"/>
        </w:rPr>
      </w:pPr>
      <w:bookmarkStart w:id="9" w:name="OLE_LINK78"/>
      <w:bookmarkStart w:id="10" w:name="OLE_LINK6"/>
      <w:bookmarkStart w:id="11" w:name="OLE_LINK72"/>
      <w:bookmarkStart w:id="12" w:name="OLE_LINK73"/>
      <w:r>
        <w:rPr>
          <w:rFonts w:ascii="宋体" w:hAnsi="宋体" w:cs="宋体"/>
          <w:bCs/>
          <w:color w:val="auto"/>
          <w:sz w:val="32"/>
          <w:szCs w:val="32"/>
          <w:highlight w:val="none"/>
        </w:rPr>
        <w:t>北海市信息中心</w:t>
      </w:r>
    </w:p>
    <w:bookmarkEnd w:id="9"/>
    <w:bookmarkEnd w:id="10"/>
    <w:bookmarkEnd w:id="11"/>
    <w:bookmarkEnd w:id="12"/>
    <w:p>
      <w:pPr>
        <w:spacing w:line="360" w:lineRule="auto"/>
        <w:jc w:val="center"/>
        <w:rPr>
          <w:rFonts w:ascii="宋体" w:hAnsi="宋体" w:cs="宋体"/>
          <w:bCs/>
          <w:color w:val="auto"/>
          <w:sz w:val="32"/>
          <w:szCs w:val="32"/>
          <w:highlight w:val="none"/>
        </w:rPr>
      </w:pPr>
      <w:r>
        <w:rPr>
          <w:rFonts w:ascii="宋体" w:hAnsi="宋体" w:cs="宋体"/>
          <w:bCs/>
          <w:color w:val="auto"/>
          <w:sz w:val="32"/>
          <w:szCs w:val="32"/>
          <w:highlight w:val="none"/>
        </w:rPr>
        <w:t>北海市政府采购中心</w:t>
      </w:r>
    </w:p>
    <w:p>
      <w:pPr>
        <w:spacing w:line="360" w:lineRule="auto"/>
        <w:jc w:val="center"/>
        <w:rPr>
          <w:rFonts w:ascii="宋体" w:hAnsi="宋体" w:cs="宋体"/>
          <w:color w:val="auto"/>
          <w:sz w:val="24"/>
          <w:highlight w:val="none"/>
        </w:rPr>
      </w:pPr>
      <w:r>
        <w:rPr>
          <w:rFonts w:hint="eastAsia" w:ascii="宋体" w:hAnsi="宋体" w:cs="宋体"/>
          <w:bCs/>
          <w:color w:val="auto"/>
          <w:sz w:val="32"/>
          <w:szCs w:val="32"/>
          <w:highlight w:val="none"/>
          <w:shd w:val="clear" w:color="auto" w:fill="auto"/>
        </w:rPr>
        <w:t>二〇二五年</w:t>
      </w:r>
      <w:r>
        <w:rPr>
          <w:rFonts w:hint="eastAsia" w:ascii="宋体" w:hAnsi="宋体" w:cs="宋体"/>
          <w:bCs/>
          <w:color w:val="auto"/>
          <w:sz w:val="32"/>
          <w:szCs w:val="32"/>
          <w:highlight w:val="none"/>
          <w:shd w:val="clear" w:color="auto" w:fill="auto"/>
          <w:lang w:val="en-US" w:eastAsia="zh-CN"/>
        </w:rPr>
        <w:t>九</w:t>
      </w:r>
      <w:r>
        <w:rPr>
          <w:rFonts w:hint="eastAsia" w:ascii="宋体" w:hAnsi="宋体" w:cs="宋体"/>
          <w:bCs/>
          <w:color w:val="auto"/>
          <w:sz w:val="32"/>
          <w:szCs w:val="32"/>
          <w:highlight w:val="none"/>
          <w:shd w:val="clear" w:color="auto" w:fill="auto"/>
        </w:rPr>
        <w:t>月</w:t>
      </w:r>
      <w:r>
        <w:rPr>
          <w:rFonts w:hint="eastAsia" w:ascii="宋体" w:hAnsi="宋体" w:cs="宋体"/>
          <w:bCs/>
          <w:color w:val="auto"/>
          <w:sz w:val="32"/>
          <w:szCs w:val="32"/>
          <w:highlight w:val="none"/>
          <w:shd w:val="clear" w:color="auto" w:fill="auto"/>
          <w:lang w:val="en-US" w:eastAsia="zh-CN"/>
        </w:rPr>
        <w:t>三十</w:t>
      </w:r>
      <w:r>
        <w:rPr>
          <w:rFonts w:hint="eastAsia" w:ascii="宋体" w:hAnsi="宋体" w:cs="宋体"/>
          <w:bCs/>
          <w:color w:val="auto"/>
          <w:sz w:val="32"/>
          <w:szCs w:val="32"/>
          <w:highlight w:val="none"/>
          <w:shd w:val="clear" w:color="auto" w:fill="auto"/>
        </w:rPr>
        <w:t>日</w:t>
      </w:r>
      <w:r>
        <w:rPr>
          <w:rFonts w:hint="eastAsia" w:ascii="宋体" w:hAnsi="宋体" w:cs="宋体"/>
          <w:color w:val="auto"/>
          <w:sz w:val="24"/>
          <w:highlight w:val="none"/>
        </w:rPr>
        <w:br w:type="page"/>
      </w:r>
      <w:bookmarkStart w:id="13" w:name="_Hlt67893495"/>
      <w:bookmarkEnd w:id="13"/>
    </w:p>
    <w:p>
      <w:pPr>
        <w:pStyle w:val="634"/>
        <w:outlineLvl w:val="9"/>
        <w:rPr>
          <w:color w:val="auto"/>
          <w:highlight w:val="none"/>
        </w:rPr>
      </w:pPr>
    </w:p>
    <w:p>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pPr>
        <w:spacing w:line="360" w:lineRule="auto"/>
        <w:rPr>
          <w:rFonts w:ascii="宋体" w:hAnsi="宋体" w:cs="宋体"/>
          <w:color w:val="auto"/>
          <w:sz w:val="32"/>
          <w:szCs w:val="32"/>
          <w:highlight w:val="none"/>
        </w:rPr>
      </w:pPr>
    </w:p>
    <w:sdt>
      <w:sdtPr>
        <w:rPr>
          <w:rFonts w:ascii="宋体" w:hAnsi="宋体"/>
          <w:color w:val="auto"/>
          <w:highlight w:val="none"/>
        </w:rPr>
        <w:id w:val="147479748"/>
        <w:docPartObj>
          <w:docPartGallery w:val="Table of Contents"/>
          <w:docPartUnique/>
        </w:docPartObj>
      </w:sdtPr>
      <w:sdtEndPr>
        <w:rPr>
          <w:rFonts w:ascii="宋体" w:hAnsi="宋体" w:cs="宋体"/>
          <w:color w:val="auto"/>
          <w:highlight w:val="none"/>
        </w:rPr>
      </w:sdtEndPr>
      <w:sdtContent>
        <w:p>
          <w:pPr>
            <w:jc w:val="center"/>
            <w:rPr>
              <w:color w:val="auto"/>
              <w:highlight w:val="none"/>
            </w:rPr>
          </w:pPr>
          <w:bookmarkStart w:id="14" w:name="_Hlt91233176"/>
          <w:bookmarkEnd w:id="14"/>
          <w:bookmarkStart w:id="15" w:name="_Toc91899869"/>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_Toc13202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_Toc13202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_Toc17258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_Toc17258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_Toc31551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_Toc31551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_Toc17560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_Toc17560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_Toc24882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_Toc24882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3"/>
            <w:keepNext w:val="0"/>
            <w:keepLines w:val="0"/>
            <w:pageBreakBefore w:val="0"/>
            <w:widowControl w:val="0"/>
            <w:tabs>
              <w:tab w:val="right" w:leader="dot" w:pos="9639"/>
            </w:tabs>
            <w:kinsoku/>
            <w:wordWrap/>
            <w:overflowPunct/>
            <w:topLinePunct w:val="0"/>
            <w:autoSpaceDE/>
            <w:autoSpaceDN/>
            <w:bidi w:val="0"/>
            <w:adjustRightInd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_Toc32740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_Toc32740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ascii="宋体" w:hAnsi="宋体" w:cs="宋体"/>
              <w:color w:val="auto"/>
              <w:highlight w:val="none"/>
            </w:rPr>
          </w:pPr>
          <w:r>
            <w:rPr>
              <w:rFonts w:hint="eastAsia" w:ascii="宋体" w:hAnsi="宋体" w:eastAsia="宋体" w:cs="宋体"/>
              <w:color w:val="auto"/>
              <w:sz w:val="28"/>
              <w:szCs w:val="28"/>
              <w:highlight w:val="none"/>
            </w:rPr>
            <w:fldChar w:fldCharType="end"/>
          </w:r>
        </w:p>
      </w:sdtContent>
    </w:sdt>
    <w:p>
      <w:pPr>
        <w:pStyle w:val="79"/>
        <w:ind w:firstLine="460"/>
        <w:rPr>
          <w:color w:val="auto"/>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ind w:firstLine="549" w:firstLineChars="229"/>
        <w:rPr>
          <w:rFonts w:ascii="宋体" w:hAnsi="宋体" w:cs="宋体"/>
          <w:color w:val="auto"/>
          <w:sz w:val="24"/>
          <w:highlight w:val="none"/>
        </w:rPr>
      </w:pPr>
    </w:p>
    <w:p>
      <w:pPr>
        <w:spacing w:line="360" w:lineRule="auto"/>
        <w:rPr>
          <w:rFonts w:ascii="宋体" w:hAnsi="宋体" w:cs="宋体"/>
          <w:color w:val="auto"/>
          <w:sz w:val="24"/>
          <w:highlight w:val="none"/>
        </w:rPr>
      </w:pPr>
    </w:p>
    <w:p>
      <w:pPr>
        <w:numPr>
          <w:ilvl w:val="0"/>
          <w:numId w:val="1"/>
        </w:numPr>
        <w:adjustRightInd/>
        <w:spacing w:line="360" w:lineRule="auto"/>
        <w:jc w:val="center"/>
        <w:outlineLvl w:val="0"/>
        <w:rPr>
          <w:rFonts w:ascii="宋体" w:hAnsi="宋体" w:cs="宋体"/>
          <w:b/>
          <w:color w:val="auto"/>
          <w:sz w:val="36"/>
          <w:szCs w:val="20"/>
          <w:highlight w:val="none"/>
        </w:rPr>
      </w:pPr>
      <w:bookmarkStart w:id="16" w:name="第一部分"/>
      <w:r>
        <w:rPr>
          <w:rFonts w:hint="eastAsia" w:ascii="宋体" w:hAnsi="宋体" w:cs="宋体"/>
          <w:b/>
          <w:color w:val="auto"/>
          <w:sz w:val="36"/>
          <w:szCs w:val="36"/>
          <w:highlight w:val="none"/>
        </w:rPr>
        <w:br w:type="page"/>
      </w:r>
      <w:bookmarkEnd w:id="15"/>
      <w:bookmarkEnd w:id="16"/>
      <w:bookmarkStart w:id="17" w:name="_Hlt74649545"/>
      <w:bookmarkEnd w:id="17"/>
      <w:bookmarkStart w:id="18" w:name="_Hlt74729822"/>
      <w:bookmarkEnd w:id="18"/>
      <w:bookmarkStart w:id="19" w:name="_Hlt74707423"/>
      <w:bookmarkEnd w:id="19"/>
      <w:bookmarkStart w:id="20" w:name="_Hlt74728647"/>
      <w:bookmarkEnd w:id="20"/>
      <w:bookmarkStart w:id="21" w:name="_Toc176185119"/>
      <w:bookmarkStart w:id="22" w:name="_Toc176343848"/>
      <w:bookmarkStart w:id="23" w:name="第二部分"/>
      <w:bookmarkStart w:id="24" w:name="_Toc91899870"/>
      <w:bookmarkStart w:id="25" w:name="_Toc91899871"/>
      <w:r>
        <w:rPr>
          <w:rFonts w:hint="eastAsia" w:ascii="宋体" w:hAnsi="宋体" w:cs="宋体"/>
          <w:b/>
          <w:color w:val="auto"/>
          <w:sz w:val="36"/>
          <w:szCs w:val="20"/>
          <w:highlight w:val="none"/>
        </w:rPr>
        <w:t xml:space="preserve"> </w:t>
      </w:r>
      <w:bookmarkStart w:id="26" w:name="_Toc13202"/>
      <w:r>
        <w:rPr>
          <w:rFonts w:hint="eastAsia" w:ascii="宋体" w:hAnsi="宋体" w:cs="宋体"/>
          <w:b/>
          <w:color w:val="auto"/>
          <w:sz w:val="36"/>
          <w:szCs w:val="20"/>
          <w:highlight w:val="none"/>
        </w:rPr>
        <w:t>招标公告</w:t>
      </w:r>
      <w:bookmarkEnd w:id="21"/>
      <w:bookmarkEnd w:id="22"/>
      <w:bookmarkEnd w:id="26"/>
    </w:p>
    <w:p>
      <w:pPr>
        <w:pStyle w:val="41"/>
        <w:rPr>
          <w:rFonts w:ascii="宋体" w:hAnsi="宋体" w:cs="宋体"/>
          <w:b/>
          <w:color w:val="auto"/>
          <w:sz w:val="32"/>
          <w:szCs w:val="32"/>
          <w:highlight w:val="none"/>
        </w:rPr>
      </w:pPr>
      <w:bookmarkStart w:id="27" w:name="OLE_LINK2"/>
      <w:bookmarkStart w:id="28" w:name="OLE_LINK41"/>
      <w:bookmarkStart w:id="29" w:name="OLE_LINK40"/>
      <w:r>
        <w:rPr>
          <w:rFonts w:hint="eastAsia" w:ascii="宋体" w:hAnsi="宋体" w:cs="宋体"/>
          <w:b/>
          <w:color w:val="auto"/>
          <w:sz w:val="32"/>
          <w:szCs w:val="32"/>
          <w:highlight w:val="none"/>
        </w:rPr>
        <w:t>北海市政府采购中心关于北海市信息中心2025-2027年北海市政务云服务平台项目监理及第三方服务(</w:t>
      </w:r>
      <w:r>
        <w:rPr>
          <w:rFonts w:hint="eastAsia" w:ascii="宋体" w:hAnsi="宋体" w:cs="宋体"/>
          <w:b/>
          <w:color w:val="auto"/>
          <w:sz w:val="32"/>
          <w:szCs w:val="32"/>
          <w:highlight w:val="none"/>
          <w:lang w:eastAsia="zh-CN"/>
        </w:rPr>
        <w:t>BHZC2025-G3-990241-CGZX</w:t>
      </w:r>
      <w:r>
        <w:rPr>
          <w:rFonts w:hint="eastAsia" w:ascii="宋体" w:hAnsi="宋体" w:cs="宋体"/>
          <w:b/>
          <w:color w:val="auto"/>
          <w:sz w:val="32"/>
          <w:szCs w:val="32"/>
          <w:highlight w:val="none"/>
        </w:rPr>
        <w:t>)</w:t>
      </w:r>
      <w:bookmarkEnd w:id="27"/>
    </w:p>
    <w:p>
      <w:pPr>
        <w:pStyle w:val="41"/>
        <w:rPr>
          <w:rFonts w:ascii="宋体" w:hAnsi="宋体" w:cs="宋体"/>
          <w:b/>
          <w:color w:val="auto"/>
          <w:sz w:val="32"/>
          <w:szCs w:val="32"/>
          <w:highlight w:val="none"/>
        </w:rPr>
      </w:pPr>
      <w:r>
        <w:rPr>
          <w:rFonts w:hint="eastAsia" w:ascii="宋体" w:hAnsi="宋体" w:cs="宋体"/>
          <w:b/>
          <w:color w:val="auto"/>
          <w:sz w:val="32"/>
          <w:szCs w:val="32"/>
          <w:highlight w:val="none"/>
        </w:rPr>
        <w:t>公开招标公告（远程异地评标）</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u w:val="single"/>
        </w:rPr>
        <w:t>2025-2027年北海市政务云服务平台项目监理及第三方服务</w:t>
      </w:r>
      <w:r>
        <w:rPr>
          <w:rFonts w:hint="eastAsia" w:asciiTheme="minorEastAsia" w:hAnsiTheme="minorEastAsia" w:eastAsiaTheme="minorEastAsia"/>
          <w:color w:val="auto"/>
          <w:sz w:val="24"/>
          <w:highlight w:val="none"/>
        </w:rPr>
        <w:t>招标项目的潜在投标人应在</w:t>
      </w:r>
      <w:r>
        <w:rPr>
          <w:rFonts w:hint="eastAsia" w:ascii="宋体" w:hAnsi="宋体" w:cs="宋体"/>
          <w:color w:val="auto"/>
          <w:sz w:val="24"/>
          <w:highlight w:val="none"/>
        </w:rPr>
        <w:t>广西政府采购云平台（</w:t>
      </w:r>
      <w:r>
        <w:rPr>
          <w:color w:val="auto"/>
          <w:highlight w:val="none"/>
        </w:rPr>
        <w:fldChar w:fldCharType="begin"/>
      </w:r>
      <w:r>
        <w:rPr>
          <w:color w:val="auto"/>
          <w:highlight w:val="none"/>
        </w:rPr>
        <w:instrText xml:space="preserve"> HYPERLINK "https://www.gcy.zfcg.gxzf.gov.cn/）获取（下载）招标文件，并于2025年" </w:instrText>
      </w:r>
      <w:r>
        <w:rPr>
          <w:color w:val="auto"/>
          <w:highlight w:val="none"/>
        </w:rPr>
        <w:fldChar w:fldCharType="separate"/>
      </w:r>
      <w:r>
        <w:rPr>
          <w:rStyle w:val="76"/>
          <w:rFonts w:hint="eastAsia" w:ascii="宋体" w:hAnsi="宋体" w:eastAsia="宋体" w:cs="宋体"/>
          <w:snapToGrid/>
          <w:color w:val="auto"/>
          <w:kern w:val="2"/>
          <w:sz w:val="24"/>
          <w:szCs w:val="24"/>
          <w:highlight w:val="none"/>
        </w:rPr>
        <w:t>https://www.gcy.zfcg.gxzf.gov.cn/）</w:t>
      </w:r>
      <w:r>
        <w:rPr>
          <w:rStyle w:val="76"/>
          <w:rFonts w:cs="Times New Roman" w:asciiTheme="minorEastAsia" w:hAnsiTheme="minorEastAsia" w:eastAsiaTheme="minorEastAsia"/>
          <w:snapToGrid/>
          <w:color w:val="auto"/>
          <w:kern w:val="2"/>
          <w:sz w:val="24"/>
          <w:szCs w:val="24"/>
          <w:highlight w:val="none"/>
        </w:rPr>
        <w:t>获取（下载）招标文件，并于</w:t>
      </w:r>
      <w:r>
        <w:rPr>
          <w:rStyle w:val="76"/>
          <w:rFonts w:hint="eastAsia" w:cs="Times New Roman" w:asciiTheme="minorEastAsia" w:hAnsiTheme="minorEastAsia" w:eastAsiaTheme="minorEastAsia"/>
          <w:snapToGrid/>
          <w:color w:val="auto"/>
          <w:kern w:val="2"/>
          <w:sz w:val="24"/>
          <w:szCs w:val="24"/>
          <w:highlight w:val="none"/>
        </w:rPr>
        <w:t>2025年</w:t>
      </w:r>
      <w:r>
        <w:rPr>
          <w:rStyle w:val="76"/>
          <w:rFonts w:hint="eastAsia" w:cs="Times New Roman" w:asciiTheme="minorEastAsia" w:hAnsiTheme="minorEastAsia" w:eastAsiaTheme="minorEastAsia"/>
          <w:snapToGrid/>
          <w:color w:val="auto"/>
          <w:kern w:val="2"/>
          <w:sz w:val="24"/>
          <w:szCs w:val="24"/>
          <w:highlight w:val="none"/>
        </w:rPr>
        <w:fldChar w:fldCharType="end"/>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24</w:t>
      </w:r>
      <w:r>
        <w:rPr>
          <w:rFonts w:hint="eastAsia" w:asciiTheme="minorEastAsia" w:hAnsiTheme="minorEastAsia" w:eastAsiaTheme="minorEastAsia"/>
          <w:color w:val="auto"/>
          <w:sz w:val="24"/>
          <w:highlight w:val="none"/>
        </w:rPr>
        <w:t>日9点00分00秒</w:t>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w:t>
      </w:r>
      <w:r>
        <w:rPr>
          <w:rFonts w:hint="eastAsia" w:ascii="宋体" w:hAnsi="宋体" w:cs="宋体"/>
          <w:color w:val="auto"/>
          <w:sz w:val="24"/>
          <w:highlight w:val="none"/>
          <w:lang w:eastAsia="zh-CN"/>
        </w:rPr>
        <w:t>BHZC2025-G3-990241-CGZX</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项目名称：</w:t>
      </w:r>
      <w:bookmarkStart w:id="30" w:name="OLE_LINK99"/>
      <w:bookmarkStart w:id="31" w:name="OLE_LINK100"/>
      <w:r>
        <w:rPr>
          <w:rFonts w:hint="eastAsia" w:ascii="宋体" w:hAnsi="宋体" w:cs="宋体"/>
          <w:color w:val="auto"/>
          <w:sz w:val="24"/>
          <w:highlight w:val="none"/>
        </w:rPr>
        <w:t>2025-2027年北海市政务云服务平台项目监理及第三方服务</w:t>
      </w:r>
    </w:p>
    <w:bookmarkEnd w:id="30"/>
    <w:bookmarkEnd w:id="31"/>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预算金额（元）：</w:t>
      </w:r>
      <w:bookmarkStart w:id="32" w:name="OLE_LINK22"/>
      <w:bookmarkStart w:id="33" w:name="OLE_LINK79"/>
      <w:bookmarkStart w:id="34" w:name="OLE_LINK80"/>
      <w:bookmarkStart w:id="35" w:name="OLE_LINK11"/>
      <w:r>
        <w:rPr>
          <w:rFonts w:hint="eastAsia" w:ascii="宋体" w:hAnsi="宋体" w:cs="宋体"/>
          <w:color w:val="auto"/>
          <w:sz w:val="24"/>
          <w:highlight w:val="none"/>
        </w:rPr>
        <w:t xml:space="preserve"> </w:t>
      </w:r>
      <w:bookmarkEnd w:id="32"/>
      <w:bookmarkEnd w:id="33"/>
      <w:bookmarkEnd w:id="34"/>
      <w:bookmarkEnd w:id="35"/>
      <w:r>
        <w:rPr>
          <w:rFonts w:hint="eastAsia" w:ascii="宋体" w:hAnsi="宋体" w:cs="宋体"/>
          <w:color w:val="auto"/>
          <w:sz w:val="24"/>
          <w:highlight w:val="none"/>
        </w:rPr>
        <w:t>659040</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采购需求：</w:t>
      </w:r>
    </w:p>
    <w:p>
      <w:pPr>
        <w:spacing w:line="360" w:lineRule="auto"/>
        <w:ind w:firstLine="480"/>
        <w:rPr>
          <w:rFonts w:ascii="宋体" w:hAnsi="宋体" w:cs="宋体"/>
          <w:color w:val="auto"/>
          <w:sz w:val="24"/>
          <w:highlight w:val="none"/>
        </w:rPr>
      </w:pP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标项名称:</w:t>
      </w:r>
      <w:r>
        <w:rPr>
          <w:rFonts w:hint="eastAsia" w:hAnsi="宋体" w:cs="宋体"/>
          <w:color w:val="auto"/>
          <w:sz w:val="24"/>
          <w:highlight w:val="none"/>
        </w:rPr>
        <w:t xml:space="preserve"> </w:t>
      </w:r>
      <w:r>
        <w:rPr>
          <w:rFonts w:hint="eastAsia" w:hAnsi="宋体" w:cs="宋体"/>
          <w:color w:val="auto"/>
          <w:kern w:val="0"/>
          <w:sz w:val="24"/>
          <w:highlight w:val="none"/>
        </w:rPr>
        <w:t>2025-2027年北海市政务云服务平台项目监理及第三方服务</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数量:1项</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 xml:space="preserve">预算金额（元）: </w:t>
      </w:r>
      <w:bookmarkStart w:id="36" w:name="OLE_LINK42"/>
      <w:bookmarkStart w:id="37" w:name="OLE_LINK43"/>
      <w:r>
        <w:rPr>
          <w:rFonts w:hint="eastAsia" w:hAnsi="宋体" w:cs="宋体"/>
          <w:snapToGrid/>
          <w:color w:val="auto"/>
          <w:kern w:val="2"/>
          <w:sz w:val="24"/>
          <w:szCs w:val="24"/>
          <w:highlight w:val="none"/>
        </w:rPr>
        <w:t>659040</w:t>
      </w:r>
    </w:p>
    <w:bookmarkEnd w:id="36"/>
    <w:bookmarkEnd w:id="37"/>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简要规格描述或项目基本概况介绍、用途：2025-2027年北海市政务云服务平台项目监理及第三方服务，具体以招标文件第三部分采购需求为准。</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最高限价（如有）：/</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合同履约期限：自合同签订之日起至项目全部验收通过之日止。</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本标项（否）接受联合体投标</w:t>
      </w:r>
    </w:p>
    <w:p>
      <w:pPr>
        <w:pStyle w:val="6"/>
        <w:spacing w:line="360" w:lineRule="auto"/>
        <w:ind w:firstLine="480"/>
        <w:rPr>
          <w:rFonts w:hAnsi="宋体" w:cs="宋体"/>
          <w:color w:val="auto"/>
          <w:kern w:val="0"/>
          <w:sz w:val="24"/>
          <w:highlight w:val="none"/>
        </w:rPr>
      </w:pPr>
      <w:r>
        <w:rPr>
          <w:rFonts w:hint="eastAsia" w:hAnsi="宋体" w:cs="宋体"/>
          <w:color w:val="auto"/>
          <w:kern w:val="0"/>
          <w:sz w:val="24"/>
          <w:highlight w:val="none"/>
        </w:rPr>
        <w:t>备注：</w:t>
      </w:r>
    </w:p>
    <w:p>
      <w:pPr>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二、</w:t>
      </w:r>
      <w:bookmarkStart w:id="38" w:name="_Hlk101132948"/>
      <w:r>
        <w:rPr>
          <w:rFonts w:hint="eastAsia" w:ascii="宋体" w:hAnsi="宋体" w:cs="宋体"/>
          <w:b/>
          <w:color w:val="auto"/>
          <w:sz w:val="24"/>
          <w:highlight w:val="none"/>
        </w:rPr>
        <w:t>申请人的资格要求</w:t>
      </w:r>
      <w:bookmarkEnd w:id="38"/>
      <w:r>
        <w:rPr>
          <w:rFonts w:hint="eastAsia" w:ascii="宋体" w:hAnsi="宋体" w:cs="宋体"/>
          <w:b/>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2.落实政府采购政策需满足的资格要求：无；</w:t>
      </w:r>
    </w:p>
    <w:p>
      <w:pPr>
        <w:pStyle w:val="6"/>
        <w:spacing w:line="360" w:lineRule="auto"/>
        <w:ind w:firstLine="480"/>
        <w:rPr>
          <w:rFonts w:hAnsi="宋体" w:cs="宋体"/>
          <w:color w:val="auto"/>
          <w:sz w:val="24"/>
          <w:highlight w:val="none"/>
        </w:rPr>
      </w:pPr>
      <w:r>
        <w:rPr>
          <w:rFonts w:hint="eastAsia" w:hAnsi="宋体" w:cs="宋体"/>
          <w:color w:val="auto"/>
          <w:sz w:val="24"/>
          <w:highlight w:val="none"/>
        </w:rPr>
        <w:t>3.本项目的特定资格要求：无。</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方式：供应商登录广西政府采购云平台（https://www.gcy.zfcg.gxzf.gov.cn/）在线申请获取采购文件（进入“项目采购”应用，在获取采购文件菜单中选择项目，申请获取采购文件）。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售价（元）：0 </w:t>
      </w:r>
      <w:r>
        <w:rPr>
          <w:rFonts w:hint="eastAsia" w:ascii="宋体" w:hAnsi="宋体" w:cs="宋体"/>
          <w:color w:val="auto"/>
          <w:sz w:val="24"/>
          <w:highlight w:val="none"/>
        </w:rPr>
        <w:tab/>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rPr>
        <w:t xml:space="preserve"> 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日9点00分00秒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2025年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日9点00分00秒</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pPr>
        <w:spacing w:line="360" w:lineRule="auto"/>
        <w:ind w:firstLine="480" w:firstLineChars="200"/>
        <w:rPr>
          <w:rFonts w:ascii="宋体" w:hAnsi="宋体" w:cs="宋体"/>
          <w:color w:val="auto"/>
          <w:sz w:val="24"/>
          <w:highlight w:val="none"/>
        </w:rPr>
      </w:pPr>
      <w:bookmarkStart w:id="39" w:name="OLE_LINK135"/>
      <w:bookmarkStart w:id="40" w:name="OLE_LINK133"/>
      <w:bookmarkStart w:id="41" w:name="OLE_LINK134"/>
      <w:r>
        <w:rPr>
          <w:rFonts w:hint="eastAsia" w:ascii="宋体" w:hAnsi="宋体" w:cs="宋体"/>
          <w:color w:val="auto"/>
          <w:sz w:val="24"/>
          <w:highlight w:val="none"/>
        </w:rPr>
        <w:t>1.本项目不收取投标保证金。</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接受组成联合体或者允许大中型企业向一家或者多家小微企业分包的政府采购项目</w:t>
      </w:r>
      <w:r>
        <w:rPr>
          <w:rFonts w:hint="eastAsia" w:ascii="宋体" w:hAnsi="宋体" w:cs="宋体"/>
          <w:color w:val="auto"/>
          <w:sz w:val="24"/>
          <w:highlight w:val="none"/>
          <w:lang w:eastAsia="zh-CN"/>
        </w:rPr>
        <w:t>，对于联合协议或者分包意向协议约定小微企业的合同份额占到合同总金额30%以上的，对联合体或者大中型企业的报价给予6%的扣除，</w:t>
      </w:r>
      <w:r>
        <w:rPr>
          <w:rFonts w:hint="eastAsia" w:ascii="宋体" w:hAnsi="宋体" w:cs="宋体"/>
          <w:color w:val="auto"/>
          <w:sz w:val="24"/>
          <w:highlight w:val="none"/>
        </w:rPr>
        <w:t>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w:t>
      </w:r>
      <w:bookmarkStart w:id="42" w:name="OLE_LINK33"/>
      <w:bookmarkStart w:id="43" w:name="OLE_LINK124"/>
      <w:bookmarkStart w:id="44" w:name="OLE_LINK123"/>
      <w:bookmarkStart w:id="45" w:name="OLE_LINK32"/>
      <w:r>
        <w:rPr>
          <w:rFonts w:hint="eastAsia" w:ascii="宋体" w:hAnsi="宋体"/>
          <w:color w:val="auto"/>
          <w:sz w:val="24"/>
          <w:highlight w:val="none"/>
        </w:rPr>
        <w:t>中国政府采购网、广西政府采购网、北海市政府采购监管网、全国公共资源交易平台（广西•北海）、北海市人民政府网-北海市政府采购中心网站</w:t>
      </w:r>
      <w:bookmarkEnd w:id="42"/>
      <w:bookmarkEnd w:id="43"/>
      <w:bookmarkEnd w:id="44"/>
      <w:bookmarkEnd w:id="45"/>
      <w:r>
        <w:rPr>
          <w:rFonts w:hint="eastAsia" w:ascii="宋体" w:hAnsi="宋体" w:cs="宋体"/>
          <w:color w:val="auto"/>
          <w:sz w:val="24"/>
          <w:highlight w:val="none"/>
        </w:rPr>
        <w:t>。</w:t>
      </w:r>
    </w:p>
    <w:p>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8.本项目为北海市推动解决政府采购异常低价试点项目。</w:t>
      </w:r>
    </w:p>
    <w:bookmarkEnd w:id="39"/>
    <w:bookmarkEnd w:id="40"/>
    <w:bookmarkEnd w:id="41"/>
    <w:p>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名    称：北海市信息中心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址：北海市海城区长青东路90号       </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项目联系人：许观就</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项目联系方式：</w:t>
      </w:r>
      <w:r>
        <w:rPr>
          <w:rFonts w:ascii="宋体" w:hAnsi="宋体" w:cs="宋体"/>
          <w:color w:val="auto"/>
          <w:sz w:val="24"/>
          <w:highlight w:val="none"/>
        </w:rPr>
        <w:t>0779-2052603</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2.采购代理机构信息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称：北海市政府采购中心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址：北海市海城区陈文村北路7号市直机关第三办公区2号楼一层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欧呈东</w:t>
      </w:r>
      <w:r>
        <w:rPr>
          <w:rFonts w:hint="eastAsia" w:ascii="宋体" w:hAnsi="宋体" w:cs="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bookmarkStart w:id="46" w:name="_Toc10395"/>
      <w:bookmarkStart w:id="47" w:name="_Toc6543"/>
      <w:r>
        <w:rPr>
          <w:rFonts w:hint="eastAsia" w:ascii="宋体" w:hAnsi="宋体" w:cs="宋体"/>
          <w:color w:val="auto"/>
          <w:sz w:val="24"/>
          <w:highlight w:val="none"/>
        </w:rPr>
        <w:t>项目联系方式(询问)：0779-3071101</w:t>
      </w:r>
      <w:bookmarkEnd w:id="46"/>
      <w:bookmarkEnd w:id="47"/>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bookmarkEnd w:id="28"/>
    <w:bookmarkEnd w:id="29"/>
    <w:p>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pPr>
        <w:adjustRightInd/>
        <w:spacing w:line="360" w:lineRule="auto"/>
        <w:jc w:val="center"/>
        <w:outlineLvl w:val="0"/>
        <w:rPr>
          <w:rFonts w:ascii="宋体" w:hAnsi="宋体" w:cs="宋体"/>
          <w:b/>
          <w:color w:val="auto"/>
          <w:sz w:val="36"/>
          <w:szCs w:val="20"/>
          <w:highlight w:val="none"/>
        </w:rPr>
      </w:pPr>
      <w:bookmarkStart w:id="48" w:name="_Toc176368903"/>
      <w:bookmarkStart w:id="49" w:name="_Toc17258"/>
      <w:r>
        <w:rPr>
          <w:rFonts w:hint="eastAsia" w:ascii="宋体" w:hAnsi="宋体" w:cs="宋体"/>
          <w:b/>
          <w:color w:val="auto"/>
          <w:sz w:val="36"/>
          <w:szCs w:val="20"/>
          <w:highlight w:val="none"/>
        </w:rPr>
        <w:t>第二部分</w:t>
      </w:r>
      <w:bookmarkEnd w:id="23"/>
      <w:r>
        <w:rPr>
          <w:rFonts w:hint="eastAsia" w:ascii="宋体" w:hAnsi="宋体" w:cs="宋体"/>
          <w:b/>
          <w:color w:val="auto"/>
          <w:sz w:val="36"/>
          <w:szCs w:val="20"/>
          <w:highlight w:val="none"/>
        </w:rPr>
        <w:t xml:space="preserve"> 投标人须知</w:t>
      </w:r>
      <w:bookmarkEnd w:id="24"/>
      <w:bookmarkEnd w:id="48"/>
      <w:bookmarkEnd w:id="49"/>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hAnsi="宋体" w:cs="宋体"/>
                <w:color w:val="auto"/>
                <w:kern w:val="0"/>
                <w:sz w:val="24"/>
                <w:highlight w:val="none"/>
              </w:rPr>
              <w:t>2025-2027年北海市政务云服务平台项目监理及第三方服务</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其他未列明行业 </w:t>
            </w:r>
            <w:r>
              <w:rPr>
                <w:rFonts w:hint="eastAsia" w:ascii="宋体" w:hAnsi="宋体" w:cs="宋体"/>
                <w:color w:val="auto"/>
                <w:kern w:val="0"/>
                <w:sz w:val="24"/>
                <w:highlight w:val="none"/>
              </w:rPr>
              <w:t>行业；</w:t>
            </w:r>
          </w:p>
          <w:p>
            <w:pPr>
              <w:snapToGrid w:val="0"/>
              <w:spacing w:line="360" w:lineRule="auto"/>
              <w:rPr>
                <w:rFonts w:ascii="宋体" w:hAnsi="宋体" w:cs="宋体"/>
                <w:color w:val="auto"/>
                <w:kern w:val="0"/>
                <w:sz w:val="24"/>
                <w:highlight w:val="none"/>
              </w:rPr>
            </w:pPr>
          </w:p>
          <w:p>
            <w:pPr>
              <w:snapToGrid w:val="0"/>
              <w:spacing w:line="360" w:lineRule="auto"/>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w:t>
            </w:r>
            <w:bookmarkStart w:id="50" w:name="OLE_LINK10"/>
            <w:r>
              <w:rPr>
                <w:rFonts w:hint="eastAsia" w:ascii="宋体" w:hAnsi="宋体" w:cs="宋体"/>
                <w:color w:val="auto"/>
                <w:sz w:val="24"/>
                <w:highlight w:val="none"/>
              </w:rPr>
              <w:t>非主体、非关键性的</w:t>
            </w:r>
            <w:r>
              <w:rPr>
                <w:rFonts w:hint="eastAsia" w:ascii="宋体" w:hAnsi="宋体" w:cs="宋体"/>
                <w:color w:val="auto"/>
                <w:sz w:val="24"/>
                <w:highlight w:val="none"/>
                <w:u w:val="single"/>
              </w:rPr>
              <w:t>第三方测试服务和</w:t>
            </w:r>
            <w:r>
              <w:rPr>
                <w:rFonts w:hint="eastAsia" w:ascii="宋体" w:hAnsi="宋体" w:cs="宋体"/>
                <w:color w:val="auto"/>
                <w:sz w:val="24"/>
                <w:highlight w:val="none"/>
                <w:u w:val="single"/>
                <w:lang w:val="en-US" w:eastAsia="zh-CN"/>
              </w:rPr>
              <w:t>项目</w:t>
            </w:r>
            <w:r>
              <w:rPr>
                <w:rFonts w:hint="eastAsia" w:ascii="宋体" w:hAnsi="宋体" w:cs="宋体"/>
                <w:color w:val="auto"/>
                <w:sz w:val="24"/>
                <w:highlight w:val="none"/>
                <w:u w:val="single"/>
              </w:rPr>
              <w:t>结算审计服务</w:t>
            </w:r>
            <w:r>
              <w:rPr>
                <w:rFonts w:hint="eastAsia" w:ascii="宋体" w:hAnsi="宋体" w:cs="宋体"/>
                <w:color w:val="auto"/>
                <w:sz w:val="24"/>
                <w:highlight w:val="none"/>
              </w:rPr>
              <w:t>工作分包</w:t>
            </w:r>
            <w:bookmarkEnd w:id="50"/>
            <w:r>
              <w:rPr>
                <w:rFonts w:hint="eastAsia" w:ascii="宋体" w:hAnsi="宋体" w:cs="宋体"/>
                <w:color w:val="auto"/>
                <w:sz w:val="24"/>
                <w:highlight w:val="none"/>
              </w:rPr>
              <w:t>。</w:t>
            </w:r>
          </w:p>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182"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182"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182"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700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pPr>
              <w:spacing w:line="360" w:lineRule="auto"/>
              <w:ind w:firstLine="480" w:firstLineChars="200"/>
              <w:rPr>
                <w:rFonts w:ascii="宋体" w:hAnsi="宋体" w:cs="宋体"/>
                <w:color w:val="auto"/>
                <w:sz w:val="24"/>
                <w:highlight w:val="none"/>
              </w:rPr>
            </w:pPr>
            <w:bookmarkStart w:id="51" w:name="OLE_LINK48"/>
            <w:r>
              <w:rPr>
                <w:rFonts w:hint="eastAsia" w:ascii="宋体" w:hAnsi="宋体" w:cs="宋体"/>
                <w:color w:val="auto"/>
                <w:kern w:val="0"/>
                <w:sz w:val="24"/>
                <w:highlight w:val="none"/>
              </w:rPr>
              <w:t>报价属于采购文件规定的异常低价情形之一，且</w:t>
            </w:r>
            <w:bookmarkEnd w:id="51"/>
            <w:r>
              <w:rPr>
                <w:rFonts w:hint="eastAsia" w:ascii="宋体" w:hAnsi="宋体" w:cs="宋体"/>
                <w:color w:val="auto"/>
                <w:kern w:val="0"/>
                <w:sz w:val="24"/>
                <w:highlight w:val="none"/>
              </w:rPr>
              <w:t>未能按要求提供书面说明或者提交相关证明材料证明其报价合理性的</w:t>
            </w:r>
            <w:r>
              <w:rPr>
                <w:rFonts w:hint="eastAsia" w:ascii="宋体" w:hAnsi="宋体" w:cs="宋体"/>
                <w:color w:val="auto"/>
                <w:sz w:val="24"/>
                <w:szCs w:val="21"/>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182" w:type="dxa"/>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005" w:type="dxa"/>
            <w:tcBorders>
              <w:top w:val="single" w:color="000000" w:sz="8" w:space="0"/>
              <w:left w:val="single" w:color="000000" w:sz="2" w:space="0"/>
              <w:right w:val="single" w:color="000000" w:sz="8" w:space="0"/>
            </w:tcBorders>
            <w:vAlign w:val="center"/>
          </w:tcPr>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182"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3"/>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182"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700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highlight w:val="none"/>
              </w:rPr>
            </w:pPr>
          </w:p>
        </w:tc>
        <w:tc>
          <w:tcPr>
            <w:tcW w:w="2182"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highlight w:val="none"/>
              </w:rPr>
            </w:pPr>
          </w:p>
        </w:tc>
        <w:tc>
          <w:tcPr>
            <w:tcW w:w="700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18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00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pPr>
        <w:snapToGrid w:val="0"/>
        <w:spacing w:line="360" w:lineRule="auto"/>
        <w:jc w:val="center"/>
        <w:rPr>
          <w:rFonts w:ascii="宋体" w:hAnsi="宋体" w:cs="宋体"/>
          <w:b/>
          <w:color w:val="auto"/>
          <w:sz w:val="32"/>
          <w:szCs w:val="20"/>
          <w:highlight w:val="none"/>
        </w:rPr>
      </w:pPr>
    </w:p>
    <w:bookmarkEnd w:id="25"/>
    <w:p>
      <w:pPr>
        <w:adjustRightInd/>
        <w:spacing w:line="360" w:lineRule="auto"/>
        <w:ind w:firstLine="3845" w:firstLineChars="1197"/>
        <w:outlineLvl w:val="1"/>
        <w:rPr>
          <w:rFonts w:ascii="宋体" w:hAnsi="宋体" w:cs="宋体"/>
          <w:b/>
          <w:color w:val="auto"/>
          <w:sz w:val="32"/>
          <w:szCs w:val="20"/>
          <w:highlight w:val="none"/>
        </w:rPr>
      </w:pPr>
      <w:bookmarkStart w:id="52" w:name="_Toc164416483"/>
      <w:bookmarkStart w:id="53" w:name="第三部分"/>
      <w:r>
        <w:rPr>
          <w:rFonts w:hint="eastAsia" w:ascii="宋体" w:hAnsi="宋体" w:cs="宋体"/>
          <w:b/>
          <w:color w:val="auto"/>
          <w:sz w:val="32"/>
          <w:szCs w:val="20"/>
          <w:highlight w:val="none"/>
        </w:rPr>
        <w:t>一、总则</w:t>
      </w:r>
    </w:p>
    <w:p>
      <w:pPr>
        <w:snapToGrid w:val="0"/>
        <w:spacing w:line="360" w:lineRule="auto"/>
        <w:ind w:firstLine="361" w:firstLineChars="150"/>
        <w:jc w:val="left"/>
        <w:rPr>
          <w:rFonts w:ascii="宋体" w:hAnsi="宋体" w:cs="宋体"/>
          <w:b/>
          <w:color w:val="auto"/>
          <w:sz w:val="24"/>
          <w:highlight w:val="none"/>
        </w:rPr>
      </w:pPr>
      <w:r>
        <w:rPr>
          <w:rFonts w:hint="eastAsia" w:ascii="宋体" w:hAnsi="宋体" w:cs="宋体"/>
          <w:b/>
          <w:color w:val="auto"/>
          <w:sz w:val="24"/>
          <w:highlight w:val="none"/>
        </w:rPr>
        <w:t>1. 适用范围</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pPr>
        <w:adjustRightInd/>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2.定义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w:t>
      </w:r>
      <w:bookmarkStart w:id="54" w:name="OLE_LINK20"/>
      <w:bookmarkStart w:id="55" w:name="OLE_LINK30"/>
      <w:bookmarkStart w:id="56" w:name="OLE_LINK27"/>
      <w:r>
        <w:rPr>
          <w:rFonts w:hint="eastAsia" w:ascii="宋体" w:hAnsi="宋体" w:cs="宋体"/>
          <w:color w:val="auto"/>
          <w:sz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57" w:name="_Hlk101132181"/>
      <w:r>
        <w:rPr>
          <w:rFonts w:hint="eastAsia" w:ascii="宋体" w:hAnsi="宋体" w:cs="宋体"/>
          <w:color w:val="auto"/>
          <w:sz w:val="24"/>
          <w:highlight w:val="none"/>
        </w:rPr>
        <w:t>联合协议或者分包意向协议约定小微企业的合同份额占到合同总金额30%以上的</w:t>
      </w:r>
      <w:bookmarkEnd w:id="57"/>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bookmarkEnd w:id="54"/>
      <w:r>
        <w:rPr>
          <w:rFonts w:hint="eastAsia" w:ascii="宋体" w:hAnsi="宋体" w:cs="宋体"/>
          <w:color w:val="auto"/>
          <w:sz w:val="24"/>
          <w:highlight w:val="none"/>
        </w:rPr>
        <w:t>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bookmarkEnd w:id="55"/>
    <w:bookmarkEnd w:id="56"/>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83"/>
        <w:rPr>
          <w:bCs/>
          <w:color w:val="auto"/>
          <w:highlight w:val="none"/>
        </w:rPr>
      </w:pPr>
      <w:r>
        <w:rPr>
          <w:rFonts w:hint="eastAsia"/>
          <w:color w:val="auto"/>
          <w:highlight w:val="none"/>
        </w:rPr>
        <w:t>3.6平等对待符合条件的破产重整企业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询问联系部门：北海市政府采购中心采购一科   联系电话：0779-3071101  地址：北海市海城区陈文村北路7号市直机关第三办公区</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质疑联系部门：北海市政府采购中心监督科   联系电话：</w:t>
      </w:r>
      <w:r>
        <w:rPr>
          <w:rFonts w:ascii="宋体" w:hAnsi="宋体"/>
          <w:color w:val="auto"/>
          <w:kern w:val="0"/>
          <w:sz w:val="24"/>
          <w:szCs w:val="20"/>
          <w:highlight w:val="none"/>
        </w:rPr>
        <w:t>0779-3960826</w:t>
      </w:r>
      <w:r>
        <w:rPr>
          <w:rFonts w:hint="eastAsia" w:ascii="宋体" w:hAnsi="宋体"/>
          <w:color w:val="auto"/>
          <w:kern w:val="0"/>
          <w:sz w:val="24"/>
          <w:szCs w:val="20"/>
          <w:highlight w:val="none"/>
        </w:rPr>
        <w:t xml:space="preserve">    地址：北海市海城区陈文村北路7号市直机关第三办公区</w:t>
      </w:r>
    </w:p>
    <w:p>
      <w:pPr>
        <w:autoSpaceDE w:val="0"/>
        <w:autoSpaceDN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投诉联系部门：</w:t>
      </w:r>
      <w:bookmarkStart w:id="58" w:name="OLE_LINK91"/>
      <w:bookmarkStart w:id="59" w:name="OLE_LINK92"/>
      <w:r>
        <w:rPr>
          <w:rFonts w:hint="eastAsia" w:ascii="宋体" w:hAnsi="宋体"/>
          <w:color w:val="auto"/>
          <w:kern w:val="0"/>
          <w:sz w:val="24"/>
          <w:szCs w:val="20"/>
          <w:highlight w:val="none"/>
        </w:rPr>
        <w:t>北海市财政局</w:t>
      </w:r>
      <w:bookmarkEnd w:id="58"/>
      <w:bookmarkEnd w:id="59"/>
      <w:r>
        <w:rPr>
          <w:rFonts w:hint="eastAsia" w:ascii="宋体" w:hAnsi="宋体"/>
          <w:color w:val="auto"/>
          <w:kern w:val="0"/>
          <w:sz w:val="24"/>
          <w:szCs w:val="20"/>
          <w:highlight w:val="none"/>
        </w:rPr>
        <w:t xml:space="preserve">        联系电话：</w:t>
      </w:r>
      <w:bookmarkStart w:id="60" w:name="OLE_LINK116"/>
      <w:bookmarkStart w:id="61" w:name="OLE_LINK121"/>
      <w:r>
        <w:rPr>
          <w:rFonts w:hint="eastAsia" w:ascii="宋体" w:hAnsi="宋体"/>
          <w:color w:val="auto"/>
          <w:kern w:val="0"/>
          <w:sz w:val="24"/>
          <w:szCs w:val="20"/>
          <w:highlight w:val="none"/>
        </w:rPr>
        <w:t>0779-</w:t>
      </w:r>
      <w:bookmarkEnd w:id="60"/>
      <w:bookmarkEnd w:id="61"/>
      <w:r>
        <w:rPr>
          <w:rFonts w:hint="eastAsia" w:ascii="宋体" w:hAnsi="宋体"/>
          <w:color w:val="auto"/>
          <w:kern w:val="0"/>
          <w:sz w:val="24"/>
          <w:szCs w:val="20"/>
          <w:highlight w:val="none"/>
        </w:rPr>
        <w:t>3063975       地址：北海市海城区北部湾西路19号</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pPr>
        <w:pStyle w:val="33"/>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pPr>
        <w:pStyle w:val="33"/>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pPr>
        <w:pStyle w:val="33"/>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质疑函范本及制作说明详见附件2。</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4.3.4对同一采购程序环节的质疑，供应商须在法定质疑期内一次性提出。</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3"/>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4.3.6根据采购人与采购代理机构签订的采购委托协议，质疑答复责任主体如下：</w:t>
      </w:r>
      <w:r>
        <w:rPr>
          <w:rFonts w:asciiTheme="minorEastAsia" w:hAnsiTheme="minorEastAsia" w:eastAsiaTheme="minorEastAsia"/>
          <w:color w:val="auto"/>
          <w:sz w:val="24"/>
          <w:highlight w:val="none"/>
        </w:rPr>
        <w:t xml:space="preserve"> </w:t>
      </w:r>
    </w:p>
    <w:p>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pPr>
              <w:pStyle w:val="33"/>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.7询问或者质疑事项可能影响采购结果的，采购人应当暂停签订合同，已经签订合同的，应当中止履行合同。</w:t>
      </w:r>
    </w:p>
    <w:p>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4.4.3供应商投诉应当有明确的请求和必要的证明材料。</w:t>
      </w:r>
    </w:p>
    <w:p>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4.4.4以联合体形式参加政府采购活动的，其投诉应当由组成联合体的所有供应商共同提出。</w:t>
      </w:r>
    </w:p>
    <w:p>
      <w:pPr>
        <w:pStyle w:val="886"/>
        <w:shd w:val="clear" w:color="auto" w:fill="FFFFFF"/>
        <w:snapToGrid w:val="0"/>
        <w:spacing w:after="240" w:afterAutospacing="0" w:line="360" w:lineRule="auto"/>
        <w:ind w:firstLine="400"/>
        <w:contextualSpacing/>
        <w:rPr>
          <w:color w:val="auto"/>
          <w:highlight w:val="none"/>
        </w:rPr>
      </w:pPr>
    </w:p>
    <w:p>
      <w:pPr>
        <w:pStyle w:val="129"/>
        <w:snapToGrid w:val="0"/>
        <w:spacing w:before="0"/>
        <w:ind w:firstLine="360"/>
        <w:rPr>
          <w:rFonts w:ascii="宋体" w:hAnsi="宋体" w:cs="宋体"/>
          <w:color w:val="auto"/>
          <w:sz w:val="18"/>
          <w:szCs w:val="18"/>
          <w:highlight w:val="none"/>
        </w:rPr>
      </w:pPr>
    </w:p>
    <w:p>
      <w:pPr>
        <w:adjustRightInd/>
        <w:spacing w:line="360" w:lineRule="auto"/>
        <w:jc w:val="center"/>
        <w:outlineLvl w:val="1"/>
        <w:rPr>
          <w:rFonts w:ascii="宋体" w:hAnsi="宋体" w:cs="宋体"/>
          <w:b/>
          <w:color w:val="auto"/>
          <w:sz w:val="32"/>
          <w:szCs w:val="20"/>
          <w:highlight w:val="none"/>
        </w:rPr>
      </w:pPr>
    </w:p>
    <w:p>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pPr>
        <w:pStyle w:val="33"/>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pPr>
        <w:pStyle w:val="33"/>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投标文件的组成（标注“▲”为实质性要求，供应商必须提供，否则投标无效。相关格式见招标文件第六部分）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bookmarkStart w:id="62" w:name="OLE_LINK93"/>
      <w:bookmarkStart w:id="63" w:name="OLE_LINK94"/>
      <w:r>
        <w:rPr>
          <w:rFonts w:hint="eastAsia" w:ascii="宋体" w:hAnsi="宋体" w:cs="宋体"/>
          <w:b/>
          <w:color w:val="auto"/>
          <w:sz w:val="24"/>
          <w:highlight w:val="none"/>
        </w:rPr>
        <w:t>资格文件</w:t>
      </w:r>
      <w:r>
        <w:rPr>
          <w:rFonts w:hint="eastAsia" w:ascii="宋体" w:hAnsi="宋体" w:cs="宋体"/>
          <w:color w:val="auto"/>
          <w:sz w:val="24"/>
          <w:highlight w:val="none"/>
        </w:rPr>
        <w:t>：</w:t>
      </w:r>
      <w:bookmarkEnd w:id="62"/>
      <w:bookmarkEnd w:id="63"/>
    </w:p>
    <w:p>
      <w:pPr>
        <w:snapToGrid w:val="0"/>
        <w:spacing w:line="360" w:lineRule="auto"/>
        <w:ind w:firstLine="482" w:firstLineChars="200"/>
        <w:rPr>
          <w:rFonts w:ascii="宋体" w:hAnsi="宋体" w:cs="宋体"/>
          <w:color w:val="auto"/>
          <w:sz w:val="24"/>
          <w:highlight w:val="none"/>
        </w:rPr>
      </w:pPr>
      <w:bookmarkStart w:id="64" w:name="OLE_LINK126"/>
      <w:bookmarkStart w:id="65" w:name="OLE_LINK127"/>
      <w:r>
        <w:rPr>
          <w:rFonts w:hint="eastAsia" w:hAnsi="宋体" w:cs="宋体"/>
          <w:b/>
          <w:color w:val="auto"/>
          <w:sz w:val="24"/>
          <w:highlight w:val="none"/>
        </w:rPr>
        <w:t>▲</w:t>
      </w:r>
      <w:bookmarkEnd w:id="64"/>
      <w:bookmarkEnd w:id="65"/>
      <w:r>
        <w:rPr>
          <w:rFonts w:hint="eastAsia" w:ascii="宋体" w:hAnsi="宋体" w:cs="宋体"/>
          <w:color w:val="auto"/>
          <w:sz w:val="24"/>
          <w:highlight w:val="none"/>
        </w:rPr>
        <w:t>11.1.1符合参加政府采购活动应当具备的一般条件的承诺函；</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bookmarkStart w:id="66" w:name="OLE_LINK95"/>
      <w:bookmarkStart w:id="67" w:name="OLE_LINK96"/>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bookmarkEnd w:id="66"/>
      <w:bookmarkEnd w:id="67"/>
      <w:r>
        <w:rPr>
          <w:rFonts w:hint="eastAsia" w:ascii="宋体" w:hAnsi="宋体" w:cs="宋体"/>
          <w:b/>
          <w:color w:val="auto"/>
          <w:sz w:val="24"/>
          <w:highlight w:val="none"/>
          <w:lang w:val="zh-CN"/>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11.2.2授权委托书或法定代表人（单位负责人、自然人本人）身份证明；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3"/>
        <w:rPr>
          <w:color w:val="auto"/>
          <w:highlight w:val="none"/>
        </w:rPr>
      </w:pPr>
      <w:bookmarkStart w:id="68" w:name="OLE_LINK172"/>
      <w:r>
        <w:rPr>
          <w:rFonts w:hint="eastAsia" w:cs="宋体"/>
          <w:b/>
          <w:color w:val="auto"/>
          <w:szCs w:val="24"/>
          <w:highlight w:val="none"/>
        </w:rPr>
        <w:t>▲</w:t>
      </w:r>
      <w:bookmarkEnd w:id="68"/>
      <w:r>
        <w:rPr>
          <w:rFonts w:hint="eastAsia"/>
          <w:color w:val="auto"/>
          <w:highlight w:val="none"/>
        </w:rPr>
        <w:t>11.2.9承诺函；</w:t>
      </w:r>
    </w:p>
    <w:p>
      <w:pPr>
        <w:pStyle w:val="83"/>
        <w:rPr>
          <w:color w:val="auto"/>
          <w:highlight w:val="none"/>
        </w:rPr>
      </w:pPr>
      <w:r>
        <w:rPr>
          <w:rFonts w:hint="eastAsia"/>
          <w:color w:val="auto"/>
          <w:highlight w:val="none"/>
        </w:rPr>
        <w:t>11.2.10技术解决方案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pPr>
        <w:pStyle w:val="83"/>
        <w:rPr>
          <w:color w:val="auto"/>
          <w:highlight w:val="none"/>
        </w:rPr>
      </w:pPr>
      <w:r>
        <w:rPr>
          <w:rFonts w:hint="eastAsia"/>
          <w:color w:val="auto"/>
          <w:highlight w:val="none"/>
        </w:rPr>
        <w:t>11.2.11组织实施方案</w:t>
      </w:r>
      <w:bookmarkStart w:id="69" w:name="OLE_LINK128"/>
      <w:bookmarkStart w:id="70" w:name="OLE_LINK129"/>
      <w:r>
        <w:rPr>
          <w:rFonts w:hint="eastAsia" w:cs="宋体"/>
          <w:snapToGrid w:val="0"/>
          <w:color w:val="auto"/>
          <w:kern w:val="28"/>
          <w:highlight w:val="none"/>
        </w:rPr>
        <w:t>（如果有)</w:t>
      </w:r>
      <w:bookmarkEnd w:id="69"/>
      <w:bookmarkEnd w:id="70"/>
      <w:r>
        <w:rPr>
          <w:rFonts w:hint="eastAsia"/>
          <w:color w:val="auto"/>
          <w:highlight w:val="none"/>
        </w:rPr>
        <w:t>。可以是本项目详细工作实施组织方案，包括(但不限于)以下内容：组织机构、工作时间进度表、工作程序和步骤、管理和协调方法、关键步骤的思路和要点；</w:t>
      </w:r>
    </w:p>
    <w:p>
      <w:pPr>
        <w:pStyle w:val="83"/>
        <w:rPr>
          <w:color w:val="auto"/>
          <w:highlight w:val="none"/>
        </w:rPr>
      </w:pPr>
      <w:r>
        <w:rPr>
          <w:rFonts w:hint="eastAsia" w:cs="宋体"/>
          <w:b/>
          <w:color w:val="auto"/>
          <w:szCs w:val="24"/>
          <w:highlight w:val="none"/>
        </w:rPr>
        <w:t>▲</w:t>
      </w:r>
      <w:r>
        <w:rPr>
          <w:rFonts w:hint="eastAsia"/>
          <w:color w:val="auto"/>
          <w:highlight w:val="none"/>
        </w:rPr>
        <w:t>11.2.12</w:t>
      </w:r>
      <w:bookmarkStart w:id="71" w:name="OLE_LINK31"/>
      <w:bookmarkStart w:id="72" w:name="OLE_LINK35"/>
      <w:r>
        <w:rPr>
          <w:rFonts w:hint="eastAsia"/>
          <w:color w:val="auto"/>
          <w:highlight w:val="none"/>
        </w:rPr>
        <w:t>服务</w:t>
      </w:r>
      <w:bookmarkEnd w:id="71"/>
      <w:bookmarkEnd w:id="72"/>
      <w:r>
        <w:rPr>
          <w:rFonts w:hint="eastAsia"/>
          <w:color w:val="auto"/>
          <w:highlight w:val="none"/>
        </w:rPr>
        <w:t>方案。可以是项目验收之后的维护方案；针对本项目的维护方案，包括本地售后服务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11.3.2中小企业声明函。</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pPr>
        <w:pStyle w:val="12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pPr>
        <w:pStyle w:val="129"/>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pPr>
        <w:pStyle w:val="33"/>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pPr>
        <w:pStyle w:val="33"/>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pPr>
        <w:pStyle w:val="33"/>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pPr>
        <w:pStyle w:val="3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pPr>
        <w:pStyle w:val="33"/>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pPr>
        <w:pStyle w:val="129"/>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pPr>
        <w:pStyle w:val="129"/>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pPr>
        <w:pStyle w:val="129"/>
        <w:spacing w:before="0"/>
        <w:ind w:firstLine="643"/>
        <w:rPr>
          <w:rFonts w:ascii="宋体" w:hAnsi="宋体" w:cs="宋体"/>
          <w:b/>
          <w:color w:val="auto"/>
          <w:sz w:val="32"/>
          <w:highlight w:val="none"/>
        </w:rPr>
      </w:pPr>
    </w:p>
    <w:p>
      <w:pPr>
        <w:pStyle w:val="129"/>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pPr>
        <w:pStyle w:val="554"/>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pPr>
        <w:pStyle w:val="55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pPr>
        <w:pStyle w:val="55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pPr>
        <w:pStyle w:val="129"/>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20.1信用信息查询渠道及截止时间：采购人或采购代理机构将在资格审查时通过“信用中国”网站(www.creditchina.gov.cn)、中国政府采购网(www.ccgp.gov.cn)渠道查询投标人接受资格时的信用记录。</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pPr>
        <w:pStyle w:val="129"/>
        <w:spacing w:before="0"/>
        <w:ind w:firstLine="0" w:firstLineChars="0"/>
        <w:rPr>
          <w:rFonts w:ascii="宋体" w:hAnsi="宋体" w:cs="宋体"/>
          <w:color w:val="auto"/>
          <w:kern w:val="0"/>
          <w:szCs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pPr>
        <w:spacing w:line="360" w:lineRule="auto"/>
        <w:rPr>
          <w:rFonts w:ascii="宋体" w:hAnsi="宋体" w:cs="宋体"/>
          <w:b/>
          <w:color w:val="auto"/>
          <w:sz w:val="24"/>
          <w:highlight w:val="none"/>
        </w:rPr>
      </w:pPr>
      <w:bookmarkStart w:id="73" w:name="_Toc91899903"/>
      <w:r>
        <w:rPr>
          <w:rFonts w:hint="eastAsia" w:ascii="宋体" w:hAnsi="宋体" w:cs="宋体"/>
          <w:b/>
          <w:color w:val="auto"/>
          <w:sz w:val="24"/>
          <w:highlight w:val="none"/>
        </w:rPr>
        <w:t>21.评标</w:t>
      </w:r>
    </w:p>
    <w:p>
      <w:pPr>
        <w:pStyle w:val="83"/>
        <w:rPr>
          <w:color w:val="auto"/>
          <w:highlight w:val="none"/>
        </w:rPr>
      </w:pPr>
      <w:r>
        <w:rPr>
          <w:rFonts w:hint="eastAsia"/>
          <w:color w:val="auto"/>
          <w:highlight w:val="none"/>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pPr>
        <w:spacing w:line="360" w:lineRule="auto"/>
        <w:rPr>
          <w:rFonts w:ascii="宋体" w:hAnsi="宋体" w:cs="宋体"/>
          <w:b/>
          <w:color w:val="auto"/>
          <w:sz w:val="24"/>
          <w:highlight w:val="none"/>
        </w:rPr>
      </w:pPr>
    </w:p>
    <w:p>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pPr>
        <w:pStyle w:val="12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pPr>
        <w:pStyle w:val="129"/>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pPr>
        <w:snapToGrid w:val="0"/>
        <w:spacing w:line="360" w:lineRule="auto"/>
        <w:ind w:left="120" w:leftChars="57" w:firstLine="482" w:firstLineChars="150"/>
        <w:jc w:val="center"/>
        <w:rPr>
          <w:rFonts w:ascii="宋体" w:hAnsi="宋体" w:cs="宋体"/>
          <w:b/>
          <w:color w:val="auto"/>
          <w:sz w:val="32"/>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pPr>
        <w:pStyle w:val="25"/>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pPr>
        <w:pStyle w:val="25"/>
        <w:spacing w:line="360" w:lineRule="auto"/>
        <w:ind w:left="479" w:hanging="479" w:hangingChars="199"/>
        <w:rPr>
          <w:rFonts w:cs="宋体"/>
          <w:b/>
          <w:color w:val="auto"/>
          <w:highlight w:val="none"/>
        </w:rPr>
      </w:pPr>
      <w:r>
        <w:rPr>
          <w:rFonts w:hint="eastAsia" w:cs="宋体"/>
          <w:b/>
          <w:color w:val="auto"/>
          <w:highlight w:val="none"/>
        </w:rPr>
        <w:t>25. 合同的签订</w:t>
      </w:r>
    </w:p>
    <w:p>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bookmarkStart w:id="74" w:name="OLE_LINK7"/>
      <w:bookmarkStart w:id="75" w:name="OLE_LINK5"/>
      <w:r>
        <w:rPr>
          <w:rFonts w:hint="eastAsia" w:ascii="宋体" w:hAnsi="宋体" w:cs="宋体"/>
          <w:color w:val="auto"/>
          <w:kern w:val="0"/>
          <w:sz w:val="24"/>
          <w:highlight w:val="none"/>
        </w:rPr>
        <w:t>采购人与中标供应商应当自中标通知书发出之日起25日内</w:t>
      </w:r>
      <w:bookmarkEnd w:id="74"/>
      <w:bookmarkEnd w:id="75"/>
      <w:r>
        <w:rPr>
          <w:rFonts w:hint="eastAsia" w:ascii="宋体" w:hAnsi="宋体" w:cs="宋体"/>
          <w:color w:val="auto"/>
          <w:kern w:val="0"/>
          <w:sz w:val="24"/>
          <w:highlight w:val="none"/>
        </w:rPr>
        <w:t>，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12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25.4中标供应商拒绝与采购人签订合同的，采购人可以按照评审报告推荐的中标候选人名单排序，确定下一候选人为中标供应商，也可以重新开展政府采购活动。</w:t>
      </w:r>
    </w:p>
    <w:p>
      <w:pPr>
        <w:pStyle w:val="129"/>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pPr>
        <w:pStyle w:val="83"/>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pPr>
        <w:pStyle w:val="83"/>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银行名称</w:t>
            </w:r>
          </w:p>
        </w:tc>
        <w:tc>
          <w:tcPr>
            <w:tcW w:w="1134" w:type="dxa"/>
            <w:vAlign w:val="center"/>
          </w:tcPr>
          <w:p>
            <w:pPr>
              <w:pStyle w:val="83"/>
              <w:ind w:firstLine="0"/>
              <w:jc w:val="center"/>
              <w:rPr>
                <w:color w:val="auto"/>
                <w:highlight w:val="none"/>
              </w:rPr>
            </w:pPr>
            <w:r>
              <w:rPr>
                <w:rFonts w:hint="eastAsia"/>
                <w:color w:val="auto"/>
                <w:highlight w:val="none"/>
              </w:rPr>
              <w:t>联系电话</w:t>
            </w:r>
          </w:p>
        </w:tc>
        <w:tc>
          <w:tcPr>
            <w:tcW w:w="1701" w:type="dxa"/>
            <w:vAlign w:val="center"/>
          </w:tcPr>
          <w:p>
            <w:pPr>
              <w:pStyle w:val="83"/>
              <w:ind w:firstLine="0"/>
              <w:jc w:val="center"/>
              <w:rPr>
                <w:color w:val="auto"/>
                <w:highlight w:val="none"/>
              </w:rPr>
            </w:pPr>
            <w:r>
              <w:rPr>
                <w:rFonts w:hint="eastAsia"/>
                <w:color w:val="auto"/>
                <w:highlight w:val="none"/>
              </w:rPr>
              <w:t>最高授信金额</w:t>
            </w:r>
          </w:p>
        </w:tc>
        <w:tc>
          <w:tcPr>
            <w:tcW w:w="993" w:type="dxa"/>
            <w:vAlign w:val="center"/>
          </w:tcPr>
          <w:p>
            <w:pPr>
              <w:pStyle w:val="83"/>
              <w:ind w:firstLine="0"/>
              <w:jc w:val="center"/>
              <w:rPr>
                <w:color w:val="auto"/>
                <w:highlight w:val="none"/>
              </w:rPr>
            </w:pPr>
            <w:r>
              <w:rPr>
                <w:rFonts w:hint="eastAsia"/>
                <w:color w:val="auto"/>
                <w:highlight w:val="none"/>
              </w:rPr>
              <w:t>最长授信期限</w:t>
            </w:r>
          </w:p>
        </w:tc>
        <w:tc>
          <w:tcPr>
            <w:tcW w:w="850" w:type="dxa"/>
            <w:vAlign w:val="center"/>
          </w:tcPr>
          <w:p>
            <w:pPr>
              <w:pStyle w:val="83"/>
              <w:ind w:firstLine="0"/>
              <w:jc w:val="center"/>
              <w:rPr>
                <w:color w:val="auto"/>
                <w:highlight w:val="none"/>
              </w:rPr>
            </w:pPr>
            <w:r>
              <w:rPr>
                <w:rFonts w:hint="eastAsia"/>
                <w:color w:val="auto"/>
                <w:highlight w:val="none"/>
              </w:rPr>
              <w:t>最低利率</w:t>
            </w:r>
          </w:p>
        </w:tc>
        <w:tc>
          <w:tcPr>
            <w:tcW w:w="3366" w:type="dxa"/>
            <w:vAlign w:val="center"/>
          </w:tcPr>
          <w:p>
            <w:pPr>
              <w:pStyle w:val="83"/>
              <w:ind w:firstLine="0"/>
              <w:jc w:val="center"/>
              <w:rPr>
                <w:color w:val="auto"/>
                <w:highlight w:val="none"/>
              </w:rPr>
            </w:pPr>
            <w:r>
              <w:rPr>
                <w:rFonts w:hint="eastAsia"/>
                <w:color w:val="auto"/>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建设银行</w:t>
            </w:r>
          </w:p>
        </w:tc>
        <w:tc>
          <w:tcPr>
            <w:tcW w:w="1134" w:type="dxa"/>
            <w:vAlign w:val="center"/>
          </w:tcPr>
          <w:p>
            <w:pPr>
              <w:pStyle w:val="83"/>
              <w:ind w:firstLine="0"/>
              <w:jc w:val="center"/>
              <w:rPr>
                <w:color w:val="auto"/>
                <w:highlight w:val="none"/>
              </w:rPr>
            </w:pPr>
            <w:r>
              <w:rPr>
                <w:rFonts w:hint="eastAsia"/>
                <w:color w:val="auto"/>
                <w:highlight w:val="none"/>
              </w:rPr>
              <w:t>13077729988</w:t>
            </w:r>
          </w:p>
        </w:tc>
        <w:tc>
          <w:tcPr>
            <w:tcW w:w="1701" w:type="dxa"/>
            <w:vAlign w:val="center"/>
          </w:tcPr>
          <w:p>
            <w:pPr>
              <w:pStyle w:val="83"/>
              <w:ind w:firstLine="0"/>
              <w:rPr>
                <w:color w:val="auto"/>
                <w:highlight w:val="none"/>
              </w:rPr>
            </w:pPr>
            <w:r>
              <w:rPr>
                <w:rFonts w:hint="eastAsia"/>
                <w:color w:val="auto"/>
                <w:highlight w:val="none"/>
              </w:rPr>
              <w:t>最高3千万</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4%</w:t>
            </w:r>
          </w:p>
        </w:tc>
        <w:tc>
          <w:tcPr>
            <w:tcW w:w="3366" w:type="dxa"/>
            <w:vAlign w:val="center"/>
          </w:tcPr>
          <w:p>
            <w:pPr>
              <w:pStyle w:val="83"/>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中国银行</w:t>
            </w:r>
          </w:p>
        </w:tc>
        <w:tc>
          <w:tcPr>
            <w:tcW w:w="1134" w:type="dxa"/>
            <w:vAlign w:val="center"/>
          </w:tcPr>
          <w:p>
            <w:pPr>
              <w:pStyle w:val="83"/>
              <w:ind w:firstLine="0"/>
              <w:jc w:val="center"/>
              <w:rPr>
                <w:color w:val="auto"/>
                <w:highlight w:val="none"/>
              </w:rPr>
            </w:pPr>
            <w:r>
              <w:rPr>
                <w:rFonts w:hint="eastAsia"/>
                <w:color w:val="auto"/>
                <w:highlight w:val="none"/>
              </w:rPr>
              <w:t>0779-3997084</w:t>
            </w:r>
          </w:p>
        </w:tc>
        <w:tc>
          <w:tcPr>
            <w:tcW w:w="1701" w:type="dxa"/>
            <w:vAlign w:val="center"/>
          </w:tcPr>
          <w:p>
            <w:pPr>
              <w:pStyle w:val="83"/>
              <w:ind w:firstLine="0"/>
              <w:rPr>
                <w:color w:val="auto"/>
                <w:highlight w:val="none"/>
              </w:rPr>
            </w:pPr>
            <w:r>
              <w:rPr>
                <w:rFonts w:hint="eastAsia"/>
                <w:color w:val="auto"/>
                <w:highlight w:val="none"/>
              </w:rPr>
              <w:t>最高1千万</w:t>
            </w:r>
          </w:p>
        </w:tc>
        <w:tc>
          <w:tcPr>
            <w:tcW w:w="993" w:type="dxa"/>
            <w:vAlign w:val="center"/>
          </w:tcPr>
          <w:p>
            <w:pPr>
              <w:pStyle w:val="83"/>
              <w:ind w:firstLine="0"/>
              <w:jc w:val="center"/>
              <w:rPr>
                <w:color w:val="auto"/>
                <w:highlight w:val="none"/>
              </w:rPr>
            </w:pPr>
            <w:r>
              <w:rPr>
                <w:rFonts w:hint="eastAsia"/>
                <w:color w:val="auto"/>
                <w:highlight w:val="none"/>
              </w:rPr>
              <w:t>3年</w:t>
            </w:r>
          </w:p>
        </w:tc>
        <w:tc>
          <w:tcPr>
            <w:tcW w:w="850" w:type="dxa"/>
            <w:vAlign w:val="center"/>
          </w:tcPr>
          <w:p>
            <w:pPr>
              <w:pStyle w:val="83"/>
              <w:ind w:firstLine="0"/>
              <w:jc w:val="center"/>
              <w:rPr>
                <w:color w:val="auto"/>
                <w:highlight w:val="none"/>
              </w:rPr>
            </w:pPr>
            <w:r>
              <w:rPr>
                <w:rFonts w:hint="eastAsia"/>
                <w:color w:val="auto"/>
                <w:highlight w:val="none"/>
              </w:rPr>
              <w:t>1.93%</w:t>
            </w:r>
          </w:p>
        </w:tc>
        <w:tc>
          <w:tcPr>
            <w:tcW w:w="3366" w:type="dxa"/>
            <w:vAlign w:val="center"/>
          </w:tcPr>
          <w:p>
            <w:pPr>
              <w:pStyle w:val="83"/>
              <w:ind w:firstLine="0"/>
              <w:rPr>
                <w:color w:val="auto"/>
                <w:highlight w:val="none"/>
              </w:rPr>
            </w:pPr>
            <w:r>
              <w:rPr>
                <w:rFonts w:hint="eastAsia"/>
                <w:color w:val="auto"/>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兴业银行</w:t>
            </w:r>
          </w:p>
        </w:tc>
        <w:tc>
          <w:tcPr>
            <w:tcW w:w="1134" w:type="dxa"/>
            <w:vAlign w:val="center"/>
          </w:tcPr>
          <w:p>
            <w:pPr>
              <w:pStyle w:val="83"/>
              <w:ind w:firstLine="0"/>
              <w:jc w:val="center"/>
              <w:rPr>
                <w:color w:val="auto"/>
                <w:highlight w:val="none"/>
              </w:rPr>
            </w:pPr>
            <w:r>
              <w:rPr>
                <w:rFonts w:hint="eastAsia"/>
                <w:color w:val="auto"/>
                <w:highlight w:val="none"/>
              </w:rPr>
              <w:t>0779-3158330</w:t>
            </w:r>
          </w:p>
        </w:tc>
        <w:tc>
          <w:tcPr>
            <w:tcW w:w="1701" w:type="dxa"/>
            <w:vAlign w:val="center"/>
          </w:tcPr>
          <w:p>
            <w:pPr>
              <w:pStyle w:val="83"/>
              <w:ind w:firstLine="0"/>
              <w:rPr>
                <w:color w:val="auto"/>
                <w:highlight w:val="none"/>
              </w:rPr>
            </w:pPr>
            <w:r>
              <w:rPr>
                <w:rFonts w:hint="eastAsia"/>
                <w:color w:val="auto"/>
                <w:highlight w:val="none"/>
              </w:rPr>
              <w:t>最高1千万（单笔提款金额达合同金额70%）</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3.70%</w:t>
            </w:r>
          </w:p>
        </w:tc>
        <w:tc>
          <w:tcPr>
            <w:tcW w:w="3366" w:type="dxa"/>
            <w:vAlign w:val="center"/>
          </w:tcPr>
          <w:p>
            <w:pPr>
              <w:pStyle w:val="83"/>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工商银行</w:t>
            </w:r>
          </w:p>
        </w:tc>
        <w:tc>
          <w:tcPr>
            <w:tcW w:w="1134" w:type="dxa"/>
            <w:vAlign w:val="center"/>
          </w:tcPr>
          <w:p>
            <w:pPr>
              <w:pStyle w:val="83"/>
              <w:ind w:firstLine="0"/>
              <w:jc w:val="center"/>
              <w:rPr>
                <w:color w:val="auto"/>
                <w:highlight w:val="none"/>
              </w:rPr>
            </w:pPr>
            <w:r>
              <w:rPr>
                <w:rFonts w:hint="eastAsia"/>
                <w:color w:val="auto"/>
                <w:highlight w:val="none"/>
              </w:rPr>
              <w:t>0779-3050645</w:t>
            </w:r>
          </w:p>
        </w:tc>
        <w:tc>
          <w:tcPr>
            <w:tcW w:w="1701" w:type="dxa"/>
            <w:vAlign w:val="center"/>
          </w:tcPr>
          <w:p>
            <w:pPr>
              <w:pStyle w:val="83"/>
              <w:ind w:firstLine="0"/>
              <w:rPr>
                <w:color w:val="auto"/>
                <w:highlight w:val="none"/>
              </w:rPr>
            </w:pPr>
            <w:r>
              <w:rPr>
                <w:rFonts w:hint="eastAsia"/>
                <w:color w:val="auto"/>
                <w:highlight w:val="none"/>
              </w:rPr>
              <w:t>最高1千万且不超过合同金额70%</w:t>
            </w:r>
          </w:p>
        </w:tc>
        <w:tc>
          <w:tcPr>
            <w:tcW w:w="993" w:type="dxa"/>
            <w:vAlign w:val="center"/>
          </w:tcPr>
          <w:p>
            <w:pPr>
              <w:pStyle w:val="83"/>
              <w:ind w:firstLine="0"/>
              <w:jc w:val="center"/>
              <w:rPr>
                <w:color w:val="auto"/>
                <w:highlight w:val="none"/>
              </w:rPr>
            </w:pPr>
            <w:r>
              <w:rPr>
                <w:rFonts w:hint="eastAsia"/>
                <w:color w:val="auto"/>
                <w:highlight w:val="none"/>
              </w:rPr>
              <w:t>货物类1年</w:t>
            </w:r>
          </w:p>
          <w:p>
            <w:pPr>
              <w:pStyle w:val="83"/>
              <w:ind w:firstLine="0"/>
              <w:jc w:val="center"/>
              <w:rPr>
                <w:color w:val="auto"/>
                <w:highlight w:val="none"/>
              </w:rPr>
            </w:pPr>
            <w:r>
              <w:rPr>
                <w:rFonts w:hint="eastAsia"/>
                <w:color w:val="auto"/>
                <w:highlight w:val="none"/>
              </w:rPr>
              <w:t>服务类3年</w:t>
            </w:r>
          </w:p>
          <w:p>
            <w:pPr>
              <w:pStyle w:val="83"/>
              <w:ind w:firstLine="0"/>
              <w:jc w:val="center"/>
              <w:rPr>
                <w:color w:val="auto"/>
                <w:highlight w:val="none"/>
              </w:rPr>
            </w:pPr>
            <w:r>
              <w:rPr>
                <w:rFonts w:hint="eastAsia"/>
                <w:color w:val="auto"/>
                <w:highlight w:val="none"/>
              </w:rPr>
              <w:t>工程类5年</w:t>
            </w:r>
          </w:p>
        </w:tc>
        <w:tc>
          <w:tcPr>
            <w:tcW w:w="850" w:type="dxa"/>
            <w:vAlign w:val="center"/>
          </w:tcPr>
          <w:p>
            <w:pPr>
              <w:pStyle w:val="83"/>
              <w:ind w:firstLine="0"/>
              <w:jc w:val="center"/>
              <w:rPr>
                <w:color w:val="auto"/>
                <w:highlight w:val="none"/>
              </w:rPr>
            </w:pPr>
            <w:r>
              <w:rPr>
                <w:rFonts w:hint="eastAsia"/>
                <w:color w:val="auto"/>
                <w:highlight w:val="none"/>
              </w:rPr>
              <w:t>3.45%</w:t>
            </w:r>
          </w:p>
        </w:tc>
        <w:tc>
          <w:tcPr>
            <w:tcW w:w="3366" w:type="dxa"/>
            <w:vAlign w:val="center"/>
          </w:tcPr>
          <w:p>
            <w:pPr>
              <w:pStyle w:val="83"/>
              <w:ind w:firstLine="0"/>
              <w:rPr>
                <w:color w:val="auto"/>
                <w:highlight w:val="none"/>
              </w:rPr>
            </w:pPr>
            <w:r>
              <w:rPr>
                <w:rFonts w:hint="eastAsia"/>
                <w:color w:val="auto"/>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国民村镇银行</w:t>
            </w:r>
          </w:p>
        </w:tc>
        <w:tc>
          <w:tcPr>
            <w:tcW w:w="1134" w:type="dxa"/>
            <w:vAlign w:val="center"/>
          </w:tcPr>
          <w:p>
            <w:pPr>
              <w:pStyle w:val="83"/>
              <w:ind w:firstLine="0"/>
              <w:jc w:val="center"/>
              <w:rPr>
                <w:color w:val="auto"/>
                <w:highlight w:val="none"/>
              </w:rPr>
            </w:pPr>
            <w:r>
              <w:rPr>
                <w:rFonts w:hint="eastAsia"/>
                <w:color w:val="auto"/>
                <w:highlight w:val="none"/>
              </w:rPr>
              <w:t>0779-2668801</w:t>
            </w:r>
          </w:p>
        </w:tc>
        <w:tc>
          <w:tcPr>
            <w:tcW w:w="1701" w:type="dxa"/>
            <w:vAlign w:val="center"/>
          </w:tcPr>
          <w:p>
            <w:pPr>
              <w:pStyle w:val="83"/>
              <w:ind w:firstLine="0"/>
              <w:rPr>
                <w:color w:val="auto"/>
                <w:highlight w:val="none"/>
              </w:rPr>
            </w:pPr>
            <w:r>
              <w:rPr>
                <w:rFonts w:hint="eastAsia"/>
                <w:color w:val="auto"/>
                <w:highlight w:val="none"/>
              </w:rPr>
              <w:t>最高500万</w:t>
            </w:r>
          </w:p>
        </w:tc>
        <w:tc>
          <w:tcPr>
            <w:tcW w:w="993" w:type="dxa"/>
            <w:vAlign w:val="center"/>
          </w:tcPr>
          <w:p>
            <w:pPr>
              <w:pStyle w:val="83"/>
              <w:ind w:firstLine="0"/>
              <w:jc w:val="center"/>
              <w:rPr>
                <w:color w:val="auto"/>
                <w:highlight w:val="none"/>
              </w:rPr>
            </w:pPr>
            <w:r>
              <w:rPr>
                <w:rFonts w:hint="eastAsia"/>
                <w:color w:val="auto"/>
                <w:highlight w:val="none"/>
              </w:rPr>
              <w:t>5年</w:t>
            </w:r>
          </w:p>
        </w:tc>
        <w:tc>
          <w:tcPr>
            <w:tcW w:w="850" w:type="dxa"/>
            <w:vAlign w:val="center"/>
          </w:tcPr>
          <w:p>
            <w:pPr>
              <w:pStyle w:val="83"/>
              <w:ind w:firstLine="0"/>
              <w:jc w:val="center"/>
              <w:rPr>
                <w:color w:val="auto"/>
                <w:highlight w:val="none"/>
              </w:rPr>
            </w:pPr>
            <w:r>
              <w:rPr>
                <w:rFonts w:hint="eastAsia"/>
                <w:color w:val="auto"/>
                <w:highlight w:val="none"/>
              </w:rPr>
              <w:t>2.80%</w:t>
            </w:r>
          </w:p>
        </w:tc>
        <w:tc>
          <w:tcPr>
            <w:tcW w:w="3366" w:type="dxa"/>
            <w:vAlign w:val="center"/>
          </w:tcPr>
          <w:p>
            <w:pPr>
              <w:pStyle w:val="83"/>
              <w:ind w:firstLine="0"/>
              <w:rPr>
                <w:color w:val="auto"/>
                <w:highlight w:val="none"/>
              </w:rPr>
            </w:pPr>
            <w:r>
              <w:rPr>
                <w:rFonts w:hint="eastAsia"/>
                <w:color w:val="auto"/>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桂林银行</w:t>
            </w:r>
          </w:p>
        </w:tc>
        <w:tc>
          <w:tcPr>
            <w:tcW w:w="1134" w:type="dxa"/>
            <w:vAlign w:val="center"/>
          </w:tcPr>
          <w:p>
            <w:pPr>
              <w:pStyle w:val="83"/>
              <w:ind w:firstLine="0"/>
              <w:jc w:val="center"/>
              <w:rPr>
                <w:color w:val="auto"/>
                <w:highlight w:val="none"/>
              </w:rPr>
            </w:pPr>
            <w:r>
              <w:rPr>
                <w:rFonts w:hint="eastAsia"/>
                <w:color w:val="auto"/>
                <w:highlight w:val="none"/>
              </w:rPr>
              <w:t>18577993959</w:t>
            </w:r>
          </w:p>
        </w:tc>
        <w:tc>
          <w:tcPr>
            <w:tcW w:w="1701" w:type="dxa"/>
            <w:vAlign w:val="center"/>
          </w:tcPr>
          <w:p>
            <w:pPr>
              <w:pStyle w:val="83"/>
              <w:ind w:firstLine="0"/>
              <w:rPr>
                <w:color w:val="auto"/>
                <w:highlight w:val="none"/>
              </w:rPr>
            </w:pPr>
            <w:r>
              <w:rPr>
                <w:rFonts w:hint="eastAsia"/>
                <w:color w:val="auto"/>
                <w:highlight w:val="none"/>
              </w:rPr>
              <w:t>最高1千万</w:t>
            </w:r>
          </w:p>
        </w:tc>
        <w:tc>
          <w:tcPr>
            <w:tcW w:w="993" w:type="dxa"/>
            <w:vAlign w:val="center"/>
          </w:tcPr>
          <w:p>
            <w:pPr>
              <w:pStyle w:val="83"/>
              <w:ind w:firstLine="0"/>
              <w:jc w:val="center"/>
              <w:rPr>
                <w:color w:val="auto"/>
                <w:highlight w:val="none"/>
              </w:rPr>
            </w:pPr>
            <w:r>
              <w:rPr>
                <w:rFonts w:hint="eastAsia"/>
                <w:color w:val="auto"/>
                <w:highlight w:val="none"/>
              </w:rPr>
              <w:t>1年</w:t>
            </w:r>
          </w:p>
        </w:tc>
        <w:tc>
          <w:tcPr>
            <w:tcW w:w="850" w:type="dxa"/>
            <w:vAlign w:val="center"/>
          </w:tcPr>
          <w:p>
            <w:pPr>
              <w:pStyle w:val="83"/>
              <w:ind w:firstLine="0"/>
              <w:jc w:val="center"/>
              <w:rPr>
                <w:color w:val="auto"/>
                <w:highlight w:val="none"/>
              </w:rPr>
            </w:pPr>
            <w:r>
              <w:rPr>
                <w:rFonts w:hint="eastAsia"/>
                <w:color w:val="auto"/>
                <w:highlight w:val="none"/>
              </w:rPr>
              <w:t>3.45%</w:t>
            </w:r>
          </w:p>
        </w:tc>
        <w:tc>
          <w:tcPr>
            <w:tcW w:w="3366" w:type="dxa"/>
            <w:vAlign w:val="center"/>
          </w:tcPr>
          <w:p>
            <w:pPr>
              <w:pStyle w:val="83"/>
              <w:ind w:firstLine="0"/>
              <w:rPr>
                <w:color w:val="auto"/>
                <w:highlight w:val="none"/>
              </w:rPr>
            </w:pPr>
            <w:r>
              <w:rPr>
                <w:rFonts w:hint="eastAsia"/>
                <w:color w:val="auto"/>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pStyle w:val="83"/>
              <w:ind w:firstLine="0"/>
              <w:jc w:val="center"/>
              <w:rPr>
                <w:color w:val="auto"/>
                <w:highlight w:val="none"/>
              </w:rPr>
            </w:pPr>
            <w:r>
              <w:rPr>
                <w:rFonts w:hint="eastAsia"/>
                <w:color w:val="auto"/>
                <w:highlight w:val="none"/>
              </w:rPr>
              <w:t>中小微商务服务公司</w:t>
            </w:r>
          </w:p>
        </w:tc>
        <w:tc>
          <w:tcPr>
            <w:tcW w:w="1134" w:type="dxa"/>
            <w:vAlign w:val="center"/>
          </w:tcPr>
          <w:p>
            <w:pPr>
              <w:pStyle w:val="83"/>
              <w:ind w:firstLine="0"/>
              <w:jc w:val="center"/>
              <w:rPr>
                <w:color w:val="auto"/>
                <w:highlight w:val="none"/>
              </w:rPr>
            </w:pPr>
            <w:r>
              <w:rPr>
                <w:rFonts w:hint="eastAsia"/>
                <w:color w:val="auto"/>
                <w:highlight w:val="none"/>
              </w:rPr>
              <w:t>19907799988</w:t>
            </w:r>
          </w:p>
        </w:tc>
        <w:tc>
          <w:tcPr>
            <w:tcW w:w="1701" w:type="dxa"/>
            <w:vAlign w:val="center"/>
          </w:tcPr>
          <w:p>
            <w:pPr>
              <w:pStyle w:val="83"/>
              <w:ind w:firstLine="0"/>
              <w:rPr>
                <w:color w:val="auto"/>
                <w:highlight w:val="none"/>
              </w:rPr>
            </w:pPr>
          </w:p>
        </w:tc>
        <w:tc>
          <w:tcPr>
            <w:tcW w:w="993" w:type="dxa"/>
            <w:vAlign w:val="center"/>
          </w:tcPr>
          <w:p>
            <w:pPr>
              <w:pStyle w:val="83"/>
              <w:ind w:firstLine="0"/>
              <w:jc w:val="center"/>
              <w:rPr>
                <w:color w:val="auto"/>
                <w:highlight w:val="none"/>
              </w:rPr>
            </w:pPr>
          </w:p>
        </w:tc>
        <w:tc>
          <w:tcPr>
            <w:tcW w:w="850" w:type="dxa"/>
            <w:vAlign w:val="center"/>
          </w:tcPr>
          <w:p>
            <w:pPr>
              <w:pStyle w:val="83"/>
              <w:ind w:firstLine="0"/>
              <w:jc w:val="center"/>
              <w:rPr>
                <w:color w:val="auto"/>
                <w:highlight w:val="none"/>
              </w:rPr>
            </w:pPr>
          </w:p>
        </w:tc>
        <w:tc>
          <w:tcPr>
            <w:tcW w:w="3366" w:type="dxa"/>
            <w:vAlign w:val="center"/>
          </w:tcPr>
          <w:p>
            <w:pPr>
              <w:pStyle w:val="83"/>
              <w:ind w:firstLine="0"/>
              <w:rPr>
                <w:color w:val="auto"/>
                <w:highlight w:val="none"/>
              </w:rPr>
            </w:pPr>
            <w:r>
              <w:rPr>
                <w:rFonts w:hint="eastAsia"/>
                <w:color w:val="auto"/>
                <w:highlight w:val="none"/>
              </w:rPr>
              <w:t>具体业务可电话咨询。</w:t>
            </w:r>
          </w:p>
        </w:tc>
      </w:tr>
    </w:tbl>
    <w:p>
      <w:pPr>
        <w:pStyle w:val="8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pPr>
        <w:pStyle w:val="25"/>
        <w:spacing w:line="360" w:lineRule="auto"/>
        <w:ind w:firstLine="482"/>
        <w:rPr>
          <w:rFonts w:cs="宋体"/>
          <w:b/>
          <w:color w:val="auto"/>
          <w:highlight w:val="none"/>
        </w:rPr>
      </w:pPr>
      <w:r>
        <w:rPr>
          <w:rFonts w:hint="eastAsia" w:cs="宋体"/>
          <w:b/>
          <w:color w:val="auto"/>
          <w:highlight w:val="none"/>
        </w:rPr>
        <w:t>26.</w:t>
      </w:r>
      <w:bookmarkStart w:id="76" w:name="OLE_LINK103"/>
      <w:bookmarkStart w:id="77" w:name="OLE_LINK104"/>
      <w:r>
        <w:rPr>
          <w:rFonts w:hint="eastAsia" w:cs="宋体"/>
          <w:b/>
          <w:color w:val="auto"/>
          <w:highlight w:val="none"/>
        </w:rPr>
        <w:t>履约保证金：本项目不收取履约保证金。中标供应商未按合同约定履行合同义务，给采购人造成损失的，按实际损失进行赔偿。</w:t>
      </w:r>
      <w:bookmarkEnd w:id="76"/>
      <w:bookmarkEnd w:id="77"/>
    </w:p>
    <w:p>
      <w:pPr>
        <w:pStyle w:val="25"/>
        <w:spacing w:line="360" w:lineRule="auto"/>
        <w:ind w:firstLine="482"/>
        <w:rPr>
          <w:rFonts w:hint="eastAsia" w:cs="宋体"/>
          <w:b/>
          <w:color w:val="auto"/>
          <w:highlight w:val="none"/>
        </w:rPr>
      </w:pPr>
      <w:r>
        <w:rPr>
          <w:rFonts w:cs="宋体"/>
          <w:b/>
          <w:color w:val="auto"/>
          <w:highlight w:val="none"/>
        </w:rPr>
        <w:t>27.预付款</w:t>
      </w:r>
    </w:p>
    <w:p>
      <w:pPr>
        <w:pStyle w:val="25"/>
        <w:spacing w:line="360" w:lineRule="auto"/>
        <w:ind w:firstLine="482"/>
        <w:rPr>
          <w:rFonts w:cs="宋体"/>
          <w:b/>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pPr>
        <w:pStyle w:val="83"/>
        <w:rPr>
          <w:color w:val="auto"/>
          <w:highlight w:val="none"/>
        </w:rPr>
      </w:pPr>
    </w:p>
    <w:p>
      <w:pPr>
        <w:snapToGrid w:val="0"/>
        <w:spacing w:line="360" w:lineRule="auto"/>
        <w:ind w:firstLine="3357" w:firstLineChars="1045"/>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pPr>
        <w:pStyle w:val="129"/>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pPr>
        <w:pStyle w:val="129"/>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pPr>
        <w:pStyle w:val="25"/>
        <w:spacing w:line="360" w:lineRule="auto"/>
        <w:ind w:firstLine="0" w:firstLineChars="0"/>
        <w:rPr>
          <w:rFonts w:cs="宋体"/>
          <w:b/>
          <w:color w:val="auto"/>
          <w:highlight w:val="none"/>
        </w:rPr>
      </w:pPr>
      <w:r>
        <w:rPr>
          <w:rFonts w:hint="eastAsia" w:cs="宋体"/>
          <w:b/>
          <w:color w:val="auto"/>
          <w:highlight w:val="none"/>
        </w:rPr>
        <w:t>30.验收</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spacing w:line="360" w:lineRule="auto"/>
        <w:ind w:firstLine="480"/>
        <w:rPr>
          <w:rFonts w:ascii="宋体" w:hAnsi="宋体" w:cs="宋体"/>
          <w:color w:val="auto"/>
          <w:kern w:val="0"/>
          <w:sz w:val="24"/>
          <w:highlight w:val="none"/>
        </w:rPr>
      </w:pPr>
    </w:p>
    <w:p>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pPr>
        <w:pStyle w:val="25"/>
        <w:spacing w:line="360" w:lineRule="auto"/>
        <w:ind w:firstLine="0" w:firstLineChars="0"/>
        <w:rPr>
          <w:rFonts w:cs="宋体"/>
          <w:b/>
          <w:color w:val="auto"/>
          <w:highlight w:val="none"/>
        </w:rPr>
      </w:pPr>
      <w:r>
        <w:rPr>
          <w:rFonts w:hint="eastAsia" w:cs="宋体"/>
          <w:b/>
          <w:color w:val="auto"/>
          <w:highlight w:val="none"/>
        </w:rPr>
        <w:t>31.代理费用的收取标准和方式</w:t>
      </w:r>
    </w:p>
    <w:bookmarkEnd w:id="52"/>
    <w:bookmarkEnd w:id="53"/>
    <w:bookmarkEnd w:id="73"/>
    <w:p>
      <w:pPr>
        <w:snapToGrid w:val="0"/>
        <w:spacing w:line="360" w:lineRule="auto"/>
        <w:ind w:firstLine="420" w:firstLineChars="200"/>
        <w:rPr>
          <w:rFonts w:ascii="宋体" w:hAnsi="宋体" w:cs="宋体"/>
          <w:b/>
          <w:color w:val="auto"/>
          <w:sz w:val="36"/>
          <w:szCs w:val="36"/>
          <w:highlight w:val="none"/>
        </w:rPr>
      </w:pPr>
      <w:bookmarkStart w:id="78" w:name="_Toc176368904"/>
      <w:bookmarkStart w:id="79" w:name="第四部分"/>
      <w:r>
        <w:rPr>
          <w:rFonts w:hint="eastAsia" w:cs="宋体"/>
          <w:color w:val="auto"/>
          <w:highlight w:val="none"/>
        </w:rPr>
        <w:t>本项目不收取代理服务费。</w:t>
      </w:r>
      <w:r>
        <w:rPr>
          <w:rFonts w:ascii="宋体" w:hAnsi="宋体" w:cs="宋体"/>
          <w:b/>
          <w:color w:val="auto"/>
          <w:sz w:val="36"/>
          <w:szCs w:val="36"/>
          <w:highlight w:val="none"/>
        </w:rPr>
        <w:br w:type="page"/>
      </w:r>
    </w:p>
    <w:p>
      <w:pPr>
        <w:spacing w:line="360" w:lineRule="auto"/>
        <w:jc w:val="center"/>
        <w:outlineLvl w:val="0"/>
        <w:rPr>
          <w:rFonts w:ascii="宋体" w:hAnsi="宋体" w:cs="宋体"/>
          <w:b/>
          <w:color w:val="auto"/>
          <w:sz w:val="36"/>
          <w:szCs w:val="36"/>
          <w:highlight w:val="none"/>
        </w:rPr>
      </w:pPr>
      <w:bookmarkStart w:id="80" w:name="_Toc31551"/>
      <w:r>
        <w:rPr>
          <w:rFonts w:hint="eastAsia" w:ascii="宋体" w:hAnsi="宋体" w:cs="宋体"/>
          <w:b/>
          <w:color w:val="auto"/>
          <w:sz w:val="36"/>
          <w:szCs w:val="36"/>
          <w:highlight w:val="none"/>
        </w:rPr>
        <w:t>第三部分 采购需求</w:t>
      </w:r>
      <w:bookmarkEnd w:id="78"/>
      <w:bookmarkEnd w:id="80"/>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81" w:name="OLE_LINK28"/>
      <w:bookmarkStart w:id="82" w:name="OLE_LINK29"/>
      <w:r>
        <w:rPr>
          <w:rFonts w:hint="eastAsia" w:ascii="宋体" w:hAnsi="宋体" w:cs="宋体"/>
          <w:color w:val="auto"/>
          <w:szCs w:val="21"/>
          <w:highlight w:val="none"/>
        </w:rPr>
        <w:t>本项目的政府采购预算控制价为人民币：659,040.00元，高于预算控制价的报价将视为无效投标</w:t>
      </w:r>
      <w:bookmarkEnd w:id="81"/>
      <w:bookmarkEnd w:id="82"/>
      <w:r>
        <w:rPr>
          <w:rFonts w:hint="eastAsia" w:ascii="宋体" w:hAnsi="宋体" w:cs="宋体"/>
          <w:color w:val="auto"/>
          <w:szCs w:val="21"/>
          <w:highlight w:val="none"/>
        </w:rPr>
        <w:t>。</w:t>
      </w:r>
    </w:p>
    <w:p>
      <w:pPr>
        <w:snapToGrid w:val="0"/>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2.采购需求中的内容必须满足或者优于，否则投标无效。</w:t>
      </w:r>
    </w:p>
    <w:p>
      <w:pPr>
        <w:spacing w:line="440" w:lineRule="exact"/>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3. 本项目主体关键性工作为：2025-2027年北海市政务云平台服务项目监理服务，不允许分包。非主体、非关键性工作为：</w:t>
      </w:r>
      <w:bookmarkStart w:id="83" w:name="OLE_LINK38"/>
      <w:bookmarkStart w:id="84" w:name="OLE_LINK39"/>
      <w:r>
        <w:rPr>
          <w:rFonts w:hint="eastAsia" w:ascii="宋体" w:hAnsi="宋体" w:cs="宋体"/>
          <w:color w:val="auto"/>
          <w:highlight w:val="none"/>
        </w:rPr>
        <w:t>第三方测试服务</w:t>
      </w:r>
      <w:r>
        <w:rPr>
          <w:rFonts w:hint="eastAsia" w:ascii="宋体" w:hAnsi="宋体" w:cs="宋体"/>
          <w:color w:val="auto"/>
          <w:szCs w:val="21"/>
          <w:highlight w:val="none"/>
        </w:rPr>
        <w:t>和</w:t>
      </w:r>
      <w:r>
        <w:rPr>
          <w:rFonts w:hint="eastAsia" w:ascii="宋体" w:hAnsi="宋体" w:cs="宋体"/>
          <w:color w:val="auto"/>
          <w:highlight w:val="none"/>
          <w:lang w:eastAsia="zh-CN"/>
        </w:rPr>
        <w:t>项目</w:t>
      </w:r>
      <w:r>
        <w:rPr>
          <w:rFonts w:hint="eastAsia" w:ascii="宋体" w:hAnsi="宋体" w:cs="宋体"/>
          <w:color w:val="auto"/>
          <w:highlight w:val="none"/>
        </w:rPr>
        <w:t>结算审计服务</w:t>
      </w:r>
      <w:bookmarkEnd w:id="83"/>
      <w:bookmarkEnd w:id="84"/>
      <w:r>
        <w:rPr>
          <w:rFonts w:hint="eastAsia" w:ascii="宋体" w:hAnsi="宋体" w:cs="宋体"/>
          <w:color w:val="auto"/>
          <w:szCs w:val="21"/>
          <w:highlight w:val="none"/>
        </w:rPr>
        <w:t>，允许分包。</w:t>
      </w:r>
    </w:p>
    <w:p>
      <w:pPr>
        <w:spacing w:line="44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4.根据《关于印发中小企业划型标准规定的通知》</w:t>
      </w:r>
      <w:bookmarkStart w:id="85" w:name="OLE_LINK24"/>
      <w:bookmarkStart w:id="86" w:name="OLE_LINK25"/>
      <w:r>
        <w:rPr>
          <w:rFonts w:hint="eastAsia" w:ascii="宋体" w:hAnsi="宋体" w:cs="宋体"/>
          <w:color w:val="auto"/>
          <w:szCs w:val="21"/>
          <w:highlight w:val="none"/>
        </w:rPr>
        <w:t>（工信部联企业</w:t>
      </w:r>
      <w:r>
        <w:rPr>
          <w:rFonts w:hint="eastAsia" w:ascii="宋体" w:hAnsi="宋体" w:cs="Book Antiqua"/>
          <w:color w:val="auto"/>
          <w:szCs w:val="21"/>
          <w:highlight w:val="none"/>
        </w:rPr>
        <w:t>〔2011〕</w:t>
      </w:r>
      <w:r>
        <w:rPr>
          <w:rFonts w:hint="eastAsia" w:ascii="宋体" w:hAnsi="宋体" w:cs="宋体"/>
          <w:color w:val="auto"/>
          <w:szCs w:val="21"/>
          <w:highlight w:val="none"/>
        </w:rPr>
        <w:t>300号）</w:t>
      </w:r>
      <w:bookmarkEnd w:id="85"/>
      <w:bookmarkEnd w:id="86"/>
      <w:r>
        <w:rPr>
          <w:rFonts w:hint="eastAsia" w:ascii="宋体" w:hAnsi="宋体" w:cs="宋体"/>
          <w:color w:val="auto"/>
          <w:szCs w:val="21"/>
          <w:highlight w:val="none"/>
        </w:rPr>
        <w:t>规定的划分标准，本项目采购所有标的对应的中小企业划分标准所属行业为：其他未列明行业</w:t>
      </w:r>
      <w:r>
        <w:rPr>
          <w:rFonts w:hint="eastAsia" w:ascii="宋体" w:hAnsi="宋体" w:cs="Book Antiqua"/>
          <w:color w:val="auto"/>
          <w:szCs w:val="21"/>
          <w:highlight w:val="none"/>
        </w:rPr>
        <w:t>。</w:t>
      </w:r>
    </w:p>
    <w:tbl>
      <w:tblPr>
        <w:tblStyle w:val="62"/>
        <w:tblW w:w="9468" w:type="dxa"/>
        <w:jc w:val="center"/>
        <w:tblLayout w:type="fixed"/>
        <w:tblCellMar>
          <w:top w:w="0" w:type="dxa"/>
          <w:left w:w="0" w:type="dxa"/>
          <w:bottom w:w="0" w:type="dxa"/>
          <w:right w:w="0" w:type="dxa"/>
        </w:tblCellMar>
      </w:tblPr>
      <w:tblGrid>
        <w:gridCol w:w="418"/>
        <w:gridCol w:w="803"/>
        <w:gridCol w:w="897"/>
        <w:gridCol w:w="7350"/>
      </w:tblGrid>
      <w:tr>
        <w:tblPrEx>
          <w:tblCellMar>
            <w:top w:w="0" w:type="dxa"/>
            <w:left w:w="0" w:type="dxa"/>
            <w:bottom w:w="0" w:type="dxa"/>
            <w:right w:w="0" w:type="dxa"/>
          </w:tblCellMar>
        </w:tblPrEx>
        <w:trPr>
          <w:trHeight w:val="610" w:hRule="atLeast"/>
          <w:jc w:val="center"/>
        </w:trPr>
        <w:tc>
          <w:tcPr>
            <w:tcW w:w="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803"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服务名称</w:t>
            </w:r>
          </w:p>
        </w:tc>
        <w:tc>
          <w:tcPr>
            <w:tcW w:w="8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2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2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技术需求</w:t>
            </w:r>
          </w:p>
        </w:tc>
      </w:tr>
      <w:tr>
        <w:tblPrEx>
          <w:tblCellMar>
            <w:top w:w="0" w:type="dxa"/>
            <w:left w:w="0" w:type="dxa"/>
            <w:bottom w:w="0" w:type="dxa"/>
            <w:right w:w="0" w:type="dxa"/>
          </w:tblCellMar>
        </w:tblPrEx>
        <w:trPr>
          <w:trHeight w:val="577" w:hRule="atLeast"/>
          <w:jc w:val="center"/>
        </w:trPr>
        <w:tc>
          <w:tcPr>
            <w:tcW w:w="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03" w:type="dxa"/>
            <w:tcBorders>
              <w:top w:val="single" w:color="auto" w:sz="4" w:space="0"/>
              <w:left w:val="nil"/>
              <w:bottom w:val="single" w:color="auto" w:sz="4" w:space="0"/>
              <w:right w:val="single" w:color="auto" w:sz="4" w:space="0"/>
            </w:tcBorders>
            <w:vAlign w:val="center"/>
          </w:tcPr>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en-US" w:eastAsia="zh-CN"/>
              </w:rPr>
              <w:t>2025-2027年</w:t>
            </w:r>
            <w:r>
              <w:rPr>
                <w:rFonts w:hint="eastAsia" w:ascii="宋体" w:hAnsi="宋体" w:eastAsia="宋体" w:cs="宋体"/>
                <w:color w:val="auto"/>
                <w:szCs w:val="24"/>
                <w:highlight w:val="none"/>
              </w:rPr>
              <w:t>北海市政务云平台服务项目监理服务</w:t>
            </w:r>
          </w:p>
        </w:tc>
        <w:tc>
          <w:tcPr>
            <w:tcW w:w="8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360" w:lineRule="auto"/>
              <w:ind w:firstLine="560"/>
              <w:rPr>
                <w:rFonts w:hint="default" w:eastAsiaTheme="minorEastAsia"/>
                <w:b/>
                <w:bCs/>
                <w:color w:val="auto"/>
                <w:highlight w:val="none"/>
                <w:lang w:val="en-US" w:eastAsia="zh-CN"/>
              </w:rPr>
            </w:pPr>
            <w:bookmarkStart w:id="87" w:name="_Toc324174483"/>
            <w:r>
              <w:rPr>
                <w:rFonts w:hint="eastAsia"/>
                <w:b/>
                <w:bCs/>
                <w:color w:val="auto"/>
                <w:highlight w:val="none"/>
                <w:lang w:val="en-US" w:eastAsia="zh-CN"/>
              </w:rPr>
              <w:t>一、监理服务内容</w:t>
            </w:r>
          </w:p>
          <w:p>
            <w:pPr>
              <w:spacing w:line="360" w:lineRule="auto"/>
              <w:ind w:firstLine="560"/>
              <w:rPr>
                <w:rFonts w:hint="default" w:eastAsiaTheme="minorEastAsia"/>
                <w:color w:val="auto"/>
                <w:highlight w:val="none"/>
                <w:lang w:val="en-US" w:eastAsia="zh-CN"/>
              </w:rPr>
            </w:pPr>
            <w:r>
              <w:rPr>
                <w:rFonts w:hint="eastAsia"/>
                <w:color w:val="auto"/>
                <w:highlight w:val="none"/>
              </w:rPr>
              <w:t>2025-2027年北海市政务云平台服务项目监理服务包括全程监理和阶段监理。其中全程监理主要为基础设施、软件服务、运行维护及系统业务运营等项目提供从采购、实施至验收阶段的质量、进度、费用控制、安全生产监督、合同、信息等方面全过程的协调管理服务；阶段监理指在项目中仅对特定关键环节如验收节点等提供监理服务。</w:t>
            </w:r>
            <w:r>
              <w:rPr>
                <w:rFonts w:hint="eastAsia"/>
                <w:color w:val="auto"/>
                <w:highlight w:val="none"/>
                <w:lang w:val="en-US" w:eastAsia="zh-CN"/>
              </w:rPr>
              <w:t>主要服务内容包括:</w:t>
            </w:r>
          </w:p>
          <w:p>
            <w:pPr>
              <w:numPr>
                <w:ilvl w:val="0"/>
                <w:numId w:val="2"/>
              </w:numPr>
              <w:spacing w:line="360" w:lineRule="auto"/>
              <w:ind w:left="0" w:leftChars="0" w:firstLine="420" w:firstLineChars="0"/>
              <w:rPr>
                <w:rFonts w:hint="eastAsia"/>
                <w:b/>
                <w:bCs/>
                <w:color w:val="auto"/>
                <w:highlight w:val="none"/>
              </w:rPr>
            </w:pPr>
            <w:r>
              <w:rPr>
                <w:rFonts w:hint="eastAsia"/>
                <w:b/>
                <w:bCs/>
                <w:color w:val="auto"/>
                <w:highlight w:val="none"/>
              </w:rPr>
              <w:t>管理保障监理</w:t>
            </w:r>
          </w:p>
          <w:p>
            <w:pPr>
              <w:spacing w:line="360" w:lineRule="auto"/>
              <w:ind w:firstLine="560"/>
              <w:rPr>
                <w:rFonts w:hint="eastAsia"/>
                <w:color w:val="auto"/>
                <w:highlight w:val="none"/>
              </w:rPr>
            </w:pPr>
            <w:r>
              <w:rPr>
                <w:rFonts w:hint="eastAsia"/>
                <w:color w:val="auto"/>
                <w:highlight w:val="none"/>
                <w:lang w:val="en-US" w:eastAsia="zh-CN"/>
              </w:rPr>
              <w:t>1、</w:t>
            </w:r>
            <w:r>
              <w:rPr>
                <w:rFonts w:hint="eastAsia"/>
                <w:color w:val="auto"/>
                <w:highlight w:val="none"/>
              </w:rPr>
              <w:t>制度体系</w:t>
            </w:r>
          </w:p>
          <w:p>
            <w:pPr>
              <w:spacing w:line="360" w:lineRule="auto"/>
              <w:ind w:firstLine="560"/>
              <w:rPr>
                <w:rFonts w:hint="eastAsia"/>
                <w:color w:val="auto"/>
                <w:highlight w:val="none"/>
              </w:rPr>
            </w:pPr>
            <w:r>
              <w:rPr>
                <w:rFonts w:hint="eastAsia"/>
                <w:color w:val="auto"/>
                <w:highlight w:val="none"/>
                <w:lang w:val="en-US" w:eastAsia="zh-CN"/>
              </w:rPr>
              <w:t>监理机构负责监督完成</w:t>
            </w:r>
            <w:r>
              <w:rPr>
                <w:rFonts w:hint="eastAsia"/>
                <w:color w:val="auto"/>
                <w:highlight w:val="none"/>
              </w:rPr>
              <w:t>机房环境、平台服务能力、运维运营、安全等方面的管理制度、管理流程、保障机制等制度体系建立</w:t>
            </w:r>
            <w:r>
              <w:rPr>
                <w:rFonts w:hint="eastAsia"/>
                <w:color w:val="auto"/>
                <w:highlight w:val="none"/>
                <w:lang w:eastAsia="zh-CN"/>
              </w:rPr>
              <w:t>，</w:t>
            </w:r>
            <w:r>
              <w:rPr>
                <w:rFonts w:hint="eastAsia"/>
                <w:color w:val="auto"/>
                <w:highlight w:val="none"/>
                <w:lang w:val="en-US" w:eastAsia="zh-CN"/>
              </w:rPr>
              <w:t>确保符合既定管理目标</w:t>
            </w:r>
            <w:r>
              <w:rPr>
                <w:rFonts w:hint="eastAsia"/>
                <w:color w:val="auto"/>
                <w:highlight w:val="none"/>
              </w:rPr>
              <w:t>。</w:t>
            </w:r>
          </w:p>
          <w:p>
            <w:pPr>
              <w:spacing w:line="360" w:lineRule="auto"/>
              <w:ind w:firstLine="560"/>
              <w:rPr>
                <w:rFonts w:hint="eastAsia"/>
                <w:color w:val="auto"/>
                <w:highlight w:val="none"/>
              </w:rPr>
            </w:pPr>
            <w:r>
              <w:rPr>
                <w:rFonts w:hint="eastAsia"/>
                <w:color w:val="auto"/>
                <w:highlight w:val="none"/>
                <w:lang w:val="en-US" w:eastAsia="zh-CN"/>
              </w:rPr>
              <w:t>2、</w:t>
            </w:r>
            <w:r>
              <w:rPr>
                <w:rFonts w:hint="eastAsia"/>
                <w:color w:val="auto"/>
                <w:highlight w:val="none"/>
              </w:rPr>
              <w:t>岗位结构</w:t>
            </w:r>
          </w:p>
          <w:p>
            <w:pPr>
              <w:spacing w:line="360" w:lineRule="auto"/>
              <w:ind w:firstLine="560"/>
              <w:rPr>
                <w:rFonts w:hint="eastAsia"/>
                <w:color w:val="auto"/>
                <w:highlight w:val="none"/>
              </w:rPr>
            </w:pPr>
            <w:r>
              <w:rPr>
                <w:rFonts w:hint="eastAsia"/>
                <w:color w:val="auto"/>
                <w:highlight w:val="none"/>
                <w:lang w:val="en-US" w:eastAsia="zh-CN"/>
              </w:rPr>
              <w:t>监督</w:t>
            </w:r>
            <w:r>
              <w:rPr>
                <w:rFonts w:hint="eastAsia"/>
                <w:color w:val="auto"/>
                <w:highlight w:val="none"/>
              </w:rPr>
              <w:t>服务团队岗位结构设置完备情况</w:t>
            </w:r>
            <w:r>
              <w:rPr>
                <w:rFonts w:hint="eastAsia"/>
                <w:color w:val="auto"/>
                <w:highlight w:val="none"/>
                <w:lang w:eastAsia="zh-CN"/>
              </w:rPr>
              <w:t>；</w:t>
            </w:r>
            <w:r>
              <w:rPr>
                <w:rFonts w:hint="eastAsia"/>
                <w:color w:val="auto"/>
                <w:highlight w:val="none"/>
              </w:rPr>
              <w:t>对政务云服务过程中的不同角色分工和职责划分情况</w:t>
            </w:r>
            <w:r>
              <w:rPr>
                <w:rFonts w:hint="eastAsia"/>
                <w:color w:val="auto"/>
                <w:highlight w:val="none"/>
                <w:lang w:eastAsia="zh-CN"/>
              </w:rPr>
              <w:t>；</w:t>
            </w:r>
            <w:r>
              <w:rPr>
                <w:rFonts w:hint="eastAsia"/>
                <w:color w:val="auto"/>
                <w:highlight w:val="none"/>
              </w:rPr>
              <w:t>云服务的管理、技术支持和系统操作维护等主要岗位提供人员情况</w:t>
            </w:r>
            <w:r>
              <w:rPr>
                <w:rFonts w:hint="eastAsia"/>
                <w:color w:val="auto"/>
                <w:highlight w:val="none"/>
                <w:lang w:eastAsia="zh-CN"/>
              </w:rPr>
              <w:t>，</w:t>
            </w:r>
            <w:r>
              <w:rPr>
                <w:rFonts w:hint="eastAsia"/>
                <w:color w:val="auto"/>
                <w:highlight w:val="none"/>
                <w:lang w:val="en-US" w:eastAsia="zh-CN"/>
              </w:rPr>
              <w:t>确保符合既定平台服务目标</w:t>
            </w:r>
            <w:r>
              <w:rPr>
                <w:rFonts w:hint="eastAsia"/>
                <w:color w:val="auto"/>
                <w:highlight w:val="none"/>
              </w:rPr>
              <w:t>。</w:t>
            </w:r>
          </w:p>
          <w:p>
            <w:pPr>
              <w:spacing w:line="360" w:lineRule="auto"/>
              <w:ind w:firstLine="560"/>
              <w:rPr>
                <w:rFonts w:hint="eastAsia"/>
                <w:color w:val="auto"/>
                <w:highlight w:val="none"/>
              </w:rPr>
            </w:pPr>
            <w:r>
              <w:rPr>
                <w:rFonts w:hint="eastAsia"/>
                <w:color w:val="auto"/>
                <w:highlight w:val="none"/>
                <w:lang w:val="en-US" w:eastAsia="zh-CN"/>
              </w:rPr>
              <w:t>3、</w:t>
            </w:r>
            <w:r>
              <w:rPr>
                <w:rFonts w:hint="eastAsia"/>
                <w:color w:val="auto"/>
                <w:highlight w:val="none"/>
              </w:rPr>
              <w:t>人员资质</w:t>
            </w:r>
          </w:p>
          <w:p>
            <w:pPr>
              <w:spacing w:line="360" w:lineRule="auto"/>
              <w:ind w:firstLine="560"/>
              <w:rPr>
                <w:rFonts w:hint="eastAsia"/>
                <w:color w:val="auto"/>
                <w:highlight w:val="none"/>
              </w:rPr>
            </w:pPr>
            <w:r>
              <w:rPr>
                <w:rFonts w:hint="eastAsia"/>
                <w:color w:val="auto"/>
                <w:highlight w:val="none"/>
                <w:lang w:val="en-US" w:eastAsia="zh-CN"/>
              </w:rPr>
              <w:t>监督</w:t>
            </w:r>
            <w:r>
              <w:rPr>
                <w:rFonts w:hint="eastAsia"/>
                <w:color w:val="auto"/>
                <w:highlight w:val="none"/>
              </w:rPr>
              <w:t>服务人员</w:t>
            </w:r>
            <w:r>
              <w:rPr>
                <w:rFonts w:hint="eastAsia"/>
                <w:color w:val="auto"/>
                <w:highlight w:val="none"/>
                <w:lang w:val="en-US" w:eastAsia="zh-CN"/>
              </w:rPr>
              <w:t>资质及经验情况，确保满足平台服务要求</w:t>
            </w:r>
            <w:r>
              <w:rPr>
                <w:rFonts w:hint="eastAsia"/>
                <w:color w:val="auto"/>
                <w:highlight w:val="none"/>
              </w:rPr>
              <w:t>。</w:t>
            </w:r>
          </w:p>
          <w:p>
            <w:pPr>
              <w:numPr>
                <w:ilvl w:val="0"/>
                <w:numId w:val="2"/>
              </w:numPr>
              <w:spacing w:line="360" w:lineRule="auto"/>
              <w:ind w:left="0" w:leftChars="0" w:firstLine="420" w:firstLineChars="0"/>
              <w:rPr>
                <w:rFonts w:hint="eastAsia"/>
                <w:b/>
                <w:bCs/>
                <w:color w:val="auto"/>
                <w:highlight w:val="none"/>
                <w:lang w:val="en-US" w:eastAsia="zh-CN"/>
              </w:rPr>
            </w:pPr>
            <w:r>
              <w:rPr>
                <w:rFonts w:hint="eastAsia"/>
                <w:b/>
                <w:bCs/>
                <w:color w:val="auto"/>
                <w:highlight w:val="none"/>
                <w:lang w:val="en-US" w:eastAsia="zh-CN"/>
              </w:rPr>
              <w:t>机房环境保障监理</w:t>
            </w:r>
          </w:p>
          <w:p>
            <w:pPr>
              <w:numPr>
                <w:ilvl w:val="0"/>
                <w:numId w:val="0"/>
              </w:numPr>
              <w:spacing w:line="360" w:lineRule="auto"/>
              <w:ind w:firstLine="420" w:firstLineChars="200"/>
              <w:rPr>
                <w:rFonts w:hint="eastAsia"/>
                <w:color w:val="auto"/>
                <w:highlight w:val="none"/>
                <w:lang w:val="en-US" w:eastAsia="zh-CN"/>
              </w:rPr>
            </w:pPr>
            <w:r>
              <w:rPr>
                <w:rFonts w:hint="eastAsia"/>
                <w:color w:val="auto"/>
                <w:highlight w:val="none"/>
                <w:lang w:val="en-US" w:eastAsia="zh-CN"/>
              </w:rPr>
              <w:t>监督服务提供商提供的</w:t>
            </w:r>
            <w:r>
              <w:rPr>
                <w:rFonts w:hint="default"/>
                <w:color w:val="auto"/>
                <w:highlight w:val="none"/>
                <w:lang w:val="en-US" w:eastAsia="zh-CN"/>
              </w:rPr>
              <w:t>机房</w:t>
            </w:r>
            <w:r>
              <w:rPr>
                <w:rFonts w:hint="eastAsia"/>
                <w:color w:val="auto"/>
                <w:highlight w:val="none"/>
                <w:lang w:val="en-US" w:eastAsia="zh-CN"/>
              </w:rPr>
              <w:t>基础</w:t>
            </w:r>
            <w:r>
              <w:rPr>
                <w:rFonts w:hint="default"/>
                <w:color w:val="auto"/>
                <w:highlight w:val="none"/>
                <w:lang w:val="en-US" w:eastAsia="zh-CN"/>
              </w:rPr>
              <w:t>环境</w:t>
            </w:r>
            <w:r>
              <w:rPr>
                <w:rFonts w:hint="eastAsia"/>
                <w:color w:val="auto"/>
                <w:highlight w:val="none"/>
                <w:lang w:val="en-US" w:eastAsia="zh-CN"/>
              </w:rPr>
              <w:t>、供配电系统、制冷系统、智能化系统、消防与安全、综合布线符合实施方案要求。</w:t>
            </w:r>
          </w:p>
          <w:p>
            <w:pPr>
              <w:numPr>
                <w:ilvl w:val="0"/>
                <w:numId w:val="2"/>
              </w:numPr>
              <w:spacing w:line="360" w:lineRule="auto"/>
              <w:ind w:left="0" w:leftChars="0" w:firstLine="420" w:firstLineChars="0"/>
              <w:rPr>
                <w:rFonts w:hint="default"/>
                <w:b/>
                <w:bCs/>
                <w:color w:val="auto"/>
                <w:highlight w:val="none"/>
                <w:lang w:val="en-US" w:eastAsia="zh-CN"/>
              </w:rPr>
            </w:pPr>
            <w:r>
              <w:rPr>
                <w:rFonts w:hint="eastAsia"/>
                <w:b/>
                <w:bCs/>
                <w:color w:val="auto"/>
                <w:highlight w:val="none"/>
                <w:lang w:val="en-US" w:eastAsia="zh-CN"/>
              </w:rPr>
              <w:t>云平台服务能力监理</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1）可用性</w:t>
            </w:r>
          </w:p>
          <w:p>
            <w:pPr>
              <w:numPr>
                <w:ilvl w:val="0"/>
                <w:numId w:val="0"/>
              </w:numPr>
              <w:spacing w:line="360" w:lineRule="auto"/>
              <w:ind w:firstLine="420" w:firstLineChars="200"/>
              <w:rPr>
                <w:rFonts w:hint="default"/>
                <w:color w:val="auto"/>
                <w:highlight w:val="none"/>
                <w:lang w:val="en-US" w:eastAsia="zh-CN"/>
              </w:rPr>
            </w:pPr>
            <w:r>
              <w:rPr>
                <w:rFonts w:hint="eastAsia"/>
                <w:color w:val="auto"/>
                <w:highlight w:val="none"/>
                <w:lang w:val="en-US" w:eastAsia="zh-CN"/>
              </w:rPr>
              <w:t>监理机构负责监督</w:t>
            </w:r>
            <w:r>
              <w:rPr>
                <w:rFonts w:hint="default"/>
                <w:color w:val="auto"/>
                <w:highlight w:val="none"/>
                <w:lang w:val="en-US" w:eastAsia="zh-CN"/>
              </w:rPr>
              <w:t>云资源保障、服务能力保障、资源利用率监控，资源冗余情况等</w:t>
            </w:r>
            <w:r>
              <w:rPr>
                <w:rFonts w:hint="eastAsia"/>
                <w:color w:val="auto"/>
                <w:highlight w:val="none"/>
                <w:lang w:val="en-US" w:eastAsia="zh-CN"/>
              </w:rPr>
              <w:t>。</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2）可靠性</w:t>
            </w:r>
          </w:p>
          <w:p>
            <w:pPr>
              <w:numPr>
                <w:ilvl w:val="0"/>
                <w:numId w:val="0"/>
              </w:numPr>
              <w:spacing w:line="360" w:lineRule="auto"/>
              <w:ind w:firstLine="420" w:firstLineChars="200"/>
              <w:rPr>
                <w:rFonts w:hint="default"/>
                <w:color w:val="auto"/>
                <w:highlight w:val="none"/>
                <w:lang w:val="en-US" w:eastAsia="zh-CN"/>
              </w:rPr>
            </w:pPr>
            <w:r>
              <w:rPr>
                <w:rFonts w:hint="eastAsia"/>
                <w:color w:val="auto"/>
                <w:highlight w:val="none"/>
                <w:lang w:val="en-US" w:eastAsia="zh-CN"/>
              </w:rPr>
              <w:t>监理机构负责监督</w:t>
            </w:r>
            <w:r>
              <w:rPr>
                <w:rFonts w:hint="default"/>
                <w:color w:val="auto"/>
                <w:highlight w:val="none"/>
                <w:lang w:val="en-US" w:eastAsia="zh-CN"/>
              </w:rPr>
              <w:t>服务中断次数、服务恢复能力、关键设备冗余、容灾保障能力</w:t>
            </w:r>
            <w:r>
              <w:rPr>
                <w:rFonts w:hint="eastAsia"/>
                <w:color w:val="auto"/>
                <w:highlight w:val="none"/>
                <w:lang w:val="en-US" w:eastAsia="zh-CN"/>
              </w:rPr>
              <w:t>情况等。</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3）响应性</w:t>
            </w:r>
          </w:p>
          <w:p>
            <w:pPr>
              <w:numPr>
                <w:ilvl w:val="0"/>
                <w:numId w:val="0"/>
              </w:numPr>
              <w:spacing w:line="360" w:lineRule="auto"/>
              <w:ind w:firstLine="420" w:firstLineChars="200"/>
              <w:rPr>
                <w:rFonts w:hint="default"/>
                <w:color w:val="auto"/>
                <w:highlight w:val="none"/>
                <w:lang w:val="en-US" w:eastAsia="zh-CN"/>
              </w:rPr>
            </w:pPr>
            <w:r>
              <w:rPr>
                <w:rFonts w:hint="eastAsia"/>
                <w:color w:val="auto"/>
                <w:highlight w:val="none"/>
                <w:lang w:val="en-US" w:eastAsia="zh-CN"/>
              </w:rPr>
              <w:t>监理机构负责监督</w:t>
            </w:r>
            <w:r>
              <w:rPr>
                <w:rFonts w:hint="default"/>
                <w:color w:val="auto"/>
                <w:highlight w:val="none"/>
                <w:lang w:val="en-US" w:eastAsia="zh-CN"/>
              </w:rPr>
              <w:t>服务响应及时性、资源配置及时性、资源弹性和可扩展性</w:t>
            </w:r>
            <w:r>
              <w:rPr>
                <w:rFonts w:hint="eastAsia"/>
                <w:color w:val="auto"/>
                <w:highlight w:val="none"/>
                <w:lang w:val="en-US" w:eastAsia="zh-CN"/>
              </w:rPr>
              <w:t>情况</w:t>
            </w:r>
            <w:r>
              <w:rPr>
                <w:rFonts w:hint="default"/>
                <w:color w:val="auto"/>
                <w:highlight w:val="none"/>
                <w:lang w:val="en-US" w:eastAsia="zh-CN"/>
              </w:rPr>
              <w:t>等</w:t>
            </w:r>
            <w:r>
              <w:rPr>
                <w:rFonts w:hint="eastAsia"/>
                <w:color w:val="auto"/>
                <w:highlight w:val="none"/>
                <w:lang w:val="en-US" w:eastAsia="zh-CN"/>
              </w:rPr>
              <w:t>。</w:t>
            </w:r>
          </w:p>
          <w:p>
            <w:pPr>
              <w:numPr>
                <w:ilvl w:val="0"/>
                <w:numId w:val="2"/>
              </w:numPr>
              <w:spacing w:line="360" w:lineRule="auto"/>
              <w:ind w:left="0" w:leftChars="0" w:firstLine="420" w:firstLineChars="0"/>
              <w:rPr>
                <w:rFonts w:hint="default"/>
                <w:b/>
                <w:bCs/>
                <w:color w:val="auto"/>
                <w:highlight w:val="none"/>
                <w:lang w:val="en-US" w:eastAsia="zh-CN"/>
              </w:rPr>
            </w:pPr>
            <w:r>
              <w:rPr>
                <w:rFonts w:hint="default"/>
                <w:b/>
                <w:bCs/>
                <w:color w:val="auto"/>
                <w:highlight w:val="none"/>
                <w:lang w:val="en-US" w:eastAsia="zh-CN"/>
              </w:rPr>
              <w:t>云平台运维能力监理</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监督</w:t>
            </w:r>
            <w:r>
              <w:rPr>
                <w:rFonts w:hint="default"/>
                <w:color w:val="auto"/>
                <w:highlight w:val="none"/>
                <w:lang w:val="en-US" w:eastAsia="zh-CN"/>
              </w:rPr>
              <w:t>云服务自监控</w:t>
            </w:r>
            <w:r>
              <w:rPr>
                <w:rFonts w:hint="eastAsia"/>
                <w:color w:val="auto"/>
                <w:highlight w:val="none"/>
                <w:lang w:val="en-US" w:eastAsia="zh-CN"/>
              </w:rPr>
              <w:t>情况；</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监督</w:t>
            </w:r>
            <w:r>
              <w:rPr>
                <w:rFonts w:hint="default"/>
                <w:color w:val="auto"/>
                <w:highlight w:val="none"/>
                <w:lang w:val="en-US" w:eastAsia="zh-CN"/>
              </w:rPr>
              <w:t>运维事件解决情况</w:t>
            </w:r>
            <w:r>
              <w:rPr>
                <w:rFonts w:hint="eastAsia"/>
                <w:color w:val="auto"/>
                <w:highlight w:val="none"/>
                <w:lang w:val="en-US" w:eastAsia="zh-CN"/>
              </w:rPr>
              <w:t>；</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监督</w:t>
            </w:r>
            <w:r>
              <w:rPr>
                <w:rFonts w:hint="default"/>
                <w:color w:val="auto"/>
                <w:highlight w:val="none"/>
                <w:lang w:val="en-US" w:eastAsia="zh-CN"/>
              </w:rPr>
              <w:t>服务规范性</w:t>
            </w:r>
            <w:r>
              <w:rPr>
                <w:rFonts w:hint="eastAsia"/>
                <w:color w:val="auto"/>
                <w:highlight w:val="none"/>
                <w:lang w:val="en-US" w:eastAsia="zh-CN"/>
              </w:rPr>
              <w:t>；</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监督</w:t>
            </w:r>
            <w:r>
              <w:rPr>
                <w:rFonts w:hint="default"/>
                <w:color w:val="auto"/>
                <w:highlight w:val="none"/>
                <w:lang w:val="en-US" w:eastAsia="zh-CN"/>
              </w:rPr>
              <w:t>应急预案及演练</w:t>
            </w:r>
            <w:r>
              <w:rPr>
                <w:rFonts w:hint="eastAsia"/>
                <w:color w:val="auto"/>
                <w:highlight w:val="none"/>
                <w:lang w:val="en-US" w:eastAsia="zh-CN"/>
              </w:rPr>
              <w:t>落实情况；</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监督</w:t>
            </w:r>
            <w:r>
              <w:rPr>
                <w:rFonts w:hint="default"/>
                <w:color w:val="auto"/>
                <w:highlight w:val="none"/>
                <w:lang w:val="en-US" w:eastAsia="zh-CN"/>
              </w:rPr>
              <w:t>服务质量报告</w:t>
            </w:r>
            <w:r>
              <w:rPr>
                <w:rFonts w:hint="eastAsia"/>
                <w:color w:val="auto"/>
                <w:highlight w:val="none"/>
                <w:lang w:val="en-US" w:eastAsia="zh-CN"/>
              </w:rPr>
              <w:t>的完整性及规范性；</w:t>
            </w:r>
          </w:p>
          <w:p>
            <w:pPr>
              <w:numPr>
                <w:ilvl w:val="0"/>
                <w:numId w:val="2"/>
              </w:numPr>
              <w:spacing w:line="360" w:lineRule="auto"/>
              <w:ind w:left="0" w:leftChars="0" w:firstLine="420" w:firstLineChars="0"/>
              <w:rPr>
                <w:rFonts w:hint="default"/>
                <w:b/>
                <w:bCs/>
                <w:color w:val="auto"/>
                <w:highlight w:val="none"/>
                <w:lang w:val="en-US" w:eastAsia="zh-CN"/>
              </w:rPr>
            </w:pPr>
            <w:r>
              <w:rPr>
                <w:rFonts w:hint="default"/>
                <w:b/>
                <w:bCs/>
                <w:color w:val="auto"/>
                <w:highlight w:val="none"/>
                <w:lang w:val="en-US" w:eastAsia="zh-CN"/>
              </w:rPr>
              <w:t>安全能力监理</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监督</w:t>
            </w:r>
            <w:r>
              <w:rPr>
                <w:rFonts w:hint="default"/>
                <w:color w:val="auto"/>
                <w:highlight w:val="none"/>
                <w:lang w:val="en-US" w:eastAsia="zh-CN"/>
              </w:rPr>
              <w:t>云平台通过等保密评情况</w:t>
            </w:r>
            <w:r>
              <w:rPr>
                <w:rFonts w:hint="eastAsia"/>
                <w:color w:val="auto"/>
                <w:highlight w:val="none"/>
                <w:lang w:val="en-US" w:eastAsia="zh-CN"/>
              </w:rPr>
              <w:t>；</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监督</w:t>
            </w:r>
            <w:r>
              <w:rPr>
                <w:rFonts w:hint="default"/>
                <w:color w:val="auto"/>
                <w:highlight w:val="none"/>
                <w:lang w:val="en-US" w:eastAsia="zh-CN"/>
              </w:rPr>
              <w:t>安全事件处理及时性</w:t>
            </w:r>
            <w:r>
              <w:rPr>
                <w:rFonts w:hint="eastAsia"/>
                <w:color w:val="auto"/>
                <w:highlight w:val="none"/>
                <w:lang w:val="en-US" w:eastAsia="zh-CN"/>
              </w:rPr>
              <w:t>；</w:t>
            </w:r>
          </w:p>
          <w:p>
            <w:pPr>
              <w:numPr>
                <w:ilvl w:val="0"/>
                <w:numId w:val="0"/>
              </w:numPr>
              <w:spacing w:line="360" w:lineRule="auto"/>
              <w:ind w:left="560" w:leftChars="0"/>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监督</w:t>
            </w:r>
            <w:r>
              <w:rPr>
                <w:rFonts w:hint="default"/>
                <w:color w:val="auto"/>
                <w:highlight w:val="none"/>
                <w:lang w:val="en-US" w:eastAsia="zh-CN"/>
              </w:rPr>
              <w:t>安全事件自监控情况</w:t>
            </w:r>
            <w:r>
              <w:rPr>
                <w:rFonts w:hint="eastAsia"/>
                <w:color w:val="auto"/>
                <w:highlight w:val="none"/>
                <w:lang w:val="en-US" w:eastAsia="zh-CN"/>
              </w:rPr>
              <w:t>；</w:t>
            </w:r>
          </w:p>
          <w:p>
            <w:pPr>
              <w:numPr>
                <w:ilvl w:val="0"/>
                <w:numId w:val="0"/>
              </w:numPr>
              <w:spacing w:line="360" w:lineRule="auto"/>
              <w:ind w:left="560" w:leftChars="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监督</w:t>
            </w:r>
            <w:r>
              <w:rPr>
                <w:rFonts w:hint="default"/>
                <w:color w:val="auto"/>
                <w:highlight w:val="none"/>
                <w:lang w:val="en-US" w:eastAsia="zh-CN"/>
              </w:rPr>
              <w:t>风险防护能力和处置情况</w:t>
            </w:r>
            <w:r>
              <w:rPr>
                <w:rFonts w:hint="eastAsia"/>
                <w:color w:val="auto"/>
                <w:highlight w:val="none"/>
                <w:lang w:val="en-US" w:eastAsia="zh-CN"/>
              </w:rPr>
              <w:t>；</w:t>
            </w:r>
          </w:p>
          <w:p>
            <w:pPr>
              <w:numPr>
                <w:ilvl w:val="0"/>
                <w:numId w:val="0"/>
              </w:numPr>
              <w:spacing w:line="360" w:lineRule="auto"/>
              <w:ind w:left="560" w:leftChars="0"/>
              <w:rPr>
                <w:rFonts w:hint="eastAsia"/>
                <w:color w:val="auto"/>
                <w:highlight w:val="none"/>
                <w:lang w:val="en-US" w:eastAsia="zh-CN"/>
              </w:rPr>
            </w:pPr>
          </w:p>
          <w:p>
            <w:pPr>
              <w:pStyle w:val="964"/>
              <w:spacing w:line="360" w:lineRule="auto"/>
              <w:ind w:firstLine="560"/>
              <w:rPr>
                <w:b/>
                <w:bCs/>
                <w:color w:val="auto"/>
                <w:highlight w:val="none"/>
              </w:rPr>
            </w:pPr>
            <w:r>
              <w:rPr>
                <w:rFonts w:hint="eastAsia"/>
                <w:b/>
                <w:bCs/>
                <w:color w:val="auto"/>
                <w:highlight w:val="none"/>
                <w:lang w:val="en-US" w:eastAsia="zh-CN"/>
              </w:rPr>
              <w:t>二、</w:t>
            </w:r>
            <w:r>
              <w:rPr>
                <w:rFonts w:hint="eastAsia"/>
                <w:b/>
                <w:bCs/>
                <w:color w:val="auto"/>
                <w:highlight w:val="none"/>
              </w:rPr>
              <w:t>监理依据</w:t>
            </w:r>
          </w:p>
          <w:p>
            <w:pPr>
              <w:pStyle w:val="964"/>
              <w:numPr>
                <w:ilvl w:val="0"/>
                <w:numId w:val="3"/>
              </w:numPr>
              <w:spacing w:line="360" w:lineRule="auto"/>
              <w:ind w:left="0" w:leftChars="0" w:firstLine="420" w:firstLineChars="0"/>
              <w:rPr>
                <w:rFonts w:hint="eastAsia"/>
                <w:b/>
                <w:bCs/>
                <w:color w:val="auto"/>
                <w:highlight w:val="none"/>
                <w:lang w:val="en-US" w:eastAsia="zh-CN"/>
              </w:rPr>
            </w:pPr>
            <w:r>
              <w:rPr>
                <w:rFonts w:hint="eastAsia"/>
                <w:b/>
                <w:bCs/>
                <w:color w:val="auto"/>
                <w:highlight w:val="none"/>
                <w:lang w:val="en-US" w:eastAsia="zh-CN"/>
              </w:rPr>
              <w:t>国家、自治区相关管理办法</w:t>
            </w:r>
          </w:p>
          <w:p>
            <w:pPr>
              <w:pStyle w:val="964"/>
              <w:spacing w:line="360" w:lineRule="auto"/>
              <w:ind w:firstLine="560"/>
              <w:rPr>
                <w:rFonts w:hint="eastAsia"/>
                <w:color w:val="auto"/>
                <w:highlight w:val="none"/>
                <w:lang w:val="en-US" w:eastAsia="zh-CN"/>
              </w:rPr>
            </w:pPr>
            <w:r>
              <w:rPr>
                <w:rFonts w:hint="eastAsia"/>
                <w:color w:val="auto"/>
                <w:highlight w:val="none"/>
                <w:lang w:val="en-US" w:eastAsia="zh-CN"/>
              </w:rPr>
              <w:t>1.《国家政务信息化项目建设管理办法》[2019]57号；</w:t>
            </w:r>
          </w:p>
          <w:p>
            <w:pPr>
              <w:pStyle w:val="964"/>
              <w:spacing w:line="360" w:lineRule="auto"/>
              <w:ind w:firstLine="560"/>
              <w:rPr>
                <w:rFonts w:hint="eastAsia"/>
                <w:color w:val="auto"/>
                <w:highlight w:val="none"/>
                <w:lang w:val="en-US" w:eastAsia="zh-CN"/>
              </w:rPr>
            </w:pPr>
            <w:r>
              <w:rPr>
                <w:rFonts w:hint="eastAsia"/>
                <w:color w:val="auto"/>
                <w:highlight w:val="none"/>
                <w:lang w:val="en-US" w:eastAsia="zh-CN"/>
              </w:rPr>
              <w:t>2.《广西政务信息化项目建设管理办法》(桂政办发〔2024〕59号)；</w:t>
            </w:r>
          </w:p>
          <w:p>
            <w:pPr>
              <w:pStyle w:val="964"/>
              <w:spacing w:line="360" w:lineRule="auto"/>
              <w:ind w:firstLine="560"/>
              <w:rPr>
                <w:rFonts w:hint="eastAsia"/>
                <w:color w:val="auto"/>
                <w:highlight w:val="none"/>
                <w:lang w:val="en-US" w:eastAsia="zh-CN"/>
              </w:rPr>
            </w:pPr>
            <w:r>
              <w:rPr>
                <w:rFonts w:hint="eastAsia"/>
                <w:color w:val="auto"/>
                <w:highlight w:val="none"/>
                <w:lang w:val="en-US" w:eastAsia="zh-CN"/>
              </w:rPr>
              <w:t>3.《壮美广西·政务云管理办法》（桂数发〔2020〕10号）</w:t>
            </w:r>
          </w:p>
          <w:p>
            <w:pPr>
              <w:pStyle w:val="964"/>
              <w:spacing w:line="360" w:lineRule="auto"/>
              <w:ind w:firstLine="560"/>
              <w:rPr>
                <w:rFonts w:hint="eastAsia"/>
                <w:color w:val="auto"/>
                <w:highlight w:val="none"/>
                <w:lang w:val="en-US" w:eastAsia="zh-CN"/>
              </w:rPr>
            </w:pPr>
            <w:r>
              <w:rPr>
                <w:rFonts w:hint="eastAsia"/>
                <w:color w:val="auto"/>
                <w:highlight w:val="none"/>
                <w:lang w:val="en-US" w:eastAsia="zh-CN"/>
              </w:rPr>
              <w:t>4.《北海市人民政府办公室关于印发北海市政务信息化项目建设管理办法（试行）的通知》（北政办〔2023〕34号）；</w:t>
            </w:r>
          </w:p>
          <w:p>
            <w:pPr>
              <w:pStyle w:val="964"/>
              <w:spacing w:line="360" w:lineRule="auto"/>
              <w:ind w:firstLine="560"/>
              <w:rPr>
                <w:rFonts w:hint="eastAsia"/>
                <w:color w:val="auto"/>
                <w:highlight w:val="none"/>
                <w:lang w:val="en-US" w:eastAsia="zh-CN"/>
              </w:rPr>
            </w:pPr>
            <w:r>
              <w:rPr>
                <w:rFonts w:hint="eastAsia"/>
                <w:color w:val="auto"/>
                <w:highlight w:val="none"/>
                <w:lang w:val="en-US" w:eastAsia="zh-CN"/>
              </w:rPr>
              <w:t>5.广西壮族自治区财政厅关于印发《广西壮族自治区本级政务信息化建设和运维项目预算支出标准》（桂财建〔2023〕102号）的通知。</w:t>
            </w:r>
          </w:p>
          <w:p>
            <w:pPr>
              <w:pStyle w:val="964"/>
              <w:numPr>
                <w:ilvl w:val="0"/>
                <w:numId w:val="3"/>
              </w:numPr>
              <w:spacing w:line="360" w:lineRule="auto"/>
              <w:ind w:left="0" w:leftChars="0" w:firstLine="420" w:firstLineChars="0"/>
              <w:rPr>
                <w:rFonts w:hint="default"/>
                <w:b/>
                <w:bCs/>
                <w:color w:val="auto"/>
                <w:highlight w:val="none"/>
                <w:lang w:val="en-US" w:eastAsia="zh-CN"/>
              </w:rPr>
            </w:pPr>
            <w:r>
              <w:rPr>
                <w:rFonts w:hint="eastAsia"/>
                <w:b/>
                <w:bCs/>
                <w:color w:val="auto"/>
                <w:highlight w:val="none"/>
                <w:lang w:val="en-US" w:eastAsia="zh-CN"/>
              </w:rPr>
              <w:t>国家、行业相关规范标准</w:t>
            </w:r>
          </w:p>
          <w:p>
            <w:pPr>
              <w:pStyle w:val="964"/>
              <w:spacing w:line="360" w:lineRule="auto"/>
              <w:ind w:firstLine="560"/>
              <w:rPr>
                <w:color w:val="auto"/>
                <w:highlight w:val="none"/>
              </w:rPr>
            </w:pPr>
            <w:r>
              <w:rPr>
                <w:rFonts w:hint="eastAsia"/>
                <w:color w:val="auto"/>
                <w:highlight w:val="none"/>
                <w:lang w:val="en-US" w:eastAsia="zh-CN"/>
              </w:rPr>
              <w:t>1.</w:t>
            </w:r>
            <w:r>
              <w:rPr>
                <w:rFonts w:hint="eastAsia"/>
                <w:color w:val="auto"/>
                <w:highlight w:val="none"/>
              </w:rPr>
              <w:t>工程总体监理准则依照GBT 19668-2014 《信息技术服务 监理》严格执行。</w:t>
            </w:r>
          </w:p>
          <w:p>
            <w:pPr>
              <w:pStyle w:val="964"/>
              <w:spacing w:line="360" w:lineRule="auto"/>
              <w:ind w:firstLine="560"/>
              <w:rPr>
                <w:color w:val="auto"/>
                <w:highlight w:val="none"/>
              </w:rPr>
            </w:pPr>
            <w:r>
              <w:rPr>
                <w:rFonts w:hint="eastAsia"/>
                <w:color w:val="auto"/>
                <w:highlight w:val="none"/>
                <w:lang w:val="en-US" w:eastAsia="zh-CN"/>
              </w:rPr>
              <w:t>2.</w:t>
            </w:r>
            <w:r>
              <w:rPr>
                <w:rFonts w:hint="eastAsia"/>
                <w:color w:val="auto"/>
                <w:highlight w:val="none"/>
              </w:rPr>
              <w:t>软件工程部分，按以下标准严格执行：</w:t>
            </w:r>
          </w:p>
          <w:p>
            <w:pPr>
              <w:pStyle w:val="964"/>
              <w:spacing w:line="360" w:lineRule="auto"/>
              <w:ind w:firstLine="560"/>
              <w:rPr>
                <w:color w:val="auto"/>
                <w:highlight w:val="none"/>
              </w:rPr>
            </w:pPr>
            <w:r>
              <w:rPr>
                <w:rFonts w:hint="eastAsia"/>
                <w:color w:val="auto"/>
                <w:highlight w:val="none"/>
                <w:lang w:eastAsia="zh-CN"/>
              </w:rPr>
              <w:t>（</w:t>
            </w:r>
            <w:r>
              <w:rPr>
                <w:rFonts w:hint="eastAsia"/>
                <w:color w:val="auto"/>
                <w:highlight w:val="none"/>
              </w:rPr>
              <w:t>1）基础标准：GB/T 11457-2006 《信息技术软件工程术语》；GB/T 1526-1989 《信息处理-数据流程图、程序流程图、系统流程图、程序网络图和系统资源图的文件编辑符号及约定》；GB/T 13502-1992 《信息处理-程序构造及其表示法的约定》；GB/T 15535-1995 《信息处理-单命中判定表规范》；GB/T 14085-1993 《信息处理系统-计算机系统配置图符号及其约定》。</w:t>
            </w:r>
          </w:p>
          <w:p>
            <w:pPr>
              <w:pStyle w:val="964"/>
              <w:spacing w:line="360" w:lineRule="auto"/>
              <w:ind w:firstLine="560"/>
              <w:rPr>
                <w:color w:val="auto"/>
                <w:highlight w:val="none"/>
              </w:rPr>
            </w:pPr>
            <w:r>
              <w:rPr>
                <w:rFonts w:hint="eastAsia"/>
                <w:color w:val="auto"/>
                <w:highlight w:val="none"/>
                <w:lang w:eastAsia="zh-CN"/>
              </w:rPr>
              <w:t>（</w:t>
            </w:r>
            <w:r>
              <w:rPr>
                <w:rFonts w:hint="eastAsia"/>
                <w:color w:val="auto"/>
                <w:highlight w:val="none"/>
              </w:rPr>
              <w:t xml:space="preserve">2）开发标准：GB/T 8566-2007 《软件开发规范》；GB/T 15532-2008 《计算机软件单元测试》；GB/T 20917-2007 《软件工程 软件测量过程》；GB/T 20157-2006 《信息技术 软件维护》 </w:t>
            </w:r>
          </w:p>
          <w:p>
            <w:pPr>
              <w:pStyle w:val="964"/>
              <w:spacing w:line="360" w:lineRule="auto"/>
              <w:ind w:firstLine="560"/>
              <w:rPr>
                <w:color w:val="auto"/>
                <w:highlight w:val="none"/>
              </w:rPr>
            </w:pPr>
            <w:r>
              <w:rPr>
                <w:rFonts w:hint="eastAsia"/>
                <w:color w:val="auto"/>
                <w:highlight w:val="none"/>
                <w:lang w:eastAsia="zh-CN"/>
              </w:rPr>
              <w:t>（</w:t>
            </w:r>
            <w:r>
              <w:rPr>
                <w:rFonts w:hint="eastAsia"/>
                <w:color w:val="auto"/>
                <w:highlight w:val="none"/>
              </w:rPr>
              <w:t>3）文档标准：GB/T 16680-2015 《软件文档管理指南》；GB/T 8567-2006 《计算机软件文档编制规范》；GB/T 9385-2008 《计算机软件需求规格说明规范》；GB/T 9386-2008 《计算机软件测试文档编制规范》；GB/T 20158-2006 《信息技术 软件生存周期过程 配置管理》；GB/T 20918-2007 《信息技术 软件生存周期过程 风险管理》。</w:t>
            </w:r>
          </w:p>
          <w:p>
            <w:pPr>
              <w:pStyle w:val="964"/>
              <w:spacing w:line="360" w:lineRule="auto"/>
              <w:ind w:firstLine="560"/>
              <w:rPr>
                <w:rFonts w:hint="eastAsia"/>
                <w:color w:val="auto"/>
                <w:highlight w:val="none"/>
              </w:rPr>
            </w:pPr>
            <w:r>
              <w:rPr>
                <w:rFonts w:hint="eastAsia"/>
                <w:color w:val="auto"/>
                <w:highlight w:val="none"/>
                <w:lang w:eastAsia="zh-CN"/>
              </w:rPr>
              <w:t>（</w:t>
            </w:r>
            <w:r>
              <w:rPr>
                <w:rFonts w:hint="eastAsia"/>
                <w:color w:val="auto"/>
                <w:highlight w:val="none"/>
              </w:rPr>
              <w:t>4）管理标准：GB/T 18905-2002 《软件工程 产品评价》；GB/T 14394-2008 《计算机软件可靠性和可维护性管理》；GB/T 19000-2016 《质量管理体系 基础和术语》。</w:t>
            </w:r>
          </w:p>
          <w:p>
            <w:pPr>
              <w:pStyle w:val="964"/>
              <w:numPr>
                <w:ilvl w:val="0"/>
                <w:numId w:val="3"/>
              </w:numPr>
              <w:spacing w:line="360" w:lineRule="auto"/>
              <w:ind w:left="0" w:leftChars="0" w:firstLine="420" w:firstLineChars="0"/>
              <w:rPr>
                <w:rFonts w:hint="eastAsia"/>
                <w:b/>
                <w:bCs/>
                <w:color w:val="auto"/>
                <w:highlight w:val="none"/>
                <w:lang w:val="en-US" w:eastAsia="zh-CN"/>
              </w:rPr>
            </w:pPr>
            <w:r>
              <w:rPr>
                <w:rFonts w:hint="eastAsia"/>
                <w:b/>
                <w:bCs/>
                <w:color w:val="auto"/>
                <w:highlight w:val="none"/>
                <w:lang w:val="en-US" w:eastAsia="zh-CN"/>
              </w:rPr>
              <w:t>项目建设相关材料</w:t>
            </w:r>
          </w:p>
          <w:p>
            <w:pPr>
              <w:pStyle w:val="964"/>
              <w:numPr>
                <w:ilvl w:val="0"/>
                <w:numId w:val="4"/>
              </w:numPr>
              <w:spacing w:line="360" w:lineRule="auto"/>
              <w:ind w:left="845" w:leftChars="0" w:hanging="425" w:firstLineChars="0"/>
              <w:rPr>
                <w:rFonts w:hint="eastAsia"/>
                <w:color w:val="auto"/>
                <w:highlight w:val="none"/>
                <w:lang w:val="en-US" w:eastAsia="zh-CN"/>
              </w:rPr>
            </w:pPr>
            <w:r>
              <w:rPr>
                <w:rFonts w:hint="eastAsia"/>
                <w:color w:val="auto"/>
                <w:highlight w:val="none"/>
                <w:lang w:val="en-US" w:eastAsia="zh-CN"/>
              </w:rPr>
              <w:t>2025-2027年北海市政务云平台服务项目实施方案；</w:t>
            </w:r>
          </w:p>
          <w:p>
            <w:pPr>
              <w:pStyle w:val="964"/>
              <w:numPr>
                <w:ilvl w:val="0"/>
                <w:numId w:val="4"/>
              </w:numPr>
              <w:spacing w:line="360" w:lineRule="auto"/>
              <w:ind w:left="845" w:leftChars="0" w:hanging="425" w:firstLineChars="0"/>
              <w:rPr>
                <w:rFonts w:hint="eastAsia"/>
                <w:color w:val="auto"/>
                <w:highlight w:val="none"/>
                <w:lang w:val="en-US" w:eastAsia="zh-CN"/>
              </w:rPr>
            </w:pPr>
            <w:r>
              <w:rPr>
                <w:rFonts w:hint="eastAsia"/>
                <w:color w:val="auto"/>
                <w:highlight w:val="none"/>
                <w:lang w:val="en-US" w:eastAsia="zh-CN"/>
              </w:rPr>
              <w:t>项目招投标文件；</w:t>
            </w:r>
          </w:p>
          <w:p>
            <w:pPr>
              <w:pStyle w:val="964"/>
              <w:numPr>
                <w:ilvl w:val="0"/>
                <w:numId w:val="4"/>
              </w:numPr>
              <w:spacing w:line="360" w:lineRule="auto"/>
              <w:ind w:left="845" w:leftChars="0" w:hanging="425" w:firstLineChars="0"/>
              <w:rPr>
                <w:rFonts w:hint="default"/>
                <w:color w:val="auto"/>
                <w:highlight w:val="none"/>
                <w:lang w:val="en-US" w:eastAsia="zh-CN"/>
              </w:rPr>
            </w:pPr>
            <w:r>
              <w:rPr>
                <w:rFonts w:hint="eastAsia"/>
                <w:color w:val="auto"/>
                <w:highlight w:val="none"/>
                <w:lang w:val="en-US" w:eastAsia="zh-CN"/>
              </w:rPr>
              <w:t>项目采购合同、监理合同。</w:t>
            </w:r>
          </w:p>
          <w:p>
            <w:pPr>
              <w:pStyle w:val="964"/>
              <w:spacing w:line="360" w:lineRule="auto"/>
              <w:ind w:firstLine="560"/>
              <w:rPr>
                <w:b/>
                <w:bCs/>
                <w:color w:val="auto"/>
                <w:highlight w:val="none"/>
              </w:rPr>
            </w:pPr>
            <w:r>
              <w:rPr>
                <w:rFonts w:hint="eastAsia"/>
                <w:b/>
                <w:bCs/>
                <w:color w:val="auto"/>
                <w:highlight w:val="none"/>
                <w:lang w:val="en-US" w:eastAsia="zh-CN"/>
              </w:rPr>
              <w:t>三、</w:t>
            </w:r>
            <w:r>
              <w:rPr>
                <w:rFonts w:hint="eastAsia"/>
                <w:b/>
                <w:bCs/>
                <w:color w:val="auto"/>
                <w:highlight w:val="none"/>
              </w:rPr>
              <w:t>阶段监理要求</w:t>
            </w:r>
          </w:p>
          <w:p>
            <w:pPr>
              <w:pStyle w:val="964"/>
              <w:spacing w:line="360" w:lineRule="auto"/>
              <w:ind w:firstLine="560"/>
              <w:rPr>
                <w:color w:val="auto"/>
                <w:highlight w:val="none"/>
              </w:rPr>
            </w:pPr>
            <w:r>
              <w:rPr>
                <w:rFonts w:hint="eastAsia"/>
                <w:color w:val="auto"/>
                <w:highlight w:val="none"/>
              </w:rPr>
              <w:t>项目监理主要涉及实施、验收等阶段。监理单位要按照项目建设目标和“四控制、三管理、一协调”的监理工作要求，依据国家信息技术服务监理规范和标准，对项目建设的各个阶段和各个层面进行全方位的管理、控制和协调。对项目建设的招标、设计、开发和实施、验收和交付使用以及对用户的技术培训等方面进行质量、进度和投资等全面的控制，对项目建设合同的执行、项目建设文档资料等进行管理。从而保证本项目“按期、保质、高效、节约”地实现其既定目标。</w:t>
            </w:r>
          </w:p>
          <w:p>
            <w:pPr>
              <w:pStyle w:val="964"/>
              <w:spacing w:line="360" w:lineRule="auto"/>
              <w:ind w:firstLine="560"/>
              <w:rPr>
                <w:color w:val="auto"/>
                <w:highlight w:val="none"/>
              </w:rPr>
            </w:pPr>
            <w:r>
              <w:rPr>
                <w:rFonts w:hint="eastAsia"/>
                <w:color w:val="auto"/>
                <w:highlight w:val="none"/>
                <w:lang w:val="en-US" w:eastAsia="zh-CN"/>
              </w:rPr>
              <w:t>1.</w:t>
            </w:r>
            <w:r>
              <w:rPr>
                <w:rFonts w:hint="eastAsia"/>
                <w:color w:val="auto"/>
                <w:highlight w:val="none"/>
              </w:rPr>
              <w:t>实施阶段：</w:t>
            </w:r>
          </w:p>
          <w:p>
            <w:pPr>
              <w:pStyle w:val="964"/>
              <w:spacing w:line="360" w:lineRule="auto"/>
              <w:ind w:firstLine="560"/>
              <w:rPr>
                <w:color w:val="auto"/>
                <w:highlight w:val="none"/>
              </w:rPr>
            </w:pPr>
            <w:r>
              <w:rPr>
                <w:rFonts w:hint="eastAsia"/>
                <w:color w:val="auto"/>
                <w:highlight w:val="none"/>
              </w:rPr>
              <w:t>监理单位要采取适当的方法和措施，确保工程质量、进度、投资进行控制，对承建合同和文档资料进行管理，协调项目各方关系，保障项目实施过程合法合规；促使工程中所用的产品、材料和提供的有关服务符合承建合同及国家相关法律、法规和标准的要求。通过适当的监理方法，严格监督承建单位的实施过程，详细记录并汇报业主单位，定期检查计划执行情况，促使计划与实际执行的一致性，并使计划的调整能受到严格的程序控制。</w:t>
            </w:r>
          </w:p>
          <w:p>
            <w:pPr>
              <w:pStyle w:val="964"/>
              <w:spacing w:line="360" w:lineRule="auto"/>
              <w:ind w:firstLine="560"/>
              <w:rPr>
                <w:color w:val="auto"/>
                <w:highlight w:val="none"/>
              </w:rPr>
            </w:pPr>
            <w:r>
              <w:rPr>
                <w:rFonts w:hint="eastAsia"/>
                <w:color w:val="auto"/>
                <w:highlight w:val="none"/>
                <w:lang w:val="en-US" w:eastAsia="zh-CN"/>
              </w:rPr>
              <w:t>2.</w:t>
            </w:r>
            <w:r>
              <w:rPr>
                <w:rFonts w:hint="eastAsia"/>
                <w:color w:val="auto"/>
                <w:highlight w:val="none"/>
              </w:rPr>
              <w:t>项目验收阶段：</w:t>
            </w:r>
          </w:p>
          <w:p>
            <w:pPr>
              <w:pStyle w:val="964"/>
              <w:spacing w:line="360" w:lineRule="auto"/>
              <w:ind w:firstLine="560"/>
              <w:rPr>
                <w:color w:val="auto"/>
                <w:highlight w:val="none"/>
              </w:rPr>
            </w:pPr>
            <w:r>
              <w:rPr>
                <w:rFonts w:hint="eastAsia"/>
                <w:color w:val="auto"/>
                <w:highlight w:val="none"/>
              </w:rPr>
              <w:t>要求监理单位应协助业主单位及时审核承建单位提交的验收计划及其方案，对承建单位提交的项目内容进行初步的评价和测试，确认是否满足验收条件；针对验收目标、双方责任、验收提交清单、验收标准、验收方法、验收环境等方面的符合性及可行性；协助承建单位配合第三方测评机构进行项目系统测评；协助业主单位组织验收机构并实施验收过程，促使工程的最终功能和性能符合承建合同、法律、法规和标准的要求；监理单位要协助业主单位推动承建单位所提供的工程各阶段形成的技术、管理文档的内容和种类符合承建合同及相关标准的要求。</w:t>
            </w:r>
          </w:p>
          <w:p>
            <w:pPr>
              <w:pStyle w:val="964"/>
              <w:spacing w:line="360" w:lineRule="auto"/>
              <w:ind w:firstLine="560"/>
              <w:rPr>
                <w:b/>
                <w:bCs/>
                <w:color w:val="auto"/>
                <w:highlight w:val="none"/>
              </w:rPr>
            </w:pPr>
            <w:r>
              <w:rPr>
                <w:rFonts w:hint="eastAsia"/>
                <w:b/>
                <w:bCs/>
                <w:color w:val="auto"/>
                <w:highlight w:val="none"/>
                <w:lang w:val="en-US" w:eastAsia="zh-CN"/>
              </w:rPr>
              <w:t>四、</w:t>
            </w:r>
            <w:r>
              <w:rPr>
                <w:rFonts w:hint="eastAsia"/>
                <w:b/>
                <w:bCs/>
                <w:color w:val="auto"/>
                <w:highlight w:val="none"/>
              </w:rPr>
              <w:t>监理服务任务</w:t>
            </w:r>
          </w:p>
          <w:p>
            <w:pPr>
              <w:pStyle w:val="964"/>
              <w:spacing w:line="360" w:lineRule="auto"/>
              <w:ind w:firstLine="560"/>
              <w:rPr>
                <w:color w:val="auto"/>
                <w:highlight w:val="none"/>
              </w:rPr>
            </w:pPr>
            <w:r>
              <w:rPr>
                <w:rFonts w:hint="eastAsia"/>
                <w:color w:val="auto"/>
                <w:highlight w:val="none"/>
                <w:lang w:val="en-US" w:eastAsia="zh-CN"/>
              </w:rPr>
              <w:t>1.</w:t>
            </w:r>
            <w:r>
              <w:rPr>
                <w:rFonts w:hint="eastAsia"/>
                <w:color w:val="auto"/>
                <w:highlight w:val="none"/>
              </w:rPr>
              <w:t>方案把关和质量控制：</w:t>
            </w:r>
          </w:p>
          <w:p>
            <w:pPr>
              <w:pStyle w:val="964"/>
              <w:spacing w:line="360" w:lineRule="auto"/>
              <w:ind w:firstLine="560"/>
              <w:rPr>
                <w:color w:val="auto"/>
                <w:highlight w:val="none"/>
              </w:rPr>
            </w:pPr>
            <w:r>
              <w:rPr>
                <w:rFonts w:hint="eastAsia"/>
                <w:color w:val="auto"/>
                <w:highlight w:val="none"/>
              </w:rPr>
              <w:t>审核和确认承建单位的总体技术设计方案；审核和确认项目建设过程中的各种关键技术方案；审核和确认承建单位的组织和实施方案，及提交的《项目实施计划》；审核和确认承建单位的项目质量保证计划、质量控制体系；审核和确认承建单位的测试方案和计划。</w:t>
            </w:r>
          </w:p>
          <w:p>
            <w:pPr>
              <w:pStyle w:val="964"/>
              <w:spacing w:line="360" w:lineRule="auto"/>
              <w:ind w:firstLine="560"/>
              <w:rPr>
                <w:color w:val="auto"/>
                <w:highlight w:val="none"/>
              </w:rPr>
            </w:pPr>
            <w:r>
              <w:rPr>
                <w:rFonts w:hint="eastAsia"/>
                <w:color w:val="auto"/>
                <w:highlight w:val="none"/>
              </w:rPr>
              <w:t>审核施工图设计文件，对实施的质量进行监理，按照既定程序处理工程实施中的质量事故；对承建单位的实施计划进行审核并监督执行；检查现场施工条件，及时对到场的设备、物料进行开箱验收，并对隐蔽工程进行检查确认。</w:t>
            </w:r>
          </w:p>
          <w:p>
            <w:pPr>
              <w:pStyle w:val="964"/>
              <w:spacing w:line="360" w:lineRule="auto"/>
              <w:ind w:firstLine="560"/>
              <w:rPr>
                <w:color w:val="auto"/>
                <w:highlight w:val="none"/>
              </w:rPr>
            </w:pPr>
            <w:r>
              <w:rPr>
                <w:rFonts w:hint="eastAsia"/>
                <w:color w:val="auto"/>
                <w:highlight w:val="none"/>
              </w:rPr>
              <w:t>负责各类运营和服务提供商的服务方案、价格和质量进行把关；用户单位直接采购设备和产品的调研询价、货物验收和质量把关；用户单位直接采购的技术服务的服务方案审核、技术和进度把关；用户单位直接负责的其他工作内容的质量把关；其他相关项目内容建设的咨询等。</w:t>
            </w:r>
          </w:p>
          <w:p>
            <w:pPr>
              <w:pStyle w:val="964"/>
              <w:spacing w:line="360" w:lineRule="auto"/>
              <w:ind w:firstLine="560"/>
              <w:rPr>
                <w:color w:val="auto"/>
                <w:highlight w:val="none"/>
              </w:rPr>
            </w:pPr>
            <w:r>
              <w:rPr>
                <w:rFonts w:hint="eastAsia"/>
                <w:color w:val="auto"/>
                <w:highlight w:val="none"/>
                <w:lang w:val="en-US" w:eastAsia="zh-CN"/>
              </w:rPr>
              <w:t>2.</w:t>
            </w:r>
            <w:r>
              <w:rPr>
                <w:rFonts w:hint="eastAsia"/>
                <w:color w:val="auto"/>
                <w:highlight w:val="none"/>
              </w:rPr>
              <w:t>进度控制：</w:t>
            </w:r>
          </w:p>
          <w:p>
            <w:pPr>
              <w:pStyle w:val="964"/>
              <w:spacing w:line="360" w:lineRule="auto"/>
              <w:ind w:firstLine="560"/>
              <w:rPr>
                <w:color w:val="auto"/>
                <w:highlight w:val="none"/>
              </w:rPr>
            </w:pPr>
            <w:r>
              <w:rPr>
                <w:rFonts w:hint="eastAsia"/>
                <w:color w:val="auto"/>
                <w:highlight w:val="none"/>
              </w:rPr>
              <w:t>审核承建单位的进度分解计划，确认分解计划可以保证总体计划目标；对实施进度进行实时跟踪，并要求承建单位对进度计划进行动态调整，以确保项目的阶段和总体进度目标的实现；当工期目标严重偏离时，应及时指出，并提出对策建议，同时督促承建单位尽快采取措施。</w:t>
            </w:r>
          </w:p>
          <w:p>
            <w:pPr>
              <w:pStyle w:val="964"/>
              <w:spacing w:line="360" w:lineRule="auto"/>
              <w:ind w:firstLine="560"/>
              <w:rPr>
                <w:color w:val="auto"/>
                <w:highlight w:val="none"/>
              </w:rPr>
            </w:pPr>
            <w:r>
              <w:rPr>
                <w:rFonts w:hint="eastAsia"/>
                <w:color w:val="auto"/>
                <w:highlight w:val="none"/>
                <w:lang w:val="en-US" w:eastAsia="zh-CN"/>
              </w:rPr>
              <w:t>3.</w:t>
            </w:r>
            <w:r>
              <w:rPr>
                <w:rFonts w:hint="eastAsia"/>
                <w:color w:val="auto"/>
                <w:highlight w:val="none"/>
              </w:rPr>
              <w:t>投资控制：</w:t>
            </w:r>
          </w:p>
          <w:p>
            <w:pPr>
              <w:pStyle w:val="964"/>
              <w:spacing w:line="360" w:lineRule="auto"/>
              <w:ind w:firstLine="560"/>
              <w:rPr>
                <w:color w:val="auto"/>
                <w:highlight w:val="none"/>
              </w:rPr>
            </w:pPr>
            <w:r>
              <w:rPr>
                <w:rFonts w:hint="eastAsia"/>
                <w:color w:val="auto"/>
                <w:highlight w:val="none"/>
              </w:rPr>
              <w:t>通过对项目实施中设计的优化，确保投资合理，控制在合理、性价比高的范围之内。</w:t>
            </w:r>
          </w:p>
          <w:p>
            <w:pPr>
              <w:pStyle w:val="964"/>
              <w:spacing w:line="360" w:lineRule="auto"/>
              <w:ind w:firstLine="560"/>
              <w:rPr>
                <w:color w:val="auto"/>
                <w:highlight w:val="none"/>
              </w:rPr>
            </w:pPr>
            <w:r>
              <w:rPr>
                <w:rFonts w:hint="eastAsia"/>
                <w:color w:val="auto"/>
                <w:highlight w:val="none"/>
                <w:lang w:val="en-US" w:eastAsia="zh-CN"/>
              </w:rPr>
              <w:t>4.</w:t>
            </w:r>
            <w:r>
              <w:rPr>
                <w:rFonts w:hint="eastAsia"/>
                <w:color w:val="auto"/>
                <w:highlight w:val="none"/>
              </w:rPr>
              <w:t>合同管理：</w:t>
            </w:r>
          </w:p>
          <w:p>
            <w:pPr>
              <w:pStyle w:val="964"/>
              <w:spacing w:line="360" w:lineRule="auto"/>
              <w:ind w:firstLine="560"/>
              <w:rPr>
                <w:color w:val="auto"/>
                <w:highlight w:val="none"/>
              </w:rPr>
            </w:pPr>
            <w:r>
              <w:rPr>
                <w:rFonts w:hint="eastAsia"/>
                <w:color w:val="auto"/>
                <w:highlight w:val="none"/>
              </w:rPr>
              <w:t>跟踪检查合同的执行情况，确保承建单位按合同履约；对合同工期的延误和延期进行审查；对合同变更、索赔等事宜进行审查；根据合同约定，审核承建单位提交的支付申请。</w:t>
            </w:r>
          </w:p>
          <w:p>
            <w:pPr>
              <w:pStyle w:val="964"/>
              <w:spacing w:line="360" w:lineRule="auto"/>
              <w:ind w:firstLine="560"/>
              <w:rPr>
                <w:color w:val="auto"/>
                <w:highlight w:val="none"/>
              </w:rPr>
            </w:pPr>
            <w:r>
              <w:rPr>
                <w:rFonts w:hint="eastAsia"/>
                <w:color w:val="auto"/>
                <w:highlight w:val="none"/>
                <w:lang w:val="en-US" w:eastAsia="zh-CN"/>
              </w:rPr>
              <w:t>5.</w:t>
            </w:r>
            <w:r>
              <w:rPr>
                <w:rFonts w:hint="eastAsia"/>
                <w:color w:val="auto"/>
                <w:highlight w:val="none"/>
              </w:rPr>
              <w:t>信息与文档管理：</w:t>
            </w:r>
          </w:p>
          <w:p>
            <w:pPr>
              <w:pStyle w:val="964"/>
              <w:spacing w:line="360" w:lineRule="auto"/>
              <w:ind w:firstLine="560"/>
              <w:rPr>
                <w:color w:val="auto"/>
                <w:highlight w:val="none"/>
              </w:rPr>
            </w:pPr>
            <w:r>
              <w:rPr>
                <w:rFonts w:hint="eastAsia"/>
                <w:color w:val="auto"/>
                <w:highlight w:val="none"/>
              </w:rPr>
              <w:t>做好监理日记及工程大事记；做好合同批复等各类往来文件的批复与存档；做好项目协调会、技术专题会的会议纪要；做好项目周报、监理建议书、监理通知、各种会议纪要、各阶段的项目总结报告等；管理好实施期间的各类技术文档。</w:t>
            </w:r>
          </w:p>
          <w:p>
            <w:pPr>
              <w:pStyle w:val="964"/>
              <w:spacing w:line="360" w:lineRule="auto"/>
              <w:ind w:firstLine="560"/>
              <w:rPr>
                <w:color w:val="auto"/>
                <w:highlight w:val="none"/>
              </w:rPr>
            </w:pPr>
            <w:r>
              <w:rPr>
                <w:rFonts w:hint="eastAsia"/>
                <w:color w:val="auto"/>
                <w:highlight w:val="none"/>
                <w:lang w:val="en-US" w:eastAsia="zh-CN"/>
              </w:rPr>
              <w:t>6.</w:t>
            </w:r>
            <w:r>
              <w:rPr>
                <w:rFonts w:hint="eastAsia"/>
                <w:color w:val="auto"/>
                <w:highlight w:val="none"/>
              </w:rPr>
              <w:t>项目安全管理：</w:t>
            </w:r>
          </w:p>
          <w:p>
            <w:pPr>
              <w:pStyle w:val="964"/>
              <w:spacing w:line="360" w:lineRule="auto"/>
              <w:ind w:firstLine="560"/>
              <w:rPr>
                <w:color w:val="auto"/>
                <w:highlight w:val="none"/>
              </w:rPr>
            </w:pPr>
            <w:r>
              <w:rPr>
                <w:rFonts w:hint="eastAsia"/>
                <w:color w:val="auto"/>
                <w:highlight w:val="none"/>
              </w:rPr>
              <w:t>负责项目建设过程中所涉及的政府机密数据和资料的保护，保证不被非授权使用；负责项目建设施工过程中安全控制，确保不出现安全事故。并应将安全生产管理的监理工作内容、方法和措施纳入监理大纲。</w:t>
            </w:r>
          </w:p>
          <w:p>
            <w:pPr>
              <w:pStyle w:val="964"/>
              <w:spacing w:line="360" w:lineRule="auto"/>
              <w:ind w:firstLine="560"/>
              <w:rPr>
                <w:color w:val="auto"/>
                <w:highlight w:val="none"/>
              </w:rPr>
            </w:pPr>
            <w:r>
              <w:rPr>
                <w:rFonts w:hint="eastAsia"/>
                <w:color w:val="auto"/>
                <w:highlight w:val="none"/>
                <w:lang w:val="en-US" w:eastAsia="zh-CN"/>
              </w:rPr>
              <w:t>7.</w:t>
            </w:r>
            <w:r>
              <w:rPr>
                <w:rFonts w:hint="eastAsia"/>
                <w:color w:val="auto"/>
                <w:highlight w:val="none"/>
              </w:rPr>
              <w:t>纠纷协调：</w:t>
            </w:r>
          </w:p>
          <w:p>
            <w:pPr>
              <w:pStyle w:val="964"/>
              <w:spacing w:line="360" w:lineRule="auto"/>
              <w:ind w:firstLine="560"/>
              <w:rPr>
                <w:color w:val="auto"/>
                <w:highlight w:val="none"/>
              </w:rPr>
            </w:pPr>
            <w:r>
              <w:rPr>
                <w:rFonts w:hint="eastAsia"/>
                <w:color w:val="auto"/>
                <w:highlight w:val="none"/>
              </w:rPr>
              <w:t>协助协调项目各相关单位、机构、部门之间的工作关系；协助协调项目各集成单位、网络运营商、原厂商之间的工作关系；协助协调项目各建设方在项目实施过程中产生的各类纠纷和矛盾。</w:t>
            </w:r>
          </w:p>
          <w:p>
            <w:pPr>
              <w:pStyle w:val="964"/>
              <w:spacing w:line="360" w:lineRule="auto"/>
              <w:ind w:firstLine="560"/>
              <w:rPr>
                <w:color w:val="auto"/>
                <w:highlight w:val="none"/>
              </w:rPr>
            </w:pPr>
            <w:r>
              <w:rPr>
                <w:rFonts w:hint="eastAsia"/>
                <w:color w:val="auto"/>
                <w:highlight w:val="none"/>
                <w:lang w:val="en-US" w:eastAsia="zh-CN"/>
              </w:rPr>
              <w:t>8.</w:t>
            </w:r>
            <w:r>
              <w:rPr>
                <w:rFonts w:hint="eastAsia"/>
                <w:color w:val="auto"/>
                <w:highlight w:val="none"/>
              </w:rPr>
              <w:t>例会制度：</w:t>
            </w:r>
          </w:p>
          <w:p>
            <w:pPr>
              <w:pStyle w:val="964"/>
              <w:spacing w:line="360" w:lineRule="auto"/>
              <w:ind w:firstLine="560"/>
              <w:rPr>
                <w:color w:val="auto"/>
                <w:highlight w:val="none"/>
              </w:rPr>
            </w:pPr>
            <w:r>
              <w:rPr>
                <w:rFonts w:hint="eastAsia"/>
                <w:color w:val="auto"/>
                <w:highlight w:val="none"/>
              </w:rPr>
              <w:t>监理方应该通过必要的会议制度来实施协调工作，主要包括：第一次现场会、监理交底会、周例会、监理协调会、专题讨论会、专家论证会、阶段工作总结会、问题通报会、阶段及最终验收会等。</w:t>
            </w:r>
          </w:p>
          <w:p>
            <w:pPr>
              <w:pStyle w:val="964"/>
              <w:spacing w:line="360" w:lineRule="auto"/>
              <w:ind w:firstLine="560"/>
              <w:rPr>
                <w:color w:val="auto"/>
                <w:highlight w:val="none"/>
              </w:rPr>
            </w:pPr>
            <w:r>
              <w:rPr>
                <w:rFonts w:hint="eastAsia"/>
                <w:color w:val="auto"/>
                <w:highlight w:val="none"/>
                <w:lang w:val="en-US" w:eastAsia="zh-CN"/>
              </w:rPr>
              <w:t>9.</w:t>
            </w:r>
            <w:r>
              <w:rPr>
                <w:rFonts w:hint="eastAsia"/>
                <w:color w:val="auto"/>
                <w:highlight w:val="none"/>
              </w:rPr>
              <w:t>监理工程质量和进度要求</w:t>
            </w:r>
          </w:p>
          <w:p>
            <w:pPr>
              <w:pStyle w:val="964"/>
              <w:spacing w:line="360" w:lineRule="auto"/>
              <w:ind w:firstLine="560"/>
              <w:rPr>
                <w:color w:val="auto"/>
                <w:highlight w:val="none"/>
              </w:rPr>
            </w:pPr>
            <w:r>
              <w:rPr>
                <w:rFonts w:hint="eastAsia"/>
                <w:color w:val="auto"/>
                <w:highlight w:val="none"/>
                <w:lang w:eastAsia="zh-CN"/>
              </w:rPr>
              <w:t>（</w:t>
            </w:r>
            <w:r>
              <w:rPr>
                <w:rFonts w:hint="eastAsia"/>
                <w:color w:val="auto"/>
                <w:highlight w:val="none"/>
              </w:rPr>
              <w:t>1）监理工程质量要求：要保证在预定的监理工程进度和投资下，完成合同中所规定的监理工程项目，且满足承建合同中所规定的技术指标要求。</w:t>
            </w:r>
          </w:p>
          <w:p>
            <w:pPr>
              <w:spacing w:line="360" w:lineRule="auto"/>
              <w:ind w:firstLine="560"/>
              <w:rPr>
                <w:color w:val="auto"/>
                <w:highlight w:val="none"/>
              </w:rPr>
            </w:pPr>
            <w:r>
              <w:rPr>
                <w:rFonts w:hint="eastAsia"/>
                <w:color w:val="auto"/>
                <w:highlight w:val="none"/>
                <w:lang w:eastAsia="zh-CN"/>
              </w:rPr>
              <w:t>（</w:t>
            </w:r>
            <w:r>
              <w:rPr>
                <w:rFonts w:hint="eastAsia"/>
                <w:color w:val="auto"/>
                <w:highlight w:val="none"/>
              </w:rPr>
              <w:t>2）监理工程进度要求：要保证监理工程在合理的时间内完成，且监理工程的各个分项、各个阶段建设按照预定的计划有序地进行。</w:t>
            </w:r>
          </w:p>
          <w:p>
            <w:pPr>
              <w:pStyle w:val="964"/>
              <w:spacing w:line="360" w:lineRule="auto"/>
              <w:ind w:firstLine="560"/>
              <w:rPr>
                <w:rFonts w:hint="eastAsia"/>
                <w:b/>
                <w:bCs/>
                <w:color w:val="auto"/>
                <w:highlight w:val="none"/>
                <w:lang w:val="en-US" w:eastAsia="zh-CN"/>
              </w:rPr>
            </w:pPr>
            <w:r>
              <w:rPr>
                <w:rFonts w:hint="eastAsia"/>
                <w:b/>
                <w:bCs/>
                <w:color w:val="auto"/>
                <w:highlight w:val="none"/>
                <w:lang w:val="en-US" w:eastAsia="zh-CN"/>
              </w:rPr>
              <w:t>五、验收标准</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验收标准应符合中国有关的国家、地方、行业标准。</w:t>
            </w:r>
            <w:bookmarkEnd w:id="87"/>
          </w:p>
          <w:p>
            <w:pPr>
              <w:pStyle w:val="964"/>
              <w:spacing w:line="360" w:lineRule="auto"/>
              <w:ind w:firstLine="560"/>
              <w:rPr>
                <w:rFonts w:hint="eastAsia"/>
                <w:b/>
                <w:bCs/>
                <w:color w:val="auto"/>
                <w:highlight w:val="none"/>
                <w:lang w:val="en-US" w:eastAsia="zh-CN"/>
              </w:rPr>
            </w:pPr>
            <w:r>
              <w:rPr>
                <w:rFonts w:hint="eastAsia"/>
                <w:b/>
                <w:bCs/>
                <w:color w:val="auto"/>
                <w:highlight w:val="none"/>
                <w:lang w:val="en-US" w:eastAsia="zh-CN"/>
              </w:rPr>
              <w:t>六、监理人员的要求</w:t>
            </w:r>
          </w:p>
          <w:p>
            <w:pPr>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投入本项目人员必须是投标人本公司正式员工，驻场监理人员2人，且人数不得少于5人，同时必须都持有【信息系统监理师】资格执业证书；</w:t>
            </w:r>
          </w:p>
          <w:p>
            <w:pPr>
              <w:adjustRightInd w:val="0"/>
              <w:snapToGrid w:val="0"/>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社保人员信息必须包括《拟投入项目人员情况一览表》（格式自拟）中投入人员（包括总监理工程师、总监理工程师代表、其他监理人员等），同时应符合国家有关规范、规程和本须知等有关要求；</w:t>
            </w:r>
          </w:p>
          <w:p>
            <w:pPr>
              <w:adjustRightInd w:val="0"/>
              <w:snapToGrid w:val="0"/>
              <w:spacing w:line="360" w:lineRule="auto"/>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监理公司应建立项目监理小组，负责整个项目的全程监理工作。监理小组应设有总监理工程师。</w:t>
            </w:r>
          </w:p>
          <w:p>
            <w:pPr>
              <w:spacing w:line="360" w:lineRule="auto"/>
              <w:ind w:firstLine="210" w:firstLineChars="100"/>
              <w:rPr>
                <w:rFonts w:hint="eastAsia" w:ascii="宋体" w:hAnsi="宋体" w:eastAsia="宋体" w:cs="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监理小组主要负责人应熟悉项目进度，监理服务期内，监理人应认真执行监理人员进场计划，并保持人员相对稳定，人员变更需经采购人批准同意。</w:t>
            </w:r>
          </w:p>
        </w:tc>
      </w:tr>
      <w:tr>
        <w:tblPrEx>
          <w:tblCellMar>
            <w:top w:w="0" w:type="dxa"/>
            <w:left w:w="0" w:type="dxa"/>
            <w:bottom w:w="0" w:type="dxa"/>
            <w:right w:w="0" w:type="dxa"/>
          </w:tblCellMar>
        </w:tblPrEx>
        <w:trPr>
          <w:trHeight w:val="646" w:hRule="atLeast"/>
          <w:jc w:val="center"/>
        </w:trPr>
        <w:tc>
          <w:tcPr>
            <w:tcW w:w="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803" w:type="dxa"/>
            <w:tcBorders>
              <w:top w:val="single" w:color="auto" w:sz="4" w:space="0"/>
              <w:left w:val="nil"/>
              <w:bottom w:val="single" w:color="auto" w:sz="4" w:space="0"/>
              <w:right w:val="single" w:color="auto" w:sz="4" w:space="0"/>
            </w:tcBorders>
            <w:vAlign w:val="center"/>
          </w:tcPr>
          <w:p>
            <w:pPr>
              <w:shd w:val="clear"/>
              <w:ind w:firstLine="0" w:firstLineChars="0"/>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第三方测试服务</w:t>
            </w:r>
          </w:p>
        </w:tc>
        <w:tc>
          <w:tcPr>
            <w:tcW w:w="8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一、测试要求</w:t>
            </w:r>
          </w:p>
          <w:p>
            <w:pPr>
              <w:adjustRightInd w:val="0"/>
              <w:snapToGrid w:val="0"/>
              <w:spacing w:line="360" w:lineRule="auto"/>
              <w:ind w:firstLine="210" w:firstLineChars="100"/>
              <w:rPr>
                <w:rFonts w:hint="default" w:ascii="宋体" w:hAnsi="宋体" w:cs="宋体"/>
                <w:color w:val="auto"/>
                <w:kern w:val="0"/>
                <w:szCs w:val="21"/>
                <w:highlight w:val="none"/>
              </w:rPr>
            </w:pPr>
            <w:r>
              <w:rPr>
                <w:rFonts w:hint="eastAsia" w:ascii="宋体" w:hAnsi="宋体" w:cs="宋体"/>
                <w:color w:val="auto"/>
                <w:kern w:val="0"/>
                <w:szCs w:val="21"/>
                <w:highlight w:val="none"/>
              </w:rPr>
              <w:t>采购人将委托中标供应商针对每个</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提供相应的第三方测试服务，依据信息系统国家及相关行业标准规范和项目招标文件、合同书、设计文件等需求，对应具体</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建设要求，在实际运行环境中，对</w:t>
            </w:r>
            <w:r>
              <w:rPr>
                <w:rFonts w:hint="eastAsia" w:ascii="宋体" w:hAnsi="宋体" w:cs="宋体"/>
                <w:color w:val="auto"/>
                <w:kern w:val="0"/>
                <w:szCs w:val="21"/>
                <w:highlight w:val="none"/>
                <w:lang w:eastAsia="zh-CN"/>
              </w:rPr>
              <w:t>项目</w:t>
            </w:r>
            <w:r>
              <w:rPr>
                <w:rFonts w:hint="eastAsia" w:ascii="宋体" w:hAnsi="宋体" w:cs="宋体"/>
                <w:color w:val="auto"/>
                <w:kern w:val="0"/>
                <w:szCs w:val="21"/>
                <w:highlight w:val="none"/>
              </w:rPr>
              <w:t>进行验收测试，提供公正、客观的测试服务并出具相应的测试报告。</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二、测试原则</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项目所建设的系统、应用及平台测试的主体以项目建设单位为主，中标供应商应积极配合，在软件测试中，项目建设单位和中标供应商共同配合。</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（1）平台测试始终要以项目建设单位和中标供应商双方确认的需求规格说明和技术合同为准，确认系统需求规格说明书中定义的功能已全部实现，性能指标全部达到要求，各项合同条款是否得到贯彻执行。</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（2）对平台测试中发现的软件错误要分级分类处理。</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（3）平台测试工作文件齐全（如测试计划、测试说明、测试报告等）。</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（4）平台测试中的用例设计要具有全面性、多维性、效率性，能以最少的时间在最大程度上确认软件的功能和性能是否满足要求。</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三、服务内容</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3.1测试服务</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功能性测试：测试各系统功能操作、业务流程操作是否正确、准确，功能实现是否完整，以及与其他系统的交互是否有问题。测试时对软件的每个组成部分中的每项功能逐项进行测试。功能测试应覆盖系统软件中的所有功能点。</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（2）效率（性能）测试：对被测系统的性能进行综合考察，验证平台下各个所属系统的性能需求是否满足用户的要求。测试内容包括负载测试、压力测试和疲劳测试。</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（3）安全性测试：对平台进行应用程序级别安全测试，测试平台是否充分运用云平台资源和安全管理能力，对平台运行及信息资源利用进行统一安全保障。</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（4）可靠性测试：测试各系统在各种异常条件下，如异常用户输入、异常操作、异常网络状态等情况，是否仍然可以稳定、可靠运行。主要是对软件在特定条件下维持其规定的性能级别的能力进行验证和测试。</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（5）易用性测试：主要对在指定条件下使用时，软件产品被理解、学习、使用和界面的一致性进行验证和测试。</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（6）维护性测试：主要验证软件系统的易修改性、易分析性和易测试性。</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（7）兼容性测试：主要验证系统与其他硬件与软件的共存性、互操作性。</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（8）可移植性测试：主要验证系统对硬件环境和软件环境的适应性，是否便于重新安装与部署。</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（9）文档测试：对各系统相关文档的正确性、完整性、一致性、易浏览性的检查和验证。尤其是软件文档与程序之间的一致性验证。</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（10）出具测试报告：指出系统存在的问题，指导项目承建方解决系统存在的问题。</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3.2服务成果</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（1）中标供应商在上述各阶段活动的测试实施服务过程中，根据服务规范和采购人的要求，提供系统、完整、清晰的服务报告。</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（2）中标供应商对每个项目的开展过程应包括测试执行前、测试执行中和测试结束三个阶段并将各阶段的成果提交项目建设单位：</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（3）中标供应商需向采购人提供每个项目的阶段成果材料电子版及软件测试报告。</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四、实施基本要求</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（1）中标供应商提供的资格、资质等证明文件应真实有效。</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（2）中标供应商须保证对本项目实施中所获得任何资料和信息严格保密，并与采购人签订保密责任书。</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（3）中标供应商需为本项目成立软件测试项目组。</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（4）中标供应商按照项目规定的工作内容及进度安排完成软件测试工作。</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五、交付物要求</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测试工作根据确认后的测试方案执行，要求测试任务的测试周期不超过30个工作日（不含测试过程中的系统修改时间）；测试工作完成后10个工作日内，向项目建设单位提交测试报告及相关文档资料。</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六、标准规范要求</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（1）《中华人民共和国网络安全法》；</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（2）《国家电子政务工程建设项目管理暂行办法》（国家发展改革委令2007年第55号）；</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（3）国家公布的有关法律法规，国家有关部门公布的行业标准、工程技术、经济定额规范等。</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（4）《系统与软件工程系统与软件质量要求和评价（SQuaRE）第51部分：就绪可用软件产品（RUSP）的质量要求和测试细则》（GB/T 25000.51-2016）；</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（5）《系统与软件工程系统与软件质量要求和评价（SQuaRE）第10部分：系统与软件质量模型》（GB/T 25000.10-2016）；</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（6）《软件工程产品评价第1部分：概述》（ISO/IEC 14598-1:1999，IDT）（GB/T 18905.1-2002）；</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（7）《软件工程产品评价第2部分：策划和管理》（ISO/IEC 14598-2:2000，IDT）（GB/T 18905.2-2002）；</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（8）《软件工程产品评价第5部分：评价者用的过程》（ISO/IEC 14598-5:1998，IDT）（GB/T 18905.5-2002）；</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（9）《软件工程产品评价第6部分：评价模块的文档编制》（ISO/IEC 14598-6:2001，IDT）（GB/T 18905.6-2002）；</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（10）《计算机软件文档编制规范》（GB/T 8567-2006）；</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（11）《信息技术软件工程术语》（GB/T 11457-2006）；</w:t>
            </w:r>
          </w:p>
          <w:p>
            <w:pPr>
              <w:adjustRightInd w:val="0"/>
              <w:snapToGrid w:val="0"/>
              <w:spacing w:line="360" w:lineRule="auto"/>
              <w:ind w:firstLine="210" w:firstLineChars="1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（12）《信息安全技术信息系统通用安全技术要求》（GB/T 20271-2006）；</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（13）《信息技术安全技术信息技术安全性评估准则第2部分：安全功能组件》（GB/T 18336.3-2015）。</w:t>
            </w:r>
          </w:p>
        </w:tc>
      </w:tr>
      <w:tr>
        <w:tblPrEx>
          <w:tblCellMar>
            <w:top w:w="0" w:type="dxa"/>
            <w:left w:w="0" w:type="dxa"/>
            <w:bottom w:w="0" w:type="dxa"/>
            <w:right w:w="0" w:type="dxa"/>
          </w:tblCellMar>
        </w:tblPrEx>
        <w:trPr>
          <w:trHeight w:val="2872" w:hRule="atLeast"/>
          <w:jc w:val="center"/>
        </w:trPr>
        <w:tc>
          <w:tcPr>
            <w:tcW w:w="4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803" w:type="dxa"/>
            <w:tcBorders>
              <w:top w:val="single" w:color="auto" w:sz="4" w:space="0"/>
              <w:left w:val="nil"/>
              <w:bottom w:val="single" w:color="auto" w:sz="4" w:space="0"/>
              <w:right w:val="single" w:color="auto" w:sz="4" w:space="0"/>
            </w:tcBorders>
            <w:vAlign w:val="center"/>
          </w:tcPr>
          <w:p>
            <w:pPr>
              <w:shd w:val="clear"/>
              <w:ind w:firstLine="0" w:firstLineChars="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项目</w:t>
            </w:r>
            <w:r>
              <w:rPr>
                <w:rFonts w:hint="eastAsia" w:ascii="宋体" w:hAnsi="宋体" w:eastAsia="宋体" w:cs="宋体"/>
                <w:color w:val="auto"/>
                <w:szCs w:val="24"/>
                <w:highlight w:val="none"/>
                <w:lang w:val="en-US" w:eastAsia="zh-CN"/>
              </w:rPr>
              <w:t>结算审计服务</w:t>
            </w:r>
          </w:p>
        </w:tc>
        <w:tc>
          <w:tcPr>
            <w:tcW w:w="89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w:t>
            </w:r>
          </w:p>
        </w:tc>
        <w:tc>
          <w:tcPr>
            <w:tcW w:w="73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一、合同条款与执行情况审核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（1）核对合同约定的服务是否与实际完成内容一致，避免漏项或重复计算。</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（2）检查合同中关于变更、索赔、价格调整等条款的执行情况。</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（3）确认合同采用固定总价、固定单价或可调价格模式，并验证结算是否符合计价规则。</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二、服务量计算与计价审核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（1）依据方案、现场签证单等资料，逐项核对服务量是否符合合同要求。</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（2）检查计价依据合规性。</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（3）检查材料价格是否按合同约定或信息价调整。</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三、变更与签证管理审核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（1）核对变更申请、审批流程是否完整。</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（2）审查变更内容是否在合同范围内，避免以变更名义扩大服务规模。</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（3）确认变更部分是否按合同约定重新组价，例如内容是否按市场价计入。</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四、索赔与争议处理审核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（1）审查索赔事件是否符合合同约定的索赔条件，核对索赔金额计算依据是否合理。</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（2）确认合同中约定的争议解决方式（如仲裁、诉讼），并评估索赔事项是否需通过第三方机构鉴定。</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五、结算资料完整性审核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（1）必备资料清单审核。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（2）核对结算资料是否齐全，包括但不限于：</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服务合同、补充协议；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服务变更通知单；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现场签证单；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服务验收报告、结算书；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发票、付款凭证等财务资料。</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（3）检查资料逻辑的一致性；</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（4）检查资料之间是否存在矛盾。</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六、合规性与风险防控审核。</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（1）检查是否存在转包、违法分包等行为导致的结算风险。</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（2）审核增值税发票的真伪及税率适用是否正确。</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（3）确认进项税额抵扣是否符合税法规定，避免税务风险。</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七、审核报告编制与交付</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（1）报告内容要求：结算审核报告需包含项目概况、审核依据、审核范围、审核方法、审核结论及建议等部分。</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（2）重点披露审核发现的问题及调整金额。</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（3）交付成果形式：提供纸质版和电子版审核报告，并附结算审核汇总表、明细表等附件。</w:t>
            </w:r>
          </w:p>
          <w:p>
            <w:pPr>
              <w:adjustRightInd w:val="0"/>
              <w:snapToGrid w:val="0"/>
              <w:spacing w:line="360" w:lineRule="auto"/>
              <w:ind w:firstLine="210" w:firstLineChars="1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（4）确保报告经审核人员签字、盖章，并加盖单位公章后生效。</w:t>
            </w:r>
          </w:p>
        </w:tc>
      </w:tr>
      <w:tr>
        <w:tblPrEx>
          <w:tblCellMar>
            <w:top w:w="0" w:type="dxa"/>
            <w:left w:w="0" w:type="dxa"/>
            <w:bottom w:w="0" w:type="dxa"/>
            <w:right w:w="0" w:type="dxa"/>
          </w:tblCellMar>
        </w:tblPrEx>
        <w:trPr>
          <w:trHeight w:val="577" w:hRule="atLeast"/>
          <w:jc w:val="center"/>
        </w:trPr>
        <w:tc>
          <w:tcPr>
            <w:tcW w:w="94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auto"/>
                <w:szCs w:val="21"/>
                <w:highlight w:val="none"/>
                <w:shd w:val="clear" w:color="auto" w:fill="FFFFFF"/>
              </w:rPr>
            </w:pPr>
            <w:r>
              <w:rPr>
                <w:rFonts w:hint="eastAsia" w:ascii="宋体" w:hAnsi="宋体" w:cs="宋体"/>
                <w:color w:val="auto"/>
                <w:kern w:val="0"/>
                <w:szCs w:val="21"/>
                <w:highlight w:val="none"/>
              </w:rPr>
              <w:t>▲</w:t>
            </w:r>
            <w:r>
              <w:rPr>
                <w:rFonts w:hint="eastAsia" w:ascii="宋体" w:hAnsi="宋体" w:eastAsia="宋体" w:cs="Times New Roman"/>
                <w:color w:val="auto"/>
                <w:szCs w:val="21"/>
                <w:highlight w:val="none"/>
              </w:rPr>
              <w:t>商务条款</w:t>
            </w:r>
          </w:p>
        </w:tc>
      </w:tr>
      <w:tr>
        <w:tblPrEx>
          <w:tblCellMar>
            <w:top w:w="0" w:type="dxa"/>
            <w:left w:w="0" w:type="dxa"/>
            <w:bottom w:w="0" w:type="dxa"/>
            <w:right w:w="0" w:type="dxa"/>
          </w:tblCellMar>
        </w:tblPrEx>
        <w:trPr>
          <w:trHeight w:val="577" w:hRule="atLeast"/>
          <w:jc w:val="center"/>
        </w:trPr>
        <w:tc>
          <w:tcPr>
            <w:tcW w:w="946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一、合同签订期：自</w:t>
            </w:r>
            <w:r>
              <w:rPr>
                <w:rFonts w:hint="eastAsia" w:ascii="宋体" w:hAnsi="宋体" w:cs="Times New Roman"/>
                <w:color w:val="auto"/>
                <w:szCs w:val="21"/>
                <w:highlight w:val="none"/>
                <w:shd w:val="clear" w:color="auto" w:fill="FFFFFF"/>
                <w:lang w:eastAsia="zh-CN"/>
              </w:rPr>
              <w:t>中标</w:t>
            </w:r>
            <w:r>
              <w:rPr>
                <w:rFonts w:hint="eastAsia" w:ascii="宋体" w:hAnsi="宋体" w:eastAsia="宋体" w:cs="Times New Roman"/>
                <w:color w:val="auto"/>
                <w:szCs w:val="21"/>
                <w:highlight w:val="none"/>
                <w:shd w:val="clear" w:color="auto" w:fill="FFFFFF"/>
              </w:rPr>
              <w:t>通知书发出之日起</w:t>
            </w:r>
            <w:r>
              <w:rPr>
                <w:rFonts w:hint="eastAsia" w:ascii="宋体" w:hAnsi="宋体" w:cs="Times New Roman"/>
                <w:color w:val="auto"/>
                <w:szCs w:val="21"/>
                <w:highlight w:val="none"/>
                <w:shd w:val="clear" w:color="auto" w:fill="FFFFFF"/>
                <w:lang w:val="en-US" w:eastAsia="zh-CN"/>
              </w:rPr>
              <w:t>25</w:t>
            </w:r>
            <w:r>
              <w:rPr>
                <w:rFonts w:hint="eastAsia" w:ascii="宋体" w:hAnsi="宋体" w:eastAsia="宋体" w:cs="Times New Roman"/>
                <w:color w:val="auto"/>
                <w:szCs w:val="21"/>
                <w:highlight w:val="none"/>
                <w:shd w:val="clear" w:color="auto" w:fill="FFFFFF"/>
              </w:rPr>
              <w:t>日内。</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二、服务时间：</w:t>
            </w:r>
            <w:r>
              <w:rPr>
                <w:rFonts w:hint="eastAsia" w:ascii="宋体" w:hAnsi="宋体" w:cs="宋体"/>
                <w:color w:val="auto"/>
                <w:szCs w:val="21"/>
                <w:highlight w:val="none"/>
              </w:rPr>
              <w:t>自合同签订之日起至项目</w:t>
            </w:r>
            <w:r>
              <w:rPr>
                <w:rFonts w:hint="eastAsia" w:ascii="宋体" w:hAnsi="宋体" w:cs="宋体"/>
                <w:color w:val="auto"/>
                <w:szCs w:val="21"/>
                <w:highlight w:val="none"/>
                <w:lang w:val="en-US" w:eastAsia="zh-CN"/>
              </w:rPr>
              <w:t>全部</w:t>
            </w:r>
            <w:r>
              <w:rPr>
                <w:rFonts w:hint="eastAsia" w:ascii="宋体" w:hAnsi="宋体" w:cs="宋体"/>
                <w:color w:val="auto"/>
                <w:szCs w:val="21"/>
                <w:highlight w:val="none"/>
              </w:rPr>
              <w:t>验收</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之日止。</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三、服务地点：具体由</w:t>
            </w:r>
            <w:r>
              <w:rPr>
                <w:rFonts w:hint="eastAsia" w:ascii="宋体" w:hAnsi="宋体" w:eastAsia="宋体" w:cs="Times New Roman"/>
                <w:color w:val="auto"/>
                <w:szCs w:val="21"/>
                <w:highlight w:val="none"/>
                <w:shd w:val="clear" w:color="auto" w:fill="FFFFFF"/>
                <w:lang w:val="en-US" w:eastAsia="zh-CN"/>
              </w:rPr>
              <w:t>采购人</w:t>
            </w:r>
            <w:r>
              <w:rPr>
                <w:rFonts w:hint="eastAsia" w:ascii="宋体" w:hAnsi="宋体" w:eastAsia="宋体" w:cs="Times New Roman"/>
                <w:color w:val="auto"/>
                <w:szCs w:val="21"/>
                <w:highlight w:val="none"/>
                <w:shd w:val="clear" w:color="auto" w:fill="FFFFFF"/>
              </w:rPr>
              <w:t>指定。</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四、售后服务要求：质量保证期1年（项目通过终验之日起计）。</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五、其他要求：</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1.报价必须含以下部分，包括：</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（1）材料费：包含汇报材料及成果打印费用。</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（2）有必要的保险费用和各项税金。</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2.本项目报价包含完成上述服务内容所需的费用。如提供服务过程中产生额外费用，由</w:t>
            </w:r>
            <w:r>
              <w:rPr>
                <w:rFonts w:hint="eastAsia" w:ascii="宋体" w:hAnsi="宋体" w:cs="Times New Roman"/>
                <w:color w:val="auto"/>
                <w:szCs w:val="21"/>
                <w:highlight w:val="none"/>
                <w:shd w:val="clear" w:color="auto" w:fill="FFFFFF"/>
                <w:lang w:eastAsia="zh-CN"/>
              </w:rPr>
              <w:t>中标人</w:t>
            </w:r>
            <w:r>
              <w:rPr>
                <w:rFonts w:hint="eastAsia" w:ascii="宋体" w:hAnsi="宋体" w:eastAsia="宋体" w:cs="Times New Roman"/>
                <w:color w:val="auto"/>
                <w:szCs w:val="21"/>
                <w:highlight w:val="none"/>
                <w:shd w:val="clear" w:color="auto" w:fill="FFFFFF"/>
              </w:rPr>
              <w:t>自行负责。</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3.项目监理阶段，</w:t>
            </w:r>
            <w:r>
              <w:rPr>
                <w:rFonts w:hint="eastAsia" w:ascii="宋体" w:hAnsi="宋体" w:cs="Times New Roman"/>
                <w:color w:val="auto"/>
                <w:szCs w:val="21"/>
                <w:highlight w:val="none"/>
                <w:shd w:val="clear" w:color="auto" w:fill="FFFFFF"/>
                <w:lang w:eastAsia="zh-CN"/>
              </w:rPr>
              <w:t>中标人</w:t>
            </w:r>
            <w:r>
              <w:rPr>
                <w:rFonts w:hint="eastAsia" w:ascii="宋体" w:hAnsi="宋体" w:eastAsia="宋体" w:cs="Times New Roman"/>
                <w:color w:val="auto"/>
                <w:szCs w:val="21"/>
                <w:highlight w:val="none"/>
                <w:shd w:val="clear" w:color="auto" w:fill="FFFFFF"/>
              </w:rPr>
              <w:t>必须在</w:t>
            </w:r>
            <w:r>
              <w:rPr>
                <w:rFonts w:hint="eastAsia" w:ascii="宋体" w:hAnsi="宋体" w:eastAsia="宋体" w:cs="Times New Roman"/>
                <w:color w:val="auto"/>
                <w:szCs w:val="21"/>
                <w:highlight w:val="none"/>
                <w:shd w:val="clear" w:color="auto" w:fill="FFFFFF"/>
                <w:lang w:val="en-US" w:eastAsia="zh-CN"/>
              </w:rPr>
              <w:t>北海</w:t>
            </w:r>
            <w:r>
              <w:rPr>
                <w:rFonts w:hint="eastAsia" w:ascii="宋体" w:hAnsi="宋体" w:eastAsia="宋体" w:cs="Times New Roman"/>
                <w:color w:val="auto"/>
                <w:szCs w:val="21"/>
                <w:highlight w:val="none"/>
                <w:shd w:val="clear" w:color="auto" w:fill="FFFFFF"/>
              </w:rPr>
              <w:t>市内安排有常驻监理人员开展项目服务，直到项目验收合格。</w:t>
            </w:r>
          </w:p>
          <w:p>
            <w:pPr>
              <w:spacing w:line="360" w:lineRule="auto"/>
              <w:rPr>
                <w:rFonts w:hint="eastAsia" w:ascii="宋体" w:hAnsi="宋体" w:eastAsia="宋体" w:cs="Times New Roman"/>
                <w:color w:val="auto"/>
                <w:szCs w:val="21"/>
                <w:highlight w:val="none"/>
                <w:shd w:val="clear" w:color="auto" w:fill="FFFFFF"/>
              </w:rPr>
            </w:pPr>
            <w:r>
              <w:rPr>
                <w:rFonts w:hint="eastAsia" w:ascii="宋体" w:hAnsi="宋体" w:eastAsia="宋体" w:cs="Times New Roman"/>
                <w:color w:val="auto"/>
                <w:szCs w:val="21"/>
                <w:highlight w:val="none"/>
                <w:shd w:val="clear" w:color="auto" w:fill="FFFFFF"/>
              </w:rPr>
              <w:t>4.付款方式：</w:t>
            </w:r>
            <w:r>
              <w:rPr>
                <w:rFonts w:hint="eastAsia" w:ascii="宋体" w:hAnsi="宋体" w:eastAsia="宋体" w:cs="Times New Roman"/>
                <w:color w:val="auto"/>
                <w:szCs w:val="21"/>
                <w:highlight w:val="none"/>
                <w:shd w:val="clear" w:color="auto" w:fill="FFFFFF"/>
                <w:lang w:val="en-US" w:eastAsia="zh-CN"/>
              </w:rPr>
              <w:t>签订合同后预付合同款的30%；监理的项目服务期满且本项目验收合格后支付合同款70%</w:t>
            </w:r>
            <w:r>
              <w:rPr>
                <w:rFonts w:hint="eastAsia" w:ascii="宋体" w:hAnsi="宋体" w:eastAsia="宋体" w:cs="Times New Roman"/>
                <w:color w:val="auto"/>
                <w:szCs w:val="21"/>
                <w:highlight w:val="none"/>
                <w:shd w:val="clear" w:color="auto" w:fill="FFFFFF"/>
              </w:rPr>
              <w:t>。</w:t>
            </w:r>
          </w:p>
          <w:p>
            <w:pPr>
              <w:spacing w:line="360" w:lineRule="auto"/>
              <w:rPr>
                <w:rFonts w:hint="eastAsia" w:ascii="Times New Roman" w:hAnsi="仿宋_GB2312" w:eastAsia="宋体" w:cs="仿宋_GB2312"/>
                <w:color w:val="auto"/>
                <w:szCs w:val="24"/>
                <w:highlight w:val="none"/>
              </w:rPr>
            </w:pPr>
            <w:r>
              <w:rPr>
                <w:rFonts w:hint="eastAsia" w:ascii="宋体" w:hAnsi="宋体" w:eastAsia="宋体" w:cs="Times New Roman"/>
                <w:color w:val="auto"/>
                <w:szCs w:val="21"/>
                <w:highlight w:val="none"/>
                <w:shd w:val="clear" w:color="auto" w:fill="FFFFFF"/>
              </w:rPr>
              <w:t>5.</w:t>
            </w:r>
            <w:r>
              <w:rPr>
                <w:rFonts w:hint="eastAsia" w:ascii="宋体" w:hAnsi="宋体" w:cs="Times New Roman"/>
                <w:color w:val="auto"/>
                <w:szCs w:val="21"/>
                <w:highlight w:val="none"/>
                <w:shd w:val="clear" w:color="auto" w:fill="FFFFFF"/>
                <w:lang w:val="en-US" w:eastAsia="zh-CN"/>
              </w:rPr>
              <w:t>中标</w:t>
            </w:r>
            <w:r>
              <w:rPr>
                <w:rFonts w:hint="eastAsia" w:ascii="宋体" w:hAnsi="宋体" w:eastAsia="宋体" w:cs="Times New Roman"/>
                <w:color w:val="auto"/>
                <w:szCs w:val="21"/>
                <w:highlight w:val="none"/>
                <w:shd w:val="clear" w:color="auto" w:fill="FFFFFF"/>
                <w:lang w:val="en-US" w:eastAsia="zh-CN"/>
              </w:rPr>
              <w:t>人</w:t>
            </w:r>
            <w:r>
              <w:rPr>
                <w:rFonts w:hint="eastAsia" w:ascii="宋体" w:hAnsi="宋体" w:eastAsia="宋体" w:cs="Times New Roman"/>
                <w:color w:val="auto"/>
                <w:szCs w:val="21"/>
                <w:highlight w:val="none"/>
                <w:shd w:val="clear" w:color="auto" w:fill="FFFFFF"/>
              </w:rPr>
              <w:t>不得承担</w:t>
            </w:r>
            <w:r>
              <w:rPr>
                <w:rFonts w:hint="eastAsia" w:ascii="宋体" w:hAnsi="宋体" w:eastAsia="宋体" w:cs="Times New Roman"/>
                <w:color w:val="auto"/>
                <w:szCs w:val="21"/>
                <w:highlight w:val="none"/>
                <w:shd w:val="clear" w:color="auto" w:fill="FFFFFF"/>
                <w:lang w:val="en-US" w:eastAsia="zh-CN"/>
              </w:rPr>
              <w:t>2025-2027年北海市政务云平台服务项目</w:t>
            </w:r>
            <w:r>
              <w:rPr>
                <w:rFonts w:hint="eastAsia" w:ascii="宋体" w:hAnsi="宋体" w:eastAsia="宋体" w:cs="Times New Roman"/>
                <w:color w:val="auto"/>
                <w:szCs w:val="21"/>
                <w:highlight w:val="none"/>
                <w:shd w:val="clear" w:color="auto" w:fill="FFFFFF"/>
              </w:rPr>
              <w:t>相关实施工作。</w:t>
            </w:r>
          </w:p>
        </w:tc>
      </w:tr>
    </w:tbl>
    <w:p>
      <w:pPr>
        <w:spacing w:line="440" w:lineRule="exact"/>
        <w:ind w:firstLine="422" w:firstLineChars="200"/>
        <w:jc w:val="left"/>
        <w:rPr>
          <w:rFonts w:ascii="宋体" w:hAnsi="宋体" w:cs="宋体"/>
          <w:b/>
          <w:color w:val="auto"/>
          <w:szCs w:val="21"/>
          <w:highlight w:val="none"/>
        </w:rPr>
      </w:pPr>
    </w:p>
    <w:p>
      <w:pPr>
        <w:spacing w:line="440" w:lineRule="exact"/>
        <w:ind w:firstLine="422" w:firstLineChars="200"/>
        <w:jc w:val="left"/>
        <w:rPr>
          <w:rFonts w:ascii="宋体" w:hAnsi="宋体" w:cs="宋体"/>
          <w:b/>
          <w:color w:val="auto"/>
          <w:szCs w:val="21"/>
          <w:highlight w:val="none"/>
        </w:rPr>
      </w:pPr>
    </w:p>
    <w:p>
      <w:pPr>
        <w:pStyle w:val="79"/>
        <w:ind w:firstLine="460"/>
        <w:rPr>
          <w:color w:val="auto"/>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spacing w:line="560" w:lineRule="exact"/>
        <w:rPr>
          <w:rFonts w:ascii="仿宋_GB2312" w:hAnsi="仿宋_GB2312" w:eastAsia="仿宋_GB2312" w:cs="仿宋_GB2312"/>
          <w:color w:val="auto"/>
          <w:sz w:val="32"/>
          <w:szCs w:val="32"/>
          <w:highlight w:val="none"/>
        </w:rPr>
      </w:pPr>
    </w:p>
    <w:p>
      <w:pPr>
        <w:rPr>
          <w:rFonts w:hint="eastAsia" w:ascii="宋体" w:hAnsi="宋体" w:cs="宋体"/>
          <w:b/>
          <w:color w:val="auto"/>
          <w:sz w:val="36"/>
          <w:szCs w:val="36"/>
          <w:highlight w:val="none"/>
        </w:rPr>
      </w:pPr>
      <w:bookmarkStart w:id="88" w:name="_Toc176368905"/>
      <w:bookmarkStart w:id="89" w:name="_Toc17560"/>
      <w:r>
        <w:rPr>
          <w:rFonts w:hint="eastAsia" w:ascii="宋体" w:hAnsi="宋体" w:cs="宋体"/>
          <w:b/>
          <w:color w:val="auto"/>
          <w:sz w:val="36"/>
          <w:szCs w:val="36"/>
          <w:highlight w:val="none"/>
        </w:rPr>
        <w:br w:type="page"/>
      </w:r>
    </w:p>
    <w:p>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第四部分</w:t>
      </w:r>
      <w:bookmarkStart w:id="90" w:name="_Toc184314453"/>
      <w:bookmarkEnd w:id="90"/>
      <w:bookmarkStart w:id="91" w:name="_Toc184314449"/>
      <w:bookmarkEnd w:id="91"/>
      <w:bookmarkStart w:id="92" w:name="_Toc184312139"/>
      <w:bookmarkEnd w:id="92"/>
      <w:bookmarkStart w:id="93" w:name="_Toc184310286"/>
      <w:bookmarkEnd w:id="93"/>
      <w:bookmarkStart w:id="94" w:name="_Toc184312135"/>
      <w:bookmarkEnd w:id="94"/>
      <w:bookmarkStart w:id="95" w:name="_Toc184312107"/>
      <w:bookmarkEnd w:id="95"/>
      <w:bookmarkStart w:id="96" w:name="_Toc184310297"/>
      <w:bookmarkEnd w:id="96"/>
      <w:bookmarkStart w:id="97" w:name="_Toc184313303"/>
      <w:bookmarkEnd w:id="97"/>
      <w:bookmarkStart w:id="98" w:name="_Toc184308102"/>
      <w:bookmarkEnd w:id="98"/>
      <w:bookmarkStart w:id="99" w:name="_Toc184313289"/>
      <w:bookmarkEnd w:id="99"/>
      <w:bookmarkStart w:id="100" w:name="_Toc184314470"/>
      <w:bookmarkEnd w:id="100"/>
      <w:bookmarkStart w:id="101" w:name="_Toc184312087"/>
      <w:bookmarkEnd w:id="101"/>
      <w:bookmarkStart w:id="102" w:name="_Toc184313266"/>
      <w:bookmarkEnd w:id="102"/>
      <w:bookmarkStart w:id="103" w:name="_Toc184308087"/>
      <w:bookmarkEnd w:id="103"/>
      <w:bookmarkStart w:id="104" w:name="_Toc184313240"/>
      <w:bookmarkEnd w:id="104"/>
      <w:bookmarkStart w:id="105" w:name="_Toc184310279"/>
      <w:bookmarkEnd w:id="105"/>
      <w:bookmarkStart w:id="106" w:name="_Toc184312097"/>
      <w:bookmarkEnd w:id="106"/>
      <w:bookmarkStart w:id="107" w:name="_Toc184314431"/>
      <w:bookmarkEnd w:id="107"/>
      <w:bookmarkStart w:id="108" w:name="_Toc184313260"/>
      <w:bookmarkEnd w:id="108"/>
      <w:bookmarkStart w:id="109" w:name="_Toc184312079"/>
      <w:bookmarkEnd w:id="109"/>
      <w:bookmarkStart w:id="110" w:name="_Toc184312070"/>
      <w:bookmarkEnd w:id="110"/>
      <w:bookmarkStart w:id="111" w:name="_Toc184308096"/>
      <w:bookmarkEnd w:id="111"/>
      <w:bookmarkStart w:id="112" w:name="_Toc184308041"/>
      <w:bookmarkEnd w:id="112"/>
      <w:bookmarkStart w:id="113" w:name="_Toc184308062"/>
      <w:bookmarkEnd w:id="113"/>
      <w:bookmarkStart w:id="114" w:name="_Toc184313288"/>
      <w:bookmarkEnd w:id="114"/>
      <w:bookmarkStart w:id="115" w:name="_Toc184310290"/>
      <w:bookmarkEnd w:id="115"/>
      <w:bookmarkStart w:id="116" w:name="_Toc184308066"/>
      <w:bookmarkEnd w:id="116"/>
      <w:bookmarkStart w:id="117" w:name="_Toc184313281"/>
      <w:bookmarkEnd w:id="117"/>
      <w:bookmarkStart w:id="118" w:name="_Toc184308084"/>
      <w:bookmarkEnd w:id="118"/>
      <w:bookmarkStart w:id="119" w:name="_Toc184308047"/>
      <w:bookmarkEnd w:id="119"/>
      <w:bookmarkStart w:id="120" w:name="_Toc184312128"/>
      <w:bookmarkEnd w:id="120"/>
      <w:bookmarkStart w:id="121" w:name="_Toc184310342"/>
      <w:bookmarkEnd w:id="121"/>
      <w:bookmarkStart w:id="122" w:name="_Toc184314480"/>
      <w:bookmarkEnd w:id="122"/>
      <w:bookmarkStart w:id="123" w:name="_Toc184312109"/>
      <w:bookmarkEnd w:id="123"/>
      <w:bookmarkStart w:id="124" w:name="_Toc184310335"/>
      <w:bookmarkEnd w:id="124"/>
      <w:bookmarkStart w:id="125" w:name="_Toc184313254"/>
      <w:bookmarkEnd w:id="125"/>
      <w:bookmarkStart w:id="126" w:name="_Toc184313242"/>
      <w:bookmarkEnd w:id="126"/>
      <w:bookmarkStart w:id="127" w:name="_Toc184310305"/>
      <w:bookmarkEnd w:id="127"/>
      <w:bookmarkStart w:id="128" w:name="_Toc184314410"/>
      <w:bookmarkEnd w:id="128"/>
      <w:bookmarkStart w:id="129" w:name="_Toc184310298"/>
      <w:bookmarkEnd w:id="129"/>
      <w:bookmarkStart w:id="130" w:name="_Toc184314454"/>
      <w:bookmarkEnd w:id="130"/>
      <w:bookmarkStart w:id="131" w:name="_Toc184312132"/>
      <w:bookmarkEnd w:id="131"/>
      <w:bookmarkStart w:id="132" w:name="_Toc184314413"/>
      <w:bookmarkEnd w:id="132"/>
      <w:bookmarkStart w:id="133" w:name="_Toc184314475"/>
      <w:bookmarkEnd w:id="133"/>
      <w:bookmarkStart w:id="134" w:name="_Toc184310316"/>
      <w:bookmarkEnd w:id="134"/>
      <w:bookmarkStart w:id="135" w:name="_Toc184308040"/>
      <w:bookmarkEnd w:id="135"/>
      <w:bookmarkStart w:id="136" w:name="_Toc184310327"/>
      <w:bookmarkEnd w:id="136"/>
      <w:bookmarkStart w:id="137" w:name="_Toc184308049"/>
      <w:bookmarkEnd w:id="137"/>
      <w:bookmarkStart w:id="138" w:name="_Toc184313291"/>
      <w:bookmarkEnd w:id="138"/>
      <w:bookmarkStart w:id="139" w:name="_Toc184314432"/>
      <w:bookmarkEnd w:id="139"/>
      <w:bookmarkStart w:id="140" w:name="_Toc184310326"/>
      <w:bookmarkEnd w:id="140"/>
      <w:bookmarkStart w:id="141" w:name="_Toc184308094"/>
      <w:bookmarkEnd w:id="141"/>
      <w:bookmarkStart w:id="142" w:name="_Toc184308060"/>
      <w:bookmarkEnd w:id="142"/>
      <w:bookmarkStart w:id="143" w:name="_Toc184313295"/>
      <w:bookmarkEnd w:id="143"/>
      <w:bookmarkStart w:id="144" w:name="_Toc184312127"/>
      <w:bookmarkEnd w:id="144"/>
      <w:bookmarkStart w:id="145" w:name="_Toc184313267"/>
      <w:bookmarkEnd w:id="145"/>
      <w:bookmarkStart w:id="146" w:name="_Toc184312100"/>
      <w:bookmarkEnd w:id="146"/>
      <w:bookmarkStart w:id="147" w:name="_Toc184308042"/>
      <w:bookmarkEnd w:id="147"/>
      <w:bookmarkStart w:id="148" w:name="_Toc184310274"/>
      <w:bookmarkEnd w:id="148"/>
      <w:bookmarkStart w:id="149" w:name="_Toc184314424"/>
      <w:bookmarkEnd w:id="149"/>
      <w:bookmarkStart w:id="150" w:name="_Toc184314425"/>
      <w:bookmarkEnd w:id="150"/>
      <w:bookmarkStart w:id="151" w:name="_Toc184310328"/>
      <w:bookmarkEnd w:id="151"/>
      <w:bookmarkStart w:id="152" w:name="_Toc184313256"/>
      <w:bookmarkEnd w:id="152"/>
      <w:bookmarkStart w:id="153" w:name="_Toc184312103"/>
      <w:bookmarkEnd w:id="153"/>
      <w:bookmarkStart w:id="154" w:name="_Toc184308064"/>
      <w:bookmarkEnd w:id="154"/>
      <w:bookmarkStart w:id="155" w:name="_Toc184308075"/>
      <w:bookmarkEnd w:id="155"/>
      <w:bookmarkStart w:id="156" w:name="_Toc184313308"/>
      <w:bookmarkEnd w:id="156"/>
      <w:bookmarkStart w:id="157" w:name="_Toc184314467"/>
      <w:bookmarkEnd w:id="157"/>
      <w:bookmarkStart w:id="158" w:name="_Toc184308059"/>
      <w:bookmarkEnd w:id="158"/>
      <w:bookmarkStart w:id="159" w:name="_Toc184310313"/>
      <w:bookmarkEnd w:id="159"/>
      <w:bookmarkStart w:id="160" w:name="_Toc184308108"/>
      <w:bookmarkEnd w:id="160"/>
      <w:bookmarkStart w:id="161" w:name="_Toc184312067"/>
      <w:bookmarkEnd w:id="161"/>
      <w:bookmarkStart w:id="162" w:name="_Toc184314476"/>
      <w:bookmarkEnd w:id="162"/>
      <w:bookmarkStart w:id="163" w:name="_Toc184308107"/>
      <w:bookmarkEnd w:id="163"/>
      <w:bookmarkStart w:id="164" w:name="_Toc184308072"/>
      <w:bookmarkEnd w:id="164"/>
      <w:bookmarkStart w:id="165" w:name="_Toc184310272"/>
      <w:bookmarkEnd w:id="165"/>
      <w:bookmarkStart w:id="166" w:name="_Toc184314444"/>
      <w:bookmarkEnd w:id="166"/>
      <w:bookmarkStart w:id="167" w:name="_Toc184313302"/>
      <w:bookmarkEnd w:id="167"/>
      <w:bookmarkStart w:id="168" w:name="_Toc184310338"/>
      <w:bookmarkEnd w:id="168"/>
      <w:bookmarkStart w:id="169" w:name="_Toc184312078"/>
      <w:bookmarkEnd w:id="169"/>
      <w:bookmarkStart w:id="170" w:name="_Toc184308104"/>
      <w:bookmarkEnd w:id="170"/>
      <w:bookmarkStart w:id="171" w:name="_Toc184312099"/>
      <w:bookmarkEnd w:id="171"/>
      <w:bookmarkStart w:id="172" w:name="_Toc184312080"/>
      <w:bookmarkEnd w:id="172"/>
      <w:bookmarkStart w:id="173" w:name="_Toc184313252"/>
      <w:bookmarkEnd w:id="173"/>
      <w:bookmarkStart w:id="174" w:name="_Toc184308089"/>
      <w:bookmarkEnd w:id="174"/>
      <w:bookmarkStart w:id="175" w:name="_Toc184308071"/>
      <w:bookmarkEnd w:id="175"/>
      <w:bookmarkStart w:id="176" w:name="_Toc184314448"/>
      <w:bookmarkEnd w:id="176"/>
      <w:bookmarkStart w:id="177" w:name="_Toc184313268"/>
      <w:bookmarkEnd w:id="177"/>
      <w:bookmarkStart w:id="178" w:name="_Toc184308053"/>
      <w:bookmarkEnd w:id="178"/>
      <w:bookmarkStart w:id="179" w:name="_Toc184308052"/>
      <w:bookmarkEnd w:id="179"/>
      <w:bookmarkStart w:id="180" w:name="_Toc184313283"/>
      <w:bookmarkEnd w:id="180"/>
      <w:bookmarkStart w:id="181" w:name="_Toc184310306"/>
      <w:bookmarkEnd w:id="181"/>
      <w:bookmarkStart w:id="182" w:name="_Toc184310293"/>
      <w:bookmarkEnd w:id="182"/>
      <w:bookmarkStart w:id="183" w:name="_Toc184308050"/>
      <w:bookmarkEnd w:id="183"/>
      <w:bookmarkStart w:id="184" w:name="_Toc184310343"/>
      <w:bookmarkEnd w:id="184"/>
      <w:bookmarkStart w:id="185" w:name="_Toc184314471"/>
      <w:bookmarkEnd w:id="185"/>
      <w:bookmarkStart w:id="186" w:name="_Toc184313292"/>
      <w:bookmarkEnd w:id="186"/>
      <w:bookmarkStart w:id="187" w:name="_Toc184313258"/>
      <w:bookmarkEnd w:id="187"/>
      <w:bookmarkStart w:id="188" w:name="_Toc184313271"/>
      <w:bookmarkEnd w:id="188"/>
      <w:bookmarkStart w:id="189" w:name="_Toc184310282"/>
      <w:bookmarkEnd w:id="189"/>
      <w:bookmarkStart w:id="190" w:name="_Toc184314451"/>
      <w:bookmarkEnd w:id="190"/>
      <w:bookmarkStart w:id="191" w:name="_Toc184308067"/>
      <w:bookmarkEnd w:id="191"/>
      <w:bookmarkStart w:id="192" w:name="_Toc184313309"/>
      <w:bookmarkEnd w:id="192"/>
      <w:bookmarkStart w:id="193" w:name="_Toc184310310"/>
      <w:bookmarkEnd w:id="193"/>
      <w:bookmarkStart w:id="194" w:name="_Toc184310331"/>
      <w:bookmarkEnd w:id="194"/>
      <w:bookmarkStart w:id="195" w:name="_Toc184312130"/>
      <w:bookmarkEnd w:id="195"/>
      <w:bookmarkStart w:id="196" w:name="_Toc184310344"/>
      <w:bookmarkEnd w:id="196"/>
      <w:bookmarkStart w:id="197" w:name="_Toc184308080"/>
      <w:bookmarkEnd w:id="197"/>
      <w:bookmarkStart w:id="198" w:name="_Toc184313255"/>
      <w:bookmarkEnd w:id="198"/>
      <w:bookmarkStart w:id="199" w:name="_Toc184313296"/>
      <w:bookmarkEnd w:id="199"/>
      <w:bookmarkStart w:id="200" w:name="_Toc184313307"/>
      <w:bookmarkEnd w:id="200"/>
      <w:bookmarkStart w:id="201" w:name="_Toc184314455"/>
      <w:bookmarkEnd w:id="201"/>
      <w:bookmarkStart w:id="202" w:name="_Toc184314437"/>
      <w:bookmarkEnd w:id="202"/>
      <w:bookmarkStart w:id="203" w:name="_Toc184310295"/>
      <w:bookmarkEnd w:id="203"/>
      <w:bookmarkStart w:id="204" w:name="_Toc184314472"/>
      <w:bookmarkEnd w:id="204"/>
      <w:bookmarkStart w:id="205" w:name="_Toc184313284"/>
      <w:bookmarkEnd w:id="205"/>
      <w:bookmarkStart w:id="206" w:name="_Toc184313310"/>
      <w:bookmarkEnd w:id="206"/>
      <w:bookmarkStart w:id="207" w:name="_Toc184312138"/>
      <w:bookmarkEnd w:id="207"/>
      <w:bookmarkStart w:id="208" w:name="_Toc184308073"/>
      <w:bookmarkEnd w:id="208"/>
      <w:bookmarkStart w:id="209" w:name="_Toc184310302"/>
      <w:bookmarkEnd w:id="209"/>
      <w:bookmarkStart w:id="210" w:name="_Toc184313275"/>
      <w:bookmarkEnd w:id="210"/>
      <w:bookmarkStart w:id="211" w:name="_Toc184312083"/>
      <w:bookmarkEnd w:id="211"/>
      <w:bookmarkStart w:id="212" w:name="_Toc184313286"/>
      <w:bookmarkEnd w:id="212"/>
      <w:bookmarkStart w:id="213" w:name="_Toc184313282"/>
      <w:bookmarkEnd w:id="213"/>
      <w:bookmarkStart w:id="214" w:name="_Toc184314430"/>
      <w:bookmarkEnd w:id="214"/>
      <w:bookmarkStart w:id="215" w:name="_Toc184312119"/>
      <w:bookmarkEnd w:id="215"/>
      <w:bookmarkStart w:id="216" w:name="_Toc184312134"/>
      <w:bookmarkEnd w:id="216"/>
      <w:bookmarkStart w:id="217" w:name="_Toc184310319"/>
      <w:bookmarkEnd w:id="217"/>
      <w:bookmarkStart w:id="218" w:name="_Toc184314435"/>
      <w:bookmarkEnd w:id="218"/>
      <w:bookmarkStart w:id="219" w:name="_Toc184308036"/>
      <w:bookmarkEnd w:id="219"/>
      <w:bookmarkStart w:id="220" w:name="_Toc184312093"/>
      <w:bookmarkEnd w:id="220"/>
      <w:bookmarkStart w:id="221" w:name="_Toc184314452"/>
      <w:bookmarkEnd w:id="221"/>
      <w:bookmarkStart w:id="222" w:name="_Toc184313305"/>
      <w:bookmarkEnd w:id="222"/>
      <w:bookmarkStart w:id="223" w:name="_Toc184308098"/>
      <w:bookmarkEnd w:id="223"/>
      <w:bookmarkStart w:id="224" w:name="_Toc184308093"/>
      <w:bookmarkEnd w:id="224"/>
      <w:bookmarkStart w:id="225" w:name="_Toc184313278"/>
      <w:bookmarkEnd w:id="225"/>
      <w:bookmarkStart w:id="226" w:name="_Toc184310332"/>
      <w:bookmarkEnd w:id="226"/>
      <w:bookmarkStart w:id="227" w:name="_Toc184308095"/>
      <w:bookmarkEnd w:id="227"/>
      <w:bookmarkStart w:id="228" w:name="_Toc184312117"/>
      <w:bookmarkEnd w:id="228"/>
      <w:bookmarkStart w:id="229" w:name="_Toc184308046"/>
      <w:bookmarkEnd w:id="229"/>
      <w:bookmarkStart w:id="230" w:name="_Toc184314429"/>
      <w:bookmarkEnd w:id="230"/>
      <w:bookmarkStart w:id="231" w:name="_Toc184310324"/>
      <w:bookmarkEnd w:id="231"/>
      <w:bookmarkStart w:id="232" w:name="_Toc184312126"/>
      <w:bookmarkEnd w:id="232"/>
      <w:bookmarkStart w:id="233" w:name="_Toc184313246"/>
      <w:bookmarkEnd w:id="233"/>
      <w:bookmarkStart w:id="234" w:name="_Toc184310275"/>
      <w:bookmarkEnd w:id="234"/>
      <w:bookmarkStart w:id="235" w:name="_Toc184314414"/>
      <w:bookmarkEnd w:id="235"/>
      <w:bookmarkStart w:id="236" w:name="_Toc184313269"/>
      <w:bookmarkEnd w:id="236"/>
      <w:bookmarkStart w:id="237" w:name="_Toc184310285"/>
      <w:bookmarkEnd w:id="237"/>
      <w:bookmarkStart w:id="238" w:name="_Toc184312088"/>
      <w:bookmarkEnd w:id="238"/>
      <w:bookmarkStart w:id="239" w:name="_Toc184312129"/>
      <w:bookmarkEnd w:id="239"/>
      <w:bookmarkStart w:id="240" w:name="_Toc184314415"/>
      <w:bookmarkEnd w:id="240"/>
      <w:bookmarkStart w:id="241" w:name="_Toc184310284"/>
      <w:bookmarkEnd w:id="241"/>
      <w:bookmarkStart w:id="242" w:name="_Toc184308079"/>
      <w:bookmarkEnd w:id="242"/>
      <w:bookmarkStart w:id="243" w:name="_Toc184310312"/>
      <w:bookmarkEnd w:id="243"/>
      <w:bookmarkStart w:id="244" w:name="_Toc184314411"/>
      <w:bookmarkEnd w:id="244"/>
      <w:bookmarkStart w:id="245" w:name="_Toc184308039"/>
      <w:bookmarkEnd w:id="245"/>
      <w:bookmarkStart w:id="246" w:name="_Toc184313306"/>
      <w:bookmarkEnd w:id="246"/>
      <w:bookmarkStart w:id="247" w:name="_Toc184312131"/>
      <w:bookmarkEnd w:id="247"/>
      <w:bookmarkStart w:id="248" w:name="_Toc184308085"/>
      <w:bookmarkEnd w:id="248"/>
      <w:bookmarkStart w:id="249" w:name="_Toc184312091"/>
      <w:bookmarkEnd w:id="249"/>
      <w:bookmarkStart w:id="250" w:name="_Toc184310314"/>
      <w:bookmarkEnd w:id="250"/>
      <w:bookmarkStart w:id="251" w:name="_Toc184314423"/>
      <w:bookmarkEnd w:id="251"/>
      <w:bookmarkStart w:id="252" w:name="_Toc184314478"/>
      <w:bookmarkEnd w:id="252"/>
      <w:bookmarkStart w:id="253" w:name="_Toc184314460"/>
      <w:bookmarkEnd w:id="253"/>
      <w:bookmarkStart w:id="254" w:name="_Toc184310280"/>
      <w:bookmarkEnd w:id="254"/>
      <w:bookmarkStart w:id="255" w:name="_Toc184308100"/>
      <w:bookmarkEnd w:id="255"/>
      <w:bookmarkStart w:id="256" w:name="_Toc184312094"/>
      <w:bookmarkEnd w:id="256"/>
      <w:bookmarkStart w:id="257" w:name="_Toc184312112"/>
      <w:bookmarkEnd w:id="257"/>
      <w:bookmarkStart w:id="258" w:name="_Toc184312124"/>
      <w:bookmarkEnd w:id="258"/>
      <w:bookmarkStart w:id="259" w:name="_Toc184312090"/>
      <w:bookmarkEnd w:id="259"/>
      <w:bookmarkStart w:id="260" w:name="_Toc184310334"/>
      <w:bookmarkEnd w:id="260"/>
      <w:bookmarkStart w:id="261" w:name="_Toc184310273"/>
      <w:bookmarkEnd w:id="261"/>
      <w:bookmarkStart w:id="262" w:name="_Toc184310323"/>
      <w:bookmarkEnd w:id="262"/>
      <w:bookmarkStart w:id="263" w:name="_Toc184310283"/>
      <w:bookmarkEnd w:id="263"/>
      <w:bookmarkStart w:id="264" w:name="_Toc184312086"/>
      <w:bookmarkEnd w:id="264"/>
      <w:bookmarkStart w:id="265" w:name="_Toc184310340"/>
      <w:bookmarkEnd w:id="265"/>
      <w:bookmarkStart w:id="266" w:name="_Toc184308077"/>
      <w:bookmarkEnd w:id="266"/>
      <w:bookmarkStart w:id="267" w:name="_Toc184313280"/>
      <w:bookmarkEnd w:id="267"/>
      <w:bookmarkStart w:id="268" w:name="_Toc184313250"/>
      <w:bookmarkEnd w:id="268"/>
      <w:bookmarkStart w:id="269" w:name="_Toc184313244"/>
      <w:bookmarkEnd w:id="269"/>
      <w:bookmarkStart w:id="270" w:name="_Toc184310336"/>
      <w:bookmarkEnd w:id="270"/>
      <w:bookmarkStart w:id="271" w:name="_Toc184314427"/>
      <w:bookmarkEnd w:id="271"/>
      <w:bookmarkStart w:id="272" w:name="_Toc184310304"/>
      <w:bookmarkEnd w:id="272"/>
      <w:bookmarkStart w:id="273" w:name="_Toc184314421"/>
      <w:bookmarkEnd w:id="273"/>
      <w:bookmarkStart w:id="274" w:name="_Toc184313257"/>
      <w:bookmarkEnd w:id="274"/>
      <w:bookmarkStart w:id="275" w:name="_Toc184310281"/>
      <w:bookmarkEnd w:id="275"/>
      <w:bookmarkStart w:id="276" w:name="_Toc184313276"/>
      <w:bookmarkEnd w:id="276"/>
      <w:bookmarkStart w:id="277" w:name="_Toc184308076"/>
      <w:bookmarkEnd w:id="277"/>
      <w:bookmarkStart w:id="278" w:name="_Toc184313270"/>
      <w:bookmarkEnd w:id="278"/>
      <w:bookmarkStart w:id="279" w:name="_Toc184310301"/>
      <w:bookmarkEnd w:id="279"/>
      <w:bookmarkStart w:id="280" w:name="_Toc184310303"/>
      <w:bookmarkEnd w:id="280"/>
      <w:bookmarkStart w:id="281" w:name="_Toc184310291"/>
      <w:bookmarkEnd w:id="281"/>
      <w:bookmarkStart w:id="282" w:name="_Toc184308105"/>
      <w:bookmarkEnd w:id="282"/>
      <w:bookmarkStart w:id="283" w:name="_Toc184313277"/>
      <w:bookmarkEnd w:id="283"/>
      <w:bookmarkStart w:id="284" w:name="_Toc184313290"/>
      <w:bookmarkEnd w:id="284"/>
      <w:bookmarkStart w:id="285" w:name="_Toc184313247"/>
      <w:bookmarkEnd w:id="285"/>
      <w:bookmarkStart w:id="286" w:name="_Toc184308078"/>
      <w:bookmarkEnd w:id="286"/>
      <w:bookmarkStart w:id="287" w:name="_Toc184314416"/>
      <w:bookmarkEnd w:id="287"/>
      <w:bookmarkStart w:id="288" w:name="_Toc184310329"/>
      <w:bookmarkEnd w:id="288"/>
      <w:bookmarkStart w:id="289" w:name="_Toc184314469"/>
      <w:bookmarkEnd w:id="289"/>
      <w:bookmarkStart w:id="290" w:name="_Toc184314419"/>
      <w:bookmarkEnd w:id="290"/>
      <w:bookmarkStart w:id="291" w:name="_Toc184308074"/>
      <w:bookmarkEnd w:id="291"/>
      <w:bookmarkStart w:id="292" w:name="_Toc184308099"/>
      <w:bookmarkEnd w:id="292"/>
      <w:bookmarkStart w:id="293" w:name="_Toc184313293"/>
      <w:bookmarkEnd w:id="293"/>
      <w:bookmarkStart w:id="294" w:name="_Toc184308101"/>
      <w:bookmarkEnd w:id="294"/>
      <w:bookmarkStart w:id="295" w:name="_Toc184314440"/>
      <w:bookmarkEnd w:id="295"/>
      <w:bookmarkStart w:id="296" w:name="_Toc184312077"/>
      <w:bookmarkEnd w:id="296"/>
      <w:bookmarkStart w:id="297" w:name="_Toc184308081"/>
      <w:bookmarkEnd w:id="297"/>
      <w:bookmarkStart w:id="298" w:name="_Toc184313261"/>
      <w:bookmarkEnd w:id="298"/>
      <w:bookmarkStart w:id="299" w:name="_Toc184308056"/>
      <w:bookmarkEnd w:id="299"/>
      <w:bookmarkStart w:id="300" w:name="_Toc184313279"/>
      <w:bookmarkEnd w:id="300"/>
      <w:bookmarkStart w:id="301" w:name="_Toc184312118"/>
      <w:bookmarkEnd w:id="301"/>
      <w:bookmarkStart w:id="302" w:name="_Toc184314445"/>
      <w:bookmarkEnd w:id="302"/>
      <w:bookmarkStart w:id="303" w:name="_Toc184310294"/>
      <w:bookmarkEnd w:id="303"/>
      <w:bookmarkStart w:id="304" w:name="_Toc184314428"/>
      <w:bookmarkEnd w:id="304"/>
      <w:bookmarkStart w:id="305" w:name="_Toc184310311"/>
      <w:bookmarkEnd w:id="305"/>
      <w:bookmarkStart w:id="306" w:name="_Toc184313273"/>
      <w:bookmarkEnd w:id="306"/>
      <w:bookmarkStart w:id="307" w:name="_Toc184308058"/>
      <w:bookmarkEnd w:id="307"/>
      <w:bookmarkStart w:id="308" w:name="_Toc184310322"/>
      <w:bookmarkEnd w:id="308"/>
      <w:bookmarkStart w:id="309" w:name="_Toc184310320"/>
      <w:bookmarkEnd w:id="309"/>
      <w:bookmarkStart w:id="310" w:name="_Toc184308092"/>
      <w:bookmarkEnd w:id="310"/>
      <w:bookmarkStart w:id="311" w:name="_Toc184314474"/>
      <w:bookmarkEnd w:id="311"/>
      <w:bookmarkStart w:id="312" w:name="_Toc184308057"/>
      <w:bookmarkEnd w:id="312"/>
      <w:bookmarkStart w:id="313" w:name="_Toc184308038"/>
      <w:bookmarkEnd w:id="313"/>
      <w:bookmarkStart w:id="314" w:name="_Toc184314481"/>
      <w:bookmarkEnd w:id="314"/>
      <w:bookmarkStart w:id="315" w:name="_Toc184314436"/>
      <w:bookmarkEnd w:id="315"/>
      <w:bookmarkStart w:id="316" w:name="_Toc184312120"/>
      <w:bookmarkEnd w:id="316"/>
      <w:bookmarkStart w:id="317" w:name="_Toc184313304"/>
      <w:bookmarkEnd w:id="317"/>
      <w:bookmarkStart w:id="318" w:name="_Toc184312125"/>
      <w:bookmarkEnd w:id="318"/>
      <w:bookmarkStart w:id="319" w:name="_Toc184314450"/>
      <w:bookmarkEnd w:id="319"/>
      <w:bookmarkStart w:id="320" w:name="_Toc184312115"/>
      <w:bookmarkEnd w:id="320"/>
      <w:bookmarkStart w:id="321" w:name="_Toc184312084"/>
      <w:bookmarkEnd w:id="321"/>
      <w:bookmarkStart w:id="322" w:name="_Toc184310330"/>
      <w:bookmarkEnd w:id="322"/>
      <w:bookmarkStart w:id="323" w:name="_Toc184314461"/>
      <w:bookmarkEnd w:id="323"/>
      <w:bookmarkStart w:id="324" w:name="_Toc184312114"/>
      <w:bookmarkEnd w:id="324"/>
      <w:bookmarkStart w:id="325" w:name="_Toc184313243"/>
      <w:bookmarkEnd w:id="325"/>
      <w:bookmarkStart w:id="326" w:name="_Toc184314464"/>
      <w:bookmarkEnd w:id="326"/>
      <w:bookmarkStart w:id="327" w:name="_Toc184310321"/>
      <w:bookmarkEnd w:id="327"/>
      <w:bookmarkStart w:id="328" w:name="_Toc184314482"/>
      <w:bookmarkEnd w:id="328"/>
      <w:bookmarkStart w:id="329" w:name="_Toc184314441"/>
      <w:bookmarkEnd w:id="329"/>
      <w:bookmarkStart w:id="330" w:name="_Toc184312082"/>
      <w:bookmarkEnd w:id="330"/>
      <w:bookmarkStart w:id="331" w:name="_Toc184314443"/>
      <w:bookmarkEnd w:id="331"/>
      <w:bookmarkStart w:id="332" w:name="_Toc184312123"/>
      <w:bookmarkEnd w:id="332"/>
      <w:bookmarkStart w:id="333" w:name="_Toc184312104"/>
      <w:bookmarkEnd w:id="333"/>
      <w:bookmarkStart w:id="334" w:name="_Toc184312089"/>
      <w:bookmarkEnd w:id="334"/>
      <w:bookmarkStart w:id="335" w:name="_Toc184310317"/>
      <w:bookmarkEnd w:id="335"/>
      <w:bookmarkStart w:id="336" w:name="_Toc184310337"/>
      <w:bookmarkEnd w:id="336"/>
      <w:bookmarkStart w:id="337" w:name="_Toc184313241"/>
      <w:bookmarkEnd w:id="337"/>
      <w:bookmarkStart w:id="338" w:name="_Toc184312110"/>
      <w:bookmarkEnd w:id="338"/>
      <w:bookmarkStart w:id="339" w:name="_Toc184313253"/>
      <w:bookmarkEnd w:id="339"/>
      <w:bookmarkStart w:id="340" w:name="_Toc184308045"/>
      <w:bookmarkEnd w:id="340"/>
      <w:bookmarkStart w:id="341" w:name="_Toc184313259"/>
      <w:bookmarkEnd w:id="341"/>
      <w:bookmarkStart w:id="342" w:name="_Toc184314422"/>
      <w:bookmarkEnd w:id="342"/>
      <w:bookmarkStart w:id="343" w:name="_Toc184314465"/>
      <w:bookmarkEnd w:id="343"/>
      <w:bookmarkStart w:id="344" w:name="_Toc184313297"/>
      <w:bookmarkEnd w:id="344"/>
      <w:bookmarkStart w:id="345" w:name="_Toc184308055"/>
      <w:bookmarkEnd w:id="345"/>
      <w:bookmarkStart w:id="346" w:name="_Toc184312105"/>
      <w:bookmarkEnd w:id="346"/>
      <w:bookmarkStart w:id="347" w:name="_Toc184314462"/>
      <w:bookmarkEnd w:id="347"/>
      <w:bookmarkStart w:id="348" w:name="_Toc184312096"/>
      <w:bookmarkEnd w:id="348"/>
      <w:bookmarkStart w:id="349" w:name="_Toc184312101"/>
      <w:bookmarkEnd w:id="349"/>
      <w:bookmarkStart w:id="350" w:name="_Toc184310292"/>
      <w:bookmarkEnd w:id="350"/>
      <w:bookmarkStart w:id="351" w:name="_Toc184314479"/>
      <w:bookmarkEnd w:id="351"/>
      <w:bookmarkStart w:id="352" w:name="_Toc184308070"/>
      <w:bookmarkEnd w:id="352"/>
      <w:bookmarkStart w:id="353" w:name="_Toc184308054"/>
      <w:bookmarkEnd w:id="353"/>
      <w:bookmarkStart w:id="354" w:name="_Toc184313239"/>
      <w:bookmarkEnd w:id="354"/>
      <w:bookmarkStart w:id="355" w:name="_Toc184310299"/>
      <w:bookmarkEnd w:id="355"/>
      <w:bookmarkStart w:id="356" w:name="_Toc184310300"/>
      <w:bookmarkEnd w:id="356"/>
      <w:bookmarkStart w:id="357" w:name="_Toc184308043"/>
      <w:bookmarkEnd w:id="357"/>
      <w:bookmarkStart w:id="358" w:name="_Toc184314439"/>
      <w:bookmarkEnd w:id="358"/>
      <w:bookmarkStart w:id="359" w:name="_Toc184314457"/>
      <w:bookmarkEnd w:id="359"/>
      <w:bookmarkStart w:id="360" w:name="_Toc184313300"/>
      <w:bookmarkEnd w:id="360"/>
      <w:bookmarkStart w:id="361" w:name="_Toc184313294"/>
      <w:bookmarkEnd w:id="361"/>
      <w:bookmarkStart w:id="362" w:name="_Toc184308091"/>
      <w:bookmarkEnd w:id="362"/>
      <w:bookmarkStart w:id="363" w:name="_Toc184313285"/>
      <w:bookmarkEnd w:id="363"/>
      <w:bookmarkStart w:id="364" w:name="_Toc184308090"/>
      <w:bookmarkEnd w:id="364"/>
      <w:bookmarkStart w:id="365" w:name="_Toc184308097"/>
      <w:bookmarkEnd w:id="365"/>
      <w:bookmarkStart w:id="366" w:name="_Toc184312074"/>
      <w:bookmarkEnd w:id="366"/>
      <w:bookmarkStart w:id="367" w:name="_Toc184312081"/>
      <w:bookmarkEnd w:id="367"/>
      <w:bookmarkStart w:id="368" w:name="_Toc184313287"/>
      <w:bookmarkEnd w:id="368"/>
      <w:bookmarkStart w:id="369" w:name="_Toc184310278"/>
      <w:bookmarkEnd w:id="369"/>
      <w:bookmarkStart w:id="370" w:name="_Toc184314477"/>
      <w:bookmarkEnd w:id="370"/>
      <w:bookmarkStart w:id="371" w:name="_Toc184313249"/>
      <w:bookmarkEnd w:id="371"/>
      <w:bookmarkStart w:id="372" w:name="_Toc184313262"/>
      <w:bookmarkEnd w:id="372"/>
      <w:bookmarkStart w:id="373" w:name="_Toc184310325"/>
      <w:bookmarkEnd w:id="373"/>
      <w:bookmarkStart w:id="374" w:name="_Toc184308044"/>
      <w:bookmarkEnd w:id="374"/>
      <w:bookmarkStart w:id="375" w:name="_Toc184312076"/>
      <w:bookmarkEnd w:id="375"/>
      <w:bookmarkStart w:id="376" w:name="_Toc184312113"/>
      <w:bookmarkEnd w:id="376"/>
      <w:bookmarkStart w:id="377" w:name="_Toc184308088"/>
      <w:bookmarkEnd w:id="377"/>
      <w:bookmarkStart w:id="378" w:name="_Toc184313264"/>
      <w:bookmarkEnd w:id="378"/>
      <w:bookmarkStart w:id="379" w:name="_Toc184313248"/>
      <w:bookmarkEnd w:id="379"/>
      <w:bookmarkStart w:id="380" w:name="_Toc184313263"/>
      <w:bookmarkEnd w:id="380"/>
      <w:bookmarkStart w:id="381" w:name="_Toc184314468"/>
      <w:bookmarkEnd w:id="381"/>
      <w:bookmarkStart w:id="382" w:name="_Toc184310307"/>
      <w:bookmarkEnd w:id="382"/>
      <w:bookmarkStart w:id="383" w:name="_Toc184308051"/>
      <w:bookmarkEnd w:id="383"/>
      <w:bookmarkStart w:id="384" w:name="_Toc184312068"/>
      <w:bookmarkEnd w:id="384"/>
      <w:bookmarkStart w:id="385" w:name="_Toc184308103"/>
      <w:bookmarkEnd w:id="385"/>
      <w:bookmarkStart w:id="386" w:name="_Toc184314417"/>
      <w:bookmarkEnd w:id="386"/>
      <w:bookmarkStart w:id="387" w:name="_Toc184312085"/>
      <w:bookmarkEnd w:id="387"/>
      <w:bookmarkStart w:id="388" w:name="_Toc184313238"/>
      <w:bookmarkEnd w:id="388"/>
      <w:bookmarkStart w:id="389" w:name="_Toc184308048"/>
      <w:bookmarkEnd w:id="389"/>
      <w:bookmarkStart w:id="390" w:name="_Toc184308086"/>
      <w:bookmarkEnd w:id="390"/>
      <w:bookmarkStart w:id="391" w:name="_Toc184312092"/>
      <w:bookmarkEnd w:id="391"/>
      <w:bookmarkStart w:id="392" w:name="_Toc184313274"/>
      <w:bookmarkEnd w:id="392"/>
      <w:bookmarkStart w:id="393" w:name="_Toc184313245"/>
      <w:bookmarkEnd w:id="393"/>
      <w:bookmarkStart w:id="394" w:name="_Toc184312102"/>
      <w:bookmarkEnd w:id="394"/>
      <w:bookmarkStart w:id="395" w:name="_Toc184308106"/>
      <w:bookmarkEnd w:id="395"/>
      <w:bookmarkStart w:id="396" w:name="_Toc184312073"/>
      <w:bookmarkEnd w:id="396"/>
      <w:bookmarkStart w:id="397" w:name="_Toc184312137"/>
      <w:bookmarkEnd w:id="397"/>
      <w:bookmarkStart w:id="398" w:name="_Toc184310318"/>
      <w:bookmarkEnd w:id="398"/>
      <w:bookmarkStart w:id="399" w:name="_Toc184313265"/>
      <w:bookmarkEnd w:id="399"/>
      <w:bookmarkStart w:id="400" w:name="_Toc184312098"/>
      <w:bookmarkEnd w:id="400"/>
      <w:bookmarkStart w:id="401" w:name="_Toc184312116"/>
      <w:bookmarkEnd w:id="401"/>
      <w:bookmarkStart w:id="402" w:name="_Toc184310333"/>
      <w:bookmarkEnd w:id="402"/>
      <w:bookmarkStart w:id="403" w:name="_Toc184314418"/>
      <w:bookmarkEnd w:id="403"/>
      <w:bookmarkStart w:id="404" w:name="_Toc184310309"/>
      <w:bookmarkEnd w:id="404"/>
      <w:bookmarkStart w:id="405" w:name="_Toc184314473"/>
      <w:bookmarkEnd w:id="405"/>
      <w:bookmarkStart w:id="406" w:name="_Toc184308065"/>
      <w:bookmarkEnd w:id="406"/>
      <w:bookmarkStart w:id="407" w:name="_Toc184310315"/>
      <w:bookmarkEnd w:id="407"/>
      <w:bookmarkStart w:id="408" w:name="_Toc184312075"/>
      <w:bookmarkEnd w:id="408"/>
      <w:bookmarkStart w:id="409" w:name="_Toc184312071"/>
      <w:bookmarkEnd w:id="409"/>
      <w:bookmarkStart w:id="410" w:name="_Toc184308069"/>
      <w:bookmarkEnd w:id="410"/>
      <w:bookmarkStart w:id="411" w:name="_Toc184310341"/>
      <w:bookmarkEnd w:id="411"/>
      <w:bookmarkStart w:id="412" w:name="_Toc184312069"/>
      <w:bookmarkEnd w:id="412"/>
      <w:bookmarkStart w:id="413" w:name="_Toc184310339"/>
      <w:bookmarkEnd w:id="413"/>
      <w:bookmarkStart w:id="414" w:name="_Toc184314438"/>
      <w:bookmarkEnd w:id="414"/>
      <w:bookmarkStart w:id="415" w:name="_Toc184308061"/>
      <w:bookmarkEnd w:id="415"/>
      <w:bookmarkStart w:id="416" w:name="_Toc184310296"/>
      <w:bookmarkEnd w:id="416"/>
      <w:bookmarkStart w:id="417" w:name="_Toc184314433"/>
      <w:bookmarkEnd w:id="417"/>
      <w:bookmarkStart w:id="418" w:name="_Toc184314442"/>
      <w:bookmarkEnd w:id="418"/>
      <w:bookmarkStart w:id="419" w:name="_Toc184314456"/>
      <w:bookmarkEnd w:id="419"/>
      <w:bookmarkStart w:id="420" w:name="_Toc184312108"/>
      <w:bookmarkEnd w:id="420"/>
      <w:bookmarkStart w:id="421" w:name="_Toc184308063"/>
      <w:bookmarkEnd w:id="421"/>
      <w:bookmarkStart w:id="422" w:name="_Toc184314434"/>
      <w:bookmarkEnd w:id="422"/>
      <w:bookmarkStart w:id="423" w:name="_Toc184314446"/>
      <w:bookmarkEnd w:id="423"/>
      <w:bookmarkStart w:id="424" w:name="_Toc184312095"/>
      <w:bookmarkEnd w:id="424"/>
      <w:bookmarkStart w:id="425" w:name="_Toc184312133"/>
      <w:bookmarkEnd w:id="425"/>
      <w:bookmarkStart w:id="426" w:name="_Toc184313251"/>
      <w:bookmarkEnd w:id="426"/>
      <w:bookmarkStart w:id="427" w:name="_Toc184310287"/>
      <w:bookmarkEnd w:id="427"/>
      <w:bookmarkStart w:id="428" w:name="_Toc184314420"/>
      <w:bookmarkEnd w:id="428"/>
      <w:bookmarkStart w:id="429" w:name="_Toc184314466"/>
      <w:bookmarkEnd w:id="429"/>
      <w:bookmarkStart w:id="430" w:name="_Toc184312121"/>
      <w:bookmarkEnd w:id="430"/>
      <w:bookmarkStart w:id="431" w:name="_Toc184314458"/>
      <w:bookmarkEnd w:id="431"/>
      <w:bookmarkStart w:id="432" w:name="_Toc184308037"/>
      <w:bookmarkEnd w:id="432"/>
      <w:bookmarkStart w:id="433" w:name="_Toc184312122"/>
      <w:bookmarkEnd w:id="433"/>
      <w:bookmarkStart w:id="434" w:name="_Toc184314459"/>
      <w:bookmarkEnd w:id="434"/>
      <w:bookmarkStart w:id="435" w:name="_Toc184312136"/>
      <w:bookmarkEnd w:id="435"/>
      <w:bookmarkStart w:id="436" w:name="_Toc184310276"/>
      <w:bookmarkEnd w:id="436"/>
      <w:bookmarkStart w:id="437" w:name="_Toc184314463"/>
      <w:bookmarkEnd w:id="437"/>
      <w:bookmarkStart w:id="438" w:name="_Toc184312111"/>
      <w:bookmarkEnd w:id="438"/>
      <w:bookmarkStart w:id="439" w:name="_Toc184308068"/>
      <w:bookmarkEnd w:id="439"/>
      <w:bookmarkStart w:id="440" w:name="_Toc184313299"/>
      <w:bookmarkEnd w:id="440"/>
      <w:bookmarkStart w:id="441" w:name="_Toc184314412"/>
      <w:bookmarkEnd w:id="441"/>
      <w:bookmarkStart w:id="442" w:name="_Toc184314426"/>
      <w:bookmarkEnd w:id="442"/>
      <w:bookmarkStart w:id="443" w:name="_Toc184310277"/>
      <w:bookmarkEnd w:id="443"/>
      <w:bookmarkStart w:id="444" w:name="_Toc184314447"/>
      <w:bookmarkEnd w:id="444"/>
      <w:bookmarkStart w:id="445" w:name="_Toc184313272"/>
      <w:bookmarkEnd w:id="445"/>
      <w:bookmarkStart w:id="446" w:name="_Toc184312106"/>
      <w:bookmarkEnd w:id="446"/>
      <w:bookmarkStart w:id="447" w:name="_Toc184313301"/>
      <w:bookmarkEnd w:id="447"/>
      <w:bookmarkStart w:id="448" w:name="_Toc184308083"/>
      <w:bookmarkEnd w:id="448"/>
      <w:bookmarkStart w:id="449" w:name="_Toc184313298"/>
      <w:bookmarkEnd w:id="449"/>
      <w:bookmarkStart w:id="450" w:name="_Toc184310308"/>
      <w:bookmarkEnd w:id="450"/>
      <w:bookmarkStart w:id="451" w:name="_Toc184310288"/>
      <w:bookmarkEnd w:id="451"/>
      <w:bookmarkStart w:id="452" w:name="_Toc184312072"/>
      <w:bookmarkEnd w:id="452"/>
      <w:bookmarkStart w:id="453" w:name="_Toc184310289"/>
      <w:bookmarkEnd w:id="453"/>
      <w:bookmarkStart w:id="454" w:name="_Toc184308082"/>
      <w:bookmarkEnd w:id="454"/>
      <w:r>
        <w:rPr>
          <w:rFonts w:hint="eastAsia" w:ascii="宋体" w:hAnsi="宋体" w:cs="宋体"/>
          <w:b/>
          <w:color w:val="auto"/>
          <w:sz w:val="36"/>
          <w:szCs w:val="36"/>
          <w:highlight w:val="none"/>
        </w:rPr>
        <w:t xml:space="preserve"> 评标办法</w:t>
      </w:r>
      <w:bookmarkEnd w:id="88"/>
      <w:bookmarkEnd w:id="89"/>
    </w:p>
    <w:p>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69"/>
        <w:gridCol w:w="1143"/>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69"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评审项目</w:t>
            </w: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评审内容及分值</w:t>
            </w:r>
          </w:p>
        </w:tc>
        <w:tc>
          <w:tcPr>
            <w:tcW w:w="5907"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12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报价部分</w:t>
            </w:r>
          </w:p>
          <w:p>
            <w:pPr>
              <w:spacing w:line="360" w:lineRule="auto"/>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（10分）</w:t>
            </w:r>
          </w:p>
        </w:tc>
        <w:tc>
          <w:tcPr>
            <w:tcW w:w="11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p>
          <w:p>
            <w:pPr>
              <w:spacing w:line="360" w:lineRule="auto"/>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（10分）</w:t>
            </w:r>
          </w:p>
        </w:tc>
        <w:tc>
          <w:tcPr>
            <w:tcW w:w="59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1）投标的全部服务按《政府采购促进中小企业发展管理办法》（财库〔2020〕46号）认定为小型和微型企业承接的服务（提供《中小企业声明函》），对投标价给予20%的扣除，扣除后的价格为评标价，即评标价=投标价×（1-20%）；大中型企业与小微企业组成联合体或者大中型企业向一家或者多家小微企业分包的</w:t>
            </w:r>
            <w:r>
              <w:rPr>
                <w:rFonts w:hint="eastAsia" w:ascii="宋体" w:hAnsi="宋体"/>
                <w:bCs/>
                <w:color w:val="auto"/>
                <w:kern w:val="0"/>
                <w:szCs w:val="21"/>
                <w:highlight w:val="none"/>
                <w:lang w:eastAsia="zh-CN"/>
              </w:rPr>
              <w:t>，</w:t>
            </w:r>
            <w:bookmarkStart w:id="588" w:name="_GoBack"/>
            <w:bookmarkEnd w:id="588"/>
            <w:r>
              <w:rPr>
                <w:rFonts w:hint="eastAsia" w:ascii="宋体" w:hAnsi="宋体"/>
                <w:bCs/>
                <w:color w:val="auto"/>
                <w:kern w:val="0"/>
                <w:szCs w:val="21"/>
                <w:highlight w:val="none"/>
              </w:rPr>
              <w:t>对于联合协议或者分包意向协议约定小微企业的合同份额占到合同总金额30%以上的，对联合体或者大中型企业的报价给予</w:t>
            </w:r>
            <w:r>
              <w:rPr>
                <w:rFonts w:ascii="宋体" w:hAnsi="宋体"/>
                <w:bCs/>
                <w:color w:val="auto"/>
                <w:kern w:val="0"/>
                <w:szCs w:val="21"/>
                <w:highlight w:val="none"/>
              </w:rPr>
              <w:t>6</w:t>
            </w:r>
            <w:r>
              <w:rPr>
                <w:rFonts w:hint="eastAsia" w:ascii="宋体" w:hAnsi="宋体"/>
                <w:bCs/>
                <w:color w:val="auto"/>
                <w:kern w:val="0"/>
                <w:szCs w:val="21"/>
                <w:highlight w:val="none"/>
              </w:rPr>
              <w:t>%的扣除，扣除后的价格为评标价</w:t>
            </w:r>
            <w:r>
              <w:rPr>
                <w:rFonts w:hint="eastAsia" w:ascii="宋体" w:hAnsi="宋体"/>
                <w:bCs/>
                <w:color w:val="auto"/>
                <w:kern w:val="0"/>
                <w:szCs w:val="21"/>
                <w:highlight w:val="none"/>
                <w:lang w:eastAsia="zh-CN"/>
              </w:rPr>
              <w:t>，即评标价=投标价×（1-</w:t>
            </w:r>
            <w:r>
              <w:rPr>
                <w:rFonts w:hint="eastAsia" w:ascii="宋体" w:hAnsi="宋体"/>
                <w:bCs/>
                <w:color w:val="auto"/>
                <w:kern w:val="0"/>
                <w:szCs w:val="21"/>
                <w:highlight w:val="none"/>
                <w:lang w:val="en-US" w:eastAsia="zh-CN"/>
              </w:rPr>
              <w:t>6</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。组成联合体或者接受分包的小微企业与联合体内其他企业、分包企业之间存在直接控股、管理关系的，不享受价格扣除优惠政策。除上述情况外，评标价=投标价。</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投标全部服务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投标全部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spacing w:line="360" w:lineRule="auto"/>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（2）以进入评标的最低的评标价为=10分。</w:t>
            </w:r>
          </w:p>
          <w:p>
            <w:pPr>
              <w:widowControl/>
              <w:snapToGrid w:val="0"/>
              <w:spacing w:line="360" w:lineRule="auto"/>
              <w:ind w:firstLine="420" w:firstLineChars="200"/>
              <w:jc w:val="both"/>
              <w:rPr>
                <w:rFonts w:hint="eastAsia" w:ascii="宋体" w:hAnsi="宋体" w:cs="宋体"/>
                <w:b/>
                <w:color w:val="auto"/>
                <w:sz w:val="21"/>
                <w:szCs w:val="21"/>
                <w:highlight w:val="none"/>
              </w:rPr>
            </w:pPr>
            <w:r>
              <w:rPr>
                <w:rFonts w:hint="eastAsia" w:ascii="宋体" w:hAnsi="宋体"/>
                <w:bCs/>
                <w:color w:val="auto"/>
                <w:kern w:val="0"/>
                <w:szCs w:val="21"/>
                <w:highlight w:val="none"/>
              </w:rPr>
              <w:t>（3）某投标人价格分=投标人最低评标价（金额）/某投标人评标价（金额）×10（分）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restart"/>
            <w:tcBorders>
              <w:top w:val="single" w:color="auto" w:sz="4" w:space="0"/>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69" w:type="dxa"/>
            <w:vMerge w:val="restart"/>
            <w:tcBorders>
              <w:top w:val="single" w:color="auto" w:sz="4" w:space="0"/>
              <w:left w:val="single" w:color="auto" w:sz="4" w:space="0"/>
              <w:right w:val="single" w:color="auto" w:sz="4" w:space="0"/>
            </w:tcBorders>
            <w:vAlign w:val="center"/>
          </w:tcPr>
          <w:p>
            <w:pPr>
              <w:tabs>
                <w:tab w:val="left" w:pos="3612"/>
              </w:tabs>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技术服务方案（59分）</w:t>
            </w: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项目理解方案（15分）</w:t>
            </w:r>
          </w:p>
        </w:tc>
        <w:tc>
          <w:tcPr>
            <w:tcW w:w="5907"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根据</w:t>
            </w:r>
            <w:r>
              <w:rPr>
                <w:rFonts w:hint="eastAsia" w:ascii="宋体" w:hAnsi="宋体" w:cs="宋体"/>
                <w:color w:val="auto"/>
                <w:szCs w:val="21"/>
                <w:highlight w:val="none"/>
              </w:rPr>
              <w:t>项目理解方案</w:t>
            </w:r>
            <w:r>
              <w:rPr>
                <w:rFonts w:hint="eastAsia" w:ascii="宋体" w:hAnsi="宋体" w:eastAsia="宋体" w:cs="宋体"/>
                <w:color w:val="auto"/>
                <w:kern w:val="0"/>
                <w:szCs w:val="21"/>
                <w:highlight w:val="none"/>
                <w:lang w:val="en-US" w:eastAsia="zh-CN" w:bidi="ar"/>
              </w:rPr>
              <w:t>的完整性、准确性、合理性进行综合评分，不提供不得分。</w:t>
            </w:r>
          </w:p>
          <w:p>
            <w:pPr>
              <w:wordWrap w:val="0"/>
              <w:spacing w:line="360" w:lineRule="auto"/>
              <w:rPr>
                <w:rFonts w:hint="eastAsia" w:ascii="宋体" w:hAnsi="宋体" w:eastAsia="宋体" w:cs="宋体"/>
                <w:color w:val="auto"/>
                <w:szCs w:val="21"/>
                <w:highlight w:val="none"/>
              </w:rPr>
            </w:pPr>
            <w:r>
              <w:rPr>
                <w:rFonts w:hint="default" w:ascii="宋体" w:hAnsi="宋体" w:eastAsia="宋体" w:cs="宋体"/>
                <w:color w:val="auto"/>
                <w:szCs w:val="21"/>
                <w:highlight w:val="none"/>
              </w:rPr>
              <w:t>一档（3分）：投标人提供的政务云服务项目理解方案包含建设背景、服务现状、建设思路、服务功能、服务性能理解，方案简单。</w:t>
            </w:r>
          </w:p>
          <w:p>
            <w:pPr>
              <w:wordWrap w:val="0"/>
              <w:spacing w:line="360" w:lineRule="auto"/>
              <w:rPr>
                <w:rFonts w:hint="default" w:ascii="宋体" w:hAnsi="宋体" w:eastAsia="宋体" w:cs="宋体"/>
                <w:color w:val="auto"/>
                <w:szCs w:val="21"/>
                <w:highlight w:val="none"/>
              </w:rPr>
            </w:pPr>
            <w:r>
              <w:rPr>
                <w:rFonts w:hint="default" w:ascii="宋体" w:hAnsi="宋体" w:eastAsia="宋体" w:cs="宋体"/>
                <w:color w:val="auto"/>
                <w:szCs w:val="21"/>
                <w:highlight w:val="none"/>
              </w:rPr>
              <w:t>二档（6分）：投标人提供的政务云服务项目理解方案包含建设背景、服务现状、建设思路、服务对象、业务功能、服务功能、服务性能理解，方案提纲基本齐全，</w:t>
            </w:r>
            <w:r>
              <w:rPr>
                <w:rFonts w:hint="eastAsia" w:ascii="宋体" w:hAnsi="宋体" w:eastAsia="宋体" w:cs="宋体"/>
                <w:color w:val="auto"/>
                <w:szCs w:val="21"/>
                <w:highlight w:val="none"/>
                <w:lang w:val="en-US" w:eastAsia="zh-CN"/>
              </w:rPr>
              <w:t>内容不够完整，</w:t>
            </w:r>
            <w:r>
              <w:rPr>
                <w:rFonts w:hint="default" w:ascii="宋体" w:hAnsi="宋体" w:eastAsia="宋体" w:cs="宋体"/>
                <w:color w:val="auto"/>
                <w:szCs w:val="21"/>
                <w:highlight w:val="none"/>
              </w:rPr>
              <w:t>基本符合政务云服务实际需求。</w:t>
            </w:r>
          </w:p>
          <w:p>
            <w:pPr>
              <w:wordWrap w:val="0"/>
              <w:spacing w:line="360" w:lineRule="auto"/>
              <w:rPr>
                <w:rFonts w:hint="default" w:ascii="宋体" w:hAnsi="宋体" w:eastAsia="宋体" w:cs="宋体"/>
                <w:color w:val="auto"/>
                <w:szCs w:val="21"/>
                <w:highlight w:val="none"/>
              </w:rPr>
            </w:pPr>
            <w:r>
              <w:rPr>
                <w:rFonts w:hint="default" w:ascii="宋体" w:hAnsi="宋体" w:eastAsia="宋体" w:cs="宋体"/>
                <w:color w:val="auto"/>
                <w:szCs w:val="21"/>
                <w:highlight w:val="none"/>
              </w:rPr>
              <w:t>三档（9分）：投标人提供的政务云服务项目理解方案包含建设背景、服务现状、建设思路、服务对象、业务功能、业务流程、服务功能、服务性能理解，思路</w:t>
            </w:r>
            <w:r>
              <w:rPr>
                <w:rFonts w:hint="eastAsia" w:ascii="宋体" w:hAnsi="宋体" w:eastAsia="宋体" w:cs="宋体"/>
                <w:color w:val="auto"/>
                <w:szCs w:val="21"/>
                <w:highlight w:val="none"/>
                <w:lang w:val="en-US" w:eastAsia="zh-CN"/>
              </w:rPr>
              <w:t>基本</w:t>
            </w:r>
            <w:r>
              <w:rPr>
                <w:rFonts w:hint="default" w:ascii="宋体" w:hAnsi="宋体" w:eastAsia="宋体" w:cs="宋体"/>
                <w:color w:val="auto"/>
                <w:szCs w:val="21"/>
                <w:highlight w:val="none"/>
              </w:rPr>
              <w:t>清晰，方案提纲</w:t>
            </w:r>
            <w:r>
              <w:rPr>
                <w:rFonts w:hint="eastAsia" w:ascii="宋体" w:hAnsi="宋体" w:eastAsia="宋体" w:cs="宋体"/>
                <w:color w:val="auto"/>
                <w:szCs w:val="21"/>
                <w:highlight w:val="none"/>
                <w:lang w:val="en-US" w:eastAsia="zh-CN"/>
              </w:rPr>
              <w:t>基本齐全</w:t>
            </w:r>
            <w:r>
              <w:rPr>
                <w:rFonts w:hint="default"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内容比较完整，方案有一定的合理性，</w:t>
            </w:r>
            <w:r>
              <w:rPr>
                <w:rFonts w:hint="default" w:ascii="宋体" w:hAnsi="宋体" w:eastAsia="宋体" w:cs="宋体"/>
                <w:color w:val="auto"/>
                <w:szCs w:val="21"/>
                <w:highlight w:val="none"/>
              </w:rPr>
              <w:t>基本符合政务云服务实际需求。</w:t>
            </w:r>
          </w:p>
          <w:p>
            <w:pPr>
              <w:wordWrap w:val="0"/>
              <w:spacing w:line="360" w:lineRule="auto"/>
              <w:rPr>
                <w:rFonts w:hint="default" w:ascii="宋体" w:hAnsi="宋体" w:eastAsia="宋体" w:cs="宋体"/>
                <w:color w:val="auto"/>
                <w:szCs w:val="21"/>
                <w:highlight w:val="none"/>
              </w:rPr>
            </w:pPr>
            <w:r>
              <w:rPr>
                <w:rFonts w:hint="default" w:ascii="宋体" w:hAnsi="宋体" w:eastAsia="宋体" w:cs="宋体"/>
                <w:color w:val="auto"/>
                <w:szCs w:val="21"/>
                <w:highlight w:val="none"/>
              </w:rPr>
              <w:t>四档（12分）：投标人提供的政务云服务项目理解方案包含建设背景、服务现状、建设思路、服务对象、业务功能、业务流程、服务功能、服务性能、总体框架、架构理解，思路</w:t>
            </w:r>
            <w:r>
              <w:rPr>
                <w:rFonts w:hint="eastAsia" w:ascii="宋体" w:hAnsi="宋体" w:eastAsia="宋体" w:cs="宋体"/>
                <w:color w:val="auto"/>
                <w:szCs w:val="21"/>
                <w:highlight w:val="none"/>
                <w:lang w:val="en-US" w:eastAsia="zh-CN"/>
              </w:rPr>
              <w:t>比较</w:t>
            </w:r>
            <w:r>
              <w:rPr>
                <w:rFonts w:hint="default" w:ascii="宋体" w:hAnsi="宋体" w:eastAsia="宋体" w:cs="宋体"/>
                <w:color w:val="auto"/>
                <w:szCs w:val="21"/>
                <w:highlight w:val="none"/>
              </w:rPr>
              <w:t>清晰，方案</w:t>
            </w:r>
            <w:r>
              <w:rPr>
                <w:rFonts w:hint="eastAsia" w:ascii="宋体" w:hAnsi="宋体" w:eastAsia="宋体" w:cs="宋体"/>
                <w:color w:val="auto"/>
                <w:szCs w:val="21"/>
                <w:highlight w:val="none"/>
                <w:lang w:val="en-US" w:eastAsia="zh-CN"/>
              </w:rPr>
              <w:t>比较</w:t>
            </w:r>
            <w:r>
              <w:rPr>
                <w:rFonts w:hint="default" w:ascii="宋体" w:hAnsi="宋体" w:eastAsia="宋体" w:cs="宋体"/>
                <w:color w:val="auto"/>
                <w:szCs w:val="21"/>
                <w:highlight w:val="none"/>
              </w:rPr>
              <w:t>合理，方案章节清晰，内容</w:t>
            </w:r>
            <w:r>
              <w:rPr>
                <w:rFonts w:hint="eastAsia" w:ascii="宋体" w:hAnsi="宋体" w:eastAsia="宋体" w:cs="宋体"/>
                <w:color w:val="auto"/>
                <w:szCs w:val="21"/>
                <w:highlight w:val="none"/>
                <w:lang w:val="en-US" w:eastAsia="zh-CN"/>
              </w:rPr>
              <w:t>比较</w:t>
            </w:r>
            <w:r>
              <w:rPr>
                <w:rFonts w:hint="default" w:ascii="宋体" w:hAnsi="宋体" w:eastAsia="宋体" w:cs="宋体"/>
                <w:color w:val="auto"/>
                <w:szCs w:val="21"/>
                <w:highlight w:val="none"/>
              </w:rPr>
              <w:t>完整，符合政务云服务实际需求。</w:t>
            </w:r>
          </w:p>
          <w:p>
            <w:pPr>
              <w:wordWrap w:val="0"/>
              <w:spacing w:line="360" w:lineRule="auto"/>
              <w:rPr>
                <w:rFonts w:hint="eastAsia" w:ascii="宋体" w:hAnsi="宋体" w:cs="宋体"/>
                <w:color w:val="auto"/>
                <w:sz w:val="21"/>
                <w:szCs w:val="21"/>
                <w:highlight w:val="none"/>
              </w:rPr>
            </w:pPr>
            <w:r>
              <w:rPr>
                <w:rFonts w:hint="default" w:ascii="宋体" w:hAnsi="宋体" w:eastAsia="宋体" w:cs="宋体"/>
                <w:color w:val="auto"/>
                <w:szCs w:val="21"/>
                <w:highlight w:val="none"/>
              </w:rPr>
              <w:t>五档（15分）：投标人提供的政务云服务项目理解方案包含建设背景、服务现状、建设思路、服务对象、业务功能、业务流程、服务功能、服务性能、总体框架、架构及各服务组件理解，思路清晰，表述严谨简练，建设内容重点突出明确，方案提纲详细、章节完整详细、描述准确，完全符合政务云服务实际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269"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监理工作管理方案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32分</w:t>
            </w:r>
            <w:r>
              <w:rPr>
                <w:rFonts w:hint="eastAsia" w:ascii="宋体" w:hAnsi="宋体" w:cs="宋体"/>
                <w:color w:val="auto"/>
                <w:sz w:val="21"/>
                <w:szCs w:val="21"/>
                <w:highlight w:val="none"/>
                <w:lang w:eastAsia="zh-CN"/>
              </w:rPr>
              <w:t>）</w:t>
            </w:r>
          </w:p>
        </w:tc>
        <w:tc>
          <w:tcPr>
            <w:tcW w:w="5907"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jc w:val="both"/>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根据</w:t>
            </w:r>
            <w:r>
              <w:rPr>
                <w:rFonts w:hint="eastAsia" w:ascii="宋体" w:hAnsi="宋体" w:cs="宋体"/>
                <w:color w:val="auto"/>
                <w:szCs w:val="21"/>
                <w:highlight w:val="none"/>
              </w:rPr>
              <w:t>项目理解方案</w:t>
            </w:r>
            <w:r>
              <w:rPr>
                <w:rFonts w:hint="eastAsia" w:ascii="宋体" w:hAnsi="宋体" w:eastAsia="宋体" w:cs="宋体"/>
                <w:color w:val="auto"/>
                <w:kern w:val="0"/>
                <w:szCs w:val="21"/>
                <w:highlight w:val="none"/>
                <w:lang w:val="en-US" w:eastAsia="zh-CN" w:bidi="ar"/>
              </w:rPr>
              <w:t>的完整性、可行性、合理性进行综合评分，不提供不得分。</w:t>
            </w:r>
          </w:p>
          <w:p>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分）：投标人针对本项目制定工作计划和组织架构，提供具体的监理工作制度及工作程序，具有明确的工作方法及措施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方案简单，可行性较差</w:t>
            </w:r>
            <w:r>
              <w:rPr>
                <w:rFonts w:hint="eastAsia" w:ascii="宋体" w:hAnsi="宋体" w:cs="宋体"/>
                <w:color w:val="auto"/>
                <w:szCs w:val="21"/>
                <w:highlight w:val="none"/>
              </w:rPr>
              <w:t>。</w:t>
            </w:r>
          </w:p>
          <w:p>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分）：在一档基础上，方案提出的工作方法及措施涵盖需求分析阶段、实施阶段、试运行阶段、验收阶段等监理工作内容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方案比较完整、全面，思路比较清晰，有一定的可行性，基本符合项目需求</w:t>
            </w:r>
            <w:r>
              <w:rPr>
                <w:rFonts w:hint="eastAsia" w:ascii="宋体" w:hAnsi="宋体" w:cs="宋体"/>
                <w:color w:val="auto"/>
                <w:szCs w:val="21"/>
                <w:highlight w:val="none"/>
              </w:rPr>
              <w:t>。</w:t>
            </w:r>
          </w:p>
          <w:p>
            <w:pPr>
              <w:wordWrap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三档（2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分）：在二档基础上，方案提出的控制方案涵盖合同管理控制、组织协调控制、知识产权控制、知识产权保护控制、项目验收控制方案及措施等内容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方案比较完整、全面，思路清晰，</w:t>
            </w:r>
            <w:r>
              <w:rPr>
                <w:rFonts w:hint="eastAsia" w:ascii="宋体" w:hAnsi="宋体" w:eastAsia="宋体" w:cs="宋体"/>
                <w:color w:val="auto"/>
                <w:szCs w:val="21"/>
                <w:highlight w:val="none"/>
              </w:rPr>
              <w:t>表述严谨简练，内容重点突出明确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可行性较强，符合项目需求</w:t>
            </w:r>
            <w:r>
              <w:rPr>
                <w:rFonts w:hint="eastAsia" w:ascii="宋体" w:hAnsi="宋体" w:eastAsia="宋体" w:cs="宋体"/>
                <w:color w:val="auto"/>
                <w:szCs w:val="21"/>
                <w:highlight w:val="none"/>
              </w:rPr>
              <w:t>。</w:t>
            </w:r>
          </w:p>
          <w:p>
            <w:pPr>
              <w:tabs>
                <w:tab w:val="left" w:pos="3612"/>
              </w:tabs>
              <w:spacing w:line="360" w:lineRule="auto"/>
              <w:jc w:val="both"/>
              <w:rPr>
                <w:rFonts w:hint="eastAsia" w:ascii="宋体" w:hAnsi="宋体" w:cs="宋体"/>
                <w:color w:val="auto"/>
                <w:sz w:val="21"/>
                <w:szCs w:val="21"/>
                <w:highlight w:val="none"/>
              </w:rPr>
            </w:pPr>
            <w:r>
              <w:rPr>
                <w:rFonts w:hint="eastAsia" w:ascii="宋体" w:hAnsi="宋体" w:cs="宋体"/>
                <w:color w:val="auto"/>
                <w:szCs w:val="21"/>
                <w:highlight w:val="none"/>
              </w:rPr>
              <w:t>四档（3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分）：在三档基础上，方案针对本项目提出了具体的监理服务保障措施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合理化建议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方案完整、全面，思路清晰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表述严谨简练，内容重点突出明确，方案提纲详细、章节完整详细，完全符合实际需求</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continue"/>
            <w:tcBorders>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269"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后续服务方案（12分）</w:t>
            </w:r>
          </w:p>
        </w:tc>
        <w:tc>
          <w:tcPr>
            <w:tcW w:w="5907" w:type="dxa"/>
            <w:tcBorders>
              <w:top w:val="single" w:color="auto" w:sz="4" w:space="0"/>
              <w:left w:val="single" w:color="auto" w:sz="4" w:space="0"/>
              <w:bottom w:val="single" w:color="auto" w:sz="4" w:space="0"/>
              <w:right w:val="single" w:color="auto" w:sz="4" w:space="0"/>
            </w:tcBorders>
            <w:vAlign w:val="center"/>
          </w:tcPr>
          <w:p>
            <w:pPr>
              <w:wordWrap w:val="0"/>
              <w:adjustRightInd w:val="0"/>
              <w:snapToGrid w:val="0"/>
              <w:spacing w:line="360" w:lineRule="auto"/>
              <w:jc w:val="both"/>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根据后续服务方案的完整性、可行性、合理性进行综合评分，不提供不得分。</w:t>
            </w:r>
          </w:p>
          <w:p>
            <w:pPr>
              <w:wordWrap w:val="0"/>
              <w:spacing w:line="360" w:lineRule="auto"/>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一档（</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投标人提供的</w:t>
            </w:r>
            <w:r>
              <w:rPr>
                <w:rFonts w:hint="eastAsia" w:ascii="宋体" w:hAnsi="宋体" w:cs="宋体"/>
                <w:color w:val="auto"/>
                <w:szCs w:val="21"/>
                <w:highlight w:val="none"/>
              </w:rPr>
              <w:t>后续服务方案</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后续服务承诺、服务内容，</w:t>
            </w:r>
            <w:r>
              <w:rPr>
                <w:rFonts w:hint="eastAsia" w:ascii="宋体" w:hAnsi="宋体" w:cs="宋体"/>
                <w:color w:val="auto"/>
                <w:szCs w:val="21"/>
                <w:highlight w:val="none"/>
                <w:lang w:val="en-US" w:eastAsia="zh-CN"/>
              </w:rPr>
              <w:t>方案简单，可行性差</w:t>
            </w:r>
            <w:r>
              <w:rPr>
                <w:rFonts w:hint="eastAsia" w:ascii="宋体" w:hAnsi="宋体" w:cs="宋体"/>
                <w:color w:val="auto"/>
                <w:szCs w:val="21"/>
                <w:highlight w:val="none"/>
                <w:lang w:eastAsia="zh-CN"/>
              </w:rPr>
              <w:t>。</w:t>
            </w:r>
          </w:p>
          <w:p>
            <w:pPr>
              <w:wordWrap w:val="0"/>
              <w:spacing w:line="360" w:lineRule="auto"/>
              <w:jc w:val="both"/>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二档（</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投标人提供的</w:t>
            </w:r>
            <w:r>
              <w:rPr>
                <w:rFonts w:hint="eastAsia" w:ascii="宋体" w:hAnsi="宋体" w:cs="宋体"/>
                <w:color w:val="auto"/>
                <w:szCs w:val="21"/>
                <w:highlight w:val="none"/>
              </w:rPr>
              <w:t>后续服务方案</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后续服务承诺、服务内容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服务流程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方案比较完整，</w:t>
            </w:r>
            <w:r>
              <w:rPr>
                <w:rFonts w:hint="eastAsia" w:ascii="宋体" w:hAnsi="宋体" w:cs="宋体"/>
                <w:bCs/>
                <w:color w:val="auto"/>
                <w:kern w:val="0"/>
                <w:szCs w:val="21"/>
                <w:highlight w:val="none"/>
                <w:lang w:val="en-US" w:eastAsia="zh-CN"/>
              </w:rPr>
              <w:t>基本符合项目需求，有一定的可行性</w:t>
            </w:r>
            <w:r>
              <w:rPr>
                <w:rFonts w:hint="eastAsia" w:ascii="宋体" w:hAnsi="宋体" w:cs="宋体"/>
                <w:color w:val="auto"/>
                <w:szCs w:val="21"/>
                <w:highlight w:val="none"/>
                <w:lang w:eastAsia="zh-CN"/>
              </w:rPr>
              <w:t>。</w:t>
            </w:r>
          </w:p>
          <w:p>
            <w:pPr>
              <w:wordWrap w:val="0"/>
              <w:spacing w:line="360" w:lineRule="auto"/>
              <w:jc w:val="both"/>
              <w:rPr>
                <w:rFonts w:hint="default" w:eastAsia="宋体"/>
                <w:color w:val="auto"/>
                <w:highlight w:val="none"/>
                <w:lang w:val="en-US" w:eastAsia="zh-CN"/>
              </w:rPr>
            </w:pPr>
            <w:r>
              <w:rPr>
                <w:rFonts w:hint="eastAsia" w:ascii="宋体" w:hAnsi="宋体" w:cs="宋体"/>
                <w:color w:val="auto"/>
                <w:szCs w:val="21"/>
                <w:highlight w:val="none"/>
                <w:lang w:val="en-US" w:eastAsia="zh-CN"/>
              </w:rPr>
              <w:t>三档（9分）：投标人提供的</w:t>
            </w:r>
            <w:r>
              <w:rPr>
                <w:rFonts w:hint="eastAsia" w:ascii="宋体" w:hAnsi="宋体" w:cs="宋体"/>
                <w:color w:val="auto"/>
                <w:szCs w:val="21"/>
                <w:highlight w:val="none"/>
              </w:rPr>
              <w:t>后续服务方案</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后续服务承诺、服务内容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服务流程、应急响应与处置方案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方案比较完整、可行性较强，</w:t>
            </w:r>
            <w:r>
              <w:rPr>
                <w:rFonts w:hint="eastAsia" w:ascii="宋体" w:hAnsi="宋体" w:cs="宋体"/>
                <w:bCs/>
                <w:color w:val="auto"/>
                <w:kern w:val="0"/>
                <w:szCs w:val="21"/>
                <w:highlight w:val="none"/>
                <w:lang w:val="en-US" w:eastAsia="zh-CN"/>
              </w:rPr>
              <w:t>内容比较合理，符合项目需求</w:t>
            </w:r>
            <w:r>
              <w:rPr>
                <w:rFonts w:hint="eastAsia" w:ascii="宋体" w:hAnsi="宋体" w:cs="宋体"/>
                <w:color w:val="auto"/>
                <w:szCs w:val="21"/>
                <w:highlight w:val="none"/>
                <w:lang w:eastAsia="zh-CN"/>
              </w:rPr>
              <w:t>。</w:t>
            </w:r>
          </w:p>
          <w:p>
            <w:pPr>
              <w:tabs>
                <w:tab w:val="left" w:pos="3612"/>
              </w:tabs>
              <w:spacing w:line="360" w:lineRule="auto"/>
              <w:jc w:val="both"/>
              <w:rPr>
                <w:rFonts w:hint="eastAsia" w:ascii="宋体" w:hAnsi="宋体" w:cs="宋体"/>
                <w:color w:val="auto"/>
                <w:sz w:val="21"/>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档（1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val="en-US" w:eastAsia="zh-CN"/>
              </w:rPr>
              <w:t>投标人提供的</w:t>
            </w:r>
            <w:r>
              <w:rPr>
                <w:rFonts w:hint="eastAsia" w:ascii="宋体" w:hAnsi="宋体" w:cs="宋体"/>
                <w:color w:val="auto"/>
                <w:szCs w:val="21"/>
                <w:highlight w:val="none"/>
              </w:rPr>
              <w:t>后续服务方案</w:t>
            </w:r>
            <w:r>
              <w:rPr>
                <w:rFonts w:hint="eastAsia" w:ascii="宋体" w:hAnsi="宋体" w:cs="宋体"/>
                <w:color w:val="auto"/>
                <w:szCs w:val="21"/>
                <w:highlight w:val="none"/>
                <w:lang w:val="en-US" w:eastAsia="zh-CN"/>
              </w:rPr>
              <w:t>包含</w:t>
            </w:r>
            <w:r>
              <w:rPr>
                <w:rFonts w:hint="eastAsia" w:ascii="宋体" w:hAnsi="宋体" w:cs="宋体"/>
                <w:color w:val="auto"/>
                <w:szCs w:val="21"/>
                <w:highlight w:val="none"/>
              </w:rPr>
              <w:t>后续服务承诺、服务内容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服务流程、应急响应与处置方案</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本地化服务方案、培训服务方案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方案完整、可行性、针对性强，</w:t>
            </w:r>
            <w:r>
              <w:rPr>
                <w:rFonts w:hint="eastAsia" w:ascii="宋体" w:hAnsi="宋体" w:cs="宋体"/>
                <w:bCs/>
                <w:color w:val="auto"/>
                <w:kern w:val="0"/>
                <w:szCs w:val="21"/>
                <w:highlight w:val="none"/>
                <w:lang w:val="en-US" w:eastAsia="zh-CN"/>
              </w:rPr>
              <w:t>内容合理，完全符合项目需求。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restart"/>
            <w:tcBorders>
              <w:top w:val="single" w:color="auto" w:sz="4" w:space="0"/>
              <w:left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69" w:type="dxa"/>
            <w:vMerge w:val="restart"/>
            <w:tcBorders>
              <w:left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团队人员</w:t>
            </w:r>
          </w:p>
          <w:p>
            <w:pPr>
              <w:pStyle w:val="2"/>
              <w:rPr>
                <w:rFonts w:hint="default"/>
                <w:color w:val="auto"/>
                <w:highlight w:val="none"/>
                <w:lang w:val="en-US" w:eastAsia="zh-CN"/>
              </w:rPr>
            </w:pPr>
            <w:r>
              <w:rPr>
                <w:rFonts w:hint="eastAsia" w:ascii="宋体" w:hAnsi="宋体" w:cs="宋体"/>
                <w:color w:val="auto"/>
                <w:sz w:val="21"/>
                <w:szCs w:val="21"/>
                <w:highlight w:val="none"/>
                <w:lang w:val="en-US" w:eastAsia="zh-CN"/>
              </w:rPr>
              <w:t>（21分）</w:t>
            </w: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项目总监理工程师（满分</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c>
          <w:tcPr>
            <w:tcW w:w="59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hint="eastAsia"/>
                <w:color w:val="auto"/>
                <w:highlight w:val="none"/>
                <w:lang w:eastAsia="zh-CN"/>
              </w:rPr>
            </w:pPr>
            <w:r>
              <w:rPr>
                <w:rFonts w:hint="eastAsia" w:ascii="宋体" w:hAnsi="宋体" w:cs="Times New Roman"/>
                <w:color w:val="auto"/>
                <w:szCs w:val="24"/>
                <w:highlight w:val="none"/>
                <w:lang w:eastAsia="zh-CN"/>
              </w:rPr>
              <w:t>（</w:t>
            </w:r>
            <w:r>
              <w:rPr>
                <w:rFonts w:hint="eastAsia" w:ascii="宋体" w:hAnsi="宋体" w:cs="Times New Roman"/>
                <w:color w:val="auto"/>
                <w:szCs w:val="24"/>
                <w:highlight w:val="none"/>
                <w:lang w:val="en-US" w:eastAsia="zh-CN"/>
              </w:rPr>
              <w:t>1</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拟投入本项目的总监理工程师</w:t>
            </w:r>
            <w:r>
              <w:rPr>
                <w:rFonts w:hint="eastAsia" w:ascii="宋体" w:hAnsi="宋体" w:eastAsia="宋体" w:cs="Times New Roman"/>
                <w:color w:val="auto"/>
                <w:szCs w:val="24"/>
                <w:highlight w:val="none"/>
                <w:lang w:val="en-US" w:eastAsia="zh-CN"/>
              </w:rPr>
              <w:t>具有</w:t>
            </w:r>
            <w:r>
              <w:rPr>
                <w:rFonts w:hint="eastAsia" w:ascii="宋体" w:hAnsi="宋体" w:eastAsia="宋体" w:cs="Times New Roman"/>
                <w:color w:val="auto"/>
                <w:szCs w:val="24"/>
                <w:highlight w:val="none"/>
              </w:rPr>
              <w:t>高级职称（专业：计算机类或通信工程类或邮电类）</w:t>
            </w:r>
            <w:r>
              <w:rPr>
                <w:rFonts w:hint="eastAsia" w:ascii="宋体" w:hAnsi="宋体" w:cs="Times New Roman"/>
                <w:color w:val="auto"/>
                <w:szCs w:val="24"/>
                <w:highlight w:val="none"/>
                <w:lang w:eastAsia="zh-CN"/>
              </w:rPr>
              <w:t>的</w:t>
            </w:r>
            <w:r>
              <w:rPr>
                <w:rFonts w:hint="eastAsia" w:ascii="宋体" w:hAnsi="宋体" w:cs="Times New Roman"/>
                <w:color w:val="auto"/>
                <w:szCs w:val="24"/>
                <w:highlight w:val="none"/>
                <w:lang w:val="en-US" w:eastAsia="zh-CN"/>
              </w:rPr>
              <w:t>得1分。</w:t>
            </w:r>
          </w:p>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拟投入本项目的总监理工程师</w:t>
            </w:r>
            <w:r>
              <w:rPr>
                <w:rFonts w:hint="eastAsia" w:ascii="宋体" w:hAnsi="宋体" w:eastAsia="宋体" w:cs="Times New Roman"/>
                <w:color w:val="auto"/>
                <w:szCs w:val="24"/>
                <w:highlight w:val="none"/>
                <w:lang w:val="en-US" w:eastAsia="zh-CN"/>
              </w:rPr>
              <w:t>具有6</w:t>
            </w:r>
            <w:r>
              <w:rPr>
                <w:rFonts w:hint="eastAsia" w:ascii="宋体" w:hAnsi="宋体" w:eastAsia="宋体" w:cs="Times New Roman"/>
                <w:color w:val="auto"/>
                <w:szCs w:val="24"/>
                <w:highlight w:val="none"/>
                <w:lang w:eastAsia="zh-CN"/>
              </w:rPr>
              <w:t xml:space="preserve"> 年以上信息系统工程监理行业经验</w:t>
            </w:r>
            <w:r>
              <w:rPr>
                <w:rFonts w:hint="eastAsia" w:ascii="宋体" w:hAnsi="宋体" w:cs="Times New Roman"/>
                <w:color w:val="auto"/>
                <w:szCs w:val="24"/>
                <w:highlight w:val="none"/>
                <w:lang w:eastAsia="zh-CN"/>
              </w:rPr>
              <w:t>的</w:t>
            </w:r>
            <w:r>
              <w:rPr>
                <w:rFonts w:hint="eastAsia" w:ascii="宋体" w:hAnsi="宋体" w:cs="Times New Roman"/>
                <w:color w:val="auto"/>
                <w:szCs w:val="24"/>
                <w:highlight w:val="none"/>
                <w:lang w:val="en-US" w:eastAsia="zh-CN"/>
              </w:rPr>
              <w:t>得1分</w:t>
            </w:r>
            <w:r>
              <w:rPr>
                <w:rFonts w:hint="eastAsia" w:ascii="宋体" w:hAnsi="宋体" w:eastAsia="宋体" w:cs="Times New Roman"/>
                <w:color w:val="auto"/>
                <w:szCs w:val="24"/>
                <w:highlight w:val="none"/>
                <w:lang w:eastAsia="zh-CN"/>
              </w:rPr>
              <w:t>（以取得人社部和工信部联合颁发的信息系统监理师证书时间为准）</w:t>
            </w:r>
            <w:r>
              <w:rPr>
                <w:rFonts w:hint="eastAsia" w:ascii="宋体" w:hAnsi="宋体" w:eastAsia="宋体" w:cs="Times New Roman"/>
                <w:color w:val="auto"/>
                <w:szCs w:val="24"/>
                <w:highlight w:val="none"/>
                <w:lang w:val="en-US" w:eastAsia="zh-CN"/>
              </w:rPr>
              <w:t>。</w:t>
            </w:r>
          </w:p>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拟投入本项目的总监理工程师</w:t>
            </w:r>
            <w:r>
              <w:rPr>
                <w:rFonts w:hint="eastAsia" w:ascii="宋体" w:hAnsi="宋体" w:eastAsia="宋体" w:cs="Times New Roman"/>
                <w:color w:val="auto"/>
                <w:szCs w:val="24"/>
                <w:highlight w:val="none"/>
                <w:lang w:val="en-US" w:eastAsia="zh-CN"/>
              </w:rPr>
              <w:t>具</w:t>
            </w:r>
            <w:r>
              <w:rPr>
                <w:rFonts w:hint="eastAsia" w:ascii="宋体" w:hAnsi="宋体" w:eastAsia="宋体" w:cs="Times New Roman"/>
                <w:color w:val="auto"/>
                <w:szCs w:val="24"/>
                <w:highlight w:val="none"/>
              </w:rPr>
              <w:t>有</w:t>
            </w:r>
            <w:r>
              <w:rPr>
                <w:rFonts w:hint="eastAsia" w:ascii="宋体" w:hAnsi="宋体" w:eastAsia="宋体" w:cs="Times New Roman"/>
                <w:color w:val="auto"/>
                <w:szCs w:val="24"/>
                <w:highlight w:val="none"/>
                <w:lang w:val="en-US" w:eastAsia="zh-CN"/>
              </w:rPr>
              <w:t>中华人民共和国咨询工程师（投资）登记证书[专业：电子、信息工程（含通信、广电、信息化）]的</w:t>
            </w:r>
            <w:r>
              <w:rPr>
                <w:rFonts w:hint="eastAsia" w:ascii="宋体" w:hAnsi="宋体" w:eastAsia="宋体" w:cs="Times New Roman"/>
                <w:color w:val="auto"/>
                <w:szCs w:val="24"/>
                <w:highlight w:val="none"/>
                <w:lang w:eastAsia="zh-CN"/>
              </w:rPr>
              <w:t>得</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lang w:eastAsia="zh-CN"/>
              </w:rPr>
              <w:t>分</w:t>
            </w:r>
            <w:r>
              <w:rPr>
                <w:rFonts w:hint="eastAsia" w:ascii="宋体" w:hAnsi="宋体" w:eastAsia="宋体" w:cs="Times New Roman"/>
                <w:color w:val="auto"/>
                <w:szCs w:val="24"/>
                <w:highlight w:val="none"/>
                <w:lang w:val="en-US" w:eastAsia="zh-CN"/>
              </w:rPr>
              <w:t>；</w:t>
            </w:r>
          </w:p>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拟投入本项目的总监理工程师</w:t>
            </w:r>
            <w:r>
              <w:rPr>
                <w:rFonts w:hint="eastAsia" w:ascii="宋体" w:hAnsi="宋体" w:eastAsia="宋体" w:cs="Times New Roman"/>
                <w:color w:val="auto"/>
                <w:szCs w:val="24"/>
                <w:highlight w:val="none"/>
                <w:lang w:val="en-US" w:eastAsia="zh-CN"/>
              </w:rPr>
              <w:t>具</w:t>
            </w:r>
            <w:r>
              <w:rPr>
                <w:rFonts w:hint="eastAsia" w:ascii="宋体" w:hAnsi="宋体" w:eastAsia="宋体" w:cs="Times New Roman"/>
                <w:color w:val="auto"/>
                <w:szCs w:val="24"/>
                <w:highlight w:val="none"/>
              </w:rPr>
              <w:t>有</w:t>
            </w:r>
            <w:r>
              <w:rPr>
                <w:rFonts w:hint="eastAsia" w:ascii="宋体" w:hAnsi="宋体" w:eastAsia="宋体" w:cs="Times New Roman"/>
                <w:color w:val="auto"/>
                <w:szCs w:val="24"/>
                <w:highlight w:val="none"/>
                <w:lang w:val="en-US" w:eastAsia="zh-CN"/>
              </w:rPr>
              <w:t>系统集成项目管理工程师或信息系统项目管理师证书</w:t>
            </w:r>
            <w:r>
              <w:rPr>
                <w:rFonts w:hint="eastAsia" w:ascii="宋体" w:hAnsi="宋体" w:eastAsia="宋体" w:cs="Times New Roman"/>
                <w:color w:val="auto"/>
                <w:szCs w:val="24"/>
                <w:highlight w:val="none"/>
                <w:lang w:eastAsia="zh-CN"/>
              </w:rPr>
              <w:t>得</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lang w:eastAsia="zh-CN"/>
              </w:rPr>
              <w:t>分</w:t>
            </w:r>
            <w:r>
              <w:rPr>
                <w:rFonts w:hint="eastAsia" w:ascii="宋体" w:hAnsi="宋体" w:eastAsia="宋体" w:cs="Times New Roman"/>
                <w:color w:val="auto"/>
                <w:szCs w:val="24"/>
                <w:highlight w:val="none"/>
                <w:lang w:val="en-US" w:eastAsia="zh-CN"/>
              </w:rPr>
              <w:t>；</w:t>
            </w:r>
          </w:p>
          <w:p>
            <w:pPr>
              <w:spacing w:line="360" w:lineRule="auto"/>
              <w:ind w:firstLine="420" w:firstLineChars="200"/>
              <w:jc w:val="both"/>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拟投入本项目的总监理工程师</w:t>
            </w:r>
            <w:r>
              <w:rPr>
                <w:rFonts w:hint="eastAsia" w:ascii="宋体" w:hAnsi="宋体" w:eastAsia="宋体" w:cs="Times New Roman"/>
                <w:color w:val="auto"/>
                <w:szCs w:val="24"/>
                <w:highlight w:val="none"/>
                <w:lang w:val="en-US" w:eastAsia="zh-CN"/>
              </w:rPr>
              <w:t>具</w:t>
            </w:r>
            <w:r>
              <w:rPr>
                <w:rFonts w:hint="eastAsia" w:ascii="宋体" w:hAnsi="宋体" w:eastAsia="宋体" w:cs="Times New Roman"/>
                <w:color w:val="auto"/>
                <w:szCs w:val="24"/>
                <w:highlight w:val="none"/>
              </w:rPr>
              <w:t>有</w:t>
            </w:r>
            <w:r>
              <w:rPr>
                <w:rFonts w:hint="eastAsia" w:ascii="宋体" w:hAnsi="宋体" w:eastAsia="宋体" w:cs="Times New Roman"/>
                <w:color w:val="auto"/>
                <w:szCs w:val="24"/>
                <w:highlight w:val="none"/>
                <w:lang w:val="en-US" w:eastAsia="zh-CN"/>
              </w:rPr>
              <w:t>注册信息安全专业人员（CISP）证书</w:t>
            </w:r>
            <w:r>
              <w:rPr>
                <w:rFonts w:hint="eastAsia" w:ascii="宋体" w:hAnsi="宋体" w:eastAsia="宋体" w:cs="Times New Roman"/>
                <w:color w:val="auto"/>
                <w:szCs w:val="24"/>
                <w:highlight w:val="none"/>
                <w:lang w:eastAsia="zh-CN"/>
              </w:rPr>
              <w:t>得</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lang w:eastAsia="zh-CN"/>
              </w:rPr>
              <w:t>分。</w:t>
            </w:r>
          </w:p>
          <w:p>
            <w:pPr>
              <w:spacing w:line="360" w:lineRule="auto"/>
              <w:ind w:firstLine="420" w:firstLineChars="200"/>
              <w:jc w:val="both"/>
              <w:rPr>
                <w:rFonts w:hint="eastAsia" w:ascii="宋体" w:hAnsi="宋体" w:eastAsia="宋体" w:cs="Times New Roman"/>
                <w:color w:val="auto"/>
                <w:szCs w:val="24"/>
                <w:highlight w:val="none"/>
                <w:lang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总监理工程师2020年1月1日至投标截止时间有担任过同类</w:t>
            </w:r>
            <w:r>
              <w:rPr>
                <w:rFonts w:hint="eastAsia" w:ascii="宋体" w:hAnsi="宋体" w:eastAsia="宋体" w:cs="Times New Roman"/>
                <w:color w:val="auto"/>
                <w:szCs w:val="24"/>
                <w:highlight w:val="none"/>
                <w:lang w:eastAsia="zh-CN"/>
              </w:rPr>
              <w:t>项目工作经验(中标通知书或合同协议书或竣工验收报告上体现出</w:t>
            </w:r>
            <w:r>
              <w:rPr>
                <w:rFonts w:hint="eastAsia" w:ascii="宋体" w:hAnsi="宋体" w:cs="Times New Roman"/>
                <w:color w:val="auto"/>
                <w:szCs w:val="24"/>
                <w:highlight w:val="none"/>
                <w:lang w:eastAsia="zh-CN"/>
              </w:rPr>
              <w:t>总监理工程师</w:t>
            </w:r>
            <w:r>
              <w:rPr>
                <w:rFonts w:hint="eastAsia" w:ascii="宋体" w:hAnsi="宋体" w:eastAsia="宋体" w:cs="Times New Roman"/>
                <w:color w:val="auto"/>
                <w:szCs w:val="24"/>
                <w:highlight w:val="none"/>
                <w:lang w:eastAsia="zh-CN"/>
              </w:rPr>
              <w:t>名字，</w:t>
            </w:r>
            <w:r>
              <w:rPr>
                <w:rFonts w:hint="eastAsia" w:ascii="宋体" w:hAnsi="宋体" w:eastAsia="宋体" w:cs="Times New Roman"/>
                <w:color w:val="auto"/>
                <w:szCs w:val="24"/>
                <w:highlight w:val="none"/>
                <w:lang w:val="en-US" w:eastAsia="zh-CN"/>
              </w:rPr>
              <w:t>提供相关材料并加盖投标人工</w:t>
            </w:r>
            <w:r>
              <w:rPr>
                <w:rFonts w:hint="eastAsia" w:ascii="宋体" w:hAnsi="宋体" w:cs="Times New Roman"/>
                <w:color w:val="auto"/>
                <w:szCs w:val="24"/>
                <w:highlight w:val="none"/>
                <w:lang w:val="en-US" w:eastAsia="zh-CN"/>
              </w:rPr>
              <w:t>章</w:t>
            </w:r>
            <w:r>
              <w:rPr>
                <w:rFonts w:hint="eastAsia" w:ascii="宋体" w:hAnsi="宋体" w:eastAsia="宋体" w:cs="Times New Roman"/>
                <w:color w:val="auto"/>
                <w:szCs w:val="24"/>
                <w:highlight w:val="none"/>
                <w:lang w:eastAsia="zh-CN"/>
              </w:rPr>
              <w:t>）的，每个得0.5分，满分</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eastAsia="zh-CN"/>
              </w:rPr>
              <w:t>分。</w:t>
            </w:r>
          </w:p>
          <w:p>
            <w:pPr>
              <w:spacing w:line="360" w:lineRule="auto"/>
              <w:ind w:firstLine="420" w:firstLineChars="200"/>
              <w:jc w:val="both"/>
              <w:rPr>
                <w:rFonts w:hint="eastAsia"/>
                <w:color w:val="auto"/>
                <w:highlight w:val="none"/>
              </w:rPr>
            </w:pPr>
            <w:r>
              <w:rPr>
                <w:rFonts w:hint="eastAsia" w:ascii="宋体" w:hAnsi="宋体" w:eastAsia="宋体" w:cs="Times New Roman"/>
                <w:color w:val="auto"/>
                <w:szCs w:val="24"/>
                <w:highlight w:val="none"/>
                <w:lang w:eastAsia="zh-CN"/>
              </w:rPr>
              <w:t>注:</w:t>
            </w:r>
            <w:r>
              <w:rPr>
                <w:rFonts w:hint="eastAsia" w:ascii="宋体" w:hAnsi="宋体" w:eastAsia="宋体" w:cs="Times New Roman"/>
                <w:color w:val="auto"/>
                <w:szCs w:val="24"/>
                <w:highlight w:val="none"/>
                <w:lang w:val="en-US" w:eastAsia="zh-CN"/>
              </w:rPr>
              <w:t>投标人</w:t>
            </w:r>
            <w:r>
              <w:rPr>
                <w:rFonts w:hint="eastAsia" w:ascii="宋体" w:hAnsi="宋体" w:eastAsia="宋体" w:cs="Times New Roman"/>
                <w:color w:val="auto"/>
                <w:szCs w:val="24"/>
                <w:highlight w:val="none"/>
                <w:lang w:eastAsia="zh-CN"/>
              </w:rPr>
              <w:t>需提供拟投入本项目实施人员身份证、资质证书，</w:t>
            </w:r>
            <w:r>
              <w:rPr>
                <w:rFonts w:hint="eastAsia" w:ascii="宋体" w:hAnsi="宋体" w:eastAsia="宋体" w:cs="Times New Roman"/>
                <w:color w:val="auto"/>
                <w:szCs w:val="24"/>
                <w:highlight w:val="none"/>
                <w:lang w:val="en-US" w:eastAsia="zh-CN"/>
              </w:rPr>
              <w:t>以及</w:t>
            </w:r>
            <w:r>
              <w:rPr>
                <w:rFonts w:hint="eastAsia" w:ascii="宋体" w:hAnsi="宋体" w:eastAsia="宋体" w:cs="Times New Roman"/>
                <w:color w:val="auto"/>
                <w:szCs w:val="24"/>
                <w:highlight w:val="none"/>
                <w:lang w:eastAsia="zh-CN"/>
              </w:rPr>
              <w:t>最近半年任意</w:t>
            </w:r>
            <w:r>
              <w:rPr>
                <w:rFonts w:hint="eastAsia" w:ascii="宋体" w:hAnsi="宋体" w:eastAsia="宋体" w:cs="Times New Roman"/>
                <w:color w:val="auto"/>
                <w:szCs w:val="24"/>
                <w:highlight w:val="none"/>
                <w:lang w:val="en-US" w:eastAsia="zh-CN"/>
              </w:rPr>
              <w:t>一</w:t>
            </w:r>
            <w:r>
              <w:rPr>
                <w:rFonts w:hint="eastAsia" w:ascii="宋体" w:hAnsi="宋体" w:eastAsia="宋体" w:cs="Times New Roman"/>
                <w:color w:val="auto"/>
                <w:szCs w:val="24"/>
                <w:highlight w:val="none"/>
                <w:lang w:eastAsia="zh-CN"/>
              </w:rPr>
              <w:t>个月为投入实施人员缴纳社保缴纳证明。无缴费记录的，应提供由社保部门出具的《依法缴纳或依法免缴社保费证明》，未按照以上要求提供证明材料人员，不得分。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269"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总监理工程师代表1人（满分4分）</w:t>
            </w:r>
          </w:p>
          <w:p>
            <w:pPr>
              <w:tabs>
                <w:tab w:val="left" w:pos="3612"/>
              </w:tabs>
              <w:spacing w:line="360" w:lineRule="auto"/>
              <w:jc w:val="center"/>
              <w:rPr>
                <w:rFonts w:hint="eastAsia" w:ascii="宋体" w:hAnsi="宋体" w:eastAsia="宋体" w:cs="宋体"/>
                <w:color w:val="auto"/>
                <w:sz w:val="21"/>
                <w:szCs w:val="21"/>
                <w:highlight w:val="none"/>
                <w:lang w:val="en-US" w:eastAsia="zh-CN"/>
              </w:rPr>
            </w:pPr>
          </w:p>
        </w:tc>
        <w:tc>
          <w:tcPr>
            <w:tcW w:w="59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hint="default" w:ascii="宋体" w:hAnsi="宋体" w:eastAsia="宋体" w:cs="Times New Roman"/>
                <w:color w:val="auto"/>
                <w:szCs w:val="24"/>
                <w:highlight w:val="none"/>
                <w:lang w:val="en-US" w:eastAsia="zh-CN"/>
              </w:rPr>
            </w:pPr>
            <w:r>
              <w:rPr>
                <w:rFonts w:hint="eastAsia" w:ascii="宋体" w:hAnsi="宋体" w:cs="Times New Roman"/>
                <w:color w:val="auto"/>
                <w:szCs w:val="24"/>
                <w:highlight w:val="none"/>
                <w:lang w:eastAsia="zh-CN"/>
              </w:rPr>
              <w:t>（</w:t>
            </w:r>
            <w:r>
              <w:rPr>
                <w:rFonts w:hint="eastAsia" w:ascii="宋体" w:hAnsi="宋体" w:cs="Times New Roman"/>
                <w:color w:val="auto"/>
                <w:szCs w:val="24"/>
                <w:highlight w:val="none"/>
                <w:lang w:val="en-US" w:eastAsia="zh-CN"/>
              </w:rPr>
              <w:t>1</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拟投入本项目的监理工程师代表具有高级职称（专业：计算机类或通信工程类或邮电类）</w:t>
            </w:r>
            <w:r>
              <w:rPr>
                <w:rFonts w:hint="eastAsia" w:ascii="宋体" w:hAnsi="宋体" w:cs="Times New Roman"/>
                <w:color w:val="auto"/>
                <w:szCs w:val="24"/>
                <w:highlight w:val="none"/>
                <w:lang w:val="en-US" w:eastAsia="zh-CN"/>
              </w:rPr>
              <w:t>得1分。</w:t>
            </w:r>
          </w:p>
          <w:p>
            <w:pPr>
              <w:spacing w:line="360" w:lineRule="auto"/>
              <w:ind w:firstLine="420" w:firstLineChars="200"/>
              <w:jc w:val="both"/>
              <w:rPr>
                <w:rFonts w:hint="default" w:ascii="宋体" w:hAnsi="宋体" w:eastAsia="宋体" w:cs="Times New Roman"/>
                <w:color w:val="auto"/>
                <w:szCs w:val="24"/>
                <w:highlight w:val="none"/>
                <w:lang w:val="en-US"/>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拟投入本项目的监理工程师代表具有</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eastAsia="zh-CN"/>
              </w:rPr>
              <w:t xml:space="preserve"> 年以上信息系统工程监理行业经验</w:t>
            </w:r>
            <w:r>
              <w:rPr>
                <w:rFonts w:hint="eastAsia" w:ascii="宋体" w:hAnsi="宋体" w:cs="Times New Roman"/>
                <w:color w:val="auto"/>
                <w:szCs w:val="24"/>
                <w:highlight w:val="none"/>
                <w:lang w:eastAsia="zh-CN"/>
              </w:rPr>
              <w:t>的</w:t>
            </w:r>
            <w:r>
              <w:rPr>
                <w:rFonts w:hint="eastAsia" w:ascii="宋体" w:hAnsi="宋体" w:cs="Times New Roman"/>
                <w:color w:val="auto"/>
                <w:szCs w:val="24"/>
                <w:highlight w:val="none"/>
                <w:lang w:val="en-US" w:eastAsia="zh-CN"/>
              </w:rPr>
              <w:t>得1分</w:t>
            </w:r>
            <w:r>
              <w:rPr>
                <w:rFonts w:hint="eastAsia" w:ascii="宋体" w:hAnsi="宋体" w:eastAsia="宋体" w:cs="Times New Roman"/>
                <w:color w:val="auto"/>
                <w:szCs w:val="24"/>
                <w:highlight w:val="none"/>
                <w:lang w:eastAsia="zh-CN"/>
              </w:rPr>
              <w:t>（以取得人社部和工信部联合颁发的信息系统监理师证书时间为准）</w:t>
            </w:r>
            <w:r>
              <w:rPr>
                <w:rFonts w:hint="eastAsia" w:ascii="宋体" w:hAnsi="宋体" w:eastAsia="宋体" w:cs="Times New Roman"/>
                <w:color w:val="auto"/>
                <w:szCs w:val="24"/>
                <w:highlight w:val="none"/>
                <w:lang w:val="en-US" w:eastAsia="zh-CN"/>
              </w:rPr>
              <w:t>。</w:t>
            </w:r>
          </w:p>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拟投入本项目的监理工程师代表持有信息系统项目管理师证书得1分；</w:t>
            </w:r>
          </w:p>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4</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拟投入本项目的监理工程师代表持有</w:t>
            </w:r>
            <w:r>
              <w:rPr>
                <w:rFonts w:hint="eastAsia" w:ascii="宋体" w:hAnsi="宋体" w:eastAsia="宋体" w:cs="Times New Roman"/>
                <w:color w:val="auto"/>
                <w:szCs w:val="24"/>
                <w:highlight w:val="none"/>
                <w:lang w:val="en-US" w:eastAsia="zh-CN"/>
              </w:rPr>
              <w:t>一级注册造价工程师证书得1分。</w:t>
            </w:r>
          </w:p>
          <w:p>
            <w:pPr>
              <w:spacing w:line="360" w:lineRule="auto"/>
              <w:ind w:firstLine="420" w:firstLineChars="200"/>
              <w:jc w:val="both"/>
              <w:rPr>
                <w:rFonts w:hint="eastAsia"/>
                <w:color w:val="auto"/>
                <w:highlight w:val="none"/>
              </w:rPr>
            </w:pPr>
            <w:r>
              <w:rPr>
                <w:rFonts w:hint="eastAsia" w:ascii="宋体" w:hAnsi="宋体" w:eastAsia="宋体" w:cs="Times New Roman"/>
                <w:color w:val="auto"/>
                <w:szCs w:val="24"/>
                <w:highlight w:val="none"/>
              </w:rPr>
              <w:t>注:</w:t>
            </w:r>
            <w:r>
              <w:rPr>
                <w:rFonts w:hint="eastAsia" w:ascii="宋体" w:hAnsi="宋体" w:eastAsia="宋体" w:cs="Times New Roman"/>
                <w:color w:val="auto"/>
                <w:szCs w:val="24"/>
                <w:highlight w:val="none"/>
                <w:lang w:val="en-US" w:eastAsia="zh-CN"/>
              </w:rPr>
              <w:t>投标人</w:t>
            </w:r>
            <w:r>
              <w:rPr>
                <w:rFonts w:hint="eastAsia" w:ascii="宋体" w:hAnsi="宋体" w:eastAsia="宋体" w:cs="Times New Roman"/>
                <w:color w:val="auto"/>
                <w:szCs w:val="24"/>
                <w:highlight w:val="none"/>
              </w:rPr>
              <w:t>需提供拟投入本项目实施人员身份证、资质证书，</w:t>
            </w:r>
            <w:r>
              <w:rPr>
                <w:rFonts w:hint="eastAsia" w:ascii="宋体" w:hAnsi="宋体" w:eastAsia="宋体" w:cs="Times New Roman"/>
                <w:color w:val="auto"/>
                <w:szCs w:val="24"/>
                <w:highlight w:val="none"/>
                <w:lang w:val="en-US" w:eastAsia="zh-CN"/>
              </w:rPr>
              <w:t>以及</w:t>
            </w:r>
            <w:r>
              <w:rPr>
                <w:rFonts w:hint="eastAsia" w:ascii="宋体" w:hAnsi="宋体" w:eastAsia="宋体" w:cs="Times New Roman"/>
                <w:color w:val="auto"/>
                <w:szCs w:val="24"/>
                <w:highlight w:val="none"/>
              </w:rPr>
              <w:t>最近半年任意</w:t>
            </w:r>
            <w:r>
              <w:rPr>
                <w:rFonts w:hint="eastAsia" w:ascii="宋体" w:hAnsi="宋体" w:eastAsia="宋体" w:cs="Times New Roman"/>
                <w:color w:val="auto"/>
                <w:szCs w:val="24"/>
                <w:highlight w:val="none"/>
                <w:lang w:val="en-US" w:eastAsia="zh-CN"/>
              </w:rPr>
              <w:t>一</w:t>
            </w:r>
            <w:r>
              <w:rPr>
                <w:rFonts w:hint="eastAsia" w:ascii="宋体" w:hAnsi="宋体" w:eastAsia="宋体" w:cs="Times New Roman"/>
                <w:color w:val="auto"/>
                <w:szCs w:val="24"/>
                <w:highlight w:val="none"/>
              </w:rPr>
              <w:t>个月为投入实施人员缴纳社保缴纳证明</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无缴费记录的，应提供由社保部门出具的《依法缴纳或依法免缴社保费证明》，未按照以上要求提供证明材料人员，不得分。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cs="宋体"/>
                <w:color w:val="auto"/>
                <w:sz w:val="21"/>
                <w:szCs w:val="21"/>
                <w:highlight w:val="none"/>
              </w:rPr>
            </w:pPr>
          </w:p>
        </w:tc>
        <w:tc>
          <w:tcPr>
            <w:tcW w:w="1269" w:type="dxa"/>
            <w:vMerge w:val="continue"/>
            <w:tcBorders>
              <w:left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其他项目组成员（除总监理工程师、总监理工程师代表外）（满分9分）</w:t>
            </w:r>
          </w:p>
          <w:p>
            <w:pPr>
              <w:tabs>
                <w:tab w:val="left" w:pos="3612"/>
              </w:tabs>
              <w:spacing w:line="360" w:lineRule="auto"/>
              <w:jc w:val="center"/>
              <w:rPr>
                <w:rFonts w:hint="eastAsia" w:ascii="宋体" w:hAnsi="宋体" w:eastAsia="宋体" w:cs="宋体"/>
                <w:color w:val="auto"/>
                <w:sz w:val="21"/>
                <w:szCs w:val="21"/>
                <w:highlight w:val="none"/>
                <w:lang w:val="en-US" w:eastAsia="zh-CN"/>
              </w:rPr>
            </w:pPr>
          </w:p>
        </w:tc>
        <w:tc>
          <w:tcPr>
            <w:tcW w:w="590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rPr>
                <w:rFonts w:hint="eastAsia" w:ascii="宋体" w:hAnsi="宋体" w:eastAsia="宋体" w:cs="Times New Roman"/>
                <w:color w:val="auto"/>
                <w:szCs w:val="24"/>
                <w:highlight w:val="none"/>
                <w:lang w:val="en-US" w:eastAsia="zh-CN"/>
              </w:rPr>
            </w:pPr>
            <w:r>
              <w:rPr>
                <w:rFonts w:hint="eastAsia" w:ascii="宋体" w:hAnsi="宋体" w:cs="Times New Roman"/>
                <w:color w:val="auto"/>
                <w:szCs w:val="24"/>
                <w:highlight w:val="none"/>
                <w:lang w:val="en-US" w:eastAsia="zh-CN"/>
              </w:rPr>
              <w:t>以下人员为</w:t>
            </w:r>
            <w:r>
              <w:rPr>
                <w:rFonts w:hint="eastAsia" w:ascii="宋体" w:hAnsi="宋体" w:eastAsia="宋体" w:cs="Times New Roman"/>
                <w:color w:val="auto"/>
                <w:szCs w:val="24"/>
                <w:highlight w:val="none"/>
              </w:rPr>
              <w:t>拟投入本项目的</w:t>
            </w:r>
            <w:r>
              <w:rPr>
                <w:rFonts w:hint="eastAsia" w:ascii="宋体" w:hAnsi="宋体" w:eastAsia="宋体" w:cs="Times New Roman"/>
                <w:color w:val="auto"/>
                <w:szCs w:val="24"/>
                <w:highlight w:val="none"/>
                <w:lang w:val="en-US" w:eastAsia="zh-CN"/>
              </w:rPr>
              <w:t>其他项目组成员</w:t>
            </w:r>
            <w:r>
              <w:rPr>
                <w:rFonts w:hint="eastAsia" w:ascii="宋体" w:hAnsi="宋体" w:cs="Times New Roman"/>
                <w:color w:val="auto"/>
                <w:szCs w:val="24"/>
                <w:highlight w:val="none"/>
                <w:lang w:eastAsia="zh-CN"/>
              </w:rPr>
              <w:t>（</w:t>
            </w:r>
            <w:r>
              <w:rPr>
                <w:rFonts w:hint="eastAsia" w:ascii="宋体" w:hAnsi="宋体" w:eastAsia="宋体" w:cs="宋体"/>
                <w:color w:val="auto"/>
                <w:sz w:val="21"/>
                <w:szCs w:val="21"/>
                <w:highlight w:val="none"/>
                <w:lang w:val="en-US" w:eastAsia="zh-CN"/>
              </w:rPr>
              <w:t>除总监理工程师、总监理工程师代表外</w:t>
            </w:r>
            <w:r>
              <w:rPr>
                <w:rFonts w:hint="eastAsia" w:ascii="宋体" w:hAnsi="宋体" w:cs="Times New Roman"/>
                <w:color w:val="auto"/>
                <w:szCs w:val="24"/>
                <w:highlight w:val="none"/>
                <w:lang w:eastAsia="zh-CN"/>
              </w:rPr>
              <w:t>）</w:t>
            </w:r>
            <w:r>
              <w:rPr>
                <w:rFonts w:hint="eastAsia" w:ascii="宋体" w:hAnsi="宋体" w:cs="Times New Roman"/>
                <w:color w:val="auto"/>
                <w:szCs w:val="24"/>
                <w:highlight w:val="none"/>
                <w:lang w:val="en-US" w:eastAsia="zh-CN"/>
              </w:rPr>
              <w:t>：</w:t>
            </w:r>
          </w:p>
          <w:p>
            <w:pPr>
              <w:spacing w:line="360" w:lineRule="auto"/>
              <w:ind w:firstLine="420" w:firstLineChars="200"/>
              <w:jc w:val="both"/>
              <w:rPr>
                <w:rFonts w:hint="eastAsia" w:ascii="宋体" w:hAnsi="宋体" w:eastAsia="宋体" w:cs="Times New Roman"/>
                <w:color w:val="auto"/>
                <w:szCs w:val="24"/>
                <w:highlight w:val="none"/>
              </w:rPr>
            </w:pPr>
            <w:r>
              <w:rPr>
                <w:rFonts w:hint="eastAsia" w:ascii="宋体" w:hAnsi="宋体" w:cs="Times New Roman"/>
                <w:color w:val="auto"/>
                <w:szCs w:val="24"/>
                <w:highlight w:val="none"/>
                <w:lang w:eastAsia="zh-CN"/>
              </w:rPr>
              <w:t>（</w:t>
            </w:r>
            <w:r>
              <w:rPr>
                <w:rFonts w:hint="eastAsia" w:ascii="宋体" w:hAnsi="宋体" w:cs="Times New Roman"/>
                <w:color w:val="auto"/>
                <w:szCs w:val="24"/>
                <w:highlight w:val="none"/>
                <w:lang w:val="en-US" w:eastAsia="zh-CN"/>
              </w:rPr>
              <w:t>1</w:t>
            </w:r>
            <w:r>
              <w:rPr>
                <w:rFonts w:hint="eastAsia" w:ascii="宋体" w:hAnsi="宋体" w:cs="Times New Roman"/>
                <w:color w:val="auto"/>
                <w:szCs w:val="24"/>
                <w:highlight w:val="none"/>
                <w:lang w:eastAsia="zh-CN"/>
              </w:rPr>
              <w:t>）其他项目成员配备</w:t>
            </w:r>
            <w:r>
              <w:rPr>
                <w:rFonts w:hint="eastAsia" w:ascii="宋体" w:hAnsi="宋体" w:cs="Times New Roman"/>
                <w:color w:val="auto"/>
                <w:szCs w:val="24"/>
                <w:highlight w:val="none"/>
                <w:lang w:val="en-US" w:eastAsia="zh-CN"/>
              </w:rPr>
              <w:t>3人及3人以下的不得分，配备4人的得1分，配备5人的得2分，配备6人及以上的得3分（满分3分）</w:t>
            </w:r>
            <w:r>
              <w:rPr>
                <w:rFonts w:hint="eastAsia" w:ascii="宋体" w:hAnsi="宋体" w:cs="Times New Roman"/>
                <w:color w:val="auto"/>
                <w:szCs w:val="24"/>
                <w:highlight w:val="none"/>
                <w:lang w:eastAsia="zh-CN"/>
              </w:rPr>
              <w:t>。</w:t>
            </w:r>
          </w:p>
          <w:p>
            <w:pPr>
              <w:spacing w:line="360" w:lineRule="auto"/>
              <w:ind w:firstLine="420" w:firstLineChars="200"/>
              <w:jc w:val="both"/>
              <w:rPr>
                <w:rFonts w:hint="eastAsia" w:ascii="宋体" w:hAnsi="宋体" w:eastAsia="宋体" w:cs="Times New Roman"/>
                <w:color w:val="auto"/>
                <w:szCs w:val="24"/>
                <w:highlight w:val="none"/>
              </w:rPr>
            </w:pPr>
            <w:r>
              <w:rPr>
                <w:rFonts w:hint="eastAsia" w:ascii="宋体" w:hAnsi="宋体" w:cs="Times New Roman"/>
                <w:color w:val="auto"/>
                <w:szCs w:val="24"/>
                <w:highlight w:val="none"/>
                <w:lang w:eastAsia="zh-CN"/>
              </w:rPr>
              <w:t>（</w:t>
            </w:r>
            <w:r>
              <w:rPr>
                <w:rFonts w:hint="eastAsia" w:ascii="宋体" w:hAnsi="宋体" w:cs="Times New Roman"/>
                <w:color w:val="auto"/>
                <w:szCs w:val="24"/>
                <w:highlight w:val="none"/>
                <w:lang w:val="en-US" w:eastAsia="zh-CN"/>
              </w:rPr>
              <w:t>2</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其他项目成员每具有一名高级工程师、一级造价师，一级建造师（通信与广电工程）</w:t>
            </w:r>
            <w:r>
              <w:rPr>
                <w:rFonts w:hint="eastAsia" w:ascii="宋体" w:hAnsi="宋体" w:cs="Times New Roman"/>
                <w:color w:val="auto"/>
                <w:szCs w:val="24"/>
                <w:highlight w:val="none"/>
                <w:lang w:eastAsia="zh-CN"/>
              </w:rPr>
              <w:t>的</w:t>
            </w:r>
            <w:r>
              <w:rPr>
                <w:rFonts w:hint="eastAsia" w:ascii="宋体" w:hAnsi="宋体" w:eastAsia="宋体" w:cs="Times New Roman"/>
                <w:color w:val="auto"/>
                <w:szCs w:val="24"/>
                <w:highlight w:val="none"/>
              </w:rPr>
              <w:t>，每提供1项证书得1分，最高6分。（同一人具有多个证书仅计1分）。</w:t>
            </w:r>
          </w:p>
          <w:p>
            <w:pPr>
              <w:spacing w:line="360" w:lineRule="auto"/>
              <w:ind w:firstLine="420" w:firstLineChars="200"/>
              <w:jc w:val="both"/>
              <w:rPr>
                <w:rFonts w:hint="eastAsia" w:ascii="宋体" w:hAnsi="宋体" w:cs="宋体"/>
                <w:color w:val="auto"/>
                <w:sz w:val="21"/>
                <w:szCs w:val="21"/>
                <w:highlight w:val="none"/>
              </w:rPr>
            </w:pPr>
            <w:r>
              <w:rPr>
                <w:rFonts w:hint="eastAsia" w:ascii="宋体" w:hAnsi="宋体" w:eastAsia="宋体" w:cs="Times New Roman"/>
                <w:color w:val="auto"/>
                <w:szCs w:val="24"/>
                <w:highlight w:val="none"/>
              </w:rPr>
              <w:t>注:</w:t>
            </w:r>
            <w:r>
              <w:rPr>
                <w:rFonts w:hint="eastAsia" w:ascii="宋体" w:hAnsi="宋体" w:cs="Times New Roman"/>
                <w:color w:val="auto"/>
                <w:szCs w:val="24"/>
                <w:highlight w:val="none"/>
                <w:lang w:val="en-US" w:eastAsia="zh-CN"/>
              </w:rPr>
              <w:t>投标人</w:t>
            </w:r>
            <w:r>
              <w:rPr>
                <w:rFonts w:hint="eastAsia" w:ascii="宋体" w:hAnsi="宋体" w:eastAsia="宋体" w:cs="Times New Roman"/>
                <w:color w:val="auto"/>
                <w:szCs w:val="24"/>
                <w:highlight w:val="none"/>
              </w:rPr>
              <w:t>需提供拟投入本项目实施人员身份证、资质证书，</w:t>
            </w:r>
            <w:r>
              <w:rPr>
                <w:rFonts w:hint="eastAsia" w:ascii="宋体" w:hAnsi="宋体" w:cs="Times New Roman"/>
                <w:color w:val="auto"/>
                <w:szCs w:val="24"/>
                <w:highlight w:val="none"/>
                <w:lang w:val="en-US" w:eastAsia="zh-CN"/>
              </w:rPr>
              <w:t>以及</w:t>
            </w:r>
            <w:r>
              <w:rPr>
                <w:rFonts w:hint="eastAsia" w:ascii="宋体" w:hAnsi="宋体" w:eastAsia="宋体" w:cs="Times New Roman"/>
                <w:color w:val="auto"/>
                <w:szCs w:val="24"/>
                <w:highlight w:val="none"/>
              </w:rPr>
              <w:t>最近半年任意</w:t>
            </w:r>
            <w:r>
              <w:rPr>
                <w:rFonts w:hint="eastAsia" w:ascii="宋体" w:hAnsi="宋体" w:cs="Times New Roman"/>
                <w:color w:val="auto"/>
                <w:szCs w:val="24"/>
                <w:highlight w:val="none"/>
                <w:lang w:val="en-US" w:eastAsia="zh-CN"/>
              </w:rPr>
              <w:t>一</w:t>
            </w:r>
            <w:r>
              <w:rPr>
                <w:rFonts w:hint="eastAsia" w:ascii="宋体" w:hAnsi="宋体" w:eastAsia="宋体" w:cs="Times New Roman"/>
                <w:color w:val="auto"/>
                <w:szCs w:val="24"/>
                <w:highlight w:val="none"/>
              </w:rPr>
              <w:t>个月为投入实施人员缴纳社保缴纳证明</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无缴费记录的，应提供由社保部门出具的《依法缴纳或依法免缴社保费证明》，未按照以上要求提供证明材料人员，不得分。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1" w:type="dxa"/>
            <w:tcBorders>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69" w:type="dxa"/>
            <w:tcBorders>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信誉与业绩</w:t>
            </w:r>
          </w:p>
          <w:p>
            <w:pPr>
              <w:pStyle w:val="2"/>
              <w:rPr>
                <w:rFonts w:hint="eastAsia"/>
                <w:color w:val="auto"/>
                <w:highlight w:val="none"/>
                <w:lang w:val="en-US" w:eastAsia="zh-CN"/>
              </w:rPr>
            </w:pPr>
            <w:r>
              <w:rPr>
                <w:rFonts w:hint="eastAsia" w:ascii="宋体" w:hAnsi="宋体" w:cs="宋体"/>
                <w:color w:val="auto"/>
                <w:sz w:val="21"/>
                <w:szCs w:val="21"/>
                <w:highlight w:val="none"/>
                <w:lang w:val="en-US" w:eastAsia="zh-CN"/>
              </w:rPr>
              <w:t>（10分）</w:t>
            </w: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3612"/>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信誉与业绩（满分1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p>
        </w:tc>
        <w:tc>
          <w:tcPr>
            <w:tcW w:w="59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textAlignment w:val="auto"/>
              <w:rPr>
                <w:rFonts w:hint="eastAsia"/>
                <w:color w:val="auto"/>
                <w:highlight w:val="none"/>
              </w:rPr>
            </w:pPr>
            <w:bookmarkStart w:id="455" w:name="_Hlk69110819"/>
            <w:r>
              <w:rPr>
                <w:rFonts w:hint="eastAsia" w:ascii="宋体" w:hAnsi="宋体" w:eastAsia="宋体" w:cs="Times New Roman"/>
                <w:color w:val="auto"/>
                <w:szCs w:val="24"/>
                <w:highlight w:val="none"/>
              </w:rPr>
              <w:t>（1）</w:t>
            </w:r>
            <w:r>
              <w:rPr>
                <w:rFonts w:hint="eastAsia" w:ascii="宋体" w:hAnsi="宋体" w:cs="Times New Roman"/>
                <w:color w:val="auto"/>
                <w:szCs w:val="24"/>
                <w:highlight w:val="none"/>
                <w:lang w:val="en-US" w:eastAsia="zh-CN"/>
              </w:rPr>
              <w:t>投标人</w:t>
            </w:r>
            <w:r>
              <w:rPr>
                <w:rFonts w:hint="eastAsia" w:ascii="宋体" w:hAnsi="宋体" w:eastAsia="宋体" w:cs="Times New Roman"/>
                <w:color w:val="auto"/>
                <w:szCs w:val="24"/>
                <w:highlight w:val="none"/>
              </w:rPr>
              <w:t>通过IS0 9001质量体系认证、IS014001环境管理体系认证、ISO45001职业健康安全管理体系认证、ISO/IEC 20000 信息技术服务管理体系认证证书</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ISO 27001信息安全管理体系认证的</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认证范围至少包含信息系统工程监理业务内容</w:t>
            </w:r>
            <w:r>
              <w:rPr>
                <w:rFonts w:hint="eastAsia" w:ascii="宋体" w:hAnsi="宋体" w:cs="Times New Roman"/>
                <w:color w:val="auto"/>
                <w:szCs w:val="24"/>
                <w:highlight w:val="none"/>
                <w:lang w:eastAsia="zh-CN"/>
              </w:rPr>
              <w:t>）</w:t>
            </w:r>
            <w:r>
              <w:rPr>
                <w:rFonts w:hint="eastAsia" w:ascii="宋体" w:hAnsi="宋体" w:eastAsia="宋体" w:cs="Times New Roman"/>
                <w:color w:val="auto"/>
                <w:szCs w:val="24"/>
                <w:highlight w:val="none"/>
              </w:rPr>
              <w:t>，证书认证范围不满足条件的不得分</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rPr>
              <w:t>每个证书得1分，满分</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rPr>
              <w:t>分。</w:t>
            </w:r>
            <w:r>
              <w:rPr>
                <w:rFonts w:hint="eastAsia"/>
                <w:color w:val="auto"/>
                <w:highlight w:val="none"/>
                <w:lang w:eastAsia="zh-CN"/>
              </w:rPr>
              <w:t>（</w:t>
            </w:r>
            <w:r>
              <w:rPr>
                <w:rFonts w:hint="eastAsia" w:ascii="Times New Roman" w:hAnsi="Times New Roman" w:eastAsia="宋体" w:cs="Times New Roman"/>
                <w:color w:val="auto"/>
                <w:highlight w:val="none"/>
              </w:rPr>
              <w:t>提供相应有效证书并加盖投标人公章）</w:t>
            </w:r>
          </w:p>
          <w:p>
            <w:pPr>
              <w:spacing w:line="360" w:lineRule="auto"/>
              <w:ind w:firstLine="420" w:firstLineChars="200"/>
              <w:jc w:val="both"/>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w:t>
            </w:r>
            <w:r>
              <w:rPr>
                <w:rFonts w:hint="eastAsia" w:ascii="宋体" w:hAnsi="宋体" w:cs="Times New Roman"/>
                <w:color w:val="auto"/>
                <w:szCs w:val="24"/>
                <w:highlight w:val="none"/>
                <w:lang w:val="en-US" w:eastAsia="zh-CN"/>
              </w:rPr>
              <w:t>2</w:t>
            </w:r>
            <w:r>
              <w:rPr>
                <w:rFonts w:hint="eastAsia" w:ascii="宋体" w:hAnsi="宋体" w:eastAsia="宋体" w:cs="Times New Roman"/>
                <w:color w:val="auto"/>
                <w:szCs w:val="24"/>
                <w:highlight w:val="none"/>
              </w:rPr>
              <w:t>）</w:t>
            </w:r>
            <w:r>
              <w:rPr>
                <w:rFonts w:hint="eastAsia" w:ascii="宋体" w:hAnsi="宋体" w:cs="Times New Roman"/>
                <w:color w:val="auto"/>
                <w:szCs w:val="24"/>
                <w:highlight w:val="none"/>
                <w:lang w:val="en-US" w:eastAsia="zh-CN"/>
              </w:rPr>
              <w:t>投标人</w:t>
            </w:r>
            <w:r>
              <w:rPr>
                <w:rFonts w:hint="eastAsia" w:ascii="宋体" w:hAnsi="宋体" w:eastAsia="宋体" w:cs="Times New Roman"/>
                <w:color w:val="auto"/>
                <w:szCs w:val="24"/>
                <w:highlight w:val="none"/>
              </w:rPr>
              <w:t>自20</w:t>
            </w:r>
            <w:r>
              <w:rPr>
                <w:rFonts w:hint="eastAsia" w:ascii="宋体" w:hAnsi="宋体" w:eastAsia="宋体" w:cs="Times New Roman"/>
                <w:color w:val="auto"/>
                <w:szCs w:val="24"/>
                <w:highlight w:val="none"/>
                <w:lang w:val="en-US" w:eastAsia="zh-CN"/>
              </w:rPr>
              <w:t>21</w:t>
            </w:r>
            <w:r>
              <w:rPr>
                <w:rFonts w:hint="eastAsia" w:ascii="宋体" w:hAnsi="宋体" w:eastAsia="宋体" w:cs="Times New Roman"/>
                <w:color w:val="auto"/>
                <w:szCs w:val="24"/>
                <w:highlight w:val="none"/>
              </w:rPr>
              <w:t>年1月1日以来具有同类或类似项目业绩，每个0.5分，满分</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分。（提供中标通知书或合同并加盖</w:t>
            </w:r>
            <w:r>
              <w:rPr>
                <w:rFonts w:hint="eastAsia" w:ascii="宋体" w:hAnsi="宋体" w:cs="Times New Roman"/>
                <w:color w:val="auto"/>
                <w:szCs w:val="24"/>
                <w:highlight w:val="none"/>
                <w:lang w:eastAsia="zh-CN"/>
              </w:rPr>
              <w:t>投标人</w:t>
            </w:r>
            <w:r>
              <w:rPr>
                <w:rFonts w:hint="eastAsia" w:ascii="宋体" w:hAnsi="宋体" w:eastAsia="宋体" w:cs="Times New Roman"/>
                <w:color w:val="auto"/>
                <w:szCs w:val="24"/>
                <w:highlight w:val="none"/>
              </w:rPr>
              <w:t>公章）</w:t>
            </w:r>
          </w:p>
          <w:p>
            <w:pPr>
              <w:spacing w:line="360" w:lineRule="auto"/>
              <w:ind w:firstLine="420" w:firstLineChars="200"/>
              <w:jc w:val="both"/>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w:t>
            </w:r>
            <w:r>
              <w:rPr>
                <w:rFonts w:hint="eastAsia" w:ascii="宋体" w:hAnsi="宋体" w:cs="Times New Roman"/>
                <w:color w:val="auto"/>
                <w:szCs w:val="24"/>
                <w:highlight w:val="none"/>
                <w:lang w:val="en-US" w:eastAsia="zh-CN"/>
              </w:rPr>
              <w:t>3</w:t>
            </w:r>
            <w:r>
              <w:rPr>
                <w:rFonts w:hint="eastAsia" w:ascii="宋体" w:hAnsi="宋体" w:eastAsia="宋体" w:cs="Times New Roman"/>
                <w:color w:val="auto"/>
                <w:szCs w:val="24"/>
                <w:highlight w:val="none"/>
              </w:rPr>
              <w:t>）</w:t>
            </w:r>
            <w:r>
              <w:rPr>
                <w:rFonts w:hint="eastAsia" w:ascii="宋体" w:hAnsi="宋体" w:cs="Times New Roman"/>
                <w:color w:val="auto"/>
                <w:szCs w:val="24"/>
                <w:highlight w:val="none"/>
                <w:lang w:val="en-US" w:eastAsia="zh-CN"/>
              </w:rPr>
              <w:t>投标人</w:t>
            </w:r>
            <w:r>
              <w:rPr>
                <w:rFonts w:hint="eastAsia" w:ascii="宋体" w:hAnsi="宋体" w:eastAsia="宋体" w:cs="Times New Roman"/>
                <w:color w:val="auto"/>
                <w:szCs w:val="24"/>
                <w:highlight w:val="none"/>
              </w:rPr>
              <w:t>承诺在接到采购人通知后，非驻点项目组成员能到达驻点的时间（在服务方案中说明能到达现场的合理理由并被</w:t>
            </w:r>
            <w:r>
              <w:rPr>
                <w:rFonts w:hint="eastAsia" w:ascii="宋体" w:hAnsi="宋体" w:cs="Times New Roman"/>
                <w:color w:val="auto"/>
                <w:szCs w:val="24"/>
                <w:highlight w:val="none"/>
                <w:lang w:val="en-US" w:eastAsia="zh-CN"/>
              </w:rPr>
              <w:t>评委</w:t>
            </w:r>
            <w:r>
              <w:rPr>
                <w:rFonts w:hint="eastAsia" w:ascii="宋体" w:hAnsi="宋体" w:eastAsia="宋体" w:cs="Times New Roman"/>
                <w:color w:val="auto"/>
                <w:szCs w:val="24"/>
                <w:highlight w:val="none"/>
              </w:rPr>
              <w:t>接受）</w:t>
            </w:r>
            <w:r>
              <w:rPr>
                <w:rFonts w:hint="eastAsia" w:ascii="宋体" w:hAnsi="宋体" w:eastAsia="宋体" w:cs="Times New Roman"/>
                <w:color w:val="auto"/>
                <w:szCs w:val="24"/>
                <w:highlight w:val="none"/>
                <w:lang w:eastAsia="zh-CN"/>
              </w:rPr>
              <w:t>，</w:t>
            </w:r>
            <w:r>
              <w:rPr>
                <w:rFonts w:hint="eastAsia" w:ascii="宋体" w:hAnsi="宋体" w:eastAsia="宋体" w:cs="Times New Roman"/>
                <w:color w:val="auto"/>
                <w:szCs w:val="24"/>
                <w:highlight w:val="none"/>
                <w:lang w:val="en-US" w:eastAsia="zh-CN"/>
              </w:rPr>
              <w:t>满分3分</w:t>
            </w:r>
            <w:r>
              <w:rPr>
                <w:rFonts w:hint="eastAsia" w:ascii="宋体" w:hAnsi="宋体" w:eastAsia="宋体" w:cs="Times New Roman"/>
                <w:color w:val="auto"/>
                <w:szCs w:val="24"/>
                <w:highlight w:val="none"/>
              </w:rPr>
              <w:t>：</w:t>
            </w:r>
          </w:p>
          <w:p>
            <w:pPr>
              <w:spacing w:line="360" w:lineRule="auto"/>
              <w:ind w:firstLine="630" w:firstLineChars="300"/>
              <w:jc w:val="both"/>
              <w:rPr>
                <w:rFonts w:ascii="宋体" w:hAnsi="宋体" w:eastAsia="宋体" w:cs="Times New Roman"/>
                <w:color w:val="auto"/>
                <w:szCs w:val="24"/>
                <w:highlight w:val="none"/>
              </w:rPr>
            </w:pP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0.5</w:t>
            </w:r>
            <w:r>
              <w:rPr>
                <w:rFonts w:hint="eastAsia" w:ascii="宋体" w:hAnsi="宋体" w:eastAsia="宋体" w:cs="Times New Roman"/>
                <w:color w:val="auto"/>
                <w:szCs w:val="24"/>
                <w:highlight w:val="none"/>
              </w:rPr>
              <w:t>小时之内的，得</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rPr>
              <w:t>分；</w:t>
            </w:r>
          </w:p>
          <w:p>
            <w:pPr>
              <w:spacing w:line="360" w:lineRule="auto"/>
              <w:ind w:firstLine="630" w:firstLineChars="300"/>
              <w:jc w:val="both"/>
              <w:rPr>
                <w:rFonts w:ascii="宋体" w:hAnsi="宋体" w:eastAsia="宋体" w:cs="Times New Roman"/>
                <w:color w:val="auto"/>
                <w:szCs w:val="24"/>
                <w:highlight w:val="none"/>
              </w:rPr>
            </w:pPr>
            <w:r>
              <w:rPr>
                <w:rFonts w:ascii="宋体" w:hAnsi="宋体" w:eastAsia="宋体" w:cs="Times New Roman"/>
                <w:color w:val="auto"/>
                <w:szCs w:val="24"/>
                <w:highlight w:val="none"/>
              </w:rPr>
              <w:t>2</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1</w:t>
            </w:r>
            <w:r>
              <w:rPr>
                <w:rFonts w:hint="eastAsia" w:ascii="宋体" w:hAnsi="宋体" w:eastAsia="宋体" w:cs="Times New Roman"/>
                <w:color w:val="auto"/>
                <w:szCs w:val="24"/>
                <w:highlight w:val="none"/>
              </w:rPr>
              <w:t>小时之内的，得</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分；</w:t>
            </w:r>
          </w:p>
          <w:p>
            <w:pPr>
              <w:spacing w:line="360" w:lineRule="auto"/>
              <w:ind w:firstLine="630" w:firstLineChars="300"/>
              <w:jc w:val="both"/>
              <w:rPr>
                <w:rFonts w:hint="eastAsia" w:ascii="宋体" w:hAnsi="宋体" w:cs="宋体"/>
                <w:color w:val="auto"/>
                <w:sz w:val="21"/>
                <w:szCs w:val="21"/>
                <w:highlight w:val="none"/>
              </w:rPr>
            </w:pPr>
            <w:r>
              <w:rPr>
                <w:rFonts w:ascii="宋体" w:hAnsi="宋体" w:eastAsia="宋体" w:cs="Times New Roman"/>
                <w:color w:val="auto"/>
                <w:szCs w:val="24"/>
                <w:highlight w:val="none"/>
              </w:rPr>
              <w:t>3</w:t>
            </w:r>
            <w:r>
              <w:rPr>
                <w:rFonts w:hint="eastAsia" w:ascii="宋体" w:hAnsi="宋体" w:eastAsia="宋体" w:cs="Times New Roman"/>
                <w:color w:val="auto"/>
                <w:szCs w:val="24"/>
                <w:highlight w:val="none"/>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rPr>
              <w:t>小时之内的得</w:t>
            </w:r>
            <w:r>
              <w:rPr>
                <w:rFonts w:ascii="宋体" w:hAnsi="宋体" w:eastAsia="宋体" w:cs="Times New Roman"/>
                <w:color w:val="auto"/>
                <w:szCs w:val="24"/>
                <w:highlight w:val="none"/>
              </w:rPr>
              <w:t>1</w:t>
            </w:r>
            <w:r>
              <w:rPr>
                <w:rFonts w:hint="eastAsia" w:ascii="宋体" w:hAnsi="宋体" w:eastAsia="宋体" w:cs="Times New Roman"/>
                <w:color w:val="auto"/>
                <w:szCs w:val="24"/>
                <w:highlight w:val="none"/>
              </w:rPr>
              <w:t>分。</w:t>
            </w:r>
            <w:bookmarkEnd w:id="455"/>
          </w:p>
        </w:tc>
      </w:tr>
    </w:tbl>
    <w:p>
      <w:pPr>
        <w:snapToGrid w:val="0"/>
        <w:spacing w:line="360" w:lineRule="auto"/>
        <w:outlineLvl w:val="1"/>
        <w:rPr>
          <w:rFonts w:ascii="宋体" w:hAnsi="宋体" w:cs="宋体"/>
          <w:b/>
          <w:color w:val="auto"/>
          <w:sz w:val="32"/>
          <w:szCs w:val="20"/>
          <w:highlight w:val="none"/>
        </w:rPr>
      </w:pPr>
    </w:p>
    <w:p>
      <w:pPr>
        <w:snapToGrid w:val="0"/>
        <w:spacing w:line="360" w:lineRule="auto"/>
        <w:ind w:firstLine="400" w:firstLineChars="200"/>
        <w:rPr>
          <w:rFonts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pPr>
        <w:snapToGrid w:val="0"/>
        <w:spacing w:line="360" w:lineRule="auto"/>
        <w:rPr>
          <w:rFonts w:ascii="宋体" w:hAnsi="宋体" w:cs="宋体"/>
          <w:b/>
          <w:color w:val="auto"/>
          <w:sz w:val="28"/>
          <w:szCs w:val="28"/>
          <w:highlight w:val="none"/>
        </w:rPr>
      </w:pPr>
      <w:r>
        <w:rPr>
          <w:rFonts w:hint="eastAsia" w:ascii="宋体" w:hAnsi="宋体" w:cs="宋体"/>
          <w:color w:val="auto"/>
          <w:sz w:val="24"/>
          <w:highlight w:val="none"/>
        </w:rPr>
        <w:t> </w:t>
      </w:r>
      <w:r>
        <w:rPr>
          <w:rFonts w:hint="eastAsia" w:ascii="宋体" w:hAnsi="宋体" w:cs="宋体"/>
          <w:b/>
          <w:color w:val="auto"/>
          <w:sz w:val="32"/>
          <w:highlight w:val="none"/>
        </w:rPr>
        <w:t>一、评标方法</w:t>
      </w:r>
    </w:p>
    <w:p>
      <w:pPr>
        <w:adjustRightInd/>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1.本项目采用的评标方法:</w:t>
      </w:r>
    </w:p>
    <w:p>
      <w:pPr>
        <w:adjustRightInd/>
        <w:spacing w:line="360" w:lineRule="auto"/>
        <w:ind w:firstLine="480" w:firstLineChars="200"/>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pPr>
        <w:adjustRightInd/>
        <w:spacing w:line="360" w:lineRule="auto"/>
        <w:ind w:firstLine="480" w:firstLineChars="200"/>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color w:val="auto"/>
          <w:kern w:val="0"/>
          <w:sz w:val="24"/>
          <w:highlight w:val="none"/>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pPr>
        <w:adjustRightInd/>
        <w:spacing w:line="360" w:lineRule="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pPr>
        <w:spacing w:line="360" w:lineRule="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pPr>
        <w:pStyle w:val="129"/>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3.4.4.1根据《北海市财政局关于开展推动解决政府采购异常低价问题试点工作的通知》（北财采〔2025〕25 号）规定，试点项目评审中出现下列情形之一的，评审委员会应当启动异常低价投标（响应）审查程序: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（4）其他评审委员会认为供应商报价过低，有可能影响产品质量或者不能诚信履约的情形。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3.4.4.2审查工作流程。评审委员会严格按照评审现场说明、综合评估研判和出具处理结果三个步骤开展审查流程。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3）出具处理结果。如果投标（响应）供应商不提供书面说明、证明材料，或者提供的书面说明、证明材料不能证明其报价合理性的，应当将其作为无效投标（响应）处理。审查相关情况应当在评审报告中记录。 </w:t>
      </w:r>
    </w:p>
    <w:p>
      <w:pPr>
        <w:pStyle w:val="129"/>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pPr>
        <w:pStyle w:val="83"/>
        <w:rPr>
          <w:rFonts w:cs="宋体"/>
          <w:color w:val="auto"/>
          <w:highlight w:val="none"/>
        </w:rPr>
      </w:pPr>
      <w:r>
        <w:rPr>
          <w:rFonts w:hint="eastAsia" w:cs="宋体"/>
          <w:color w:val="auto"/>
          <w:highlight w:val="none"/>
        </w:rPr>
        <w:t>3.5.2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pPr>
        <w:widowControl/>
        <w:shd w:val="clear" w:color="auto" w:fill="FFFFFF"/>
        <w:adjustRightInd/>
        <w:spacing w:after="225" w:line="315" w:lineRule="atLeast"/>
        <w:jc w:val="left"/>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pPr>
        <w:pStyle w:val="129"/>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w:t>
      </w:r>
      <w:bookmarkStart w:id="456" w:name="OLE_LINK47"/>
      <w:r>
        <w:rPr>
          <w:rFonts w:hint="eastAsia" w:ascii="宋体" w:hAnsi="宋体" w:cs="宋体"/>
          <w:color w:val="auto"/>
          <w:kern w:val="0"/>
          <w:sz w:val="24"/>
          <w:highlight w:val="none"/>
        </w:rPr>
        <w:t>报价属于3.4.4.1规定情形之一</w:t>
      </w:r>
      <w:bookmarkEnd w:id="456"/>
      <w:r>
        <w:rPr>
          <w:rFonts w:hint="eastAsia" w:ascii="宋体" w:hAnsi="宋体" w:cs="宋体"/>
          <w:color w:val="auto"/>
          <w:kern w:val="0"/>
          <w:sz w:val="24"/>
          <w:highlight w:val="none"/>
        </w:rPr>
        <w:t>，未能按要求提供书面说明或者提交相关证明材料，不能证明其报价合理性的;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pPr>
        <w:pStyle w:val="83"/>
        <w:rPr>
          <w:color w:val="auto"/>
          <w:highlight w:val="none"/>
        </w:rPr>
      </w:pPr>
      <w:r>
        <w:rPr>
          <w:rFonts w:hint="eastAsia"/>
          <w:color w:val="auto"/>
          <w:highlight w:val="none"/>
        </w:rPr>
        <w:t>4.2.13 投标文件不满足招标文件的其它实质性要求的；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（3）不同供应商的投标（响应）文件的内容存在3处（含）以上错误一致的；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（4）不同供应商联系人为同一人或不同联系人的联系电话一致的。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4.2.15法律、法规、规章（适用本市的）及省级以上规范性文件（适用本市的）规定的其他无效情形。</w:t>
      </w:r>
    </w:p>
    <w:p>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pPr>
        <w:pStyle w:val="25"/>
        <w:snapToGrid w:val="0"/>
        <w:spacing w:line="360" w:lineRule="auto"/>
        <w:rPr>
          <w:rFonts w:cs="宋体"/>
          <w:color w:val="auto"/>
          <w:highlight w:val="none"/>
        </w:rPr>
      </w:pPr>
      <w:r>
        <w:rPr>
          <w:rFonts w:hint="eastAsia" w:cs="宋体"/>
          <w:color w:val="auto"/>
          <w:highlight w:val="none"/>
        </w:rPr>
        <w:t>5.4因重大变故，采购任务取消的。</w:t>
      </w:r>
    </w:p>
    <w:p>
      <w:pPr>
        <w:pStyle w:val="25"/>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pPr>
        <w:pStyle w:val="83"/>
        <w:ind w:firstLine="0"/>
        <w:rPr>
          <w:b/>
          <w:color w:val="auto"/>
          <w:sz w:val="32"/>
          <w:szCs w:val="32"/>
          <w:highlight w:val="none"/>
        </w:rPr>
      </w:pPr>
      <w:r>
        <w:rPr>
          <w:rFonts w:hint="eastAsia"/>
          <w:b/>
          <w:color w:val="auto"/>
          <w:sz w:val="32"/>
          <w:szCs w:val="32"/>
          <w:highlight w:val="none"/>
        </w:rPr>
        <w:t>五、评审过程的保密与录像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pPr>
        <w:pStyle w:val="25"/>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p>
      <w:pPr>
        <w:pStyle w:val="25"/>
        <w:snapToGrid w:val="0"/>
        <w:spacing w:line="360" w:lineRule="auto"/>
        <w:ind w:firstLine="0" w:firstLineChars="0"/>
        <w:rPr>
          <w:rFonts w:cs="宋体"/>
          <w:color w:val="auto"/>
          <w:highlight w:val="none"/>
        </w:rPr>
      </w:pPr>
    </w:p>
    <w:bookmarkEnd w:id="79"/>
    <w:p>
      <w:pPr>
        <w:spacing w:line="360" w:lineRule="auto"/>
        <w:ind w:left="720" w:leftChars="343" w:firstLine="1084" w:firstLineChars="300"/>
        <w:rPr>
          <w:rFonts w:ascii="宋体" w:hAnsi="宋体" w:cs="宋体"/>
          <w:b/>
          <w:color w:val="auto"/>
          <w:sz w:val="36"/>
          <w:szCs w:val="36"/>
          <w:highlight w:val="none"/>
        </w:rPr>
      </w:pPr>
      <w:bookmarkStart w:id="457" w:name="第五部分"/>
      <w:bookmarkStart w:id="458" w:name="_Toc86217003"/>
    </w:p>
    <w:p>
      <w:pPr>
        <w:spacing w:line="360" w:lineRule="auto"/>
        <w:ind w:left="720" w:leftChars="343" w:firstLine="1084" w:firstLineChars="30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pPr>
        <w:spacing w:line="360" w:lineRule="auto"/>
        <w:ind w:left="720" w:leftChars="343" w:firstLine="1084" w:firstLineChars="300"/>
        <w:rPr>
          <w:rFonts w:ascii="宋体" w:hAnsi="宋体" w:cs="宋体"/>
          <w:b/>
          <w:color w:val="auto"/>
          <w:sz w:val="36"/>
          <w:szCs w:val="36"/>
          <w:highlight w:val="none"/>
        </w:rPr>
      </w:pPr>
    </w:p>
    <w:p>
      <w:pPr>
        <w:spacing w:line="360" w:lineRule="auto"/>
        <w:ind w:left="720" w:leftChars="343" w:firstLine="1084" w:firstLineChars="300"/>
        <w:rPr>
          <w:rFonts w:ascii="宋体" w:hAnsi="宋体" w:cs="宋体"/>
          <w:b/>
          <w:color w:val="auto"/>
          <w:sz w:val="36"/>
          <w:szCs w:val="36"/>
          <w:highlight w:val="none"/>
        </w:rPr>
      </w:pPr>
    </w:p>
    <w:p>
      <w:pPr>
        <w:widowControl/>
        <w:adjustRightInd/>
        <w:jc w:val="center"/>
        <w:rPr>
          <w:rFonts w:ascii="宋体" w:hAnsi="宋体" w:cs="宋体"/>
          <w:b/>
          <w:color w:val="auto"/>
          <w:sz w:val="36"/>
          <w:szCs w:val="36"/>
          <w:highlight w:val="none"/>
        </w:rPr>
      </w:pPr>
      <w:bookmarkStart w:id="459" w:name="_Toc176368906"/>
    </w:p>
    <w:p>
      <w:pPr>
        <w:widowControl/>
        <w:adjustRightInd/>
        <w:jc w:val="center"/>
        <w:rPr>
          <w:rFonts w:ascii="宋体" w:hAnsi="宋体" w:cs="宋体"/>
          <w:b/>
          <w:color w:val="auto"/>
          <w:sz w:val="36"/>
          <w:szCs w:val="36"/>
          <w:highlight w:val="none"/>
        </w:rPr>
      </w:pPr>
    </w:p>
    <w:p>
      <w:pPr>
        <w:widowControl/>
        <w:adjustRightInd/>
        <w:jc w:val="center"/>
        <w:rPr>
          <w:rFonts w:ascii="宋体" w:hAnsi="宋体" w:cs="宋体"/>
          <w:b/>
          <w:color w:val="auto"/>
          <w:sz w:val="36"/>
          <w:szCs w:val="36"/>
          <w:highlight w:val="none"/>
        </w:rPr>
      </w:pPr>
    </w:p>
    <w:p>
      <w:pPr>
        <w:widowControl/>
        <w:adjustRightInd/>
        <w:jc w:val="center"/>
        <w:rPr>
          <w:rFonts w:ascii="宋体" w:hAnsi="宋体" w:cs="宋体"/>
          <w:b/>
          <w:color w:val="auto"/>
          <w:sz w:val="36"/>
          <w:szCs w:val="36"/>
          <w:highlight w:val="none"/>
        </w:rPr>
      </w:pPr>
    </w:p>
    <w:p>
      <w:pPr>
        <w:widowControl/>
        <w:adjustRightInd/>
        <w:jc w:val="center"/>
        <w:rPr>
          <w:rFonts w:ascii="宋体" w:hAnsi="宋体" w:cs="宋体"/>
          <w:b/>
          <w:color w:val="auto"/>
          <w:sz w:val="36"/>
          <w:szCs w:val="36"/>
          <w:highlight w:val="none"/>
        </w:rPr>
      </w:pPr>
    </w:p>
    <w:p>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hAnsi="宋体" w:cs="宋体"/>
          <w:b/>
          <w:color w:val="auto"/>
          <w:sz w:val="36"/>
          <w:szCs w:val="36"/>
          <w:highlight w:val="none"/>
        </w:rPr>
      </w:pPr>
      <w:bookmarkStart w:id="460" w:name="_Toc24882"/>
      <w:r>
        <w:rPr>
          <w:rFonts w:hint="eastAsia" w:ascii="宋体" w:hAnsi="宋体" w:cs="宋体"/>
          <w:b/>
          <w:color w:val="auto"/>
          <w:sz w:val="36"/>
          <w:szCs w:val="36"/>
          <w:highlight w:val="none"/>
        </w:rPr>
        <w:t>第五部分 拟签订的合同文本</w:t>
      </w:r>
      <w:bookmarkEnd w:id="459"/>
      <w:bookmarkEnd w:id="460"/>
    </w:p>
    <w:p>
      <w:pPr>
        <w:spacing w:line="480" w:lineRule="auto"/>
        <w:jc w:val="center"/>
        <w:rPr>
          <w:rFonts w:ascii="宋体" w:hAnsi="宋体" w:cs="宋体"/>
          <w:b/>
          <w:color w:val="auto"/>
          <w:sz w:val="28"/>
          <w:szCs w:val="28"/>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24"/>
          <w:highlight w:val="none"/>
        </w:rPr>
      </w:pPr>
    </w:p>
    <w:p>
      <w:pPr>
        <w:spacing w:line="480" w:lineRule="auto"/>
        <w:jc w:val="center"/>
        <w:rPr>
          <w:rFonts w:ascii="宋体" w:hAnsi="宋体" w:cs="宋体"/>
          <w:b/>
          <w:color w:val="auto"/>
          <w:sz w:val="36"/>
          <w:szCs w:val="36"/>
          <w:highlight w:val="none"/>
        </w:rPr>
      </w:pPr>
      <w:r>
        <w:rPr>
          <w:rFonts w:hint="eastAsia" w:ascii="宋体" w:hAnsi="宋体" w:cs="宋体"/>
          <w:b/>
          <w:bCs/>
          <w:color w:val="auto"/>
          <w:spacing w:val="-20"/>
          <w:kern w:val="44"/>
          <w:sz w:val="48"/>
          <w:szCs w:val="48"/>
          <w:highlight w:val="none"/>
        </w:rPr>
        <w:t>北海市政府采购合同</w:t>
      </w:r>
    </w:p>
    <w:p>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699"/>
        <w:ind w:firstLine="2843" w:firstLineChars="1180"/>
        <w:rPr>
          <w:rFonts w:ascii="宋体" w:hAnsi="宋体" w:cs="宋体"/>
          <w:b/>
          <w:color w:val="auto"/>
          <w:szCs w:val="24"/>
          <w:highlight w:val="none"/>
        </w:rPr>
      </w:pPr>
    </w:p>
    <w:p>
      <w:pPr>
        <w:pStyle w:val="25"/>
        <w:rPr>
          <w:color w:val="auto"/>
          <w:highlight w:val="none"/>
        </w:rPr>
      </w:pPr>
    </w:p>
    <w:p>
      <w:pPr>
        <w:pStyle w:val="25"/>
        <w:rPr>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签订时间：</w:t>
      </w:r>
      <w:r>
        <w:rPr>
          <w:color w:val="auto"/>
          <w:sz w:val="32"/>
          <w:szCs w:val="32"/>
          <w:highlight w:val="none"/>
          <w:u w:val="single"/>
        </w:rPr>
        <w:t xml:space="preserve">                             </w:t>
      </w:r>
    </w:p>
    <w:p>
      <w:pPr>
        <w:widowControl/>
        <w:jc w:val="left"/>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851" w:gutter="0"/>
          <w:cols w:space="720" w:num="1"/>
        </w:sectPr>
      </w:pPr>
    </w:p>
    <w:p>
      <w:pPr>
        <w:spacing w:line="360" w:lineRule="auto"/>
        <w:jc w:val="center"/>
        <w:outlineLvl w:val="1"/>
        <w:rPr>
          <w:rFonts w:ascii="宋体" w:hAnsi="宋体" w:cs="宋体"/>
          <w:b/>
          <w:color w:val="auto"/>
          <w:sz w:val="24"/>
          <w:highlight w:val="none"/>
        </w:rPr>
      </w:pPr>
      <w:bookmarkStart w:id="461" w:name="_Toc22209"/>
      <w:r>
        <w:rPr>
          <w:rFonts w:hint="eastAsia" w:ascii="宋体" w:hAnsi="宋体"/>
          <w:b/>
          <w:color w:val="auto"/>
          <w:sz w:val="24"/>
          <w:highlight w:val="none"/>
        </w:rPr>
        <w:t>第一节 政府采购合同协议书</w:t>
      </w:r>
      <w:bookmarkEnd w:id="461"/>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中标供应商</w:t>
      </w:r>
      <w:r>
        <w:rPr>
          <w:rFonts w:hint="eastAsia" w:ascii="宋体" w:hAnsi="宋体"/>
          <w:color w:val="auto"/>
          <w:sz w:val="24"/>
          <w:highlight w:val="none"/>
        </w:rPr>
        <w:t>。现于</w:t>
      </w:r>
      <w:r>
        <w:rPr>
          <w:rFonts w:hint="eastAsia" w:ascii="宋体" w:hAnsi="宋体" w:cs="宋体"/>
          <w:color w:val="auto"/>
          <w:sz w:val="24"/>
          <w:highlight w:val="none"/>
        </w:rPr>
        <w:t>中标通知书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rPr>
          <w:rFonts w:ascii="宋体" w:hAnsi="宋体"/>
          <w:color w:val="auto"/>
          <w:sz w:val="24"/>
          <w:highlight w:val="none"/>
        </w:rPr>
      </w:pPr>
      <w:bookmarkStart w:id="462" w:name="_Toc19273"/>
      <w:bookmarkStart w:id="463" w:name="_Toc15367"/>
      <w:bookmarkStart w:id="464" w:name="_Toc20421"/>
      <w:bookmarkStart w:id="465" w:name="_Toc22967"/>
      <w:bookmarkStart w:id="466"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62"/>
      <w:bookmarkEnd w:id="463"/>
      <w:bookmarkEnd w:id="464"/>
      <w:bookmarkEnd w:id="465"/>
      <w:bookmarkEnd w:id="46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投标文件（含澄清或者说明文件）；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360" w:lineRule="auto"/>
        <w:ind w:firstLine="482" w:firstLineChars="200"/>
        <w:rPr>
          <w:rFonts w:ascii="宋体" w:hAnsi="宋体"/>
          <w:b/>
          <w:color w:val="auto"/>
          <w:sz w:val="24"/>
          <w:highlight w:val="none"/>
        </w:rPr>
      </w:pPr>
      <w:bookmarkStart w:id="467" w:name="_Toc2918"/>
      <w:bookmarkStart w:id="468" w:name="_Toc6311"/>
      <w:bookmarkStart w:id="469" w:name="_Toc6773"/>
      <w:bookmarkStart w:id="470" w:name="_Toc22185"/>
      <w:bookmarkStart w:id="471"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67"/>
      <w:bookmarkEnd w:id="468"/>
      <w:bookmarkEnd w:id="469"/>
      <w:bookmarkEnd w:id="470"/>
      <w:bookmarkEnd w:id="471"/>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957"/>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bookmarkStart w:id="472" w:name="_Toc21124"/>
      <w:bookmarkStart w:id="473" w:name="_Toc1386"/>
      <w:bookmarkStart w:id="474" w:name="_Toc5635"/>
      <w:bookmarkStart w:id="475" w:name="_Toc4929"/>
      <w:bookmarkStart w:id="476"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472"/>
      <w:bookmarkEnd w:id="473"/>
      <w:bookmarkEnd w:id="474"/>
      <w:bookmarkEnd w:id="475"/>
      <w:bookmarkEnd w:id="476"/>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318"/>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318"/>
              <w:spacing w:line="360" w:lineRule="auto"/>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18"/>
              <w:spacing w:line="360" w:lineRule="auto"/>
              <w:ind w:firstLine="200"/>
              <w:jc w:val="center"/>
              <w:rPr>
                <w:rFonts w:hAnsi="宋体"/>
                <w:color w:val="auto"/>
                <w:sz w:val="24"/>
                <w:szCs w:val="24"/>
                <w:highlight w:val="none"/>
              </w:rPr>
            </w:pPr>
          </w:p>
        </w:tc>
        <w:tc>
          <w:tcPr>
            <w:tcW w:w="3402" w:type="dxa"/>
            <w:vAlign w:val="center"/>
          </w:tcPr>
          <w:p>
            <w:pPr>
              <w:pStyle w:val="318"/>
              <w:spacing w:line="360" w:lineRule="auto"/>
              <w:ind w:firstLine="200"/>
              <w:jc w:val="center"/>
              <w:rPr>
                <w:rFonts w:hAnsi="宋体"/>
                <w:color w:val="auto"/>
                <w:sz w:val="24"/>
                <w:szCs w:val="24"/>
                <w:highlight w:val="none"/>
              </w:rPr>
            </w:pPr>
          </w:p>
        </w:tc>
        <w:tc>
          <w:tcPr>
            <w:tcW w:w="2552" w:type="dxa"/>
            <w:vAlign w:val="center"/>
          </w:tcPr>
          <w:p>
            <w:pPr>
              <w:pStyle w:val="318"/>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18"/>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318"/>
              <w:spacing w:line="360" w:lineRule="auto"/>
              <w:ind w:firstLine="200"/>
              <w:jc w:val="center"/>
              <w:rPr>
                <w:rFonts w:hAnsi="宋体"/>
                <w:color w:val="auto"/>
                <w:sz w:val="24"/>
                <w:szCs w:val="24"/>
                <w:highlight w:val="none"/>
              </w:rPr>
            </w:pPr>
          </w:p>
        </w:tc>
      </w:tr>
    </w:tbl>
    <w:p>
      <w:pPr>
        <w:spacing w:line="360" w:lineRule="auto"/>
        <w:ind w:firstLine="480" w:firstLineChars="200"/>
        <w:rPr>
          <w:rFonts w:ascii="宋体" w:hAnsi="宋体"/>
          <w:color w:val="auto"/>
          <w:sz w:val="24"/>
          <w:highlight w:val="none"/>
        </w:rPr>
      </w:pPr>
      <w:bookmarkStart w:id="477" w:name="_Toc26916"/>
      <w:bookmarkStart w:id="478" w:name="_Toc30506"/>
      <w:bookmarkStart w:id="479" w:name="_Toc30158"/>
      <w:bookmarkStart w:id="480" w:name="_Toc3654"/>
      <w:bookmarkStart w:id="481"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83"/>
        <w:rPr>
          <w:color w:val="auto"/>
          <w:highlight w:val="none"/>
        </w:rPr>
      </w:pPr>
      <w:r>
        <w:rPr>
          <w:rFonts w:hint="eastAsia"/>
          <w:color w:val="auto"/>
          <w:highlight w:val="none"/>
        </w:rPr>
        <w:t xml:space="preserve">    1.3.3其他计价方式：                   。</w:t>
      </w:r>
    </w:p>
    <w:bookmarkEnd w:id="477"/>
    <w:bookmarkEnd w:id="478"/>
    <w:bookmarkEnd w:id="479"/>
    <w:bookmarkEnd w:id="480"/>
    <w:bookmarkEnd w:id="481"/>
    <w:p>
      <w:pPr>
        <w:pStyle w:val="957"/>
        <w:spacing w:before="0" w:beforeAutospacing="0" w:after="0" w:afterAutospacing="0" w:line="360" w:lineRule="auto"/>
        <w:ind w:firstLine="480"/>
        <w:rPr>
          <w:b/>
          <w:color w:val="auto"/>
          <w:highlight w:val="none"/>
        </w:rPr>
      </w:pPr>
      <w:bookmarkStart w:id="482" w:name="_Toc10340"/>
      <w:bookmarkStart w:id="483" w:name="_Toc22618"/>
      <w:bookmarkStart w:id="484" w:name="_Toc1814"/>
      <w:bookmarkStart w:id="485" w:name="_Toc3625"/>
      <w:bookmarkStart w:id="486" w:name="_Toc4760"/>
      <w:bookmarkStart w:id="487" w:name="_Toc11108"/>
      <w:bookmarkStart w:id="488" w:name="_Toc31421"/>
      <w:bookmarkStart w:id="489" w:name="_Toc8772"/>
      <w:r>
        <w:rPr>
          <w:rFonts w:hint="eastAsia"/>
          <w:b/>
          <w:color w:val="auto"/>
          <w:highlight w:val="none"/>
        </w:rPr>
        <w:t>1.4履约保证金</w:t>
      </w:r>
    </w:p>
    <w:p>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83"/>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482"/>
      <w:bookmarkEnd w:id="483"/>
      <w:bookmarkEnd w:id="484"/>
      <w:r>
        <w:rPr>
          <w:rFonts w:hint="eastAsia" w:ascii="宋体" w:hAnsi="宋体" w:cs="宋体"/>
          <w:b/>
          <w:color w:val="auto"/>
          <w:sz w:val="24"/>
          <w:highlight w:val="none"/>
        </w:rPr>
        <w:t>预付款</w:t>
      </w:r>
    </w:p>
    <w:p>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85"/>
      <w:bookmarkEnd w:id="486"/>
      <w:bookmarkEnd w:id="487"/>
      <w:bookmarkEnd w:id="488"/>
      <w:bookmarkEnd w:id="489"/>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bookmarkStart w:id="490" w:name="_Toc2375"/>
      <w:bookmarkStart w:id="491" w:name="_Toc3079"/>
      <w:bookmarkStart w:id="492" w:name="_Toc24662"/>
      <w:bookmarkStart w:id="493" w:name="_Toc5698"/>
      <w:bookmarkStart w:id="494" w:name="_Toc8586"/>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90"/>
      <w:bookmarkEnd w:id="491"/>
      <w:bookmarkEnd w:id="492"/>
      <w:bookmarkEnd w:id="493"/>
      <w:bookmarkEnd w:id="494"/>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83"/>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495" w:name="_Toc30329"/>
      <w:bookmarkStart w:id="496" w:name="_Toc32454"/>
      <w:bookmarkStart w:id="497" w:name="_Toc9497"/>
      <w:bookmarkStart w:id="498" w:name="_Toc26807"/>
      <w:bookmarkStart w:id="499"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495"/>
    <w:bookmarkEnd w:id="496"/>
    <w:bookmarkEnd w:id="497"/>
    <w:bookmarkEnd w:id="498"/>
    <w:bookmarkEnd w:id="499"/>
    <w:p>
      <w:pPr>
        <w:spacing w:line="360" w:lineRule="auto"/>
        <w:ind w:firstLine="482" w:firstLineChars="200"/>
        <w:rPr>
          <w:rFonts w:ascii="宋体" w:hAnsi="宋体" w:cs="宋体"/>
          <w:b/>
          <w:color w:val="auto"/>
          <w:sz w:val="24"/>
          <w:highlight w:val="none"/>
        </w:rPr>
      </w:pPr>
      <w:bookmarkStart w:id="500" w:name="_Toc16021"/>
      <w:bookmarkStart w:id="501" w:name="_Toc28375"/>
      <w:bookmarkStart w:id="502" w:name="_Toc15583"/>
      <w:r>
        <w:rPr>
          <w:rFonts w:hint="eastAsia" w:ascii="宋体" w:hAnsi="宋体" w:cs="宋体"/>
          <w:b/>
          <w:color w:val="auto"/>
          <w:sz w:val="24"/>
          <w:highlight w:val="none"/>
        </w:rPr>
        <w:t>1.9合同争议的解决</w:t>
      </w:r>
      <w:bookmarkEnd w:id="500"/>
      <w:bookmarkEnd w:id="501"/>
      <w:bookmarkEnd w:id="502"/>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rPr>
          <w:rFonts w:ascii="宋体" w:hAnsi="宋体" w:cs="宋体"/>
          <w:b/>
          <w:color w:val="auto"/>
          <w:sz w:val="24"/>
          <w:highlight w:val="none"/>
        </w:rPr>
      </w:pPr>
      <w:bookmarkStart w:id="503" w:name="_Toc7245"/>
      <w:bookmarkStart w:id="504" w:name="_Toc11173"/>
      <w:bookmarkStart w:id="505" w:name="_Toc15322"/>
      <w:r>
        <w:rPr>
          <w:rFonts w:hint="eastAsia" w:ascii="宋体" w:hAnsi="宋体" w:cs="宋体"/>
          <w:b/>
          <w:color w:val="auto"/>
          <w:sz w:val="24"/>
          <w:highlight w:val="none"/>
        </w:rPr>
        <w:t>2.0 合同生效</w:t>
      </w:r>
      <w:bookmarkEnd w:id="503"/>
      <w:bookmarkEnd w:id="504"/>
      <w:bookmarkEnd w:id="505"/>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560" w:lineRule="exact"/>
        <w:rPr>
          <w:rFonts w:ascii="宋体" w:hAnsi="宋体"/>
          <w:color w:val="auto"/>
          <w:sz w:val="24"/>
          <w:highlight w:val="none"/>
          <w:lang w:val="zh-CN"/>
        </w:rPr>
      </w:pPr>
    </w:p>
    <w:tbl>
      <w:tblPr>
        <w:tblStyle w:val="62"/>
        <w:tblW w:w="4925"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5"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1"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widowControl/>
        <w:spacing w:line="560" w:lineRule="exact"/>
        <w:jc w:val="left"/>
        <w:rPr>
          <w:rFonts w:ascii="宋体" w:hAnsi="宋体"/>
          <w:b/>
          <w:color w:val="auto"/>
          <w:sz w:val="24"/>
          <w:highlight w:val="none"/>
        </w:rPr>
      </w:pPr>
    </w:p>
    <w:p>
      <w:pPr>
        <w:widowControl/>
        <w:adjustRightInd/>
        <w:jc w:val="left"/>
        <w:rPr>
          <w:rFonts w:ascii="宋体" w:hAnsi="宋体"/>
          <w:b/>
          <w:color w:val="auto"/>
          <w:sz w:val="24"/>
          <w:highlight w:val="none"/>
        </w:rPr>
      </w:pPr>
      <w:r>
        <w:rPr>
          <w:rFonts w:ascii="宋体" w:hAnsi="宋体"/>
          <w:b/>
          <w:color w:val="auto"/>
          <w:highlight w:val="none"/>
        </w:rPr>
        <w:br w:type="page"/>
      </w:r>
    </w:p>
    <w:p>
      <w:pPr>
        <w:pStyle w:val="699"/>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 政府采购合同通用条款</w:t>
      </w:r>
    </w:p>
    <w:p>
      <w:pPr>
        <w:spacing w:line="360" w:lineRule="auto"/>
        <w:ind w:firstLine="482" w:firstLineChars="200"/>
        <w:rPr>
          <w:rFonts w:ascii="宋体" w:hAnsi="宋体"/>
          <w:b/>
          <w:color w:val="auto"/>
          <w:sz w:val="24"/>
          <w:highlight w:val="none"/>
        </w:rPr>
      </w:pPr>
      <w:bookmarkStart w:id="506" w:name="_Toc25079"/>
      <w:bookmarkStart w:id="507" w:name="_Toc14021"/>
      <w:bookmarkStart w:id="508" w:name="_Toc19680"/>
      <w:bookmarkStart w:id="509" w:name="_Toc31297"/>
      <w:bookmarkStart w:id="510" w:name="_Toc5228"/>
      <w:r>
        <w:rPr>
          <w:rFonts w:ascii="宋体" w:hAnsi="宋体"/>
          <w:b/>
          <w:color w:val="auto"/>
          <w:sz w:val="24"/>
          <w:highlight w:val="none"/>
        </w:rPr>
        <w:t>2.1 定义</w:t>
      </w:r>
      <w:bookmarkEnd w:id="506"/>
      <w:bookmarkEnd w:id="507"/>
      <w:bookmarkEnd w:id="508"/>
      <w:bookmarkEnd w:id="509"/>
      <w:bookmarkEnd w:id="510"/>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ascii="宋体" w:hAnsi="宋体"/>
          <w:b/>
          <w:color w:val="auto"/>
          <w:sz w:val="24"/>
          <w:highlight w:val="none"/>
        </w:rPr>
      </w:pPr>
      <w:bookmarkStart w:id="511" w:name="_Toc16752"/>
      <w:bookmarkStart w:id="512" w:name="_Toc31402"/>
      <w:bookmarkStart w:id="513" w:name="_Toc19539"/>
      <w:bookmarkStart w:id="514" w:name="_Toc23289"/>
      <w:bookmarkStart w:id="515" w:name="_Toc3769"/>
      <w:r>
        <w:rPr>
          <w:rFonts w:ascii="宋体" w:hAnsi="宋体"/>
          <w:b/>
          <w:color w:val="auto"/>
          <w:sz w:val="24"/>
          <w:highlight w:val="none"/>
        </w:rPr>
        <w:t>2.2 技术规范</w:t>
      </w:r>
      <w:bookmarkEnd w:id="511"/>
      <w:bookmarkEnd w:id="512"/>
      <w:bookmarkEnd w:id="513"/>
      <w:bookmarkEnd w:id="514"/>
      <w:bookmarkEnd w:id="5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ascii="宋体" w:hAnsi="宋体"/>
          <w:b/>
          <w:color w:val="auto"/>
          <w:sz w:val="24"/>
          <w:highlight w:val="none"/>
        </w:rPr>
      </w:pPr>
      <w:bookmarkStart w:id="516" w:name="_Toc12412"/>
      <w:bookmarkStart w:id="517" w:name="_Toc4133"/>
      <w:bookmarkStart w:id="518" w:name="_Toc9161"/>
      <w:bookmarkStart w:id="519" w:name="_Toc27945"/>
      <w:bookmarkStart w:id="520" w:name="_Toc13673"/>
      <w:r>
        <w:rPr>
          <w:rFonts w:ascii="宋体" w:hAnsi="宋体"/>
          <w:b/>
          <w:color w:val="auto"/>
          <w:sz w:val="24"/>
          <w:highlight w:val="none"/>
        </w:rPr>
        <w:t>2.3 知识产权</w:t>
      </w:r>
      <w:bookmarkEnd w:id="516"/>
      <w:bookmarkEnd w:id="517"/>
      <w:bookmarkEnd w:id="518"/>
      <w:bookmarkEnd w:id="519"/>
      <w:bookmarkEnd w:id="520"/>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highlight w:val="none"/>
        </w:rPr>
      </w:pPr>
      <w:bookmarkStart w:id="521" w:name="_Toc31233"/>
      <w:bookmarkStart w:id="522" w:name="_Toc26555"/>
      <w:bookmarkStart w:id="523" w:name="_Toc15447"/>
      <w:bookmarkStart w:id="524" w:name="_Toc22011"/>
      <w:bookmarkStart w:id="525" w:name="_Toc32670"/>
      <w:r>
        <w:rPr>
          <w:rFonts w:ascii="宋体" w:hAnsi="宋体"/>
          <w:b/>
          <w:color w:val="auto"/>
          <w:sz w:val="24"/>
          <w:highlight w:val="none"/>
        </w:rPr>
        <w:t>2.5 结算方式和付款条件</w:t>
      </w:r>
      <w:bookmarkEnd w:id="521"/>
      <w:bookmarkEnd w:id="522"/>
      <w:bookmarkEnd w:id="523"/>
      <w:bookmarkEnd w:id="524"/>
      <w:bookmarkEnd w:id="525"/>
    </w:p>
    <w:p>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526" w:name="_Toc16163"/>
      <w:bookmarkStart w:id="527" w:name="_Toc13467"/>
      <w:bookmarkStart w:id="528" w:name="_Toc18990"/>
      <w:bookmarkStart w:id="529" w:name="_Toc30507"/>
      <w:bookmarkStart w:id="530" w:name="_Toc13154"/>
      <w:r>
        <w:rPr>
          <w:rFonts w:ascii="宋体" w:hAnsi="宋体"/>
          <w:b/>
          <w:color w:val="auto"/>
          <w:sz w:val="24"/>
          <w:highlight w:val="none"/>
        </w:rPr>
        <w:t>2.6 技术资料和保密义务</w:t>
      </w:r>
      <w:bookmarkEnd w:id="526"/>
      <w:bookmarkEnd w:id="527"/>
      <w:bookmarkEnd w:id="528"/>
      <w:bookmarkEnd w:id="529"/>
      <w:bookmarkEnd w:id="530"/>
    </w:p>
    <w:p>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highlight w:val="none"/>
        </w:rPr>
      </w:pPr>
      <w:bookmarkStart w:id="531"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531"/>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highlight w:val="none"/>
        </w:rPr>
      </w:pPr>
      <w:bookmarkStart w:id="532"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53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ascii="宋体" w:hAnsi="宋体"/>
          <w:b/>
          <w:color w:val="auto"/>
          <w:sz w:val="24"/>
          <w:highlight w:val="none"/>
        </w:rPr>
      </w:pPr>
      <w:bookmarkStart w:id="533"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53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534" w:name="_Toc42"/>
      <w:bookmarkStart w:id="535" w:name="_Toc10663"/>
      <w:bookmarkStart w:id="536" w:name="_Toc21830"/>
      <w:bookmarkStart w:id="537" w:name="_Toc23368"/>
      <w:bookmarkStart w:id="538" w:name="_Toc26689"/>
      <w:r>
        <w:rPr>
          <w:rFonts w:ascii="宋体" w:hAnsi="宋体"/>
          <w:b/>
          <w:color w:val="auto"/>
          <w:sz w:val="24"/>
          <w:highlight w:val="none"/>
        </w:rPr>
        <w:t>2.10 合同转让和分包</w:t>
      </w:r>
      <w:bookmarkEnd w:id="534"/>
      <w:bookmarkEnd w:id="535"/>
      <w:bookmarkEnd w:id="536"/>
      <w:bookmarkEnd w:id="537"/>
      <w:bookmarkEnd w:id="538"/>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ascii="宋体" w:hAnsi="宋体"/>
          <w:b/>
          <w:color w:val="auto"/>
          <w:sz w:val="24"/>
          <w:highlight w:val="none"/>
        </w:rPr>
      </w:pPr>
      <w:bookmarkStart w:id="539" w:name="_Toc26633"/>
      <w:bookmarkStart w:id="540" w:name="_Toc25571"/>
      <w:bookmarkStart w:id="541" w:name="_Toc32494"/>
      <w:bookmarkStart w:id="542" w:name="_Toc14371"/>
      <w:bookmarkStart w:id="543" w:name="_Toc4720"/>
      <w:r>
        <w:rPr>
          <w:rFonts w:ascii="宋体" w:hAnsi="宋体"/>
          <w:b/>
          <w:color w:val="auto"/>
          <w:sz w:val="24"/>
          <w:highlight w:val="none"/>
        </w:rPr>
        <w:t>2.11 不可抗力</w:t>
      </w:r>
      <w:bookmarkEnd w:id="539"/>
      <w:bookmarkEnd w:id="540"/>
      <w:bookmarkEnd w:id="541"/>
      <w:bookmarkEnd w:id="542"/>
      <w:bookmarkEnd w:id="543"/>
    </w:p>
    <w:p>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544" w:name="_Toc25783"/>
      <w:bookmarkStart w:id="545" w:name="_Toc24465"/>
      <w:bookmarkStart w:id="546" w:name="_Toc14115"/>
      <w:bookmarkStart w:id="547" w:name="_Toc3638"/>
      <w:bookmarkStart w:id="548" w:name="_Toc23854"/>
      <w:r>
        <w:rPr>
          <w:rFonts w:ascii="宋体" w:hAnsi="宋体"/>
          <w:b/>
          <w:color w:val="auto"/>
          <w:sz w:val="24"/>
          <w:highlight w:val="none"/>
        </w:rPr>
        <w:t>2.12 税费</w:t>
      </w:r>
      <w:bookmarkEnd w:id="544"/>
      <w:bookmarkEnd w:id="545"/>
      <w:bookmarkEnd w:id="546"/>
      <w:bookmarkEnd w:id="547"/>
      <w:bookmarkEnd w:id="548"/>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ascii="宋体" w:hAnsi="宋体"/>
          <w:b/>
          <w:color w:val="auto"/>
          <w:sz w:val="24"/>
          <w:highlight w:val="none"/>
        </w:rPr>
      </w:pPr>
      <w:bookmarkStart w:id="549" w:name="_Toc14814"/>
      <w:bookmarkStart w:id="550" w:name="_Toc25525"/>
      <w:bookmarkStart w:id="551" w:name="_Toc30105"/>
      <w:bookmarkStart w:id="552" w:name="_Toc26883"/>
      <w:bookmarkStart w:id="553" w:name="_Toc7315"/>
      <w:r>
        <w:rPr>
          <w:rFonts w:ascii="宋体" w:hAnsi="宋体"/>
          <w:b/>
          <w:color w:val="auto"/>
          <w:sz w:val="24"/>
          <w:highlight w:val="none"/>
        </w:rPr>
        <w:t>2.13 乙方破产</w:t>
      </w:r>
      <w:bookmarkEnd w:id="549"/>
      <w:bookmarkEnd w:id="550"/>
      <w:bookmarkEnd w:id="551"/>
      <w:bookmarkEnd w:id="552"/>
      <w:bookmarkEnd w:id="553"/>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554" w:name="_Toc2016"/>
      <w:bookmarkStart w:id="555" w:name="_Toc1123"/>
      <w:bookmarkStart w:id="556" w:name="_Toc23323"/>
      <w:r>
        <w:rPr>
          <w:rFonts w:ascii="宋体" w:hAnsi="宋体"/>
          <w:b/>
          <w:color w:val="auto"/>
          <w:sz w:val="24"/>
          <w:highlight w:val="none"/>
        </w:rPr>
        <w:t>2.14 合同中止、终止</w:t>
      </w:r>
      <w:bookmarkEnd w:id="554"/>
      <w:bookmarkEnd w:id="555"/>
      <w:bookmarkEnd w:id="556"/>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557" w:name="_Toc14525"/>
      <w:bookmarkStart w:id="558" w:name="_Toc17363"/>
      <w:bookmarkStart w:id="559" w:name="_Toc1969"/>
      <w:r>
        <w:rPr>
          <w:rFonts w:ascii="宋体" w:hAnsi="宋体"/>
          <w:b/>
          <w:color w:val="auto"/>
          <w:sz w:val="24"/>
          <w:highlight w:val="none"/>
        </w:rPr>
        <w:t>2.15 检验和验收</w:t>
      </w:r>
      <w:bookmarkEnd w:id="557"/>
      <w:bookmarkEnd w:id="558"/>
      <w:bookmarkEnd w:id="559"/>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560" w:name="_Toc25198"/>
      <w:bookmarkStart w:id="561" w:name="_Toc12666"/>
      <w:bookmarkStart w:id="562" w:name="_Toc9808"/>
      <w:bookmarkStart w:id="563" w:name="_Toc2308"/>
      <w:bookmarkStart w:id="564" w:name="_Toc31892"/>
      <w:r>
        <w:rPr>
          <w:rFonts w:ascii="宋体" w:hAnsi="宋体"/>
          <w:b/>
          <w:color w:val="auto"/>
          <w:sz w:val="24"/>
          <w:highlight w:val="none"/>
        </w:rPr>
        <w:t>2.16 通知和送达</w:t>
      </w:r>
      <w:bookmarkEnd w:id="560"/>
      <w:bookmarkEnd w:id="561"/>
      <w:bookmarkEnd w:id="562"/>
      <w:bookmarkEnd w:id="563"/>
      <w:bookmarkEnd w:id="564"/>
    </w:p>
    <w:p>
      <w:pPr>
        <w:spacing w:line="360" w:lineRule="auto"/>
        <w:ind w:firstLine="480" w:firstLineChars="200"/>
        <w:rPr>
          <w:rFonts w:ascii="宋体" w:hAnsi="宋体"/>
          <w:color w:val="auto"/>
          <w:sz w:val="24"/>
          <w:highlight w:val="none"/>
        </w:rPr>
      </w:pPr>
      <w:bookmarkStart w:id="565" w:name="_Toc27674"/>
      <w:bookmarkStart w:id="566"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65"/>
      <w:bookmarkEnd w:id="566"/>
    </w:p>
    <w:p>
      <w:pPr>
        <w:spacing w:line="360" w:lineRule="auto"/>
        <w:ind w:firstLine="482" w:firstLineChars="200"/>
        <w:rPr>
          <w:rFonts w:ascii="宋体" w:hAnsi="宋体"/>
          <w:b/>
          <w:color w:val="auto"/>
          <w:sz w:val="24"/>
          <w:highlight w:val="none"/>
        </w:rPr>
      </w:pPr>
      <w:bookmarkStart w:id="567" w:name="_Toc20808"/>
      <w:bookmarkStart w:id="568" w:name="_Toc5063"/>
      <w:bookmarkStart w:id="569" w:name="_Toc27644"/>
      <w:bookmarkStart w:id="570" w:name="_Toc12254"/>
      <w:bookmarkStart w:id="571"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67"/>
      <w:bookmarkEnd w:id="568"/>
      <w:bookmarkEnd w:id="569"/>
      <w:bookmarkEnd w:id="570"/>
      <w:bookmarkEnd w:id="571"/>
    </w:p>
    <w:p>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ascii="宋体" w:hAnsi="宋体" w:cs="宋体"/>
          <w:b/>
          <w:color w:val="auto"/>
          <w:sz w:val="24"/>
          <w:highlight w:val="none"/>
        </w:rPr>
      </w:pPr>
      <w:bookmarkStart w:id="572" w:name="_Toc18540"/>
      <w:bookmarkStart w:id="573" w:name="_Toc30599"/>
      <w:bookmarkStart w:id="574" w:name="_Toc4355"/>
      <w:r>
        <w:rPr>
          <w:rFonts w:hint="eastAsia" w:ascii="宋体" w:hAnsi="宋体" w:cs="宋体"/>
          <w:b/>
          <w:color w:val="auto"/>
          <w:sz w:val="24"/>
          <w:highlight w:val="none"/>
        </w:rPr>
        <w:t>2.18 计量单位</w:t>
      </w:r>
      <w:bookmarkEnd w:id="572"/>
      <w:bookmarkEnd w:id="573"/>
      <w:bookmarkEnd w:id="57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政府采购合同专用条款</w:t>
      </w:r>
    </w:p>
    <w:p>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37"/>
        <w:gridCol w:w="86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ascii="宋体" w:hAnsi="宋体" w:cs="宋体"/>
          <w:color w:val="auto"/>
          <w:sz w:val="24"/>
          <w:highlight w:val="none"/>
        </w:rPr>
      </w:pPr>
    </w:p>
    <w:p>
      <w:pPr>
        <w:spacing w:line="360" w:lineRule="auto"/>
        <w:ind w:left="-420" w:leftChars="-200" w:right="-420" w:rightChars="-200" w:firstLine="480" w:firstLineChars="200"/>
        <w:jc w:val="center"/>
        <w:rPr>
          <w:rFonts w:ascii="宋体" w:hAnsi="宋体" w:cs="宋体"/>
          <w:color w:val="auto"/>
          <w:sz w:val="24"/>
          <w:highlight w:val="none"/>
        </w:rPr>
      </w:pPr>
    </w:p>
    <w:p>
      <w:pPr>
        <w:rPr>
          <w:rFonts w:ascii="宋体" w:hAnsi="宋体" w:cs="宋体"/>
          <w:b/>
          <w:color w:val="auto"/>
          <w:sz w:val="36"/>
          <w:szCs w:val="20"/>
          <w:highlight w:val="none"/>
        </w:rPr>
      </w:pPr>
      <w:bookmarkStart w:id="575" w:name="_Toc176368907"/>
      <w:r>
        <w:rPr>
          <w:rFonts w:hint="eastAsia" w:ascii="宋体" w:hAnsi="宋体" w:cs="宋体"/>
          <w:b/>
          <w:color w:val="auto"/>
          <w:sz w:val="36"/>
          <w:szCs w:val="20"/>
          <w:highlight w:val="none"/>
        </w:rPr>
        <w:br w:type="page"/>
      </w:r>
    </w:p>
    <w:p>
      <w:pPr>
        <w:widowControl/>
        <w:adjustRightInd/>
        <w:jc w:val="center"/>
        <w:outlineLvl w:val="0"/>
        <w:rPr>
          <w:rFonts w:ascii="宋体" w:hAnsi="宋体" w:cs="宋体"/>
          <w:b/>
          <w:color w:val="auto"/>
          <w:sz w:val="36"/>
          <w:szCs w:val="20"/>
          <w:highlight w:val="none"/>
        </w:rPr>
      </w:pPr>
      <w:bookmarkStart w:id="576" w:name="_Toc32740"/>
      <w:r>
        <w:rPr>
          <w:rFonts w:hint="eastAsia" w:ascii="宋体" w:hAnsi="宋体" w:cs="宋体"/>
          <w:b/>
          <w:color w:val="auto"/>
          <w:sz w:val="36"/>
          <w:szCs w:val="20"/>
          <w:highlight w:val="none"/>
        </w:rPr>
        <w:t>第六部分</w:t>
      </w:r>
      <w:bookmarkEnd w:id="457"/>
      <w:r>
        <w:rPr>
          <w:rFonts w:hint="eastAsia" w:ascii="宋体" w:hAnsi="宋体" w:cs="宋体"/>
          <w:b/>
          <w:color w:val="auto"/>
          <w:sz w:val="36"/>
          <w:szCs w:val="20"/>
          <w:highlight w:val="none"/>
        </w:rPr>
        <w:t xml:space="preserve"> </w:t>
      </w:r>
      <w:bookmarkEnd w:id="458"/>
      <w:r>
        <w:rPr>
          <w:rFonts w:hint="eastAsia" w:ascii="宋体" w:hAnsi="宋体" w:cs="宋体"/>
          <w:b/>
          <w:color w:val="auto"/>
          <w:sz w:val="36"/>
          <w:szCs w:val="20"/>
          <w:highlight w:val="none"/>
        </w:rPr>
        <w:t>应提交的有关格式范例</w:t>
      </w:r>
      <w:bookmarkEnd w:id="575"/>
      <w:bookmarkEnd w:id="576"/>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pPr>
        <w:snapToGrid w:val="0"/>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pPr>
        <w:snapToGrid w:val="0"/>
        <w:spacing w:line="360" w:lineRule="auto"/>
        <w:ind w:right="480"/>
        <w:jc w:val="center"/>
        <w:rPr>
          <w:rFonts w:ascii="宋体" w:hAnsi="宋体" w:cs="宋体"/>
          <w:color w:val="auto"/>
          <w:sz w:val="24"/>
          <w:highlight w:val="none"/>
        </w:rPr>
      </w:pPr>
    </w:p>
    <w:p>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ascii="宋体" w:hAnsi="宋体" w:cs="宋体"/>
          <w:color w:val="auto"/>
          <w:sz w:val="24"/>
          <w:highlight w:val="none"/>
        </w:rPr>
      </w:pPr>
    </w:p>
    <w:p>
      <w:pPr>
        <w:snapToGrid w:val="0"/>
        <w:spacing w:line="360" w:lineRule="auto"/>
        <w:ind w:right="480"/>
        <w:jc w:val="center"/>
        <w:rPr>
          <w:rFonts w:ascii="宋体" w:hAnsi="宋体" w:cs="宋体"/>
          <w:b/>
          <w:color w:val="auto"/>
          <w:kern w:val="0"/>
          <w:sz w:val="32"/>
          <w:szCs w:val="32"/>
          <w:highlight w:val="none"/>
        </w:rPr>
      </w:pPr>
    </w:p>
    <w:p>
      <w:pPr>
        <w:rPr>
          <w:rFonts w:ascii="宋体" w:hAnsi="宋体" w:cs="宋体"/>
          <w:color w:val="auto"/>
          <w:highlight w:val="none"/>
        </w:rPr>
      </w:pPr>
    </w:p>
    <w:p>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pPr>
        <w:widowControl/>
        <w:spacing w:line="360" w:lineRule="auto"/>
        <w:ind w:firstLine="480"/>
        <w:jc w:val="left"/>
        <w:rPr>
          <w:rFonts w:ascii="宋体" w:hAnsi="宋体" w:cs="宋体"/>
          <w:color w:val="auto"/>
          <w:sz w:val="24"/>
          <w:highlight w:val="none"/>
        </w:rPr>
      </w:pPr>
    </w:p>
    <w:p>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pPr>
        <w:widowControl/>
        <w:spacing w:line="360" w:lineRule="auto"/>
        <w:ind w:left="150"/>
        <w:jc w:val="center"/>
        <w:rPr>
          <w:rFonts w:ascii="宋体" w:hAnsi="宋体" w:cs="宋体"/>
          <w:b/>
          <w:color w:val="auto"/>
          <w:kern w:val="0"/>
          <w:sz w:val="32"/>
          <w:szCs w:val="32"/>
          <w:highlight w:val="none"/>
        </w:rPr>
      </w:pPr>
    </w:p>
    <w:p>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pPr>
        <w:rPr>
          <w:rFonts w:ascii="宋体" w:hAnsi="宋体" w:cs="宋体"/>
          <w:color w:val="auto"/>
          <w:highlight w:val="none"/>
        </w:rPr>
      </w:pPr>
    </w:p>
    <w:p>
      <w:pPr>
        <w:snapToGrid w:val="0"/>
        <w:spacing w:line="360" w:lineRule="auto"/>
        <w:ind w:right="480"/>
        <w:jc w:val="center"/>
        <w:rPr>
          <w:rFonts w:ascii="宋体" w:hAnsi="宋体" w:cs="宋体"/>
          <w:b/>
          <w:color w:val="auto"/>
          <w:kern w:val="0"/>
          <w:sz w:val="32"/>
          <w:szCs w:val="32"/>
          <w:highlight w:val="none"/>
        </w:rPr>
      </w:pPr>
    </w:p>
    <w:p>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w:t>
      </w:r>
      <w:bookmarkStart w:id="577" w:name="OLE_LINK131"/>
      <w:bookmarkStart w:id="578" w:name="OLE_LINK132"/>
      <w:r>
        <w:rPr>
          <w:rFonts w:hint="eastAsia" w:ascii="宋体" w:hAnsi="宋体" w:cs="宋体"/>
          <w:color w:val="auto"/>
          <w:sz w:val="24"/>
          <w:highlight w:val="none"/>
          <w:lang w:val="zh-CN"/>
        </w:rPr>
        <w:t>组织实施方案</w:t>
      </w:r>
      <w:bookmarkEnd w:id="577"/>
      <w:bookmarkEnd w:id="578"/>
      <w:r>
        <w:rPr>
          <w:rFonts w:hint="eastAsia" w:ascii="宋体" w:hAnsi="宋体" w:cs="宋体"/>
          <w:color w:val="auto"/>
          <w:highlight w:val="none"/>
        </w:rPr>
        <w:t>…………………………………………………………………………（页码）</w:t>
      </w:r>
    </w:p>
    <w:p>
      <w:pPr>
        <w:snapToGrid w:val="0"/>
        <w:spacing w:line="360" w:lineRule="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）服务方案</w:t>
      </w:r>
      <w:r>
        <w:rPr>
          <w:rFonts w:hint="eastAsia" w:ascii="宋体" w:hAnsi="宋体" w:cs="宋体"/>
          <w:color w:val="auto"/>
          <w:highlight w:val="none"/>
        </w:rPr>
        <w:t>…………………………………………………………………………（页码）</w:t>
      </w: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snapToGrid w:val="0"/>
        <w:spacing w:line="360" w:lineRule="auto"/>
        <w:jc w:val="center"/>
        <w:rPr>
          <w:rFonts w:ascii="宋体" w:hAnsi="宋体" w:cs="宋体"/>
          <w:b/>
          <w:color w:val="auto"/>
          <w:kern w:val="0"/>
          <w:sz w:val="32"/>
          <w:szCs w:val="32"/>
          <w:highlight w:val="none"/>
          <w:lang w:val="zh-CN"/>
        </w:rPr>
      </w:pPr>
    </w:p>
    <w:p>
      <w:pPr>
        <w:rPr>
          <w:rFonts w:ascii="宋体" w:hAnsi="宋体" w:cs="宋体"/>
          <w:b/>
          <w:color w:val="auto"/>
          <w:kern w:val="0"/>
          <w:sz w:val="32"/>
          <w:szCs w:val="32"/>
          <w:highlight w:val="none"/>
          <w:lang w:val="zh-CN"/>
        </w:rPr>
      </w:pPr>
    </w:p>
    <w:p>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79" w:name="_Hlk101257010"/>
      <w:r>
        <w:rPr>
          <w:rFonts w:hint="eastAsia" w:ascii="宋体" w:hAnsi="宋体" w:cs="宋体"/>
          <w:color w:val="auto"/>
          <w:sz w:val="24"/>
          <w:highlight w:val="none"/>
        </w:rPr>
        <w:t>（如果有)</w:t>
      </w:r>
      <w:bookmarkEnd w:id="579"/>
      <w:r>
        <w:rPr>
          <w:rFonts w:hint="eastAsia" w:ascii="宋体" w:hAnsi="宋体" w:cs="宋体"/>
          <w:snapToGrid w:val="0"/>
          <w:color w:val="auto"/>
          <w:kern w:val="28"/>
          <w:sz w:val="24"/>
          <w:szCs w:val="20"/>
          <w:highlight w:val="none"/>
        </w:rPr>
        <w:t>；</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pPr>
        <w:pStyle w:val="83"/>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12服务</w:t>
      </w:r>
      <w:r>
        <w:rPr>
          <w:rFonts w:hint="eastAsia" w:cs="宋体"/>
          <w:color w:val="auto"/>
          <w:highlight w:val="none"/>
          <w:lang w:val="zh-CN"/>
        </w:rPr>
        <w:t>方案。</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left="420" w:leftChars="200" w:firstLine="4200" w:firstLineChars="1750"/>
        <w:rPr>
          <w:rFonts w:ascii="宋体" w:hAnsi="宋体" w:cs="宋体"/>
          <w:color w:val="auto"/>
          <w:kern w:val="0"/>
          <w:sz w:val="24"/>
          <w:highlight w:val="none"/>
          <w:u w:val="singl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napToGrid w:val="0"/>
        <w:spacing w:line="360" w:lineRule="auto"/>
        <w:jc w:val="center"/>
        <w:rPr>
          <w:rFonts w:ascii="宋体" w:hAnsi="宋体" w:cs="宋体"/>
          <w:b/>
          <w:color w:val="auto"/>
          <w:kern w:val="0"/>
          <w:sz w:val="32"/>
          <w:szCs w:val="32"/>
          <w:highlight w:val="none"/>
        </w:r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pStyle w:val="83"/>
        <w:rPr>
          <w:color w:val="auto"/>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cols w:space="720" w:num="1"/>
          <w:titlePg/>
          <w:docGrid w:linePitch="312" w:charSpace="0"/>
        </w:sectPr>
      </w:pPr>
    </w:p>
    <w:p>
      <w:pPr>
        <w:snapToGrid w:val="0"/>
        <w:spacing w:line="360" w:lineRule="auto"/>
        <w:rPr>
          <w:rFonts w:ascii="宋体" w:hAnsi="宋体" w:cs="宋体"/>
          <w:color w:val="auto"/>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color w:val="auto"/>
          <w:highlight w:val="none"/>
        </w:rPr>
      </w:pP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adjustRightInd/>
        <w:spacing w:line="360" w:lineRule="auto"/>
        <w:rPr>
          <w:rFonts w:ascii="宋体" w:hAnsi="宋体"/>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p>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134" w:right="1134" w:bottom="1134" w:left="1134"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pPr>
        <w:adjustRightInd/>
        <w:spacing w:line="360" w:lineRule="auto"/>
        <w:rPr>
          <w:rFonts w:ascii="宋体" w:hAnsi="宋体" w:cs="宋体"/>
          <w:bCs/>
          <w:color w:val="auto"/>
          <w:sz w:val="24"/>
          <w:szCs w:val="21"/>
          <w:highlight w:val="none"/>
        </w:rPr>
      </w:pPr>
    </w:p>
    <w:p>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pPr>
        <w:snapToGrid w:val="0"/>
        <w:spacing w:line="276" w:lineRule="auto"/>
        <w:ind w:firstLine="960" w:firstLineChars="400"/>
        <w:rPr>
          <w:rFonts w:ascii="宋体" w:hAnsi="宋体"/>
          <w:color w:val="auto"/>
          <w:sz w:val="24"/>
          <w:highlight w:val="none"/>
          <w:u w:val="single"/>
        </w:rPr>
      </w:pPr>
    </w:p>
    <w:p>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pPr>
        <w:snapToGrid w:val="0"/>
        <w:spacing w:line="276" w:lineRule="auto"/>
        <w:rPr>
          <w:rFonts w:ascii="宋体" w:hAnsi="宋体"/>
          <w:color w:val="auto"/>
          <w:sz w:val="24"/>
          <w:highlight w:val="none"/>
        </w:rPr>
      </w:pPr>
    </w:p>
    <w:p>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pPr>
        <w:snapToGrid w:val="0"/>
        <w:spacing w:line="276" w:lineRule="auto"/>
        <w:rPr>
          <w:rFonts w:ascii="宋体" w:hAnsi="宋体"/>
          <w:color w:val="auto"/>
          <w:sz w:val="24"/>
          <w:highlight w:val="none"/>
        </w:rPr>
      </w:pPr>
    </w:p>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pPr>
        <w:adjustRightInd/>
        <w:spacing w:line="360" w:lineRule="auto"/>
        <w:rPr>
          <w:rFonts w:ascii="宋体" w:hAnsi="宋体" w:cs="宋体"/>
          <w:bCs/>
          <w:color w:val="auto"/>
          <w:sz w:val="24"/>
          <w:szCs w:val="21"/>
          <w:highlight w:val="none"/>
        </w:rPr>
      </w:pPr>
    </w:p>
    <w:p>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pPr>
              <w:spacing w:line="360" w:lineRule="auto"/>
              <w:rPr>
                <w:rFonts w:ascii="宋体" w:hAnsi="宋体" w:cs="宋体"/>
                <w:bCs/>
                <w:color w:val="auto"/>
                <w:sz w:val="24"/>
                <w:szCs w:val="21"/>
                <w:highlight w:val="none"/>
              </w:rPr>
            </w:pPr>
          </w:p>
        </w:tc>
      </w:tr>
    </w:tbl>
    <w:p>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134" w:right="1134" w:bottom="1134" w:left="1134" w:header="851" w:footer="992" w:gutter="0"/>
          <w:cols w:space="720" w:num="1"/>
          <w:titlePg/>
          <w:docGrid w:linePitch="312" w:charSpace="0"/>
        </w:sectPr>
      </w:pPr>
    </w:p>
    <w:p>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rPr>
          <w:rFonts w:ascii="宋体" w:hAnsi="宋体" w:cs="宋体"/>
          <w:color w:val="auto"/>
          <w:kern w:val="0"/>
          <w:sz w:val="24"/>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见投标文件</w:t>
            </w:r>
          </w:p>
          <w:p>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tcPr>
          <w:p>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highlight w:val="none"/>
              </w:rPr>
            </w:pPr>
          </w:p>
        </w:tc>
      </w:tr>
    </w:tbl>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p>
    <w:p>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pPr>
              <w:jc w:val="center"/>
              <w:rPr>
                <w:rFonts w:ascii="宋体" w:hAnsi="宋体" w:cs="宋体"/>
                <w:b/>
                <w:color w:val="auto"/>
                <w:kern w:val="0"/>
                <w:sz w:val="32"/>
                <w:szCs w:val="32"/>
                <w:highlight w:val="none"/>
              </w:rPr>
            </w:pPr>
          </w:p>
        </w:tc>
        <w:tc>
          <w:tcPr>
            <w:tcW w:w="3546" w:type="dxa"/>
          </w:tcPr>
          <w:p>
            <w:pPr>
              <w:jc w:val="center"/>
              <w:rPr>
                <w:rFonts w:ascii="宋体" w:hAnsi="宋体" w:cs="宋体"/>
                <w:b/>
                <w:color w:val="auto"/>
                <w:kern w:val="0"/>
                <w:sz w:val="32"/>
                <w:szCs w:val="32"/>
                <w:highlight w:val="none"/>
              </w:rPr>
            </w:pPr>
          </w:p>
        </w:tc>
        <w:tc>
          <w:tcPr>
            <w:tcW w:w="1276" w:type="dxa"/>
          </w:tcPr>
          <w:p>
            <w:pPr>
              <w:jc w:val="center"/>
              <w:rPr>
                <w:rFonts w:ascii="宋体" w:hAnsi="宋体" w:cs="宋体"/>
                <w:b/>
                <w:color w:val="auto"/>
                <w:kern w:val="0"/>
                <w:sz w:val="32"/>
                <w:szCs w:val="32"/>
                <w:highlight w:val="none"/>
              </w:rPr>
            </w:pPr>
          </w:p>
        </w:tc>
      </w:tr>
    </w:tbl>
    <w:p>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pPr>
        <w:spacing w:line="360" w:lineRule="auto"/>
        <w:ind w:firstLine="3600" w:firstLineChars="1500"/>
        <w:rPr>
          <w:rFonts w:ascii="宋体" w:hAnsi="宋体" w:cs="宋体"/>
          <w:color w:val="auto"/>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jc w:val="center"/>
        <w:rPr>
          <w:rFonts w:ascii="宋体" w:hAnsi="宋体" w:cs="宋体"/>
          <w:b/>
          <w:color w:val="auto"/>
          <w:kern w:val="0"/>
          <w:sz w:val="32"/>
          <w:szCs w:val="32"/>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ind w:firstLine="1911" w:firstLineChars="595"/>
        <w:rPr>
          <w:rFonts w:ascii="宋体" w:hAnsi="宋体" w:cs="宋体"/>
          <w:b/>
          <w:bCs/>
          <w:color w:val="auto"/>
          <w:sz w:val="32"/>
          <w:szCs w:val="32"/>
          <w:highlight w:val="none"/>
        </w:rPr>
      </w:pPr>
    </w:p>
    <w:p>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pPr>
        <w:snapToGrid w:val="0"/>
        <w:spacing w:line="360" w:lineRule="auto"/>
        <w:rPr>
          <w:rFonts w:ascii="宋体" w:hAnsi="宋体" w:cs="宋体"/>
          <w:color w:val="auto"/>
          <w:sz w:val="24"/>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autoSpaceDE w:val="0"/>
        <w:autoSpaceDN w:val="0"/>
        <w:spacing w:line="360" w:lineRule="auto"/>
        <w:ind w:left="2"/>
        <w:jc w:val="left"/>
        <w:rPr>
          <w:rFonts w:ascii="宋体" w:hAnsi="宋体" w:cs="宋体"/>
          <w:color w:val="auto"/>
          <w:kern w:val="0"/>
          <w:sz w:val="24"/>
          <w:highlight w:val="none"/>
          <w:lang w:val="zh-CN"/>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pStyle w:val="83"/>
        <w:rPr>
          <w:color w:val="auto"/>
          <w:highlight w:val="none"/>
        </w:rPr>
      </w:pPr>
    </w:p>
    <w:p>
      <w:pPr>
        <w:pStyle w:val="83"/>
        <w:rPr>
          <w:color w:val="auto"/>
          <w:highlight w:val="none"/>
        </w:rPr>
      </w:pPr>
    </w:p>
    <w:p>
      <w:pPr>
        <w:jc w:val="center"/>
        <w:rPr>
          <w:rFonts w:ascii="宋体" w:hAnsi="宋体" w:cs="宋体"/>
          <w:b/>
          <w:bCs/>
          <w:color w:val="auto"/>
          <w:sz w:val="32"/>
          <w:szCs w:val="32"/>
          <w:highlight w:val="none"/>
        </w:rPr>
      </w:pPr>
    </w:p>
    <w:p>
      <w:pPr>
        <w:jc w:val="center"/>
        <w:rPr>
          <w:rFonts w:ascii="宋体" w:hAnsi="宋体" w:cs="宋体"/>
          <w:b/>
          <w:color w:val="auto"/>
          <w:kern w:val="0"/>
          <w:sz w:val="32"/>
          <w:szCs w:val="21"/>
          <w:highlight w:val="none"/>
        </w:rPr>
      </w:pPr>
      <w:r>
        <w:rPr>
          <w:rFonts w:hint="eastAsia" w:ascii="宋体" w:hAnsi="宋体" w:cs="宋体"/>
          <w:b/>
          <w:bCs/>
          <w:color w:val="auto"/>
          <w:sz w:val="32"/>
          <w:szCs w:val="32"/>
          <w:highlight w:val="none"/>
        </w:rPr>
        <w:t>九</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ascii="宋体" w:hAnsi="宋体" w:cs="宋体"/>
          <w:color w:val="auto"/>
          <w:kern w:val="0"/>
          <w:sz w:val="32"/>
          <w:szCs w:val="21"/>
          <w:highlight w:val="none"/>
        </w:rPr>
      </w:pPr>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highlight w:val="none"/>
        </w:rPr>
      </w:pP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left="4620" w:leftChars="2200"/>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十、技术解决方案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十一、组织实施方案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cs="仿宋_GB2312" w:asciiTheme="minorEastAsia" w:hAnsiTheme="minorEastAsia" w:eastAsiaTheme="minorEastAsia"/>
          <w:b/>
          <w:bCs/>
          <w:color w:val="auto"/>
          <w:sz w:val="32"/>
          <w:szCs w:val="32"/>
          <w:highlight w:val="none"/>
        </w:rPr>
      </w:pPr>
    </w:p>
    <w:p>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十二、服务方案</w:t>
      </w:r>
    </w:p>
    <w:p>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pPr>
        <w:spacing w:line="360" w:lineRule="auto"/>
        <w:jc w:val="center"/>
        <w:rPr>
          <w:rFonts w:cs="仿宋_GB2312" w:asciiTheme="minorEastAsia" w:hAnsiTheme="minorEastAsia" w:eastAsiaTheme="minorEastAsia"/>
          <w:color w:val="auto"/>
          <w:sz w:val="24"/>
          <w:highlight w:val="none"/>
        </w:rPr>
      </w:pPr>
    </w:p>
    <w:p>
      <w:pPr>
        <w:autoSpaceDE w:val="0"/>
        <w:autoSpaceDN w:val="0"/>
        <w:spacing w:line="360" w:lineRule="auto"/>
        <w:rPr>
          <w:rFonts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ascii="宋体" w:hAnsi="宋体" w:cs="宋体"/>
          <w:b/>
          <w:bCs/>
          <w:color w:val="auto"/>
          <w:sz w:val="24"/>
          <w:highlight w:val="none"/>
        </w:rPr>
        <w:sectPr>
          <w:headerReference r:id="rId21" w:type="first"/>
          <w:footerReference r:id="rId23" w:type="first"/>
          <w:headerReference r:id="rId20" w:type="default"/>
          <w:footerReference r:id="rId22" w:type="default"/>
          <w:pgSz w:w="11906" w:h="16838"/>
          <w:pgMar w:top="1134" w:right="1134" w:bottom="1134" w:left="1134" w:header="680" w:footer="850" w:gutter="0"/>
          <w:cols w:space="720" w:num="1"/>
          <w:titlePg/>
          <w:docGrid w:linePitch="312" w:charSpace="0"/>
        </w:sectPr>
      </w:pPr>
    </w:p>
    <w:p>
      <w:pPr>
        <w:spacing w:line="360" w:lineRule="auto"/>
        <w:jc w:val="center"/>
        <w:rPr>
          <w:rFonts w:ascii="宋体" w:hAnsi="宋体" w:cs="宋体"/>
          <w:b/>
          <w:color w:val="auto"/>
          <w:kern w:val="0"/>
          <w:sz w:val="36"/>
          <w:szCs w:val="36"/>
          <w:highlight w:val="none"/>
        </w:rPr>
      </w:pP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pPr>
        <w:spacing w:line="360" w:lineRule="auto"/>
        <w:jc w:val="center"/>
        <w:rPr>
          <w:rFonts w:ascii="宋体" w:hAnsi="宋体" w:cs="宋体"/>
          <w:b/>
          <w:color w:val="auto"/>
          <w:kern w:val="0"/>
          <w:sz w:val="36"/>
          <w:szCs w:val="36"/>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（1）开标一览表（报价表）………………………………………………………（页码）</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（2）中小企业声明函………………………………………………………………（页码）</w:t>
      </w: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snapToGrid w:val="0"/>
        <w:spacing w:line="360" w:lineRule="auto"/>
        <w:ind w:right="480"/>
        <w:jc w:val="center"/>
        <w:rPr>
          <w:rFonts w:ascii="宋体" w:hAnsi="宋体" w:cs="宋体"/>
          <w:b/>
          <w:color w:val="auto"/>
          <w:kern w:val="0"/>
          <w:sz w:val="32"/>
          <w:szCs w:val="32"/>
          <w:highlight w:val="none"/>
        </w:rPr>
      </w:pP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134" w:right="1134" w:bottom="1134" w:left="1134" w:header="851" w:footer="992" w:gutter="0"/>
          <w:cols w:space="720" w:num="1"/>
          <w:titlePg/>
          <w:docGrid w:linePitch="312" w:charSpace="0"/>
        </w:sectPr>
      </w:pPr>
    </w:p>
    <w:p>
      <w:pPr>
        <w:pStyle w:val="83"/>
        <w:jc w:val="center"/>
        <w:rPr>
          <w:b/>
          <w:color w:val="auto"/>
          <w:sz w:val="32"/>
          <w:szCs w:val="32"/>
          <w:highlight w:val="none"/>
        </w:rPr>
      </w:pPr>
      <w:r>
        <w:rPr>
          <w:rFonts w:hint="eastAsia"/>
          <w:b/>
          <w:color w:val="auto"/>
          <w:sz w:val="32"/>
          <w:szCs w:val="32"/>
          <w:highlight w:val="none"/>
        </w:rPr>
        <w:t>一、</w:t>
      </w:r>
      <w:bookmarkStart w:id="580" w:name="OLE_LINK9"/>
      <w:bookmarkStart w:id="581" w:name="OLE_LINK8"/>
      <w:r>
        <w:rPr>
          <w:rFonts w:hint="eastAsia"/>
          <w:b/>
          <w:color w:val="auto"/>
          <w:sz w:val="32"/>
          <w:szCs w:val="32"/>
          <w:highlight w:val="none"/>
        </w:rPr>
        <w:t>开标一览表（报价表）</w:t>
      </w:r>
      <w:bookmarkEnd w:id="580"/>
      <w:bookmarkEnd w:id="581"/>
    </w:p>
    <w:p>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984"/>
        <w:gridCol w:w="1843"/>
        <w:gridCol w:w="2268"/>
        <w:gridCol w:w="2126"/>
        <w:gridCol w:w="212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pPr>
              <w:spacing w:line="360" w:lineRule="auto"/>
              <w:jc w:val="center"/>
              <w:rPr>
                <w:rFonts w:ascii="宋体" w:hAnsi="宋体" w:cs="宋体"/>
                <w:b/>
                <w:color w:val="auto"/>
                <w:sz w:val="24"/>
                <w:highlight w:val="none"/>
              </w:rPr>
            </w:pPr>
            <w:bookmarkStart w:id="582" w:name="OLE_LINK1"/>
            <w:r>
              <w:rPr>
                <w:rFonts w:hint="eastAsia" w:ascii="宋体" w:hAnsi="宋体" w:cs="宋体"/>
                <w:b/>
                <w:color w:val="auto"/>
                <w:sz w:val="24"/>
                <w:highlight w:val="none"/>
              </w:rPr>
              <w:t>序号</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984"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843"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pPr>
              <w:spacing w:line="360" w:lineRule="auto"/>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2025-2027年北海市政务云平台服务项目监理服务</w:t>
            </w:r>
          </w:p>
        </w:tc>
        <w:tc>
          <w:tcPr>
            <w:tcW w:w="1984"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第三方测试服务</w:t>
            </w:r>
          </w:p>
        </w:tc>
        <w:tc>
          <w:tcPr>
            <w:tcW w:w="1984"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Align w:val="center"/>
          </w:tcPr>
          <w:p>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服务结算审计服务</w:t>
            </w:r>
          </w:p>
        </w:tc>
        <w:tc>
          <w:tcPr>
            <w:tcW w:w="1984" w:type="dxa"/>
            <w:vAlign w:val="center"/>
          </w:tcPr>
          <w:p>
            <w:pPr>
              <w:snapToGrid w:val="0"/>
              <w:spacing w:line="360" w:lineRule="auto"/>
              <w:jc w:val="center"/>
              <w:rPr>
                <w:rFonts w:ascii="宋体" w:hAnsi="宋体" w:cs="宋体"/>
                <w:color w:val="auto"/>
                <w:sz w:val="24"/>
                <w:highlight w:val="none"/>
              </w:rPr>
            </w:pPr>
          </w:p>
        </w:tc>
        <w:tc>
          <w:tcPr>
            <w:tcW w:w="1843" w:type="dxa"/>
            <w:vAlign w:val="center"/>
          </w:tcPr>
          <w:p>
            <w:pPr>
              <w:snapToGrid w:val="0"/>
              <w:spacing w:line="360" w:lineRule="auto"/>
              <w:jc w:val="center"/>
              <w:rPr>
                <w:rFonts w:ascii="宋体" w:hAnsi="宋体" w:cs="宋体"/>
                <w:color w:val="auto"/>
                <w:sz w:val="24"/>
                <w:highlight w:val="none"/>
              </w:rPr>
            </w:pPr>
          </w:p>
        </w:tc>
        <w:tc>
          <w:tcPr>
            <w:tcW w:w="2268" w:type="dxa"/>
            <w:vAlign w:val="center"/>
          </w:tcPr>
          <w:p>
            <w:pPr>
              <w:snapToGrid w:val="0"/>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c>
          <w:tcPr>
            <w:tcW w:w="2127" w:type="dxa"/>
          </w:tcPr>
          <w:p>
            <w:pPr>
              <w:spacing w:line="360" w:lineRule="auto"/>
              <w:jc w:val="center"/>
              <w:rPr>
                <w:rFonts w:ascii="宋体" w:hAnsi="宋体" w:cs="宋体"/>
                <w:color w:val="auto"/>
                <w:sz w:val="24"/>
                <w:highlight w:val="none"/>
              </w:rPr>
            </w:pPr>
          </w:p>
        </w:tc>
        <w:tc>
          <w:tcPr>
            <w:tcW w:w="2126" w:type="dxa"/>
            <w:vAlign w:val="center"/>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pPr>
              <w:spacing w:line="360" w:lineRule="auto"/>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pPr>
              <w:spacing w:line="360" w:lineRule="auto"/>
              <w:jc w:val="center"/>
              <w:rPr>
                <w:rFonts w:ascii="宋体" w:hAnsi="宋体" w:cs="宋体"/>
                <w:color w:val="auto"/>
                <w:sz w:val="24"/>
                <w:highlight w:val="none"/>
              </w:rPr>
            </w:pPr>
          </w:p>
        </w:tc>
      </w:tr>
      <w:bookmarkEnd w:id="582"/>
    </w:tbl>
    <w:p>
      <w:pPr>
        <w:pStyle w:val="79"/>
        <w:ind w:firstLine="0" w:firstLineChars="0"/>
        <w:rPr>
          <w:color w:val="auto"/>
          <w:highlight w:val="none"/>
          <w:lang w:val="zh-CN"/>
        </w:rPr>
      </w:pPr>
    </w:p>
    <w:p>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表给内空白处需自行补充完整），</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4、</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5、本项目为北海市推动解决政府采购异常低价试点项目，供应商投标报价属于采购文件规定异常低价情况的，应按评标委员会要求在规定时间内提供书面证明及必要的证明材料，否则投标无效。</w:t>
      </w:r>
    </w:p>
    <w:p>
      <w:pPr>
        <w:snapToGrid w:val="0"/>
        <w:spacing w:line="360" w:lineRule="auto"/>
        <w:ind w:firstLine="480" w:firstLineChars="200"/>
        <w:jc w:val="left"/>
        <w:rPr>
          <w:rFonts w:ascii="宋体" w:hAnsi="宋体" w:cs="宋体"/>
          <w:color w:val="auto"/>
          <w:kern w:val="0"/>
          <w:sz w:val="24"/>
          <w:highlight w:val="none"/>
          <w:lang w:val="zh-CN"/>
        </w:rPr>
      </w:pPr>
    </w:p>
    <w:p>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ascii="宋体" w:hAnsi="宋体" w:cs="宋体"/>
          <w:color w:val="auto"/>
          <w:sz w:val="32"/>
          <w:szCs w:val="32"/>
          <w:highlight w:val="none"/>
        </w:rPr>
      </w:pPr>
      <w:r>
        <w:rPr>
          <w:rFonts w:hint="eastAsia" w:ascii="宋体" w:hAnsi="宋体" w:cs="宋体"/>
          <w:color w:val="auto"/>
          <w:sz w:val="24"/>
          <w:highlight w:val="none"/>
        </w:rPr>
        <w:t xml:space="preserve">     日期：  年   月   日</w:t>
      </w:r>
    </w:p>
    <w:p>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134" w:right="1134" w:bottom="1134" w:left="1134" w:header="851" w:footer="992" w:gutter="0"/>
          <w:cols w:space="720" w:num="1"/>
          <w:titlePg/>
          <w:docGrid w:linePitch="312" w:charSpace="0"/>
        </w:sectPr>
      </w:pPr>
    </w:p>
    <w:p>
      <w:pPr>
        <w:pStyle w:val="83"/>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spacing w:line="360" w:lineRule="auto"/>
        <w:ind w:right="420" w:firstLine="3614" w:firstLineChars="1000"/>
        <w:rPr>
          <w:rFonts w:ascii="宋体" w:hAnsi="宋体" w:cs="宋体"/>
          <w:b/>
          <w:color w:val="auto"/>
          <w:kern w:val="0"/>
          <w:sz w:val="36"/>
          <w:szCs w:val="36"/>
          <w:highlight w:val="none"/>
        </w:rPr>
      </w:pPr>
    </w:p>
    <w:p>
      <w:pPr>
        <w:pStyle w:val="83"/>
        <w:rPr>
          <w:color w:val="auto"/>
          <w:highlight w:val="none"/>
        </w:rPr>
      </w:pPr>
    </w:p>
    <w:p>
      <w:pPr>
        <w:pStyle w:val="83"/>
        <w:jc w:val="center"/>
        <w:rPr>
          <w:b/>
          <w:color w:val="auto"/>
          <w:sz w:val="36"/>
          <w:szCs w:val="36"/>
          <w:highlight w:val="none"/>
        </w:rPr>
      </w:pPr>
      <w:r>
        <w:rPr>
          <w:rFonts w:hint="eastAsia"/>
          <w:b/>
          <w:color w:val="auto"/>
          <w:sz w:val="36"/>
          <w:szCs w:val="36"/>
          <w:highlight w:val="none"/>
        </w:rPr>
        <w:t>附件</w:t>
      </w:r>
    </w:p>
    <w:p>
      <w:pPr>
        <w:pStyle w:val="83"/>
        <w:rPr>
          <w:color w:val="auto"/>
          <w:highlight w:val="none"/>
        </w:rPr>
      </w:pPr>
    </w:p>
    <w:p>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pPr>
        <w:spacing w:line="360" w:lineRule="auto"/>
        <w:jc w:val="center"/>
        <w:rPr>
          <w:rFonts w:ascii="宋体" w:hAnsi="宋体" w:cs="宋体"/>
          <w:b/>
          <w:color w:val="auto"/>
          <w:spacing w:val="6"/>
          <w:sz w:val="32"/>
          <w:szCs w:val="32"/>
          <w:highlight w:val="none"/>
        </w:rPr>
      </w:pPr>
      <w:bookmarkStart w:id="583" w:name="OLE_LINK14"/>
      <w:bookmarkStart w:id="584" w:name="OLE_LINK13"/>
      <w:r>
        <w:rPr>
          <w:rFonts w:hint="eastAsia" w:ascii="宋体" w:hAnsi="宋体" w:cs="宋体"/>
          <w:b/>
          <w:color w:val="auto"/>
          <w:spacing w:val="6"/>
          <w:sz w:val="32"/>
          <w:szCs w:val="32"/>
          <w:highlight w:val="none"/>
        </w:rPr>
        <w:t>残疾人福利性单位声明函</w:t>
      </w:r>
    </w:p>
    <w:bookmarkEnd w:id="583"/>
    <w:bookmarkEnd w:id="584"/>
    <w:p>
      <w:pPr>
        <w:spacing w:line="360" w:lineRule="auto"/>
        <w:rPr>
          <w:rFonts w:ascii="宋体" w:hAnsi="宋体" w:cs="宋体"/>
          <w:b/>
          <w:color w:val="auto"/>
          <w:spacing w:val="6"/>
          <w:sz w:val="30"/>
          <w:szCs w:val="30"/>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firstLine="480" w:firstLineChars="200"/>
        <w:rPr>
          <w:rFonts w:ascii="宋体" w:hAnsi="宋体" w:cs="宋体"/>
          <w:color w:val="auto"/>
          <w:sz w:val="24"/>
          <w:highlight w:val="none"/>
        </w:rPr>
      </w:pPr>
    </w:p>
    <w:p>
      <w:pPr>
        <w:tabs>
          <w:tab w:val="left" w:pos="4860"/>
        </w:tabs>
        <w:spacing w:line="360" w:lineRule="auto"/>
        <w:ind w:right="1560" w:firstLine="480" w:firstLineChars="200"/>
        <w:jc w:val="center"/>
        <w:rPr>
          <w:rFonts w:ascii="宋体" w:hAnsi="宋体" w:cs="宋体"/>
          <w:color w:val="auto"/>
          <w:sz w:val="24"/>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ind w:firstLine="420" w:firstLineChars="200"/>
        <w:rPr>
          <w:rFonts w:ascii="宋体" w:hAnsi="宋体" w:cs="宋体"/>
          <w:color w:val="auto"/>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spacing w:line="360" w:lineRule="auto"/>
        <w:jc w:val="left"/>
        <w:rPr>
          <w:rFonts w:ascii="宋体" w:hAnsi="宋体" w:cs="宋体"/>
          <w:b/>
          <w:color w:val="auto"/>
          <w:spacing w:val="6"/>
          <w:sz w:val="32"/>
          <w:szCs w:val="32"/>
          <w:highlight w:val="none"/>
        </w:rPr>
      </w:pPr>
    </w:p>
    <w:p>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pPr>
        <w:spacing w:line="360" w:lineRule="auto"/>
        <w:jc w:val="center"/>
        <w:rPr>
          <w:rFonts w:ascii="宋体" w:hAnsi="宋体" w:cs="宋体"/>
          <w:b/>
          <w:color w:val="auto"/>
          <w:sz w:val="24"/>
          <w:highlight w:val="none"/>
        </w:rPr>
      </w:pP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rPr>
          <w:rFonts w:ascii="宋体" w:hAnsi="宋体" w:cs="宋体"/>
          <w:b/>
          <w:color w:val="auto"/>
          <w:sz w:val="24"/>
          <w:highlight w:val="none"/>
        </w:rPr>
      </w:pPr>
    </w:p>
    <w:p>
      <w:pPr>
        <w:autoSpaceDE w:val="0"/>
        <w:autoSpaceDN w:val="0"/>
        <w:jc w:val="center"/>
        <w:rPr>
          <w:rFonts w:ascii="宋体" w:hAnsi="宋体" w:cs="宋体"/>
          <w:b/>
          <w:color w:val="auto"/>
          <w:spacing w:val="6"/>
          <w:sz w:val="32"/>
          <w:szCs w:val="32"/>
          <w:highlight w:val="none"/>
        </w:rPr>
      </w:pPr>
    </w:p>
    <w:p>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pPr>
        <w:spacing w:line="360" w:lineRule="auto"/>
        <w:rPr>
          <w:rFonts w:ascii="宋体" w:hAnsi="宋体" w:cs="宋体"/>
          <w:color w:val="auto"/>
          <w:sz w:val="24"/>
          <w:highlight w:val="none"/>
          <w:u w:val="single"/>
        </w:rPr>
      </w:pPr>
    </w:p>
    <w:p>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firstLine="494"/>
        <w:rPr>
          <w:rFonts w:ascii="宋体" w:hAnsi="宋体" w:cs="宋体"/>
          <w:color w:val="auto"/>
          <w:sz w:val="24"/>
          <w:highlight w:val="none"/>
        </w:rPr>
      </w:pPr>
    </w:p>
    <w:p>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rPr>
          <w:rFonts w:ascii="宋体" w:hAnsi="宋体" w:cs="宋体"/>
          <w:color w:val="auto"/>
          <w:sz w:val="24"/>
          <w:highlight w:val="none"/>
        </w:rPr>
      </w:pPr>
      <w:r>
        <w:rPr>
          <w:rFonts w:hint="eastAsia" w:ascii="宋体" w:hAnsi="宋体" w:cs="宋体"/>
          <w:b/>
          <w:bCs/>
          <w:color w:val="auto"/>
          <w:sz w:val="24"/>
          <w:highlight w:val="none"/>
        </w:rPr>
        <w:t>附：</w:t>
      </w:r>
    </w:p>
    <w:p>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85"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85"/>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86"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86"/>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8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87"/>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82"/>
          <w:color w:val="auto"/>
          <w:highlight w:val="none"/>
        </w:rPr>
      </w:pPr>
      <w:r>
        <w:rPr>
          <w:rStyle w:val="82"/>
          <w:rFonts w:hint="eastAsia"/>
          <w:color w:val="auto"/>
          <w:highlight w:val="none"/>
        </w:rPr>
        <w:t>法定代表人（负责人） (签名)：</w:t>
      </w:r>
    </w:p>
    <w:p>
      <w:pPr>
        <w:snapToGrid w:val="0"/>
        <w:spacing w:line="360" w:lineRule="auto"/>
        <w:ind w:firstLine="5040" w:firstLineChars="2100"/>
        <w:rPr>
          <w:rFonts w:ascii="宋体" w:hAnsi="宋体" w:cs="宋体"/>
          <w:color w:val="auto"/>
          <w:kern w:val="0"/>
          <w:sz w:val="24"/>
          <w:highlight w:val="none"/>
          <w:lang w:val="zh-CN"/>
        </w:rPr>
      </w:pPr>
      <w:r>
        <w:rPr>
          <w:rStyle w:val="82"/>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widowControl/>
        <w:adjustRightInd/>
        <w:jc w:val="left"/>
        <w:rPr>
          <w:rFonts w:ascii="宋体" w:hAnsi="宋体" w:cs="宋体"/>
          <w:b/>
          <w:color w:val="auto"/>
          <w:spacing w:val="6"/>
          <w:sz w:val="32"/>
          <w:szCs w:val="32"/>
          <w:highlight w:val="none"/>
        </w:rPr>
      </w:pPr>
    </w:p>
    <w:p>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pPr>
        <w:pStyle w:val="83"/>
        <w:rPr>
          <w:color w:val="auto"/>
          <w:highlight w:val="none"/>
        </w:rPr>
      </w:pPr>
      <w:r>
        <w:rPr>
          <w:rFonts w:hint="eastAsia"/>
          <w:color w:val="auto"/>
          <w:highlight w:val="none"/>
        </w:rPr>
        <w:t>……</w:t>
      </w:r>
    </w:p>
    <w:p>
      <w:pPr>
        <w:rPr>
          <w:color w:val="auto"/>
          <w:highlight w:val="none"/>
        </w:rPr>
      </w:pPr>
      <w:r>
        <w:rPr>
          <w:rFonts w:hint="eastAsia"/>
          <w:color w:val="auto"/>
          <w:highlight w:val="none"/>
          <w:lang w:val="zh-CN"/>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pPr>
        <w:snapToGrid w:val="0"/>
        <w:spacing w:line="360" w:lineRule="auto"/>
        <w:ind w:left="5758" w:leftChars="2742"/>
        <w:rPr>
          <w:rFonts w:ascii="宋体" w:hAnsi="宋体" w:cs="宋体"/>
          <w:color w:val="auto"/>
          <w:kern w:val="0"/>
          <w:sz w:val="24"/>
          <w:highlight w:val="none"/>
          <w:lang w:val="zh-CN"/>
        </w:rPr>
      </w:pPr>
      <w:r>
        <w:rPr>
          <w:rStyle w:val="82"/>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pPr>
        <w:pStyle w:val="83"/>
        <w:ind w:firstLine="5760" w:firstLineChars="2400"/>
        <w:rPr>
          <w:color w:val="auto"/>
          <w:highlight w:val="none"/>
        </w:rPr>
      </w:pPr>
      <w:r>
        <w:rPr>
          <w:rStyle w:val="82"/>
          <w:rFonts w:hint="eastAsia"/>
          <w:color w:val="auto"/>
          <w:highlight w:val="none"/>
        </w:rPr>
        <w:t>法定代表人（负责人） (签名)：</w:t>
      </w:r>
    </w:p>
    <w:p>
      <w:pPr>
        <w:snapToGrid w:val="0"/>
        <w:spacing w:line="360" w:lineRule="auto"/>
        <w:jc w:val="right"/>
        <w:rPr>
          <w:rFonts w:ascii="宋体" w:hAnsi="宋体" w:cs="宋体"/>
          <w:color w:val="auto"/>
          <w:kern w:val="0"/>
          <w:sz w:val="24"/>
          <w:highlight w:val="none"/>
          <w:lang w:val="zh-CN"/>
        </w:rPr>
      </w:pPr>
    </w:p>
    <w:p>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autoSpaceDE w:val="0"/>
        <w:autoSpaceDN w:val="0"/>
        <w:jc w:val="center"/>
        <w:rPr>
          <w:rFonts w:ascii="宋体" w:hAnsi="宋体" w:cs="宋体"/>
          <w:b/>
          <w:color w:val="auto"/>
          <w:spacing w:val="6"/>
          <w:sz w:val="32"/>
          <w:szCs w:val="32"/>
          <w:highlight w:val="none"/>
        </w:rPr>
      </w:pPr>
    </w:p>
    <w:p>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pPr>
        <w:spacing w:line="360" w:lineRule="auto"/>
        <w:ind w:right="420"/>
        <w:rPr>
          <w:rFonts w:ascii="宋体" w:hAnsi="宋体" w:cs="宋体"/>
          <w:color w:val="auto"/>
          <w:sz w:val="24"/>
          <w:highlight w:val="none"/>
        </w:rPr>
      </w:pPr>
    </w:p>
    <w:p>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pPr>
        <w:pStyle w:val="83"/>
        <w:rPr>
          <w:color w:val="auto"/>
          <w:highlight w:val="none"/>
        </w:rPr>
      </w:pPr>
    </w:p>
    <w:p>
      <w:pPr>
        <w:spacing w:line="360" w:lineRule="auto"/>
        <w:ind w:right="420"/>
        <w:rPr>
          <w:rFonts w:ascii="宋体" w:hAnsi="宋体" w:cs="宋体"/>
          <w:color w:val="auto"/>
          <w:highlight w:val="none"/>
        </w:rPr>
      </w:pPr>
    </w:p>
    <w:p>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微软雅黑"/>
    <w:panose1 w:val="000000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altName w:val="Segoe Print"/>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Book Antiqua">
    <w:altName w:val="Segoe Print"/>
    <w:panose1 w:val="02040602050305030304"/>
    <w:charset w:val="00"/>
    <w:family w:val="roman"/>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72</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szCs w:val="21"/>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85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right" w:y="1"/>
      <w:rPr>
        <w:rStyle w:val="72"/>
      </w:rPr>
    </w:pPr>
    <w:r>
      <w:fldChar w:fldCharType="begin"/>
    </w:r>
    <w:r>
      <w:rPr>
        <w:rStyle w:val="72"/>
      </w:rPr>
      <w:instrText xml:space="preserve">PAGE  </w:instrText>
    </w:r>
    <w:r>
      <w:fldChar w:fldCharType="end"/>
    </w:r>
  </w:p>
  <w:p>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64</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4"/>
      </w:pBdr>
      <w:jc w:val="right"/>
    </w:pPr>
    <w:r>
      <w:t></w:t>
    </w:r>
    <w:r>
      <w:rPr>
        <w:rFonts w:hint="eastAsia"/>
      </w:rPr>
      <w:t xml:space="preserve">        </w:t>
    </w:r>
    <w:r>
      <w:rPr>
        <w:rFonts w:hint="eastAsia"/>
        <w:sz w:val="21"/>
        <w:szCs w:val="21"/>
      </w:rPr>
      <w:t xml:space="preserve"> </w:t>
    </w:r>
    <w:r>
      <w:rPr>
        <w:sz w:val="21"/>
        <w:szCs w:val="21"/>
      </w:rPr>
      <w:t>北海市政府采购公开招标文件</w:t>
    </w:r>
  </w:p>
  <w:p>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pPr>
    <w:r>
      <w:t></w:t>
    </w:r>
    <w:r>
      <w:rPr>
        <w:rFonts w:hint="eastAsia"/>
      </w:rPr>
      <w:t xml:space="preserve">                 </w:t>
    </w:r>
    <w: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iCs/>
        <w:u w:val="single"/>
      </w:rPr>
    </w:pPr>
    <w: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t></w:t>
    </w:r>
    <w:r>
      <w:rPr>
        <w:rFonts w:hint="eastAsia"/>
      </w:rPr>
      <w:t xml:space="preserve">         </w:t>
    </w:r>
  </w:p>
  <w:p>
    <w:pPr>
      <w:pStyle w:val="41"/>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Fonts w:ascii="仿宋_GB2312" w:eastAsia="仿宋_GB2312"/>
        <w:b/>
        <w:i/>
        <w:u w:val="single"/>
      </w:rPr>
    </w:pPr>
    <w:r>
      <w:t></w:t>
    </w:r>
    <w:r>
      <w:rPr>
        <w:rFonts w:hint="eastAsia"/>
      </w:rPr>
      <w:t xml:space="preserve">                                                </w:t>
    </w:r>
    <w:r>
      <w:rPr>
        <w:rFonts w:hint="eastAsia"/>
        <w:sz w:val="21"/>
        <w:szCs w:val="21"/>
      </w:rPr>
      <w:t xml:space="preserve">  </w:t>
    </w:r>
    <w:r>
      <w:rPr>
        <w:sz w:val="21"/>
        <w:szCs w:val="21"/>
      </w:rPr>
      <w:t>北海市政府采购公开招标文件</w:t>
    </w:r>
  </w:p>
  <w:p>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CF1B9"/>
    <w:multiLevelType w:val="singleLevel"/>
    <w:tmpl w:val="9D8CF1B9"/>
    <w:lvl w:ilvl="0" w:tentative="0">
      <w:start w:val="1"/>
      <w:numFmt w:val="chineseCounting"/>
      <w:suff w:val="nothing"/>
      <w:lvlText w:val="（%1）"/>
      <w:lvlJc w:val="left"/>
      <w:pPr>
        <w:ind w:left="0" w:firstLine="420"/>
      </w:pPr>
      <w:rPr>
        <w:rFonts w:hint="eastAsia"/>
      </w:rPr>
    </w:lvl>
  </w:abstractNum>
  <w:abstractNum w:abstractNumId="1">
    <w:nsid w:val="9F27405E"/>
    <w:multiLevelType w:val="singleLevel"/>
    <w:tmpl w:val="9F27405E"/>
    <w:lvl w:ilvl="0" w:tentative="0">
      <w:start w:val="1"/>
      <w:numFmt w:val="chineseCounting"/>
      <w:suff w:val="space"/>
      <w:lvlText w:val="第%1部分"/>
      <w:lvlJc w:val="left"/>
      <w:rPr>
        <w:rFonts w:hint="eastAsia"/>
      </w:rPr>
    </w:lvl>
  </w:abstractNum>
  <w:abstractNum w:abstractNumId="2">
    <w:nsid w:val="F54A064D"/>
    <w:multiLevelType w:val="singleLevel"/>
    <w:tmpl w:val="F54A064D"/>
    <w:lvl w:ilvl="0" w:tentative="0">
      <w:start w:val="1"/>
      <w:numFmt w:val="decimal"/>
      <w:suff w:val="nothing"/>
      <w:lvlText w:val="%1."/>
      <w:lvlJc w:val="left"/>
      <w:pPr>
        <w:ind w:left="845" w:hanging="425"/>
      </w:pPr>
      <w:rPr>
        <w:rFonts w:hint="default"/>
      </w:rPr>
    </w:lvl>
  </w:abstractNum>
  <w:abstractNum w:abstractNumId="3">
    <w:nsid w:val="F9DC9D30"/>
    <w:multiLevelType w:val="singleLevel"/>
    <w:tmpl w:val="F9DC9D30"/>
    <w:lvl w:ilvl="0" w:tentative="0">
      <w:start w:val="1"/>
      <w:numFmt w:val="chineseCounting"/>
      <w:suff w:val="nothing"/>
      <w:lvlText w:val="（%1）"/>
      <w:lvlJc w:val="left"/>
      <w:pPr>
        <w:ind w:left="0" w:firstLine="42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3929"/>
    <w:rsid w:val="000058BD"/>
    <w:rsid w:val="00006109"/>
    <w:rsid w:val="00006150"/>
    <w:rsid w:val="000063E8"/>
    <w:rsid w:val="00006725"/>
    <w:rsid w:val="0000675E"/>
    <w:rsid w:val="000071E3"/>
    <w:rsid w:val="00007676"/>
    <w:rsid w:val="00007CAA"/>
    <w:rsid w:val="00010FE9"/>
    <w:rsid w:val="0001122F"/>
    <w:rsid w:val="00011A4B"/>
    <w:rsid w:val="00012251"/>
    <w:rsid w:val="00012A56"/>
    <w:rsid w:val="00012B4A"/>
    <w:rsid w:val="0001337C"/>
    <w:rsid w:val="000138C4"/>
    <w:rsid w:val="00013A75"/>
    <w:rsid w:val="00013C1F"/>
    <w:rsid w:val="00013F31"/>
    <w:rsid w:val="000140D8"/>
    <w:rsid w:val="00014530"/>
    <w:rsid w:val="00014BBC"/>
    <w:rsid w:val="000150EE"/>
    <w:rsid w:val="000168D8"/>
    <w:rsid w:val="000170C8"/>
    <w:rsid w:val="000173F4"/>
    <w:rsid w:val="00020287"/>
    <w:rsid w:val="000202FE"/>
    <w:rsid w:val="00020B5F"/>
    <w:rsid w:val="00020D60"/>
    <w:rsid w:val="000211BC"/>
    <w:rsid w:val="0002192A"/>
    <w:rsid w:val="0002207B"/>
    <w:rsid w:val="00022F1F"/>
    <w:rsid w:val="000232FD"/>
    <w:rsid w:val="00023323"/>
    <w:rsid w:val="000233E4"/>
    <w:rsid w:val="00023495"/>
    <w:rsid w:val="00023777"/>
    <w:rsid w:val="00024130"/>
    <w:rsid w:val="00024584"/>
    <w:rsid w:val="00024962"/>
    <w:rsid w:val="000249AA"/>
    <w:rsid w:val="00024BD2"/>
    <w:rsid w:val="00025350"/>
    <w:rsid w:val="000253E5"/>
    <w:rsid w:val="00025776"/>
    <w:rsid w:val="000268B8"/>
    <w:rsid w:val="00026EAC"/>
    <w:rsid w:val="000270F2"/>
    <w:rsid w:val="00027540"/>
    <w:rsid w:val="000302B3"/>
    <w:rsid w:val="00030572"/>
    <w:rsid w:val="00030A97"/>
    <w:rsid w:val="00030CB3"/>
    <w:rsid w:val="0003206A"/>
    <w:rsid w:val="00032091"/>
    <w:rsid w:val="000325AC"/>
    <w:rsid w:val="000326A7"/>
    <w:rsid w:val="00032EA0"/>
    <w:rsid w:val="000331B0"/>
    <w:rsid w:val="000331CD"/>
    <w:rsid w:val="000336D4"/>
    <w:rsid w:val="00034FA7"/>
    <w:rsid w:val="0003533D"/>
    <w:rsid w:val="00035444"/>
    <w:rsid w:val="000357E4"/>
    <w:rsid w:val="00035ACA"/>
    <w:rsid w:val="0003797A"/>
    <w:rsid w:val="00040447"/>
    <w:rsid w:val="00040494"/>
    <w:rsid w:val="00040B70"/>
    <w:rsid w:val="000410E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315F"/>
    <w:rsid w:val="0005417A"/>
    <w:rsid w:val="00054473"/>
    <w:rsid w:val="00054887"/>
    <w:rsid w:val="00054934"/>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6DCC"/>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77DBB"/>
    <w:rsid w:val="000808C1"/>
    <w:rsid w:val="00080970"/>
    <w:rsid w:val="00081671"/>
    <w:rsid w:val="00081A01"/>
    <w:rsid w:val="00082AD4"/>
    <w:rsid w:val="00083E07"/>
    <w:rsid w:val="00083F84"/>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270"/>
    <w:rsid w:val="000A43EC"/>
    <w:rsid w:val="000A4645"/>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B676A"/>
    <w:rsid w:val="000B7DEE"/>
    <w:rsid w:val="000C0A43"/>
    <w:rsid w:val="000C0CB1"/>
    <w:rsid w:val="000C1411"/>
    <w:rsid w:val="000C1ADE"/>
    <w:rsid w:val="000C1C38"/>
    <w:rsid w:val="000C21DC"/>
    <w:rsid w:val="000C2264"/>
    <w:rsid w:val="000C256B"/>
    <w:rsid w:val="000C3970"/>
    <w:rsid w:val="000C39B2"/>
    <w:rsid w:val="000C3A3B"/>
    <w:rsid w:val="000C3B1A"/>
    <w:rsid w:val="000C4727"/>
    <w:rsid w:val="000C47AE"/>
    <w:rsid w:val="000C51AD"/>
    <w:rsid w:val="000C5374"/>
    <w:rsid w:val="000C58AC"/>
    <w:rsid w:val="000C5EC0"/>
    <w:rsid w:val="000C6162"/>
    <w:rsid w:val="000C64CC"/>
    <w:rsid w:val="000C6688"/>
    <w:rsid w:val="000C692E"/>
    <w:rsid w:val="000C6B28"/>
    <w:rsid w:val="000C7BEB"/>
    <w:rsid w:val="000D0124"/>
    <w:rsid w:val="000D0760"/>
    <w:rsid w:val="000D11E5"/>
    <w:rsid w:val="000D19E8"/>
    <w:rsid w:val="000D1FA1"/>
    <w:rsid w:val="000D2834"/>
    <w:rsid w:val="000D2CAC"/>
    <w:rsid w:val="000D34C8"/>
    <w:rsid w:val="000D34FD"/>
    <w:rsid w:val="000D3BE5"/>
    <w:rsid w:val="000D3C37"/>
    <w:rsid w:val="000D40B9"/>
    <w:rsid w:val="000D453A"/>
    <w:rsid w:val="000D4AFA"/>
    <w:rsid w:val="000D58BB"/>
    <w:rsid w:val="000D5EA6"/>
    <w:rsid w:val="000D5F00"/>
    <w:rsid w:val="000D6BDA"/>
    <w:rsid w:val="000D6C9F"/>
    <w:rsid w:val="000D6E3B"/>
    <w:rsid w:val="000D6F30"/>
    <w:rsid w:val="000D74E4"/>
    <w:rsid w:val="000D7C9D"/>
    <w:rsid w:val="000D7CE0"/>
    <w:rsid w:val="000E1BF1"/>
    <w:rsid w:val="000E2785"/>
    <w:rsid w:val="000E27BB"/>
    <w:rsid w:val="000E3153"/>
    <w:rsid w:val="000E3484"/>
    <w:rsid w:val="000E386F"/>
    <w:rsid w:val="000E4051"/>
    <w:rsid w:val="000E4139"/>
    <w:rsid w:val="000E4765"/>
    <w:rsid w:val="000E52CF"/>
    <w:rsid w:val="000E5B51"/>
    <w:rsid w:val="000E5B7E"/>
    <w:rsid w:val="000E5C4B"/>
    <w:rsid w:val="000E5FF9"/>
    <w:rsid w:val="000E6AE1"/>
    <w:rsid w:val="000E6B88"/>
    <w:rsid w:val="000E7142"/>
    <w:rsid w:val="000E7632"/>
    <w:rsid w:val="000E7737"/>
    <w:rsid w:val="000E7739"/>
    <w:rsid w:val="000E77EE"/>
    <w:rsid w:val="000F1604"/>
    <w:rsid w:val="000F24F4"/>
    <w:rsid w:val="000F287A"/>
    <w:rsid w:val="000F2940"/>
    <w:rsid w:val="000F2AB3"/>
    <w:rsid w:val="000F3D08"/>
    <w:rsid w:val="000F4495"/>
    <w:rsid w:val="000F4A05"/>
    <w:rsid w:val="000F4AA8"/>
    <w:rsid w:val="000F4AEA"/>
    <w:rsid w:val="000F4E67"/>
    <w:rsid w:val="000F505B"/>
    <w:rsid w:val="000F54CE"/>
    <w:rsid w:val="000F5651"/>
    <w:rsid w:val="000F5677"/>
    <w:rsid w:val="000F5DDB"/>
    <w:rsid w:val="000F628E"/>
    <w:rsid w:val="000F68A0"/>
    <w:rsid w:val="000F6CC2"/>
    <w:rsid w:val="000F729C"/>
    <w:rsid w:val="000F7D4B"/>
    <w:rsid w:val="001005A4"/>
    <w:rsid w:val="00100BBC"/>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56B"/>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778"/>
    <w:rsid w:val="00114847"/>
    <w:rsid w:val="0011585B"/>
    <w:rsid w:val="00115B1A"/>
    <w:rsid w:val="001160FF"/>
    <w:rsid w:val="001164F4"/>
    <w:rsid w:val="001168F8"/>
    <w:rsid w:val="00116B27"/>
    <w:rsid w:val="001176FF"/>
    <w:rsid w:val="00120248"/>
    <w:rsid w:val="00120E9C"/>
    <w:rsid w:val="0012153F"/>
    <w:rsid w:val="0012159D"/>
    <w:rsid w:val="00121804"/>
    <w:rsid w:val="00121EC9"/>
    <w:rsid w:val="0012240D"/>
    <w:rsid w:val="001224FE"/>
    <w:rsid w:val="00122DD6"/>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27FB6"/>
    <w:rsid w:val="0013116E"/>
    <w:rsid w:val="001314A3"/>
    <w:rsid w:val="00131A24"/>
    <w:rsid w:val="00131C2D"/>
    <w:rsid w:val="0013202C"/>
    <w:rsid w:val="00132704"/>
    <w:rsid w:val="00132CBF"/>
    <w:rsid w:val="00133707"/>
    <w:rsid w:val="00133742"/>
    <w:rsid w:val="00133B70"/>
    <w:rsid w:val="00133E97"/>
    <w:rsid w:val="001350F7"/>
    <w:rsid w:val="00135769"/>
    <w:rsid w:val="00135BE9"/>
    <w:rsid w:val="00135E5C"/>
    <w:rsid w:val="001365C9"/>
    <w:rsid w:val="00136762"/>
    <w:rsid w:val="00136E33"/>
    <w:rsid w:val="0013773D"/>
    <w:rsid w:val="0014042F"/>
    <w:rsid w:val="00140693"/>
    <w:rsid w:val="00140D7A"/>
    <w:rsid w:val="00141D28"/>
    <w:rsid w:val="00141DFE"/>
    <w:rsid w:val="00142185"/>
    <w:rsid w:val="001422E2"/>
    <w:rsid w:val="0014233D"/>
    <w:rsid w:val="001424C0"/>
    <w:rsid w:val="001433BC"/>
    <w:rsid w:val="00143872"/>
    <w:rsid w:val="00143A85"/>
    <w:rsid w:val="00144649"/>
    <w:rsid w:val="00145022"/>
    <w:rsid w:val="0014521A"/>
    <w:rsid w:val="00145662"/>
    <w:rsid w:val="00145C6D"/>
    <w:rsid w:val="001460FC"/>
    <w:rsid w:val="00146151"/>
    <w:rsid w:val="0014616E"/>
    <w:rsid w:val="00146326"/>
    <w:rsid w:val="0014648C"/>
    <w:rsid w:val="00146A96"/>
    <w:rsid w:val="00146EA3"/>
    <w:rsid w:val="00147032"/>
    <w:rsid w:val="00147EA7"/>
    <w:rsid w:val="00150E20"/>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19E3"/>
    <w:rsid w:val="001620BA"/>
    <w:rsid w:val="001623AC"/>
    <w:rsid w:val="001629C1"/>
    <w:rsid w:val="00162BAA"/>
    <w:rsid w:val="00163838"/>
    <w:rsid w:val="00163C40"/>
    <w:rsid w:val="0016470A"/>
    <w:rsid w:val="0016488B"/>
    <w:rsid w:val="00165758"/>
    <w:rsid w:val="00165A65"/>
    <w:rsid w:val="00166317"/>
    <w:rsid w:val="00167478"/>
    <w:rsid w:val="00167594"/>
    <w:rsid w:val="001702BE"/>
    <w:rsid w:val="001704B3"/>
    <w:rsid w:val="0017059C"/>
    <w:rsid w:val="0017105C"/>
    <w:rsid w:val="00171276"/>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3D4"/>
    <w:rsid w:val="001755DC"/>
    <w:rsid w:val="00175777"/>
    <w:rsid w:val="00175949"/>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0C5E"/>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202"/>
    <w:rsid w:val="00197370"/>
    <w:rsid w:val="0019756A"/>
    <w:rsid w:val="001A06B5"/>
    <w:rsid w:val="001A07F8"/>
    <w:rsid w:val="001A0A23"/>
    <w:rsid w:val="001A0C98"/>
    <w:rsid w:val="001A128B"/>
    <w:rsid w:val="001A1475"/>
    <w:rsid w:val="001A1619"/>
    <w:rsid w:val="001A1F0E"/>
    <w:rsid w:val="001A2251"/>
    <w:rsid w:val="001A27EA"/>
    <w:rsid w:val="001A3335"/>
    <w:rsid w:val="001A3C64"/>
    <w:rsid w:val="001A473A"/>
    <w:rsid w:val="001A4977"/>
    <w:rsid w:val="001A4ED9"/>
    <w:rsid w:val="001A5785"/>
    <w:rsid w:val="001A58B5"/>
    <w:rsid w:val="001A5EF0"/>
    <w:rsid w:val="001A5FD7"/>
    <w:rsid w:val="001A66A6"/>
    <w:rsid w:val="001A6BAF"/>
    <w:rsid w:val="001A6BBB"/>
    <w:rsid w:val="001A6DAA"/>
    <w:rsid w:val="001A79A2"/>
    <w:rsid w:val="001A7F98"/>
    <w:rsid w:val="001B06A6"/>
    <w:rsid w:val="001B10C2"/>
    <w:rsid w:val="001B13BF"/>
    <w:rsid w:val="001B16F5"/>
    <w:rsid w:val="001B19FD"/>
    <w:rsid w:val="001B1C1F"/>
    <w:rsid w:val="001B219B"/>
    <w:rsid w:val="001B2703"/>
    <w:rsid w:val="001B35A6"/>
    <w:rsid w:val="001B377E"/>
    <w:rsid w:val="001B3A73"/>
    <w:rsid w:val="001B3B6C"/>
    <w:rsid w:val="001B3DCD"/>
    <w:rsid w:val="001B45B9"/>
    <w:rsid w:val="001B46B2"/>
    <w:rsid w:val="001B4725"/>
    <w:rsid w:val="001B48B2"/>
    <w:rsid w:val="001B49DA"/>
    <w:rsid w:val="001B4CA8"/>
    <w:rsid w:val="001B51D0"/>
    <w:rsid w:val="001B572D"/>
    <w:rsid w:val="001B576E"/>
    <w:rsid w:val="001B5B10"/>
    <w:rsid w:val="001B6025"/>
    <w:rsid w:val="001B6D58"/>
    <w:rsid w:val="001B6FA7"/>
    <w:rsid w:val="001B7A15"/>
    <w:rsid w:val="001B7B69"/>
    <w:rsid w:val="001B7DC1"/>
    <w:rsid w:val="001C08DB"/>
    <w:rsid w:val="001C10BD"/>
    <w:rsid w:val="001C1435"/>
    <w:rsid w:val="001C1F01"/>
    <w:rsid w:val="001C2092"/>
    <w:rsid w:val="001C232F"/>
    <w:rsid w:val="001C233E"/>
    <w:rsid w:val="001C2544"/>
    <w:rsid w:val="001C2A17"/>
    <w:rsid w:val="001C31F5"/>
    <w:rsid w:val="001C35BF"/>
    <w:rsid w:val="001C3CBC"/>
    <w:rsid w:val="001C4286"/>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355E"/>
    <w:rsid w:val="001D47FE"/>
    <w:rsid w:val="001D4AB6"/>
    <w:rsid w:val="001D4AD3"/>
    <w:rsid w:val="001D5281"/>
    <w:rsid w:val="001D5C12"/>
    <w:rsid w:val="001D60F1"/>
    <w:rsid w:val="001E0F77"/>
    <w:rsid w:val="001E17E3"/>
    <w:rsid w:val="001E2052"/>
    <w:rsid w:val="001E2492"/>
    <w:rsid w:val="001E257C"/>
    <w:rsid w:val="001E286C"/>
    <w:rsid w:val="001E2F34"/>
    <w:rsid w:val="001E35EE"/>
    <w:rsid w:val="001E3FF7"/>
    <w:rsid w:val="001E4B2C"/>
    <w:rsid w:val="001E507F"/>
    <w:rsid w:val="001E56C2"/>
    <w:rsid w:val="001E59FB"/>
    <w:rsid w:val="001E609E"/>
    <w:rsid w:val="001E693F"/>
    <w:rsid w:val="001E7F81"/>
    <w:rsid w:val="001F0F85"/>
    <w:rsid w:val="001F0FD1"/>
    <w:rsid w:val="001F125D"/>
    <w:rsid w:val="001F1526"/>
    <w:rsid w:val="001F1743"/>
    <w:rsid w:val="001F19D1"/>
    <w:rsid w:val="001F1CB9"/>
    <w:rsid w:val="001F1F18"/>
    <w:rsid w:val="001F2F92"/>
    <w:rsid w:val="001F456F"/>
    <w:rsid w:val="001F45B5"/>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445"/>
    <w:rsid w:val="002055C0"/>
    <w:rsid w:val="0020569E"/>
    <w:rsid w:val="002064B3"/>
    <w:rsid w:val="00206698"/>
    <w:rsid w:val="00206736"/>
    <w:rsid w:val="00206C88"/>
    <w:rsid w:val="00210B9C"/>
    <w:rsid w:val="00210F5F"/>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BA9"/>
    <w:rsid w:val="00215D21"/>
    <w:rsid w:val="0021636B"/>
    <w:rsid w:val="00216387"/>
    <w:rsid w:val="00216E7B"/>
    <w:rsid w:val="00217E1F"/>
    <w:rsid w:val="002204BC"/>
    <w:rsid w:val="00220F7B"/>
    <w:rsid w:val="002213CE"/>
    <w:rsid w:val="00221AF7"/>
    <w:rsid w:val="00222494"/>
    <w:rsid w:val="0022266E"/>
    <w:rsid w:val="00222775"/>
    <w:rsid w:val="00222A31"/>
    <w:rsid w:val="00222CF6"/>
    <w:rsid w:val="00224037"/>
    <w:rsid w:val="002244E4"/>
    <w:rsid w:val="00224D2A"/>
    <w:rsid w:val="00224D8D"/>
    <w:rsid w:val="002253F1"/>
    <w:rsid w:val="00225549"/>
    <w:rsid w:val="0022555A"/>
    <w:rsid w:val="002264CA"/>
    <w:rsid w:val="002269A2"/>
    <w:rsid w:val="00227214"/>
    <w:rsid w:val="00227DDC"/>
    <w:rsid w:val="0023079F"/>
    <w:rsid w:val="00231135"/>
    <w:rsid w:val="00231773"/>
    <w:rsid w:val="00231B0B"/>
    <w:rsid w:val="00232555"/>
    <w:rsid w:val="00233538"/>
    <w:rsid w:val="00233CE7"/>
    <w:rsid w:val="00234248"/>
    <w:rsid w:val="0023449F"/>
    <w:rsid w:val="002344F5"/>
    <w:rsid w:val="0023454D"/>
    <w:rsid w:val="00234679"/>
    <w:rsid w:val="0023560A"/>
    <w:rsid w:val="002359FC"/>
    <w:rsid w:val="002361C8"/>
    <w:rsid w:val="00236690"/>
    <w:rsid w:val="0023669D"/>
    <w:rsid w:val="00237EAE"/>
    <w:rsid w:val="00237FA2"/>
    <w:rsid w:val="002403D5"/>
    <w:rsid w:val="00240C1F"/>
    <w:rsid w:val="00240F55"/>
    <w:rsid w:val="00240F67"/>
    <w:rsid w:val="00241144"/>
    <w:rsid w:val="00242510"/>
    <w:rsid w:val="002426CB"/>
    <w:rsid w:val="00242F79"/>
    <w:rsid w:val="0024415B"/>
    <w:rsid w:val="00245565"/>
    <w:rsid w:val="002455B2"/>
    <w:rsid w:val="002458C1"/>
    <w:rsid w:val="00245E62"/>
    <w:rsid w:val="002460D0"/>
    <w:rsid w:val="00246357"/>
    <w:rsid w:val="00247422"/>
    <w:rsid w:val="00247BA2"/>
    <w:rsid w:val="00250870"/>
    <w:rsid w:val="0025151C"/>
    <w:rsid w:val="0025158A"/>
    <w:rsid w:val="0025184F"/>
    <w:rsid w:val="00251967"/>
    <w:rsid w:val="002527CC"/>
    <w:rsid w:val="00252F48"/>
    <w:rsid w:val="002530C0"/>
    <w:rsid w:val="002531FF"/>
    <w:rsid w:val="00253586"/>
    <w:rsid w:val="002537FC"/>
    <w:rsid w:val="002542F8"/>
    <w:rsid w:val="002543EF"/>
    <w:rsid w:val="00254F2A"/>
    <w:rsid w:val="00255419"/>
    <w:rsid w:val="00255784"/>
    <w:rsid w:val="00255A29"/>
    <w:rsid w:val="00255BD1"/>
    <w:rsid w:val="002562CA"/>
    <w:rsid w:val="0025631F"/>
    <w:rsid w:val="00256986"/>
    <w:rsid w:val="00256D61"/>
    <w:rsid w:val="00256E23"/>
    <w:rsid w:val="00257246"/>
    <w:rsid w:val="00257438"/>
    <w:rsid w:val="00257556"/>
    <w:rsid w:val="0026119C"/>
    <w:rsid w:val="00261AFE"/>
    <w:rsid w:val="00261E58"/>
    <w:rsid w:val="0026212A"/>
    <w:rsid w:val="002621D7"/>
    <w:rsid w:val="00262996"/>
    <w:rsid w:val="00263044"/>
    <w:rsid w:val="0026345F"/>
    <w:rsid w:val="00263759"/>
    <w:rsid w:val="002638BD"/>
    <w:rsid w:val="0026470B"/>
    <w:rsid w:val="0026486D"/>
    <w:rsid w:val="00264C4B"/>
    <w:rsid w:val="00264ED0"/>
    <w:rsid w:val="0026530A"/>
    <w:rsid w:val="00265346"/>
    <w:rsid w:val="00265501"/>
    <w:rsid w:val="00265F9F"/>
    <w:rsid w:val="00266045"/>
    <w:rsid w:val="002660C3"/>
    <w:rsid w:val="00266519"/>
    <w:rsid w:val="00266C21"/>
    <w:rsid w:val="00266DE1"/>
    <w:rsid w:val="0026727D"/>
    <w:rsid w:val="00267A92"/>
    <w:rsid w:val="00267E43"/>
    <w:rsid w:val="00270282"/>
    <w:rsid w:val="00270780"/>
    <w:rsid w:val="00270CF6"/>
    <w:rsid w:val="00271097"/>
    <w:rsid w:val="00271C53"/>
    <w:rsid w:val="0027244F"/>
    <w:rsid w:val="00272962"/>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1BF"/>
    <w:rsid w:val="002815C4"/>
    <w:rsid w:val="00281BCB"/>
    <w:rsid w:val="00281C76"/>
    <w:rsid w:val="0028316D"/>
    <w:rsid w:val="00283296"/>
    <w:rsid w:val="002832CA"/>
    <w:rsid w:val="002842C1"/>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72"/>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69B"/>
    <w:rsid w:val="002A1887"/>
    <w:rsid w:val="002A2001"/>
    <w:rsid w:val="002A4060"/>
    <w:rsid w:val="002A41AB"/>
    <w:rsid w:val="002A4868"/>
    <w:rsid w:val="002A4A05"/>
    <w:rsid w:val="002A4D96"/>
    <w:rsid w:val="002A4EB3"/>
    <w:rsid w:val="002A51D9"/>
    <w:rsid w:val="002A525A"/>
    <w:rsid w:val="002A5968"/>
    <w:rsid w:val="002A5CAB"/>
    <w:rsid w:val="002A5D40"/>
    <w:rsid w:val="002A6170"/>
    <w:rsid w:val="002A622E"/>
    <w:rsid w:val="002A6424"/>
    <w:rsid w:val="002A64E7"/>
    <w:rsid w:val="002A70AD"/>
    <w:rsid w:val="002A7748"/>
    <w:rsid w:val="002A7ED3"/>
    <w:rsid w:val="002A7FB1"/>
    <w:rsid w:val="002A7FC9"/>
    <w:rsid w:val="002B10EC"/>
    <w:rsid w:val="002B139C"/>
    <w:rsid w:val="002B17A7"/>
    <w:rsid w:val="002B1881"/>
    <w:rsid w:val="002B1F61"/>
    <w:rsid w:val="002B2070"/>
    <w:rsid w:val="002B2906"/>
    <w:rsid w:val="002B2AF3"/>
    <w:rsid w:val="002B2C66"/>
    <w:rsid w:val="002B34E3"/>
    <w:rsid w:val="002B51B6"/>
    <w:rsid w:val="002B5447"/>
    <w:rsid w:val="002B5A07"/>
    <w:rsid w:val="002B5AEE"/>
    <w:rsid w:val="002B6177"/>
    <w:rsid w:val="002B650C"/>
    <w:rsid w:val="002B68E6"/>
    <w:rsid w:val="002B6985"/>
    <w:rsid w:val="002B6D7A"/>
    <w:rsid w:val="002C02BA"/>
    <w:rsid w:val="002C0301"/>
    <w:rsid w:val="002C0326"/>
    <w:rsid w:val="002C0A9F"/>
    <w:rsid w:val="002C1469"/>
    <w:rsid w:val="002C1A1F"/>
    <w:rsid w:val="002C1AB3"/>
    <w:rsid w:val="002C1BB7"/>
    <w:rsid w:val="002C1FB3"/>
    <w:rsid w:val="002C2665"/>
    <w:rsid w:val="002C28E1"/>
    <w:rsid w:val="002C327D"/>
    <w:rsid w:val="002C3890"/>
    <w:rsid w:val="002C3AD9"/>
    <w:rsid w:val="002C4286"/>
    <w:rsid w:val="002C43FC"/>
    <w:rsid w:val="002C45C3"/>
    <w:rsid w:val="002C46E9"/>
    <w:rsid w:val="002C4832"/>
    <w:rsid w:val="002C483B"/>
    <w:rsid w:val="002C4DFE"/>
    <w:rsid w:val="002C4F52"/>
    <w:rsid w:val="002C519E"/>
    <w:rsid w:val="002C527F"/>
    <w:rsid w:val="002C5D5E"/>
    <w:rsid w:val="002C5FBE"/>
    <w:rsid w:val="002C6116"/>
    <w:rsid w:val="002C643D"/>
    <w:rsid w:val="002C66B8"/>
    <w:rsid w:val="002C70E7"/>
    <w:rsid w:val="002D0A11"/>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6895"/>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2AC"/>
    <w:rsid w:val="002E55FF"/>
    <w:rsid w:val="002E587E"/>
    <w:rsid w:val="002E5B1F"/>
    <w:rsid w:val="002E672A"/>
    <w:rsid w:val="002E6853"/>
    <w:rsid w:val="002E7EC1"/>
    <w:rsid w:val="002E7EE5"/>
    <w:rsid w:val="002F0323"/>
    <w:rsid w:val="002F0DFB"/>
    <w:rsid w:val="002F0FD1"/>
    <w:rsid w:val="002F134F"/>
    <w:rsid w:val="002F1D0B"/>
    <w:rsid w:val="002F1E1D"/>
    <w:rsid w:val="002F1F02"/>
    <w:rsid w:val="002F27E5"/>
    <w:rsid w:val="002F2D81"/>
    <w:rsid w:val="002F2E3C"/>
    <w:rsid w:val="002F2F66"/>
    <w:rsid w:val="002F39D4"/>
    <w:rsid w:val="002F4BA9"/>
    <w:rsid w:val="002F541B"/>
    <w:rsid w:val="002F5BFE"/>
    <w:rsid w:val="002F5DA5"/>
    <w:rsid w:val="002F5E17"/>
    <w:rsid w:val="002F647C"/>
    <w:rsid w:val="002F6C6B"/>
    <w:rsid w:val="002F6CB0"/>
    <w:rsid w:val="002F6D0D"/>
    <w:rsid w:val="002F6EFF"/>
    <w:rsid w:val="002F7DF0"/>
    <w:rsid w:val="002F7FAF"/>
    <w:rsid w:val="00300573"/>
    <w:rsid w:val="003025FE"/>
    <w:rsid w:val="00302A27"/>
    <w:rsid w:val="00303AB6"/>
    <w:rsid w:val="003044CE"/>
    <w:rsid w:val="00304640"/>
    <w:rsid w:val="00304AC1"/>
    <w:rsid w:val="00304FC3"/>
    <w:rsid w:val="00305090"/>
    <w:rsid w:val="00305454"/>
    <w:rsid w:val="00305B9F"/>
    <w:rsid w:val="00305C4C"/>
    <w:rsid w:val="00305E21"/>
    <w:rsid w:val="003066C6"/>
    <w:rsid w:val="003066FA"/>
    <w:rsid w:val="00306AD6"/>
    <w:rsid w:val="003077F4"/>
    <w:rsid w:val="00307DC7"/>
    <w:rsid w:val="00307FF2"/>
    <w:rsid w:val="003102CE"/>
    <w:rsid w:val="00310D21"/>
    <w:rsid w:val="00310EDB"/>
    <w:rsid w:val="003113DC"/>
    <w:rsid w:val="00311C51"/>
    <w:rsid w:val="00311D56"/>
    <w:rsid w:val="00312016"/>
    <w:rsid w:val="00312340"/>
    <w:rsid w:val="00312DFC"/>
    <w:rsid w:val="00313032"/>
    <w:rsid w:val="0031318C"/>
    <w:rsid w:val="00313809"/>
    <w:rsid w:val="00313C9D"/>
    <w:rsid w:val="0031430C"/>
    <w:rsid w:val="003146C2"/>
    <w:rsid w:val="00314919"/>
    <w:rsid w:val="00314C5A"/>
    <w:rsid w:val="0031531A"/>
    <w:rsid w:val="00315394"/>
    <w:rsid w:val="00315D77"/>
    <w:rsid w:val="00315D8E"/>
    <w:rsid w:val="00316002"/>
    <w:rsid w:val="00316CDE"/>
    <w:rsid w:val="00316E94"/>
    <w:rsid w:val="00316FAB"/>
    <w:rsid w:val="0031752D"/>
    <w:rsid w:val="00317709"/>
    <w:rsid w:val="00320688"/>
    <w:rsid w:val="003209E7"/>
    <w:rsid w:val="00320B75"/>
    <w:rsid w:val="00321209"/>
    <w:rsid w:val="00321CBA"/>
    <w:rsid w:val="00321DB7"/>
    <w:rsid w:val="00321E7A"/>
    <w:rsid w:val="0032226D"/>
    <w:rsid w:val="003235E6"/>
    <w:rsid w:val="00324038"/>
    <w:rsid w:val="00324951"/>
    <w:rsid w:val="003249F6"/>
    <w:rsid w:val="00324B08"/>
    <w:rsid w:val="00324B2F"/>
    <w:rsid w:val="00325FCC"/>
    <w:rsid w:val="00326106"/>
    <w:rsid w:val="00326805"/>
    <w:rsid w:val="003269B7"/>
    <w:rsid w:val="00326C0E"/>
    <w:rsid w:val="003272A3"/>
    <w:rsid w:val="003272E4"/>
    <w:rsid w:val="00327B34"/>
    <w:rsid w:val="00327B71"/>
    <w:rsid w:val="00330383"/>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6E94"/>
    <w:rsid w:val="003373A6"/>
    <w:rsid w:val="00337409"/>
    <w:rsid w:val="00337E18"/>
    <w:rsid w:val="003405AF"/>
    <w:rsid w:val="0034088F"/>
    <w:rsid w:val="00340B3E"/>
    <w:rsid w:val="003413D2"/>
    <w:rsid w:val="003414CE"/>
    <w:rsid w:val="00341525"/>
    <w:rsid w:val="0034257E"/>
    <w:rsid w:val="003429A1"/>
    <w:rsid w:val="003429FC"/>
    <w:rsid w:val="00342D04"/>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6CC9"/>
    <w:rsid w:val="00346ED8"/>
    <w:rsid w:val="00347356"/>
    <w:rsid w:val="0035005C"/>
    <w:rsid w:val="00350896"/>
    <w:rsid w:val="00350C31"/>
    <w:rsid w:val="00350C9F"/>
    <w:rsid w:val="00351391"/>
    <w:rsid w:val="00351476"/>
    <w:rsid w:val="00351995"/>
    <w:rsid w:val="003519CD"/>
    <w:rsid w:val="00351A3A"/>
    <w:rsid w:val="00352D55"/>
    <w:rsid w:val="0035455F"/>
    <w:rsid w:val="00354A88"/>
    <w:rsid w:val="00355890"/>
    <w:rsid w:val="00355D75"/>
    <w:rsid w:val="00355D8F"/>
    <w:rsid w:val="003565C6"/>
    <w:rsid w:val="00356A73"/>
    <w:rsid w:val="00356FF0"/>
    <w:rsid w:val="00357051"/>
    <w:rsid w:val="003577EF"/>
    <w:rsid w:val="00357A60"/>
    <w:rsid w:val="00360304"/>
    <w:rsid w:val="0036036E"/>
    <w:rsid w:val="00360A78"/>
    <w:rsid w:val="00361750"/>
    <w:rsid w:val="00362061"/>
    <w:rsid w:val="00363894"/>
    <w:rsid w:val="00363B2A"/>
    <w:rsid w:val="00363BF1"/>
    <w:rsid w:val="00365D0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0ACA"/>
    <w:rsid w:val="00371213"/>
    <w:rsid w:val="00372842"/>
    <w:rsid w:val="003729A5"/>
    <w:rsid w:val="00372C89"/>
    <w:rsid w:val="00372E9A"/>
    <w:rsid w:val="003735B9"/>
    <w:rsid w:val="00373634"/>
    <w:rsid w:val="00374677"/>
    <w:rsid w:val="0037510C"/>
    <w:rsid w:val="00375850"/>
    <w:rsid w:val="0037632F"/>
    <w:rsid w:val="00376652"/>
    <w:rsid w:val="00377B26"/>
    <w:rsid w:val="00381014"/>
    <w:rsid w:val="00381604"/>
    <w:rsid w:val="00381845"/>
    <w:rsid w:val="00381C68"/>
    <w:rsid w:val="00381E93"/>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03F"/>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A35"/>
    <w:rsid w:val="00397D12"/>
    <w:rsid w:val="003A03D0"/>
    <w:rsid w:val="003A0F6B"/>
    <w:rsid w:val="003A12B6"/>
    <w:rsid w:val="003A1C44"/>
    <w:rsid w:val="003A20D5"/>
    <w:rsid w:val="003A24CC"/>
    <w:rsid w:val="003A2512"/>
    <w:rsid w:val="003A2A53"/>
    <w:rsid w:val="003A2CFC"/>
    <w:rsid w:val="003A2EE8"/>
    <w:rsid w:val="003A2FC2"/>
    <w:rsid w:val="003A373C"/>
    <w:rsid w:val="003A5378"/>
    <w:rsid w:val="003A553C"/>
    <w:rsid w:val="003A56DF"/>
    <w:rsid w:val="003A6008"/>
    <w:rsid w:val="003A703F"/>
    <w:rsid w:val="003A7E2B"/>
    <w:rsid w:val="003A7E40"/>
    <w:rsid w:val="003B0336"/>
    <w:rsid w:val="003B0A3A"/>
    <w:rsid w:val="003B0D79"/>
    <w:rsid w:val="003B0F15"/>
    <w:rsid w:val="003B12EA"/>
    <w:rsid w:val="003B2930"/>
    <w:rsid w:val="003B31A7"/>
    <w:rsid w:val="003B384F"/>
    <w:rsid w:val="003B3F17"/>
    <w:rsid w:val="003B450F"/>
    <w:rsid w:val="003B4587"/>
    <w:rsid w:val="003B4B51"/>
    <w:rsid w:val="003B4FE1"/>
    <w:rsid w:val="003B514E"/>
    <w:rsid w:val="003B5531"/>
    <w:rsid w:val="003B5A25"/>
    <w:rsid w:val="003B636A"/>
    <w:rsid w:val="003B68D9"/>
    <w:rsid w:val="003B69CE"/>
    <w:rsid w:val="003B7403"/>
    <w:rsid w:val="003B7751"/>
    <w:rsid w:val="003C011C"/>
    <w:rsid w:val="003C0E32"/>
    <w:rsid w:val="003C11D7"/>
    <w:rsid w:val="003C16CB"/>
    <w:rsid w:val="003C1A85"/>
    <w:rsid w:val="003C1B97"/>
    <w:rsid w:val="003C247B"/>
    <w:rsid w:val="003C2B88"/>
    <w:rsid w:val="003C3292"/>
    <w:rsid w:val="003C3C1E"/>
    <w:rsid w:val="003C3D88"/>
    <w:rsid w:val="003C4134"/>
    <w:rsid w:val="003C435B"/>
    <w:rsid w:val="003C4EBE"/>
    <w:rsid w:val="003C62EC"/>
    <w:rsid w:val="003C685A"/>
    <w:rsid w:val="003C6E9C"/>
    <w:rsid w:val="003C6F86"/>
    <w:rsid w:val="003C7146"/>
    <w:rsid w:val="003C746F"/>
    <w:rsid w:val="003C7570"/>
    <w:rsid w:val="003C76E6"/>
    <w:rsid w:val="003C79F2"/>
    <w:rsid w:val="003C7E59"/>
    <w:rsid w:val="003C7F12"/>
    <w:rsid w:val="003D03D6"/>
    <w:rsid w:val="003D0643"/>
    <w:rsid w:val="003D075D"/>
    <w:rsid w:val="003D0E13"/>
    <w:rsid w:val="003D0EE2"/>
    <w:rsid w:val="003D1283"/>
    <w:rsid w:val="003D14C8"/>
    <w:rsid w:val="003D1517"/>
    <w:rsid w:val="003D16C5"/>
    <w:rsid w:val="003D1CA9"/>
    <w:rsid w:val="003D2380"/>
    <w:rsid w:val="003D2DA0"/>
    <w:rsid w:val="003D318B"/>
    <w:rsid w:val="003D34C3"/>
    <w:rsid w:val="003D3BA9"/>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3E96"/>
    <w:rsid w:val="003E4048"/>
    <w:rsid w:val="003E425C"/>
    <w:rsid w:val="003E4CE5"/>
    <w:rsid w:val="003E4ED3"/>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6E6"/>
    <w:rsid w:val="003F48DA"/>
    <w:rsid w:val="003F4B48"/>
    <w:rsid w:val="003F4DDC"/>
    <w:rsid w:val="003F56B8"/>
    <w:rsid w:val="003F57CB"/>
    <w:rsid w:val="003F5F1A"/>
    <w:rsid w:val="003F6165"/>
    <w:rsid w:val="003F6327"/>
    <w:rsid w:val="003F7425"/>
    <w:rsid w:val="003F765B"/>
    <w:rsid w:val="003F7CB8"/>
    <w:rsid w:val="00400657"/>
    <w:rsid w:val="00400CB4"/>
    <w:rsid w:val="00401386"/>
    <w:rsid w:val="004013E6"/>
    <w:rsid w:val="00401467"/>
    <w:rsid w:val="00401E31"/>
    <w:rsid w:val="0040250D"/>
    <w:rsid w:val="00402BBA"/>
    <w:rsid w:val="004035D0"/>
    <w:rsid w:val="0040361D"/>
    <w:rsid w:val="00403795"/>
    <w:rsid w:val="004041FB"/>
    <w:rsid w:val="0040443E"/>
    <w:rsid w:val="004054BE"/>
    <w:rsid w:val="004056B6"/>
    <w:rsid w:val="00405764"/>
    <w:rsid w:val="00406745"/>
    <w:rsid w:val="0040674B"/>
    <w:rsid w:val="00406B32"/>
    <w:rsid w:val="00406F27"/>
    <w:rsid w:val="004074FA"/>
    <w:rsid w:val="00407A56"/>
    <w:rsid w:val="00407FB7"/>
    <w:rsid w:val="00407FCC"/>
    <w:rsid w:val="0041035A"/>
    <w:rsid w:val="00410E76"/>
    <w:rsid w:val="004112D1"/>
    <w:rsid w:val="004113C9"/>
    <w:rsid w:val="00411D1E"/>
    <w:rsid w:val="00411DF2"/>
    <w:rsid w:val="00411FF4"/>
    <w:rsid w:val="004120DF"/>
    <w:rsid w:val="004126B5"/>
    <w:rsid w:val="00412716"/>
    <w:rsid w:val="00414909"/>
    <w:rsid w:val="00415034"/>
    <w:rsid w:val="0041596F"/>
    <w:rsid w:val="00415B1A"/>
    <w:rsid w:val="00415DFD"/>
    <w:rsid w:val="00416208"/>
    <w:rsid w:val="0041690F"/>
    <w:rsid w:val="004169D3"/>
    <w:rsid w:val="00416C2B"/>
    <w:rsid w:val="00416D41"/>
    <w:rsid w:val="00416E70"/>
    <w:rsid w:val="00417264"/>
    <w:rsid w:val="004172B3"/>
    <w:rsid w:val="00417BBA"/>
    <w:rsid w:val="00420757"/>
    <w:rsid w:val="004210C0"/>
    <w:rsid w:val="004211DD"/>
    <w:rsid w:val="00421762"/>
    <w:rsid w:val="00421D4B"/>
    <w:rsid w:val="00421ED8"/>
    <w:rsid w:val="00422380"/>
    <w:rsid w:val="00422907"/>
    <w:rsid w:val="00423125"/>
    <w:rsid w:val="00423309"/>
    <w:rsid w:val="004233AD"/>
    <w:rsid w:val="00423999"/>
    <w:rsid w:val="00424446"/>
    <w:rsid w:val="00424867"/>
    <w:rsid w:val="00425341"/>
    <w:rsid w:val="004255FE"/>
    <w:rsid w:val="00425674"/>
    <w:rsid w:val="00425A82"/>
    <w:rsid w:val="00425C60"/>
    <w:rsid w:val="00426B2C"/>
    <w:rsid w:val="00427183"/>
    <w:rsid w:val="00427D8F"/>
    <w:rsid w:val="00427FA8"/>
    <w:rsid w:val="0043009D"/>
    <w:rsid w:val="0043026B"/>
    <w:rsid w:val="00430299"/>
    <w:rsid w:val="004306D4"/>
    <w:rsid w:val="00431A2A"/>
    <w:rsid w:val="00432ECA"/>
    <w:rsid w:val="00433CA2"/>
    <w:rsid w:val="0043502B"/>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1D"/>
    <w:rsid w:val="00445C38"/>
    <w:rsid w:val="00445FF2"/>
    <w:rsid w:val="0044686B"/>
    <w:rsid w:val="004475F7"/>
    <w:rsid w:val="0045057B"/>
    <w:rsid w:val="0045069B"/>
    <w:rsid w:val="00450B22"/>
    <w:rsid w:val="004511CD"/>
    <w:rsid w:val="00451709"/>
    <w:rsid w:val="004518FA"/>
    <w:rsid w:val="00451A02"/>
    <w:rsid w:val="00452434"/>
    <w:rsid w:val="0045277C"/>
    <w:rsid w:val="00452C27"/>
    <w:rsid w:val="00453507"/>
    <w:rsid w:val="00453592"/>
    <w:rsid w:val="00453A2D"/>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22"/>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495"/>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863"/>
    <w:rsid w:val="004749DA"/>
    <w:rsid w:val="00474DEF"/>
    <w:rsid w:val="00475729"/>
    <w:rsid w:val="004758E7"/>
    <w:rsid w:val="00475BAB"/>
    <w:rsid w:val="00475CBD"/>
    <w:rsid w:val="004764C6"/>
    <w:rsid w:val="00476AC1"/>
    <w:rsid w:val="00476B88"/>
    <w:rsid w:val="00476F97"/>
    <w:rsid w:val="00477247"/>
    <w:rsid w:val="004776BB"/>
    <w:rsid w:val="004776FB"/>
    <w:rsid w:val="004802A3"/>
    <w:rsid w:val="0048055E"/>
    <w:rsid w:val="00480C2B"/>
    <w:rsid w:val="00480DC5"/>
    <w:rsid w:val="00480FD9"/>
    <w:rsid w:val="0048131D"/>
    <w:rsid w:val="00481D0B"/>
    <w:rsid w:val="0048249F"/>
    <w:rsid w:val="004824A9"/>
    <w:rsid w:val="00483091"/>
    <w:rsid w:val="00483140"/>
    <w:rsid w:val="00483984"/>
    <w:rsid w:val="00483BC7"/>
    <w:rsid w:val="00483CF0"/>
    <w:rsid w:val="004840EF"/>
    <w:rsid w:val="00484D4D"/>
    <w:rsid w:val="00485D8F"/>
    <w:rsid w:val="00486516"/>
    <w:rsid w:val="0048664F"/>
    <w:rsid w:val="004868AD"/>
    <w:rsid w:val="00486D00"/>
    <w:rsid w:val="00487FE1"/>
    <w:rsid w:val="0049025C"/>
    <w:rsid w:val="00490707"/>
    <w:rsid w:val="00490815"/>
    <w:rsid w:val="004908D6"/>
    <w:rsid w:val="0049117E"/>
    <w:rsid w:val="00492503"/>
    <w:rsid w:val="004925C8"/>
    <w:rsid w:val="00492AF9"/>
    <w:rsid w:val="00492B76"/>
    <w:rsid w:val="00492DFB"/>
    <w:rsid w:val="0049333E"/>
    <w:rsid w:val="00493445"/>
    <w:rsid w:val="0049418F"/>
    <w:rsid w:val="0049570D"/>
    <w:rsid w:val="00495C48"/>
    <w:rsid w:val="00495DC6"/>
    <w:rsid w:val="00495F0D"/>
    <w:rsid w:val="0049657D"/>
    <w:rsid w:val="00496CCE"/>
    <w:rsid w:val="00496EF8"/>
    <w:rsid w:val="004978C1"/>
    <w:rsid w:val="00497960"/>
    <w:rsid w:val="00497A5C"/>
    <w:rsid w:val="00497AAD"/>
    <w:rsid w:val="00497AD6"/>
    <w:rsid w:val="00497BD7"/>
    <w:rsid w:val="00497D1A"/>
    <w:rsid w:val="004A00C9"/>
    <w:rsid w:val="004A03D0"/>
    <w:rsid w:val="004A1049"/>
    <w:rsid w:val="004A1AFA"/>
    <w:rsid w:val="004A1EA7"/>
    <w:rsid w:val="004A1FBD"/>
    <w:rsid w:val="004A26F5"/>
    <w:rsid w:val="004A2EF8"/>
    <w:rsid w:val="004A3A21"/>
    <w:rsid w:val="004A407A"/>
    <w:rsid w:val="004A44BB"/>
    <w:rsid w:val="004A47BB"/>
    <w:rsid w:val="004A4E3B"/>
    <w:rsid w:val="004A6110"/>
    <w:rsid w:val="004A61B8"/>
    <w:rsid w:val="004A6415"/>
    <w:rsid w:val="004A64F9"/>
    <w:rsid w:val="004A65F4"/>
    <w:rsid w:val="004A6879"/>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AB8"/>
    <w:rsid w:val="004C27CF"/>
    <w:rsid w:val="004C2CA7"/>
    <w:rsid w:val="004C3592"/>
    <w:rsid w:val="004C36D8"/>
    <w:rsid w:val="004C45C8"/>
    <w:rsid w:val="004C4F8F"/>
    <w:rsid w:val="004C5576"/>
    <w:rsid w:val="004C559C"/>
    <w:rsid w:val="004C5F2F"/>
    <w:rsid w:val="004C5F4B"/>
    <w:rsid w:val="004C612E"/>
    <w:rsid w:val="004C61B8"/>
    <w:rsid w:val="004C69FE"/>
    <w:rsid w:val="004C6C0A"/>
    <w:rsid w:val="004C6C6D"/>
    <w:rsid w:val="004C6D73"/>
    <w:rsid w:val="004C77FF"/>
    <w:rsid w:val="004C7DB0"/>
    <w:rsid w:val="004C7FFC"/>
    <w:rsid w:val="004D0223"/>
    <w:rsid w:val="004D0C4C"/>
    <w:rsid w:val="004D16A3"/>
    <w:rsid w:val="004D1934"/>
    <w:rsid w:val="004D1E41"/>
    <w:rsid w:val="004D21D2"/>
    <w:rsid w:val="004D2326"/>
    <w:rsid w:val="004D2E11"/>
    <w:rsid w:val="004D2F9F"/>
    <w:rsid w:val="004D3108"/>
    <w:rsid w:val="004D329C"/>
    <w:rsid w:val="004D34D1"/>
    <w:rsid w:val="004D4523"/>
    <w:rsid w:val="004D4990"/>
    <w:rsid w:val="004D51D6"/>
    <w:rsid w:val="004D6486"/>
    <w:rsid w:val="004D6BF2"/>
    <w:rsid w:val="004D6F29"/>
    <w:rsid w:val="004D7BF5"/>
    <w:rsid w:val="004D7F9C"/>
    <w:rsid w:val="004E03F4"/>
    <w:rsid w:val="004E068F"/>
    <w:rsid w:val="004E0860"/>
    <w:rsid w:val="004E09CF"/>
    <w:rsid w:val="004E0B75"/>
    <w:rsid w:val="004E0C29"/>
    <w:rsid w:val="004E0DC4"/>
    <w:rsid w:val="004E109C"/>
    <w:rsid w:val="004E10B9"/>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47B"/>
    <w:rsid w:val="004F0623"/>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886"/>
    <w:rsid w:val="004F5DBB"/>
    <w:rsid w:val="004F60B4"/>
    <w:rsid w:val="004F61A3"/>
    <w:rsid w:val="004F6874"/>
    <w:rsid w:val="004F7922"/>
    <w:rsid w:val="004F7A1F"/>
    <w:rsid w:val="004F7B47"/>
    <w:rsid w:val="0050079C"/>
    <w:rsid w:val="0050093E"/>
    <w:rsid w:val="0050106A"/>
    <w:rsid w:val="005010BC"/>
    <w:rsid w:val="00501848"/>
    <w:rsid w:val="00501E0A"/>
    <w:rsid w:val="00502B31"/>
    <w:rsid w:val="0050312D"/>
    <w:rsid w:val="005038D4"/>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ACF"/>
    <w:rsid w:val="00513BB9"/>
    <w:rsid w:val="0051440E"/>
    <w:rsid w:val="00514480"/>
    <w:rsid w:val="005148CD"/>
    <w:rsid w:val="00515180"/>
    <w:rsid w:val="00515606"/>
    <w:rsid w:val="00515973"/>
    <w:rsid w:val="00516069"/>
    <w:rsid w:val="00516E8A"/>
    <w:rsid w:val="00517AC8"/>
    <w:rsid w:val="00517C3E"/>
    <w:rsid w:val="00517D5C"/>
    <w:rsid w:val="005202C0"/>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27FF5"/>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082"/>
    <w:rsid w:val="005424C2"/>
    <w:rsid w:val="005426B2"/>
    <w:rsid w:val="00543519"/>
    <w:rsid w:val="00543640"/>
    <w:rsid w:val="00544019"/>
    <w:rsid w:val="0054422C"/>
    <w:rsid w:val="005444C6"/>
    <w:rsid w:val="00544855"/>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7E9"/>
    <w:rsid w:val="00553F91"/>
    <w:rsid w:val="00554007"/>
    <w:rsid w:val="00554C03"/>
    <w:rsid w:val="00554C58"/>
    <w:rsid w:val="00554D5D"/>
    <w:rsid w:val="0055501A"/>
    <w:rsid w:val="005550F9"/>
    <w:rsid w:val="00556338"/>
    <w:rsid w:val="00556441"/>
    <w:rsid w:val="00557031"/>
    <w:rsid w:val="0055755D"/>
    <w:rsid w:val="00557F87"/>
    <w:rsid w:val="00560841"/>
    <w:rsid w:val="00560FCB"/>
    <w:rsid w:val="00561001"/>
    <w:rsid w:val="0056111C"/>
    <w:rsid w:val="00561140"/>
    <w:rsid w:val="005613E8"/>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0B87"/>
    <w:rsid w:val="0057182E"/>
    <w:rsid w:val="00571886"/>
    <w:rsid w:val="0057200B"/>
    <w:rsid w:val="00572297"/>
    <w:rsid w:val="0057345D"/>
    <w:rsid w:val="0057347D"/>
    <w:rsid w:val="00573560"/>
    <w:rsid w:val="00574382"/>
    <w:rsid w:val="00574954"/>
    <w:rsid w:val="00574E7B"/>
    <w:rsid w:val="00574F36"/>
    <w:rsid w:val="0057543C"/>
    <w:rsid w:val="00576B5C"/>
    <w:rsid w:val="005770CC"/>
    <w:rsid w:val="005802F9"/>
    <w:rsid w:val="00580411"/>
    <w:rsid w:val="005806D5"/>
    <w:rsid w:val="00580DFC"/>
    <w:rsid w:val="0058134C"/>
    <w:rsid w:val="005815CD"/>
    <w:rsid w:val="00581AA8"/>
    <w:rsid w:val="00581D39"/>
    <w:rsid w:val="005827A7"/>
    <w:rsid w:val="00583D43"/>
    <w:rsid w:val="005846C3"/>
    <w:rsid w:val="00584E8A"/>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5CFC"/>
    <w:rsid w:val="005968EB"/>
    <w:rsid w:val="00596CFA"/>
    <w:rsid w:val="00596EC6"/>
    <w:rsid w:val="005975CE"/>
    <w:rsid w:val="005A0088"/>
    <w:rsid w:val="005A04F6"/>
    <w:rsid w:val="005A14F0"/>
    <w:rsid w:val="005A1861"/>
    <w:rsid w:val="005A1A31"/>
    <w:rsid w:val="005A1B41"/>
    <w:rsid w:val="005A1CA2"/>
    <w:rsid w:val="005A1FCE"/>
    <w:rsid w:val="005A361D"/>
    <w:rsid w:val="005A36C2"/>
    <w:rsid w:val="005A3719"/>
    <w:rsid w:val="005A3DD7"/>
    <w:rsid w:val="005A40FA"/>
    <w:rsid w:val="005A4C20"/>
    <w:rsid w:val="005A4F48"/>
    <w:rsid w:val="005A54F1"/>
    <w:rsid w:val="005A5513"/>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241"/>
    <w:rsid w:val="005B4333"/>
    <w:rsid w:val="005B48BE"/>
    <w:rsid w:val="005B58F7"/>
    <w:rsid w:val="005B5981"/>
    <w:rsid w:val="005B5994"/>
    <w:rsid w:val="005B61E4"/>
    <w:rsid w:val="005B6474"/>
    <w:rsid w:val="005B666D"/>
    <w:rsid w:val="005B667A"/>
    <w:rsid w:val="005B679B"/>
    <w:rsid w:val="005B6865"/>
    <w:rsid w:val="005B7767"/>
    <w:rsid w:val="005C039B"/>
    <w:rsid w:val="005C059F"/>
    <w:rsid w:val="005C07CE"/>
    <w:rsid w:val="005C0B8F"/>
    <w:rsid w:val="005C1781"/>
    <w:rsid w:val="005C194E"/>
    <w:rsid w:val="005C1C83"/>
    <w:rsid w:val="005C1DB1"/>
    <w:rsid w:val="005C226F"/>
    <w:rsid w:val="005C2294"/>
    <w:rsid w:val="005C2E48"/>
    <w:rsid w:val="005C3344"/>
    <w:rsid w:val="005C45CF"/>
    <w:rsid w:val="005C4E4D"/>
    <w:rsid w:val="005C58F2"/>
    <w:rsid w:val="005C5A97"/>
    <w:rsid w:val="005C5F77"/>
    <w:rsid w:val="005C6603"/>
    <w:rsid w:val="005C6AAB"/>
    <w:rsid w:val="005C6D5D"/>
    <w:rsid w:val="005C6FD0"/>
    <w:rsid w:val="005D01C3"/>
    <w:rsid w:val="005D05FF"/>
    <w:rsid w:val="005D0738"/>
    <w:rsid w:val="005D0A42"/>
    <w:rsid w:val="005D0FB4"/>
    <w:rsid w:val="005D1176"/>
    <w:rsid w:val="005D1747"/>
    <w:rsid w:val="005D1937"/>
    <w:rsid w:val="005D266D"/>
    <w:rsid w:val="005D306D"/>
    <w:rsid w:val="005D3327"/>
    <w:rsid w:val="005D465F"/>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BB8"/>
    <w:rsid w:val="005E2CF7"/>
    <w:rsid w:val="005E37FD"/>
    <w:rsid w:val="005E4543"/>
    <w:rsid w:val="005E4A1C"/>
    <w:rsid w:val="005E56C9"/>
    <w:rsid w:val="005E58FC"/>
    <w:rsid w:val="005E5CF7"/>
    <w:rsid w:val="005E5FF0"/>
    <w:rsid w:val="005E642A"/>
    <w:rsid w:val="005E65A7"/>
    <w:rsid w:val="005E69B0"/>
    <w:rsid w:val="005E6A54"/>
    <w:rsid w:val="005E6AE9"/>
    <w:rsid w:val="005E721E"/>
    <w:rsid w:val="005F0857"/>
    <w:rsid w:val="005F1470"/>
    <w:rsid w:val="005F15A9"/>
    <w:rsid w:val="005F1D6C"/>
    <w:rsid w:val="005F2807"/>
    <w:rsid w:val="005F2CD5"/>
    <w:rsid w:val="005F3382"/>
    <w:rsid w:val="005F3720"/>
    <w:rsid w:val="005F3949"/>
    <w:rsid w:val="005F3B15"/>
    <w:rsid w:val="005F3F09"/>
    <w:rsid w:val="005F4515"/>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12F"/>
    <w:rsid w:val="00602764"/>
    <w:rsid w:val="00602B29"/>
    <w:rsid w:val="00602DAD"/>
    <w:rsid w:val="00603256"/>
    <w:rsid w:val="00603373"/>
    <w:rsid w:val="006036D0"/>
    <w:rsid w:val="00603B1C"/>
    <w:rsid w:val="00603C16"/>
    <w:rsid w:val="006042CD"/>
    <w:rsid w:val="00605217"/>
    <w:rsid w:val="006054A5"/>
    <w:rsid w:val="006059E4"/>
    <w:rsid w:val="00605D60"/>
    <w:rsid w:val="006062A0"/>
    <w:rsid w:val="00607015"/>
    <w:rsid w:val="00607B5D"/>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302"/>
    <w:rsid w:val="006166AD"/>
    <w:rsid w:val="00616C1E"/>
    <w:rsid w:val="00617305"/>
    <w:rsid w:val="00617EFC"/>
    <w:rsid w:val="00620055"/>
    <w:rsid w:val="00620336"/>
    <w:rsid w:val="006204B3"/>
    <w:rsid w:val="006204C2"/>
    <w:rsid w:val="00620815"/>
    <w:rsid w:val="00620967"/>
    <w:rsid w:val="006212D3"/>
    <w:rsid w:val="00621639"/>
    <w:rsid w:val="00622B22"/>
    <w:rsid w:val="00622F67"/>
    <w:rsid w:val="00623571"/>
    <w:rsid w:val="00623A5E"/>
    <w:rsid w:val="006241E9"/>
    <w:rsid w:val="00625008"/>
    <w:rsid w:val="00625040"/>
    <w:rsid w:val="0062548B"/>
    <w:rsid w:val="00626710"/>
    <w:rsid w:val="00626930"/>
    <w:rsid w:val="00626AD3"/>
    <w:rsid w:val="00626BAC"/>
    <w:rsid w:val="006271C3"/>
    <w:rsid w:val="00627AFB"/>
    <w:rsid w:val="00627B14"/>
    <w:rsid w:val="0063001E"/>
    <w:rsid w:val="00630023"/>
    <w:rsid w:val="006308EE"/>
    <w:rsid w:val="00630966"/>
    <w:rsid w:val="00630C70"/>
    <w:rsid w:val="00630D67"/>
    <w:rsid w:val="00631005"/>
    <w:rsid w:val="00631C79"/>
    <w:rsid w:val="00632727"/>
    <w:rsid w:val="0063283D"/>
    <w:rsid w:val="00633648"/>
    <w:rsid w:val="00633769"/>
    <w:rsid w:val="0063377C"/>
    <w:rsid w:val="00633FE3"/>
    <w:rsid w:val="00634276"/>
    <w:rsid w:val="00634570"/>
    <w:rsid w:val="0063487C"/>
    <w:rsid w:val="00634CE6"/>
    <w:rsid w:val="00635B73"/>
    <w:rsid w:val="00635BB7"/>
    <w:rsid w:val="00636888"/>
    <w:rsid w:val="00636CC7"/>
    <w:rsid w:val="00637036"/>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7CC"/>
    <w:rsid w:val="00650D19"/>
    <w:rsid w:val="00652CF5"/>
    <w:rsid w:val="00652E0C"/>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3DB1"/>
    <w:rsid w:val="00665030"/>
    <w:rsid w:val="00665670"/>
    <w:rsid w:val="006659EA"/>
    <w:rsid w:val="006661E8"/>
    <w:rsid w:val="00666424"/>
    <w:rsid w:val="0066676C"/>
    <w:rsid w:val="006673B9"/>
    <w:rsid w:val="0066790C"/>
    <w:rsid w:val="00667FF0"/>
    <w:rsid w:val="006709F8"/>
    <w:rsid w:val="00670C7C"/>
    <w:rsid w:val="00671480"/>
    <w:rsid w:val="006717E7"/>
    <w:rsid w:val="00671FD5"/>
    <w:rsid w:val="006720BC"/>
    <w:rsid w:val="0067210F"/>
    <w:rsid w:val="00672906"/>
    <w:rsid w:val="00672C73"/>
    <w:rsid w:val="006738C2"/>
    <w:rsid w:val="00673B64"/>
    <w:rsid w:val="006742B9"/>
    <w:rsid w:val="006753AC"/>
    <w:rsid w:val="00675430"/>
    <w:rsid w:val="0067545E"/>
    <w:rsid w:val="006755F0"/>
    <w:rsid w:val="00675749"/>
    <w:rsid w:val="006759FE"/>
    <w:rsid w:val="0067694F"/>
    <w:rsid w:val="00676C00"/>
    <w:rsid w:val="00677382"/>
    <w:rsid w:val="0067772D"/>
    <w:rsid w:val="00677991"/>
    <w:rsid w:val="00677AD2"/>
    <w:rsid w:val="00677E23"/>
    <w:rsid w:val="00680326"/>
    <w:rsid w:val="00680714"/>
    <w:rsid w:val="0068071D"/>
    <w:rsid w:val="00680C6B"/>
    <w:rsid w:val="006811F3"/>
    <w:rsid w:val="00681240"/>
    <w:rsid w:val="00681E43"/>
    <w:rsid w:val="006825CB"/>
    <w:rsid w:val="00683068"/>
    <w:rsid w:val="00683DAD"/>
    <w:rsid w:val="00684592"/>
    <w:rsid w:val="00684963"/>
    <w:rsid w:val="00685033"/>
    <w:rsid w:val="0068517F"/>
    <w:rsid w:val="00685D65"/>
    <w:rsid w:val="00685FC8"/>
    <w:rsid w:val="00686E80"/>
    <w:rsid w:val="0068790B"/>
    <w:rsid w:val="00687AF2"/>
    <w:rsid w:val="006901AC"/>
    <w:rsid w:val="00690C8D"/>
    <w:rsid w:val="0069111D"/>
    <w:rsid w:val="00691890"/>
    <w:rsid w:val="00691AAD"/>
    <w:rsid w:val="00692416"/>
    <w:rsid w:val="00692AFF"/>
    <w:rsid w:val="00692C36"/>
    <w:rsid w:val="00692D2D"/>
    <w:rsid w:val="00693B73"/>
    <w:rsid w:val="006945A1"/>
    <w:rsid w:val="006949D0"/>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41"/>
    <w:rsid w:val="006A0DC7"/>
    <w:rsid w:val="006A150D"/>
    <w:rsid w:val="006A1B00"/>
    <w:rsid w:val="006A2766"/>
    <w:rsid w:val="006A39D0"/>
    <w:rsid w:val="006A3E91"/>
    <w:rsid w:val="006A430B"/>
    <w:rsid w:val="006A4321"/>
    <w:rsid w:val="006A4D00"/>
    <w:rsid w:val="006A4E20"/>
    <w:rsid w:val="006A4F11"/>
    <w:rsid w:val="006A563C"/>
    <w:rsid w:val="006A5A6F"/>
    <w:rsid w:val="006A5EBF"/>
    <w:rsid w:val="006A5F7E"/>
    <w:rsid w:val="006A6786"/>
    <w:rsid w:val="006A67BB"/>
    <w:rsid w:val="006A7C29"/>
    <w:rsid w:val="006B0580"/>
    <w:rsid w:val="006B0DA2"/>
    <w:rsid w:val="006B0E73"/>
    <w:rsid w:val="006B0F70"/>
    <w:rsid w:val="006B1486"/>
    <w:rsid w:val="006B169F"/>
    <w:rsid w:val="006B1BEB"/>
    <w:rsid w:val="006B1D06"/>
    <w:rsid w:val="006B1F5E"/>
    <w:rsid w:val="006B22C2"/>
    <w:rsid w:val="006B2506"/>
    <w:rsid w:val="006B2823"/>
    <w:rsid w:val="006B29DC"/>
    <w:rsid w:val="006B2E37"/>
    <w:rsid w:val="006B2F60"/>
    <w:rsid w:val="006B33DB"/>
    <w:rsid w:val="006B33DD"/>
    <w:rsid w:val="006B3669"/>
    <w:rsid w:val="006B36E5"/>
    <w:rsid w:val="006B3D00"/>
    <w:rsid w:val="006B4CF8"/>
    <w:rsid w:val="006B506B"/>
    <w:rsid w:val="006B50A8"/>
    <w:rsid w:val="006B54E8"/>
    <w:rsid w:val="006B5FBC"/>
    <w:rsid w:val="006B6B71"/>
    <w:rsid w:val="006B6ED2"/>
    <w:rsid w:val="006B7C58"/>
    <w:rsid w:val="006B7F74"/>
    <w:rsid w:val="006C0230"/>
    <w:rsid w:val="006C05C7"/>
    <w:rsid w:val="006C13B9"/>
    <w:rsid w:val="006C14F7"/>
    <w:rsid w:val="006C15C9"/>
    <w:rsid w:val="006C25AB"/>
    <w:rsid w:val="006C2DA6"/>
    <w:rsid w:val="006C3098"/>
    <w:rsid w:val="006C3581"/>
    <w:rsid w:val="006C39A0"/>
    <w:rsid w:val="006C3C03"/>
    <w:rsid w:val="006C3EFE"/>
    <w:rsid w:val="006C46C7"/>
    <w:rsid w:val="006C4767"/>
    <w:rsid w:val="006C4851"/>
    <w:rsid w:val="006C4A1A"/>
    <w:rsid w:val="006C4D02"/>
    <w:rsid w:val="006C53A4"/>
    <w:rsid w:val="006C54DF"/>
    <w:rsid w:val="006C5823"/>
    <w:rsid w:val="006C5D2E"/>
    <w:rsid w:val="006C5D5D"/>
    <w:rsid w:val="006C627E"/>
    <w:rsid w:val="006C6303"/>
    <w:rsid w:val="006C6A51"/>
    <w:rsid w:val="006C6EBD"/>
    <w:rsid w:val="006C7E04"/>
    <w:rsid w:val="006C7F79"/>
    <w:rsid w:val="006D0004"/>
    <w:rsid w:val="006D015F"/>
    <w:rsid w:val="006D060E"/>
    <w:rsid w:val="006D0665"/>
    <w:rsid w:val="006D0681"/>
    <w:rsid w:val="006D0977"/>
    <w:rsid w:val="006D09C5"/>
    <w:rsid w:val="006D0A80"/>
    <w:rsid w:val="006D0AE8"/>
    <w:rsid w:val="006D135C"/>
    <w:rsid w:val="006D192D"/>
    <w:rsid w:val="006D2F72"/>
    <w:rsid w:val="006D3382"/>
    <w:rsid w:val="006D377D"/>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537"/>
    <w:rsid w:val="006E27DC"/>
    <w:rsid w:val="006E2902"/>
    <w:rsid w:val="006E2F9D"/>
    <w:rsid w:val="006E37C6"/>
    <w:rsid w:val="006E3CF3"/>
    <w:rsid w:val="006E41ED"/>
    <w:rsid w:val="006E4667"/>
    <w:rsid w:val="006E46B7"/>
    <w:rsid w:val="006E475A"/>
    <w:rsid w:val="006E486D"/>
    <w:rsid w:val="006E4880"/>
    <w:rsid w:val="006E48BB"/>
    <w:rsid w:val="006E4B13"/>
    <w:rsid w:val="006E5F86"/>
    <w:rsid w:val="006E67F6"/>
    <w:rsid w:val="006E727B"/>
    <w:rsid w:val="006E76C8"/>
    <w:rsid w:val="006E77C7"/>
    <w:rsid w:val="006E7A92"/>
    <w:rsid w:val="006F01FF"/>
    <w:rsid w:val="006F0CB2"/>
    <w:rsid w:val="006F14FB"/>
    <w:rsid w:val="006F1DE9"/>
    <w:rsid w:val="006F2046"/>
    <w:rsid w:val="006F2F59"/>
    <w:rsid w:val="006F311E"/>
    <w:rsid w:val="006F3442"/>
    <w:rsid w:val="006F36A5"/>
    <w:rsid w:val="006F41F4"/>
    <w:rsid w:val="006F4576"/>
    <w:rsid w:val="006F49D2"/>
    <w:rsid w:val="006F5813"/>
    <w:rsid w:val="006F59A8"/>
    <w:rsid w:val="006F5A1D"/>
    <w:rsid w:val="006F5B9E"/>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7EB"/>
    <w:rsid w:val="00705E93"/>
    <w:rsid w:val="007062AF"/>
    <w:rsid w:val="00706637"/>
    <w:rsid w:val="007069AE"/>
    <w:rsid w:val="007069D4"/>
    <w:rsid w:val="00706C65"/>
    <w:rsid w:val="00706C89"/>
    <w:rsid w:val="00707967"/>
    <w:rsid w:val="00710257"/>
    <w:rsid w:val="00710587"/>
    <w:rsid w:val="007107D5"/>
    <w:rsid w:val="007119DC"/>
    <w:rsid w:val="00711CC7"/>
    <w:rsid w:val="0071230A"/>
    <w:rsid w:val="0071294A"/>
    <w:rsid w:val="00712BB6"/>
    <w:rsid w:val="00712BDD"/>
    <w:rsid w:val="00712E1E"/>
    <w:rsid w:val="00712F37"/>
    <w:rsid w:val="00713A6B"/>
    <w:rsid w:val="00713CB5"/>
    <w:rsid w:val="007140CF"/>
    <w:rsid w:val="00714467"/>
    <w:rsid w:val="0071499C"/>
    <w:rsid w:val="00714F9D"/>
    <w:rsid w:val="007154D8"/>
    <w:rsid w:val="00715577"/>
    <w:rsid w:val="00715699"/>
    <w:rsid w:val="00715934"/>
    <w:rsid w:val="0071604D"/>
    <w:rsid w:val="00716C67"/>
    <w:rsid w:val="007170AB"/>
    <w:rsid w:val="0071779C"/>
    <w:rsid w:val="00717808"/>
    <w:rsid w:val="007208A7"/>
    <w:rsid w:val="00720B3D"/>
    <w:rsid w:val="00720B6A"/>
    <w:rsid w:val="00720CB6"/>
    <w:rsid w:val="007210F6"/>
    <w:rsid w:val="0072129A"/>
    <w:rsid w:val="0072139F"/>
    <w:rsid w:val="0072198A"/>
    <w:rsid w:val="00721AD9"/>
    <w:rsid w:val="00721FC3"/>
    <w:rsid w:val="00722A86"/>
    <w:rsid w:val="00722BC6"/>
    <w:rsid w:val="00722C69"/>
    <w:rsid w:val="0072311F"/>
    <w:rsid w:val="00723200"/>
    <w:rsid w:val="0072388C"/>
    <w:rsid w:val="0072454E"/>
    <w:rsid w:val="007249D1"/>
    <w:rsid w:val="00724FE4"/>
    <w:rsid w:val="00725829"/>
    <w:rsid w:val="00725D6A"/>
    <w:rsid w:val="007263A2"/>
    <w:rsid w:val="007266B9"/>
    <w:rsid w:val="00727351"/>
    <w:rsid w:val="0072773F"/>
    <w:rsid w:val="00727AC5"/>
    <w:rsid w:val="00727C65"/>
    <w:rsid w:val="007300F0"/>
    <w:rsid w:val="00730904"/>
    <w:rsid w:val="00731EDE"/>
    <w:rsid w:val="0073245C"/>
    <w:rsid w:val="00732493"/>
    <w:rsid w:val="00732FE9"/>
    <w:rsid w:val="00733772"/>
    <w:rsid w:val="007339AA"/>
    <w:rsid w:val="00733A43"/>
    <w:rsid w:val="00733AE4"/>
    <w:rsid w:val="00733D5F"/>
    <w:rsid w:val="00734932"/>
    <w:rsid w:val="00735494"/>
    <w:rsid w:val="00735D53"/>
    <w:rsid w:val="0073618A"/>
    <w:rsid w:val="007364A3"/>
    <w:rsid w:val="00736740"/>
    <w:rsid w:val="0073739C"/>
    <w:rsid w:val="007378FD"/>
    <w:rsid w:val="007403FE"/>
    <w:rsid w:val="00740585"/>
    <w:rsid w:val="007407F9"/>
    <w:rsid w:val="007413EB"/>
    <w:rsid w:val="007413FB"/>
    <w:rsid w:val="00742D32"/>
    <w:rsid w:val="00742E9B"/>
    <w:rsid w:val="007444E6"/>
    <w:rsid w:val="0074592C"/>
    <w:rsid w:val="00745C91"/>
    <w:rsid w:val="00746098"/>
    <w:rsid w:val="007460F6"/>
    <w:rsid w:val="00746814"/>
    <w:rsid w:val="00746D58"/>
    <w:rsid w:val="00747578"/>
    <w:rsid w:val="00747E9A"/>
    <w:rsid w:val="00747F90"/>
    <w:rsid w:val="00750D12"/>
    <w:rsid w:val="00751073"/>
    <w:rsid w:val="007512FF"/>
    <w:rsid w:val="007514C2"/>
    <w:rsid w:val="0075175E"/>
    <w:rsid w:val="00751AF2"/>
    <w:rsid w:val="00751B1A"/>
    <w:rsid w:val="00751BD2"/>
    <w:rsid w:val="00751CE5"/>
    <w:rsid w:val="00752188"/>
    <w:rsid w:val="00752BCE"/>
    <w:rsid w:val="00752CC6"/>
    <w:rsid w:val="00753938"/>
    <w:rsid w:val="00753A57"/>
    <w:rsid w:val="007543CE"/>
    <w:rsid w:val="0075497E"/>
    <w:rsid w:val="00754A29"/>
    <w:rsid w:val="00755B6F"/>
    <w:rsid w:val="00755BCF"/>
    <w:rsid w:val="00756C5F"/>
    <w:rsid w:val="00756D69"/>
    <w:rsid w:val="00757029"/>
    <w:rsid w:val="007571FD"/>
    <w:rsid w:val="0075723D"/>
    <w:rsid w:val="00757725"/>
    <w:rsid w:val="00757D8D"/>
    <w:rsid w:val="007602D4"/>
    <w:rsid w:val="00760D96"/>
    <w:rsid w:val="0076124A"/>
    <w:rsid w:val="0076161B"/>
    <w:rsid w:val="0076182A"/>
    <w:rsid w:val="00761950"/>
    <w:rsid w:val="00761CB5"/>
    <w:rsid w:val="0076216B"/>
    <w:rsid w:val="00762948"/>
    <w:rsid w:val="00762A81"/>
    <w:rsid w:val="007630F6"/>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6446"/>
    <w:rsid w:val="0077710B"/>
    <w:rsid w:val="0077765A"/>
    <w:rsid w:val="007776E8"/>
    <w:rsid w:val="007778AE"/>
    <w:rsid w:val="00780032"/>
    <w:rsid w:val="00780636"/>
    <w:rsid w:val="00780E86"/>
    <w:rsid w:val="0078108C"/>
    <w:rsid w:val="00781727"/>
    <w:rsid w:val="00781BE0"/>
    <w:rsid w:val="007823E8"/>
    <w:rsid w:val="00782CF3"/>
    <w:rsid w:val="0078372D"/>
    <w:rsid w:val="00783959"/>
    <w:rsid w:val="00783BA5"/>
    <w:rsid w:val="007844A9"/>
    <w:rsid w:val="00784CB6"/>
    <w:rsid w:val="00785091"/>
    <w:rsid w:val="00785262"/>
    <w:rsid w:val="0078638C"/>
    <w:rsid w:val="007869F9"/>
    <w:rsid w:val="00786CBB"/>
    <w:rsid w:val="00786E21"/>
    <w:rsid w:val="00787228"/>
    <w:rsid w:val="00787618"/>
    <w:rsid w:val="0079038E"/>
    <w:rsid w:val="0079043B"/>
    <w:rsid w:val="00790C35"/>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404"/>
    <w:rsid w:val="0079778D"/>
    <w:rsid w:val="00797D73"/>
    <w:rsid w:val="00797F1D"/>
    <w:rsid w:val="007A006C"/>
    <w:rsid w:val="007A0789"/>
    <w:rsid w:val="007A130E"/>
    <w:rsid w:val="007A18B1"/>
    <w:rsid w:val="007A1BBD"/>
    <w:rsid w:val="007A1F08"/>
    <w:rsid w:val="007A2555"/>
    <w:rsid w:val="007A25FA"/>
    <w:rsid w:val="007A2DB8"/>
    <w:rsid w:val="007A2FCB"/>
    <w:rsid w:val="007A3520"/>
    <w:rsid w:val="007A35C6"/>
    <w:rsid w:val="007A3604"/>
    <w:rsid w:val="007A3878"/>
    <w:rsid w:val="007A3D85"/>
    <w:rsid w:val="007A3E0D"/>
    <w:rsid w:val="007A436D"/>
    <w:rsid w:val="007A4ED8"/>
    <w:rsid w:val="007A54F6"/>
    <w:rsid w:val="007A55FE"/>
    <w:rsid w:val="007A582C"/>
    <w:rsid w:val="007A5950"/>
    <w:rsid w:val="007A6D91"/>
    <w:rsid w:val="007A7618"/>
    <w:rsid w:val="007B00C9"/>
    <w:rsid w:val="007B02C7"/>
    <w:rsid w:val="007B0306"/>
    <w:rsid w:val="007B08E4"/>
    <w:rsid w:val="007B0D86"/>
    <w:rsid w:val="007B28C3"/>
    <w:rsid w:val="007B2B48"/>
    <w:rsid w:val="007B346D"/>
    <w:rsid w:val="007B3A8E"/>
    <w:rsid w:val="007B3B52"/>
    <w:rsid w:val="007B3C9B"/>
    <w:rsid w:val="007B4271"/>
    <w:rsid w:val="007B497D"/>
    <w:rsid w:val="007B4EE9"/>
    <w:rsid w:val="007B5234"/>
    <w:rsid w:val="007B53EE"/>
    <w:rsid w:val="007B54C7"/>
    <w:rsid w:val="007B5637"/>
    <w:rsid w:val="007B5DC5"/>
    <w:rsid w:val="007B5F32"/>
    <w:rsid w:val="007B63FC"/>
    <w:rsid w:val="007B6708"/>
    <w:rsid w:val="007B6C20"/>
    <w:rsid w:val="007B6E8D"/>
    <w:rsid w:val="007C029E"/>
    <w:rsid w:val="007C04DA"/>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17DA"/>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1331"/>
    <w:rsid w:val="007E23A1"/>
    <w:rsid w:val="007E259F"/>
    <w:rsid w:val="007E347E"/>
    <w:rsid w:val="007E41A4"/>
    <w:rsid w:val="007E43E3"/>
    <w:rsid w:val="007E54B8"/>
    <w:rsid w:val="007E5D12"/>
    <w:rsid w:val="007E6420"/>
    <w:rsid w:val="007E677F"/>
    <w:rsid w:val="007E6B25"/>
    <w:rsid w:val="007E6E06"/>
    <w:rsid w:val="007E6F4A"/>
    <w:rsid w:val="007E79CC"/>
    <w:rsid w:val="007F0455"/>
    <w:rsid w:val="007F1054"/>
    <w:rsid w:val="007F1124"/>
    <w:rsid w:val="007F152D"/>
    <w:rsid w:val="007F20C4"/>
    <w:rsid w:val="007F20EE"/>
    <w:rsid w:val="007F23D8"/>
    <w:rsid w:val="007F2BD1"/>
    <w:rsid w:val="007F3030"/>
    <w:rsid w:val="007F307A"/>
    <w:rsid w:val="007F30C6"/>
    <w:rsid w:val="007F38FD"/>
    <w:rsid w:val="007F3C18"/>
    <w:rsid w:val="007F40B5"/>
    <w:rsid w:val="007F4318"/>
    <w:rsid w:val="007F4709"/>
    <w:rsid w:val="007F47DA"/>
    <w:rsid w:val="007F4E52"/>
    <w:rsid w:val="007F4F84"/>
    <w:rsid w:val="007F5382"/>
    <w:rsid w:val="007F55A4"/>
    <w:rsid w:val="007F5D28"/>
    <w:rsid w:val="007F6260"/>
    <w:rsid w:val="007F682B"/>
    <w:rsid w:val="007F78E8"/>
    <w:rsid w:val="007F7EFB"/>
    <w:rsid w:val="007F7F8F"/>
    <w:rsid w:val="00800509"/>
    <w:rsid w:val="0080078E"/>
    <w:rsid w:val="00800A75"/>
    <w:rsid w:val="00800B7F"/>
    <w:rsid w:val="008012B1"/>
    <w:rsid w:val="00801C93"/>
    <w:rsid w:val="00801D63"/>
    <w:rsid w:val="0080348B"/>
    <w:rsid w:val="00803D82"/>
    <w:rsid w:val="00803D91"/>
    <w:rsid w:val="00803D98"/>
    <w:rsid w:val="00805158"/>
    <w:rsid w:val="008052CE"/>
    <w:rsid w:val="008052DF"/>
    <w:rsid w:val="0080552F"/>
    <w:rsid w:val="008058D0"/>
    <w:rsid w:val="00806A4C"/>
    <w:rsid w:val="00806FED"/>
    <w:rsid w:val="0080705B"/>
    <w:rsid w:val="0080723C"/>
    <w:rsid w:val="0080761B"/>
    <w:rsid w:val="008076F7"/>
    <w:rsid w:val="00807F71"/>
    <w:rsid w:val="0081000F"/>
    <w:rsid w:val="00810187"/>
    <w:rsid w:val="00811261"/>
    <w:rsid w:val="00812657"/>
    <w:rsid w:val="00812A1A"/>
    <w:rsid w:val="00812DFF"/>
    <w:rsid w:val="0081362F"/>
    <w:rsid w:val="0081383A"/>
    <w:rsid w:val="0081497F"/>
    <w:rsid w:val="00814B90"/>
    <w:rsid w:val="00814FC7"/>
    <w:rsid w:val="00815DC5"/>
    <w:rsid w:val="0081660C"/>
    <w:rsid w:val="00816AD8"/>
    <w:rsid w:val="00817195"/>
    <w:rsid w:val="00817416"/>
    <w:rsid w:val="00817479"/>
    <w:rsid w:val="00817658"/>
    <w:rsid w:val="008206AE"/>
    <w:rsid w:val="00820BCB"/>
    <w:rsid w:val="00821271"/>
    <w:rsid w:val="00821306"/>
    <w:rsid w:val="008213D9"/>
    <w:rsid w:val="008216CE"/>
    <w:rsid w:val="008218AE"/>
    <w:rsid w:val="00821D85"/>
    <w:rsid w:val="00821E47"/>
    <w:rsid w:val="008220F6"/>
    <w:rsid w:val="00822456"/>
    <w:rsid w:val="00822B49"/>
    <w:rsid w:val="00823368"/>
    <w:rsid w:val="00823665"/>
    <w:rsid w:val="00823819"/>
    <w:rsid w:val="00823C4B"/>
    <w:rsid w:val="0082427D"/>
    <w:rsid w:val="00825441"/>
    <w:rsid w:val="00826855"/>
    <w:rsid w:val="00826E73"/>
    <w:rsid w:val="00830052"/>
    <w:rsid w:val="008300D0"/>
    <w:rsid w:val="008305BC"/>
    <w:rsid w:val="008308D8"/>
    <w:rsid w:val="00830ECE"/>
    <w:rsid w:val="008320D2"/>
    <w:rsid w:val="008321CE"/>
    <w:rsid w:val="0083257C"/>
    <w:rsid w:val="0083261B"/>
    <w:rsid w:val="00832B44"/>
    <w:rsid w:val="00832EC9"/>
    <w:rsid w:val="00833307"/>
    <w:rsid w:val="00833583"/>
    <w:rsid w:val="00833B5B"/>
    <w:rsid w:val="00833E9A"/>
    <w:rsid w:val="00834FEF"/>
    <w:rsid w:val="008355C3"/>
    <w:rsid w:val="00836323"/>
    <w:rsid w:val="00836E43"/>
    <w:rsid w:val="00837505"/>
    <w:rsid w:val="008379FF"/>
    <w:rsid w:val="00837D3D"/>
    <w:rsid w:val="00837E9B"/>
    <w:rsid w:val="008404AA"/>
    <w:rsid w:val="008406D7"/>
    <w:rsid w:val="0084074F"/>
    <w:rsid w:val="008407BA"/>
    <w:rsid w:val="00840AA3"/>
    <w:rsid w:val="00840AAC"/>
    <w:rsid w:val="0084101C"/>
    <w:rsid w:val="008412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4B7E"/>
    <w:rsid w:val="0085517F"/>
    <w:rsid w:val="0085562D"/>
    <w:rsid w:val="00855A78"/>
    <w:rsid w:val="00855E03"/>
    <w:rsid w:val="00856154"/>
    <w:rsid w:val="00856286"/>
    <w:rsid w:val="0085657E"/>
    <w:rsid w:val="00856F0E"/>
    <w:rsid w:val="008573AF"/>
    <w:rsid w:val="008576B0"/>
    <w:rsid w:val="00860296"/>
    <w:rsid w:val="008602E3"/>
    <w:rsid w:val="00860DA4"/>
    <w:rsid w:val="00861146"/>
    <w:rsid w:val="00861948"/>
    <w:rsid w:val="00861E10"/>
    <w:rsid w:val="00862011"/>
    <w:rsid w:val="00862A15"/>
    <w:rsid w:val="00862CC9"/>
    <w:rsid w:val="00862D8E"/>
    <w:rsid w:val="00862EF2"/>
    <w:rsid w:val="00863649"/>
    <w:rsid w:val="00865935"/>
    <w:rsid w:val="0086598A"/>
    <w:rsid w:val="00865C3D"/>
    <w:rsid w:val="00865F4C"/>
    <w:rsid w:val="00866453"/>
    <w:rsid w:val="0086707F"/>
    <w:rsid w:val="00867501"/>
    <w:rsid w:val="00867D8E"/>
    <w:rsid w:val="008700C0"/>
    <w:rsid w:val="0087058B"/>
    <w:rsid w:val="00870997"/>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B72"/>
    <w:rsid w:val="00875E14"/>
    <w:rsid w:val="008762D0"/>
    <w:rsid w:val="0087677E"/>
    <w:rsid w:val="0087712C"/>
    <w:rsid w:val="008776E7"/>
    <w:rsid w:val="00877746"/>
    <w:rsid w:val="00877C5D"/>
    <w:rsid w:val="0088003E"/>
    <w:rsid w:val="00880354"/>
    <w:rsid w:val="0088093C"/>
    <w:rsid w:val="00880BC0"/>
    <w:rsid w:val="0088100F"/>
    <w:rsid w:val="0088127A"/>
    <w:rsid w:val="00881D59"/>
    <w:rsid w:val="00882991"/>
    <w:rsid w:val="00882EC1"/>
    <w:rsid w:val="0088323A"/>
    <w:rsid w:val="0088324E"/>
    <w:rsid w:val="0088434F"/>
    <w:rsid w:val="00884371"/>
    <w:rsid w:val="008848E2"/>
    <w:rsid w:val="00884B7A"/>
    <w:rsid w:val="00884D47"/>
    <w:rsid w:val="008856C5"/>
    <w:rsid w:val="00886112"/>
    <w:rsid w:val="00886E60"/>
    <w:rsid w:val="008872B3"/>
    <w:rsid w:val="00887392"/>
    <w:rsid w:val="00890A64"/>
    <w:rsid w:val="00890C40"/>
    <w:rsid w:val="00890D7F"/>
    <w:rsid w:val="0089122E"/>
    <w:rsid w:val="008912A7"/>
    <w:rsid w:val="0089137F"/>
    <w:rsid w:val="0089183A"/>
    <w:rsid w:val="008920B4"/>
    <w:rsid w:val="008925EB"/>
    <w:rsid w:val="0089275E"/>
    <w:rsid w:val="00892B43"/>
    <w:rsid w:val="00893013"/>
    <w:rsid w:val="00893432"/>
    <w:rsid w:val="00893936"/>
    <w:rsid w:val="00893CE2"/>
    <w:rsid w:val="00893F41"/>
    <w:rsid w:val="00895144"/>
    <w:rsid w:val="00895725"/>
    <w:rsid w:val="00895963"/>
    <w:rsid w:val="0089653D"/>
    <w:rsid w:val="008972B6"/>
    <w:rsid w:val="00897339"/>
    <w:rsid w:val="00897697"/>
    <w:rsid w:val="008977E1"/>
    <w:rsid w:val="00897BFA"/>
    <w:rsid w:val="00897D19"/>
    <w:rsid w:val="008A0044"/>
    <w:rsid w:val="008A0BFE"/>
    <w:rsid w:val="008A0E7A"/>
    <w:rsid w:val="008A1932"/>
    <w:rsid w:val="008A21D9"/>
    <w:rsid w:val="008A232D"/>
    <w:rsid w:val="008A3182"/>
    <w:rsid w:val="008A3C76"/>
    <w:rsid w:val="008A3D54"/>
    <w:rsid w:val="008A3E10"/>
    <w:rsid w:val="008A411C"/>
    <w:rsid w:val="008A45AC"/>
    <w:rsid w:val="008A4630"/>
    <w:rsid w:val="008A47CE"/>
    <w:rsid w:val="008A4C9E"/>
    <w:rsid w:val="008A4DFA"/>
    <w:rsid w:val="008A5F2F"/>
    <w:rsid w:val="008A6BAE"/>
    <w:rsid w:val="008A7350"/>
    <w:rsid w:val="008A7A72"/>
    <w:rsid w:val="008B09F3"/>
    <w:rsid w:val="008B111A"/>
    <w:rsid w:val="008B124E"/>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C7B8D"/>
    <w:rsid w:val="008D01DA"/>
    <w:rsid w:val="008D05DF"/>
    <w:rsid w:val="008D0878"/>
    <w:rsid w:val="008D09E8"/>
    <w:rsid w:val="008D0E65"/>
    <w:rsid w:val="008D110A"/>
    <w:rsid w:val="008D15CA"/>
    <w:rsid w:val="008D1612"/>
    <w:rsid w:val="008D19FA"/>
    <w:rsid w:val="008D2259"/>
    <w:rsid w:val="008D2531"/>
    <w:rsid w:val="008D2833"/>
    <w:rsid w:val="008D2A5B"/>
    <w:rsid w:val="008D2E90"/>
    <w:rsid w:val="008D313A"/>
    <w:rsid w:val="008D3381"/>
    <w:rsid w:val="008D33FE"/>
    <w:rsid w:val="008D3B9F"/>
    <w:rsid w:val="008D3D02"/>
    <w:rsid w:val="008D3D5A"/>
    <w:rsid w:val="008D4226"/>
    <w:rsid w:val="008D4698"/>
    <w:rsid w:val="008D4D7C"/>
    <w:rsid w:val="008D5432"/>
    <w:rsid w:val="008D54C0"/>
    <w:rsid w:val="008D5558"/>
    <w:rsid w:val="008D5806"/>
    <w:rsid w:val="008D5ED9"/>
    <w:rsid w:val="008D65BE"/>
    <w:rsid w:val="008D7247"/>
    <w:rsid w:val="008D7567"/>
    <w:rsid w:val="008E00D3"/>
    <w:rsid w:val="008E0EE4"/>
    <w:rsid w:val="008E12BE"/>
    <w:rsid w:val="008E13FD"/>
    <w:rsid w:val="008E1C24"/>
    <w:rsid w:val="008E2626"/>
    <w:rsid w:val="008E2775"/>
    <w:rsid w:val="008E27A9"/>
    <w:rsid w:val="008E323C"/>
    <w:rsid w:val="008E32E0"/>
    <w:rsid w:val="008E33D4"/>
    <w:rsid w:val="008E35A6"/>
    <w:rsid w:val="008E35BA"/>
    <w:rsid w:val="008E36D9"/>
    <w:rsid w:val="008E3A5C"/>
    <w:rsid w:val="008E3A9A"/>
    <w:rsid w:val="008E429E"/>
    <w:rsid w:val="008E58A3"/>
    <w:rsid w:val="008E5938"/>
    <w:rsid w:val="008E6109"/>
    <w:rsid w:val="008E6A39"/>
    <w:rsid w:val="008E76BB"/>
    <w:rsid w:val="008E7772"/>
    <w:rsid w:val="008F0752"/>
    <w:rsid w:val="008F1764"/>
    <w:rsid w:val="008F1E3D"/>
    <w:rsid w:val="008F235C"/>
    <w:rsid w:val="008F290B"/>
    <w:rsid w:val="008F2F11"/>
    <w:rsid w:val="008F3369"/>
    <w:rsid w:val="008F33A6"/>
    <w:rsid w:val="008F35EC"/>
    <w:rsid w:val="008F4FE8"/>
    <w:rsid w:val="008F4FED"/>
    <w:rsid w:val="008F5D5A"/>
    <w:rsid w:val="008F5F97"/>
    <w:rsid w:val="008F60F3"/>
    <w:rsid w:val="008F6200"/>
    <w:rsid w:val="008F62F8"/>
    <w:rsid w:val="008F6893"/>
    <w:rsid w:val="008F6B28"/>
    <w:rsid w:val="008F7292"/>
    <w:rsid w:val="008F76C0"/>
    <w:rsid w:val="008F7E61"/>
    <w:rsid w:val="009000F2"/>
    <w:rsid w:val="00900614"/>
    <w:rsid w:val="0090079D"/>
    <w:rsid w:val="0090086A"/>
    <w:rsid w:val="00900C2F"/>
    <w:rsid w:val="00900D2C"/>
    <w:rsid w:val="0090108C"/>
    <w:rsid w:val="00901807"/>
    <w:rsid w:val="00901F0E"/>
    <w:rsid w:val="00902A26"/>
    <w:rsid w:val="00902A57"/>
    <w:rsid w:val="00902B29"/>
    <w:rsid w:val="00903316"/>
    <w:rsid w:val="00903C36"/>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100"/>
    <w:rsid w:val="00915243"/>
    <w:rsid w:val="00915351"/>
    <w:rsid w:val="00915679"/>
    <w:rsid w:val="009159C2"/>
    <w:rsid w:val="009161C2"/>
    <w:rsid w:val="0091627F"/>
    <w:rsid w:val="00916E45"/>
    <w:rsid w:val="009203EC"/>
    <w:rsid w:val="0092077A"/>
    <w:rsid w:val="00920DC0"/>
    <w:rsid w:val="009219F3"/>
    <w:rsid w:val="009221CB"/>
    <w:rsid w:val="00922320"/>
    <w:rsid w:val="00923643"/>
    <w:rsid w:val="00923E1A"/>
    <w:rsid w:val="00923E3F"/>
    <w:rsid w:val="00924423"/>
    <w:rsid w:val="009245CC"/>
    <w:rsid w:val="0092490A"/>
    <w:rsid w:val="00924E4B"/>
    <w:rsid w:val="00925A3E"/>
    <w:rsid w:val="009261DB"/>
    <w:rsid w:val="00926939"/>
    <w:rsid w:val="009269DD"/>
    <w:rsid w:val="00926F4C"/>
    <w:rsid w:val="00927330"/>
    <w:rsid w:val="00927673"/>
    <w:rsid w:val="00927710"/>
    <w:rsid w:val="009307CA"/>
    <w:rsid w:val="009312DF"/>
    <w:rsid w:val="009312F9"/>
    <w:rsid w:val="00931445"/>
    <w:rsid w:val="00931AB8"/>
    <w:rsid w:val="00931C19"/>
    <w:rsid w:val="00931C63"/>
    <w:rsid w:val="00931D10"/>
    <w:rsid w:val="0093218A"/>
    <w:rsid w:val="009330C5"/>
    <w:rsid w:val="0093386D"/>
    <w:rsid w:val="00934C8E"/>
    <w:rsid w:val="00934F03"/>
    <w:rsid w:val="00935194"/>
    <w:rsid w:val="0093545F"/>
    <w:rsid w:val="00935C4D"/>
    <w:rsid w:val="00936EA5"/>
    <w:rsid w:val="00937114"/>
    <w:rsid w:val="00937236"/>
    <w:rsid w:val="0094015D"/>
    <w:rsid w:val="00940916"/>
    <w:rsid w:val="009412B7"/>
    <w:rsid w:val="00941B13"/>
    <w:rsid w:val="009420A2"/>
    <w:rsid w:val="0094215C"/>
    <w:rsid w:val="00942A27"/>
    <w:rsid w:val="00942F8E"/>
    <w:rsid w:val="00943543"/>
    <w:rsid w:val="009438CC"/>
    <w:rsid w:val="009441DB"/>
    <w:rsid w:val="00944834"/>
    <w:rsid w:val="00946128"/>
    <w:rsid w:val="0094633F"/>
    <w:rsid w:val="009469AB"/>
    <w:rsid w:val="00947AD5"/>
    <w:rsid w:val="00947BA5"/>
    <w:rsid w:val="009505DE"/>
    <w:rsid w:val="00950805"/>
    <w:rsid w:val="0095105F"/>
    <w:rsid w:val="009517E4"/>
    <w:rsid w:val="009518D4"/>
    <w:rsid w:val="009520BC"/>
    <w:rsid w:val="009521D2"/>
    <w:rsid w:val="00952403"/>
    <w:rsid w:val="00952589"/>
    <w:rsid w:val="00952BD8"/>
    <w:rsid w:val="00953153"/>
    <w:rsid w:val="00953573"/>
    <w:rsid w:val="009536ED"/>
    <w:rsid w:val="0095370A"/>
    <w:rsid w:val="009537C0"/>
    <w:rsid w:val="009557A9"/>
    <w:rsid w:val="00956647"/>
    <w:rsid w:val="00956CF3"/>
    <w:rsid w:val="00957380"/>
    <w:rsid w:val="00957409"/>
    <w:rsid w:val="00957499"/>
    <w:rsid w:val="00957ED2"/>
    <w:rsid w:val="00960355"/>
    <w:rsid w:val="009604AE"/>
    <w:rsid w:val="009609AF"/>
    <w:rsid w:val="00960DE4"/>
    <w:rsid w:val="009610C7"/>
    <w:rsid w:val="00961164"/>
    <w:rsid w:val="009612A4"/>
    <w:rsid w:val="00961867"/>
    <w:rsid w:val="00961A07"/>
    <w:rsid w:val="00961A4F"/>
    <w:rsid w:val="009625B7"/>
    <w:rsid w:val="0096286F"/>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67121"/>
    <w:rsid w:val="0097025C"/>
    <w:rsid w:val="00971415"/>
    <w:rsid w:val="009716D8"/>
    <w:rsid w:val="00971F54"/>
    <w:rsid w:val="00972057"/>
    <w:rsid w:val="0097227B"/>
    <w:rsid w:val="0097262E"/>
    <w:rsid w:val="0097293F"/>
    <w:rsid w:val="0097305F"/>
    <w:rsid w:val="00973103"/>
    <w:rsid w:val="00973E8C"/>
    <w:rsid w:val="00974022"/>
    <w:rsid w:val="009743E8"/>
    <w:rsid w:val="009745D8"/>
    <w:rsid w:val="00974F3B"/>
    <w:rsid w:val="0097552A"/>
    <w:rsid w:val="0097564A"/>
    <w:rsid w:val="00975971"/>
    <w:rsid w:val="00975974"/>
    <w:rsid w:val="00975D06"/>
    <w:rsid w:val="00975D63"/>
    <w:rsid w:val="00975DAE"/>
    <w:rsid w:val="0097624D"/>
    <w:rsid w:val="00976BBE"/>
    <w:rsid w:val="009804FC"/>
    <w:rsid w:val="0098055B"/>
    <w:rsid w:val="00980674"/>
    <w:rsid w:val="00980B30"/>
    <w:rsid w:val="009810BE"/>
    <w:rsid w:val="009817BC"/>
    <w:rsid w:val="009819A7"/>
    <w:rsid w:val="0098220A"/>
    <w:rsid w:val="009829B6"/>
    <w:rsid w:val="00982E75"/>
    <w:rsid w:val="00983337"/>
    <w:rsid w:val="009836AA"/>
    <w:rsid w:val="009846BF"/>
    <w:rsid w:val="009851F5"/>
    <w:rsid w:val="0098534B"/>
    <w:rsid w:val="00985446"/>
    <w:rsid w:val="00986019"/>
    <w:rsid w:val="00986281"/>
    <w:rsid w:val="009868DB"/>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7DF"/>
    <w:rsid w:val="00995B01"/>
    <w:rsid w:val="00996055"/>
    <w:rsid w:val="00996EF4"/>
    <w:rsid w:val="00997044"/>
    <w:rsid w:val="00997BC9"/>
    <w:rsid w:val="00997E05"/>
    <w:rsid w:val="009A113D"/>
    <w:rsid w:val="009A1ECA"/>
    <w:rsid w:val="009A2BE9"/>
    <w:rsid w:val="009A2BF3"/>
    <w:rsid w:val="009A3688"/>
    <w:rsid w:val="009A3713"/>
    <w:rsid w:val="009A3C3E"/>
    <w:rsid w:val="009A4153"/>
    <w:rsid w:val="009A4C2C"/>
    <w:rsid w:val="009A4E60"/>
    <w:rsid w:val="009A59B3"/>
    <w:rsid w:val="009A5FAE"/>
    <w:rsid w:val="009A6877"/>
    <w:rsid w:val="009A6B3A"/>
    <w:rsid w:val="009A70A3"/>
    <w:rsid w:val="009A7E7C"/>
    <w:rsid w:val="009B01E0"/>
    <w:rsid w:val="009B05D2"/>
    <w:rsid w:val="009B0877"/>
    <w:rsid w:val="009B152B"/>
    <w:rsid w:val="009B1A45"/>
    <w:rsid w:val="009B2731"/>
    <w:rsid w:val="009B2B5E"/>
    <w:rsid w:val="009B2DCF"/>
    <w:rsid w:val="009B39D8"/>
    <w:rsid w:val="009B3D38"/>
    <w:rsid w:val="009B4368"/>
    <w:rsid w:val="009B4D4C"/>
    <w:rsid w:val="009B66F5"/>
    <w:rsid w:val="009B7505"/>
    <w:rsid w:val="009C0020"/>
    <w:rsid w:val="009C03F7"/>
    <w:rsid w:val="009C0DF6"/>
    <w:rsid w:val="009C10DA"/>
    <w:rsid w:val="009C19FC"/>
    <w:rsid w:val="009C27F7"/>
    <w:rsid w:val="009C29A4"/>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86C"/>
    <w:rsid w:val="009F1DE8"/>
    <w:rsid w:val="009F2186"/>
    <w:rsid w:val="009F227C"/>
    <w:rsid w:val="009F28DC"/>
    <w:rsid w:val="009F2EDB"/>
    <w:rsid w:val="009F33DC"/>
    <w:rsid w:val="009F3572"/>
    <w:rsid w:val="009F4550"/>
    <w:rsid w:val="009F4CDC"/>
    <w:rsid w:val="009F56C0"/>
    <w:rsid w:val="009F5C76"/>
    <w:rsid w:val="009F7280"/>
    <w:rsid w:val="00A000C5"/>
    <w:rsid w:val="00A007B4"/>
    <w:rsid w:val="00A00930"/>
    <w:rsid w:val="00A00CA0"/>
    <w:rsid w:val="00A00E00"/>
    <w:rsid w:val="00A01221"/>
    <w:rsid w:val="00A012A8"/>
    <w:rsid w:val="00A012F1"/>
    <w:rsid w:val="00A01381"/>
    <w:rsid w:val="00A014EE"/>
    <w:rsid w:val="00A016FF"/>
    <w:rsid w:val="00A01886"/>
    <w:rsid w:val="00A01A2A"/>
    <w:rsid w:val="00A0207F"/>
    <w:rsid w:val="00A021AF"/>
    <w:rsid w:val="00A027B1"/>
    <w:rsid w:val="00A0307A"/>
    <w:rsid w:val="00A034BD"/>
    <w:rsid w:val="00A03A7C"/>
    <w:rsid w:val="00A044AA"/>
    <w:rsid w:val="00A052F0"/>
    <w:rsid w:val="00A0686F"/>
    <w:rsid w:val="00A0700C"/>
    <w:rsid w:val="00A079E6"/>
    <w:rsid w:val="00A102F8"/>
    <w:rsid w:val="00A10A20"/>
    <w:rsid w:val="00A117D5"/>
    <w:rsid w:val="00A11C11"/>
    <w:rsid w:val="00A11D1C"/>
    <w:rsid w:val="00A11D60"/>
    <w:rsid w:val="00A1254C"/>
    <w:rsid w:val="00A12720"/>
    <w:rsid w:val="00A12ED1"/>
    <w:rsid w:val="00A13121"/>
    <w:rsid w:val="00A131F5"/>
    <w:rsid w:val="00A133C1"/>
    <w:rsid w:val="00A13414"/>
    <w:rsid w:val="00A13675"/>
    <w:rsid w:val="00A138B7"/>
    <w:rsid w:val="00A13F2D"/>
    <w:rsid w:val="00A144A7"/>
    <w:rsid w:val="00A14724"/>
    <w:rsid w:val="00A148A0"/>
    <w:rsid w:val="00A14AA8"/>
    <w:rsid w:val="00A14CD9"/>
    <w:rsid w:val="00A14F81"/>
    <w:rsid w:val="00A1535F"/>
    <w:rsid w:val="00A15CB1"/>
    <w:rsid w:val="00A15DCC"/>
    <w:rsid w:val="00A15E7D"/>
    <w:rsid w:val="00A15E84"/>
    <w:rsid w:val="00A16021"/>
    <w:rsid w:val="00A16961"/>
    <w:rsid w:val="00A176DD"/>
    <w:rsid w:val="00A21838"/>
    <w:rsid w:val="00A220B6"/>
    <w:rsid w:val="00A22C3E"/>
    <w:rsid w:val="00A22C4D"/>
    <w:rsid w:val="00A2334E"/>
    <w:rsid w:val="00A23442"/>
    <w:rsid w:val="00A23F39"/>
    <w:rsid w:val="00A249D2"/>
    <w:rsid w:val="00A254AB"/>
    <w:rsid w:val="00A25588"/>
    <w:rsid w:val="00A259F2"/>
    <w:rsid w:val="00A266CC"/>
    <w:rsid w:val="00A26DB4"/>
    <w:rsid w:val="00A26E49"/>
    <w:rsid w:val="00A27425"/>
    <w:rsid w:val="00A27548"/>
    <w:rsid w:val="00A3017F"/>
    <w:rsid w:val="00A3023E"/>
    <w:rsid w:val="00A305C5"/>
    <w:rsid w:val="00A30919"/>
    <w:rsid w:val="00A31F05"/>
    <w:rsid w:val="00A31FD2"/>
    <w:rsid w:val="00A33CE7"/>
    <w:rsid w:val="00A3404D"/>
    <w:rsid w:val="00A341AB"/>
    <w:rsid w:val="00A34290"/>
    <w:rsid w:val="00A355F9"/>
    <w:rsid w:val="00A357D3"/>
    <w:rsid w:val="00A3598A"/>
    <w:rsid w:val="00A35AA9"/>
    <w:rsid w:val="00A35F3C"/>
    <w:rsid w:val="00A36CF6"/>
    <w:rsid w:val="00A37309"/>
    <w:rsid w:val="00A37329"/>
    <w:rsid w:val="00A37558"/>
    <w:rsid w:val="00A3786A"/>
    <w:rsid w:val="00A4008C"/>
    <w:rsid w:val="00A402A8"/>
    <w:rsid w:val="00A40685"/>
    <w:rsid w:val="00A40E2F"/>
    <w:rsid w:val="00A41819"/>
    <w:rsid w:val="00A41962"/>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99"/>
    <w:rsid w:val="00A507C4"/>
    <w:rsid w:val="00A508AA"/>
    <w:rsid w:val="00A50E09"/>
    <w:rsid w:val="00A50EE7"/>
    <w:rsid w:val="00A526CE"/>
    <w:rsid w:val="00A53D28"/>
    <w:rsid w:val="00A5468F"/>
    <w:rsid w:val="00A54909"/>
    <w:rsid w:val="00A54DC0"/>
    <w:rsid w:val="00A550C9"/>
    <w:rsid w:val="00A55228"/>
    <w:rsid w:val="00A55410"/>
    <w:rsid w:val="00A55A04"/>
    <w:rsid w:val="00A55B0D"/>
    <w:rsid w:val="00A564DE"/>
    <w:rsid w:val="00A57734"/>
    <w:rsid w:val="00A6054E"/>
    <w:rsid w:val="00A60799"/>
    <w:rsid w:val="00A6170B"/>
    <w:rsid w:val="00A61767"/>
    <w:rsid w:val="00A61991"/>
    <w:rsid w:val="00A61B7F"/>
    <w:rsid w:val="00A61B91"/>
    <w:rsid w:val="00A61C3A"/>
    <w:rsid w:val="00A620E8"/>
    <w:rsid w:val="00A63335"/>
    <w:rsid w:val="00A634EB"/>
    <w:rsid w:val="00A63685"/>
    <w:rsid w:val="00A63EA5"/>
    <w:rsid w:val="00A63EC2"/>
    <w:rsid w:val="00A64545"/>
    <w:rsid w:val="00A645AC"/>
    <w:rsid w:val="00A64653"/>
    <w:rsid w:val="00A64C79"/>
    <w:rsid w:val="00A65EFB"/>
    <w:rsid w:val="00A66C1F"/>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881"/>
    <w:rsid w:val="00A74E67"/>
    <w:rsid w:val="00A758E2"/>
    <w:rsid w:val="00A765B1"/>
    <w:rsid w:val="00A772F2"/>
    <w:rsid w:val="00A77828"/>
    <w:rsid w:val="00A77BAA"/>
    <w:rsid w:val="00A800F9"/>
    <w:rsid w:val="00A803A6"/>
    <w:rsid w:val="00A80438"/>
    <w:rsid w:val="00A8073D"/>
    <w:rsid w:val="00A80D02"/>
    <w:rsid w:val="00A815FB"/>
    <w:rsid w:val="00A81AEB"/>
    <w:rsid w:val="00A82D32"/>
    <w:rsid w:val="00A82EAE"/>
    <w:rsid w:val="00A82FC7"/>
    <w:rsid w:val="00A83814"/>
    <w:rsid w:val="00A83D9B"/>
    <w:rsid w:val="00A8406D"/>
    <w:rsid w:val="00A847F9"/>
    <w:rsid w:val="00A84F27"/>
    <w:rsid w:val="00A8519C"/>
    <w:rsid w:val="00A855EE"/>
    <w:rsid w:val="00A8597A"/>
    <w:rsid w:val="00A85B87"/>
    <w:rsid w:val="00A85F83"/>
    <w:rsid w:val="00A86019"/>
    <w:rsid w:val="00A86E00"/>
    <w:rsid w:val="00A86EED"/>
    <w:rsid w:val="00A8733A"/>
    <w:rsid w:val="00A9151F"/>
    <w:rsid w:val="00A9196B"/>
    <w:rsid w:val="00A91A55"/>
    <w:rsid w:val="00A91BB5"/>
    <w:rsid w:val="00A91BEE"/>
    <w:rsid w:val="00A91D4B"/>
    <w:rsid w:val="00A920B2"/>
    <w:rsid w:val="00A92A96"/>
    <w:rsid w:val="00A92AF0"/>
    <w:rsid w:val="00A933FE"/>
    <w:rsid w:val="00A93796"/>
    <w:rsid w:val="00A937D5"/>
    <w:rsid w:val="00A93C70"/>
    <w:rsid w:val="00A94A32"/>
    <w:rsid w:val="00A94AFC"/>
    <w:rsid w:val="00A94B4E"/>
    <w:rsid w:val="00A94BF5"/>
    <w:rsid w:val="00A954F8"/>
    <w:rsid w:val="00A962AE"/>
    <w:rsid w:val="00A9686A"/>
    <w:rsid w:val="00A96B4A"/>
    <w:rsid w:val="00A97676"/>
    <w:rsid w:val="00A97BDA"/>
    <w:rsid w:val="00AA043A"/>
    <w:rsid w:val="00AA0779"/>
    <w:rsid w:val="00AA08F3"/>
    <w:rsid w:val="00AA0A7E"/>
    <w:rsid w:val="00AA0F23"/>
    <w:rsid w:val="00AA1067"/>
    <w:rsid w:val="00AA1163"/>
    <w:rsid w:val="00AA1D91"/>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3B6"/>
    <w:rsid w:val="00AA7519"/>
    <w:rsid w:val="00AA790A"/>
    <w:rsid w:val="00AA7F3A"/>
    <w:rsid w:val="00AB02EA"/>
    <w:rsid w:val="00AB110C"/>
    <w:rsid w:val="00AB227A"/>
    <w:rsid w:val="00AB22BF"/>
    <w:rsid w:val="00AB256E"/>
    <w:rsid w:val="00AB318B"/>
    <w:rsid w:val="00AB3466"/>
    <w:rsid w:val="00AB38B2"/>
    <w:rsid w:val="00AB3BBB"/>
    <w:rsid w:val="00AB3F91"/>
    <w:rsid w:val="00AB408C"/>
    <w:rsid w:val="00AB43AF"/>
    <w:rsid w:val="00AB489E"/>
    <w:rsid w:val="00AB4E41"/>
    <w:rsid w:val="00AB4FA2"/>
    <w:rsid w:val="00AB5EB1"/>
    <w:rsid w:val="00AB6003"/>
    <w:rsid w:val="00AB6F36"/>
    <w:rsid w:val="00AB72D1"/>
    <w:rsid w:val="00AB759A"/>
    <w:rsid w:val="00AB7B06"/>
    <w:rsid w:val="00AB7EAA"/>
    <w:rsid w:val="00AC0432"/>
    <w:rsid w:val="00AC0770"/>
    <w:rsid w:val="00AC1683"/>
    <w:rsid w:val="00AC18FF"/>
    <w:rsid w:val="00AC1D82"/>
    <w:rsid w:val="00AC2D5F"/>
    <w:rsid w:val="00AC38A5"/>
    <w:rsid w:val="00AC4094"/>
    <w:rsid w:val="00AC42B6"/>
    <w:rsid w:val="00AC4AB7"/>
    <w:rsid w:val="00AC51E0"/>
    <w:rsid w:val="00AC6D24"/>
    <w:rsid w:val="00AC6E18"/>
    <w:rsid w:val="00AC7F64"/>
    <w:rsid w:val="00AD0DD3"/>
    <w:rsid w:val="00AD1065"/>
    <w:rsid w:val="00AD159E"/>
    <w:rsid w:val="00AD2623"/>
    <w:rsid w:val="00AD28BA"/>
    <w:rsid w:val="00AD2AB1"/>
    <w:rsid w:val="00AD3132"/>
    <w:rsid w:val="00AD3DA6"/>
    <w:rsid w:val="00AD3F3C"/>
    <w:rsid w:val="00AD447E"/>
    <w:rsid w:val="00AD4A3B"/>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17C"/>
    <w:rsid w:val="00AE6575"/>
    <w:rsid w:val="00AE71EE"/>
    <w:rsid w:val="00AE7D75"/>
    <w:rsid w:val="00AF03CF"/>
    <w:rsid w:val="00AF0A0A"/>
    <w:rsid w:val="00AF14FC"/>
    <w:rsid w:val="00AF153A"/>
    <w:rsid w:val="00AF1ED2"/>
    <w:rsid w:val="00AF1F4E"/>
    <w:rsid w:val="00AF2302"/>
    <w:rsid w:val="00AF2443"/>
    <w:rsid w:val="00AF262A"/>
    <w:rsid w:val="00AF3557"/>
    <w:rsid w:val="00AF3F86"/>
    <w:rsid w:val="00AF4CEE"/>
    <w:rsid w:val="00AF4F4A"/>
    <w:rsid w:val="00AF584C"/>
    <w:rsid w:val="00AF5950"/>
    <w:rsid w:val="00AF5D84"/>
    <w:rsid w:val="00AF6476"/>
    <w:rsid w:val="00AF669D"/>
    <w:rsid w:val="00AF672C"/>
    <w:rsid w:val="00AF673E"/>
    <w:rsid w:val="00AF6ABE"/>
    <w:rsid w:val="00AF7389"/>
    <w:rsid w:val="00AF79DF"/>
    <w:rsid w:val="00AF7C37"/>
    <w:rsid w:val="00B00378"/>
    <w:rsid w:val="00B00ABC"/>
    <w:rsid w:val="00B00D91"/>
    <w:rsid w:val="00B00E84"/>
    <w:rsid w:val="00B01DD9"/>
    <w:rsid w:val="00B01F0E"/>
    <w:rsid w:val="00B02321"/>
    <w:rsid w:val="00B03691"/>
    <w:rsid w:val="00B036F2"/>
    <w:rsid w:val="00B03747"/>
    <w:rsid w:val="00B038F1"/>
    <w:rsid w:val="00B03C1B"/>
    <w:rsid w:val="00B04678"/>
    <w:rsid w:val="00B047C9"/>
    <w:rsid w:val="00B04A04"/>
    <w:rsid w:val="00B04B78"/>
    <w:rsid w:val="00B04C37"/>
    <w:rsid w:val="00B04F00"/>
    <w:rsid w:val="00B05BA6"/>
    <w:rsid w:val="00B066FE"/>
    <w:rsid w:val="00B06912"/>
    <w:rsid w:val="00B06B4F"/>
    <w:rsid w:val="00B06BEA"/>
    <w:rsid w:val="00B06F99"/>
    <w:rsid w:val="00B07316"/>
    <w:rsid w:val="00B07625"/>
    <w:rsid w:val="00B07A43"/>
    <w:rsid w:val="00B07F74"/>
    <w:rsid w:val="00B105CE"/>
    <w:rsid w:val="00B10618"/>
    <w:rsid w:val="00B106A9"/>
    <w:rsid w:val="00B10B04"/>
    <w:rsid w:val="00B10CC6"/>
    <w:rsid w:val="00B1127D"/>
    <w:rsid w:val="00B11932"/>
    <w:rsid w:val="00B11A61"/>
    <w:rsid w:val="00B12082"/>
    <w:rsid w:val="00B12648"/>
    <w:rsid w:val="00B1270C"/>
    <w:rsid w:val="00B12710"/>
    <w:rsid w:val="00B13389"/>
    <w:rsid w:val="00B1364C"/>
    <w:rsid w:val="00B13EDB"/>
    <w:rsid w:val="00B14193"/>
    <w:rsid w:val="00B141A5"/>
    <w:rsid w:val="00B14F47"/>
    <w:rsid w:val="00B15282"/>
    <w:rsid w:val="00B15286"/>
    <w:rsid w:val="00B1539F"/>
    <w:rsid w:val="00B1550D"/>
    <w:rsid w:val="00B15F6C"/>
    <w:rsid w:val="00B163E8"/>
    <w:rsid w:val="00B16B8C"/>
    <w:rsid w:val="00B1767E"/>
    <w:rsid w:val="00B20760"/>
    <w:rsid w:val="00B2125C"/>
    <w:rsid w:val="00B21291"/>
    <w:rsid w:val="00B21676"/>
    <w:rsid w:val="00B219E1"/>
    <w:rsid w:val="00B21ECF"/>
    <w:rsid w:val="00B22150"/>
    <w:rsid w:val="00B2225B"/>
    <w:rsid w:val="00B226DE"/>
    <w:rsid w:val="00B22B37"/>
    <w:rsid w:val="00B22FB5"/>
    <w:rsid w:val="00B23E42"/>
    <w:rsid w:val="00B241D5"/>
    <w:rsid w:val="00B24BE9"/>
    <w:rsid w:val="00B2511C"/>
    <w:rsid w:val="00B2551D"/>
    <w:rsid w:val="00B259DF"/>
    <w:rsid w:val="00B25A55"/>
    <w:rsid w:val="00B25F8C"/>
    <w:rsid w:val="00B260BE"/>
    <w:rsid w:val="00B26677"/>
    <w:rsid w:val="00B26901"/>
    <w:rsid w:val="00B26A96"/>
    <w:rsid w:val="00B274E3"/>
    <w:rsid w:val="00B2765C"/>
    <w:rsid w:val="00B27C4B"/>
    <w:rsid w:val="00B30563"/>
    <w:rsid w:val="00B3069E"/>
    <w:rsid w:val="00B30A76"/>
    <w:rsid w:val="00B31246"/>
    <w:rsid w:val="00B31AA8"/>
    <w:rsid w:val="00B32295"/>
    <w:rsid w:val="00B33AB5"/>
    <w:rsid w:val="00B3412E"/>
    <w:rsid w:val="00B343E0"/>
    <w:rsid w:val="00B34685"/>
    <w:rsid w:val="00B35B6D"/>
    <w:rsid w:val="00B35D53"/>
    <w:rsid w:val="00B367C4"/>
    <w:rsid w:val="00B3680B"/>
    <w:rsid w:val="00B36D3E"/>
    <w:rsid w:val="00B379FC"/>
    <w:rsid w:val="00B37B8E"/>
    <w:rsid w:val="00B40222"/>
    <w:rsid w:val="00B404C3"/>
    <w:rsid w:val="00B40B24"/>
    <w:rsid w:val="00B416A8"/>
    <w:rsid w:val="00B41938"/>
    <w:rsid w:val="00B41A04"/>
    <w:rsid w:val="00B41E43"/>
    <w:rsid w:val="00B42743"/>
    <w:rsid w:val="00B430E9"/>
    <w:rsid w:val="00B4311F"/>
    <w:rsid w:val="00B431AE"/>
    <w:rsid w:val="00B44288"/>
    <w:rsid w:val="00B448BF"/>
    <w:rsid w:val="00B45A59"/>
    <w:rsid w:val="00B45F9F"/>
    <w:rsid w:val="00B4627C"/>
    <w:rsid w:val="00B4641F"/>
    <w:rsid w:val="00B46793"/>
    <w:rsid w:val="00B46953"/>
    <w:rsid w:val="00B473C2"/>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9D9"/>
    <w:rsid w:val="00B53D1D"/>
    <w:rsid w:val="00B53E98"/>
    <w:rsid w:val="00B53F9B"/>
    <w:rsid w:val="00B54B19"/>
    <w:rsid w:val="00B55F64"/>
    <w:rsid w:val="00B56ECA"/>
    <w:rsid w:val="00B57093"/>
    <w:rsid w:val="00B573C5"/>
    <w:rsid w:val="00B57B5D"/>
    <w:rsid w:val="00B60613"/>
    <w:rsid w:val="00B61AEC"/>
    <w:rsid w:val="00B6244C"/>
    <w:rsid w:val="00B62A2F"/>
    <w:rsid w:val="00B62B7B"/>
    <w:rsid w:val="00B62F0A"/>
    <w:rsid w:val="00B63484"/>
    <w:rsid w:val="00B634B7"/>
    <w:rsid w:val="00B634F1"/>
    <w:rsid w:val="00B637EF"/>
    <w:rsid w:val="00B638D1"/>
    <w:rsid w:val="00B63EF6"/>
    <w:rsid w:val="00B6440A"/>
    <w:rsid w:val="00B65584"/>
    <w:rsid w:val="00B65788"/>
    <w:rsid w:val="00B65844"/>
    <w:rsid w:val="00B66054"/>
    <w:rsid w:val="00B66175"/>
    <w:rsid w:val="00B662D0"/>
    <w:rsid w:val="00B6677F"/>
    <w:rsid w:val="00B66C7A"/>
    <w:rsid w:val="00B672EA"/>
    <w:rsid w:val="00B6747B"/>
    <w:rsid w:val="00B70200"/>
    <w:rsid w:val="00B702D7"/>
    <w:rsid w:val="00B70389"/>
    <w:rsid w:val="00B708DC"/>
    <w:rsid w:val="00B70E01"/>
    <w:rsid w:val="00B718FA"/>
    <w:rsid w:val="00B72A0B"/>
    <w:rsid w:val="00B72CF0"/>
    <w:rsid w:val="00B7380E"/>
    <w:rsid w:val="00B740F6"/>
    <w:rsid w:val="00B74615"/>
    <w:rsid w:val="00B74789"/>
    <w:rsid w:val="00B755B6"/>
    <w:rsid w:val="00B75977"/>
    <w:rsid w:val="00B75A0D"/>
    <w:rsid w:val="00B75A48"/>
    <w:rsid w:val="00B75CC0"/>
    <w:rsid w:val="00B76021"/>
    <w:rsid w:val="00B76FCD"/>
    <w:rsid w:val="00B7764D"/>
    <w:rsid w:val="00B804F8"/>
    <w:rsid w:val="00B8095A"/>
    <w:rsid w:val="00B81274"/>
    <w:rsid w:val="00B815D3"/>
    <w:rsid w:val="00B81742"/>
    <w:rsid w:val="00B817B5"/>
    <w:rsid w:val="00B818B0"/>
    <w:rsid w:val="00B823A6"/>
    <w:rsid w:val="00B83452"/>
    <w:rsid w:val="00B83E76"/>
    <w:rsid w:val="00B83FA0"/>
    <w:rsid w:val="00B84156"/>
    <w:rsid w:val="00B846E6"/>
    <w:rsid w:val="00B8537B"/>
    <w:rsid w:val="00B85466"/>
    <w:rsid w:val="00B85586"/>
    <w:rsid w:val="00B86289"/>
    <w:rsid w:val="00B863B3"/>
    <w:rsid w:val="00B869D3"/>
    <w:rsid w:val="00B86CF8"/>
    <w:rsid w:val="00B86E44"/>
    <w:rsid w:val="00B87359"/>
    <w:rsid w:val="00B87F1C"/>
    <w:rsid w:val="00B906CA"/>
    <w:rsid w:val="00B90D8D"/>
    <w:rsid w:val="00B91263"/>
    <w:rsid w:val="00B91B61"/>
    <w:rsid w:val="00B93849"/>
    <w:rsid w:val="00B938BD"/>
    <w:rsid w:val="00B93CF3"/>
    <w:rsid w:val="00B9407F"/>
    <w:rsid w:val="00B944E9"/>
    <w:rsid w:val="00B945D7"/>
    <w:rsid w:val="00B94807"/>
    <w:rsid w:val="00B94896"/>
    <w:rsid w:val="00B94CDD"/>
    <w:rsid w:val="00B94DA7"/>
    <w:rsid w:val="00B95163"/>
    <w:rsid w:val="00B954D0"/>
    <w:rsid w:val="00B95C9B"/>
    <w:rsid w:val="00B96DD9"/>
    <w:rsid w:val="00B96EA6"/>
    <w:rsid w:val="00B9789D"/>
    <w:rsid w:val="00B97A4C"/>
    <w:rsid w:val="00BA050E"/>
    <w:rsid w:val="00BA0CA7"/>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872"/>
    <w:rsid w:val="00BB1A93"/>
    <w:rsid w:val="00BB1EFB"/>
    <w:rsid w:val="00BB269F"/>
    <w:rsid w:val="00BB2731"/>
    <w:rsid w:val="00BB27CC"/>
    <w:rsid w:val="00BB2ACE"/>
    <w:rsid w:val="00BB2E4E"/>
    <w:rsid w:val="00BB2E62"/>
    <w:rsid w:val="00BB3139"/>
    <w:rsid w:val="00BB36C9"/>
    <w:rsid w:val="00BB3823"/>
    <w:rsid w:val="00BB3951"/>
    <w:rsid w:val="00BB3A66"/>
    <w:rsid w:val="00BB40D1"/>
    <w:rsid w:val="00BB4956"/>
    <w:rsid w:val="00BB6D85"/>
    <w:rsid w:val="00BB73D9"/>
    <w:rsid w:val="00BB777D"/>
    <w:rsid w:val="00BB7EC0"/>
    <w:rsid w:val="00BB7F88"/>
    <w:rsid w:val="00BC0207"/>
    <w:rsid w:val="00BC089F"/>
    <w:rsid w:val="00BC0A0C"/>
    <w:rsid w:val="00BC0A5A"/>
    <w:rsid w:val="00BC0E64"/>
    <w:rsid w:val="00BC246B"/>
    <w:rsid w:val="00BC25D1"/>
    <w:rsid w:val="00BC2DBD"/>
    <w:rsid w:val="00BC3BCB"/>
    <w:rsid w:val="00BC3CF1"/>
    <w:rsid w:val="00BC4202"/>
    <w:rsid w:val="00BC428A"/>
    <w:rsid w:val="00BC4C40"/>
    <w:rsid w:val="00BC5A29"/>
    <w:rsid w:val="00BC5AE3"/>
    <w:rsid w:val="00BC5BAD"/>
    <w:rsid w:val="00BC692A"/>
    <w:rsid w:val="00BC76C5"/>
    <w:rsid w:val="00BC7E7F"/>
    <w:rsid w:val="00BC7F94"/>
    <w:rsid w:val="00BD1039"/>
    <w:rsid w:val="00BD10B7"/>
    <w:rsid w:val="00BD138A"/>
    <w:rsid w:val="00BD164A"/>
    <w:rsid w:val="00BD1BDD"/>
    <w:rsid w:val="00BD1D7D"/>
    <w:rsid w:val="00BD1E27"/>
    <w:rsid w:val="00BD2B4D"/>
    <w:rsid w:val="00BD2CB4"/>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0F3"/>
    <w:rsid w:val="00BE11A2"/>
    <w:rsid w:val="00BE1EF0"/>
    <w:rsid w:val="00BE246C"/>
    <w:rsid w:val="00BE2657"/>
    <w:rsid w:val="00BE2FD2"/>
    <w:rsid w:val="00BE31FB"/>
    <w:rsid w:val="00BE377A"/>
    <w:rsid w:val="00BE37AE"/>
    <w:rsid w:val="00BE3B14"/>
    <w:rsid w:val="00BE3C65"/>
    <w:rsid w:val="00BE4222"/>
    <w:rsid w:val="00BE472D"/>
    <w:rsid w:val="00BE4C03"/>
    <w:rsid w:val="00BE503F"/>
    <w:rsid w:val="00BE63B1"/>
    <w:rsid w:val="00BE7F4D"/>
    <w:rsid w:val="00BF03C0"/>
    <w:rsid w:val="00BF0EBF"/>
    <w:rsid w:val="00BF1534"/>
    <w:rsid w:val="00BF2021"/>
    <w:rsid w:val="00BF21D4"/>
    <w:rsid w:val="00BF2BFF"/>
    <w:rsid w:val="00BF2DDC"/>
    <w:rsid w:val="00BF2FC7"/>
    <w:rsid w:val="00BF32DE"/>
    <w:rsid w:val="00BF4A15"/>
    <w:rsid w:val="00BF4CC1"/>
    <w:rsid w:val="00BF4CF6"/>
    <w:rsid w:val="00BF4E0E"/>
    <w:rsid w:val="00BF4E27"/>
    <w:rsid w:val="00BF4F7C"/>
    <w:rsid w:val="00BF537B"/>
    <w:rsid w:val="00BF5901"/>
    <w:rsid w:val="00BF626A"/>
    <w:rsid w:val="00BF688E"/>
    <w:rsid w:val="00BF6D77"/>
    <w:rsid w:val="00BF704C"/>
    <w:rsid w:val="00BF739A"/>
    <w:rsid w:val="00BF7EF5"/>
    <w:rsid w:val="00C00BF6"/>
    <w:rsid w:val="00C00D15"/>
    <w:rsid w:val="00C0234A"/>
    <w:rsid w:val="00C0247B"/>
    <w:rsid w:val="00C0378E"/>
    <w:rsid w:val="00C04314"/>
    <w:rsid w:val="00C04BD0"/>
    <w:rsid w:val="00C050AB"/>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75F"/>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942"/>
    <w:rsid w:val="00C20B6C"/>
    <w:rsid w:val="00C20B86"/>
    <w:rsid w:val="00C21145"/>
    <w:rsid w:val="00C215ED"/>
    <w:rsid w:val="00C216F4"/>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AED"/>
    <w:rsid w:val="00C41D31"/>
    <w:rsid w:val="00C4297A"/>
    <w:rsid w:val="00C42D91"/>
    <w:rsid w:val="00C4360C"/>
    <w:rsid w:val="00C439B8"/>
    <w:rsid w:val="00C43A0B"/>
    <w:rsid w:val="00C43EDA"/>
    <w:rsid w:val="00C43FEC"/>
    <w:rsid w:val="00C4414C"/>
    <w:rsid w:val="00C45512"/>
    <w:rsid w:val="00C45C55"/>
    <w:rsid w:val="00C45D3D"/>
    <w:rsid w:val="00C45FB8"/>
    <w:rsid w:val="00C4602B"/>
    <w:rsid w:val="00C46564"/>
    <w:rsid w:val="00C46BFA"/>
    <w:rsid w:val="00C46DDF"/>
    <w:rsid w:val="00C47B4F"/>
    <w:rsid w:val="00C500A1"/>
    <w:rsid w:val="00C50A02"/>
    <w:rsid w:val="00C51149"/>
    <w:rsid w:val="00C5117E"/>
    <w:rsid w:val="00C512D1"/>
    <w:rsid w:val="00C51856"/>
    <w:rsid w:val="00C51B04"/>
    <w:rsid w:val="00C51DB5"/>
    <w:rsid w:val="00C53CE9"/>
    <w:rsid w:val="00C5414F"/>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9AD"/>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162"/>
    <w:rsid w:val="00C664FB"/>
    <w:rsid w:val="00C665DE"/>
    <w:rsid w:val="00C667C3"/>
    <w:rsid w:val="00C6728B"/>
    <w:rsid w:val="00C70718"/>
    <w:rsid w:val="00C70B25"/>
    <w:rsid w:val="00C71528"/>
    <w:rsid w:val="00C717E4"/>
    <w:rsid w:val="00C717EE"/>
    <w:rsid w:val="00C7191B"/>
    <w:rsid w:val="00C71DD9"/>
    <w:rsid w:val="00C71F09"/>
    <w:rsid w:val="00C72588"/>
    <w:rsid w:val="00C727B9"/>
    <w:rsid w:val="00C72F44"/>
    <w:rsid w:val="00C73670"/>
    <w:rsid w:val="00C737D1"/>
    <w:rsid w:val="00C738A0"/>
    <w:rsid w:val="00C73DE0"/>
    <w:rsid w:val="00C7413F"/>
    <w:rsid w:val="00C74609"/>
    <w:rsid w:val="00C749AB"/>
    <w:rsid w:val="00C757B1"/>
    <w:rsid w:val="00C75A8F"/>
    <w:rsid w:val="00C76129"/>
    <w:rsid w:val="00C76C0C"/>
    <w:rsid w:val="00C76FFC"/>
    <w:rsid w:val="00C77241"/>
    <w:rsid w:val="00C774E0"/>
    <w:rsid w:val="00C776BA"/>
    <w:rsid w:val="00C7791E"/>
    <w:rsid w:val="00C77B69"/>
    <w:rsid w:val="00C81716"/>
    <w:rsid w:val="00C832CB"/>
    <w:rsid w:val="00C84085"/>
    <w:rsid w:val="00C84B12"/>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47"/>
    <w:rsid w:val="00C90CA9"/>
    <w:rsid w:val="00C90EEA"/>
    <w:rsid w:val="00C9106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0C8C"/>
    <w:rsid w:val="00CA2528"/>
    <w:rsid w:val="00CA2744"/>
    <w:rsid w:val="00CA3300"/>
    <w:rsid w:val="00CA3CAB"/>
    <w:rsid w:val="00CA3FC0"/>
    <w:rsid w:val="00CA4D1E"/>
    <w:rsid w:val="00CA5685"/>
    <w:rsid w:val="00CA5BDC"/>
    <w:rsid w:val="00CA6A2E"/>
    <w:rsid w:val="00CA6B56"/>
    <w:rsid w:val="00CA73A9"/>
    <w:rsid w:val="00CA778D"/>
    <w:rsid w:val="00CA7D3E"/>
    <w:rsid w:val="00CB0317"/>
    <w:rsid w:val="00CB058A"/>
    <w:rsid w:val="00CB0662"/>
    <w:rsid w:val="00CB0A82"/>
    <w:rsid w:val="00CB0F2F"/>
    <w:rsid w:val="00CB0F76"/>
    <w:rsid w:val="00CB1480"/>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3101"/>
    <w:rsid w:val="00CC365B"/>
    <w:rsid w:val="00CC4701"/>
    <w:rsid w:val="00CC56B4"/>
    <w:rsid w:val="00CC5E23"/>
    <w:rsid w:val="00CC5F95"/>
    <w:rsid w:val="00CC642A"/>
    <w:rsid w:val="00CC6AC7"/>
    <w:rsid w:val="00CC733D"/>
    <w:rsid w:val="00CC7617"/>
    <w:rsid w:val="00CC7E0D"/>
    <w:rsid w:val="00CC7E97"/>
    <w:rsid w:val="00CD00EB"/>
    <w:rsid w:val="00CD1255"/>
    <w:rsid w:val="00CD1484"/>
    <w:rsid w:val="00CD15E2"/>
    <w:rsid w:val="00CD16F8"/>
    <w:rsid w:val="00CD1892"/>
    <w:rsid w:val="00CD1C01"/>
    <w:rsid w:val="00CD1D00"/>
    <w:rsid w:val="00CD2009"/>
    <w:rsid w:val="00CD27AC"/>
    <w:rsid w:val="00CD2833"/>
    <w:rsid w:val="00CD2A82"/>
    <w:rsid w:val="00CD2FBA"/>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450A"/>
    <w:rsid w:val="00CE59F6"/>
    <w:rsid w:val="00CE66CD"/>
    <w:rsid w:val="00CE6BA9"/>
    <w:rsid w:val="00CE71C3"/>
    <w:rsid w:val="00CE727A"/>
    <w:rsid w:val="00CF029C"/>
    <w:rsid w:val="00CF0AF0"/>
    <w:rsid w:val="00CF157E"/>
    <w:rsid w:val="00CF1631"/>
    <w:rsid w:val="00CF1834"/>
    <w:rsid w:val="00CF1AAA"/>
    <w:rsid w:val="00CF1EC2"/>
    <w:rsid w:val="00CF1F7F"/>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0DB1"/>
    <w:rsid w:val="00D11FE3"/>
    <w:rsid w:val="00D12393"/>
    <w:rsid w:val="00D12945"/>
    <w:rsid w:val="00D12CC0"/>
    <w:rsid w:val="00D12DA1"/>
    <w:rsid w:val="00D130C0"/>
    <w:rsid w:val="00D133CD"/>
    <w:rsid w:val="00D1343A"/>
    <w:rsid w:val="00D13D50"/>
    <w:rsid w:val="00D14101"/>
    <w:rsid w:val="00D144D8"/>
    <w:rsid w:val="00D14900"/>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066"/>
    <w:rsid w:val="00D2218A"/>
    <w:rsid w:val="00D22B13"/>
    <w:rsid w:val="00D230A6"/>
    <w:rsid w:val="00D231D2"/>
    <w:rsid w:val="00D2371E"/>
    <w:rsid w:val="00D237E0"/>
    <w:rsid w:val="00D23A17"/>
    <w:rsid w:val="00D24483"/>
    <w:rsid w:val="00D24D2F"/>
    <w:rsid w:val="00D25676"/>
    <w:rsid w:val="00D2579F"/>
    <w:rsid w:val="00D2580E"/>
    <w:rsid w:val="00D265A7"/>
    <w:rsid w:val="00D2690C"/>
    <w:rsid w:val="00D27129"/>
    <w:rsid w:val="00D279E7"/>
    <w:rsid w:val="00D27F75"/>
    <w:rsid w:val="00D3046D"/>
    <w:rsid w:val="00D30497"/>
    <w:rsid w:val="00D30C4D"/>
    <w:rsid w:val="00D30F5F"/>
    <w:rsid w:val="00D31243"/>
    <w:rsid w:val="00D31377"/>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1871"/>
    <w:rsid w:val="00D42B0C"/>
    <w:rsid w:val="00D42D06"/>
    <w:rsid w:val="00D42D6E"/>
    <w:rsid w:val="00D43DEF"/>
    <w:rsid w:val="00D44259"/>
    <w:rsid w:val="00D445FC"/>
    <w:rsid w:val="00D45C61"/>
    <w:rsid w:val="00D45DDC"/>
    <w:rsid w:val="00D5064C"/>
    <w:rsid w:val="00D50C94"/>
    <w:rsid w:val="00D50F9B"/>
    <w:rsid w:val="00D511E7"/>
    <w:rsid w:val="00D51372"/>
    <w:rsid w:val="00D517ED"/>
    <w:rsid w:val="00D5251C"/>
    <w:rsid w:val="00D52601"/>
    <w:rsid w:val="00D52F56"/>
    <w:rsid w:val="00D539DA"/>
    <w:rsid w:val="00D53DA0"/>
    <w:rsid w:val="00D54537"/>
    <w:rsid w:val="00D54A50"/>
    <w:rsid w:val="00D54FFD"/>
    <w:rsid w:val="00D55518"/>
    <w:rsid w:val="00D5552C"/>
    <w:rsid w:val="00D5556D"/>
    <w:rsid w:val="00D55C34"/>
    <w:rsid w:val="00D55C81"/>
    <w:rsid w:val="00D55DBD"/>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D73"/>
    <w:rsid w:val="00D62EEE"/>
    <w:rsid w:val="00D64F1C"/>
    <w:rsid w:val="00D6570C"/>
    <w:rsid w:val="00D659EA"/>
    <w:rsid w:val="00D65A89"/>
    <w:rsid w:val="00D65E85"/>
    <w:rsid w:val="00D6611C"/>
    <w:rsid w:val="00D66379"/>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FEC"/>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9F"/>
    <w:rsid w:val="00D815E6"/>
    <w:rsid w:val="00D81A28"/>
    <w:rsid w:val="00D81BDE"/>
    <w:rsid w:val="00D8201D"/>
    <w:rsid w:val="00D82B00"/>
    <w:rsid w:val="00D82B04"/>
    <w:rsid w:val="00D82BE4"/>
    <w:rsid w:val="00D82E05"/>
    <w:rsid w:val="00D83C0D"/>
    <w:rsid w:val="00D83C80"/>
    <w:rsid w:val="00D83F5B"/>
    <w:rsid w:val="00D85EC0"/>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334"/>
    <w:rsid w:val="00D926F0"/>
    <w:rsid w:val="00D92A87"/>
    <w:rsid w:val="00D92B64"/>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3C3"/>
    <w:rsid w:val="00DA690E"/>
    <w:rsid w:val="00DA6EE2"/>
    <w:rsid w:val="00DA718A"/>
    <w:rsid w:val="00DA78CF"/>
    <w:rsid w:val="00DA78D5"/>
    <w:rsid w:val="00DA7A89"/>
    <w:rsid w:val="00DA7BF4"/>
    <w:rsid w:val="00DB052F"/>
    <w:rsid w:val="00DB0C9F"/>
    <w:rsid w:val="00DB14D3"/>
    <w:rsid w:val="00DB154B"/>
    <w:rsid w:val="00DB1BDC"/>
    <w:rsid w:val="00DB3490"/>
    <w:rsid w:val="00DB3593"/>
    <w:rsid w:val="00DB3AB1"/>
    <w:rsid w:val="00DB440B"/>
    <w:rsid w:val="00DB4426"/>
    <w:rsid w:val="00DB4522"/>
    <w:rsid w:val="00DB48A0"/>
    <w:rsid w:val="00DB4B40"/>
    <w:rsid w:val="00DB4F12"/>
    <w:rsid w:val="00DB4F21"/>
    <w:rsid w:val="00DB4F42"/>
    <w:rsid w:val="00DB540C"/>
    <w:rsid w:val="00DB6F96"/>
    <w:rsid w:val="00DB71B9"/>
    <w:rsid w:val="00DB733F"/>
    <w:rsid w:val="00DB7662"/>
    <w:rsid w:val="00DB7B27"/>
    <w:rsid w:val="00DB7BC8"/>
    <w:rsid w:val="00DB7E46"/>
    <w:rsid w:val="00DC09A6"/>
    <w:rsid w:val="00DC1395"/>
    <w:rsid w:val="00DC203C"/>
    <w:rsid w:val="00DC32FC"/>
    <w:rsid w:val="00DC3D89"/>
    <w:rsid w:val="00DC4567"/>
    <w:rsid w:val="00DC4D6C"/>
    <w:rsid w:val="00DC4F47"/>
    <w:rsid w:val="00DC5059"/>
    <w:rsid w:val="00DC5860"/>
    <w:rsid w:val="00DC5A82"/>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0E1"/>
    <w:rsid w:val="00DD42DE"/>
    <w:rsid w:val="00DD4309"/>
    <w:rsid w:val="00DD4344"/>
    <w:rsid w:val="00DD4357"/>
    <w:rsid w:val="00DD4380"/>
    <w:rsid w:val="00DD4DDD"/>
    <w:rsid w:val="00DD573B"/>
    <w:rsid w:val="00DD57E7"/>
    <w:rsid w:val="00DD5A1E"/>
    <w:rsid w:val="00DD5B8C"/>
    <w:rsid w:val="00DD5DFA"/>
    <w:rsid w:val="00DD5E91"/>
    <w:rsid w:val="00DD6834"/>
    <w:rsid w:val="00DD6BA2"/>
    <w:rsid w:val="00DD6CE2"/>
    <w:rsid w:val="00DD720D"/>
    <w:rsid w:val="00DE0229"/>
    <w:rsid w:val="00DE04E0"/>
    <w:rsid w:val="00DE12F1"/>
    <w:rsid w:val="00DE196F"/>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090"/>
    <w:rsid w:val="00DF05A0"/>
    <w:rsid w:val="00DF1162"/>
    <w:rsid w:val="00DF1BA8"/>
    <w:rsid w:val="00DF1F63"/>
    <w:rsid w:val="00DF28F2"/>
    <w:rsid w:val="00DF2BFF"/>
    <w:rsid w:val="00DF339B"/>
    <w:rsid w:val="00DF3798"/>
    <w:rsid w:val="00DF393E"/>
    <w:rsid w:val="00DF4FF1"/>
    <w:rsid w:val="00DF56A3"/>
    <w:rsid w:val="00DF5B33"/>
    <w:rsid w:val="00DF5B4D"/>
    <w:rsid w:val="00DF5C4C"/>
    <w:rsid w:val="00DF62BA"/>
    <w:rsid w:val="00DF6373"/>
    <w:rsid w:val="00DF6FD2"/>
    <w:rsid w:val="00DF72EF"/>
    <w:rsid w:val="00DF743D"/>
    <w:rsid w:val="00DF7724"/>
    <w:rsid w:val="00E000D8"/>
    <w:rsid w:val="00E002DD"/>
    <w:rsid w:val="00E00C1E"/>
    <w:rsid w:val="00E00EEE"/>
    <w:rsid w:val="00E00F5F"/>
    <w:rsid w:val="00E010E6"/>
    <w:rsid w:val="00E01377"/>
    <w:rsid w:val="00E014E7"/>
    <w:rsid w:val="00E0232F"/>
    <w:rsid w:val="00E026A9"/>
    <w:rsid w:val="00E03063"/>
    <w:rsid w:val="00E0356F"/>
    <w:rsid w:val="00E03B42"/>
    <w:rsid w:val="00E03C10"/>
    <w:rsid w:val="00E0413C"/>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A07"/>
    <w:rsid w:val="00E10DD1"/>
    <w:rsid w:val="00E1224C"/>
    <w:rsid w:val="00E1254C"/>
    <w:rsid w:val="00E12761"/>
    <w:rsid w:val="00E1279B"/>
    <w:rsid w:val="00E12BDF"/>
    <w:rsid w:val="00E12D51"/>
    <w:rsid w:val="00E13033"/>
    <w:rsid w:val="00E13326"/>
    <w:rsid w:val="00E13D07"/>
    <w:rsid w:val="00E14356"/>
    <w:rsid w:val="00E14961"/>
    <w:rsid w:val="00E14D76"/>
    <w:rsid w:val="00E15183"/>
    <w:rsid w:val="00E15943"/>
    <w:rsid w:val="00E15D6C"/>
    <w:rsid w:val="00E1720B"/>
    <w:rsid w:val="00E2004C"/>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15A"/>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5AE8"/>
    <w:rsid w:val="00E45FF9"/>
    <w:rsid w:val="00E46A6B"/>
    <w:rsid w:val="00E46A9C"/>
    <w:rsid w:val="00E47DB1"/>
    <w:rsid w:val="00E50BDD"/>
    <w:rsid w:val="00E510CF"/>
    <w:rsid w:val="00E5126B"/>
    <w:rsid w:val="00E513D7"/>
    <w:rsid w:val="00E519FE"/>
    <w:rsid w:val="00E51FCA"/>
    <w:rsid w:val="00E5206C"/>
    <w:rsid w:val="00E52AAB"/>
    <w:rsid w:val="00E53623"/>
    <w:rsid w:val="00E537EE"/>
    <w:rsid w:val="00E5448E"/>
    <w:rsid w:val="00E54E0D"/>
    <w:rsid w:val="00E55247"/>
    <w:rsid w:val="00E558E5"/>
    <w:rsid w:val="00E55B3C"/>
    <w:rsid w:val="00E56744"/>
    <w:rsid w:val="00E56795"/>
    <w:rsid w:val="00E57489"/>
    <w:rsid w:val="00E57932"/>
    <w:rsid w:val="00E606C4"/>
    <w:rsid w:val="00E60811"/>
    <w:rsid w:val="00E60AB8"/>
    <w:rsid w:val="00E60C20"/>
    <w:rsid w:val="00E6103E"/>
    <w:rsid w:val="00E6185F"/>
    <w:rsid w:val="00E61D32"/>
    <w:rsid w:val="00E6271D"/>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18D"/>
    <w:rsid w:val="00E768CA"/>
    <w:rsid w:val="00E769CC"/>
    <w:rsid w:val="00E76CAA"/>
    <w:rsid w:val="00E76E26"/>
    <w:rsid w:val="00E77124"/>
    <w:rsid w:val="00E77341"/>
    <w:rsid w:val="00E7783E"/>
    <w:rsid w:val="00E778B8"/>
    <w:rsid w:val="00E801C7"/>
    <w:rsid w:val="00E80226"/>
    <w:rsid w:val="00E8062F"/>
    <w:rsid w:val="00E80AF8"/>
    <w:rsid w:val="00E80BED"/>
    <w:rsid w:val="00E816E8"/>
    <w:rsid w:val="00E81B4D"/>
    <w:rsid w:val="00E82592"/>
    <w:rsid w:val="00E825ED"/>
    <w:rsid w:val="00E827BB"/>
    <w:rsid w:val="00E82D24"/>
    <w:rsid w:val="00E8304C"/>
    <w:rsid w:val="00E8357D"/>
    <w:rsid w:val="00E83A9F"/>
    <w:rsid w:val="00E83C4F"/>
    <w:rsid w:val="00E84212"/>
    <w:rsid w:val="00E84C04"/>
    <w:rsid w:val="00E84F72"/>
    <w:rsid w:val="00E856A2"/>
    <w:rsid w:val="00E8572B"/>
    <w:rsid w:val="00E8575B"/>
    <w:rsid w:val="00E85929"/>
    <w:rsid w:val="00E85AD2"/>
    <w:rsid w:val="00E86621"/>
    <w:rsid w:val="00E86976"/>
    <w:rsid w:val="00E86CEC"/>
    <w:rsid w:val="00E879E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4EFB"/>
    <w:rsid w:val="00EA613D"/>
    <w:rsid w:val="00EA6744"/>
    <w:rsid w:val="00EA6768"/>
    <w:rsid w:val="00EA7308"/>
    <w:rsid w:val="00EA7474"/>
    <w:rsid w:val="00EA7849"/>
    <w:rsid w:val="00EA7C70"/>
    <w:rsid w:val="00EB0132"/>
    <w:rsid w:val="00EB0831"/>
    <w:rsid w:val="00EB089C"/>
    <w:rsid w:val="00EB0AA8"/>
    <w:rsid w:val="00EB0B65"/>
    <w:rsid w:val="00EB0C65"/>
    <w:rsid w:val="00EB1624"/>
    <w:rsid w:val="00EB169F"/>
    <w:rsid w:val="00EB2635"/>
    <w:rsid w:val="00EB2961"/>
    <w:rsid w:val="00EB2E1A"/>
    <w:rsid w:val="00EB2F8A"/>
    <w:rsid w:val="00EB3268"/>
    <w:rsid w:val="00EB3298"/>
    <w:rsid w:val="00EB3351"/>
    <w:rsid w:val="00EB3939"/>
    <w:rsid w:val="00EB3CE6"/>
    <w:rsid w:val="00EB3E92"/>
    <w:rsid w:val="00EB54AB"/>
    <w:rsid w:val="00EB59BC"/>
    <w:rsid w:val="00EB6257"/>
    <w:rsid w:val="00EB68E6"/>
    <w:rsid w:val="00EB6AE9"/>
    <w:rsid w:val="00EB6B2D"/>
    <w:rsid w:val="00EB71C9"/>
    <w:rsid w:val="00EB763E"/>
    <w:rsid w:val="00EB7659"/>
    <w:rsid w:val="00EB7B67"/>
    <w:rsid w:val="00EC007A"/>
    <w:rsid w:val="00EC07F1"/>
    <w:rsid w:val="00EC1058"/>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5"/>
    <w:rsid w:val="00EC7A28"/>
    <w:rsid w:val="00EC7B48"/>
    <w:rsid w:val="00EC7D3C"/>
    <w:rsid w:val="00ED0151"/>
    <w:rsid w:val="00ED0257"/>
    <w:rsid w:val="00ED071B"/>
    <w:rsid w:val="00ED0B8F"/>
    <w:rsid w:val="00ED18B1"/>
    <w:rsid w:val="00ED1ADE"/>
    <w:rsid w:val="00ED3692"/>
    <w:rsid w:val="00ED43B6"/>
    <w:rsid w:val="00ED4472"/>
    <w:rsid w:val="00ED4A77"/>
    <w:rsid w:val="00ED4B6E"/>
    <w:rsid w:val="00ED5981"/>
    <w:rsid w:val="00ED613A"/>
    <w:rsid w:val="00ED6178"/>
    <w:rsid w:val="00ED6514"/>
    <w:rsid w:val="00ED66B2"/>
    <w:rsid w:val="00ED6ACF"/>
    <w:rsid w:val="00ED71BA"/>
    <w:rsid w:val="00ED728F"/>
    <w:rsid w:val="00ED73A1"/>
    <w:rsid w:val="00ED7CA2"/>
    <w:rsid w:val="00EE04B1"/>
    <w:rsid w:val="00EE04F9"/>
    <w:rsid w:val="00EE05E0"/>
    <w:rsid w:val="00EE08B9"/>
    <w:rsid w:val="00EE13C5"/>
    <w:rsid w:val="00EE13DA"/>
    <w:rsid w:val="00EE1595"/>
    <w:rsid w:val="00EE1E71"/>
    <w:rsid w:val="00EE2087"/>
    <w:rsid w:val="00EE20C2"/>
    <w:rsid w:val="00EE2A9D"/>
    <w:rsid w:val="00EE3384"/>
    <w:rsid w:val="00EE499F"/>
    <w:rsid w:val="00EE56E2"/>
    <w:rsid w:val="00EE5FCD"/>
    <w:rsid w:val="00EE63BF"/>
    <w:rsid w:val="00EE64F5"/>
    <w:rsid w:val="00EE664F"/>
    <w:rsid w:val="00EE6D45"/>
    <w:rsid w:val="00EE6E89"/>
    <w:rsid w:val="00EF0D4B"/>
    <w:rsid w:val="00EF0FE6"/>
    <w:rsid w:val="00EF1130"/>
    <w:rsid w:val="00EF1432"/>
    <w:rsid w:val="00EF1511"/>
    <w:rsid w:val="00EF1E01"/>
    <w:rsid w:val="00EF1F01"/>
    <w:rsid w:val="00EF2C39"/>
    <w:rsid w:val="00EF2C5F"/>
    <w:rsid w:val="00EF3811"/>
    <w:rsid w:val="00EF3AC4"/>
    <w:rsid w:val="00EF3FF9"/>
    <w:rsid w:val="00EF41AF"/>
    <w:rsid w:val="00EF44EF"/>
    <w:rsid w:val="00EF4B87"/>
    <w:rsid w:val="00EF4D18"/>
    <w:rsid w:val="00EF4DB4"/>
    <w:rsid w:val="00EF4E1D"/>
    <w:rsid w:val="00EF50D5"/>
    <w:rsid w:val="00EF5234"/>
    <w:rsid w:val="00EF54FF"/>
    <w:rsid w:val="00EF55E9"/>
    <w:rsid w:val="00EF5B41"/>
    <w:rsid w:val="00EF611C"/>
    <w:rsid w:val="00EF625F"/>
    <w:rsid w:val="00EF62C0"/>
    <w:rsid w:val="00EF6A86"/>
    <w:rsid w:val="00EF6D5A"/>
    <w:rsid w:val="00EF71E6"/>
    <w:rsid w:val="00EF7DC3"/>
    <w:rsid w:val="00F0058A"/>
    <w:rsid w:val="00F00630"/>
    <w:rsid w:val="00F00922"/>
    <w:rsid w:val="00F00924"/>
    <w:rsid w:val="00F00EB6"/>
    <w:rsid w:val="00F0149C"/>
    <w:rsid w:val="00F0187E"/>
    <w:rsid w:val="00F01BE6"/>
    <w:rsid w:val="00F01F75"/>
    <w:rsid w:val="00F0217A"/>
    <w:rsid w:val="00F026D3"/>
    <w:rsid w:val="00F027E8"/>
    <w:rsid w:val="00F03395"/>
    <w:rsid w:val="00F034E6"/>
    <w:rsid w:val="00F03A96"/>
    <w:rsid w:val="00F03E4C"/>
    <w:rsid w:val="00F04D19"/>
    <w:rsid w:val="00F0500C"/>
    <w:rsid w:val="00F050A3"/>
    <w:rsid w:val="00F06340"/>
    <w:rsid w:val="00F0665D"/>
    <w:rsid w:val="00F06D42"/>
    <w:rsid w:val="00F06D97"/>
    <w:rsid w:val="00F07134"/>
    <w:rsid w:val="00F0724D"/>
    <w:rsid w:val="00F07378"/>
    <w:rsid w:val="00F107C5"/>
    <w:rsid w:val="00F10B81"/>
    <w:rsid w:val="00F10BC9"/>
    <w:rsid w:val="00F11078"/>
    <w:rsid w:val="00F113C9"/>
    <w:rsid w:val="00F11C01"/>
    <w:rsid w:val="00F11D80"/>
    <w:rsid w:val="00F1360D"/>
    <w:rsid w:val="00F14B08"/>
    <w:rsid w:val="00F14B4B"/>
    <w:rsid w:val="00F14CD1"/>
    <w:rsid w:val="00F15115"/>
    <w:rsid w:val="00F152AA"/>
    <w:rsid w:val="00F15A85"/>
    <w:rsid w:val="00F15C81"/>
    <w:rsid w:val="00F15D8C"/>
    <w:rsid w:val="00F15F18"/>
    <w:rsid w:val="00F16B86"/>
    <w:rsid w:val="00F16E1A"/>
    <w:rsid w:val="00F16F92"/>
    <w:rsid w:val="00F17748"/>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3E1"/>
    <w:rsid w:val="00F24C28"/>
    <w:rsid w:val="00F254C4"/>
    <w:rsid w:val="00F25641"/>
    <w:rsid w:val="00F256D8"/>
    <w:rsid w:val="00F25824"/>
    <w:rsid w:val="00F25E8C"/>
    <w:rsid w:val="00F26065"/>
    <w:rsid w:val="00F26265"/>
    <w:rsid w:val="00F266E3"/>
    <w:rsid w:val="00F2689C"/>
    <w:rsid w:val="00F27E44"/>
    <w:rsid w:val="00F30137"/>
    <w:rsid w:val="00F30262"/>
    <w:rsid w:val="00F30313"/>
    <w:rsid w:val="00F303BC"/>
    <w:rsid w:val="00F30472"/>
    <w:rsid w:val="00F30961"/>
    <w:rsid w:val="00F31052"/>
    <w:rsid w:val="00F31068"/>
    <w:rsid w:val="00F318A1"/>
    <w:rsid w:val="00F31CF5"/>
    <w:rsid w:val="00F32616"/>
    <w:rsid w:val="00F3265C"/>
    <w:rsid w:val="00F32C4A"/>
    <w:rsid w:val="00F33262"/>
    <w:rsid w:val="00F343EE"/>
    <w:rsid w:val="00F353F4"/>
    <w:rsid w:val="00F35494"/>
    <w:rsid w:val="00F35607"/>
    <w:rsid w:val="00F359AB"/>
    <w:rsid w:val="00F35DBA"/>
    <w:rsid w:val="00F3619D"/>
    <w:rsid w:val="00F36DDE"/>
    <w:rsid w:val="00F3722A"/>
    <w:rsid w:val="00F37366"/>
    <w:rsid w:val="00F377DE"/>
    <w:rsid w:val="00F37C99"/>
    <w:rsid w:val="00F37FCC"/>
    <w:rsid w:val="00F419B8"/>
    <w:rsid w:val="00F41C0F"/>
    <w:rsid w:val="00F42856"/>
    <w:rsid w:val="00F42ED7"/>
    <w:rsid w:val="00F43777"/>
    <w:rsid w:val="00F437B3"/>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498"/>
    <w:rsid w:val="00F47507"/>
    <w:rsid w:val="00F47A01"/>
    <w:rsid w:val="00F47CEE"/>
    <w:rsid w:val="00F5052D"/>
    <w:rsid w:val="00F51A82"/>
    <w:rsid w:val="00F51B78"/>
    <w:rsid w:val="00F51BDD"/>
    <w:rsid w:val="00F52065"/>
    <w:rsid w:val="00F521CE"/>
    <w:rsid w:val="00F5253E"/>
    <w:rsid w:val="00F5254B"/>
    <w:rsid w:val="00F52CB7"/>
    <w:rsid w:val="00F53879"/>
    <w:rsid w:val="00F5393D"/>
    <w:rsid w:val="00F53A44"/>
    <w:rsid w:val="00F54E5E"/>
    <w:rsid w:val="00F551DB"/>
    <w:rsid w:val="00F55810"/>
    <w:rsid w:val="00F559BE"/>
    <w:rsid w:val="00F55FFD"/>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345"/>
    <w:rsid w:val="00F67B58"/>
    <w:rsid w:val="00F67E81"/>
    <w:rsid w:val="00F7044B"/>
    <w:rsid w:val="00F70FD4"/>
    <w:rsid w:val="00F71342"/>
    <w:rsid w:val="00F71C68"/>
    <w:rsid w:val="00F724E2"/>
    <w:rsid w:val="00F732E8"/>
    <w:rsid w:val="00F736B1"/>
    <w:rsid w:val="00F74103"/>
    <w:rsid w:val="00F7410A"/>
    <w:rsid w:val="00F745A4"/>
    <w:rsid w:val="00F74C0C"/>
    <w:rsid w:val="00F74C5F"/>
    <w:rsid w:val="00F74D1E"/>
    <w:rsid w:val="00F758E1"/>
    <w:rsid w:val="00F75BB5"/>
    <w:rsid w:val="00F75EA1"/>
    <w:rsid w:val="00F75FD5"/>
    <w:rsid w:val="00F7601A"/>
    <w:rsid w:val="00F7604C"/>
    <w:rsid w:val="00F773A9"/>
    <w:rsid w:val="00F77A80"/>
    <w:rsid w:val="00F80490"/>
    <w:rsid w:val="00F8056E"/>
    <w:rsid w:val="00F805B7"/>
    <w:rsid w:val="00F808D7"/>
    <w:rsid w:val="00F810C1"/>
    <w:rsid w:val="00F814D8"/>
    <w:rsid w:val="00F81623"/>
    <w:rsid w:val="00F81D25"/>
    <w:rsid w:val="00F8245C"/>
    <w:rsid w:val="00F82928"/>
    <w:rsid w:val="00F829B9"/>
    <w:rsid w:val="00F83045"/>
    <w:rsid w:val="00F83615"/>
    <w:rsid w:val="00F83EC7"/>
    <w:rsid w:val="00F8421D"/>
    <w:rsid w:val="00F85329"/>
    <w:rsid w:val="00F85683"/>
    <w:rsid w:val="00F85841"/>
    <w:rsid w:val="00F859E7"/>
    <w:rsid w:val="00F86079"/>
    <w:rsid w:val="00F8610A"/>
    <w:rsid w:val="00F86A37"/>
    <w:rsid w:val="00F87282"/>
    <w:rsid w:val="00F878CD"/>
    <w:rsid w:val="00F87905"/>
    <w:rsid w:val="00F87A66"/>
    <w:rsid w:val="00F87BD9"/>
    <w:rsid w:val="00F9030F"/>
    <w:rsid w:val="00F90C1F"/>
    <w:rsid w:val="00F912D9"/>
    <w:rsid w:val="00F91A44"/>
    <w:rsid w:val="00F91BFA"/>
    <w:rsid w:val="00F91F8F"/>
    <w:rsid w:val="00F9217B"/>
    <w:rsid w:val="00F921C2"/>
    <w:rsid w:val="00F93070"/>
    <w:rsid w:val="00F93191"/>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65F"/>
    <w:rsid w:val="00FA672F"/>
    <w:rsid w:val="00FA775E"/>
    <w:rsid w:val="00FA7792"/>
    <w:rsid w:val="00FA77E8"/>
    <w:rsid w:val="00FA7AA8"/>
    <w:rsid w:val="00FA7F1D"/>
    <w:rsid w:val="00FB011C"/>
    <w:rsid w:val="00FB0D60"/>
    <w:rsid w:val="00FB18FD"/>
    <w:rsid w:val="00FB21CC"/>
    <w:rsid w:val="00FB2BF5"/>
    <w:rsid w:val="00FB2F8E"/>
    <w:rsid w:val="00FB2FC6"/>
    <w:rsid w:val="00FB30C3"/>
    <w:rsid w:val="00FB3129"/>
    <w:rsid w:val="00FB3227"/>
    <w:rsid w:val="00FB39B0"/>
    <w:rsid w:val="00FB3E79"/>
    <w:rsid w:val="00FB4B63"/>
    <w:rsid w:val="00FB5138"/>
    <w:rsid w:val="00FB547F"/>
    <w:rsid w:val="00FB5A71"/>
    <w:rsid w:val="00FB63F6"/>
    <w:rsid w:val="00FB6D12"/>
    <w:rsid w:val="00FB7041"/>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7A3"/>
    <w:rsid w:val="00FC4A89"/>
    <w:rsid w:val="00FC5856"/>
    <w:rsid w:val="00FC619B"/>
    <w:rsid w:val="00FC665F"/>
    <w:rsid w:val="00FC6C35"/>
    <w:rsid w:val="00FC6C65"/>
    <w:rsid w:val="00FC6D59"/>
    <w:rsid w:val="00FC7561"/>
    <w:rsid w:val="00FC78F5"/>
    <w:rsid w:val="00FC7ACA"/>
    <w:rsid w:val="00FC7AD2"/>
    <w:rsid w:val="00FD10B3"/>
    <w:rsid w:val="00FD11C3"/>
    <w:rsid w:val="00FD154E"/>
    <w:rsid w:val="00FD24D7"/>
    <w:rsid w:val="00FD29CE"/>
    <w:rsid w:val="00FD3AE2"/>
    <w:rsid w:val="00FD3E41"/>
    <w:rsid w:val="00FD3ED0"/>
    <w:rsid w:val="00FD3EFA"/>
    <w:rsid w:val="00FD411C"/>
    <w:rsid w:val="00FD54A8"/>
    <w:rsid w:val="00FD5AE4"/>
    <w:rsid w:val="00FD5B0A"/>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5E13"/>
    <w:rsid w:val="00FE6870"/>
    <w:rsid w:val="00FE713E"/>
    <w:rsid w:val="00FE7877"/>
    <w:rsid w:val="00FE7DD1"/>
    <w:rsid w:val="00FF0B4F"/>
    <w:rsid w:val="00FF0F58"/>
    <w:rsid w:val="00FF183C"/>
    <w:rsid w:val="00FF1A06"/>
    <w:rsid w:val="00FF1AD3"/>
    <w:rsid w:val="00FF1B46"/>
    <w:rsid w:val="00FF219D"/>
    <w:rsid w:val="00FF2A7B"/>
    <w:rsid w:val="00FF3D2B"/>
    <w:rsid w:val="00FF41C5"/>
    <w:rsid w:val="00FF49B4"/>
    <w:rsid w:val="00FF49F4"/>
    <w:rsid w:val="00FF4AC7"/>
    <w:rsid w:val="00FF5A15"/>
    <w:rsid w:val="00FF5C6A"/>
    <w:rsid w:val="00FF651D"/>
    <w:rsid w:val="00FF6843"/>
    <w:rsid w:val="00FF6C25"/>
    <w:rsid w:val="00FF71DE"/>
    <w:rsid w:val="00FF7976"/>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3C33BD"/>
    <w:rsid w:val="048F763B"/>
    <w:rsid w:val="049F330E"/>
    <w:rsid w:val="04AA775C"/>
    <w:rsid w:val="04AF1889"/>
    <w:rsid w:val="04F66F48"/>
    <w:rsid w:val="05251E14"/>
    <w:rsid w:val="05436435"/>
    <w:rsid w:val="05A16594"/>
    <w:rsid w:val="05A7762D"/>
    <w:rsid w:val="060A352A"/>
    <w:rsid w:val="060E5941"/>
    <w:rsid w:val="06110FAF"/>
    <w:rsid w:val="064426CF"/>
    <w:rsid w:val="06493CA7"/>
    <w:rsid w:val="065A6178"/>
    <w:rsid w:val="066F1CF3"/>
    <w:rsid w:val="06930BB8"/>
    <w:rsid w:val="07245D42"/>
    <w:rsid w:val="07264C62"/>
    <w:rsid w:val="0779354C"/>
    <w:rsid w:val="08061376"/>
    <w:rsid w:val="08452D77"/>
    <w:rsid w:val="085311F9"/>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D9364E"/>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3117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9210D1"/>
    <w:rsid w:val="10C26171"/>
    <w:rsid w:val="10F33360"/>
    <w:rsid w:val="10FC16EA"/>
    <w:rsid w:val="110F1D40"/>
    <w:rsid w:val="11266F33"/>
    <w:rsid w:val="118963A1"/>
    <w:rsid w:val="11A64944"/>
    <w:rsid w:val="11C6522A"/>
    <w:rsid w:val="11E104CC"/>
    <w:rsid w:val="11E20309"/>
    <w:rsid w:val="11FE2301"/>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353599"/>
    <w:rsid w:val="19932372"/>
    <w:rsid w:val="19962C07"/>
    <w:rsid w:val="19A20DD5"/>
    <w:rsid w:val="19AE03F1"/>
    <w:rsid w:val="1A071A03"/>
    <w:rsid w:val="1A1F16AE"/>
    <w:rsid w:val="1A3B5C77"/>
    <w:rsid w:val="1A984BAD"/>
    <w:rsid w:val="1AB8220E"/>
    <w:rsid w:val="1AE4166C"/>
    <w:rsid w:val="1AF06CFB"/>
    <w:rsid w:val="1AF11B8D"/>
    <w:rsid w:val="1B033DA8"/>
    <w:rsid w:val="1B11359C"/>
    <w:rsid w:val="1B2A271F"/>
    <w:rsid w:val="1B530544"/>
    <w:rsid w:val="1B713184"/>
    <w:rsid w:val="1BA209CF"/>
    <w:rsid w:val="1BB4777D"/>
    <w:rsid w:val="1BD75AB8"/>
    <w:rsid w:val="1C0459C2"/>
    <w:rsid w:val="1C1B3B4A"/>
    <w:rsid w:val="1C272047"/>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FC175F"/>
    <w:rsid w:val="1F0A0FF3"/>
    <w:rsid w:val="1F1C5897"/>
    <w:rsid w:val="1F5771FF"/>
    <w:rsid w:val="1FD52DD5"/>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07121"/>
    <w:rsid w:val="22334A87"/>
    <w:rsid w:val="22400C34"/>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58B00E2"/>
    <w:rsid w:val="25A917A6"/>
    <w:rsid w:val="25BE27CC"/>
    <w:rsid w:val="25F74A5C"/>
    <w:rsid w:val="26031625"/>
    <w:rsid w:val="26266AFA"/>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CF470D"/>
    <w:rsid w:val="29F26D24"/>
    <w:rsid w:val="2A15033F"/>
    <w:rsid w:val="2A1662C1"/>
    <w:rsid w:val="2A1C7367"/>
    <w:rsid w:val="2A2815FA"/>
    <w:rsid w:val="2A6D6092"/>
    <w:rsid w:val="2A7D76B4"/>
    <w:rsid w:val="2A7E1E12"/>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1F93963"/>
    <w:rsid w:val="32517576"/>
    <w:rsid w:val="329C3D04"/>
    <w:rsid w:val="32BE5C2C"/>
    <w:rsid w:val="32FB6478"/>
    <w:rsid w:val="33263B3F"/>
    <w:rsid w:val="336963EB"/>
    <w:rsid w:val="33816EEB"/>
    <w:rsid w:val="33D87E92"/>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7C156F"/>
    <w:rsid w:val="39A86F0F"/>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E30AF"/>
    <w:rsid w:val="3C5F759A"/>
    <w:rsid w:val="3C6C525A"/>
    <w:rsid w:val="3CCE23CB"/>
    <w:rsid w:val="3CD17D17"/>
    <w:rsid w:val="3D331554"/>
    <w:rsid w:val="3D3C7F39"/>
    <w:rsid w:val="3D440F09"/>
    <w:rsid w:val="3D4504A0"/>
    <w:rsid w:val="3D8734BB"/>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024C26"/>
    <w:rsid w:val="40077B0C"/>
    <w:rsid w:val="4019356B"/>
    <w:rsid w:val="40592157"/>
    <w:rsid w:val="406E1CAE"/>
    <w:rsid w:val="40A0133A"/>
    <w:rsid w:val="40C31A53"/>
    <w:rsid w:val="40FF545D"/>
    <w:rsid w:val="410067C8"/>
    <w:rsid w:val="418F0D2A"/>
    <w:rsid w:val="41D01505"/>
    <w:rsid w:val="420B498C"/>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34746B"/>
    <w:rsid w:val="449101DD"/>
    <w:rsid w:val="44DE1391"/>
    <w:rsid w:val="450E707E"/>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3C489A"/>
    <w:rsid w:val="495F5B3E"/>
    <w:rsid w:val="496F77D7"/>
    <w:rsid w:val="497654FD"/>
    <w:rsid w:val="49B64211"/>
    <w:rsid w:val="49E56AF9"/>
    <w:rsid w:val="49F6167F"/>
    <w:rsid w:val="4A064FA0"/>
    <w:rsid w:val="4A16615C"/>
    <w:rsid w:val="4A4424D7"/>
    <w:rsid w:val="4A7525B2"/>
    <w:rsid w:val="4AB82D0F"/>
    <w:rsid w:val="4AEB7664"/>
    <w:rsid w:val="4AFD7C19"/>
    <w:rsid w:val="4B0567D1"/>
    <w:rsid w:val="4B236AAE"/>
    <w:rsid w:val="4B707271"/>
    <w:rsid w:val="4B9739F7"/>
    <w:rsid w:val="4BC16A2A"/>
    <w:rsid w:val="4BEE2503"/>
    <w:rsid w:val="4C245A30"/>
    <w:rsid w:val="4C4922F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C563A4"/>
    <w:rsid w:val="4FE625E0"/>
    <w:rsid w:val="5021480F"/>
    <w:rsid w:val="50962ECB"/>
    <w:rsid w:val="50A42E38"/>
    <w:rsid w:val="50A4577F"/>
    <w:rsid w:val="50B73D1F"/>
    <w:rsid w:val="50BD5BC9"/>
    <w:rsid w:val="50C11EEE"/>
    <w:rsid w:val="50D739E5"/>
    <w:rsid w:val="50E97CFC"/>
    <w:rsid w:val="50FA4028"/>
    <w:rsid w:val="510D65B7"/>
    <w:rsid w:val="511157AB"/>
    <w:rsid w:val="5142540C"/>
    <w:rsid w:val="51706343"/>
    <w:rsid w:val="518832C8"/>
    <w:rsid w:val="519D3C50"/>
    <w:rsid w:val="51A0432A"/>
    <w:rsid w:val="51A86090"/>
    <w:rsid w:val="51B7396D"/>
    <w:rsid w:val="522E4CC3"/>
    <w:rsid w:val="5244713B"/>
    <w:rsid w:val="52615633"/>
    <w:rsid w:val="526F4DE4"/>
    <w:rsid w:val="527C3B39"/>
    <w:rsid w:val="52977FD4"/>
    <w:rsid w:val="52A25790"/>
    <w:rsid w:val="52A96B6F"/>
    <w:rsid w:val="52B45975"/>
    <w:rsid w:val="52C87220"/>
    <w:rsid w:val="52D94AA4"/>
    <w:rsid w:val="52EA3A62"/>
    <w:rsid w:val="52F50BB8"/>
    <w:rsid w:val="53097272"/>
    <w:rsid w:val="53544462"/>
    <w:rsid w:val="5397158E"/>
    <w:rsid w:val="53C37E9A"/>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C73B6D"/>
    <w:rsid w:val="55DC29B6"/>
    <w:rsid w:val="55DD4241"/>
    <w:rsid w:val="566B6D1E"/>
    <w:rsid w:val="56F72230"/>
    <w:rsid w:val="57032A2C"/>
    <w:rsid w:val="570F5219"/>
    <w:rsid w:val="575D12B5"/>
    <w:rsid w:val="57610A87"/>
    <w:rsid w:val="577B1140"/>
    <w:rsid w:val="577B7F21"/>
    <w:rsid w:val="577F181B"/>
    <w:rsid w:val="57921984"/>
    <w:rsid w:val="57970D91"/>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60E1B"/>
    <w:rsid w:val="5D0C4701"/>
    <w:rsid w:val="5D0F0395"/>
    <w:rsid w:val="5D221076"/>
    <w:rsid w:val="5D397964"/>
    <w:rsid w:val="5D5A391C"/>
    <w:rsid w:val="5D5F10C0"/>
    <w:rsid w:val="5D891B7B"/>
    <w:rsid w:val="5DAD38EE"/>
    <w:rsid w:val="5E006862"/>
    <w:rsid w:val="5E0207B9"/>
    <w:rsid w:val="5E045DA1"/>
    <w:rsid w:val="5E1834A1"/>
    <w:rsid w:val="5E261785"/>
    <w:rsid w:val="5E4A7017"/>
    <w:rsid w:val="5E552BBA"/>
    <w:rsid w:val="5E611C10"/>
    <w:rsid w:val="5E750FFA"/>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1D6692"/>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58B5616"/>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3E15D3"/>
    <w:rsid w:val="69627681"/>
    <w:rsid w:val="6977531D"/>
    <w:rsid w:val="69CC2BFF"/>
    <w:rsid w:val="69FD55B8"/>
    <w:rsid w:val="6A0B1C62"/>
    <w:rsid w:val="6A2406C8"/>
    <w:rsid w:val="6AC87D14"/>
    <w:rsid w:val="6ADE0BD1"/>
    <w:rsid w:val="6AE96859"/>
    <w:rsid w:val="6B147746"/>
    <w:rsid w:val="6B24787C"/>
    <w:rsid w:val="6B573233"/>
    <w:rsid w:val="6B5B6274"/>
    <w:rsid w:val="6B935D53"/>
    <w:rsid w:val="6C196F71"/>
    <w:rsid w:val="6C226FCB"/>
    <w:rsid w:val="6C31226F"/>
    <w:rsid w:val="6C552F0B"/>
    <w:rsid w:val="6C8C67B7"/>
    <w:rsid w:val="6C98748C"/>
    <w:rsid w:val="6C9D744C"/>
    <w:rsid w:val="6CD06CF5"/>
    <w:rsid w:val="6D167928"/>
    <w:rsid w:val="6D26299B"/>
    <w:rsid w:val="6D4772EC"/>
    <w:rsid w:val="6D9078AF"/>
    <w:rsid w:val="6DAA3FEF"/>
    <w:rsid w:val="6DC0172B"/>
    <w:rsid w:val="6DCB690C"/>
    <w:rsid w:val="6DD41A5B"/>
    <w:rsid w:val="6DF43C2E"/>
    <w:rsid w:val="6DF51CA3"/>
    <w:rsid w:val="6E8335BD"/>
    <w:rsid w:val="6E8E12EF"/>
    <w:rsid w:val="6E972936"/>
    <w:rsid w:val="6E99160E"/>
    <w:rsid w:val="6ECF2B7C"/>
    <w:rsid w:val="6ED446C5"/>
    <w:rsid w:val="6F2A7D94"/>
    <w:rsid w:val="6F8331F1"/>
    <w:rsid w:val="6FAE1A09"/>
    <w:rsid w:val="6FD54AE6"/>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C0B8C"/>
    <w:rsid w:val="76CD08D5"/>
    <w:rsid w:val="76DB4B92"/>
    <w:rsid w:val="76FD013A"/>
    <w:rsid w:val="77052AA4"/>
    <w:rsid w:val="77136511"/>
    <w:rsid w:val="772315DE"/>
    <w:rsid w:val="77340A39"/>
    <w:rsid w:val="77351FD0"/>
    <w:rsid w:val="77472422"/>
    <w:rsid w:val="774F5C87"/>
    <w:rsid w:val="775C313C"/>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1F7358"/>
    <w:rsid w:val="7B257FFD"/>
    <w:rsid w:val="7B273D20"/>
    <w:rsid w:val="7B343476"/>
    <w:rsid w:val="7B5A2978"/>
    <w:rsid w:val="7B5A7E4C"/>
    <w:rsid w:val="7B667AF9"/>
    <w:rsid w:val="7B7468F8"/>
    <w:rsid w:val="7BEE0103"/>
    <w:rsid w:val="7C0A0FE4"/>
    <w:rsid w:val="7C254906"/>
    <w:rsid w:val="7C590818"/>
    <w:rsid w:val="7C7C10F6"/>
    <w:rsid w:val="7C853BEA"/>
    <w:rsid w:val="7C881368"/>
    <w:rsid w:val="7CE27788"/>
    <w:rsid w:val="7D0C32F1"/>
    <w:rsid w:val="7D0F408D"/>
    <w:rsid w:val="7D321907"/>
    <w:rsid w:val="7D491C6C"/>
    <w:rsid w:val="7D5429C0"/>
    <w:rsid w:val="7D6E6D43"/>
    <w:rsid w:val="7DB57A34"/>
    <w:rsid w:val="7DE60973"/>
    <w:rsid w:val="7DEF0916"/>
    <w:rsid w:val="7E1C7D03"/>
    <w:rsid w:val="7E1E5218"/>
    <w:rsid w:val="7E4A2717"/>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300"/>
    <w:qFormat/>
    <w:uiPriority w:val="0"/>
    <w:pPr>
      <w:spacing w:after="120" w:line="480" w:lineRule="auto"/>
    </w:pPr>
  </w:style>
  <w:style w:type="paragraph" w:styleId="6">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7"/>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0"/>
    <w:qFormat/>
    <w:uiPriority w:val="0"/>
    <w:pPr>
      <w:shd w:val="clear" w:color="auto" w:fill="000080"/>
    </w:pPr>
  </w:style>
  <w:style w:type="paragraph" w:styleId="20">
    <w:name w:val="annotation text"/>
    <w:basedOn w:val="1"/>
    <w:link w:val="342"/>
    <w:qFormat/>
    <w:uiPriority w:val="99"/>
    <w:pPr>
      <w:jc w:val="left"/>
    </w:pPr>
  </w:style>
  <w:style w:type="paragraph" w:styleId="21">
    <w:name w:val="Salutation"/>
    <w:basedOn w:val="1"/>
    <w:next w:val="1"/>
    <w:link w:val="296"/>
    <w:qFormat/>
    <w:uiPriority w:val="0"/>
    <w:rPr>
      <w:rFonts w:ascii="仿宋_GB2312" w:eastAsia="仿宋_GB2312"/>
      <w:sz w:val="28"/>
      <w:szCs w:val="20"/>
    </w:rPr>
  </w:style>
  <w:style w:type="paragraph" w:styleId="22">
    <w:name w:val="Body Text 3"/>
    <w:basedOn w:val="1"/>
    <w:link w:val="328"/>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link w:val="428"/>
    <w:qFormat/>
    <w:uiPriority w:val="99"/>
    <w:pPr>
      <w:autoSpaceDE w:val="0"/>
      <w:autoSpaceDN w:val="0"/>
      <w:spacing w:line="360" w:lineRule="auto"/>
    </w:pPr>
    <w:rPr>
      <w:rFonts w:ascii="宋体" w:hAnsi="Arial" w:cs="Arial"/>
      <w:snapToGrid w:val="0"/>
      <w:sz w:val="24"/>
      <w:szCs w:val="21"/>
      <w:lang w:val="zh-CN"/>
    </w:rPr>
  </w:style>
  <w:style w:type="paragraph" w:styleId="25">
    <w:name w:val="Body Text Indent"/>
    <w:basedOn w:val="1"/>
    <w:link w:val="263"/>
    <w:qFormat/>
    <w:uiPriority w:val="99"/>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79"/>
    <w:qFormat/>
    <w:uiPriority w:val="0"/>
    <w:pPr>
      <w:ind w:left="100" w:leftChars="2500"/>
    </w:pPr>
    <w:rPr>
      <w:rFonts w:ascii="宋体"/>
      <w:sz w:val="24"/>
      <w:szCs w:val="21"/>
      <w:lang w:val="zh-CN"/>
    </w:rPr>
  </w:style>
  <w:style w:type="paragraph" w:styleId="37">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8">
    <w:name w:val="endnote text"/>
    <w:basedOn w:val="1"/>
    <w:link w:val="929"/>
    <w:qFormat/>
    <w:uiPriority w:val="0"/>
    <w:rPr>
      <w:lang w:val="zh-CN"/>
    </w:rPr>
  </w:style>
  <w:style w:type="paragraph" w:styleId="39">
    <w:name w:val="Balloon Text"/>
    <w:basedOn w:val="1"/>
    <w:link w:val="186"/>
    <w:qFormat/>
    <w:uiPriority w:val="0"/>
    <w:rPr>
      <w:sz w:val="18"/>
      <w:szCs w:val="18"/>
    </w:rPr>
  </w:style>
  <w:style w:type="paragraph" w:styleId="40">
    <w:name w:val="footer"/>
    <w:basedOn w:val="1"/>
    <w:link w:val="381"/>
    <w:qFormat/>
    <w:uiPriority w:val="0"/>
    <w:pPr>
      <w:tabs>
        <w:tab w:val="center" w:pos="4153"/>
        <w:tab w:val="right" w:pos="8306"/>
      </w:tabs>
      <w:snapToGrid w:val="0"/>
      <w:jc w:val="left"/>
    </w:pPr>
    <w:rPr>
      <w:sz w:val="18"/>
      <w:szCs w:val="18"/>
    </w:rPr>
  </w:style>
  <w:style w:type="paragraph" w:styleId="41">
    <w:name w:val="header"/>
    <w:basedOn w:val="1"/>
    <w:link w:val="390"/>
    <w:qFormat/>
    <w:uiPriority w:val="0"/>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39"/>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6"/>
    <w:link w:val="308"/>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3"/>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4"/>
    <w:qFormat/>
    <w:uiPriority w:val="0"/>
    <w:rPr>
      <w:b/>
      <w:bCs/>
    </w:rPr>
  </w:style>
  <w:style w:type="paragraph" w:styleId="60">
    <w:name w:val="Body Text First Indent"/>
    <w:basedOn w:val="24"/>
    <w:link w:val="319"/>
    <w:qFormat/>
    <w:uiPriority w:val="0"/>
    <w:pPr>
      <w:ind w:firstLine="420"/>
    </w:pPr>
    <w:rPr>
      <w:rFonts w:hAnsi="Calibri" w:cs="Times New Roman"/>
      <w:snapToGrid/>
      <w:szCs w:val="20"/>
    </w:rPr>
  </w:style>
  <w:style w:type="paragraph" w:styleId="61">
    <w:name w:val="Body Text First Indent 2"/>
    <w:basedOn w:val="25"/>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7"/>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9"/>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4"/>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6"/>
    <w:qFormat/>
    <w:uiPriority w:val="0"/>
    <w:rPr>
      <w:rFonts w:ascii="宋体"/>
      <w:kern w:val="2"/>
      <w:sz w:val="24"/>
      <w:szCs w:val="21"/>
      <w:lang w:val="zh-CN"/>
    </w:rPr>
  </w:style>
  <w:style w:type="character" w:customStyle="1" w:styleId="180">
    <w:name w:val="标题 9 Char"/>
    <w:link w:val="12"/>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9"/>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6"/>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9"/>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99"/>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30"/>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7"/>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7"/>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5"/>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3"/>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8"/>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1"/>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2"/>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7"/>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10"/>
    <w:qFormat/>
    <w:uiPriority w:val="0"/>
    <w:rPr>
      <w:b/>
      <w:bCs/>
      <w:kern w:val="2"/>
      <w:sz w:val="24"/>
      <w:szCs w:val="24"/>
    </w:rPr>
  </w:style>
  <w:style w:type="character" w:customStyle="1" w:styleId="306">
    <w:name w:val="正文文本缩进 2 Char"/>
    <w:link w:val="37"/>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50"/>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7"/>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2"/>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20"/>
    <w:qFormat/>
    <w:uiPriority w:val="99"/>
    <w:rPr>
      <w:kern w:val="2"/>
      <w:sz w:val="21"/>
      <w:szCs w:val="24"/>
    </w:rPr>
  </w:style>
  <w:style w:type="character" w:customStyle="1" w:styleId="343">
    <w:name w:val="签名 Char"/>
    <w:link w:val="42"/>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1"/>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99"/>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3"/>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40"/>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1"/>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6"/>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7"/>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4"/>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5"/>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8"/>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5"/>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7"/>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2"/>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3"/>
    <w:qFormat/>
    <w:uiPriority w:val="0"/>
    <w:pPr>
      <w:tabs>
        <w:tab w:val="left" w:pos="840"/>
      </w:tabs>
      <w:adjustRightInd/>
      <w:ind w:left="840" w:hanging="420"/>
    </w:pPr>
  </w:style>
  <w:style w:type="paragraph" w:customStyle="1" w:styleId="623">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7"/>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5"/>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5"/>
    <w:next w:val="53"/>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9"/>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8"/>
    <w:next w:val="1"/>
    <w:qFormat/>
    <w:uiPriority w:val="0"/>
    <w:pPr>
      <w:tabs>
        <w:tab w:val="left" w:pos="1080"/>
      </w:tabs>
      <w:ind w:left="1080" w:hanging="1080"/>
    </w:pPr>
  </w:style>
  <w:style w:type="paragraph" w:customStyle="1" w:styleId="894">
    <w:name w:val="数字标题1"/>
    <w:basedOn w:val="3"/>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8"/>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Normal_19_0_0"/>
    <w:next w:val="1"/>
    <w:qFormat/>
    <w:uiPriority w:val="0"/>
    <w:pPr>
      <w:widowControl w:val="0"/>
      <w:spacing w:line="360" w:lineRule="auto"/>
      <w:ind w:firstLine="200"/>
      <w:jc w:val="both"/>
    </w:pPr>
    <w:rPr>
      <w:rFonts w:ascii="Calibri" w:hAnsi="Calibri" w:eastAsia="宋体" w:cs="Times New Roman"/>
      <w:sz w:val="24"/>
      <w:lang w:val="en-US" w:eastAsia="zh-CN" w:bidi="ar-SA"/>
    </w:rPr>
  </w:style>
  <w:style w:type="paragraph" w:customStyle="1" w:styleId="963">
    <w:name w:val="Body Text_0_0"/>
    <w:basedOn w:val="962"/>
    <w:unhideWhenUsed/>
    <w:qFormat/>
    <w:uiPriority w:val="99"/>
    <w:pPr>
      <w:spacing w:after="120"/>
    </w:pPr>
    <w:rPr>
      <w:sz w:val="20"/>
    </w:rPr>
  </w:style>
  <w:style w:type="paragraph" w:customStyle="1" w:styleId="964">
    <w:name w:val="正文段落"/>
    <w:basedOn w:val="1"/>
    <w:qFormat/>
    <w:uiPriority w:val="0"/>
    <w:rPr>
      <w:snapToGrid w:val="0"/>
      <w:kern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3F5E1-DBDB-494B-9C59-44383531BC82}">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85</Pages>
  <Words>8312</Words>
  <Characters>47380</Characters>
  <Lines>394</Lines>
  <Paragraphs>111</Paragraphs>
  <TotalTime>75</TotalTime>
  <ScaleCrop>false</ScaleCrop>
  <LinksUpToDate>false</LinksUpToDate>
  <CharactersWithSpaces>55581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wwwww</cp:lastModifiedBy>
  <cp:lastPrinted>2025-07-04T03:58:00Z</cp:lastPrinted>
  <dcterms:modified xsi:type="dcterms:W3CDTF">2025-09-30T08:49:10Z</dcterms:modified>
  <dc:title>北海市政府采购中心</dc:title>
  <cp:revision>554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820F323E5ECC48CAA61E4116DB0CA851_13</vt:lpwstr>
  </property>
  <property fmtid="{D5CDD505-2E9C-101B-9397-08002B2CF9AE}" pid="5" name="KSOTemplateDocerSaveRecord">
    <vt:lpwstr>eyJoZGlkIjoiZWE2Yzg3ZmY1ZWIwYzgzODQwOWVkOTFmNWRkYTBjNDAiLCJ1c2VySWQiOiI0Mjg5MTU5ODEifQ==</vt:lpwstr>
  </property>
</Properties>
</file>