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rPr>
          <w:rFonts w:cs="仿宋_GB2312" w:asciiTheme="minorEastAsia" w:hAnsiTheme="minorEastAsia" w:eastAsiaTheme="minorEastAsia"/>
          <w:b/>
          <w:color w:val="auto"/>
          <w:sz w:val="44"/>
          <w:szCs w:val="44"/>
        </w:rPr>
      </w:pPr>
    </w:p>
    <w:p>
      <w:pPr>
        <w:adjustRightInd/>
        <w:spacing w:line="360" w:lineRule="auto"/>
        <w:jc w:val="center"/>
        <w:rPr>
          <w:rFonts w:cs="仿宋_GB2312" w:asciiTheme="minorEastAsia" w:hAnsiTheme="minorEastAsia" w:eastAsiaTheme="minorEastAsia"/>
          <w:b/>
          <w:color w:val="auto"/>
          <w:sz w:val="44"/>
          <w:szCs w:val="44"/>
        </w:rPr>
      </w:pPr>
    </w:p>
    <w:p>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采购2025年秋季学期新增班级设备</w:t>
      </w:r>
    </w:p>
    <w:p>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竞争性谈判</w:t>
      </w:r>
      <w:r>
        <w:rPr>
          <w:rFonts w:hint="eastAsia" w:cs="仿宋_GB2312" w:asciiTheme="minorEastAsia" w:hAnsiTheme="minorEastAsia" w:eastAsiaTheme="minorEastAsia"/>
          <w:b/>
          <w:color w:val="auto"/>
          <w:sz w:val="72"/>
          <w:szCs w:val="72"/>
        </w:rPr>
        <w:t>文件</w:t>
      </w:r>
    </w:p>
    <w:p>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pPr>
        <w:snapToGrid w:val="0"/>
        <w:spacing w:line="360" w:lineRule="auto"/>
        <w:jc w:val="center"/>
        <w:rPr>
          <w:rFonts w:cs="仿宋_GB2312" w:asciiTheme="minorEastAsia" w:hAnsiTheme="minorEastAsia" w:eastAsiaTheme="minorEastAsia"/>
          <w:color w:val="auto"/>
          <w:sz w:val="30"/>
          <w:szCs w:val="30"/>
        </w:rPr>
      </w:pPr>
    </w:p>
    <w:p>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BHZC2025-J1-990198-CGZX</w:t>
      </w:r>
      <w:r>
        <w:rPr>
          <w:rFonts w:hint="eastAsia" w:cs="仿宋_GB2312" w:asciiTheme="minorEastAsia" w:hAnsiTheme="minorEastAsia" w:eastAsiaTheme="minorEastAsia"/>
          <w:color w:val="auto"/>
          <w:sz w:val="30"/>
          <w:szCs w:val="30"/>
        </w:rPr>
        <w:t>）</w:t>
      </w:r>
    </w:p>
    <w:p>
      <w:pPr>
        <w:adjustRightInd/>
        <w:spacing w:line="360" w:lineRule="auto"/>
        <w:rPr>
          <w:rFonts w:cs="仿宋_GB2312" w:asciiTheme="minorEastAsia" w:hAnsiTheme="minorEastAsia" w:eastAsiaTheme="minorEastAsia"/>
          <w:color w:val="auto"/>
          <w:sz w:val="28"/>
          <w:szCs w:val="20"/>
        </w:rPr>
      </w:pPr>
    </w:p>
    <w:p>
      <w:pPr>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color w:val="auto"/>
          <w:sz w:val="24"/>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pPr>
        <w:snapToGrid w:val="0"/>
        <w:spacing w:line="360" w:lineRule="auto"/>
        <w:jc w:val="center"/>
        <w:rPr>
          <w:rFonts w:cs="仿宋_GB2312" w:asciiTheme="minorEastAsia" w:hAnsiTheme="minorEastAsia" w:eastAsiaTheme="minorEastAsia"/>
          <w:color w:val="auto"/>
          <w:sz w:val="32"/>
          <w:szCs w:val="32"/>
        </w:rPr>
      </w:pPr>
    </w:p>
    <w:p>
      <w:pPr>
        <w:snapToGrid w:val="0"/>
        <w:spacing w:line="360" w:lineRule="auto"/>
        <w:jc w:val="center"/>
        <w:rPr>
          <w:rFonts w:cs="仿宋_GB2312" w:asciiTheme="minorEastAsia" w:hAnsiTheme="minorEastAsia" w:eastAsiaTheme="minorEastAsia"/>
          <w:color w:val="auto"/>
          <w:sz w:val="32"/>
          <w:szCs w:val="32"/>
        </w:rPr>
      </w:pPr>
      <w:r>
        <w:rPr>
          <w:rFonts w:cs="仿宋_GB2312" w:asciiTheme="minorEastAsia" w:hAnsiTheme="minorEastAsia" w:eastAsiaTheme="minorEastAsia"/>
          <w:color w:val="auto"/>
          <w:sz w:val="32"/>
          <w:szCs w:val="32"/>
        </w:rPr>
        <w:t>北海市第十三中学</w:t>
      </w:r>
    </w:p>
    <w:p>
      <w:pPr>
        <w:spacing w:line="360" w:lineRule="auto"/>
        <w:jc w:val="center"/>
        <w:rPr>
          <w:rFonts w:cs="仿宋_GB2312" w:asciiTheme="minorEastAsia" w:hAnsiTheme="minorEastAsia" w:eastAsiaTheme="minorEastAsia"/>
          <w:bCs/>
          <w:color w:val="auto"/>
          <w:sz w:val="32"/>
          <w:szCs w:val="32"/>
        </w:rPr>
      </w:pPr>
      <w:r>
        <w:rPr>
          <w:rFonts w:cs="仿宋_GB2312" w:asciiTheme="minorEastAsia" w:hAnsiTheme="minorEastAsia" w:eastAsiaTheme="minorEastAsia"/>
          <w:bCs/>
          <w:color w:val="auto"/>
          <w:sz w:val="32"/>
          <w:szCs w:val="32"/>
        </w:rPr>
        <w:t>北海市政府采购中心</w:t>
      </w:r>
    </w:p>
    <w:p>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eastAsia="zh-CN"/>
        </w:rPr>
        <w:t>八</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eastAsia="zh-CN"/>
        </w:rPr>
        <w:t>二十五</w:t>
      </w:r>
      <w:r>
        <w:rPr>
          <w:rFonts w:hint="eastAsia" w:cs="仿宋_GB2312" w:asciiTheme="minorEastAsia" w:hAnsiTheme="minorEastAsia" w:eastAsiaTheme="minorEastAsia"/>
          <w:bCs/>
          <w:color w:val="auto"/>
          <w:sz w:val="32"/>
          <w:szCs w:val="32"/>
        </w:rPr>
        <w:t>日</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pPr>
        <w:spacing w:line="360" w:lineRule="auto"/>
        <w:rPr>
          <w:rFonts w:cs="仿宋_GB2312" w:asciiTheme="minorEastAsia" w:hAnsiTheme="minorEastAsia" w:eastAsiaTheme="minorEastAsia"/>
          <w:color w:val="auto"/>
          <w:sz w:val="32"/>
          <w:szCs w:val="32"/>
        </w:rPr>
      </w:pPr>
    </w:p>
    <w:p>
      <w:pPr>
        <w:pStyle w:val="41"/>
        <w:tabs>
          <w:tab w:val="right" w:leader="dot" w:pos="9060"/>
        </w:tabs>
        <w:spacing w:line="360" w:lineRule="auto"/>
        <w:rPr>
          <w:rFonts w:asciiTheme="minorEastAsia" w:hAnsiTheme="minorEastAsia" w:eastAsiaTheme="minorEastAsia" w:cstheme="minorBidi"/>
          <w:color w:val="auto"/>
          <w:sz w:val="32"/>
          <w:szCs w:val="32"/>
        </w:rPr>
      </w:pPr>
      <w:bookmarkStart w:id="1" w:name="_Hlt91233176"/>
      <w:bookmarkEnd w:id="1"/>
      <w:bookmarkStart w:id="2" w:name="_Toc91899869"/>
      <w:r>
        <w:rPr>
          <w:rFonts w:cs="仿宋_GB2312" w:asciiTheme="minorEastAsia" w:hAnsiTheme="minorEastAsia" w:eastAsiaTheme="minorEastAsia"/>
          <w:color w:val="auto"/>
          <w:sz w:val="32"/>
          <w:szCs w:val="32"/>
        </w:rPr>
        <w:fldChar w:fldCharType="begin"/>
      </w:r>
      <w:r>
        <w:rPr>
          <w:rFonts w:cs="仿宋_GB2312" w:asciiTheme="minorEastAsia" w:hAnsiTheme="minorEastAsia" w:eastAsiaTheme="minorEastAsia"/>
          <w:color w:val="auto"/>
          <w:sz w:val="32"/>
          <w:szCs w:val="32"/>
        </w:rPr>
        <w:instrText xml:space="preserve"> TOC \o "1-1" \h \z \u </w:instrText>
      </w:r>
      <w:r>
        <w:rPr>
          <w:rFonts w:cs="仿宋_GB2312"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"_Toc181265281" </w:instrText>
      </w:r>
      <w:r>
        <w:rPr>
          <w:color w:val="auto"/>
        </w:rPr>
        <w:fldChar w:fldCharType="separate"/>
      </w:r>
      <w:r>
        <w:rPr>
          <w:rStyle w:val="69"/>
          <w:rFonts w:hint="eastAsia" w:cs="仿宋_GB2312" w:asciiTheme="minorEastAsia" w:hAnsiTheme="minorEastAsia" w:eastAsiaTheme="minorEastAsia"/>
          <w:color w:val="auto"/>
          <w:sz w:val="32"/>
          <w:szCs w:val="32"/>
        </w:rPr>
        <w:t>第一部分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邀请供应商</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_Toc181265281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3</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pPr>
        <w:pStyle w:val="41"/>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"_Toc181265282" </w:instrText>
      </w:r>
      <w:r>
        <w:rPr>
          <w:color w:val="auto"/>
        </w:rPr>
        <w:fldChar w:fldCharType="separate"/>
      </w:r>
      <w:r>
        <w:rPr>
          <w:rStyle w:val="69"/>
          <w:rFonts w:hint="eastAsia" w:cs="仿宋_GB2312" w:asciiTheme="minorEastAsia" w:hAnsiTheme="minorEastAsia" w:eastAsiaTheme="minorEastAsia"/>
          <w:color w:val="auto"/>
          <w:sz w:val="32"/>
          <w:szCs w:val="32"/>
        </w:rPr>
        <w:t>第二部分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竞争性谈判流程</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_Toc181265282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7</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pPr>
        <w:pStyle w:val="41"/>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"_Toc181265283" </w:instrText>
      </w:r>
      <w:r>
        <w:rPr>
          <w:color w:val="auto"/>
        </w:rPr>
        <w:fldChar w:fldCharType="separate"/>
      </w:r>
      <w:r>
        <w:rPr>
          <w:rStyle w:val="69"/>
          <w:rFonts w:hint="eastAsia" w:cs="仿宋_GB2312" w:asciiTheme="minorEastAsia" w:hAnsiTheme="minorEastAsia" w:eastAsiaTheme="minorEastAsia"/>
          <w:color w:val="auto"/>
          <w:sz w:val="32"/>
          <w:szCs w:val="32"/>
        </w:rPr>
        <w:t>第三部分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供应商须知</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_Toc181265283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11</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pPr>
        <w:pStyle w:val="41"/>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"_Toc181265284" </w:instrText>
      </w:r>
      <w:r>
        <w:rPr>
          <w:color w:val="auto"/>
        </w:rPr>
        <w:fldChar w:fldCharType="separate"/>
      </w:r>
      <w:r>
        <w:rPr>
          <w:rStyle w:val="69"/>
          <w:rFonts w:hint="eastAsia" w:cs="仿宋_GB2312" w:asciiTheme="minorEastAsia" w:hAnsiTheme="minorEastAsia" w:eastAsiaTheme="minorEastAsia"/>
          <w:color w:val="auto"/>
          <w:sz w:val="32"/>
          <w:szCs w:val="32"/>
        </w:rPr>
        <w:t>第四部分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采购需求</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_Toc181265284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30</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pPr>
        <w:pStyle w:val="41"/>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"_Toc181265285" </w:instrText>
      </w:r>
      <w:r>
        <w:rPr>
          <w:color w:val="auto"/>
        </w:rPr>
        <w:fldChar w:fldCharType="separate"/>
      </w:r>
      <w:r>
        <w:rPr>
          <w:rStyle w:val="69"/>
          <w:rFonts w:hint="eastAsia" w:cs="仿宋_GB2312" w:asciiTheme="minorEastAsia" w:hAnsiTheme="minorEastAsia" w:eastAsiaTheme="minorEastAsia"/>
          <w:color w:val="auto"/>
          <w:sz w:val="32"/>
          <w:szCs w:val="32"/>
        </w:rPr>
        <w:t>第五部分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评定标准</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_Toc181265285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46</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pPr>
        <w:pStyle w:val="41"/>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"_Toc181265286" </w:instrText>
      </w:r>
      <w:r>
        <w:rPr>
          <w:color w:val="auto"/>
        </w:rPr>
        <w:fldChar w:fldCharType="separate"/>
      </w:r>
      <w:r>
        <w:rPr>
          <w:rStyle w:val="69"/>
          <w:rFonts w:hint="eastAsia" w:cs="仿宋_GB2312" w:asciiTheme="minorEastAsia" w:hAnsiTheme="minorEastAsia" w:eastAsiaTheme="minorEastAsia"/>
          <w:color w:val="auto"/>
          <w:sz w:val="32"/>
          <w:szCs w:val="32"/>
        </w:rPr>
        <w:t>第六部分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拟签订的合同文本</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_Toc181265286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51</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pPr>
        <w:pStyle w:val="41"/>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"_Toc181265287" </w:instrText>
      </w:r>
      <w:r>
        <w:rPr>
          <w:color w:val="auto"/>
        </w:rPr>
        <w:fldChar w:fldCharType="separate"/>
      </w:r>
      <w:r>
        <w:rPr>
          <w:rStyle w:val="69"/>
          <w:rFonts w:hint="eastAsia" w:cs="仿宋_GB2312" w:asciiTheme="minorEastAsia" w:hAnsiTheme="minorEastAsia" w:eastAsiaTheme="minorEastAsia"/>
          <w:color w:val="auto"/>
          <w:sz w:val="32"/>
          <w:szCs w:val="32"/>
        </w:rPr>
        <w:t>第七部分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应提交的有关格式范例</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_Toc181265287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69</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pPr>
        <w:pStyle w:val="41"/>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"_Toc181265288" </w:instrText>
      </w:r>
      <w:r>
        <w:rPr>
          <w:color w:val="auto"/>
        </w:rPr>
        <w:fldChar w:fldCharType="separate"/>
      </w:r>
      <w:r>
        <w:rPr>
          <w:rStyle w:val="69"/>
          <w:rFonts w:hint="eastAsia" w:cs="仿宋_GB2312" w:asciiTheme="minorEastAsia" w:hAnsiTheme="minorEastAsia" w:eastAsiaTheme="minorEastAsia"/>
          <w:color w:val="auto"/>
          <w:sz w:val="32"/>
          <w:szCs w:val="32"/>
        </w:rPr>
        <w:t>第八部分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最后报价格式</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_Toc181265288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91</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pPr>
        <w:spacing w:line="360" w:lineRule="auto"/>
        <w:ind w:firstLine="732" w:firstLineChars="229"/>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32"/>
          <w:szCs w:val="32"/>
        </w:rPr>
        <w:fldChar w:fldCharType="end"/>
      </w: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_Toc181265281"/>
      <w:bookmarkStart w:id="9" w:name="第二部分"/>
      <w:bookmarkStart w:id="10" w:name="_Toc91899870"/>
      <w:bookmarkStart w:id="11" w:name="_Toc91899871"/>
      <w:r>
        <w:rPr>
          <w:rFonts w:hint="eastAsia" w:cs="仿宋_GB2312" w:asciiTheme="minorEastAsia" w:hAnsiTheme="minorEastAsia" w:eastAsiaTheme="minorEastAsia"/>
          <w:b/>
          <w:color w:val="auto"/>
          <w:sz w:val="36"/>
          <w:szCs w:val="20"/>
        </w:rPr>
        <w:t>第一部分  邀请供应商</w:t>
      </w:r>
      <w:bookmarkEnd w:id="8"/>
    </w:p>
    <w:p>
      <w:pPr>
        <w:adjustRightInd/>
        <w:spacing w:line="360" w:lineRule="auto"/>
        <w:jc w:val="center"/>
        <w:rPr>
          <w:rFonts w:hint="eastAsia" w:cs="仿宋_GB2312" w:asciiTheme="minorEastAsia" w:hAnsiTheme="minorEastAsia" w:eastAsiaTheme="minorEastAsia"/>
          <w:b/>
          <w:color w:val="auto"/>
          <w:sz w:val="32"/>
          <w:szCs w:val="32"/>
          <w:lang w:eastAsia="zh-CN"/>
        </w:rPr>
      </w:pPr>
      <w:r>
        <w:rPr>
          <w:rFonts w:hint="eastAsia" w:cs="仿宋_GB2312" w:asciiTheme="minorEastAsia" w:hAnsiTheme="minorEastAsia" w:eastAsiaTheme="minorEastAsia"/>
          <w:b/>
          <w:color w:val="auto"/>
          <w:sz w:val="32"/>
          <w:szCs w:val="32"/>
        </w:rPr>
        <w:t>北海市政府采购中心关于</w:t>
      </w:r>
      <w:bookmarkStart w:id="12" w:name="OLE_LINK91"/>
      <w:bookmarkStart w:id="13" w:name="OLE_LINK92"/>
      <w:r>
        <w:rPr>
          <w:rFonts w:hint="eastAsia" w:cs="仿宋_GB2312" w:asciiTheme="minorEastAsia" w:hAnsiTheme="minorEastAsia" w:eastAsiaTheme="minorEastAsia"/>
          <w:b/>
          <w:color w:val="auto"/>
          <w:sz w:val="32"/>
          <w:szCs w:val="32"/>
          <w:lang w:eastAsia="zh-CN"/>
        </w:rPr>
        <w:t>北海市第十三中学采购2025年秋季学期新增班级设备</w:t>
      </w:r>
      <w:r>
        <w:rPr>
          <w:rFonts w:hint="eastAsia" w:cs="仿宋_GB2312" w:asciiTheme="minorEastAsia" w:hAnsiTheme="minorEastAsia" w:eastAsiaTheme="minorEastAsia"/>
          <w:b/>
          <w:color w:val="auto"/>
          <w:sz w:val="32"/>
          <w:szCs w:val="32"/>
        </w:rPr>
        <w:t>(</w:t>
      </w:r>
      <w:r>
        <w:rPr>
          <w:rFonts w:hint="eastAsia" w:cs="仿宋_GB2312" w:asciiTheme="minorEastAsia" w:hAnsiTheme="minorEastAsia" w:eastAsiaTheme="minorEastAsia"/>
          <w:b/>
          <w:color w:val="auto"/>
          <w:sz w:val="32"/>
          <w:szCs w:val="32"/>
          <w:lang w:eastAsia="zh-CN"/>
        </w:rPr>
        <w:t>BHZC2025-J1-990198-CGZX</w:t>
      </w:r>
      <w:r>
        <w:rPr>
          <w:rFonts w:hint="eastAsia" w:cs="仿宋_GB2312" w:asciiTheme="minorEastAsia" w:hAnsiTheme="minorEastAsia" w:eastAsiaTheme="minorEastAsia"/>
          <w:b/>
          <w:color w:val="auto"/>
          <w:sz w:val="32"/>
          <w:szCs w:val="32"/>
        </w:rPr>
        <w:t>)</w:t>
      </w:r>
      <w:bookmarkEnd w:id="12"/>
      <w:bookmarkEnd w:id="13"/>
      <w:r>
        <w:rPr>
          <w:rFonts w:hint="eastAsia" w:cs="仿宋_GB2312" w:asciiTheme="minorEastAsia" w:hAnsiTheme="minorEastAsia" w:eastAsiaTheme="minorEastAsia"/>
          <w:b/>
          <w:color w:val="auto"/>
          <w:sz w:val="32"/>
          <w:szCs w:val="32"/>
        </w:rPr>
        <w:t>竞争性谈判采购公告(远程异地评标项目)</w:t>
      </w:r>
      <w:r>
        <w:rPr>
          <w:rFonts w:hint="eastAsia" w:cs="仿宋_GB2312" w:asciiTheme="minorEastAsia" w:hAnsiTheme="minorEastAsia" w:eastAsiaTheme="minorEastAsia"/>
          <w:b/>
          <w:color w:val="auto"/>
          <w:sz w:val="32"/>
          <w:szCs w:val="32"/>
          <w:lang w:eastAsia="zh-CN"/>
        </w:rPr>
        <w:t>（二次公告）</w:t>
      </w:r>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val="0"/>
        <w:spacing w:line="360" w:lineRule="auto"/>
        <w:ind w:left="0" w:leftChars="0" w:firstLine="480" w:firstLineChars="20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val="0"/>
        <w:spacing w:line="360" w:lineRule="auto"/>
        <w:ind w:left="0" w:leftChars="0" w:firstLine="480" w:firstLineChars="200"/>
        <w:textAlignment w:val="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val="en-US" w:eastAsia="zh-CN"/>
        </w:rPr>
        <w:t xml:space="preserve"> </w:t>
      </w:r>
      <w:r>
        <w:rPr>
          <w:rFonts w:hint="eastAsia" w:asciiTheme="minorEastAsia" w:hAnsiTheme="minorEastAsia" w:eastAsiaTheme="minorEastAsia"/>
          <w:color w:val="auto"/>
          <w:sz w:val="24"/>
          <w:u w:val="single"/>
          <w:lang w:eastAsia="zh-CN"/>
        </w:rPr>
        <w:t>采购2025年秋季学期新增班级设备</w:t>
      </w:r>
      <w:r>
        <w:rPr>
          <w:rFonts w:hint="eastAsia" w:asciiTheme="minorEastAsia" w:hAnsiTheme="minorEastAsia" w:eastAsiaTheme="minorEastAsia"/>
          <w:color w:val="auto"/>
          <w:sz w:val="24"/>
          <w:u w:val="single"/>
          <w:lang w:val="en-US" w:eastAsia="zh-CN"/>
        </w:rPr>
        <w:t xml:space="preserve"> </w:t>
      </w:r>
      <w:r>
        <w:rPr>
          <w:rFonts w:hint="eastAsia" w:asciiTheme="minorEastAsia" w:hAnsiTheme="minorEastAsia" w:eastAsiaTheme="minorEastAsia"/>
          <w:color w:val="auto"/>
          <w:sz w:val="24"/>
        </w:rPr>
        <w:t>采购项目的潜在供应商应在</w:t>
      </w:r>
      <w:r>
        <w:rPr>
          <w:rFonts w:hint="eastAsia" w:ascii="宋体" w:hAnsi="宋体" w:cs="宋体"/>
          <w:color w:val="auto"/>
          <w:sz w:val="24"/>
        </w:rPr>
        <w:t>广西政府采购云平台（https://www.gcy.zfcg.gxzf.gov.cn/）</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8</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29</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pPr>
        <w:keepNext w:val="0"/>
        <w:keepLines w:val="0"/>
        <w:pageBreakBefore w:val="0"/>
        <w:kinsoku/>
        <w:overflowPunct/>
        <w:topLinePunct w:val="0"/>
        <w:autoSpaceDE/>
        <w:autoSpaceDN/>
        <w:bidi w:val="0"/>
        <w:adjustRightInd w:val="0"/>
        <w:spacing w:line="360" w:lineRule="auto"/>
        <w:ind w:left="0" w:leftChars="0"/>
        <w:textAlignment w:val="auto"/>
        <w:rPr>
          <w:rFonts w:asciiTheme="minorEastAsia" w:hAnsiTheme="minorEastAsia" w:eastAsiaTheme="minorEastAsia"/>
          <w:color w:val="auto"/>
          <w:sz w:val="24"/>
        </w:rPr>
      </w:pPr>
    </w:p>
    <w:p>
      <w:pPr>
        <w:keepNext w:val="0"/>
        <w:keepLines w:val="0"/>
        <w:pageBreakBefore w:val="0"/>
        <w:kinsoku/>
        <w:overflowPunct/>
        <w:topLinePunct w:val="0"/>
        <w:autoSpaceDE/>
        <w:autoSpaceDN/>
        <w:bidi w:val="0"/>
        <w:adjustRightInd w:val="0"/>
        <w:spacing w:line="360" w:lineRule="auto"/>
        <w:ind w:left="0" w:leftChars="0"/>
        <w:jc w:val="left"/>
        <w:textAlignment w:val="auto"/>
        <w:rPr>
          <w:rFonts w:ascii="宋体" w:hAnsi="宋体" w:cs="宋体"/>
          <w:b/>
          <w:color w:val="auto"/>
          <w:sz w:val="24"/>
        </w:rPr>
      </w:pPr>
      <w:r>
        <w:rPr>
          <w:rFonts w:hint="eastAsia" w:ascii="宋体" w:hAnsi="宋体" w:cs="宋体"/>
          <w:b/>
          <w:color w:val="auto"/>
          <w:sz w:val="24"/>
        </w:rPr>
        <w:t>一、项目基本情况</w:t>
      </w:r>
    </w:p>
    <w:p>
      <w:pPr>
        <w:keepNext w:val="0"/>
        <w:keepLines w:val="0"/>
        <w:pageBreakBefore w:val="0"/>
        <w:tabs>
          <w:tab w:val="left" w:pos="9639"/>
          <w:tab w:val="left" w:pos="9746"/>
        </w:tabs>
        <w:kinsoku/>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项目编号：</w:t>
      </w:r>
      <w:r>
        <w:rPr>
          <w:rFonts w:hint="eastAsia" w:ascii="宋体" w:hAnsi="宋体" w:cs="宋体"/>
          <w:color w:val="auto"/>
          <w:kern w:val="0"/>
          <w:sz w:val="24"/>
          <w:lang w:eastAsia="zh-CN"/>
        </w:rPr>
        <w:t>BHZC2025-J1-990198-CGZX</w:t>
      </w:r>
    </w:p>
    <w:p>
      <w:pPr>
        <w:keepNext w:val="0"/>
        <w:keepLines w:val="0"/>
        <w:pageBreakBefore w:val="0"/>
        <w:tabs>
          <w:tab w:val="left" w:pos="9639"/>
          <w:tab w:val="left" w:pos="9746"/>
        </w:tabs>
        <w:kinsoku/>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项目名称：</w:t>
      </w:r>
      <w:bookmarkStart w:id="14" w:name="OLE_LINK20"/>
      <w:bookmarkStart w:id="15" w:name="OLE_LINK18"/>
      <w:bookmarkStart w:id="16" w:name="OLE_LINK47"/>
      <w:bookmarkStart w:id="17" w:name="OLE_LINK19"/>
      <w:r>
        <w:rPr>
          <w:rFonts w:hint="eastAsia" w:ascii="宋体" w:hAnsi="宋体" w:cs="宋体"/>
          <w:color w:val="auto"/>
          <w:kern w:val="0"/>
          <w:sz w:val="24"/>
          <w:lang w:eastAsia="zh-CN"/>
        </w:rPr>
        <w:t>采购2025年秋季学期新增班级设备</w:t>
      </w:r>
    </w:p>
    <w:bookmarkEnd w:id="14"/>
    <w:bookmarkEnd w:id="15"/>
    <w:bookmarkEnd w:id="16"/>
    <w:bookmarkEnd w:id="17"/>
    <w:p>
      <w:pPr>
        <w:keepNext w:val="0"/>
        <w:keepLines w:val="0"/>
        <w:pageBreakBefore w:val="0"/>
        <w:tabs>
          <w:tab w:val="left" w:pos="9639"/>
          <w:tab w:val="left" w:pos="9746"/>
        </w:tabs>
        <w:kinsoku/>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采购方式：竞争性谈判 </w:t>
      </w:r>
    </w:p>
    <w:p>
      <w:pPr>
        <w:keepNext w:val="0"/>
        <w:keepLines w:val="0"/>
        <w:pageBreakBefore w:val="0"/>
        <w:tabs>
          <w:tab w:val="left" w:pos="9639"/>
          <w:tab w:val="left" w:pos="9746"/>
        </w:tabs>
        <w:kinsoku/>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eastAsia="zh-CN"/>
        </w:rPr>
        <w:t>1107056</w:t>
      </w:r>
    </w:p>
    <w:p>
      <w:pPr>
        <w:keepNext w:val="0"/>
        <w:keepLines w:val="0"/>
        <w:pageBreakBefore w:val="0"/>
        <w:tabs>
          <w:tab w:val="left" w:pos="9639"/>
          <w:tab w:val="left" w:pos="9746"/>
        </w:tabs>
        <w:kinsoku/>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采购需求：</w:t>
      </w:r>
    </w:p>
    <w:p>
      <w:pPr>
        <w:keepNext w:val="0"/>
        <w:keepLines w:val="0"/>
        <w:pageBreakBefore w:val="0"/>
        <w:kinsoku/>
        <w:overflowPunct/>
        <w:topLinePunct w:val="0"/>
        <w:autoSpaceDE/>
        <w:autoSpaceDN/>
        <w:bidi w:val="0"/>
        <w:adjustRightInd w:val="0"/>
        <w:spacing w:line="360" w:lineRule="auto"/>
        <w:ind w:left="0" w:leftChars="0" w:firstLine="482" w:firstLineChars="200"/>
        <w:jc w:val="left"/>
        <w:textAlignment w:val="auto"/>
        <w:rPr>
          <w:rFonts w:ascii="宋体" w:hAnsi="宋体" w:cs="宋体"/>
          <w:b/>
          <w:color w:val="auto"/>
          <w:sz w:val="24"/>
          <w:highlight w:val="none"/>
        </w:rPr>
      </w:pPr>
    </w:p>
    <w:p>
      <w:pPr>
        <w:keepNext w:val="0"/>
        <w:keepLines w:val="0"/>
        <w:pageBreakBefore w:val="0"/>
        <w:kinsoku/>
        <w:overflowPunct/>
        <w:topLinePunct w:val="0"/>
        <w:autoSpaceDE/>
        <w:autoSpaceDN/>
        <w:bidi w:val="0"/>
        <w:adjustRightInd w:val="0"/>
        <w:spacing w:line="360" w:lineRule="auto"/>
        <w:ind w:left="0" w:leftChars="0" w:firstLine="482" w:firstLineChars="200"/>
        <w:jc w:val="left"/>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标项名称</w:t>
      </w:r>
      <w:r>
        <w:rPr>
          <w:rFonts w:hint="eastAsia" w:ascii="宋体" w:hAnsi="宋体" w:cs="宋体"/>
          <w:b/>
          <w:color w:val="auto"/>
          <w:sz w:val="24"/>
          <w:highlight w:val="none"/>
          <w:lang w:eastAsia="zh-CN"/>
        </w:rPr>
        <w:t>：</w:t>
      </w:r>
      <w:bookmarkStart w:id="81" w:name="_GoBack"/>
      <w:bookmarkEnd w:id="81"/>
      <w:r>
        <w:rPr>
          <w:rFonts w:hint="eastAsia" w:ascii="宋体" w:hAnsi="宋体" w:cs="宋体"/>
          <w:color w:val="auto"/>
          <w:kern w:val="0"/>
          <w:sz w:val="24"/>
          <w:highlight w:val="none"/>
          <w:lang w:eastAsia="zh-CN"/>
        </w:rPr>
        <w:t>采购2025年秋季学期新增班级设备</w:t>
      </w:r>
    </w:p>
    <w:p>
      <w:pPr>
        <w:keepNext w:val="0"/>
        <w:keepLines w:val="0"/>
        <w:pageBreakBefore w:val="0"/>
        <w:kinsoku/>
        <w:overflowPunct/>
        <w:topLinePunct w:val="0"/>
        <w:autoSpaceDE/>
        <w:autoSpaceDN/>
        <w:bidi w:val="0"/>
        <w:adjustRightInd w:val="0"/>
        <w:spacing w:line="360" w:lineRule="auto"/>
        <w:ind w:left="479" w:leftChars="228" w:firstLine="0" w:firstLineChars="0"/>
        <w:textAlignment w:val="auto"/>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数量:1批</w:t>
      </w:r>
      <w:r>
        <w:rPr>
          <w:rFonts w:hint="eastAsia" w:ascii="宋体" w:hAnsi="宋体" w:cs="宋体"/>
          <w:color w:val="auto"/>
          <w:sz w:val="24"/>
          <w:highlight w:val="none"/>
        </w:rPr>
        <w:br w:type="textWrapping"/>
      </w:r>
      <w:r>
        <w:rPr>
          <w:rFonts w:hint="eastAsia" w:ascii="宋体" w:hAnsi="宋体" w:cs="宋体"/>
          <w:color w:val="auto"/>
          <w:sz w:val="24"/>
          <w:highlight w:val="none"/>
        </w:rPr>
        <w:t>预算金额（元）：</w:t>
      </w:r>
      <w:r>
        <w:rPr>
          <w:rFonts w:hint="eastAsia" w:ascii="宋体" w:hAnsi="宋体" w:cs="宋体"/>
          <w:color w:val="auto"/>
          <w:kern w:val="0"/>
          <w:sz w:val="24"/>
          <w:highlight w:val="none"/>
          <w:lang w:eastAsia="zh-CN"/>
        </w:rPr>
        <w:t>1107056</w:t>
      </w:r>
    </w:p>
    <w:p>
      <w:pPr>
        <w:keepNext w:val="0"/>
        <w:keepLines w:val="0"/>
        <w:pageBreakBefore w:val="0"/>
        <w:kinsoku/>
        <w:overflowPunct/>
        <w:topLinePunct w:val="0"/>
        <w:autoSpaceDE/>
        <w:autoSpaceDN/>
        <w:bidi w:val="0"/>
        <w:adjustRightInd w:val="0"/>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rPr>
        <w:t>简要规格描述或项目基本概况介绍、用途：</w:t>
      </w:r>
      <w:bookmarkStart w:id="18" w:name="OLE_LINK30"/>
      <w:r>
        <w:rPr>
          <w:rFonts w:hint="eastAsia" w:ascii="宋体" w:hAnsi="宋体" w:cs="宋体"/>
          <w:color w:val="auto"/>
          <w:sz w:val="24"/>
          <w:lang w:eastAsia="zh-CN"/>
        </w:rPr>
        <w:t>采购</w:t>
      </w:r>
      <w:r>
        <w:rPr>
          <w:rFonts w:hint="eastAsia" w:ascii="宋体" w:hAnsi="宋体" w:cs="宋体"/>
          <w:color w:val="auto"/>
          <w:sz w:val="24"/>
        </w:rPr>
        <w:t>智慧黑板</w:t>
      </w:r>
      <w:r>
        <w:rPr>
          <w:rFonts w:hint="eastAsia" w:ascii="宋体" w:hAnsi="宋体" w:cs="宋体"/>
          <w:color w:val="auto"/>
          <w:sz w:val="24"/>
          <w:lang w:eastAsia="zh-CN"/>
        </w:rPr>
        <w:t>、学生课桌椅、宿舍铁架床等一批</w:t>
      </w:r>
      <w:r>
        <w:rPr>
          <w:rFonts w:hint="eastAsia" w:ascii="宋体" w:hAnsi="宋体" w:cs="宋体"/>
          <w:color w:val="auto"/>
          <w:sz w:val="24"/>
        </w:rPr>
        <w:t>，如需进一步了解，详见谈判文件。</w:t>
      </w:r>
    </w:p>
    <w:bookmarkEnd w:id="18"/>
    <w:p>
      <w:pPr>
        <w:keepNext w:val="0"/>
        <w:keepLines w:val="0"/>
        <w:pageBreakBefore w:val="0"/>
        <w:kinsoku/>
        <w:overflowPunct/>
        <w:topLinePunct w:val="0"/>
        <w:autoSpaceDE/>
        <w:autoSpaceDN/>
        <w:bidi w:val="0"/>
        <w:adjustRightInd w:val="0"/>
        <w:spacing w:line="360" w:lineRule="auto"/>
        <w:ind w:left="0" w:leftChars="0" w:firstLine="480" w:firstLineChars="200"/>
        <w:jc w:val="left"/>
        <w:textAlignment w:val="auto"/>
        <w:rPr>
          <w:rFonts w:hint="eastAsia" w:ascii="宋体" w:hAnsi="宋体" w:eastAsia="宋体" w:cs="宋体"/>
          <w:color w:val="auto"/>
          <w:sz w:val="24"/>
          <w:lang w:val="en-US" w:eastAsia="zh-CN"/>
        </w:rPr>
      </w:pPr>
      <w:bookmarkStart w:id="19" w:name="OLE_LINK53"/>
      <w:bookmarkStart w:id="20" w:name="OLE_LINK41"/>
      <w:bookmarkStart w:id="21" w:name="OLE_LINK42"/>
      <w:r>
        <w:rPr>
          <w:rFonts w:hint="eastAsia" w:ascii="宋体" w:hAnsi="宋体" w:cs="宋体"/>
          <w:color w:val="auto"/>
          <w:sz w:val="24"/>
        </w:rPr>
        <w:t>最高限价（元）：</w:t>
      </w:r>
      <w:r>
        <w:rPr>
          <w:rFonts w:hint="eastAsia" w:ascii="宋体" w:hAnsi="宋体" w:cs="宋体"/>
          <w:color w:val="auto"/>
          <w:sz w:val="24"/>
          <w:lang w:val="en-US" w:eastAsia="zh-CN"/>
        </w:rPr>
        <w:t>/</w:t>
      </w:r>
    </w:p>
    <w:bookmarkEnd w:id="19"/>
    <w:bookmarkEnd w:id="20"/>
    <w:bookmarkEnd w:id="21"/>
    <w:p>
      <w:pPr>
        <w:keepNext w:val="0"/>
        <w:keepLines w:val="0"/>
        <w:pageBreakBefore w:val="0"/>
        <w:kinsoku/>
        <w:overflowPunct/>
        <w:topLinePunct w:val="0"/>
        <w:autoSpaceDE/>
        <w:autoSpaceDN/>
        <w:bidi w:val="0"/>
        <w:adjustRightInd w:val="0"/>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rPr>
        <w:t>合同履约期限：</w:t>
      </w:r>
      <w:bookmarkStart w:id="22" w:name="OLE_LINK61"/>
      <w:bookmarkStart w:id="23" w:name="OLE_LINK54"/>
      <w:r>
        <w:rPr>
          <w:rFonts w:hint="eastAsia" w:ascii="宋体" w:hAnsi="宋体" w:cs="宋体"/>
          <w:color w:val="auto"/>
          <w:sz w:val="24"/>
        </w:rPr>
        <w:t>签订合同后</w:t>
      </w:r>
      <w:r>
        <w:rPr>
          <w:rFonts w:hint="eastAsia" w:ascii="宋体" w:hAnsi="宋体" w:cs="宋体"/>
          <w:color w:val="auto"/>
          <w:sz w:val="24"/>
          <w:lang w:val="en-US" w:eastAsia="zh-CN"/>
        </w:rPr>
        <w:t>14</w:t>
      </w:r>
      <w:r>
        <w:rPr>
          <w:rFonts w:hint="eastAsia" w:ascii="宋体" w:hAnsi="宋体" w:cs="宋体"/>
          <w:color w:val="auto"/>
          <w:sz w:val="24"/>
        </w:rPr>
        <w:t>个日历日。</w:t>
      </w:r>
      <w:bookmarkEnd w:id="22"/>
      <w:bookmarkEnd w:id="23"/>
    </w:p>
    <w:p>
      <w:pPr>
        <w:keepNext w:val="0"/>
        <w:keepLines w:val="0"/>
        <w:pageBreakBefore w:val="0"/>
        <w:kinsoku/>
        <w:overflowPunct/>
        <w:topLinePunct w:val="0"/>
        <w:autoSpaceDE/>
        <w:autoSpaceDN/>
        <w:bidi w:val="0"/>
        <w:adjustRightInd w:val="0"/>
        <w:spacing w:line="360" w:lineRule="auto"/>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本标项（否）接受联合体投标</w:t>
      </w:r>
    </w:p>
    <w:p>
      <w:pPr>
        <w:keepNext w:val="0"/>
        <w:keepLines w:val="0"/>
        <w:pageBreakBefore w:val="0"/>
        <w:kinsoku/>
        <w:overflowPunct/>
        <w:topLinePunct w:val="0"/>
        <w:autoSpaceDE/>
        <w:autoSpaceDN/>
        <w:bidi w:val="0"/>
        <w:adjustRightInd w:val="0"/>
        <w:spacing w:line="360" w:lineRule="auto"/>
        <w:ind w:left="0" w:leftChars="0" w:firstLine="480" w:firstLineChars="200"/>
        <w:jc w:val="left"/>
        <w:textAlignment w:val="auto"/>
        <w:rPr>
          <w:rFonts w:ascii="宋体" w:hAnsi="宋体" w:cs="宋体"/>
          <w:b/>
          <w:color w:val="auto"/>
          <w:sz w:val="24"/>
        </w:rPr>
      </w:pPr>
      <w:r>
        <w:rPr>
          <w:rFonts w:hint="eastAsia" w:ascii="宋体" w:hAnsi="宋体" w:cs="宋体"/>
          <w:color w:val="auto"/>
          <w:sz w:val="24"/>
        </w:rPr>
        <w:t>备注：</w:t>
      </w:r>
    </w:p>
    <w:p>
      <w:pPr>
        <w:keepNext w:val="0"/>
        <w:keepLines w:val="0"/>
        <w:pageBreakBefore w:val="0"/>
        <w:widowControl/>
        <w:numPr>
          <w:ilvl w:val="0"/>
          <w:numId w:val="7"/>
        </w:numPr>
        <w:kinsoku/>
        <w:overflowPunct/>
        <w:topLinePunct w:val="0"/>
        <w:autoSpaceDE/>
        <w:autoSpaceDN/>
        <w:bidi w:val="0"/>
        <w:adjustRightInd w:val="0"/>
        <w:spacing w:line="360" w:lineRule="auto"/>
        <w:ind w:left="0" w:leftChars="0"/>
        <w:textAlignment w:val="auto"/>
        <w:rPr>
          <w:rFonts w:ascii="宋体" w:hAnsi="宋体" w:cs="宋体"/>
          <w:color w:val="auto"/>
          <w:kern w:val="0"/>
          <w:sz w:val="24"/>
          <w:lang w:bidi="ar"/>
        </w:rPr>
      </w:pPr>
      <w:r>
        <w:rPr>
          <w:rFonts w:hint="eastAsia" w:ascii="宋体" w:hAnsi="宋体" w:cs="宋体"/>
          <w:b/>
          <w:bCs/>
          <w:color w:val="auto"/>
          <w:kern w:val="0"/>
          <w:sz w:val="24"/>
          <w:lang w:bidi="ar"/>
        </w:rPr>
        <w:t>申请人的资格要求：</w:t>
      </w:r>
    </w:p>
    <w:p>
      <w:pPr>
        <w:keepNext w:val="0"/>
        <w:keepLines w:val="0"/>
        <w:pageBreakBefore w:val="0"/>
        <w:kinsoku/>
        <w:overflowPunct/>
        <w:topLinePunct w:val="0"/>
        <w:autoSpaceDE/>
        <w:autoSpaceDN/>
        <w:bidi w:val="0"/>
        <w:adjustRightInd w:val="0"/>
        <w:spacing w:line="360" w:lineRule="auto"/>
        <w:ind w:left="0" w:leftChars="0" w:firstLine="480" w:firstLineChars="200"/>
        <w:jc w:val="left"/>
        <w:textAlignment w:val="auto"/>
        <w:rPr>
          <w:rFonts w:hint="eastAsia" w:ascii="宋体" w:hAnsi="宋体" w:cs="宋体"/>
          <w:color w:val="auto"/>
          <w:sz w:val="24"/>
        </w:rPr>
      </w:pPr>
      <w:r>
        <w:rPr>
          <w:rFonts w:hint="eastAsia" w:ascii="宋体" w:hAnsi="宋体" w:cs="宋体"/>
          <w:color w:val="auto"/>
          <w:sz w:val="24"/>
        </w:rPr>
        <w:t>1.满足《中华人民共和国政府采购法》第二十二条规定；</w:t>
      </w:r>
    </w:p>
    <w:p>
      <w:pPr>
        <w:keepNext w:val="0"/>
        <w:keepLines w:val="0"/>
        <w:pageBreakBefore w:val="0"/>
        <w:kinsoku/>
        <w:overflowPunct/>
        <w:topLinePunct w:val="0"/>
        <w:autoSpaceDE/>
        <w:autoSpaceDN/>
        <w:bidi w:val="0"/>
        <w:adjustRightInd w:val="0"/>
        <w:spacing w:line="360" w:lineRule="auto"/>
        <w:ind w:left="0" w:leftChars="0" w:firstLine="480" w:firstLineChars="200"/>
        <w:jc w:val="left"/>
        <w:textAlignment w:val="auto"/>
        <w:rPr>
          <w:rFonts w:hint="eastAsia" w:ascii="宋体" w:hAnsi="宋体" w:cs="宋体"/>
          <w:color w:val="auto"/>
          <w:sz w:val="24"/>
        </w:rPr>
      </w:pPr>
      <w:r>
        <w:rPr>
          <w:rFonts w:hint="eastAsia" w:ascii="宋体" w:hAnsi="宋体" w:cs="宋体"/>
          <w:color w:val="auto"/>
          <w:sz w:val="24"/>
        </w:rPr>
        <w:t>2.落实政府采购政策需满足的资格要求：分标1：</w:t>
      </w:r>
      <w:bookmarkStart w:id="24" w:name="OLE_LINK79"/>
      <w:bookmarkStart w:id="25" w:name="OLE_LINK80"/>
      <w:r>
        <w:rPr>
          <w:rFonts w:hint="eastAsia" w:ascii="宋体" w:hAnsi="宋体" w:cs="宋体"/>
          <w:color w:val="auto"/>
          <w:sz w:val="24"/>
        </w:rPr>
        <w:t>无；</w:t>
      </w:r>
      <w:bookmarkEnd w:id="24"/>
      <w:bookmarkEnd w:id="25"/>
    </w:p>
    <w:p>
      <w:pPr>
        <w:keepNext w:val="0"/>
        <w:keepLines w:val="0"/>
        <w:pageBreakBefore w:val="0"/>
        <w:kinsoku/>
        <w:overflowPunct/>
        <w:topLinePunct w:val="0"/>
        <w:autoSpaceDE/>
        <w:autoSpaceDN/>
        <w:bidi w:val="0"/>
        <w:adjustRightInd w:val="0"/>
        <w:spacing w:line="360" w:lineRule="auto"/>
        <w:ind w:left="0" w:leftChars="0" w:firstLine="480" w:firstLineChars="200"/>
        <w:jc w:val="left"/>
        <w:textAlignment w:val="auto"/>
        <w:rPr>
          <w:rFonts w:hint="eastAsia" w:ascii="宋体" w:hAnsi="宋体" w:cs="宋体"/>
          <w:color w:val="auto"/>
          <w:sz w:val="24"/>
        </w:rPr>
      </w:pPr>
      <w:r>
        <w:rPr>
          <w:rFonts w:hint="eastAsia" w:ascii="宋体" w:hAnsi="宋体" w:cs="宋体"/>
          <w:color w:val="auto"/>
          <w:sz w:val="24"/>
        </w:rPr>
        <w:t>3.本项目的特定资格要求：</w:t>
      </w:r>
      <w:r>
        <w:rPr>
          <w:rFonts w:hint="eastAsia" w:ascii="宋体" w:hAnsi="宋体" w:cs="宋体"/>
          <w:color w:val="auto"/>
          <w:sz w:val="24"/>
          <w:lang w:eastAsia="zh-CN"/>
        </w:rPr>
        <w:t>无</w:t>
      </w:r>
      <w:r>
        <w:rPr>
          <w:rFonts w:hint="eastAsia" w:ascii="宋体" w:hAnsi="宋体" w:cs="宋体"/>
          <w:color w:val="auto"/>
          <w:sz w:val="24"/>
        </w:rPr>
        <w:t>。</w:t>
      </w:r>
    </w:p>
    <w:p>
      <w:pPr>
        <w:keepNext w:val="0"/>
        <w:keepLines w:val="0"/>
        <w:pageBreakBefore w:val="0"/>
        <w:widowControl/>
        <w:kinsoku/>
        <w:overflowPunct/>
        <w:topLinePunct w:val="0"/>
        <w:autoSpaceDE/>
        <w:autoSpaceDN/>
        <w:bidi w:val="0"/>
        <w:adjustRightInd w:val="0"/>
        <w:spacing w:line="360" w:lineRule="auto"/>
        <w:ind w:left="0" w:leftChars="0"/>
        <w:jc w:val="left"/>
        <w:textAlignment w:val="auto"/>
        <w:rPr>
          <w:rFonts w:ascii="宋体" w:hAnsi="宋体" w:cs="宋体"/>
          <w:color w:val="auto"/>
          <w:kern w:val="0"/>
          <w:sz w:val="24"/>
          <w:lang w:bidi="ar"/>
        </w:rPr>
      </w:pPr>
      <w:r>
        <w:rPr>
          <w:rFonts w:hint="eastAsia" w:ascii="宋体" w:hAnsi="宋体" w:cs="宋体"/>
          <w:b/>
          <w:bCs/>
          <w:color w:val="auto"/>
          <w:kern w:val="0"/>
          <w:sz w:val="24"/>
          <w:lang w:bidi="ar"/>
        </w:rPr>
        <w:t>三、获取采购文件</w:t>
      </w:r>
    </w:p>
    <w:p>
      <w:pPr>
        <w:keepNext w:val="0"/>
        <w:keepLines w:val="0"/>
        <w:pageBreakBefore w:val="0"/>
        <w:kinsoku/>
        <w:overflowPunct/>
        <w:topLinePunct w:val="0"/>
        <w:autoSpaceDE/>
        <w:autoSpaceDN/>
        <w:bidi w:val="0"/>
        <w:adjustRightInd w:val="0"/>
        <w:spacing w:line="360" w:lineRule="auto"/>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时间：2025年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日至2025年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28</w:t>
      </w:r>
      <w:r>
        <w:rPr>
          <w:rFonts w:hint="eastAsia" w:ascii="宋体" w:hAnsi="宋体" w:cs="宋体"/>
          <w:color w:val="auto"/>
          <w:sz w:val="24"/>
        </w:rPr>
        <w:t>日，每天上午00:00至12:00，下午12:00至23:59（北京时间，法定节假日除外）</w:t>
      </w:r>
    </w:p>
    <w:p>
      <w:pPr>
        <w:keepNext w:val="0"/>
        <w:keepLines w:val="0"/>
        <w:pageBreakBefore w:val="0"/>
        <w:kinsoku/>
        <w:overflowPunct/>
        <w:topLinePunct w:val="0"/>
        <w:autoSpaceDE/>
        <w:autoSpaceDN/>
        <w:bidi w:val="0"/>
        <w:adjustRightInd w:val="0"/>
        <w:spacing w:line="360" w:lineRule="auto"/>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地点（网址）：</w:t>
      </w:r>
      <w:bookmarkStart w:id="26" w:name="OLE_LINK82"/>
      <w:bookmarkStart w:id="27" w:name="OLE_LINK81"/>
      <w:r>
        <w:rPr>
          <w:rFonts w:hint="eastAsia" w:ascii="宋体" w:hAnsi="宋体" w:cs="宋体"/>
          <w:color w:val="auto"/>
          <w:sz w:val="24"/>
        </w:rPr>
        <w:t>广西政府采购云平台（网址：http://www.gcy.zfcg.gxzf.gov.cn）</w:t>
      </w:r>
      <w:bookmarkEnd w:id="26"/>
      <w:bookmarkEnd w:id="27"/>
    </w:p>
    <w:p>
      <w:pPr>
        <w:keepNext w:val="0"/>
        <w:keepLines w:val="0"/>
        <w:pageBreakBefore w:val="0"/>
        <w:kinsoku/>
        <w:overflowPunct/>
        <w:topLinePunct w:val="0"/>
        <w:autoSpaceDE/>
        <w:autoSpaceDN/>
        <w:bidi w:val="0"/>
        <w:adjustRightInd w:val="0"/>
        <w:spacing w:line="360" w:lineRule="auto"/>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方式：</w:t>
      </w:r>
      <w:bookmarkStart w:id="28" w:name="OLE_LINK83"/>
      <w:bookmarkStart w:id="29" w:name="OLE_LINK84"/>
      <w:r>
        <w:rPr>
          <w:rFonts w:hint="eastAsia" w:ascii="宋体" w:hAnsi="宋体" w:cs="宋体"/>
          <w:color w:val="auto"/>
          <w:sz w:val="24"/>
        </w:rPr>
        <w:t>供应商登录广西政府采购云平台（网址：http://www.gcy.zfcg.gxzf.gov.cn）进行报名并获取采购文件；未注册的供应商可在广西政府采购云平台完成注册后再进行报名。如在操作过程中遇到问题或需技术支持，请致电广西政府采购云平台客服热线：95763。提示：供应商只有在“广西政府采购云平台”完成获取竞争性谈判文件申请并下载了竞争性谈判文件后才视作依法获取竞争性谈判文件（法律法规所指的供应商获取竞争性谈判文件时间以供应商完成获取竞争性谈判文件申请后下载竞争性谈判文件的时间为准）。</w:t>
      </w:r>
      <w:bookmarkEnd w:id="28"/>
      <w:bookmarkEnd w:id="29"/>
      <w:r>
        <w:rPr>
          <w:rFonts w:hint="eastAsia" w:ascii="宋体" w:hAnsi="宋体" w:cs="宋体"/>
          <w:color w:val="auto"/>
          <w:sz w:val="24"/>
        </w:rPr>
        <w:t> </w:t>
      </w:r>
    </w:p>
    <w:p>
      <w:pPr>
        <w:keepNext w:val="0"/>
        <w:keepLines w:val="0"/>
        <w:pageBreakBefore w:val="0"/>
        <w:kinsoku/>
        <w:overflowPunct/>
        <w:topLinePunct w:val="0"/>
        <w:autoSpaceDE/>
        <w:autoSpaceDN/>
        <w:bidi w:val="0"/>
        <w:adjustRightInd w:val="0"/>
        <w:spacing w:line="360" w:lineRule="auto"/>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售价（元）：0</w:t>
      </w:r>
    </w:p>
    <w:p>
      <w:pPr>
        <w:keepNext w:val="0"/>
        <w:keepLines w:val="0"/>
        <w:pageBreakBefore w:val="0"/>
        <w:widowControl/>
        <w:kinsoku/>
        <w:overflowPunct/>
        <w:topLinePunct w:val="0"/>
        <w:autoSpaceDE/>
        <w:autoSpaceDN/>
        <w:bidi w:val="0"/>
        <w:adjustRightInd w:val="0"/>
        <w:spacing w:line="360" w:lineRule="auto"/>
        <w:ind w:left="0" w:leftChars="0"/>
        <w:jc w:val="left"/>
        <w:textAlignment w:val="auto"/>
        <w:rPr>
          <w:rFonts w:ascii="宋体" w:hAnsi="宋体" w:cs="宋体"/>
          <w:color w:val="auto"/>
          <w:kern w:val="0"/>
          <w:sz w:val="24"/>
          <w:lang w:bidi="ar"/>
        </w:rPr>
      </w:pPr>
      <w:r>
        <w:rPr>
          <w:rFonts w:hint="eastAsia" w:ascii="宋体" w:hAnsi="宋体" w:cs="宋体"/>
          <w:b/>
          <w:bCs/>
          <w:color w:val="auto"/>
          <w:kern w:val="0"/>
          <w:sz w:val="24"/>
          <w:lang w:bidi="ar"/>
        </w:rPr>
        <w:t>四、响应文件提交</w:t>
      </w:r>
      <w:r>
        <w:rPr>
          <w:rFonts w:hint="eastAsia" w:ascii="宋体" w:hAnsi="宋体" w:cs="宋体"/>
          <w:color w:val="auto"/>
          <w:kern w:val="0"/>
          <w:sz w:val="24"/>
          <w:lang w:bidi="ar"/>
        </w:rPr>
        <w:t> </w:t>
      </w:r>
    </w:p>
    <w:p>
      <w:pPr>
        <w:keepNext w:val="0"/>
        <w:keepLines w:val="0"/>
        <w:pageBreakBefore w:val="0"/>
        <w:kinsoku/>
        <w:overflowPunct/>
        <w:topLinePunct w:val="0"/>
        <w:autoSpaceDE/>
        <w:autoSpaceDN/>
        <w:bidi w:val="0"/>
        <w:adjustRightInd w:val="0"/>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rPr>
        <w:t>截止时间：2025年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29</w:t>
      </w:r>
      <w:r>
        <w:rPr>
          <w:rFonts w:hint="eastAsia" w:ascii="宋体" w:hAnsi="宋体" w:cs="宋体"/>
          <w:color w:val="auto"/>
          <w:sz w:val="24"/>
        </w:rPr>
        <w:t>日09:00（北京时间）</w:t>
      </w:r>
    </w:p>
    <w:p>
      <w:pPr>
        <w:keepNext w:val="0"/>
        <w:keepLines w:val="0"/>
        <w:pageBreakBefore w:val="0"/>
        <w:kinsoku/>
        <w:overflowPunct/>
        <w:topLinePunct w:val="0"/>
        <w:autoSpaceDE/>
        <w:autoSpaceDN/>
        <w:bidi w:val="0"/>
        <w:adjustRightInd w:val="0"/>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rPr>
        <w:t>地点：</w:t>
      </w:r>
      <w:bookmarkStart w:id="30" w:name="OLE_LINK67"/>
      <w:bookmarkStart w:id="31" w:name="OLE_LINK85"/>
      <w:bookmarkStart w:id="32" w:name="OLE_LINK68"/>
      <w:r>
        <w:rPr>
          <w:rFonts w:hint="eastAsia" w:ascii="宋体" w:hAnsi="宋体" w:cs="宋体"/>
          <w:color w:val="auto"/>
          <w:sz w:val="24"/>
        </w:rPr>
        <w:t>通过广西政府采购云平台实行在线谈判响应。</w:t>
      </w:r>
      <w:bookmarkEnd w:id="30"/>
      <w:bookmarkEnd w:id="31"/>
      <w:bookmarkEnd w:id="32"/>
    </w:p>
    <w:p>
      <w:pPr>
        <w:keepNext w:val="0"/>
        <w:keepLines w:val="0"/>
        <w:pageBreakBefore w:val="0"/>
        <w:kinsoku/>
        <w:overflowPunct/>
        <w:topLinePunct w:val="0"/>
        <w:autoSpaceDE/>
        <w:autoSpaceDN/>
        <w:bidi w:val="0"/>
        <w:adjustRightInd w:val="0"/>
        <w:spacing w:line="360" w:lineRule="auto"/>
        <w:ind w:left="0" w:leftChars="0"/>
        <w:textAlignment w:val="auto"/>
        <w:rPr>
          <w:rFonts w:ascii="宋体" w:hAnsi="宋体" w:cs="宋体"/>
          <w:color w:val="auto"/>
          <w:kern w:val="0"/>
          <w:sz w:val="24"/>
          <w:lang w:bidi="ar"/>
        </w:rPr>
      </w:pPr>
      <w:r>
        <w:rPr>
          <w:rFonts w:hint="eastAsia" w:ascii="宋体" w:hAnsi="宋体" w:cs="宋体"/>
          <w:b/>
          <w:bCs/>
          <w:color w:val="auto"/>
          <w:kern w:val="0"/>
          <w:sz w:val="24"/>
          <w:lang w:bidi="ar"/>
        </w:rPr>
        <w:t>五、响应文件开启</w:t>
      </w:r>
      <w:r>
        <w:rPr>
          <w:rFonts w:hint="eastAsia" w:ascii="宋体" w:hAnsi="宋体" w:cs="宋体"/>
          <w:color w:val="auto"/>
          <w:kern w:val="0"/>
          <w:sz w:val="24"/>
          <w:lang w:bidi="ar"/>
        </w:rPr>
        <w:t> </w:t>
      </w:r>
    </w:p>
    <w:p>
      <w:pPr>
        <w:keepNext w:val="0"/>
        <w:keepLines w:val="0"/>
        <w:pageBreakBefore w:val="0"/>
        <w:widowControl/>
        <w:kinsoku/>
        <w:overflowPunct/>
        <w:topLinePunct w:val="0"/>
        <w:autoSpaceDE/>
        <w:autoSpaceDN/>
        <w:bidi w:val="0"/>
        <w:adjustRightInd w:val="0"/>
        <w:spacing w:line="360" w:lineRule="auto"/>
        <w:ind w:left="0" w:leftChars="0" w:firstLine="480" w:firstLineChars="200"/>
        <w:jc w:val="left"/>
        <w:textAlignment w:val="auto"/>
        <w:rPr>
          <w:rFonts w:ascii="宋体" w:hAnsi="宋体" w:cs="宋体"/>
          <w:color w:val="auto"/>
          <w:kern w:val="0"/>
          <w:sz w:val="24"/>
          <w:lang w:bidi="ar"/>
        </w:rPr>
      </w:pPr>
      <w:r>
        <w:rPr>
          <w:rFonts w:hint="eastAsia" w:ascii="宋体" w:hAnsi="宋体" w:cs="宋体"/>
          <w:color w:val="auto"/>
          <w:kern w:val="0"/>
          <w:sz w:val="24"/>
          <w:lang w:bidi="ar"/>
        </w:rPr>
        <w:t>开启时间：</w:t>
      </w:r>
      <w:r>
        <w:rPr>
          <w:rFonts w:hint="eastAsia" w:ascii="宋体" w:hAnsi="宋体" w:cs="宋体"/>
          <w:color w:val="auto"/>
          <w:sz w:val="24"/>
        </w:rPr>
        <w:t>2025年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29</w:t>
      </w:r>
      <w:r>
        <w:rPr>
          <w:rFonts w:hint="eastAsia" w:ascii="宋体" w:hAnsi="宋体" w:cs="宋体"/>
          <w:color w:val="auto"/>
          <w:sz w:val="24"/>
        </w:rPr>
        <w:t>日09:00（北京时间）</w:t>
      </w:r>
      <w:r>
        <w:rPr>
          <w:rFonts w:hint="eastAsia" w:ascii="宋体" w:hAnsi="宋体" w:cs="宋体"/>
          <w:color w:val="auto"/>
          <w:kern w:val="0"/>
          <w:sz w:val="24"/>
          <w:lang w:bidi="ar"/>
        </w:rPr>
        <w:t>。</w:t>
      </w:r>
    </w:p>
    <w:p>
      <w:pPr>
        <w:keepNext w:val="0"/>
        <w:keepLines w:val="0"/>
        <w:pageBreakBefore w:val="0"/>
        <w:widowControl/>
        <w:kinsoku/>
        <w:overflowPunct/>
        <w:topLinePunct w:val="0"/>
        <w:autoSpaceDE/>
        <w:autoSpaceDN/>
        <w:bidi w:val="0"/>
        <w:adjustRightInd w:val="0"/>
        <w:spacing w:line="360" w:lineRule="auto"/>
        <w:ind w:left="0" w:leftChars="0" w:firstLine="480" w:firstLineChars="200"/>
        <w:jc w:val="left"/>
        <w:textAlignment w:val="auto"/>
        <w:rPr>
          <w:rFonts w:ascii="宋体" w:hAnsi="宋体" w:cs="宋体"/>
          <w:color w:val="auto"/>
          <w:kern w:val="0"/>
          <w:sz w:val="24"/>
          <w:lang w:bidi="ar"/>
        </w:rPr>
      </w:pPr>
      <w:r>
        <w:rPr>
          <w:rFonts w:hint="eastAsia" w:ascii="宋体" w:hAnsi="宋体" w:cs="宋体"/>
          <w:color w:val="auto"/>
          <w:kern w:val="0"/>
          <w:sz w:val="24"/>
          <w:lang w:bidi="ar"/>
        </w:rPr>
        <w:t>地点：</w:t>
      </w:r>
      <w:bookmarkStart w:id="33" w:name="OLE_LINK65"/>
      <w:bookmarkStart w:id="34" w:name="OLE_LINK66"/>
      <w:r>
        <w:rPr>
          <w:rFonts w:hint="eastAsia" w:ascii="宋体" w:hAnsi="宋体" w:cs="宋体"/>
          <w:color w:val="auto"/>
          <w:kern w:val="0"/>
          <w:sz w:val="24"/>
          <w:lang w:bidi="ar"/>
        </w:rPr>
        <w:t>通过</w:t>
      </w:r>
      <w:r>
        <w:rPr>
          <w:rFonts w:hint="eastAsia" w:ascii="宋体" w:hAnsi="宋体" w:cs="宋体"/>
          <w:color w:val="auto"/>
          <w:sz w:val="24"/>
        </w:rPr>
        <w:t>广西政府采购云平台</w:t>
      </w:r>
      <w:r>
        <w:rPr>
          <w:rFonts w:hint="eastAsia" w:ascii="宋体" w:hAnsi="宋体" w:cs="宋体"/>
          <w:color w:val="auto"/>
          <w:kern w:val="0"/>
          <w:sz w:val="24"/>
          <w:lang w:bidi="ar"/>
        </w:rPr>
        <w:t>实行在线解密开启。</w:t>
      </w:r>
      <w:bookmarkEnd w:id="33"/>
      <w:bookmarkEnd w:id="34"/>
    </w:p>
    <w:p>
      <w:pPr>
        <w:keepNext w:val="0"/>
        <w:keepLines w:val="0"/>
        <w:pageBreakBefore w:val="0"/>
        <w:widowControl/>
        <w:kinsoku/>
        <w:overflowPunct/>
        <w:topLinePunct w:val="0"/>
        <w:autoSpaceDE/>
        <w:autoSpaceDN/>
        <w:bidi w:val="0"/>
        <w:adjustRightInd w:val="0"/>
        <w:spacing w:line="360" w:lineRule="auto"/>
        <w:ind w:left="0" w:leftChars="0"/>
        <w:jc w:val="left"/>
        <w:textAlignment w:val="auto"/>
        <w:rPr>
          <w:rFonts w:ascii="宋体" w:hAnsi="宋体" w:cs="宋体"/>
          <w:color w:val="auto"/>
          <w:kern w:val="0"/>
          <w:sz w:val="24"/>
          <w:lang w:bidi="ar"/>
        </w:rPr>
      </w:pPr>
      <w:r>
        <w:rPr>
          <w:rFonts w:hint="eastAsia" w:ascii="宋体" w:hAnsi="宋体" w:cs="宋体"/>
          <w:b/>
          <w:bCs/>
          <w:color w:val="auto"/>
          <w:kern w:val="0"/>
          <w:sz w:val="24"/>
          <w:lang w:bidi="ar"/>
        </w:rPr>
        <w:t>六、公告期限</w:t>
      </w:r>
    </w:p>
    <w:p>
      <w:pPr>
        <w:keepNext w:val="0"/>
        <w:keepLines w:val="0"/>
        <w:pageBreakBefore w:val="0"/>
        <w:kinsoku/>
        <w:overflowPunct/>
        <w:topLinePunct w:val="0"/>
        <w:autoSpaceDE/>
        <w:autoSpaceDN/>
        <w:bidi w:val="0"/>
        <w:adjustRightInd w:val="0"/>
        <w:spacing w:line="360" w:lineRule="auto"/>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自本公告发布之日起3个工作日。</w:t>
      </w:r>
    </w:p>
    <w:p>
      <w:pPr>
        <w:pStyle w:val="631"/>
        <w:keepNext w:val="0"/>
        <w:keepLines w:val="0"/>
        <w:pageBreakBefore w:val="0"/>
        <w:kinsoku/>
        <w:overflowPunct/>
        <w:topLinePunct w:val="0"/>
        <w:autoSpaceDE/>
        <w:autoSpaceDN/>
        <w:bidi w:val="0"/>
        <w:adjustRightInd w:val="0"/>
        <w:ind w:left="0" w:leftChars="0" w:firstLine="0"/>
        <w:textAlignment w:val="auto"/>
        <w:rPr>
          <w:b/>
          <w:color w:val="auto"/>
        </w:rPr>
      </w:pPr>
      <w:bookmarkStart w:id="35" w:name="_Toc35393635"/>
      <w:bookmarkStart w:id="36" w:name="_Toc35393804"/>
      <w:r>
        <w:rPr>
          <w:rFonts w:hint="eastAsia"/>
          <w:b/>
          <w:color w:val="auto"/>
        </w:rPr>
        <w:t>七、其他补充事宜</w:t>
      </w:r>
      <w:bookmarkEnd w:id="35"/>
      <w:bookmarkEnd w:id="36"/>
    </w:p>
    <w:p>
      <w:pPr>
        <w:keepNext w:val="0"/>
        <w:keepLines w:val="0"/>
        <w:pageBreakBefore w:val="0"/>
        <w:kinsoku/>
        <w:overflowPunct/>
        <w:topLinePunct w:val="0"/>
        <w:autoSpaceDE/>
        <w:autoSpaceDN/>
        <w:bidi w:val="0"/>
        <w:adjustRightInd w:val="0"/>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rPr>
        <w:t>1.本项目不收取谈判保证金。</w:t>
      </w:r>
    </w:p>
    <w:p>
      <w:pPr>
        <w:keepNext w:val="0"/>
        <w:keepLines w:val="0"/>
        <w:pageBreakBefore w:val="0"/>
        <w:kinsoku/>
        <w:overflowPunct/>
        <w:topLinePunct w:val="0"/>
        <w:autoSpaceDE/>
        <w:autoSpaceDN/>
        <w:bidi w:val="0"/>
        <w:adjustRightInd w:val="0"/>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于未预留份额专门面向中小企业采购的政府采购项目，以及预留份额政府采购项目中的非预留部分标项，对小型和微型企业的响应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pPr>
        <w:keepNext w:val="0"/>
        <w:keepLines w:val="0"/>
        <w:pageBreakBefore w:val="0"/>
        <w:kinsoku/>
        <w:overflowPunct/>
        <w:topLinePunct w:val="0"/>
        <w:autoSpaceDE/>
        <w:autoSpaceDN/>
        <w:bidi w:val="0"/>
        <w:adjustRightInd w:val="0"/>
        <w:spacing w:line="360" w:lineRule="auto"/>
        <w:ind w:left="0" w:leftChars="0" w:firstLine="480" w:firstLineChars="200"/>
        <w:textAlignment w:val="auto"/>
        <w:rPr>
          <w:color w:val="auto"/>
        </w:rPr>
      </w:pPr>
      <w:r>
        <w:rPr>
          <w:rFonts w:hint="eastAsia" w:ascii="宋体" w:hAnsi="宋体" w:cs="宋体"/>
          <w:snapToGrid w:val="0"/>
          <w:color w:val="auto"/>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pPr>
        <w:keepNext w:val="0"/>
        <w:keepLines w:val="0"/>
        <w:pageBreakBefore w:val="0"/>
        <w:kinsoku/>
        <w:overflowPunct/>
        <w:topLinePunct w:val="0"/>
        <w:autoSpaceDE/>
        <w:autoSpaceDN/>
        <w:bidi w:val="0"/>
        <w:adjustRightInd w:val="0"/>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rPr>
        <w:t>4.网上公告媒体查询：</w:t>
      </w:r>
      <w:r>
        <w:rPr>
          <w:rFonts w:hint="eastAsia" w:ascii="宋体" w:hAnsi="宋体" w:eastAsia="宋体" w:cs="宋体"/>
          <w:color w:val="auto"/>
          <w:sz w:val="24"/>
          <w:szCs w:val="24"/>
          <w:highlight w:val="none"/>
        </w:rPr>
        <w:t>中国政府采购网、广西政府采购网、北海市人民政府网-北海市政府采购中心网站、全国公共资源交易平台（广西•北海）</w:t>
      </w:r>
      <w:r>
        <w:rPr>
          <w:rFonts w:hint="eastAsia" w:ascii="宋体" w:hAnsi="宋体" w:cs="宋体"/>
          <w:color w:val="auto"/>
          <w:sz w:val="24"/>
        </w:rPr>
        <w:t>。</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rPr>
        <w:t>5.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pPr>
        <w:keepNext w:val="0"/>
        <w:keepLines w:val="0"/>
        <w:pageBreakBefore w:val="0"/>
        <w:kinsoku/>
        <w:overflowPunct/>
        <w:topLinePunct w:val="0"/>
        <w:autoSpaceDE/>
        <w:autoSpaceDN/>
        <w:bidi w:val="0"/>
        <w:adjustRightInd w:val="0"/>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pPr>
        <w:keepNext w:val="0"/>
        <w:keepLines w:val="0"/>
        <w:pageBreakBefore w:val="0"/>
        <w:kinsoku/>
        <w:overflowPunct/>
        <w:topLinePunct w:val="0"/>
        <w:autoSpaceDE/>
        <w:autoSpaceDN/>
        <w:bidi w:val="0"/>
        <w:adjustRightInd w:val="0"/>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rPr>
        <w:t>7.</w:t>
      </w:r>
      <w:r>
        <w:rPr>
          <w:rFonts w:hint="eastAsia" w:ascii="宋体" w:hAnsi="宋体" w:cs="宋体"/>
          <w:color w:val="auto"/>
          <w:sz w:val="24"/>
          <w:highlight w:val="none"/>
        </w:rPr>
        <w:t>本项目采用远程异地评标</w:t>
      </w:r>
    </w:p>
    <w:p>
      <w:pPr>
        <w:pStyle w:val="631"/>
        <w:keepNext w:val="0"/>
        <w:keepLines w:val="0"/>
        <w:pageBreakBefore w:val="0"/>
        <w:kinsoku/>
        <w:overflowPunct/>
        <w:topLinePunct w:val="0"/>
        <w:autoSpaceDE/>
        <w:autoSpaceDN/>
        <w:bidi w:val="0"/>
        <w:adjustRightInd w:val="0"/>
        <w:ind w:left="0" w:leftChars="0" w:firstLine="0"/>
        <w:textAlignment w:val="auto"/>
        <w:rPr>
          <w:b/>
          <w:color w:val="auto"/>
        </w:rPr>
      </w:pPr>
      <w:bookmarkStart w:id="37" w:name="_Toc28359018"/>
      <w:bookmarkStart w:id="38" w:name="_Toc35393636"/>
      <w:bookmarkStart w:id="39" w:name="_Toc28359095"/>
      <w:bookmarkStart w:id="40" w:name="_Toc35393805"/>
      <w:r>
        <w:rPr>
          <w:rFonts w:hint="eastAsia"/>
          <w:b/>
          <w:color w:val="auto"/>
        </w:rPr>
        <w:t>八、凡对本次采购提出询问，请按以下方式联系</w:t>
      </w:r>
      <w:bookmarkEnd w:id="37"/>
      <w:bookmarkEnd w:id="38"/>
      <w:bookmarkEnd w:id="39"/>
      <w:bookmarkEnd w:id="40"/>
    </w:p>
    <w:p>
      <w:pPr>
        <w:pStyle w:val="631"/>
        <w:keepNext w:val="0"/>
        <w:keepLines w:val="0"/>
        <w:pageBreakBefore w:val="0"/>
        <w:kinsoku/>
        <w:overflowPunct/>
        <w:topLinePunct w:val="0"/>
        <w:autoSpaceDE/>
        <w:autoSpaceDN/>
        <w:bidi w:val="0"/>
        <w:adjustRightInd w:val="0"/>
        <w:ind w:left="0" w:leftChars="0" w:firstLine="0"/>
        <w:textAlignment w:val="auto"/>
        <w:rPr>
          <w:b/>
          <w:color w:val="auto"/>
        </w:rPr>
      </w:pPr>
      <w:bookmarkStart w:id="41" w:name="_Toc28359096"/>
      <w:bookmarkStart w:id="42" w:name="_Toc28359019"/>
      <w:bookmarkStart w:id="43" w:name="_Toc35393637"/>
      <w:bookmarkStart w:id="44" w:name="_Toc35393806"/>
      <w:r>
        <w:rPr>
          <w:rFonts w:hint="eastAsia"/>
          <w:b/>
          <w:color w:val="auto"/>
        </w:rPr>
        <w:t>1.采购人信息</w:t>
      </w:r>
      <w:bookmarkEnd w:id="41"/>
      <w:bookmarkEnd w:id="42"/>
      <w:bookmarkEnd w:id="43"/>
      <w:bookmarkEnd w:id="44"/>
    </w:p>
    <w:p>
      <w:pPr>
        <w:keepNext w:val="0"/>
        <w:keepLines w:val="0"/>
        <w:pageBreakBefore w:val="0"/>
        <w:kinsoku/>
        <w:overflowPunct/>
        <w:topLinePunct w:val="0"/>
        <w:autoSpaceDE/>
        <w:autoSpaceDN/>
        <w:bidi w:val="0"/>
        <w:adjustRightInd w:val="0"/>
        <w:spacing w:line="360" w:lineRule="auto"/>
        <w:ind w:left="0" w:leftChars="0" w:firstLine="480" w:firstLineChars="20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称：北海市第十三中学</w:t>
      </w:r>
    </w:p>
    <w:p>
      <w:pPr>
        <w:keepNext w:val="0"/>
        <w:keepLines w:val="0"/>
        <w:pageBreakBefore w:val="0"/>
        <w:kinsoku/>
        <w:overflowPunct/>
        <w:topLinePunct w:val="0"/>
        <w:autoSpaceDE/>
        <w:autoSpaceDN/>
        <w:bidi w:val="0"/>
        <w:adjustRightInd w:val="0"/>
        <w:spacing w:line="360" w:lineRule="auto"/>
        <w:ind w:left="0" w:leftChars="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址：北海市海城区南珠大道以东，北海大道以南</w:t>
      </w:r>
      <w:r>
        <w:rPr>
          <w:rFonts w:asciiTheme="minorEastAsia" w:hAnsiTheme="minorEastAsia" w:eastAsiaTheme="minorEastAsia"/>
          <w:color w:val="auto"/>
          <w:sz w:val="24"/>
        </w:rPr>
        <w:t xml:space="preserve"> </w:t>
      </w:r>
    </w:p>
    <w:p>
      <w:pPr>
        <w:keepNext w:val="0"/>
        <w:keepLines w:val="0"/>
        <w:pageBreakBefore w:val="0"/>
        <w:kinsoku/>
        <w:overflowPunct/>
        <w:topLinePunct w:val="0"/>
        <w:autoSpaceDE/>
        <w:autoSpaceDN/>
        <w:bidi w:val="0"/>
        <w:adjustRightInd w:val="0"/>
        <w:spacing w:line="360" w:lineRule="auto"/>
        <w:ind w:left="0" w:leftChars="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项目联系人：黄晖荐 </w:t>
      </w:r>
    </w:p>
    <w:p>
      <w:pPr>
        <w:keepNext w:val="0"/>
        <w:keepLines w:val="0"/>
        <w:pageBreakBefore w:val="0"/>
        <w:kinsoku/>
        <w:overflowPunct/>
        <w:topLinePunct w:val="0"/>
        <w:autoSpaceDE/>
        <w:autoSpaceDN/>
        <w:bidi w:val="0"/>
        <w:adjustRightInd w:val="0"/>
        <w:spacing w:line="360" w:lineRule="auto"/>
        <w:ind w:left="0" w:leftChars="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项目联系方式：0779-3186165  </w:t>
      </w:r>
    </w:p>
    <w:p>
      <w:pPr>
        <w:pStyle w:val="631"/>
        <w:keepNext w:val="0"/>
        <w:keepLines w:val="0"/>
        <w:pageBreakBefore w:val="0"/>
        <w:kinsoku/>
        <w:overflowPunct/>
        <w:topLinePunct w:val="0"/>
        <w:autoSpaceDE/>
        <w:autoSpaceDN/>
        <w:bidi w:val="0"/>
        <w:adjustRightInd w:val="0"/>
        <w:ind w:left="0" w:leftChars="0" w:firstLine="0"/>
        <w:textAlignment w:val="auto"/>
        <w:rPr>
          <w:b/>
          <w:color w:val="auto"/>
        </w:rPr>
      </w:pPr>
      <w:bookmarkStart w:id="45" w:name="_Toc35393807"/>
      <w:bookmarkStart w:id="46" w:name="_Toc28359020"/>
      <w:bookmarkStart w:id="47" w:name="_Toc28359097"/>
      <w:bookmarkStart w:id="48" w:name="_Toc35393638"/>
      <w:r>
        <w:rPr>
          <w:rFonts w:hint="eastAsia"/>
          <w:b/>
          <w:color w:val="auto"/>
        </w:rPr>
        <w:t>2.采购代理机构信息</w:t>
      </w:r>
      <w:bookmarkEnd w:id="45"/>
      <w:bookmarkEnd w:id="46"/>
      <w:bookmarkEnd w:id="47"/>
      <w:bookmarkEnd w:id="48"/>
    </w:p>
    <w:p>
      <w:pPr>
        <w:keepNext w:val="0"/>
        <w:keepLines w:val="0"/>
        <w:pageBreakBefore w:val="0"/>
        <w:kinsoku/>
        <w:wordWrap/>
        <w:overflowPunct/>
        <w:topLinePunct w:val="0"/>
        <w:autoSpaceDE/>
        <w:autoSpaceDN/>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称：北海市政府采购中心             </w:t>
      </w:r>
    </w:p>
    <w:p>
      <w:pPr>
        <w:keepNext w:val="0"/>
        <w:keepLines w:val="0"/>
        <w:pageBreakBefore w:val="0"/>
        <w:kinsoku/>
        <w:wordWrap/>
        <w:overflowPunct/>
        <w:topLinePunct w:val="0"/>
        <w:autoSpaceDE/>
        <w:autoSpaceDN/>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址：北海市海城区陈文村北路7号市直机关第三办公区2号楼一层              </w:t>
      </w:r>
    </w:p>
    <w:p>
      <w:pPr>
        <w:keepNext w:val="0"/>
        <w:keepLines w:val="0"/>
        <w:pageBreakBefore w:val="0"/>
        <w:kinsoku/>
        <w:wordWrap/>
        <w:overflowPunct/>
        <w:topLinePunct w:val="0"/>
        <w:autoSpaceDE/>
        <w:autoSpaceDN/>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欧呈东</w:t>
      </w:r>
      <w:r>
        <w:rPr>
          <w:rFonts w:hint="eastAsia" w:ascii="宋体" w:hAnsi="宋体" w:eastAsia="宋体" w:cs="宋体"/>
          <w:color w:val="auto"/>
          <w:sz w:val="24"/>
          <w:szCs w:val="24"/>
          <w:highlight w:val="none"/>
        </w:rPr>
        <w:t xml:space="preserve">           </w:t>
      </w:r>
    </w:p>
    <w:p>
      <w:pPr>
        <w:keepNext w:val="0"/>
        <w:keepLines w:val="0"/>
        <w:pageBreakBefore w:val="0"/>
        <w:kinsoku/>
        <w:overflowPunct/>
        <w:topLinePunct w:val="0"/>
        <w:autoSpaceDE/>
        <w:autoSpaceDN/>
        <w:bidi w:val="0"/>
        <w:adjustRightInd w:val="0"/>
        <w:spacing w:line="360" w:lineRule="auto"/>
        <w:ind w:left="0" w:leftChars="0" w:firstLine="480" w:firstLineChars="200"/>
        <w:textAlignment w:val="auto"/>
        <w:rPr>
          <w:rFonts w:asciiTheme="minorEastAsia" w:hAnsiTheme="minorEastAsia" w:eastAsiaTheme="minorEastAsia"/>
          <w:color w:val="auto"/>
          <w:sz w:val="24"/>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eastAsia="zh-CN"/>
        </w:rPr>
        <w:t>0779-3071101</w:t>
      </w:r>
      <w:r>
        <w:rPr>
          <w:rFonts w:hint="eastAsia" w:asciiTheme="minorEastAsia" w:hAnsiTheme="minorEastAsia" w:eastAsiaTheme="minorEastAsia"/>
          <w:color w:val="auto"/>
          <w:sz w:val="24"/>
        </w:rPr>
        <w:t xml:space="preserve"> </w:t>
      </w:r>
    </w:p>
    <w:p>
      <w:pPr>
        <w:pStyle w:val="631"/>
        <w:keepNext w:val="0"/>
        <w:keepLines w:val="0"/>
        <w:pageBreakBefore w:val="0"/>
        <w:kinsoku/>
        <w:overflowPunct/>
        <w:topLinePunct w:val="0"/>
        <w:autoSpaceDE/>
        <w:autoSpaceDN/>
        <w:bidi w:val="0"/>
        <w:adjustRightInd w:val="0"/>
        <w:ind w:left="0" w:leftChars="0"/>
        <w:textAlignment w:val="auto"/>
        <w:rPr>
          <w:color w:val="auto"/>
        </w:rPr>
      </w:pPr>
    </w:p>
    <w:p>
      <w:pPr>
        <w:keepNext w:val="0"/>
        <w:keepLines w:val="0"/>
        <w:pageBreakBefore w:val="0"/>
        <w:kinsoku/>
        <w:overflowPunct/>
        <w:topLinePunct w:val="0"/>
        <w:autoSpaceDE/>
        <w:autoSpaceDN/>
        <w:bidi w:val="0"/>
        <w:adjustRightInd w:val="0"/>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rPr>
        <w:t>若对项目采购电子交易系统操作有疑问，可登录广西政府采购云平台（https://www.zcygov.cn/），点击右侧咨询小采，获取采小蜜智能服务管家帮助，或拨打广西政府采购云平台服务热线95763获取热线服务帮助。</w:t>
      </w:r>
    </w:p>
    <w:p>
      <w:pPr>
        <w:spacing w:line="360" w:lineRule="auto"/>
        <w:rPr>
          <w:rFonts w:cs="仿宋_GB2312" w:asciiTheme="minorEastAsia" w:hAnsiTheme="minorEastAsia" w:eastAsiaTheme="minorEastAsia"/>
          <w:color w:val="auto"/>
          <w:sz w:val="24"/>
        </w:rPr>
      </w:pPr>
    </w:p>
    <w:p>
      <w:pPr>
        <w:pStyle w:val="32"/>
        <w:spacing w:line="360" w:lineRule="auto"/>
        <w:ind w:firstLine="480" w:firstLineChars="200"/>
        <w:rPr>
          <w:rFonts w:cs="仿宋_GB2312" w:asciiTheme="minorEastAsia" w:hAnsiTheme="minorEastAsia" w:eastAsiaTheme="minorEastAsia"/>
          <w:color w:val="auto"/>
          <w:sz w:val="24"/>
          <w:szCs w:val="24"/>
        </w:rPr>
      </w:pPr>
    </w:p>
    <w:p>
      <w:pPr>
        <w:adjustRightInd/>
        <w:spacing w:line="360" w:lineRule="auto"/>
        <w:jc w:val="center"/>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2"/>
          <w:szCs w:val="20"/>
        </w:rPr>
      </w:pPr>
      <w:bookmarkStart w:id="49" w:name="_Toc181265282"/>
      <w:r>
        <w:rPr>
          <w:rFonts w:hint="eastAsia" w:cs="仿宋_GB2312" w:asciiTheme="minorEastAsia" w:hAnsiTheme="minorEastAsia" w:eastAsiaTheme="minorEastAsia"/>
          <w:b/>
          <w:color w:val="auto"/>
          <w:sz w:val="36"/>
          <w:szCs w:val="20"/>
        </w:rPr>
        <w:t>第二部分  竞争性谈判流程</w:t>
      </w:r>
      <w:bookmarkEnd w:id="49"/>
    </w:p>
    <w:p>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pPr>
        <w:pStyle w:val="392"/>
        <w:spacing w:before="0"/>
        <w:ind w:firstLine="480"/>
        <w:rPr>
          <w:rFonts w:asciiTheme="minorEastAsia" w:hAnsiTheme="minorEastAsia" w:eastAsiaTheme="minorEastAsia"/>
          <w:color w:val="auto"/>
          <w:szCs w:val="24"/>
        </w:rPr>
      </w:pPr>
      <w:r>
        <w:rPr>
          <w:rFonts w:hint="eastAsia" w:ascii="宋体" w:hAnsi="宋体" w:cs="宋体"/>
          <w:color w:val="auto"/>
          <w:kern w:val="0"/>
        </w:rPr>
        <w:sym w:font="Wingdings" w:char="F0FE"/>
      </w: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由采购人、采购代理机构在省级以上人民政府财政部门指定的政府采购信息发布媒体上发布谈判公告，邀请符合相应资格条件的供应商参与竞争性谈判采购活动。</w:t>
      </w:r>
    </w:p>
    <w:p>
      <w:pPr>
        <w:pStyle w:val="392"/>
        <w:spacing w:before="0"/>
        <w:ind w:firstLine="482"/>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由采购人、采购代理机构从省级以上财政部门建立的供应商库中随机抽取不少于3家符合相应资格条件的供应商参与竞争性谈判采购活动。</w:t>
      </w:r>
    </w:p>
    <w:p>
      <w:pPr>
        <w:pStyle w:val="392"/>
        <w:spacing w:before="0"/>
        <w:ind w:firstLine="482"/>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谈判采购活动。采取采购人和评审专家书面推荐方式选择供应商的，采购人和评审专家应当各自出具书面推荐意见。采购人推荐供应商的比例不得高于推荐供应商总数的50%。</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1.2供应商获取谈判文件。</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1.4发布更正（延期）公告，澄清或修改谈判文件（如果有）。</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1.5供应商按谈判文件要求编制响应文件。</w:t>
      </w:r>
    </w:p>
    <w:p>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2.1供应商依据“提交响应文件的截止时间与地点”通过广西政府采购云平台在线提交响应文件。供应商在提交响应文件的截止时间前，可以补充、修改或撤回响应文件。</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rPr>
        <w:t>采购人或者采购代理机构将通过“信用中国”网站(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3.谈判与评审</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3.1谈判小组签到。</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3.2采购代理机构宣布有关纪律以及谈判、评审工作程序。</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3.3谈判小组审查确认谈判文件。谈判文件内容违反国家有关强制性规定的，谈判小组应当停止评审并向采购代理机构说明情况。</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3.4谈判小组对供应商的资格进行审查。</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3.5谈判小组审查响应文件。</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3.6对于未实质性响应谈判文件的响应文件由谈判小组认定响应无效，并告知该供应商。</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谈判时由采购代理机构或谈判小组利用广西政府采购云平台发起谈判邀请，供应商通过广西政府采购云平台“在线评审室”进行远程视频谈判。供应商使用CA数字证书登录广西政府采购云平台——收到视频评审邀请——点击“视频评审”进入“视频评审系统”——开始远程谈判活动。</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3.11谈判小组按照下列方式确定提交最后报价的供应商，有特殊规定的从其规定：</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谈判小组应当从质量和服务均能满足采购文件实质性响应要求的供应商中，按照最后报价由低到高的顺序提出3名以上成交候选人，并编写评审报告。多家供应商提供相同品牌产品（单一产品采购项目中的该产品或者非单一产品采购项目的核心产品）且通过资格审查、符合性审查的不同供应商参加同一合同项下谈判的，按一家供应商计算，评审后报价最低的同品牌供应商获得成交人推荐资格；报价相同的，由采购人或者采购人委托谈判小组按照谈判文件规定的方式确定一个供应商获得成交人推荐资格，谈判文件未规定的采取随机抽取方式确定，其他同品牌供应商不作为成交候选人。</w:t>
      </w:r>
    </w:p>
    <w:p>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pPr>
        <w:pStyle w:val="392"/>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5.2成交供应商按照政策要求及合同约定缴纳履约保证金（如有）。</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6.竞争性谈判流程图</w:t>
      </w:r>
    </w:p>
    <w:p>
      <w:pPr>
        <w:pStyle w:val="392"/>
        <w:spacing w:before="0"/>
        <w:ind w:firstLine="0" w:firstLineChars="0"/>
        <w:rPr>
          <w:rFonts w:asciiTheme="minorEastAsia" w:hAnsiTheme="minorEastAsia" w:eastAsiaTheme="minorEastAsia"/>
          <w:b/>
          <w:color w:val="auto"/>
        </w:rPr>
      </w:pPr>
    </w:p>
    <w:p>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最后报价评审</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最后报价评审</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谈判</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编制谈判文件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编制谈判文件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6"/>
          <w:szCs w:val="20"/>
        </w:rPr>
      </w:pPr>
      <w:bookmarkStart w:id="50" w:name="_Toc181265283"/>
      <w:r>
        <w:rPr>
          <w:rFonts w:hint="eastAsia" w:cs="仿宋_GB2312" w:asciiTheme="minorEastAsia" w:hAnsiTheme="minorEastAsia" w:eastAsiaTheme="minorEastAsia"/>
          <w:b/>
          <w:color w:val="auto"/>
          <w:sz w:val="36"/>
          <w:szCs w:val="20"/>
        </w:rPr>
        <w:t>第三部分</w:t>
      </w:r>
      <w:bookmarkEnd w:id="9"/>
      <w:r>
        <w:rPr>
          <w:rFonts w:hint="eastAsia" w:cs="仿宋_GB2312" w:asciiTheme="minorEastAsia" w:hAnsiTheme="minorEastAsia" w:eastAsiaTheme="minorEastAsia"/>
          <w:b/>
          <w:color w:val="auto"/>
          <w:sz w:val="36"/>
          <w:szCs w:val="20"/>
        </w:rPr>
        <w:t xml:space="preserve">  供应商须知</w:t>
      </w:r>
      <w:bookmarkEnd w:id="10"/>
      <w:bookmarkEnd w:id="50"/>
    </w:p>
    <w:p>
      <w:pPr>
        <w:adjustRightInd/>
        <w:spacing w:line="360" w:lineRule="auto"/>
        <w:jc w:val="center"/>
        <w:outlineLvl w:val="1"/>
        <w:rPr>
          <w:rFonts w:ascii="宋体" w:hAnsi="宋体" w:cs="仿宋_GB2312"/>
          <w:b/>
          <w:color w:val="auto"/>
          <w:sz w:val="36"/>
          <w:szCs w:val="20"/>
        </w:rPr>
      </w:pPr>
      <w:r>
        <w:rPr>
          <w:rFonts w:hint="eastAsia" w:ascii="宋体" w:hAnsi="宋体" w:cs="仿宋_GB2312"/>
          <w:b/>
          <w:color w:val="auto"/>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70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宿舍铁架床</w:t>
            </w:r>
            <w:r>
              <w:rPr>
                <w:rFonts w:hint="eastAsia" w:ascii="宋体" w:hAnsi="宋体" w:cs="宋体"/>
                <w:color w:val="auto"/>
                <w:sz w:val="24"/>
                <w:u w:val="single"/>
              </w:rPr>
              <w:t xml:space="preserve"> </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kern w:val="0"/>
                <w:sz w:val="24"/>
              </w:rPr>
            </w:pPr>
            <w:r>
              <w:rPr>
                <w:rFonts w:hint="eastAsia" w:ascii="宋体" w:hAnsi="宋体" w:cs="宋体"/>
                <w:b/>
                <w:color w:val="auto"/>
                <w:kern w:val="0"/>
                <w:sz w:val="24"/>
              </w:rPr>
              <w:t>采购标的及其对应的中小企业划分标准所属行业</w:t>
            </w:r>
          </w:p>
        </w:tc>
        <w:tc>
          <w:tcPr>
            <w:tcW w:w="70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采购需求中所列的货物</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pPr>
              <w:keepNext/>
              <w:keepLines/>
              <w:tabs>
                <w:tab w:val="left" w:pos="432"/>
              </w:tabs>
              <w:spacing w:before="260" w:after="260" w:line="416" w:lineRule="auto"/>
              <w:ind w:left="432"/>
              <w:outlineLvl w:val="1"/>
              <w:rPr>
                <w:rFonts w:ascii="宋体" w:hAnsi="宋体" w:cs="宋体" w:eastAsiaTheme="majorEastAsia"/>
                <w:color w:val="auto"/>
                <w:kern w:val="0"/>
                <w:sz w:val="24"/>
                <w:lang w:eastAsia="en-US"/>
              </w:rPr>
            </w:pPr>
            <w:r>
              <w:rPr>
                <w:rFonts w:hint="eastAsia" w:ascii="宋体" w:hAnsi="宋体" w:cs="宋体" w:eastAsiaTheme="majorEastAsia"/>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51329843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148050186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96896613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207780508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宋体" w:hAnsi="宋体" w:cs="宋体"/>
                    <w:color w:val="auto"/>
                    <w:kern w:val="0"/>
                    <w:sz w:val="24"/>
                  </w:rPr>
                  <w:sym w:font="Wingdings" w:char="F0FE"/>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7123741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0136147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190916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74055263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评审标准</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203106568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48616956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2056903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79996009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（1）在评审时安排每个供应商进行方案讲解演示。每个供应商时间不超过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分钟，讲解次序以响应文件解密时间先后次序为准，讲解演示人员不超过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方式一：广西政府采购云平台在线讲解演示。广西政府采购云平台在线讲解需供应商根据广西政府采购云平台操作要求做好准备工作，提前完善软硬件配置环境。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注：因供应商自身原因导致无法演示或者演示效果不理想的，责任自负。因平台原因导致本项目方案讲解演示环节无法顺利开展，按照相关规定执行。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供应商应当提供的资格、资信证明文件</w:t>
            </w:r>
          </w:p>
        </w:tc>
        <w:tc>
          <w:tcPr>
            <w:tcW w:w="708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（1）资格证明文件：见谈判文件第三部分。</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供应商未提供有效的资格证明文件的，视为供应商不具备谈判文件中规定的资格要求，响应无效。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0"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color w:val="auto"/>
                <w:sz w:val="24"/>
              </w:rPr>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pPr>
              <w:widowControl/>
              <w:adjustRightInd/>
              <w:jc w:val="left"/>
              <w:rPr>
                <w:rFonts w:ascii="宋体" w:hAnsi="宋体" w:cs="宋体"/>
                <w:b/>
                <w:color w:val="auto"/>
                <w:sz w:val="24"/>
              </w:rPr>
            </w:pPr>
          </w:p>
        </w:tc>
        <w:tc>
          <w:tcPr>
            <w:tcW w:w="708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（2）资信证明文件：根据谈判文件采购需求等有关要求提供。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70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最后报价要求</w:t>
            </w:r>
          </w:p>
        </w:tc>
        <w:tc>
          <w:tcPr>
            <w:tcW w:w="70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有关本项目实施所需的所有费用（含税费）均计入最后报价。《最后报价</w:t>
            </w:r>
            <w:r>
              <w:rPr>
                <w:rFonts w:hint="eastAsia" w:ascii="宋体" w:hAnsi="宋体" w:cs="宋体"/>
                <w:color w:val="auto"/>
                <w:sz w:val="24"/>
              </w:rPr>
              <w:t>一览表（报价表）</w:t>
            </w:r>
            <w:r>
              <w:rPr>
                <w:rFonts w:hint="eastAsia" w:ascii="宋体" w:hAnsi="宋体" w:cs="宋体"/>
                <w:color w:val="auto"/>
                <w:kern w:val="0"/>
                <w:sz w:val="24"/>
                <w:lang w:val="zh-CN"/>
              </w:rPr>
              <w:t>》</w:t>
            </w:r>
            <w:r>
              <w:rPr>
                <w:rFonts w:hint="eastAsia" w:ascii="宋体" w:hAnsi="宋体" w:cs="宋体"/>
                <w:color w:val="auto"/>
                <w:sz w:val="24"/>
              </w:rPr>
              <w:t>是最后报价的唯一载体</w:t>
            </w:r>
            <w:r>
              <w:rPr>
                <w:rFonts w:hint="eastAsia" w:ascii="宋体" w:hAnsi="宋体" w:cs="宋体"/>
                <w:color w:val="auto"/>
                <w:kern w:val="0"/>
                <w:sz w:val="24"/>
                <w:lang w:val="zh-CN"/>
              </w:rPr>
              <w:t>。谈判文件中价格全部采用人民币报价。谈判文件未列明，而供应商认为必需的费用也需列入报价。</w:t>
            </w:r>
            <w:r>
              <w:rPr>
                <w:rFonts w:hint="eastAsia" w:ascii="宋体" w:hAnsi="宋体" w:cs="宋体"/>
                <w:b/>
                <w:color w:val="auto"/>
                <w:kern w:val="0"/>
                <w:sz w:val="24"/>
                <w:lang w:val="zh-CN"/>
              </w:rPr>
              <w:t>提醒：验收时检测费用由采购人承担，不包含在最后报价中。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最后报价出现下列情形的，响应无效：</w:t>
            </w:r>
          </w:p>
          <w:p>
            <w:pPr>
              <w:snapToGrid w:val="0"/>
              <w:spacing w:line="360" w:lineRule="auto"/>
              <w:ind w:firstLine="482" w:firstLineChars="200"/>
              <w:jc w:val="left"/>
              <w:rPr>
                <w:rFonts w:ascii="宋体" w:hAnsi="宋体" w:cs="宋体"/>
                <w:b/>
                <w:color w:val="auto"/>
                <w:kern w:val="0"/>
                <w:sz w:val="24"/>
                <w:lang w:val="zh-CN"/>
              </w:rPr>
            </w:pPr>
            <w:r>
              <w:rPr>
                <w:rFonts w:hint="eastAsia" w:ascii="宋体" w:hAnsi="宋体" w:cs="宋体"/>
                <w:b/>
                <w:color w:val="auto"/>
                <w:kern w:val="0"/>
                <w:sz w:val="24"/>
                <w:lang w:val="zh-CN"/>
              </w:rPr>
              <w:t>响应文件出现不是唯一的、有选择性的最后报价的；</w:t>
            </w:r>
          </w:p>
          <w:p>
            <w:pPr>
              <w:snapToGrid w:val="0"/>
              <w:spacing w:line="360" w:lineRule="auto"/>
              <w:ind w:firstLine="482" w:firstLineChars="200"/>
              <w:jc w:val="left"/>
              <w:rPr>
                <w:rFonts w:ascii="宋体" w:hAnsi="宋体" w:cs="宋体"/>
                <w:color w:val="auto"/>
                <w:kern w:val="0"/>
                <w:sz w:val="24"/>
                <w:lang w:val="zh-CN"/>
              </w:rPr>
            </w:pPr>
            <w:r>
              <w:rPr>
                <w:rFonts w:hint="eastAsia" w:ascii="宋体" w:hAnsi="宋体" w:cs="宋体"/>
                <w:b/>
                <w:color w:val="auto"/>
                <w:kern w:val="0"/>
                <w:sz w:val="24"/>
                <w:lang w:val="zh-CN"/>
              </w:rPr>
              <w:t>最后报价超过谈判文件中规定的预算金额或者最高限价的;</w:t>
            </w:r>
          </w:p>
          <w:p>
            <w:pPr>
              <w:spacing w:line="360" w:lineRule="auto"/>
              <w:ind w:firstLine="482" w:firstLineChars="200"/>
              <w:rPr>
                <w:rFonts w:ascii="宋体" w:hAnsi="宋体" w:cs="宋体"/>
                <w:color w:val="auto"/>
                <w:sz w:val="24"/>
              </w:rPr>
            </w:pPr>
            <w:r>
              <w:rPr>
                <w:rFonts w:hint="eastAsia" w:ascii="宋体" w:hAnsi="宋体" w:cs="宋体"/>
                <w:b/>
                <w:color w:val="auto"/>
                <w:kern w:val="0"/>
                <w:sz w:val="24"/>
              </w:rPr>
              <w:t>供应商对根据修正原则修正后的报价不确认的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bottom w:val="nil"/>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bottom w:val="nil"/>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7087" w:type="dxa"/>
            <w:tcBorders>
              <w:top w:val="single" w:color="000000" w:sz="8" w:space="0"/>
              <w:left w:val="single" w:color="000000" w:sz="2" w:space="0"/>
              <w:bottom w:val="nil"/>
              <w:right w:val="single" w:color="000000" w:sz="8" w:space="0"/>
            </w:tcBorders>
            <w:vAlign w:val="center"/>
          </w:tcPr>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供应商成交后也可在“广西政府采购云”平台申请政采贷：操作路径：登录广西政府采购云平台-金融服务中心-【融资服务】，可在热门申请中选择产品直接申请。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备份响应文件送达地点和签收人员 </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0530469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不接受。</w:t>
            </w:r>
          </w:p>
          <w:p>
            <w:pPr>
              <w:spacing w:line="360" w:lineRule="auto"/>
              <w:rPr>
                <w:rFonts w:ascii="宋体" w:hAnsi="宋体" w:cs="宋体"/>
                <w:color w:val="auto"/>
                <w:kern w:val="28"/>
                <w:sz w:val="24"/>
                <w:szCs w:val="20"/>
              </w:rPr>
            </w:pPr>
            <w:sdt>
              <w:sdtPr>
                <w:rPr>
                  <w:rFonts w:hint="eastAsia" w:ascii="宋体" w:hAnsi="宋体" w:cs="宋体"/>
                  <w:color w:val="auto"/>
                  <w:kern w:val="0"/>
                  <w:sz w:val="24"/>
                  <w:szCs w:val="20"/>
                </w:rPr>
                <w:id w:val="-926416851"/>
                <w14:checkbox>
                  <w14:checked w14:val="0"/>
                  <w14:checkedState w14:val="00FE" w14:font="Wingdings"/>
                  <w14:uncheckedState w14:val="2610" w14:font="MS Gothic"/>
                </w14:checkbox>
              </w:sdtPr>
              <w:sdtEndPr>
                <w:rPr>
                  <w:rFonts w:hint="eastAsia" w:ascii="宋体" w:hAnsi="宋体" w:cs="宋体"/>
                  <w:color w:val="auto"/>
                  <w:kern w:val="0"/>
                  <w:sz w:val="24"/>
                  <w:szCs w:val="20"/>
                </w:rPr>
              </w:sdtEndPr>
              <w:sdtContent>
                <w:r>
                  <w:rPr>
                    <w:rFonts w:hint="eastAsia" w:ascii="MS Mincho" w:hAnsi="MS Mincho" w:eastAsia="MS Mincho" w:cs="MS Mincho"/>
                    <w:color w:val="auto"/>
                    <w:kern w:val="0"/>
                    <w:sz w:val="24"/>
                    <w:szCs w:val="20"/>
                  </w:rPr>
                  <w:t>☐</w:t>
                </w:r>
              </w:sdtContent>
            </w:sdt>
            <w:r>
              <w:rPr>
                <w:rFonts w:hint="eastAsia" w:ascii="宋体" w:hAnsi="宋体" w:cs="宋体"/>
                <w:color w:val="auto"/>
                <w:kern w:val="0"/>
                <w:sz w:val="24"/>
                <w:szCs w:val="20"/>
              </w:rPr>
              <w:t>B</w:t>
            </w:r>
            <w:r>
              <w:rPr>
                <w:rFonts w:hint="eastAsia" w:ascii="宋体" w:hAnsi="宋体" w:cs="宋体"/>
                <w:color w:val="auto"/>
                <w:sz w:val="24"/>
                <w:szCs w:val="20"/>
              </w:rPr>
              <w:t>接受</w:t>
            </w:r>
            <w:r>
              <w:rPr>
                <w:rFonts w:hint="eastAsia" w:ascii="宋体" w:hAnsi="宋体" w:cs="宋体"/>
                <w:color w:val="auto"/>
                <w:kern w:val="0"/>
                <w:sz w:val="24"/>
                <w:szCs w:val="20"/>
              </w:rPr>
              <w:t>：</w:t>
            </w:r>
            <w:r>
              <w:rPr>
                <w:rFonts w:hint="eastAsia" w:ascii="宋体" w:hAnsi="宋体" w:cs="宋体"/>
                <w:color w:val="auto"/>
                <w:kern w:val="28"/>
                <w:sz w:val="24"/>
                <w:szCs w:val="20"/>
              </w:rPr>
              <w:t>备份响应文件送达地点：</w:t>
            </w:r>
            <w:r>
              <w:rPr>
                <w:rFonts w:hint="eastAsia" w:ascii="宋体" w:hAnsi="宋体" w:cs="宋体"/>
                <w:color w:val="auto"/>
                <w:sz w:val="24"/>
                <w:szCs w:val="20"/>
                <w:u w:val="single"/>
              </w:rPr>
              <w:t xml:space="preserve">         </w:t>
            </w:r>
            <w:r>
              <w:rPr>
                <w:rFonts w:hint="eastAsia" w:ascii="宋体" w:hAnsi="宋体" w:cs="宋体"/>
                <w:color w:val="auto"/>
                <w:kern w:val="28"/>
                <w:sz w:val="24"/>
                <w:szCs w:val="20"/>
              </w:rPr>
              <w:t>；备份响应文件签收人员联系电话：</w:t>
            </w:r>
            <w:r>
              <w:rPr>
                <w:rFonts w:hint="eastAsia" w:ascii="宋体" w:hAnsi="宋体" w:cs="宋体"/>
                <w:color w:val="auto"/>
                <w:sz w:val="24"/>
                <w:szCs w:val="20"/>
                <w:u w:val="single"/>
              </w:rPr>
              <w:t xml:space="preserve">        </w:t>
            </w:r>
            <w:r>
              <w:rPr>
                <w:rFonts w:hint="eastAsia" w:ascii="宋体" w:hAnsi="宋体" w:cs="宋体"/>
                <w:color w:val="auto"/>
                <w:sz w:val="24"/>
                <w:szCs w:val="20"/>
              </w:rPr>
              <w:t>。</w:t>
            </w:r>
            <w:r>
              <w:rPr>
                <w:rFonts w:hint="eastAsia" w:ascii="宋体" w:hAnsi="宋体" w:cs="宋体"/>
                <w:b/>
                <w:color w:val="auto"/>
                <w:sz w:val="24"/>
                <w:szCs w:val="20"/>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特别说明</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w:t>
            </w:r>
            <w:r>
              <w:rPr>
                <w:rFonts w:hint="eastAsia" w:hAnsi="宋体" w:cs="宋体"/>
                <w:color w:val="auto"/>
                <w:kern w:val="28"/>
                <w:sz w:val="24"/>
              </w:rPr>
              <w:t>响应</w:t>
            </w:r>
            <w:r>
              <w:rPr>
                <w:rFonts w:hint="eastAsia" w:ascii="宋体" w:hAnsi="宋体" w:cs="宋体"/>
                <w:snapToGrid w:val="0"/>
                <w:color w:val="auto"/>
                <w:kern w:val="28"/>
                <w:sz w:val="24"/>
              </w:rPr>
              <w:t>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top w:val="single" w:color="auto" w:sz="4" w:space="0"/>
              <w:left w:val="single" w:color="000000" w:sz="8" w:space="0"/>
              <w:bottom w:val="single" w:color="auto" w:sz="4" w:space="0"/>
              <w:right w:val="single" w:color="000000" w:sz="2" w:space="0"/>
            </w:tcBorders>
            <w:vAlign w:val="center"/>
          </w:tcPr>
          <w:p>
            <w:pPr>
              <w:widowControl/>
              <w:adjustRightInd/>
              <w:jc w:val="left"/>
              <w:rPr>
                <w:rFonts w:ascii="宋体" w:hAnsi="宋体" w:cs="宋体"/>
                <w:color w:val="auto"/>
                <w:sz w:val="24"/>
              </w:rPr>
            </w:pPr>
          </w:p>
        </w:tc>
        <w:tc>
          <w:tcPr>
            <w:tcW w:w="1843" w:type="dxa"/>
            <w:vMerge w:val="continue"/>
            <w:tcBorders>
              <w:top w:val="single" w:color="000000" w:sz="8" w:space="0"/>
              <w:left w:val="single" w:color="000000" w:sz="2" w:space="0"/>
              <w:bottom w:val="single" w:color="auto" w:sz="4" w:space="0"/>
              <w:right w:val="single" w:color="000000" w:sz="8" w:space="0"/>
            </w:tcBorders>
            <w:vAlign w:val="center"/>
          </w:tcPr>
          <w:p>
            <w:pPr>
              <w:widowControl/>
              <w:adjustRightInd/>
              <w:jc w:val="left"/>
              <w:rPr>
                <w:rFonts w:ascii="宋体" w:hAnsi="宋体" w:cs="宋体"/>
                <w:b/>
                <w:color w:val="auto"/>
                <w:sz w:val="24"/>
              </w:rPr>
            </w:pPr>
          </w:p>
        </w:tc>
        <w:tc>
          <w:tcPr>
            <w:tcW w:w="708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ascii="宋体" w:hAnsi="宋体" w:cs="Arial"/>
                  <w:color w:val="auto"/>
                  <w:kern w:val="0"/>
                  <w:sz w:val="24"/>
                </w:rPr>
                <w:id w:val="320470398"/>
                <w14:checkbox>
                  <w14:checked w14:val="0"/>
                  <w14:checkedState w14:val="00FE" w14:font="Wingdings"/>
                  <w14:uncheckedState w14:val="2610" w14:font="MS Gothic"/>
                </w14:checkbox>
              </w:sdtPr>
              <w:sdtEndPr>
                <w:rPr>
                  <w:rFonts w:hint="eastAsia" w:ascii="宋体" w:hAnsi="宋体" w:cs="Arial"/>
                  <w:color w:val="auto"/>
                  <w:kern w:val="0"/>
                  <w:sz w:val="24"/>
                </w:rPr>
              </w:sdtEndPr>
              <w:sdtContent>
                <w:r>
                  <w:rPr>
                    <w:rFonts w:hint="eastAsia" w:ascii="MS Gothic" w:hAnsi="MS Gothic" w:eastAsia="MS Gothic" w:cs="Arial"/>
                    <w:color w:val="auto"/>
                    <w:kern w:val="0"/>
                    <w:sz w:val="24"/>
                  </w:rPr>
                  <w:t>☐</w:t>
                </w:r>
              </w:sdtContent>
            </w:sdt>
            <w:r>
              <w:rPr>
                <w:rFonts w:hint="eastAsia" w:ascii="宋体" w:hAnsi="宋体" w:cs="宋体"/>
                <w:snapToGrid w:val="0"/>
                <w:color w:val="auto"/>
                <w:kern w:val="28"/>
                <w:sz w:val="24"/>
              </w:rPr>
              <w:t>联合体响应的，联合体各方均需按谈判文件第五部分评审标准要求提供资信证明文件，否则视为不符合相关要求。</w:t>
            </w:r>
          </w:p>
          <w:p>
            <w:pPr>
              <w:spacing w:line="360" w:lineRule="auto"/>
              <w:rPr>
                <w:rFonts w:ascii="宋体" w:hAnsi="宋体" w:cs="宋体"/>
                <w:snapToGrid w:val="0"/>
                <w:color w:val="auto"/>
                <w:kern w:val="28"/>
                <w:sz w:val="24"/>
              </w:rPr>
            </w:pPr>
            <w:sdt>
              <w:sdtPr>
                <w:rPr>
                  <w:rFonts w:hint="eastAsia" w:ascii="宋体" w:hAnsi="宋体" w:cs="Arial"/>
                  <w:color w:val="auto"/>
                  <w:kern w:val="0"/>
                  <w:sz w:val="24"/>
                </w:rPr>
                <w:id w:val="1023673503"/>
                <w14:checkbox>
                  <w14:checked w14:val="0"/>
                  <w14:checkedState w14:val="00FE" w14:font="Wingdings"/>
                  <w14:uncheckedState w14:val="2610" w14:font="MS Gothic"/>
                </w14:checkbox>
              </w:sdtPr>
              <w:sdtEndPr>
                <w:rPr>
                  <w:rFonts w:hint="eastAsia" w:ascii="宋体" w:hAnsi="宋体" w:cs="Arial"/>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联合体响应的，联合体中有一方或者联合体成员根据分工按谈判文件第五部分评审标准要求提供资信证明文件的，视为符合了相关要求。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解释权</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auto"/>
                <w:kern w:val="0"/>
                <w:sz w:val="24"/>
              </w:rPr>
            </w:pPr>
            <w:r>
              <w:rPr>
                <w:rFonts w:hint="eastAsia" w:ascii="宋体" w:hAnsi="宋体" w:cs="Arial"/>
                <w:color w:val="auto"/>
                <w:kern w:val="0"/>
                <w:sz w:val="24"/>
              </w:rPr>
              <w:t>本谈判文件解释权属采购人及代理机构。</w:t>
            </w:r>
          </w:p>
        </w:tc>
      </w:tr>
    </w:tbl>
    <w:p>
      <w:pPr>
        <w:snapToGrid w:val="0"/>
        <w:jc w:val="center"/>
        <w:rPr>
          <w:rFonts w:ascii="宋体" w:hAnsi="宋体" w:cs="仿宋_GB2312"/>
          <w:b/>
          <w:color w:val="auto"/>
          <w:sz w:val="32"/>
          <w:szCs w:val="20"/>
        </w:rPr>
      </w:pPr>
    </w:p>
    <w:p>
      <w:pPr>
        <w:adjustRightInd/>
        <w:spacing w:line="360" w:lineRule="auto"/>
        <w:ind w:firstLine="3845" w:firstLineChars="1197"/>
        <w:outlineLvl w:val="1"/>
        <w:rPr>
          <w:rFonts w:ascii="宋体" w:hAnsi="宋体" w:cs="仿宋_GB2312"/>
          <w:b/>
          <w:color w:val="auto"/>
          <w:sz w:val="32"/>
          <w:szCs w:val="20"/>
        </w:rPr>
      </w:pPr>
      <w:r>
        <w:rPr>
          <w:rFonts w:hint="eastAsia" w:ascii="宋体" w:hAnsi="宋体" w:cs="仿宋_GB2312"/>
          <w:b/>
          <w:color w:val="auto"/>
          <w:sz w:val="32"/>
          <w:szCs w:val="20"/>
        </w:rPr>
        <w:t>二、总则</w:t>
      </w:r>
    </w:p>
    <w:p>
      <w:pPr>
        <w:snapToGrid w:val="0"/>
        <w:spacing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本谈判文件适用于该项目的邀请、响应、开启响应文件、信用信息查询、资格性审查、评审、成交、合同、验收等行为（法律、法规另有规定的，从其规定）。</w:t>
      </w:r>
    </w:p>
    <w:p>
      <w:pPr>
        <w:adjustRightInd/>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“采购人”系指谈判邀请公告中载明的本项目的采购人。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“采购代理机构”系指谈判邀请公告中载明的本项目的采购代理机构。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“供应商”系指响应谈判、参加本次竞争的法人、其他组织或自然人。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w:t>
      </w:r>
      <w:r>
        <w:rPr>
          <w:rFonts w:hint="eastAsia" w:ascii="宋体" w:hAnsi="宋体" w:cs="宋体"/>
          <w:color w:val="auto"/>
          <w:sz w:val="24"/>
        </w:rPr>
        <w:t>法定代表人（负责人）</w:t>
      </w:r>
      <w:r>
        <w:rPr>
          <w:rFonts w:hint="eastAsia" w:asciiTheme="minorEastAsia" w:hAnsiTheme="minorEastAsia" w:eastAsiaTheme="minorEastAsia"/>
          <w:color w:val="auto"/>
          <w:sz w:val="24"/>
        </w:rPr>
        <w:t>”系指法人企业的法定负责人，或其他组织为法律、行政法规规定代表单位行使职权的主要负责人，或自然人本人。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2.7“电子交易平台”系指本项目政府采购活动所依托的</w:t>
      </w:r>
      <w:r>
        <w:rPr>
          <w:rFonts w:hint="eastAsia" w:ascii="宋体" w:hAnsi="宋体" w:cs="宋体"/>
          <w:color w:val="auto"/>
          <w:sz w:val="24"/>
        </w:rPr>
        <w:t>广西政府采购云平台（https://www.gcy.zfcg.gxzf.gov.cn/）</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pPr>
        <w:spacing w:line="360" w:lineRule="auto"/>
        <w:ind w:firstLine="480" w:firstLineChars="200"/>
        <w:rPr>
          <w:color w:val="auto"/>
        </w:rPr>
      </w:pPr>
      <w:r>
        <w:rPr>
          <w:rFonts w:hint="eastAsia" w:asciiTheme="minorEastAsia" w:hAnsiTheme="minorEastAsia" w:eastAsiaTheme="minorEastAsia"/>
          <w:color w:val="auto"/>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2.9 “书面形式”包括数据电文形式与纸质形式。数据电文形式与纸质形式的采购活动具有同等法律效力。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“※”系指谈判过程中可能实质性变动的内容，</w:t>
      </w:r>
      <w:r>
        <w:rPr>
          <w:rFonts w:hint="eastAsia" w:ascii="宋体" w:hAnsi="宋体" w:cs="宋体"/>
          <w:color w:val="auto"/>
          <w:kern w:val="0"/>
          <w:sz w:val="24"/>
        </w:rPr>
        <w:t>“</w:t>
      </w:r>
      <w:r>
        <w:rPr>
          <w:rFonts w:hint="eastAsia" w:ascii="宋体" w:hAnsi="宋体" w:cs="宋体"/>
          <w:color w:val="auto"/>
          <w:kern w:val="0"/>
          <w:sz w:val="24"/>
        </w:rPr>
        <w:sym w:font="Wingdings" w:char="F0FE"/>
      </w:r>
      <w:r>
        <w:rPr>
          <w:rFonts w:hint="eastAsia" w:ascii="宋体" w:hAnsi="宋体" w:cs="宋体"/>
          <w:color w:val="auto"/>
          <w:kern w:val="0"/>
          <w:sz w:val="24"/>
        </w:rPr>
        <w:t>”</w:t>
      </w:r>
      <w:r>
        <w:rPr>
          <w:rFonts w:hint="eastAsia" w:cs="宋体" w:asciiTheme="minorEastAsia" w:hAnsiTheme="minorEastAsia" w:eastAsiaTheme="minorEastAsia"/>
          <w:color w:val="auto"/>
          <w:sz w:val="24"/>
        </w:rPr>
        <w:t>系指适用本项目的要求，“□”系指不适用本项目的要求。</w:t>
      </w:r>
    </w:p>
    <w:p>
      <w:pPr>
        <w:adjustRightInd/>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响应有效期为从提交响应文件的截止之日起60天。供应商的响应文件中承</w:t>
      </w:r>
      <w:r>
        <w:rPr>
          <w:rFonts w:hint="eastAsia" w:cs="仿宋_GB2312" w:asciiTheme="minorEastAsia" w:hAnsiTheme="minorEastAsia" w:eastAsiaTheme="minorEastAsia"/>
          <w:b/>
          <w:color w:val="auto"/>
          <w:sz w:val="24"/>
          <w:szCs w:val="21"/>
        </w:rPr>
        <w:t>诺的响应有效期少于谈判文件中载明的谈判有效期的，响应无效。</w:t>
      </w:r>
    </w:p>
    <w:p>
      <w:pPr>
        <w:pStyle w:val="392"/>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pPr>
        <w:pStyle w:val="392"/>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采购人或采购代理机构可以以书面形式通知所有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拒绝延长谈判有效期的供应商不得再参与该项目后续采购活动。</w:t>
      </w:r>
    </w:p>
    <w:p>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pPr>
        <w:pStyle w:val="32"/>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谈判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2"/>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w:t>
      </w:r>
      <w:r>
        <w:rPr>
          <w:rFonts w:hint="eastAsia" w:cs="宋体" w:asciiTheme="minorEastAsia" w:hAnsiTheme="minorEastAsia" w:eastAsiaTheme="minorEastAsia"/>
          <w:color w:val="auto"/>
          <w:kern w:val="0"/>
          <w:sz w:val="24"/>
          <w:lang w:eastAsia="zh-CN"/>
        </w:rPr>
        <w:t>供应商</w:t>
      </w:r>
      <w:r>
        <w:rPr>
          <w:rFonts w:hint="eastAsia" w:cs="宋体" w:asciiTheme="minorEastAsia" w:hAnsiTheme="minorEastAsia" w:eastAsiaTheme="minorEastAsia"/>
          <w:color w:val="auto"/>
          <w:kern w:val="0"/>
          <w:sz w:val="24"/>
        </w:rPr>
        <w:t>提供的货物符合下列情形的，享受中小企业扶持政策：在货物采购项目中，货物由中小企业制造，即货物由中小企业生产且使用该中小企业商号或者注册商标；在货物采购项目中，</w:t>
      </w:r>
      <w:r>
        <w:rPr>
          <w:rFonts w:hint="eastAsia" w:cs="宋体" w:asciiTheme="minorEastAsia" w:hAnsiTheme="minorEastAsia" w:eastAsiaTheme="minorEastAsia"/>
          <w:color w:val="auto"/>
          <w:kern w:val="0"/>
          <w:sz w:val="24"/>
          <w:lang w:eastAsia="zh-CN"/>
        </w:rPr>
        <w:t>供应商</w:t>
      </w:r>
      <w:r>
        <w:rPr>
          <w:rFonts w:hint="eastAsia" w:cs="宋体" w:asciiTheme="minorEastAsia" w:hAnsiTheme="minorEastAsia" w:eastAsiaTheme="minorEastAsia"/>
          <w:color w:val="auto"/>
          <w:kern w:val="0"/>
          <w:sz w:val="24"/>
        </w:rPr>
        <w:t>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pPr>
        <w:spacing w:line="360" w:lineRule="auto"/>
        <w:rPr>
          <w:rFonts w:ascii="宋体" w:hAnsi="宋体" w:cs="宋体"/>
          <w:b/>
          <w:color w:val="auto"/>
          <w:sz w:val="24"/>
        </w:rPr>
      </w:pPr>
      <w:r>
        <w:rPr>
          <w:rFonts w:hint="eastAsia" w:cs="宋体" w:asciiTheme="minorEastAsia" w:hAnsiTheme="minorEastAsia" w:eastAsiaTheme="minorEastAsia"/>
          <w:b/>
          <w:color w:val="auto"/>
          <w:sz w:val="24"/>
        </w:rPr>
        <w:t>5.</w:t>
      </w:r>
      <w:r>
        <w:rPr>
          <w:rFonts w:hint="eastAsia" w:ascii="宋体" w:hAnsi="宋体" w:cs="宋体"/>
          <w:b/>
          <w:color w:val="auto"/>
          <w:sz w:val="24"/>
        </w:rPr>
        <w:t>平等对待内外资企业</w:t>
      </w:r>
    </w:p>
    <w:p>
      <w:pPr>
        <w:spacing w:line="360" w:lineRule="auto"/>
        <w:ind w:firstLine="480" w:firstLineChars="200"/>
        <w:rPr>
          <w:rFonts w:ascii="宋体" w:hAnsi="宋体" w:cs="宋体"/>
          <w:color w:val="auto"/>
          <w:sz w:val="24"/>
        </w:rPr>
      </w:pPr>
      <w:r>
        <w:rPr>
          <w:rFonts w:hint="eastAsia" w:ascii="宋体" w:hAnsi="宋体" w:cs="宋体"/>
          <w:color w:val="auto"/>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631"/>
        <w:ind w:firstLine="0"/>
        <w:rPr>
          <w:b/>
          <w:bCs/>
          <w:color w:val="auto"/>
        </w:rPr>
      </w:pPr>
      <w:r>
        <w:rPr>
          <w:rFonts w:hint="eastAsia" w:cs="宋体" w:asciiTheme="minorEastAsia" w:hAnsiTheme="minorEastAsia" w:eastAsiaTheme="minorEastAsia"/>
          <w:b/>
          <w:color w:val="auto"/>
        </w:rPr>
        <w:t>6.</w:t>
      </w:r>
      <w:r>
        <w:rPr>
          <w:rFonts w:hint="eastAsia"/>
          <w:b/>
          <w:color w:val="auto"/>
        </w:rPr>
        <w:t>平等对待符合条件的破产重整企业</w:t>
      </w:r>
    </w:p>
    <w:p>
      <w:pPr>
        <w:pStyle w:val="631"/>
        <w:rPr>
          <w:color w:val="auto"/>
        </w:rPr>
      </w:pPr>
      <w:r>
        <w:rPr>
          <w:rFonts w:hint="eastAsia" w:cs="宋体"/>
          <w:color w:val="auto"/>
        </w:rPr>
        <w:t>平等对待符合条件的破产重整企业，切实保障企业公平竞争，平等维护企业的合法利益。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rPr>
      </w:pPr>
    </w:p>
    <w:p>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pPr>
        <w:spacing w:line="360" w:lineRule="auto"/>
        <w:ind w:firstLine="480" w:firstLineChars="200"/>
        <w:rPr>
          <w:rFonts w:hint="eastAsia" w:cs="Times New Roman"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w:t>
      </w:r>
      <w:r>
        <w:rPr>
          <w:rFonts w:hint="eastAsia" w:cs="Times New Roman" w:asciiTheme="minorEastAsia" w:hAnsiTheme="minorEastAsia" w:eastAsiaTheme="minorEastAsia"/>
          <w:color w:val="auto"/>
          <w:sz w:val="24"/>
          <w:lang w:val="zh-CN"/>
        </w:rPr>
        <w:t>害的，均可依照相关规定提起质疑和投诉。</w:t>
      </w:r>
    </w:p>
    <w:p>
      <w:pPr>
        <w:spacing w:line="360" w:lineRule="auto"/>
        <w:ind w:firstLine="480" w:firstLineChars="200"/>
        <w:rPr>
          <w:rFonts w:hint="eastAsia" w:cs="Times New Roman" w:asciiTheme="minorEastAsia" w:hAnsiTheme="minorEastAsia" w:eastAsiaTheme="minorEastAsia"/>
          <w:color w:val="auto"/>
          <w:sz w:val="24"/>
          <w:lang w:val="zh-CN" w:eastAsia="zh-CN"/>
        </w:rPr>
      </w:pPr>
      <w:r>
        <w:rPr>
          <w:rFonts w:hint="eastAsia" w:cs="Times New Roman" w:asciiTheme="minorEastAsia" w:hAnsiTheme="minorEastAsia" w:eastAsiaTheme="minorEastAsia"/>
          <w:color w:val="auto"/>
          <w:sz w:val="24"/>
          <w:lang w:val="zh-CN"/>
        </w:rPr>
        <w:t>询问联系部门：北海市政府采购中心</w:t>
      </w:r>
      <w:r>
        <w:rPr>
          <w:rFonts w:hint="eastAsia" w:cs="Times New Roman" w:asciiTheme="minorEastAsia" w:hAnsiTheme="minorEastAsia" w:eastAsiaTheme="minorEastAsia"/>
          <w:color w:val="auto"/>
          <w:sz w:val="24"/>
          <w:lang w:val="zh-CN" w:eastAsia="zh-CN"/>
        </w:rPr>
        <w:t>采购一</w:t>
      </w:r>
      <w:r>
        <w:rPr>
          <w:rFonts w:hint="eastAsia" w:cs="Times New Roman" w:asciiTheme="minorEastAsia" w:hAnsiTheme="minorEastAsia" w:eastAsiaTheme="minorEastAsia"/>
          <w:color w:val="auto"/>
          <w:sz w:val="24"/>
          <w:lang w:val="zh-CN"/>
        </w:rPr>
        <w:t>科</w:t>
      </w:r>
      <w:r>
        <w:rPr>
          <w:rFonts w:hint="eastAsia" w:cs="Times New Roman" w:asciiTheme="minorEastAsia" w:hAnsiTheme="minorEastAsia" w:eastAsiaTheme="minorEastAsia"/>
          <w:color w:val="auto"/>
          <w:sz w:val="24"/>
          <w:lang w:val="zh-CN" w:eastAsia="zh-CN"/>
        </w:rPr>
        <w:t>，</w:t>
      </w:r>
      <w:r>
        <w:rPr>
          <w:rFonts w:hint="eastAsia" w:cs="Times New Roman" w:asciiTheme="minorEastAsia" w:hAnsiTheme="minorEastAsia" w:eastAsiaTheme="minorEastAsia"/>
          <w:color w:val="auto"/>
          <w:sz w:val="24"/>
          <w:lang w:val="zh-CN"/>
        </w:rPr>
        <w:t>联系电话：</w:t>
      </w:r>
      <w:r>
        <w:rPr>
          <w:rFonts w:hint="eastAsia" w:cs="Times New Roman" w:asciiTheme="minorEastAsia" w:hAnsiTheme="minorEastAsia" w:eastAsiaTheme="minorEastAsia"/>
          <w:color w:val="auto"/>
          <w:sz w:val="24"/>
          <w:lang w:val="zh-CN" w:eastAsia="zh-CN"/>
        </w:rPr>
        <w:t>0779-3071101</w:t>
      </w:r>
      <w:r>
        <w:rPr>
          <w:rFonts w:hint="eastAsia" w:cs="Times New Roman" w:asciiTheme="minorEastAsia" w:hAnsiTheme="minorEastAsia" w:eastAsiaTheme="minorEastAsia"/>
          <w:color w:val="auto"/>
          <w:sz w:val="24"/>
          <w:lang w:val="en-US" w:eastAsia="zh-CN"/>
        </w:rPr>
        <w:t>，</w:t>
      </w:r>
      <w:r>
        <w:rPr>
          <w:rFonts w:hint="eastAsia" w:cs="Times New Roman" w:asciiTheme="minorEastAsia" w:hAnsiTheme="minorEastAsia" w:eastAsiaTheme="minorEastAsia"/>
          <w:color w:val="auto"/>
          <w:sz w:val="24"/>
          <w:lang w:val="zh-CN"/>
        </w:rPr>
        <w:t>地址：北海市海城区陈文村北路7号市直机关第三办公区2号楼一层</w:t>
      </w:r>
      <w:r>
        <w:rPr>
          <w:rFonts w:hint="eastAsia" w:cs="Times New Roman" w:asciiTheme="minorEastAsia" w:hAnsiTheme="minorEastAsia" w:eastAsiaTheme="minorEastAsia"/>
          <w:color w:val="auto"/>
          <w:sz w:val="24"/>
          <w:lang w:val="zh-CN" w:eastAsia="zh-CN"/>
        </w:rPr>
        <w:t>。</w:t>
      </w:r>
    </w:p>
    <w:p>
      <w:pPr>
        <w:spacing w:line="360" w:lineRule="auto"/>
        <w:ind w:firstLine="480" w:firstLineChars="200"/>
        <w:rPr>
          <w:rFonts w:hint="eastAsia" w:cs="Times New Roman" w:asciiTheme="minorEastAsia" w:hAnsiTheme="minorEastAsia" w:eastAsiaTheme="minorEastAsia"/>
          <w:color w:val="auto"/>
          <w:sz w:val="24"/>
          <w:lang w:val="zh-CN"/>
        </w:rPr>
      </w:pPr>
      <w:r>
        <w:rPr>
          <w:rFonts w:hint="eastAsia" w:cs="Times New Roman" w:asciiTheme="minorEastAsia" w:hAnsiTheme="minorEastAsia" w:eastAsiaTheme="minorEastAsia"/>
          <w:color w:val="auto"/>
          <w:sz w:val="24"/>
          <w:lang w:val="zh-CN"/>
        </w:rPr>
        <w:t>质疑联系部门：北海市政府采购中心监督科</w:t>
      </w:r>
      <w:r>
        <w:rPr>
          <w:rFonts w:hint="eastAsia" w:cs="Times New Roman" w:asciiTheme="minorEastAsia" w:hAnsiTheme="minorEastAsia" w:eastAsiaTheme="minorEastAsia"/>
          <w:color w:val="auto"/>
          <w:sz w:val="24"/>
          <w:lang w:val="zh-CN" w:eastAsia="zh-CN"/>
        </w:rPr>
        <w:t>，</w:t>
      </w:r>
      <w:r>
        <w:rPr>
          <w:rFonts w:hint="eastAsia" w:cs="Times New Roman" w:asciiTheme="minorEastAsia" w:hAnsiTheme="minorEastAsia" w:eastAsiaTheme="minorEastAsia"/>
          <w:color w:val="auto"/>
          <w:sz w:val="24"/>
          <w:lang w:val="zh-CN"/>
        </w:rPr>
        <w:t>联系电话：</w:t>
      </w:r>
      <w:r>
        <w:rPr>
          <w:rFonts w:hint="eastAsia" w:cs="Times New Roman" w:asciiTheme="minorEastAsia" w:hAnsiTheme="minorEastAsia" w:eastAsiaTheme="minorEastAsia"/>
          <w:color w:val="auto"/>
          <w:sz w:val="24"/>
          <w:lang w:val="en-US" w:eastAsia="zh-CN"/>
        </w:rPr>
        <w:t>0779-3960826，</w:t>
      </w:r>
      <w:r>
        <w:rPr>
          <w:rFonts w:hint="eastAsia" w:cs="Times New Roman" w:asciiTheme="minorEastAsia" w:hAnsiTheme="minorEastAsia" w:eastAsiaTheme="minorEastAsia"/>
          <w:color w:val="auto"/>
          <w:sz w:val="24"/>
          <w:lang w:val="zh-CN"/>
        </w:rPr>
        <w:t>地址：北海市海城区陈文村北路7号市直机关第三办公区2号楼一层</w:t>
      </w:r>
      <w:r>
        <w:rPr>
          <w:rFonts w:hint="eastAsia" w:cs="Times New Roman" w:asciiTheme="minorEastAsia" w:hAnsiTheme="minorEastAsia" w:eastAsiaTheme="minorEastAsia"/>
          <w:color w:val="auto"/>
          <w:sz w:val="24"/>
          <w:lang w:val="zh-CN" w:eastAsia="zh-CN"/>
        </w:rPr>
        <w:t>。</w:t>
      </w:r>
      <w:r>
        <w:rPr>
          <w:rFonts w:hint="eastAsia" w:cs="Times New Roman" w:asciiTheme="minorEastAsia" w:hAnsiTheme="minorEastAsia" w:eastAsiaTheme="minorEastAsia"/>
          <w:color w:val="auto"/>
          <w:sz w:val="24"/>
          <w:lang w:val="zh-CN"/>
        </w:rPr>
        <w:t xml:space="preserve"> </w:t>
      </w:r>
    </w:p>
    <w:p>
      <w:pPr>
        <w:spacing w:line="360" w:lineRule="auto"/>
        <w:ind w:firstLine="480" w:firstLineChars="200"/>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zh-CN"/>
        </w:rPr>
        <w:t>投诉联系部门：北海市财政局</w:t>
      </w:r>
      <w:r>
        <w:rPr>
          <w:rFonts w:hint="eastAsia" w:cs="Times New Roman" w:asciiTheme="minorEastAsia" w:hAnsiTheme="minorEastAsia" w:eastAsiaTheme="minorEastAsia"/>
          <w:color w:val="auto"/>
          <w:sz w:val="24"/>
          <w:lang w:val="zh-CN" w:eastAsia="zh-CN"/>
        </w:rPr>
        <w:t>，</w:t>
      </w:r>
      <w:r>
        <w:rPr>
          <w:rFonts w:hint="eastAsia" w:cs="Times New Roman" w:asciiTheme="minorEastAsia" w:hAnsiTheme="minorEastAsia" w:eastAsiaTheme="minorEastAsia"/>
          <w:color w:val="auto"/>
          <w:sz w:val="24"/>
          <w:lang w:val="zh-CN"/>
        </w:rPr>
        <w:t>联系电话：0779-306397</w:t>
      </w:r>
      <w:r>
        <w:rPr>
          <w:rFonts w:hint="eastAsia" w:cs="Times New Roman" w:asciiTheme="minorEastAsia" w:hAnsiTheme="minorEastAsia" w:eastAsiaTheme="minorEastAsia"/>
          <w:color w:val="auto"/>
          <w:sz w:val="24"/>
          <w:lang w:val="en-US" w:eastAsia="zh-CN"/>
        </w:rPr>
        <w:t>5，</w:t>
      </w:r>
      <w:r>
        <w:rPr>
          <w:rFonts w:hint="eastAsia" w:cs="Times New Roman" w:asciiTheme="minorEastAsia" w:hAnsiTheme="minorEastAsia" w:eastAsiaTheme="minorEastAsia"/>
          <w:color w:val="auto"/>
          <w:sz w:val="24"/>
          <w:lang w:val="zh-CN"/>
        </w:rPr>
        <w:t>地址：北海市海城区北部湾西路19号</w:t>
      </w:r>
      <w:r>
        <w:rPr>
          <w:rFonts w:hint="eastAsia" w:cs="Times New Roman" w:asciiTheme="minorEastAsia" w:hAnsiTheme="minorEastAsia" w:eastAsiaTheme="minorEastAsia"/>
          <w:color w:val="auto"/>
          <w:sz w:val="24"/>
          <w:lang w:val="en-US" w:eastAsia="zh-CN"/>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pPr>
        <w:pStyle w:val="32"/>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pPr>
        <w:pStyle w:val="32"/>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3.2.1根据采购人与采购代理机构签订的采购委托协议，质疑答复责任主体如下：</w:t>
      </w:r>
    </w:p>
    <w:p>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5034"/>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2" w:type="dxa"/>
            <w:gridSpan w:val="2"/>
            <w:vAlign w:val="center"/>
          </w:tcPr>
          <w:p>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22" w:type="dxa"/>
            <w:vAlign w:val="center"/>
          </w:tcPr>
          <w:p>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5034" w:type="dxa"/>
            <w:vAlign w:val="center"/>
          </w:tcPr>
          <w:p>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对采购文件中特定资格条件、采购需求提出的质疑</w:t>
            </w:r>
          </w:p>
        </w:tc>
        <w:tc>
          <w:tcPr>
            <w:tcW w:w="2222" w:type="dxa"/>
            <w:vAlign w:val="center"/>
          </w:tcPr>
          <w:p>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auto"/>
                <w:sz w:val="24"/>
              </w:rPr>
            </w:pPr>
          </w:p>
        </w:tc>
        <w:tc>
          <w:tcPr>
            <w:tcW w:w="5034" w:type="dxa"/>
            <w:vAlign w:val="center"/>
          </w:tcPr>
          <w:p>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22" w:type="dxa"/>
            <w:vAlign w:val="center"/>
          </w:tcPr>
          <w:p>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5034" w:type="dxa"/>
            <w:vAlign w:val="center"/>
          </w:tcPr>
          <w:p>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22" w:type="dxa"/>
            <w:vAlign w:val="center"/>
          </w:tcPr>
          <w:p>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auto"/>
                <w:sz w:val="24"/>
              </w:rPr>
            </w:pPr>
          </w:p>
        </w:tc>
        <w:tc>
          <w:tcPr>
            <w:tcW w:w="5034" w:type="dxa"/>
            <w:vAlign w:val="center"/>
          </w:tcPr>
          <w:p>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22" w:type="dxa"/>
            <w:vAlign w:val="center"/>
          </w:tcPr>
          <w:p>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5034" w:type="dxa"/>
            <w:vAlign w:val="center"/>
          </w:tcPr>
          <w:p>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22" w:type="dxa"/>
            <w:vAlign w:val="center"/>
          </w:tcPr>
          <w:p>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bl>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注：采购人或代理机构应当协助质疑答复责任主体及时答复供应商的书面质疑。</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pPr>
        <w:pStyle w:val="32"/>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3.3.1.1</w:t>
      </w:r>
      <w:r>
        <w:rPr>
          <w:rFonts w:hint="eastAsia" w:asciiTheme="minorEastAsia" w:hAnsiTheme="minorEastAsia" w:eastAsiaTheme="minorEastAsia"/>
          <w:color w:val="auto"/>
          <w:sz w:val="24"/>
          <w:szCs w:val="24"/>
        </w:rPr>
        <w:t>供应商的姓名或者名称、地址、邮编、联系人及联系电话；</w:t>
      </w:r>
    </w:p>
    <w:p>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3.3.1.2</w:t>
      </w:r>
      <w:r>
        <w:rPr>
          <w:rFonts w:hint="eastAsia" w:asciiTheme="minorEastAsia" w:hAnsiTheme="minorEastAsia" w:eastAsiaTheme="minorEastAsia"/>
          <w:color w:val="auto"/>
          <w:sz w:val="24"/>
          <w:szCs w:val="24"/>
        </w:rPr>
        <w:t>质疑项目的名称、编号；</w:t>
      </w:r>
    </w:p>
    <w:p>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3.3.1.3</w:t>
      </w:r>
      <w:r>
        <w:rPr>
          <w:rFonts w:hint="eastAsia" w:asciiTheme="minorEastAsia" w:hAnsiTheme="minorEastAsia" w:eastAsiaTheme="minorEastAsia"/>
          <w:color w:val="auto"/>
          <w:sz w:val="24"/>
          <w:szCs w:val="24"/>
        </w:rPr>
        <w:t>具体、明确的质疑事项和与质疑事项相关的请求；</w:t>
      </w:r>
    </w:p>
    <w:p>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3.3.1.4</w:t>
      </w:r>
      <w:r>
        <w:rPr>
          <w:rFonts w:hint="eastAsia" w:asciiTheme="minorEastAsia" w:hAnsiTheme="minorEastAsia" w:eastAsiaTheme="minorEastAsia"/>
          <w:color w:val="auto"/>
          <w:sz w:val="24"/>
          <w:szCs w:val="24"/>
        </w:rPr>
        <w:t>事实依据；</w:t>
      </w:r>
    </w:p>
    <w:p>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3.3.1.5</w:t>
      </w:r>
      <w:r>
        <w:rPr>
          <w:rFonts w:hint="eastAsia" w:asciiTheme="minorEastAsia" w:hAnsiTheme="minorEastAsia" w:eastAsiaTheme="minorEastAsia"/>
          <w:color w:val="auto"/>
          <w:sz w:val="24"/>
          <w:szCs w:val="24"/>
        </w:rPr>
        <w:t>必要的法律依据；</w:t>
      </w:r>
    </w:p>
    <w:p>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3.3.1.6</w:t>
      </w:r>
      <w:r>
        <w:rPr>
          <w:rFonts w:hint="eastAsia" w:asciiTheme="minorEastAsia" w:hAnsiTheme="minorEastAsia" w:eastAsiaTheme="minorEastAsia"/>
          <w:color w:val="auto"/>
          <w:sz w:val="24"/>
          <w:szCs w:val="24"/>
        </w:rPr>
        <w:t>提出质疑的日期。</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3.3.2供应商提交的质疑函需一式三份。供应商为自然人的，应当由本人签字；供应商为法人或者其他组织的，应当由法定代表人、主要负责人，或者其授权代表签字或者盖章，并加盖公章。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pPr>
        <w:pStyle w:val="32"/>
        <w:spacing w:line="360" w:lineRule="auto"/>
        <w:ind w:firstLine="482" w:firstLineChars="200"/>
        <w:rPr>
          <w:rFonts w:asciiTheme="minorEastAsia" w:hAnsiTheme="minorEastAsia" w:eastAsiaTheme="minorEastAsia"/>
          <w:b/>
          <w:color w:val="auto"/>
          <w:sz w:val="24"/>
        </w:rPr>
      </w:pPr>
    </w:p>
    <w:p>
      <w:pPr>
        <w:adjustRightInd/>
        <w:spacing w:line="360" w:lineRule="auto"/>
        <w:jc w:val="center"/>
        <w:rPr>
          <w:rFonts w:cs="仿宋_GB2312" w:asciiTheme="minorEastAsia" w:hAnsiTheme="minorEastAsia" w:eastAsiaTheme="minorEastAsia"/>
          <w:b/>
          <w:color w:val="auto"/>
          <w:sz w:val="32"/>
          <w:szCs w:val="20"/>
        </w:rPr>
      </w:pPr>
    </w:p>
    <w:p>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五、谈判文件构成、修改、解释</w:t>
      </w:r>
    </w:p>
    <w:p>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1．谈判文件的构成</w:t>
      </w:r>
    </w:p>
    <w:p>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谈判文件包括下列文件及附件</w:t>
      </w:r>
    </w:p>
    <w:p>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邀请供应商</w:t>
      </w:r>
    </w:p>
    <w:p>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竞争性谈判流程</w:t>
      </w:r>
    </w:p>
    <w:p>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评定标准</w:t>
      </w:r>
    </w:p>
    <w:p>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澄清或者修改的内容为谈判文件的组成部分</w:t>
      </w:r>
      <w:r>
        <w:rPr>
          <w:rFonts w:hint="eastAsia" w:cs="仿宋_GB2312" w:asciiTheme="minorEastAsia" w:hAnsiTheme="minorEastAsia" w:eastAsiaTheme="minorEastAsia"/>
          <w:color w:val="auto"/>
          <w:sz w:val="24"/>
        </w:rPr>
        <w:t>。</w:t>
      </w:r>
    </w:p>
    <w:p>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谈判文件的</w:t>
      </w:r>
      <w:r>
        <w:rPr>
          <w:rFonts w:hint="eastAsia" w:cs="仿宋_GB2312" w:asciiTheme="minorEastAsia" w:hAnsiTheme="minorEastAsia" w:eastAsiaTheme="minorEastAsia"/>
          <w:b/>
          <w:color w:val="auto"/>
          <w:sz w:val="24"/>
          <w:szCs w:val="24"/>
        </w:rPr>
        <w:t>澄清、修改</w:t>
      </w:r>
    </w:p>
    <w:p>
      <w:pPr>
        <w:pStyle w:val="392"/>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2.1已获取谈判文件的潜在供应商，若有问题需要澄清，应于提交首次响应文件截止时间前，以书面形式向采购代理机构提出。</w:t>
      </w:r>
    </w:p>
    <w:p>
      <w:pPr>
        <w:pStyle w:val="392"/>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响应文件截止时间和响应文件开启时间。该澄清或者修改的内容为谈判文件的组成部分。</w:t>
      </w:r>
    </w:p>
    <w:p>
      <w:pPr>
        <w:pStyle w:val="392"/>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通知所有获取谈判文件的供应商；不足3个工作日的，采购人、采购代理机构应当顺延提交首次响应文件截止时间。</w:t>
      </w:r>
    </w:p>
    <w:p>
      <w:pPr>
        <w:pStyle w:val="392"/>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响应文件未按谈判文件的澄清、修改的内容编制，又不符合实质性要求的，响应无效。</w:t>
      </w:r>
    </w:p>
    <w:p>
      <w:pPr>
        <w:pStyle w:val="23"/>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响应文件应当包括以下主要内容（标注“</w:t>
      </w:r>
      <w:r>
        <w:rPr>
          <w:rFonts w:hint="eastAsia" w:asciiTheme="minorEastAsia" w:hAnsiTheme="minorEastAsia" w:eastAsiaTheme="minorEastAsia"/>
          <w:b/>
          <w:color w:val="auto"/>
        </w:rPr>
        <w:t>▲</w:t>
      </w:r>
      <w:r>
        <w:rPr>
          <w:rFonts w:hint="eastAsia" w:asciiTheme="minorEastAsia" w:hAnsiTheme="minorEastAsia" w:eastAsiaTheme="minorEastAsia"/>
          <w:color w:val="auto"/>
          <w:sz w:val="24"/>
        </w:rPr>
        <w:t>”为实质性要求，供应商必须提供，否则谈判无效。相关格式见谈判文件第七部分）：</w:t>
      </w:r>
    </w:p>
    <w:p>
      <w:pPr>
        <w:pStyle w:val="32"/>
        <w:spacing w:line="360" w:lineRule="auto"/>
        <w:ind w:firstLine="422" w:firstLineChars="200"/>
        <w:rPr>
          <w:rFonts w:asciiTheme="minorEastAsia" w:hAnsiTheme="minorEastAsia" w:eastAsiaTheme="minorEastAsia"/>
          <w:color w:val="auto"/>
          <w:sz w:val="24"/>
        </w:rPr>
      </w:pPr>
      <w:r>
        <w:rPr>
          <w:rFonts w:hint="eastAsia" w:asciiTheme="minorEastAsia" w:hAnsiTheme="minorEastAsia" w:eastAsiaTheme="minorEastAsia"/>
          <w:b/>
          <w:color w:val="auto"/>
        </w:rPr>
        <w:t>▲</w:t>
      </w:r>
      <w:r>
        <w:rPr>
          <w:rFonts w:hint="eastAsia" w:asciiTheme="minorEastAsia" w:hAnsiTheme="minorEastAsia" w:eastAsiaTheme="minorEastAsia"/>
          <w:color w:val="auto"/>
          <w:sz w:val="24"/>
        </w:rPr>
        <w:t>（1）响应函</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pPr>
        <w:pStyle w:val="32"/>
        <w:spacing w:line="360" w:lineRule="auto"/>
        <w:ind w:firstLine="42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rPr>
        <w:t>▲</w:t>
      </w: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pPr>
        <w:pStyle w:val="32"/>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pPr>
        <w:pStyle w:val="32"/>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pPr>
        <w:pStyle w:val="32"/>
        <w:spacing w:line="360" w:lineRule="auto"/>
        <w:ind w:firstLine="422" w:firstLineChars="200"/>
        <w:rPr>
          <w:rFonts w:asciiTheme="minorEastAsia" w:hAnsiTheme="minorEastAsia" w:eastAsiaTheme="minorEastAsia"/>
          <w:color w:val="auto"/>
          <w:sz w:val="24"/>
        </w:rPr>
      </w:pPr>
      <w:r>
        <w:rPr>
          <w:rFonts w:hint="eastAsia" w:asciiTheme="minorEastAsia" w:hAnsiTheme="minorEastAsia" w:eastAsiaTheme="minorEastAsia"/>
          <w:b/>
          <w:color w:val="auto"/>
        </w:rPr>
        <w:t>▲</w:t>
      </w: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如果有）（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关于对谈判文件中有关条款的拒绝声明 (如果有)</w:t>
      </w:r>
      <w:r>
        <w:rPr>
          <w:rFonts w:hint="eastAsia" w:asciiTheme="minorEastAsia" w:hAnsiTheme="minorEastAsia" w:eastAsiaTheme="minorEastAsia"/>
          <w:color w:val="auto"/>
          <w:sz w:val="24"/>
          <w:lang w:val="zh-CN"/>
        </w:rPr>
        <w:t xml:space="preserve"> ；</w:t>
      </w:r>
    </w:p>
    <w:p>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pPr>
        <w:pStyle w:val="32"/>
        <w:spacing w:line="360" w:lineRule="auto"/>
        <w:ind w:firstLine="42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rPr>
        <w:t>▲</w:t>
      </w:r>
      <w:r>
        <w:rPr>
          <w:rFonts w:hint="eastAsia" w:asciiTheme="minorEastAsia" w:hAnsiTheme="minorEastAsia" w:eastAsiaTheme="minorEastAsia"/>
          <w:color w:val="auto"/>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2"/>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pPr>
        <w:pStyle w:val="32"/>
        <w:spacing w:line="360" w:lineRule="auto"/>
        <w:ind w:firstLine="422"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b/>
          <w:color w:val="auto"/>
        </w:rPr>
        <w:t>▲</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pPr>
        <w:pStyle w:val="32"/>
        <w:spacing w:line="360" w:lineRule="auto"/>
        <w:ind w:firstLine="422"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b/>
          <w:color w:val="auto"/>
        </w:rPr>
        <w:t>▲</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8）</w:t>
      </w:r>
      <w:r>
        <w:rPr>
          <w:rFonts w:hint="eastAsia" w:cs="仿宋_GB2312" w:asciiTheme="minorEastAsia" w:hAnsiTheme="minorEastAsia" w:eastAsiaTheme="minorEastAsia"/>
          <w:color w:val="auto"/>
          <w:kern w:val="0"/>
          <w:sz w:val="24"/>
          <w:lang w:val="zh-CN"/>
        </w:rPr>
        <w:t>承诺函；</w:t>
      </w:r>
    </w:p>
    <w:p>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▲（19）商务、服务（技术）响应、偏离情况说明表；</w:t>
      </w:r>
    </w:p>
    <w:p>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▲（20）初始报价表。</w:t>
      </w:r>
    </w:p>
    <w:p>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3.1各供应商在编制响应文件时请按照谈判文件第七部分规定的格式进行，混乱的编排导致响应文件被误读或谈判小组查找不到有效文件是供应商的风险。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3.2供应商进行电子交易应安装客户端软件—“广西政府采购云平台电子交易客户端”，并按照谈判文件和电子交易平台的要求编制并加密响应文件。供应商未按规定加密的响应文件，电子交易平台将拒收并提示。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3.3使用“广西政府采购云平台电子交易客户端”需要提前申领CA数字证书，申领流程请自行前往“</w:t>
      </w:r>
      <w:r>
        <w:rPr>
          <w:rFonts w:hint="eastAsia" w:ascii="宋体" w:hAnsi="宋体" w:cs="宋体"/>
          <w:color w:val="auto"/>
          <w:sz w:val="24"/>
        </w:rPr>
        <w:t>广西政府采购网（http://zfcg.gxzf.gov.cn/）—办事服务—下载专区</w:t>
      </w:r>
      <w:r>
        <w:rPr>
          <w:rFonts w:hint="eastAsia" w:ascii="宋体" w:hAnsi="宋体" w:cs="宋体"/>
          <w:color w:val="auto"/>
          <w:kern w:val="0"/>
          <w:sz w:val="24"/>
          <w:lang w:val="zh-CN"/>
        </w:rPr>
        <w:t>”进行查阅</w:t>
      </w:r>
    </w:p>
    <w:p>
      <w:pPr>
        <w:pStyle w:val="392"/>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3.4响应文件按照谈判文件第七部分格式要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供应商的响应文件未按照谈判文件要求签署、盖章的，其响应无效</w:t>
      </w:r>
      <w:r>
        <w:rPr>
          <w:rFonts w:hint="eastAsia" w:cs="仿宋_GB2312" w:asciiTheme="minorEastAsia" w:hAnsiTheme="minorEastAsia" w:eastAsiaTheme="minorEastAsia"/>
          <w:color w:val="auto"/>
          <w:szCs w:val="24"/>
        </w:rPr>
        <w:t>。</w:t>
      </w:r>
    </w:p>
    <w:p>
      <w:pPr>
        <w:pStyle w:val="392"/>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3.5为确保网上操作合法、有效和安全，供应商应当在响应截止时间前完成在“广西政府采购云平台”的身份认证，确保在电子交易过程中能够对相关数据电文进行加密和使用电子签名。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3.6谈判文件对响应文件签署、盖章的要求适用于电子签名、CA签章以及谈判文件明确允许的其他方式。</w:t>
      </w:r>
    </w:p>
    <w:p>
      <w:pPr>
        <w:pStyle w:val="32"/>
        <w:spacing w:line="360" w:lineRule="auto"/>
        <w:ind w:firstLine="480" w:firstLineChars="200"/>
        <w:rPr>
          <w:rFonts w:cs="仿宋_GB2312" w:asciiTheme="minorEastAsia" w:hAnsiTheme="minorEastAsia" w:eastAsiaTheme="minorEastAsia"/>
          <w:color w:val="auto"/>
          <w:sz w:val="24"/>
          <w:szCs w:val="24"/>
        </w:rPr>
      </w:pPr>
    </w:p>
    <w:p>
      <w:pPr>
        <w:adjustRightInd/>
        <w:spacing w:line="360" w:lineRule="auto"/>
        <w:jc w:val="center"/>
        <w:rPr>
          <w:rFonts w:cs="仿宋_GB2312" w:asciiTheme="minorEastAsia" w:hAnsiTheme="minorEastAsia" w:eastAsiaTheme="minorEastAsia"/>
          <w:b/>
          <w:color w:val="auto"/>
          <w:sz w:val="32"/>
          <w:szCs w:val="20"/>
        </w:rPr>
      </w:pPr>
    </w:p>
    <w:p>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pPr>
        <w:pStyle w:val="392"/>
        <w:spacing w:before="0"/>
        <w:ind w:firstLine="0" w:firstLineChars="0"/>
        <w:rPr>
          <w:rFonts w:cs="仿宋_GB2312" w:asciiTheme="minorEastAsia" w:hAnsiTheme="minorEastAsia" w:eastAsiaTheme="minorEastAsia"/>
          <w:b/>
          <w:color w:val="auto"/>
          <w:szCs w:val="24"/>
        </w:rPr>
      </w:pPr>
    </w:p>
    <w:p>
      <w:pPr>
        <w:pStyle w:val="392"/>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pPr>
        <w:pStyle w:val="392"/>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在提交“最后报价”后，供应商不能退出谈判。</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1.5 采购代理机构可以视情况延长提交响应文件的截止时间。在上述情况下，采购代理机构与供应商以前在响应截止期方面的全部权利、责任和义务，将适用于延长至新的响应截止期。</w:t>
      </w:r>
    </w:p>
    <w:p>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但采购人、采购代理机构不强制或变相强制供应商提交备份响应文件。</w:t>
      </w:r>
    </w:p>
    <w:p>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备份响应文件须在“广西政府采购云平台投标客户端”制作生成，并储存在不可修改的</w:t>
      </w:r>
      <w:r>
        <w:rPr>
          <w:rFonts w:hint="eastAsia" w:asciiTheme="minorEastAsia" w:hAnsiTheme="minorEastAsia" w:eastAsiaTheme="minorEastAsia"/>
          <w:b/>
          <w:color w:val="auto"/>
          <w:sz w:val="24"/>
        </w:rPr>
        <w:t>电子光盘等存储介质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pPr>
        <w:pStyle w:val="32"/>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直接提交备份响应文件的，供应商应于响应截止时间前在谈判公告中载明的开启响应文件的地点将备份响应文件提交给采购代理机构，采购代理机构将拒绝接受逾期送达的备份响应文件。</w:t>
      </w:r>
    </w:p>
    <w:p>
      <w:pPr>
        <w:pStyle w:val="32"/>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谈判文件第三部分供应商须知前附表规定的备份响应文件送达地点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pPr>
        <w:spacing w:line="360" w:lineRule="auto"/>
        <w:rPr>
          <w:rFonts w:ascii="宋体" w:hAnsi="宋体" w:cs="宋体"/>
          <w:b/>
          <w:snapToGrid w:val="0"/>
          <w:color w:val="auto"/>
        </w:rPr>
      </w:pPr>
      <w:r>
        <w:rPr>
          <w:rFonts w:hint="eastAsia" w:cs="仿宋_GB2312" w:asciiTheme="minorEastAsia" w:hAnsiTheme="minorEastAsia" w:eastAsiaTheme="minorEastAsia"/>
          <w:b/>
          <w:color w:val="auto"/>
          <w:sz w:val="24"/>
        </w:rPr>
        <w:t>3.</w:t>
      </w:r>
      <w:r>
        <w:rPr>
          <w:rFonts w:hint="eastAsia" w:ascii="宋体" w:hAnsi="宋体" w:cs="宋体"/>
          <w:b/>
          <w:snapToGrid w:val="0"/>
          <w:color w:val="auto"/>
          <w:kern w:val="28"/>
          <w:sz w:val="24"/>
        </w:rPr>
        <w:t>谈判保证金</w:t>
      </w:r>
    </w:p>
    <w:p>
      <w:pPr>
        <w:widowControl/>
        <w:snapToGrid w:val="0"/>
        <w:spacing w:line="360" w:lineRule="auto"/>
        <w:ind w:firstLine="470" w:firstLineChars="196"/>
        <w:rPr>
          <w:rFonts w:hint="eastAsia" w:ascii="宋体" w:hAnsi="宋体" w:eastAsia="宋体" w:cs="宋体"/>
          <w:snapToGrid w:val="0"/>
          <w:color w:val="auto"/>
          <w:kern w:val="28"/>
          <w:sz w:val="24"/>
          <w:szCs w:val="20"/>
          <w:lang w:eastAsia="zh-CN"/>
        </w:rPr>
      </w:pPr>
      <w:r>
        <w:rPr>
          <w:rFonts w:hint="eastAsia" w:ascii="宋体" w:hAnsi="宋体" w:cs="宋体"/>
          <w:snapToGrid w:val="0"/>
          <w:color w:val="auto"/>
          <w:kern w:val="28"/>
          <w:sz w:val="24"/>
          <w:szCs w:val="20"/>
          <w:lang w:eastAsia="zh-CN"/>
        </w:rPr>
        <w:t>本项目不收取谈判保证金。</w:t>
      </w:r>
    </w:p>
    <w:p>
      <w:pPr>
        <w:pStyle w:val="32"/>
        <w:spacing w:line="360" w:lineRule="auto"/>
        <w:ind w:firstLine="360" w:firstLineChars="150"/>
        <w:rPr>
          <w:rFonts w:cs="仿宋_GB2312" w:asciiTheme="minorEastAsia" w:hAnsiTheme="minorEastAsia" w:eastAsiaTheme="minorEastAsia"/>
          <w:color w:val="auto"/>
          <w:sz w:val="24"/>
          <w:szCs w:val="24"/>
        </w:rPr>
      </w:pPr>
    </w:p>
    <w:p>
      <w:pPr>
        <w:adjustRightInd/>
        <w:spacing w:line="360" w:lineRule="auto"/>
        <w:jc w:val="center"/>
        <w:rPr>
          <w:rFonts w:cs="仿宋_GB2312" w:asciiTheme="minorEastAsia" w:hAnsiTheme="minorEastAsia" w:eastAsiaTheme="minorEastAsia"/>
          <w:b/>
          <w:color w:val="auto"/>
          <w:sz w:val="32"/>
          <w:szCs w:val="20"/>
        </w:rPr>
      </w:pPr>
    </w:p>
    <w:p>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pPr>
        <w:pStyle w:val="32"/>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pPr>
        <w:pStyle w:val="32"/>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1.2开启响应文件时，电子交易平台按开启响应文件时间自动提取所有响应文件。采购代理机构依托电子交易平台发起开始解密指令，供应商按照平台提示和谈判文件的规定在半小时内完成在线解密。</w:t>
      </w:r>
    </w:p>
    <w:p>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pPr>
        <w:pStyle w:val="392"/>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2.1信用信息查询渠道及截止时间：采购人或采购代理机构将通过“信用中国”网站(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pPr>
        <w:pStyle w:val="392"/>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pPr>
        <w:pStyle w:val="392"/>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pPr>
        <w:pStyle w:val="392"/>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2"/>
        <w:spacing w:line="360" w:lineRule="auto"/>
        <w:rPr>
          <w:rFonts w:cs="仿宋_GB2312" w:asciiTheme="minorEastAsia" w:hAnsiTheme="minorEastAsia" w:eastAsiaTheme="minorEastAsia"/>
          <w:b/>
          <w:color w:val="auto"/>
          <w:sz w:val="24"/>
          <w:szCs w:val="24"/>
        </w:rPr>
      </w:pPr>
    </w:p>
    <w:p>
      <w:pPr>
        <w:adjustRightInd/>
        <w:spacing w:line="360" w:lineRule="auto"/>
        <w:jc w:val="center"/>
        <w:outlineLvl w:val="1"/>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w:t>
      </w:r>
    </w:p>
    <w:p>
      <w:pPr>
        <w:pStyle w:val="32"/>
        <w:snapToGrid w:val="0"/>
        <w:spacing w:line="360" w:lineRule="auto"/>
        <w:ind w:firstLine="422" w:firstLineChars="200"/>
        <w:rPr>
          <w:rFonts w:cs="仿宋_GB2312" w:asciiTheme="minorEastAsia" w:hAnsiTheme="minorEastAsia" w:eastAsiaTheme="minorEastAsia"/>
          <w:color w:val="auto"/>
          <w:sz w:val="24"/>
          <w:szCs w:val="24"/>
        </w:rPr>
      </w:pPr>
      <w:r>
        <w:rPr>
          <w:rFonts w:hint="eastAsia" w:asciiTheme="minorEastAsia" w:hAnsiTheme="minorEastAsia" w:eastAsiaTheme="minorEastAsia"/>
          <w:b/>
          <w:color w:val="auto"/>
        </w:rPr>
        <w:t>▲</w:t>
      </w:r>
      <w:r>
        <w:rPr>
          <w:rFonts w:hint="eastAsia" w:cs="仿宋_GB2312" w:asciiTheme="minorEastAsia" w:hAnsiTheme="minorEastAsia" w:eastAsiaTheme="minorEastAsia"/>
          <w:color w:val="auto"/>
          <w:sz w:val="24"/>
          <w:szCs w:val="24"/>
        </w:rPr>
        <w:t>1.1最后报价一览表；</w:t>
      </w:r>
    </w:p>
    <w:p>
      <w:pPr>
        <w:pStyle w:val="32"/>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1.2中小企业声明函（如果有）。</w:t>
      </w:r>
    </w:p>
    <w:p>
      <w:pPr>
        <w:adjustRightInd/>
        <w:spacing w:line="360" w:lineRule="auto"/>
        <w:jc w:val="center"/>
        <w:rPr>
          <w:rFonts w:cs="仿宋_GB2312" w:asciiTheme="minorEastAsia" w:hAnsiTheme="minorEastAsia" w:eastAsiaTheme="minorEastAsia"/>
          <w:b/>
          <w:color w:val="auto"/>
          <w:sz w:val="32"/>
          <w:szCs w:val="20"/>
        </w:rPr>
      </w:pPr>
    </w:p>
    <w:p>
      <w:pPr>
        <w:adjustRightInd/>
        <w:spacing w:line="360" w:lineRule="auto"/>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pPr>
        <w:pStyle w:val="392"/>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1. 评审要求：</w:t>
      </w:r>
      <w:r>
        <w:rPr>
          <w:rFonts w:hint="eastAsia" w:cs="仿宋_GB2312" w:asciiTheme="minorEastAsia" w:hAnsiTheme="minorEastAsia" w:eastAsiaTheme="minorEastAsia"/>
          <w:color w:val="auto"/>
        </w:rPr>
        <w:t>详见谈判文件第五部分“评定标准”。</w:t>
      </w:r>
    </w:p>
    <w:p>
      <w:pPr>
        <w:adjustRightInd/>
        <w:spacing w:line="360" w:lineRule="auto"/>
        <w:jc w:val="center"/>
        <w:rPr>
          <w:rFonts w:cs="仿宋_GB2312" w:asciiTheme="minorEastAsia" w:hAnsiTheme="minorEastAsia" w:eastAsiaTheme="minorEastAsia"/>
          <w:color w:val="auto"/>
          <w:sz w:val="24"/>
        </w:rPr>
      </w:pPr>
    </w:p>
    <w:p>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优到劣的原则推荐成交候选人。</w:t>
      </w:r>
    </w:p>
    <w:p>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pPr>
        <w:spacing w:line="360" w:lineRule="auto"/>
        <w:ind w:firstLine="480" w:firstLineChars="20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p>
    <w:p>
      <w:pPr>
        <w:spacing w:line="360" w:lineRule="auto"/>
        <w:ind w:firstLine="480" w:firstLineChars="20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采购人及其委托的采购代理机构的名称、地址、联系方式，项目名称和项目编号，成交人名称、地址和成交金额，主要成交标的的名称、规格型号、数量、单价、服务要求，</w:t>
      </w:r>
      <w:bookmarkStart w:id="51" w:name="_Hlk101184471"/>
      <w:r>
        <w:rPr>
          <w:rFonts w:hint="eastAsia" w:cs="宋体" w:asciiTheme="minorEastAsia" w:hAnsiTheme="minorEastAsia" w:eastAsiaTheme="minorEastAsia"/>
          <w:color w:val="auto"/>
          <w:sz w:val="24"/>
        </w:rPr>
        <w:t>评审专家抽取规则、</w:t>
      </w:r>
      <w:bookmarkEnd w:id="51"/>
      <w:r>
        <w:rPr>
          <w:rFonts w:hint="eastAsia" w:cs="宋体" w:asciiTheme="minorEastAsia" w:hAnsiTheme="minorEastAsia" w:eastAsiaTheme="minorEastAsia"/>
          <w:color w:val="auto"/>
          <w:sz w:val="24"/>
        </w:rPr>
        <w:t>未成交情况说明、成交公告期限以及评审专家名单、成交供应商和未成交供应商的</w:t>
      </w:r>
      <w:r>
        <w:rPr>
          <w:rFonts w:hint="eastAsia" w:ascii="宋体" w:hAnsi="宋体" w:cs="宋体"/>
          <w:color w:val="auto"/>
          <w:sz w:val="24"/>
        </w:rPr>
        <w:t>评审报价</w:t>
      </w:r>
      <w:r>
        <w:rPr>
          <w:rFonts w:hint="eastAsia" w:cs="宋体" w:asciiTheme="minorEastAsia" w:hAnsiTheme="minorEastAsia" w:eastAsiaTheme="minorEastAsia"/>
          <w:color w:val="auto"/>
          <w:sz w:val="24"/>
        </w:rPr>
        <w:t>及排名。</w:t>
      </w:r>
    </w:p>
    <w:p>
      <w:pPr>
        <w:spacing w:line="360" w:lineRule="auto"/>
        <w:ind w:firstLine="480" w:firstLineChars="20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outlineLvl w:val="1"/>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 w:val="24"/>
        </w:rPr>
        <w:t>2.1</w:t>
      </w:r>
      <w:r>
        <w:rPr>
          <w:rFonts w:hint="eastAsia" w:ascii="宋体" w:hAnsi="宋体" w:cs="宋体"/>
          <w:color w:val="auto"/>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pStyle w:val="392"/>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谈判文件、响应文件等内容通过政府采购电子交易平台在线签订，自动备案。</w:t>
      </w:r>
    </w:p>
    <w:p>
      <w:pPr>
        <w:pStyle w:val="392"/>
        <w:snapToGrid w:val="0"/>
        <w:spacing w:before="0"/>
        <w:ind w:firstLine="480"/>
        <w:rPr>
          <w:rFonts w:ascii="宋体" w:hAnsi="宋体" w:cs="宋体"/>
          <w:color w:val="auto"/>
        </w:rPr>
      </w:pPr>
      <w:r>
        <w:rPr>
          <w:rFonts w:hint="eastAsia" w:ascii="宋体" w:hAnsi="宋体" w:cs="宋体"/>
          <w:color w:val="auto"/>
        </w:rPr>
        <w:t>2.7政采贷</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（四）贷款发放。贷款金融机构根据贷款协议向供应商发放贷款。</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（六）业务终止。贷款偿清后，贷款金融机构或北海市小微企业融资担保有限公司及时办理应收账款质押注销登记，业务终止。</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注：相关合作银行的具体操作流程详见北海市政府采购中心首页“政采贷”板块。</w:t>
      </w:r>
    </w:p>
    <w:p>
      <w:pPr>
        <w:pStyle w:val="631"/>
        <w:rPr>
          <w:color w:val="auto"/>
        </w:rPr>
      </w:pPr>
      <w:r>
        <w:rPr>
          <w:rFonts w:hint="eastAsia" w:cs="宋体"/>
          <w:color w:val="auto"/>
        </w:rPr>
        <w:t>对于列入《政府采购信用白名单》的供应商，在获取“政采贷”流水贷产品时给予更高的授信额度，在申请“政采贷”合同贷产品时，可享受较低的贷款利率，同时信用白名单供应商获得信贷时长进一步缩短。</w:t>
      </w:r>
    </w:p>
    <w:p>
      <w:pPr>
        <w:autoSpaceDE w:val="0"/>
        <w:autoSpaceDN w:val="0"/>
        <w:adjustRightInd/>
        <w:snapToGrid w:val="0"/>
        <w:spacing w:line="360" w:lineRule="auto"/>
        <w:ind w:firstLine="480" w:firstLineChars="200"/>
        <w:textAlignment w:val="bottom"/>
        <w:rPr>
          <w:rFonts w:ascii="宋体" w:hAnsi="宋体" w:cs="宋体"/>
          <w:color w:val="auto"/>
          <w:sz w:val="24"/>
          <w:szCs w:val="20"/>
        </w:rPr>
      </w:pPr>
      <w:r>
        <w:rPr>
          <w:rFonts w:hint="eastAsia" w:ascii="宋体" w:hAnsi="宋体" w:cs="宋体"/>
          <w:color w:val="auto"/>
          <w:sz w:val="24"/>
          <w:szCs w:val="20"/>
        </w:rPr>
        <w:t>供应商成交后可在“广西政府采购云”平台申请政采贷：操作路径：登录广西政府采购云平台-金融服务中心-【融资服务】，可在热门申请中选择产品直接申请。详见如下：</w:t>
      </w:r>
    </w:p>
    <w:p>
      <w:pPr>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（1）有贷款需求的供应商可以访问“广西政府采购云平台-金融服务-融资服务”栏目办理有关业务（链接：</w:t>
      </w:r>
      <w:r>
        <w:rPr>
          <w:color w:val="auto"/>
        </w:rPr>
        <w:fldChar w:fldCharType="begin"/>
      </w:r>
      <w:r>
        <w:rPr>
          <w:color w:val="auto"/>
        </w:rPr>
        <w:instrText xml:space="preserve"> HYPERLINK "https://jinrong.gcy.zfcg.gxzf.gov.cn/finance/loan/gx" </w:instrText>
      </w:r>
      <w:r>
        <w:rPr>
          <w:color w:val="auto"/>
        </w:rPr>
        <w:fldChar w:fldCharType="separate"/>
      </w:r>
      <w:r>
        <w:rPr>
          <w:rFonts w:ascii="宋体" w:hAnsi="宋体"/>
          <w:color w:val="auto"/>
          <w:kern w:val="0"/>
          <w:sz w:val="24"/>
          <w:szCs w:val="20"/>
        </w:rPr>
        <w:t>https://jinrong.gcy.zfcg.gxzf.gov.cn/finance/loan/gx</w:t>
      </w:r>
      <w:r>
        <w:rPr>
          <w:rFonts w:ascii="宋体" w:hAnsi="宋体"/>
          <w:color w:val="auto"/>
          <w:kern w:val="0"/>
          <w:sz w:val="24"/>
          <w:szCs w:val="20"/>
        </w:rPr>
        <w:fldChar w:fldCharType="end"/>
      </w:r>
      <w:r>
        <w:rPr>
          <w:rFonts w:hint="eastAsia" w:ascii="宋体" w:hAnsi="宋体"/>
          <w:color w:val="auto"/>
          <w:kern w:val="0"/>
          <w:sz w:val="24"/>
          <w:szCs w:val="20"/>
        </w:rPr>
        <w:t>）</w:t>
      </w:r>
    </w:p>
    <w:p>
      <w:pPr>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银行名称</w:t>
            </w:r>
          </w:p>
        </w:tc>
        <w:tc>
          <w:tcPr>
            <w:tcW w:w="1134"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联系电话</w:t>
            </w:r>
          </w:p>
        </w:tc>
        <w:tc>
          <w:tcPr>
            <w:tcW w:w="1701"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最高授信金额</w:t>
            </w:r>
          </w:p>
        </w:tc>
        <w:tc>
          <w:tcPr>
            <w:tcW w:w="993"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最长授信期限</w:t>
            </w:r>
          </w:p>
        </w:tc>
        <w:tc>
          <w:tcPr>
            <w:tcW w:w="850"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最低利率</w:t>
            </w:r>
          </w:p>
        </w:tc>
        <w:tc>
          <w:tcPr>
            <w:tcW w:w="3366"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流程简介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建设银行</w:t>
            </w:r>
          </w:p>
        </w:tc>
        <w:tc>
          <w:tcPr>
            <w:tcW w:w="1134"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13077729988</w:t>
            </w:r>
          </w:p>
        </w:tc>
        <w:tc>
          <w:tcPr>
            <w:tcW w:w="1701" w:type="dxa"/>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最高3千万</w:t>
            </w:r>
          </w:p>
        </w:tc>
        <w:tc>
          <w:tcPr>
            <w:tcW w:w="993"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4%</w:t>
            </w:r>
          </w:p>
        </w:tc>
        <w:tc>
          <w:tcPr>
            <w:tcW w:w="3366" w:type="dxa"/>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开设账号，线下提供申请材料，进入贷款审批流程，贷款审批通过后可自主用款，银行官方网银可自主还款。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中国银行</w:t>
            </w:r>
          </w:p>
        </w:tc>
        <w:tc>
          <w:tcPr>
            <w:tcW w:w="1134"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0779-3997084</w:t>
            </w:r>
          </w:p>
        </w:tc>
        <w:tc>
          <w:tcPr>
            <w:tcW w:w="1701" w:type="dxa"/>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3年</w:t>
            </w:r>
          </w:p>
        </w:tc>
        <w:tc>
          <w:tcPr>
            <w:tcW w:w="850"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1.93%</w:t>
            </w:r>
          </w:p>
        </w:tc>
        <w:tc>
          <w:tcPr>
            <w:tcW w:w="3366" w:type="dxa"/>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在银行开户，线上申请，上传所需材料，等待审批，审批通过后可直接在手机银行提款。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兴业银行</w:t>
            </w:r>
          </w:p>
        </w:tc>
        <w:tc>
          <w:tcPr>
            <w:tcW w:w="1134"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0779-3158330</w:t>
            </w:r>
          </w:p>
        </w:tc>
        <w:tc>
          <w:tcPr>
            <w:tcW w:w="1701" w:type="dxa"/>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最高1千万（单笔提款金额达合同金额70%）</w:t>
            </w:r>
          </w:p>
        </w:tc>
        <w:tc>
          <w:tcPr>
            <w:tcW w:w="993"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3.70%</w:t>
            </w:r>
          </w:p>
        </w:tc>
        <w:tc>
          <w:tcPr>
            <w:tcW w:w="3366" w:type="dxa"/>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全流程线上，初次申请开立账户，提供营业执照、采购合同、信用材料等，申请复审，签订合同，提交单笔贷款使用需求，贷款到账后受托使用。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工商银行</w:t>
            </w:r>
          </w:p>
        </w:tc>
        <w:tc>
          <w:tcPr>
            <w:tcW w:w="1134"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0779-3050645</w:t>
            </w:r>
          </w:p>
        </w:tc>
        <w:tc>
          <w:tcPr>
            <w:tcW w:w="1701" w:type="dxa"/>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最高1千万且不超过合同金额70%</w:t>
            </w:r>
          </w:p>
        </w:tc>
        <w:tc>
          <w:tcPr>
            <w:tcW w:w="993"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货物类1年</w:t>
            </w:r>
          </w:p>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服务类3年</w:t>
            </w:r>
          </w:p>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工程类5年</w:t>
            </w:r>
          </w:p>
        </w:tc>
        <w:tc>
          <w:tcPr>
            <w:tcW w:w="850"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为中征系统白名单企业，提供相关要求材料，内部审批后放款自主借还。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国民村镇银行</w:t>
            </w:r>
          </w:p>
        </w:tc>
        <w:tc>
          <w:tcPr>
            <w:tcW w:w="1134"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0779-2668801</w:t>
            </w:r>
          </w:p>
        </w:tc>
        <w:tc>
          <w:tcPr>
            <w:tcW w:w="1701" w:type="dxa"/>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最高500万</w:t>
            </w:r>
          </w:p>
        </w:tc>
        <w:tc>
          <w:tcPr>
            <w:tcW w:w="993"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5年</w:t>
            </w:r>
          </w:p>
        </w:tc>
        <w:tc>
          <w:tcPr>
            <w:tcW w:w="850"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2.80%</w:t>
            </w:r>
          </w:p>
        </w:tc>
        <w:tc>
          <w:tcPr>
            <w:tcW w:w="3366" w:type="dxa"/>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银行开户，线下申请并提供材料，信用良好企业最快1天获批即可提款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桂林银行</w:t>
            </w:r>
          </w:p>
        </w:tc>
        <w:tc>
          <w:tcPr>
            <w:tcW w:w="1134"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18577993959</w:t>
            </w:r>
          </w:p>
        </w:tc>
        <w:tc>
          <w:tcPr>
            <w:tcW w:w="1701" w:type="dxa"/>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线下申请，材料齐全最快1周内即可放款。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中小微商务服务公司</w:t>
            </w:r>
          </w:p>
        </w:tc>
        <w:tc>
          <w:tcPr>
            <w:tcW w:w="1134" w:type="dxa"/>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19907799988</w:t>
            </w:r>
          </w:p>
        </w:tc>
        <w:tc>
          <w:tcPr>
            <w:tcW w:w="1701" w:type="dxa"/>
            <w:vAlign w:val="center"/>
          </w:tcPr>
          <w:p>
            <w:pPr>
              <w:snapToGrid w:val="0"/>
              <w:spacing w:line="360" w:lineRule="auto"/>
              <w:jc w:val="left"/>
              <w:rPr>
                <w:rFonts w:ascii="宋体" w:hAnsi="宋体"/>
                <w:color w:val="auto"/>
                <w:kern w:val="0"/>
                <w:sz w:val="24"/>
                <w:szCs w:val="20"/>
              </w:rPr>
            </w:pPr>
          </w:p>
        </w:tc>
        <w:tc>
          <w:tcPr>
            <w:tcW w:w="993" w:type="dxa"/>
            <w:vAlign w:val="center"/>
          </w:tcPr>
          <w:p>
            <w:pPr>
              <w:snapToGrid w:val="0"/>
              <w:spacing w:line="360" w:lineRule="auto"/>
              <w:jc w:val="center"/>
              <w:rPr>
                <w:rFonts w:ascii="宋体" w:hAnsi="宋体"/>
                <w:color w:val="auto"/>
                <w:kern w:val="0"/>
                <w:sz w:val="24"/>
                <w:szCs w:val="20"/>
              </w:rPr>
            </w:pPr>
          </w:p>
        </w:tc>
        <w:tc>
          <w:tcPr>
            <w:tcW w:w="850" w:type="dxa"/>
            <w:vAlign w:val="center"/>
          </w:tcPr>
          <w:p>
            <w:pPr>
              <w:snapToGrid w:val="0"/>
              <w:spacing w:line="360" w:lineRule="auto"/>
              <w:jc w:val="center"/>
              <w:rPr>
                <w:rFonts w:ascii="宋体" w:hAnsi="宋体"/>
                <w:color w:val="auto"/>
                <w:kern w:val="0"/>
                <w:sz w:val="24"/>
                <w:szCs w:val="20"/>
              </w:rPr>
            </w:pPr>
          </w:p>
        </w:tc>
        <w:tc>
          <w:tcPr>
            <w:tcW w:w="3366" w:type="dxa"/>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具体业务可电话咨询。</w:t>
            </w:r>
          </w:p>
        </w:tc>
      </w:tr>
    </w:tbl>
    <w:p>
      <w:pPr>
        <w:pStyle w:val="631"/>
        <w:rPr>
          <w:color w:val="auto"/>
        </w:rPr>
      </w:pPr>
      <w:r>
        <w:rPr>
          <w:rFonts w:hint="eastAsia"/>
          <w:color w:val="auto"/>
        </w:rPr>
        <w:t>注：表中联系电话、授信金额、授信期限、最低利率等信息可能动态更新，仅供参考，具体以办理时相关银行公布的为准。</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pPr>
        <w:pStyle w:val="631"/>
        <w:rPr>
          <w:rFonts w:hint="eastAsia" w:eastAsia="宋体"/>
          <w:color w:val="auto"/>
          <w:lang w:eastAsia="zh-CN"/>
        </w:rPr>
      </w:pPr>
      <w:r>
        <w:rPr>
          <w:rFonts w:hint="eastAsia" w:cs="宋体"/>
          <w:color w:val="auto"/>
          <w:kern w:val="0"/>
          <w:sz w:val="24"/>
          <w:lang w:eastAsia="zh-CN"/>
        </w:rPr>
        <w:t>本项目无预付款</w:t>
      </w:r>
    </w:p>
    <w:p>
      <w:pPr>
        <w:pStyle w:val="631"/>
        <w:ind w:left="0" w:leftChars="0" w:firstLine="0" w:firstLineChars="0"/>
        <w:rPr>
          <w:b/>
          <w:bCs/>
          <w:color w:val="auto"/>
        </w:rPr>
      </w:pPr>
      <w:r>
        <w:rPr>
          <w:b/>
          <w:bCs/>
          <w:color w:val="auto"/>
        </w:rPr>
        <w:t>4.</w:t>
      </w:r>
      <w:r>
        <w:rPr>
          <w:rFonts w:hint="eastAsia"/>
          <w:b/>
          <w:bCs/>
          <w:color w:val="auto"/>
        </w:rPr>
        <w:t>预付款</w:t>
      </w:r>
    </w:p>
    <w:p>
      <w:pPr>
        <w:tabs>
          <w:tab w:val="left" w:pos="0"/>
        </w:tabs>
        <w:spacing w:line="360" w:lineRule="auto"/>
        <w:ind w:firstLine="480" w:firstLineChars="200"/>
        <w:rPr>
          <w:rFonts w:hint="eastAsia" w:cs="宋体" w:asciiTheme="minorEastAsia" w:hAnsiTheme="minorEastAsia" w:eastAsiaTheme="minorEastAsia"/>
          <w:snapToGrid w:val="0"/>
          <w:color w:val="auto"/>
          <w:kern w:val="28"/>
          <w:sz w:val="24"/>
          <w:lang w:eastAsia="zh-CN"/>
        </w:rPr>
      </w:pPr>
      <w:r>
        <w:rPr>
          <w:rFonts w:hint="eastAsia" w:ascii="宋体" w:hAnsi="宋体" w:eastAsiaTheme="minorEastAsia"/>
          <w:color w:val="auto"/>
          <w:sz w:val="24"/>
          <w:lang w:eastAsia="zh-CN"/>
        </w:rPr>
        <w:t>本项目无预付款。</w:t>
      </w: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outlineLvl w:val="1"/>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pPr>
        <w:pStyle w:val="24"/>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outlineLvl w:val="1"/>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pPr>
        <w:tabs>
          <w:tab w:val="left" w:pos="0"/>
        </w:tabs>
        <w:spacing w:line="360" w:lineRule="auto"/>
        <w:rPr>
          <w:rFonts w:cs="Helvetica" w:asciiTheme="minorEastAsia" w:hAnsiTheme="minorEastAsia" w:eastAsiaTheme="minorEastAsia"/>
          <w:color w:val="auto"/>
          <w:kern w:val="0"/>
          <w:sz w:val="24"/>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52" w:name="_Hlt75236290"/>
      <w:bookmarkEnd w:id="52"/>
      <w:bookmarkStart w:id="53" w:name="_Hlt74707468"/>
      <w:bookmarkEnd w:id="53"/>
      <w:bookmarkStart w:id="54" w:name="_Hlt74729768"/>
      <w:bookmarkEnd w:id="54"/>
      <w:bookmarkStart w:id="55" w:name="_Hlt68057669"/>
      <w:bookmarkEnd w:id="55"/>
      <w:bookmarkStart w:id="56" w:name="_Hlt68072990"/>
      <w:bookmarkEnd w:id="56"/>
      <w:bookmarkStart w:id="57" w:name="_Hlt75236011"/>
      <w:bookmarkEnd w:id="57"/>
      <w:bookmarkStart w:id="58" w:name="_Hlt74730295"/>
      <w:bookmarkEnd w:id="58"/>
      <w:bookmarkStart w:id="59" w:name="_Hlt74714665"/>
      <w:bookmarkEnd w:id="59"/>
      <w:bookmarkStart w:id="60" w:name="_Hlt75236101"/>
      <w:bookmarkEnd w:id="60"/>
      <w:bookmarkStart w:id="61" w:name="第三部分"/>
      <w:bookmarkStart w:id="62" w:name="_Toc164416483"/>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十五、代理费用的收取标准和方式</w:t>
      </w:r>
    </w:p>
    <w:p>
      <w:pPr>
        <w:pStyle w:val="24"/>
        <w:spacing w:line="360" w:lineRule="auto"/>
        <w:ind w:firstLine="0" w:firstLineChars="0"/>
        <w:rPr>
          <w:rFonts w:cs="宋体"/>
          <w:b/>
          <w:color w:val="auto"/>
        </w:rPr>
      </w:pPr>
      <w:r>
        <w:rPr>
          <w:rFonts w:hint="eastAsia" w:cs="宋体"/>
          <w:b/>
          <w:color w:val="auto"/>
        </w:rPr>
        <w:t>1.代理费用的收取标准和方式</w:t>
      </w:r>
    </w:p>
    <w:p>
      <w:pPr>
        <w:snapToGrid w:val="0"/>
        <w:spacing w:line="360" w:lineRule="auto"/>
        <w:ind w:firstLine="420" w:firstLineChars="200"/>
        <w:rPr>
          <w:rFonts w:cs="仿宋_GB2312" w:asciiTheme="minorEastAsia" w:hAnsiTheme="minorEastAsia" w:eastAsiaTheme="minorEastAsia"/>
          <w:b/>
          <w:color w:val="auto"/>
          <w:sz w:val="36"/>
          <w:szCs w:val="36"/>
        </w:rPr>
      </w:pPr>
      <w:r>
        <w:rPr>
          <w:rFonts w:hint="eastAsia" w:cs="宋体" w:eastAsiaTheme="minorEastAsia"/>
          <w:color w:val="auto"/>
          <w:kern w:val="2"/>
          <w:szCs w:val="24"/>
          <w:lang w:eastAsia="zh-CN"/>
        </w:rPr>
        <w:t>本项目不收取代理服务费。</w:t>
      </w:r>
      <w:r>
        <w:rPr>
          <w:rFonts w:cs="仿宋_GB2312" w:asciiTheme="minorEastAsia" w:hAnsiTheme="minorEastAsia" w:eastAsiaTheme="minorEastAsia"/>
          <w:b/>
          <w:color w:val="auto"/>
          <w:sz w:val="36"/>
          <w:szCs w:val="36"/>
        </w:rPr>
        <w:br w:type="page"/>
      </w:r>
    </w:p>
    <w:p>
      <w:pPr>
        <w:adjustRightInd/>
        <w:spacing w:line="360" w:lineRule="auto"/>
        <w:jc w:val="center"/>
        <w:outlineLvl w:val="0"/>
        <w:rPr>
          <w:rFonts w:cs="仿宋_GB2312" w:asciiTheme="minorEastAsia" w:hAnsiTheme="minorEastAsia" w:eastAsiaTheme="minorEastAsia"/>
          <w:b/>
          <w:color w:val="auto"/>
          <w:sz w:val="36"/>
          <w:szCs w:val="36"/>
        </w:rPr>
      </w:pPr>
      <w:bookmarkStart w:id="63" w:name="_Toc181265284"/>
      <w:r>
        <w:rPr>
          <w:rFonts w:hint="eastAsia" w:cs="仿宋_GB2312" w:asciiTheme="minorEastAsia" w:hAnsiTheme="minorEastAsia" w:eastAsiaTheme="minorEastAsia"/>
          <w:b/>
          <w:color w:val="auto"/>
          <w:sz w:val="36"/>
          <w:szCs w:val="36"/>
        </w:rPr>
        <w:t>第四部分  采购需求</w:t>
      </w:r>
      <w:bookmarkEnd w:id="63"/>
    </w:p>
    <w:p>
      <w:pPr>
        <w:keepNext w:val="0"/>
        <w:keepLines w:val="0"/>
        <w:pageBreakBefore w:val="0"/>
        <w:widowControl w:val="0"/>
        <w:kinsoku/>
        <w:wordWrap/>
        <w:overflowPunct/>
        <w:topLinePunct w:val="0"/>
        <w:autoSpaceDE/>
        <w:autoSpaceDN/>
        <w:bidi w:val="0"/>
        <w:spacing w:line="360" w:lineRule="auto"/>
        <w:jc w:val="left"/>
        <w:textAlignment w:val="auto"/>
        <w:rPr>
          <w:rFonts w:ascii="宋体" w:hAnsi="宋体" w:cs="宋体"/>
          <w:bCs/>
          <w:color w:val="auto"/>
          <w:szCs w:val="21"/>
          <w:highlight w:val="none"/>
        </w:rPr>
      </w:pPr>
      <w:r>
        <w:rPr>
          <w:rFonts w:hint="eastAsia" w:ascii="宋体" w:hAnsi="宋体" w:cs="宋体"/>
          <w:bCs/>
          <w:color w:val="auto"/>
          <w:szCs w:val="21"/>
          <w:highlight w:val="none"/>
        </w:rPr>
        <w:t>说明：</w:t>
      </w:r>
    </w:p>
    <w:p>
      <w:pPr>
        <w:keepNext w:val="0"/>
        <w:keepLines w:val="0"/>
        <w:pageBreakBefore w:val="0"/>
        <w:widowControl w:val="0"/>
        <w:kinsoku/>
        <w:wordWrap/>
        <w:overflowPunct/>
        <w:topLinePunct w:val="0"/>
        <w:autoSpaceDE/>
        <w:autoSpaceDN/>
        <w:bidi w:val="0"/>
        <w:spacing w:line="360" w:lineRule="auto"/>
        <w:ind w:firstLine="440" w:firstLineChars="200"/>
        <w:jc w:val="lef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1.下表中的品牌型号、技术参数仅起参考作用，</w:t>
      </w:r>
      <w:r>
        <w:rPr>
          <w:rFonts w:hint="eastAsia" w:ascii="宋体" w:hAnsi="宋体" w:cs="宋体"/>
          <w:bCs/>
          <w:color w:val="auto"/>
          <w:sz w:val="22"/>
          <w:szCs w:val="22"/>
          <w:highlight w:val="none"/>
          <w:lang w:eastAsia="zh-CN"/>
        </w:rPr>
        <w:t>供应商</w:t>
      </w:r>
      <w:r>
        <w:rPr>
          <w:rFonts w:hint="eastAsia" w:ascii="宋体" w:hAnsi="宋体" w:cs="宋体"/>
          <w:bCs/>
          <w:color w:val="auto"/>
          <w:sz w:val="22"/>
          <w:szCs w:val="22"/>
          <w:highlight w:val="none"/>
        </w:rPr>
        <w:t>可选用其他品牌型号替代，但这些替代的产品要实质上相当于或优于参考品牌型号及其技术参数性能（配置）要求。</w:t>
      </w:r>
    </w:p>
    <w:p>
      <w:pPr>
        <w:keepNext w:val="0"/>
        <w:keepLines w:val="0"/>
        <w:pageBreakBefore w:val="0"/>
        <w:widowControl w:val="0"/>
        <w:kinsoku/>
        <w:wordWrap/>
        <w:overflowPunct/>
        <w:topLinePunct w:val="0"/>
        <w:autoSpaceDE/>
        <w:autoSpaceDN/>
        <w:bidi w:val="0"/>
        <w:spacing w:line="360" w:lineRule="auto"/>
        <w:ind w:firstLine="440" w:firstLineChars="200"/>
        <w:jc w:val="lef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2.本项目技术参数要求表中参考品牌型号及技术参数性能（配置）不明确或有误的，或</w:t>
      </w:r>
      <w:r>
        <w:rPr>
          <w:rFonts w:hint="eastAsia" w:ascii="宋体" w:hAnsi="宋体" w:cs="宋体"/>
          <w:bCs/>
          <w:color w:val="auto"/>
          <w:sz w:val="22"/>
          <w:szCs w:val="22"/>
          <w:highlight w:val="none"/>
          <w:lang w:eastAsia="zh-CN"/>
        </w:rPr>
        <w:t>供应商</w:t>
      </w:r>
      <w:r>
        <w:rPr>
          <w:rFonts w:hint="eastAsia" w:ascii="宋体" w:hAnsi="宋体" w:cs="宋体"/>
          <w:bCs/>
          <w:color w:val="auto"/>
          <w:sz w:val="22"/>
          <w:szCs w:val="22"/>
          <w:highlight w:val="none"/>
        </w:rPr>
        <w:t>选用其他品牌型号替代的，请以详细、正确的品牌型号、技术参数性能配置填写投标报价表和技术规格偏离表。</w:t>
      </w:r>
      <w:r>
        <w:rPr>
          <w:rFonts w:hint="eastAsia" w:ascii="宋体" w:hAnsi="宋体" w:cs="宋体"/>
          <w:bCs/>
          <w:color w:val="auto"/>
          <w:sz w:val="22"/>
          <w:szCs w:val="22"/>
          <w:highlight w:val="none"/>
          <w:lang w:eastAsia="zh-CN"/>
        </w:rPr>
        <w:t>供应商</w:t>
      </w:r>
      <w:r>
        <w:rPr>
          <w:rFonts w:hint="eastAsia" w:ascii="宋体" w:hAnsi="宋体" w:cs="宋体"/>
          <w:bCs/>
          <w:color w:val="auto"/>
          <w:sz w:val="22"/>
          <w:szCs w:val="22"/>
          <w:highlight w:val="none"/>
        </w:rPr>
        <w:t>须根据技术参数及性能配置要求提供对应的技术响应偏离表。</w:t>
      </w:r>
    </w:p>
    <w:p>
      <w:pPr>
        <w:keepNext w:val="0"/>
        <w:keepLines w:val="0"/>
        <w:pageBreakBefore w:val="0"/>
        <w:widowControl w:val="0"/>
        <w:kinsoku/>
        <w:wordWrap/>
        <w:overflowPunct/>
        <w:topLinePunct w:val="0"/>
        <w:autoSpaceDE/>
        <w:autoSpaceDN/>
        <w:bidi w:val="0"/>
        <w:spacing w:line="360" w:lineRule="auto"/>
        <w:ind w:firstLine="440" w:firstLineChars="200"/>
        <w:jc w:val="left"/>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w:t>
      </w:r>
      <w:r>
        <w:rPr>
          <w:rFonts w:hint="eastAsia" w:ascii="宋体" w:hAnsi="宋体" w:cs="宋体"/>
          <w:bCs/>
          <w:color w:val="auto"/>
          <w:sz w:val="22"/>
          <w:szCs w:val="22"/>
          <w:highlight w:val="none"/>
          <w:lang w:eastAsia="zh-CN"/>
        </w:rPr>
        <w:t>响应产品</w:t>
      </w:r>
      <w:r>
        <w:rPr>
          <w:rFonts w:hint="eastAsia" w:ascii="宋体" w:hAnsi="宋体" w:cs="宋体"/>
          <w:bCs/>
          <w:color w:val="auto"/>
          <w:sz w:val="22"/>
          <w:szCs w:val="22"/>
          <w:highlight w:val="none"/>
        </w:rPr>
        <w:t>必须满足文件的相关规定。投标时须提供国家确定的认证机构出具的、处于有效期之内的有效的节能产品认证证书复印件并加盖</w:t>
      </w:r>
      <w:r>
        <w:rPr>
          <w:rFonts w:hint="eastAsia" w:ascii="宋体" w:hAnsi="宋体" w:cs="宋体"/>
          <w:bCs/>
          <w:color w:val="auto"/>
          <w:sz w:val="22"/>
          <w:szCs w:val="22"/>
          <w:highlight w:val="none"/>
          <w:lang w:eastAsia="zh-CN"/>
        </w:rPr>
        <w:t>供应商</w:t>
      </w:r>
      <w:r>
        <w:rPr>
          <w:rFonts w:hint="eastAsia" w:ascii="宋体" w:hAnsi="宋体" w:cs="宋体"/>
          <w:bCs/>
          <w:color w:val="auto"/>
          <w:sz w:val="22"/>
          <w:szCs w:val="22"/>
          <w:highlight w:val="none"/>
        </w:rPr>
        <w:t>公章，不提供视为无效投标处理。</w:t>
      </w:r>
    </w:p>
    <w:p>
      <w:pPr>
        <w:keepNext w:val="0"/>
        <w:keepLines w:val="0"/>
        <w:pageBreakBefore w:val="0"/>
        <w:widowControl w:val="0"/>
        <w:kinsoku/>
        <w:wordWrap/>
        <w:overflowPunct/>
        <w:topLinePunct w:val="0"/>
        <w:autoSpaceDE/>
        <w:autoSpaceDN/>
        <w:bidi w:val="0"/>
        <w:spacing w:line="360" w:lineRule="auto"/>
        <w:ind w:firstLine="440" w:firstLineChars="200"/>
        <w:jc w:val="left"/>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4.</w:t>
      </w:r>
      <w:r>
        <w:rPr>
          <w:rFonts w:hint="eastAsia" w:ascii="宋体" w:hAnsi="宋体" w:cs="宋体"/>
          <w:bCs/>
          <w:color w:val="auto"/>
          <w:sz w:val="22"/>
          <w:szCs w:val="22"/>
          <w:highlight w:val="none"/>
          <w:lang w:eastAsia="zh-CN"/>
        </w:rPr>
        <w:t>响应产品</w:t>
      </w:r>
      <w:r>
        <w:rPr>
          <w:rFonts w:hint="eastAsia" w:ascii="宋体" w:hAnsi="宋体" w:cs="宋体"/>
          <w:bCs/>
          <w:color w:val="auto"/>
          <w:sz w:val="22"/>
          <w:szCs w:val="22"/>
          <w:highlight w:val="none"/>
        </w:rPr>
        <w:t>属于《市场监管总局关于发布强制性产品认证目录描述与界定表的公告》（2023年第36号 ）规定的《强制性产品认证目录》及《强制性产品认证目录描述与界定表（2023年修订）》规定范围 内的，供应商应提供该产品相关的强制性产品认证证书，不提供视为无效投标处理。</w:t>
      </w:r>
    </w:p>
    <w:p>
      <w:pPr>
        <w:keepNext w:val="0"/>
        <w:keepLines w:val="0"/>
        <w:pageBreakBefore w:val="0"/>
        <w:widowControl w:val="0"/>
        <w:kinsoku/>
        <w:wordWrap/>
        <w:overflowPunct/>
        <w:topLinePunct w:val="0"/>
        <w:autoSpaceDE/>
        <w:autoSpaceDN/>
        <w:bidi w:val="0"/>
        <w:spacing w:line="360" w:lineRule="auto"/>
        <w:ind w:firstLine="440" w:firstLineChars="200"/>
        <w:jc w:val="left"/>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5.</w:t>
      </w:r>
      <w:r>
        <w:rPr>
          <w:rFonts w:hint="eastAsia" w:ascii="宋体" w:hAnsi="宋体" w:cs="宋体"/>
          <w:bCs/>
          <w:color w:val="auto"/>
          <w:sz w:val="22"/>
          <w:szCs w:val="22"/>
          <w:highlight w:val="none"/>
          <w:lang w:eastAsia="zh-CN"/>
        </w:rPr>
        <w:t>响应产品</w:t>
      </w:r>
      <w:r>
        <w:rPr>
          <w:rFonts w:hint="eastAsia" w:ascii="宋体" w:hAnsi="宋体" w:cs="宋体"/>
          <w:bCs/>
          <w:color w:val="auto"/>
          <w:sz w:val="22"/>
          <w:szCs w:val="22"/>
          <w:highlight w:val="none"/>
        </w:rPr>
        <w:t>属于《国务院关于调整完善工业产品生产许可证管理目录的决定》（国发〔2024〕11号）规定的《实施工业产品生产许可证管理的产品目录》规定范围内的，供应商应提供该产品相关的工业产品生产许可证证书，不提供视为无效投标处理。</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ascii="宋体" w:hAnsi="宋体"/>
          <w:b/>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cs="宋体"/>
          <w:bCs/>
          <w:color w:val="auto"/>
          <w:sz w:val="22"/>
          <w:szCs w:val="22"/>
          <w:highlight w:val="none"/>
        </w:rPr>
        <w:t>采购需求一览表中标注“▲</w:t>
      </w:r>
      <w:r>
        <w:rPr>
          <w:rFonts w:hint="eastAsia" w:ascii="宋体" w:hAnsi="宋体" w:cs="宋体"/>
          <w:bCs/>
          <w:color w:val="auto"/>
          <w:highlight w:val="none"/>
        </w:rPr>
        <w:t>”</w:t>
      </w:r>
      <w:r>
        <w:rPr>
          <w:rFonts w:hint="eastAsia" w:ascii="宋体" w:hAnsi="宋体" w:cs="宋体"/>
          <w:bCs/>
          <w:color w:val="auto"/>
          <w:sz w:val="22"/>
          <w:szCs w:val="22"/>
          <w:highlight w:val="none"/>
        </w:rPr>
        <w:t>详细技术参数及配备要求、商务要求必须响应满足或优于，否则</w:t>
      </w:r>
      <w:r>
        <w:rPr>
          <w:rFonts w:hint="eastAsia" w:ascii="宋体" w:hAnsi="宋体" w:cs="宋体"/>
          <w:b/>
          <w:bCs w:val="0"/>
          <w:color w:val="auto"/>
          <w:sz w:val="22"/>
          <w:szCs w:val="22"/>
          <w:highlight w:val="none"/>
          <w:lang w:eastAsia="zh-CN"/>
        </w:rPr>
        <w:t>响应</w:t>
      </w:r>
      <w:r>
        <w:rPr>
          <w:rFonts w:hint="eastAsia" w:ascii="宋体" w:hAnsi="宋体" w:cs="宋体"/>
          <w:b/>
          <w:bCs/>
          <w:color w:val="auto"/>
          <w:sz w:val="22"/>
          <w:szCs w:val="22"/>
          <w:highlight w:val="none"/>
        </w:rPr>
        <w:t>无效</w:t>
      </w:r>
      <w:r>
        <w:rPr>
          <w:rFonts w:hint="eastAsia" w:ascii="宋体" w:hAnsi="宋体" w:cs="宋体"/>
          <w:bCs/>
          <w:color w:val="auto"/>
          <w:sz w:val="22"/>
          <w:szCs w:val="22"/>
          <w:highlight w:val="none"/>
        </w:rPr>
        <w:t>。</w:t>
      </w:r>
    </w:p>
    <w:p>
      <w:pPr>
        <w:keepNext w:val="0"/>
        <w:keepLines w:val="0"/>
        <w:pageBreakBefore w:val="0"/>
        <w:widowControl w:val="0"/>
        <w:kinsoku/>
        <w:wordWrap/>
        <w:overflowPunct/>
        <w:topLinePunct w:val="0"/>
        <w:autoSpaceDE/>
        <w:autoSpaceDN/>
        <w:bidi w:val="0"/>
        <w:spacing w:line="360" w:lineRule="auto"/>
        <w:ind w:firstLine="440" w:firstLineChars="200"/>
        <w:jc w:val="lef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7</w:t>
      </w:r>
      <w:r>
        <w:rPr>
          <w:rFonts w:hint="eastAsia" w:ascii="宋体" w:hAnsi="宋体" w:cs="宋体"/>
          <w:bCs/>
          <w:color w:val="auto"/>
          <w:sz w:val="22"/>
          <w:szCs w:val="22"/>
          <w:highlight w:val="none"/>
        </w:rPr>
        <w:t>.本项目的政府采购预算控制价为（人民币）：</w:t>
      </w:r>
      <w:r>
        <w:rPr>
          <w:rFonts w:hint="eastAsia" w:ascii="宋体" w:hAnsi="宋体" w:cs="宋体"/>
          <w:bCs/>
          <w:color w:val="auto"/>
          <w:sz w:val="22"/>
          <w:szCs w:val="22"/>
          <w:highlight w:val="none"/>
          <w:lang w:val="en-US" w:eastAsia="zh-CN"/>
        </w:rPr>
        <w:t>1107056</w:t>
      </w:r>
      <w:r>
        <w:rPr>
          <w:rFonts w:hint="eastAsia" w:ascii="宋体" w:hAnsi="宋体" w:cs="宋体"/>
          <w:bCs/>
          <w:color w:val="auto"/>
          <w:sz w:val="22"/>
          <w:szCs w:val="22"/>
          <w:highlight w:val="none"/>
          <w:lang w:eastAsia="zh-CN"/>
        </w:rPr>
        <w:t>.00</w:t>
      </w:r>
      <w:r>
        <w:rPr>
          <w:rFonts w:hint="eastAsia" w:ascii="宋体" w:hAnsi="宋体" w:cs="宋体"/>
          <w:bCs/>
          <w:color w:val="auto"/>
          <w:sz w:val="22"/>
          <w:szCs w:val="22"/>
          <w:highlight w:val="none"/>
        </w:rPr>
        <w:t>元,投标报价超过预算控制价的投标无效。</w:t>
      </w:r>
    </w:p>
    <w:p>
      <w:pPr>
        <w:keepNext w:val="0"/>
        <w:keepLines w:val="0"/>
        <w:pageBreakBefore w:val="0"/>
        <w:widowControl w:val="0"/>
        <w:kinsoku/>
        <w:wordWrap/>
        <w:overflowPunct/>
        <w:topLinePunct w:val="0"/>
        <w:autoSpaceDE/>
        <w:autoSpaceDN/>
        <w:bidi w:val="0"/>
        <w:spacing w:line="360" w:lineRule="auto"/>
        <w:ind w:firstLine="422" w:firstLineChars="200"/>
        <w:jc w:val="left"/>
        <w:textAlignment w:val="auto"/>
        <w:rPr>
          <w:rFonts w:ascii="宋体" w:hAnsi="宋体" w:cs="宋体"/>
          <w:bCs/>
          <w:color w:val="auto"/>
          <w:sz w:val="22"/>
          <w:szCs w:val="22"/>
          <w:highlight w:val="none"/>
        </w:rPr>
      </w:pPr>
      <w:r>
        <w:rPr>
          <w:rFonts w:hint="eastAsia" w:ascii="宋体" w:hAnsi="宋体" w:cs="宋体"/>
          <w:b/>
          <w:bCs/>
          <w:color w:val="auto"/>
          <w:kern w:val="0"/>
          <w:szCs w:val="21"/>
          <w:highlight w:val="none"/>
          <w:lang w:val="en-US" w:eastAsia="zh-CN" w:bidi="ar"/>
        </w:rPr>
        <w:t>8</w:t>
      </w:r>
      <w:r>
        <w:rPr>
          <w:rFonts w:hint="eastAsia" w:ascii="宋体" w:hAnsi="宋体" w:cs="宋体"/>
          <w:b/>
          <w:bCs/>
          <w:color w:val="auto"/>
          <w:kern w:val="0"/>
          <w:szCs w:val="21"/>
          <w:highlight w:val="none"/>
          <w:lang w:bidi="ar"/>
        </w:rPr>
        <w:t>.本项目核心产品：</w:t>
      </w:r>
      <w:r>
        <w:rPr>
          <w:rFonts w:hint="eastAsia" w:ascii="宋体" w:hAnsi="宋体" w:cs="宋体"/>
          <w:b/>
          <w:bCs/>
          <w:color w:val="auto"/>
          <w:kern w:val="0"/>
          <w:szCs w:val="21"/>
          <w:highlight w:val="none"/>
          <w:lang w:val="en-US" w:eastAsia="zh-CN" w:bidi="ar"/>
        </w:rPr>
        <w:t>宿舍铁架床</w:t>
      </w:r>
      <w:r>
        <w:rPr>
          <w:rFonts w:hint="eastAsia" w:ascii="宋体" w:hAnsi="宋体" w:cs="宋体"/>
          <w:b/>
          <w:bCs/>
          <w:color w:val="auto"/>
          <w:kern w:val="0"/>
          <w:szCs w:val="21"/>
          <w:highlight w:val="none"/>
          <w:lang w:bidi="ar"/>
        </w:rPr>
        <w:t>。</w:t>
      </w:r>
      <w:r>
        <w:rPr>
          <w:rFonts w:hint="eastAsia" w:ascii="宋体" w:hAnsi="宋体" w:cs="宋体"/>
          <w:bCs/>
          <w:color w:val="auto"/>
          <w:sz w:val="22"/>
          <w:szCs w:val="22"/>
          <w:highlight w:val="none"/>
        </w:rPr>
        <w:t xml:space="preserve"> </w:t>
      </w:r>
    </w:p>
    <w:p>
      <w:pPr>
        <w:keepNext w:val="0"/>
        <w:keepLines w:val="0"/>
        <w:pageBreakBefore w:val="0"/>
        <w:widowControl w:val="0"/>
        <w:pBdr>
          <w:bottom w:val="single" w:color="auto" w:sz="6" w:space="1"/>
        </w:pBdr>
        <w:tabs>
          <w:tab w:val="center" w:pos="4153"/>
          <w:tab w:val="right" w:pos="8306"/>
        </w:tabs>
        <w:kinsoku/>
        <w:wordWrap/>
        <w:overflowPunct/>
        <w:topLinePunct w:val="0"/>
        <w:autoSpaceDE/>
        <w:autoSpaceDN/>
        <w:bidi w:val="0"/>
        <w:adjustRightInd/>
        <w:snapToGrid w:val="0"/>
        <w:spacing w:line="360" w:lineRule="auto"/>
        <w:ind w:firstLine="440" w:firstLineChars="200"/>
        <w:jc w:val="left"/>
        <w:textAlignment w:val="auto"/>
        <w:rPr>
          <w:color w:val="auto"/>
          <w:sz w:val="18"/>
          <w:szCs w:val="18"/>
        </w:rPr>
      </w:pP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.根据《关于印发中小企业划型标准规定的通知》（工信部联企业〔2011〕300号）规定的划分标准，本项目采购所有标的对应的中小企业划分标准所属行业为：工业。</w:t>
      </w:r>
    </w:p>
    <w:tbl>
      <w:tblPr>
        <w:tblStyle w:val="6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41"/>
        <w:gridCol w:w="613"/>
        <w:gridCol w:w="614"/>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639" w:type="dxa"/>
            <w:gridSpan w:val="5"/>
            <w:shd w:val="clear" w:color="000000" w:fill="FFFFFF"/>
            <w:vAlign w:val="center"/>
          </w:tcPr>
          <w:p>
            <w:pPr>
              <w:widowControl/>
              <w:adjustRightInd/>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技术参数要求表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544" w:type="dxa"/>
            <w:shd w:val="clear" w:color="000000" w:fill="FFFFFF"/>
            <w:vAlign w:val="center"/>
          </w:tcPr>
          <w:p>
            <w:pPr>
              <w:widowControl/>
              <w:adjustRightInd/>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序号</w:t>
            </w:r>
          </w:p>
        </w:tc>
        <w:tc>
          <w:tcPr>
            <w:tcW w:w="1241" w:type="dxa"/>
            <w:shd w:val="clear" w:color="000000" w:fill="FFFFFF"/>
            <w:vAlign w:val="center"/>
          </w:tcPr>
          <w:p>
            <w:pPr>
              <w:widowControl/>
              <w:adjustRightInd/>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名称</w:t>
            </w:r>
          </w:p>
        </w:tc>
        <w:tc>
          <w:tcPr>
            <w:tcW w:w="613" w:type="dxa"/>
            <w:shd w:val="clear" w:color="000000" w:fill="FFFFFF"/>
            <w:vAlign w:val="center"/>
          </w:tcPr>
          <w:p>
            <w:pPr>
              <w:widowControl/>
              <w:adjustRightInd/>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数量</w:t>
            </w:r>
          </w:p>
        </w:tc>
        <w:tc>
          <w:tcPr>
            <w:tcW w:w="614" w:type="dxa"/>
            <w:shd w:val="clear" w:color="000000" w:fill="FFFFFF"/>
            <w:vAlign w:val="center"/>
          </w:tcPr>
          <w:p>
            <w:pPr>
              <w:widowControl/>
              <w:adjustRightInd/>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单位</w:t>
            </w:r>
          </w:p>
        </w:tc>
        <w:tc>
          <w:tcPr>
            <w:tcW w:w="6627" w:type="dxa"/>
            <w:shd w:val="clear" w:color="000000" w:fill="FFFFFF"/>
            <w:vAlign w:val="center"/>
          </w:tcPr>
          <w:p>
            <w:pPr>
              <w:widowControl/>
              <w:adjustRightInd/>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544" w:type="dxa"/>
            <w:shd w:val="clear" w:color="000000" w:fill="FFFFFF"/>
            <w:vAlign w:val="center"/>
          </w:tcPr>
          <w:p>
            <w:pPr>
              <w:widowControl/>
              <w:adjustRightInd/>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241"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智慧黑板</w:t>
            </w:r>
          </w:p>
        </w:tc>
        <w:tc>
          <w:tcPr>
            <w:tcW w:w="61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4</w:t>
            </w:r>
          </w:p>
        </w:tc>
        <w:tc>
          <w:tcPr>
            <w:tcW w:w="61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项</w:t>
            </w:r>
          </w:p>
        </w:tc>
        <w:tc>
          <w:tcPr>
            <w:tcW w:w="6627" w:type="dxa"/>
            <w:shd w:val="clear" w:color="000000" w:fill="FFFFFF"/>
            <w:vAlign w:val="center"/>
          </w:tcPr>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一、整机教学系统功能与内置电脑模块设计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（一）整机教学系统功能</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1、整机设备开机启动后，自动进入教学桌面，支持账号登录、退出，自动获取个人云端教学课件列表、并可进入全部课件列表。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2、整机设备支持多种身份识别方式，支持通过账号登录、手机扫码登录，并支持账号安全登录检测。</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3、整机设备支持统一互通的用户身份认证服务，账号登录后，打开教学白板软件教学应用工具时无需再次输入账号密码重复登录。</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4、整机设备教学桌面支持教学白板软件和文件管理软件；教学桌面首页支持自定义桌面应用，支持展示至少8个应用入口，并提供进入本机所有应用的入口。（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5、整机设备可将应用编辑到教学桌面首页，编辑方式支持从教学桌面首页进入编辑，支持在全部应用列表中进入编辑2种方式。教学桌面首页应用支持无需进入应用编辑页面，在首页指定应用上长按进行移除。（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6、整机设备教学桌面支持查看设备盘符，支持本地磁盘和外接U盘、移动硬盘，点击即可打开该磁盘查看磁盘文件。教学桌面支持显示存储空间状态，当存储空间即将满载时候进行红色标记明显提示。（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7、整机设备教学桌面支持推荐应用，推荐应用支持移除。</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8、整机设备教学桌面支持进行应用卸载。</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9、整机设备教学桌面的教师登录账号后，可自动获取并在桌面显示最近使用的教学课件，点击课件可直接进入授课模式；并支持查看所有个人教学课件资源。（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10、整机设备教学桌面支持进行壁纸编辑，内置10张以上壁纸，支持自定义壁纸。</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11、整机设备教学桌面支持U盘、移动硬盘外接存储设备直接在桌面显示，无需打开文件浏览器即可查看文件列表，并且支持文件打开。支持查看全部文件列表以及按照文档、图片、音视频分类方式查看文件列表。（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12、整机设备教学桌面U盘文件查看窗口支持使用文件浏览器打开U盘。</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13、整机设备教学桌面支持进行通道切换，当设备有其他输入源时，可在桌面点击信号源进行输入源切换。</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14、整机设备教学桌面支持进行锁屏操作。</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15、整机设备教学桌面支持进行重启、关机操作。</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（二）内置电脑模块设计</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 xml:space="preserve">1、处理器要求：Intel 酷睿系列 i5 12代CPU或更优配置； </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2、内存：8 G 内存或更优配置；</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3、硬盘：256 GB SSD或更优配置；</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4、采用按压式卡扣，无需工具即可快速拆卸电脑模块。</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5、PC 模块可抽拉式插入整机，可实现无单独接线的拔插。</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6、具有独立非外拓展的视频输出接口：≥1 路 HDMI。</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7、具有独立非外拓展的电脑 USB 接口：至少具备 3个USB3.0 接口。</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8、具有标准 PC 防盗锁孔，确保电脑模块安全防盗。</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9、和整机的连接采用万兆级接口，传输速率≥10Gbps。</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10、和整机的连接接口针脚数≤40pin。</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二、整机整体设计</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1、整体外观尺寸：宽≥4200mm，高≥1200mm，厚≤98mm。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2、整机采用全金属外壳，三拼接平面一体化设计。无推拉式结构，外部无任何可见内部功能模块连接线。主副屏过渡平滑，中间无单独边框阻隔。</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3、整机屏幕边缘采用金属圆角包边防护，整机背板采用金属材质，有效屏蔽内部电路器件辐射；防潮耐盐雾蚀锈，适应多种教学环境。</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4、主屏支持普通粉笔直接书写。</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5、整机两侧副屏可支持以下媒介（普通粉笔、液体粉笔、成膜笔）进行板书书写。</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6、整机设备副屏支持磁吸附功能，可以满足带有磁吸的板擦教具进行吸附在副屏上。</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7、整机屏幕采用86英寸液晶显示器。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8、整机采用超高清LED液晶显示屏，显示比例16:9，分辨率3840×2160。</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9、侧置输入接口具备2路HDMI、1路RS232、1路USB接口。</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10、侧置输出接口具备1路音频输出、1路触控USB输出。</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前置输入接口具备3路USB接口（包含1路Type-C、2路USB）。</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11、嵌入式系统版本不低于Android 13。内存≥2GB。存储空间≥8GB。（投标时须提供国家认可的第三方检测机构出具的关于该功能检测报告复印件）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12、钢化玻璃表面硬度≥9H。</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13、采用电容触控方式，支持Windows系统中进行40点或以上触控，支持Android系统中进行40点或以上触控。（投标时须提供国家认可的第三方检测机构出具的关于该功能检测报告复印件）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三、音视频教学功能</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1、整机内置2.2声道扬声器，位于设备上边框，顶置朝前发声，前朝向10W高音扬声器2个，上朝向20W中低音扬声器2个，额定总功率60W。（投标时须提供国家认可的第三方检测机构出具的关于该功能检测报告复印件）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2、整机可选择高级音效设置，支持在左右声道平衡显示范围中进行更改；中低频段显示调节范围125Hz～1KHz，高频段显示调节范围 2KHz～16KHz，分贝显示-12dB～12dB 调节范围。（投标时须提供国家认可的第三方检测机构出具的关于该功能检测报告复印件）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3、整机内置非独立外拓展的4阵列麦克风，可用于对教室环境音频进行采集，麦克风拾音距离≥12米。（投标时须提供国家认可的第三方检测机构出具的关于该功能检测报告复印件）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4、整机内置扬声器采用缝隙发声技术，喇叭采用槽式开口设计，不大于5.8mm。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5、整机扬声器在100%音量下，可做到1米处声压级≥88dB，10米处声压级≥79dB</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6、内置摄像头、麦克风无需外接线材连接，无任何可见外接线材及模块化拼接痕迹，未占用整机设备端口。</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7、支持标准、听力、观影和AI空间感知音效模式，AI空间感知音效模式可通过内置麦克风采集教室物理环境声音，自动生成符合当前教室物理环境的频段、音量、音效。</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8、整机色域覆盖率（NTSC）≥72%</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9、整机背光系统支持DC调光方式，多级亮度调节，支持白颜色背景下最暗亮度≤100nit，用于提升显示对比度。</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10、灰阶等级≥256级。</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11、整机屏幕蓝光占比（有害蓝光415～455nm能量综合）/（整体蓝光400～500能量综合）＜50%</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12、支持标准、多媒体和节能三种图像模式调节。</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13、支持自定义图像设置，可对对比度、屏幕色温、图像亮度、亮度范围、色彩空间调节设置。</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整机系统支持手势上滑调出人工智能画质调节模式（AI-PQ），在安卓通道下可根据屏幕内容自动调节画质参数，当屏幕出现人物、建筑、夜景等元素时，自动调整对比度、饱和度、锐利度、色调色相值、高光/阴影。</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15、整机视网膜蓝光危害（蓝光加权辐射亮度LB）满足IEC TR 62778:2014蓝光危害RG0级别。</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16、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17、纸质护眼模式下，显示画面各像素点灰度不规则，减少背景干扰。</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四、按键与无线功能要求</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1、三合一电源按键，同一电源物理按键完成 Android系统和 Windows 系统的开机、节能熄屏、关机操作；关机状态下按按键开机；开机状态下按按键实现节能熄屏/唤醒，长按按键实现关机。</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2、整机具备至少6个前置按键。可实现开关机、调出中控菜单、音量+/-、护眼、录屏操作。</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3、支持经典护眼模式，可通过前置面板物理功能按键一键启用经典护眼模式。</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4、设备支持通过前置面板物理按键一键启动录屏功能，可将屏幕中显示的课件、音频内容与人声同时录制。</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6、整机无需外接无线网卡，在Windows系统下可实现Wi-Fi无线上网连接、AP无线热点发射和BT蓝牙连接功能。</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7、Wi-Fi和AP热点工作距离≥12m。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8、整机支持蓝牙Bluetooth 5.4标准，固件版本号HCI13.0/LMP13.0。</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9、整机PC端支持主动发现蓝牙外设从而连接（无需整机进入发现模式），支持连接外部蓝牙音箱播放音频。</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10、整机支持发出频率为18kHz-22kHz超声波信号，智能手机通过麦克风接收后，智能手机与整机无需在同一局域网内，可实现配对，一键投屏，用户无需手动输入投屏码或扫码获取投屏码。</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11、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窗口。（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12、整机无需外接无线网卡，在Windows系统下接入无线网络，切换到嵌入式Android系统下可直接实现无线上网功能，不需手动重复设置。</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13、整机内置双WiFi6无线网卡（不接受外接），在Android和Windows系统下，可实现Wi-Fi无线上网连接、AP无线热点发射。</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14、整机内置双WiFi6无线网卡（不接受外接），在Android下支持无线设备同时连接数量≥32个，在Windows系统下支持无线设备同时连接≥8个；</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15、Wi-Fi及AP热点支持频段2.4GHz/5GHz 。</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16、Wi-Fi制式支持IEEE 802.11 a/b/g/n/ac/ax；支持版本Wi-Fi6。</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17、整机内置摄像头（非外扩），PC通道下支持通过视频展台软件调用摄像头进行二维码扫码识别。</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18、具备摄像头工作指示灯，摄像头运行时，有指示灯提示。</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19、整机上边框内置非独立摄像头，可拍摄≥1300万像素数的照片，可拍摄输出4K分辨率的视频。</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20、整机摄像头对角线视场角≥120度。</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21、整机内置非独立的高清摄像头，可用于远程巡课。</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22、整机摄像头支持人脸识别、清点人数、随机抽人；识别所有学生，显示标记，然后随机抽选。同时显示标记不少于60人。（投标时须提供国家认可的第三方检测机构出具的关于该功能检测报告复印件）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23、整机支持通过人脸识别进行账号登录。（投标时须提供国家认可的第三方检测机构出具的关于该功能检测报告复印件）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24、整机摄像头支持环境色温判断，根据环境调节合适的显示图像效果。（投标时须提供国家认可的第三方检测机构出具的关于该功能检测报告复印件）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五、侧边栏快捷功能</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1、整机内置全通道侧边栏快捷菜单，小工具、应用软件、快捷设置、亮度/音量调节、教室物联入口。</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2、整机全通道侧边栏支持展示学校名称、设备班级、场地信息。</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3、整机全通道侧边栏快捷菜单包含如下小工具：批注、降半屏、截屏、放大镜、倒计时、日历、聚光灯、秒表、冻屏、倒数日、答题、节拍器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4、整机全通道侧边栏快捷菜单小工具支持自定义，支持设置对应小工具的显示/隐藏。</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5、整机全通道侧边栏支持使用批注小工具进行批注讲解，可切换书写笔颜色、截屏保存批注内容、清屏，可根据手与屏幕的接触面积自动调整板擦工具的大小。</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6、整机全通道侧边栏支持将设备屏幕降低为半屏幕状态，点击上半屏幕可以返回全屏状态。</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7、整机全通道侧边栏支持自行选择所需截取屏幕范围，点击截屏即可成功截取屏幕，并自动保存。</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8、整机全通道侧边栏支持放大选中区域内容，并可支持对未选中区域关灯处理，实现聚光灯效果。</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9、整机全通道侧边栏支持倒计时、正计时功能；倒计时，输入某特定时间值，可精确到秒，点击开始进入倒计时；正计时，点击开始计时便自动开始，并实时显示时间。</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10、整机全通道侧边栏支持打开日历，查看日期。</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11、整机全通道侧边栏支持聚光灯，支持聚光灯高亮区域大小调节、区域移动。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12、整机全通道侧边栏支持冻屏，将屏幕画面进行缩放。</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13、整机安卓和外接通道下侧边栏支持设置倒数日。（投标时须提供国家认可的第三方检测机构出具的关于该功能检测报告复印件）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14、整机安卓和外接通道下侧边栏支持通过扫描二维码加入班级，老师设置题型，学生回答后提交，教师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15、整机安卓和外接通道下侧边栏支持节拍器，支持设置节拍、轻重、节拍播放速度。全通道下可支持通过自定义按键调出该功能。（投标时须提供国家认可的第三方检测机构出具的关于该功能检测报告复印件）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16、整机支持在设备上通过摄像头获取教室内图像并自动识别图像内所有人员，并随机抽选1人。</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17、整机支持在设备上通过摄像头获取教室内图像并自动识别图像内所有人员，并自动进行人数统计。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18、整机支持在设备上，通过侧边栏实现调用windows系统运行、打开文件夹、打开任务管理。</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19、整机Windows通道支持在通过侧边栏调取软键盘。</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20、整机Windows通道支持对当前运行中的应用进行窗口最大化、窗口最小化、应用强制关闭。</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21、整机处于非内置PC通道下，支持通过侧边栏进入PC通道。</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六、教学软件设计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（一）整体设计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1、为教师提供可扩展，易于学校管理，安全可靠的云存储空间，根据每名教师使用时长与教学资料制作频率提供可扩展升级至不小于200G的个人云空间。</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2、教学软件为使用方全体教师配备个人账号，形成一体的信息化教学账号体系；根据教师账号信息将教师云空间匹配至对应学校、学科校本资源库。支持通过数字账号、微信二维码、硬件密钥方式登录教师个人账号。</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3、互动教学课件支持定向精准分享：分享者可将互动课件、课件组精准推送至指定接收方账号云空间，接收方可在云空间接收并打开分享课件。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4、上传下载一体化云存储：备课时支持将云空间中存储图片、音频、视频、Flash等素材插入课件，同时支持将课件中的图片、音频、视频、Flash、PPT等素材右键上传至云空间。</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5、互动教学课件支持开放式云分享：分享者可将互动课件、课件组以公开或加密的web链接和二维码形式进行分享，分享链接可设置访问有效期。</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6、互动教学课件支持开放式云分享：分享者可将互动课件、课件组以公开或加密的web链接和二维码形式进行分享，分享链接可设置访问有效期。</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7、互动教学课件支持分享至学校校本资源库，学段学科根据教师个人信息自动匹配，分享后课件全校教师可见，并可直接下载使用。校本资源库支持按学科、学段进行快速查找，同时支持关键词精准检索。</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8、胶囊式微课功能内置于交互式课件工具中，支持快速录制胶囊式微课，微课可录制保存音频和课件的互动操作</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（1）录制功能：录制过程中可对课件中的元素进行拖动、克隆、删除等操作，支持在录制过程中进行书写和擦除</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（2）剪辑重录功能：支持按照课件页面片段剪辑和重录微课，支持一键上传至云端保存</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（3）无课件录制：支持教师在空白页面录制胶囊式微课，支持自主添加不低于100页电子草稿进行讲解</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（4）听课方式：微课录制结束后自动生成分享海报，学生扫码在即可在微信观看，无需下载额外app使用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（5）学生观看胶囊式微课时可进行多种互动，可在控制课件模式下移动、删除克隆课件内的元素，参与课堂活动互动练习</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（6）系统后台自动统计胶囊式微课的观看次数，便于教师做教研管理</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云教案设计：可在备课平台直接边写教案，教案为云端存储，支持文本、图片、视频、公式的插入。可将教案关联至教师课件，支持课件同时关联多份教案，关联后教师可在备课界面调用查看教案，便于教研工作开展。</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10、支持移动授课，实现公网连接控制课件翻页、播放，支持手机拍照上传、投屏。手机端和电脑端登录同一账号后即可自动连接，拍照上传、控制课件支持公网。</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11、采用备授课一体化框架设计，教师可根据教学场景自由切换类PPT界面的备课模式与触控交互教学模式，适用于教室、办公室等不同教学环境，便于教师教学使用。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（二）备课模式设计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1、教学软件具备图形自由创作工具，教师可自由绘制复杂的任意多边图形及曲边图形；教师自主创作的图形可存储至个人云空间便于后续使用。</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2、教学软件内置图片处理功能，无需借助专业图片处理软件即可对课件内的图片进行快速抠图，图片主体处理后边缘无明显毛边，且处理后的图片可直接上传至教师云空间供后续复用。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3、教学软件兼容传统课件制作工具的组合快捷按键，支持如加粗（Ctrl+B）、文字居中（Ctrl+E）等教师熟悉的组合按键，鼠标悬停至功能按键时自动提示组合快捷键，内置组合快捷键数量不少于50个。</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4、支持对任意课件元素自定义路径动画，可自由绘制动画移动轨迹使课件元素沿轨迹路径进行移动。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5、支持对音频、视频文件进行关键帧标记，可在音、视频进度条任意位置自由设置关键帧播放节点，便于快速定位讲解关键教学内容。</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6、全文快速搜索：支持在课件中通过快捷键（Ctrl+F）调用搜索控件，输入文本即可查找课件内文本框、形状、表格中对应的文本匹配项。</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（三）授课模式设计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1、课堂互动游戏支持云储存，编辑完成的活动可一键存储至教师云空间，便于在不同课件中直接调用，无需反复编辑。</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2、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3、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9种游戏模板，直接选择并输入相应内容即可轻松生成互动分类游戏，提升课堂趣味性。</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智能配对游戏：支持创建配对游戏，教师可随意将知识点进行配对。当开始配对游戏时，拖动知识点进行配对，系统将自动判断是否正确。系统至少提供10种游戏模版，且模版样式支持自定义修改，同时支持设置干扰项。</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6、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（四）学科工具设计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1、英语学科：</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（1）AI智能纠错：软件内置的AI智能语义分析模块，可对输入的英文文本的拼写、句型、语法进行错误检查，并支持一键纠错。</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（3）四线三格：配置英语学科四线三格，可直接键入人教版英语辅助教材配套的手写字体。</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（4）听写：配置英语学科听写工具，覆盖小初高不少于8000个英语单词，支持自定义选择单词。自定义听写频率和次数，一键生成听写卡；授课模式支持一键开启听写朗读。</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2、语文学科：</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（1）汉字生字卡：支持在田字格上手写输入汉字并自动识别为印刷体，可展示该汉字的部首、读音、笔画顺序、笔画数量等。</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2）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并自动保存至云端供教学复用。备课时可对原文进行注释、标重点等操作；提供原文朗读音频，全部诗词、古文均配备专业朗读配音，朗读音频支持关键帧打点标记。</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（3）拼音工具：支持在拼音格中输入拼音字母，可展示该字母的标准四声读音以及笔画。</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3、数学学科：</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（1）立体几何工具</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①可自由绘制长方体、立方体、圆柱体、圆锥等立体几何图形，支持几何图形按比例放大缩小和通过单独调整长宽高（半径/高）改变几何体大小。</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③具备几何体智能吸附功能：同类几何体相互靠近时，可智能识别吸附。</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（2）数学画板工具</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 支持课件中插入在线数学画板，授课时一键打开使用。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 提供不少于500个数学画板资源，按照小学、初中、高中学段数学学科主要知识点分类，便于教师查找使用。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 内置画板课件展示生动直观，可动态展示平面几何的变化：如小学几何四边形，可动态演示四边形的不同形态间的变化；中学函数的平方差公式讲解，可将平方差公式通过图形具象展示其计算原理。</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（3）公式：支持中英文、数学公式的编辑输入，可快速输入方程组、脱式运算，提供总数不少于30个数学符号及模板；预置不少于20个常用数学公式，无需编辑一键插入，输入内容可用不同颜色标记及重复编辑。</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（5）尺规工具：提供直尺、三角板、量角器及圆规工具，尺工具支持旋转、伸缩，可实时显示绘制线条长度；圆规工具可更换笔触颜色，模拟真实圆规作图。</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4、美术学科：内置专用美术画板工具，提供铅笔、毛笔、油画笔等笔触，具备符合绘画调色教学需求的模拟调色盘，可选择不同颜色混合调色，便于学生理解调色合成过程。</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5、地理学科：</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（1）书写工具具备地图图示（如铁路、城墙、山峰、港口、机场等）笔迹，可直接进行图示标注</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表层洋流、陆地自然带、海平面等压线等内容，方便教学。</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6、其他工具:</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板中板：支持授课过程中调用板中板辅助教学，可进行批注、加页及背景色切换；板中板支持插入图片、音视频素材进行独立讲解，不影响课件主画面。板中板支持小窗口化，窗口可以自由移动和调整大小，配合课件讲解内容。</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（2）书写：支持多人同时书写，可自由调整笔迹颜色及笔触粗细，书写颜色及粗细设置面板支持浮窗模式，可自由调整至白板界面任意位置，便于教师授课使用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（3）图章笔：提供不少于15种图案样式。</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（4）放大镜：支持调用放大镜工具进行局部画面放大，可设置放大比例及聚光灯效果。</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（5）撤销重做：支持白板操作撤销和重做，防止误操作影响教学。</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（6）文件导入：授课时可将图片、音频、视频等多媒体文件导入授课界面，系统自动识别外接移动储存设备并优先显示其中的内容。</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（7）文件导出：支持授课时导出课件导出为图片，课件支持多种格式导出。</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（五）教学资源设计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同步教学资源设计：提供互动式教学课件资源，包含学科教育各学段教材版本全部教学章节、专题教育多个主题教育、特殊教育三大分类的不少于100000份的交互式课件。课件支持直接预览并下载，预览时支持拖动课堂活动、形状、几何、文本等元素；下载时课件可同步至教师个人云课件存储空间；课件支持教师在线评分。</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pPr>
              <w:widowControl/>
              <w:adjustRightInd/>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3、课件库资源，涵盖10w+课件资源，支持整份课件页插入课件中；支持按照教学环节筛选对应课件页一键插入课件中，例如导入新课、作者简介等等按需所取，在查看部分课件的同时支持查看对应整份课件，了解作者整体教学思路，便于教师积木式补充课件缺失部分。</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（六）其他功能设计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1、提供柱状图、扇形图、折线图等互动图表，每类图表预置不少于5种样式，支持图表文字、背景、透明度设置；柱状图、折线图可一键转置互换坐标轴类别；图表支持三维模式旋转展示，生动形象。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教学软件可自由插入表格，预置不少于4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3、支持对图形样式设置：图形颜色、阴影、倒影、透明度、边框等样式设置；支持图形旋转中心调整，便于教学使用。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4、教学软件内置图片裁切功能，无需调用截图工具即可直接对课件内的图片进行裁切，裁切面积可自由调整。</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七、教学教研管理平台：</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八、产品售后保障服务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1、全国24小时免费400电话保修、二维码扫描保修、区域化驻地技术工程师专线保修。</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2、微信售后报修服务：快速输入相关问题及所在区域进行在线保修，贴心服务人员实时在线提供客服专线报修，更好更快的解决售后故障问题带来的使用不便。</w:t>
            </w:r>
          </w:p>
          <w:p>
            <w:pPr>
              <w:widowControl/>
              <w:adjustRightInd/>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3、微信问题查询服务：提供八大模块的问题查询及解决方案，现场完</w:t>
            </w:r>
            <w:r>
              <w:rPr>
                <w:rFonts w:hint="eastAsia" w:ascii="宋体" w:hAnsi="宋体" w:eastAsia="宋体" w:cs="宋体"/>
                <w:color w:val="auto"/>
                <w:kern w:val="0"/>
                <w:sz w:val="21"/>
                <w:szCs w:val="21"/>
                <w:highlight w:val="none"/>
              </w:rPr>
              <w:t>成简单故障的快速修复指导。</w:t>
            </w:r>
          </w:p>
          <w:p>
            <w:pPr>
              <w:widowControl/>
              <w:adjustRightInd/>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九、其他要求</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1、为确保货物质量及原厂品质，中标供应商在正式供货时必须提供生产厂家针对此项目的售后服务保证原件、供货证明原件，否则采购方将不予验收通过。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44" w:type="dxa"/>
            <w:shd w:val="clear" w:color="000000" w:fill="FFFFFF"/>
            <w:vAlign w:val="center"/>
          </w:tcPr>
          <w:p>
            <w:pPr>
              <w:widowControl/>
              <w:adjustRightInd/>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1241"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储物柜、图书角、讲台、窗帘等</w:t>
            </w:r>
          </w:p>
        </w:tc>
        <w:tc>
          <w:tcPr>
            <w:tcW w:w="61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7</w:t>
            </w:r>
          </w:p>
        </w:tc>
        <w:tc>
          <w:tcPr>
            <w:tcW w:w="61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项</w:t>
            </w:r>
          </w:p>
        </w:tc>
        <w:tc>
          <w:tcPr>
            <w:tcW w:w="6627" w:type="dxa"/>
            <w:shd w:val="clear" w:color="000000" w:fill="FFFFFF"/>
            <w:vAlign w:val="center"/>
          </w:tcPr>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储物柜：材质：人造大理石；雪花白（约6000*1060*500mm）。 </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图书角：E0级多层板（约1500*350mm) 。</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讲台：定制，木质，尺寸约1200*600*800mm。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窗帘：每间教室共4张窗帘，每间教室窗帘尺寸：（1）约宽4500*高2600，共2张；（2）约宽3600*高2600，共2张。（3）材料：涤纶；优质铝合金轨道；含辅料、绑带及安装。褶皱比不低于1.5。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 w:hRule="atLeast"/>
        </w:trPr>
        <w:tc>
          <w:tcPr>
            <w:tcW w:w="544" w:type="dxa"/>
            <w:shd w:val="clear" w:color="000000" w:fill="FFFFFF"/>
            <w:vAlign w:val="center"/>
          </w:tcPr>
          <w:p>
            <w:pPr>
              <w:widowControl/>
              <w:adjustRightInd/>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241"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学生课桌椅</w:t>
            </w:r>
          </w:p>
        </w:tc>
        <w:tc>
          <w:tcPr>
            <w:tcW w:w="61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500</w:t>
            </w:r>
          </w:p>
        </w:tc>
        <w:tc>
          <w:tcPr>
            <w:tcW w:w="61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6627" w:type="dxa"/>
            <w:shd w:val="clear" w:color="000000" w:fill="FFFFFF"/>
            <w:vAlign w:val="center"/>
          </w:tcPr>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1、桌面</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①材质：采用优质ABS材料，经模具高压一次注塑成型。</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②尺寸：620mm*450mm*25mm（±5mm）。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功能：桌面前面有一长500mm*宽15mm（±2mm）笔槽，可有效防止文具滑落。左右两边各有长365mm*宽5mm（±1mm）凸出挡槽，有效防止书本滑落。桌面胸前处有35mm（±5mm）内凹圆弧，符合人体工程学，避免桌面顶到学生前胸，提高学习舒适性。桌面所有边沿为大R角设计，手感圆润，有效防止造成碰撞伤害，保障学生安全。</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2、书箱</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①材质：采用全新PP塑料，经模具高压一次注塑成型。▲PP塑料经过第三方检测机构检测，检测标准包含GB 28481-2012 《塑料家具中有害物质限量》，检测结果符合：邻苯二甲酸酯（DBP、BBP、DEHP、DNOP、DINP、DIDP）未检出，重金属（可溶性铅、镉、铬、汞）未检出，多环芳烃（苯并[a]芘和16种多环芳烃（PAH）总量）未检出。（注：</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须提供2024年1月1日至开标截止时间之前的带CMA或CNAS标识的PP塑料检测报告进行佐证）；</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②尺寸：外径宽550mm*深380mm*高155mm（±5mm），内径宽450mm*深345mm*高140mm（±5mm）。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功能：书箱底部有不低于80条长40*5mm（±2mm）通风排水槽，保持书箱内部通风干爽。书箱两侧配有65mm*57mm*43mm（±2mm）注塑可旋转折叠隐藏式挂钩，经螺丝固定。挂钩打开后有直径26mm圆弧设计，除可挂放书包外，还可用于挂放饮料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3、脚架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材质：采用冷轧钢管，经折弯、焊接成钢管架，焊接部位牢固，无脱焊、虚焊、焊穿，焊缝均匀，无毛刺、锐棱、飞溅、裂纹等缺陷。整体结构牢固，长时间使用不得产生摇晃松散的现象。▲冷轧钢管经过第三方检测机构检测，检测标准包含QB/T3827-1999 《轻工产品金属镀层和化学处理层的耐腐蚀试验方法 乙酸盐雾试验(ASS)法》，检测结果符合金属喷漆（塑）涂层硬度≥2H、耐腐蚀100h试验后符合标准要求，有害物质限量，涂层和覆面层可溶性重金属（可溶性铅、可溶性镉、可溶性铬、可溶性汞）均未检出，附着力不低于2级，经乙酸盐雾试验(ASS)法试验500h后，镀（涂）层对基体的保护等级为10级。（注：</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须提供2024年1月1日至开标截止时间之前的带CMA或CNAS标识的冷轧钢管检测报告进行佐证）；</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②尺寸：底脚和立柱外管采用60mm*30mm*1.2mm（±0.1mm）旦管；立柱内管采用厚50mm*25mm*1.2mm（±0.1mm）旦管；横梁采用50mm*25mm*1.0mm（±0.1mm）旦管。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③功能：左右脚架使用冲压固定升降孔，使用螺丝紧固。可根据高度孔位调节螺丝孔位升降高度，每级调节升降20mm，共有5级高度可调，高度可根据实际情况调整。</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表面处理：钢材表面经去污、酸洗、磷化、烘干、喷涂等12道工序做静电喷涂处理。采用环保型防静电型塑粉，具有环保、抗腐蚀、易清洗、防火等优点，不含甲醛，对人体及周边环境不产生危害，无毒、无副作用、使用时无异味。▲塑粉经过第三方检测机构检测，检测依据包含HG/T 2006-2022《热固性和热塑性粉末涂料》、GB 18581-2020 《木器涂料中有害物质限量》，检测结果符合I型1类热固性粉末涂料外观要求检测色泽均匀，无异物，呈松散粉末状；有害物质限量的限量值要求：总铅（Pb）含量≤0.5mg/kg，可溶性重金属含量-镉（Cd）含量未检出，可溶性重金属含量-铬（Cr）含量≤0.5mg/kg，可溶性重金属含量-汞（Hg）含量未检出；（注：</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须提供2024年1月1日至开标截止时间之前的带CMA或CNAS标识的塑粉检测报告进行佐证）</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⑤▲脚架经过第三方检测机构检测，检测依据包含QB/T 3832-1999（2009）《轻工产品金属镀层腐蚀试验结果的评价》、QB/T 3826-1999（2009）《轻工产品金属镀层和化学处理层的耐腐蚀试验方法 中性盐雾试验（NSS）法》，检测结果为根据中性盐雾试验（NSS）法测试500h，涂（镀）层对基体的保护等级≥10级、涂（镀）层本身的耐腐蚀等级≥10级、1.5mm以下锈点≤20点/dm²，其中≥1.0mm锈点不超过5个。（注：</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须提供2024年1月1日至开标截止时间之前的带CMA或CNAS标识的脚架检测报告进行佐证）；</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4、脚塞</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①材质：采用全新PP塑料一体射出成型，不可采用回收料生产。</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②尺寸：68mm*53mm*45mm(±2mm)。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5、升降胶套</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①材质：采用全新PP材料一体射出成型，不可采用回收料生产。</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②尺寸：65mm*33mm*80mm(±2mm)。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6、▲课桌经过第三方检测机构检测，检测依据包含QB/T 4071-2021 《课桌椅》、GB/T 31106-2014 《家具中挥发性有机化合物的测定》、GB/T 10357.7-2013 《家具力学性能试验 第7部分：桌类稳定性》、QB/T 3832-1999 《轻工产品金属镀层腐蚀试验结果的评价》、QB/T 3826-1999 《轻工产品金属镀层和化学处理层的耐腐蚀试验方法 中性盐雾试验（NSS）法》，检测结果为金属喷漆（塑）涂层冲击强度、耐腐蚀性、附着力均符合要求、硬度≥2H；有害物质限量（产品涂层和覆面层中可溶性重金属）（可溶性铅、可溶性镉、可溶性铬、可溶性汞）均未检出；产品寿命检测桌类，桌面水平耐久性(6万次)检测符合国家标准；产品有害物质检测：甲醛释放量≤0.02mg/m³，苯含量≤0.01mg/m³，甲苯含量≤0.01mg/m³，二甲苯含量≤0.01mg/m³；产品有害物质（家具涂层可迁移元素）：铅Pb、镉Cd、铬Cr、汞Hg、锑Sb、钡Ba、硒Se、砷As均未检出；产品安全要求均达到合格标准；力学性能（包含桌面垂直冲击、桌腿跌落、桌面水平静载荷、桌类强度和耐久性、桌类稳定性试验）均达到合格标准；课桌经过中性盐雾试验（NSS）连续喷雾300h，镀（涂）层对基体的保护等级达到10级、镀（涂）层本身耐腐蚀等级达到10级。（注：</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须提供2024年1月1日至开标截止时间之前的带CMA或CNAS标识的课桌检测报告进行佐证）</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1、椅背</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①材质：采用全新PP材料，经模具高压一次注塑成型。产品结构合理，样式美观，造型表面光洁，强度高、抗冲击、耐磨。背面有不低于35条纵横贯穿的加强筋，确保面板在具有柔韧性的同时保持整体稳固度。</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②尺寸：高350mm*宽420mm(±5mm)。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功能：椅背设置有不低于10条宽度≥6mm的长条形通风口，保持通风干爽。椅背外观采用人体工学设计，两边呈向内包裹角度，整体呈环抱造型，呵护学生背脊健康。椅背顶端边沿处，预留设计100mm*35mm（±2mm）不规则圆角矩形人体工学提手孔，方便学生搬动椅子。</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2、椅座</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①材质：采用全新PP材料，经模具高压一次注塑成型。产品结构合理，样式美观，造型表面光洁，强度高、抗冲击、耐磨。座板底部有不低于12条纵横贯穿的加强筋，确保座板整体刚性。</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②尺寸：宽420mm*深360mm。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功能：椅座设置有不低于12条宽度≥6mm的长条形通风口，保持通风干爽。四面向中间下沉，能让学生整个臀部坐在内凹处，借此可分散上半身的所有重量，两边大腿位置下沉至35mm（±2mm）厚度，保证学生正确坐姿的同时，达到最佳的舒适感。</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3、椅架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①材质：采用冷轧钢管，经折弯、焊接成钢管架，焊接部位牢固，无脱焊、虚焊、焊穿，焊缝均匀，无毛刺、锐棱、飞溅、裂纹等缺陷。整体结构牢固，长时间使用不得产生摇晃松散的现象。</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尺寸：底脚和立柱外管采用60mm*30mm*1.2mm（±0.1mm）旦管；立柱内管采用厚50mm*25mm*1.2mm（±0.1mm）旦管；横梁采用40mm*20mm*1.0mm（±0.1mm）旦管。椅背与座架采用40mm*20mm*1.2mm（±0.1mm）旦管连接，底部拉梁采用50mm*25mm*1.0mm（±0.1mm）方管增加稳固性。</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③功能：左右脚架使用冲压固定升降孔，使用螺丝紧固。可根据高度孔位调节螺丝孔位升降高度，每级调节升降20mm，共有5级高度可调，高度可根据实际情况调整。</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表面处理：钢材表面经去污、酸洗、磷化、烘干、喷涂等12道工序做静电喷涂处理。采用环保型防静电型粉末，具有环保、抗腐蚀、易清洗、防火等优点，不含甲醛，对人体及周边环境不产生危害，无毒、无副作用、使用时无异味。</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4、脚塞</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①材质：采用全新PP材料一体射出成型，不可采用回收料生产。</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②尺寸：68mm*53mm*45(±2mm)。 </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5、升降胶套</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①材质：采用全新PP材料一体射出成型，不可采用回收料生产。</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②尺寸：65mm*33mm*80(±2mm)。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6、▲课椅经过第三方检测机构检测，检测依据包含GB/T 3325-2017 《金属家具通用技术条件》、QB/T 4071-2021 《课桌椅》、GB/T 35607-2017 《绿色产品评价 家具》、GB/T 31106-2014 《家具中挥发性有机化合物的测定》、GB/T 10357.3-2013 《椅凳类强度和耐久性》、GB/T 10357.2-2013 《家具力学性能试验 第2部分：椅凳类稳定性》、QB/T 3832-1999 《轻工产品金属镀层腐蚀试验结果的评价》、QB/T 3826-1999 《轻工产品金属镀层和化学处理层的耐腐蚀试验方法 中性盐雾试验（NSS）法》，检测结果为金属喷漆（塑）涂层冲击强度、耐腐蚀性、附着力均符合要求、硬度≥3H；有害物质限量（产品涂层和覆面层中可溶性重金属）（可溶性铅、可溶性镉、可溶性铬、可溶性汞）均未检出；力学性能（包含座面、椅背联合静载荷，座面、椅背联合耐久性，椅腿侧向静载荷，座面冲击，椅背冲击，椅凳类强度和耐久性，椅凳类稳定性等试验）均达到合格标准；产品寿命检测椅类，椅座椅背耐久性（12万次)检测符合国家标准；产品有害物质检测：甲醛释放量≤0.02mg/m³，苯含量≤0.01mg/m³，甲苯含量≤0.01mg/m³，二甲苯含量≤0.01mg/m³；产品有害物质（家具涂层可迁移元素）：铅Pb、镉Cd、铬Cr、汞Hg、锑Sb、钡Ba、硒Se、砷As均未检出；产品安全要求均达到合格标准；课椅经过中性盐雾试验（NSS）连续喷雾300h，镀（涂）层对基体的保护等级达到10级、镀（涂）层本身耐腐蚀等级达到10级。（注：</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须提供2024年1月1日至开标截止时间之前的带CMA或CNAS标识的课椅检测报告进行佐证）。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 w:hRule="atLeast"/>
        </w:trPr>
        <w:tc>
          <w:tcPr>
            <w:tcW w:w="544" w:type="dxa"/>
            <w:shd w:val="clear" w:color="000000" w:fill="FFFFFF"/>
            <w:vAlign w:val="center"/>
          </w:tcPr>
          <w:p>
            <w:pPr>
              <w:widowControl/>
              <w:adjustRightInd/>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1241"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宿舍铁架床</w:t>
            </w:r>
          </w:p>
        </w:tc>
        <w:tc>
          <w:tcPr>
            <w:tcW w:w="61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350</w:t>
            </w:r>
          </w:p>
        </w:tc>
        <w:tc>
          <w:tcPr>
            <w:tcW w:w="61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6627" w:type="dxa"/>
            <w:shd w:val="clear" w:color="000000" w:fill="FFFFFF"/>
            <w:vAlign w:val="center"/>
          </w:tcPr>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 双层床的尺寸：</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 mm×900 mm×1800mm（长×宽×高）。</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二、双层床的材料要求</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（一）金属件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1、主体材料</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边主柱：方管约40mm×40mm，厚度不小于1.2mm。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主柱横担：矩形管约30mm×20mm，厚度不小于1.0mm。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床梃（床母）：矩形管约50mm×25mm，厚度不小于1.2mm。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床梃（床母）横担：矩形管约30mm×20mm，厚度不小于1.2mm，上床铺床梃（床母）横担不少于4根，下床铺床梃（床母）横担不少于4根。</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上床铺面安全栏板及床两端护栏：双层床的安全栏板规格：1100mm×300mm（长×高），安全栏竖管不少于5根，钢管直径19mm，管壁厚：1.0mm。安全栏板与主柱距离（缺口长度）为500mm。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主柱卡口规格：≤26mm×26mm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床梃（床母）卡梢部位钢材厚度不小于1.5mm，卡梢总宽度不小于20mm，卡梢进深不少于15mm，床梃（床母）扣件规格不小于200mm×50mm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床梯子：方管约25mm×25mm，厚度不小于1.0mm，床梯宽度约为300mm，脚踏数量不少于3根。</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上床铺蚊帐架采用不小于Φ16×δ1.0的圆管制成，床铺蚊帐圈孔径Φ30mm。</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2、材料质量</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双层床的金属件的技术要求和试验方法符合国家标准GB/T 3325-2017《金属家具通用技术条件》的规定。双层床所用钢材不低于高频焊接冷轧钢板，质量必须符合国家标准GB/T700-2006《碳素结构钢》要求，钢材表面粗糙度Ra的最大值为1.6μm，金属件材质不允许使用出现孔洞、缺口、开裂、尖角、裂缝、叠缝、腐蚀、离层、结疤、氧化皮等影响产品结构强度、外观和安全的材料。</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3、双层床结构</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床架钢件部分分为6个组件，具体为：1、床左拼，2、床右拼，3、上床架（含安全栏），4、下床架，5、蚊帐架1副，6、床梯子1套。</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（二）木制件</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1、床板：1910 mm×835 mm（长×宽）；采用厚度不小于15mm的杉木板；每块床板的拼装板料数量最多不得超过9块；固定横条不少于3条，规格为30mm×20mm的实木方料。</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2、双层床所用木材须进行防虫、除脂、干燥处理，不允许使用有边角缺陷、虫蛀、腐朽、霉变、开裂、变形等影响产品结构强度和外观的材料，材质符合国家标准要求。每张双层床配2块床板。</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3、含水率：双层床加工所用木板含水率应不高于16%。双层床板出厂时木材含水率不高于16%。</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（三）其它材料</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1、塑料脚套。</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床脚和床主柱顶端的脚套为内嵌式黑色脚套，采用超高分子量PE材料制作，脚套与床脚（或主柱顶端）应结合紧密，牢靠，不脱落。</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三、双层床的加工要求</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（一）金属件加工要求</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1、金属件外观、加工要求按照QB/T 2741-2013《学生公寓多功能家具》中5.3的规定执行。</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2、管材应无裂缝、叠缝，外露管口端面应封闭。</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焊接件焊接时采用二氧化碳保护焊接。焊接件之间的连接部分均应全部圈焊接（结构不需要时除外），不允许脱焊、虚焊、焊穿、错位现象；焊接处应无夹渣、气孔、焊瘤、焊丝头、咬边、飞溅；焊疤表面波纹应均匀、高低之差应不大于1mm。焊接后须经打磨处理。</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4、冲压件应无脱层、裂缝。</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（二）木制件加工要求</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木制件外观、加工要求等按照QB/T 2741-2013《学生公寓多功能家具》中5.3的规定执行。</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（三）金属件的连接</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1、床梃（床母）与主柱连接方式必须为卡梢式，连接件需防锈处理。</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2、其他金属零、部件的连接方式必须采用焊接连接，不允许采用铆钉连接（铆接）和螺钉连接。（除铭牌、床梯子与床梃（床母）、主柱与床梃（床母）连接外）。</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3、床梯子与床梃（床母）的联接采用与上下床梃（床母）垂直插入定位方。</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4、床两端护栏及安全栏板与床梃（床母）连接必须圈焊，安全栏板两侧必须插孔焊接。</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（四）双层床加工尺寸要求</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双层床的外形尺寸，形状和位置公差分别按照QB/T 2741-2013《学生公寓多功能家具》中的5.1和5.2的规定执行。</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（五）双层床的力学性能要求</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双层床的力学性能要求按照QB/T 2741-2013《学生公寓多功能家具》中5.5的规定执行。</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四、双层床的涂饰要求</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（一）涂饰要求</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1、涂饰前双层床零、部件的表面应光滑、平整，不得有飞边、尖角、毛刺等可能造成机械伤害的缺陷。金属件应无开裂、脱焊、漏焊、焊渣等缺陷。</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2、涂饰前金属件零、部件表面必须进行预备处理，采用除锈、防锈处理工艺，除去锈迹等其他污迹后进行涂装打底磷化处理。</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3、预备处理后表面不得有氧化皮、锈蚀、粘砂等其他杂质，磷化层达到工艺要求，预备处理后应及时使用热固性砂纹粉进行涂饰。</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（二）涂饰层外观</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1、金属件涂层应无漏喷、锈蚀；应光滑均匀，色泽一致，应无流挂、疙瘩、皱皮、飞漆等缺陷。</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2、每批产品（含双层床）不允许有明显色差。</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3、产品上的五金配件应做防锈处理。</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（三）表面理化性能</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产品表面理化性能要求按QB/T 2741-2013《学生公寓多功能家具》中的表3规定执行。</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开标时提供省级以上检测部门出具的塑粉检测报告扫描件（原件备查），检验内容包含：游离甲醛含量≤5mg/kg、硬度（擦伤）≥H、附着力≤1级、杯突≥6mm、耐碱性（5%NaOH）168h无异常、耐酸性（3%HCI）240h无异常、耐湿热性500h无异常、耐人工气候老化性（128h）、重重金属（铅（Pb）≤90mg/kg、镉（Cd）≤75mg/kg、汞（Hg）≤60mg/kg、铬（Cr）≤60mg/kg）   </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2、开标时提供省级以上检测部门出具的钢材检测报告扫描件（原件备查），检验内容包含：力学性能（抗拉强度、断后伸长率、规定塑性延伸强度）、盐雾测试（不低于80小时） </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开标时提供省级以上检测部门出具的塑料件检测报告扫描件，检验内容包含：邻苯二甲酸酯（DBP、BBP、DEHP、DNOP、DINP、DIDP）≤0.1%、多溴联苯（PBB）≤1000mg/kg、多溴二苯醚（PBDE）≤1000mg/kg、16种多环芳烃（PAH）总量≤10mg/kg、多环芳烃苯并{a}芘≤1.0mg/kg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544" w:type="dxa"/>
            <w:shd w:val="clear" w:color="000000" w:fill="FFFFFF"/>
            <w:vAlign w:val="center"/>
          </w:tcPr>
          <w:p>
            <w:pPr>
              <w:widowControl/>
              <w:adjustRightInd/>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1241"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宿舍风扇</w:t>
            </w:r>
          </w:p>
        </w:tc>
        <w:tc>
          <w:tcPr>
            <w:tcW w:w="61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132</w:t>
            </w:r>
          </w:p>
        </w:tc>
        <w:tc>
          <w:tcPr>
            <w:tcW w:w="61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套</w:t>
            </w:r>
          </w:p>
        </w:tc>
        <w:tc>
          <w:tcPr>
            <w:tcW w:w="6627" w:type="dxa"/>
            <w:shd w:val="clear" w:color="000000" w:fill="FFFFFF"/>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楼顶扇，规格400mm，额定电压220V，额定频率50Hz，额定功率60W。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 w:hRule="atLeast"/>
        </w:trPr>
        <w:tc>
          <w:tcPr>
            <w:tcW w:w="544" w:type="dxa"/>
            <w:shd w:val="clear" w:color="000000" w:fill="FFFFFF"/>
            <w:vAlign w:val="center"/>
          </w:tcPr>
          <w:p>
            <w:pPr>
              <w:widowControl/>
              <w:adjustRightInd/>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1241"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宿舍洗漱台不锈钢置物架、晾衣杆</w:t>
            </w:r>
          </w:p>
        </w:tc>
        <w:tc>
          <w:tcPr>
            <w:tcW w:w="61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132</w:t>
            </w:r>
          </w:p>
        </w:tc>
        <w:tc>
          <w:tcPr>
            <w:tcW w:w="61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间</w:t>
            </w:r>
          </w:p>
        </w:tc>
        <w:tc>
          <w:tcPr>
            <w:tcW w:w="6627" w:type="dxa"/>
            <w:shd w:val="clear" w:color="000000" w:fill="FFFFFF"/>
            <w:vAlign w:val="center"/>
          </w:tcPr>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宿舍阳台不锈钢置物架(4层）（1） 长：50㎝ 宽：28㎝  高：80㎝      （2）304不锈钢材质 </w:t>
            </w:r>
            <w:r>
              <w:rPr>
                <w:rFonts w:hint="eastAsia" w:ascii="宋体" w:hAnsi="宋体" w:eastAsia="宋体" w:cs="宋体"/>
                <w:color w:val="auto"/>
                <w:kern w:val="0"/>
                <w:sz w:val="21"/>
                <w:szCs w:val="21"/>
                <w:lang w:val="en-US" w:eastAsia="zh-CN"/>
              </w:rPr>
              <w:br w:type="textWrapping"/>
            </w:r>
            <w:r>
              <w:rPr>
                <w:rFonts w:hint="eastAsia" w:ascii="宋体" w:hAnsi="宋体" w:eastAsia="宋体" w:cs="宋体"/>
                <w:color w:val="auto"/>
                <w:kern w:val="0"/>
                <w:sz w:val="21"/>
                <w:szCs w:val="21"/>
                <w:lang w:val="en-US" w:eastAsia="zh-CN"/>
              </w:rPr>
              <w:t>漱口杯架    长：180㎝   宽：16㎝</w:t>
            </w:r>
            <w:r>
              <w:rPr>
                <w:rFonts w:hint="eastAsia" w:ascii="宋体" w:hAnsi="宋体" w:eastAsia="宋体" w:cs="宋体"/>
                <w:color w:val="auto"/>
                <w:kern w:val="0"/>
                <w:sz w:val="21"/>
                <w:szCs w:val="21"/>
                <w:lang w:val="en-US" w:eastAsia="zh-CN"/>
              </w:rPr>
              <w:br w:type="textWrapping"/>
            </w:r>
            <w:r>
              <w:rPr>
                <w:rFonts w:hint="eastAsia" w:ascii="宋体" w:hAnsi="宋体" w:eastAsia="宋体" w:cs="宋体"/>
                <w:color w:val="auto"/>
                <w:kern w:val="0"/>
                <w:sz w:val="21"/>
                <w:szCs w:val="21"/>
                <w:lang w:val="en-US" w:eastAsia="zh-CN"/>
              </w:rPr>
              <w:t>毛巾挂钩    长：120㎝，10个挂钩                                                                                         晾衣杆长度2.9米，2根，304不锈钢材质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544" w:type="dxa"/>
            <w:shd w:val="clear" w:color="000000" w:fill="FFFFFF"/>
            <w:vAlign w:val="center"/>
          </w:tcPr>
          <w:p>
            <w:pPr>
              <w:widowControl/>
              <w:adjustRightInd/>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1241"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宿舍窗帘</w:t>
            </w:r>
          </w:p>
        </w:tc>
        <w:tc>
          <w:tcPr>
            <w:tcW w:w="61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132</w:t>
            </w:r>
          </w:p>
        </w:tc>
        <w:tc>
          <w:tcPr>
            <w:tcW w:w="61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间</w:t>
            </w:r>
          </w:p>
        </w:tc>
        <w:tc>
          <w:tcPr>
            <w:tcW w:w="6627" w:type="dxa"/>
            <w:shd w:val="clear" w:color="000000" w:fill="FFFFFF"/>
            <w:vAlign w:val="center"/>
          </w:tcPr>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（1）长3米，高2.7米  （2）材料：涤纶；优质铝合金轨道；含辅料、绑带及安装。褶皱比不低于1.5。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 w:hRule="atLeast"/>
        </w:trPr>
        <w:tc>
          <w:tcPr>
            <w:tcW w:w="544" w:type="dxa"/>
            <w:shd w:val="clear" w:color="000000" w:fill="FFFFFF"/>
            <w:vAlign w:val="center"/>
          </w:tcPr>
          <w:p>
            <w:pPr>
              <w:widowControl/>
              <w:adjustRightInd/>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1241"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消毒柜、蒸饭柜、电缆线及配套等厨房设备</w:t>
            </w:r>
          </w:p>
        </w:tc>
        <w:tc>
          <w:tcPr>
            <w:tcW w:w="61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614"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项</w:t>
            </w:r>
          </w:p>
        </w:tc>
        <w:tc>
          <w:tcPr>
            <w:tcW w:w="6627" w:type="dxa"/>
            <w:shd w:val="clear" w:color="000000" w:fill="FFFFFF"/>
            <w:vAlign w:val="center"/>
          </w:tcPr>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1.远红外线消毒柜：电压380V；功率10.5KW；规格1900*850*1700</w:t>
            </w:r>
            <w:r>
              <w:rPr>
                <w:rFonts w:hint="eastAsia" w:ascii="宋体" w:hAnsi="宋体" w:cs="宋体"/>
                <w:color w:val="auto"/>
                <w:kern w:val="0"/>
                <w:sz w:val="21"/>
                <w:szCs w:val="21"/>
                <w:lang w:val="en-US" w:eastAsia="zh-CN"/>
              </w:rPr>
              <w:t>mm</w:t>
            </w:r>
            <w:r>
              <w:rPr>
                <w:rFonts w:hint="eastAsia" w:ascii="宋体" w:hAnsi="宋体" w:eastAsia="宋体" w:cs="宋体"/>
                <w:color w:val="auto"/>
                <w:kern w:val="0"/>
                <w:sz w:val="21"/>
                <w:szCs w:val="21"/>
              </w:rPr>
              <w:t>；参考容量900个餐盘；餐盘规格360*270*20</w:t>
            </w:r>
            <w:r>
              <w:rPr>
                <w:rFonts w:hint="eastAsia" w:ascii="宋体" w:hAnsi="宋体" w:cs="宋体"/>
                <w:color w:val="auto"/>
                <w:kern w:val="0"/>
                <w:sz w:val="21"/>
                <w:szCs w:val="21"/>
                <w:lang w:val="en-US" w:eastAsia="zh-CN"/>
              </w:rPr>
              <w:t>mm</w:t>
            </w:r>
            <w:r>
              <w:rPr>
                <w:rFonts w:hint="eastAsia" w:ascii="宋体" w:hAnsi="宋体" w:eastAsia="宋体" w:cs="宋体"/>
                <w:color w:val="auto"/>
                <w:kern w:val="0"/>
                <w:sz w:val="21"/>
                <w:szCs w:val="21"/>
              </w:rPr>
              <w:t>；备注:柜内标配12个不锈钢篮。</w:t>
            </w:r>
          </w:p>
          <w:p>
            <w:pPr>
              <w:widowControl/>
              <w:adjustRightInd/>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2.双门蒸饭柜：规格1400*600*1500mm；功率：24KW、380V；门板采用无指纹不锈钢材质，内胆一体拉升成型，自动进水，配备24个优质不锈钢蒸饭托盘。</w:t>
            </w:r>
          </w:p>
          <w:p>
            <w:pPr>
              <w:widowControl/>
              <w:adjustRightInd/>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3.电缆线及配套：150电缆线65米，配套双电源转换器1个、电厢1个、隔离开关2个、空气开关3个、铜板连接端3组、接线端子50个、桥架65米等。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9639" w:type="dxa"/>
            <w:gridSpan w:val="5"/>
            <w:shd w:val="clear" w:color="auto" w:fill="FFFFFF"/>
            <w:tcMar>
              <w:top w:w="15" w:type="dxa"/>
              <w:left w:w="15" w:type="dxa"/>
              <w:right w:w="15" w:type="dxa"/>
            </w:tcMar>
            <w:vAlign w:val="center"/>
          </w:tcPr>
          <w:p>
            <w:pPr>
              <w:adjustRightInd/>
              <w:jc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lang w:bidi="ar"/>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9" w:hRule="atLeast"/>
        </w:trPr>
        <w:tc>
          <w:tcPr>
            <w:tcW w:w="9639" w:type="dxa"/>
            <w:gridSpan w:val="5"/>
            <w:shd w:val="clear" w:color="auto" w:fill="FFFFFF"/>
            <w:tcMar>
              <w:top w:w="15" w:type="dxa"/>
              <w:left w:w="15" w:type="dxa"/>
              <w:right w:w="15" w:type="dxa"/>
            </w:tcMar>
            <w:vAlign w:val="center"/>
          </w:tcPr>
          <w:p>
            <w:pPr>
              <w:widowControl/>
              <w:adjustRightInd w:val="0"/>
              <w:snapToGri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1．交货（交付）时间：签订合同后</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14</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个日历日。</w:t>
            </w:r>
          </w:p>
          <w:p>
            <w:pPr>
              <w:widowControl/>
              <w:adjustRightInd w:val="0"/>
              <w:snapToGrid w:val="0"/>
              <w:spacing w:line="360" w:lineRule="auto"/>
              <w:ind w:firstLine="424" w:firstLineChars="202"/>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2．交货地点：</w:t>
            </w:r>
            <w:r>
              <w:rPr>
                <w:rFonts w:hint="eastAsia" w:ascii="宋体" w:hAnsi="宋体" w:eastAsia="宋体" w:cs="宋体"/>
                <w:color w:val="auto"/>
                <w:kern w:val="0"/>
                <w:sz w:val="21"/>
                <w:szCs w:val="21"/>
                <w:lang w:val="en-US" w:eastAsia="zh-CN"/>
              </w:rPr>
              <w:t>北海市第十三中学</w:t>
            </w:r>
          </w:p>
          <w:p>
            <w:pPr>
              <w:widowControl/>
              <w:adjustRightInd w:val="0"/>
              <w:snapToGrid w:val="0"/>
              <w:spacing w:line="360" w:lineRule="auto"/>
              <w:ind w:firstLine="424" w:firstLineChars="202"/>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3．付款时间和方式：验收合格后</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30</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个日历日内</w:t>
            </w:r>
            <w:r>
              <w:rPr>
                <w:rFonts w:hint="eastAsia" w:ascii="宋体" w:hAnsi="宋体" w:eastAsia="宋体" w:cs="宋体"/>
                <w:color w:val="auto"/>
                <w:kern w:val="0"/>
                <w:sz w:val="21"/>
                <w:szCs w:val="21"/>
                <w:lang w:val="en-US" w:eastAsia="zh-CN"/>
              </w:rPr>
              <w:t>支付</w:t>
            </w:r>
            <w:r>
              <w:rPr>
                <w:rFonts w:hint="eastAsia" w:ascii="宋体" w:hAnsi="宋体" w:cs="宋体"/>
                <w:color w:val="auto"/>
                <w:kern w:val="0"/>
                <w:sz w:val="21"/>
                <w:szCs w:val="21"/>
                <w:lang w:val="en-US" w:eastAsia="zh-CN"/>
              </w:rPr>
              <w:t>总预算的69%</w:t>
            </w:r>
            <w:r>
              <w:rPr>
                <w:rFonts w:hint="eastAsia" w:ascii="宋体" w:hAnsi="宋体" w:eastAsia="宋体" w:cs="宋体"/>
                <w:color w:val="auto"/>
                <w:kern w:val="0"/>
                <w:sz w:val="21"/>
                <w:szCs w:val="21"/>
                <w:lang w:val="en-US" w:eastAsia="zh-CN"/>
              </w:rPr>
              <w:t>，余下部分待学校统筹后结清。</w:t>
            </w:r>
          </w:p>
          <w:p>
            <w:pPr>
              <w:widowControl/>
              <w:adjustRightInd w:val="0"/>
              <w:snapToGrid w:val="0"/>
              <w:spacing w:line="360" w:lineRule="auto"/>
              <w:ind w:firstLine="424" w:firstLineChars="202"/>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4．质量要求：</w:t>
            </w:r>
            <w:r>
              <w:rPr>
                <w:rFonts w:hint="eastAsia" w:ascii="宋体" w:hAnsi="宋体" w:eastAsia="宋体" w:cs="宋体"/>
                <w:color w:val="auto"/>
                <w:kern w:val="0"/>
                <w:sz w:val="21"/>
                <w:szCs w:val="21"/>
                <w:lang w:val="en-US" w:eastAsia="zh-CN"/>
              </w:rPr>
              <w:t>2024年1月以后的PP塑料、脚架、课座椅、冷轧钢管塑粉等产品的检查报告。</w:t>
            </w:r>
          </w:p>
          <w:p>
            <w:pPr>
              <w:widowControl/>
              <w:adjustRightInd w:val="0"/>
              <w:snapToGrid w:val="0"/>
              <w:spacing w:line="360" w:lineRule="auto"/>
              <w:ind w:firstLine="424" w:firstLineChars="202"/>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．保修和服务要求：</w:t>
            </w:r>
            <w:r>
              <w:rPr>
                <w:rFonts w:hint="eastAsia" w:ascii="宋体" w:hAnsi="宋体" w:eastAsia="宋体" w:cs="宋体"/>
                <w:color w:val="auto"/>
                <w:kern w:val="0"/>
                <w:sz w:val="21"/>
                <w:szCs w:val="21"/>
                <w:lang w:val="en-US" w:eastAsia="zh-CN"/>
              </w:rPr>
              <w:t>保修期3年，2小时内响应维修，24小时内维修完毕。</w:t>
            </w:r>
          </w:p>
        </w:tc>
      </w:tr>
    </w:tbl>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adjustRightInd/>
        <w:spacing w:line="360" w:lineRule="auto"/>
        <w:jc w:val="center"/>
        <w:outlineLvl w:val="0"/>
        <w:rPr>
          <w:rFonts w:cs="仿宋_GB2312" w:asciiTheme="minorEastAsia" w:hAnsiTheme="minorEastAsia" w:eastAsiaTheme="minorEastAsia"/>
          <w:b/>
          <w:color w:val="auto"/>
          <w:sz w:val="36"/>
          <w:szCs w:val="36"/>
        </w:rPr>
      </w:pPr>
      <w:bookmarkStart w:id="64" w:name="_Toc181265285"/>
      <w:r>
        <w:rPr>
          <w:rFonts w:hint="eastAsia" w:cs="仿宋_GB2312" w:asciiTheme="minorEastAsia" w:hAnsiTheme="minorEastAsia" w:eastAsiaTheme="minorEastAsia"/>
          <w:b/>
          <w:color w:val="auto"/>
          <w:sz w:val="36"/>
          <w:szCs w:val="36"/>
        </w:rPr>
        <w:t xml:space="preserve">第五部分  </w:t>
      </w:r>
      <w:bookmarkEnd w:id="61"/>
      <w:bookmarkEnd w:id="62"/>
      <w:bookmarkStart w:id="65" w:name="第四部分"/>
      <w:r>
        <w:rPr>
          <w:rFonts w:hint="eastAsia" w:cs="仿宋_GB2312" w:asciiTheme="minorEastAsia" w:hAnsiTheme="minorEastAsia" w:eastAsiaTheme="minorEastAsia"/>
          <w:b/>
          <w:color w:val="auto"/>
          <w:sz w:val="36"/>
          <w:szCs w:val="36"/>
        </w:rPr>
        <w:t>评定标准</w:t>
      </w:r>
      <w:bookmarkEnd w:id="64"/>
    </w:p>
    <w:p>
      <w:pPr>
        <w:adjustRightInd/>
        <w:spacing w:line="360" w:lineRule="auto"/>
        <w:ind w:firstLine="482" w:firstLineChars="200"/>
        <w:rPr>
          <w:rFonts w:cs="Arial" w:asciiTheme="minorEastAsia" w:hAnsiTheme="minorEastAsia" w:eastAsiaTheme="minorEastAsia"/>
          <w:b/>
          <w:color w:val="auto"/>
          <w:kern w:val="0"/>
          <w:sz w:val="24"/>
        </w:rPr>
      </w:pPr>
    </w:p>
    <w:p>
      <w:pPr>
        <w:pStyle w:val="392"/>
        <w:spacing w:before="0"/>
        <w:ind w:firstLine="643"/>
        <w:jc w:val="center"/>
        <w:outlineLvl w:val="1"/>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对于专门面向中小企业采购的项目或者采购包，不再执行价格评审优惠的扶持政策。</w:t>
      </w:r>
    </w:p>
    <w:p>
      <w:pPr>
        <w:adjustRightInd/>
        <w:spacing w:line="360" w:lineRule="auto"/>
        <w:rPr>
          <w:rFonts w:cs="Arial" w:asciiTheme="minorEastAsia" w:hAnsiTheme="minorEastAsia" w:eastAsiaTheme="minorEastAsia"/>
          <w:color w:val="auto"/>
          <w:kern w:val="0"/>
          <w:sz w:val="24"/>
        </w:rPr>
      </w:pPr>
    </w:p>
    <w:p>
      <w:pPr>
        <w:pStyle w:val="631"/>
        <w:rPr>
          <w:color w:val="auto"/>
        </w:rPr>
      </w:pPr>
    </w:p>
    <w:p>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二、谈判小组的组成</w:t>
      </w:r>
    </w:p>
    <w:p>
      <w:pPr>
        <w:pStyle w:val="392"/>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1.谈判小组的组成。</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达到公开招标数额标准的货物采购项目，竞争性谈判小组应当由5人以上单数组成。</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2.谈判小组的组成人员的回避。</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在政府采购活动中，谈判小组的组成人员与供应商有下列利害关系之一的，应当回避：</w:t>
      </w:r>
    </w:p>
    <w:p>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pPr>
        <w:pStyle w:val="392"/>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三、谈判小组的职责</w:t>
      </w:r>
    </w:p>
    <w:p>
      <w:pPr>
        <w:pStyle w:val="392"/>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1.谈判小组负责具体评审事务，并独立履行下列职责：</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1.2审查、评价响应文件是否符合谈判文件的商务、技术等实质性要求；</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1.4谈判小组集中与单一供应商分别进行谈判；</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1.5谈判小组根据谈判文件和谈判情况实质性变动采购需求中的技术、服务要求以及合同草案条款，并确定提交最后报价的供应商；</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1.6根据谈判文件确定的评定标准对提交最后报价的供应商的响应文件和最后报价进行评定；</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1.8向采购人、采购代理机构或者有关部门报告评审中发现的违法行为；</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1.9法律、法规、规章、谈判文件等规定的其它事项。</w:t>
      </w:r>
    </w:p>
    <w:p>
      <w:pPr>
        <w:pStyle w:val="392"/>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2.谈判小组及其成员不得有下列行为：</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2.4在评审过程中擅离职守，影响评审程序正常进行的；</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2.5记录、复制或者带走任何评审资料；</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2.6其他不遵守评审纪律的行为。</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谈判小组成员有2.1-2.4行为之一的，其评审意见无效，并不得获取评审劳务报酬和报销异地评审差旅费。</w:t>
      </w:r>
    </w:p>
    <w:p>
      <w:pPr>
        <w:pStyle w:val="392"/>
        <w:spacing w:before="0"/>
        <w:ind w:firstLine="0" w:firstLineChars="0"/>
        <w:rPr>
          <w:rFonts w:asciiTheme="minorEastAsia" w:hAnsiTheme="minorEastAsia" w:eastAsiaTheme="minorEastAsia"/>
          <w:b/>
          <w:color w:val="auto"/>
        </w:rPr>
      </w:pPr>
    </w:p>
    <w:p>
      <w:pPr>
        <w:pStyle w:val="392"/>
        <w:spacing w:before="0"/>
        <w:ind w:firstLine="0" w:firstLineChars="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pPr>
        <w:pStyle w:val="392"/>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详见谈判文件“第二部分 竞争性谈判流程”。</w:t>
      </w:r>
    </w:p>
    <w:p>
      <w:pPr>
        <w:pStyle w:val="392"/>
        <w:spacing w:before="0"/>
        <w:ind w:firstLine="0" w:firstLineChars="0"/>
        <w:rPr>
          <w:rFonts w:asciiTheme="minorEastAsia" w:hAnsiTheme="minorEastAsia" w:eastAsiaTheme="minorEastAsia"/>
          <w:b/>
          <w:color w:val="auto"/>
        </w:rPr>
      </w:pPr>
    </w:p>
    <w:p>
      <w:pPr>
        <w:pStyle w:val="392"/>
        <w:spacing w:before="0"/>
        <w:ind w:firstLine="0" w:firstLineChars="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谈判小组对响应文件的最后报价进行审核，对发现计算、书写等错误的，按以下原则进行修正：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pPr>
        <w:pStyle w:val="24"/>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3.3供应商不具备谈判文件中规定的资格要求的（供应商未提供有效的资格证明文件的，视为供应商不具备谈判文件中规定的资格要求）；</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3.4如以联合体形式参加政府采购活动的，联合协议不符合谈判文件规定的联合协议要求的；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3.5响应文件未按谈判文件的澄清、修改的内容编制，又不符合实质性要求的；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3.8响应文件未按照谈判文件要求签署、盖章的；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3.11响应文件中承诺的响应有效期少于谈判文件中载明的响应有效期的；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3.12供应商所投内容不符合谈判文件中实质性要求的；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3.15《最后报价一览表》填写不完整或字迹不能辨认或有漏项的；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3.16供应商对根据修正原则修正后的最后报价不确认的；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3.17供应商提供虚假材料响应的（包括但不限于以下情节）；</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3.17.1使用伪造、变造的许可证件；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3.17.2提供虚假的财务状况或者业绩；</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3.17.3提供虚假的项目负责人或者主要技术人员简历、劳动关系证明；</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3.17.4提供虚假的信用状况；</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3.17.5其他弄虚作假的行为。</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3.18.1供应商直接或者间接从采购人或者采购代理机构处获得其他供应商的相关情况并修改其响应文件；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3.18.2供应商按照采购人或者采购代理机构的授意撤换、修改投标文件或者响应文件；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3.18.3供应商之间协商报价、技术方案等投标文件或者响应文件的实质性内容；</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3.18.4属于同一集团、协会、商会等组织成员的供应商按照该组织要求协同参加政府采购活动；</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3.18.5供应商之间事先约定由某一特定供应商中标、成交；</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3.18.6供应商之间商定部分供应商放弃参加政府采购活动或者放弃中标、成交；</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3.18.7供应商与采购人或者采购代理机构之间、供应商相互之间，为谋求特定供应商中标、成交或者排斥其他供应商的其他串通行为。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3.18.8不同供应商的响应文件由同一单位或者个人编制；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3.18.9不同供应商委托同一单位或者个人办理响应事宜；</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3.18.10不同供应商的响应文件载明的项目管理成员或者联系人员为同一人；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3.18.11不同供应商的响应文件异常一致或者最后报价呈规律性差异。</w:t>
      </w: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3.19供应商仅提交备份响应文件，没有在电子交易平台传输提交响应文件的，响应无效；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出现下列情形之一的，采购代理机构应当终止竞争性谈判采购活动，通过电子交易平台发布项目终止公告并说明原因，重新开展采购活动：</w:t>
      </w:r>
    </w:p>
    <w:p>
      <w:pPr>
        <w:spacing w:line="360" w:lineRule="auto"/>
        <w:ind w:firstLine="480" w:firstLineChars="20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（1）因情况变化，不再符合规定的竞争性谈判采购方式适用情形的；</w:t>
      </w:r>
    </w:p>
    <w:p>
      <w:pPr>
        <w:spacing w:line="360" w:lineRule="auto"/>
        <w:ind w:firstLine="480" w:firstLineChars="20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pPr>
        <w:spacing w:line="360" w:lineRule="auto"/>
        <w:ind w:firstLine="480" w:firstLineChars="20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（3）在采购过程中符合竞争要求的供应商或者报价未超过采购预算的供应商不足3家的，但《政府采购非招标采购方式管理办法》第二十七条第二款规定的情形除外。</w:t>
      </w:r>
    </w:p>
    <w:p>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rPr>
        <w:t>采购代理机构有权对谈判小组各成员的评审情况和评审意见进行合理性和合规性审查</w:t>
      </w:r>
      <w:r>
        <w:rPr>
          <w:rFonts w:hint="eastAsia" w:cs="仿宋_GB2312" w:asciiTheme="minorEastAsia" w:hAnsiTheme="minorEastAsia" w:eastAsiaTheme="minorEastAsia"/>
          <w:color w:val="auto"/>
          <w:sz w:val="24"/>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pPr>
        <w:pStyle w:val="392"/>
        <w:spacing w:before="0"/>
        <w:ind w:firstLine="0" w:firstLineChars="0"/>
        <w:rPr>
          <w:rFonts w:cs="仿宋_GB2312" w:asciiTheme="minorEastAsia" w:hAnsiTheme="minorEastAsia" w:eastAsiaTheme="minorEastAsia"/>
          <w:b/>
          <w:color w:val="auto"/>
        </w:rPr>
      </w:pPr>
    </w:p>
    <w:p>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rPr>
        <w:t>采购代理机构对评审工作现场进行全过程录音录像，录音录像资料作为采购项目文件随其他文件一并存档。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spacing w:line="360" w:lineRule="auto"/>
        <w:jc w:val="center"/>
        <w:outlineLvl w:val="0"/>
        <w:rPr>
          <w:rFonts w:cs="仿宋_GB2312" w:asciiTheme="minorEastAsia" w:hAnsiTheme="minorEastAsia" w:eastAsiaTheme="minorEastAsia"/>
          <w:b/>
          <w:color w:val="auto"/>
          <w:sz w:val="36"/>
          <w:szCs w:val="36"/>
        </w:rPr>
      </w:pPr>
      <w:bookmarkStart w:id="66" w:name="_Toc181265286"/>
      <w:r>
        <w:rPr>
          <w:rFonts w:hint="eastAsia" w:cs="仿宋_GB2312" w:asciiTheme="minorEastAsia" w:hAnsiTheme="minorEastAsia" w:eastAsiaTheme="minorEastAsia"/>
          <w:b/>
          <w:color w:val="auto"/>
          <w:sz w:val="36"/>
          <w:szCs w:val="36"/>
        </w:rPr>
        <w:t>第六部分</w:t>
      </w:r>
      <w:bookmarkEnd w:id="65"/>
      <w:r>
        <w:rPr>
          <w:rFonts w:hint="eastAsia" w:cs="仿宋_GB2312" w:asciiTheme="minorEastAsia" w:hAnsiTheme="minorEastAsia" w:eastAsiaTheme="minorEastAsia"/>
          <w:b/>
          <w:color w:val="auto"/>
          <w:sz w:val="36"/>
          <w:szCs w:val="36"/>
        </w:rPr>
        <w:t xml:space="preserve">  拟签订的合同文本</w:t>
      </w:r>
      <w:bookmarkEnd w:id="66"/>
    </w:p>
    <w:p>
      <w:pPr>
        <w:spacing w:line="480" w:lineRule="auto"/>
        <w:jc w:val="center"/>
        <w:rPr>
          <w:rFonts w:ascii="宋体" w:hAnsi="宋体" w:cs="宋体"/>
          <w:b/>
          <w:color w:val="auto"/>
          <w:sz w:val="24"/>
        </w:rPr>
      </w:pPr>
      <w:bookmarkStart w:id="67" w:name="第五部分"/>
      <w:bookmarkStart w:id="68" w:name="_Toc86217003"/>
    </w:p>
    <w:p>
      <w:pPr>
        <w:adjustRightInd/>
        <w:spacing w:line="600" w:lineRule="exact"/>
        <w:ind w:firstLine="1044"/>
        <w:rPr>
          <w:rFonts w:ascii="宋体" w:hAnsi="宋体" w:cs="宋体"/>
          <w:b/>
          <w:color w:val="auto"/>
          <w:kern w:val="0"/>
          <w:sz w:val="52"/>
          <w:szCs w:val="52"/>
        </w:rPr>
      </w:pPr>
    </w:p>
    <w:p>
      <w:pPr>
        <w:adjustRightInd/>
        <w:jc w:val="center"/>
        <w:rPr>
          <w:rFonts w:ascii="宋体" w:hAnsi="宋体" w:cs="宋体"/>
          <w:b/>
          <w:bCs/>
          <w:color w:val="auto"/>
          <w:spacing w:val="-20"/>
          <w:kern w:val="44"/>
          <w:sz w:val="48"/>
          <w:szCs w:val="48"/>
        </w:rPr>
      </w:pPr>
      <w:bookmarkStart w:id="69" w:name="_Toc3995"/>
    </w:p>
    <w:p>
      <w:pPr>
        <w:adjustRightInd/>
        <w:jc w:val="center"/>
        <w:rPr>
          <w:rFonts w:ascii="宋体" w:hAnsi="宋体" w:cs="宋体"/>
          <w:b/>
          <w:bCs/>
          <w:color w:val="auto"/>
          <w:spacing w:val="-20"/>
          <w:kern w:val="44"/>
          <w:sz w:val="48"/>
          <w:szCs w:val="48"/>
        </w:rPr>
      </w:pPr>
    </w:p>
    <w:p>
      <w:pPr>
        <w:adjustRightInd/>
        <w:jc w:val="center"/>
        <w:rPr>
          <w:rFonts w:ascii="宋体" w:hAnsi="宋体" w:cs="宋体"/>
          <w:b/>
          <w:bCs/>
          <w:color w:val="auto"/>
          <w:spacing w:val="-20"/>
          <w:kern w:val="44"/>
          <w:sz w:val="48"/>
          <w:szCs w:val="48"/>
        </w:rPr>
      </w:pPr>
    </w:p>
    <w:p>
      <w:pPr>
        <w:adjustRightInd/>
        <w:jc w:val="center"/>
        <w:rPr>
          <w:rFonts w:ascii="宋体" w:hAnsi="宋体" w:cs="宋体"/>
          <w:b/>
          <w:bCs/>
          <w:color w:val="auto"/>
          <w:spacing w:val="-20"/>
          <w:kern w:val="44"/>
          <w:sz w:val="48"/>
          <w:szCs w:val="48"/>
        </w:rPr>
      </w:pPr>
    </w:p>
    <w:p>
      <w:pPr>
        <w:adjustRightInd/>
        <w:jc w:val="center"/>
        <w:rPr>
          <w:rFonts w:ascii="宋体" w:hAnsi="宋体" w:cs="宋体"/>
          <w:b/>
          <w:bCs/>
          <w:color w:val="auto"/>
          <w:spacing w:val="-20"/>
          <w:kern w:val="44"/>
          <w:sz w:val="48"/>
          <w:szCs w:val="48"/>
        </w:rPr>
      </w:pPr>
    </w:p>
    <w:p>
      <w:pPr>
        <w:adjustRightInd/>
        <w:jc w:val="center"/>
        <w:rPr>
          <w:rFonts w:ascii="宋体" w:hAnsi="宋体" w:cs="宋体"/>
          <w:b/>
          <w:bCs/>
          <w:color w:val="auto"/>
          <w:spacing w:val="-20"/>
          <w:kern w:val="44"/>
          <w:sz w:val="48"/>
          <w:szCs w:val="48"/>
        </w:rPr>
      </w:pPr>
      <w:r>
        <w:rPr>
          <w:rFonts w:hint="eastAsia" w:ascii="宋体" w:hAnsi="宋体" w:cs="宋体"/>
          <w:b/>
          <w:bCs/>
          <w:color w:val="auto"/>
          <w:spacing w:val="-20"/>
          <w:kern w:val="44"/>
          <w:sz w:val="48"/>
          <w:szCs w:val="48"/>
        </w:rPr>
        <w:t>北海市政府采购合同</w:t>
      </w:r>
    </w:p>
    <w:p>
      <w:pPr>
        <w:adjustRightInd/>
        <w:jc w:val="center"/>
        <w:rPr>
          <w:rFonts w:ascii="宋体" w:hAnsi="宋体" w:cs="宋体"/>
          <w:b/>
          <w:bCs/>
          <w:color w:val="auto"/>
          <w:spacing w:val="-20"/>
          <w:kern w:val="44"/>
          <w:sz w:val="36"/>
          <w:szCs w:val="36"/>
        </w:rPr>
      </w:pPr>
    </w:p>
    <w:p>
      <w:pPr>
        <w:adjustRightInd/>
        <w:jc w:val="center"/>
        <w:rPr>
          <w:rFonts w:ascii="宋体" w:hAnsi="宋体" w:cs="宋体"/>
          <w:b/>
          <w:bCs/>
          <w:color w:val="auto"/>
          <w:spacing w:val="-20"/>
          <w:kern w:val="44"/>
          <w:sz w:val="36"/>
          <w:szCs w:val="36"/>
        </w:rPr>
      </w:pPr>
      <w:r>
        <w:rPr>
          <w:rFonts w:hint="eastAsia" w:ascii="宋体" w:hAnsi="宋体" w:cs="宋体"/>
          <w:b/>
          <w:bCs/>
          <w:color w:val="auto"/>
          <w:spacing w:val="-20"/>
          <w:kern w:val="44"/>
          <w:sz w:val="36"/>
          <w:szCs w:val="36"/>
        </w:rPr>
        <w:t>（货物类）</w:t>
      </w:r>
    </w:p>
    <w:p>
      <w:pPr>
        <w:adjustRightInd/>
        <w:rPr>
          <w:rFonts w:ascii="宋体" w:hAnsi="宋体" w:cs="宋体"/>
          <w:b/>
          <w:bCs/>
          <w:color w:val="auto"/>
          <w:spacing w:val="-20"/>
          <w:kern w:val="44"/>
          <w:sz w:val="40"/>
          <w:szCs w:val="40"/>
        </w:rPr>
      </w:pPr>
    </w:p>
    <w:p>
      <w:pPr>
        <w:adjustRightInd/>
        <w:rPr>
          <w:rFonts w:ascii="宋体" w:hAnsi="宋体" w:cs="宋体"/>
          <w:b/>
          <w:bCs/>
          <w:color w:val="auto"/>
          <w:spacing w:val="-20"/>
          <w:kern w:val="44"/>
          <w:sz w:val="40"/>
          <w:szCs w:val="40"/>
        </w:rPr>
      </w:pPr>
    </w:p>
    <w:p>
      <w:pPr>
        <w:adjustRightInd/>
        <w:rPr>
          <w:rFonts w:ascii="宋体" w:hAnsi="宋体" w:cs="宋体"/>
          <w:b/>
          <w:bCs/>
          <w:color w:val="auto"/>
          <w:spacing w:val="-20"/>
          <w:kern w:val="44"/>
          <w:sz w:val="40"/>
          <w:szCs w:val="40"/>
        </w:rPr>
      </w:pPr>
    </w:p>
    <w:p>
      <w:pPr>
        <w:adjustRightInd/>
        <w:spacing w:line="360" w:lineRule="auto"/>
        <w:ind w:left="1680" w:leftChars="800"/>
        <w:rPr>
          <w:color w:val="auto"/>
          <w:sz w:val="32"/>
          <w:szCs w:val="32"/>
        </w:rPr>
      </w:pPr>
      <w:r>
        <w:rPr>
          <w:rFonts w:hint="eastAsia" w:ascii="宋体" w:hAnsi="宋体" w:cs="宋体"/>
          <w:color w:val="auto"/>
          <w:kern w:val="0"/>
          <w:sz w:val="32"/>
          <w:szCs w:val="32"/>
        </w:rPr>
        <w:t>项目名称：</w:t>
      </w:r>
      <w:r>
        <w:rPr>
          <w:color w:val="auto"/>
          <w:sz w:val="32"/>
          <w:szCs w:val="32"/>
          <w:u w:val="single"/>
        </w:rPr>
        <w:t xml:space="preserve">                             </w:t>
      </w:r>
    </w:p>
    <w:p>
      <w:pPr>
        <w:adjustRightInd/>
        <w:spacing w:line="360" w:lineRule="auto"/>
        <w:ind w:left="1680" w:leftChars="800"/>
        <w:rPr>
          <w:color w:val="auto"/>
          <w:sz w:val="32"/>
          <w:szCs w:val="32"/>
          <w:u w:val="single"/>
        </w:rPr>
      </w:pPr>
      <w:r>
        <w:rPr>
          <w:rFonts w:hint="eastAsia"/>
          <w:color w:val="auto"/>
          <w:sz w:val="32"/>
          <w:szCs w:val="32"/>
        </w:rPr>
        <w:t>合同编号：</w:t>
      </w:r>
      <w:r>
        <w:rPr>
          <w:color w:val="auto"/>
          <w:sz w:val="32"/>
          <w:szCs w:val="32"/>
          <w:u w:val="single"/>
        </w:rPr>
        <w:t xml:space="preserve">                             </w:t>
      </w:r>
    </w:p>
    <w:p>
      <w:pPr>
        <w:adjustRightInd/>
        <w:spacing w:line="360" w:lineRule="auto"/>
        <w:ind w:left="1680" w:leftChars="800"/>
        <w:rPr>
          <w:color w:val="auto"/>
          <w:sz w:val="32"/>
          <w:szCs w:val="32"/>
        </w:rPr>
      </w:pPr>
      <w:r>
        <w:rPr>
          <w:rFonts w:hint="eastAsia"/>
          <w:color w:val="auto"/>
          <w:sz w:val="32"/>
          <w:szCs w:val="32"/>
        </w:rPr>
        <w:t>甲</w:t>
      </w:r>
      <w:r>
        <w:rPr>
          <w:color w:val="auto"/>
          <w:sz w:val="32"/>
          <w:szCs w:val="32"/>
        </w:rPr>
        <w:t xml:space="preserve">    </w:t>
      </w:r>
      <w:r>
        <w:rPr>
          <w:rFonts w:hint="eastAsia"/>
          <w:color w:val="auto"/>
          <w:sz w:val="32"/>
          <w:szCs w:val="32"/>
        </w:rPr>
        <w:t>方：</w:t>
      </w:r>
      <w:r>
        <w:rPr>
          <w:color w:val="auto"/>
          <w:sz w:val="32"/>
          <w:szCs w:val="32"/>
          <w:u w:val="single"/>
        </w:rPr>
        <w:t xml:space="preserve">                             </w:t>
      </w:r>
    </w:p>
    <w:p>
      <w:pPr>
        <w:adjustRightInd/>
        <w:spacing w:line="360" w:lineRule="auto"/>
        <w:ind w:left="1680" w:leftChars="800"/>
        <w:rPr>
          <w:color w:val="auto"/>
          <w:sz w:val="32"/>
          <w:szCs w:val="32"/>
          <w:u w:val="single"/>
        </w:rPr>
      </w:pPr>
      <w:r>
        <w:rPr>
          <w:rFonts w:hint="eastAsia"/>
          <w:color w:val="auto"/>
          <w:sz w:val="32"/>
          <w:szCs w:val="32"/>
        </w:rPr>
        <w:t>乙</w:t>
      </w:r>
      <w:r>
        <w:rPr>
          <w:color w:val="auto"/>
          <w:sz w:val="32"/>
          <w:szCs w:val="32"/>
        </w:rPr>
        <w:t xml:space="preserve">    </w:t>
      </w:r>
      <w:r>
        <w:rPr>
          <w:rFonts w:hint="eastAsia"/>
          <w:color w:val="auto"/>
          <w:sz w:val="32"/>
          <w:szCs w:val="32"/>
        </w:rPr>
        <w:t>方：</w:t>
      </w:r>
      <w:r>
        <w:rPr>
          <w:color w:val="auto"/>
          <w:sz w:val="32"/>
          <w:szCs w:val="32"/>
          <w:u w:val="single"/>
        </w:rPr>
        <w:t xml:space="preserve">                             </w:t>
      </w:r>
    </w:p>
    <w:p>
      <w:pPr>
        <w:adjustRightInd/>
        <w:spacing w:line="360" w:lineRule="auto"/>
        <w:ind w:left="1680" w:leftChars="800"/>
        <w:rPr>
          <w:color w:val="auto"/>
          <w:sz w:val="32"/>
          <w:szCs w:val="32"/>
        </w:rPr>
      </w:pPr>
      <w:r>
        <w:rPr>
          <w:rFonts w:hint="eastAsia"/>
          <w:color w:val="auto"/>
          <w:sz w:val="32"/>
          <w:szCs w:val="32"/>
        </w:rPr>
        <w:t>签订时间：</w:t>
      </w:r>
      <w:r>
        <w:rPr>
          <w:color w:val="auto"/>
          <w:sz w:val="32"/>
          <w:szCs w:val="32"/>
          <w:u w:val="single"/>
        </w:rPr>
        <w:t xml:space="preserve">                             </w:t>
      </w:r>
    </w:p>
    <w:p>
      <w:pPr>
        <w:adjustRightInd/>
        <w:rPr>
          <w:color w:val="auto"/>
        </w:rPr>
      </w:pPr>
    </w:p>
    <w:p>
      <w:pPr>
        <w:adjustRightInd/>
        <w:jc w:val="center"/>
        <w:outlineLvl w:val="1"/>
        <w:rPr>
          <w:rFonts w:ascii="黑体" w:hAnsi="黑体" w:eastAsia="黑体"/>
          <w:color w:val="auto"/>
          <w:sz w:val="28"/>
          <w:szCs w:val="28"/>
        </w:rPr>
      </w:pPr>
      <w:r>
        <w:rPr>
          <w:rFonts w:eastAsia="黑体"/>
          <w:color w:val="auto"/>
          <w:sz w:val="44"/>
          <w:szCs w:val="44"/>
        </w:rPr>
        <w:br w:type="page"/>
      </w:r>
      <w:bookmarkEnd w:id="69"/>
      <w:r>
        <w:rPr>
          <w:rFonts w:hint="eastAsia" w:ascii="黑体" w:hAnsi="黑体" w:eastAsia="黑体"/>
          <w:color w:val="auto"/>
          <w:sz w:val="28"/>
          <w:szCs w:val="28"/>
        </w:rPr>
        <w:t>第一节 政府采购合同协议书</w:t>
      </w:r>
    </w:p>
    <w:p>
      <w:pPr>
        <w:pStyle w:val="631"/>
        <w:rPr>
          <w:color w:val="auto"/>
        </w:rPr>
      </w:pPr>
    </w:p>
    <w:p>
      <w:pPr>
        <w:pStyle w:val="631"/>
        <w:ind w:firstLine="0"/>
        <w:rPr>
          <w:color w:val="auto"/>
        </w:rPr>
      </w:pPr>
      <w:r>
        <w:rPr>
          <w:rFonts w:hint="eastAsia"/>
          <w:color w:val="auto"/>
        </w:rPr>
        <w:t>甲方（全称）：</w:t>
      </w:r>
      <w:r>
        <w:rPr>
          <w:rFonts w:hint="eastAsia"/>
          <w:color w:val="auto"/>
          <w:u w:val="single"/>
        </w:rPr>
        <w:t xml:space="preserve">                        </w:t>
      </w:r>
      <w:r>
        <w:rPr>
          <w:rFonts w:hint="eastAsia"/>
          <w:color w:val="auto"/>
        </w:rPr>
        <w:t>（采购人、受采购人委托签订合同的单位或采购文件约定的合同甲方）</w:t>
      </w:r>
    </w:p>
    <w:p>
      <w:pPr>
        <w:pStyle w:val="631"/>
        <w:ind w:firstLine="0"/>
        <w:rPr>
          <w:color w:val="auto"/>
        </w:rPr>
      </w:pPr>
      <w:r>
        <w:rPr>
          <w:rFonts w:hint="eastAsia"/>
          <w:color w:val="auto"/>
        </w:rPr>
        <w:t>乙方1（全称）：</w:t>
      </w:r>
      <w:r>
        <w:rPr>
          <w:rFonts w:hint="eastAsia"/>
          <w:color w:val="auto"/>
          <w:u w:val="single"/>
        </w:rPr>
        <w:t xml:space="preserve">                       </w:t>
      </w:r>
      <w:r>
        <w:rPr>
          <w:rFonts w:hint="eastAsia"/>
          <w:color w:val="auto"/>
        </w:rPr>
        <w:t>（供应商）</w:t>
      </w:r>
    </w:p>
    <w:p>
      <w:pPr>
        <w:pStyle w:val="631"/>
        <w:ind w:firstLine="0"/>
        <w:rPr>
          <w:color w:val="auto"/>
        </w:rPr>
      </w:pPr>
      <w:r>
        <w:rPr>
          <w:rFonts w:hint="eastAsia"/>
          <w:color w:val="auto"/>
        </w:rPr>
        <w:t>乙方2（全称）：</w:t>
      </w:r>
      <w:r>
        <w:rPr>
          <w:rFonts w:hint="eastAsia"/>
          <w:color w:val="auto"/>
          <w:u w:val="single"/>
        </w:rPr>
        <w:t xml:space="preserve">                        </w:t>
      </w:r>
      <w:r>
        <w:rPr>
          <w:rFonts w:hint="eastAsia"/>
          <w:color w:val="auto"/>
        </w:rPr>
        <w:t>（联合体成员供应商或其他合同主体）（如有）</w:t>
      </w:r>
    </w:p>
    <w:p>
      <w:pPr>
        <w:pStyle w:val="631"/>
        <w:ind w:firstLine="0"/>
        <w:rPr>
          <w:color w:val="auto"/>
        </w:rPr>
      </w:pPr>
      <w:r>
        <w:rPr>
          <w:rFonts w:hint="eastAsia"/>
          <w:color w:val="auto"/>
        </w:rPr>
        <w:t>乙方3（全称）：</w:t>
      </w:r>
      <w:r>
        <w:rPr>
          <w:rFonts w:hint="eastAsia"/>
          <w:color w:val="auto"/>
          <w:u w:val="single"/>
        </w:rPr>
        <w:t xml:space="preserve">                         </w:t>
      </w:r>
      <w:r>
        <w:rPr>
          <w:rFonts w:hint="eastAsia"/>
          <w:color w:val="auto"/>
        </w:rPr>
        <w:t>（联合体成员供应商或其他合同主体）（如有）</w:t>
      </w:r>
    </w:p>
    <w:p>
      <w:pPr>
        <w:adjustRightInd/>
        <w:spacing w:line="400" w:lineRule="exact"/>
        <w:rPr>
          <w:color w:val="auto"/>
        </w:rPr>
      </w:pPr>
    </w:p>
    <w:p>
      <w:pPr>
        <w:pStyle w:val="631"/>
        <w:ind w:firstLine="480" w:firstLineChars="200"/>
        <w:rPr>
          <w:color w:val="auto"/>
        </w:rPr>
      </w:pPr>
      <w:r>
        <w:rPr>
          <w:rFonts w:hint="eastAsia"/>
          <w:color w:val="auto"/>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pStyle w:val="631"/>
        <w:ind w:firstLine="0"/>
        <w:rPr>
          <w:b/>
          <w:color w:val="auto"/>
        </w:rPr>
      </w:pPr>
      <w:r>
        <w:rPr>
          <w:rFonts w:hint="eastAsia"/>
          <w:b/>
          <w:color w:val="auto"/>
        </w:rPr>
        <w:t>1.项目信息</w:t>
      </w:r>
    </w:p>
    <w:p>
      <w:pPr>
        <w:pStyle w:val="631"/>
        <w:ind w:firstLine="480" w:firstLineChars="200"/>
        <w:rPr>
          <w:color w:val="auto"/>
          <w:u w:val="single"/>
        </w:rPr>
      </w:pPr>
      <w:r>
        <w:rPr>
          <w:rFonts w:hint="eastAsia"/>
          <w:color w:val="auto"/>
        </w:rPr>
        <w:t>（1）采购项目名称：</w:t>
      </w:r>
      <w:r>
        <w:rPr>
          <w:rFonts w:hint="eastAsia"/>
          <w:color w:val="auto"/>
          <w:u w:val="single"/>
        </w:rPr>
        <w:t xml:space="preserve">                                          </w:t>
      </w:r>
    </w:p>
    <w:p>
      <w:pPr>
        <w:pStyle w:val="631"/>
        <w:ind w:firstLine="1080" w:firstLineChars="450"/>
        <w:rPr>
          <w:color w:val="auto"/>
        </w:rPr>
      </w:pPr>
      <w:r>
        <w:rPr>
          <w:rFonts w:hint="eastAsia"/>
          <w:color w:val="auto"/>
        </w:rPr>
        <w:t>采购项目编号：</w:t>
      </w:r>
      <w:r>
        <w:rPr>
          <w:rFonts w:hint="eastAsia"/>
          <w:color w:val="auto"/>
          <w:u w:val="single"/>
        </w:rPr>
        <w:t xml:space="preserve">                                          </w:t>
      </w:r>
    </w:p>
    <w:p>
      <w:pPr>
        <w:pStyle w:val="631"/>
        <w:ind w:firstLine="480" w:firstLineChars="200"/>
        <w:rPr>
          <w:color w:val="auto"/>
        </w:rPr>
      </w:pPr>
      <w:r>
        <w:rPr>
          <w:rFonts w:hint="eastAsia"/>
          <w:color w:val="auto"/>
        </w:rPr>
        <w:t>（2）采购计划编号：</w:t>
      </w:r>
      <w:r>
        <w:rPr>
          <w:rFonts w:hint="eastAsia"/>
          <w:color w:val="auto"/>
          <w:u w:val="single"/>
        </w:rPr>
        <w:t xml:space="preserve">                                          </w:t>
      </w:r>
      <w:r>
        <w:rPr>
          <w:rFonts w:hint="eastAsia"/>
          <w:color w:val="auto"/>
        </w:rPr>
        <w:t xml:space="preserve"> </w:t>
      </w:r>
    </w:p>
    <w:p>
      <w:pPr>
        <w:pStyle w:val="631"/>
        <w:ind w:firstLine="480" w:firstLineChars="200"/>
        <w:rPr>
          <w:color w:val="auto"/>
        </w:rPr>
      </w:pPr>
      <w:r>
        <w:rPr>
          <w:rFonts w:hint="eastAsia"/>
          <w:color w:val="auto"/>
        </w:rPr>
        <w:t>（3）项目内容：</w:t>
      </w:r>
    </w:p>
    <w:p>
      <w:pPr>
        <w:pStyle w:val="631"/>
        <w:ind w:firstLine="480" w:firstLineChars="200"/>
        <w:rPr>
          <w:color w:val="auto"/>
        </w:rPr>
      </w:pPr>
      <w:r>
        <w:rPr>
          <w:rFonts w:hint="eastAsia"/>
          <w:color w:val="auto"/>
        </w:rPr>
        <w:t xml:space="preserve">     采购标的及数量（台/套</w:t>
      </w:r>
      <w:r>
        <w:rPr>
          <w:rFonts w:hint="eastAsia"/>
          <w:color w:val="auto"/>
          <w:lang w:val="en"/>
        </w:rPr>
        <w:t>/个/架/组等</w:t>
      </w:r>
      <w:r>
        <w:rPr>
          <w:rFonts w:hint="eastAsia"/>
          <w:color w:val="auto"/>
        </w:rPr>
        <w:t>）：</w:t>
      </w:r>
      <w:r>
        <w:rPr>
          <w:rFonts w:hint="eastAsia"/>
          <w:color w:val="auto"/>
          <w:u w:val="single"/>
        </w:rPr>
        <w:t xml:space="preserve">               </w:t>
      </w:r>
      <w:r>
        <w:rPr>
          <w:rFonts w:hint="eastAsia"/>
          <w:color w:val="auto"/>
        </w:rPr>
        <w:t xml:space="preserve">   </w:t>
      </w:r>
    </w:p>
    <w:p>
      <w:pPr>
        <w:pStyle w:val="631"/>
        <w:ind w:firstLine="480" w:firstLineChars="200"/>
        <w:rPr>
          <w:rFonts w:cs="宋体"/>
          <w:color w:val="auto"/>
          <w:lang w:val="en"/>
        </w:rPr>
      </w:pPr>
      <w:r>
        <w:rPr>
          <w:rFonts w:hint="eastAsia"/>
          <w:color w:val="auto"/>
        </w:rPr>
        <w:t xml:space="preserve">     </w:t>
      </w:r>
      <w:r>
        <w:rPr>
          <w:rFonts w:hint="eastAsia" w:cs="宋体"/>
          <w:color w:val="auto"/>
        </w:rPr>
        <w:t>品牌：</w:t>
      </w:r>
      <w:r>
        <w:rPr>
          <w:rFonts w:hint="eastAsia" w:cs="宋体"/>
          <w:color w:val="auto"/>
          <w:u w:val="single"/>
        </w:rPr>
        <w:t xml:space="preserve">      </w:t>
      </w:r>
      <w:r>
        <w:rPr>
          <w:rFonts w:hint="eastAsia" w:cs="宋体"/>
          <w:color w:val="auto"/>
          <w:u w:val="single"/>
          <w:lang w:val="en"/>
        </w:rPr>
        <w:t xml:space="preserve">   </w:t>
      </w:r>
      <w:r>
        <w:rPr>
          <w:rFonts w:hint="eastAsia" w:cs="宋体"/>
          <w:color w:val="auto"/>
          <w:u w:val="single"/>
        </w:rPr>
        <w:t xml:space="preserve">    </w:t>
      </w:r>
      <w:r>
        <w:rPr>
          <w:rFonts w:hint="eastAsia" w:cs="宋体"/>
          <w:color w:val="auto"/>
          <w:u w:val="single"/>
          <w:lang w:val="en"/>
        </w:rPr>
        <w:t xml:space="preserve"> </w:t>
      </w:r>
      <w:r>
        <w:rPr>
          <w:rFonts w:hint="eastAsia" w:cs="宋体"/>
          <w:color w:val="auto"/>
          <w:u w:val="single"/>
        </w:rPr>
        <w:t xml:space="preserve"> </w:t>
      </w:r>
      <w:r>
        <w:rPr>
          <w:rFonts w:hint="eastAsia" w:cs="宋体"/>
          <w:color w:val="auto"/>
          <w:lang w:val="en"/>
        </w:rPr>
        <w:t xml:space="preserve">     </w:t>
      </w:r>
      <w:r>
        <w:rPr>
          <w:rFonts w:hint="eastAsia" w:cs="宋体"/>
          <w:color w:val="auto"/>
        </w:rPr>
        <w:t>规格型号：</w:t>
      </w:r>
      <w:r>
        <w:rPr>
          <w:rFonts w:hint="eastAsia" w:cs="宋体"/>
          <w:color w:val="auto"/>
          <w:u w:val="single"/>
        </w:rPr>
        <w:t xml:space="preserve">   </w:t>
      </w:r>
      <w:r>
        <w:rPr>
          <w:rFonts w:hint="eastAsia" w:cs="宋体"/>
          <w:color w:val="auto"/>
          <w:u w:val="single"/>
          <w:lang w:val="en"/>
        </w:rPr>
        <w:t xml:space="preserve">  </w:t>
      </w:r>
      <w:r>
        <w:rPr>
          <w:rFonts w:hint="eastAsia" w:cs="宋体"/>
          <w:color w:val="auto"/>
          <w:u w:val="single"/>
        </w:rPr>
        <w:t xml:space="preserve">       </w:t>
      </w:r>
      <w:r>
        <w:rPr>
          <w:rFonts w:hint="eastAsia" w:cs="宋体"/>
          <w:color w:val="auto"/>
          <w:u w:val="single"/>
          <w:lang w:val="en"/>
        </w:rPr>
        <w:t xml:space="preserve">   </w:t>
      </w:r>
    </w:p>
    <w:p>
      <w:pPr>
        <w:pStyle w:val="631"/>
        <w:ind w:firstLine="480" w:firstLineChars="200"/>
        <w:rPr>
          <w:color w:val="auto"/>
          <w:u w:val="single"/>
        </w:rPr>
      </w:pPr>
      <w:r>
        <w:rPr>
          <w:rFonts w:hint="eastAsia"/>
          <w:color w:val="auto"/>
        </w:rPr>
        <w:t>采购标的的技术要求、商务要求具体见附件。</w:t>
      </w:r>
    </w:p>
    <w:p>
      <w:pPr>
        <w:pStyle w:val="631"/>
        <w:ind w:firstLine="480" w:firstLineChars="200"/>
        <w:rPr>
          <w:rFonts w:cs="宋体"/>
          <w:color w:val="auto"/>
        </w:rPr>
      </w:pPr>
      <w:r>
        <w:rPr>
          <w:rFonts w:hint="eastAsia" w:cs="宋体"/>
          <w:color w:val="auto"/>
        </w:rPr>
        <w:t>①涉及信息类产品，请填写该产品关键部件的品牌、型号：</w:t>
      </w:r>
    </w:p>
    <w:p>
      <w:pPr>
        <w:pStyle w:val="631"/>
        <w:ind w:firstLine="480" w:firstLineChars="200"/>
        <w:rPr>
          <w:rFonts w:cs="宋体"/>
          <w:color w:val="auto"/>
          <w:u w:val="single"/>
        </w:rPr>
      </w:pPr>
      <w:r>
        <w:rPr>
          <w:rFonts w:hint="eastAsia" w:cs="宋体"/>
          <w:color w:val="auto"/>
        </w:rPr>
        <w:t xml:space="preserve">     标的名称：</w:t>
      </w:r>
      <w:r>
        <w:rPr>
          <w:rFonts w:hint="eastAsia" w:cs="宋体"/>
          <w:color w:val="auto"/>
          <w:u w:val="single"/>
        </w:rPr>
        <w:t xml:space="preserve">      </w:t>
      </w:r>
      <w:r>
        <w:rPr>
          <w:rFonts w:hint="eastAsia" w:cs="宋体"/>
          <w:color w:val="auto"/>
          <w:u w:val="single"/>
          <w:lang w:val="en"/>
        </w:rPr>
        <w:t xml:space="preserve">               </w:t>
      </w:r>
      <w:r>
        <w:rPr>
          <w:rFonts w:hint="eastAsia" w:cs="宋体"/>
          <w:color w:val="auto"/>
          <w:u w:val="single"/>
        </w:rPr>
        <w:t xml:space="preserve">    </w:t>
      </w:r>
    </w:p>
    <w:p>
      <w:pPr>
        <w:pStyle w:val="631"/>
        <w:ind w:firstLine="480" w:firstLineChars="200"/>
        <w:rPr>
          <w:rFonts w:cs="宋体"/>
          <w:color w:val="auto"/>
        </w:rPr>
      </w:pPr>
      <w:r>
        <w:rPr>
          <w:rFonts w:hint="eastAsia" w:cs="宋体"/>
          <w:color w:val="auto"/>
        </w:rPr>
        <w:t xml:space="preserve">     关键部件：</w:t>
      </w:r>
      <w:r>
        <w:rPr>
          <w:rFonts w:hint="eastAsia" w:cs="宋体"/>
          <w:color w:val="auto"/>
          <w:u w:val="single"/>
        </w:rPr>
        <w:t xml:space="preserve">          </w:t>
      </w:r>
      <w:r>
        <w:rPr>
          <w:rFonts w:hint="eastAsia" w:cs="宋体"/>
          <w:color w:val="auto"/>
        </w:rPr>
        <w:t xml:space="preserve"> 品牌：</w:t>
      </w:r>
      <w:r>
        <w:rPr>
          <w:rFonts w:hint="eastAsia" w:cs="宋体"/>
          <w:color w:val="auto"/>
          <w:u w:val="single"/>
        </w:rPr>
        <w:t xml:space="preserve">        </w:t>
      </w:r>
      <w:r>
        <w:rPr>
          <w:rFonts w:hint="eastAsia" w:cs="宋体"/>
          <w:color w:val="auto"/>
        </w:rPr>
        <w:t xml:space="preserve"> 型号：</w:t>
      </w:r>
      <w:r>
        <w:rPr>
          <w:rFonts w:hint="eastAsia" w:cs="宋体"/>
          <w:color w:val="auto"/>
          <w:u w:val="single"/>
        </w:rPr>
        <w:t xml:space="preserve">       </w:t>
      </w:r>
      <w:r>
        <w:rPr>
          <w:rFonts w:hint="eastAsia" w:cs="宋体"/>
          <w:color w:val="auto"/>
        </w:rPr>
        <w:t xml:space="preserve"> </w:t>
      </w:r>
    </w:p>
    <w:p>
      <w:pPr>
        <w:pStyle w:val="631"/>
        <w:ind w:firstLine="480" w:firstLineChars="200"/>
        <w:rPr>
          <w:rFonts w:cs="宋体"/>
          <w:color w:val="auto"/>
        </w:rPr>
      </w:pPr>
      <w:r>
        <w:rPr>
          <w:rFonts w:hint="eastAsia" w:cs="宋体"/>
          <w:color w:val="auto"/>
        </w:rPr>
        <w:t xml:space="preserve">     关键部件：</w:t>
      </w:r>
      <w:r>
        <w:rPr>
          <w:rFonts w:hint="eastAsia" w:cs="宋体"/>
          <w:color w:val="auto"/>
          <w:u w:val="single"/>
        </w:rPr>
        <w:t xml:space="preserve">          </w:t>
      </w:r>
      <w:r>
        <w:rPr>
          <w:rFonts w:hint="eastAsia" w:cs="宋体"/>
          <w:color w:val="auto"/>
        </w:rPr>
        <w:t xml:space="preserve"> 品牌：</w:t>
      </w:r>
      <w:r>
        <w:rPr>
          <w:rFonts w:hint="eastAsia" w:cs="宋体"/>
          <w:color w:val="auto"/>
          <w:u w:val="single"/>
        </w:rPr>
        <w:t xml:space="preserve">        </w:t>
      </w:r>
      <w:r>
        <w:rPr>
          <w:rFonts w:hint="eastAsia" w:cs="宋体"/>
          <w:color w:val="auto"/>
        </w:rPr>
        <w:t xml:space="preserve"> 型号：</w:t>
      </w:r>
      <w:r>
        <w:rPr>
          <w:rFonts w:hint="eastAsia" w:cs="宋体"/>
          <w:color w:val="auto"/>
          <w:u w:val="single"/>
        </w:rPr>
        <w:t xml:space="preserve">       </w:t>
      </w:r>
      <w:r>
        <w:rPr>
          <w:rFonts w:hint="eastAsia" w:cs="宋体"/>
          <w:color w:val="auto"/>
        </w:rPr>
        <w:t xml:space="preserve"> </w:t>
      </w:r>
    </w:p>
    <w:p>
      <w:pPr>
        <w:pStyle w:val="631"/>
        <w:ind w:firstLine="480" w:firstLineChars="200"/>
        <w:rPr>
          <w:rFonts w:cs="宋体"/>
          <w:color w:val="auto"/>
        </w:rPr>
      </w:pPr>
      <w:r>
        <w:rPr>
          <w:rFonts w:hint="eastAsia" w:cs="宋体"/>
          <w:color w:val="auto"/>
        </w:rPr>
        <w:t xml:space="preserve">     关键部件：</w:t>
      </w:r>
      <w:r>
        <w:rPr>
          <w:rFonts w:hint="eastAsia" w:cs="宋体"/>
          <w:color w:val="auto"/>
          <w:u w:val="single"/>
        </w:rPr>
        <w:t xml:space="preserve">          </w:t>
      </w:r>
      <w:r>
        <w:rPr>
          <w:rFonts w:hint="eastAsia" w:cs="宋体"/>
          <w:color w:val="auto"/>
        </w:rPr>
        <w:t xml:space="preserve"> 品牌：</w:t>
      </w:r>
      <w:r>
        <w:rPr>
          <w:rFonts w:hint="eastAsia" w:cs="宋体"/>
          <w:color w:val="auto"/>
          <w:u w:val="single"/>
        </w:rPr>
        <w:t xml:space="preserve">        </w:t>
      </w:r>
      <w:r>
        <w:rPr>
          <w:rFonts w:hint="eastAsia" w:cs="宋体"/>
          <w:color w:val="auto"/>
        </w:rPr>
        <w:t xml:space="preserve"> 型号：</w:t>
      </w:r>
      <w:r>
        <w:rPr>
          <w:rFonts w:hint="eastAsia" w:cs="宋体"/>
          <w:color w:val="auto"/>
          <w:u w:val="single"/>
        </w:rPr>
        <w:t xml:space="preserve">       </w:t>
      </w:r>
    </w:p>
    <w:p>
      <w:pPr>
        <w:pStyle w:val="631"/>
        <w:ind w:firstLine="480" w:firstLineChars="200"/>
        <w:rPr>
          <w:rFonts w:cs="宋体"/>
          <w:color w:val="auto"/>
        </w:rPr>
      </w:pPr>
      <w:r>
        <w:rPr>
          <w:rFonts w:hint="eastAsia" w:cs="宋体"/>
          <w:color w:val="auto"/>
        </w:rPr>
        <w:t>（注：关键部件是指财政部会同有关部门发布的政府采购需求标准规定的需要通过国家有关部门指定的测评机构开展的安全可靠测评的软硬件，如CPU芯片、操作系统、数据库等。）</w:t>
      </w:r>
    </w:p>
    <w:p>
      <w:pPr>
        <w:pStyle w:val="631"/>
        <w:ind w:firstLine="480" w:firstLineChars="200"/>
        <w:rPr>
          <w:rFonts w:cs="宋体"/>
          <w:color w:val="auto"/>
        </w:rPr>
      </w:pPr>
      <w:r>
        <w:rPr>
          <w:rFonts w:hint="eastAsia" w:cs="宋体"/>
          <w:color w:val="auto"/>
        </w:rPr>
        <w:t>②涉及车辆采购，请填写是否属于新能源汽车：</w:t>
      </w:r>
    </w:p>
    <w:p>
      <w:pPr>
        <w:pStyle w:val="631"/>
        <w:ind w:firstLine="480" w:firstLineChars="200"/>
        <w:rPr>
          <w:rFonts w:cs="宋体"/>
          <w:color w:val="auto"/>
        </w:rPr>
      </w:pPr>
      <w:r>
        <w:rPr>
          <w:rFonts w:cs="宋体"/>
          <w:color w:val="auto"/>
        </w:rPr>
        <w:sym w:font="Wingdings" w:char="F0A8"/>
      </w:r>
      <w:r>
        <w:rPr>
          <w:rFonts w:hint="eastAsia" w:cs="宋体"/>
          <w:color w:val="auto"/>
        </w:rPr>
        <w:t>是，《政府采购品目分类目录》底级品目名称：</w:t>
      </w:r>
      <w:r>
        <w:rPr>
          <w:rFonts w:hint="eastAsia" w:cs="宋体"/>
          <w:color w:val="auto"/>
          <w:u w:val="single"/>
        </w:rPr>
        <w:t xml:space="preserve">     </w:t>
      </w:r>
      <w:r>
        <w:rPr>
          <w:rFonts w:hint="eastAsia" w:cs="宋体"/>
          <w:color w:val="auto"/>
        </w:rPr>
        <w:t xml:space="preserve"> 数量：</w:t>
      </w:r>
      <w:r>
        <w:rPr>
          <w:rFonts w:hint="eastAsia" w:cs="宋体"/>
          <w:color w:val="auto"/>
          <w:u w:val="single"/>
        </w:rPr>
        <w:t xml:space="preserve">    </w:t>
      </w:r>
      <w:r>
        <w:rPr>
          <w:rFonts w:hint="eastAsia" w:cs="宋体"/>
          <w:color w:val="auto"/>
        </w:rPr>
        <w:t xml:space="preserve"> 金额：</w:t>
      </w:r>
      <w:r>
        <w:rPr>
          <w:rFonts w:hint="eastAsia" w:cs="宋体"/>
          <w:color w:val="auto"/>
          <w:u w:val="single"/>
        </w:rPr>
        <w:t xml:space="preserve">     </w:t>
      </w:r>
      <w:r>
        <w:rPr>
          <w:rFonts w:hint="eastAsia" w:cs="宋体"/>
          <w:color w:val="auto"/>
        </w:rPr>
        <w:t xml:space="preserve"> </w:t>
      </w:r>
    </w:p>
    <w:p>
      <w:pPr>
        <w:pStyle w:val="631"/>
        <w:ind w:firstLine="480" w:firstLineChars="200"/>
        <w:rPr>
          <w:rFonts w:cs="宋体"/>
          <w:color w:val="auto"/>
        </w:rPr>
      </w:pPr>
      <w:r>
        <w:rPr>
          <w:rFonts w:cs="宋体"/>
          <w:color w:val="auto"/>
        </w:rPr>
        <w:sym w:font="Wingdings" w:char="F0A8"/>
      </w:r>
      <w:r>
        <w:rPr>
          <w:rFonts w:hint="eastAsia" w:cs="宋体"/>
          <w:color w:val="auto"/>
        </w:rPr>
        <w:t>否</w:t>
      </w:r>
    </w:p>
    <w:p>
      <w:pPr>
        <w:pStyle w:val="631"/>
        <w:ind w:firstLine="480" w:firstLineChars="200"/>
        <w:rPr>
          <w:rFonts w:cs="宋体"/>
          <w:color w:val="auto"/>
        </w:rPr>
      </w:pPr>
      <w:r>
        <w:rPr>
          <w:rFonts w:hint="eastAsia" w:cs="宋体"/>
          <w:color w:val="auto"/>
        </w:rPr>
        <w:t>（</w:t>
      </w:r>
      <w:r>
        <w:rPr>
          <w:rFonts w:hint="eastAsia" w:cs="宋体"/>
          <w:color w:val="auto"/>
          <w:lang w:val="en"/>
        </w:rPr>
        <w:t>4</w:t>
      </w:r>
      <w:r>
        <w:rPr>
          <w:rFonts w:hint="eastAsia" w:cs="宋体"/>
          <w:color w:val="auto"/>
        </w:rPr>
        <w:t>）政府采购组织形式：</w:t>
      </w:r>
      <w:r>
        <w:rPr>
          <w:rFonts w:cs="宋体"/>
          <w:color w:val="auto"/>
        </w:rPr>
        <w:sym w:font="Wingdings" w:char="F0A8"/>
      </w:r>
      <w:r>
        <w:rPr>
          <w:rFonts w:hint="eastAsia" w:cs="宋体"/>
          <w:color w:val="auto"/>
        </w:rPr>
        <w:t xml:space="preserve">政府集中采购  </w:t>
      </w:r>
      <w:r>
        <w:rPr>
          <w:rFonts w:cs="宋体"/>
          <w:color w:val="auto"/>
        </w:rPr>
        <w:sym w:font="Wingdings" w:char="F0A8"/>
      </w:r>
      <w:r>
        <w:rPr>
          <w:rFonts w:hint="eastAsia" w:cs="宋体"/>
          <w:color w:val="auto"/>
        </w:rPr>
        <w:t xml:space="preserve">部门集中采购  </w:t>
      </w:r>
      <w:r>
        <w:rPr>
          <w:rFonts w:cs="宋体"/>
          <w:color w:val="auto"/>
        </w:rPr>
        <w:sym w:font="Wingdings" w:char="F0A8"/>
      </w:r>
      <w:r>
        <w:rPr>
          <w:rFonts w:hint="eastAsia" w:cs="宋体"/>
          <w:color w:val="auto"/>
        </w:rPr>
        <w:t>分散采购</w:t>
      </w:r>
    </w:p>
    <w:p>
      <w:pPr>
        <w:pStyle w:val="631"/>
        <w:ind w:firstLine="480" w:firstLineChars="200"/>
        <w:rPr>
          <w:rFonts w:cs="宋体"/>
          <w:color w:val="auto"/>
        </w:rPr>
      </w:pPr>
      <w:r>
        <w:rPr>
          <w:rFonts w:hint="eastAsia" w:cs="宋体"/>
          <w:color w:val="auto"/>
        </w:rPr>
        <w:t>（</w:t>
      </w:r>
      <w:r>
        <w:rPr>
          <w:rFonts w:hint="eastAsia" w:cs="宋体"/>
          <w:color w:val="auto"/>
          <w:lang w:val="en"/>
        </w:rPr>
        <w:t>5</w:t>
      </w:r>
      <w:r>
        <w:rPr>
          <w:rFonts w:hint="eastAsia" w:cs="宋体"/>
          <w:color w:val="auto"/>
        </w:rPr>
        <w:t>）政府采购方式：</w:t>
      </w:r>
      <w:r>
        <w:rPr>
          <w:rFonts w:cs="宋体"/>
          <w:color w:val="auto"/>
        </w:rPr>
        <w:sym w:font="Wingdings" w:char="F0A8"/>
      </w:r>
      <w:r>
        <w:rPr>
          <w:rFonts w:hint="eastAsia" w:cs="宋体"/>
          <w:color w:val="auto"/>
        </w:rPr>
        <w:t xml:space="preserve">公开招标 </w:t>
      </w:r>
      <w:r>
        <w:rPr>
          <w:rFonts w:cs="宋体"/>
          <w:color w:val="auto"/>
        </w:rPr>
        <w:sym w:font="Wingdings" w:char="F0A8"/>
      </w:r>
      <w:r>
        <w:rPr>
          <w:rFonts w:hint="eastAsia" w:cs="宋体"/>
          <w:color w:val="auto"/>
        </w:rPr>
        <w:t xml:space="preserve">邀请招标 </w:t>
      </w:r>
      <w:r>
        <w:rPr>
          <w:rFonts w:cs="宋体"/>
          <w:color w:val="auto"/>
        </w:rPr>
        <w:sym w:font="Wingdings" w:char="F0A8"/>
      </w:r>
      <w:r>
        <w:rPr>
          <w:rFonts w:hint="eastAsia" w:cs="宋体"/>
          <w:color w:val="auto"/>
        </w:rPr>
        <w:t xml:space="preserve">竞争性谈判 </w:t>
      </w:r>
      <w:r>
        <w:rPr>
          <w:rFonts w:cs="宋体"/>
          <w:color w:val="auto"/>
        </w:rPr>
        <w:sym w:font="Wingdings" w:char="F0A8"/>
      </w:r>
      <w:r>
        <w:rPr>
          <w:rFonts w:hint="eastAsia" w:cs="宋体"/>
          <w:color w:val="auto"/>
        </w:rPr>
        <w:t>竞争性磋商</w:t>
      </w:r>
    </w:p>
    <w:p>
      <w:pPr>
        <w:pStyle w:val="631"/>
        <w:ind w:firstLine="440" w:firstLineChars="200"/>
        <w:rPr>
          <w:rFonts w:cs="宋体"/>
          <w:color w:val="auto"/>
          <w:u w:val="single"/>
        </w:rPr>
      </w:pPr>
      <w:r>
        <w:rPr>
          <w:rFonts w:hint="eastAsia" w:eastAsia="华文楷体" w:cs="宋体"/>
          <w:color w:val="auto"/>
          <w:sz w:val="22"/>
        </w:rPr>
        <w:t xml:space="preserve">                     </w:t>
      </w:r>
      <w:r>
        <w:rPr>
          <w:rFonts w:cs="宋体"/>
          <w:color w:val="auto"/>
        </w:rPr>
        <w:sym w:font="Wingdings" w:char="F0A8"/>
      </w:r>
      <w:r>
        <w:rPr>
          <w:rFonts w:hint="eastAsia" w:cs="宋体"/>
          <w:color w:val="auto"/>
        </w:rPr>
        <w:t xml:space="preserve">询价 </w:t>
      </w:r>
      <w:r>
        <w:rPr>
          <w:rFonts w:cs="宋体"/>
          <w:color w:val="auto"/>
        </w:rPr>
        <w:sym w:font="Wingdings" w:char="F0A8"/>
      </w:r>
      <w:r>
        <w:rPr>
          <w:rFonts w:hint="eastAsia" w:cs="宋体"/>
          <w:color w:val="auto"/>
        </w:rPr>
        <w:t xml:space="preserve">单一来源 </w:t>
      </w:r>
      <w:r>
        <w:rPr>
          <w:rFonts w:cs="宋体"/>
          <w:color w:val="auto"/>
        </w:rPr>
        <w:sym w:font="Wingdings" w:char="F0A8"/>
      </w:r>
      <w:r>
        <w:rPr>
          <w:rFonts w:hint="eastAsia" w:cs="宋体"/>
          <w:color w:val="auto"/>
        </w:rPr>
        <w:t xml:space="preserve">框架协议 </w:t>
      </w:r>
      <w:r>
        <w:rPr>
          <w:rFonts w:cs="宋体"/>
          <w:color w:val="auto"/>
        </w:rPr>
        <w:sym w:font="Wingdings" w:char="F0A8"/>
      </w:r>
      <w:r>
        <w:rPr>
          <w:rFonts w:hint="eastAsia" w:cs="宋体"/>
          <w:color w:val="auto"/>
        </w:rPr>
        <w:t>其他：</w:t>
      </w:r>
      <w:r>
        <w:rPr>
          <w:rFonts w:hint="eastAsia" w:cs="宋体"/>
          <w:color w:val="auto"/>
          <w:u w:val="single"/>
        </w:rPr>
        <w:t xml:space="preserve">          </w:t>
      </w:r>
    </w:p>
    <w:p>
      <w:pPr>
        <w:pStyle w:val="631"/>
        <w:ind w:firstLine="480" w:firstLineChars="200"/>
        <w:rPr>
          <w:rFonts w:cs="宋体"/>
          <w:color w:val="auto"/>
        </w:rPr>
      </w:pPr>
      <w:r>
        <w:rPr>
          <w:rFonts w:hint="eastAsia" w:cs="宋体"/>
          <w:color w:val="auto"/>
        </w:rPr>
        <w:t>（注：在框架协议采购的第二阶段，可选择使用该合同文本）</w:t>
      </w:r>
    </w:p>
    <w:p>
      <w:pPr>
        <w:pStyle w:val="631"/>
        <w:ind w:firstLine="440" w:firstLineChars="200"/>
        <w:rPr>
          <w:color w:val="auto"/>
        </w:rPr>
      </w:pPr>
      <w:r>
        <w:rPr>
          <w:rFonts w:hint="eastAsia" w:eastAsia="华文楷体" w:cs="华文楷体"/>
          <w:color w:val="auto"/>
          <w:sz w:val="22"/>
        </w:rPr>
        <w:t>（</w:t>
      </w:r>
      <w:r>
        <w:rPr>
          <w:rFonts w:hint="eastAsia" w:eastAsia="华文楷体" w:cs="华文楷体"/>
          <w:color w:val="auto"/>
          <w:sz w:val="22"/>
          <w:lang w:val="en"/>
        </w:rPr>
        <w:t>6</w:t>
      </w:r>
      <w:r>
        <w:rPr>
          <w:rFonts w:hint="eastAsia" w:eastAsia="华文楷体" w:cs="华文楷体"/>
          <w:color w:val="auto"/>
          <w:sz w:val="22"/>
        </w:rPr>
        <w:t>）</w:t>
      </w:r>
      <w:r>
        <w:rPr>
          <w:rFonts w:hint="eastAsia"/>
          <w:color w:val="auto"/>
        </w:rPr>
        <w:t>中标（成交）采购标的制造商是否为中小企业：</w:t>
      </w:r>
      <w:r>
        <w:rPr>
          <w:color w:val="auto"/>
        </w:rPr>
        <w:sym w:font="Wingdings" w:char="F0A8"/>
      </w:r>
      <w:r>
        <w:rPr>
          <w:rFonts w:hint="eastAsia"/>
          <w:color w:val="auto"/>
        </w:rPr>
        <w:t xml:space="preserve">是      </w:t>
      </w:r>
      <w:r>
        <w:rPr>
          <w:color w:val="auto"/>
        </w:rPr>
        <w:sym w:font="Wingdings" w:char="F0A8"/>
      </w:r>
      <w:r>
        <w:rPr>
          <w:rFonts w:hint="eastAsia"/>
          <w:color w:val="auto"/>
        </w:rPr>
        <w:t>否</w:t>
      </w:r>
    </w:p>
    <w:p>
      <w:pPr>
        <w:pStyle w:val="631"/>
        <w:ind w:firstLine="480" w:firstLineChars="200"/>
        <w:rPr>
          <w:iCs/>
          <w:color w:val="auto"/>
        </w:rPr>
      </w:pPr>
      <w:r>
        <w:rPr>
          <w:rFonts w:hint="eastAsia"/>
          <w:color w:val="auto"/>
        </w:rPr>
        <w:t>本合同是否为专门面向中小企业的采购合同（中小企业预留合同）：</w:t>
      </w:r>
      <w:r>
        <w:rPr>
          <w:iCs/>
          <w:color w:val="auto"/>
        </w:rPr>
        <w:sym w:font="Wingdings" w:char="F0A8"/>
      </w:r>
      <w:r>
        <w:rPr>
          <w:rFonts w:hint="eastAsia"/>
          <w:iCs/>
          <w:color w:val="auto"/>
        </w:rPr>
        <w:t xml:space="preserve">是    </w:t>
      </w:r>
      <w:r>
        <w:rPr>
          <w:iCs/>
          <w:color w:val="auto"/>
        </w:rPr>
        <w:sym w:font="Wingdings" w:char="F0A8"/>
      </w:r>
      <w:r>
        <w:rPr>
          <w:rFonts w:hint="eastAsia"/>
          <w:iCs/>
          <w:color w:val="auto"/>
        </w:rPr>
        <w:t>否</w:t>
      </w:r>
    </w:p>
    <w:p>
      <w:pPr>
        <w:pStyle w:val="631"/>
        <w:ind w:firstLine="480" w:firstLineChars="200"/>
        <w:rPr>
          <w:iCs/>
          <w:color w:val="auto"/>
        </w:rPr>
      </w:pPr>
      <w:r>
        <w:rPr>
          <w:rFonts w:hint="eastAsia"/>
          <w:color w:val="auto"/>
        </w:rPr>
        <w:t>若本项目不专门面向中小企业采购，是否给予小微企业评审优惠：</w:t>
      </w:r>
      <w:r>
        <w:rPr>
          <w:iCs/>
          <w:color w:val="auto"/>
        </w:rPr>
        <w:sym w:font="Wingdings" w:char="F0A8"/>
      </w:r>
      <w:r>
        <w:rPr>
          <w:rFonts w:hint="eastAsia"/>
          <w:iCs/>
          <w:color w:val="auto"/>
        </w:rPr>
        <w:t xml:space="preserve">是   </w:t>
      </w:r>
      <w:r>
        <w:rPr>
          <w:iCs/>
          <w:color w:val="auto"/>
        </w:rPr>
        <w:sym w:font="Wingdings" w:char="F0A8"/>
      </w:r>
      <w:r>
        <w:rPr>
          <w:rFonts w:hint="eastAsia"/>
          <w:iCs/>
          <w:color w:val="auto"/>
        </w:rPr>
        <w:t>否</w:t>
      </w:r>
    </w:p>
    <w:p>
      <w:pPr>
        <w:pStyle w:val="631"/>
        <w:ind w:firstLine="480" w:firstLineChars="200"/>
        <w:rPr>
          <w:iCs/>
          <w:color w:val="auto"/>
        </w:rPr>
      </w:pPr>
      <w:r>
        <w:rPr>
          <w:rFonts w:hint="eastAsia"/>
          <w:color w:val="auto"/>
        </w:rPr>
        <w:t>中标（成交）采购标的制造商是否为残疾人福利性单位：</w:t>
      </w:r>
      <w:r>
        <w:rPr>
          <w:iCs/>
          <w:color w:val="auto"/>
        </w:rPr>
        <w:sym w:font="Wingdings" w:char="F0A8"/>
      </w:r>
      <w:r>
        <w:rPr>
          <w:rFonts w:hint="eastAsia"/>
          <w:iCs/>
          <w:color w:val="auto"/>
        </w:rPr>
        <w:t xml:space="preserve">是   </w:t>
      </w:r>
      <w:r>
        <w:rPr>
          <w:iCs/>
          <w:color w:val="auto"/>
        </w:rPr>
        <w:sym w:font="Wingdings" w:char="F0A8"/>
      </w:r>
      <w:r>
        <w:rPr>
          <w:rFonts w:hint="eastAsia"/>
          <w:iCs/>
          <w:color w:val="auto"/>
        </w:rPr>
        <w:t>否</w:t>
      </w:r>
    </w:p>
    <w:p>
      <w:pPr>
        <w:pStyle w:val="631"/>
        <w:ind w:firstLine="480" w:firstLineChars="200"/>
        <w:rPr>
          <w:color w:val="auto"/>
        </w:rPr>
      </w:pPr>
      <w:r>
        <w:rPr>
          <w:rFonts w:hint="eastAsia"/>
          <w:color w:val="auto"/>
        </w:rPr>
        <w:t>中标（成交）采购标的制造商是否为监狱企业：</w:t>
      </w:r>
      <w:r>
        <w:rPr>
          <w:iCs/>
          <w:color w:val="auto"/>
        </w:rPr>
        <w:sym w:font="Wingdings" w:char="F0A8"/>
      </w:r>
      <w:r>
        <w:rPr>
          <w:rFonts w:hint="eastAsia"/>
          <w:iCs/>
          <w:color w:val="auto"/>
        </w:rPr>
        <w:t xml:space="preserve">是       </w:t>
      </w:r>
      <w:r>
        <w:rPr>
          <w:iCs/>
          <w:color w:val="auto"/>
        </w:rPr>
        <w:sym w:font="Wingdings" w:char="F0A8"/>
      </w:r>
      <w:r>
        <w:rPr>
          <w:rFonts w:hint="eastAsia"/>
          <w:iCs/>
          <w:color w:val="auto"/>
        </w:rPr>
        <w:t>否</w:t>
      </w:r>
    </w:p>
    <w:p>
      <w:pPr>
        <w:pStyle w:val="631"/>
        <w:ind w:firstLine="480" w:firstLineChars="200"/>
        <w:rPr>
          <w:color w:val="auto"/>
        </w:rPr>
      </w:pPr>
      <w:r>
        <w:rPr>
          <w:rFonts w:hint="eastAsia"/>
          <w:color w:val="auto"/>
        </w:rPr>
        <w:t>（</w:t>
      </w:r>
      <w:r>
        <w:rPr>
          <w:rFonts w:hint="eastAsia"/>
          <w:color w:val="auto"/>
          <w:lang w:val="en"/>
        </w:rPr>
        <w:t>7</w:t>
      </w:r>
      <w:r>
        <w:rPr>
          <w:rFonts w:hint="eastAsia"/>
          <w:color w:val="auto"/>
        </w:rPr>
        <w:t>）合同是否分包：</w:t>
      </w:r>
      <w:r>
        <w:rPr>
          <w:iCs/>
          <w:color w:val="auto"/>
        </w:rPr>
        <w:sym w:font="Wingdings" w:char="F0A8"/>
      </w:r>
      <w:r>
        <w:rPr>
          <w:rFonts w:hint="eastAsia"/>
          <w:iCs/>
          <w:color w:val="auto"/>
        </w:rPr>
        <w:t xml:space="preserve">是       </w:t>
      </w:r>
      <w:r>
        <w:rPr>
          <w:iCs/>
          <w:color w:val="auto"/>
        </w:rPr>
        <w:sym w:font="Wingdings" w:char="F0A8"/>
      </w:r>
      <w:r>
        <w:rPr>
          <w:rFonts w:hint="eastAsia"/>
          <w:iCs/>
          <w:color w:val="auto"/>
        </w:rPr>
        <w:t>否</w:t>
      </w:r>
    </w:p>
    <w:p>
      <w:pPr>
        <w:pStyle w:val="631"/>
        <w:ind w:firstLine="480" w:firstLineChars="200"/>
        <w:rPr>
          <w:color w:val="auto"/>
          <w:u w:val="single"/>
        </w:rPr>
      </w:pPr>
      <w:r>
        <w:rPr>
          <w:rFonts w:hint="eastAsia"/>
          <w:color w:val="auto"/>
        </w:rPr>
        <w:t>分包主要内容：</w:t>
      </w:r>
      <w:r>
        <w:rPr>
          <w:rFonts w:hint="eastAsia"/>
          <w:color w:val="auto"/>
          <w:u w:val="single"/>
        </w:rPr>
        <w:t xml:space="preserve">                                            </w:t>
      </w:r>
    </w:p>
    <w:p>
      <w:pPr>
        <w:pStyle w:val="631"/>
        <w:ind w:firstLine="480" w:firstLineChars="200"/>
        <w:rPr>
          <w:color w:val="auto"/>
        </w:rPr>
      </w:pPr>
      <w:r>
        <w:rPr>
          <w:rFonts w:hint="eastAsia"/>
          <w:color w:val="auto"/>
        </w:rPr>
        <w:t>分包供应商/制造商名称（如供应商和制造商不同，请分别填写）：</w:t>
      </w:r>
    </w:p>
    <w:p>
      <w:pPr>
        <w:pStyle w:val="631"/>
        <w:ind w:firstLine="480" w:firstLineChars="200"/>
        <w:rPr>
          <w:color w:val="auto"/>
          <w:u w:val="single"/>
        </w:rPr>
      </w:pPr>
      <w:r>
        <w:rPr>
          <w:rFonts w:hint="eastAsia"/>
          <w:color w:val="auto"/>
        </w:rPr>
        <w:t xml:space="preserve"> </w:t>
      </w:r>
      <w:r>
        <w:rPr>
          <w:rFonts w:hint="eastAsia"/>
          <w:color w:val="auto"/>
          <w:u w:val="single"/>
        </w:rPr>
        <w:t xml:space="preserve">                                                          </w:t>
      </w:r>
    </w:p>
    <w:p>
      <w:pPr>
        <w:pStyle w:val="631"/>
        <w:ind w:firstLine="480" w:firstLineChars="200"/>
        <w:rPr>
          <w:color w:val="auto"/>
        </w:rPr>
      </w:pPr>
      <w:r>
        <w:rPr>
          <w:rFonts w:hint="eastAsia"/>
          <w:color w:val="auto"/>
        </w:rPr>
        <w:t>分包供应商/制造商类型（如果供应商和制造商不同，只填写制造商类型）：</w:t>
      </w:r>
    </w:p>
    <w:p>
      <w:pPr>
        <w:pStyle w:val="631"/>
        <w:ind w:firstLine="480" w:firstLineChars="200"/>
        <w:rPr>
          <w:iCs/>
          <w:color w:val="auto"/>
        </w:rPr>
      </w:pPr>
      <w:r>
        <w:rPr>
          <w:iCs/>
          <w:color w:val="auto"/>
        </w:rPr>
        <w:sym w:font="Wingdings" w:char="F0A8"/>
      </w:r>
      <w:r>
        <w:rPr>
          <w:rFonts w:hint="eastAsia"/>
          <w:iCs/>
          <w:color w:val="auto"/>
        </w:rPr>
        <w:t xml:space="preserve">大型企业  </w:t>
      </w:r>
      <w:r>
        <w:rPr>
          <w:iCs/>
          <w:color w:val="auto"/>
        </w:rPr>
        <w:sym w:font="Wingdings" w:char="F0A8"/>
      </w:r>
      <w:r>
        <w:rPr>
          <w:rFonts w:hint="eastAsia"/>
          <w:iCs/>
          <w:color w:val="auto"/>
        </w:rPr>
        <w:t xml:space="preserve">中型企业  </w:t>
      </w:r>
      <w:r>
        <w:rPr>
          <w:iCs/>
          <w:color w:val="auto"/>
        </w:rPr>
        <w:sym w:font="Wingdings" w:char="F0A8"/>
      </w:r>
      <w:r>
        <w:rPr>
          <w:rFonts w:hint="eastAsia"/>
          <w:iCs/>
          <w:color w:val="auto"/>
        </w:rPr>
        <w:t xml:space="preserve">小微型企业  </w:t>
      </w:r>
    </w:p>
    <w:p>
      <w:pPr>
        <w:pStyle w:val="631"/>
        <w:ind w:firstLine="480" w:firstLineChars="200"/>
        <w:rPr>
          <w:rFonts w:eastAsia="华文楷体"/>
          <w:color w:val="auto"/>
        </w:rPr>
      </w:pPr>
      <w:r>
        <w:rPr>
          <w:iCs/>
          <w:color w:val="auto"/>
        </w:rPr>
        <w:sym w:font="Wingdings" w:char="F0A8"/>
      </w:r>
      <w:r>
        <w:rPr>
          <w:rFonts w:hint="eastAsia"/>
          <w:iCs/>
          <w:color w:val="auto"/>
        </w:rPr>
        <w:t xml:space="preserve">残疾人福利性单位 </w:t>
      </w:r>
      <w:r>
        <w:rPr>
          <w:iCs/>
          <w:color w:val="auto"/>
        </w:rPr>
        <w:sym w:font="Wingdings" w:char="F0A8"/>
      </w:r>
      <w:r>
        <w:rPr>
          <w:rFonts w:hint="eastAsia"/>
          <w:iCs/>
          <w:color w:val="auto"/>
        </w:rPr>
        <w:t xml:space="preserve">监狱企业 </w:t>
      </w:r>
      <w:r>
        <w:rPr>
          <w:iCs/>
          <w:color w:val="auto"/>
        </w:rPr>
        <w:sym w:font="Wingdings" w:char="F0A8"/>
      </w:r>
      <w:r>
        <w:rPr>
          <w:rFonts w:hint="eastAsia"/>
          <w:iCs/>
          <w:color w:val="auto"/>
        </w:rPr>
        <w:t>其他</w:t>
      </w:r>
    </w:p>
    <w:p>
      <w:pPr>
        <w:pStyle w:val="631"/>
        <w:ind w:firstLine="480" w:firstLineChars="200"/>
        <w:rPr>
          <w:rFonts w:cs="宋体"/>
          <w:iCs/>
          <w:color w:val="auto"/>
        </w:rPr>
      </w:pPr>
      <w:r>
        <w:rPr>
          <w:rFonts w:hint="eastAsia" w:cs="宋体"/>
          <w:color w:val="auto"/>
        </w:rPr>
        <w:t>（</w:t>
      </w:r>
      <w:r>
        <w:rPr>
          <w:rFonts w:hint="eastAsia" w:cs="宋体"/>
          <w:color w:val="auto"/>
          <w:lang w:val="en"/>
        </w:rPr>
        <w:t>8</w:t>
      </w:r>
      <w:r>
        <w:rPr>
          <w:rFonts w:hint="eastAsia" w:cs="宋体"/>
          <w:color w:val="auto"/>
        </w:rPr>
        <w:t>）中标（成交）供应商是否为外商投资企业：</w:t>
      </w:r>
      <w:r>
        <w:rPr>
          <w:rFonts w:cs="宋体"/>
          <w:iCs/>
          <w:color w:val="auto"/>
        </w:rPr>
        <w:sym w:font="Wingdings" w:char="F0A8"/>
      </w:r>
      <w:r>
        <w:rPr>
          <w:rFonts w:hint="eastAsia" w:cs="宋体"/>
          <w:iCs/>
          <w:color w:val="auto"/>
        </w:rPr>
        <w:t xml:space="preserve">是       </w:t>
      </w:r>
      <w:r>
        <w:rPr>
          <w:rFonts w:cs="宋体"/>
          <w:iCs/>
          <w:color w:val="auto"/>
        </w:rPr>
        <w:sym w:font="Wingdings" w:char="F0A8"/>
      </w:r>
      <w:r>
        <w:rPr>
          <w:rFonts w:hint="eastAsia" w:cs="宋体"/>
          <w:iCs/>
          <w:color w:val="auto"/>
        </w:rPr>
        <w:t>否</w:t>
      </w:r>
    </w:p>
    <w:p>
      <w:pPr>
        <w:pStyle w:val="631"/>
        <w:ind w:firstLine="480" w:firstLineChars="200"/>
        <w:rPr>
          <w:rFonts w:cs="宋体"/>
          <w:color w:val="auto"/>
          <w:u w:val="single"/>
        </w:rPr>
      </w:pPr>
      <w:r>
        <w:rPr>
          <w:rFonts w:hint="eastAsia" w:cs="宋体"/>
          <w:color w:val="auto"/>
        </w:rPr>
        <w:t xml:space="preserve">     外商投资企业类型：</w:t>
      </w:r>
      <w:r>
        <w:rPr>
          <w:rFonts w:cs="宋体"/>
          <w:iCs/>
          <w:color w:val="auto"/>
        </w:rPr>
        <w:sym w:font="Wingdings" w:char="F0A8"/>
      </w:r>
      <w:r>
        <w:rPr>
          <w:rFonts w:hint="eastAsia" w:cs="宋体"/>
          <w:color w:val="auto"/>
        </w:rPr>
        <w:t xml:space="preserve">全部由外国投资者投资  </w:t>
      </w:r>
      <w:r>
        <w:rPr>
          <w:rFonts w:cs="宋体"/>
          <w:iCs/>
          <w:color w:val="auto"/>
        </w:rPr>
        <w:sym w:font="Wingdings" w:char="F0A8"/>
      </w:r>
      <w:r>
        <w:rPr>
          <w:rFonts w:hint="eastAsia" w:cs="宋体"/>
          <w:iCs/>
          <w:color w:val="auto"/>
        </w:rPr>
        <w:t>部分由外国投资者投资</w:t>
      </w:r>
    </w:p>
    <w:p>
      <w:pPr>
        <w:pStyle w:val="631"/>
        <w:ind w:firstLine="480" w:firstLineChars="200"/>
        <w:rPr>
          <w:rFonts w:cs="宋体"/>
          <w:color w:val="auto"/>
        </w:rPr>
      </w:pPr>
      <w:r>
        <w:rPr>
          <w:rFonts w:hint="eastAsia" w:cs="宋体"/>
          <w:color w:val="auto"/>
        </w:rPr>
        <w:t>（</w:t>
      </w:r>
      <w:r>
        <w:rPr>
          <w:rFonts w:hint="eastAsia" w:cs="宋体"/>
          <w:color w:val="auto"/>
          <w:lang w:val="en"/>
        </w:rPr>
        <w:t>9</w:t>
      </w:r>
      <w:r>
        <w:rPr>
          <w:rFonts w:hint="eastAsia" w:cs="宋体"/>
          <w:color w:val="auto"/>
        </w:rPr>
        <w:t>）是否涉及进口产品：</w:t>
      </w:r>
    </w:p>
    <w:p>
      <w:pPr>
        <w:pStyle w:val="631"/>
        <w:ind w:firstLine="480" w:firstLineChars="200"/>
        <w:rPr>
          <w:rFonts w:cs="宋体"/>
          <w:color w:val="auto"/>
          <w:u w:val="single"/>
        </w:rPr>
      </w:pPr>
      <w:r>
        <w:rPr>
          <w:rFonts w:cs="宋体"/>
          <w:color w:val="auto"/>
        </w:rPr>
        <w:sym w:font="Wingdings" w:char="F0A8"/>
      </w:r>
      <w:r>
        <w:rPr>
          <w:rFonts w:hint="eastAsia" w:cs="宋体"/>
          <w:color w:val="auto"/>
        </w:rPr>
        <w:t>是，《政府采购品目分类目录》底级品目名称：</w:t>
      </w:r>
      <w:r>
        <w:rPr>
          <w:rFonts w:hint="eastAsia" w:cs="宋体"/>
          <w:color w:val="auto"/>
          <w:u w:val="single"/>
        </w:rPr>
        <w:t xml:space="preserve">         </w:t>
      </w:r>
      <w:r>
        <w:rPr>
          <w:rFonts w:hint="eastAsia" w:cs="宋体"/>
          <w:color w:val="auto"/>
        </w:rPr>
        <w:t xml:space="preserve"> 金额：</w:t>
      </w:r>
      <w:r>
        <w:rPr>
          <w:rFonts w:hint="eastAsia" w:cs="宋体"/>
          <w:color w:val="auto"/>
          <w:u w:val="single"/>
        </w:rPr>
        <w:t xml:space="preserve">        </w:t>
      </w:r>
    </w:p>
    <w:p>
      <w:pPr>
        <w:pStyle w:val="631"/>
        <w:ind w:firstLine="480" w:firstLineChars="200"/>
        <w:rPr>
          <w:color w:val="auto"/>
        </w:rPr>
      </w:pPr>
      <w:r>
        <w:rPr>
          <w:rFonts w:hint="eastAsia" w:cs="宋体"/>
          <w:color w:val="auto"/>
        </w:rPr>
        <w:t xml:space="preserve">        国别：</w:t>
      </w:r>
      <w:r>
        <w:rPr>
          <w:rFonts w:hint="eastAsia" w:cs="宋体"/>
          <w:color w:val="auto"/>
          <w:u w:val="single"/>
        </w:rPr>
        <w:t xml:space="preserve">        </w:t>
      </w:r>
      <w:r>
        <w:rPr>
          <w:rFonts w:hint="eastAsia" w:cs="宋体"/>
          <w:color w:val="auto"/>
        </w:rPr>
        <w:t xml:space="preserve"> 品牌：</w:t>
      </w:r>
      <w:r>
        <w:rPr>
          <w:rFonts w:hint="eastAsia" w:cs="宋体"/>
          <w:color w:val="auto"/>
          <w:u w:val="single"/>
        </w:rPr>
        <w:t xml:space="preserve">        </w:t>
      </w:r>
      <w:r>
        <w:rPr>
          <w:rFonts w:hint="eastAsia" w:cs="宋体"/>
          <w:color w:val="auto"/>
        </w:rPr>
        <w:t xml:space="preserve"> 规格型号：</w:t>
      </w:r>
      <w:r>
        <w:rPr>
          <w:rFonts w:hint="eastAsia" w:cs="宋体"/>
          <w:color w:val="auto"/>
          <w:u w:val="single"/>
        </w:rPr>
        <w:t xml:space="preserve">        </w:t>
      </w:r>
      <w:r>
        <w:rPr>
          <w:rFonts w:hint="eastAsia"/>
          <w:color w:val="auto"/>
        </w:rPr>
        <w:t xml:space="preserve">      </w:t>
      </w:r>
    </w:p>
    <w:p>
      <w:pPr>
        <w:pStyle w:val="631"/>
        <w:ind w:firstLine="480" w:firstLineChars="200"/>
        <w:rPr>
          <w:color w:val="auto"/>
        </w:rPr>
      </w:pPr>
      <w:r>
        <w:rPr>
          <w:color w:val="auto"/>
        </w:rPr>
        <w:sym w:font="Wingdings" w:char="F0A8"/>
      </w:r>
      <w:r>
        <w:rPr>
          <w:rFonts w:hint="eastAsia"/>
          <w:color w:val="auto"/>
        </w:rPr>
        <w:t>否</w:t>
      </w:r>
    </w:p>
    <w:p>
      <w:pPr>
        <w:pStyle w:val="631"/>
        <w:ind w:firstLine="480" w:firstLineChars="200"/>
        <w:rPr>
          <w:color w:val="auto"/>
        </w:rPr>
      </w:pPr>
      <w:r>
        <w:rPr>
          <w:rFonts w:hint="eastAsia"/>
          <w:color w:val="auto"/>
        </w:rPr>
        <w:t>（1</w:t>
      </w:r>
      <w:r>
        <w:rPr>
          <w:rFonts w:hint="eastAsia"/>
          <w:color w:val="auto"/>
          <w:lang w:val="en"/>
        </w:rPr>
        <w:t>0</w:t>
      </w:r>
      <w:r>
        <w:rPr>
          <w:rFonts w:hint="eastAsia"/>
          <w:color w:val="auto"/>
        </w:rPr>
        <w:t>）是否涉及节能产品：</w:t>
      </w:r>
    </w:p>
    <w:p>
      <w:pPr>
        <w:pStyle w:val="631"/>
        <w:ind w:firstLine="480" w:firstLineChars="200"/>
        <w:rPr>
          <w:iCs/>
          <w:color w:val="auto"/>
        </w:rPr>
      </w:pPr>
      <w:r>
        <w:rPr>
          <w:color w:val="auto"/>
        </w:rPr>
        <w:sym w:font="Wingdings" w:char="F0A8"/>
      </w:r>
      <w:r>
        <w:rPr>
          <w:rFonts w:hint="eastAsia"/>
          <w:color w:val="auto"/>
        </w:rPr>
        <w:t>是，《节能产品政府采购品目清单》的底级品目名称：</w:t>
      </w:r>
      <w:r>
        <w:rPr>
          <w:rFonts w:hint="eastAsia"/>
          <w:color w:val="auto"/>
          <w:u w:val="single"/>
        </w:rPr>
        <w:t xml:space="preserve">         </w:t>
      </w:r>
      <w:r>
        <w:rPr>
          <w:rFonts w:hint="eastAsia"/>
          <w:iCs/>
          <w:color w:val="auto"/>
        </w:rPr>
        <w:t xml:space="preserve">     </w:t>
      </w:r>
    </w:p>
    <w:p>
      <w:pPr>
        <w:pStyle w:val="631"/>
        <w:ind w:left="360" w:firstLine="480" w:firstLineChars="200"/>
        <w:rPr>
          <w:iCs/>
          <w:color w:val="auto"/>
        </w:rPr>
      </w:pPr>
      <w:r>
        <w:rPr>
          <w:iCs/>
          <w:color w:val="auto"/>
        </w:rPr>
        <w:sym w:font="Wingdings" w:char="F0A8"/>
      </w:r>
      <w:r>
        <w:rPr>
          <w:rFonts w:hint="eastAsia"/>
          <w:iCs/>
          <w:color w:val="auto"/>
        </w:rPr>
        <w:t xml:space="preserve">强制采购       </w:t>
      </w:r>
      <w:r>
        <w:rPr>
          <w:iCs/>
          <w:color w:val="auto"/>
        </w:rPr>
        <w:sym w:font="Wingdings" w:char="F0A8"/>
      </w:r>
      <w:r>
        <w:rPr>
          <w:rFonts w:hint="eastAsia"/>
          <w:iCs/>
          <w:color w:val="auto"/>
        </w:rPr>
        <w:t xml:space="preserve">优先采购    </w:t>
      </w:r>
    </w:p>
    <w:p>
      <w:pPr>
        <w:pStyle w:val="631"/>
        <w:ind w:firstLine="480" w:firstLineChars="200"/>
        <w:rPr>
          <w:color w:val="auto"/>
        </w:rPr>
      </w:pPr>
      <w:r>
        <w:rPr>
          <w:color w:val="auto"/>
        </w:rPr>
        <w:sym w:font="Wingdings" w:char="F0A8"/>
      </w:r>
      <w:r>
        <w:rPr>
          <w:rFonts w:hint="eastAsia"/>
          <w:color w:val="auto"/>
        </w:rPr>
        <w:t>否</w:t>
      </w:r>
    </w:p>
    <w:p>
      <w:pPr>
        <w:pStyle w:val="631"/>
        <w:ind w:firstLine="480" w:firstLineChars="200"/>
        <w:rPr>
          <w:color w:val="auto"/>
        </w:rPr>
      </w:pPr>
      <w:r>
        <w:rPr>
          <w:rFonts w:hint="eastAsia"/>
          <w:color w:val="auto"/>
        </w:rPr>
        <w:t>是否涉及环境标志产品：</w:t>
      </w:r>
    </w:p>
    <w:p>
      <w:pPr>
        <w:pStyle w:val="631"/>
        <w:ind w:firstLine="480" w:firstLineChars="200"/>
        <w:rPr>
          <w:color w:val="auto"/>
        </w:rPr>
      </w:pPr>
      <w:r>
        <w:rPr>
          <w:color w:val="auto"/>
        </w:rPr>
        <w:sym w:font="Wingdings" w:char="F0A8"/>
      </w:r>
      <w:r>
        <w:rPr>
          <w:rFonts w:hint="eastAsia"/>
          <w:color w:val="auto"/>
        </w:rPr>
        <w:t>是，《环境标志产品政府采购品目清单》的底级品目名称：</w:t>
      </w:r>
      <w:r>
        <w:rPr>
          <w:rFonts w:hint="eastAsia"/>
          <w:color w:val="auto"/>
          <w:u w:val="single"/>
        </w:rPr>
        <w:t xml:space="preserve">         </w:t>
      </w:r>
      <w:r>
        <w:rPr>
          <w:rFonts w:hint="eastAsia"/>
          <w:iCs/>
          <w:color w:val="auto"/>
        </w:rPr>
        <w:t xml:space="preserve"> </w:t>
      </w:r>
    </w:p>
    <w:p>
      <w:pPr>
        <w:pStyle w:val="631"/>
        <w:ind w:left="360" w:firstLine="480" w:firstLineChars="200"/>
        <w:rPr>
          <w:iCs/>
          <w:color w:val="auto"/>
        </w:rPr>
      </w:pPr>
      <w:r>
        <w:rPr>
          <w:iCs/>
          <w:color w:val="auto"/>
        </w:rPr>
        <w:sym w:font="Wingdings" w:char="F0A8"/>
      </w:r>
      <w:r>
        <w:rPr>
          <w:rFonts w:hint="eastAsia"/>
          <w:iCs/>
          <w:color w:val="auto"/>
        </w:rPr>
        <w:t xml:space="preserve">强制采购       </w:t>
      </w:r>
      <w:r>
        <w:rPr>
          <w:iCs/>
          <w:color w:val="auto"/>
        </w:rPr>
        <w:sym w:font="Wingdings" w:char="F0A8"/>
      </w:r>
      <w:r>
        <w:rPr>
          <w:rFonts w:hint="eastAsia"/>
          <w:iCs/>
          <w:color w:val="auto"/>
        </w:rPr>
        <w:t xml:space="preserve">优先采购    </w:t>
      </w:r>
    </w:p>
    <w:p>
      <w:pPr>
        <w:pStyle w:val="631"/>
        <w:ind w:firstLine="480" w:firstLineChars="200"/>
        <w:rPr>
          <w:color w:val="auto"/>
        </w:rPr>
      </w:pPr>
      <w:r>
        <w:rPr>
          <w:color w:val="auto"/>
        </w:rPr>
        <w:sym w:font="Wingdings" w:char="F0A8"/>
      </w:r>
      <w:r>
        <w:rPr>
          <w:rFonts w:hint="eastAsia"/>
          <w:color w:val="auto"/>
        </w:rPr>
        <w:t>否</w:t>
      </w:r>
    </w:p>
    <w:p>
      <w:pPr>
        <w:pStyle w:val="631"/>
        <w:ind w:firstLine="480" w:firstLineChars="200"/>
        <w:rPr>
          <w:color w:val="auto"/>
        </w:rPr>
      </w:pPr>
      <w:r>
        <w:rPr>
          <w:rFonts w:hint="eastAsia"/>
          <w:color w:val="auto"/>
        </w:rPr>
        <w:t xml:space="preserve">是否涉及绿色产品： </w:t>
      </w:r>
    </w:p>
    <w:p>
      <w:pPr>
        <w:pStyle w:val="631"/>
        <w:ind w:firstLine="480" w:firstLineChars="200"/>
        <w:rPr>
          <w:rFonts w:cs="华文楷体"/>
          <w:color w:val="auto"/>
          <w:sz w:val="22"/>
          <w:u w:val="single"/>
        </w:rPr>
      </w:pPr>
      <w:r>
        <w:rPr>
          <w:color w:val="auto"/>
        </w:rPr>
        <w:sym w:font="Wingdings" w:char="F0A8"/>
      </w:r>
      <w:r>
        <w:rPr>
          <w:rFonts w:hint="eastAsia"/>
          <w:color w:val="auto"/>
        </w:rPr>
        <w:t>是，绿色产品政府采购相关政策确定的底级品目名称：</w:t>
      </w:r>
      <w:r>
        <w:rPr>
          <w:rFonts w:hint="eastAsia" w:cs="华文楷体"/>
          <w:color w:val="auto"/>
          <w:sz w:val="22"/>
          <w:u w:val="single"/>
        </w:rPr>
        <w:t xml:space="preserve">         </w:t>
      </w:r>
    </w:p>
    <w:p>
      <w:pPr>
        <w:pStyle w:val="631"/>
        <w:ind w:left="360" w:firstLine="480" w:firstLineChars="200"/>
        <w:rPr>
          <w:iCs/>
          <w:color w:val="auto"/>
        </w:rPr>
      </w:pPr>
      <w:r>
        <w:rPr>
          <w:iCs/>
          <w:color w:val="auto"/>
        </w:rPr>
        <w:sym w:font="Wingdings" w:char="F0A8"/>
      </w:r>
      <w:r>
        <w:rPr>
          <w:rFonts w:hint="eastAsia"/>
          <w:iCs/>
          <w:color w:val="auto"/>
        </w:rPr>
        <w:t xml:space="preserve">强制采购       </w:t>
      </w:r>
      <w:r>
        <w:rPr>
          <w:iCs/>
          <w:color w:val="auto"/>
        </w:rPr>
        <w:sym w:font="Wingdings" w:char="F0A8"/>
      </w:r>
      <w:r>
        <w:rPr>
          <w:rFonts w:hint="eastAsia"/>
          <w:iCs/>
          <w:color w:val="auto"/>
        </w:rPr>
        <w:t xml:space="preserve">优先采购    </w:t>
      </w:r>
    </w:p>
    <w:p>
      <w:pPr>
        <w:pStyle w:val="631"/>
        <w:ind w:firstLine="480" w:firstLineChars="200"/>
        <w:rPr>
          <w:rFonts w:eastAsia="华文楷体" w:cs="华文楷体"/>
          <w:color w:val="auto"/>
        </w:rPr>
      </w:pPr>
      <w:r>
        <w:rPr>
          <w:color w:val="auto"/>
        </w:rPr>
        <w:sym w:font="Wingdings" w:char="F0A8"/>
      </w:r>
      <w:r>
        <w:rPr>
          <w:rFonts w:hint="eastAsia"/>
          <w:color w:val="auto"/>
        </w:rPr>
        <w:t>否</w:t>
      </w:r>
    </w:p>
    <w:p>
      <w:pPr>
        <w:pStyle w:val="631"/>
        <w:ind w:firstLine="480" w:firstLineChars="200"/>
        <w:rPr>
          <w:color w:val="auto"/>
        </w:rPr>
      </w:pPr>
      <w:r>
        <w:rPr>
          <w:rFonts w:hint="eastAsia"/>
          <w:color w:val="auto"/>
        </w:rPr>
        <w:t>（1</w:t>
      </w:r>
      <w:r>
        <w:rPr>
          <w:rFonts w:hint="eastAsia"/>
          <w:color w:val="auto"/>
          <w:lang w:val="en"/>
        </w:rPr>
        <w:t>1</w:t>
      </w:r>
      <w:r>
        <w:rPr>
          <w:rFonts w:hint="eastAsia"/>
          <w:color w:val="auto"/>
        </w:rPr>
        <w:t>）涉及商品包装和快递包装的，是否参考《商品包装政府采购需求标准（试行）》、《快递包装政府采购需求标准（试行）》明确产品及相关快递服务的具体包装要求：</w:t>
      </w:r>
    </w:p>
    <w:p>
      <w:pPr>
        <w:pStyle w:val="631"/>
        <w:ind w:firstLine="480" w:firstLineChars="200"/>
        <w:rPr>
          <w:color w:val="auto"/>
        </w:rPr>
      </w:pPr>
      <w:r>
        <w:rPr>
          <w:color w:val="auto"/>
        </w:rPr>
        <w:sym w:font="Wingdings" w:char="F0A8"/>
      </w:r>
      <w:r>
        <w:rPr>
          <w:rFonts w:hint="eastAsia"/>
          <w:color w:val="auto"/>
        </w:rPr>
        <w:t xml:space="preserve">是       </w:t>
      </w:r>
      <w:r>
        <w:rPr>
          <w:color w:val="auto"/>
        </w:rPr>
        <w:sym w:font="Wingdings" w:char="F0A8"/>
      </w:r>
      <w:r>
        <w:rPr>
          <w:rFonts w:hint="eastAsia"/>
          <w:color w:val="auto"/>
        </w:rPr>
        <w:t xml:space="preserve">否      </w:t>
      </w:r>
      <w:r>
        <w:rPr>
          <w:color w:val="auto"/>
        </w:rPr>
        <w:sym w:font="Wingdings" w:char="F0A8"/>
      </w:r>
      <w:r>
        <w:rPr>
          <w:rFonts w:hint="eastAsia"/>
          <w:color w:val="auto"/>
        </w:rPr>
        <w:t>不涉及</w:t>
      </w:r>
    </w:p>
    <w:p>
      <w:pPr>
        <w:pStyle w:val="631"/>
        <w:ind w:firstLineChars="200"/>
        <w:rPr>
          <w:b/>
          <w:color w:val="auto"/>
        </w:rPr>
      </w:pPr>
      <w:r>
        <w:rPr>
          <w:rFonts w:hint="eastAsia"/>
          <w:b/>
          <w:color w:val="auto"/>
        </w:rPr>
        <w:t>2.合同金额</w:t>
      </w:r>
    </w:p>
    <w:p>
      <w:pPr>
        <w:pStyle w:val="631"/>
        <w:ind w:firstLine="480" w:firstLineChars="200"/>
        <w:rPr>
          <w:color w:val="auto"/>
        </w:rPr>
      </w:pPr>
      <w:r>
        <w:rPr>
          <w:rFonts w:hint="eastAsia"/>
          <w:color w:val="auto"/>
        </w:rPr>
        <w:t>（1）合同金额小写：</w:t>
      </w:r>
      <w:r>
        <w:rPr>
          <w:rFonts w:hint="eastAsia"/>
          <w:color w:val="auto"/>
          <w:u w:val="single"/>
        </w:rPr>
        <w:t xml:space="preserve">                           </w:t>
      </w:r>
    </w:p>
    <w:p>
      <w:pPr>
        <w:pStyle w:val="631"/>
        <w:ind w:firstLine="480" w:firstLineChars="200"/>
        <w:rPr>
          <w:color w:val="auto"/>
          <w:u w:val="single"/>
        </w:rPr>
      </w:pPr>
      <w:r>
        <w:rPr>
          <w:rFonts w:hint="eastAsia"/>
          <w:color w:val="auto"/>
        </w:rPr>
        <w:t xml:space="preserve">             大写：</w:t>
      </w:r>
      <w:r>
        <w:rPr>
          <w:rFonts w:hint="eastAsia"/>
          <w:color w:val="auto"/>
          <w:u w:val="single"/>
        </w:rPr>
        <w:t xml:space="preserve">                           </w:t>
      </w:r>
    </w:p>
    <w:p>
      <w:pPr>
        <w:pStyle w:val="631"/>
        <w:ind w:firstLine="480" w:firstLineChars="200"/>
        <w:rPr>
          <w:color w:val="auto"/>
        </w:rPr>
      </w:pPr>
      <w:r>
        <w:rPr>
          <w:rFonts w:hint="eastAsia"/>
          <w:color w:val="auto"/>
        </w:rPr>
        <w:t xml:space="preserve">     分包金额（如有）小写：</w:t>
      </w:r>
      <w:r>
        <w:rPr>
          <w:rFonts w:hint="eastAsia"/>
          <w:color w:val="auto"/>
          <w:u w:val="single"/>
        </w:rPr>
        <w:t xml:space="preserve">                   </w:t>
      </w:r>
    </w:p>
    <w:p>
      <w:pPr>
        <w:pStyle w:val="631"/>
        <w:ind w:firstLine="480" w:firstLineChars="200"/>
        <w:rPr>
          <w:color w:val="auto"/>
          <w:u w:val="single"/>
        </w:rPr>
      </w:pPr>
      <w:r>
        <w:rPr>
          <w:rFonts w:hint="eastAsia"/>
          <w:color w:val="auto"/>
        </w:rPr>
        <w:t xml:space="preserve">                     大写：</w:t>
      </w:r>
      <w:r>
        <w:rPr>
          <w:rFonts w:hint="eastAsia"/>
          <w:color w:val="auto"/>
          <w:u w:val="single"/>
        </w:rPr>
        <w:t xml:space="preserve">                   </w:t>
      </w:r>
    </w:p>
    <w:p>
      <w:pPr>
        <w:pStyle w:val="631"/>
        <w:ind w:firstLine="480" w:firstLineChars="200"/>
        <w:rPr>
          <w:color w:val="auto"/>
        </w:rPr>
      </w:pPr>
      <w:r>
        <w:rPr>
          <w:rFonts w:hint="eastAsia"/>
          <w:color w:val="auto"/>
        </w:rPr>
        <w:t xml:space="preserve">    （注：固定单价合同应填写单价和最高限价）</w:t>
      </w:r>
    </w:p>
    <w:p>
      <w:pPr>
        <w:pStyle w:val="631"/>
        <w:ind w:firstLine="480" w:firstLineChars="200"/>
        <w:rPr>
          <w:color w:val="auto"/>
        </w:rPr>
      </w:pPr>
      <w:r>
        <w:rPr>
          <w:rFonts w:hint="eastAsia"/>
          <w:color w:val="auto"/>
        </w:rPr>
        <w:t>（2）合同定价方式（采用组合定价方式的，可以勾选多项）：</w:t>
      </w:r>
    </w:p>
    <w:p>
      <w:pPr>
        <w:pStyle w:val="631"/>
        <w:ind w:firstLine="480" w:firstLineChars="200"/>
        <w:rPr>
          <w:color w:val="auto"/>
        </w:rPr>
      </w:pPr>
      <w:r>
        <w:rPr>
          <w:iCs/>
          <w:color w:val="auto"/>
        </w:rPr>
        <w:sym w:font="Wingdings" w:char="F0A8"/>
      </w:r>
      <w:r>
        <w:rPr>
          <w:rFonts w:hint="eastAsia"/>
          <w:iCs/>
          <w:color w:val="auto"/>
        </w:rPr>
        <w:t xml:space="preserve">固定总价 </w:t>
      </w:r>
      <w:r>
        <w:rPr>
          <w:iCs/>
          <w:color w:val="auto"/>
        </w:rPr>
        <w:sym w:font="Wingdings" w:char="F0FE"/>
      </w:r>
      <w:r>
        <w:rPr>
          <w:rFonts w:hint="eastAsia"/>
          <w:iCs/>
          <w:color w:val="auto"/>
        </w:rPr>
        <w:t xml:space="preserve">固定单价 </w:t>
      </w:r>
      <w:r>
        <w:rPr>
          <w:iCs/>
          <w:color w:val="auto"/>
        </w:rPr>
        <w:sym w:font="Wingdings" w:char="F0A8"/>
      </w:r>
      <w:r>
        <w:rPr>
          <w:rFonts w:hint="eastAsia"/>
          <w:iCs/>
          <w:color w:val="auto"/>
        </w:rPr>
        <w:t xml:space="preserve">固定费率 </w:t>
      </w:r>
      <w:r>
        <w:rPr>
          <w:iCs/>
          <w:color w:val="auto"/>
        </w:rPr>
        <w:sym w:font="Wingdings" w:char="F0A8"/>
      </w:r>
      <w:r>
        <w:rPr>
          <w:rFonts w:hint="eastAsia"/>
          <w:iCs/>
          <w:color w:val="auto"/>
        </w:rPr>
        <w:t xml:space="preserve">成本补偿 </w:t>
      </w:r>
      <w:r>
        <w:rPr>
          <w:iCs/>
          <w:color w:val="auto"/>
        </w:rPr>
        <w:sym w:font="Wingdings" w:char="F0A8"/>
      </w:r>
      <w:r>
        <w:rPr>
          <w:rFonts w:hint="eastAsia"/>
          <w:iCs/>
          <w:color w:val="auto"/>
        </w:rPr>
        <w:t xml:space="preserve">绩效激励 </w:t>
      </w:r>
      <w:r>
        <w:rPr>
          <w:iCs/>
          <w:color w:val="auto"/>
        </w:rPr>
        <w:sym w:font="Wingdings" w:char="F0A8"/>
      </w:r>
      <w:r>
        <w:rPr>
          <w:rFonts w:hint="eastAsia"/>
          <w:iCs/>
          <w:color w:val="auto"/>
        </w:rPr>
        <w:t>其他</w:t>
      </w:r>
      <w:r>
        <w:rPr>
          <w:rFonts w:hint="eastAsia"/>
          <w:color w:val="auto"/>
          <w:u w:val="single"/>
        </w:rPr>
        <w:t xml:space="preserve">       </w:t>
      </w:r>
    </w:p>
    <w:p>
      <w:pPr>
        <w:pStyle w:val="631"/>
        <w:ind w:firstLine="480" w:firstLineChars="200"/>
        <w:rPr>
          <w:color w:val="auto"/>
        </w:rPr>
      </w:pPr>
      <w:r>
        <w:rPr>
          <w:rFonts w:hint="eastAsia"/>
          <w:color w:val="auto"/>
        </w:rPr>
        <w:t>（3）付款方式（按项目实际勾选填写）：</w:t>
      </w:r>
    </w:p>
    <w:p>
      <w:pPr>
        <w:pStyle w:val="631"/>
        <w:ind w:firstLine="480" w:firstLineChars="200"/>
        <w:rPr>
          <w:color w:val="auto"/>
          <w:u w:val="single"/>
        </w:rPr>
      </w:pPr>
      <w:r>
        <w:rPr>
          <w:color w:val="auto"/>
        </w:rPr>
        <w:sym w:font="Wingdings" w:char="F0A8"/>
      </w:r>
      <w:r>
        <w:rPr>
          <w:rFonts w:hint="eastAsia"/>
          <w:color w:val="auto"/>
        </w:rPr>
        <w:t>全额付款：</w:t>
      </w:r>
      <w:r>
        <w:rPr>
          <w:rFonts w:hint="eastAsia"/>
          <w:color w:val="auto"/>
          <w:u w:val="single"/>
        </w:rPr>
        <w:t xml:space="preserve">     （应明确一次性支付合同款项的条件）                    </w:t>
      </w:r>
    </w:p>
    <w:p>
      <w:pPr>
        <w:pStyle w:val="631"/>
        <w:ind w:firstLine="480" w:firstLineChars="200"/>
        <w:rPr>
          <w:color w:val="auto"/>
        </w:rPr>
      </w:pPr>
      <w:r>
        <w:rPr>
          <w:color w:val="auto"/>
        </w:rPr>
        <w:sym w:font="Wingdings" w:char="F0A8"/>
      </w:r>
      <w:r>
        <w:rPr>
          <w:rFonts w:hint="eastAsia"/>
          <w:color w:val="auto"/>
        </w:rPr>
        <w:t>分期付款：</w:t>
      </w:r>
      <w:r>
        <w:rPr>
          <w:rFonts w:hint="eastAsia"/>
          <w:color w:val="auto"/>
          <w:u w:val="single"/>
        </w:rPr>
        <w:t xml:space="preserve">  （应明确分期支付合同款项的各期比例和支付条件，各期支付条件应与分期履约验收情况挂钩） </w:t>
      </w:r>
      <w:r>
        <w:rPr>
          <w:rFonts w:hint="eastAsia"/>
          <w:color w:val="auto"/>
        </w:rPr>
        <w:t>，其中涉及预付款的：</w:t>
      </w:r>
      <w:r>
        <w:rPr>
          <w:rFonts w:hint="eastAsia"/>
          <w:color w:val="auto"/>
          <w:u w:val="single"/>
        </w:rPr>
        <w:t xml:space="preserve"> （应明确预付款的支付比例和支付条件） </w:t>
      </w:r>
    </w:p>
    <w:p>
      <w:pPr>
        <w:pStyle w:val="631"/>
        <w:ind w:firstLine="480" w:firstLineChars="200"/>
        <w:rPr>
          <w:color w:val="auto"/>
          <w:u w:val="single"/>
        </w:rPr>
      </w:pPr>
      <w:r>
        <w:rPr>
          <w:color w:val="auto"/>
        </w:rPr>
        <w:sym w:font="Wingdings" w:char="F0A8"/>
      </w:r>
      <w:r>
        <w:rPr>
          <w:rFonts w:hint="eastAsia"/>
          <w:color w:val="auto"/>
        </w:rPr>
        <w:t>成本补偿：</w:t>
      </w:r>
      <w:r>
        <w:rPr>
          <w:rFonts w:hint="eastAsia"/>
          <w:color w:val="auto"/>
          <w:u w:val="single"/>
        </w:rPr>
        <w:t xml:space="preserve">      （应明确按照成本补偿方式的支付方式和支付条件）   </w:t>
      </w:r>
    </w:p>
    <w:p>
      <w:pPr>
        <w:pStyle w:val="631"/>
        <w:ind w:firstLine="480" w:firstLineChars="200"/>
        <w:rPr>
          <w:color w:val="auto"/>
        </w:rPr>
      </w:pPr>
      <w:r>
        <w:rPr>
          <w:color w:val="auto"/>
        </w:rPr>
        <w:sym w:font="Wingdings" w:char="F0A8"/>
      </w:r>
      <w:r>
        <w:rPr>
          <w:rFonts w:hint="eastAsia"/>
          <w:color w:val="auto"/>
        </w:rPr>
        <w:t>绩效激励：</w:t>
      </w:r>
      <w:r>
        <w:rPr>
          <w:rFonts w:hint="eastAsia"/>
          <w:color w:val="auto"/>
          <w:u w:val="single"/>
        </w:rPr>
        <w:t xml:space="preserve">      （应明确按照绩效激励方式的支付方式和支付条件）   </w:t>
      </w:r>
    </w:p>
    <w:p>
      <w:pPr>
        <w:pStyle w:val="631"/>
        <w:ind w:firstLineChars="200"/>
        <w:rPr>
          <w:b/>
          <w:color w:val="auto"/>
          <w:u w:val="single"/>
        </w:rPr>
      </w:pPr>
      <w:r>
        <w:rPr>
          <w:rFonts w:hint="eastAsia"/>
          <w:b/>
          <w:color w:val="auto"/>
        </w:rPr>
        <w:t>3.合同履行</w:t>
      </w:r>
    </w:p>
    <w:p>
      <w:pPr>
        <w:pStyle w:val="631"/>
        <w:ind w:firstLine="480" w:firstLineChars="200"/>
        <w:rPr>
          <w:rFonts w:cs="宋体"/>
          <w:color w:val="auto"/>
        </w:rPr>
      </w:pPr>
      <w:r>
        <w:rPr>
          <w:rFonts w:hint="eastAsia" w:cs="宋体"/>
          <w:color w:val="auto"/>
        </w:rPr>
        <w:t>（1）起始日期：</w:t>
      </w:r>
      <w:r>
        <w:rPr>
          <w:rFonts w:hint="eastAsia" w:cs="宋体"/>
          <w:color w:val="auto"/>
          <w:u w:val="single"/>
        </w:rPr>
        <w:t xml:space="preserve">    </w:t>
      </w:r>
      <w:r>
        <w:rPr>
          <w:rFonts w:hint="eastAsia" w:cs="宋体"/>
          <w:color w:val="auto"/>
        </w:rPr>
        <w:t>年</w:t>
      </w:r>
      <w:r>
        <w:rPr>
          <w:rFonts w:hint="eastAsia" w:cs="宋体"/>
          <w:color w:val="auto"/>
          <w:u w:val="single"/>
        </w:rPr>
        <w:t xml:space="preserve">   </w:t>
      </w:r>
      <w:r>
        <w:rPr>
          <w:rFonts w:hint="eastAsia" w:cs="宋体"/>
          <w:color w:val="auto"/>
        </w:rPr>
        <w:t>月</w:t>
      </w:r>
      <w:r>
        <w:rPr>
          <w:rFonts w:hint="eastAsia" w:cs="宋体"/>
          <w:color w:val="auto"/>
          <w:u w:val="single"/>
        </w:rPr>
        <w:t xml:space="preserve">   </w:t>
      </w:r>
      <w:r>
        <w:rPr>
          <w:rFonts w:hint="eastAsia" w:cs="宋体"/>
          <w:color w:val="auto"/>
        </w:rPr>
        <w:t>日，完成日期：</w:t>
      </w:r>
      <w:r>
        <w:rPr>
          <w:rFonts w:hint="eastAsia" w:cs="宋体"/>
          <w:color w:val="auto"/>
          <w:u w:val="single"/>
        </w:rPr>
        <w:t xml:space="preserve">    </w:t>
      </w:r>
      <w:r>
        <w:rPr>
          <w:rFonts w:hint="eastAsia" w:cs="宋体"/>
          <w:color w:val="auto"/>
        </w:rPr>
        <w:t>年</w:t>
      </w:r>
      <w:r>
        <w:rPr>
          <w:rFonts w:hint="eastAsia" w:cs="宋体"/>
          <w:color w:val="auto"/>
          <w:u w:val="single"/>
        </w:rPr>
        <w:t xml:space="preserve">   </w:t>
      </w:r>
      <w:r>
        <w:rPr>
          <w:rFonts w:hint="eastAsia" w:cs="宋体"/>
          <w:color w:val="auto"/>
        </w:rPr>
        <w:t>月</w:t>
      </w:r>
      <w:r>
        <w:rPr>
          <w:rFonts w:hint="eastAsia" w:cs="宋体"/>
          <w:color w:val="auto"/>
          <w:u w:val="single"/>
        </w:rPr>
        <w:t xml:space="preserve">   </w:t>
      </w:r>
      <w:r>
        <w:rPr>
          <w:rFonts w:hint="eastAsia" w:cs="宋体"/>
          <w:color w:val="auto"/>
        </w:rPr>
        <w:t>日。</w:t>
      </w:r>
    </w:p>
    <w:p>
      <w:pPr>
        <w:pStyle w:val="631"/>
        <w:ind w:firstLine="480" w:firstLineChars="200"/>
        <w:rPr>
          <w:rFonts w:cs="宋体"/>
          <w:color w:val="auto"/>
          <w:u w:val="single"/>
        </w:rPr>
      </w:pPr>
      <w:r>
        <w:rPr>
          <w:rFonts w:hint="eastAsia" w:cs="宋体"/>
          <w:color w:val="auto"/>
        </w:rPr>
        <w:t>（2）履约地点</w:t>
      </w:r>
      <w:r>
        <w:rPr>
          <w:rFonts w:hint="eastAsia" w:cs="宋体"/>
          <w:bCs/>
          <w:color w:val="auto"/>
        </w:rPr>
        <w:t>：</w:t>
      </w:r>
      <w:r>
        <w:rPr>
          <w:rFonts w:hint="eastAsia" w:cs="宋体"/>
          <w:color w:val="auto"/>
          <w:u w:val="single"/>
        </w:rPr>
        <w:t xml:space="preserve">                             </w:t>
      </w:r>
    </w:p>
    <w:p>
      <w:pPr>
        <w:pStyle w:val="631"/>
        <w:ind w:firstLine="480" w:firstLineChars="200"/>
        <w:rPr>
          <w:rFonts w:cs="宋体"/>
          <w:color w:val="auto"/>
        </w:rPr>
      </w:pPr>
      <w:r>
        <w:rPr>
          <w:rFonts w:hint="eastAsia" w:cs="宋体"/>
          <w:bCs/>
          <w:color w:val="auto"/>
        </w:rPr>
        <w:t>（3）履约担保：</w:t>
      </w:r>
      <w:r>
        <w:rPr>
          <w:rFonts w:hint="eastAsia" w:cs="宋体"/>
          <w:color w:val="auto"/>
        </w:rPr>
        <w:t>是否收取履约保证金：</w:t>
      </w:r>
      <w:r>
        <w:rPr>
          <w:rFonts w:cs="宋体"/>
          <w:color w:val="auto"/>
        </w:rPr>
        <w:sym w:font="Wingdings" w:char="F0A8"/>
      </w:r>
      <w:r>
        <w:rPr>
          <w:rFonts w:hint="eastAsia" w:cs="宋体"/>
          <w:color w:val="auto"/>
        </w:rPr>
        <w:t xml:space="preserve">是    </w:t>
      </w:r>
      <w:r>
        <w:rPr>
          <w:rFonts w:cs="宋体"/>
          <w:color w:val="auto"/>
        </w:rPr>
        <w:sym w:font="Wingdings" w:char="F0A8"/>
      </w:r>
      <w:r>
        <w:rPr>
          <w:rFonts w:hint="eastAsia" w:cs="宋体"/>
          <w:color w:val="auto"/>
        </w:rPr>
        <w:t>否</w:t>
      </w:r>
    </w:p>
    <w:p>
      <w:pPr>
        <w:pStyle w:val="631"/>
        <w:ind w:firstLine="480" w:firstLineChars="200"/>
        <w:rPr>
          <w:rFonts w:cs="宋体"/>
          <w:color w:val="auto"/>
        </w:rPr>
      </w:pPr>
      <w:r>
        <w:rPr>
          <w:rFonts w:hint="eastAsia" w:cs="宋体"/>
          <w:color w:val="auto"/>
        </w:rPr>
        <w:t>收取履约保证金形式：</w:t>
      </w:r>
      <w:r>
        <w:rPr>
          <w:rFonts w:hint="eastAsia" w:cs="宋体"/>
          <w:bCs/>
          <w:color w:val="auto"/>
          <w:u w:val="single"/>
        </w:rPr>
        <w:t xml:space="preserve">                            </w:t>
      </w:r>
    </w:p>
    <w:p>
      <w:pPr>
        <w:pStyle w:val="631"/>
        <w:ind w:firstLine="480" w:firstLineChars="200"/>
        <w:rPr>
          <w:rFonts w:cs="宋体"/>
          <w:color w:val="auto"/>
        </w:rPr>
      </w:pPr>
      <w:r>
        <w:rPr>
          <w:rFonts w:hint="eastAsia" w:cs="宋体"/>
          <w:color w:val="auto"/>
        </w:rPr>
        <w:t>收取履约保证金金额：</w:t>
      </w:r>
      <w:r>
        <w:rPr>
          <w:rFonts w:hint="eastAsia" w:cs="宋体"/>
          <w:bCs/>
          <w:color w:val="auto"/>
          <w:u w:val="single"/>
        </w:rPr>
        <w:t xml:space="preserve">                            </w:t>
      </w:r>
    </w:p>
    <w:p>
      <w:pPr>
        <w:pStyle w:val="631"/>
        <w:ind w:firstLine="480" w:firstLineChars="200"/>
        <w:rPr>
          <w:rFonts w:cs="宋体"/>
          <w:color w:val="auto"/>
        </w:rPr>
      </w:pPr>
      <w:r>
        <w:rPr>
          <w:rFonts w:hint="eastAsia" w:cs="宋体"/>
          <w:bCs/>
          <w:color w:val="auto"/>
        </w:rPr>
        <w:t>履约担保期限：</w:t>
      </w:r>
      <w:r>
        <w:rPr>
          <w:rFonts w:hint="eastAsia" w:cs="宋体"/>
          <w:bCs/>
          <w:color w:val="auto"/>
          <w:u w:val="single"/>
        </w:rPr>
        <w:t xml:space="preserve">                                  </w:t>
      </w:r>
    </w:p>
    <w:p>
      <w:pPr>
        <w:pStyle w:val="631"/>
        <w:ind w:firstLine="480" w:firstLineChars="200"/>
        <w:rPr>
          <w:rFonts w:cs="宋体"/>
          <w:bCs/>
          <w:color w:val="auto"/>
        </w:rPr>
      </w:pPr>
      <w:r>
        <w:rPr>
          <w:rFonts w:hint="eastAsia" w:cs="宋体"/>
          <w:bCs/>
          <w:color w:val="auto"/>
        </w:rPr>
        <w:t>（4）分期履行要求：</w:t>
      </w:r>
      <w:r>
        <w:rPr>
          <w:rFonts w:hint="eastAsia" w:cs="宋体"/>
          <w:bCs/>
          <w:color w:val="auto"/>
          <w:u w:val="single"/>
        </w:rPr>
        <w:t xml:space="preserve">                                                        </w:t>
      </w:r>
    </w:p>
    <w:p>
      <w:pPr>
        <w:pStyle w:val="631"/>
        <w:ind w:firstLine="480" w:firstLineChars="200"/>
        <w:rPr>
          <w:rFonts w:cs="宋体"/>
          <w:color w:val="auto"/>
          <w:u w:val="single"/>
        </w:rPr>
      </w:pPr>
      <w:r>
        <w:rPr>
          <w:rFonts w:hint="eastAsia" w:cs="宋体"/>
          <w:bCs/>
          <w:color w:val="auto"/>
        </w:rPr>
        <w:t>（5）风险处置措施和替代方案：</w:t>
      </w:r>
      <w:r>
        <w:rPr>
          <w:rFonts w:hint="eastAsia" w:cs="宋体"/>
          <w:color w:val="auto"/>
          <w:u w:val="single"/>
        </w:rPr>
        <w:t xml:space="preserve">                                                               </w:t>
      </w:r>
    </w:p>
    <w:p>
      <w:pPr>
        <w:pStyle w:val="631"/>
        <w:ind w:firstLineChars="200"/>
        <w:rPr>
          <w:b/>
          <w:color w:val="auto"/>
        </w:rPr>
      </w:pPr>
      <w:r>
        <w:rPr>
          <w:rFonts w:hint="eastAsia"/>
          <w:b/>
          <w:color w:val="auto"/>
        </w:rPr>
        <w:t>4.合同验收</w:t>
      </w:r>
    </w:p>
    <w:p>
      <w:pPr>
        <w:pStyle w:val="631"/>
        <w:ind w:firstLine="480" w:firstLineChars="200"/>
        <w:rPr>
          <w:bCs/>
          <w:color w:val="auto"/>
        </w:rPr>
      </w:pPr>
      <w:r>
        <w:rPr>
          <w:rFonts w:hint="eastAsia"/>
          <w:bCs/>
          <w:color w:val="auto"/>
        </w:rPr>
        <w:t>验收组织方式：</w:t>
      </w:r>
      <w:r>
        <w:rPr>
          <w:rFonts w:cs="宋体"/>
          <w:color w:val="auto"/>
        </w:rPr>
        <w:sym w:font="Wingdings" w:char="F0A8"/>
      </w:r>
      <w:r>
        <w:rPr>
          <w:rFonts w:hint="eastAsia"/>
          <w:bCs/>
          <w:color w:val="auto"/>
        </w:rPr>
        <w:t xml:space="preserve">自行组织 </w:t>
      </w:r>
      <w:r>
        <w:rPr>
          <w:rFonts w:cs="宋体"/>
          <w:color w:val="auto"/>
        </w:rPr>
        <w:sym w:font="Wingdings" w:char="F0A8"/>
      </w:r>
      <w:r>
        <w:rPr>
          <w:rFonts w:hint="eastAsia"/>
          <w:bCs/>
          <w:color w:val="auto"/>
        </w:rPr>
        <w:t>委托第三方组织</w:t>
      </w:r>
    </w:p>
    <w:p>
      <w:pPr>
        <w:pStyle w:val="631"/>
        <w:ind w:firstLine="480" w:firstLineChars="200"/>
        <w:rPr>
          <w:bCs/>
          <w:color w:val="auto"/>
        </w:rPr>
      </w:pPr>
      <w:r>
        <w:rPr>
          <w:rFonts w:hint="eastAsia"/>
          <w:bCs/>
          <w:color w:val="auto"/>
        </w:rPr>
        <w:t>验收主体：</w:t>
      </w:r>
      <w:r>
        <w:rPr>
          <w:rFonts w:hint="eastAsia"/>
          <w:bCs/>
          <w:color w:val="auto"/>
          <w:u w:val="single"/>
        </w:rPr>
        <w:t xml:space="preserve">                  </w:t>
      </w:r>
    </w:p>
    <w:p>
      <w:pPr>
        <w:pStyle w:val="631"/>
        <w:ind w:firstLine="480" w:firstLineChars="200"/>
        <w:rPr>
          <w:bCs/>
          <w:color w:val="auto"/>
        </w:rPr>
      </w:pPr>
      <w:r>
        <w:rPr>
          <w:rFonts w:hint="eastAsia"/>
          <w:bCs/>
          <w:color w:val="auto"/>
        </w:rPr>
        <w:t>是否邀请本项目的其他供应商参加验收：</w:t>
      </w:r>
      <w:r>
        <w:rPr>
          <w:rFonts w:cs="宋体"/>
          <w:color w:val="auto"/>
        </w:rPr>
        <w:sym w:font="Wingdings" w:char="F0A8"/>
      </w:r>
      <w:r>
        <w:rPr>
          <w:rFonts w:hint="eastAsia"/>
          <w:bCs/>
          <w:color w:val="auto"/>
        </w:rPr>
        <w:t xml:space="preserve">是  </w:t>
      </w:r>
      <w:r>
        <w:rPr>
          <w:rFonts w:cs="宋体"/>
          <w:color w:val="auto"/>
        </w:rPr>
        <w:sym w:font="Wingdings" w:char="F0A8"/>
      </w:r>
      <w:r>
        <w:rPr>
          <w:rFonts w:hint="eastAsia"/>
          <w:bCs/>
          <w:color w:val="auto"/>
        </w:rPr>
        <w:t>否</w:t>
      </w:r>
    </w:p>
    <w:p>
      <w:pPr>
        <w:pStyle w:val="631"/>
        <w:ind w:firstLine="480" w:firstLineChars="200"/>
        <w:rPr>
          <w:bCs/>
          <w:color w:val="auto"/>
        </w:rPr>
      </w:pPr>
      <w:r>
        <w:rPr>
          <w:rFonts w:hint="eastAsia"/>
          <w:bCs/>
          <w:color w:val="auto"/>
        </w:rPr>
        <w:t>是否邀请专家参加验收：</w:t>
      </w:r>
      <w:r>
        <w:rPr>
          <w:rFonts w:cs="宋体"/>
          <w:color w:val="auto"/>
        </w:rPr>
        <w:sym w:font="Wingdings" w:char="F0A8"/>
      </w:r>
      <w:r>
        <w:rPr>
          <w:rFonts w:hint="eastAsia"/>
          <w:bCs/>
          <w:color w:val="auto"/>
        </w:rPr>
        <w:t xml:space="preserve">是  </w:t>
      </w:r>
      <w:r>
        <w:rPr>
          <w:rFonts w:cs="宋体"/>
          <w:color w:val="auto"/>
        </w:rPr>
        <w:sym w:font="Wingdings" w:char="F0A8"/>
      </w:r>
      <w:r>
        <w:rPr>
          <w:rFonts w:hint="eastAsia"/>
          <w:bCs/>
          <w:color w:val="auto"/>
        </w:rPr>
        <w:t>否</w:t>
      </w:r>
    </w:p>
    <w:p>
      <w:pPr>
        <w:pStyle w:val="631"/>
        <w:ind w:firstLine="480" w:firstLineChars="200"/>
        <w:rPr>
          <w:bCs/>
          <w:color w:val="auto"/>
        </w:rPr>
      </w:pPr>
      <w:r>
        <w:rPr>
          <w:rFonts w:hint="eastAsia"/>
          <w:bCs/>
          <w:color w:val="auto"/>
        </w:rPr>
        <w:t>是否邀请服务对象参加验收：</w:t>
      </w:r>
      <w:r>
        <w:rPr>
          <w:rFonts w:cs="宋体"/>
          <w:color w:val="auto"/>
        </w:rPr>
        <w:sym w:font="Wingdings" w:char="F0A8"/>
      </w:r>
      <w:r>
        <w:rPr>
          <w:rFonts w:hint="eastAsia"/>
          <w:bCs/>
          <w:color w:val="auto"/>
        </w:rPr>
        <w:t xml:space="preserve">是  </w:t>
      </w:r>
      <w:r>
        <w:rPr>
          <w:rFonts w:cs="宋体"/>
          <w:color w:val="auto"/>
        </w:rPr>
        <w:sym w:font="Wingdings" w:char="F0A8"/>
      </w:r>
      <w:r>
        <w:rPr>
          <w:rFonts w:hint="eastAsia"/>
          <w:bCs/>
          <w:color w:val="auto"/>
        </w:rPr>
        <w:t>否</w:t>
      </w:r>
    </w:p>
    <w:p>
      <w:pPr>
        <w:pStyle w:val="631"/>
        <w:ind w:firstLine="480" w:firstLineChars="200"/>
        <w:rPr>
          <w:bCs/>
          <w:color w:val="auto"/>
        </w:rPr>
      </w:pPr>
      <w:r>
        <w:rPr>
          <w:rFonts w:hint="eastAsia"/>
          <w:bCs/>
          <w:color w:val="auto"/>
        </w:rPr>
        <w:t>是否邀请第三方检测机构参加验收：</w:t>
      </w:r>
      <w:r>
        <w:rPr>
          <w:rFonts w:cs="宋体"/>
          <w:color w:val="auto"/>
        </w:rPr>
        <w:sym w:font="Wingdings" w:char="F0A8"/>
      </w:r>
      <w:r>
        <w:rPr>
          <w:rFonts w:hint="eastAsia"/>
          <w:bCs/>
          <w:color w:val="auto"/>
        </w:rPr>
        <w:t xml:space="preserve">是  </w:t>
      </w:r>
      <w:r>
        <w:rPr>
          <w:rFonts w:cs="宋体"/>
          <w:color w:val="auto"/>
        </w:rPr>
        <w:sym w:font="Wingdings" w:char="F0A8"/>
      </w:r>
      <w:r>
        <w:rPr>
          <w:rFonts w:hint="eastAsia"/>
          <w:bCs/>
          <w:color w:val="auto"/>
        </w:rPr>
        <w:t>否</w:t>
      </w:r>
    </w:p>
    <w:p>
      <w:pPr>
        <w:pStyle w:val="631"/>
        <w:ind w:firstLine="480" w:firstLineChars="200"/>
        <w:rPr>
          <w:bCs/>
          <w:color w:val="auto"/>
        </w:rPr>
      </w:pPr>
      <w:r>
        <w:rPr>
          <w:rFonts w:hint="eastAsia"/>
          <w:bCs/>
          <w:color w:val="auto"/>
        </w:rPr>
        <w:t>是否进行抽查检测：</w:t>
      </w:r>
      <w:r>
        <w:rPr>
          <w:rFonts w:cs="宋体"/>
          <w:color w:val="auto"/>
        </w:rPr>
        <w:sym w:font="Wingdings" w:char="F0A8"/>
      </w:r>
      <w:r>
        <w:rPr>
          <w:rFonts w:hint="eastAsia"/>
          <w:bCs/>
          <w:color w:val="auto"/>
        </w:rPr>
        <w:t>是，抽查比例：</w:t>
      </w:r>
      <w:r>
        <w:rPr>
          <w:rFonts w:hint="eastAsia"/>
          <w:bCs/>
          <w:color w:val="auto"/>
          <w:u w:val="single"/>
        </w:rPr>
        <w:t xml:space="preserve">        </w:t>
      </w:r>
      <w:r>
        <w:rPr>
          <w:rFonts w:hint="eastAsia"/>
          <w:bCs/>
          <w:color w:val="auto"/>
        </w:rPr>
        <w:t xml:space="preserve"> </w:t>
      </w:r>
      <w:r>
        <w:rPr>
          <w:rFonts w:cs="宋体"/>
          <w:color w:val="auto"/>
        </w:rPr>
        <w:sym w:font="Wingdings" w:char="F0A8"/>
      </w:r>
      <w:r>
        <w:rPr>
          <w:rFonts w:hint="eastAsia"/>
          <w:bCs/>
          <w:color w:val="auto"/>
        </w:rPr>
        <w:t>否</w:t>
      </w:r>
    </w:p>
    <w:p>
      <w:pPr>
        <w:pStyle w:val="631"/>
        <w:ind w:firstLine="480" w:firstLineChars="200"/>
        <w:rPr>
          <w:bCs/>
          <w:color w:val="auto"/>
          <w:u w:val="single"/>
        </w:rPr>
      </w:pPr>
      <w:r>
        <w:rPr>
          <w:rFonts w:hint="eastAsia"/>
          <w:bCs/>
          <w:color w:val="auto"/>
        </w:rPr>
        <w:t>是否存在破坏性检测：</w:t>
      </w:r>
      <w:r>
        <w:rPr>
          <w:rFonts w:cs="宋体"/>
          <w:color w:val="auto"/>
        </w:rPr>
        <w:sym w:font="Wingdings" w:char="F0A8"/>
      </w:r>
      <w:r>
        <w:rPr>
          <w:rFonts w:hint="eastAsia"/>
          <w:bCs/>
          <w:color w:val="auto"/>
        </w:rPr>
        <w:t>是，</w:t>
      </w:r>
      <w:r>
        <w:rPr>
          <w:rFonts w:hint="eastAsia"/>
          <w:bCs/>
          <w:color w:val="auto"/>
          <w:u w:val="single"/>
        </w:rPr>
        <w:t>（应明确对被破坏的检测产品的处理方式）</w:t>
      </w:r>
    </w:p>
    <w:p>
      <w:pPr>
        <w:pStyle w:val="631"/>
        <w:ind w:firstLine="480" w:firstLineChars="200"/>
        <w:rPr>
          <w:bCs/>
          <w:color w:val="auto"/>
        </w:rPr>
      </w:pPr>
      <w:r>
        <w:rPr>
          <w:rFonts w:hint="eastAsia"/>
          <w:bCs/>
          <w:color w:val="auto"/>
        </w:rPr>
        <w:t xml:space="preserve">                    </w:t>
      </w:r>
      <w:r>
        <w:rPr>
          <w:rFonts w:cs="宋体"/>
          <w:color w:val="auto"/>
        </w:rPr>
        <w:sym w:font="Wingdings" w:char="F0A8"/>
      </w:r>
      <w:r>
        <w:rPr>
          <w:rFonts w:hint="eastAsia"/>
          <w:bCs/>
          <w:color w:val="auto"/>
        </w:rPr>
        <w:t>否</w:t>
      </w:r>
    </w:p>
    <w:p>
      <w:pPr>
        <w:pStyle w:val="631"/>
        <w:ind w:firstLine="480" w:firstLineChars="200"/>
        <w:rPr>
          <w:bCs/>
          <w:color w:val="auto"/>
          <w:u w:val="single"/>
        </w:rPr>
      </w:pPr>
      <w:r>
        <w:rPr>
          <w:rFonts w:hint="eastAsia"/>
          <w:bCs/>
          <w:color w:val="auto"/>
        </w:rPr>
        <w:t>验收组织的其他事项：</w:t>
      </w:r>
      <w:r>
        <w:rPr>
          <w:rFonts w:hint="eastAsia"/>
          <w:bCs/>
          <w:color w:val="auto"/>
          <w:u w:val="single"/>
        </w:rPr>
        <w:t xml:space="preserve">                </w:t>
      </w:r>
    </w:p>
    <w:p>
      <w:pPr>
        <w:pStyle w:val="631"/>
        <w:ind w:firstLine="480" w:firstLineChars="200"/>
        <w:rPr>
          <w:bCs/>
          <w:color w:val="auto"/>
          <w:u w:val="single"/>
        </w:rPr>
      </w:pPr>
      <w:r>
        <w:rPr>
          <w:rFonts w:hint="eastAsia"/>
          <w:bCs/>
          <w:color w:val="auto"/>
        </w:rPr>
        <w:t>（2）履约验收时间：</w:t>
      </w:r>
      <w:r>
        <w:rPr>
          <w:rFonts w:hint="eastAsia"/>
          <w:bCs/>
          <w:color w:val="auto"/>
          <w:u w:val="single"/>
        </w:rPr>
        <w:t xml:space="preserve">（计划于何时验收/供应商提出验收申请之日起   日内组织验收） </w:t>
      </w:r>
    </w:p>
    <w:p>
      <w:pPr>
        <w:pStyle w:val="631"/>
        <w:ind w:firstLine="480" w:firstLineChars="200"/>
        <w:rPr>
          <w:bCs/>
          <w:color w:val="auto"/>
        </w:rPr>
      </w:pPr>
      <w:r>
        <w:rPr>
          <w:rFonts w:hint="eastAsia"/>
          <w:bCs/>
          <w:color w:val="auto"/>
        </w:rPr>
        <w:t>（3）履约验收方式：</w:t>
      </w:r>
      <w:r>
        <w:rPr>
          <w:rFonts w:cs="宋体"/>
          <w:color w:val="auto"/>
        </w:rPr>
        <w:sym w:font="Wingdings" w:char="F0A8"/>
      </w:r>
      <w:r>
        <w:rPr>
          <w:rFonts w:hint="eastAsia"/>
          <w:bCs/>
          <w:color w:val="auto"/>
        </w:rPr>
        <w:t xml:space="preserve">一次性验收         </w:t>
      </w:r>
    </w:p>
    <w:p>
      <w:pPr>
        <w:pStyle w:val="631"/>
        <w:ind w:firstLine="480" w:firstLineChars="200"/>
        <w:rPr>
          <w:bCs/>
          <w:color w:val="auto"/>
        </w:rPr>
      </w:pPr>
      <w:r>
        <w:rPr>
          <w:rFonts w:hint="eastAsia"/>
          <w:bCs/>
          <w:color w:val="auto"/>
        </w:rPr>
        <w:t xml:space="preserve">                   </w:t>
      </w:r>
      <w:r>
        <w:rPr>
          <w:rFonts w:cs="宋体"/>
          <w:color w:val="auto"/>
        </w:rPr>
        <w:sym w:font="Wingdings" w:char="F0A8"/>
      </w:r>
      <w:r>
        <w:rPr>
          <w:rFonts w:hint="eastAsia"/>
          <w:bCs/>
          <w:color w:val="auto"/>
        </w:rPr>
        <w:t>分期/分项验收：</w:t>
      </w:r>
      <w:r>
        <w:rPr>
          <w:rFonts w:hint="eastAsia"/>
          <w:bCs/>
          <w:color w:val="auto"/>
          <w:u w:val="single"/>
        </w:rPr>
        <w:t xml:space="preserve"> （应明确分期</w:t>
      </w:r>
      <w:r>
        <w:rPr>
          <w:rFonts w:hint="eastAsia"/>
          <w:bCs/>
          <w:color w:val="auto"/>
          <w:u w:val="single"/>
          <w:lang w:val="en"/>
        </w:rPr>
        <w:t>/分项验收的工作安排</w:t>
      </w:r>
      <w:r>
        <w:rPr>
          <w:rFonts w:hint="eastAsia"/>
          <w:bCs/>
          <w:color w:val="auto"/>
          <w:u w:val="single"/>
        </w:rPr>
        <w:t xml:space="preserve">）  </w:t>
      </w:r>
    </w:p>
    <w:p>
      <w:pPr>
        <w:pStyle w:val="631"/>
        <w:ind w:firstLine="480" w:firstLineChars="200"/>
        <w:rPr>
          <w:bCs/>
          <w:color w:val="auto"/>
        </w:rPr>
      </w:pPr>
      <w:r>
        <w:rPr>
          <w:rFonts w:hint="eastAsia"/>
          <w:bCs/>
          <w:color w:val="auto"/>
        </w:rPr>
        <w:t>（4）履约验收程序：</w:t>
      </w:r>
      <w:r>
        <w:rPr>
          <w:rFonts w:hint="eastAsia"/>
          <w:bCs/>
          <w:color w:val="auto"/>
          <w:u w:val="single"/>
        </w:rPr>
        <w:t xml:space="preserve">                                         </w:t>
      </w:r>
    </w:p>
    <w:p>
      <w:pPr>
        <w:pStyle w:val="631"/>
        <w:ind w:firstLine="480" w:firstLineChars="200"/>
        <w:rPr>
          <w:bCs/>
          <w:color w:val="auto"/>
          <w:u w:val="single"/>
        </w:rPr>
      </w:pPr>
      <w:r>
        <w:rPr>
          <w:rFonts w:hint="eastAsia"/>
          <w:bCs/>
          <w:color w:val="auto"/>
        </w:rPr>
        <w:t>（5）履约验收的内容：</w:t>
      </w:r>
      <w:r>
        <w:rPr>
          <w:rFonts w:hint="eastAsia"/>
          <w:bCs/>
          <w:color w:val="auto"/>
          <w:u w:val="single"/>
        </w:rPr>
        <w:t xml:space="preserve"> （应当包括每一项技术和商务要求的履约情况，特别是落实政府采购扶持中小企业，支持绿色发展和乡村振兴等政策情况）                                      </w:t>
      </w:r>
    </w:p>
    <w:p>
      <w:pPr>
        <w:pStyle w:val="631"/>
        <w:ind w:firstLine="480" w:firstLineChars="200"/>
        <w:rPr>
          <w:bCs/>
          <w:color w:val="auto"/>
          <w:u w:val="single"/>
        </w:rPr>
      </w:pPr>
      <w:r>
        <w:rPr>
          <w:rFonts w:hint="eastAsia"/>
          <w:bCs/>
          <w:color w:val="auto"/>
        </w:rPr>
        <w:t>（6）履约验收标准：</w:t>
      </w:r>
      <w:r>
        <w:rPr>
          <w:rFonts w:hint="eastAsia"/>
          <w:bCs/>
          <w:color w:val="auto"/>
          <w:u w:val="single"/>
        </w:rPr>
        <w:t xml:space="preserve">                                         </w:t>
      </w:r>
    </w:p>
    <w:p>
      <w:pPr>
        <w:pStyle w:val="631"/>
        <w:ind w:firstLine="480" w:firstLineChars="200"/>
        <w:rPr>
          <w:rFonts w:cs="宋体"/>
          <w:color w:val="auto"/>
        </w:rPr>
      </w:pPr>
      <w:r>
        <w:rPr>
          <w:rFonts w:hint="eastAsia" w:cs="宋体"/>
          <w:bCs/>
          <w:color w:val="auto"/>
        </w:rPr>
        <w:t>（7）是否以采购活动中供应商提供的样品作为参考：</w:t>
      </w:r>
      <w:r>
        <w:rPr>
          <w:rFonts w:cs="宋体"/>
          <w:color w:val="auto"/>
        </w:rPr>
        <w:sym w:font="Wingdings" w:char="F0A8"/>
      </w:r>
      <w:r>
        <w:rPr>
          <w:rFonts w:hint="eastAsia" w:cs="宋体"/>
          <w:bCs/>
          <w:color w:val="auto"/>
        </w:rPr>
        <w:t xml:space="preserve">是  </w:t>
      </w:r>
      <w:r>
        <w:rPr>
          <w:rFonts w:cs="宋体"/>
          <w:color w:val="auto"/>
        </w:rPr>
        <w:sym w:font="Wingdings" w:char="F0A8"/>
      </w:r>
      <w:r>
        <w:rPr>
          <w:rFonts w:hint="eastAsia" w:cs="宋体"/>
          <w:bCs/>
          <w:color w:val="auto"/>
        </w:rPr>
        <w:t>否</w:t>
      </w:r>
    </w:p>
    <w:p>
      <w:pPr>
        <w:pStyle w:val="631"/>
        <w:ind w:firstLine="480" w:firstLineChars="200"/>
        <w:rPr>
          <w:rFonts w:cs="宋体"/>
          <w:bCs/>
          <w:color w:val="auto"/>
          <w:u w:val="single"/>
        </w:rPr>
      </w:pPr>
      <w:r>
        <w:rPr>
          <w:rFonts w:hint="eastAsia" w:cs="宋体"/>
          <w:bCs/>
          <w:color w:val="auto"/>
        </w:rPr>
        <w:t>（8）履约验收其他事项：</w:t>
      </w:r>
      <w:r>
        <w:rPr>
          <w:rFonts w:hint="eastAsia" w:cs="宋体"/>
          <w:bCs/>
          <w:color w:val="auto"/>
          <w:u w:val="single"/>
        </w:rPr>
        <w:t xml:space="preserve">      （产权过户登记等）          </w:t>
      </w:r>
    </w:p>
    <w:p>
      <w:pPr>
        <w:pStyle w:val="631"/>
        <w:ind w:firstLineChars="200"/>
        <w:rPr>
          <w:b/>
          <w:color w:val="auto"/>
        </w:rPr>
      </w:pPr>
      <w:r>
        <w:rPr>
          <w:rFonts w:hint="eastAsia"/>
          <w:b/>
          <w:color w:val="auto"/>
        </w:rPr>
        <w:t>5.组成合同的文件</w:t>
      </w:r>
    </w:p>
    <w:p>
      <w:pPr>
        <w:pStyle w:val="631"/>
        <w:ind w:firstLine="480" w:firstLineChars="200"/>
        <w:rPr>
          <w:color w:val="auto"/>
        </w:rPr>
      </w:pPr>
      <w:r>
        <w:rPr>
          <w:rFonts w:hint="eastAsia"/>
          <w:color w:val="auto"/>
        </w:rPr>
        <w:t>本协议书与下列文件一起构成合同文件，如下述文件之间有任何抵触、矛盾或歧义，应按以下顺序解释：</w:t>
      </w:r>
    </w:p>
    <w:p>
      <w:pPr>
        <w:pStyle w:val="631"/>
        <w:ind w:firstLine="480" w:firstLineChars="200"/>
        <w:rPr>
          <w:color w:val="auto"/>
        </w:rPr>
      </w:pPr>
      <w:r>
        <w:rPr>
          <w:rFonts w:hint="eastAsia"/>
          <w:color w:val="auto"/>
        </w:rPr>
        <w:t>（1）政府采购合同协议书及其变更、补充协议</w:t>
      </w:r>
    </w:p>
    <w:p>
      <w:pPr>
        <w:pStyle w:val="631"/>
        <w:ind w:firstLine="480" w:firstLineChars="200"/>
        <w:rPr>
          <w:color w:val="auto"/>
        </w:rPr>
      </w:pPr>
      <w:r>
        <w:rPr>
          <w:rFonts w:hint="eastAsia"/>
          <w:color w:val="auto"/>
        </w:rPr>
        <w:t>（2）政府采购合同专用条款</w:t>
      </w:r>
    </w:p>
    <w:p>
      <w:pPr>
        <w:pStyle w:val="631"/>
        <w:ind w:firstLine="480" w:firstLineChars="200"/>
        <w:rPr>
          <w:color w:val="auto"/>
        </w:rPr>
      </w:pPr>
      <w:r>
        <w:rPr>
          <w:rFonts w:hint="eastAsia"/>
          <w:color w:val="auto"/>
        </w:rPr>
        <w:t>（3）政府采购合同通用条款</w:t>
      </w:r>
    </w:p>
    <w:p>
      <w:pPr>
        <w:pStyle w:val="631"/>
        <w:ind w:firstLine="480" w:firstLineChars="200"/>
        <w:rPr>
          <w:color w:val="auto"/>
        </w:rPr>
      </w:pPr>
      <w:r>
        <w:rPr>
          <w:rFonts w:hint="eastAsia"/>
          <w:color w:val="auto"/>
        </w:rPr>
        <w:t>（4）中标（成交）通知书</w:t>
      </w:r>
    </w:p>
    <w:p>
      <w:pPr>
        <w:pStyle w:val="631"/>
        <w:ind w:firstLine="480" w:firstLineChars="200"/>
        <w:rPr>
          <w:color w:val="auto"/>
        </w:rPr>
      </w:pPr>
      <w:r>
        <w:rPr>
          <w:rFonts w:hint="eastAsia"/>
          <w:color w:val="auto"/>
        </w:rPr>
        <w:t>（5）投标（响应）文件</w:t>
      </w:r>
    </w:p>
    <w:p>
      <w:pPr>
        <w:pStyle w:val="631"/>
        <w:ind w:firstLine="480" w:firstLineChars="200"/>
        <w:rPr>
          <w:color w:val="auto"/>
        </w:rPr>
      </w:pPr>
      <w:r>
        <w:rPr>
          <w:rFonts w:hint="eastAsia"/>
          <w:color w:val="auto"/>
        </w:rPr>
        <w:t>（6）采购文件</w:t>
      </w:r>
    </w:p>
    <w:p>
      <w:pPr>
        <w:pStyle w:val="631"/>
        <w:ind w:firstLine="480" w:firstLineChars="200"/>
        <w:rPr>
          <w:color w:val="auto"/>
        </w:rPr>
      </w:pPr>
      <w:r>
        <w:rPr>
          <w:rFonts w:hint="eastAsia"/>
          <w:color w:val="auto"/>
        </w:rPr>
        <w:t>（7）有关技术文件，图纸</w:t>
      </w:r>
    </w:p>
    <w:p>
      <w:pPr>
        <w:pStyle w:val="631"/>
        <w:ind w:firstLine="480" w:firstLineChars="200"/>
        <w:rPr>
          <w:rFonts w:cs="宋体"/>
          <w:color w:val="auto"/>
        </w:rPr>
      </w:pPr>
      <w:r>
        <w:rPr>
          <w:rFonts w:hint="eastAsia" w:cs="宋体"/>
          <w:color w:val="auto"/>
        </w:rPr>
        <w:t>（8）国家法律、行政法规和规章制度规定或合同约定的作为合同组成部分的其他文件</w:t>
      </w:r>
    </w:p>
    <w:p>
      <w:pPr>
        <w:pStyle w:val="631"/>
        <w:ind w:firstLineChars="200"/>
        <w:rPr>
          <w:b/>
          <w:color w:val="auto"/>
        </w:rPr>
      </w:pPr>
      <w:r>
        <w:rPr>
          <w:rFonts w:hint="eastAsia"/>
          <w:b/>
          <w:color w:val="auto"/>
        </w:rPr>
        <w:t>6.合同生效</w:t>
      </w:r>
    </w:p>
    <w:p>
      <w:pPr>
        <w:pStyle w:val="631"/>
        <w:ind w:firstLine="480" w:firstLineChars="200"/>
        <w:rPr>
          <w:color w:val="auto"/>
        </w:rPr>
      </w:pPr>
      <w:r>
        <w:rPr>
          <w:rFonts w:hint="eastAsia"/>
          <w:color w:val="auto"/>
        </w:rPr>
        <w:t>本合同自</w:t>
      </w:r>
      <w:r>
        <w:rPr>
          <w:rFonts w:hint="eastAsia"/>
          <w:color w:val="auto"/>
          <w:u w:val="single"/>
        </w:rPr>
        <w:t xml:space="preserve">                             </w:t>
      </w:r>
      <w:r>
        <w:rPr>
          <w:rFonts w:hint="eastAsia"/>
          <w:color w:val="auto"/>
        </w:rPr>
        <w:t>生效。</w:t>
      </w:r>
    </w:p>
    <w:p>
      <w:pPr>
        <w:pStyle w:val="631"/>
        <w:ind w:firstLineChars="200"/>
        <w:rPr>
          <w:b/>
          <w:color w:val="auto"/>
        </w:rPr>
      </w:pPr>
      <w:r>
        <w:rPr>
          <w:rFonts w:hint="eastAsia"/>
          <w:b/>
          <w:color w:val="auto"/>
        </w:rPr>
        <w:t>7.合同份数</w:t>
      </w:r>
    </w:p>
    <w:p>
      <w:pPr>
        <w:pStyle w:val="631"/>
        <w:ind w:firstLine="480" w:firstLineChars="200"/>
        <w:rPr>
          <w:color w:val="auto"/>
        </w:rPr>
      </w:pPr>
      <w:r>
        <w:rPr>
          <w:rFonts w:hint="eastAsia"/>
          <w:color w:val="auto"/>
        </w:rPr>
        <w:t>本合同一式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份，均具有同等法律效力。</w:t>
      </w:r>
    </w:p>
    <w:p>
      <w:pPr>
        <w:pStyle w:val="631"/>
        <w:ind w:firstLine="480" w:firstLineChars="200"/>
        <w:rPr>
          <w:color w:val="auto"/>
        </w:rPr>
      </w:pPr>
      <w:r>
        <w:rPr>
          <w:rFonts w:hint="eastAsia"/>
          <w:color w:val="auto"/>
        </w:rPr>
        <w:t>合同订立时间：</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Style w:val="631"/>
        <w:ind w:firstLine="480" w:firstLineChars="200"/>
        <w:rPr>
          <w:color w:val="auto"/>
        </w:rPr>
      </w:pPr>
      <w:r>
        <w:rPr>
          <w:rFonts w:hint="eastAsia"/>
          <w:color w:val="auto"/>
        </w:rPr>
        <w:t>合同订立地点：</w:t>
      </w:r>
      <w:r>
        <w:rPr>
          <w:rFonts w:hint="eastAsia"/>
          <w:color w:val="auto"/>
          <w:u w:val="single"/>
        </w:rPr>
        <w:t xml:space="preserve">                           </w:t>
      </w:r>
    </w:p>
    <w:p>
      <w:pPr>
        <w:pStyle w:val="631"/>
        <w:ind w:firstLine="480" w:firstLineChars="200"/>
        <w:rPr>
          <w:color w:val="auto"/>
        </w:rPr>
      </w:pPr>
      <w:r>
        <w:rPr>
          <w:rFonts w:hint="eastAsia"/>
          <w:color w:val="auto"/>
        </w:rPr>
        <w:t>附件：具体标的及其技术要求和商务要求、联合协议、分包意向协议等。</w:t>
      </w:r>
    </w:p>
    <w:p>
      <w:pPr>
        <w:pStyle w:val="631"/>
        <w:rPr>
          <w:color w:val="auto"/>
        </w:rPr>
      </w:pPr>
    </w:p>
    <w:p>
      <w:pPr>
        <w:pStyle w:val="631"/>
        <w:rPr>
          <w:color w:val="auto"/>
          <w:szCs w:val="21"/>
        </w:rPr>
      </w:pPr>
      <w:r>
        <w:rPr>
          <w:color w:val="auto"/>
          <w:lang w:val="en"/>
        </w:rPr>
        <w:t xml:space="preserve">   </w:t>
      </w:r>
    </w:p>
    <w:p>
      <w:pPr>
        <w:adjustRightInd/>
        <w:rPr>
          <w:color w:val="auto"/>
        </w:rPr>
      </w:pPr>
      <w:r>
        <w:rPr>
          <w:color w:val="auto"/>
        </w:rPr>
        <w:br w:type="page"/>
      </w:r>
    </w:p>
    <w:p>
      <w:pPr>
        <w:adjustRightInd/>
        <w:ind w:firstLine="420" w:firstLineChars="200"/>
        <w:rPr>
          <w:color w:val="auto"/>
          <w:szCs w:val="21"/>
        </w:rPr>
      </w:pPr>
    </w:p>
    <w:tbl>
      <w:tblPr>
        <w:tblStyle w:val="6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甲方（采购人</w:t>
            </w:r>
            <w:r>
              <w:rPr>
                <w:rFonts w:hint="eastAsia" w:ascii="宋体" w:hAnsi="宋体"/>
                <w:color w:val="auto"/>
                <w:sz w:val="24"/>
              </w:rPr>
              <w:t>、受采购人委托签订合同的单位或</w:t>
            </w:r>
            <w:r>
              <w:rPr>
                <w:rFonts w:hint="eastAsia" w:ascii="Calibri" w:hAnsi="Calibri"/>
                <w:color w:val="auto"/>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法定代表人</w:t>
            </w:r>
          </w:p>
          <w:p>
            <w:pPr>
              <w:snapToGrid w:val="0"/>
              <w:spacing w:line="360" w:lineRule="auto"/>
              <w:ind w:firstLine="115" w:firstLineChars="48"/>
              <w:jc w:val="center"/>
              <w:rPr>
                <w:rFonts w:ascii="Calibri" w:hAnsi="Calibri"/>
                <w:color w:val="auto"/>
                <w:sz w:val="24"/>
              </w:rPr>
            </w:pPr>
            <w:r>
              <w:rPr>
                <w:rFonts w:hint="eastAsia" w:ascii="Calibri" w:hAnsi="Calibri"/>
                <w:color w:val="auto"/>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法定代表人</w:t>
            </w:r>
          </w:p>
          <w:p>
            <w:pPr>
              <w:snapToGrid w:val="0"/>
              <w:spacing w:line="360" w:lineRule="auto"/>
              <w:jc w:val="center"/>
              <w:rPr>
                <w:rFonts w:ascii="Calibri" w:hAnsi="Calibri"/>
                <w:color w:val="auto"/>
                <w:sz w:val="24"/>
              </w:rPr>
            </w:pPr>
            <w:r>
              <w:rPr>
                <w:rFonts w:hint="eastAsia" w:ascii="Calibri" w:hAnsi="Calibri"/>
                <w:color w:val="auto"/>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pPr>
              <w:widowControl/>
              <w:adjustRightInd/>
              <w:spacing w:line="360" w:lineRule="auto"/>
              <w:jc w:val="left"/>
              <w:rPr>
                <w:rFonts w:ascii="Calibri" w:hAnsi="Calibri"/>
                <w:color w:val="auto"/>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360" w:lineRule="auto"/>
              <w:jc w:val="left"/>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color w:val="auto"/>
                <w:spacing w:val="20"/>
                <w:sz w:val="24"/>
              </w:rPr>
            </w:pPr>
            <w:r>
              <w:rPr>
                <w:rFonts w:hint="eastAsia" w:ascii="宋体" w:hAnsi="宋体"/>
                <w:color w:val="auto"/>
                <w:sz w:val="24"/>
              </w:rPr>
              <w:t>注：涉及联合体或其他合同主体的信息应按上表格式加列。</w:t>
            </w:r>
          </w:p>
        </w:tc>
      </w:tr>
    </w:tbl>
    <w:p>
      <w:pPr>
        <w:keepNext/>
        <w:keepLines/>
        <w:snapToGrid w:val="0"/>
        <w:spacing w:before="120" w:beforeLines="50" w:line="360" w:lineRule="auto"/>
        <w:jc w:val="center"/>
        <w:outlineLvl w:val="1"/>
        <w:rPr>
          <w:rFonts w:ascii="黑体" w:hAnsi="黑体" w:eastAsia="黑体"/>
          <w:b/>
          <w:bCs/>
          <w:color w:val="auto"/>
          <w:sz w:val="28"/>
          <w:szCs w:val="28"/>
        </w:rPr>
      </w:pPr>
      <w:r>
        <w:rPr>
          <w:rFonts w:hint="eastAsia" w:ascii="宋体" w:hAnsi="宋体"/>
          <w:b/>
          <w:bCs/>
          <w:color w:val="auto"/>
          <w:szCs w:val="21"/>
          <w:u w:val="single"/>
        </w:rPr>
        <w:br w:type="page"/>
      </w:r>
      <w:bookmarkStart w:id="70" w:name="_Toc27624"/>
      <w:r>
        <w:rPr>
          <w:rFonts w:hint="eastAsia" w:ascii="黑体" w:hAnsi="黑体" w:eastAsia="黑体"/>
          <w:color w:val="auto"/>
          <w:sz w:val="28"/>
          <w:szCs w:val="28"/>
        </w:rPr>
        <w:t>第二节 政府采购合同通用条款</w:t>
      </w:r>
      <w:bookmarkEnd w:id="70"/>
    </w:p>
    <w:p>
      <w:pPr>
        <w:tabs>
          <w:tab w:val="left" w:pos="8820"/>
          <w:tab w:val="left" w:pos="9345"/>
          <w:tab w:val="left" w:pos="9765"/>
        </w:tabs>
        <w:snapToGrid w:val="0"/>
        <w:spacing w:line="360" w:lineRule="auto"/>
        <w:jc w:val="left"/>
        <w:rPr>
          <w:rFonts w:ascii="宋体" w:hAnsi="宋体"/>
          <w:b/>
          <w:bCs/>
          <w:color w:val="auto"/>
          <w:sz w:val="24"/>
        </w:rPr>
      </w:pPr>
      <w:r>
        <w:rPr>
          <w:rFonts w:hint="eastAsia" w:ascii="宋体" w:hAnsi="宋体"/>
          <w:b/>
          <w:color w:val="auto"/>
          <w:sz w:val="24"/>
        </w:rPr>
        <w:t xml:space="preserve">1. </w:t>
      </w:r>
      <w:r>
        <w:rPr>
          <w:rFonts w:hint="eastAsia" w:ascii="宋体" w:hAnsi="宋体"/>
          <w:b/>
          <w:bCs/>
          <w:color w:val="auto"/>
          <w:sz w:val="24"/>
        </w:rPr>
        <w:t>定义</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1.1合同当事人</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（1）采购人（以下称甲方）是指使用财政性资金，通过政府采购方式向供应商购买货物及其相关服务的国家机关、事业单位、团体组织。</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（2）供应商（以下称乙方）是指参加政府采购活动并且中标（成交），向采购人提供合同约定的货物及其相关服务的法人、非法人组织或者自然人。</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（3）其他合同主体是指除采购人和供应商以外，</w:t>
      </w:r>
      <w:r>
        <w:rPr>
          <w:rFonts w:hint="eastAsia" w:ascii="宋体" w:hAnsi="宋体" w:cs="宋体"/>
          <w:bCs/>
          <w:color w:val="auto"/>
          <w:sz w:val="24"/>
        </w:rPr>
        <w:t>依法参与合同缔结或履行，享有权利、承担义务的合同当事人</w:t>
      </w:r>
      <w:r>
        <w:rPr>
          <w:rFonts w:hint="eastAsia" w:ascii="宋体" w:hAnsi="宋体"/>
          <w:color w:val="auto"/>
          <w:sz w:val="24"/>
        </w:rPr>
        <w:t>。</w:t>
      </w:r>
    </w:p>
    <w:p>
      <w:pPr>
        <w:tabs>
          <w:tab w:val="left" w:pos="570"/>
          <w:tab w:val="left" w:pos="9240"/>
          <w:tab w:val="left" w:pos="9555"/>
        </w:tabs>
        <w:snapToGrid w:val="0"/>
        <w:spacing w:line="360" w:lineRule="auto"/>
        <w:ind w:firstLine="480" w:firstLineChars="200"/>
        <w:jc w:val="left"/>
        <w:rPr>
          <w:rFonts w:ascii="宋体" w:hAnsi="宋体"/>
          <w:color w:val="auto"/>
          <w:sz w:val="24"/>
        </w:rPr>
      </w:pPr>
      <w:r>
        <w:rPr>
          <w:rFonts w:hint="eastAsia" w:ascii="宋体" w:hAnsi="宋体"/>
          <w:color w:val="auto"/>
          <w:sz w:val="24"/>
        </w:rPr>
        <w:t>1.2本合同下列术语应解释为：</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（1）“合同”系指</w:t>
      </w:r>
      <w:r>
        <w:rPr>
          <w:rFonts w:hint="eastAsia" w:ascii="宋体" w:hAnsi="宋体" w:cs="宋体"/>
          <w:bCs/>
          <w:color w:val="auto"/>
          <w:sz w:val="24"/>
        </w:rPr>
        <w:t>合同当事人意思表示达成一致的任何协议，包括签署的</w:t>
      </w:r>
      <w:r>
        <w:rPr>
          <w:rFonts w:hint="eastAsia" w:ascii="宋体" w:hAnsi="宋体"/>
          <w:color w:val="auto"/>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rPr>
        <w:t>国家法律、行政法规和规章制度规定或合同约定的作为合同组成部分的其他文件</w:t>
      </w:r>
      <w:r>
        <w:rPr>
          <w:rFonts w:hint="eastAsia" w:ascii="宋体" w:hAnsi="宋体"/>
          <w:color w:val="auto"/>
          <w:sz w:val="24"/>
        </w:rPr>
        <w:t>。</w:t>
      </w:r>
    </w:p>
    <w:p>
      <w:pPr>
        <w:tabs>
          <w:tab w:val="left" w:pos="570"/>
          <w:tab w:val="left" w:pos="9240"/>
          <w:tab w:val="left" w:pos="9555"/>
        </w:tabs>
        <w:snapToGrid w:val="0"/>
        <w:spacing w:line="360" w:lineRule="auto"/>
        <w:ind w:firstLine="480" w:firstLineChars="200"/>
        <w:jc w:val="left"/>
        <w:rPr>
          <w:rFonts w:ascii="宋体" w:hAnsi="宋体"/>
          <w:color w:val="auto"/>
          <w:sz w:val="24"/>
        </w:rPr>
      </w:pPr>
      <w:r>
        <w:rPr>
          <w:rFonts w:hint="eastAsia" w:ascii="宋体" w:hAnsi="宋体"/>
          <w:color w:val="auto"/>
          <w:sz w:val="24"/>
        </w:rPr>
        <w:t>（2）“合同价款”系指根据本合同规定乙方在全面履行合同义务后甲方应支付给乙方的价款。</w:t>
      </w:r>
    </w:p>
    <w:p>
      <w:pPr>
        <w:tabs>
          <w:tab w:val="left" w:pos="570"/>
          <w:tab w:val="left" w:pos="9240"/>
          <w:tab w:val="left" w:pos="9555"/>
        </w:tabs>
        <w:snapToGrid w:val="0"/>
        <w:spacing w:line="360" w:lineRule="auto"/>
        <w:ind w:firstLine="480" w:firstLineChars="200"/>
        <w:jc w:val="left"/>
        <w:rPr>
          <w:rFonts w:ascii="宋体" w:hAnsi="宋体"/>
          <w:color w:val="auto"/>
          <w:sz w:val="24"/>
        </w:rPr>
      </w:pPr>
      <w:r>
        <w:rPr>
          <w:rFonts w:hint="eastAsia" w:ascii="宋体" w:hAnsi="宋体"/>
          <w:color w:val="auto"/>
          <w:sz w:val="24"/>
        </w:rPr>
        <w:t>（3）“货物”系指乙方根据本合同规定须向甲方提供的各种形态和种类的物品，包括原材料、设备、产品（包括软件）及相关的其备品备件、工具、手册及</w:t>
      </w:r>
      <w:r>
        <w:rPr>
          <w:rFonts w:hint="eastAsia" w:ascii="宋体" w:hAnsi="宋体"/>
          <w:color w:val="auto"/>
          <w:sz w:val="24"/>
          <w:lang w:val="en"/>
        </w:rPr>
        <w:t>其他</w:t>
      </w:r>
      <w:r>
        <w:rPr>
          <w:rFonts w:hint="eastAsia" w:ascii="宋体" w:hAnsi="宋体"/>
          <w:color w:val="auto"/>
          <w:sz w:val="24"/>
        </w:rPr>
        <w:t>技术资料和材料等。</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（4）“相关服务”系指根据合同规定，乙方应提供的与货物有关的技术、管理和</w:t>
      </w:r>
      <w:r>
        <w:rPr>
          <w:rFonts w:hint="eastAsia" w:ascii="宋体" w:hAnsi="宋体"/>
          <w:color w:val="auto"/>
          <w:sz w:val="24"/>
          <w:lang w:val="en"/>
        </w:rPr>
        <w:t>其他</w:t>
      </w:r>
      <w:r>
        <w:rPr>
          <w:rFonts w:hint="eastAsia" w:ascii="宋体" w:hAnsi="宋体"/>
          <w:color w:val="auto"/>
          <w:sz w:val="24"/>
        </w:rPr>
        <w:t>服务，包括但不限于：管理和质量保证、运输、保险、检验、现场准备、安装、集成、调试、培训、维修、废弃处置、技术支持等以及合同中规定乙方应承担的</w:t>
      </w:r>
      <w:r>
        <w:rPr>
          <w:rFonts w:hint="eastAsia" w:ascii="宋体" w:hAnsi="宋体"/>
          <w:color w:val="auto"/>
          <w:sz w:val="24"/>
          <w:lang w:val="en"/>
        </w:rPr>
        <w:t>其他</w:t>
      </w:r>
      <w:r>
        <w:rPr>
          <w:rFonts w:hint="eastAsia" w:ascii="宋体" w:hAnsi="宋体"/>
          <w:color w:val="auto"/>
          <w:sz w:val="24"/>
        </w:rPr>
        <w:t>义务。</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snapToGrid w:val="0"/>
        <w:spacing w:line="360" w:lineRule="auto"/>
        <w:ind w:firstLine="480" w:firstLineChars="200"/>
        <w:jc w:val="left"/>
        <w:rPr>
          <w:rFonts w:ascii="宋体" w:hAnsi="宋体"/>
          <w:color w:val="auto"/>
          <w:sz w:val="24"/>
        </w:rPr>
      </w:pPr>
      <w:r>
        <w:rPr>
          <w:rFonts w:hint="eastAsia" w:ascii="宋体" w:hAnsi="宋体"/>
          <w:color w:val="auto"/>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rPr>
        <w:t>政府采购合同专用条款</w:t>
      </w:r>
      <w:r>
        <w:rPr>
          <w:rFonts w:hint="eastAsia" w:ascii="宋体" w:hAnsi="宋体"/>
          <w:color w:val="auto"/>
          <w:sz w:val="24"/>
        </w:rPr>
        <w:t>】。</w:t>
      </w:r>
    </w:p>
    <w:p>
      <w:pPr>
        <w:tabs>
          <w:tab w:val="left" w:pos="570"/>
          <w:tab w:val="left" w:pos="9240"/>
          <w:tab w:val="left" w:pos="9555"/>
        </w:tabs>
        <w:snapToGrid w:val="0"/>
        <w:spacing w:line="360" w:lineRule="auto"/>
        <w:ind w:firstLine="480" w:firstLineChars="200"/>
        <w:jc w:val="left"/>
        <w:rPr>
          <w:rFonts w:ascii="宋体" w:hAnsi="宋体"/>
          <w:color w:val="auto"/>
          <w:sz w:val="24"/>
        </w:rPr>
      </w:pPr>
      <w:r>
        <w:rPr>
          <w:rFonts w:hint="eastAsia" w:ascii="宋体" w:hAnsi="宋体"/>
          <w:color w:val="auto"/>
          <w:sz w:val="24"/>
        </w:rPr>
        <w:t>（7）其他术语解释，见【</w:t>
      </w:r>
      <w:r>
        <w:rPr>
          <w:rFonts w:hint="eastAsia" w:ascii="宋体" w:hAnsi="宋体"/>
          <w:b/>
          <w:bCs/>
          <w:color w:val="auto"/>
          <w:sz w:val="24"/>
        </w:rPr>
        <w:t>政府采购合同专用条款</w:t>
      </w:r>
      <w:r>
        <w:rPr>
          <w:rFonts w:hint="eastAsia" w:ascii="宋体" w:hAnsi="宋体"/>
          <w:color w:val="auto"/>
          <w:sz w:val="24"/>
        </w:rPr>
        <w:t>】。</w:t>
      </w:r>
    </w:p>
    <w:p>
      <w:pPr>
        <w:tabs>
          <w:tab w:val="left" w:pos="8820"/>
          <w:tab w:val="left" w:pos="9345"/>
          <w:tab w:val="left" w:pos="9765"/>
        </w:tabs>
        <w:snapToGrid w:val="0"/>
        <w:spacing w:line="360" w:lineRule="auto"/>
        <w:jc w:val="left"/>
        <w:rPr>
          <w:rFonts w:ascii="宋体" w:hAnsi="宋体"/>
          <w:b/>
          <w:color w:val="auto"/>
          <w:sz w:val="24"/>
        </w:rPr>
      </w:pPr>
      <w:r>
        <w:rPr>
          <w:rFonts w:hint="eastAsia" w:ascii="宋体" w:hAnsi="宋体"/>
          <w:b/>
          <w:color w:val="auto"/>
          <w:sz w:val="24"/>
        </w:rPr>
        <w:t>2. 合同标的及金额</w:t>
      </w:r>
    </w:p>
    <w:p>
      <w:pPr>
        <w:autoSpaceDE w:val="0"/>
        <w:autoSpaceDN w:val="0"/>
        <w:snapToGrid w:val="0"/>
        <w:spacing w:line="360" w:lineRule="auto"/>
        <w:ind w:firstLine="480" w:firstLineChars="200"/>
        <w:jc w:val="left"/>
        <w:rPr>
          <w:rFonts w:ascii="宋体" w:hAnsi="宋体"/>
          <w:b/>
          <w:bCs/>
          <w:i/>
          <w:iCs/>
          <w:color w:val="auto"/>
          <w:sz w:val="24"/>
        </w:rPr>
      </w:pPr>
      <w:r>
        <w:rPr>
          <w:rFonts w:hint="eastAsia" w:ascii="宋体" w:hAnsi="宋体"/>
          <w:color w:val="auto"/>
          <w:sz w:val="24"/>
        </w:rPr>
        <w:t>2.1 合同标的及金额应与中标（成交）结果一致。乙方为履行本合同而发生的所有费用均应包含在合同价款中，甲方不再另行支付</w:t>
      </w:r>
      <w:r>
        <w:rPr>
          <w:rFonts w:hint="eastAsia" w:ascii="宋体" w:hAnsi="宋体"/>
          <w:color w:val="auto"/>
          <w:sz w:val="24"/>
          <w:lang w:val="en"/>
        </w:rPr>
        <w:t>其他</w:t>
      </w:r>
      <w:r>
        <w:rPr>
          <w:rFonts w:hint="eastAsia" w:ascii="宋体" w:hAnsi="宋体"/>
          <w:color w:val="auto"/>
          <w:sz w:val="24"/>
        </w:rPr>
        <w:t>任何费用。</w:t>
      </w:r>
    </w:p>
    <w:p>
      <w:pPr>
        <w:snapToGrid w:val="0"/>
        <w:spacing w:line="360" w:lineRule="auto"/>
        <w:jc w:val="left"/>
        <w:rPr>
          <w:rFonts w:ascii="宋体" w:hAnsi="宋体"/>
          <w:b/>
          <w:color w:val="auto"/>
          <w:sz w:val="24"/>
        </w:rPr>
      </w:pPr>
      <w:r>
        <w:rPr>
          <w:rFonts w:hint="eastAsia" w:ascii="宋体" w:hAnsi="宋体"/>
          <w:b/>
          <w:color w:val="auto"/>
          <w:sz w:val="24"/>
        </w:rPr>
        <w:t>3. 履行合同的时间、地点和方式</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 xml:space="preserve">3.1 </w:t>
      </w:r>
      <w:r>
        <w:rPr>
          <w:rFonts w:hint="eastAsia" w:ascii="宋体" w:hAnsi="宋体" w:cs="宋体"/>
          <w:color w:val="auto"/>
          <w:sz w:val="24"/>
        </w:rPr>
        <w:t>乙方应当在约定的时间、地点，按照约定方式履行合同。</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4. 甲方的权利和义务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4.2 甲方有权要求乙方按时提交各阶段有关安排计划，并有权定期核对乙方提供货物数量、规格、质量等内容。甲方有权督促乙方工作并要求乙方更换不符合要求的货物。</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4.3 甲方有权要求乙方对缺陷部分予以修复，并按合同约定享有货物保修及其他合同约定的权利。</w:t>
      </w:r>
    </w:p>
    <w:p>
      <w:pPr>
        <w:adjustRightInd/>
        <w:snapToGrid w:val="0"/>
        <w:spacing w:line="360" w:lineRule="auto"/>
        <w:ind w:firstLine="480" w:firstLineChars="200"/>
        <w:rPr>
          <w:rFonts w:eastAsia="华文楷体"/>
          <w:color w:val="auto"/>
          <w:sz w:val="24"/>
        </w:rPr>
      </w:pPr>
      <w:r>
        <w:rPr>
          <w:rFonts w:hint="eastAsia" w:ascii="宋体" w:hAnsi="宋体"/>
          <w:color w:val="auto"/>
          <w:sz w:val="24"/>
        </w:rPr>
        <w:t>4.4 甲方应当按照合同约定及时对交付的货物进行验收，</w:t>
      </w:r>
      <w:r>
        <w:rPr>
          <w:rFonts w:hint="eastAsia" w:ascii="宋体" w:hAnsi="宋体" w:cs="宋体"/>
          <w:color w:val="auto"/>
          <w:sz w:val="24"/>
        </w:rPr>
        <w:t>未</w:t>
      </w:r>
      <w:r>
        <w:rPr>
          <w:rFonts w:hint="eastAsia" w:ascii="宋体" w:hAnsi="宋体"/>
          <w:color w:val="auto"/>
          <w:sz w:val="24"/>
        </w:rPr>
        <w:t>在</w:t>
      </w:r>
      <w:r>
        <w:rPr>
          <w:rFonts w:hint="eastAsia" w:ascii="宋体" w:hAnsi="宋体" w:cs="宋体"/>
          <w:b/>
          <w:bCs/>
          <w:color w:val="auto"/>
          <w:sz w:val="24"/>
        </w:rPr>
        <w:t>【政府采购合同专用条款】</w:t>
      </w:r>
      <w:r>
        <w:rPr>
          <w:rFonts w:hint="eastAsia" w:ascii="宋体" w:hAnsi="宋体" w:cs="宋体"/>
          <w:color w:val="auto"/>
          <w:sz w:val="24"/>
        </w:rPr>
        <w:t>约定的期限内对乙方履约提出任何异议或者向乙方作出任何说明的，</w:t>
      </w:r>
      <w:r>
        <w:rPr>
          <w:rFonts w:hint="eastAsia" w:ascii="宋体" w:hAnsi="宋体"/>
          <w:color w:val="auto"/>
          <w:sz w:val="24"/>
        </w:rPr>
        <w:t>视为验收通过。</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4.5 甲方应当根据合同约定及时向乙方支付合同价款，不得以内部人员变更、履行内部付款流程等为由，拒绝或迟延支付。</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4.6 国家法律法规规定及</w:t>
      </w:r>
      <w:r>
        <w:rPr>
          <w:rFonts w:hint="eastAsia" w:ascii="宋体" w:hAnsi="宋体" w:cs="宋体"/>
          <w:b/>
          <w:bCs/>
          <w:color w:val="auto"/>
          <w:sz w:val="24"/>
        </w:rPr>
        <w:t>【政府采购合同专用条款】</w:t>
      </w:r>
      <w:r>
        <w:rPr>
          <w:rFonts w:hint="eastAsia" w:ascii="宋体" w:hAnsi="宋体"/>
          <w:color w:val="auto"/>
          <w:sz w:val="24"/>
        </w:rPr>
        <w:t>约定应由甲方承担的其他义务和责任。</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5. 乙方的权利和义务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5.1 签署合同后，乙方应确定项目负责人（或项目联系人），负责与本合同有关的事务。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adjustRightInd/>
        <w:spacing w:line="360" w:lineRule="auto"/>
        <w:ind w:firstLine="422" w:firstLineChars="176"/>
        <w:rPr>
          <w:rFonts w:ascii="宋体" w:hAnsi="宋体" w:cs="宋体"/>
          <w:color w:val="auto"/>
          <w:sz w:val="24"/>
        </w:rPr>
      </w:pPr>
      <w:r>
        <w:rPr>
          <w:rFonts w:hint="eastAsia" w:ascii="宋体" w:hAnsi="宋体"/>
          <w:color w:val="auto"/>
          <w:sz w:val="24"/>
        </w:rPr>
        <w:t>5.3乙方有权</w:t>
      </w:r>
      <w:r>
        <w:rPr>
          <w:rFonts w:hint="eastAsia" w:ascii="宋体" w:hAnsi="宋体" w:cs="宋体"/>
          <w:color w:val="auto"/>
          <w:sz w:val="24"/>
        </w:rPr>
        <w:t>根据合同约定向甲方收取合同价款。</w:t>
      </w:r>
    </w:p>
    <w:p>
      <w:pPr>
        <w:adjustRightInd/>
        <w:spacing w:line="360" w:lineRule="auto"/>
        <w:ind w:firstLine="422" w:firstLineChars="176"/>
        <w:rPr>
          <w:rFonts w:ascii="宋体" w:hAnsi="宋体" w:cs="宋体"/>
          <w:color w:val="auto"/>
          <w:sz w:val="24"/>
        </w:rPr>
      </w:pPr>
      <w:r>
        <w:rPr>
          <w:rFonts w:hint="eastAsia" w:ascii="宋体" w:hAnsi="宋体"/>
          <w:color w:val="auto"/>
          <w:sz w:val="24"/>
        </w:rPr>
        <w:t>5.4</w:t>
      </w:r>
      <w:r>
        <w:rPr>
          <w:rFonts w:hint="eastAsia" w:ascii="宋体" w:hAnsi="宋体" w:cs="宋体"/>
          <w:color w:val="auto"/>
          <w:sz w:val="24"/>
        </w:rPr>
        <w:t>国家法律法规规定</w:t>
      </w:r>
      <w:r>
        <w:rPr>
          <w:rFonts w:hint="eastAsia" w:ascii="宋体" w:hAnsi="宋体"/>
          <w:color w:val="auto"/>
          <w:sz w:val="24"/>
        </w:rPr>
        <w:t>及</w:t>
      </w:r>
      <w:r>
        <w:rPr>
          <w:rFonts w:hint="eastAsia" w:ascii="宋体" w:hAnsi="宋体" w:cs="宋体"/>
          <w:b/>
          <w:bCs/>
          <w:color w:val="auto"/>
          <w:sz w:val="24"/>
        </w:rPr>
        <w:t>【政府采购合同专用条款】</w:t>
      </w:r>
      <w:r>
        <w:rPr>
          <w:rFonts w:hint="eastAsia" w:ascii="宋体" w:hAnsi="宋体" w:cs="宋体"/>
          <w:color w:val="auto"/>
          <w:sz w:val="24"/>
        </w:rPr>
        <w:t>约定应由乙方承担的其他义务和责任。</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6.合同履行</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6.1 甲乙双方应当按照</w:t>
      </w:r>
      <w:r>
        <w:rPr>
          <w:rFonts w:hint="eastAsia" w:ascii="宋体" w:hAnsi="宋体" w:cs="宋体"/>
          <w:b/>
          <w:bCs/>
          <w:color w:val="auto"/>
          <w:sz w:val="24"/>
        </w:rPr>
        <w:t>【政府采购合同专用条款】</w:t>
      </w:r>
      <w:r>
        <w:rPr>
          <w:rFonts w:hint="eastAsia" w:ascii="宋体" w:hAnsi="宋体"/>
          <w:color w:val="auto"/>
          <w:sz w:val="24"/>
        </w:rPr>
        <w:t>约定顺序履行合同义务；如果没有先后顺序的，应当同时履行。</w:t>
      </w:r>
    </w:p>
    <w:p>
      <w:pPr>
        <w:autoSpaceDE w:val="0"/>
        <w:autoSpaceDN w:val="0"/>
        <w:snapToGrid w:val="0"/>
        <w:spacing w:line="360" w:lineRule="auto"/>
        <w:ind w:firstLine="480" w:firstLineChars="200"/>
        <w:jc w:val="left"/>
        <w:rPr>
          <w:color w:val="auto"/>
          <w:sz w:val="24"/>
        </w:rPr>
      </w:pPr>
      <w:r>
        <w:rPr>
          <w:rFonts w:hint="eastAsia" w:ascii="宋体" w:hAnsi="宋体"/>
          <w:color w:val="auto"/>
          <w:sz w:val="24"/>
        </w:rPr>
        <w:t>6.2 甲乙双方按照合同约定顺序履行合同义务时，应当先履行一方未履行的，后履行一方有权拒绝其履行请求。先履行一方履行不符合约定的，后履行一方有权拒绝其相应的履行请求。</w:t>
      </w:r>
    </w:p>
    <w:p>
      <w:pPr>
        <w:snapToGrid w:val="0"/>
        <w:spacing w:line="360" w:lineRule="auto"/>
        <w:jc w:val="left"/>
        <w:rPr>
          <w:rFonts w:ascii="宋体" w:hAnsi="宋体"/>
          <w:b/>
          <w:bCs/>
          <w:color w:val="auto"/>
          <w:sz w:val="24"/>
        </w:rPr>
      </w:pPr>
      <w:r>
        <w:rPr>
          <w:rFonts w:hint="eastAsia" w:ascii="宋体" w:hAnsi="宋体"/>
          <w:b/>
          <w:bCs/>
          <w:color w:val="auto"/>
          <w:sz w:val="24"/>
        </w:rPr>
        <w:t>7. 货物包装、运输、保险和交付要求</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7.1 本合同</w:t>
      </w:r>
      <w:r>
        <w:rPr>
          <w:rFonts w:hint="eastAsia" w:ascii="宋体" w:hAnsi="宋体"/>
          <w:bCs/>
          <w:color w:val="auto"/>
          <w:sz w:val="24"/>
        </w:rPr>
        <w:t>涉及商品包装、快递包装的，</w:t>
      </w:r>
      <w:r>
        <w:rPr>
          <w:rFonts w:hint="eastAsia" w:ascii="宋体" w:hAnsi="宋体"/>
          <w:color w:val="auto"/>
          <w:sz w:val="24"/>
        </w:rPr>
        <w:t>除</w:t>
      </w:r>
      <w:r>
        <w:rPr>
          <w:rFonts w:hint="eastAsia" w:ascii="宋体" w:hAnsi="宋体"/>
          <w:b/>
          <w:color w:val="auto"/>
          <w:sz w:val="24"/>
        </w:rPr>
        <w:t>【政府采购合同专用条款】</w:t>
      </w:r>
      <w:r>
        <w:rPr>
          <w:rFonts w:hint="eastAsia" w:ascii="宋体" w:hAnsi="宋体"/>
          <w:bCs/>
          <w:color w:val="auto"/>
          <w:sz w:val="24"/>
        </w:rPr>
        <w:t>另有约定外，</w:t>
      </w:r>
      <w:r>
        <w:rPr>
          <w:rFonts w:hint="eastAsia" w:ascii="宋体" w:hAnsi="宋体"/>
          <w:color w:val="auto"/>
          <w:sz w:val="24"/>
        </w:rPr>
        <w:t>包装应适应远距离运输、防潮、防震、防锈和防野蛮装卸等要求，确保货物安全无损地运抵</w:t>
      </w:r>
      <w:r>
        <w:rPr>
          <w:rFonts w:hint="eastAsia" w:ascii="宋体" w:hAnsi="宋体"/>
          <w:b/>
          <w:color w:val="auto"/>
          <w:sz w:val="24"/>
        </w:rPr>
        <w:t>【政府采购合同专用条款】</w:t>
      </w:r>
      <w:r>
        <w:rPr>
          <w:rFonts w:hint="eastAsia" w:ascii="宋体" w:hAnsi="宋体"/>
          <w:bCs/>
          <w:color w:val="auto"/>
          <w:sz w:val="24"/>
        </w:rPr>
        <w:t>约定的</w:t>
      </w:r>
      <w:r>
        <w:rPr>
          <w:rFonts w:hint="eastAsia" w:ascii="宋体" w:hAnsi="宋体"/>
          <w:color w:val="auto"/>
          <w:sz w:val="24"/>
        </w:rPr>
        <w:t>指定现场。</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7.2 除</w:t>
      </w:r>
      <w:r>
        <w:rPr>
          <w:rFonts w:hint="eastAsia" w:ascii="宋体" w:hAnsi="宋体"/>
          <w:b/>
          <w:color w:val="auto"/>
          <w:sz w:val="24"/>
        </w:rPr>
        <w:t>【政府采购合同专用条款】</w:t>
      </w:r>
      <w:r>
        <w:rPr>
          <w:rFonts w:hint="eastAsia" w:ascii="宋体" w:hAnsi="宋体"/>
          <w:bCs/>
          <w:color w:val="auto"/>
          <w:sz w:val="24"/>
        </w:rPr>
        <w:t>另有约定外，</w:t>
      </w:r>
      <w:r>
        <w:rPr>
          <w:rFonts w:hint="eastAsia" w:ascii="宋体" w:hAnsi="宋体"/>
          <w:color w:val="auto"/>
          <w:sz w:val="24"/>
        </w:rPr>
        <w:t>乙方负责办理将货物运抵本合同规定的交货地点，并装卸、交付至甲方的一切运输事项，相关费用应包含在合同价款中。</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7.3 货物保险要求按</w:t>
      </w:r>
      <w:r>
        <w:rPr>
          <w:rFonts w:hint="eastAsia" w:ascii="宋体" w:hAnsi="宋体"/>
          <w:b/>
          <w:color w:val="auto"/>
          <w:sz w:val="24"/>
        </w:rPr>
        <w:t>【政府采购合同专用条款】</w:t>
      </w:r>
      <w:r>
        <w:rPr>
          <w:rFonts w:hint="eastAsia" w:ascii="宋体" w:hAnsi="宋体"/>
          <w:bCs/>
          <w:color w:val="auto"/>
          <w:sz w:val="24"/>
        </w:rPr>
        <w:t>规定执行</w:t>
      </w:r>
      <w:r>
        <w:rPr>
          <w:rFonts w:hint="eastAsia" w:ascii="宋体" w:hAnsi="宋体"/>
          <w:color w:val="auto"/>
          <w:sz w:val="24"/>
        </w:rPr>
        <w:t>。</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 xml:space="preserve">7.5 </w:t>
      </w:r>
      <w:r>
        <w:rPr>
          <w:rFonts w:hint="eastAsia" w:ascii="宋体" w:hAnsi="宋体" w:cs="宋体"/>
          <w:color w:val="auto"/>
          <w:sz w:val="24"/>
        </w:rPr>
        <w:t>乙方在运输到达之前应提前通知甲方，并提示货物运输装卸的注意事项，甲方配合乙方做好货物的接收工作。</w:t>
      </w:r>
    </w:p>
    <w:p>
      <w:pPr>
        <w:widowControl/>
        <w:autoSpaceDE w:val="0"/>
        <w:autoSpaceDN w:val="0"/>
        <w:spacing w:line="360" w:lineRule="auto"/>
        <w:ind w:firstLine="480" w:firstLineChars="200"/>
        <w:jc w:val="left"/>
        <w:rPr>
          <w:rFonts w:ascii="华文楷体" w:hAnsi="华文楷体" w:eastAsia="华文楷体" w:cs="华文楷体"/>
          <w:color w:val="auto"/>
          <w:kern w:val="0"/>
          <w:sz w:val="24"/>
        </w:rPr>
      </w:pPr>
      <w:r>
        <w:rPr>
          <w:rFonts w:hint="eastAsia" w:ascii="宋体" w:hAnsi="宋体"/>
          <w:color w:val="auto"/>
          <w:sz w:val="24"/>
        </w:rPr>
        <w:t>7.6 如因包装、运输问题导致货物损毁、丢失或者品质下降，甲方有权要求降价、换货、拒收部分或整批货物，由此产生的费用和损失，均由乙方承担。</w:t>
      </w:r>
    </w:p>
    <w:p>
      <w:pPr>
        <w:snapToGrid w:val="0"/>
        <w:spacing w:line="360" w:lineRule="auto"/>
        <w:jc w:val="left"/>
        <w:rPr>
          <w:rFonts w:ascii="宋体" w:hAnsi="宋体"/>
          <w:b/>
          <w:color w:val="auto"/>
          <w:sz w:val="24"/>
        </w:rPr>
      </w:pPr>
      <w:r>
        <w:rPr>
          <w:rFonts w:hint="eastAsia" w:ascii="宋体" w:hAnsi="宋体"/>
          <w:b/>
          <w:color w:val="auto"/>
          <w:sz w:val="24"/>
        </w:rPr>
        <w:t>8. 质量标准和保证</w:t>
      </w:r>
    </w:p>
    <w:p>
      <w:pPr>
        <w:snapToGrid w:val="0"/>
        <w:spacing w:line="360" w:lineRule="auto"/>
        <w:ind w:firstLine="480" w:firstLineChars="200"/>
        <w:jc w:val="left"/>
        <w:rPr>
          <w:rFonts w:ascii="宋体" w:hAnsi="宋体" w:cs="Courier New"/>
          <w:b/>
          <w:color w:val="auto"/>
          <w:sz w:val="24"/>
        </w:rPr>
      </w:pPr>
      <w:r>
        <w:rPr>
          <w:rFonts w:hint="eastAsia" w:ascii="宋体" w:hAnsi="宋体" w:cs="Courier New"/>
          <w:color w:val="auto"/>
          <w:sz w:val="24"/>
        </w:rPr>
        <w:t>8.1 质量标准</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（1）本合同下提供的货物应符合合同</w:t>
      </w:r>
      <w:r>
        <w:rPr>
          <w:rFonts w:hint="eastAsia" w:ascii="宋体" w:hAnsi="宋体" w:cs="宋体"/>
          <w:color w:val="auto"/>
          <w:sz w:val="24"/>
        </w:rPr>
        <w:t>约定的品牌、规格型号、技术性能、配置、质量、数量等要求。</w:t>
      </w:r>
      <w:r>
        <w:rPr>
          <w:rFonts w:hint="eastAsia" w:ascii="宋体" w:hAnsi="宋体"/>
          <w:color w:val="auto"/>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snapToGrid w:val="0"/>
        <w:spacing w:line="360" w:lineRule="auto"/>
        <w:ind w:firstLine="480" w:firstLineChars="200"/>
        <w:jc w:val="left"/>
        <w:rPr>
          <w:rFonts w:ascii="宋体" w:hAnsi="宋体" w:cs="Courier New"/>
          <w:color w:val="auto"/>
          <w:sz w:val="24"/>
        </w:rPr>
      </w:pPr>
      <w:r>
        <w:rPr>
          <w:rFonts w:hint="eastAsia" w:ascii="宋体" w:hAnsi="宋体" w:cs="Courier New"/>
          <w:color w:val="auto"/>
          <w:sz w:val="24"/>
        </w:rPr>
        <w:t>（2）采用中华人民共和国法定计量单位。</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（3）乙方所提供的货物应符合国家有关安全、环保、卫生的规定。</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（4）乙方应向甲方提交所提供货物的技术文件，包括相应的中文技术文件，如：产品目录、图纸、操作手册、使用说明、维护手册或服务指南等。上述文件应包装好随货物一同发运。</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8.2 保证</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（1）乙方应保证提供的货物完全符合合同规定的质量、规格和性能要求。乙方应保证货物在正确安装、正常使用和保养条件下，</w:t>
      </w:r>
      <w:r>
        <w:rPr>
          <w:rFonts w:hint="eastAsia" w:ascii="宋体" w:hAnsi="宋体" w:cs="宋体"/>
          <w:color w:val="auto"/>
          <w:sz w:val="24"/>
        </w:rPr>
        <w:t>在其使用寿命期内具备合同约定的性能</w:t>
      </w:r>
      <w:r>
        <w:rPr>
          <w:rFonts w:hint="eastAsia" w:ascii="宋体" w:hAnsi="宋体"/>
          <w:color w:val="auto"/>
          <w:sz w:val="24"/>
        </w:rPr>
        <w:t>。存在质量保证期的，货物最终交付验收合格后在</w:t>
      </w:r>
      <w:r>
        <w:rPr>
          <w:rFonts w:hint="eastAsia" w:ascii="宋体" w:hAnsi="宋体"/>
          <w:b/>
          <w:color w:val="auto"/>
          <w:sz w:val="24"/>
        </w:rPr>
        <w:t>【政府采购合同专用条款】</w:t>
      </w:r>
      <w:r>
        <w:rPr>
          <w:rFonts w:hint="eastAsia" w:ascii="宋体" w:hAnsi="宋体"/>
          <w:color w:val="auto"/>
          <w:sz w:val="24"/>
        </w:rPr>
        <w:t>规定或乙方书面承诺（两者以较长的为准）的质量保证期内，本保证保持有效。</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（2）在质量保证期内所发现的缺陷，甲方应尽快以书面形式通知乙方。</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（3）乙方收到通知后，应在</w:t>
      </w:r>
      <w:r>
        <w:rPr>
          <w:rFonts w:hint="eastAsia" w:ascii="宋体" w:hAnsi="宋体"/>
          <w:b/>
          <w:color w:val="auto"/>
          <w:sz w:val="24"/>
        </w:rPr>
        <w:t>【政府采购合同专用条款】</w:t>
      </w:r>
      <w:r>
        <w:rPr>
          <w:rFonts w:hint="eastAsia" w:ascii="宋体" w:hAnsi="宋体"/>
          <w:color w:val="auto"/>
          <w:sz w:val="24"/>
        </w:rPr>
        <w:t>规定的响应时间内以合理的速度免费维修或更换有缺陷的货物或部件。</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（4）在质量保证期内，如果货物的质量或规格与合同不符，或证实货物是有缺陷的，包括潜在的缺陷或使用不符合要求的材料等，甲方可以根据本合同第15.1条规定以书面形式追究乙方的违约责任。</w:t>
      </w:r>
    </w:p>
    <w:p>
      <w:pPr>
        <w:snapToGrid w:val="0"/>
        <w:spacing w:line="360" w:lineRule="auto"/>
        <w:ind w:firstLine="480" w:firstLineChars="200"/>
        <w:jc w:val="left"/>
        <w:rPr>
          <w:color w:val="auto"/>
          <w:sz w:val="24"/>
        </w:rPr>
      </w:pPr>
      <w:r>
        <w:rPr>
          <w:rFonts w:hint="eastAsia" w:ascii="宋体" w:hAnsi="宋体"/>
          <w:color w:val="auto"/>
          <w:sz w:val="24"/>
        </w:rPr>
        <w:t>（5）乙方在约定的时间内未能弥补缺陷，甲方可采取必要的补救措施，但其风险和费用将由乙方承担，甲方根据合同约定对乙方行使的其他权利不受影响。</w:t>
      </w:r>
    </w:p>
    <w:p>
      <w:pPr>
        <w:snapToGrid w:val="0"/>
        <w:spacing w:line="360" w:lineRule="auto"/>
        <w:jc w:val="left"/>
        <w:rPr>
          <w:rFonts w:ascii="宋体" w:hAnsi="宋体"/>
          <w:b/>
          <w:bCs/>
          <w:color w:val="auto"/>
          <w:sz w:val="24"/>
        </w:rPr>
      </w:pPr>
      <w:r>
        <w:rPr>
          <w:rFonts w:hint="eastAsia" w:ascii="宋体" w:hAnsi="宋体"/>
          <w:b/>
          <w:bCs/>
          <w:color w:val="auto"/>
          <w:sz w:val="24"/>
        </w:rPr>
        <w:t>9. 权利瑕疵担保</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9.1 乙方保证对其出售的货物享有合法的权利。</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 xml:space="preserve">9.2 </w:t>
      </w:r>
      <w:r>
        <w:rPr>
          <w:rFonts w:hint="eastAsia" w:ascii="宋体" w:hAnsi="宋体" w:cs="宋体"/>
          <w:color w:val="auto"/>
          <w:sz w:val="24"/>
        </w:rPr>
        <w:t>乙方保证在交付的货物上不存在抵押权等担保物权。</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9.3 如甲方使用上述货物构成对第三人侵权的，则由乙方承担全部责任。</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10. 知识产权保护</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10.1 乙方对其所销售的货物应当享有知识产权或经权利人合法授权，保证没有侵犯任何第三人的知识产权等权利。</w:t>
      </w:r>
      <w:bookmarkStart w:id="71" w:name="_Hlk163047038"/>
      <w:r>
        <w:rPr>
          <w:rFonts w:hint="eastAsia" w:ascii="宋体" w:hAnsi="宋体" w:cs="宋体"/>
          <w:color w:val="auto"/>
          <w:sz w:val="24"/>
        </w:rPr>
        <w:t>因违反前述约定对第三人构成侵权的，应当由乙方向第三人承担法律责任；甲方依法向第三人赔偿后，有权向乙方追偿。甲方有其他损失的，乙方应当赔偿</w:t>
      </w:r>
      <w:bookmarkEnd w:id="71"/>
      <w:r>
        <w:rPr>
          <w:rFonts w:hint="eastAsia" w:ascii="宋体" w:hAnsi="宋体"/>
          <w:color w:val="auto"/>
          <w:sz w:val="24"/>
        </w:rPr>
        <w:t>。</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11. 保密义务</w:t>
      </w:r>
    </w:p>
    <w:p>
      <w:pPr>
        <w:autoSpaceDE w:val="0"/>
        <w:autoSpaceDN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rPr>
        <w:t>【政府采购合同专用条款】</w:t>
      </w:r>
      <w:r>
        <w:rPr>
          <w:rFonts w:hint="eastAsia" w:ascii="宋体" w:hAnsi="宋体" w:cs="宋体"/>
          <w:color w:val="auto"/>
          <w:sz w:val="24"/>
        </w:rPr>
        <w:t>中约定。</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12. 合同价款支付</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12.1 合同价款支付按照国库集中支付制度及财政管理相关规定执行。</w:t>
      </w:r>
    </w:p>
    <w:p>
      <w:pPr>
        <w:keepNext/>
        <w:keepLines/>
        <w:adjustRightInd/>
        <w:spacing w:line="360" w:lineRule="auto"/>
        <w:ind w:firstLine="480" w:firstLineChars="200"/>
        <w:rPr>
          <w:rFonts w:ascii="Arial" w:hAnsi="Arial"/>
          <w:b/>
          <w:bCs/>
          <w:color w:val="auto"/>
          <w:sz w:val="24"/>
        </w:rPr>
      </w:pPr>
      <w:r>
        <w:rPr>
          <w:rFonts w:hint="eastAsia" w:ascii="宋体" w:hAnsi="宋体"/>
          <w:color w:val="auto"/>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rPr>
        <w:t>政府采购合同专用条款</w:t>
      </w:r>
      <w:r>
        <w:rPr>
          <w:rFonts w:hint="eastAsia" w:ascii="宋体" w:hAnsi="宋体"/>
          <w:color w:val="auto"/>
          <w:sz w:val="24"/>
        </w:rPr>
        <w:t>】中约定。</w:t>
      </w:r>
    </w:p>
    <w:p>
      <w:pPr>
        <w:adjustRightInd/>
        <w:spacing w:line="360" w:lineRule="auto"/>
        <w:rPr>
          <w:rFonts w:ascii="宋体" w:hAnsi="宋体"/>
          <w:b/>
          <w:bCs/>
          <w:color w:val="auto"/>
          <w:sz w:val="24"/>
        </w:rPr>
      </w:pPr>
      <w:r>
        <w:rPr>
          <w:rFonts w:hint="eastAsia" w:ascii="宋体" w:hAnsi="宋体"/>
          <w:b/>
          <w:bCs/>
          <w:color w:val="auto"/>
          <w:sz w:val="24"/>
        </w:rPr>
        <w:t>13. 履约保证金</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 xml:space="preserve">13.1 </w:t>
      </w:r>
      <w:r>
        <w:rPr>
          <w:rFonts w:hint="eastAsia" w:ascii="宋体" w:hAnsi="宋体" w:cs="宋体"/>
          <w:color w:val="auto"/>
          <w:sz w:val="24"/>
        </w:rPr>
        <w:t>乙方应当以支票、汇票、本票或者金融机构、担保机构出具的保函等非现金形式提交。</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13.2 如果乙方出现</w:t>
      </w:r>
      <w:r>
        <w:rPr>
          <w:rFonts w:hint="eastAsia" w:ascii="宋体" w:hAnsi="宋体" w:cs="宋体"/>
          <w:b/>
          <w:bCs/>
          <w:color w:val="auto"/>
          <w:sz w:val="24"/>
        </w:rPr>
        <w:t>【政府采购合同专用条款】</w:t>
      </w:r>
      <w:r>
        <w:rPr>
          <w:rFonts w:hint="eastAsia" w:ascii="宋体" w:hAnsi="宋体" w:cs="宋体"/>
          <w:color w:val="auto"/>
          <w:sz w:val="24"/>
        </w:rPr>
        <w:t>约定情形的</w:t>
      </w:r>
      <w:r>
        <w:rPr>
          <w:rFonts w:hint="eastAsia" w:ascii="宋体" w:hAnsi="宋体"/>
          <w:color w:val="auto"/>
          <w:sz w:val="24"/>
        </w:rPr>
        <w:t>，履约保证金不予退还；如果乙方未能按合同约定全面履行义务，甲方有权从履约保证金中取得补偿或赔偿，且不影响甲方要求乙方承担合同约定的超过履约保证金的违约责任的权利。</w:t>
      </w:r>
    </w:p>
    <w:p>
      <w:pPr>
        <w:adjustRightInd/>
        <w:spacing w:line="360" w:lineRule="auto"/>
        <w:ind w:firstLine="420"/>
        <w:rPr>
          <w:color w:val="auto"/>
          <w:sz w:val="24"/>
        </w:rPr>
      </w:pPr>
      <w:r>
        <w:rPr>
          <w:rFonts w:hint="eastAsia" w:ascii="宋体" w:hAnsi="宋体"/>
          <w:color w:val="auto"/>
          <w:sz w:val="24"/>
        </w:rPr>
        <w:t>13.3 甲方在项目通过验收后按照</w:t>
      </w:r>
      <w:r>
        <w:rPr>
          <w:rFonts w:hint="eastAsia" w:ascii="宋体" w:hAnsi="宋体"/>
          <w:b/>
          <w:color w:val="auto"/>
          <w:sz w:val="24"/>
        </w:rPr>
        <w:t>【政府采购合同专用条款】</w:t>
      </w:r>
      <w:r>
        <w:rPr>
          <w:rFonts w:hint="eastAsia" w:ascii="宋体" w:hAnsi="宋体"/>
          <w:color w:val="auto"/>
          <w:sz w:val="24"/>
        </w:rPr>
        <w:t>规定的时间内将履约保证金退还乙方；逾期退还的，乙方可要求甲方支付违约金，违约金按照</w:t>
      </w:r>
      <w:r>
        <w:rPr>
          <w:rFonts w:hint="eastAsia" w:ascii="宋体" w:hAnsi="宋体"/>
          <w:b/>
          <w:color w:val="auto"/>
          <w:sz w:val="24"/>
        </w:rPr>
        <w:t>【政府采购合同专用条款】</w:t>
      </w:r>
      <w:r>
        <w:rPr>
          <w:rFonts w:hint="eastAsia" w:ascii="宋体" w:hAnsi="宋体"/>
          <w:color w:val="auto"/>
          <w:sz w:val="24"/>
        </w:rPr>
        <w:t>规定支付。</w:t>
      </w:r>
    </w:p>
    <w:p>
      <w:pPr>
        <w:autoSpaceDE w:val="0"/>
        <w:autoSpaceDN w:val="0"/>
        <w:snapToGrid w:val="0"/>
        <w:spacing w:line="360" w:lineRule="auto"/>
        <w:jc w:val="left"/>
        <w:rPr>
          <w:rFonts w:ascii="宋体" w:hAnsi="宋体"/>
          <w:b/>
          <w:color w:val="auto"/>
          <w:sz w:val="24"/>
        </w:rPr>
      </w:pPr>
      <w:r>
        <w:rPr>
          <w:rFonts w:hint="eastAsia" w:ascii="宋体" w:hAnsi="宋体"/>
          <w:b/>
          <w:bCs/>
          <w:color w:val="auto"/>
          <w:sz w:val="24"/>
        </w:rPr>
        <w:t xml:space="preserve">14. </w:t>
      </w:r>
      <w:r>
        <w:rPr>
          <w:rFonts w:hint="eastAsia"/>
          <w:b/>
          <w:color w:val="auto"/>
          <w:sz w:val="24"/>
        </w:rPr>
        <w:t>售后</w:t>
      </w:r>
      <w:r>
        <w:rPr>
          <w:rFonts w:hint="eastAsia" w:ascii="宋体" w:hAnsi="宋体"/>
          <w:b/>
          <w:color w:val="auto"/>
          <w:sz w:val="24"/>
        </w:rPr>
        <w:t>服务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14.1 除项目不涉及或采购活动中明确约定无须承担外，乙方还应提供下列服务：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（1）货物的现场移动、安装、调试、启动监督及技术支持；</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（2）提供货物组装和维修所需的专用工具和辅助材料；</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（3）在</w:t>
      </w:r>
      <w:r>
        <w:rPr>
          <w:rFonts w:hint="eastAsia" w:ascii="宋体" w:hAnsi="宋体" w:cs="宋体"/>
          <w:b/>
          <w:bCs/>
          <w:color w:val="auto"/>
          <w:sz w:val="24"/>
        </w:rPr>
        <w:t>【政府采购合同专用条款】</w:t>
      </w:r>
      <w:r>
        <w:rPr>
          <w:rFonts w:hint="eastAsia" w:ascii="宋体" w:hAnsi="宋体"/>
          <w:color w:val="auto"/>
          <w:sz w:val="24"/>
        </w:rPr>
        <w:t>约定的期限内对所有的货物实施运行监督、维修，但前提条件是该服务并不能免除乙方在质量保证期内所承担的义务；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（4）在制造商所在地或指定现场就货物的安装、启动、运营、维护、废弃处置等对甲方操作人员进行培训</w:t>
      </w:r>
      <w:r>
        <w:rPr>
          <w:rFonts w:hint="eastAsia" w:ascii="宋体" w:hAnsi="宋体" w:cs="宋体"/>
          <w:color w:val="auto"/>
          <w:sz w:val="24"/>
        </w:rPr>
        <w:t>；</w:t>
      </w:r>
    </w:p>
    <w:p>
      <w:pPr>
        <w:widowControl/>
        <w:autoSpaceDE w:val="0"/>
        <w:autoSpaceDN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（5）依照法律、行政法规的规定或者按照</w:t>
      </w:r>
      <w:r>
        <w:rPr>
          <w:rFonts w:hint="eastAsia" w:ascii="宋体" w:hAnsi="宋体" w:cs="宋体"/>
          <w:b/>
          <w:bCs/>
          <w:color w:val="auto"/>
          <w:kern w:val="0"/>
          <w:sz w:val="24"/>
        </w:rPr>
        <w:t>【政府采购合同专用条款】</w:t>
      </w:r>
      <w:r>
        <w:rPr>
          <w:rFonts w:hint="eastAsia" w:ascii="宋体" w:hAnsi="宋体" w:cs="宋体"/>
          <w:color w:val="auto"/>
          <w:kern w:val="0"/>
          <w:sz w:val="24"/>
        </w:rPr>
        <w:t>约定，货物在有效使用年限届满后应予回收的，乙方负有自行或者委托第三人对货物予以回收的义务；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（6）</w:t>
      </w:r>
      <w:r>
        <w:rPr>
          <w:rFonts w:hint="eastAsia" w:ascii="宋体" w:hAnsi="宋体"/>
          <w:b/>
          <w:color w:val="auto"/>
          <w:sz w:val="24"/>
        </w:rPr>
        <w:t>【政府采购合同专用条款】</w:t>
      </w:r>
      <w:r>
        <w:rPr>
          <w:rFonts w:hint="eastAsia" w:ascii="宋体" w:hAnsi="宋体"/>
          <w:color w:val="auto"/>
          <w:sz w:val="24"/>
        </w:rPr>
        <w:t>规定由乙方提供的其他服务。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14.2 乙方提供的售后服务的费用已包含在合同价款中，甲方不再另行支付。</w:t>
      </w:r>
    </w:p>
    <w:p>
      <w:pPr>
        <w:snapToGrid w:val="0"/>
        <w:spacing w:line="360" w:lineRule="auto"/>
        <w:jc w:val="left"/>
        <w:rPr>
          <w:rFonts w:ascii="宋体" w:hAnsi="宋体"/>
          <w:b/>
          <w:bCs/>
          <w:color w:val="auto"/>
          <w:sz w:val="24"/>
        </w:rPr>
      </w:pPr>
      <w:r>
        <w:rPr>
          <w:rFonts w:hint="eastAsia" w:ascii="宋体" w:hAnsi="宋体"/>
          <w:b/>
          <w:bCs/>
          <w:color w:val="auto"/>
          <w:sz w:val="24"/>
        </w:rPr>
        <w:t>15. 违约责任</w:t>
      </w:r>
    </w:p>
    <w:p>
      <w:pPr>
        <w:snapToGrid w:val="0"/>
        <w:spacing w:line="360" w:lineRule="auto"/>
        <w:ind w:firstLine="480" w:firstLineChars="200"/>
        <w:jc w:val="left"/>
        <w:rPr>
          <w:rFonts w:ascii="宋体" w:hAnsi="宋体"/>
          <w:bCs/>
          <w:color w:val="auto"/>
          <w:sz w:val="24"/>
        </w:rPr>
      </w:pPr>
      <w:r>
        <w:rPr>
          <w:rFonts w:hint="eastAsia" w:ascii="宋体" w:hAnsi="宋体"/>
          <w:bCs/>
          <w:color w:val="auto"/>
          <w:sz w:val="24"/>
        </w:rPr>
        <w:t>15.1质量瑕疵的违约责任</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乙方提供的产品不符合合同约定的质量标准或存在产品质量缺陷，甲方有权要求乙方根据</w:t>
      </w:r>
      <w:r>
        <w:rPr>
          <w:rFonts w:hint="eastAsia" w:ascii="宋体" w:hAnsi="宋体"/>
          <w:b/>
          <w:color w:val="auto"/>
          <w:sz w:val="24"/>
        </w:rPr>
        <w:t>【政府采购合同专用条款】</w:t>
      </w:r>
      <w:r>
        <w:rPr>
          <w:rFonts w:hint="eastAsia" w:ascii="宋体" w:hAnsi="宋体"/>
          <w:bCs/>
          <w:color w:val="auto"/>
          <w:sz w:val="24"/>
        </w:rPr>
        <w:t>要求</w:t>
      </w:r>
      <w:r>
        <w:rPr>
          <w:rFonts w:hint="eastAsia" w:ascii="宋体" w:hAnsi="宋体"/>
          <w:color w:val="auto"/>
          <w:sz w:val="24"/>
        </w:rPr>
        <w:t>及时修理、重作、更换，并承担由此给甲方造成的损失。</w:t>
      </w:r>
    </w:p>
    <w:p>
      <w:pPr>
        <w:autoSpaceDE w:val="0"/>
        <w:autoSpaceDN w:val="0"/>
        <w:snapToGrid w:val="0"/>
        <w:spacing w:line="360" w:lineRule="auto"/>
        <w:ind w:firstLine="480" w:firstLineChars="200"/>
        <w:jc w:val="left"/>
        <w:rPr>
          <w:rFonts w:ascii="宋体" w:hAnsi="宋体"/>
          <w:bCs/>
          <w:color w:val="auto"/>
          <w:sz w:val="24"/>
        </w:rPr>
      </w:pPr>
      <w:r>
        <w:rPr>
          <w:rFonts w:hint="eastAsia" w:ascii="宋体" w:hAnsi="宋体"/>
          <w:bCs/>
          <w:color w:val="auto"/>
          <w:sz w:val="24"/>
        </w:rPr>
        <w:t>15.2 迟延交货的违约责任</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（2）如果乙方没有按照合同规定的时间交货和提供相关服务，甲方有权从货款中扣除误期赔偿费而不影响合同项下的其他补救方法，赔偿费按</w:t>
      </w:r>
      <w:r>
        <w:rPr>
          <w:rFonts w:hint="eastAsia" w:ascii="宋体" w:hAnsi="宋体"/>
          <w:b/>
          <w:color w:val="auto"/>
          <w:sz w:val="24"/>
        </w:rPr>
        <w:t>【政府采购合同专用条款】</w:t>
      </w:r>
      <w:r>
        <w:rPr>
          <w:rFonts w:hint="eastAsia" w:ascii="宋体" w:hAnsi="宋体"/>
          <w:color w:val="auto"/>
          <w:sz w:val="24"/>
        </w:rPr>
        <w:t>规定执行。如果涉及公共利益，且赔偿金额无法弥补公共利益损失，甲方可要求继续履行或者采取其他补救措施。</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15.3 迟延支付的违约责任</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甲方存在迟延支付乙方合同款项的，应当承担</w:t>
      </w:r>
      <w:r>
        <w:rPr>
          <w:rFonts w:hint="eastAsia" w:ascii="宋体" w:hAnsi="宋体"/>
          <w:b/>
          <w:bCs/>
          <w:color w:val="auto"/>
          <w:sz w:val="24"/>
        </w:rPr>
        <w:t>【政府采购合同专用条款】</w:t>
      </w:r>
      <w:r>
        <w:rPr>
          <w:rFonts w:hint="eastAsia" w:ascii="宋体" w:hAnsi="宋体"/>
          <w:color w:val="auto"/>
          <w:sz w:val="24"/>
        </w:rPr>
        <w:t>规定的逾期付款利息。</w:t>
      </w:r>
    </w:p>
    <w:p>
      <w:pPr>
        <w:snapToGrid w:val="0"/>
        <w:spacing w:line="360" w:lineRule="auto"/>
        <w:ind w:firstLine="480" w:firstLineChars="200"/>
        <w:jc w:val="left"/>
        <w:rPr>
          <w:rFonts w:ascii="宋体" w:hAnsi="宋体"/>
          <w:color w:val="auto"/>
          <w:sz w:val="24"/>
        </w:rPr>
      </w:pPr>
      <w:r>
        <w:rPr>
          <w:rFonts w:hint="eastAsia" w:ascii="宋体" w:hAnsi="宋体"/>
          <w:bCs/>
          <w:color w:val="auto"/>
          <w:sz w:val="24"/>
        </w:rPr>
        <w:t>15.4其他违约责任根据项目实际需要按</w:t>
      </w:r>
      <w:r>
        <w:rPr>
          <w:rFonts w:hint="eastAsia" w:ascii="宋体" w:hAnsi="宋体"/>
          <w:b/>
          <w:bCs/>
          <w:color w:val="auto"/>
          <w:sz w:val="24"/>
        </w:rPr>
        <w:t>【政府采购合同专用条款】</w:t>
      </w:r>
      <w:r>
        <w:rPr>
          <w:rFonts w:hint="eastAsia" w:ascii="宋体" w:hAnsi="宋体"/>
          <w:color w:val="auto"/>
          <w:sz w:val="24"/>
        </w:rPr>
        <w:t>规定执行。</w:t>
      </w:r>
    </w:p>
    <w:p>
      <w:pPr>
        <w:snapToGrid w:val="0"/>
        <w:spacing w:line="360" w:lineRule="auto"/>
        <w:jc w:val="left"/>
        <w:rPr>
          <w:rFonts w:ascii="宋体" w:hAnsi="宋体"/>
          <w:b/>
          <w:bCs/>
          <w:color w:val="auto"/>
          <w:sz w:val="24"/>
        </w:rPr>
      </w:pPr>
      <w:r>
        <w:rPr>
          <w:rFonts w:hint="eastAsia" w:ascii="宋体" w:hAnsi="宋体"/>
          <w:b/>
          <w:bCs/>
          <w:color w:val="auto"/>
          <w:sz w:val="24"/>
        </w:rPr>
        <w:t>16. 合同变更、中止与终止</w:t>
      </w:r>
    </w:p>
    <w:p>
      <w:pPr>
        <w:snapToGrid w:val="0"/>
        <w:spacing w:line="360" w:lineRule="auto"/>
        <w:jc w:val="left"/>
        <w:rPr>
          <w:rFonts w:ascii="宋体" w:hAnsi="宋体"/>
          <w:color w:val="auto"/>
          <w:sz w:val="24"/>
        </w:rPr>
      </w:pPr>
      <w:r>
        <w:rPr>
          <w:rFonts w:hint="eastAsia" w:ascii="宋体" w:hAnsi="宋体"/>
          <w:color w:val="auto"/>
          <w:sz w:val="24"/>
        </w:rPr>
        <w:t xml:space="preserve">    16.1合同的变更</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政府采购合同履行中，在不改变合同其他条款的前提下，甲方可以在合同价款10%的范围内追加与合同标的相同的货物，并就此与乙方协商一致后签订补充协议。</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16.2合同的中止</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（1）合同履行过程中因供应商就采购文件、采购过程或结果提起投诉的，甲方认为有必要的，可以中止合同的履行。</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spacing w:line="360" w:lineRule="auto"/>
        <w:ind w:firstLine="480" w:firstLineChars="200"/>
        <w:rPr>
          <w:rFonts w:ascii="华文楷体" w:hAnsi="华文楷体" w:eastAsia="华文楷体" w:cs="华文楷体"/>
          <w:color w:val="auto"/>
          <w:kern w:val="0"/>
          <w:sz w:val="24"/>
        </w:rPr>
      </w:pPr>
      <w:r>
        <w:rPr>
          <w:rFonts w:hint="eastAsia" w:ascii="宋体" w:hAnsi="宋体" w:cs="宋体"/>
          <w:color w:val="auto"/>
          <w:kern w:val="0"/>
          <w:sz w:val="24"/>
        </w:rPr>
        <w:t>（3）乙方分立、合并或者变更住所的，应当及时以书面形式告知甲方。乙方没有及时告知甲方，致使合同履行发生困难的，甲方可以中止合同履行并要求乙方承担由此给甲方造成的损失。</w:t>
      </w:r>
    </w:p>
    <w:p>
      <w:pPr>
        <w:adjustRightInd/>
        <w:snapToGrid w:val="0"/>
        <w:spacing w:line="360" w:lineRule="auto"/>
        <w:ind w:firstLine="480" w:firstLineChars="200"/>
        <w:jc w:val="left"/>
        <w:rPr>
          <w:color w:val="auto"/>
          <w:sz w:val="24"/>
        </w:rPr>
      </w:pPr>
      <w:r>
        <w:rPr>
          <w:rFonts w:hint="eastAsia" w:ascii="宋体" w:hAnsi="宋体"/>
          <w:color w:val="auto"/>
          <w:sz w:val="24"/>
        </w:rPr>
        <w:t>（4）甲方不得以行政区划调整、政府换届、机构或者职能调整以及相关责任人更替为由中止合同。</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16.3合同的终止</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（1）合同因有效期限届满而终止；</w:t>
      </w:r>
    </w:p>
    <w:p>
      <w:pPr>
        <w:adjustRightInd/>
        <w:snapToGrid w:val="0"/>
        <w:spacing w:line="360" w:lineRule="auto"/>
        <w:ind w:firstLine="480" w:firstLineChars="200"/>
        <w:rPr>
          <w:rFonts w:ascii="宋体" w:hAnsi="宋体" w:cs="宋体"/>
          <w:color w:val="auto"/>
          <w:sz w:val="24"/>
        </w:rPr>
      </w:pPr>
      <w:r>
        <w:rPr>
          <w:rFonts w:hint="eastAsia" w:ascii="宋体" w:hAnsi="宋体"/>
          <w:color w:val="auto"/>
          <w:sz w:val="24"/>
        </w:rPr>
        <w:t>（2）乙方未按合同约定履行，构成根本性违约的，甲方有权终止合同，</w:t>
      </w:r>
      <w:r>
        <w:rPr>
          <w:rFonts w:hint="eastAsia" w:ascii="宋体" w:hAnsi="宋体" w:cs="宋体"/>
          <w:color w:val="auto"/>
          <w:sz w:val="24"/>
        </w:rPr>
        <w:t>并追究乙方的违约责任</w:t>
      </w:r>
      <w:r>
        <w:rPr>
          <w:rFonts w:hint="eastAsia" w:ascii="宋体" w:hAnsi="宋体"/>
          <w:color w:val="auto"/>
          <w:sz w:val="24"/>
        </w:rPr>
        <w:t>。</w:t>
      </w:r>
    </w:p>
    <w:p>
      <w:pPr>
        <w:widowControl/>
        <w:autoSpaceDE w:val="0"/>
        <w:autoSpaceDN w:val="0"/>
        <w:spacing w:line="360" w:lineRule="auto"/>
        <w:ind w:firstLine="480" w:firstLineChars="200"/>
        <w:jc w:val="left"/>
        <w:rPr>
          <w:rFonts w:ascii="宋体" w:hAnsi="宋体" w:eastAsia="华文楷体" w:cs="华文楷体"/>
          <w:color w:val="auto"/>
          <w:kern w:val="0"/>
          <w:sz w:val="24"/>
        </w:rPr>
      </w:pPr>
      <w:r>
        <w:rPr>
          <w:rFonts w:hint="eastAsia" w:ascii="宋体" w:hAnsi="宋体" w:eastAsia="华文楷体" w:cs="华文楷体"/>
          <w:color w:val="auto"/>
          <w:kern w:val="0"/>
          <w:sz w:val="24"/>
        </w:rPr>
        <w:t xml:space="preserve">16.4 </w:t>
      </w:r>
      <w:r>
        <w:rPr>
          <w:rFonts w:hint="eastAsia" w:ascii="宋体" w:hAnsi="宋体"/>
          <w:color w:val="auto"/>
          <w:sz w:val="24"/>
        </w:rPr>
        <w:t>涉及国家利益、社会公共利益的情形</w:t>
      </w:r>
    </w:p>
    <w:p>
      <w:pPr>
        <w:widowControl/>
        <w:autoSpaceDE w:val="0"/>
        <w:autoSpaceDN w:val="0"/>
        <w:spacing w:line="360" w:lineRule="auto"/>
        <w:ind w:firstLine="480" w:firstLineChars="200"/>
        <w:rPr>
          <w:rFonts w:ascii="华文楷体" w:hAnsi="华文楷体" w:eastAsia="华文楷体" w:cs="华文楷体"/>
          <w:color w:val="auto"/>
          <w:kern w:val="0"/>
          <w:sz w:val="24"/>
        </w:rPr>
      </w:pPr>
      <w:r>
        <w:rPr>
          <w:rFonts w:hint="eastAsia" w:ascii="宋体" w:hAnsi="宋体" w:cs="宋体"/>
          <w:color w:val="auto"/>
          <w:kern w:val="0"/>
          <w:sz w:val="24"/>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17. 合同分包</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17.1 乙方不得将合同转包给其他供应商。涉及合同分包的，乙方应根据采购文件和投标（响应）文件规定进行合同分包。</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17.2 乙方执行政府采购政策向中小企业依法分包的，乙方应当按采购文件和投标（响应）文件签订分包意向协议，分包意向协议属于本合同组成部分。</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18. 不可抗力</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18.1 不可抗力是指合同双方不能预见、不能避免且不能克服的客观情况。</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18.2 任何一方对由于不可抗力造成的部分或全部不能履行合同不承担违约责任。但迟延履行后发生不可抗力的，不能免除责任。</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19. 解决争议的方法</w:t>
      </w:r>
    </w:p>
    <w:p>
      <w:pPr>
        <w:widowControl/>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19.2 选择仲裁的，应在</w:t>
      </w:r>
      <w:r>
        <w:rPr>
          <w:rFonts w:hint="eastAsia" w:ascii="宋体" w:hAnsi="宋体" w:cs="宋体"/>
          <w:b/>
          <w:bCs/>
          <w:color w:val="auto"/>
          <w:kern w:val="0"/>
          <w:sz w:val="24"/>
        </w:rPr>
        <w:t>【政府采购合同专用条款】</w:t>
      </w:r>
      <w:r>
        <w:rPr>
          <w:rFonts w:hint="eastAsia" w:ascii="宋体" w:hAnsi="宋体" w:cs="宋体"/>
          <w:color w:val="auto"/>
          <w:kern w:val="0"/>
          <w:sz w:val="24"/>
        </w:rPr>
        <w:t>中明确仲裁机构及仲裁地；通过诉讼方式解决的，可以在</w:t>
      </w:r>
      <w:r>
        <w:rPr>
          <w:rFonts w:hint="eastAsia" w:ascii="宋体" w:hAnsi="宋体" w:cs="宋体"/>
          <w:b/>
          <w:bCs/>
          <w:color w:val="auto"/>
          <w:kern w:val="0"/>
          <w:sz w:val="24"/>
        </w:rPr>
        <w:t>【政府采购合同专用条款】</w:t>
      </w:r>
      <w:r>
        <w:rPr>
          <w:rFonts w:hint="eastAsia" w:ascii="宋体" w:hAnsi="宋体" w:cs="宋体"/>
          <w:color w:val="auto"/>
          <w:kern w:val="0"/>
          <w:sz w:val="24"/>
        </w:rPr>
        <w:t>中进一步约定选择与争议有实际联系的地点的人民法院管辖，但管辖法院的约定不得违反级别管辖和专属管辖的规定。</w:t>
      </w:r>
    </w:p>
    <w:p>
      <w:pPr>
        <w:widowControl/>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19.3 如甲乙双方有争议的事项不影响合同其他部分的履行，在争议解决期间，合同其他部分应当继续履行。</w:t>
      </w:r>
    </w:p>
    <w:p>
      <w:pPr>
        <w:autoSpaceDE w:val="0"/>
        <w:autoSpaceDN w:val="0"/>
        <w:snapToGrid w:val="0"/>
        <w:spacing w:line="360" w:lineRule="auto"/>
        <w:jc w:val="left"/>
        <w:rPr>
          <w:rFonts w:ascii="宋体" w:hAnsi="宋体"/>
          <w:color w:val="auto"/>
          <w:sz w:val="24"/>
        </w:rPr>
      </w:pPr>
      <w:r>
        <w:rPr>
          <w:rFonts w:hint="eastAsia" w:ascii="宋体" w:hAnsi="宋体"/>
          <w:b/>
          <w:color w:val="auto"/>
          <w:sz w:val="24"/>
        </w:rPr>
        <w:t>20. 政府采购政策</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 xml:space="preserve">20.1 </w:t>
      </w:r>
      <w:r>
        <w:rPr>
          <w:rFonts w:hint="eastAsia" w:ascii="宋体" w:hAnsi="宋体" w:cs="宋体"/>
          <w:color w:val="auto"/>
          <w:sz w:val="24"/>
          <w:lang w:val="en-GB"/>
        </w:rPr>
        <w:t>本合同应当按照规定执行政府采购政策。</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20.2 本合同依法执行政府采购政策的方式和内容，属于合同履约验收的范围。</w:t>
      </w:r>
      <w:r>
        <w:rPr>
          <w:rFonts w:hint="eastAsia" w:ascii="宋体" w:hAnsi="宋体" w:cs="宋体"/>
          <w:color w:val="auto"/>
          <w:sz w:val="24"/>
        </w:rPr>
        <w:t>甲乙双方</w:t>
      </w:r>
      <w:r>
        <w:rPr>
          <w:rFonts w:hint="eastAsia" w:ascii="宋体" w:hAnsi="宋体" w:cs="宋体"/>
          <w:color w:val="auto"/>
          <w:sz w:val="24"/>
          <w:lang w:val="en-GB"/>
        </w:rPr>
        <w:t>未按规定要求执行政府采购政策造成损失的</w:t>
      </w:r>
      <w:r>
        <w:rPr>
          <w:rFonts w:hint="eastAsia" w:ascii="宋体" w:hAnsi="宋体"/>
          <w:color w:val="auto"/>
          <w:sz w:val="24"/>
        </w:rPr>
        <w:t>，有过错的一方应当承担赔偿责任，双方都有过错的，各自承担相应的责任。</w:t>
      </w:r>
    </w:p>
    <w:p>
      <w:pPr>
        <w:adjustRightInd/>
        <w:spacing w:line="360" w:lineRule="auto"/>
        <w:ind w:firstLine="480" w:firstLineChars="200"/>
        <w:rPr>
          <w:rFonts w:ascii="Calibri" w:hAnsi="Calibri"/>
          <w:color w:val="auto"/>
          <w:sz w:val="24"/>
        </w:rPr>
      </w:pPr>
      <w:r>
        <w:rPr>
          <w:rFonts w:hint="eastAsia" w:ascii="宋体" w:hAnsi="宋体"/>
          <w:color w:val="auto"/>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snapToGrid w:val="0"/>
        <w:spacing w:line="360" w:lineRule="auto"/>
        <w:jc w:val="left"/>
        <w:rPr>
          <w:rFonts w:ascii="宋体" w:hAnsi="宋体"/>
          <w:b/>
          <w:color w:val="auto"/>
          <w:sz w:val="24"/>
        </w:rPr>
      </w:pPr>
      <w:r>
        <w:rPr>
          <w:rFonts w:hint="eastAsia" w:ascii="宋体" w:hAnsi="宋体"/>
          <w:b/>
          <w:color w:val="auto"/>
          <w:sz w:val="24"/>
        </w:rPr>
        <w:t>21. 法律适用</w:t>
      </w:r>
    </w:p>
    <w:p>
      <w:pPr>
        <w:widowControl/>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21.1 本合同的订立、生效、解释、履行及与本合同有关的争议解决，均适用法律、行政法规。</w:t>
      </w:r>
    </w:p>
    <w:p>
      <w:pPr>
        <w:widowControl/>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21.2 本合同条款与法律、行政法规的强制性规定不一致的，双方当事人应按照法律、行政法规的强制性规定修改本合同的相关条款。</w:t>
      </w:r>
    </w:p>
    <w:p>
      <w:pPr>
        <w:autoSpaceDE w:val="0"/>
        <w:autoSpaceDN w:val="0"/>
        <w:snapToGrid w:val="0"/>
        <w:spacing w:line="360" w:lineRule="auto"/>
        <w:jc w:val="left"/>
        <w:rPr>
          <w:rFonts w:ascii="宋体" w:hAnsi="宋体"/>
          <w:b/>
          <w:color w:val="auto"/>
          <w:sz w:val="24"/>
        </w:rPr>
      </w:pPr>
      <w:r>
        <w:rPr>
          <w:rFonts w:hint="eastAsia" w:ascii="宋体" w:hAnsi="宋体"/>
          <w:b/>
          <w:color w:val="auto"/>
          <w:sz w:val="24"/>
        </w:rPr>
        <w:t>22. 通知</w:t>
      </w:r>
    </w:p>
    <w:p>
      <w:pPr>
        <w:widowControl/>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22.1 本合同任何一方向对方发出的通知、信件、数据电文等，应当发送至本合同第一部分《政府采购合同协议书》所约定的通讯地址、联系人、联系电话或电子邮箱。</w:t>
      </w:r>
    </w:p>
    <w:p>
      <w:pPr>
        <w:widowControl/>
        <w:autoSpaceDE w:val="0"/>
        <w:autoSpaceDN w:val="0"/>
        <w:spacing w:line="360" w:lineRule="auto"/>
        <w:rPr>
          <w:rFonts w:ascii="华文楷体" w:hAnsi="华文楷体" w:eastAsia="华文楷体" w:cs="华文楷体"/>
          <w:color w:val="auto"/>
          <w:kern w:val="0"/>
          <w:sz w:val="24"/>
        </w:rPr>
      </w:pPr>
      <w:r>
        <w:rPr>
          <w:rFonts w:hint="eastAsia" w:ascii="宋体" w:hAnsi="宋体" w:cs="宋体"/>
          <w:color w:val="auto"/>
          <w:kern w:val="0"/>
          <w:sz w:val="24"/>
        </w:rPr>
        <w:t xml:space="preserve">    22.2 一方当事人变更名称、住所、联系人、联系电话或电子邮箱等信息的，应当在变更后3日内及时书面通知对方，对方实际收到变更通知前的送达仍为有效送达。</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22.3本合同一方给另一方的通知均应采用书面形式，传真或快递送到本合同中规定的对方的地址和办理签收手续。</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22.4通知以送达之日或通知书中规定的生效之日起生效，两者中以较迟之日为准。</w:t>
      </w:r>
    </w:p>
    <w:p>
      <w:pPr>
        <w:autoSpaceDE w:val="0"/>
        <w:autoSpaceDN w:val="0"/>
        <w:snapToGrid w:val="0"/>
        <w:spacing w:line="360" w:lineRule="auto"/>
        <w:jc w:val="left"/>
        <w:rPr>
          <w:rFonts w:ascii="宋体" w:hAnsi="宋体"/>
          <w:b/>
          <w:color w:val="auto"/>
          <w:sz w:val="24"/>
        </w:rPr>
      </w:pPr>
      <w:r>
        <w:rPr>
          <w:rFonts w:hint="eastAsia" w:ascii="宋体" w:hAnsi="宋体"/>
          <w:b/>
          <w:color w:val="auto"/>
          <w:sz w:val="24"/>
        </w:rPr>
        <w:t>23. 合同未尽事项</w:t>
      </w:r>
    </w:p>
    <w:p>
      <w:pPr>
        <w:snapToGrid w:val="0"/>
        <w:spacing w:line="360" w:lineRule="auto"/>
        <w:ind w:firstLine="480" w:firstLineChars="200"/>
        <w:jc w:val="left"/>
        <w:rPr>
          <w:rFonts w:ascii="宋体" w:hAnsi="宋体"/>
          <w:bCs/>
          <w:color w:val="auto"/>
          <w:sz w:val="24"/>
        </w:rPr>
      </w:pPr>
      <w:r>
        <w:rPr>
          <w:rFonts w:hint="eastAsia" w:ascii="宋体" w:hAnsi="宋体"/>
          <w:bCs/>
          <w:color w:val="auto"/>
          <w:sz w:val="24"/>
        </w:rPr>
        <w:t>23.1合同未尽事项见</w:t>
      </w:r>
      <w:r>
        <w:rPr>
          <w:rFonts w:hint="eastAsia" w:ascii="宋体" w:hAnsi="宋体"/>
          <w:b/>
          <w:color w:val="auto"/>
          <w:sz w:val="24"/>
        </w:rPr>
        <w:t>【政府采购合同专用条款】</w:t>
      </w:r>
      <w:r>
        <w:rPr>
          <w:rFonts w:hint="eastAsia" w:ascii="宋体" w:hAnsi="宋体"/>
          <w:bCs/>
          <w:color w:val="auto"/>
          <w:sz w:val="24"/>
        </w:rPr>
        <w:t>。</w:t>
      </w:r>
    </w:p>
    <w:p>
      <w:pPr>
        <w:snapToGrid w:val="0"/>
        <w:spacing w:line="360" w:lineRule="auto"/>
        <w:jc w:val="left"/>
        <w:rPr>
          <w:rFonts w:ascii="黑体" w:hAnsi="华文中宋" w:eastAsia="黑体"/>
          <w:color w:val="auto"/>
          <w:sz w:val="24"/>
        </w:rPr>
      </w:pPr>
      <w:r>
        <w:rPr>
          <w:rFonts w:hint="eastAsia" w:ascii="宋体" w:hAnsi="宋体"/>
          <w:bCs/>
          <w:color w:val="auto"/>
          <w:sz w:val="24"/>
        </w:rPr>
        <w:t xml:space="preserve">    23.2 合同附件与合同正文具有同等的法律效力。</w:t>
      </w:r>
      <w:bookmarkStart w:id="72" w:name="_Toc20313"/>
      <w:r>
        <w:rPr>
          <w:rFonts w:hint="eastAsia" w:ascii="黑体" w:hAnsi="华文中宋" w:eastAsia="黑体"/>
          <w:color w:val="auto"/>
          <w:sz w:val="24"/>
        </w:rPr>
        <w:br w:type="page"/>
      </w:r>
    </w:p>
    <w:p>
      <w:pPr>
        <w:keepNext/>
        <w:keepLines/>
        <w:snapToGrid w:val="0"/>
        <w:spacing w:line="360" w:lineRule="auto"/>
        <w:jc w:val="center"/>
        <w:outlineLvl w:val="1"/>
        <w:rPr>
          <w:rFonts w:ascii="黑体" w:hAnsi="华文中宋" w:eastAsia="黑体"/>
          <w:color w:val="auto"/>
          <w:sz w:val="24"/>
        </w:rPr>
      </w:pPr>
      <w:r>
        <w:rPr>
          <w:rFonts w:hint="eastAsia" w:ascii="黑体" w:hAnsi="华文中宋" w:eastAsia="黑体"/>
          <w:color w:val="auto"/>
          <w:sz w:val="24"/>
        </w:rPr>
        <w:t>第三节 政府采购合同专用条款</w:t>
      </w:r>
      <w:bookmarkEnd w:id="72"/>
    </w:p>
    <w:tbl>
      <w:tblPr>
        <w:tblStyle w:val="61"/>
        <w:tblW w:w="963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62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第1.2（6）项</w:t>
            </w:r>
          </w:p>
        </w:tc>
        <w:tc>
          <w:tcPr>
            <w:tcW w:w="1742" w:type="dxa"/>
            <w:tcBorders>
              <w:top w:val="double" w:color="auto" w:sz="4"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联合体具体要求</w:t>
            </w:r>
          </w:p>
        </w:tc>
        <w:tc>
          <w:tcPr>
            <w:tcW w:w="6290" w:type="dxa"/>
            <w:tcBorders>
              <w:top w:val="double" w:color="auto" w:sz="4"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第1.2（7）项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其他术语解释</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第4.4款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履约验收中甲方提出异议或作出说明的期限</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第4.6款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约定甲方承担的其他义务和责任</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adjustRightInd/>
              <w:snapToGrid w:val="0"/>
              <w:spacing w:line="360" w:lineRule="auto"/>
              <w:jc w:val="center"/>
              <w:rPr>
                <w:rFonts w:ascii="Calibri" w:hAnsi="Calibri"/>
                <w:color w:val="auto"/>
                <w:sz w:val="24"/>
              </w:rPr>
            </w:pPr>
            <w:r>
              <w:rPr>
                <w:rFonts w:hint="eastAsia" w:ascii="宋体" w:hAnsi="宋体"/>
                <w:color w:val="auto"/>
                <w:sz w:val="24"/>
              </w:rPr>
              <w:t>第5.4款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约定乙方承担的其他义务和责任</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adjustRightInd/>
              <w:snapToGrid w:val="0"/>
              <w:spacing w:line="360" w:lineRule="auto"/>
              <w:jc w:val="center"/>
              <w:rPr>
                <w:rFonts w:ascii="宋体" w:hAnsi="宋体"/>
                <w:color w:val="auto"/>
                <w:sz w:val="24"/>
              </w:rPr>
            </w:pPr>
            <w:r>
              <w:rPr>
                <w:rFonts w:hint="eastAsia" w:ascii="宋体" w:hAnsi="宋体"/>
                <w:color w:val="auto"/>
                <w:sz w:val="24"/>
              </w:rPr>
              <w:t>第6.1款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履行合同义务的顺序</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第7.1款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包装特殊要求</w:t>
            </w:r>
          </w:p>
        </w:tc>
        <w:tc>
          <w:tcPr>
            <w:tcW w:w="629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pPr>
              <w:widowControl/>
              <w:adjustRightInd/>
              <w:spacing w:line="360" w:lineRule="auto"/>
              <w:jc w:val="left"/>
              <w:rPr>
                <w:rFonts w:ascii="宋体" w:hAnsi="宋体"/>
                <w:color w:val="auto"/>
                <w:sz w:val="24"/>
              </w:rPr>
            </w:pP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指定现场</w:t>
            </w:r>
          </w:p>
        </w:tc>
        <w:tc>
          <w:tcPr>
            <w:tcW w:w="629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第7.2款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运输特殊要求</w:t>
            </w:r>
          </w:p>
        </w:tc>
        <w:tc>
          <w:tcPr>
            <w:tcW w:w="629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第7.3款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保险要求</w:t>
            </w:r>
          </w:p>
        </w:tc>
        <w:tc>
          <w:tcPr>
            <w:tcW w:w="629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第8.2（1）项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质量保证期</w:t>
            </w:r>
          </w:p>
        </w:tc>
        <w:tc>
          <w:tcPr>
            <w:tcW w:w="6290" w:type="dxa"/>
            <w:tcBorders>
              <w:top w:val="single" w:color="auto" w:sz="6" w:space="0"/>
              <w:left w:val="single" w:color="auto" w:sz="6" w:space="0"/>
              <w:bottom w:val="single" w:color="auto" w:sz="6" w:space="0"/>
              <w:right w:val="double" w:color="auto" w:sz="4" w:space="0"/>
            </w:tcBorders>
            <w:vAlign w:val="center"/>
          </w:tcPr>
          <w:p>
            <w:pPr>
              <w:autoSpaceDE w:val="0"/>
              <w:autoSpaceDN w:val="0"/>
              <w:snapToGrid w:val="0"/>
              <w:spacing w:line="360" w:lineRule="auto"/>
              <w:ind w:firstLine="480" w:firstLineChars="200"/>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第8.2（3）项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货物质量缺陷</w:t>
            </w:r>
          </w:p>
          <w:p>
            <w:pPr>
              <w:snapToGrid w:val="0"/>
              <w:spacing w:line="360" w:lineRule="auto"/>
              <w:jc w:val="left"/>
              <w:rPr>
                <w:rFonts w:ascii="宋体" w:hAnsi="宋体"/>
                <w:color w:val="auto"/>
                <w:sz w:val="24"/>
              </w:rPr>
            </w:pPr>
            <w:r>
              <w:rPr>
                <w:rFonts w:hint="eastAsia" w:ascii="宋体" w:hAnsi="宋体"/>
                <w:color w:val="auto"/>
                <w:sz w:val="24"/>
              </w:rPr>
              <w:t>响应时间</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snapToGrid w:val="0"/>
              <w:spacing w:line="360" w:lineRule="auto"/>
              <w:jc w:val="center"/>
              <w:rPr>
                <w:rFonts w:ascii="宋体" w:hAnsi="宋体" w:cs="宋体"/>
                <w:color w:val="auto"/>
                <w:sz w:val="24"/>
              </w:rPr>
            </w:pPr>
            <w:r>
              <w:rPr>
                <w:rFonts w:hint="eastAsia" w:ascii="宋体" w:hAnsi="宋体" w:cs="宋体"/>
                <w:color w:val="auto"/>
                <w:sz w:val="24"/>
              </w:rPr>
              <w:t>第二节</w:t>
            </w:r>
          </w:p>
          <w:p>
            <w:pPr>
              <w:widowControl/>
              <w:autoSpaceDE w:val="0"/>
              <w:autoSpaceDN w:val="0"/>
              <w:spacing w:line="360" w:lineRule="auto"/>
              <w:jc w:val="center"/>
              <w:rPr>
                <w:rFonts w:ascii="华文楷体" w:hAnsi="华文楷体" w:eastAsia="华文楷体" w:cs="华文楷体"/>
                <w:color w:val="auto"/>
                <w:kern w:val="0"/>
                <w:sz w:val="24"/>
              </w:rPr>
            </w:pPr>
            <w:r>
              <w:rPr>
                <w:rFonts w:hint="eastAsia" w:ascii="宋体" w:hAnsi="宋体" w:cs="宋体"/>
                <w:color w:val="auto"/>
                <w:kern w:val="0"/>
                <w:sz w:val="24"/>
              </w:rPr>
              <w:t>第11.1款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宋体" w:hAnsi="宋体"/>
                <w:color w:val="auto"/>
                <w:sz w:val="24"/>
              </w:rPr>
            </w:pPr>
            <w:r>
              <w:rPr>
                <w:rFonts w:hint="eastAsia" w:ascii="宋体" w:hAnsi="宋体"/>
                <w:color w:val="auto"/>
                <w:sz w:val="24"/>
              </w:rPr>
              <w:t>其他应当保密的信息</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第12.2款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合同价款支付时间</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第13.2款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履约保证金不予退还的情形</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第13.3款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履约保证金退还时间及逾期退还的违约金</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第14.1（3）项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运行监督、维修期限</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第14.1（5）项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货物回收的约定</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第14.1（6）项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乙方提供的其他服务</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第15.1款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修理、重作、更换相关具体规定</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第15.2（2）项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迟延交货赔偿费</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第15.3款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逾期付款利息</w:t>
            </w:r>
          </w:p>
        </w:tc>
        <w:tc>
          <w:tcPr>
            <w:tcW w:w="629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第15.4款</w:t>
            </w:r>
          </w:p>
        </w:tc>
        <w:tc>
          <w:tcPr>
            <w:tcW w:w="1742" w:type="dxa"/>
            <w:tcBorders>
              <w:top w:val="single" w:color="auto" w:sz="6" w:space="0"/>
              <w:left w:val="single" w:color="auto" w:sz="2" w:space="0"/>
              <w:bottom w:val="single" w:color="auto" w:sz="2" w:space="0"/>
              <w:right w:val="single" w:color="auto" w:sz="2"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其他违约责任</w:t>
            </w:r>
          </w:p>
        </w:tc>
        <w:tc>
          <w:tcPr>
            <w:tcW w:w="6290" w:type="dxa"/>
            <w:tcBorders>
              <w:top w:val="single" w:color="auto" w:sz="6" w:space="0"/>
              <w:left w:val="single" w:color="auto" w:sz="2" w:space="0"/>
              <w:bottom w:val="single" w:color="auto" w:sz="2" w:space="0"/>
              <w:right w:val="double" w:color="auto" w:sz="4" w:space="0"/>
            </w:tcBorders>
            <w:vAlign w:val="center"/>
          </w:tcPr>
          <w:p>
            <w:pPr>
              <w:snapToGrid w:val="0"/>
              <w:spacing w:line="360" w:lineRule="auto"/>
              <w:jc w:val="left"/>
              <w:rPr>
                <w:rFonts w:ascii="宋体" w:hAnsi="宋体"/>
                <w:color w:val="auto"/>
                <w:sz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第19.2款</w:t>
            </w:r>
          </w:p>
        </w:tc>
        <w:tc>
          <w:tcPr>
            <w:tcW w:w="1742" w:type="dxa"/>
            <w:tcBorders>
              <w:top w:val="single" w:color="auto" w:sz="2" w:space="0"/>
              <w:left w:val="single" w:color="auto" w:sz="2" w:space="0"/>
              <w:bottom w:val="single" w:color="auto" w:sz="6" w:space="0"/>
              <w:right w:val="single" w:color="auto" w:sz="2"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解决争议的方法</w:t>
            </w:r>
          </w:p>
        </w:tc>
        <w:tc>
          <w:tcPr>
            <w:tcW w:w="6290" w:type="dxa"/>
            <w:tcBorders>
              <w:top w:val="single" w:color="auto" w:sz="2" w:space="0"/>
              <w:left w:val="single" w:color="auto" w:sz="2" w:space="0"/>
              <w:bottom w:val="single" w:color="auto" w:sz="6" w:space="0"/>
              <w:right w:val="double" w:color="auto" w:sz="4" w:space="0"/>
            </w:tcBorders>
            <w:vAlign w:val="center"/>
          </w:tcPr>
          <w:p>
            <w:pPr>
              <w:autoSpaceDE w:val="0"/>
              <w:autoSpaceDN w:val="0"/>
              <w:snapToGrid w:val="0"/>
              <w:spacing w:line="360" w:lineRule="auto"/>
              <w:jc w:val="left"/>
              <w:rPr>
                <w:rFonts w:ascii="宋体" w:hAnsi="宋体" w:cs="宋体"/>
                <w:iCs/>
                <w:color w:val="auto"/>
                <w:sz w:val="24"/>
              </w:rPr>
            </w:pPr>
            <w:r>
              <w:rPr>
                <w:rFonts w:hint="eastAsia" w:ascii="宋体" w:hAnsi="宋体" w:cs="宋体"/>
                <w:iCs/>
                <w:color w:val="auto"/>
                <w:sz w:val="24"/>
              </w:rPr>
              <w:t>因本合同及合同有关事项发生的争议，按下列第</w:t>
            </w:r>
            <w:r>
              <w:rPr>
                <w:rFonts w:hint="eastAsia" w:ascii="宋体" w:hAnsi="宋体" w:cs="宋体"/>
                <w:iCs/>
                <w:color w:val="auto"/>
                <w:sz w:val="24"/>
                <w:u w:val="single"/>
              </w:rPr>
              <w:t xml:space="preserve">   </w:t>
            </w:r>
            <w:r>
              <w:rPr>
                <w:rFonts w:hint="eastAsia" w:ascii="宋体" w:hAnsi="宋体" w:cs="宋体"/>
                <w:iCs/>
                <w:color w:val="auto"/>
                <w:sz w:val="24"/>
              </w:rPr>
              <w:t>种方式解决：</w:t>
            </w:r>
          </w:p>
          <w:p>
            <w:pPr>
              <w:autoSpaceDE w:val="0"/>
              <w:autoSpaceDN w:val="0"/>
              <w:snapToGrid w:val="0"/>
              <w:spacing w:line="360" w:lineRule="auto"/>
              <w:jc w:val="left"/>
              <w:rPr>
                <w:rFonts w:ascii="宋体" w:hAnsi="宋体" w:cs="宋体"/>
                <w:iCs/>
                <w:color w:val="auto"/>
                <w:sz w:val="24"/>
              </w:rPr>
            </w:pPr>
            <w:r>
              <w:rPr>
                <w:rFonts w:hint="eastAsia" w:ascii="宋体" w:hAnsi="宋体" w:cs="宋体"/>
                <w:iCs/>
                <w:color w:val="auto"/>
                <w:sz w:val="24"/>
              </w:rPr>
              <w:t>（1）向</w:t>
            </w:r>
            <w:r>
              <w:rPr>
                <w:rFonts w:hint="eastAsia" w:ascii="宋体" w:hAnsi="宋体" w:cs="宋体"/>
                <w:iCs/>
                <w:color w:val="auto"/>
                <w:sz w:val="24"/>
                <w:u w:val="single"/>
              </w:rPr>
              <w:t xml:space="preserve">                    </w:t>
            </w:r>
            <w:r>
              <w:rPr>
                <w:rFonts w:hint="eastAsia" w:ascii="宋体" w:hAnsi="宋体" w:cs="宋体"/>
                <w:iCs/>
                <w:color w:val="auto"/>
                <w:sz w:val="24"/>
              </w:rPr>
              <w:t>仲裁委员会申请仲裁，仲裁地点为</w:t>
            </w:r>
            <w:r>
              <w:rPr>
                <w:rFonts w:hint="eastAsia" w:ascii="宋体" w:hAnsi="宋体" w:cs="宋体"/>
                <w:iCs/>
                <w:color w:val="auto"/>
                <w:sz w:val="24"/>
                <w:u w:val="single"/>
              </w:rPr>
              <w:t xml:space="preserve">           </w:t>
            </w:r>
            <w:r>
              <w:rPr>
                <w:rFonts w:hint="eastAsia" w:ascii="宋体" w:hAnsi="宋体" w:cs="宋体"/>
                <w:iCs/>
                <w:color w:val="auto"/>
                <w:sz w:val="24"/>
              </w:rPr>
              <w:t>；</w:t>
            </w:r>
          </w:p>
          <w:p>
            <w:pPr>
              <w:snapToGrid w:val="0"/>
              <w:spacing w:line="360" w:lineRule="auto"/>
              <w:jc w:val="left"/>
              <w:rPr>
                <w:rFonts w:ascii="宋体" w:hAnsi="宋体"/>
                <w:color w:val="auto"/>
                <w:sz w:val="24"/>
                <w:u w:val="single"/>
              </w:rPr>
            </w:pPr>
            <w:r>
              <w:rPr>
                <w:rFonts w:hint="eastAsia" w:ascii="宋体" w:hAnsi="宋体" w:cs="宋体"/>
                <w:iCs/>
                <w:color w:val="auto"/>
                <w:sz w:val="24"/>
              </w:rPr>
              <w:t>（2）向</w:t>
            </w:r>
            <w:r>
              <w:rPr>
                <w:rFonts w:hint="eastAsia" w:ascii="宋体" w:hAnsi="宋体" w:cs="宋体"/>
                <w:iCs/>
                <w:color w:val="auto"/>
                <w:sz w:val="24"/>
                <w:u w:val="single"/>
              </w:rPr>
              <w:t xml:space="preserve">                    </w:t>
            </w:r>
            <w:r>
              <w:rPr>
                <w:rFonts w:hint="eastAsia" w:ascii="宋体" w:hAnsi="宋体" w:cs="宋体"/>
                <w:iCs/>
                <w:color w:val="auto"/>
                <w:sz w:val="24"/>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第23.1款</w:t>
            </w:r>
          </w:p>
        </w:tc>
        <w:tc>
          <w:tcPr>
            <w:tcW w:w="1742" w:type="dxa"/>
            <w:tcBorders>
              <w:top w:val="single" w:color="auto" w:sz="6" w:space="0"/>
              <w:left w:val="single" w:color="auto" w:sz="6" w:space="0"/>
              <w:bottom w:val="double" w:color="auto" w:sz="4"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bCs/>
                <w:color w:val="auto"/>
                <w:sz w:val="24"/>
              </w:rPr>
              <w:t>其他专用条款</w:t>
            </w:r>
          </w:p>
        </w:tc>
        <w:tc>
          <w:tcPr>
            <w:tcW w:w="6290" w:type="dxa"/>
            <w:tcBorders>
              <w:top w:val="single" w:color="auto" w:sz="6" w:space="0"/>
              <w:left w:val="single" w:color="auto" w:sz="6" w:space="0"/>
              <w:bottom w:val="double" w:color="auto" w:sz="4" w:space="0"/>
              <w:right w:val="double" w:color="auto" w:sz="4" w:space="0"/>
            </w:tcBorders>
            <w:vAlign w:val="center"/>
          </w:tcPr>
          <w:p>
            <w:pPr>
              <w:snapToGrid w:val="0"/>
              <w:spacing w:line="360" w:lineRule="auto"/>
              <w:jc w:val="left"/>
              <w:rPr>
                <w:rFonts w:ascii="宋体" w:hAnsi="宋体"/>
                <w:color w:val="auto"/>
                <w:sz w:val="24"/>
              </w:rPr>
            </w:pPr>
          </w:p>
        </w:tc>
      </w:tr>
    </w:tbl>
    <w:p>
      <w:pPr>
        <w:adjustRightInd/>
        <w:rPr>
          <w:color w:val="auto"/>
        </w:rPr>
      </w:pPr>
    </w:p>
    <w:p>
      <w:pPr>
        <w:adjustRightInd/>
        <w:rPr>
          <w:color w:val="auto"/>
        </w:rPr>
      </w:pPr>
    </w:p>
    <w:p>
      <w:pPr>
        <w:pStyle w:val="631"/>
        <w:rPr>
          <w:color w:val="auto"/>
        </w:rPr>
      </w:pPr>
    </w:p>
    <w:p>
      <w:pPr>
        <w:spacing w:line="360" w:lineRule="auto"/>
        <w:ind w:firstLine="562" w:firstLineChars="200"/>
        <w:jc w:val="center"/>
        <w:rPr>
          <w:rFonts w:asciiTheme="minorEastAsia" w:hAnsiTheme="minorEastAsia" w:eastAsiaTheme="minorEastAsia"/>
          <w:b/>
          <w:color w:val="auto"/>
          <w:sz w:val="28"/>
          <w:szCs w:val="28"/>
        </w:rPr>
      </w:pPr>
      <w:r>
        <w:rPr>
          <w:rFonts w:asciiTheme="minorEastAsia" w:hAnsiTheme="minorEastAsia" w:eastAsiaTheme="minorEastAsia"/>
          <w:b/>
          <w:color w:val="auto"/>
          <w:sz w:val="28"/>
          <w:szCs w:val="28"/>
        </w:rPr>
        <w:br w:type="page"/>
      </w:r>
    </w:p>
    <w:p>
      <w:pPr>
        <w:spacing w:line="360" w:lineRule="auto"/>
        <w:ind w:firstLine="562" w:firstLineChars="200"/>
        <w:jc w:val="center"/>
        <w:rPr>
          <w:rFonts w:asciiTheme="minorEastAsia" w:hAnsiTheme="minorEastAsia" w:eastAsiaTheme="minorEastAsia"/>
          <w:b/>
          <w:color w:val="auto"/>
          <w:sz w:val="28"/>
          <w:szCs w:val="28"/>
        </w:rPr>
      </w:pPr>
    </w:p>
    <w:p>
      <w:pPr>
        <w:snapToGrid w:val="0"/>
        <w:spacing w:line="360" w:lineRule="auto"/>
        <w:jc w:val="center"/>
        <w:outlineLvl w:val="0"/>
        <w:rPr>
          <w:rFonts w:cs="仿宋_GB2312" w:asciiTheme="minorEastAsia" w:hAnsiTheme="minorEastAsia" w:eastAsiaTheme="minorEastAsia"/>
          <w:b/>
          <w:color w:val="auto"/>
          <w:sz w:val="36"/>
          <w:szCs w:val="20"/>
        </w:rPr>
      </w:pPr>
      <w:bookmarkStart w:id="73" w:name="_Toc181265287"/>
      <w:r>
        <w:rPr>
          <w:rFonts w:hint="eastAsia" w:cs="仿宋_GB2312" w:asciiTheme="minorEastAsia" w:hAnsiTheme="minorEastAsia" w:eastAsiaTheme="minorEastAsia"/>
          <w:b/>
          <w:color w:val="auto"/>
          <w:sz w:val="36"/>
          <w:szCs w:val="20"/>
        </w:rPr>
        <w:t>第七部分</w:t>
      </w:r>
      <w:bookmarkEnd w:id="67"/>
      <w:r>
        <w:rPr>
          <w:rFonts w:hint="eastAsia" w:cs="仿宋_GB2312" w:asciiTheme="minorEastAsia" w:hAnsiTheme="minorEastAsia" w:eastAsiaTheme="minorEastAsia"/>
          <w:b/>
          <w:color w:val="auto"/>
          <w:sz w:val="36"/>
          <w:szCs w:val="20"/>
        </w:rPr>
        <w:t xml:space="preserve">  </w:t>
      </w:r>
      <w:bookmarkEnd w:id="68"/>
      <w:r>
        <w:rPr>
          <w:rFonts w:hint="eastAsia" w:cs="仿宋_GB2312" w:asciiTheme="minorEastAsia" w:hAnsiTheme="minorEastAsia" w:eastAsiaTheme="minorEastAsia"/>
          <w:b/>
          <w:color w:val="auto"/>
          <w:sz w:val="36"/>
          <w:szCs w:val="20"/>
        </w:rPr>
        <w:t>应提交的有关格式范例</w:t>
      </w:r>
      <w:bookmarkEnd w:id="73"/>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pPr>
        <w:spacing w:line="360" w:lineRule="auto"/>
        <w:ind w:firstLine="480" w:firstLineChars="200"/>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（3）授权委托书或法定代表人（单位负责人、自然人本人）身份证明</w:t>
      </w:r>
      <w:r>
        <w:rPr>
          <w:rFonts w:hint="eastAsia" w:cs="宋体"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sz w:val="24"/>
        </w:rPr>
        <w:t>（页码）</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关于对谈判文件中有关条款的拒绝声明……………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pPr>
        <w:pStyle w:val="631"/>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（18）</w:t>
      </w:r>
      <w:r>
        <w:rPr>
          <w:rFonts w:hint="eastAsia" w:cs="仿宋_GB2312" w:asciiTheme="minorEastAsia" w:hAnsiTheme="minorEastAsia" w:eastAsiaTheme="minorEastAsia"/>
          <w:color w:val="auto"/>
          <w:lang w:val="zh-CN"/>
        </w:rPr>
        <w:t>承诺函………………………………………………………………………</w:t>
      </w:r>
      <w:r>
        <w:rPr>
          <w:rFonts w:hint="eastAsia" w:cs="仿宋_GB2312" w:asciiTheme="minorEastAsia" w:hAnsiTheme="minorEastAsia" w:eastAsiaTheme="minorEastAsia"/>
          <w:color w:val="auto"/>
        </w:rPr>
        <w:t>（页码）</w:t>
      </w:r>
    </w:p>
    <w:p>
      <w:pPr>
        <w:pStyle w:val="631"/>
        <w:rPr>
          <w:color w:val="auto"/>
        </w:rPr>
      </w:pPr>
      <w:r>
        <w:rPr>
          <w:rFonts w:hint="eastAsia"/>
          <w:color w:val="auto"/>
        </w:rPr>
        <w:t>（19）商务、服务（技术）响应、偏离情况说明表…………………………（页码）</w:t>
      </w:r>
    </w:p>
    <w:p>
      <w:pPr>
        <w:pStyle w:val="631"/>
        <w:rPr>
          <w:color w:val="auto"/>
        </w:rPr>
      </w:pPr>
      <w:r>
        <w:rPr>
          <w:rFonts w:hint="eastAsia"/>
          <w:color w:val="auto"/>
        </w:rPr>
        <w:t>（20）初始报价表…………………………………………………………………（页码）</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pPr>
        <w:pStyle w:val="104"/>
        <w:numPr>
          <w:ilvl w:val="0"/>
          <w:numId w:val="8"/>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（不少于60天），</w:t>
      </w:r>
      <w:r>
        <w:rPr>
          <w:rFonts w:hint="eastAsia" w:cs="仿宋_GB2312" w:asciiTheme="minorEastAsia" w:hAnsiTheme="minorEastAsia" w:eastAsiaTheme="minorEastAsia"/>
          <w:color w:val="auto"/>
        </w:rPr>
        <w:t>本响应文件在响应有效期满之前均具有约束力。</w:t>
      </w:r>
    </w:p>
    <w:p>
      <w:pPr>
        <w:numPr>
          <w:ilvl w:val="0"/>
          <w:numId w:val="8"/>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谈判文件中</w:t>
      </w:r>
      <w:r>
        <w:rPr>
          <w:rFonts w:hint="eastAsia" w:cs="仿宋_GB2312" w:asciiTheme="minorEastAsia" w:hAnsiTheme="minorEastAsia" w:eastAsiaTheme="minorEastAsia"/>
          <w:color w:val="auto"/>
          <w:sz w:val="24"/>
        </w:rPr>
        <w:t>规定的全部响应文件。</w:t>
      </w:r>
    </w:p>
    <w:p>
      <w:pPr>
        <w:numPr>
          <w:ilvl w:val="0"/>
          <w:numId w:val="8"/>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我方承诺除响应文件列出的偏离外，我方响应谈判文件的全部要求。</w:t>
      </w:r>
    </w:p>
    <w:p>
      <w:pPr>
        <w:numPr>
          <w:ilvl w:val="0"/>
          <w:numId w:val="8"/>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保证遵守谈判文件中的其他有关规定。</w:t>
      </w:r>
    </w:p>
    <w:p>
      <w:pPr>
        <w:numPr>
          <w:ilvl w:val="0"/>
          <w:numId w:val="8"/>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pPr>
        <w:numPr>
          <w:ilvl w:val="0"/>
          <w:numId w:val="8"/>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我方已详细阅读全部谈判文件，包括谈判文件“更正（延期）公告”（如果有）、参考资料及有关附件，确认无误。</w:t>
      </w:r>
    </w:p>
    <w:p>
      <w:pPr>
        <w:numPr>
          <w:ilvl w:val="0"/>
          <w:numId w:val="8"/>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7.3按照谈判文件要求提交履约保证金；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7.4在合同约定的期限内完成合同规定的全部义务。 </w:t>
      </w:r>
    </w:p>
    <w:p>
      <w:pPr>
        <w:numPr>
          <w:ilvl w:val="0"/>
          <w:numId w:val="8"/>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谈判供应商名称（公章）：</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autoSpaceDE w:val="0"/>
        <w:autoSpaceDN w:val="0"/>
        <w:spacing w:line="360" w:lineRule="auto"/>
        <w:rPr>
          <w:rFonts w:cs="仿宋_GB2312" w:asciiTheme="minorEastAsia" w:hAnsiTheme="minorEastAsia" w:eastAsiaTheme="minorEastAsia"/>
          <w:color w:val="auto"/>
          <w:kern w:val="0"/>
          <w:sz w:val="24"/>
        </w:rPr>
      </w:pPr>
    </w:p>
    <w:p>
      <w:pPr>
        <w:pStyle w:val="114"/>
        <w:keepNext w:val="0"/>
        <w:pageBreakBefore w:val="0"/>
        <w:tabs>
          <w:tab w:val="clear" w:pos="720"/>
        </w:tabs>
        <w:jc w:val="both"/>
        <w:outlineLvl w:val="9"/>
        <w:rPr>
          <w:rFonts w:cs="仿宋_GB2312" w:asciiTheme="minorEastAsia" w:hAnsiTheme="minorEastAsia" w:eastAsiaTheme="minorEastAsia"/>
          <w:color w:val="auto"/>
          <w:sz w:val="24"/>
          <w:szCs w:val="24"/>
        </w:rPr>
      </w:pPr>
    </w:p>
    <w:p>
      <w:pPr>
        <w:spacing w:line="360" w:lineRule="auto"/>
        <w:rPr>
          <w:rFonts w:cs="仿宋_GB2312" w:asciiTheme="minorEastAsia" w:hAnsiTheme="minorEastAsia" w:eastAsiaTheme="minorEastAsia"/>
          <w:color w:val="auto"/>
          <w:sz w:val="18"/>
          <w:szCs w:val="18"/>
        </w:rPr>
      </w:pPr>
    </w:p>
    <w:p>
      <w:pPr>
        <w:spacing w:line="360" w:lineRule="auto"/>
        <w:rPr>
          <w:rFonts w:cs="仿宋_GB2312" w:asciiTheme="minorEastAsia" w:hAnsiTheme="minorEastAsia" w:eastAsiaTheme="minorEastAsia"/>
          <w:color w:val="auto"/>
          <w:sz w:val="18"/>
          <w:szCs w:val="18"/>
        </w:rPr>
      </w:pPr>
    </w:p>
    <w:p>
      <w:pPr>
        <w:widowControl/>
        <w:adjustRightInd/>
        <w:jc w:val="left"/>
        <w:rPr>
          <w:rFonts w:cs="仿宋_GB2312" w:asciiTheme="minorEastAsia" w:hAnsiTheme="minorEastAsia" w:eastAsiaTheme="minorEastAsia"/>
          <w:b/>
          <w:color w:val="auto"/>
          <w:kern w:val="0"/>
          <w:sz w:val="32"/>
          <w:szCs w:val="32"/>
        </w:rPr>
      </w:pPr>
      <w:r>
        <w:rPr>
          <w:rFonts w:cs="仿宋_GB2312" w:asciiTheme="minorEastAsia" w:hAnsiTheme="minorEastAsia" w:eastAsiaTheme="minorEastAsia"/>
          <w:b/>
          <w:color w:val="auto"/>
          <w:kern w:val="0"/>
          <w:sz w:val="32"/>
          <w:szCs w:val="32"/>
        </w:rPr>
        <w:br w:type="page"/>
      </w:r>
    </w:p>
    <w:p>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pPr>
        <w:pStyle w:val="104"/>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pPr>
        <w:snapToGrid w:val="0"/>
        <w:spacing w:line="360" w:lineRule="auto"/>
        <w:ind w:right="480"/>
        <w:jc w:val="center"/>
        <w:rPr>
          <w:rFonts w:ascii="宋体" w:hAnsi="宋体" w:cs="宋体"/>
          <w:color w:val="auto"/>
          <w:sz w:val="24"/>
        </w:rPr>
      </w:pPr>
    </w:p>
    <w:p>
      <w:pPr>
        <w:snapToGrid w:val="0"/>
        <w:spacing w:line="360" w:lineRule="auto"/>
        <w:ind w:right="480"/>
        <w:jc w:val="center"/>
        <w:rPr>
          <w:rFonts w:ascii="宋体" w:hAnsi="宋体" w:cs="宋体"/>
          <w:color w:val="auto"/>
          <w:sz w:val="24"/>
        </w:rPr>
      </w:pPr>
      <w:r>
        <w:rPr>
          <w:rFonts w:hint="eastAsia" w:ascii="宋体" w:hAnsi="宋体" w:cs="宋体"/>
          <w:color w:val="auto"/>
          <w:sz w:val="24"/>
        </w:rPr>
        <w:t>北海市政府采购供应商信用承诺函（格式）</w:t>
      </w:r>
    </w:p>
    <w:p>
      <w:pPr>
        <w:snapToGrid w:val="0"/>
        <w:spacing w:line="360" w:lineRule="auto"/>
        <w:rPr>
          <w:rFonts w:ascii="宋体" w:hAnsi="宋体" w:cs="宋体"/>
          <w:color w:val="auto"/>
          <w:sz w:val="24"/>
        </w:rPr>
      </w:pPr>
    </w:p>
    <w:p>
      <w:pPr>
        <w:snapToGrid w:val="0"/>
        <w:spacing w:line="360" w:lineRule="auto"/>
        <w:ind w:right="480"/>
        <w:rPr>
          <w:rFonts w:ascii="宋体" w:hAnsi="宋体" w:cs="宋体"/>
          <w:color w:val="auto"/>
          <w:sz w:val="24"/>
        </w:rPr>
      </w:pPr>
      <w:r>
        <w:rPr>
          <w:rFonts w:hint="eastAsia" w:ascii="宋体" w:hAnsi="宋体" w:cs="宋体"/>
          <w:color w:val="auto"/>
          <w:sz w:val="24"/>
        </w:rPr>
        <w:t>（采购人）、（采购代理机构） ：</w:t>
      </w:r>
    </w:p>
    <w:p>
      <w:pPr>
        <w:snapToGrid w:val="0"/>
        <w:spacing w:line="360" w:lineRule="auto"/>
        <w:ind w:right="480"/>
        <w:rPr>
          <w:rFonts w:ascii="宋体" w:hAnsi="宋体" w:cs="宋体"/>
          <w:color w:val="auto"/>
          <w:sz w:val="24"/>
        </w:rPr>
      </w:pPr>
      <w:r>
        <w:rPr>
          <w:rFonts w:hint="eastAsia" w:ascii="宋体" w:hAnsi="宋体" w:cs="宋体"/>
          <w:color w:val="auto"/>
          <w:sz w:val="24"/>
        </w:rPr>
        <w:t>供应商名称：</w:t>
      </w:r>
    </w:p>
    <w:p>
      <w:pPr>
        <w:snapToGrid w:val="0"/>
        <w:spacing w:line="360" w:lineRule="auto"/>
        <w:ind w:right="480"/>
        <w:rPr>
          <w:rFonts w:ascii="宋体" w:hAnsi="宋体" w:cs="宋体"/>
          <w:color w:val="auto"/>
          <w:sz w:val="24"/>
        </w:rPr>
      </w:pPr>
      <w:r>
        <w:rPr>
          <w:rFonts w:hint="eastAsia" w:ascii="宋体" w:hAnsi="宋体" w:cs="宋体"/>
          <w:color w:val="auto"/>
          <w:sz w:val="24"/>
        </w:rPr>
        <w:t>统一社会信用代码：</w:t>
      </w:r>
    </w:p>
    <w:p>
      <w:pPr>
        <w:snapToGrid w:val="0"/>
        <w:spacing w:line="360" w:lineRule="auto"/>
        <w:ind w:right="480"/>
        <w:rPr>
          <w:rFonts w:ascii="宋体" w:hAnsi="宋体" w:cs="宋体"/>
          <w:color w:val="auto"/>
          <w:sz w:val="24"/>
        </w:rPr>
      </w:pPr>
      <w:r>
        <w:rPr>
          <w:rFonts w:hint="eastAsia" w:ascii="宋体" w:hAnsi="宋体" w:cs="宋体"/>
          <w:color w:val="auto"/>
          <w:sz w:val="24"/>
        </w:rPr>
        <w:t>供应商地址：</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1.我单位具有符合采购文件资格要求独立承担民事责任的能力。</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2.我单位具有符合采购文件资格要求的财务状况报告。</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3.我单位具有符合采购文件资格要求的依法缴纳税收和社会保障记录的良好记录。</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4.我单位具有符合采购文件资格要求履行合同所必需的设备和专业技术能力。</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若我单位承诺不实，自愿承担提供虚假材料谋取中标、成交的法律责任。</w:t>
      </w:r>
    </w:p>
    <w:p>
      <w:pPr>
        <w:snapToGrid w:val="0"/>
        <w:spacing w:line="360" w:lineRule="auto"/>
        <w:ind w:right="480"/>
        <w:rPr>
          <w:rFonts w:ascii="宋体" w:hAnsi="宋体" w:cs="宋体"/>
          <w:color w:val="auto"/>
          <w:sz w:val="24"/>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谈判供应商名称（公章）：</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right="480"/>
        <w:rPr>
          <w:rFonts w:ascii="宋体" w:hAnsi="宋体" w:cs="宋体"/>
          <w:color w:val="auto"/>
          <w:sz w:val="24"/>
        </w:rPr>
      </w:pPr>
    </w:p>
    <w:p>
      <w:pPr>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授权代表根据谈判文件规定及采购内容而对采购人、采购代理机构所作的任何合法承诺，包括书面澄清及相应等均对联合体各方产生约束力。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谈判的，联合协议约定小微企业的合同份额占到合同总金额30%以上的，对联合体报价按评审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w:t>
      </w:r>
      <w:r>
        <w:rPr>
          <w:rFonts w:hint="eastAsia" w:ascii="宋体" w:hAnsi="宋体" w:cs="宋体"/>
          <w:b/>
          <w:color w:val="auto"/>
          <w:kern w:val="0"/>
          <w:sz w:val="24"/>
          <w:lang w:val="zh-CN"/>
        </w:rPr>
        <w:t>谈判</w:t>
      </w:r>
      <w:r>
        <w:rPr>
          <w:rFonts w:hint="eastAsia" w:ascii="宋体" w:hAnsi="宋体" w:cs="宋体"/>
          <w:b/>
          <w:bCs/>
          <w:color w:val="auto"/>
          <w:sz w:val="24"/>
        </w:rPr>
        <w:t>文件第一部分邀请公告申请人的资格要求中规定的联合协议中中小企业、小微企业合同金额应当达到的比例要求填写。</w:t>
      </w:r>
      <w:r>
        <w:rPr>
          <w:rFonts w:hint="eastAsia" w:ascii="宋体" w:hAnsi="宋体" w:cs="宋体"/>
          <w:b/>
          <w:bCs/>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pPr>
        <w:snapToGrid w:val="0"/>
        <w:spacing w:line="360" w:lineRule="auto"/>
        <w:ind w:firstLine="5040" w:firstLineChars="2100"/>
        <w:rPr>
          <w:rStyle w:val="630"/>
          <w:color w:val="auto"/>
        </w:rPr>
      </w:pPr>
      <w:r>
        <w:rPr>
          <w:rStyle w:val="630"/>
          <w:rFonts w:hint="eastAsia"/>
          <w:color w:val="auto"/>
        </w:rPr>
        <w:t>法定代表人（负责人） (签名)：</w:t>
      </w:r>
    </w:p>
    <w:p>
      <w:pPr>
        <w:snapToGrid w:val="0"/>
        <w:spacing w:line="360" w:lineRule="auto"/>
        <w:ind w:firstLine="5040" w:firstLineChars="2100"/>
        <w:rPr>
          <w:rFonts w:ascii="宋体" w:hAnsi="宋体" w:cs="宋体"/>
          <w:color w:val="auto"/>
          <w:kern w:val="0"/>
          <w:sz w:val="24"/>
          <w:lang w:val="zh-CN"/>
        </w:rPr>
      </w:pPr>
      <w:r>
        <w:rPr>
          <w:rStyle w:val="630"/>
          <w:rFonts w:hint="eastAsia"/>
          <w:color w:val="auto"/>
        </w:rPr>
        <w:t>联合体成</w:t>
      </w:r>
      <w:r>
        <w:rPr>
          <w:rFonts w:hint="eastAsia" w:ascii="宋体" w:hAnsi="宋体" w:cs="宋体"/>
          <w:color w:val="auto"/>
          <w:kern w:val="0"/>
          <w:sz w:val="24"/>
          <w:lang w:val="zh-CN"/>
        </w:rPr>
        <w:t>员名称(公章)：</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Style w:val="630"/>
          <w:rFonts w:hint="eastAsia"/>
          <w:color w:val="auto"/>
        </w:rPr>
        <w:t>法定代表人（负责人） (签名)：</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谈判文件第一部分竞争性谈判邀请公告中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pPr>
        <w:widowControl/>
        <w:spacing w:line="360" w:lineRule="auto"/>
        <w:ind w:firstLine="480"/>
        <w:jc w:val="left"/>
        <w:rPr>
          <w:rFonts w:cs="宋体" w:asciiTheme="minorEastAsia" w:hAnsiTheme="minorEastAsia" w:eastAsiaTheme="minorEastAsia"/>
          <w:color w:val="auto"/>
          <w:sz w:val="24"/>
        </w:rPr>
      </w:pPr>
    </w:p>
    <w:p>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竞争性谈判邀请公告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竞争性谈判邀请公告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（由供应商根据“谈判文件第一部分”中“合格的供应商应具备的特定资格要求”编制；如果本项目没有设置特定资格条件，则不需要提供）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rPr>
      </w:pPr>
    </w:p>
    <w:p>
      <w:pPr>
        <w:snapToGrid w:val="0"/>
        <w:spacing w:line="360" w:lineRule="auto"/>
        <w:rPr>
          <w:rFonts w:cs="仿宋_GB2312" w:asciiTheme="minorEastAsia" w:hAnsiTheme="minorEastAsia" w:eastAsiaTheme="minorEastAsia"/>
          <w:color w:val="auto"/>
          <w:kern w:val="0"/>
          <w:sz w:val="24"/>
          <w:lang w:val="zh-CN"/>
        </w:rPr>
      </w:pPr>
    </w:p>
    <w:p>
      <w:pPr>
        <w:snapToGrid w:val="0"/>
        <w:spacing w:line="360" w:lineRule="auto"/>
        <w:rPr>
          <w:rFonts w:cs="仿宋_GB2312" w:asciiTheme="minorEastAsia" w:hAnsiTheme="minorEastAsia" w:eastAsiaTheme="minorEastAsia"/>
          <w:color w:val="auto"/>
          <w:kern w:val="0"/>
          <w:sz w:val="24"/>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linePitch="312" w:charSpace="0"/>
        </w:sectPr>
      </w:pPr>
    </w:p>
    <w:p>
      <w:pPr>
        <w:jc w:val="center"/>
        <w:rPr>
          <w:rFonts w:ascii="宋体" w:hAnsi="宋体" w:cs="宋体"/>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w:t>
      </w:r>
      <w:r>
        <w:rPr>
          <w:rFonts w:hint="eastAsia" w:ascii="宋体" w:hAnsi="宋体" w:cs="宋体"/>
          <w:b/>
          <w:color w:val="auto"/>
          <w:kern w:val="0"/>
          <w:sz w:val="32"/>
          <w:szCs w:val="32"/>
          <w:lang w:val="zh-CN"/>
        </w:rPr>
        <w:t>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授权委托书（适用于非联合体谈判）</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政府采购谈判的一切事项，其法律后果由我方承担。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pacing w:line="360" w:lineRule="auto"/>
        <w:ind w:left="4649" w:leftChars="2214" w:firstLine="3600" w:firstLineChars="1500"/>
        <w:rPr>
          <w:rFonts w:ascii="宋体" w:hAnsi="宋体" w:cs="宋体"/>
          <w:color w:val="auto"/>
          <w:sz w:val="24"/>
        </w:rPr>
      </w:pPr>
      <w:r>
        <w:rPr>
          <w:rFonts w:hint="eastAsia" w:ascii="宋体" w:hAnsi="宋体" w:cs="宋体"/>
          <w:color w:val="auto"/>
          <w:kern w:val="0"/>
          <w:sz w:val="24"/>
          <w:lang w:val="zh-CN"/>
        </w:rPr>
        <w:t xml:space="preserve">                                                 </w:t>
      </w:r>
      <w:r>
        <w:rPr>
          <w:rFonts w:hint="eastAsia" w:ascii="宋体" w:hAnsi="宋体" w:cs="宋体"/>
          <w:color w:val="auto"/>
          <w:sz w:val="24"/>
        </w:rPr>
        <w:t>谈判供应商名称（公章）：</w:t>
      </w:r>
    </w:p>
    <w:p>
      <w:pPr>
        <w:snapToGrid w:val="0"/>
        <w:spacing w:line="360" w:lineRule="auto"/>
        <w:ind w:left="4649" w:leftChars="2214"/>
        <w:rPr>
          <w:rFonts w:ascii="宋体" w:hAnsi="宋体" w:cs="宋体"/>
          <w:color w:val="auto"/>
          <w:kern w:val="0"/>
          <w:sz w:val="24"/>
        </w:rPr>
      </w:pPr>
      <w:r>
        <w:rPr>
          <w:rFonts w:hint="eastAsia" w:ascii="宋体" w:hAnsi="宋体" w:cs="宋体"/>
          <w:color w:val="auto"/>
          <w:sz w:val="24"/>
        </w:rPr>
        <w:t>法定代表人（负责人） (签名)：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adjustRightInd/>
        <w:spacing w:line="360" w:lineRule="auto"/>
        <w:rPr>
          <w:rFonts w:ascii="宋体" w:hAnsi="宋体"/>
          <w:color w:val="auto"/>
          <w:sz w:val="24"/>
          <w:szCs w:val="21"/>
        </w:rPr>
      </w:pPr>
    </w:p>
    <w:p>
      <w:pPr>
        <w:adjustRightInd/>
        <w:spacing w:line="360" w:lineRule="auto"/>
        <w:rPr>
          <w:rFonts w:ascii="宋体" w:hAnsi="宋体" w:cs="宋体"/>
          <w:bCs/>
          <w:color w:val="auto"/>
          <w:sz w:val="24"/>
          <w:szCs w:val="21"/>
        </w:rPr>
      </w:pPr>
      <w:r>
        <w:rPr>
          <w:rFonts w:hint="eastAsia" w:ascii="宋体" w:hAnsi="宋体"/>
          <w:color w:val="auto"/>
          <w:sz w:val="24"/>
          <w:szCs w:val="21"/>
        </w:rPr>
        <w:t>委托代理人和法定代表人</w:t>
      </w:r>
      <w:r>
        <w:rPr>
          <w:rFonts w:hint="eastAsia" w:ascii="宋体" w:hAnsi="宋体" w:cs="宋体"/>
          <w:color w:val="auto"/>
          <w:kern w:val="0"/>
          <w:sz w:val="24"/>
          <w:szCs w:val="21"/>
        </w:rPr>
        <w:t>（负责人）</w:t>
      </w:r>
      <w:r>
        <w:rPr>
          <w:rFonts w:hint="eastAsia" w:ascii="宋体" w:hAnsi="宋体" w:cs="宋体"/>
          <w:bCs/>
          <w:color w:val="auto"/>
          <w:sz w:val="24"/>
          <w:szCs w:val="21"/>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pPr>
              <w:spacing w:line="360" w:lineRule="auto"/>
              <w:rPr>
                <w:rFonts w:ascii="宋体" w:hAnsi="宋体" w:cs="宋体"/>
                <w:bCs/>
                <w:color w:val="auto"/>
                <w:sz w:val="24"/>
                <w:szCs w:val="21"/>
              </w:rPr>
            </w:pPr>
          </w:p>
          <w:p>
            <w:pPr>
              <w:spacing w:line="360" w:lineRule="auto"/>
              <w:rPr>
                <w:rFonts w:ascii="宋体" w:hAnsi="宋体" w:cs="宋体"/>
                <w:bCs/>
                <w:color w:val="auto"/>
                <w:sz w:val="24"/>
                <w:szCs w:val="21"/>
              </w:rPr>
            </w:pPr>
          </w:p>
          <w:p>
            <w:pPr>
              <w:spacing w:line="360" w:lineRule="auto"/>
              <w:rPr>
                <w:rFonts w:ascii="宋体" w:hAnsi="宋体" w:cs="宋体"/>
                <w:bCs/>
                <w:color w:val="auto"/>
                <w:sz w:val="24"/>
                <w:szCs w:val="21"/>
              </w:rPr>
            </w:pPr>
          </w:p>
          <w:p>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pPr>
              <w:spacing w:line="360" w:lineRule="auto"/>
              <w:rPr>
                <w:rFonts w:ascii="宋体" w:hAnsi="宋体" w:cs="宋体"/>
                <w:bCs/>
                <w:color w:val="auto"/>
                <w:sz w:val="24"/>
                <w:szCs w:val="21"/>
              </w:rPr>
            </w:pPr>
          </w:p>
        </w:tc>
      </w:tr>
    </w:tbl>
    <w:p>
      <w:pPr>
        <w:snapToGrid w:val="0"/>
        <w:spacing w:line="360" w:lineRule="auto"/>
        <w:ind w:firstLine="576"/>
        <w:jc w:val="center"/>
        <w:rPr>
          <w:rFonts w:ascii="宋体" w:hAnsi="宋体" w:cs="宋体"/>
          <w:color w:val="auto"/>
          <w:kern w:val="0"/>
          <w:sz w:val="24"/>
        </w:rPr>
      </w:pPr>
      <w:r>
        <w:rPr>
          <w:rFonts w:hint="eastAsia" w:ascii="宋体" w:hAnsi="宋体" w:cs="宋体"/>
          <w:color w:val="auto"/>
          <w:kern w:val="0"/>
          <w:sz w:val="24"/>
        </w:rPr>
        <w:t xml:space="preserve">                 </w:t>
      </w: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授权委托书（适用于联合体谈判）</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政府采购谈判的一切事项，其法律后果由我方承担。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pPr>
        <w:snapToGrid w:val="0"/>
        <w:spacing w:line="360" w:lineRule="auto"/>
        <w:ind w:firstLine="5040" w:firstLineChars="2100"/>
        <w:rPr>
          <w:rFonts w:ascii="宋体" w:hAnsi="宋体"/>
          <w:color w:val="auto"/>
          <w:sz w:val="24"/>
        </w:rPr>
      </w:pPr>
      <w:r>
        <w:rPr>
          <w:rFonts w:hint="eastAsia" w:ascii="宋体" w:hAnsi="宋体"/>
          <w:color w:val="auto"/>
          <w:sz w:val="24"/>
        </w:rPr>
        <w:t>法定代表人（负责人） (签名)：</w:t>
      </w:r>
    </w:p>
    <w:p>
      <w:pPr>
        <w:snapToGrid w:val="0"/>
        <w:spacing w:line="360" w:lineRule="auto"/>
        <w:ind w:firstLine="5040" w:firstLineChars="2100"/>
        <w:rPr>
          <w:rFonts w:ascii="宋体" w:hAnsi="宋体" w:cs="宋体"/>
          <w:color w:val="auto"/>
          <w:kern w:val="0"/>
          <w:sz w:val="24"/>
          <w:lang w:val="zh-CN"/>
        </w:rPr>
      </w:pPr>
      <w:r>
        <w:rPr>
          <w:rFonts w:hint="eastAsia" w:ascii="宋体" w:hAnsi="宋体"/>
          <w:color w:val="auto"/>
          <w:sz w:val="24"/>
        </w:rPr>
        <w:t>联合体成</w:t>
      </w:r>
      <w:r>
        <w:rPr>
          <w:rFonts w:hint="eastAsia" w:ascii="宋体" w:hAnsi="宋体" w:cs="宋体"/>
          <w:color w:val="auto"/>
          <w:kern w:val="0"/>
          <w:sz w:val="24"/>
          <w:lang w:val="zh-CN"/>
        </w:rPr>
        <w:t>员名称(公章)：</w:t>
      </w:r>
    </w:p>
    <w:p>
      <w:pPr>
        <w:snapToGrid w:val="0"/>
        <w:spacing w:line="360" w:lineRule="auto"/>
        <w:ind w:firstLine="5040" w:firstLineChars="2100"/>
        <w:jc w:val="left"/>
        <w:rPr>
          <w:rFonts w:ascii="宋体" w:hAnsi="宋体"/>
          <w:color w:val="auto"/>
          <w:kern w:val="0"/>
          <w:sz w:val="24"/>
          <w:szCs w:val="20"/>
        </w:rPr>
      </w:pPr>
      <w:r>
        <w:rPr>
          <w:rFonts w:hint="eastAsia" w:ascii="宋体" w:hAnsi="宋体"/>
          <w:color w:val="auto"/>
          <w:kern w:val="0"/>
          <w:sz w:val="24"/>
          <w:szCs w:val="20"/>
        </w:rPr>
        <w:t>法定代表人（负责人） (签名)：</w:t>
      </w:r>
    </w:p>
    <w:p>
      <w:pPr>
        <w:snapToGrid w:val="0"/>
        <w:spacing w:line="360" w:lineRule="auto"/>
        <w:ind w:firstLine="5040" w:firstLineChars="2100"/>
        <w:rPr>
          <w:rFonts w:ascii="宋体" w:hAnsi="宋体" w:cs="宋体"/>
          <w:color w:val="auto"/>
          <w:kern w:val="0"/>
          <w:sz w:val="24"/>
          <w:lang w:val="zh-CN"/>
        </w:rPr>
      </w:pP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djustRightInd/>
        <w:spacing w:line="360" w:lineRule="auto"/>
        <w:rPr>
          <w:rFonts w:ascii="宋体" w:hAnsi="宋体"/>
          <w:color w:val="auto"/>
          <w:sz w:val="24"/>
          <w:szCs w:val="21"/>
        </w:rPr>
      </w:pPr>
    </w:p>
    <w:p>
      <w:pPr>
        <w:adjustRightInd/>
        <w:spacing w:line="360" w:lineRule="auto"/>
        <w:rPr>
          <w:rFonts w:ascii="宋体" w:hAnsi="宋体" w:cs="宋体"/>
          <w:bCs/>
          <w:color w:val="auto"/>
          <w:sz w:val="24"/>
          <w:szCs w:val="21"/>
        </w:rPr>
      </w:pPr>
      <w:r>
        <w:rPr>
          <w:rFonts w:hint="eastAsia" w:ascii="宋体" w:hAnsi="宋体"/>
          <w:color w:val="auto"/>
          <w:sz w:val="24"/>
          <w:szCs w:val="21"/>
        </w:rPr>
        <w:t>委托代理人和联合体牵头单位法定代表人</w:t>
      </w:r>
      <w:r>
        <w:rPr>
          <w:rFonts w:hint="eastAsia" w:ascii="宋体" w:hAnsi="宋体" w:cs="宋体"/>
          <w:color w:val="auto"/>
          <w:kern w:val="0"/>
          <w:sz w:val="24"/>
          <w:szCs w:val="21"/>
        </w:rPr>
        <w:t>（负责人）</w:t>
      </w:r>
      <w:r>
        <w:rPr>
          <w:rFonts w:hint="eastAsia" w:ascii="宋体" w:hAnsi="宋体" w:cs="宋体"/>
          <w:bCs/>
          <w:color w:val="auto"/>
          <w:sz w:val="24"/>
          <w:szCs w:val="21"/>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pPr>
              <w:spacing w:line="360" w:lineRule="auto"/>
              <w:rPr>
                <w:rFonts w:ascii="宋体" w:hAnsi="宋体" w:cs="宋体"/>
                <w:bCs/>
                <w:color w:val="auto"/>
                <w:sz w:val="24"/>
                <w:szCs w:val="21"/>
              </w:rPr>
            </w:pPr>
          </w:p>
          <w:p>
            <w:pPr>
              <w:spacing w:line="360" w:lineRule="auto"/>
              <w:rPr>
                <w:rFonts w:ascii="宋体" w:hAnsi="宋体" w:cs="宋体"/>
                <w:bCs/>
                <w:color w:val="auto"/>
                <w:sz w:val="24"/>
                <w:szCs w:val="21"/>
              </w:rPr>
            </w:pPr>
          </w:p>
          <w:p>
            <w:pPr>
              <w:spacing w:line="360" w:lineRule="auto"/>
              <w:rPr>
                <w:rFonts w:ascii="宋体" w:hAnsi="宋体" w:cs="宋体"/>
                <w:bCs/>
                <w:color w:val="auto"/>
                <w:sz w:val="24"/>
                <w:szCs w:val="21"/>
              </w:rPr>
            </w:pPr>
          </w:p>
          <w:p>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pPr>
              <w:spacing w:line="360" w:lineRule="auto"/>
              <w:rPr>
                <w:rFonts w:ascii="宋体" w:hAnsi="宋体" w:cs="宋体"/>
                <w:bCs/>
                <w:color w:val="auto"/>
                <w:sz w:val="24"/>
                <w:szCs w:val="21"/>
              </w:rPr>
            </w:pPr>
          </w:p>
        </w:tc>
      </w:tr>
    </w:tbl>
    <w:p>
      <w:pPr>
        <w:snapToGrid w:val="0"/>
        <w:spacing w:line="360" w:lineRule="auto"/>
        <w:ind w:firstLine="576"/>
        <w:jc w:val="center"/>
        <w:rPr>
          <w:rFonts w:ascii="宋体" w:hAnsi="宋体" w:cs="宋体"/>
          <w:color w:val="auto"/>
          <w:kern w:val="0"/>
          <w:sz w:val="24"/>
        </w:rPr>
      </w:pPr>
      <w:r>
        <w:rPr>
          <w:rFonts w:hint="eastAsia" w:ascii="宋体" w:hAnsi="宋体" w:cs="宋体"/>
          <w:color w:val="auto"/>
          <w:kern w:val="0"/>
          <w:sz w:val="24"/>
        </w:rPr>
        <w:t xml:space="preserve">                 </w:t>
      </w:r>
    </w:p>
    <w:p>
      <w:pPr>
        <w:snapToGrid w:val="0"/>
        <w:spacing w:line="360" w:lineRule="auto"/>
        <w:ind w:right="480"/>
        <w:rPr>
          <w:rFonts w:ascii="宋体" w:hAnsi="宋体" w:cs="宋体"/>
          <w:b/>
          <w:color w:val="auto"/>
          <w:kern w:val="0"/>
          <w:sz w:val="32"/>
          <w:szCs w:val="32"/>
        </w:rPr>
        <w:sectPr>
          <w:headerReference r:id="rId13" w:type="first"/>
          <w:footerReference r:id="rId15" w:type="first"/>
          <w:headerReference r:id="rId12" w:type="default"/>
          <w:footerReference r:id="rId14" w:type="default"/>
          <w:pgSz w:w="11906" w:h="16838"/>
          <w:pgMar w:top="1134" w:right="1134" w:bottom="1134" w:left="1134" w:header="170" w:footer="454" w:gutter="0"/>
          <w:cols w:space="720" w:num="1"/>
          <w:titlePg/>
          <w:docGrid w:linePitch="312" w:charSpace="0"/>
        </w:sect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的身份证明（适用于法定代表人、单位负责人或者自然人本人代表谈判供应商参加谈判）</w:t>
      </w:r>
    </w:p>
    <w:p>
      <w:pPr>
        <w:adjustRightInd/>
        <w:spacing w:line="360" w:lineRule="auto"/>
        <w:rPr>
          <w:rFonts w:ascii="宋体" w:hAnsi="宋体" w:cs="宋体"/>
          <w:bCs/>
          <w:color w:val="auto"/>
          <w:sz w:val="24"/>
          <w:szCs w:val="21"/>
        </w:rPr>
      </w:pPr>
    </w:p>
    <w:p>
      <w:pPr>
        <w:adjustRightInd/>
        <w:snapToGrid w:val="0"/>
        <w:spacing w:before="120" w:beforeLines="50" w:after="50" w:line="600" w:lineRule="exact"/>
        <w:jc w:val="center"/>
        <w:rPr>
          <w:rFonts w:ascii="宋体" w:hAnsi="宋体"/>
          <w:b/>
          <w:color w:val="auto"/>
          <w:sz w:val="30"/>
          <w:szCs w:val="30"/>
        </w:rPr>
      </w:pPr>
      <w:r>
        <w:rPr>
          <w:rFonts w:hint="eastAsia" w:ascii="宋体" w:hAnsi="宋体"/>
          <w:b/>
          <w:color w:val="auto"/>
          <w:sz w:val="30"/>
          <w:szCs w:val="30"/>
        </w:rPr>
        <w:t>法定代表人、单位负责人或自然人身份证明书</w:t>
      </w:r>
    </w:p>
    <w:p>
      <w:pPr>
        <w:snapToGrid w:val="0"/>
        <w:spacing w:line="276" w:lineRule="auto"/>
        <w:ind w:firstLine="960" w:firstLineChars="400"/>
        <w:rPr>
          <w:rFonts w:ascii="宋体" w:hAnsi="宋体"/>
          <w:color w:val="auto"/>
          <w:sz w:val="24"/>
          <w:u w:val="single"/>
        </w:rPr>
      </w:pPr>
    </w:p>
    <w:p>
      <w:pPr>
        <w:snapToGrid w:val="0"/>
        <w:spacing w:line="720" w:lineRule="exact"/>
        <w:ind w:firstLine="960" w:firstLineChars="400"/>
        <w:rPr>
          <w:rFonts w:ascii="宋体" w:hAnsi="宋体"/>
          <w:color w:val="auto"/>
          <w:sz w:val="24"/>
        </w:rPr>
      </w:pP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w:t>
      </w:r>
      <w:r>
        <w:rPr>
          <w:rFonts w:hint="eastAsia" w:ascii="宋体" w:hAnsi="宋体"/>
          <w:color w:val="auto"/>
          <w:sz w:val="24"/>
        </w:rPr>
        <w:t>在我公司（单位）任</w:t>
      </w:r>
      <w:r>
        <w:rPr>
          <w:rFonts w:hint="eastAsia" w:ascii="宋体" w:hAnsi="宋体"/>
          <w:color w:val="auto"/>
          <w:sz w:val="24"/>
          <w:u w:val="single"/>
        </w:rPr>
        <w:t xml:space="preserve">          </w:t>
      </w:r>
      <w:r>
        <w:rPr>
          <w:rFonts w:hint="eastAsia" w:ascii="宋体" w:hAnsi="宋体"/>
          <w:color w:val="auto"/>
          <w:sz w:val="24"/>
        </w:rPr>
        <w:t>职务，是我公司（单位）</w:t>
      </w:r>
      <w:r>
        <w:rPr>
          <w:rFonts w:hint="eastAsia" w:ascii="宋体" w:hAnsi="宋体"/>
          <w:color w:val="auto"/>
          <w:sz w:val="24"/>
          <w:u w:val="single"/>
        </w:rPr>
        <w:t xml:space="preserve">          </w:t>
      </w:r>
      <w:r>
        <w:rPr>
          <w:rFonts w:hint="eastAsia" w:ascii="宋体" w:hAnsi="宋体"/>
          <w:color w:val="auto"/>
          <w:sz w:val="24"/>
        </w:rPr>
        <w:t>的法定代表人</w:t>
      </w:r>
      <w:r>
        <w:rPr>
          <w:rFonts w:hint="eastAsia" w:ascii="宋体" w:hAnsi="宋体" w:cs="宋体"/>
          <w:color w:val="auto"/>
          <w:kern w:val="0"/>
          <w:sz w:val="24"/>
        </w:rPr>
        <w:t>（负责人）</w:t>
      </w:r>
      <w:r>
        <w:rPr>
          <w:rFonts w:hint="eastAsia" w:ascii="宋体" w:hAnsi="宋体"/>
          <w:color w:val="auto"/>
          <w:sz w:val="24"/>
        </w:rPr>
        <w:t>。</w:t>
      </w:r>
    </w:p>
    <w:p>
      <w:pPr>
        <w:snapToGrid w:val="0"/>
        <w:spacing w:line="720" w:lineRule="exact"/>
        <w:ind w:firstLine="840" w:firstLineChars="350"/>
        <w:rPr>
          <w:rFonts w:ascii="宋体" w:hAnsi="宋体"/>
          <w:color w:val="auto"/>
          <w:sz w:val="24"/>
        </w:rPr>
      </w:pPr>
      <w:r>
        <w:rPr>
          <w:rFonts w:hint="eastAsia" w:ascii="宋体" w:hAnsi="宋体"/>
          <w:color w:val="auto"/>
          <w:sz w:val="24"/>
        </w:rPr>
        <w:t>特此证明。</w:t>
      </w:r>
    </w:p>
    <w:p>
      <w:pPr>
        <w:snapToGrid w:val="0"/>
        <w:spacing w:line="276" w:lineRule="auto"/>
        <w:rPr>
          <w:rFonts w:ascii="宋体" w:hAnsi="宋体"/>
          <w:color w:val="auto"/>
          <w:sz w:val="24"/>
        </w:rPr>
      </w:pPr>
    </w:p>
    <w:p>
      <w:pPr>
        <w:snapToGrid w:val="0"/>
        <w:spacing w:line="276" w:lineRule="auto"/>
        <w:rPr>
          <w:rFonts w:ascii="宋体" w:hAnsi="宋体"/>
          <w:color w:val="auto"/>
          <w:sz w:val="24"/>
        </w:rPr>
      </w:pPr>
      <w:r>
        <w:rPr>
          <w:rFonts w:hint="eastAsia" w:ascii="宋体" w:hAnsi="宋体"/>
          <w:color w:val="auto"/>
          <w:sz w:val="24"/>
        </w:rPr>
        <w:t xml:space="preserve">                        </w:t>
      </w:r>
    </w:p>
    <w:p>
      <w:pPr>
        <w:snapToGrid w:val="0"/>
        <w:spacing w:line="276" w:lineRule="auto"/>
        <w:rPr>
          <w:rFonts w:ascii="宋体" w:hAnsi="宋体"/>
          <w:color w:val="auto"/>
          <w:sz w:val="24"/>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sz w:val="24"/>
        </w:rPr>
        <w:t>谈判供应商名称</w:t>
      </w:r>
      <w:r>
        <w:rPr>
          <w:rFonts w:hint="eastAsia" w:ascii="宋体" w:hAnsi="宋体" w:cs="宋体"/>
          <w:color w:val="auto"/>
          <w:kern w:val="0"/>
          <w:sz w:val="24"/>
          <w:lang w:val="zh-CN"/>
        </w:rPr>
        <w:t xml:space="preserve">(公章)：                              </w:t>
      </w:r>
    </w:p>
    <w:p>
      <w:pPr>
        <w:adjustRightInd/>
        <w:spacing w:line="360" w:lineRule="auto"/>
        <w:rPr>
          <w:rFonts w:ascii="宋体" w:hAnsi="宋体" w:cs="宋体"/>
          <w:bCs/>
          <w:color w:val="auto"/>
          <w:sz w:val="24"/>
          <w:szCs w:val="21"/>
        </w:rPr>
      </w:pPr>
      <w:r>
        <w:rPr>
          <w:rFonts w:hint="eastAsia" w:ascii="宋体" w:hAnsi="宋体" w:cs="宋体"/>
          <w:color w:val="auto"/>
          <w:kern w:val="0"/>
          <w:sz w:val="24"/>
          <w:szCs w:val="21"/>
          <w:lang w:val="zh-CN"/>
        </w:rPr>
        <w:t xml:space="preserve">                               日期：  年  月  日</w:t>
      </w:r>
    </w:p>
    <w:p>
      <w:pPr>
        <w:adjustRightInd/>
        <w:spacing w:line="360" w:lineRule="auto"/>
        <w:rPr>
          <w:rFonts w:ascii="宋体" w:hAnsi="宋体" w:cs="宋体"/>
          <w:bCs/>
          <w:color w:val="auto"/>
          <w:sz w:val="24"/>
          <w:szCs w:val="21"/>
        </w:rPr>
      </w:pPr>
    </w:p>
    <w:p>
      <w:pPr>
        <w:adjustRightInd/>
        <w:spacing w:line="360" w:lineRule="auto"/>
        <w:rPr>
          <w:rFonts w:ascii="宋体" w:hAnsi="宋体" w:cs="宋体"/>
          <w:bCs/>
          <w:color w:val="auto"/>
          <w:sz w:val="24"/>
          <w:szCs w:val="21"/>
        </w:rPr>
      </w:pPr>
      <w:r>
        <w:rPr>
          <w:rFonts w:hint="eastAsia" w:ascii="宋体" w:hAnsi="宋体"/>
          <w:color w:val="auto"/>
          <w:sz w:val="24"/>
          <w:szCs w:val="21"/>
        </w:rPr>
        <w:t>法定代表人</w:t>
      </w:r>
      <w:r>
        <w:rPr>
          <w:rFonts w:hint="eastAsia" w:ascii="宋体" w:hAnsi="宋体" w:cs="宋体"/>
          <w:color w:val="auto"/>
          <w:kern w:val="0"/>
          <w:sz w:val="24"/>
          <w:szCs w:val="21"/>
        </w:rPr>
        <w:t>（负责人）</w:t>
      </w:r>
      <w:r>
        <w:rPr>
          <w:rFonts w:hint="eastAsia" w:ascii="宋体" w:hAnsi="宋体" w:cs="宋体"/>
          <w:bCs/>
          <w:color w:val="auto"/>
          <w:sz w:val="24"/>
          <w:szCs w:val="21"/>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pPr>
              <w:spacing w:line="360" w:lineRule="auto"/>
              <w:rPr>
                <w:rFonts w:ascii="宋体" w:hAnsi="宋体" w:cs="宋体"/>
                <w:bCs/>
                <w:color w:val="auto"/>
                <w:sz w:val="24"/>
                <w:szCs w:val="21"/>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3534" w:firstLineChars="1100"/>
        <w:rPr>
          <w:rFonts w:cs="仿宋_GB2312" w:asciiTheme="minorEastAsia" w:hAnsiTheme="minorEastAsia" w:eastAsiaTheme="minorEastAsia"/>
          <w:b/>
          <w:color w:val="auto"/>
          <w:kern w:val="0"/>
          <w:sz w:val="32"/>
          <w:szCs w:val="32"/>
          <w:lang w:val="zh-CN"/>
        </w:rPr>
      </w:pPr>
    </w:p>
    <w:p>
      <w:pPr>
        <w:snapToGrid w:val="0"/>
        <w:spacing w:line="360" w:lineRule="auto"/>
        <w:ind w:firstLine="3534" w:firstLineChars="1100"/>
        <w:rPr>
          <w:rFonts w:cs="仿宋_GB2312" w:asciiTheme="minorEastAsia" w:hAnsiTheme="minorEastAsia" w:eastAsiaTheme="minorEastAsia"/>
          <w:b/>
          <w:color w:val="auto"/>
          <w:kern w:val="0"/>
          <w:sz w:val="32"/>
          <w:szCs w:val="32"/>
          <w:lang w:val="zh-CN"/>
        </w:rPr>
      </w:pPr>
    </w:p>
    <w:p>
      <w:pPr>
        <w:snapToGrid w:val="0"/>
        <w:spacing w:line="360" w:lineRule="auto"/>
        <w:ind w:firstLine="3534" w:firstLineChars="1100"/>
        <w:rPr>
          <w:rFonts w:cs="仿宋_GB2312" w:asciiTheme="minorEastAsia" w:hAnsiTheme="minorEastAsia" w:eastAsiaTheme="minorEastAsia"/>
          <w:b/>
          <w:color w:val="auto"/>
          <w:kern w:val="0"/>
          <w:sz w:val="32"/>
          <w:szCs w:val="32"/>
          <w:lang w:val="zh-CN"/>
        </w:rPr>
      </w:pPr>
    </w:p>
    <w:p>
      <w:pPr>
        <w:snapToGrid w:val="0"/>
        <w:spacing w:line="360" w:lineRule="auto"/>
        <w:ind w:firstLine="3534" w:firstLineChars="1100"/>
        <w:rPr>
          <w:rFonts w:cs="仿宋_GB2312" w:asciiTheme="minorEastAsia" w:hAnsiTheme="minorEastAsia" w:eastAsiaTheme="minorEastAsia"/>
          <w:b/>
          <w:color w:val="auto"/>
          <w:kern w:val="0"/>
          <w:sz w:val="32"/>
          <w:szCs w:val="32"/>
          <w:lang w:val="zh-CN"/>
        </w:rPr>
      </w:pPr>
    </w:p>
    <w:p>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pPr>
        <w:pStyle w:val="631"/>
        <w:rPr>
          <w:color w:val="auto"/>
        </w:rPr>
      </w:pPr>
      <w:r>
        <w:rPr>
          <w:rFonts w:hint="eastAsia"/>
          <w:color w:val="auto"/>
        </w:rPr>
        <w:t>……</w:t>
      </w:r>
    </w:p>
    <w:p>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审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7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要求合同分包形式参加的项目或采购包，供应商按谈判文件第一部分邀请公告申请人的资格要求中规定的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74"/>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pPr>
        <w:snapToGrid w:val="0"/>
        <w:spacing w:line="360" w:lineRule="auto"/>
        <w:ind w:left="6358" w:leftChars="342" w:hanging="5640" w:hangingChars="235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w:t>
      </w:r>
    </w:p>
    <w:p>
      <w:pPr>
        <w:snapToGrid w:val="0"/>
        <w:spacing w:line="360" w:lineRule="auto"/>
        <w:ind w:left="5743" w:leftChars="2392" w:hanging="720" w:hangingChars="3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谈判供应商名称(公章)：</w:t>
      </w:r>
    </w:p>
    <w:p>
      <w:pPr>
        <w:wordWrap w:val="0"/>
        <w:snapToGrid w:val="0"/>
        <w:spacing w:line="360" w:lineRule="auto"/>
        <w:ind w:firstLine="5040" w:firstLineChars="2100"/>
        <w:rPr>
          <w:rStyle w:val="630"/>
          <w:color w:val="auto"/>
        </w:rPr>
      </w:pPr>
      <w:r>
        <w:rPr>
          <w:rStyle w:val="630"/>
          <w:rFonts w:hint="eastAsia"/>
          <w:color w:val="auto"/>
        </w:rPr>
        <w:t>法定代表人（负责人） (签名)：</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分包供应商名称(公章)：</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Style w:val="630"/>
          <w:rFonts w:hint="eastAsia"/>
          <w:color w:val="auto"/>
        </w:rPr>
        <w:t>法定代表人（负责人） (签名)：</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（由供应商根据采购需求及谈判文件要求编制）</w:t>
      </w:r>
    </w:p>
    <w:p>
      <w:pPr>
        <w:spacing w:line="360" w:lineRule="auto"/>
        <w:jc w:val="center"/>
        <w:rPr>
          <w:rFonts w:cs="仿宋_GB2312" w:asciiTheme="minorEastAsia" w:hAnsiTheme="minorEastAsia" w:eastAsiaTheme="minorEastAsia"/>
          <w:b/>
          <w:color w:val="auto"/>
          <w:sz w:val="30"/>
          <w:szCs w:val="30"/>
        </w:rPr>
      </w:pPr>
    </w:p>
    <w:p>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lang w:val="zh-CN"/>
        </w:rPr>
        <w:t>：</w:t>
      </w:r>
    </w:p>
    <w:p>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pPr>
        <w:spacing w:line="360" w:lineRule="auto"/>
        <w:jc w:val="center"/>
        <w:rPr>
          <w:rFonts w:cs="仿宋_GB2312" w:asciiTheme="minorEastAsia" w:hAnsiTheme="minorEastAsia" w:eastAsiaTheme="minorEastAsia"/>
          <w:b/>
          <w:color w:val="auto"/>
          <w:kern w:val="0"/>
          <w:sz w:val="32"/>
          <w:szCs w:val="32"/>
        </w:rPr>
      </w:pP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color w:val="auto"/>
          <w:sz w:val="24"/>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对谈判文件中有关条款的拒绝声明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 xml:space="preserve">：    </w:t>
      </w: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法定代表人（负责人）或委托代理人(签名)：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rPr>
          <w:rFonts w:cs="仿宋_GB2312" w:asciiTheme="minorEastAsia" w:hAnsiTheme="minorEastAsia" w:eastAsiaTheme="minorEastAsia"/>
          <w:b/>
          <w:bCs/>
          <w:color w:val="auto"/>
          <w:kern w:val="0"/>
          <w:sz w:val="24"/>
        </w:rPr>
      </w:pPr>
    </w:p>
    <w:p>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（由供应商根据采购需求及谈判文件要求编制）</w:t>
      </w:r>
    </w:p>
    <w:p>
      <w:pPr>
        <w:spacing w:line="360" w:lineRule="auto"/>
        <w:jc w:val="center"/>
        <w:rPr>
          <w:rFonts w:cs="仿宋_GB2312" w:asciiTheme="minorEastAsia" w:hAnsiTheme="minorEastAsia" w:eastAsiaTheme="minorEastAsia"/>
          <w:color w:val="auto"/>
          <w:sz w:val="24"/>
        </w:rPr>
      </w:pPr>
    </w:p>
    <w:p>
      <w:pPr>
        <w:autoSpaceDE w:val="0"/>
        <w:autoSpaceDN w:val="0"/>
        <w:spacing w:line="360" w:lineRule="auto"/>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color w:val="auto"/>
          <w:spacing w:val="6"/>
          <w:sz w:val="32"/>
          <w:szCs w:val="32"/>
        </w:rPr>
      </w:pPr>
    </w:p>
    <w:p>
      <w:pPr>
        <w:spacing w:line="360" w:lineRule="auto"/>
        <w:ind w:firstLine="1333" w:firstLineChars="400"/>
        <w:jc w:val="left"/>
        <w:rPr>
          <w:rFonts w:asciiTheme="minorEastAsia" w:hAnsiTheme="minorEastAsia" w:eastAsiaTheme="minorEastAsia"/>
          <w:b/>
          <w:color w:val="auto"/>
          <w:spacing w:val="6"/>
          <w:sz w:val="32"/>
          <w:szCs w:val="32"/>
        </w:rPr>
      </w:pPr>
    </w:p>
    <w:p>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w:t>
      </w:r>
    </w:p>
    <w:p>
      <w:pPr>
        <w:spacing w:line="360" w:lineRule="auto"/>
        <w:ind w:firstLine="1333" w:firstLineChars="400"/>
        <w:jc w:val="left"/>
        <w:rPr>
          <w:rFonts w:asciiTheme="minorEastAsia" w:hAnsiTheme="minorEastAsia" w:eastAsiaTheme="minorEastAsia"/>
          <w:b/>
          <w:color w:val="auto"/>
          <w:spacing w:val="6"/>
          <w:sz w:val="32"/>
          <w:szCs w:val="32"/>
        </w:rPr>
      </w:pPr>
    </w:p>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w:t>
      </w:r>
    </w:p>
    <w:p>
      <w:pPr>
        <w:autoSpaceDE w:val="0"/>
        <w:autoSpaceDN w:val="0"/>
        <w:spacing w:line="360" w:lineRule="auto"/>
        <w:rPr>
          <w:rFonts w:cs="仿宋_GB2312" w:asciiTheme="minorEastAsia" w:hAnsiTheme="minorEastAsia" w:eastAsiaTheme="minorEastAsia"/>
          <w:b/>
          <w:color w:val="auto"/>
          <w:kern w:val="0"/>
          <w:sz w:val="28"/>
          <w:szCs w:val="28"/>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（由供应商根据采购需求及谈判文件要求编制）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根据采购需求及谈判文件要求编制）</w:t>
      </w:r>
    </w:p>
    <w:p>
      <w:pPr>
        <w:autoSpaceDE w:val="0"/>
        <w:autoSpaceDN w:val="0"/>
        <w:spacing w:line="360" w:lineRule="auto"/>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（由供应商根据采购需求及谈判文件要求编制）</w:t>
      </w:r>
    </w:p>
    <w:p>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bl>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24"/>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color w:val="auto"/>
          <w:kern w:val="0"/>
          <w:sz w:val="24"/>
        </w:rPr>
      </w:pP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color w:val="auto"/>
                <w:sz w:val="24"/>
              </w:rPr>
            </w:pPr>
          </w:p>
        </w:tc>
        <w:tc>
          <w:tcPr>
            <w:tcW w:w="1900" w:type="dxa"/>
          </w:tcPr>
          <w:p>
            <w:pPr>
              <w:pStyle w:val="32"/>
              <w:spacing w:line="360" w:lineRule="auto"/>
              <w:jc w:val="center"/>
              <w:rPr>
                <w:rFonts w:cs="仿宋_GB2312" w:asciiTheme="minorEastAsia" w:hAnsiTheme="minorEastAsia" w:eastAsiaTheme="minorEastAsia"/>
                <w:color w:val="auto"/>
                <w:sz w:val="24"/>
              </w:rPr>
            </w:pPr>
          </w:p>
        </w:tc>
        <w:tc>
          <w:tcPr>
            <w:tcW w:w="1800" w:type="dxa"/>
          </w:tcPr>
          <w:p>
            <w:pPr>
              <w:pStyle w:val="32"/>
              <w:spacing w:line="360" w:lineRule="auto"/>
              <w:jc w:val="center"/>
              <w:rPr>
                <w:rFonts w:cs="仿宋_GB2312" w:asciiTheme="minorEastAsia" w:hAnsiTheme="minorEastAsia" w:eastAsiaTheme="minorEastAsia"/>
                <w:color w:val="auto"/>
                <w:sz w:val="24"/>
              </w:rPr>
            </w:pPr>
          </w:p>
        </w:tc>
        <w:tc>
          <w:tcPr>
            <w:tcW w:w="2880" w:type="dxa"/>
          </w:tcPr>
          <w:p>
            <w:pPr>
              <w:pStyle w:val="32"/>
              <w:spacing w:line="360" w:lineRule="auto"/>
              <w:jc w:val="center"/>
              <w:rPr>
                <w:rFonts w:cs="仿宋_GB2312" w:asciiTheme="minorEastAsia" w:hAnsiTheme="minorEastAsia" w:eastAsiaTheme="minorEastAsia"/>
                <w:color w:val="auto"/>
                <w:sz w:val="24"/>
              </w:rPr>
            </w:pPr>
          </w:p>
        </w:tc>
        <w:tc>
          <w:tcPr>
            <w:tcW w:w="1332" w:type="dxa"/>
          </w:tcPr>
          <w:p>
            <w:pPr>
              <w:pStyle w:val="32"/>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color w:val="auto"/>
                <w:sz w:val="24"/>
              </w:rPr>
            </w:pPr>
          </w:p>
        </w:tc>
        <w:tc>
          <w:tcPr>
            <w:tcW w:w="1900" w:type="dxa"/>
          </w:tcPr>
          <w:p>
            <w:pPr>
              <w:pStyle w:val="32"/>
              <w:spacing w:line="360" w:lineRule="auto"/>
              <w:jc w:val="center"/>
              <w:rPr>
                <w:rFonts w:cs="仿宋_GB2312" w:asciiTheme="minorEastAsia" w:hAnsiTheme="minorEastAsia" w:eastAsiaTheme="minorEastAsia"/>
                <w:color w:val="auto"/>
                <w:sz w:val="24"/>
              </w:rPr>
            </w:pPr>
          </w:p>
        </w:tc>
        <w:tc>
          <w:tcPr>
            <w:tcW w:w="1800" w:type="dxa"/>
          </w:tcPr>
          <w:p>
            <w:pPr>
              <w:pStyle w:val="32"/>
              <w:spacing w:line="360" w:lineRule="auto"/>
              <w:jc w:val="center"/>
              <w:rPr>
                <w:rFonts w:cs="仿宋_GB2312" w:asciiTheme="minorEastAsia" w:hAnsiTheme="minorEastAsia" w:eastAsiaTheme="minorEastAsia"/>
                <w:color w:val="auto"/>
                <w:sz w:val="24"/>
              </w:rPr>
            </w:pPr>
          </w:p>
        </w:tc>
        <w:tc>
          <w:tcPr>
            <w:tcW w:w="2880" w:type="dxa"/>
          </w:tcPr>
          <w:p>
            <w:pPr>
              <w:pStyle w:val="32"/>
              <w:spacing w:line="360" w:lineRule="auto"/>
              <w:jc w:val="center"/>
              <w:rPr>
                <w:rFonts w:cs="仿宋_GB2312" w:asciiTheme="minorEastAsia" w:hAnsiTheme="minorEastAsia" w:eastAsiaTheme="minorEastAsia"/>
                <w:color w:val="auto"/>
                <w:sz w:val="24"/>
              </w:rPr>
            </w:pPr>
          </w:p>
        </w:tc>
        <w:tc>
          <w:tcPr>
            <w:tcW w:w="1332" w:type="dxa"/>
          </w:tcPr>
          <w:p>
            <w:pPr>
              <w:pStyle w:val="32"/>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pPr>
              <w:pStyle w:val="32"/>
              <w:spacing w:line="360" w:lineRule="auto"/>
              <w:jc w:val="center"/>
              <w:rPr>
                <w:rFonts w:cs="仿宋_GB2312" w:asciiTheme="minorEastAsia" w:hAnsiTheme="minorEastAsia" w:eastAsiaTheme="minorEastAsia"/>
                <w:color w:val="auto"/>
                <w:sz w:val="24"/>
              </w:rPr>
            </w:pPr>
          </w:p>
        </w:tc>
        <w:tc>
          <w:tcPr>
            <w:tcW w:w="1900" w:type="dxa"/>
          </w:tcPr>
          <w:p>
            <w:pPr>
              <w:pStyle w:val="32"/>
              <w:spacing w:line="360" w:lineRule="auto"/>
              <w:jc w:val="center"/>
              <w:rPr>
                <w:rFonts w:cs="仿宋_GB2312" w:asciiTheme="minorEastAsia" w:hAnsiTheme="minorEastAsia" w:eastAsiaTheme="minorEastAsia"/>
                <w:color w:val="auto"/>
                <w:sz w:val="24"/>
              </w:rPr>
            </w:pPr>
          </w:p>
        </w:tc>
        <w:tc>
          <w:tcPr>
            <w:tcW w:w="1800" w:type="dxa"/>
          </w:tcPr>
          <w:p>
            <w:pPr>
              <w:pStyle w:val="32"/>
              <w:spacing w:line="360" w:lineRule="auto"/>
              <w:jc w:val="center"/>
              <w:rPr>
                <w:rFonts w:cs="仿宋_GB2312" w:asciiTheme="minorEastAsia" w:hAnsiTheme="minorEastAsia" w:eastAsiaTheme="minorEastAsia"/>
                <w:color w:val="auto"/>
                <w:sz w:val="24"/>
              </w:rPr>
            </w:pPr>
          </w:p>
        </w:tc>
        <w:tc>
          <w:tcPr>
            <w:tcW w:w="2880" w:type="dxa"/>
          </w:tcPr>
          <w:p>
            <w:pPr>
              <w:pStyle w:val="32"/>
              <w:spacing w:line="360" w:lineRule="auto"/>
              <w:jc w:val="center"/>
              <w:rPr>
                <w:rFonts w:cs="仿宋_GB2312" w:asciiTheme="minorEastAsia" w:hAnsiTheme="minorEastAsia" w:eastAsiaTheme="minorEastAsia"/>
                <w:color w:val="auto"/>
                <w:sz w:val="24"/>
              </w:rPr>
            </w:pPr>
          </w:p>
        </w:tc>
        <w:tc>
          <w:tcPr>
            <w:tcW w:w="1332" w:type="dxa"/>
          </w:tcPr>
          <w:p>
            <w:pPr>
              <w:pStyle w:val="32"/>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color w:val="auto"/>
                <w:sz w:val="24"/>
              </w:rPr>
            </w:pPr>
          </w:p>
        </w:tc>
        <w:tc>
          <w:tcPr>
            <w:tcW w:w="1900" w:type="dxa"/>
          </w:tcPr>
          <w:p>
            <w:pPr>
              <w:pStyle w:val="32"/>
              <w:spacing w:line="360" w:lineRule="auto"/>
              <w:jc w:val="center"/>
              <w:rPr>
                <w:rFonts w:cs="仿宋_GB2312" w:asciiTheme="minorEastAsia" w:hAnsiTheme="minorEastAsia" w:eastAsiaTheme="minorEastAsia"/>
                <w:color w:val="auto"/>
                <w:sz w:val="24"/>
              </w:rPr>
            </w:pPr>
          </w:p>
        </w:tc>
        <w:tc>
          <w:tcPr>
            <w:tcW w:w="1800" w:type="dxa"/>
          </w:tcPr>
          <w:p>
            <w:pPr>
              <w:pStyle w:val="32"/>
              <w:spacing w:line="360" w:lineRule="auto"/>
              <w:jc w:val="center"/>
              <w:rPr>
                <w:rFonts w:cs="仿宋_GB2312" w:asciiTheme="minorEastAsia" w:hAnsiTheme="minorEastAsia" w:eastAsiaTheme="minorEastAsia"/>
                <w:color w:val="auto"/>
                <w:sz w:val="24"/>
              </w:rPr>
            </w:pPr>
          </w:p>
        </w:tc>
        <w:tc>
          <w:tcPr>
            <w:tcW w:w="2880" w:type="dxa"/>
          </w:tcPr>
          <w:p>
            <w:pPr>
              <w:pStyle w:val="32"/>
              <w:spacing w:line="360" w:lineRule="auto"/>
              <w:jc w:val="center"/>
              <w:rPr>
                <w:rFonts w:cs="仿宋_GB2312" w:asciiTheme="minorEastAsia" w:hAnsiTheme="minorEastAsia" w:eastAsiaTheme="minorEastAsia"/>
                <w:color w:val="auto"/>
                <w:sz w:val="24"/>
              </w:rPr>
            </w:pPr>
          </w:p>
        </w:tc>
        <w:tc>
          <w:tcPr>
            <w:tcW w:w="1332" w:type="dxa"/>
          </w:tcPr>
          <w:p>
            <w:pPr>
              <w:pStyle w:val="32"/>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color w:val="auto"/>
                <w:sz w:val="24"/>
              </w:rPr>
            </w:pPr>
          </w:p>
        </w:tc>
        <w:tc>
          <w:tcPr>
            <w:tcW w:w="1900" w:type="dxa"/>
          </w:tcPr>
          <w:p>
            <w:pPr>
              <w:pStyle w:val="32"/>
              <w:spacing w:line="360" w:lineRule="auto"/>
              <w:jc w:val="center"/>
              <w:rPr>
                <w:rFonts w:cs="仿宋_GB2312" w:asciiTheme="minorEastAsia" w:hAnsiTheme="minorEastAsia" w:eastAsiaTheme="minorEastAsia"/>
                <w:color w:val="auto"/>
                <w:sz w:val="24"/>
              </w:rPr>
            </w:pPr>
          </w:p>
        </w:tc>
        <w:tc>
          <w:tcPr>
            <w:tcW w:w="1800" w:type="dxa"/>
          </w:tcPr>
          <w:p>
            <w:pPr>
              <w:pStyle w:val="32"/>
              <w:spacing w:line="360" w:lineRule="auto"/>
              <w:jc w:val="center"/>
              <w:rPr>
                <w:rFonts w:cs="仿宋_GB2312" w:asciiTheme="minorEastAsia" w:hAnsiTheme="minorEastAsia" w:eastAsiaTheme="minorEastAsia"/>
                <w:color w:val="auto"/>
                <w:sz w:val="24"/>
              </w:rPr>
            </w:pPr>
          </w:p>
        </w:tc>
        <w:tc>
          <w:tcPr>
            <w:tcW w:w="2880" w:type="dxa"/>
          </w:tcPr>
          <w:p>
            <w:pPr>
              <w:pStyle w:val="32"/>
              <w:spacing w:line="360" w:lineRule="auto"/>
              <w:jc w:val="center"/>
              <w:rPr>
                <w:rFonts w:cs="仿宋_GB2312" w:asciiTheme="minorEastAsia" w:hAnsiTheme="minorEastAsia" w:eastAsiaTheme="minorEastAsia"/>
                <w:color w:val="auto"/>
                <w:sz w:val="24"/>
              </w:rPr>
            </w:pPr>
          </w:p>
        </w:tc>
        <w:tc>
          <w:tcPr>
            <w:tcW w:w="1332" w:type="dxa"/>
          </w:tcPr>
          <w:p>
            <w:pPr>
              <w:pStyle w:val="32"/>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rPr>
                <w:rFonts w:cs="仿宋_GB2312" w:asciiTheme="minorEastAsia" w:hAnsiTheme="minorEastAsia" w:eastAsiaTheme="minorEastAsia"/>
                <w:color w:val="auto"/>
                <w:sz w:val="24"/>
              </w:rPr>
            </w:pPr>
          </w:p>
        </w:tc>
        <w:tc>
          <w:tcPr>
            <w:tcW w:w="1900" w:type="dxa"/>
          </w:tcPr>
          <w:p>
            <w:pPr>
              <w:pStyle w:val="32"/>
              <w:spacing w:line="360" w:lineRule="auto"/>
              <w:jc w:val="center"/>
              <w:rPr>
                <w:rFonts w:cs="仿宋_GB2312" w:asciiTheme="minorEastAsia" w:hAnsiTheme="minorEastAsia" w:eastAsiaTheme="minorEastAsia"/>
                <w:color w:val="auto"/>
                <w:sz w:val="24"/>
              </w:rPr>
            </w:pPr>
          </w:p>
        </w:tc>
        <w:tc>
          <w:tcPr>
            <w:tcW w:w="1800" w:type="dxa"/>
          </w:tcPr>
          <w:p>
            <w:pPr>
              <w:pStyle w:val="32"/>
              <w:spacing w:line="360" w:lineRule="auto"/>
              <w:jc w:val="center"/>
              <w:rPr>
                <w:rFonts w:cs="仿宋_GB2312" w:asciiTheme="minorEastAsia" w:hAnsiTheme="minorEastAsia" w:eastAsiaTheme="minorEastAsia"/>
                <w:color w:val="auto"/>
                <w:sz w:val="24"/>
              </w:rPr>
            </w:pPr>
          </w:p>
        </w:tc>
        <w:tc>
          <w:tcPr>
            <w:tcW w:w="2880" w:type="dxa"/>
          </w:tcPr>
          <w:p>
            <w:pPr>
              <w:pStyle w:val="32"/>
              <w:spacing w:line="360" w:lineRule="auto"/>
              <w:jc w:val="center"/>
              <w:rPr>
                <w:rFonts w:cs="仿宋_GB2312" w:asciiTheme="minorEastAsia" w:hAnsiTheme="minorEastAsia" w:eastAsiaTheme="minorEastAsia"/>
                <w:color w:val="auto"/>
                <w:sz w:val="24"/>
              </w:rPr>
            </w:pPr>
          </w:p>
        </w:tc>
        <w:tc>
          <w:tcPr>
            <w:tcW w:w="1332" w:type="dxa"/>
          </w:tcPr>
          <w:p>
            <w:pPr>
              <w:pStyle w:val="32"/>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pPr>
              <w:pStyle w:val="32"/>
              <w:spacing w:line="360" w:lineRule="auto"/>
              <w:jc w:val="center"/>
              <w:rPr>
                <w:rFonts w:cs="仿宋_GB2312" w:asciiTheme="minorEastAsia" w:hAnsiTheme="minorEastAsia" w:eastAsiaTheme="minorEastAsia"/>
                <w:color w:val="auto"/>
                <w:sz w:val="24"/>
              </w:rPr>
            </w:pPr>
          </w:p>
        </w:tc>
        <w:tc>
          <w:tcPr>
            <w:tcW w:w="1900" w:type="dxa"/>
          </w:tcPr>
          <w:p>
            <w:pPr>
              <w:pStyle w:val="32"/>
              <w:spacing w:line="360" w:lineRule="auto"/>
              <w:jc w:val="center"/>
              <w:rPr>
                <w:rFonts w:cs="仿宋_GB2312" w:asciiTheme="minorEastAsia" w:hAnsiTheme="minorEastAsia" w:eastAsiaTheme="minorEastAsia"/>
                <w:color w:val="auto"/>
                <w:sz w:val="24"/>
              </w:rPr>
            </w:pPr>
          </w:p>
        </w:tc>
        <w:tc>
          <w:tcPr>
            <w:tcW w:w="1800" w:type="dxa"/>
          </w:tcPr>
          <w:p>
            <w:pPr>
              <w:pStyle w:val="32"/>
              <w:spacing w:line="360" w:lineRule="auto"/>
              <w:jc w:val="center"/>
              <w:rPr>
                <w:rFonts w:cs="仿宋_GB2312" w:asciiTheme="minorEastAsia" w:hAnsiTheme="minorEastAsia" w:eastAsiaTheme="minorEastAsia"/>
                <w:color w:val="auto"/>
                <w:sz w:val="24"/>
              </w:rPr>
            </w:pPr>
          </w:p>
        </w:tc>
        <w:tc>
          <w:tcPr>
            <w:tcW w:w="2880" w:type="dxa"/>
          </w:tcPr>
          <w:p>
            <w:pPr>
              <w:pStyle w:val="32"/>
              <w:spacing w:line="360" w:lineRule="auto"/>
              <w:jc w:val="center"/>
              <w:rPr>
                <w:rFonts w:cs="仿宋_GB2312" w:asciiTheme="minorEastAsia" w:hAnsiTheme="minorEastAsia" w:eastAsiaTheme="minorEastAsia"/>
                <w:color w:val="auto"/>
                <w:sz w:val="24"/>
              </w:rPr>
            </w:pPr>
          </w:p>
        </w:tc>
        <w:tc>
          <w:tcPr>
            <w:tcW w:w="1332" w:type="dxa"/>
          </w:tcPr>
          <w:p>
            <w:pPr>
              <w:pStyle w:val="32"/>
              <w:spacing w:line="360" w:lineRule="auto"/>
              <w:jc w:val="center"/>
              <w:rPr>
                <w:rFonts w:cs="仿宋_GB2312" w:asciiTheme="minorEastAsia" w:hAnsiTheme="minorEastAsia" w:eastAsiaTheme="minorEastAsia"/>
                <w:color w:val="auto"/>
                <w:sz w:val="24"/>
              </w:rPr>
            </w:pPr>
          </w:p>
        </w:tc>
      </w:tr>
    </w:tbl>
    <w:p>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color w:val="auto"/>
          <w:kern w:val="0"/>
          <w:sz w:val="24"/>
        </w:rPr>
      </w:pPr>
    </w:p>
    <w:p>
      <w:pPr>
        <w:spacing w:line="360" w:lineRule="auto"/>
        <w:jc w:val="center"/>
        <w:rPr>
          <w:rFonts w:cs="仿宋_GB2312" w:asciiTheme="minorEastAsia" w:hAnsiTheme="minorEastAsia" w:eastAsiaTheme="minorEastAsia"/>
          <w:color w:val="auto"/>
          <w:kern w:val="0"/>
          <w:sz w:val="24"/>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ascii="宋体" w:hAnsi="宋体" w:cs="宋体"/>
          <w:color w:val="auto"/>
          <w:sz w:val="24"/>
        </w:rPr>
        <w:t>（采购人）、（采购代理机构）</w:t>
      </w:r>
      <w:r>
        <w:rPr>
          <w:rFonts w:hint="eastAsia" w:cs="仿宋_GB2312" w:asciiTheme="minorEastAsia" w:hAnsiTheme="minorEastAsia" w:eastAsiaTheme="minorEastAsia"/>
          <w:color w:val="auto"/>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w:t>
      </w:r>
    </w:p>
    <w:p>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ind w:firstLine="1911" w:firstLineChars="595"/>
        <w:jc w:val="center"/>
        <w:rPr>
          <w:rFonts w:ascii="宋体" w:hAnsi="宋体" w:cs="宋体"/>
          <w:b/>
          <w:bCs/>
          <w:color w:val="auto"/>
          <w:sz w:val="32"/>
          <w:szCs w:val="32"/>
        </w:rPr>
      </w:pPr>
    </w:p>
    <w:p>
      <w:pPr>
        <w:ind w:firstLine="1911" w:firstLineChars="595"/>
        <w:jc w:val="center"/>
        <w:rPr>
          <w:rFonts w:ascii="宋体" w:hAnsi="宋体" w:cs="宋体"/>
          <w:b/>
          <w:bCs/>
          <w:color w:val="auto"/>
          <w:sz w:val="32"/>
          <w:szCs w:val="32"/>
        </w:rPr>
      </w:pPr>
    </w:p>
    <w:p>
      <w:pPr>
        <w:ind w:firstLine="1911" w:firstLineChars="595"/>
        <w:jc w:val="center"/>
        <w:rPr>
          <w:rFonts w:ascii="宋体" w:hAnsi="宋体" w:cs="宋体"/>
          <w:b/>
          <w:bCs/>
          <w:color w:val="auto"/>
          <w:sz w:val="32"/>
          <w:szCs w:val="32"/>
        </w:rPr>
      </w:pPr>
    </w:p>
    <w:p>
      <w:pPr>
        <w:ind w:firstLine="1911" w:firstLineChars="595"/>
        <w:jc w:val="center"/>
        <w:rPr>
          <w:rFonts w:ascii="宋体" w:hAnsi="宋体" w:cs="宋体"/>
          <w:b/>
          <w:bCs/>
          <w:color w:val="auto"/>
          <w:sz w:val="32"/>
          <w:szCs w:val="32"/>
        </w:rPr>
      </w:pPr>
    </w:p>
    <w:p>
      <w:pPr>
        <w:ind w:firstLine="1911" w:firstLineChars="595"/>
        <w:jc w:val="center"/>
        <w:rPr>
          <w:rFonts w:ascii="宋体" w:hAnsi="宋体" w:cs="宋体"/>
          <w:b/>
          <w:bCs/>
          <w:color w:val="auto"/>
          <w:sz w:val="32"/>
          <w:szCs w:val="32"/>
        </w:rPr>
      </w:pPr>
    </w:p>
    <w:p>
      <w:pPr>
        <w:ind w:firstLine="1911" w:firstLineChars="595"/>
        <w:jc w:val="center"/>
        <w:rPr>
          <w:rFonts w:ascii="宋体" w:hAnsi="宋体" w:cs="宋体"/>
          <w:b/>
          <w:bCs/>
          <w:color w:val="auto"/>
          <w:sz w:val="32"/>
          <w:szCs w:val="32"/>
        </w:rPr>
      </w:pPr>
    </w:p>
    <w:p>
      <w:pPr>
        <w:ind w:firstLine="1911" w:firstLineChars="595"/>
        <w:jc w:val="center"/>
        <w:rPr>
          <w:rFonts w:ascii="宋体" w:hAnsi="宋体" w:cs="宋体"/>
          <w:b/>
          <w:bCs/>
          <w:color w:val="auto"/>
          <w:sz w:val="32"/>
          <w:szCs w:val="32"/>
        </w:rPr>
      </w:pPr>
    </w:p>
    <w:p>
      <w:pPr>
        <w:ind w:firstLine="1911" w:firstLineChars="595"/>
        <w:jc w:val="center"/>
        <w:rPr>
          <w:rFonts w:ascii="宋体" w:hAnsi="宋体" w:cs="宋体"/>
          <w:b/>
          <w:bCs/>
          <w:color w:val="auto"/>
          <w:sz w:val="32"/>
          <w:szCs w:val="32"/>
        </w:rPr>
      </w:pPr>
    </w:p>
    <w:p>
      <w:pPr>
        <w:ind w:firstLine="1911" w:firstLineChars="595"/>
        <w:jc w:val="center"/>
        <w:rPr>
          <w:rFonts w:ascii="宋体" w:hAnsi="宋体" w:cs="宋体"/>
          <w:b/>
          <w:bCs/>
          <w:color w:val="auto"/>
          <w:sz w:val="32"/>
          <w:szCs w:val="32"/>
        </w:rPr>
      </w:pPr>
    </w:p>
    <w:p>
      <w:pPr>
        <w:ind w:firstLine="1911" w:firstLineChars="595"/>
        <w:jc w:val="center"/>
        <w:rPr>
          <w:rFonts w:ascii="宋体" w:hAnsi="宋体" w:cs="宋体"/>
          <w:b/>
          <w:bCs/>
          <w:color w:val="auto"/>
          <w:sz w:val="32"/>
          <w:szCs w:val="32"/>
        </w:rPr>
      </w:pPr>
    </w:p>
    <w:p>
      <w:pPr>
        <w:jc w:val="center"/>
        <w:rPr>
          <w:rFonts w:ascii="宋体" w:hAnsi="宋体" w:cs="宋体"/>
          <w:b/>
          <w:color w:val="auto"/>
          <w:kern w:val="0"/>
          <w:sz w:val="32"/>
          <w:szCs w:val="21"/>
        </w:rPr>
      </w:pPr>
      <w:r>
        <w:rPr>
          <w:rFonts w:hint="eastAsia" w:ascii="宋体" w:hAnsi="宋体" w:cs="宋体"/>
          <w:b/>
          <w:bCs/>
          <w:color w:val="auto"/>
          <w:sz w:val="32"/>
          <w:szCs w:val="32"/>
        </w:rPr>
        <w:t>十八</w:t>
      </w:r>
      <w:r>
        <w:rPr>
          <w:rFonts w:hint="eastAsia" w:ascii="宋体" w:hAnsi="宋体" w:cs="宋体"/>
          <w:b/>
          <w:color w:val="auto"/>
          <w:kern w:val="0"/>
          <w:sz w:val="32"/>
          <w:szCs w:val="32"/>
        </w:rPr>
        <w:t>、</w:t>
      </w:r>
      <w:r>
        <w:rPr>
          <w:rFonts w:hint="eastAsia" w:ascii="宋体" w:hAnsi="宋体" w:cs="宋体"/>
          <w:b/>
          <w:color w:val="auto"/>
          <w:kern w:val="0"/>
          <w:sz w:val="32"/>
          <w:szCs w:val="21"/>
        </w:rPr>
        <w:t>承诺函</w:t>
      </w:r>
    </w:p>
    <w:p>
      <w:pPr>
        <w:widowControl/>
        <w:adjustRightInd/>
        <w:ind w:firstLine="640" w:firstLineChars="200"/>
        <w:jc w:val="left"/>
        <w:rPr>
          <w:rFonts w:ascii="宋体" w:hAnsi="宋体" w:cs="宋体"/>
          <w:color w:val="auto"/>
          <w:kern w:val="0"/>
          <w:sz w:val="32"/>
          <w:szCs w:val="21"/>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我方作为本次采购项目的谈判供应商，根据谈判文件要求，现郑重承诺如下：</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二、参加本次谈判采购活动，不存在与单位负责人为同一人或者存在直接控股、管理关系的其他供应商参与同一合同项下的政府采购活动的行为。</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三、为采购项目提供整体设计、规范编制或者项目管理、监理、检测等服务的供应商，不得再参加该采购项目的其他采购活动，我方承诺不属于此类禁止参加本项目的供应商。</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四、参加本次谈判采购活动，不存在和其他供应商在同一合同项下的采购项目中，同时委托同一个自然人、同一家庭的人员、同一单位的人员作为代理人的行为。</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五、响应文件中提供的能够给予我方带来优惠、好处的任何材料资料和技术、服务、商务、响应产品等响应承诺情况都是真实的、有效的、合法的。</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七、国家或行业主管部门对采购产品的技术标准、质量标准和资格资质条件等有强制性规定的，我方承诺符合其要求。</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八、参加本次谈判采购活动，我方完全同意谈判文件第三部分关于“谈判费用”、“合同分包”、“合同转包”、“履约保证金”的实质性要求，并承诺严格按照谈判文件要求履行。</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我方对上述承诺的内容事项真实性负责。如经查实上述承诺的内容事项存在虚假，我方愿意接受以提供虚假材料谋取中标追究法律责任。</w:t>
      </w:r>
    </w:p>
    <w:p>
      <w:pPr>
        <w:widowControl/>
        <w:adjustRightInd/>
        <w:spacing w:line="360" w:lineRule="auto"/>
        <w:ind w:firstLine="480" w:firstLineChars="200"/>
        <w:jc w:val="left"/>
        <w:rPr>
          <w:rFonts w:ascii="宋体" w:hAnsi="宋体" w:cs="宋体"/>
          <w:color w:val="auto"/>
          <w:kern w:val="0"/>
          <w:sz w:val="24"/>
        </w:rPr>
      </w:pPr>
    </w:p>
    <w:p>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w:t>
      </w:r>
    </w:p>
    <w:p>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cs="仿宋_GB2312" w:asciiTheme="minorEastAsia" w:hAnsiTheme="minorEastAsia" w:eastAsiaTheme="minorEastAsia"/>
          <w:b/>
          <w:color w:val="auto"/>
          <w:sz w:val="36"/>
          <w:szCs w:val="36"/>
        </w:rPr>
      </w:pP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jc w:val="center"/>
        <w:rPr>
          <w:rFonts w:ascii="宋体" w:hAnsi="宋体" w:cs="宋体"/>
          <w:b/>
          <w:bCs/>
          <w:color w:val="auto"/>
          <w:sz w:val="32"/>
          <w:szCs w:val="32"/>
        </w:rPr>
      </w:pPr>
    </w:p>
    <w:p>
      <w:pPr>
        <w:jc w:val="center"/>
        <w:rPr>
          <w:rFonts w:ascii="宋体" w:hAnsi="宋体" w:cs="宋体"/>
          <w:b/>
          <w:bCs/>
          <w:color w:val="auto"/>
          <w:sz w:val="32"/>
          <w:szCs w:val="32"/>
        </w:rPr>
      </w:pPr>
      <w:r>
        <w:rPr>
          <w:rFonts w:hint="eastAsia" w:ascii="宋体" w:hAnsi="宋体" w:cs="宋体"/>
          <w:b/>
          <w:bCs/>
          <w:color w:val="auto"/>
          <w:sz w:val="32"/>
          <w:szCs w:val="32"/>
        </w:rPr>
        <w:t>十九</w:t>
      </w:r>
      <w:r>
        <w:rPr>
          <w:rFonts w:hint="eastAsia" w:ascii="宋体" w:hAnsi="宋体" w:cs="宋体"/>
          <w:b/>
          <w:color w:val="auto"/>
          <w:kern w:val="0"/>
          <w:sz w:val="32"/>
          <w:szCs w:val="32"/>
        </w:rPr>
        <w:t>、</w:t>
      </w:r>
      <w:r>
        <w:rPr>
          <w:rFonts w:hint="eastAsia" w:ascii="宋体" w:hAnsi="宋体" w:cs="宋体"/>
          <w:b/>
          <w:bCs/>
          <w:color w:val="auto"/>
          <w:sz w:val="32"/>
          <w:szCs w:val="32"/>
        </w:rPr>
        <w:t>商务、服务（技术）响应、偏离情况说明表</w:t>
      </w:r>
    </w:p>
    <w:p>
      <w:pPr>
        <w:snapToGrid w:val="0"/>
        <w:spacing w:line="400" w:lineRule="exact"/>
        <w:ind w:firstLine="420" w:firstLineChars="200"/>
        <w:rPr>
          <w:rFonts w:asciiTheme="minorEastAsia" w:hAnsiTheme="minorEastAsia" w:eastAsiaTheme="minorEastAsia"/>
          <w:color w:val="auto"/>
          <w:szCs w:val="21"/>
        </w:rPr>
      </w:pPr>
    </w:p>
    <w:p>
      <w:pPr>
        <w:snapToGrid w:val="0"/>
        <w:spacing w:line="400" w:lineRule="exact"/>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p>
    <w:p>
      <w:pPr>
        <w:snapToGrid w:val="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项目编号:   </w:t>
      </w:r>
    </w:p>
    <w:p>
      <w:pPr>
        <w:pStyle w:val="2"/>
        <w:snapToGrid w:val="0"/>
        <w:spacing w:after="120" w:line="400" w:lineRule="exact"/>
        <w:ind w:firstLine="480" w:firstLineChars="200"/>
        <w:rPr>
          <w:rFonts w:asciiTheme="minorEastAsia" w:hAnsiTheme="minorEastAsia" w:eastAsiaTheme="minorEastAsia"/>
          <w:color w:val="auto"/>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谈判文件要求</w:t>
            </w:r>
          </w:p>
        </w:tc>
        <w:tc>
          <w:tcPr>
            <w:tcW w:w="2945" w:type="dxa"/>
            <w:tcBorders>
              <w:top w:val="single" w:color="auto" w:sz="4"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正偏离/无偏离/负偏离</w:t>
            </w:r>
          </w:p>
        </w:tc>
        <w:tc>
          <w:tcPr>
            <w:tcW w:w="1361" w:type="dxa"/>
            <w:tcBorders>
              <w:top w:val="single" w:color="auto" w:sz="4"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服务（技术）部分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2945"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heme="minorEastAsia" w:hAnsiTheme="minorEastAsia" w:eastAsiaTheme="minorEastAsia"/>
                <w:color w:val="auto"/>
                <w:sz w:val="24"/>
              </w:rPr>
            </w:pPr>
          </w:p>
        </w:tc>
        <w:tc>
          <w:tcPr>
            <w:tcW w:w="1464" w:type="dxa"/>
            <w:tcBorders>
              <w:top w:val="single" w:color="auto" w:sz="6" w:space="0"/>
              <w:left w:val="single" w:color="auto" w:sz="6"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olor w:val="auto"/>
                <w:sz w:val="24"/>
              </w:rPr>
            </w:pPr>
          </w:p>
        </w:tc>
        <w:tc>
          <w:tcPr>
            <w:tcW w:w="1361" w:type="dxa"/>
            <w:tcBorders>
              <w:top w:val="single" w:color="auto" w:sz="6"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olor w:val="auto"/>
                <w:sz w:val="24"/>
              </w:rPr>
            </w:pPr>
          </w:p>
        </w:tc>
      </w:tr>
    </w:tbl>
    <w:p>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说明：1.应写明谈判文件对商务与服务技术要求的响应和偏离情况</w:t>
      </w:r>
      <w:r>
        <w:rPr>
          <w:rFonts w:hint="eastAsia" w:asciiTheme="minorEastAsia" w:hAnsiTheme="minorEastAsia" w:eastAsiaTheme="minorEastAsia"/>
          <w:bCs/>
          <w:color w:val="auto"/>
          <w:sz w:val="24"/>
        </w:rPr>
        <w:t>；</w:t>
      </w:r>
    </w:p>
    <w:p>
      <w:pPr>
        <w:snapToGrid w:val="0"/>
        <w:spacing w:line="400" w:lineRule="exact"/>
        <w:ind w:firstLine="720" w:firstLineChars="300"/>
        <w:rPr>
          <w:rFonts w:asciiTheme="minorEastAsia" w:hAnsiTheme="minorEastAsia" w:eastAsiaTheme="minorEastAsia"/>
          <w:color w:val="auto"/>
          <w:sz w:val="24"/>
        </w:rPr>
      </w:pPr>
      <w:r>
        <w:rPr>
          <w:rFonts w:hint="eastAsia" w:asciiTheme="minorEastAsia" w:hAnsiTheme="minorEastAsia" w:eastAsiaTheme="minorEastAsia"/>
          <w:color w:val="auto"/>
          <w:sz w:val="24"/>
        </w:rPr>
        <w:t>2.应对照谈判文件“第四部分  采购需求”，逐条说明所提供货物、服务已对谈判文件的商务、服务、技术要求做出了实质性的响应，并申明与采购项目要求的偏离情况。特别对有具体商务、服务、技术要求的，供应商必须提供对应的详细应答。如果仅注明“符合”、“满足”或简单复制谈判文件要求，将导致谈判被拒绝。</w:t>
      </w:r>
    </w:p>
    <w:p>
      <w:pPr>
        <w:snapToGrid w:val="0"/>
        <w:spacing w:line="400" w:lineRule="exact"/>
        <w:rPr>
          <w:rFonts w:cs="Courier New" w:asciiTheme="minorEastAsia" w:hAnsiTheme="minorEastAsia" w:eastAsiaTheme="minorEastAsia"/>
          <w:color w:val="auto"/>
          <w:sz w:val="24"/>
        </w:rPr>
      </w:pPr>
    </w:p>
    <w:p>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w:t>
      </w:r>
    </w:p>
    <w:p>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spacing w:line="360" w:lineRule="auto"/>
        <w:jc w:val="center"/>
        <w:rPr>
          <w:rFonts w:cs="仿宋_GB2312" w:asciiTheme="minorEastAsia" w:hAnsiTheme="minorEastAsia" w:eastAsiaTheme="minorEastAsia"/>
          <w:b/>
          <w:color w:val="auto"/>
          <w:sz w:val="36"/>
          <w:szCs w:val="36"/>
        </w:rPr>
      </w:pPr>
    </w:p>
    <w:p>
      <w:pPr>
        <w:jc w:val="center"/>
        <w:rPr>
          <w:rFonts w:ascii="宋体" w:hAnsi="宋体" w:cs="宋体"/>
          <w:b/>
          <w:bCs/>
          <w:color w:val="auto"/>
          <w:sz w:val="32"/>
          <w:szCs w:val="32"/>
        </w:rPr>
      </w:pPr>
      <w:r>
        <w:rPr>
          <w:rFonts w:hint="eastAsia" w:ascii="宋体" w:hAnsi="宋体" w:cs="宋体"/>
          <w:b/>
          <w:bCs/>
          <w:color w:val="auto"/>
          <w:sz w:val="32"/>
          <w:szCs w:val="32"/>
        </w:rPr>
        <w:t>二十</w:t>
      </w:r>
      <w:r>
        <w:rPr>
          <w:rFonts w:hint="eastAsia" w:ascii="宋体" w:hAnsi="宋体" w:cs="宋体"/>
          <w:b/>
          <w:color w:val="auto"/>
          <w:kern w:val="0"/>
          <w:sz w:val="32"/>
          <w:szCs w:val="32"/>
        </w:rPr>
        <w:t>、</w:t>
      </w:r>
      <w:r>
        <w:rPr>
          <w:rFonts w:hint="eastAsia" w:ascii="宋体" w:hAnsi="宋体" w:cs="宋体"/>
          <w:b/>
          <w:bCs/>
          <w:color w:val="auto"/>
          <w:sz w:val="32"/>
          <w:szCs w:val="32"/>
        </w:rPr>
        <w:t>初始报价表</w:t>
      </w:r>
    </w:p>
    <w:p>
      <w:pPr>
        <w:pStyle w:val="631"/>
        <w:jc w:val="center"/>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（初始报价表格式参照第八部分  最后报价格式）</w:t>
      </w:r>
    </w:p>
    <w:p>
      <w:pPr>
        <w:snapToGrid w:val="0"/>
        <w:spacing w:line="400" w:lineRule="exact"/>
        <w:ind w:firstLine="420" w:firstLineChars="200"/>
        <w:rPr>
          <w:rFonts w:asciiTheme="minorEastAsia" w:hAnsiTheme="minorEastAsia" w:eastAsiaTheme="minorEastAsia"/>
          <w:color w:val="auto"/>
          <w:szCs w:val="21"/>
        </w:rPr>
      </w:pPr>
    </w:p>
    <w:p>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17" w:type="first"/>
          <w:footerReference r:id="rId20" w:type="first"/>
          <w:headerReference r:id="rId16" w:type="default"/>
          <w:footerReference r:id="rId18" w:type="default"/>
          <w:footerReference r:id="rId19" w:type="even"/>
          <w:pgSz w:w="11906" w:h="16838"/>
          <w:pgMar w:top="1134" w:right="1134" w:bottom="1134" w:left="1134" w:header="851" w:footer="992" w:gutter="0"/>
          <w:cols w:space="720" w:num="1"/>
          <w:titlePg/>
          <w:docGrid w:linePitch="312" w:charSpace="0"/>
        </w:sectPr>
      </w:pPr>
    </w:p>
    <w:p>
      <w:pPr>
        <w:pStyle w:val="392"/>
        <w:ind w:firstLine="0" w:firstLineChars="0"/>
        <w:jc w:val="center"/>
        <w:outlineLvl w:val="0"/>
        <w:rPr>
          <w:rFonts w:cs="仿宋_GB2312" w:asciiTheme="minorEastAsia" w:hAnsiTheme="minorEastAsia" w:eastAsiaTheme="minorEastAsia"/>
          <w:b/>
          <w:color w:val="auto"/>
          <w:sz w:val="36"/>
          <w:szCs w:val="36"/>
        </w:rPr>
      </w:pPr>
      <w:bookmarkStart w:id="75" w:name="_Toc181265288"/>
      <w:r>
        <w:rPr>
          <w:rFonts w:hint="eastAsia" w:cs="仿宋_GB2312" w:asciiTheme="minorEastAsia" w:hAnsiTheme="minorEastAsia" w:eastAsiaTheme="minorEastAsia"/>
          <w:b/>
          <w:color w:val="auto"/>
          <w:sz w:val="36"/>
          <w:szCs w:val="36"/>
        </w:rPr>
        <w:t>第八部分  最后报价格式</w:t>
      </w:r>
      <w:bookmarkEnd w:id="75"/>
    </w:p>
    <w:p>
      <w:pPr>
        <w:pStyle w:val="631"/>
        <w:jc w:val="center"/>
        <w:rPr>
          <w:rFonts w:cs="仿宋_GB2312" w:asciiTheme="minorEastAsia" w:hAnsiTheme="minorEastAsia" w:eastAsiaTheme="minorEastAsia"/>
          <w:color w:val="auto"/>
          <w:lang w:val="zh-CN"/>
        </w:rPr>
      </w:pPr>
      <w:r>
        <w:rPr>
          <w:rFonts w:hint="eastAsia" w:asciiTheme="minorEastAsia" w:hAnsiTheme="minorEastAsia" w:eastAsiaTheme="minorEastAsia"/>
          <w:b/>
          <w:color w:val="auto"/>
          <w:sz w:val="32"/>
          <w:szCs w:val="32"/>
        </w:rPr>
        <w:t>（一）</w:t>
      </w:r>
      <w:r>
        <w:rPr>
          <w:rFonts w:hint="eastAsia"/>
          <w:b/>
          <w:color w:val="auto"/>
          <w:sz w:val="32"/>
          <w:szCs w:val="32"/>
        </w:rPr>
        <w:t>报价一览表（货物类）</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pStyle w:val="631"/>
        <w:jc w:val="center"/>
        <w:rPr>
          <w:b/>
          <w:color w:val="auto"/>
          <w:sz w:val="32"/>
          <w:szCs w:val="32"/>
        </w:rPr>
      </w:pPr>
      <w:r>
        <w:rPr>
          <w:rFonts w:hint="eastAsia" w:cs="仿宋_GB2312" w:asciiTheme="minorEastAsia" w:hAnsiTheme="minorEastAsia" w:eastAsiaTheme="minorEastAsia"/>
          <w:b/>
          <w:color w:val="auto"/>
          <w:lang w:val="zh-CN"/>
        </w:rPr>
        <w:t>报价一览表(单位均为人民币元)</w:t>
      </w:r>
    </w:p>
    <w:tbl>
      <w:tblPr>
        <w:tblStyle w:val="61"/>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生产厂家、</w:t>
            </w: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谈判报价（小写）</w:t>
            </w:r>
          </w:p>
        </w:tc>
        <w:tc>
          <w:tcPr>
            <w:tcW w:w="7655" w:type="dxa"/>
            <w:gridSpan w:val="4"/>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谈判报价（大写）</w:t>
            </w:r>
          </w:p>
        </w:tc>
        <w:tc>
          <w:tcPr>
            <w:tcW w:w="7655" w:type="dxa"/>
            <w:gridSpan w:val="4"/>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cs="宋体" w:asciiTheme="minorEastAsia" w:hAnsiTheme="minorEastAsia" w:eastAsiaTheme="minorEastAsia"/>
          <w:color w:val="auto"/>
          <w:kern w:val="0"/>
          <w:sz w:val="24"/>
          <w:lang w:val="zh-CN"/>
        </w:rPr>
        <w:t>供应商</w:t>
      </w:r>
      <w:r>
        <w:rPr>
          <w:rFonts w:hint="eastAsia" w:ascii="宋体" w:hAnsi="宋体" w:cs="宋体"/>
          <w:color w:val="auto"/>
          <w:kern w:val="0"/>
          <w:sz w:val="24"/>
          <w:lang w:val="zh-CN"/>
        </w:rPr>
        <w:t>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宋体" w:asciiTheme="minorEastAsia" w:hAnsiTheme="minorEastAsia" w:eastAsiaTheme="minorEastAsia"/>
          <w:b/>
          <w:color w:val="auto"/>
          <w:kern w:val="0"/>
          <w:sz w:val="24"/>
          <w:lang w:val="zh-CN"/>
        </w:rPr>
        <w:t>最后报价一览表</w:t>
      </w:r>
      <w:r>
        <w:rPr>
          <w:rFonts w:hint="eastAsia" w:ascii="宋体" w:hAnsi="宋体" w:cs="宋体"/>
          <w:b/>
          <w:color w:val="auto"/>
          <w:kern w:val="0"/>
          <w:sz w:val="24"/>
          <w:lang w:val="zh-CN"/>
        </w:rPr>
        <w:t>》名称栏中，</w:t>
      </w:r>
      <w:r>
        <w:rPr>
          <w:rFonts w:hint="eastAsia" w:cs="宋体" w:asciiTheme="minorEastAsia" w:hAnsiTheme="minorEastAsia" w:eastAsiaTheme="minorEastAsia"/>
          <w:b/>
          <w:color w:val="auto"/>
          <w:kern w:val="0"/>
          <w:sz w:val="24"/>
          <w:lang w:val="zh-CN"/>
        </w:rPr>
        <w:t>供应商</w:t>
      </w:r>
      <w:r>
        <w:rPr>
          <w:rFonts w:hint="eastAsia" w:ascii="宋体" w:hAnsi="宋体" w:cs="宋体"/>
          <w:b/>
          <w:color w:val="auto"/>
          <w:kern w:val="0"/>
          <w:sz w:val="24"/>
          <w:lang w:val="zh-CN"/>
        </w:rPr>
        <w:t>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3、特别提示：采购代理机构将对项目名称和项目编号，成交供应商名称、地址和中标金额，主要中标标的名称、品牌（如果有）、规格型号、数量、单价等予以公示。</w:t>
      </w:r>
    </w:p>
    <w:p>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cs="仿宋_GB2312" w:asciiTheme="minorEastAsia" w:hAnsiTheme="minorEastAsia" w:eastAsiaTheme="minorEastAsia"/>
          <w:color w:val="auto"/>
          <w:kern w:val="0"/>
          <w:sz w:val="24"/>
          <w:lang w:val="zh-CN"/>
        </w:rPr>
        <w:t>符合谈判文件中列明的可享受中小企业扶持政策的供应商，请填写中小企业声明函。注：供应商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szCs w:val="22"/>
          <w:lang w:val="zh-CN"/>
        </w:rPr>
        <w:t>5、</w:t>
      </w:r>
      <w:r>
        <w:rPr>
          <w:rFonts w:hint="eastAsia" w:cs="仿宋_GB2312" w:asciiTheme="minorEastAsia" w:hAnsiTheme="minorEastAsia" w:eastAsiaTheme="minorEastAsia"/>
          <w:color w:val="auto"/>
          <w:kern w:val="0"/>
          <w:sz w:val="24"/>
          <w:lang w:val="zh-CN"/>
        </w:rPr>
        <w:t>如有多轮报价，则每轮报价</w:t>
      </w:r>
      <w:r>
        <w:rPr>
          <w:rFonts w:hint="eastAsia" w:cs="宋体" w:asciiTheme="minorEastAsia" w:hAnsiTheme="minorEastAsia" w:eastAsiaTheme="minorEastAsia"/>
          <w:color w:val="auto"/>
          <w:kern w:val="0"/>
          <w:sz w:val="24"/>
          <w:lang w:val="zh-CN"/>
        </w:rPr>
        <w:t>供应商均</w:t>
      </w:r>
      <w:r>
        <w:rPr>
          <w:rFonts w:hint="eastAsia" w:ascii="宋体" w:hAnsi="宋体" w:cs="宋体"/>
          <w:color w:val="auto"/>
          <w:kern w:val="0"/>
          <w:sz w:val="24"/>
          <w:lang w:val="zh-CN"/>
        </w:rPr>
        <w:t>需按本表格式填写</w:t>
      </w:r>
      <w:r>
        <w:rPr>
          <w:rFonts w:cs="仿宋_GB2312" w:asciiTheme="minorEastAsia" w:hAnsiTheme="minorEastAsia" w:eastAsiaTheme="minorEastAsia"/>
          <w:color w:val="auto"/>
          <w:kern w:val="0"/>
          <w:sz w:val="24"/>
          <w:lang w:val="zh-CN"/>
        </w:rPr>
        <w:t>。</w:t>
      </w:r>
    </w:p>
    <w:p>
      <w:pPr>
        <w:snapToGrid w:val="0"/>
        <w:spacing w:line="360" w:lineRule="auto"/>
        <w:ind w:firstLine="480" w:firstLineChars="200"/>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firstLine="9360" w:firstLineChars="39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w:t>
      </w:r>
    </w:p>
    <w:p>
      <w:pPr>
        <w:autoSpaceDE w:val="0"/>
        <w:autoSpaceDN w:val="0"/>
        <w:spacing w:line="360" w:lineRule="auto"/>
        <w:ind w:left="2" w:leftChars="1" w:firstLine="9720" w:firstLineChars="405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pPr>
        <w:spacing w:line="360" w:lineRule="auto"/>
        <w:ind w:left="4620" w:leftChars="2200" w:firstLine="5160" w:firstLineChars="215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spacing w:line="360" w:lineRule="auto"/>
        <w:ind w:firstLine="482" w:firstLineChars="200"/>
        <w:rPr>
          <w:rFonts w:ascii="宋体" w:hAnsi="宋体" w:cs="宋体"/>
          <w:b/>
          <w:color w:val="auto"/>
          <w:kern w:val="0"/>
          <w:sz w:val="24"/>
        </w:rPr>
      </w:pPr>
    </w:p>
    <w:p>
      <w:pPr>
        <w:pStyle w:val="4"/>
        <w:rPr>
          <w:color w:val="auto"/>
        </w:rPr>
        <w:sectPr>
          <w:pgSz w:w="16838" w:h="11906" w:orient="landscape"/>
          <w:pgMar w:top="1134" w:right="1134" w:bottom="1134" w:left="1134" w:header="851" w:footer="992" w:gutter="0"/>
          <w:cols w:space="720" w:num="1"/>
          <w:titlePg/>
          <w:docGrid w:linePitch="312" w:charSpace="0"/>
        </w:sectPr>
      </w:pPr>
    </w:p>
    <w:p>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（二）中小企业声明函</w:t>
      </w:r>
      <w:bookmarkStart w:id="76" w:name="_Toc465665161"/>
      <w:r>
        <w:rPr>
          <w:rFonts w:hint="eastAsia" w:asciiTheme="minorEastAsia" w:hAnsiTheme="minorEastAsia" w:eastAsiaTheme="minorEastAsia"/>
          <w:b/>
          <w:color w:val="auto"/>
          <w:sz w:val="32"/>
          <w:szCs w:val="32"/>
        </w:rPr>
        <w:t>（如果有）</w:t>
      </w:r>
    </w:p>
    <w:p>
      <w:pPr>
        <w:widowControl/>
        <w:spacing w:line="360" w:lineRule="auto"/>
        <w:ind w:firstLine="120" w:firstLineChars="50"/>
        <w:jc w:val="left"/>
        <w:rPr>
          <w:rFonts w:cs="宋体" w:asciiTheme="minorEastAsia" w:hAnsiTheme="minorEastAsia" w:eastAsiaTheme="minorEastAsia"/>
          <w:b/>
          <w:color w:val="auto"/>
          <w:sz w:val="24"/>
        </w:rPr>
      </w:pPr>
    </w:p>
    <w:p>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竞争性谈判邀请公告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pPr>
        <w:widowControl/>
        <w:adjustRightInd/>
        <w:jc w:val="center"/>
        <w:rPr>
          <w:rFonts w:cs="仿宋_GB2312" w:asciiTheme="minorEastAsia" w:hAnsiTheme="minorEastAsia" w:eastAsiaTheme="minorEastAsia"/>
          <w:color w:val="auto"/>
          <w:sz w:val="24"/>
        </w:rPr>
      </w:pPr>
    </w:p>
    <w:p>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pPr>
        <w:pStyle w:val="631"/>
        <w:rPr>
          <w:color w:val="auto"/>
        </w:rPr>
      </w:pPr>
      <w:r>
        <w:rPr>
          <w:rFonts w:hint="eastAsia"/>
          <w:color w:val="auto"/>
        </w:rPr>
        <w:t>附件</w:t>
      </w:r>
      <w:bookmarkEnd w:id="76"/>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rPr>
      </w:pPr>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pPr>
        <w:spacing w:line="360" w:lineRule="auto"/>
        <w:rPr>
          <w:rFonts w:asciiTheme="minorEastAsia" w:hAnsiTheme="minorEastAsia" w:eastAsiaTheme="minorEastAsia"/>
          <w:b/>
          <w:color w:val="auto"/>
          <w:spacing w:val="6"/>
          <w:sz w:val="32"/>
          <w:szCs w:val="32"/>
        </w:rPr>
      </w:pPr>
    </w:p>
    <w:p>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pPr>
        <w:spacing w:line="360" w:lineRule="auto"/>
        <w:rPr>
          <w:rFonts w:asciiTheme="minorEastAsia" w:hAnsiTheme="minorEastAsia" w:eastAsiaTheme="minorEastAsia"/>
          <w:b/>
          <w:color w:val="auto"/>
          <w:spacing w:val="6"/>
          <w:sz w:val="30"/>
          <w:szCs w:val="30"/>
        </w:rPr>
      </w:pP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rPr>
      </w:pPr>
    </w:p>
    <w:p>
      <w:pPr>
        <w:spacing w:line="360" w:lineRule="auto"/>
        <w:ind w:firstLine="480" w:firstLineChars="200"/>
        <w:rPr>
          <w:rFonts w:cs="仿宋_GB2312" w:asciiTheme="minorEastAsia" w:hAnsiTheme="minorEastAsia" w:eastAsiaTheme="minorEastAsia"/>
          <w:color w:val="auto"/>
          <w:sz w:val="24"/>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w:t>
      </w: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sz w:val="24"/>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pPr>
        <w:spacing w:line="360" w:lineRule="auto"/>
        <w:ind w:firstLine="480" w:firstLineChars="200"/>
        <w:rPr>
          <w:rFonts w:cs="仿宋_GB2312" w:asciiTheme="minorEastAsia" w:hAnsiTheme="minorEastAsia" w:eastAsiaTheme="minorEastAsia"/>
          <w:color w:val="auto"/>
          <w:sz w:val="24"/>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pPr>
        <w:spacing w:line="360" w:lineRule="auto"/>
        <w:jc w:val="left"/>
        <w:rPr>
          <w:rFonts w:cs="仿宋_GB2312" w:asciiTheme="minorEastAsia" w:hAnsiTheme="minorEastAsia" w:eastAsiaTheme="minorEastAsia"/>
          <w:b/>
          <w:color w:val="auto"/>
          <w:sz w:val="24"/>
        </w:rPr>
      </w:pPr>
    </w:p>
    <w:p>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pPr>
        <w:autoSpaceDE w:val="0"/>
        <w:autoSpaceDN w:val="0"/>
        <w:jc w:val="center"/>
        <w:rPr>
          <w:rFonts w:asciiTheme="minorEastAsia" w:hAnsiTheme="minorEastAsia" w:eastAsiaTheme="minorEastAsia"/>
          <w:b/>
          <w:bCs/>
          <w:color w:val="auto"/>
          <w:sz w:val="32"/>
          <w:szCs w:val="32"/>
        </w:rPr>
      </w:pPr>
    </w:p>
    <w:p>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pPr>
        <w:widowControl/>
        <w:spacing w:line="360" w:lineRule="auto"/>
        <w:ind w:firstLine="480" w:firstLineChars="200"/>
        <w:jc w:val="left"/>
        <w:rPr>
          <w:rFonts w:cs="宋体" w:asciiTheme="minorEastAsia" w:hAnsiTheme="minorEastAsia" w:eastAsiaTheme="minorEastAsia"/>
          <w:color w:val="auto"/>
          <w:kern w:val="0"/>
          <w:sz w:val="24"/>
        </w:rPr>
      </w:pPr>
    </w:p>
    <w:p>
      <w:pPr>
        <w:snapToGrid w:val="0"/>
        <w:spacing w:line="360" w:lineRule="auto"/>
        <w:jc w:val="cente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cs="宋体" w:asciiTheme="minorEastAsia" w:hAnsiTheme="minorEastAsia" w:eastAsiaTheme="minorEastAsia"/>
          <w:color w:val="auto"/>
          <w:kern w:val="0"/>
          <w:sz w:val="24"/>
          <w:lang w:val="zh-CN"/>
        </w:rPr>
        <w:t>谈判供应商名称(公章)</w:t>
      </w:r>
      <w:r>
        <w:rPr>
          <w:rFonts w:hint="eastAsia" w:cs="仿宋_GB2312" w:asciiTheme="minorEastAsia" w:hAnsiTheme="minorEastAsia" w:eastAsiaTheme="minorEastAsia"/>
          <w:color w:val="auto"/>
          <w:kern w:val="0"/>
          <w:sz w:val="24"/>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rPr>
      </w:pPr>
    </w:p>
    <w:p>
      <w:pPr>
        <w:spacing w:line="360" w:lineRule="auto"/>
        <w:ind w:firstLine="482" w:firstLineChars="200"/>
        <w:rPr>
          <w:rFonts w:cs="仿宋_GB2312" w:asciiTheme="minorEastAsia" w:hAnsiTheme="minorEastAsia" w:eastAsiaTheme="minorEastAsia"/>
          <w:b/>
          <w:color w:val="auto"/>
          <w:sz w:val="24"/>
        </w:rPr>
      </w:pPr>
    </w:p>
    <w:sectPr>
      <w:pgSz w:w="11906" w:h="16838"/>
      <w:pgMar w:top="1134" w:right="1134" w:bottom="1134" w:left="1134"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华文楷体">
    <w:altName w:val="楷体_GB2312"/>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77" w:name="_Toc91899912"/>
    <w:bookmarkStart w:id="78" w:name="_Toc131845147"/>
    <w:bookmarkStart w:id="79" w:name="_Toc36110187"/>
    <w:bookmarkStart w:id="80" w:name="_Toc164085800"/>
    <w:r>
      <w:rPr>
        <w:rFonts w:hint="eastAsia" w:ascii="仿宋_GB2312" w:eastAsia="仿宋_GB2312"/>
        <w:kern w:val="0"/>
        <w:szCs w:val="21"/>
      </w:rPr>
      <w:t xml:space="preserve"> 页</w:t>
    </w:r>
    <w:bookmarkEnd w:id="77"/>
    <w:bookmarkEnd w:id="78"/>
    <w:bookmarkEnd w:id="79"/>
    <w:bookmarkEnd w:id="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sz w:val="18"/>
        <w:u w:val="single"/>
      </w:rPr>
    </w:pPr>
    <w:r>
      <w:rPr>
        <w:rFonts w:hint="eastAsia" w:eastAsia="仿宋_GB2312"/>
        <w:b w:val="0"/>
        <w:i/>
        <w:sz w:val="18"/>
        <w:u w:val="single"/>
      </w:rPr>
      <w:t xml:space="preserve">                                                                     </w:t>
    </w:r>
    <w:r>
      <w:rPr>
        <w:rFonts w:hint="eastAsia" w:eastAsia="仿宋_GB2312"/>
        <w:b w:val="0"/>
        <w:sz w:val="18"/>
        <w:u w:val="single"/>
      </w:rPr>
      <w:t xml:space="preserve"> </w:t>
    </w:r>
    <w:r>
      <w:rPr>
        <w:rFonts w:hint="eastAsia" w:eastAsia="仿宋_GB2312"/>
        <w:b w:val="0"/>
        <w:sz w:val="18"/>
        <w:szCs w:val="18"/>
        <w:u w:val="single"/>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rPr>
      <w:t xml:space="preserve">         </w:t>
    </w:r>
  </w:p>
  <w:p>
    <w:pPr>
      <w:pStyle w:val="39"/>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spacing w:after="12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spacing w:after="120"/>
    </w:pPr>
    <w:r>
      <w:t></w:t>
    </w:r>
    <w:r>
      <w:rPr>
        <w:rFonts w:hint="eastAsia"/>
      </w:rPr>
      <w:t xml:space="preserve">         </w:t>
    </w:r>
  </w:p>
  <w:p>
    <w:pPr>
      <w:pStyle w:val="39"/>
      <w:spacing w:after="12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Cs/>
      </w:rPr>
      <w:t>北海市政府采购竞争性谈判文件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Cs/>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453E54C8"/>
    <w:multiLevelType w:val="singleLevel"/>
    <w:tmpl w:val="453E54C8"/>
    <w:lvl w:ilvl="0" w:tentative="0">
      <w:start w:val="2"/>
      <w:numFmt w:val="chineseCounting"/>
      <w:suff w:val="nothing"/>
      <w:lvlText w:val="%1、"/>
      <w:lvlJc w:val="left"/>
      <w:rPr>
        <w:rFonts w:hint="eastAsia"/>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464"/>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9FB"/>
    <w:rsid w:val="00083DDA"/>
    <w:rsid w:val="0008580E"/>
    <w:rsid w:val="00085A0E"/>
    <w:rsid w:val="00086F8A"/>
    <w:rsid w:val="000904F6"/>
    <w:rsid w:val="00090D4C"/>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A76EA"/>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560"/>
    <w:rsid w:val="000D7902"/>
    <w:rsid w:val="000D7CE0"/>
    <w:rsid w:val="000E1AEC"/>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30C3"/>
    <w:rsid w:val="00143E9B"/>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08A"/>
    <w:rsid w:val="001A07F8"/>
    <w:rsid w:val="001A1D48"/>
    <w:rsid w:val="001A1F0E"/>
    <w:rsid w:val="001A1F2D"/>
    <w:rsid w:val="001A468D"/>
    <w:rsid w:val="001A473A"/>
    <w:rsid w:val="001A4996"/>
    <w:rsid w:val="001A5785"/>
    <w:rsid w:val="001A66A6"/>
    <w:rsid w:val="001A6BBB"/>
    <w:rsid w:val="001A79A2"/>
    <w:rsid w:val="001B13BF"/>
    <w:rsid w:val="001B16F5"/>
    <w:rsid w:val="001B1992"/>
    <w:rsid w:val="001B1BD9"/>
    <w:rsid w:val="001B1C1F"/>
    <w:rsid w:val="001B219B"/>
    <w:rsid w:val="001B2703"/>
    <w:rsid w:val="001B2ABD"/>
    <w:rsid w:val="001B4272"/>
    <w:rsid w:val="001B46B2"/>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D55"/>
    <w:rsid w:val="001D21EF"/>
    <w:rsid w:val="001D330D"/>
    <w:rsid w:val="001D4AD3"/>
    <w:rsid w:val="001D5A94"/>
    <w:rsid w:val="001E07DA"/>
    <w:rsid w:val="001E1ABC"/>
    <w:rsid w:val="001E43FB"/>
    <w:rsid w:val="001E59FB"/>
    <w:rsid w:val="001E63F8"/>
    <w:rsid w:val="001E787E"/>
    <w:rsid w:val="001E78CC"/>
    <w:rsid w:val="001F087C"/>
    <w:rsid w:val="001F0DA4"/>
    <w:rsid w:val="001F0FD1"/>
    <w:rsid w:val="001F1F18"/>
    <w:rsid w:val="001F2F92"/>
    <w:rsid w:val="001F3396"/>
    <w:rsid w:val="001F6095"/>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427"/>
    <w:rsid w:val="00217DE5"/>
    <w:rsid w:val="002204BC"/>
    <w:rsid w:val="0022187F"/>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1C6"/>
    <w:rsid w:val="002A02D6"/>
    <w:rsid w:val="002A07C4"/>
    <w:rsid w:val="002A0921"/>
    <w:rsid w:val="002A108E"/>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959"/>
    <w:rsid w:val="00303AB6"/>
    <w:rsid w:val="00304455"/>
    <w:rsid w:val="00304640"/>
    <w:rsid w:val="00304AC1"/>
    <w:rsid w:val="00305007"/>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AB"/>
    <w:rsid w:val="0032226B"/>
    <w:rsid w:val="00324B2F"/>
    <w:rsid w:val="00326106"/>
    <w:rsid w:val="003262E4"/>
    <w:rsid w:val="003269B7"/>
    <w:rsid w:val="003272E4"/>
    <w:rsid w:val="003301D9"/>
    <w:rsid w:val="00330E88"/>
    <w:rsid w:val="00330FE8"/>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36BF"/>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5B65"/>
    <w:rsid w:val="0038637D"/>
    <w:rsid w:val="00386C07"/>
    <w:rsid w:val="00386F58"/>
    <w:rsid w:val="0038700D"/>
    <w:rsid w:val="0038701B"/>
    <w:rsid w:val="003871A7"/>
    <w:rsid w:val="00390C0D"/>
    <w:rsid w:val="00391447"/>
    <w:rsid w:val="003922DE"/>
    <w:rsid w:val="00393B84"/>
    <w:rsid w:val="00393C6A"/>
    <w:rsid w:val="003944EA"/>
    <w:rsid w:val="00394639"/>
    <w:rsid w:val="003962E6"/>
    <w:rsid w:val="00396831"/>
    <w:rsid w:val="00397EE1"/>
    <w:rsid w:val="003A03EF"/>
    <w:rsid w:val="003A12B6"/>
    <w:rsid w:val="003A20D5"/>
    <w:rsid w:val="003A24CC"/>
    <w:rsid w:val="003A2EE8"/>
    <w:rsid w:val="003A373C"/>
    <w:rsid w:val="003A3E10"/>
    <w:rsid w:val="003A3FD6"/>
    <w:rsid w:val="003A5378"/>
    <w:rsid w:val="003A5567"/>
    <w:rsid w:val="003A7E2B"/>
    <w:rsid w:val="003A7E40"/>
    <w:rsid w:val="003B0336"/>
    <w:rsid w:val="003B0A3A"/>
    <w:rsid w:val="003B452B"/>
    <w:rsid w:val="003B4810"/>
    <w:rsid w:val="003B514E"/>
    <w:rsid w:val="003B5581"/>
    <w:rsid w:val="003B5E0A"/>
    <w:rsid w:val="003B613B"/>
    <w:rsid w:val="003B636A"/>
    <w:rsid w:val="003B6AF1"/>
    <w:rsid w:val="003B7D14"/>
    <w:rsid w:val="003C011C"/>
    <w:rsid w:val="003C2400"/>
    <w:rsid w:val="003C435B"/>
    <w:rsid w:val="003C4EBE"/>
    <w:rsid w:val="003C685A"/>
    <w:rsid w:val="003C6B25"/>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3FB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3ABD"/>
    <w:rsid w:val="004246BC"/>
    <w:rsid w:val="00424F1A"/>
    <w:rsid w:val="00425724"/>
    <w:rsid w:val="00426B2C"/>
    <w:rsid w:val="00427FA8"/>
    <w:rsid w:val="004306D4"/>
    <w:rsid w:val="00431C44"/>
    <w:rsid w:val="00432827"/>
    <w:rsid w:val="00432ECA"/>
    <w:rsid w:val="00435515"/>
    <w:rsid w:val="004357B1"/>
    <w:rsid w:val="00436CCE"/>
    <w:rsid w:val="004379BB"/>
    <w:rsid w:val="00440262"/>
    <w:rsid w:val="00440814"/>
    <w:rsid w:val="00440844"/>
    <w:rsid w:val="004439F0"/>
    <w:rsid w:val="00443EDE"/>
    <w:rsid w:val="0044739A"/>
    <w:rsid w:val="004475F7"/>
    <w:rsid w:val="00447DFB"/>
    <w:rsid w:val="00450B22"/>
    <w:rsid w:val="00452AB8"/>
    <w:rsid w:val="004533CE"/>
    <w:rsid w:val="004543AB"/>
    <w:rsid w:val="00455F71"/>
    <w:rsid w:val="00456272"/>
    <w:rsid w:val="00457CF7"/>
    <w:rsid w:val="00457D37"/>
    <w:rsid w:val="00457ED4"/>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03DA"/>
    <w:rsid w:val="004A1DBC"/>
    <w:rsid w:val="004A1EA7"/>
    <w:rsid w:val="004A2C96"/>
    <w:rsid w:val="004A4125"/>
    <w:rsid w:val="004A5D1E"/>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3B25"/>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3D8B"/>
    <w:rsid w:val="0051440E"/>
    <w:rsid w:val="00514F0B"/>
    <w:rsid w:val="005160EA"/>
    <w:rsid w:val="005173F3"/>
    <w:rsid w:val="00517AC8"/>
    <w:rsid w:val="00517C3E"/>
    <w:rsid w:val="005212F4"/>
    <w:rsid w:val="00521305"/>
    <w:rsid w:val="0052178F"/>
    <w:rsid w:val="00521908"/>
    <w:rsid w:val="00523606"/>
    <w:rsid w:val="005251BE"/>
    <w:rsid w:val="005256D6"/>
    <w:rsid w:val="00525AD8"/>
    <w:rsid w:val="00525C01"/>
    <w:rsid w:val="00526429"/>
    <w:rsid w:val="005266C1"/>
    <w:rsid w:val="005267F4"/>
    <w:rsid w:val="00527317"/>
    <w:rsid w:val="00527ED6"/>
    <w:rsid w:val="00531064"/>
    <w:rsid w:val="005335A2"/>
    <w:rsid w:val="00533DEC"/>
    <w:rsid w:val="005363D3"/>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035"/>
    <w:rsid w:val="00546BF8"/>
    <w:rsid w:val="00550B7E"/>
    <w:rsid w:val="00551B96"/>
    <w:rsid w:val="00551EE7"/>
    <w:rsid w:val="005524ED"/>
    <w:rsid w:val="00554C03"/>
    <w:rsid w:val="005550F9"/>
    <w:rsid w:val="0055525C"/>
    <w:rsid w:val="00556386"/>
    <w:rsid w:val="00556441"/>
    <w:rsid w:val="0055693D"/>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EC5"/>
    <w:rsid w:val="00581F85"/>
    <w:rsid w:val="00583D43"/>
    <w:rsid w:val="005846C3"/>
    <w:rsid w:val="00584F04"/>
    <w:rsid w:val="0058577D"/>
    <w:rsid w:val="005857F7"/>
    <w:rsid w:val="0058589A"/>
    <w:rsid w:val="005871F6"/>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99E"/>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12DE"/>
    <w:rsid w:val="005C2294"/>
    <w:rsid w:val="005C3344"/>
    <w:rsid w:val="005C4C71"/>
    <w:rsid w:val="005C4E4D"/>
    <w:rsid w:val="005C5A97"/>
    <w:rsid w:val="005C679D"/>
    <w:rsid w:val="005C6D5D"/>
    <w:rsid w:val="005D01C3"/>
    <w:rsid w:val="005D1D15"/>
    <w:rsid w:val="005D2578"/>
    <w:rsid w:val="005D266D"/>
    <w:rsid w:val="005D3327"/>
    <w:rsid w:val="005D5BCF"/>
    <w:rsid w:val="005D6D84"/>
    <w:rsid w:val="005D70A1"/>
    <w:rsid w:val="005D79F2"/>
    <w:rsid w:val="005E0988"/>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5CAF"/>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401"/>
    <w:rsid w:val="00662D3D"/>
    <w:rsid w:val="00662F1F"/>
    <w:rsid w:val="0066408F"/>
    <w:rsid w:val="00664DB5"/>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6584"/>
    <w:rsid w:val="00697062"/>
    <w:rsid w:val="006971F8"/>
    <w:rsid w:val="00697D5F"/>
    <w:rsid w:val="006A060C"/>
    <w:rsid w:val="006A150D"/>
    <w:rsid w:val="006A1526"/>
    <w:rsid w:val="006A3207"/>
    <w:rsid w:val="006A39D0"/>
    <w:rsid w:val="006A4321"/>
    <w:rsid w:val="006A60F0"/>
    <w:rsid w:val="006A61EE"/>
    <w:rsid w:val="006B0580"/>
    <w:rsid w:val="006B05DA"/>
    <w:rsid w:val="006B0F30"/>
    <w:rsid w:val="006B1D06"/>
    <w:rsid w:val="006B2823"/>
    <w:rsid w:val="006B33DB"/>
    <w:rsid w:val="006B4CF8"/>
    <w:rsid w:val="006B5FBC"/>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442"/>
    <w:rsid w:val="006D6E4E"/>
    <w:rsid w:val="006E00E3"/>
    <w:rsid w:val="006E045C"/>
    <w:rsid w:val="006E065E"/>
    <w:rsid w:val="006E189B"/>
    <w:rsid w:val="006E2902"/>
    <w:rsid w:val="006E2F9D"/>
    <w:rsid w:val="006E37C6"/>
    <w:rsid w:val="006E41ED"/>
    <w:rsid w:val="006E448E"/>
    <w:rsid w:val="006E4667"/>
    <w:rsid w:val="006E5112"/>
    <w:rsid w:val="006E603B"/>
    <w:rsid w:val="006F1AE0"/>
    <w:rsid w:val="006F2046"/>
    <w:rsid w:val="006F30C9"/>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D3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230F"/>
    <w:rsid w:val="007739A3"/>
    <w:rsid w:val="00773BD9"/>
    <w:rsid w:val="00773CB0"/>
    <w:rsid w:val="00773D71"/>
    <w:rsid w:val="007752EB"/>
    <w:rsid w:val="00775526"/>
    <w:rsid w:val="007773A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E20"/>
    <w:rsid w:val="00794E46"/>
    <w:rsid w:val="00794FB6"/>
    <w:rsid w:val="007952DE"/>
    <w:rsid w:val="00795479"/>
    <w:rsid w:val="00796292"/>
    <w:rsid w:val="007972D5"/>
    <w:rsid w:val="007978E8"/>
    <w:rsid w:val="007A0789"/>
    <w:rsid w:val="007A130E"/>
    <w:rsid w:val="007A18B1"/>
    <w:rsid w:val="007A1BBD"/>
    <w:rsid w:val="007A1F08"/>
    <w:rsid w:val="007A25FA"/>
    <w:rsid w:val="007A28B3"/>
    <w:rsid w:val="007A3520"/>
    <w:rsid w:val="007A3878"/>
    <w:rsid w:val="007A3D85"/>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661E"/>
    <w:rsid w:val="007F6D6B"/>
    <w:rsid w:val="007F74DA"/>
    <w:rsid w:val="007F75BB"/>
    <w:rsid w:val="00800766"/>
    <w:rsid w:val="00800871"/>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0B9E"/>
    <w:rsid w:val="0083257C"/>
    <w:rsid w:val="00832DB6"/>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C24"/>
    <w:rsid w:val="00875E14"/>
    <w:rsid w:val="0087677E"/>
    <w:rsid w:val="0087712C"/>
    <w:rsid w:val="00877C5D"/>
    <w:rsid w:val="00877CB6"/>
    <w:rsid w:val="0088093C"/>
    <w:rsid w:val="00882474"/>
    <w:rsid w:val="008824DF"/>
    <w:rsid w:val="008830EA"/>
    <w:rsid w:val="00884371"/>
    <w:rsid w:val="00884D47"/>
    <w:rsid w:val="00887392"/>
    <w:rsid w:val="00890C40"/>
    <w:rsid w:val="008911F7"/>
    <w:rsid w:val="00893385"/>
    <w:rsid w:val="00893F41"/>
    <w:rsid w:val="00894BBD"/>
    <w:rsid w:val="00894C79"/>
    <w:rsid w:val="0089558A"/>
    <w:rsid w:val="008972B6"/>
    <w:rsid w:val="008977E1"/>
    <w:rsid w:val="008A0115"/>
    <w:rsid w:val="008A2F5A"/>
    <w:rsid w:val="008A47CE"/>
    <w:rsid w:val="008A5CBF"/>
    <w:rsid w:val="008A6BAE"/>
    <w:rsid w:val="008A7350"/>
    <w:rsid w:val="008B00ED"/>
    <w:rsid w:val="008B16E6"/>
    <w:rsid w:val="008B2042"/>
    <w:rsid w:val="008B25F1"/>
    <w:rsid w:val="008B3737"/>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35FF2"/>
    <w:rsid w:val="0094015D"/>
    <w:rsid w:val="00941828"/>
    <w:rsid w:val="009441DB"/>
    <w:rsid w:val="0094424D"/>
    <w:rsid w:val="0094568E"/>
    <w:rsid w:val="0094633F"/>
    <w:rsid w:val="009468C5"/>
    <w:rsid w:val="00947BA5"/>
    <w:rsid w:val="009504B5"/>
    <w:rsid w:val="00950805"/>
    <w:rsid w:val="009518D4"/>
    <w:rsid w:val="009520BC"/>
    <w:rsid w:val="00953573"/>
    <w:rsid w:val="009560DD"/>
    <w:rsid w:val="00957499"/>
    <w:rsid w:val="00957ED2"/>
    <w:rsid w:val="0096049C"/>
    <w:rsid w:val="00960DE4"/>
    <w:rsid w:val="00961A4F"/>
    <w:rsid w:val="00962639"/>
    <w:rsid w:val="00962C9E"/>
    <w:rsid w:val="009638E8"/>
    <w:rsid w:val="00963F03"/>
    <w:rsid w:val="00963F27"/>
    <w:rsid w:val="00964007"/>
    <w:rsid w:val="00964077"/>
    <w:rsid w:val="009643F4"/>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10BE"/>
    <w:rsid w:val="009819A7"/>
    <w:rsid w:val="009851F5"/>
    <w:rsid w:val="0098534B"/>
    <w:rsid w:val="0098764E"/>
    <w:rsid w:val="00987BE7"/>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2BF1"/>
    <w:rsid w:val="009B3564"/>
    <w:rsid w:val="009B3796"/>
    <w:rsid w:val="009B3D38"/>
    <w:rsid w:val="009B7505"/>
    <w:rsid w:val="009B7D45"/>
    <w:rsid w:val="009C0020"/>
    <w:rsid w:val="009C04DC"/>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177AC"/>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424E"/>
    <w:rsid w:val="00A446F6"/>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9E6"/>
    <w:rsid w:val="00A66E28"/>
    <w:rsid w:val="00A66F66"/>
    <w:rsid w:val="00A70590"/>
    <w:rsid w:val="00A70DC6"/>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4854"/>
    <w:rsid w:val="00AB5030"/>
    <w:rsid w:val="00AB759A"/>
    <w:rsid w:val="00AB7B06"/>
    <w:rsid w:val="00AB7EAA"/>
    <w:rsid w:val="00AC0432"/>
    <w:rsid w:val="00AC2E6E"/>
    <w:rsid w:val="00AC4094"/>
    <w:rsid w:val="00AC42B6"/>
    <w:rsid w:val="00AC4AB7"/>
    <w:rsid w:val="00AC60EC"/>
    <w:rsid w:val="00AC6CD9"/>
    <w:rsid w:val="00AD2679"/>
    <w:rsid w:val="00AD3F3C"/>
    <w:rsid w:val="00AD4973"/>
    <w:rsid w:val="00AD5F0A"/>
    <w:rsid w:val="00AD6741"/>
    <w:rsid w:val="00AD6B4F"/>
    <w:rsid w:val="00AD7CFA"/>
    <w:rsid w:val="00AE11C1"/>
    <w:rsid w:val="00AE163D"/>
    <w:rsid w:val="00AE1C5C"/>
    <w:rsid w:val="00AE25D1"/>
    <w:rsid w:val="00AE2913"/>
    <w:rsid w:val="00AE2918"/>
    <w:rsid w:val="00AE315E"/>
    <w:rsid w:val="00AE31D9"/>
    <w:rsid w:val="00AE3CF0"/>
    <w:rsid w:val="00AE4337"/>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5582"/>
    <w:rsid w:val="00B66054"/>
    <w:rsid w:val="00B66B48"/>
    <w:rsid w:val="00B672EA"/>
    <w:rsid w:val="00B6747B"/>
    <w:rsid w:val="00B70200"/>
    <w:rsid w:val="00B71CF6"/>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3849"/>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69A"/>
    <w:rsid w:val="00BB2E4E"/>
    <w:rsid w:val="00BB2E62"/>
    <w:rsid w:val="00BB36C9"/>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DD4"/>
    <w:rsid w:val="00BD7E5F"/>
    <w:rsid w:val="00BE0C55"/>
    <w:rsid w:val="00BE11A2"/>
    <w:rsid w:val="00BE246C"/>
    <w:rsid w:val="00BE2657"/>
    <w:rsid w:val="00BE2CA1"/>
    <w:rsid w:val="00BE37AE"/>
    <w:rsid w:val="00BE73C3"/>
    <w:rsid w:val="00BE7B29"/>
    <w:rsid w:val="00BF03C0"/>
    <w:rsid w:val="00BF21D4"/>
    <w:rsid w:val="00BF2E46"/>
    <w:rsid w:val="00BF4A15"/>
    <w:rsid w:val="00BF4E27"/>
    <w:rsid w:val="00BF6D77"/>
    <w:rsid w:val="00C01444"/>
    <w:rsid w:val="00C01EF2"/>
    <w:rsid w:val="00C0378E"/>
    <w:rsid w:val="00C04258"/>
    <w:rsid w:val="00C05AFD"/>
    <w:rsid w:val="00C0724C"/>
    <w:rsid w:val="00C07AEF"/>
    <w:rsid w:val="00C07C11"/>
    <w:rsid w:val="00C07CC1"/>
    <w:rsid w:val="00C10015"/>
    <w:rsid w:val="00C122BA"/>
    <w:rsid w:val="00C12770"/>
    <w:rsid w:val="00C12D43"/>
    <w:rsid w:val="00C12ECB"/>
    <w:rsid w:val="00C14ABD"/>
    <w:rsid w:val="00C151E0"/>
    <w:rsid w:val="00C1677E"/>
    <w:rsid w:val="00C20051"/>
    <w:rsid w:val="00C20B86"/>
    <w:rsid w:val="00C21145"/>
    <w:rsid w:val="00C21E2A"/>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411"/>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81716"/>
    <w:rsid w:val="00C82795"/>
    <w:rsid w:val="00C82AAA"/>
    <w:rsid w:val="00C832CB"/>
    <w:rsid w:val="00C84085"/>
    <w:rsid w:val="00C865B3"/>
    <w:rsid w:val="00C86964"/>
    <w:rsid w:val="00C8779E"/>
    <w:rsid w:val="00C87850"/>
    <w:rsid w:val="00C87BD0"/>
    <w:rsid w:val="00C90B95"/>
    <w:rsid w:val="00C90CA9"/>
    <w:rsid w:val="00C9354F"/>
    <w:rsid w:val="00C93B40"/>
    <w:rsid w:val="00C93D48"/>
    <w:rsid w:val="00C93DB5"/>
    <w:rsid w:val="00C95C6C"/>
    <w:rsid w:val="00C97DD7"/>
    <w:rsid w:val="00C97EF9"/>
    <w:rsid w:val="00CA0492"/>
    <w:rsid w:val="00CA0A04"/>
    <w:rsid w:val="00CA3CAB"/>
    <w:rsid w:val="00CA6A2E"/>
    <w:rsid w:val="00CA7C19"/>
    <w:rsid w:val="00CB01DF"/>
    <w:rsid w:val="00CB52A4"/>
    <w:rsid w:val="00CB537C"/>
    <w:rsid w:val="00CB5778"/>
    <w:rsid w:val="00CB6156"/>
    <w:rsid w:val="00CB6675"/>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3406"/>
    <w:rsid w:val="00D43FAE"/>
    <w:rsid w:val="00D44259"/>
    <w:rsid w:val="00D44895"/>
    <w:rsid w:val="00D454D2"/>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5E10"/>
    <w:rsid w:val="00D76045"/>
    <w:rsid w:val="00D7682B"/>
    <w:rsid w:val="00D804C5"/>
    <w:rsid w:val="00D81146"/>
    <w:rsid w:val="00D81A28"/>
    <w:rsid w:val="00D82AB8"/>
    <w:rsid w:val="00D82B00"/>
    <w:rsid w:val="00D82BE4"/>
    <w:rsid w:val="00D82E05"/>
    <w:rsid w:val="00D82F67"/>
    <w:rsid w:val="00D83A05"/>
    <w:rsid w:val="00D83C0D"/>
    <w:rsid w:val="00D8650D"/>
    <w:rsid w:val="00D869C1"/>
    <w:rsid w:val="00D86EC6"/>
    <w:rsid w:val="00D87418"/>
    <w:rsid w:val="00D87460"/>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0E81"/>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D"/>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6719"/>
    <w:rsid w:val="00E37C85"/>
    <w:rsid w:val="00E43006"/>
    <w:rsid w:val="00E43551"/>
    <w:rsid w:val="00E50809"/>
    <w:rsid w:val="00E50F0A"/>
    <w:rsid w:val="00E510CF"/>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72C6"/>
    <w:rsid w:val="00E675EE"/>
    <w:rsid w:val="00E7139A"/>
    <w:rsid w:val="00E71809"/>
    <w:rsid w:val="00E71D1E"/>
    <w:rsid w:val="00E71D98"/>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86749"/>
    <w:rsid w:val="00E9036E"/>
    <w:rsid w:val="00E917B6"/>
    <w:rsid w:val="00E92292"/>
    <w:rsid w:val="00E92D0B"/>
    <w:rsid w:val="00E93195"/>
    <w:rsid w:val="00E93F21"/>
    <w:rsid w:val="00E9411C"/>
    <w:rsid w:val="00E9522C"/>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6E90"/>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357"/>
    <w:rsid w:val="00F21A5D"/>
    <w:rsid w:val="00F21C13"/>
    <w:rsid w:val="00F21DEA"/>
    <w:rsid w:val="00F22796"/>
    <w:rsid w:val="00F238F7"/>
    <w:rsid w:val="00F23BA0"/>
    <w:rsid w:val="00F25641"/>
    <w:rsid w:val="00F25FE1"/>
    <w:rsid w:val="00F26065"/>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47622"/>
    <w:rsid w:val="00F5052D"/>
    <w:rsid w:val="00F50BF0"/>
    <w:rsid w:val="00F51A82"/>
    <w:rsid w:val="00F5254B"/>
    <w:rsid w:val="00F53A44"/>
    <w:rsid w:val="00F54431"/>
    <w:rsid w:val="00F54466"/>
    <w:rsid w:val="00F54B29"/>
    <w:rsid w:val="00F551DB"/>
    <w:rsid w:val="00F559BE"/>
    <w:rsid w:val="00F55E46"/>
    <w:rsid w:val="00F56417"/>
    <w:rsid w:val="00F56EE7"/>
    <w:rsid w:val="00F56FEF"/>
    <w:rsid w:val="00F57521"/>
    <w:rsid w:val="00F57AC4"/>
    <w:rsid w:val="00F60938"/>
    <w:rsid w:val="00F61262"/>
    <w:rsid w:val="00F61606"/>
    <w:rsid w:val="00F62BD1"/>
    <w:rsid w:val="00F62CA8"/>
    <w:rsid w:val="00F63BF4"/>
    <w:rsid w:val="00F63C60"/>
    <w:rsid w:val="00F64991"/>
    <w:rsid w:val="00F65BA9"/>
    <w:rsid w:val="00F6630F"/>
    <w:rsid w:val="00F67E81"/>
    <w:rsid w:val="00F7062D"/>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3F8"/>
    <w:rsid w:val="00FB39B0"/>
    <w:rsid w:val="00FB5183"/>
    <w:rsid w:val="00FB5A71"/>
    <w:rsid w:val="00FB6DF2"/>
    <w:rsid w:val="00FB7823"/>
    <w:rsid w:val="00FC08B3"/>
    <w:rsid w:val="00FC09D7"/>
    <w:rsid w:val="00FC1998"/>
    <w:rsid w:val="00FC3638"/>
    <w:rsid w:val="00FC391E"/>
    <w:rsid w:val="00FC3AB7"/>
    <w:rsid w:val="00FC4108"/>
    <w:rsid w:val="00FC448A"/>
    <w:rsid w:val="00FC453D"/>
    <w:rsid w:val="00FC4651"/>
    <w:rsid w:val="00FC4A89"/>
    <w:rsid w:val="00FC665F"/>
    <w:rsid w:val="00FC6D59"/>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55"/>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2DA0C0E"/>
    <w:rsid w:val="03DD35E4"/>
    <w:rsid w:val="05814444"/>
    <w:rsid w:val="065A6178"/>
    <w:rsid w:val="075562B7"/>
    <w:rsid w:val="07F6164B"/>
    <w:rsid w:val="087A1B7A"/>
    <w:rsid w:val="096B2097"/>
    <w:rsid w:val="0A5A62C8"/>
    <w:rsid w:val="0A5B7E63"/>
    <w:rsid w:val="0C87121B"/>
    <w:rsid w:val="0D8E6248"/>
    <w:rsid w:val="0DD211E4"/>
    <w:rsid w:val="0DF702FE"/>
    <w:rsid w:val="0E3F698B"/>
    <w:rsid w:val="0F21508F"/>
    <w:rsid w:val="0F816ACD"/>
    <w:rsid w:val="0FB94501"/>
    <w:rsid w:val="10B047CF"/>
    <w:rsid w:val="10FC16EA"/>
    <w:rsid w:val="118963A1"/>
    <w:rsid w:val="127723A9"/>
    <w:rsid w:val="13072A44"/>
    <w:rsid w:val="145044FA"/>
    <w:rsid w:val="15ED7693"/>
    <w:rsid w:val="15F54F2C"/>
    <w:rsid w:val="186742B0"/>
    <w:rsid w:val="1B2A271F"/>
    <w:rsid w:val="1B890139"/>
    <w:rsid w:val="1C5724DE"/>
    <w:rsid w:val="1D266CE1"/>
    <w:rsid w:val="1D3963AF"/>
    <w:rsid w:val="1E714A66"/>
    <w:rsid w:val="1FE868A9"/>
    <w:rsid w:val="211E26D6"/>
    <w:rsid w:val="212743B6"/>
    <w:rsid w:val="21283D08"/>
    <w:rsid w:val="25B440B3"/>
    <w:rsid w:val="26305601"/>
    <w:rsid w:val="286E6388"/>
    <w:rsid w:val="2AA1365A"/>
    <w:rsid w:val="2DD15014"/>
    <w:rsid w:val="2FD25781"/>
    <w:rsid w:val="319C6071"/>
    <w:rsid w:val="32DB72BE"/>
    <w:rsid w:val="342E63AB"/>
    <w:rsid w:val="345D260B"/>
    <w:rsid w:val="34F7488F"/>
    <w:rsid w:val="365302AE"/>
    <w:rsid w:val="37F142D2"/>
    <w:rsid w:val="38B82BB4"/>
    <w:rsid w:val="39A13F14"/>
    <w:rsid w:val="3A490C6C"/>
    <w:rsid w:val="3C5F759A"/>
    <w:rsid w:val="3D5C78D4"/>
    <w:rsid w:val="3D6B78D8"/>
    <w:rsid w:val="3FAB74C4"/>
    <w:rsid w:val="3FFF72A6"/>
    <w:rsid w:val="42E1381E"/>
    <w:rsid w:val="43FB717C"/>
    <w:rsid w:val="444441AF"/>
    <w:rsid w:val="451E447A"/>
    <w:rsid w:val="45345B76"/>
    <w:rsid w:val="47307808"/>
    <w:rsid w:val="486F747C"/>
    <w:rsid w:val="493E4F93"/>
    <w:rsid w:val="4D861CF6"/>
    <w:rsid w:val="51A0432A"/>
    <w:rsid w:val="520E072E"/>
    <w:rsid w:val="527140E5"/>
    <w:rsid w:val="5292508F"/>
    <w:rsid w:val="52A96B6F"/>
    <w:rsid w:val="53C65CF9"/>
    <w:rsid w:val="545D63B8"/>
    <w:rsid w:val="550764A4"/>
    <w:rsid w:val="551926E0"/>
    <w:rsid w:val="561279B9"/>
    <w:rsid w:val="56515F3B"/>
    <w:rsid w:val="572B71CA"/>
    <w:rsid w:val="57E958DA"/>
    <w:rsid w:val="588C5189"/>
    <w:rsid w:val="58AE4F0C"/>
    <w:rsid w:val="5A2A7C7B"/>
    <w:rsid w:val="5BD920B5"/>
    <w:rsid w:val="5BF624DB"/>
    <w:rsid w:val="5C80234E"/>
    <w:rsid w:val="5E261785"/>
    <w:rsid w:val="5FCC5339"/>
    <w:rsid w:val="5FE70807"/>
    <w:rsid w:val="60E53485"/>
    <w:rsid w:val="61054A27"/>
    <w:rsid w:val="611D2366"/>
    <w:rsid w:val="62885958"/>
    <w:rsid w:val="64CE2EAA"/>
    <w:rsid w:val="651E1884"/>
    <w:rsid w:val="662E75B1"/>
    <w:rsid w:val="66342C2E"/>
    <w:rsid w:val="663E784C"/>
    <w:rsid w:val="685867EC"/>
    <w:rsid w:val="6A817002"/>
    <w:rsid w:val="6B146F7C"/>
    <w:rsid w:val="6E8E12EF"/>
    <w:rsid w:val="706405A9"/>
    <w:rsid w:val="71D43752"/>
    <w:rsid w:val="73DD6243"/>
    <w:rsid w:val="749C4185"/>
    <w:rsid w:val="75DA2C18"/>
    <w:rsid w:val="75FF45E7"/>
    <w:rsid w:val="766C1102"/>
    <w:rsid w:val="775319EF"/>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link w:val="510"/>
    <w:qFormat/>
    <w:uiPriority w:val="0"/>
    <w:pPr>
      <w:autoSpaceDE w:val="0"/>
      <w:autoSpaceDN w:val="0"/>
      <w:spacing w:line="360" w:lineRule="auto"/>
    </w:pPr>
    <w:rPr>
      <w:rFonts w:ascii="宋体"/>
      <w:sz w:val="24"/>
      <w:szCs w:val="21"/>
      <w:lang w:val="zh-CN"/>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link w:val="634"/>
    <w:qFormat/>
    <w:uiPriority w:val="99"/>
    <w:pPr>
      <w:tabs>
        <w:tab w:val="center" w:pos="4153"/>
        <w:tab w:val="right" w:pos="8306"/>
      </w:tabs>
      <w:snapToGrid w:val="0"/>
      <w:jc w:val="left"/>
    </w:pPr>
    <w:rPr>
      <w:sz w:val="18"/>
      <w:szCs w:val="18"/>
    </w:rPr>
  </w:style>
  <w:style w:type="paragraph" w:styleId="39">
    <w:name w:val="header"/>
    <w:basedOn w:val="1"/>
    <w:link w:val="635"/>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link w:val="543"/>
    <w:qFormat/>
    <w:uiPriority w:val="0"/>
    <w:pPr>
      <w:ind w:firstLine="420"/>
    </w:pPr>
    <w:rPr>
      <w:szCs w:val="20"/>
    </w:rPr>
  </w:style>
  <w:style w:type="paragraph" w:styleId="60">
    <w:name w:val="Body Text First Indent 2"/>
    <w:basedOn w:val="24"/>
    <w:link w:val="500"/>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2"/>
    <w:next w:val="2"/>
    <w:qFormat/>
    <w:uiPriority w:val="0"/>
    <w:pPr>
      <w:spacing w:after="68"/>
    </w:pPr>
    <w:rPr>
      <w:rFonts w:ascii="FHLHE E+ Futura Bk" w:eastAsia="FHLHE E+ Futura Bk" w:cs="Times New Roman"/>
      <w:color w:val="auto"/>
    </w:rPr>
  </w:style>
  <w:style w:type="paragraph" w:customStyle="1" w:styleId="9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2"/>
    <w:next w:val="2"/>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3"/>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60"/>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3"/>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3"/>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9"/>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3"/>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3"/>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2"/>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4">
    <w:name w:val="页脚 Char2"/>
    <w:link w:val="38"/>
    <w:qFormat/>
    <w:locked/>
    <w:uiPriority w:val="99"/>
    <w:rPr>
      <w:kern w:val="2"/>
      <w:sz w:val="18"/>
      <w:szCs w:val="18"/>
    </w:rPr>
  </w:style>
  <w:style w:type="character" w:customStyle="1" w:styleId="635">
    <w:name w:val="页眉 Char2"/>
    <w:link w:val="39"/>
    <w:qFormat/>
    <w:uiPriority w:val="99"/>
    <w:rPr>
      <w:kern w:val="2"/>
      <w:sz w:val="18"/>
      <w:szCs w:val="18"/>
    </w:rPr>
  </w:style>
  <w:style w:type="paragraph" w:customStyle="1" w:styleId="636">
    <w:name w:val="样式 标题 2 + 宋体"/>
    <w:basedOn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F92836-358B-4D24-B9DA-AA20ABAAFD8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24</Pages>
  <Words>8708</Words>
  <Characters>49641</Characters>
  <Lines>413</Lines>
  <Paragraphs>116</Paragraphs>
  <TotalTime>141</TotalTime>
  <ScaleCrop>false</ScaleCrop>
  <LinksUpToDate>false</LinksUpToDate>
  <CharactersWithSpaces>58233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wwwww</cp:lastModifiedBy>
  <cp:lastPrinted>2025-08-19T01:49:00Z</cp:lastPrinted>
  <dcterms:modified xsi:type="dcterms:W3CDTF">2025-08-25T07:26:27Z</dcterms:modified>
  <dc:title>北海市政府采购中心</dc:title>
  <cp:revision>1151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D1AD6BE9DD8C4E74B1422D179BEB696F</vt:lpwstr>
  </property>
</Properties>
</file>