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bookmarkStart w:id="0" w:name="OLE_LINK210"/>
      <w:bookmarkStart w:id="1" w:name="OLE_LINK6"/>
      <w:bookmarkStart w:id="2" w:name="OLE_LINK5"/>
      <w:r>
        <w:rPr>
          <w:rFonts w:hint="eastAsia" w:ascii="宋体" w:hAnsi="宋体" w:cs="宋体"/>
          <w:color w:val="auto"/>
          <w:sz w:val="48"/>
          <w:szCs w:val="48"/>
          <w:highlight w:val="none"/>
          <w:lang w:eastAsia="zh-CN"/>
        </w:rPr>
        <w:t>2025年第一批义务教育薄弱环节改善与能力提升补助资金项目（学生用床、学生桌椅）</w:t>
      </w:r>
    </w:p>
    <w:bookmarkEnd w:id="0"/>
    <w:bookmarkEnd w:id="1"/>
    <w:bookmarkEnd w:id="2"/>
    <w:p>
      <w:pPr>
        <w:pStyle w:val="4"/>
        <w:rPr>
          <w:color w:val="auto"/>
          <w:highlight w:val="none"/>
          <w:lang w:val="en-US"/>
        </w:rPr>
      </w:pP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BHZC2025-G1-210119-CGZX</w:t>
      </w:r>
      <w:r>
        <w:rPr>
          <w:rFonts w:hint="eastAsia" w:ascii="宋体" w:hAnsi="宋体" w:cs="宋体"/>
          <w:color w:val="auto"/>
          <w:sz w:val="30"/>
          <w:szCs w:val="30"/>
          <w:highlight w:val="none"/>
        </w:rPr>
        <w:t>）</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合浦县教育局</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北海市政府采购中心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八</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十四</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3" w:name="_Hlt67893495"/>
      <w:bookmarkEnd w:id="3"/>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pStyle w:val="2"/>
        <w:tabs>
          <w:tab w:val="right" w:leader="dot" w:pos="9060"/>
        </w:tabs>
        <w:spacing w:line="360" w:lineRule="auto"/>
        <w:rPr>
          <w:rFonts w:ascii="宋体" w:hAnsi="宋体" w:cstheme="minorBidi"/>
          <w:color w:val="auto"/>
          <w:sz w:val="32"/>
          <w:szCs w:val="32"/>
          <w:highlight w:val="none"/>
        </w:rPr>
      </w:pPr>
      <w:bookmarkStart w:id="4" w:name="_Hlt91233176"/>
      <w:bookmarkEnd w:id="4"/>
      <w:bookmarkStart w:id="5" w:name="_Toc91899869"/>
      <w:r>
        <w:rPr>
          <w:rFonts w:ascii="宋体" w:hAnsi="宋体" w:cs="宋体"/>
          <w:color w:val="auto"/>
          <w:sz w:val="32"/>
          <w:szCs w:val="32"/>
          <w:highlight w:val="none"/>
        </w:rPr>
        <w:fldChar w:fldCharType="begin"/>
      </w:r>
      <w:r>
        <w:rPr>
          <w:rFonts w:ascii="宋体" w:hAnsi="宋体" w:cs="宋体"/>
          <w:color w:val="auto"/>
          <w:sz w:val="32"/>
          <w:szCs w:val="32"/>
          <w:highlight w:val="none"/>
        </w:rPr>
        <w:instrText xml:space="preserve"> TOC \o "1-1" \h \z \u </w:instrText>
      </w:r>
      <w:r>
        <w:rPr>
          <w:rFonts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"_Toc176343848" </w:instrText>
      </w:r>
      <w:r>
        <w:rPr>
          <w:color w:val="auto"/>
          <w:highlight w:val="none"/>
        </w:rPr>
        <w:fldChar w:fldCharType="separate"/>
      </w:r>
      <w:r>
        <w:rPr>
          <w:rStyle w:val="77"/>
          <w:rFonts w:hint="eastAsia" w:ascii="宋体" w:hAnsi="宋体" w:eastAsia="宋体" w:cs="宋体"/>
          <w:color w:val="auto"/>
          <w:sz w:val="32"/>
          <w:szCs w:val="32"/>
          <w:highlight w:val="none"/>
        </w:rPr>
        <w:t>第一部分</w:t>
      </w:r>
      <w:r>
        <w:rPr>
          <w:rStyle w:val="77"/>
          <w:rFonts w:ascii="宋体" w:hAnsi="宋体" w:eastAsia="宋体" w:cs="宋体"/>
          <w:color w:val="auto"/>
          <w:sz w:val="32"/>
          <w:szCs w:val="32"/>
          <w:highlight w:val="none"/>
        </w:rPr>
        <w:t xml:space="preserve">  </w:t>
      </w:r>
      <w:r>
        <w:rPr>
          <w:rStyle w:val="77"/>
          <w:rFonts w:hint="eastAsia" w:ascii="宋体" w:hAnsi="宋体" w:eastAsia="宋体" w:cs="宋体"/>
          <w:color w:val="auto"/>
          <w:sz w:val="32"/>
          <w:szCs w:val="32"/>
          <w:highlight w:val="none"/>
        </w:rPr>
        <w:t>招标公告</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_Toc176343848 \h </w:instrText>
      </w:r>
      <w:r>
        <w:rPr>
          <w:rFonts w:ascii="宋体" w:hAnsi="宋体"/>
          <w:color w:val="auto"/>
          <w:sz w:val="32"/>
          <w:szCs w:val="32"/>
          <w:highlight w:val="none"/>
        </w:rPr>
        <w:fldChar w:fldCharType="separate"/>
      </w:r>
      <w:r>
        <w:rPr>
          <w:rFonts w:ascii="宋体" w:hAnsi="宋体"/>
          <w:color w:val="auto"/>
          <w:sz w:val="32"/>
          <w:szCs w:val="32"/>
          <w:highlight w:val="none"/>
        </w:rPr>
        <w:t>3</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pPr>
        <w:pStyle w:val="2"/>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"_Toc176343849" </w:instrText>
      </w:r>
      <w:r>
        <w:rPr>
          <w:color w:val="auto"/>
          <w:highlight w:val="none"/>
        </w:rPr>
        <w:fldChar w:fldCharType="separate"/>
      </w:r>
      <w:r>
        <w:rPr>
          <w:rStyle w:val="77"/>
          <w:rFonts w:hint="eastAsia" w:ascii="宋体" w:hAnsi="宋体" w:eastAsia="宋体" w:cs="宋体"/>
          <w:color w:val="auto"/>
          <w:sz w:val="32"/>
          <w:szCs w:val="32"/>
          <w:highlight w:val="none"/>
        </w:rPr>
        <w:t>第二部分</w:t>
      </w:r>
      <w:r>
        <w:rPr>
          <w:rStyle w:val="77"/>
          <w:rFonts w:ascii="宋体" w:hAnsi="宋体" w:eastAsia="宋体" w:cs="宋体"/>
          <w:color w:val="auto"/>
          <w:sz w:val="32"/>
          <w:szCs w:val="32"/>
          <w:highlight w:val="none"/>
        </w:rPr>
        <w:t xml:space="preserve">  </w:t>
      </w:r>
      <w:r>
        <w:rPr>
          <w:rStyle w:val="77"/>
          <w:rFonts w:hint="eastAsia" w:ascii="宋体" w:hAnsi="宋体" w:eastAsia="宋体" w:cs="宋体"/>
          <w:color w:val="auto"/>
          <w:sz w:val="32"/>
          <w:szCs w:val="32"/>
          <w:highlight w:val="none"/>
        </w:rPr>
        <w:t>投标人须知</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_Toc176343849 \h </w:instrText>
      </w:r>
      <w:r>
        <w:rPr>
          <w:rFonts w:ascii="宋体" w:hAnsi="宋体"/>
          <w:color w:val="auto"/>
          <w:sz w:val="32"/>
          <w:szCs w:val="32"/>
          <w:highlight w:val="none"/>
        </w:rPr>
        <w:fldChar w:fldCharType="separate"/>
      </w:r>
      <w:r>
        <w:rPr>
          <w:rFonts w:ascii="宋体" w:hAnsi="宋体"/>
          <w:color w:val="auto"/>
          <w:sz w:val="32"/>
          <w:szCs w:val="32"/>
          <w:highlight w:val="none"/>
        </w:rPr>
        <w:t>7</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pPr>
        <w:pStyle w:val="2"/>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"_Toc176343850" </w:instrText>
      </w:r>
      <w:r>
        <w:rPr>
          <w:color w:val="auto"/>
          <w:highlight w:val="none"/>
        </w:rPr>
        <w:fldChar w:fldCharType="separate"/>
      </w:r>
      <w:r>
        <w:rPr>
          <w:rStyle w:val="77"/>
          <w:rFonts w:hint="eastAsia" w:ascii="宋体" w:hAnsi="宋体" w:eastAsia="宋体" w:cs="宋体"/>
          <w:color w:val="auto"/>
          <w:sz w:val="32"/>
          <w:szCs w:val="32"/>
          <w:highlight w:val="none"/>
        </w:rPr>
        <w:t>第三部分</w:t>
      </w:r>
      <w:r>
        <w:rPr>
          <w:rStyle w:val="77"/>
          <w:rFonts w:ascii="宋体" w:hAnsi="宋体" w:eastAsia="宋体" w:cs="宋体"/>
          <w:color w:val="auto"/>
          <w:sz w:val="32"/>
          <w:szCs w:val="32"/>
          <w:highlight w:val="none"/>
        </w:rPr>
        <w:t xml:space="preserve">  </w:t>
      </w:r>
      <w:r>
        <w:rPr>
          <w:rStyle w:val="77"/>
          <w:rFonts w:hint="eastAsia" w:ascii="宋体" w:hAnsi="宋体" w:eastAsia="宋体" w:cs="宋体"/>
          <w:color w:val="auto"/>
          <w:sz w:val="32"/>
          <w:szCs w:val="32"/>
          <w:highlight w:val="none"/>
        </w:rPr>
        <w:t>采购需求</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_Toc176343850 \h </w:instrText>
      </w:r>
      <w:r>
        <w:rPr>
          <w:rFonts w:ascii="宋体" w:hAnsi="宋体"/>
          <w:color w:val="auto"/>
          <w:sz w:val="32"/>
          <w:szCs w:val="32"/>
          <w:highlight w:val="none"/>
        </w:rPr>
        <w:fldChar w:fldCharType="separate"/>
      </w:r>
      <w:r>
        <w:rPr>
          <w:rFonts w:ascii="宋体" w:hAnsi="宋体"/>
          <w:color w:val="auto"/>
          <w:sz w:val="32"/>
          <w:szCs w:val="32"/>
          <w:highlight w:val="none"/>
        </w:rPr>
        <w:t>26</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pPr>
        <w:pStyle w:val="2"/>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"_Toc176343851" </w:instrText>
      </w:r>
      <w:r>
        <w:rPr>
          <w:color w:val="auto"/>
          <w:highlight w:val="none"/>
        </w:rPr>
        <w:fldChar w:fldCharType="separate"/>
      </w:r>
      <w:r>
        <w:rPr>
          <w:rStyle w:val="77"/>
          <w:rFonts w:hint="eastAsia" w:ascii="宋体" w:hAnsi="宋体" w:eastAsia="宋体" w:cs="宋体"/>
          <w:color w:val="auto"/>
          <w:sz w:val="32"/>
          <w:szCs w:val="32"/>
          <w:highlight w:val="none"/>
        </w:rPr>
        <w:t>第四部分</w:t>
      </w:r>
      <w:r>
        <w:rPr>
          <w:rStyle w:val="77"/>
          <w:rFonts w:ascii="宋体" w:hAnsi="宋体" w:eastAsia="宋体" w:cs="宋体"/>
          <w:color w:val="auto"/>
          <w:sz w:val="32"/>
          <w:szCs w:val="32"/>
          <w:highlight w:val="none"/>
        </w:rPr>
        <w:t xml:space="preserve">  </w:t>
      </w:r>
      <w:r>
        <w:rPr>
          <w:rStyle w:val="77"/>
          <w:rFonts w:hint="eastAsia" w:ascii="宋体" w:hAnsi="宋体" w:eastAsia="宋体" w:cs="宋体"/>
          <w:color w:val="auto"/>
          <w:sz w:val="32"/>
          <w:szCs w:val="32"/>
          <w:highlight w:val="none"/>
        </w:rPr>
        <w:t>评标办法</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_Toc176343851 \h </w:instrText>
      </w:r>
      <w:r>
        <w:rPr>
          <w:rFonts w:ascii="宋体" w:hAnsi="宋体"/>
          <w:color w:val="auto"/>
          <w:sz w:val="32"/>
          <w:szCs w:val="32"/>
          <w:highlight w:val="none"/>
        </w:rPr>
        <w:fldChar w:fldCharType="separate"/>
      </w:r>
      <w:r>
        <w:rPr>
          <w:rFonts w:ascii="宋体" w:hAnsi="宋体"/>
          <w:color w:val="auto"/>
          <w:sz w:val="32"/>
          <w:szCs w:val="32"/>
          <w:highlight w:val="none"/>
        </w:rPr>
        <w:t>35</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pPr>
        <w:pStyle w:val="2"/>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"_Toc176343852" </w:instrText>
      </w:r>
      <w:r>
        <w:rPr>
          <w:color w:val="auto"/>
          <w:highlight w:val="none"/>
        </w:rPr>
        <w:fldChar w:fldCharType="separate"/>
      </w:r>
      <w:r>
        <w:rPr>
          <w:rStyle w:val="77"/>
          <w:rFonts w:hint="eastAsia" w:ascii="宋体" w:hAnsi="宋体" w:eastAsia="宋体" w:cs="宋体"/>
          <w:color w:val="auto"/>
          <w:sz w:val="32"/>
          <w:szCs w:val="32"/>
          <w:highlight w:val="none"/>
        </w:rPr>
        <w:t>第五部分</w:t>
      </w:r>
      <w:r>
        <w:rPr>
          <w:rStyle w:val="77"/>
          <w:rFonts w:ascii="宋体" w:hAnsi="宋体" w:eastAsia="宋体" w:cs="宋体"/>
          <w:color w:val="auto"/>
          <w:sz w:val="32"/>
          <w:szCs w:val="32"/>
          <w:highlight w:val="none"/>
        </w:rPr>
        <w:t xml:space="preserve">  </w:t>
      </w:r>
      <w:r>
        <w:rPr>
          <w:rStyle w:val="77"/>
          <w:rFonts w:hint="eastAsia" w:ascii="宋体" w:hAnsi="宋体" w:eastAsia="宋体" w:cs="宋体"/>
          <w:color w:val="auto"/>
          <w:sz w:val="32"/>
          <w:szCs w:val="32"/>
          <w:highlight w:val="none"/>
        </w:rPr>
        <w:t>拟签订的合同文本</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_Toc176343852 \h </w:instrText>
      </w:r>
      <w:r>
        <w:rPr>
          <w:rFonts w:ascii="宋体" w:hAnsi="宋体"/>
          <w:color w:val="auto"/>
          <w:sz w:val="32"/>
          <w:szCs w:val="32"/>
          <w:highlight w:val="none"/>
        </w:rPr>
        <w:fldChar w:fldCharType="separate"/>
      </w:r>
      <w:r>
        <w:rPr>
          <w:rFonts w:ascii="宋体" w:hAnsi="宋体"/>
          <w:color w:val="auto"/>
          <w:sz w:val="32"/>
          <w:szCs w:val="32"/>
          <w:highlight w:val="none"/>
        </w:rPr>
        <w:t>44</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pPr>
        <w:pStyle w:val="2"/>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"_Toc176343853" </w:instrText>
      </w:r>
      <w:r>
        <w:rPr>
          <w:color w:val="auto"/>
          <w:highlight w:val="none"/>
        </w:rPr>
        <w:fldChar w:fldCharType="separate"/>
      </w:r>
      <w:r>
        <w:rPr>
          <w:rStyle w:val="77"/>
          <w:rFonts w:hint="eastAsia" w:ascii="宋体" w:hAnsi="宋体" w:eastAsia="宋体" w:cs="宋体"/>
          <w:color w:val="auto"/>
          <w:sz w:val="32"/>
          <w:szCs w:val="32"/>
          <w:highlight w:val="none"/>
        </w:rPr>
        <w:t>第六部分</w:t>
      </w:r>
      <w:r>
        <w:rPr>
          <w:rStyle w:val="77"/>
          <w:rFonts w:ascii="宋体" w:hAnsi="宋体" w:eastAsia="宋体" w:cs="宋体"/>
          <w:color w:val="auto"/>
          <w:sz w:val="32"/>
          <w:szCs w:val="32"/>
          <w:highlight w:val="none"/>
        </w:rPr>
        <w:t xml:space="preserve">  </w:t>
      </w:r>
      <w:r>
        <w:rPr>
          <w:rStyle w:val="77"/>
          <w:rFonts w:hint="eastAsia" w:ascii="宋体" w:hAnsi="宋体" w:eastAsia="宋体" w:cs="宋体"/>
          <w:color w:val="auto"/>
          <w:sz w:val="32"/>
          <w:szCs w:val="32"/>
          <w:highlight w:val="none"/>
        </w:rPr>
        <w:t>应提交的有关格式范例</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_Toc176343853 \h </w:instrText>
      </w:r>
      <w:r>
        <w:rPr>
          <w:rFonts w:ascii="宋体" w:hAnsi="宋体"/>
          <w:color w:val="auto"/>
          <w:sz w:val="32"/>
          <w:szCs w:val="32"/>
          <w:highlight w:val="none"/>
        </w:rPr>
        <w:fldChar w:fldCharType="separate"/>
      </w:r>
      <w:r>
        <w:rPr>
          <w:rFonts w:ascii="宋体" w:hAnsi="宋体"/>
          <w:color w:val="auto"/>
          <w:sz w:val="32"/>
          <w:szCs w:val="32"/>
          <w:highlight w:val="none"/>
        </w:rPr>
        <w:t>62</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pPr>
        <w:spacing w:line="360" w:lineRule="auto"/>
        <w:ind w:firstLine="732" w:firstLineChars="229"/>
        <w:rPr>
          <w:rFonts w:ascii="宋体" w:hAnsi="宋体" w:cs="宋体"/>
          <w:color w:val="auto"/>
          <w:sz w:val="32"/>
          <w:szCs w:val="32"/>
          <w:highlight w:val="none"/>
        </w:rPr>
      </w:pPr>
      <w:r>
        <w:rPr>
          <w:rFonts w:ascii="宋体" w:hAnsi="宋体" w:cs="宋体"/>
          <w:color w:val="auto"/>
          <w:sz w:val="32"/>
          <w:szCs w:val="32"/>
          <w:highlight w:val="none"/>
        </w:rPr>
        <w:fldChar w:fldCharType="end"/>
      </w: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bookmarkStart w:id="470" w:name="_GoBack"/>
      <w:bookmarkEnd w:id="470"/>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6" w:name="第一部分"/>
      <w:r>
        <w:rPr>
          <w:rFonts w:hint="eastAsia" w:ascii="宋体" w:hAnsi="宋体" w:cs="宋体"/>
          <w:b/>
          <w:color w:val="auto"/>
          <w:sz w:val="36"/>
          <w:szCs w:val="36"/>
          <w:highlight w:val="none"/>
        </w:rPr>
        <w:br w:type="page"/>
      </w:r>
      <w:bookmarkEnd w:id="5"/>
      <w:bookmarkEnd w:id="6"/>
      <w:bookmarkStart w:id="7" w:name="_Hlt74707423"/>
      <w:bookmarkEnd w:id="7"/>
      <w:bookmarkStart w:id="8" w:name="_Hlt74728647"/>
      <w:bookmarkEnd w:id="8"/>
      <w:bookmarkStart w:id="9" w:name="_Hlt74729822"/>
      <w:bookmarkEnd w:id="9"/>
      <w:bookmarkStart w:id="10" w:name="_Hlt74649545"/>
      <w:bookmarkEnd w:id="10"/>
      <w:bookmarkStart w:id="11" w:name="_Toc176343848"/>
      <w:bookmarkStart w:id="12" w:name="_Toc176185119"/>
      <w:bookmarkStart w:id="13" w:name="第二部分"/>
      <w:bookmarkStart w:id="14" w:name="_Toc91899870"/>
      <w:bookmarkStart w:id="15" w:name="_Toc91899871"/>
      <w:r>
        <w:rPr>
          <w:rFonts w:hint="eastAsia" w:ascii="宋体" w:hAnsi="宋体" w:cs="宋体"/>
          <w:b/>
          <w:color w:val="auto"/>
          <w:sz w:val="36"/>
          <w:szCs w:val="20"/>
          <w:highlight w:val="none"/>
        </w:rPr>
        <w:t>第一部分  招标公告</w:t>
      </w:r>
      <w:bookmarkEnd w:id="11"/>
      <w:bookmarkEnd w:id="12"/>
    </w:p>
    <w:p>
      <w:pPr>
        <w:pStyle w:val="42"/>
        <w:rPr>
          <w:rFonts w:ascii="宋体" w:hAnsi="宋体" w:cs="宋体"/>
          <w:b/>
          <w:color w:val="auto"/>
          <w:sz w:val="36"/>
          <w:szCs w:val="20"/>
          <w:highlight w:val="none"/>
        </w:rPr>
      </w:pPr>
      <w:bookmarkStart w:id="16" w:name="OLE_LINK2"/>
      <w:bookmarkStart w:id="17" w:name="OLE_LINK40"/>
      <w:bookmarkStart w:id="18" w:name="OLE_LINK41"/>
      <w:bookmarkStart w:id="19" w:name="OLE_LINK202"/>
      <w:r>
        <w:rPr>
          <w:rFonts w:hint="eastAsia" w:ascii="宋体" w:hAnsi="宋体" w:cs="宋体"/>
          <w:b/>
          <w:color w:val="auto"/>
          <w:sz w:val="32"/>
          <w:szCs w:val="32"/>
          <w:highlight w:val="none"/>
        </w:rPr>
        <w:t>北海市政府采购中心关于</w:t>
      </w:r>
      <w:r>
        <w:rPr>
          <w:rFonts w:hint="eastAsia" w:ascii="宋体" w:hAnsi="宋体" w:cs="宋体"/>
          <w:b/>
          <w:color w:val="auto"/>
          <w:sz w:val="32"/>
          <w:szCs w:val="32"/>
          <w:highlight w:val="none"/>
          <w:lang w:eastAsia="zh-CN"/>
        </w:rPr>
        <w:t>合浦县教育局2025年第一批义务教育薄弱环节改善与能力提升补助资金项目（学生用床、学生桌椅）</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eastAsia="zh-CN"/>
        </w:rPr>
        <w:t>BHZC2025-G1-210119-CGZX</w:t>
      </w:r>
      <w:r>
        <w:rPr>
          <w:rFonts w:hint="eastAsia" w:ascii="宋体" w:hAnsi="宋体" w:cs="宋体"/>
          <w:b/>
          <w:color w:val="auto"/>
          <w:sz w:val="32"/>
          <w:szCs w:val="32"/>
          <w:highlight w:val="none"/>
        </w:rPr>
        <w:t>)</w:t>
      </w:r>
      <w:bookmarkEnd w:id="16"/>
      <w:r>
        <w:rPr>
          <w:rFonts w:hint="eastAsia" w:ascii="宋体" w:hAnsi="宋体" w:cs="宋体"/>
          <w:b/>
          <w:color w:val="auto"/>
          <w:sz w:val="32"/>
          <w:szCs w:val="32"/>
          <w:highlight w:val="none"/>
        </w:rPr>
        <w:t>公开招标公告（远程异地评标）</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2025年第一批义务教育薄弱环节改善与能力提升补助资金项目（学生用床、学生桌椅）</w:t>
      </w:r>
      <w:r>
        <w:rPr>
          <w:rFonts w:hint="eastAsia" w:asciiTheme="minorEastAsia" w:hAnsiTheme="minorEastAsia" w:eastAsiaTheme="minorEastAsia"/>
          <w:color w:val="auto"/>
          <w:sz w:val="24"/>
          <w:highlight w:val="none"/>
        </w:rPr>
        <w:t>招标项目的潜在投标人应在</w:t>
      </w:r>
      <w:r>
        <w:rPr>
          <w:rFonts w:hint="eastAsia" w:ascii="宋体" w:hAnsi="宋体" w:cs="宋体"/>
          <w:color w:val="auto"/>
          <w:sz w:val="24"/>
          <w:highlight w:val="none"/>
        </w:rPr>
        <w:t>广西政府采购云平台（</w:t>
      </w:r>
      <w:r>
        <w:rPr>
          <w:color w:val="auto"/>
          <w:highlight w:val="none"/>
        </w:rPr>
        <w:fldChar w:fldCharType="begin"/>
      </w:r>
      <w:r>
        <w:rPr>
          <w:color w:val="auto"/>
          <w:highlight w:val="none"/>
        </w:rPr>
        <w:instrText xml:space="preserve"> HYPERLINK "https://www.gcy.zfcg.gxzf.gov.cn/）获取（下载）招标文件，并于2025年" </w:instrText>
      </w:r>
      <w:r>
        <w:rPr>
          <w:color w:val="auto"/>
          <w:highlight w:val="none"/>
        </w:rPr>
        <w:fldChar w:fldCharType="separate"/>
      </w:r>
      <w:r>
        <w:rPr>
          <w:rStyle w:val="77"/>
          <w:rFonts w:hint="eastAsia" w:ascii="宋体" w:hAnsi="宋体" w:eastAsia="宋体" w:cs="宋体"/>
          <w:color w:val="auto"/>
          <w:sz w:val="24"/>
          <w:szCs w:val="24"/>
          <w:highlight w:val="none"/>
        </w:rPr>
        <w:t>https://www.gcy.zfcg.gxzf.gov.cn/）</w:t>
      </w:r>
      <w:r>
        <w:rPr>
          <w:rStyle w:val="77"/>
          <w:rFonts w:cs="Times New Roman" w:asciiTheme="minorEastAsia" w:hAnsiTheme="minorEastAsia" w:eastAsiaTheme="minorEastAsia"/>
          <w:color w:val="auto"/>
          <w:sz w:val="24"/>
          <w:szCs w:val="24"/>
          <w:highlight w:val="none"/>
        </w:rPr>
        <w:t>获取（下载）招标文件，并于</w:t>
      </w:r>
      <w:r>
        <w:rPr>
          <w:rStyle w:val="77"/>
          <w:rFonts w:hint="eastAsia" w:cs="Times New Roman" w:asciiTheme="minorEastAsia" w:hAnsiTheme="minorEastAsia" w:eastAsiaTheme="minorEastAsia"/>
          <w:color w:val="auto"/>
          <w:sz w:val="24"/>
          <w:szCs w:val="24"/>
          <w:highlight w:val="none"/>
        </w:rPr>
        <w:t>2025年</w:t>
      </w:r>
      <w:r>
        <w:rPr>
          <w:rStyle w:val="77"/>
          <w:rFonts w:hint="eastAsia" w:cs="Times New Roman"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日9点00分00秒</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BHZC2025-G1-210119-CGZX</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项目名称：</w:t>
      </w:r>
      <w:bookmarkStart w:id="20" w:name="OLE_LINK100"/>
      <w:bookmarkStart w:id="21" w:name="OLE_LINK99"/>
      <w:r>
        <w:rPr>
          <w:rFonts w:hint="eastAsia" w:ascii="宋体" w:hAnsi="宋体" w:cs="宋体"/>
          <w:color w:val="auto"/>
          <w:sz w:val="24"/>
          <w:highlight w:val="none"/>
          <w:lang w:eastAsia="zh-CN"/>
        </w:rPr>
        <w:t>2025年第一批义务教育薄弱环节改善与能力提升补助资金项目（学生用床、学生桌椅）</w:t>
      </w:r>
    </w:p>
    <w:bookmarkEnd w:id="20"/>
    <w:bookmarkEnd w:id="21"/>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预算金额（元）：</w:t>
      </w:r>
      <w:r>
        <w:rPr>
          <w:rFonts w:hint="eastAsia" w:ascii="宋体" w:hAnsi="宋体" w:cs="宋体"/>
          <w:color w:val="auto"/>
          <w:sz w:val="24"/>
          <w:highlight w:val="none"/>
          <w:lang w:eastAsia="zh-CN"/>
        </w:rPr>
        <w:t>1767000.00</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采购需求：</w:t>
      </w:r>
    </w:p>
    <w:p>
      <w:pPr>
        <w:spacing w:line="320" w:lineRule="exact"/>
        <w:ind w:firstLine="420" w:firstLineChars="200"/>
        <w:jc w:val="left"/>
        <w:rPr>
          <w:rFonts w:ascii="宋体" w:hAnsi="宋体" w:cs="宋体"/>
          <w:color w:val="auto"/>
          <w:szCs w:val="21"/>
          <w:highlight w:val="none"/>
        </w:rPr>
      </w:pP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color w:val="auto"/>
          <w:kern w:val="0"/>
          <w:sz w:val="24"/>
          <w:highlight w:val="none"/>
        </w:rPr>
        <w:t>标项名称:</w:t>
      </w:r>
      <w:r>
        <w:rPr>
          <w:rFonts w:hint="eastAsia" w:hAnsi="宋体" w:cs="宋体"/>
          <w:color w:val="auto"/>
          <w:kern w:val="0"/>
          <w:sz w:val="24"/>
          <w:highlight w:val="none"/>
          <w:lang w:eastAsia="zh-CN"/>
        </w:rPr>
        <w:t>2025年第一批义务教育薄弱环节改善与能力提升补助资金项目（学生用床、学生桌椅）</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color w:val="auto"/>
          <w:kern w:val="0"/>
          <w:sz w:val="24"/>
          <w:highlight w:val="none"/>
        </w:rPr>
        <w:t>数量:1项</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int="default" w:hAnsi="宋体" w:eastAsia="宋体" w:cs="宋体"/>
          <w:color w:val="auto"/>
          <w:kern w:val="0"/>
          <w:sz w:val="24"/>
          <w:highlight w:val="none"/>
          <w:lang w:val="en-US" w:eastAsia="zh-CN"/>
        </w:rPr>
      </w:pPr>
      <w:r>
        <w:rPr>
          <w:rFonts w:hint="eastAsia" w:hAnsi="宋体" w:cs="宋体"/>
          <w:color w:val="auto"/>
          <w:kern w:val="0"/>
          <w:sz w:val="24"/>
          <w:highlight w:val="none"/>
        </w:rPr>
        <w:t xml:space="preserve">预算金额（元）: </w:t>
      </w:r>
      <w:r>
        <w:rPr>
          <w:rFonts w:hint="eastAsia" w:hAnsi="宋体" w:cs="宋体"/>
          <w:color w:val="auto"/>
          <w:kern w:val="0"/>
          <w:sz w:val="24"/>
          <w:highlight w:val="none"/>
          <w:lang w:eastAsia="zh-CN"/>
        </w:rPr>
        <w:t>1767000.00</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color w:val="auto"/>
          <w:kern w:val="0"/>
          <w:sz w:val="24"/>
          <w:highlight w:val="none"/>
        </w:rPr>
        <w:t>简要规格描述或项目基本概况介绍、用途：</w:t>
      </w:r>
      <w:r>
        <w:rPr>
          <w:rFonts w:hint="eastAsia" w:hAnsi="宋体" w:cs="宋体"/>
          <w:color w:val="auto"/>
          <w:kern w:val="0"/>
          <w:sz w:val="24"/>
          <w:highlight w:val="none"/>
          <w:lang w:eastAsia="zh-CN"/>
        </w:rPr>
        <w:t>采购</w:t>
      </w:r>
      <w:r>
        <w:rPr>
          <w:rFonts w:hint="eastAsia" w:hAnsi="宋体" w:cs="宋体"/>
          <w:color w:val="auto"/>
          <w:kern w:val="0"/>
          <w:sz w:val="24"/>
          <w:highlight w:val="none"/>
          <w:lang w:val="en-US" w:eastAsia="zh-CN"/>
        </w:rPr>
        <w:t>学生课桌椅</w:t>
      </w:r>
      <w:r>
        <w:rPr>
          <w:rFonts w:hint="eastAsia" w:hAnsi="宋体" w:cs="宋体"/>
          <w:color w:val="auto"/>
          <w:kern w:val="0"/>
          <w:sz w:val="24"/>
          <w:highlight w:val="none"/>
          <w:lang w:eastAsia="zh-CN"/>
        </w:rPr>
        <w:t>、</w:t>
      </w:r>
      <w:r>
        <w:rPr>
          <w:rFonts w:hint="eastAsia" w:hAnsi="宋体" w:cs="宋体"/>
          <w:color w:val="auto"/>
          <w:kern w:val="0"/>
          <w:sz w:val="24"/>
          <w:highlight w:val="none"/>
          <w:lang w:val="en-US" w:eastAsia="zh-CN"/>
        </w:rPr>
        <w:t>学生用床（上下床）</w:t>
      </w:r>
      <w:r>
        <w:rPr>
          <w:rFonts w:hint="eastAsia" w:hAnsi="宋体" w:cs="宋体"/>
          <w:color w:val="auto"/>
          <w:kern w:val="0"/>
          <w:sz w:val="24"/>
          <w:highlight w:val="none"/>
        </w:rPr>
        <w:t>等</w:t>
      </w:r>
      <w:r>
        <w:rPr>
          <w:rFonts w:hint="eastAsia" w:hAnsi="宋体" w:cs="宋体"/>
          <w:color w:val="auto"/>
          <w:kern w:val="0"/>
          <w:sz w:val="24"/>
          <w:highlight w:val="none"/>
          <w:lang w:eastAsia="zh-CN"/>
        </w:rPr>
        <w:t>一批</w:t>
      </w:r>
      <w:r>
        <w:rPr>
          <w:rFonts w:hint="eastAsia" w:hAnsi="宋体" w:cs="宋体"/>
          <w:color w:val="auto"/>
          <w:kern w:val="0"/>
          <w:sz w:val="24"/>
          <w:highlight w:val="none"/>
        </w:rPr>
        <w:t>，具体以招标文件第三部分采购需求为准。</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color w:val="auto"/>
          <w:kern w:val="0"/>
          <w:sz w:val="24"/>
          <w:highlight w:val="none"/>
        </w:rPr>
        <w:t>最高限价（如有）：/</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color w:val="auto"/>
          <w:kern w:val="0"/>
          <w:sz w:val="24"/>
          <w:highlight w:val="none"/>
        </w:rPr>
        <w:t>合同履约期限：签订合同后30个日历日，如因甲方及其他客观原因导致交付延期，不算作乙方违约，交付周期可视延期时问往后顺延。</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color w:val="auto"/>
          <w:kern w:val="0"/>
          <w:sz w:val="24"/>
          <w:highlight w:val="none"/>
        </w:rPr>
        <w:t>本标项（否）接受联合体投标</w:t>
      </w:r>
    </w:p>
    <w:p>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Ansi="宋体" w:cs="宋体"/>
          <w:color w:val="auto"/>
          <w:kern w:val="0"/>
          <w:sz w:val="24"/>
          <w:highlight w:val="none"/>
        </w:rPr>
      </w:pPr>
      <w:r>
        <w:rPr>
          <w:rFonts w:hint="eastAsia" w:hAnsi="宋体" w:cs="宋体"/>
          <w:color w:val="auto"/>
          <w:kern w:val="0"/>
          <w:sz w:val="24"/>
          <w:highlight w:val="none"/>
        </w:rPr>
        <w:t>备注：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22" w:name="_Hlk101132948"/>
      <w:r>
        <w:rPr>
          <w:rFonts w:hint="eastAsia" w:ascii="宋体" w:hAnsi="宋体" w:cs="宋体"/>
          <w:b/>
          <w:color w:val="auto"/>
          <w:sz w:val="24"/>
          <w:highlight w:val="none"/>
        </w:rPr>
        <w:t>申请人的资格要求</w:t>
      </w:r>
      <w:bookmarkEnd w:id="22"/>
      <w:r>
        <w:rPr>
          <w:rFonts w:hint="eastAsia" w:ascii="宋体" w:hAnsi="宋体" w:cs="宋体"/>
          <w:b/>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2.落实政府采购政策需满足的资格要求：无；</w:t>
      </w:r>
    </w:p>
    <w:p>
      <w:pPr>
        <w:pStyle w:val="6"/>
        <w:spacing w:line="360" w:lineRule="auto"/>
        <w:ind w:firstLine="480"/>
        <w:rPr>
          <w:rFonts w:hAnsi="宋体" w:cs="宋体"/>
          <w:color w:val="auto"/>
          <w:sz w:val="24"/>
          <w:highlight w:val="none"/>
        </w:rPr>
      </w:pPr>
      <w:r>
        <w:rPr>
          <w:rFonts w:hint="eastAsia" w:hAnsi="宋体" w:cs="宋体"/>
          <w:color w:val="auto"/>
          <w:sz w:val="24"/>
          <w:highlight w:val="none"/>
        </w:rPr>
        <w:t>3.本项目的特定资格要求：无。</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，下午12:00至23:59（北京时间，法定节假日除外）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地点（网址）：广西政府采购云平台（https://www.gcy.zfcg.gxzf.gov.cn/）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方式：供应商登录广西政府采购云平台（https://www.gcy.zfcg.gxzf.gov.cn/）在线申请获取采购文件（进入“项目采购”应用，在获取采购文件菜单中选择项目，申请获取采购文件）。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售价（元）：0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u w:val="single"/>
        </w:rPr>
        <w:t xml:space="preserve"> </w:t>
      </w:r>
      <w:bookmarkStart w:id="23" w:name="OLE_LINK21"/>
      <w:bookmarkStart w:id="24" w:name="OLE_LINK22"/>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日9点00分00秒</w:t>
      </w:r>
      <w:bookmarkEnd w:id="23"/>
      <w:bookmarkEnd w:id="24"/>
      <w:r>
        <w:rPr>
          <w:rFonts w:hint="eastAsia" w:ascii="宋体" w:hAnsi="宋体" w:cs="宋体"/>
          <w:color w:val="auto"/>
          <w:sz w:val="24"/>
          <w:highlight w:val="none"/>
        </w:rPr>
        <w:t>（北京时间）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投标地点（网址）：广西政府采购云平台（https://www.gcy.zfcg.gxzf.gov.cn/） </w:t>
      </w:r>
    </w:p>
    <w:p>
      <w:pPr>
        <w:spacing w:line="36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日9点00分00秒</w:t>
      </w:r>
      <w:r>
        <w:rPr>
          <w:rFonts w:hint="eastAsia" w:ascii="宋体" w:hAnsi="宋体" w:cs="宋体"/>
          <w:color w:val="auto"/>
          <w:sz w:val="24"/>
          <w:highlight w:val="none"/>
        </w:rPr>
        <w:t>（北京时间）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开标地点（网址）：广西政府采购云平台（https://www.gcy.zfcg.gxzf.gov.cn/）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bookmarkStart w:id="25" w:name="OLE_LINK135"/>
      <w:bookmarkStart w:id="26" w:name="OLE_LINK133"/>
      <w:bookmarkStart w:id="27" w:name="OLE_LINK134"/>
      <w:r>
        <w:rPr>
          <w:rFonts w:hint="eastAsia" w:ascii="宋体" w:hAnsi="宋体" w:cs="宋体"/>
          <w:color w:val="auto"/>
          <w:sz w:val="24"/>
          <w:highlight w:val="none"/>
        </w:rPr>
        <w:t>1.本项目不收取投标保证金。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对小型和微型企业的投标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pPr>
        <w:spacing w:line="360" w:lineRule="auto"/>
        <w:ind w:firstLine="480" w:firstLineChars="200"/>
        <w:rPr>
          <w:color w:val="auto"/>
          <w:highlight w:val="none"/>
        </w:rPr>
      </w:pPr>
      <w:r>
        <w:rPr>
          <w:rFonts w:hint="eastAsia" w:ascii="宋体" w:hAnsi="宋体" w:cs="宋体"/>
          <w:snapToGrid w:val="0"/>
          <w:color w:val="auto"/>
          <w:kern w:val="28"/>
          <w:sz w:val="24"/>
          <w:highlight w:val="none"/>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4.网上公告媒体查询：</w:t>
      </w:r>
      <w:bookmarkStart w:id="28" w:name="OLE_LINK33"/>
      <w:bookmarkStart w:id="29" w:name="OLE_LINK123"/>
      <w:bookmarkStart w:id="30" w:name="OLE_LINK32"/>
      <w:bookmarkStart w:id="31" w:name="OLE_LINK124"/>
      <w:r>
        <w:rPr>
          <w:rFonts w:hint="eastAsia" w:ascii="宋体" w:hAnsi="宋体"/>
          <w:color w:val="auto"/>
          <w:sz w:val="24"/>
          <w:highlight w:val="none"/>
        </w:rPr>
        <w:t>中国政府采购网、广西政府采购网、北海市政府采购监管网、全国公共资源交易平台（广西•北海）、北海市人民政府网-北海市政府采购中心网站</w:t>
      </w:r>
      <w:bookmarkEnd w:id="28"/>
      <w:bookmarkEnd w:id="29"/>
      <w:bookmarkEnd w:id="30"/>
      <w:bookmarkEnd w:id="31"/>
      <w:r>
        <w:rPr>
          <w:rFonts w:hint="eastAsia" w:ascii="宋体" w:hAnsi="宋体" w:cs="宋体"/>
          <w:color w:val="auto"/>
          <w:sz w:val="24"/>
          <w:highlight w:val="none"/>
        </w:rPr>
        <w:t>。</w:t>
      </w:r>
    </w:p>
    <w:p>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7.本项目采用远程异地评标。</w:t>
      </w:r>
    </w:p>
    <w:bookmarkEnd w:id="25"/>
    <w:bookmarkEnd w:id="26"/>
    <w:bookmarkEnd w:id="27"/>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七、对本次采购提出询问，请按以下方式联系</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合浦县教育局</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址：合浦县廉州镇小北街44号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包昌海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项目联系方式：0779-7293139</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    称：北海市政府采购中心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址：北海市海城区陈文村北路7号市直机关第三办公区2号楼一层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欧呈东</w:t>
      </w:r>
      <w:r>
        <w:rPr>
          <w:rFonts w:hint="eastAsia" w:ascii="宋体" w:hAnsi="宋体" w:cs="宋体"/>
          <w:color w:val="auto"/>
          <w:sz w:val="24"/>
          <w:highlight w:val="none"/>
        </w:rPr>
        <w:t xml:space="preserve">             </w:t>
      </w:r>
    </w:p>
    <w:p>
      <w:pPr>
        <w:spacing w:line="360" w:lineRule="auto"/>
        <w:ind w:firstLine="480" w:firstLineChars="200"/>
        <w:outlineLvl w:val="0"/>
        <w:rPr>
          <w:rFonts w:ascii="宋体" w:hAnsi="宋体" w:cs="宋体"/>
          <w:color w:val="auto"/>
          <w:sz w:val="24"/>
          <w:highlight w:val="none"/>
        </w:rPr>
      </w:pPr>
      <w:bookmarkStart w:id="32" w:name="_Toc6543"/>
      <w:r>
        <w:rPr>
          <w:rFonts w:hint="eastAsia" w:ascii="宋体" w:hAnsi="宋体" w:cs="宋体"/>
          <w:color w:val="auto"/>
          <w:sz w:val="24"/>
          <w:highlight w:val="none"/>
        </w:rPr>
        <w:t>项目联系方式(询问)：0779-3071101</w:t>
      </w:r>
      <w:bookmarkEnd w:id="32"/>
    </w:p>
    <w:p>
      <w:pPr>
        <w:spacing w:line="360" w:lineRule="auto"/>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广西政府采购云平台（https://www.gcy.zfcg.gxzf.gov.cn/），点击右侧咨询小采，获取采小蜜智能服务管家帮助，或拨打广西政府采购云平台服务热线95763获取热线服务帮助。</w:t>
      </w:r>
    </w:p>
    <w:bookmarkEnd w:id="17"/>
    <w:bookmarkEnd w:id="18"/>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bookmarkEnd w:id="19"/>
    <w:p>
      <w:pPr>
        <w:spacing w:line="360" w:lineRule="auto"/>
        <w:ind w:firstLine="480" w:firstLineChars="200"/>
        <w:rPr>
          <w:rFonts w:ascii="宋体" w:hAnsi="宋体" w:cs="宋体"/>
          <w:color w:val="auto"/>
          <w:sz w:val="24"/>
          <w:highlight w:val="none"/>
        </w:rPr>
      </w:pPr>
    </w:p>
    <w:p>
      <w:pPr>
        <w:pStyle w:val="34"/>
        <w:spacing w:line="360" w:lineRule="auto"/>
        <w:jc w:val="center"/>
        <w:rPr>
          <w:rFonts w:hAnsi="宋体" w:cs="宋体"/>
          <w:b/>
          <w:color w:val="auto"/>
          <w:sz w:val="36"/>
          <w:szCs w:val="20"/>
          <w:highlight w:val="none"/>
        </w:rPr>
      </w:pPr>
      <w:bookmarkStart w:id="33" w:name="_Toc176185120"/>
      <w:bookmarkStart w:id="34" w:name="_Toc176343849"/>
      <w:r>
        <w:rPr>
          <w:rFonts w:hint="eastAsia" w:hAnsi="宋体" w:cs="宋体"/>
          <w:b/>
          <w:color w:val="auto"/>
          <w:sz w:val="36"/>
          <w:szCs w:val="20"/>
          <w:highlight w:val="none"/>
        </w:rPr>
        <w:t>第二部分</w:t>
      </w:r>
      <w:bookmarkEnd w:id="13"/>
      <w:r>
        <w:rPr>
          <w:rFonts w:hint="eastAsia" w:hAnsi="宋体" w:cs="宋体"/>
          <w:b/>
          <w:color w:val="auto"/>
          <w:sz w:val="36"/>
          <w:szCs w:val="20"/>
          <w:highlight w:val="none"/>
        </w:rPr>
        <w:t xml:space="preserve">  投标人须知</w:t>
      </w:r>
      <w:bookmarkEnd w:id="14"/>
      <w:bookmarkEnd w:id="33"/>
      <w:bookmarkEnd w:id="34"/>
    </w:p>
    <w:p>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6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659"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auto"/>
                <w:highlight w:val="none"/>
              </w:rPr>
            </w:pPr>
            <w:bookmarkStart w:id="35" w:name="OLE_LINK3"/>
            <w:bookmarkStart w:id="36" w:name="OLE_LINK1"/>
            <w:r>
              <w:rPr>
                <w:rFonts w:hint="eastAsia" w:ascii="宋体" w:hAnsi="宋体" w:cs="宋体"/>
                <w:color w:val="auto"/>
                <w:sz w:val="24"/>
                <w:highlight w:val="none"/>
              </w:rPr>
              <w:t>货物类，单一产品或核心产品为：</w:t>
            </w:r>
            <w:r>
              <w:rPr>
                <w:rFonts w:hint="eastAsia" w:ascii="宋体" w:hAnsi="宋体" w:cs="宋体"/>
                <w:color w:val="auto"/>
                <w:sz w:val="24"/>
                <w:highlight w:val="none"/>
                <w:lang w:val="en-US" w:eastAsia="zh-CN"/>
              </w:rPr>
              <w:t>学生课桌椅</w:t>
            </w:r>
            <w:r>
              <w:rPr>
                <w:rFonts w:hint="eastAsia" w:ascii="宋体" w:hAnsi="宋体" w:cs="宋体"/>
                <w:color w:val="auto"/>
                <w:sz w:val="24"/>
                <w:highlight w:val="none"/>
              </w:rPr>
              <w:t>。</w:t>
            </w:r>
            <w:bookmarkEnd w:id="35"/>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659"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360" w:lineRule="auto"/>
              <w:ind w:left="0" w:firstLine="0"/>
              <w:textAlignment w:val="auto"/>
              <w:rPr>
                <w:rFonts w:hint="eastAsia" w:ascii="宋体" w:hAnsi="宋体" w:eastAsia="宋体" w:cs="宋体"/>
                <w:b w:val="0"/>
                <w:bCs w:val="0"/>
                <w:color w:val="auto"/>
                <w:kern w:val="0"/>
                <w:sz w:val="24"/>
                <w:highlight w:val="none"/>
                <w:lang w:eastAsia="zh-CN"/>
              </w:rPr>
            </w:pPr>
            <w:r>
              <w:rPr>
                <w:rFonts w:hint="eastAsia" w:ascii="宋体" w:hAnsi="宋体" w:eastAsia="宋体" w:cs="宋体"/>
                <w:b w:val="0"/>
                <w:bCs w:val="0"/>
                <w:color w:val="auto"/>
                <w:kern w:val="0"/>
                <w:sz w:val="24"/>
                <w:highlight w:val="none"/>
              </w:rPr>
              <w:t>标的：</w:t>
            </w:r>
            <w:r>
              <w:rPr>
                <w:rFonts w:hint="eastAsia" w:ascii="宋体" w:hAnsi="宋体" w:eastAsia="宋体" w:cs="宋体"/>
                <w:b w:val="0"/>
                <w:bCs w:val="0"/>
                <w:color w:val="auto"/>
                <w:kern w:val="0"/>
                <w:sz w:val="24"/>
                <w:highlight w:val="none"/>
                <w:u w:val="single"/>
              </w:rPr>
              <w:t xml:space="preserve"> </w:t>
            </w:r>
            <w:r>
              <w:rPr>
                <w:rFonts w:hint="eastAsia" w:ascii="宋体" w:hAnsi="宋体" w:eastAsia="宋体" w:cs="宋体"/>
                <w:b w:val="0"/>
                <w:bCs w:val="0"/>
                <w:color w:val="auto"/>
                <w:kern w:val="0"/>
                <w:sz w:val="24"/>
                <w:highlight w:val="none"/>
                <w:u w:val="single"/>
                <w:lang w:eastAsia="zh-CN"/>
              </w:rPr>
              <w:t>采购需求中所列的货物</w:t>
            </w:r>
            <w:r>
              <w:rPr>
                <w:rFonts w:hint="eastAsia" w:ascii="宋体" w:hAnsi="宋体" w:cs="宋体"/>
                <w:b w:val="0"/>
                <w:bCs w:val="0"/>
                <w:color w:val="auto"/>
                <w:kern w:val="0"/>
                <w:sz w:val="24"/>
                <w:highlight w:val="none"/>
                <w:u w:val="single"/>
                <w:lang w:val="en-US" w:eastAsia="zh-CN"/>
              </w:rPr>
              <w:t xml:space="preserve"> </w:t>
            </w:r>
            <w:r>
              <w:rPr>
                <w:rFonts w:hint="eastAsia" w:ascii="宋体" w:hAnsi="宋体" w:eastAsia="宋体" w:cs="宋体"/>
                <w:b w:val="0"/>
                <w:bCs w:val="0"/>
                <w:color w:val="auto"/>
                <w:kern w:val="0"/>
                <w:sz w:val="24"/>
                <w:highlight w:val="none"/>
              </w:rPr>
              <w:t>，属于</w:t>
            </w:r>
            <w:r>
              <w:rPr>
                <w:rFonts w:hint="eastAsia" w:ascii="宋体" w:hAnsi="宋体" w:eastAsia="宋体" w:cs="宋体"/>
                <w:b w:val="0"/>
                <w:bCs w:val="0"/>
                <w:color w:val="auto"/>
                <w:kern w:val="0"/>
                <w:sz w:val="24"/>
                <w:highlight w:val="none"/>
                <w:u w:val="single"/>
              </w:rPr>
              <w:t xml:space="preserve"> </w:t>
            </w:r>
            <w:r>
              <w:rPr>
                <w:rFonts w:hint="eastAsia" w:ascii="宋体" w:hAnsi="宋体" w:cs="宋体"/>
                <w:b w:val="0"/>
                <w:bCs w:val="0"/>
                <w:color w:val="auto"/>
                <w:kern w:val="0"/>
                <w:sz w:val="24"/>
                <w:highlight w:val="none"/>
                <w:u w:val="single"/>
                <w:lang w:eastAsia="zh-CN"/>
              </w:rPr>
              <w:t>工业</w:t>
            </w:r>
            <w:r>
              <w:rPr>
                <w:rFonts w:hint="eastAsia" w:ascii="宋体" w:hAnsi="宋体" w:eastAsia="宋体" w:cs="宋体"/>
                <w:b w:val="0"/>
                <w:bCs w:val="0"/>
                <w:color w:val="auto"/>
                <w:kern w:val="0"/>
                <w:sz w:val="24"/>
                <w:highlight w:val="none"/>
                <w:u w:val="single"/>
              </w:rPr>
              <w:t xml:space="preserve"> </w:t>
            </w:r>
            <w:r>
              <w:rPr>
                <w:rFonts w:hint="eastAsia" w:ascii="宋体" w:hAnsi="宋体" w:eastAsia="宋体" w:cs="宋体"/>
                <w:b w:val="0"/>
                <w:bCs w:val="0"/>
                <w:color w:val="auto"/>
                <w:kern w:val="0"/>
                <w:sz w:val="24"/>
                <w:highlight w:val="none"/>
              </w:rPr>
              <w:t>行业</w:t>
            </w:r>
            <w:r>
              <w:rPr>
                <w:rFonts w:hint="eastAsia" w:ascii="宋体" w:hAnsi="宋体" w:cs="宋体"/>
                <w:b w:val="0"/>
                <w:bCs w:val="0"/>
                <w:color w:val="auto"/>
                <w:kern w:val="0"/>
                <w:sz w:val="24"/>
                <w:highlight w:val="none"/>
                <w:lang w:eastAsia="zh-CN"/>
              </w:rPr>
              <w:t>。</w:t>
            </w:r>
          </w:p>
          <w:p>
            <w:pPr>
              <w:pStyle w:val="4"/>
              <w:pageBreakBefore w:val="0"/>
              <w:widowControl w:val="0"/>
              <w:kinsoku/>
              <w:wordWrap/>
              <w:overflowPunct/>
              <w:topLinePunct w:val="0"/>
              <w:autoSpaceDE/>
              <w:autoSpaceDN/>
              <w:bidi w:val="0"/>
              <w:ind w:left="0" w:firstLine="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6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6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6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6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6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方式一：广西政府采购云平台在线讲解演示。广西政府采购云平台在线讲解需投标人根据广西政府采购云平台操作要求做好准备工作，提前完善软硬件配置环境。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方式二：评审现场讲解演示。现场讲解地点为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65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jc w:val="cent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65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（2）资信证明文件：根据招标文件第三部分采购需求及第四部分评标标准的要求提供。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6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color w:val="auto"/>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6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lang w:val="zh-CN"/>
              </w:rPr>
              <w:t>投标文件</w:t>
            </w:r>
            <w:r>
              <w:rPr>
                <w:rFonts w:hint="eastAsia" w:ascii="宋体" w:hAnsi="宋体" w:cs="宋体"/>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投标报价出现下列情形的，投标无效：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投标文件出现不是唯一的、有选择性投标报价的；</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投标报价超过招标文件中规定的预算金额或者最高限价的;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color w:val="auto"/>
                <w:sz w:val="24"/>
                <w:szCs w:val="21"/>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投标人对根据修正原则修正后的报价不确认的</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jc w:val="cent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659"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供应商中标后也可在“广西政府采购云”平台申请政采贷：操作路径：登录广西政府采购云平台-金融服务中心-【融资服务】，可在热门申请中选择产品直接申请。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65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9772492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不接受。</w:t>
            </w:r>
          </w:p>
          <w:p>
            <w:pPr>
              <w:spacing w:line="360" w:lineRule="auto"/>
              <w:rPr>
                <w:rFonts w:hAnsi="宋体" w:cs="宋体"/>
                <w:color w:val="auto"/>
                <w:kern w:val="28"/>
                <w:sz w:val="24"/>
                <w:highlight w:val="none"/>
              </w:rPr>
            </w:pPr>
            <w:sdt>
              <w:sdtPr>
                <w:rPr>
                  <w:rFonts w:hint="eastAsia" w:ascii="宋体" w:hAnsi="宋体" w:cs="宋体"/>
                  <w:color w:val="auto"/>
                  <w:kern w:val="0"/>
                  <w:sz w:val="24"/>
                  <w:highlight w:val="none"/>
                </w:rPr>
                <w:id w:val="12066048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color w:val="auto"/>
                <w:sz w:val="24"/>
                <w:highlight w:val="none"/>
              </w:rPr>
              <w:t>接受</w:t>
            </w:r>
            <w:r>
              <w:rPr>
                <w:rFonts w:hint="eastAsia" w:ascii="宋体" w:hAnsi="宋体" w:cs="宋体"/>
                <w:color w:val="auto"/>
                <w:kern w:val="0"/>
                <w:sz w:val="24"/>
                <w:highlight w:val="none"/>
              </w:rPr>
              <w:t>：</w:t>
            </w:r>
            <w:r>
              <w:rPr>
                <w:rFonts w:hint="eastAsia" w:hAnsi="宋体" w:cs="宋体"/>
                <w:color w:val="auto"/>
                <w:kern w:val="28"/>
                <w:sz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kern w:val="28"/>
                <w:sz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6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p>
        </w:tc>
        <w:tc>
          <w:tcPr>
            <w:tcW w:w="66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解释权</w:t>
            </w:r>
          </w:p>
        </w:tc>
        <w:tc>
          <w:tcPr>
            <w:tcW w:w="6659" w:type="dxa"/>
            <w:tcBorders>
              <w:top w:val="single" w:color="auto" w:sz="4" w:space="0"/>
              <w:left w:val="single" w:color="auto" w:sz="4" w:space="0"/>
              <w:bottom w:val="single" w:color="auto" w:sz="4" w:space="0"/>
              <w:right w:val="single" w:color="auto" w:sz="4" w:space="0"/>
            </w:tcBorders>
            <w:vAlign w:val="center"/>
          </w:tcPr>
          <w:p>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本招标文件解释权属采购人及代理机构。</w:t>
            </w:r>
          </w:p>
        </w:tc>
      </w:tr>
    </w:tbl>
    <w:p>
      <w:pPr>
        <w:snapToGrid w:val="0"/>
        <w:spacing w:line="360" w:lineRule="auto"/>
        <w:jc w:val="center"/>
        <w:rPr>
          <w:rFonts w:ascii="宋体" w:hAnsi="宋体" w:cs="宋体"/>
          <w:b/>
          <w:color w:val="auto"/>
          <w:sz w:val="32"/>
          <w:szCs w:val="20"/>
          <w:highlight w:val="none"/>
        </w:rPr>
      </w:pPr>
    </w:p>
    <w:bookmarkEnd w:id="15"/>
    <w:p>
      <w:pPr>
        <w:adjustRightInd/>
        <w:spacing w:line="360" w:lineRule="auto"/>
        <w:ind w:firstLine="3845" w:firstLineChars="1197"/>
        <w:outlineLvl w:val="1"/>
        <w:rPr>
          <w:rFonts w:ascii="宋体" w:hAnsi="宋体" w:cs="宋体"/>
          <w:b/>
          <w:color w:val="auto"/>
          <w:sz w:val="32"/>
          <w:szCs w:val="20"/>
          <w:highlight w:val="none"/>
        </w:rPr>
      </w:pPr>
      <w:bookmarkStart w:id="37" w:name="_Toc164416483"/>
      <w:bookmarkStart w:id="38" w:name="第三部分"/>
      <w:r>
        <w:rPr>
          <w:rFonts w:hint="eastAsia" w:ascii="宋体" w:hAnsi="宋体" w:cs="宋体"/>
          <w:b/>
          <w:color w:val="auto"/>
          <w:sz w:val="32"/>
          <w:szCs w:val="20"/>
          <w:highlight w:val="none"/>
        </w:rPr>
        <w:t>一、总则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rPr>
          <w:rFonts w:ascii="宋体" w:hAnsi="宋体" w:cs="宋体"/>
          <w:b/>
          <w:color w:val="auto"/>
          <w:sz w:val="24"/>
          <w:highlight w:val="none"/>
        </w:rPr>
      </w:pPr>
      <w:r>
        <w:rPr>
          <w:rFonts w:hint="eastAsia" w:ascii="宋体" w:hAnsi="宋体" w:cs="宋体"/>
          <w:b/>
          <w:color w:val="auto"/>
          <w:sz w:val="24"/>
          <w:highlight w:val="none"/>
        </w:rPr>
        <w:t>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“法定代表人（负责人）”系指法人企业的法定负责人，或其他组织为法律、行政法规规定代表单位行使职权的主要负责人，或自然人本人。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2.6“电子交易平台”系指本项目政府采购活动所依托的广西政府采购云平台（https://www.gcy.zfcg.gxzf.gov.cn/）。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color w:val="auto"/>
          <w:kern w:val="0"/>
          <w:sz w:val="24"/>
          <w:highlight w:val="none"/>
        </w:rPr>
        <w:sym w:font="Wingdings" w:char="F0FE"/>
      </w:r>
      <w:r>
        <w:rPr>
          <w:rFonts w:ascii="宋体" w:hAnsi="宋体" w:cs="宋体"/>
          <w:color w:val="auto"/>
          <w:kern w:val="0"/>
          <w:sz w:val="24"/>
          <w:highlight w:val="none"/>
        </w:rPr>
        <w:t>”</w:t>
      </w:r>
      <w:r>
        <w:rPr>
          <w:rFonts w:hint="eastAsia" w:ascii="宋体" w:hAnsi="宋体" w:cs="宋体"/>
          <w:color w:val="auto"/>
          <w:sz w:val="24"/>
          <w:highlight w:val="none"/>
        </w:rPr>
        <w:t>系指适用本项目的要求，“</w:t>
      </w:r>
      <w:r>
        <w:rPr>
          <w:rFonts w:hint="eastAsia" w:ascii="宋体" w:hAnsi="宋体" w:cs="宋体"/>
          <w:color w:val="auto"/>
          <w:kern w:val="0"/>
          <w:sz w:val="24"/>
          <w:highlight w:val="none"/>
        </w:rPr>
        <w:t>□</w:t>
      </w:r>
      <w:r>
        <w:rPr>
          <w:rFonts w:ascii="宋体" w:hAnsi="宋体" w:cs="宋体"/>
          <w:color w:val="auto"/>
          <w:kern w:val="0"/>
          <w:sz w:val="24"/>
          <w:highlight w:val="none"/>
        </w:rPr>
        <w:t>”</w:t>
      </w:r>
      <w:r>
        <w:rPr>
          <w:rFonts w:hint="eastAsia" w:ascii="宋体" w:hAnsi="宋体" w:cs="宋体"/>
          <w:color w:val="auto"/>
          <w:sz w:val="24"/>
          <w:highlight w:val="none"/>
        </w:rPr>
        <w:t>系指不适用本项目的要求。</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9"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39"/>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ascii="宋体" w:hAnsi="宋体" w:cs="宋体"/>
          <w:color w:val="auto"/>
          <w:sz w:val="24"/>
          <w:highlight w:val="none"/>
        </w:rPr>
        <w:t>3.3.3对于未预留份额专门面向中小企业采购的政府采购项目，以及预留份额政府采购项目中的非预留部分标项，对小型和微型企业的投标报价给予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%的扣除，用扣除后的价格参与评审。接受大中型企业与小微企业组成联合体或者允许大中型企业向一家或者多家小微企业分包的政府采购项目，对于</w:t>
      </w:r>
      <w:bookmarkStart w:id="40" w:name="_Hlk101132181"/>
      <w:r>
        <w:rPr>
          <w:rFonts w:hint="eastAsia" w:ascii="宋体" w:hAnsi="宋体" w:cs="宋体"/>
          <w:color w:val="auto"/>
          <w:sz w:val="24"/>
          <w:highlight w:val="none"/>
        </w:rPr>
        <w:t>联合协议或者分包意向协议约定小微企业的合同份额占到合同总金额30%以上的</w:t>
      </w:r>
      <w:bookmarkEnd w:id="40"/>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%的扣除，用扣除后的价格参加评审。组成联合体或者接受分包的小微企业与联合体内其他企业、分包企业之间存在直接控股、管理关系的，不享受价格扣除优惠政策。专门</w:t>
      </w:r>
      <w:r>
        <w:rPr>
          <w:rFonts w:hint="eastAsia" w:cs="宋体" w:asciiTheme="minorEastAsia" w:hAnsiTheme="minorEastAsia" w:eastAsiaTheme="minorEastAsia"/>
          <w:color w:val="auto"/>
          <w:sz w:val="24"/>
          <w:highlight w:val="none"/>
        </w:rPr>
        <w:t>面向中小企业采购的政府采购项目或者采购包不再执行价格扣除政策。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pPr>
        <w:pStyle w:val="84"/>
        <w:rPr>
          <w:bCs/>
          <w:color w:val="auto"/>
          <w:highlight w:val="none"/>
        </w:rPr>
      </w:pPr>
      <w:r>
        <w:rPr>
          <w:rFonts w:hint="eastAsia"/>
          <w:color w:val="auto"/>
          <w:highlight w:val="none"/>
        </w:rPr>
        <w:t>3.6平等对待符合条件的破产重整企业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平等对待符合条件的破产重整企业，切实保障企业公平竞争，平等维护企业的合法利益。</w:t>
      </w:r>
    </w:p>
    <w:p>
      <w:pPr>
        <w:spacing w:line="360" w:lineRule="auto"/>
        <w:ind w:firstLine="482" w:firstLineChars="200"/>
        <w:rPr>
          <w:rFonts w:asciiTheme="minorEastAsia" w:hAnsiTheme="minorEastAsia" w:eastAsiaTheme="minorEastAsia"/>
          <w:b/>
          <w:color w:val="auto"/>
          <w:highlight w:val="none"/>
        </w:rPr>
      </w:pPr>
      <w:r>
        <w:rPr>
          <w:rFonts w:hint="eastAsia" w:ascii="宋体" w:hAnsi="宋体"/>
          <w:b/>
          <w:color w:val="auto"/>
          <w:sz w:val="24"/>
          <w:highlight w:val="none"/>
        </w:rPr>
        <w:t>4. 询问、质疑、投诉</w:t>
      </w:r>
    </w:p>
    <w:p>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4.1在线询问、质疑、投诉</w:t>
      </w:r>
    </w:p>
    <w:p>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pPr>
        <w:pStyle w:val="84"/>
        <w:rPr>
          <w:color w:val="auto"/>
          <w:highlight w:val="none"/>
        </w:rPr>
      </w:pPr>
      <w:r>
        <w:rPr>
          <w:rFonts w:hint="eastAsia"/>
          <w:color w:val="auto"/>
          <w:highlight w:val="none"/>
        </w:rPr>
        <w:t>询问联系部门：北海市政府采购中心采购一科  联系电话：0779-3071101  地址：北海市海城区陈文村北路7号市直机关第三办公区</w:t>
      </w:r>
    </w:p>
    <w:p>
      <w:pPr>
        <w:pStyle w:val="84"/>
        <w:rPr>
          <w:color w:val="auto"/>
          <w:highlight w:val="none"/>
        </w:rPr>
      </w:pPr>
      <w:r>
        <w:rPr>
          <w:rFonts w:hint="eastAsia"/>
          <w:color w:val="auto"/>
          <w:highlight w:val="none"/>
        </w:rPr>
        <w:t>质疑联系部门：北海市政府采购中心监督科  联系电话：</w:t>
      </w:r>
      <w:r>
        <w:rPr>
          <w:color w:val="auto"/>
          <w:highlight w:val="none"/>
        </w:rPr>
        <w:t>0779-3960826</w:t>
      </w:r>
      <w:r>
        <w:rPr>
          <w:rFonts w:hint="eastAsia"/>
          <w:color w:val="auto"/>
          <w:highlight w:val="none"/>
        </w:rPr>
        <w:t xml:space="preserve">  地址：北海市海城区陈文村北路7号市直机关第三办公区</w:t>
      </w:r>
    </w:p>
    <w:p>
      <w:pPr>
        <w:pStyle w:val="84"/>
        <w:rPr>
          <w:color w:val="auto"/>
          <w:highlight w:val="none"/>
        </w:rPr>
      </w:pPr>
      <w:r>
        <w:rPr>
          <w:rFonts w:hint="eastAsia"/>
          <w:color w:val="auto"/>
          <w:highlight w:val="none"/>
        </w:rPr>
        <w:t>投诉联系部门：</w:t>
      </w:r>
      <w:r>
        <w:rPr>
          <w:rFonts w:hint="eastAsia"/>
          <w:color w:val="auto"/>
          <w:highlight w:val="none"/>
          <w:lang w:eastAsia="zh-CN"/>
        </w:rPr>
        <w:t>合浦县</w:t>
      </w:r>
      <w:r>
        <w:rPr>
          <w:rFonts w:hint="eastAsia"/>
          <w:color w:val="auto"/>
          <w:highlight w:val="none"/>
        </w:rPr>
        <w:t>财政局  联系电话：0779-7213187  地址：北海市合浦县廉州镇明园南路50号</w:t>
      </w:r>
    </w:p>
    <w:p>
      <w:pPr>
        <w:pStyle w:val="888"/>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4.2供应商询问</w:t>
      </w:r>
    </w:p>
    <w:p>
      <w:pPr>
        <w:pStyle w:val="888"/>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pPr>
        <w:pStyle w:val="888"/>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4.3.6根据采购人与采购代理机构签订的采购委托协议，质疑答复责任主体如下：</w:t>
      </w:r>
      <w:r>
        <w:rPr>
          <w:rFonts w:asciiTheme="minorEastAsia" w:hAnsiTheme="minorEastAsia" w:eastAsiaTheme="minorEastAsia"/>
          <w:color w:val="auto"/>
          <w:sz w:val="24"/>
          <w:highlight w:val="none"/>
        </w:rPr>
        <w:t xml:space="preserve"> </w:t>
      </w:r>
    </w:p>
    <w:p>
      <w:pPr>
        <w:widowControl/>
        <w:adjustRightInd/>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Theme="minorEastAsia" w:hAnsiTheme="minorEastAsia" w:eastAsiaTheme="minorEastAsia"/>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Theme="minorEastAsia" w:hAnsiTheme="minorEastAsia" w:eastAsiaTheme="minorEastAsia"/>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pPr>
        <w:pStyle w:val="888"/>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注：</w:t>
      </w:r>
      <w:r>
        <w:rPr>
          <w:rFonts w:hint="eastAsia" w:asciiTheme="minorEastAsia" w:hAnsiTheme="minorEastAsia" w:eastAsiaTheme="minorEastAsia"/>
          <w:color w:val="auto"/>
          <w:highlight w:val="none"/>
        </w:rPr>
        <w:t>采购人或代理机构应当协助质疑答复责任主体及时答复</w:t>
      </w:r>
      <w:r>
        <w:rPr>
          <w:rFonts w:hint="eastAsia"/>
          <w:color w:val="auto"/>
          <w:highlight w:val="none"/>
        </w:rPr>
        <w:t>供应商的书面质疑。</w:t>
      </w:r>
    </w:p>
    <w:p>
      <w:pPr>
        <w:pStyle w:val="888"/>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.7询问或者质疑事项可能影响采购结果的，采购人应当暂停签订合同，已经签订合同的，应当中止履行合同。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4.4.4 以联合体形式参加政府采购活动的，其投诉应当由组成联合体的所有供应商共同提出。</w:t>
      </w:r>
    </w:p>
    <w:p>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6"/>
        <w:spacing w:line="360" w:lineRule="auto"/>
        <w:ind w:firstLine="470" w:firstLineChars="196"/>
        <w:rPr>
          <w:rFonts w:hint="eastAsia" w:hAnsi="宋体" w:eastAsia="宋体" w:cs="宋体"/>
          <w:color w:val="auto"/>
          <w:sz w:val="24"/>
          <w:highlight w:val="none"/>
          <w:lang w:eastAsia="zh-CN"/>
        </w:rPr>
      </w:pPr>
      <w:r>
        <w:rPr>
          <w:rFonts w:hint="eastAsia" w:hAnsi="宋体" w:cs="宋体"/>
          <w:color w:val="auto"/>
          <w:sz w:val="24"/>
          <w:highlight w:val="none"/>
          <w:lang w:eastAsia="zh-CN"/>
        </w:rPr>
        <w:t>本项目不收取保证金。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投标文件的组成（标注“▲”为实质性要求，供应商必须提供，否则投标无效。相关格式见招标文件第六部分）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11.1.1符合参加政府采购活动应当具备的一般条件的承诺函；</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41" w:name="_Hlk101259339"/>
      <w:r>
        <w:rPr>
          <w:rFonts w:hint="eastAsia" w:ascii="宋体" w:hAnsi="宋体" w:cs="宋体"/>
          <w:snapToGrid w:val="0"/>
          <w:color w:val="auto"/>
          <w:kern w:val="28"/>
          <w:sz w:val="24"/>
          <w:szCs w:val="20"/>
          <w:highlight w:val="none"/>
        </w:rPr>
        <w:t>联合协议</w:t>
      </w:r>
      <w:bookmarkEnd w:id="41"/>
      <w:r>
        <w:rPr>
          <w:rFonts w:hint="eastAsia" w:ascii="宋体" w:hAnsi="宋体" w:cs="宋体"/>
          <w:snapToGrid w:val="0"/>
          <w:color w:val="auto"/>
          <w:kern w:val="28"/>
          <w:sz w:val="24"/>
          <w:szCs w:val="20"/>
          <w:highlight w:val="none"/>
        </w:rPr>
        <w:t>（如果有)；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11.</w:t>
      </w:r>
      <w:r>
        <w:rPr>
          <w:rFonts w:hint="eastAsia" w:ascii="宋体" w:hAnsi="宋体" w:cs="宋体"/>
          <w:b/>
          <w:color w:val="auto"/>
          <w:sz w:val="24"/>
          <w:highlight w:val="none"/>
        </w:rPr>
        <w:t>2</w:t>
      </w:r>
      <w:r>
        <w:rPr>
          <w:rFonts w:hint="eastAsia" w:ascii="宋体" w:hAnsi="宋体" w:cs="宋体"/>
          <w:b/>
          <w:color w:val="auto"/>
          <w:sz w:val="24"/>
          <w:highlight w:val="none"/>
          <w:lang w:val="zh-CN"/>
        </w:rPr>
        <w:t xml:space="preserve">  </w:t>
      </w: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482" w:firstLineChars="200"/>
        <w:rPr>
          <w:rFonts w:ascii="宋体" w:hAnsi="宋体" w:cs="宋体"/>
          <w:color w:val="auto"/>
          <w:sz w:val="24"/>
          <w:highlight w:val="none"/>
          <w:lang w:val="zh-CN"/>
        </w:rPr>
      </w:pPr>
      <w:r>
        <w:rPr>
          <w:rFonts w:hint="eastAsia" w:hAnsi="宋体" w:cs="宋体"/>
          <w:b/>
          <w:color w:val="auto"/>
          <w:sz w:val="24"/>
          <w:highlight w:val="none"/>
        </w:rPr>
        <w:t>▲</w:t>
      </w: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pStyle w:val="84"/>
        <w:rPr>
          <w:color w:val="auto"/>
          <w:highlight w:val="none"/>
        </w:rPr>
      </w:pPr>
      <w:r>
        <w:rPr>
          <w:rFonts w:hint="eastAsia" w:cs="宋体"/>
          <w:b/>
          <w:color w:val="auto"/>
          <w:szCs w:val="24"/>
          <w:highlight w:val="none"/>
        </w:rPr>
        <w:t>▲</w:t>
      </w:r>
      <w:r>
        <w:rPr>
          <w:rFonts w:hint="eastAsia"/>
          <w:color w:val="auto"/>
          <w:highlight w:val="none"/>
        </w:rPr>
        <w:t>11.2.9承诺函；</w:t>
      </w:r>
    </w:p>
    <w:p>
      <w:pPr>
        <w:pStyle w:val="84"/>
        <w:rPr>
          <w:color w:val="auto"/>
          <w:highlight w:val="none"/>
        </w:rPr>
      </w:pPr>
      <w:r>
        <w:rPr>
          <w:rFonts w:hint="eastAsia"/>
          <w:color w:val="auto"/>
          <w:highlight w:val="none"/>
        </w:rPr>
        <w:t>11.2.10技术解决方案</w:t>
      </w:r>
      <w:r>
        <w:rPr>
          <w:rFonts w:hint="eastAsia" w:cs="宋体"/>
          <w:snapToGrid w:val="0"/>
          <w:color w:val="auto"/>
          <w:kern w:val="28"/>
          <w:highlight w:val="none"/>
        </w:rPr>
        <w:t>（如果有)</w:t>
      </w:r>
      <w:r>
        <w:rPr>
          <w:rFonts w:hint="eastAsia"/>
          <w:color w:val="auto"/>
          <w:highlight w:val="none"/>
        </w:rPr>
        <w:t>。可以是针对本项目的完整技术解决方案和实施方案；详细阐述项目方案的实现思路及关键技术；符合本项目对当前和未来发展的要求；以及对功能设计和实施计划的建议；</w:t>
      </w:r>
    </w:p>
    <w:p>
      <w:pPr>
        <w:pStyle w:val="84"/>
        <w:rPr>
          <w:color w:val="auto"/>
          <w:highlight w:val="none"/>
        </w:rPr>
      </w:pPr>
      <w:r>
        <w:rPr>
          <w:rFonts w:hint="eastAsia"/>
          <w:color w:val="auto"/>
          <w:highlight w:val="none"/>
        </w:rPr>
        <w:t>11.2.11组织实施方案</w:t>
      </w:r>
      <w:r>
        <w:rPr>
          <w:rFonts w:hint="eastAsia" w:cs="宋体"/>
          <w:snapToGrid w:val="0"/>
          <w:color w:val="auto"/>
          <w:kern w:val="28"/>
          <w:highlight w:val="none"/>
        </w:rPr>
        <w:t>（如果有)</w:t>
      </w:r>
      <w:r>
        <w:rPr>
          <w:rFonts w:hint="eastAsia"/>
          <w:color w:val="auto"/>
          <w:highlight w:val="none"/>
        </w:rPr>
        <w:t>。可以是本项目详细工作实施组织方案，包括(但不限于)以下内容：组织机构、工作时间进度表、工作程序和步骤、管理和协调方法、关键步骤的思路和要点；</w:t>
      </w:r>
    </w:p>
    <w:p>
      <w:pPr>
        <w:pStyle w:val="84"/>
        <w:rPr>
          <w:color w:val="auto"/>
          <w:highlight w:val="none"/>
        </w:rPr>
      </w:pPr>
      <w:r>
        <w:rPr>
          <w:rFonts w:hint="eastAsia" w:cs="宋体"/>
          <w:b/>
          <w:color w:val="auto"/>
          <w:szCs w:val="24"/>
          <w:highlight w:val="none"/>
        </w:rPr>
        <w:t>▲</w:t>
      </w:r>
      <w:r>
        <w:rPr>
          <w:rFonts w:hint="eastAsia"/>
          <w:color w:val="auto"/>
          <w:highlight w:val="none"/>
        </w:rPr>
        <w:t>11.2.12售后服务方案。可以是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snapToGrid w:val="0"/>
        <w:spacing w:line="360" w:lineRule="auto"/>
        <w:ind w:firstLine="482" w:firstLineChars="200"/>
        <w:rPr>
          <w:rFonts w:ascii="宋体" w:hAnsi="宋体" w:cs="宋体"/>
          <w:color w:val="auto"/>
          <w:sz w:val="24"/>
          <w:highlight w:val="none"/>
          <w:u w:val="single"/>
          <w:lang w:val="zh-CN"/>
        </w:rPr>
      </w:pPr>
      <w:r>
        <w:rPr>
          <w:rFonts w:hint="eastAsia" w:ascii="宋体" w:hAnsi="宋体" w:cs="宋体"/>
          <w:b/>
          <w:color w:val="auto"/>
          <w:kern w:val="0"/>
          <w:sz w:val="24"/>
          <w:highlight w:val="none"/>
          <w:lang w:val="zh-CN"/>
        </w:rPr>
        <w:t>11.</w:t>
      </w:r>
      <w:r>
        <w:rPr>
          <w:rFonts w:hint="eastAsia" w:ascii="宋体" w:hAnsi="宋体" w:cs="宋体"/>
          <w:b/>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11.3.1开标一览表（报价表）；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11.3.2中小企业声明函</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12.3使用“广西政府采购云平台电子交易客户端”需要提前申领CA数字证书，申领流程请自行前往“</w:t>
      </w:r>
      <w:r>
        <w:rPr>
          <w:rFonts w:hint="eastAsia" w:ascii="宋体" w:hAnsi="宋体" w:cs="宋体"/>
          <w:color w:val="auto"/>
          <w:sz w:val="24"/>
          <w:highlight w:val="none"/>
        </w:rPr>
        <w:t>广西政府采购网（http://zfcg.gxzf.gov.cn/）—办事服务—下载专区</w:t>
      </w:r>
      <w:r>
        <w:rPr>
          <w:rFonts w:hint="eastAsia" w:ascii="宋体" w:hAnsi="宋体" w:cs="宋体"/>
          <w:color w:val="auto"/>
          <w:kern w:val="0"/>
          <w:sz w:val="24"/>
          <w:highlight w:val="none"/>
          <w:lang w:val="zh-CN"/>
        </w:rPr>
        <w:t>”进行查阅。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13.2为确保网上操作合法、有效和安全，投标人应当在投标截止时间前完成在“广西政府采购云平台”的身份认证，确保在电子投标过程中能够对相关数据电文进行加密和使用电子签名。</w:t>
      </w:r>
    </w:p>
    <w:p>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13.3招标文件对投标文件签署、盖章的要求适用于电子签名、CA签章以及招标文件明确允许的其他方式。</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15.2备份投标文件须在“广西政府采购云平台投标客户端”制作生成，并储存在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spacing w:line="360" w:lineRule="auto"/>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17.1投标有效期为从提交投标文件的截止之日起60天。▲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人或采购代理机构可以以书面形式通知所有投标人延长投标有效期。投标人同意延长的，不得要求或被允许修改其投标文件，投标人拒绝延长的，其投标无效。</w:t>
      </w:r>
    </w:p>
    <w:p>
      <w:pPr>
        <w:pStyle w:val="130"/>
        <w:spacing w:before="0"/>
        <w:ind w:firstLine="643"/>
        <w:rPr>
          <w:rFonts w:ascii="宋体" w:hAnsi="宋体" w:cs="宋体"/>
          <w:b/>
          <w:color w:val="auto"/>
          <w:sz w:val="32"/>
          <w:highlight w:val="none"/>
        </w:rPr>
      </w:pPr>
    </w:p>
    <w:p>
      <w:pPr>
        <w:pStyle w:val="130"/>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6"/>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highlight w:val="none"/>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0"/>
        <w:spacing w:before="0"/>
        <w:ind w:firstLine="0" w:firstLineChars="0"/>
        <w:rPr>
          <w:rFonts w:ascii="宋体" w:hAnsi="宋体" w:cs="宋体"/>
          <w:color w:val="auto"/>
          <w:kern w:val="0"/>
          <w:szCs w:val="24"/>
          <w:highlight w:val="none"/>
        </w:rPr>
      </w:pPr>
    </w:p>
    <w:p>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42" w:name="_Toc91899903"/>
      <w:r>
        <w:rPr>
          <w:rFonts w:hint="eastAsia" w:ascii="宋体" w:hAnsi="宋体" w:cs="宋体"/>
          <w:b/>
          <w:color w:val="auto"/>
          <w:sz w:val="24"/>
          <w:highlight w:val="none"/>
        </w:rPr>
        <w:t>21.评标</w:t>
      </w:r>
    </w:p>
    <w:p>
      <w:pPr>
        <w:pStyle w:val="84"/>
        <w:rPr>
          <w:color w:val="auto"/>
          <w:highlight w:val="none"/>
        </w:rPr>
      </w:pPr>
      <w:r>
        <w:rPr>
          <w:rFonts w:hint="eastAsia"/>
          <w:color w:val="auto"/>
          <w:highlight w:val="none"/>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pPr>
        <w:pStyle w:val="84"/>
        <w:rPr>
          <w:rFonts w:cs="宋体"/>
          <w:b/>
          <w:color w:val="auto"/>
          <w:highlight w:val="none"/>
        </w:rPr>
      </w:pPr>
      <w:r>
        <w:rPr>
          <w:rFonts w:hint="eastAsia" w:cs="宋体"/>
          <w:b/>
          <w:color w:val="auto"/>
          <w:highlight w:val="none"/>
        </w:rPr>
        <w:t>21.2</w:t>
      </w:r>
      <w:r>
        <w:rPr>
          <w:rFonts w:hint="eastAsia" w:cs="宋体"/>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b/>
          <w:color w:val="auto"/>
          <w:highlight w:val="none"/>
        </w:rPr>
        <w:t>详见招标文件第四部分评标办法。</w:t>
      </w:r>
    </w:p>
    <w:p>
      <w:pPr>
        <w:pStyle w:val="84"/>
        <w:rPr>
          <w:color w:val="auto"/>
          <w:highlight w:val="none"/>
        </w:rPr>
      </w:pPr>
    </w:p>
    <w:p>
      <w:pPr>
        <w:spacing w:line="360" w:lineRule="auto"/>
        <w:rPr>
          <w:rFonts w:ascii="宋体" w:hAnsi="宋体" w:cs="宋体"/>
          <w:b/>
          <w:color w:val="auto"/>
          <w:sz w:val="24"/>
          <w:highlight w:val="none"/>
        </w:rPr>
      </w:pPr>
    </w:p>
    <w:p>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供应商。中标通知书和中标结果公告应当在规定时间内同时发出。</w:t>
      </w:r>
    </w:p>
    <w:p>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b/>
          <w:bCs/>
          <w:color w:val="auto"/>
          <w:highlight w:val="none"/>
        </w:rPr>
        <w:t>合同主要条款详见第五部分拟签订的合同文本。</w:t>
      </w:r>
    </w:p>
    <w:p>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25.6政采贷</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（四）贷款发放。贷款金融机构根据贷款协议向供应商发放贷款。</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（五）按期还款。供应商获得贷款后应自觉履行政府采购合同，合同履行完毕后，采购单位根据合同约定时间和账户信息，严格按照财政资金管理的相关规定，及时将资金支付到采购合同收款账户。</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（六）业务终止。贷款偿清后，贷款金融机构或北海市小微企业融资担保有限公司及时办理应收账款质押注销登记，业务终止。</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注：相关合作银行的具体操作流程详见北海市政府采购中心首页“政采贷”板块。</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pPr>
        <w:autoSpaceDE w:val="0"/>
        <w:autoSpaceDN w:val="0"/>
        <w:adjustRightInd/>
        <w:snapToGrid w:val="0"/>
        <w:spacing w:line="360" w:lineRule="auto"/>
        <w:ind w:firstLine="480" w:firstLineChars="200"/>
        <w:textAlignment w:val="bottom"/>
        <w:rPr>
          <w:rFonts w:ascii="宋体" w:hAnsi="宋体" w:cs="宋体"/>
          <w:color w:val="auto"/>
          <w:sz w:val="24"/>
          <w:szCs w:val="20"/>
          <w:highlight w:val="none"/>
        </w:rPr>
      </w:pPr>
      <w:r>
        <w:rPr>
          <w:rFonts w:hint="eastAsia" w:ascii="宋体" w:hAnsi="宋体" w:cs="宋体"/>
          <w:color w:val="auto"/>
          <w:sz w:val="24"/>
          <w:szCs w:val="20"/>
          <w:highlight w:val="none"/>
        </w:rPr>
        <w:t>供应商中标后可在“广西政府采购云”平台申请政采贷：操作路径：登录广西政府采购云平台-金融服务中心-【融资服务】，可在热门申请中选择产品直接申请。详见如下：</w:t>
      </w:r>
    </w:p>
    <w:p>
      <w:pPr>
        <w:pStyle w:val="84"/>
        <w:rPr>
          <w:color w:val="auto"/>
          <w:highlight w:val="none"/>
        </w:rPr>
      </w:pPr>
      <w:r>
        <w:rPr>
          <w:rFonts w:hint="eastAsia"/>
          <w:color w:val="auto"/>
          <w:highlight w:val="none"/>
        </w:rPr>
        <w:t>1.有贷款需求的供应商可以访问“广西政府采购云平台-金融服务-融资服务”栏目办理有关业务（链接：</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Style w:val="77"/>
          <w:rFonts w:ascii="宋体" w:hAnsi="宋体" w:eastAsia="宋体" w:cs="Times New Roman"/>
          <w:snapToGrid/>
          <w:color w:val="auto"/>
          <w:sz w:val="24"/>
          <w:szCs w:val="20"/>
          <w:highlight w:val="none"/>
        </w:rPr>
        <w:t>https://jinrong.gcy.zfcg.gxzf.gov.cn/finance/loan/gx</w:t>
      </w:r>
      <w:r>
        <w:rPr>
          <w:rStyle w:val="77"/>
          <w:rFonts w:ascii="宋体" w:hAnsi="宋体" w:eastAsia="宋体" w:cs="Times New Roman"/>
          <w:snapToGrid/>
          <w:color w:val="auto"/>
          <w:sz w:val="24"/>
          <w:szCs w:val="20"/>
          <w:highlight w:val="none"/>
        </w:rPr>
        <w:fldChar w:fldCharType="end"/>
      </w:r>
      <w:r>
        <w:rPr>
          <w:rFonts w:hint="eastAsia"/>
          <w:color w:val="auto"/>
          <w:highlight w:val="none"/>
        </w:rPr>
        <w:t>）</w:t>
      </w:r>
    </w:p>
    <w:p>
      <w:pPr>
        <w:pStyle w:val="84"/>
        <w:rPr>
          <w:color w:val="auto"/>
          <w:highlight w:val="none"/>
        </w:rPr>
      </w:pPr>
      <w:r>
        <w:rPr>
          <w:rFonts w:hint="eastAsia"/>
          <w:color w:val="auto"/>
          <w:highlight w:val="none"/>
        </w:rPr>
        <w:t>2.合作银行咨询办理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4"/>
              <w:ind w:firstLine="0"/>
              <w:jc w:val="center"/>
              <w:rPr>
                <w:color w:val="auto"/>
                <w:highlight w:val="none"/>
              </w:rPr>
            </w:pPr>
            <w:r>
              <w:rPr>
                <w:rFonts w:hint="eastAsia"/>
                <w:color w:val="auto"/>
                <w:highlight w:val="none"/>
              </w:rPr>
              <w:t>银行名称</w:t>
            </w:r>
          </w:p>
        </w:tc>
        <w:tc>
          <w:tcPr>
            <w:tcW w:w="1134" w:type="dxa"/>
            <w:vAlign w:val="center"/>
          </w:tcPr>
          <w:p>
            <w:pPr>
              <w:pStyle w:val="84"/>
              <w:ind w:firstLine="0"/>
              <w:jc w:val="center"/>
              <w:rPr>
                <w:color w:val="auto"/>
                <w:highlight w:val="none"/>
              </w:rPr>
            </w:pPr>
            <w:r>
              <w:rPr>
                <w:rFonts w:hint="eastAsia"/>
                <w:color w:val="auto"/>
                <w:highlight w:val="none"/>
              </w:rPr>
              <w:t>联系电话</w:t>
            </w:r>
          </w:p>
        </w:tc>
        <w:tc>
          <w:tcPr>
            <w:tcW w:w="1701" w:type="dxa"/>
            <w:vAlign w:val="center"/>
          </w:tcPr>
          <w:p>
            <w:pPr>
              <w:pStyle w:val="84"/>
              <w:ind w:firstLine="0"/>
              <w:jc w:val="center"/>
              <w:rPr>
                <w:color w:val="auto"/>
                <w:highlight w:val="none"/>
              </w:rPr>
            </w:pPr>
            <w:r>
              <w:rPr>
                <w:rFonts w:hint="eastAsia"/>
                <w:color w:val="auto"/>
                <w:highlight w:val="none"/>
              </w:rPr>
              <w:t>最高授信金额</w:t>
            </w:r>
          </w:p>
        </w:tc>
        <w:tc>
          <w:tcPr>
            <w:tcW w:w="993" w:type="dxa"/>
            <w:vAlign w:val="center"/>
          </w:tcPr>
          <w:p>
            <w:pPr>
              <w:pStyle w:val="84"/>
              <w:ind w:firstLine="0"/>
              <w:jc w:val="center"/>
              <w:rPr>
                <w:color w:val="auto"/>
                <w:highlight w:val="none"/>
              </w:rPr>
            </w:pPr>
            <w:r>
              <w:rPr>
                <w:rFonts w:hint="eastAsia"/>
                <w:color w:val="auto"/>
                <w:highlight w:val="none"/>
              </w:rPr>
              <w:t>最长授信期限</w:t>
            </w:r>
          </w:p>
        </w:tc>
        <w:tc>
          <w:tcPr>
            <w:tcW w:w="850" w:type="dxa"/>
            <w:vAlign w:val="center"/>
          </w:tcPr>
          <w:p>
            <w:pPr>
              <w:pStyle w:val="84"/>
              <w:ind w:firstLine="0"/>
              <w:jc w:val="center"/>
              <w:rPr>
                <w:color w:val="auto"/>
                <w:highlight w:val="none"/>
              </w:rPr>
            </w:pPr>
            <w:r>
              <w:rPr>
                <w:rFonts w:hint="eastAsia"/>
                <w:color w:val="auto"/>
                <w:highlight w:val="none"/>
              </w:rPr>
              <w:t>最低利率</w:t>
            </w:r>
          </w:p>
        </w:tc>
        <w:tc>
          <w:tcPr>
            <w:tcW w:w="3366" w:type="dxa"/>
            <w:vAlign w:val="center"/>
          </w:tcPr>
          <w:p>
            <w:pPr>
              <w:pStyle w:val="84"/>
              <w:ind w:firstLine="0"/>
              <w:jc w:val="center"/>
              <w:rPr>
                <w:color w:val="auto"/>
                <w:highlight w:val="none"/>
              </w:rPr>
            </w:pPr>
            <w:r>
              <w:rPr>
                <w:rFonts w:hint="eastAsia"/>
                <w:color w:val="auto"/>
                <w:highlight w:val="none"/>
              </w:rPr>
              <w:t>流程简介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4"/>
              <w:ind w:firstLine="0"/>
              <w:jc w:val="center"/>
              <w:rPr>
                <w:color w:val="auto"/>
                <w:highlight w:val="none"/>
              </w:rPr>
            </w:pPr>
            <w:r>
              <w:rPr>
                <w:rFonts w:hint="eastAsia"/>
                <w:color w:val="auto"/>
                <w:highlight w:val="none"/>
              </w:rPr>
              <w:t>建设银行</w:t>
            </w:r>
          </w:p>
        </w:tc>
        <w:tc>
          <w:tcPr>
            <w:tcW w:w="1134" w:type="dxa"/>
            <w:vAlign w:val="center"/>
          </w:tcPr>
          <w:p>
            <w:pPr>
              <w:pStyle w:val="84"/>
              <w:ind w:firstLine="0"/>
              <w:jc w:val="center"/>
              <w:rPr>
                <w:color w:val="auto"/>
                <w:highlight w:val="none"/>
              </w:rPr>
            </w:pPr>
            <w:r>
              <w:rPr>
                <w:rFonts w:hint="eastAsia"/>
                <w:color w:val="auto"/>
                <w:highlight w:val="none"/>
              </w:rPr>
              <w:t>13077729988</w:t>
            </w:r>
          </w:p>
        </w:tc>
        <w:tc>
          <w:tcPr>
            <w:tcW w:w="1701" w:type="dxa"/>
            <w:vAlign w:val="center"/>
          </w:tcPr>
          <w:p>
            <w:pPr>
              <w:pStyle w:val="84"/>
              <w:ind w:firstLine="0"/>
              <w:rPr>
                <w:color w:val="auto"/>
                <w:highlight w:val="none"/>
              </w:rPr>
            </w:pPr>
            <w:r>
              <w:rPr>
                <w:rFonts w:hint="eastAsia"/>
                <w:color w:val="auto"/>
                <w:highlight w:val="none"/>
              </w:rPr>
              <w:t>最高3千万</w:t>
            </w:r>
          </w:p>
        </w:tc>
        <w:tc>
          <w:tcPr>
            <w:tcW w:w="993" w:type="dxa"/>
            <w:vAlign w:val="center"/>
          </w:tcPr>
          <w:p>
            <w:pPr>
              <w:pStyle w:val="84"/>
              <w:ind w:firstLine="0"/>
              <w:jc w:val="center"/>
              <w:rPr>
                <w:color w:val="auto"/>
                <w:highlight w:val="none"/>
              </w:rPr>
            </w:pPr>
            <w:r>
              <w:rPr>
                <w:rFonts w:hint="eastAsia"/>
                <w:color w:val="auto"/>
                <w:highlight w:val="none"/>
              </w:rPr>
              <w:t>1年</w:t>
            </w:r>
          </w:p>
        </w:tc>
        <w:tc>
          <w:tcPr>
            <w:tcW w:w="850" w:type="dxa"/>
            <w:vAlign w:val="center"/>
          </w:tcPr>
          <w:p>
            <w:pPr>
              <w:pStyle w:val="84"/>
              <w:ind w:firstLine="0"/>
              <w:jc w:val="center"/>
              <w:rPr>
                <w:color w:val="auto"/>
                <w:highlight w:val="none"/>
              </w:rPr>
            </w:pPr>
            <w:r>
              <w:rPr>
                <w:rFonts w:hint="eastAsia"/>
                <w:color w:val="auto"/>
                <w:highlight w:val="none"/>
              </w:rPr>
              <w:t>4%</w:t>
            </w:r>
          </w:p>
        </w:tc>
        <w:tc>
          <w:tcPr>
            <w:tcW w:w="3366" w:type="dxa"/>
            <w:vAlign w:val="center"/>
          </w:tcPr>
          <w:p>
            <w:pPr>
              <w:pStyle w:val="84"/>
              <w:ind w:firstLine="0"/>
              <w:rPr>
                <w:color w:val="auto"/>
                <w:highlight w:val="none"/>
              </w:rPr>
            </w:pPr>
            <w:r>
              <w:rPr>
                <w:rFonts w:hint="eastAsia"/>
                <w:color w:val="auto"/>
                <w:highlight w:val="none"/>
              </w:rPr>
              <w:t>开设账号，线下提供申请材料，进入贷款审批流程，贷款审批通过后可自主用款，银行官方网银可自主还款。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4"/>
              <w:ind w:firstLine="0"/>
              <w:jc w:val="center"/>
              <w:rPr>
                <w:color w:val="auto"/>
                <w:highlight w:val="none"/>
              </w:rPr>
            </w:pPr>
            <w:r>
              <w:rPr>
                <w:rFonts w:hint="eastAsia"/>
                <w:color w:val="auto"/>
                <w:highlight w:val="none"/>
              </w:rPr>
              <w:t>中国银行</w:t>
            </w:r>
          </w:p>
        </w:tc>
        <w:tc>
          <w:tcPr>
            <w:tcW w:w="1134" w:type="dxa"/>
            <w:vAlign w:val="center"/>
          </w:tcPr>
          <w:p>
            <w:pPr>
              <w:pStyle w:val="84"/>
              <w:ind w:firstLine="0"/>
              <w:jc w:val="center"/>
              <w:rPr>
                <w:color w:val="auto"/>
                <w:highlight w:val="none"/>
              </w:rPr>
            </w:pPr>
            <w:r>
              <w:rPr>
                <w:rFonts w:hint="eastAsia"/>
                <w:color w:val="auto"/>
                <w:highlight w:val="none"/>
              </w:rPr>
              <w:t>0779-3997084</w:t>
            </w:r>
          </w:p>
        </w:tc>
        <w:tc>
          <w:tcPr>
            <w:tcW w:w="1701" w:type="dxa"/>
            <w:vAlign w:val="center"/>
          </w:tcPr>
          <w:p>
            <w:pPr>
              <w:pStyle w:val="84"/>
              <w:ind w:firstLine="0"/>
              <w:rPr>
                <w:color w:val="auto"/>
                <w:highlight w:val="none"/>
              </w:rPr>
            </w:pPr>
            <w:r>
              <w:rPr>
                <w:rFonts w:hint="eastAsia"/>
                <w:color w:val="auto"/>
                <w:highlight w:val="none"/>
              </w:rPr>
              <w:t>最高1千万</w:t>
            </w:r>
          </w:p>
        </w:tc>
        <w:tc>
          <w:tcPr>
            <w:tcW w:w="993" w:type="dxa"/>
            <w:vAlign w:val="center"/>
          </w:tcPr>
          <w:p>
            <w:pPr>
              <w:pStyle w:val="84"/>
              <w:ind w:firstLine="0"/>
              <w:jc w:val="center"/>
              <w:rPr>
                <w:color w:val="auto"/>
                <w:highlight w:val="none"/>
              </w:rPr>
            </w:pPr>
            <w:r>
              <w:rPr>
                <w:rFonts w:hint="eastAsia"/>
                <w:color w:val="auto"/>
                <w:highlight w:val="none"/>
              </w:rPr>
              <w:t>3年</w:t>
            </w:r>
          </w:p>
        </w:tc>
        <w:tc>
          <w:tcPr>
            <w:tcW w:w="850" w:type="dxa"/>
            <w:vAlign w:val="center"/>
          </w:tcPr>
          <w:p>
            <w:pPr>
              <w:pStyle w:val="84"/>
              <w:ind w:firstLine="0"/>
              <w:jc w:val="center"/>
              <w:rPr>
                <w:color w:val="auto"/>
                <w:highlight w:val="none"/>
              </w:rPr>
            </w:pPr>
            <w:r>
              <w:rPr>
                <w:rFonts w:hint="eastAsia"/>
                <w:color w:val="auto"/>
                <w:highlight w:val="none"/>
              </w:rPr>
              <w:t>1.93%</w:t>
            </w:r>
          </w:p>
        </w:tc>
        <w:tc>
          <w:tcPr>
            <w:tcW w:w="3366" w:type="dxa"/>
            <w:vAlign w:val="center"/>
          </w:tcPr>
          <w:p>
            <w:pPr>
              <w:pStyle w:val="84"/>
              <w:ind w:firstLine="0"/>
              <w:rPr>
                <w:color w:val="auto"/>
                <w:highlight w:val="none"/>
              </w:rPr>
            </w:pPr>
            <w:r>
              <w:rPr>
                <w:rFonts w:hint="eastAsia"/>
                <w:color w:val="auto"/>
                <w:highlight w:val="none"/>
              </w:rPr>
              <w:t>在银行开户，线上申请，上传所需材料，等待审批，审批通过后可直接在手机银行提款。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4"/>
              <w:ind w:firstLine="0"/>
              <w:jc w:val="center"/>
              <w:rPr>
                <w:color w:val="auto"/>
                <w:highlight w:val="none"/>
              </w:rPr>
            </w:pPr>
            <w:r>
              <w:rPr>
                <w:rFonts w:hint="eastAsia"/>
                <w:color w:val="auto"/>
                <w:highlight w:val="none"/>
              </w:rPr>
              <w:t>兴业银行</w:t>
            </w:r>
          </w:p>
        </w:tc>
        <w:tc>
          <w:tcPr>
            <w:tcW w:w="1134" w:type="dxa"/>
            <w:vAlign w:val="center"/>
          </w:tcPr>
          <w:p>
            <w:pPr>
              <w:pStyle w:val="84"/>
              <w:ind w:firstLine="0"/>
              <w:jc w:val="center"/>
              <w:rPr>
                <w:color w:val="auto"/>
                <w:highlight w:val="none"/>
              </w:rPr>
            </w:pPr>
            <w:r>
              <w:rPr>
                <w:rFonts w:hint="eastAsia"/>
                <w:color w:val="auto"/>
                <w:highlight w:val="none"/>
              </w:rPr>
              <w:t>0779-3158330</w:t>
            </w:r>
          </w:p>
        </w:tc>
        <w:tc>
          <w:tcPr>
            <w:tcW w:w="1701" w:type="dxa"/>
            <w:vAlign w:val="center"/>
          </w:tcPr>
          <w:p>
            <w:pPr>
              <w:pStyle w:val="84"/>
              <w:ind w:firstLine="0"/>
              <w:rPr>
                <w:color w:val="auto"/>
                <w:highlight w:val="none"/>
              </w:rPr>
            </w:pPr>
            <w:r>
              <w:rPr>
                <w:rFonts w:hint="eastAsia"/>
                <w:color w:val="auto"/>
                <w:highlight w:val="none"/>
              </w:rPr>
              <w:t>最高1千万（单笔提款金额达合同金额70%）</w:t>
            </w:r>
          </w:p>
        </w:tc>
        <w:tc>
          <w:tcPr>
            <w:tcW w:w="993" w:type="dxa"/>
            <w:vAlign w:val="center"/>
          </w:tcPr>
          <w:p>
            <w:pPr>
              <w:pStyle w:val="84"/>
              <w:ind w:firstLine="0"/>
              <w:jc w:val="center"/>
              <w:rPr>
                <w:color w:val="auto"/>
                <w:highlight w:val="none"/>
              </w:rPr>
            </w:pPr>
            <w:r>
              <w:rPr>
                <w:rFonts w:hint="eastAsia"/>
                <w:color w:val="auto"/>
                <w:highlight w:val="none"/>
              </w:rPr>
              <w:t>1年</w:t>
            </w:r>
          </w:p>
        </w:tc>
        <w:tc>
          <w:tcPr>
            <w:tcW w:w="850" w:type="dxa"/>
            <w:vAlign w:val="center"/>
          </w:tcPr>
          <w:p>
            <w:pPr>
              <w:pStyle w:val="84"/>
              <w:ind w:firstLine="0"/>
              <w:jc w:val="center"/>
              <w:rPr>
                <w:color w:val="auto"/>
                <w:highlight w:val="none"/>
              </w:rPr>
            </w:pPr>
            <w:r>
              <w:rPr>
                <w:rFonts w:hint="eastAsia"/>
                <w:color w:val="auto"/>
                <w:highlight w:val="none"/>
              </w:rPr>
              <w:t>3.70%</w:t>
            </w:r>
          </w:p>
        </w:tc>
        <w:tc>
          <w:tcPr>
            <w:tcW w:w="3366" w:type="dxa"/>
            <w:vAlign w:val="center"/>
          </w:tcPr>
          <w:p>
            <w:pPr>
              <w:pStyle w:val="84"/>
              <w:ind w:firstLine="0"/>
              <w:rPr>
                <w:color w:val="auto"/>
                <w:highlight w:val="none"/>
              </w:rPr>
            </w:pPr>
            <w:r>
              <w:rPr>
                <w:rFonts w:hint="eastAsia"/>
                <w:color w:val="auto"/>
                <w:highlight w:val="none"/>
              </w:rPr>
              <w:t>全流程线上，初次申请开立账户，提供营业执照、采购合同、信用材料等，申请复审，签订合同，提交单笔贷款使用需求，贷款到账后受托使用。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4"/>
              <w:ind w:firstLine="0"/>
              <w:jc w:val="center"/>
              <w:rPr>
                <w:color w:val="auto"/>
                <w:highlight w:val="none"/>
              </w:rPr>
            </w:pPr>
            <w:r>
              <w:rPr>
                <w:rFonts w:hint="eastAsia"/>
                <w:color w:val="auto"/>
                <w:highlight w:val="none"/>
              </w:rPr>
              <w:t>工商银行</w:t>
            </w:r>
          </w:p>
        </w:tc>
        <w:tc>
          <w:tcPr>
            <w:tcW w:w="1134" w:type="dxa"/>
            <w:vAlign w:val="center"/>
          </w:tcPr>
          <w:p>
            <w:pPr>
              <w:pStyle w:val="84"/>
              <w:ind w:firstLine="0"/>
              <w:jc w:val="center"/>
              <w:rPr>
                <w:color w:val="auto"/>
                <w:highlight w:val="none"/>
              </w:rPr>
            </w:pPr>
            <w:r>
              <w:rPr>
                <w:rFonts w:hint="eastAsia"/>
                <w:color w:val="auto"/>
                <w:highlight w:val="none"/>
              </w:rPr>
              <w:t>0779-3050645</w:t>
            </w:r>
          </w:p>
        </w:tc>
        <w:tc>
          <w:tcPr>
            <w:tcW w:w="1701" w:type="dxa"/>
            <w:vAlign w:val="center"/>
          </w:tcPr>
          <w:p>
            <w:pPr>
              <w:pStyle w:val="84"/>
              <w:ind w:firstLine="0"/>
              <w:rPr>
                <w:color w:val="auto"/>
                <w:highlight w:val="none"/>
              </w:rPr>
            </w:pPr>
            <w:r>
              <w:rPr>
                <w:rFonts w:hint="eastAsia"/>
                <w:color w:val="auto"/>
                <w:highlight w:val="none"/>
              </w:rPr>
              <w:t>最高1千万且不超过合同金额70%</w:t>
            </w:r>
          </w:p>
        </w:tc>
        <w:tc>
          <w:tcPr>
            <w:tcW w:w="993" w:type="dxa"/>
            <w:vAlign w:val="center"/>
          </w:tcPr>
          <w:p>
            <w:pPr>
              <w:pStyle w:val="84"/>
              <w:ind w:firstLine="0"/>
              <w:jc w:val="center"/>
              <w:rPr>
                <w:color w:val="auto"/>
                <w:highlight w:val="none"/>
              </w:rPr>
            </w:pPr>
            <w:r>
              <w:rPr>
                <w:rFonts w:hint="eastAsia"/>
                <w:color w:val="auto"/>
                <w:highlight w:val="none"/>
              </w:rPr>
              <w:t>货物类1年</w:t>
            </w:r>
          </w:p>
          <w:p>
            <w:pPr>
              <w:pStyle w:val="84"/>
              <w:ind w:firstLine="0"/>
              <w:jc w:val="center"/>
              <w:rPr>
                <w:color w:val="auto"/>
                <w:highlight w:val="none"/>
              </w:rPr>
            </w:pPr>
            <w:r>
              <w:rPr>
                <w:rFonts w:hint="eastAsia"/>
                <w:color w:val="auto"/>
                <w:highlight w:val="none"/>
              </w:rPr>
              <w:t>服务类3年</w:t>
            </w:r>
          </w:p>
          <w:p>
            <w:pPr>
              <w:pStyle w:val="84"/>
              <w:ind w:firstLine="0"/>
              <w:jc w:val="center"/>
              <w:rPr>
                <w:color w:val="auto"/>
                <w:highlight w:val="none"/>
              </w:rPr>
            </w:pPr>
            <w:r>
              <w:rPr>
                <w:rFonts w:hint="eastAsia"/>
                <w:color w:val="auto"/>
                <w:highlight w:val="none"/>
              </w:rPr>
              <w:t>工程类5年</w:t>
            </w:r>
          </w:p>
        </w:tc>
        <w:tc>
          <w:tcPr>
            <w:tcW w:w="850" w:type="dxa"/>
            <w:vAlign w:val="center"/>
          </w:tcPr>
          <w:p>
            <w:pPr>
              <w:pStyle w:val="84"/>
              <w:ind w:firstLine="0"/>
              <w:jc w:val="center"/>
              <w:rPr>
                <w:color w:val="auto"/>
                <w:highlight w:val="none"/>
              </w:rPr>
            </w:pPr>
            <w:r>
              <w:rPr>
                <w:rFonts w:hint="eastAsia"/>
                <w:color w:val="auto"/>
                <w:highlight w:val="none"/>
              </w:rPr>
              <w:t>3.45%</w:t>
            </w:r>
          </w:p>
        </w:tc>
        <w:tc>
          <w:tcPr>
            <w:tcW w:w="3366" w:type="dxa"/>
            <w:vAlign w:val="center"/>
          </w:tcPr>
          <w:p>
            <w:pPr>
              <w:pStyle w:val="84"/>
              <w:ind w:firstLine="0"/>
              <w:rPr>
                <w:color w:val="auto"/>
                <w:highlight w:val="none"/>
              </w:rPr>
            </w:pPr>
            <w:r>
              <w:rPr>
                <w:rFonts w:hint="eastAsia"/>
                <w:color w:val="auto"/>
                <w:highlight w:val="none"/>
              </w:rPr>
              <w:t>为中征系统白名单企业，提供相关要求材料，内部审批后放款自主借还。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4"/>
              <w:ind w:firstLine="0"/>
              <w:jc w:val="center"/>
              <w:rPr>
                <w:color w:val="auto"/>
                <w:highlight w:val="none"/>
              </w:rPr>
            </w:pPr>
            <w:r>
              <w:rPr>
                <w:rFonts w:hint="eastAsia"/>
                <w:color w:val="auto"/>
                <w:highlight w:val="none"/>
              </w:rPr>
              <w:t>国民村镇银行</w:t>
            </w:r>
          </w:p>
        </w:tc>
        <w:tc>
          <w:tcPr>
            <w:tcW w:w="1134" w:type="dxa"/>
            <w:vAlign w:val="center"/>
          </w:tcPr>
          <w:p>
            <w:pPr>
              <w:pStyle w:val="84"/>
              <w:ind w:firstLine="0"/>
              <w:jc w:val="center"/>
              <w:rPr>
                <w:color w:val="auto"/>
                <w:highlight w:val="none"/>
              </w:rPr>
            </w:pPr>
            <w:r>
              <w:rPr>
                <w:rFonts w:hint="eastAsia"/>
                <w:color w:val="auto"/>
                <w:highlight w:val="none"/>
              </w:rPr>
              <w:t>0779-2668801</w:t>
            </w:r>
          </w:p>
        </w:tc>
        <w:tc>
          <w:tcPr>
            <w:tcW w:w="1701" w:type="dxa"/>
            <w:vAlign w:val="center"/>
          </w:tcPr>
          <w:p>
            <w:pPr>
              <w:pStyle w:val="84"/>
              <w:ind w:firstLine="0"/>
              <w:rPr>
                <w:color w:val="auto"/>
                <w:highlight w:val="none"/>
              </w:rPr>
            </w:pPr>
            <w:r>
              <w:rPr>
                <w:rFonts w:hint="eastAsia"/>
                <w:color w:val="auto"/>
                <w:highlight w:val="none"/>
              </w:rPr>
              <w:t>最高500万</w:t>
            </w:r>
          </w:p>
        </w:tc>
        <w:tc>
          <w:tcPr>
            <w:tcW w:w="993" w:type="dxa"/>
            <w:vAlign w:val="center"/>
          </w:tcPr>
          <w:p>
            <w:pPr>
              <w:pStyle w:val="84"/>
              <w:ind w:firstLine="0"/>
              <w:jc w:val="center"/>
              <w:rPr>
                <w:color w:val="auto"/>
                <w:highlight w:val="none"/>
              </w:rPr>
            </w:pPr>
            <w:r>
              <w:rPr>
                <w:rFonts w:hint="eastAsia"/>
                <w:color w:val="auto"/>
                <w:highlight w:val="none"/>
              </w:rPr>
              <w:t>5年</w:t>
            </w:r>
          </w:p>
        </w:tc>
        <w:tc>
          <w:tcPr>
            <w:tcW w:w="850" w:type="dxa"/>
            <w:vAlign w:val="center"/>
          </w:tcPr>
          <w:p>
            <w:pPr>
              <w:pStyle w:val="84"/>
              <w:ind w:firstLine="0"/>
              <w:jc w:val="center"/>
              <w:rPr>
                <w:color w:val="auto"/>
                <w:highlight w:val="none"/>
              </w:rPr>
            </w:pPr>
            <w:r>
              <w:rPr>
                <w:rFonts w:hint="eastAsia"/>
                <w:color w:val="auto"/>
                <w:highlight w:val="none"/>
              </w:rPr>
              <w:t>2.80%</w:t>
            </w:r>
          </w:p>
        </w:tc>
        <w:tc>
          <w:tcPr>
            <w:tcW w:w="3366" w:type="dxa"/>
            <w:vAlign w:val="center"/>
          </w:tcPr>
          <w:p>
            <w:pPr>
              <w:pStyle w:val="84"/>
              <w:ind w:firstLine="0"/>
              <w:rPr>
                <w:color w:val="auto"/>
                <w:highlight w:val="none"/>
              </w:rPr>
            </w:pPr>
            <w:r>
              <w:rPr>
                <w:rFonts w:hint="eastAsia"/>
                <w:color w:val="auto"/>
                <w:highlight w:val="none"/>
              </w:rPr>
              <w:t>银行开户，线下申请并提供材料，信用良好企业最快1天获批即可提款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4"/>
              <w:ind w:firstLine="0"/>
              <w:jc w:val="center"/>
              <w:rPr>
                <w:color w:val="auto"/>
                <w:highlight w:val="none"/>
              </w:rPr>
            </w:pPr>
            <w:r>
              <w:rPr>
                <w:rFonts w:hint="eastAsia"/>
                <w:color w:val="auto"/>
                <w:highlight w:val="none"/>
              </w:rPr>
              <w:t>桂林银行</w:t>
            </w:r>
          </w:p>
        </w:tc>
        <w:tc>
          <w:tcPr>
            <w:tcW w:w="1134" w:type="dxa"/>
            <w:vAlign w:val="center"/>
          </w:tcPr>
          <w:p>
            <w:pPr>
              <w:pStyle w:val="84"/>
              <w:ind w:firstLine="0"/>
              <w:jc w:val="center"/>
              <w:rPr>
                <w:color w:val="auto"/>
                <w:highlight w:val="none"/>
              </w:rPr>
            </w:pPr>
            <w:r>
              <w:rPr>
                <w:rFonts w:hint="eastAsia"/>
                <w:color w:val="auto"/>
                <w:highlight w:val="none"/>
              </w:rPr>
              <w:t>18577993959</w:t>
            </w:r>
          </w:p>
        </w:tc>
        <w:tc>
          <w:tcPr>
            <w:tcW w:w="1701" w:type="dxa"/>
            <w:vAlign w:val="center"/>
          </w:tcPr>
          <w:p>
            <w:pPr>
              <w:pStyle w:val="84"/>
              <w:ind w:firstLine="0"/>
              <w:rPr>
                <w:color w:val="auto"/>
                <w:highlight w:val="none"/>
              </w:rPr>
            </w:pPr>
            <w:r>
              <w:rPr>
                <w:rFonts w:hint="eastAsia"/>
                <w:color w:val="auto"/>
                <w:highlight w:val="none"/>
              </w:rPr>
              <w:t>最高1千万</w:t>
            </w:r>
          </w:p>
        </w:tc>
        <w:tc>
          <w:tcPr>
            <w:tcW w:w="993" w:type="dxa"/>
            <w:vAlign w:val="center"/>
          </w:tcPr>
          <w:p>
            <w:pPr>
              <w:pStyle w:val="84"/>
              <w:ind w:firstLine="0"/>
              <w:jc w:val="center"/>
              <w:rPr>
                <w:color w:val="auto"/>
                <w:highlight w:val="none"/>
              </w:rPr>
            </w:pPr>
            <w:r>
              <w:rPr>
                <w:rFonts w:hint="eastAsia"/>
                <w:color w:val="auto"/>
                <w:highlight w:val="none"/>
              </w:rPr>
              <w:t>1年</w:t>
            </w:r>
          </w:p>
        </w:tc>
        <w:tc>
          <w:tcPr>
            <w:tcW w:w="850" w:type="dxa"/>
            <w:vAlign w:val="center"/>
          </w:tcPr>
          <w:p>
            <w:pPr>
              <w:pStyle w:val="84"/>
              <w:ind w:firstLine="0"/>
              <w:jc w:val="center"/>
              <w:rPr>
                <w:color w:val="auto"/>
                <w:highlight w:val="none"/>
              </w:rPr>
            </w:pPr>
            <w:r>
              <w:rPr>
                <w:rFonts w:hint="eastAsia"/>
                <w:color w:val="auto"/>
                <w:highlight w:val="none"/>
              </w:rPr>
              <w:t>3.45%</w:t>
            </w:r>
          </w:p>
        </w:tc>
        <w:tc>
          <w:tcPr>
            <w:tcW w:w="3366" w:type="dxa"/>
            <w:vAlign w:val="center"/>
          </w:tcPr>
          <w:p>
            <w:pPr>
              <w:pStyle w:val="84"/>
              <w:ind w:firstLine="0"/>
              <w:rPr>
                <w:color w:val="auto"/>
                <w:highlight w:val="none"/>
              </w:rPr>
            </w:pPr>
            <w:r>
              <w:rPr>
                <w:rFonts w:hint="eastAsia"/>
                <w:color w:val="auto"/>
                <w:highlight w:val="none"/>
              </w:rPr>
              <w:t>线下申请，材料齐全最快1周内即可放款。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4"/>
              <w:ind w:firstLine="0"/>
              <w:jc w:val="center"/>
              <w:rPr>
                <w:color w:val="auto"/>
                <w:highlight w:val="none"/>
              </w:rPr>
            </w:pPr>
            <w:r>
              <w:rPr>
                <w:rFonts w:hint="eastAsia"/>
                <w:color w:val="auto"/>
                <w:highlight w:val="none"/>
              </w:rPr>
              <w:t>中小微商务服务公司</w:t>
            </w:r>
          </w:p>
        </w:tc>
        <w:tc>
          <w:tcPr>
            <w:tcW w:w="1134" w:type="dxa"/>
            <w:vAlign w:val="center"/>
          </w:tcPr>
          <w:p>
            <w:pPr>
              <w:pStyle w:val="84"/>
              <w:ind w:firstLine="0"/>
              <w:jc w:val="center"/>
              <w:rPr>
                <w:color w:val="auto"/>
                <w:highlight w:val="none"/>
              </w:rPr>
            </w:pPr>
            <w:r>
              <w:rPr>
                <w:rFonts w:hint="eastAsia"/>
                <w:color w:val="auto"/>
                <w:highlight w:val="none"/>
              </w:rPr>
              <w:t>19907799988</w:t>
            </w:r>
          </w:p>
        </w:tc>
        <w:tc>
          <w:tcPr>
            <w:tcW w:w="1701" w:type="dxa"/>
            <w:vAlign w:val="center"/>
          </w:tcPr>
          <w:p>
            <w:pPr>
              <w:pStyle w:val="84"/>
              <w:ind w:firstLine="0"/>
              <w:rPr>
                <w:color w:val="auto"/>
                <w:highlight w:val="none"/>
              </w:rPr>
            </w:pPr>
          </w:p>
        </w:tc>
        <w:tc>
          <w:tcPr>
            <w:tcW w:w="993" w:type="dxa"/>
            <w:vAlign w:val="center"/>
          </w:tcPr>
          <w:p>
            <w:pPr>
              <w:pStyle w:val="84"/>
              <w:ind w:firstLine="0"/>
              <w:jc w:val="center"/>
              <w:rPr>
                <w:color w:val="auto"/>
                <w:highlight w:val="none"/>
              </w:rPr>
            </w:pPr>
          </w:p>
        </w:tc>
        <w:tc>
          <w:tcPr>
            <w:tcW w:w="850" w:type="dxa"/>
            <w:vAlign w:val="center"/>
          </w:tcPr>
          <w:p>
            <w:pPr>
              <w:pStyle w:val="84"/>
              <w:ind w:firstLine="0"/>
              <w:jc w:val="center"/>
              <w:rPr>
                <w:color w:val="auto"/>
                <w:highlight w:val="none"/>
              </w:rPr>
            </w:pPr>
          </w:p>
        </w:tc>
        <w:tc>
          <w:tcPr>
            <w:tcW w:w="3366" w:type="dxa"/>
            <w:vAlign w:val="center"/>
          </w:tcPr>
          <w:p>
            <w:pPr>
              <w:pStyle w:val="84"/>
              <w:ind w:firstLine="0"/>
              <w:rPr>
                <w:color w:val="auto"/>
                <w:highlight w:val="none"/>
              </w:rPr>
            </w:pPr>
            <w:r>
              <w:rPr>
                <w:rFonts w:hint="eastAsia"/>
                <w:color w:val="auto"/>
                <w:highlight w:val="none"/>
              </w:rPr>
              <w:t>具体业务可电话咨询。</w:t>
            </w:r>
          </w:p>
        </w:tc>
      </w:tr>
    </w:tbl>
    <w:p>
      <w:pPr>
        <w:pStyle w:val="84"/>
        <w:rPr>
          <w:color w:val="auto"/>
          <w:highlight w:val="none"/>
        </w:rPr>
      </w:pPr>
      <w:r>
        <w:rPr>
          <w:rFonts w:hint="eastAsia"/>
          <w:color w:val="auto"/>
          <w:highlight w:val="none"/>
        </w:rPr>
        <w:t>注：表中联系电话、授信金额、授信期限、最低利率等信息可能动态更新，仅供参考，具体以办理时相关银行公布的为准。</w:t>
      </w:r>
    </w:p>
    <w:p>
      <w:pPr>
        <w:pStyle w:val="84"/>
        <w:numPr>
          <w:ilvl w:val="0"/>
          <w:numId w:val="0"/>
        </w:numPr>
        <w:rPr>
          <w:rFonts w:hint="eastAsia" w:cs="宋体"/>
          <w:b/>
          <w:color w:val="auto"/>
          <w:highlight w:val="none"/>
        </w:rPr>
      </w:pPr>
      <w:r>
        <w:rPr>
          <w:rFonts w:hint="eastAsia" w:cs="宋体"/>
          <w:b/>
          <w:color w:val="auto"/>
          <w:highlight w:val="none"/>
          <w:lang w:val="en-US" w:eastAsia="zh-CN"/>
        </w:rPr>
        <w:t>26.</w:t>
      </w:r>
      <w:r>
        <w:rPr>
          <w:rFonts w:hint="eastAsia" w:cs="宋体"/>
          <w:b/>
          <w:color w:val="auto"/>
          <w:highlight w:val="none"/>
        </w:rPr>
        <w:t>履约保证金：</w:t>
      </w:r>
      <w:bookmarkStart w:id="43" w:name="OLE_LINK214"/>
      <w:bookmarkStart w:id="44" w:name="OLE_LINK104"/>
      <w:bookmarkStart w:id="45" w:name="OLE_LINK215"/>
      <w:bookmarkStart w:id="46" w:name="OLE_LINK103"/>
    </w:p>
    <w:p>
      <w:pPr>
        <w:pStyle w:val="84"/>
        <w:numPr>
          <w:ilvl w:val="0"/>
          <w:numId w:val="0"/>
        </w:numPr>
        <w:ind w:firstLine="480" w:firstLineChars="200"/>
        <w:rPr>
          <w:b w:val="0"/>
          <w:bCs/>
          <w:color w:val="auto"/>
          <w:highlight w:val="none"/>
        </w:rPr>
      </w:pPr>
      <w:r>
        <w:rPr>
          <w:rFonts w:hint="eastAsia" w:cs="宋体"/>
          <w:b w:val="0"/>
          <w:bCs/>
          <w:color w:val="auto"/>
          <w:highlight w:val="none"/>
        </w:rPr>
        <w:t>本项目不收取履约保证金。</w:t>
      </w:r>
      <w:bookmarkEnd w:id="43"/>
      <w:bookmarkEnd w:id="44"/>
      <w:bookmarkEnd w:id="45"/>
      <w:bookmarkEnd w:id="46"/>
    </w:p>
    <w:p>
      <w:pPr>
        <w:pStyle w:val="26"/>
        <w:spacing w:line="360" w:lineRule="auto"/>
        <w:ind w:left="479" w:hanging="479" w:hangingChars="199"/>
        <w:rPr>
          <w:rFonts w:cs="宋体"/>
          <w:b/>
          <w:color w:val="auto"/>
          <w:highlight w:val="none"/>
        </w:rPr>
      </w:pPr>
      <w:r>
        <w:rPr>
          <w:rFonts w:cs="宋体"/>
          <w:b/>
          <w:color w:val="auto"/>
          <w:highlight w:val="none"/>
        </w:rPr>
        <w:t>27.预付款</w:t>
      </w:r>
    </w:p>
    <w:p>
      <w:pPr>
        <w:adjustRightInd/>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eastAsia="zh-CN"/>
        </w:rPr>
        <w:t>本项目无预付款。</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0"/>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2"/>
    <w:p>
      <w:pPr>
        <w:tabs>
          <w:tab w:val="left" w:pos="0"/>
        </w:tabs>
        <w:spacing w:line="360" w:lineRule="auto"/>
        <w:ind w:firstLine="480"/>
        <w:rPr>
          <w:rFonts w:ascii="宋体" w:hAnsi="宋体" w:cs="宋体"/>
          <w:color w:val="auto"/>
          <w:kern w:val="0"/>
          <w:sz w:val="24"/>
          <w:highlight w:val="none"/>
        </w:rPr>
      </w:pPr>
      <w:bookmarkStart w:id="47" w:name="_Hlt74730295"/>
      <w:bookmarkEnd w:id="47"/>
      <w:bookmarkStart w:id="48" w:name="_Hlt68403820"/>
      <w:bookmarkEnd w:id="48"/>
      <w:bookmarkStart w:id="49" w:name="_Hlt75236290"/>
      <w:bookmarkEnd w:id="49"/>
      <w:bookmarkStart w:id="50" w:name="_Hlt68073093"/>
      <w:bookmarkEnd w:id="50"/>
      <w:bookmarkStart w:id="51" w:name="_Hlt75236011"/>
      <w:bookmarkEnd w:id="51"/>
      <w:bookmarkStart w:id="52" w:name="_Hlt74729768"/>
      <w:bookmarkEnd w:id="52"/>
      <w:bookmarkStart w:id="53" w:name="_Hlt68072998"/>
      <w:bookmarkEnd w:id="53"/>
      <w:bookmarkStart w:id="54" w:name="_Hlt68072990"/>
      <w:bookmarkEnd w:id="54"/>
      <w:bookmarkStart w:id="55" w:name="_Hlt68057669"/>
      <w:bookmarkEnd w:id="55"/>
      <w:bookmarkStart w:id="56" w:name="_Hlt75236101"/>
      <w:bookmarkEnd w:id="56"/>
      <w:bookmarkStart w:id="57" w:name="_Hlt74707468"/>
      <w:bookmarkEnd w:id="57"/>
      <w:bookmarkStart w:id="58" w:name="_Hlt74714665"/>
      <w:bookmarkEnd w:id="58"/>
    </w:p>
    <w:p>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十、代理费用的收取标准和方式</w:t>
      </w:r>
    </w:p>
    <w:p>
      <w:pPr>
        <w:pStyle w:val="26"/>
        <w:spacing w:line="360" w:lineRule="auto"/>
        <w:ind w:firstLine="0" w:firstLineChars="0"/>
        <w:rPr>
          <w:rFonts w:cs="宋体"/>
          <w:b/>
          <w:color w:val="auto"/>
          <w:highlight w:val="none"/>
        </w:rPr>
      </w:pPr>
      <w:r>
        <w:rPr>
          <w:rFonts w:hint="eastAsia" w:cs="宋体"/>
          <w:b/>
          <w:color w:val="auto"/>
          <w:highlight w:val="none"/>
        </w:rPr>
        <w:t>31.代理费用的收取标准和方式</w:t>
      </w:r>
    </w:p>
    <w:p>
      <w:pPr>
        <w:snapToGrid w:val="0"/>
        <w:spacing w:line="360" w:lineRule="auto"/>
        <w:ind w:firstLine="420" w:firstLineChars="200"/>
        <w:rPr>
          <w:rFonts w:hint="eastAsia" w:ascii="宋体" w:hAnsi="宋体" w:eastAsia="宋体" w:cs="宋体"/>
          <w:bCs/>
          <w:color w:val="auto"/>
          <w:sz w:val="24"/>
          <w:highlight w:val="none"/>
          <w:lang w:eastAsia="zh-CN"/>
        </w:rPr>
      </w:pPr>
      <w:r>
        <w:rPr>
          <w:rFonts w:hint="eastAsia" w:cs="宋体"/>
          <w:color w:val="auto"/>
          <w:kern w:val="2"/>
          <w:szCs w:val="24"/>
          <w:highlight w:val="none"/>
          <w:lang w:eastAsia="zh-CN"/>
        </w:rPr>
        <w:t>本项目不收取代理服务费。</w:t>
      </w:r>
    </w:p>
    <w:p>
      <w:pPr>
        <w:pStyle w:val="84"/>
        <w:rPr>
          <w:rFonts w:cs="宋体"/>
          <w:b/>
          <w:color w:val="auto"/>
          <w:kern w:val="2"/>
          <w:sz w:val="32"/>
          <w:szCs w:val="24"/>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737" w:footer="850" w:gutter="0"/>
          <w:cols w:space="720" w:num="1"/>
          <w:titlePg/>
          <w:docGrid w:linePitch="312" w:charSpace="0"/>
        </w:sectPr>
      </w:pPr>
    </w:p>
    <w:bookmarkEnd w:id="37"/>
    <w:bookmarkEnd w:id="38"/>
    <w:p>
      <w:pPr>
        <w:spacing w:line="360" w:lineRule="auto"/>
        <w:jc w:val="center"/>
        <w:outlineLvl w:val="0"/>
        <w:rPr>
          <w:rFonts w:ascii="宋体" w:hAnsi="宋体" w:cs="宋体"/>
          <w:b/>
          <w:color w:val="auto"/>
          <w:sz w:val="36"/>
          <w:szCs w:val="36"/>
          <w:highlight w:val="none"/>
        </w:rPr>
      </w:pPr>
      <w:bookmarkStart w:id="59" w:name="_Toc176185121"/>
      <w:bookmarkStart w:id="60" w:name="_Toc176343850"/>
      <w:bookmarkStart w:id="61" w:name="第四部分"/>
      <w:r>
        <w:rPr>
          <w:rFonts w:hint="eastAsia" w:ascii="宋体" w:hAnsi="宋体" w:cs="宋体"/>
          <w:b/>
          <w:color w:val="auto"/>
          <w:sz w:val="36"/>
          <w:szCs w:val="36"/>
          <w:highlight w:val="none"/>
        </w:rPr>
        <w:t>第三部分  采购需求</w:t>
      </w:r>
      <w:bookmarkEnd w:id="59"/>
      <w:bookmarkEnd w:id="60"/>
    </w:p>
    <w:p>
      <w:pPr>
        <w:spacing w:line="300" w:lineRule="exact"/>
        <w:rPr>
          <w:rFonts w:ascii="宋体" w:hAnsi="宋体" w:cs="宋体"/>
          <w:bCs/>
          <w:color w:val="auto"/>
          <w:szCs w:val="21"/>
          <w:highlight w:val="none"/>
        </w:rPr>
      </w:pPr>
      <w:bookmarkStart w:id="62" w:name="_Toc9838479"/>
      <w:bookmarkStart w:id="63" w:name="OLE_LINK19"/>
      <w:r>
        <w:rPr>
          <w:rFonts w:hint="eastAsia" w:ascii="宋体" w:hAnsi="宋体" w:cs="宋体"/>
          <w:bCs/>
          <w:color w:val="auto"/>
          <w:szCs w:val="21"/>
          <w:highlight w:val="none"/>
        </w:rPr>
        <w:t>说明：</w:t>
      </w:r>
    </w:p>
    <w:p>
      <w:pPr>
        <w:spacing w:line="3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1.下表中的品牌型号、技术参数仅起参考作用，投标人可选用其他品牌型号替代，但这些替代的产品要实质上相当于或优于参考品牌型号及其技术参数性能（配置）要求。</w:t>
      </w:r>
    </w:p>
    <w:p>
      <w:pPr>
        <w:spacing w:line="3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本项目一览表中参考品牌型号及技术参数性能（配置）不明确或有误的，或投标人选用其他品牌型号替代的，请以详细、正确的品牌型号、技术参数性能配置填写投标报价表和技术规格偏离表。投标人须根据技术参数及性能配置要求提供对应的技术响应偏离表。</w:t>
      </w:r>
    </w:p>
    <w:p>
      <w:pPr>
        <w:spacing w:line="3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按财政部发展改革委生态环境部市场监管总局《关于调整优化节能产品、环境标志产品政府采购执行机制的通知》财库〔2019〕9号文件要求，如发布有政府采购节能产品品目清单中规定为政府强制采购的节能产品，（品目清单请从中国政府采购网www.ccgp.gov.cn查询），投标产品必须满足文件的相关规定。投标时须提供国家确定的认证机构出具的、处于有效期之内的有效的节能产品认证证书复印件并加盖投标人公章，不提供视为无效投标处理。</w:t>
      </w:r>
    </w:p>
    <w:p>
      <w:pPr>
        <w:snapToGrid w:val="0"/>
        <w:spacing w:line="300" w:lineRule="exact"/>
        <w:ind w:firstLine="420" w:firstLineChars="200"/>
        <w:rPr>
          <w:rFonts w:ascii="宋体" w:hAnsi="宋体"/>
          <w:b/>
          <w:bCs/>
          <w:color w:val="auto"/>
          <w:szCs w:val="21"/>
          <w:highlight w:val="none"/>
        </w:rPr>
      </w:pPr>
      <w:r>
        <w:rPr>
          <w:rFonts w:hint="eastAsia" w:ascii="宋体" w:hAnsi="宋体"/>
          <w:bCs/>
          <w:color w:val="auto"/>
          <w:szCs w:val="21"/>
          <w:highlight w:val="none"/>
        </w:rPr>
        <w:t>4.</w:t>
      </w:r>
      <w:r>
        <w:rPr>
          <w:rFonts w:hint="eastAsia" w:ascii="宋体" w:hAnsi="宋体" w:cs="宋体"/>
          <w:bCs/>
          <w:color w:val="auto"/>
          <w:sz w:val="22"/>
          <w:szCs w:val="22"/>
          <w:highlight w:val="none"/>
        </w:rPr>
        <w:t>采购需求一览表中标注“▲</w:t>
      </w:r>
      <w:r>
        <w:rPr>
          <w:rFonts w:hint="eastAsia" w:ascii="宋体" w:hAnsi="宋体" w:cs="宋体"/>
          <w:bCs/>
          <w:color w:val="auto"/>
          <w:highlight w:val="none"/>
        </w:rPr>
        <w:t>”</w:t>
      </w:r>
      <w:r>
        <w:rPr>
          <w:rFonts w:hint="eastAsia" w:ascii="宋体" w:hAnsi="宋体" w:cs="宋体"/>
          <w:bCs/>
          <w:color w:val="auto"/>
          <w:sz w:val="22"/>
          <w:szCs w:val="22"/>
          <w:highlight w:val="none"/>
        </w:rPr>
        <w:t>详细技术参数及配备要求、商务要求必须响应满足或优于，否则</w:t>
      </w:r>
      <w:r>
        <w:rPr>
          <w:rFonts w:hint="eastAsia" w:ascii="宋体" w:hAnsi="宋体" w:cs="宋体"/>
          <w:b/>
          <w:bCs/>
          <w:color w:val="auto"/>
          <w:sz w:val="22"/>
          <w:szCs w:val="22"/>
          <w:highlight w:val="none"/>
        </w:rPr>
        <w:t>投标无效</w:t>
      </w:r>
      <w:r>
        <w:rPr>
          <w:rFonts w:hint="eastAsia" w:ascii="宋体" w:hAnsi="宋体" w:cs="宋体"/>
          <w:bCs/>
          <w:color w:val="auto"/>
          <w:sz w:val="22"/>
          <w:szCs w:val="22"/>
          <w:highlight w:val="none"/>
        </w:rPr>
        <w:t>。</w:t>
      </w:r>
      <w:r>
        <w:rPr>
          <w:rFonts w:hint="eastAsia" w:ascii="宋体" w:hAnsi="宋体" w:cs="宋体"/>
          <w:bCs/>
          <w:color w:val="auto"/>
          <w:spacing w:val="-6"/>
          <w:sz w:val="22"/>
          <w:szCs w:val="22"/>
          <w:highlight w:val="none"/>
        </w:rPr>
        <w:t>重要技术参数是指采购需求中带“</w:t>
      </w:r>
      <w:r>
        <w:rPr>
          <w:rFonts w:hint="eastAsia" w:cs="宋体" w:asciiTheme="minorEastAsia" w:hAnsiTheme="minorEastAsia" w:eastAsiaTheme="minorEastAsia"/>
          <w:color w:val="auto"/>
          <w:szCs w:val="21"/>
          <w:highlight w:val="none"/>
        </w:rPr>
        <w:t>★</w:t>
      </w:r>
      <w:r>
        <w:rPr>
          <w:rFonts w:hint="eastAsia" w:ascii="宋体" w:hAnsi="宋体" w:cs="宋体"/>
          <w:bCs/>
          <w:color w:val="auto"/>
          <w:spacing w:val="-6"/>
          <w:sz w:val="22"/>
          <w:szCs w:val="22"/>
          <w:highlight w:val="none"/>
        </w:rPr>
        <w:t>”的条款，重要技术参数将作为评审打分的重要依据。</w:t>
      </w:r>
    </w:p>
    <w:p>
      <w:pPr>
        <w:spacing w:line="3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5.本项目的政府采购预算控制价为（人民币）：</w:t>
      </w:r>
      <w:r>
        <w:rPr>
          <w:rFonts w:hint="eastAsia" w:ascii="宋体" w:hAnsi="宋体" w:cs="宋体"/>
          <w:bCs/>
          <w:color w:val="auto"/>
          <w:sz w:val="22"/>
          <w:szCs w:val="22"/>
          <w:highlight w:val="none"/>
          <w:lang w:eastAsia="zh-CN"/>
        </w:rPr>
        <w:t>1767000.00</w:t>
      </w:r>
      <w:r>
        <w:rPr>
          <w:rFonts w:hint="eastAsia" w:ascii="宋体" w:hAnsi="宋体" w:cs="宋体"/>
          <w:bCs/>
          <w:color w:val="auto"/>
          <w:sz w:val="22"/>
          <w:szCs w:val="22"/>
          <w:highlight w:val="none"/>
        </w:rPr>
        <w:t>元,投标报价超过预算控制价的投标无效。</w:t>
      </w:r>
    </w:p>
    <w:p>
      <w:pPr>
        <w:spacing w:line="300" w:lineRule="exact"/>
        <w:ind w:firstLine="422" w:firstLineChars="200"/>
        <w:rPr>
          <w:rFonts w:ascii="宋体" w:hAnsi="宋体" w:cs="宋体"/>
          <w:bCs/>
          <w:color w:val="auto"/>
          <w:sz w:val="22"/>
          <w:szCs w:val="22"/>
          <w:highlight w:val="none"/>
        </w:rPr>
      </w:pPr>
      <w:r>
        <w:rPr>
          <w:rFonts w:hint="eastAsia" w:ascii="宋体" w:hAnsi="宋体" w:cs="宋体"/>
          <w:b/>
          <w:bCs/>
          <w:color w:val="auto"/>
          <w:kern w:val="0"/>
          <w:szCs w:val="21"/>
          <w:highlight w:val="none"/>
          <w:lang w:bidi="ar"/>
        </w:rPr>
        <w:t>6.本项目核心产品：</w:t>
      </w:r>
      <w:r>
        <w:rPr>
          <w:rFonts w:hint="eastAsia" w:ascii="宋体" w:hAnsi="宋体" w:cs="宋体"/>
          <w:b/>
          <w:bCs/>
          <w:color w:val="auto"/>
          <w:kern w:val="0"/>
          <w:szCs w:val="21"/>
          <w:highlight w:val="none"/>
          <w:lang w:val="en-US" w:eastAsia="zh-CN" w:bidi="ar"/>
        </w:rPr>
        <w:t>学生课桌椅</w:t>
      </w:r>
      <w:r>
        <w:rPr>
          <w:rFonts w:hint="eastAsia" w:ascii="宋体" w:hAnsi="宋体" w:cs="宋体"/>
          <w:b/>
          <w:bCs/>
          <w:color w:val="auto"/>
          <w:kern w:val="0"/>
          <w:szCs w:val="21"/>
          <w:highlight w:val="none"/>
          <w:lang w:bidi="ar"/>
        </w:rPr>
        <w:t>。</w:t>
      </w:r>
      <w:r>
        <w:rPr>
          <w:rFonts w:hint="eastAsia" w:ascii="宋体" w:hAnsi="宋体" w:cs="宋体"/>
          <w:bCs/>
          <w:color w:val="auto"/>
          <w:sz w:val="22"/>
          <w:szCs w:val="22"/>
          <w:highlight w:val="none"/>
        </w:rPr>
        <w:t xml:space="preserve"> </w:t>
      </w:r>
    </w:p>
    <w:p>
      <w:pPr>
        <w:spacing w:line="3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7.根据《关于印发中小企业划型标准规定的通知》（工信部联企业〔2011〕300号）规定的划分标准，本项目采购所有标的对应的中小企业划分标准所属行业为：工业。</w:t>
      </w:r>
    </w:p>
    <w:bookmarkEnd w:id="62"/>
    <w:bookmarkEnd w:id="63"/>
    <w:tbl>
      <w:tblPr>
        <w:tblStyle w:val="63"/>
        <w:tblpPr w:leftFromText="180" w:rightFromText="180" w:vertAnchor="text" w:horzAnchor="page" w:tblpX="914" w:tblpY="288"/>
        <w:tblOverlap w:val="never"/>
        <w:tblW w:w="52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1398"/>
        <w:gridCol w:w="526"/>
        <w:gridCol w:w="616"/>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00" w:type="pct"/>
            <w:gridSpan w:val="5"/>
            <w:vAlign w:val="center"/>
          </w:tcPr>
          <w:p>
            <w:pPr>
              <w:jc w:val="center"/>
              <w:rPr>
                <w:rFonts w:hint="eastAsia" w:ascii="宋体" w:hAnsi="宋体" w:eastAsia="宋体" w:cs="宋体"/>
                <w:b/>
                <w:bCs/>
                <w:color w:val="auto"/>
                <w:szCs w:val="21"/>
                <w:highlight w:val="none"/>
              </w:rPr>
            </w:pPr>
            <w:bookmarkStart w:id="64" w:name="OLE_LINK30"/>
            <w:bookmarkStart w:id="65" w:name="OLE_LINK31"/>
            <w:r>
              <w:rPr>
                <w:rFonts w:hint="eastAsia" w:ascii="宋体" w:hAnsi="宋体" w:eastAsia="宋体" w:cs="宋体"/>
                <w:b/>
                <w:bCs/>
                <w:color w:val="auto"/>
                <w:szCs w:val="21"/>
                <w:highlight w:val="none"/>
              </w:rPr>
              <w:t>技术参数要求表</w:t>
            </w:r>
            <w:bookmarkEnd w:id="64"/>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64" w:type="pct"/>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序号</w:t>
            </w:r>
          </w:p>
        </w:tc>
        <w:tc>
          <w:tcPr>
            <w:tcW w:w="681" w:type="pct"/>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项目名称</w:t>
            </w:r>
          </w:p>
        </w:tc>
        <w:tc>
          <w:tcPr>
            <w:tcW w:w="256" w:type="pct"/>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 w:val="20"/>
                <w:szCs w:val="20"/>
                <w:highlight w:val="none"/>
                <w:lang w:bidi="ar"/>
              </w:rPr>
              <w:t>单位</w:t>
            </w:r>
          </w:p>
        </w:tc>
        <w:tc>
          <w:tcPr>
            <w:tcW w:w="300" w:type="pct"/>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 w:val="20"/>
                <w:szCs w:val="20"/>
                <w:highlight w:val="none"/>
                <w:lang w:bidi="ar"/>
              </w:rPr>
              <w:t>数量</w:t>
            </w:r>
          </w:p>
        </w:tc>
        <w:tc>
          <w:tcPr>
            <w:tcW w:w="3497" w:type="pct"/>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 w:val="20"/>
                <w:szCs w:val="20"/>
                <w:highlight w:val="none"/>
                <w:lang w:bidi="ar"/>
              </w:rPr>
              <w:t>详细技术参数及配备要求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000" w:type="pct"/>
            <w:gridSpan w:val="5"/>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一、</w:t>
            </w:r>
            <w:r>
              <w:rPr>
                <w:rFonts w:hint="eastAsia" w:ascii="宋体" w:hAnsi="宋体" w:eastAsia="宋体" w:cs="宋体"/>
                <w:color w:val="auto"/>
                <w:kern w:val="0"/>
                <w:sz w:val="20"/>
                <w:szCs w:val="20"/>
                <w:highlight w:val="none"/>
                <w:lang w:val="en-US" w:eastAsia="zh-CN" w:bidi="ar"/>
              </w:rPr>
              <w:t>学生课桌椅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widowControl/>
              <w:suppressLineNumbers w:val="0"/>
              <w:jc w:val="righ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681" w:type="pct"/>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学生课桌椅</w:t>
            </w:r>
          </w:p>
        </w:tc>
        <w:tc>
          <w:tcPr>
            <w:tcW w:w="256" w:type="pct"/>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300" w:type="pct"/>
            <w:vAlign w:val="center"/>
          </w:tcPr>
          <w:p>
            <w:pPr>
              <w:keepNext w:val="0"/>
              <w:keepLines w:val="0"/>
              <w:widowControl/>
              <w:suppressLineNumbers w:val="0"/>
              <w:jc w:val="righ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1750</w:t>
            </w:r>
          </w:p>
        </w:tc>
        <w:tc>
          <w:tcPr>
            <w:tcW w:w="3497" w:type="pct"/>
            <w:vAlign w:val="center"/>
          </w:tcPr>
          <w:p>
            <w:pPr>
              <w:keepNext w:val="0"/>
              <w:keepLines w:val="0"/>
              <w:widowControl/>
              <w:suppressLineNumbers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0"/>
                <w:szCs w:val="20"/>
                <w:u w:val="none"/>
                <w:lang w:val="en-US" w:eastAsia="zh-CN" w:bidi="ar"/>
              </w:rPr>
              <w:t>一、单人课桌椅（每套包含课桌并配套单人椅1张）。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二、型号规格要求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（一）课桌椅的型号规格及结构应符合国家标准要求。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（二）课桌：各型号规格的尺寸除本表中特别要求外，产品应符合国家标准GB/T 3976-2014《学校课桌椅功能尺寸》中的功能尺寸及技术要求。在课桌左右两侧面设置挂书包的挂钩或在课桌的后端下面设置放书包的装置，其尺寸范围不能超出国家标准的规定范围。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（三）课椅：各型号规格的尺寸除本表中特别要求外，产品应符合国家标准GB/T 3976-2014《学校课桌椅功能尺寸》中的功能尺寸及技术要求。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▲(四)型号规格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1、课桌桌面板尺寸：≥600mm×400mm；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2、课桌高度：可按以下高度进行调节升降：高度760mm（1号）、730mm（2号）、700mm（3号）、670mm（4号）；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3、课椅椅座面板尺寸：宽度≥380mm、深380mm(±2mm)；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4、课椅椅靠背面板尺寸：宽度≥380mm、高度155mm(±2mm)；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5、座面高度：可按以下高度进行调节升降：高度440 mm（1号）、420 mm（2号）、400 mm（3号）、380 mm（4号）；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(五)结构要求：双柱升降调节。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三、课桌椅的材料要求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（一）金属件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体材料：课桌、课椅的金属管件采用公称尺寸≥25mm×50mm的椭圆管，管壁公称厚度≥1.0mm，管材采用高频焊接而成；课桌的桌斗用公称厚度≥0.6mm的优质冷轧钢板；立板采用优质冷轧板，课桌、课椅两侧可调高度的立板厚度≥0.8mm；椅子靠背支架采用优质高频焊接（约20×20mm）方管，管壁厚度≥1.0mm；课桌的挂钩挂钩采用≥1.2mm冷轧钢板一次冲压成型制作，规格≥50×25×20mm。采用双柱升降脚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质量：金属管件外形的尺寸偏差、管壁厚度偏差和钢板厚度偏差以及金属材料的力学性能指标等质量技术参数，均应符合相应的国家标准的规定。不允许使用出现孔洞、缺口、开裂、尖角、裂缝、叠缝、腐蚀、离层、结疤、氧化皮等影响产品结构强度、外观和安全的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★3、冷轧钢板符合GB/T 700-2006《碳素结构钢》、QB/T 3826-1999《轻工产品金属镀层和化学处理层的耐腐蚀试验方法 中性盐雾试验(NSS)法》、QB/T 3832-1999《轻工产品金属镀层腐蚀试验结果的评价》要求，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其中：化学成分(%)（C≤0.20、Si≤0.35、Mn≤1.40、P≤0.045、S≤0.045）；力学性能（屈服强度≥235N/m㎡、抗拉强度为370-500 N/m㎡、断后伸长率≥26%）；经过不少于125h试验，耐腐蚀等级达到9级以上。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（二）木制件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▲1、桌面板厚≥15mm，采用桉木基材的胶合板,双面饰面,甲醛释放量达到E1级控制指标，四周采用PE注塑成型，注塑边缘与桌面圆润连接，无突兀感；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★2、胶合板符合GB/T9846-2015《普通胶合板》、GB 18580-2017《室内装饰装修材料人造板及其制品中甲醛释放限量》、GB/T18513-2001《中国主要进口木材名称》标准检测，检测结果包括但不限于以下内容：①甲醛释放量≤0.124mg/m3，②含水率5%～16%；③静曲强度：顺纹≥24.0MPa、横纹≥20.0MPa；④弹性模量：顺纹≥5000MPa、横纹≥3500MPa；⑤胶合强度≥0.70MPa；木材名称(单板)为桉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课椅座面板厚≥10mm，主体采用桉木基材的胶合板,座面板前端为圆弧结构，双面饰面，甲醛释放量达到E1级控制指标，符合人体工程学的设计。面板四周采用PE注塑成型，注塑边缘与座面圆润连接，无突兀感，增加舒适程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▲4、课椅靠背要求是弧形的主体采用桉木基材的胶合板,双面饰面，面板厚≥10mm。靠背面板四周采用PE注塑成型，注塑边缘与座面圆润连接，无突兀感，增加舒适程度。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5、含水率：课桌椅加工所用胶合板含水率应≤16%。课桌椅产品出厂时木材含水率≤16%。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▲（三）其它材料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桌脚和椅脚的脚套为内嵌式脚套，采用超高分子量PE材料制作，脚套与桌脚和椅脚应结合紧密，牢靠，不脱落。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四、课桌椅的加工要求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（一）金属件加工要求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金属零、部件的连接方式采取焊接连接，不允许采用铆钉连接（铆接）和螺钉连接。焊接件焊接时采用二氧化碳保护焊接。焊接件焊接处应无脱焊、虚焊、焊穿、错位；焊接处应无夹渣、气孔、焊瘤、焊丝头、咬边、飞溅；焊疤表面波纹应均匀、高低之差应≤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冲压件应无脱层、裂缝。桌斗利用钢板由机器冲压一次成型，端口作卷边处理增强刚性，以防尖利边角对人体的伤害。桌斗前端处冲压≥两条上凸的加强筋以增强桌斗刚性。课桌两侧立板边缘打磨平滑后再喷漆，以防尖毛边刮伤人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（二）木制件加工要求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木制件端面应进行精加工以便于涂饰处理。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（三）木制件与金属件的连接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1、课桌面板与钢架的连接采用自攻钉固定，面板与钢架连接的自攻钉≥八颗。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▲2、课椅面板、靠背板与钢架的连接采用抽芯钉连接，面板、靠背板与钢架连接的抽芯钉≥四根。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3、抽芯铆钉钉体直径d≥5mm，钉体材料为铝合金、钉芯材料为钢（表面镀锌），铆钉表面应无毛刺和有害缺陷，并有完整的头、杆形状。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（四）课桌椅加工尺寸要求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桌面高、椅座面高尺寸的允许误差范围按GB/T 3976-2014《学校课桌椅功能尺寸》的规定执行。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五、课桌椅的涂饰要求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（一）涂饰要求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1、涂饰前课桌椅零、部件的表面应光滑、平整，不得有飞边、尖角、毛刺等可能造成机械伤害的缺陷。金属件应无开裂、脱焊、漏焊、焊渣等缺陷。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饰前金属件零、部件表面必须进行预备处理，采用除锈、防锈处理工艺，除去锈迹等其他污迹后进行涂装打底磷化处理。预备处理后表面不得有氧化皮、锈蚀、粘砂等其他杂质，磷化层达到工艺要求，预备处理后应及时进行涂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★3、喷塑要求：采用环保产品环氧聚脂塑粉静电喷塑。喷塑外膜的表面光滑平整，色泽均匀，喷塑层无漏喷、起泡、模糊、划痕或碰伤等缺陷。塑粉须符合HG/T 2006-2022《热固性和热塑性粉末涂料》标准中的要求：：筛余物(125μm)全部通过、涂膜外观正常、铅笔硬度(内聚破坏中擦伤)≥H、附着力(干附着力)≤1级、弯曲试验≤4mm、杯突试验≥4mm、耐磨性(750g/500r)≤50mg、耐碱性168h无异常、耐酸性240h无异常、耐湿性500h无异常、耐沸水性(2h)无异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4、、课桌椅所有木制件的外表面（使用面）均应装饰处理；非使用面涂清漆。木制件端面应进行涂饰处理。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（二）涂饰层外观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1、金属件涂层应无漏喷、锈蚀；应光滑均匀，色泽一致，应无流挂、疙瘩、皱皮、飞漆等缺陷。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2、木制件表面装饰层应手感光滑，无划痕、压痕、雾光、白楞、白斑、鼓泡、流挂、刷毛、积粉和杂渣、皱皮、发粘、漏漆现象。薄木材料贴面不允许有明显透胶、脱胶、凹陷、压痕、鼓泡、胶迹。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3、每批产品（含课桌、课椅）不允许有明显色差。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4、产品上的五金配件应做防锈处理。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学生课桌椅须符合QB/T4071-2021《课桌椅》、GB/T3976-2014《学生课桌椅功能尺寸及技术要求》标准中的要求：金属件外观(管材：管材应无裂缝、叠缝，外露管口端面应封闭；焊接件：焊接处应无脱焊、虚焊、焊穿、错位，焊接处应无夹渣、气孔、焊瘤、焊丝头、咬边、飞溅；冲压件应无脱焊层、裂缝；铆接件：铆接处铆接应牢固、无漏铆、脱铆，铆钉应端正圆滑、无明显锤印；喷涂层：涂层应无漏喷、锈蚀和脱色、掉色现象；)，塑料件外观(应无裂纹、明显变形、缩水、针孔；应无凹陷、飞边、折皱、疙瘩；应无气泡、杂质、伤痕、白印；应无明显色差)，木工要求(人造板部件的非交接面应进行封边或涂饰处理；板件或部件的外表应光滑、倒棱、圆角、圆线应均匀一致；贴面、封边、包边不应出现脱胶、鼓泡或开裂现象)，桌下净空和桌下构件(桌面下可设搁板或屉箱、h1~ h2之间开口的高度≥80mm；桌侧方设挂钩时、钩端不超出桌侧缘之外)，椅座面(椅座面向后倾斜0°~2°；座面前缘及两角钝圆)，椅靠背(靠背面的前凸呈漫圆，上、下缘加工成弧形；靠背下缘与座面后缘之间留有净空)，平整度(课桌、课椅：正板、正式面板件≤0.20mm)，耐液性(10%碳酸钠溶液24h≥3级，10%乙酸溶液24h≥3级)，抗冲击冲击高度50mm≥3级，桌面耐污染[墨水(蓝色和红色)、印泥、水笔、圆珠笔、涂改液，24h，无明显痕迹]，安全要求(所有零部件应无破损；金属件应无端部未封口的关机那、闷盖应不易脱落；相对运动的机械装置部件与人体接触部位的间隙应≤5mm或≥25mm；与人体接触的座面、椅背和扶手等边缘倒圆角的半径至少应为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5"/>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二、学生用床（上下床）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widowControl/>
              <w:suppressLineNumbers w:val="0"/>
              <w:jc w:val="righ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681" w:type="pct"/>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学生用床（上下床）</w:t>
            </w:r>
          </w:p>
        </w:tc>
        <w:tc>
          <w:tcPr>
            <w:tcW w:w="256" w:type="pct"/>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300" w:type="pct"/>
            <w:vAlign w:val="center"/>
          </w:tcPr>
          <w:p>
            <w:pPr>
              <w:keepNext w:val="0"/>
              <w:keepLines w:val="0"/>
              <w:widowControl/>
              <w:suppressLineNumbers w:val="0"/>
              <w:jc w:val="righ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1182</w:t>
            </w:r>
          </w:p>
        </w:tc>
        <w:tc>
          <w:tcPr>
            <w:tcW w:w="3497" w:type="pct"/>
            <w:vAlign w:val="center"/>
          </w:tcPr>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一、双层床的型号尺寸</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双层床的型号规格及结构应符合国家标准GB/T3328-2016《家具床类主要尺寸》的规定要求。双层床的尺寸：2000 mm×900 mm×1800mm（长×宽×高），上下床铺面间的层间净高为1000mm。</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二、双层床的材料要求</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（一）金属件</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▲1、主体材料</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边主柱：方管约40mm×40mm，厚度不小于1.2mm。</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主柱横担：矩形管约30mm×20mm，厚度不小于1.2mm。</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床梃（床母）：矩形管约50mm×25mm，厚度不小于1.2mm。</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床梃（床母）横担：矩形管约30mm×20mm，厚度不小于1.2mm，上床铺床梃（床母）横担不少于4根，下床铺床梃（床母）横担不少于4根。</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上床铺面安全栏板及床两端护栏：双层床的安全栏板规格：1100mm×300mm（长×高），安全栏竖管不少于5根，钢管直径19mm，管壁厚：1.0mm。安全栏板与主柱距离（缺口长度）为500mm。</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主柱卡口规格：≤26mm×26mm</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床梃（床母）卡梢部位钢材厚度不小于1.5mm，卡梢总宽度不小于20mm，卡梢进深不少于15mm，床梃（床母）扣件规格不小于200mm×50mm</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床梯子：方管约25mm×25mm，厚度不小于1.2mm，床梯宽度约为300mm，脚踏数量不少于4根。</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上床铺蚊帐架采用不小于Φ16×δ1.0的圆管制成，床铺蚊帐圈孔径Φ30mm。</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2、材料质量</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双层床的金属件的技术要求和试验方法符合国家标准GB/T 3325-2024《金属家具通用技术条件》的规定。双层床所用钢材不低于高频焊接冷轧钢板，质量必须符合国家标准GB/T700-2006《碳素结构钢》要求，钢材表面粗糙度Ra的最大值为1.6μm，金属件材质不允许使用出现孔洞、缺口、开裂、尖角、裂缝、叠缝、腐蚀、离层、结疤、氧化皮等影响产品结构强度、外观和安全的材料。</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3、双层床结构</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床架钢件部分分为6个组件，具体为：①床左拼，②床右拼，③上床架（含安全栏），④下床架，⑤蚊帐架1副，⑥床梯子1套。</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▲（二）木制件</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1、床板：1915 mm×840 mm（长×宽）；采用厚度不小于13mm的双面光杉木板；每块床板的拼装板料数量最多不得超过8块；固定横条不少于3条，规格为30mm×20mm的实木方料。</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2、双层床所用木材须进行防虫、除脂、干燥处理，不允许使用有边角缺陷、虫蛀、腐朽、霉变、开裂、变形等影响产品结构强度和外观的材料，材质符合国家标准要求。每张双层床配2块床板。</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3、含水率：双层床加工所用木板含水率应不高于16%。双层床板出厂时木材含水率不高于16%。</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★4、床板符合GB/T 35607-2024《绿色产品评价 家具》的标准要求：甲醛释放量≤0.05mg/m³、苯≤0.05 mg/m³、甲苯≤0.10 mg/m³、二甲苯≤0.10 mg/m³。</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（三）其它材料</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▲1、脚套。</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床脚和床主柱顶端的脚套为内嵌式黑色脚套，采用超高分子量PE材料制作，壁厚不小于2mm,底厚不小于5mm，进深不小于30mm，加强筋不少于5圈, 加强筋厚度不小于1.2mm，底面规格不小于42mm×42mm,脚套与床脚（或主柱顶端）应结合紧密，牢靠，不脱落。建议：加强筋内径不小于36mm×36mm，加强筋外径不小于39mm×39mm。</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三、双层床的加工要求</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（一）金属件加工要求</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1、金属件外观、加工要求按照QB/T 2741-2013《学生公寓多功能家具》中5.3的规定执行。</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2、管材应无裂缝、叠缝，外露管口端面应封闭。</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3、焊接件焊接时采用二氧化碳保护焊接。焊接件之间的连接部分均应全部圈焊接（结构不需要时除外），不允许脱焊、虚焊、焊穿、错位现象；焊接处应无夹渣、气孔、焊瘤、焊丝头、咬边、飞溅；焊疤表面波纹应均匀、高低之差应不大于1mm。焊接后须经打磨处理。</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4、冲压件应无脱层、裂缝。</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（二）木制件加工要求</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木制件外观、加工要求等按照QB/T 2741-2013《学生公寓多功能家具》中5.3的规定执行。</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（三）金属件的连接</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▲1、床梃（床母）与主柱连接方式必须为卡梢式，连接件需防锈处理。</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2、其他金属零、部件的连接方式必须采用焊接连接，不允许采用铆钉连接（铆接）和螺钉连接。（除铭牌、床梯子与床梃（床母）、主柱与床梃（床母）连接外）。</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▲3、床梯子与床梃（床母）的联接采用与上下床梃（床母）垂直插入定位方。</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4、床两端护栏及安全栏板与床梃（床母）连接必须圈焊，安全栏板两侧必须插孔焊接。</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5、双层床必须预设2个固定装置以便与墙体进行固定，固定装置设置在安全栏对面床梃（床母）适当位置，放置内径10mm的钢制中空内芯。</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6、下床铺必须在合适位置设置固定蚊帐装置。</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（四）双层床加工尺寸要求</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双层床的外形尺寸，形状和位置公差分别按照QB/T 2741-2013《学生公寓多功能家具》中的5.1和5.2的规定执行。</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（五）双层床的力学性能要求</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双层床的力学性能要求按照QB/T 2741-2013《学生公寓多功能家具》中5.5的规定执行。</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四、双层床的涂饰要求</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（一）涂饰要求</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1、涂饰前双层床零、部件的表面应光滑、平整，不得有飞边、尖角、毛刺等可能造成机械伤害的缺陷。金属件应无开裂、脱焊、漏焊、焊渣等缺陷。</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2、涂饰前金属件零、部件表面必须进行预备处理，采用除锈、防锈处理工艺，除去锈迹等其他污迹后进行涂装打底磷化处理。</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3、预备处理后表面不得有氧化皮、锈蚀、粘砂等其他杂质，磷化层达到工艺要求，预备处理后应及时使用热固性砂纹粉进行涂饰。</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★4、塑粉须符合HG/T 2006-2022《热固性和热塑性粉末涂料》标准中的要求：：筛余物(125μm)全部通过、涂膜外观正常、铅笔硬度(内聚破坏中擦伤)≥H、附着力(干附着力)≤1级、弯曲试验≤4mm、杯突试验≥4mm、耐磨性(750g/500r)≤50mg、耐碱性168h无异常、耐酸性240h无异常、耐湿性500h无异常、耐沸水性(2h)无异常。</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（二）涂饰层外观</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1、金属件涂层应无漏喷、锈蚀；应光滑均匀，色泽一致，应无流挂、疙瘩、皱皮、飞漆等缺陷。</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2、每批产品（含双层床）不允许有明显色差。</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3、产品上的五金配件应做防锈处理。</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（三）表面理化性能</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产品表面理化性能要求按QB/T 2741-2013《学生公寓多功能家具》中的表3规定执行。</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五、双层床产品的外观和安全卫生要求</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（一）双层床外观应符合QB/T 2741-2013《学生公寓多功能家具》中5.3的规定。双层床产品外表不允许出现明显的材质缺陷，不允许出现超出《技术要求》规定的加工要求和涂饰外观缺陷，不允许出现明显的变形。</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（二）双层床安全栏板质量必须符合国家标准GB 24430.1-2009《家用双层床安全第1部分：要求》中4.3的要求。必须镶嵌床垫（或床褥）放置高度永久性警示线，警示线距离安全栏板上端距离为200mm，警示线清晰、醒目。</w:t>
            </w:r>
          </w:p>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（三）床梯子质量必须符合国家标准GB 24430.1-2009《家用双层床安全第1部分：要求》中4.6要求。</w:t>
            </w:r>
          </w:p>
          <w:p>
            <w:pPr>
              <w:keepNext w:val="0"/>
              <w:keepLines w:val="0"/>
              <w:widowControl/>
              <w:suppressLineNumbers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sz w:val="20"/>
                <w:szCs w:val="20"/>
              </w:rPr>
              <w:t>（四）双层床产品外表不允许出现局部压陷、局部凹痕、局部超厚、尖角、锐边、裂口（缝）等易造成危险的缺陷；在接触人体或收藏物品的部位应无毛刺、刃口、棱角；管材外露管口端面应封闭。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000" w:type="pct"/>
            <w:gridSpan w:val="5"/>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三、门卫室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防刺服</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外部材质:外部采用防雨、防弹衣面料内部材质:鳞片式内胆质量:加厚型2.4kg材质:弹簧钢片，防护面积：0.32平方米 ，防护级别：防刺性能：标准刀具加配组成落体达2.4kg，以24J+-0.5J，按0度、45度刺入角有效冲刺，刀尖未穿透。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橡胶警棍</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根</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1、采用特制聚碳酸酯材料（PC）制成。2、长度：500mm3、棍体：Φ30mm4、重量：0.6kg 5、直径：4CM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安全钢叉（叉脚）</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根</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1、产品规格：材 料：不锈钢材质，握把手感好，牢固安全。钢管壁厚达到1mm，不生锈 2、收缩长度：1米 3、展开长度：1.5米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安全钢叉（叉腰）</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根</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7</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握杆固定展开不可伸缩，叉腰，长1.9米.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7</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防暴头盔</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材质:高分子PC材质，盔体厚度:4.5mm，面罩厚度:2.0mm，帽子尺寸:长30*宽23*高20cm，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防护盾</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材质：高轻度PC材料，防护面积：500*900mm，厚度：3.5mm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重量：2.5KG，结构强度：握把与盾体连接强度＞500N，耐穿刺性能：GA68-2003标准试验刀具20J动能穿刺符合标准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9</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防刺手套</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付</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1、产品的手腕、手掌、手背、手指等处于防割层的覆盖范围内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2、材料颜色一致,性能稳定，无毒、易戴、易脱、透气、触感好、不影响关节弯曲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强光电筒</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只</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1、材质：航天等级强化铝材6061—T6，2、表面处理：硬质阳极氧化—黑色，3、可充电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11</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门岗桌椅</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一、桌子规格： 1400×600×730mm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材质：材料采用刨花板，桌子板材厚度15mm厚，面板四周要求加厚到25mm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12</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资料柜</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1、参考规格：≥H1800×W850×D390mm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2、结构：分成五层，每层双开门。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13</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变频1.5匹空调</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aps w:val="0"/>
                <w:spacing w:val="0"/>
                <w:sz w:val="20"/>
                <w:szCs w:val="20"/>
                <w:shd w:val="clear" w:color="auto" w:fill="FFFFFF"/>
              </w:rPr>
              <w:t>能效等级</w:t>
            </w:r>
            <w:r>
              <w:rPr>
                <w:rFonts w:hint="eastAsia" w:ascii="宋体" w:hAnsi="宋体" w:eastAsia="宋体" w:cs="宋体"/>
                <w:i w:val="0"/>
                <w:iCs w:val="0"/>
                <w:caps w:val="0"/>
                <w:spacing w:val="0"/>
                <w:sz w:val="20"/>
                <w:szCs w:val="20"/>
                <w:shd w:val="clear" w:color="auto" w:fill="FFFFFF"/>
                <w:lang w:eastAsia="zh-CN"/>
              </w:rPr>
              <w:t>：</w:t>
            </w:r>
            <w:r>
              <w:rPr>
                <w:rFonts w:hint="eastAsia" w:ascii="宋体" w:hAnsi="宋体" w:eastAsia="宋体" w:cs="宋体"/>
                <w:i w:val="0"/>
                <w:iCs w:val="0"/>
                <w:caps w:val="0"/>
                <w:spacing w:val="0"/>
                <w:sz w:val="20"/>
                <w:szCs w:val="20"/>
                <w:shd w:val="clear" w:color="auto" w:fill="FFFFFF"/>
              </w:rPr>
              <w:t>一级</w:t>
            </w:r>
            <w:r>
              <w:rPr>
                <w:rFonts w:hint="eastAsia" w:ascii="宋体" w:hAnsi="宋体" w:eastAsia="宋体" w:cs="宋体"/>
                <w:i w:val="0"/>
                <w:iCs w:val="0"/>
                <w:caps w:val="0"/>
                <w:spacing w:val="0"/>
                <w:sz w:val="20"/>
                <w:szCs w:val="20"/>
                <w:shd w:val="clear" w:color="auto" w:fill="FFFFFF"/>
                <w:lang w:eastAsia="zh-CN"/>
              </w:rPr>
              <w:t>；</w:t>
            </w:r>
            <w:r>
              <w:rPr>
                <w:rFonts w:hint="eastAsia" w:ascii="宋体" w:hAnsi="宋体" w:eastAsia="宋体" w:cs="宋体"/>
                <w:i w:val="0"/>
                <w:iCs w:val="0"/>
                <w:caps w:val="0"/>
                <w:spacing w:val="0"/>
                <w:sz w:val="20"/>
                <w:szCs w:val="20"/>
                <w:shd w:val="clear" w:color="auto" w:fill="FFFFFF"/>
                <w:lang w:val="en-US" w:eastAsia="zh-CN"/>
              </w:rPr>
              <w:t>变频；</w:t>
            </w:r>
            <w:r>
              <w:rPr>
                <w:rFonts w:hint="eastAsia" w:ascii="宋体" w:hAnsi="宋体" w:eastAsia="宋体" w:cs="宋体"/>
                <w:i w:val="0"/>
                <w:iCs w:val="0"/>
                <w:color w:val="000000"/>
                <w:kern w:val="0"/>
                <w:sz w:val="20"/>
                <w:szCs w:val="20"/>
                <w:u w:val="none"/>
                <w:lang w:val="en-US" w:eastAsia="zh-CN" w:bidi="ar"/>
              </w:rPr>
              <w:t>额定制冷量(W)：3510；额定制热量(W)：5010；制冷季节耗电量(kW·h)：354；制热季节耗电量(kW·h)：282。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14</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硬质防护拦（3米）</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米</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aps w:val="0"/>
                <w:spacing w:val="0"/>
                <w:sz w:val="20"/>
                <w:szCs w:val="20"/>
                <w:shd w:val="clear" w:color="auto" w:fill="FFFFFF"/>
              </w:rPr>
              <w:t>碳钢制成</w:t>
            </w:r>
            <w:r>
              <w:rPr>
                <w:rFonts w:hint="eastAsia" w:ascii="宋体" w:hAnsi="宋体" w:eastAsia="宋体" w:cs="宋体"/>
                <w:i w:val="0"/>
                <w:iCs w:val="0"/>
                <w:caps w:val="0"/>
                <w:spacing w:val="0"/>
                <w:sz w:val="20"/>
                <w:szCs w:val="20"/>
                <w:shd w:val="clear" w:color="auto" w:fill="FFFFFF"/>
                <w:lang w:eastAsia="zh-CN"/>
              </w:rPr>
              <w:t>；</w:t>
            </w:r>
            <w:r>
              <w:rPr>
                <w:rFonts w:hint="eastAsia" w:ascii="宋体" w:hAnsi="宋体" w:eastAsia="宋体" w:cs="宋体"/>
                <w:i w:val="0"/>
                <w:iCs w:val="0"/>
                <w:caps w:val="0"/>
                <w:spacing w:val="0"/>
                <w:sz w:val="20"/>
                <w:szCs w:val="20"/>
                <w:shd w:val="clear" w:color="auto" w:fill="FFFFFF"/>
                <w:lang w:val="en-US" w:eastAsia="zh-CN"/>
              </w:rPr>
              <w:t>外形美观；</w:t>
            </w:r>
            <w:r>
              <w:rPr>
                <w:rFonts w:hint="eastAsia" w:ascii="宋体" w:hAnsi="宋体" w:eastAsia="宋体" w:cs="宋体"/>
                <w:i w:val="0"/>
                <w:iCs w:val="0"/>
                <w:caps w:val="0"/>
                <w:spacing w:val="0"/>
                <w:sz w:val="20"/>
                <w:szCs w:val="20"/>
                <w:shd w:val="clear" w:color="auto" w:fill="FFFFFF"/>
              </w:rPr>
              <w:t>强度高、韧性好，能承受较大的冲击力</w:t>
            </w:r>
            <w:r>
              <w:rPr>
                <w:rFonts w:hint="eastAsia" w:ascii="宋体" w:hAnsi="宋体" w:eastAsia="宋体" w:cs="宋体"/>
                <w:i w:val="0"/>
                <w:iCs w:val="0"/>
                <w:caps w:val="0"/>
                <w:spacing w:val="0"/>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00" w:type="pct"/>
            <w:gridSpan w:val="5"/>
            <w:vAlign w:val="center"/>
          </w:tcPr>
          <w:p>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olor w:val="auto"/>
                <w:kern w:val="0"/>
                <w:sz w:val="20"/>
                <w:szCs w:val="20"/>
                <w:highlight w:val="none"/>
                <w:u w:val="none"/>
                <w:lang w:val="en-US" w:eastAsia="zh-CN" w:bidi="ar"/>
              </w:rPr>
              <w:t>四、医务室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诊疗床</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床</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1、尺寸：1900×600×680mm。2、床框采用30×50mm厚度1.2mm矩方管。3、床腿采用φ38mm、厚度1.2mm的圆管。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16</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隔离床</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床</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7183" w:type="dxa"/>
            <w:vAlign w:val="top"/>
          </w:tcPr>
          <w:p>
            <w:pPr>
              <w:keepNext w:val="0"/>
              <w:keepLines w:val="0"/>
              <w:widowControl/>
              <w:suppressLineNumbers w:val="0"/>
              <w:jc w:val="left"/>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床面采用25mm优质海绵及优质蓝西皮包面，坚固耐用，美观大方。带扶手。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17</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灯箱视力表</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1、规格为30cm×13cm×99cm，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18</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身高、体重称</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指针式，最大称量120千克，最小分度值0.1千克,量度范围700mm-1900mm，最小分度值1mm，误差±1mm，身高尺安装稳固，使用灵活。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19</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常用医疗器械</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7183" w:type="dxa"/>
            <w:vAlign w:val="center"/>
          </w:tcPr>
          <w:p>
            <w:pPr>
              <w:pStyle w:val="58"/>
              <w:pBdr>
                <w:top w:val="none" w:color="auto" w:sz="0" w:space="0"/>
                <w:left w:val="none" w:color="auto" w:sz="0" w:space="0"/>
                <w:bottom w:val="none" w:color="auto" w:sz="0" w:space="0"/>
                <w:right w:val="none" w:color="auto" w:sz="0" w:space="0"/>
                <w:between w:val="none" w:color="auto" w:sz="0" w:space="0"/>
              </w:pBdr>
              <w:spacing w:line="0" w:lineRule="atLeast"/>
              <w:jc w:val="both"/>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color w:val="000000"/>
                <w:sz w:val="20"/>
                <w:szCs w:val="20"/>
              </w:rPr>
              <w:t>棉签，棉球，创口贴，换药镊，纱布绷带剪，纱布绷带，止血带等常用医疗器械。产品按国家规定需要备案或注册的，已经备案或注册。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20</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档案柜</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1、参考规格：≥H1800×W850×D390mm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2、结构：分成五层，每层双开门。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21</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听诊器</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1、听诊器导管材料必须用乳胶导管，抗拉强度＞17MPG，伸长率＞700％量2．应符合国标GB11237-89《听诊器》有关规定。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22</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药品柜</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只</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1、规格（mm）：900×500(300)×1850；2、用料：不小于0.6mm厚优质钢板，，3、结构：共分六层(均不可调)；上节厚度300mm，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23</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变频大1.5匹空调</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aps w:val="0"/>
                <w:spacing w:val="0"/>
                <w:sz w:val="20"/>
                <w:szCs w:val="20"/>
                <w:shd w:val="clear" w:color="auto" w:fill="FFFFFF"/>
              </w:rPr>
              <w:t>能效等级</w:t>
            </w:r>
            <w:r>
              <w:rPr>
                <w:rFonts w:hint="eastAsia" w:ascii="宋体" w:hAnsi="宋体" w:eastAsia="宋体" w:cs="宋体"/>
                <w:i w:val="0"/>
                <w:iCs w:val="0"/>
                <w:caps w:val="0"/>
                <w:spacing w:val="0"/>
                <w:sz w:val="20"/>
                <w:szCs w:val="20"/>
                <w:shd w:val="clear" w:color="auto" w:fill="FFFFFF"/>
                <w:lang w:eastAsia="zh-CN"/>
              </w:rPr>
              <w:t>：</w:t>
            </w:r>
            <w:r>
              <w:rPr>
                <w:rFonts w:hint="eastAsia" w:ascii="宋体" w:hAnsi="宋体" w:eastAsia="宋体" w:cs="宋体"/>
                <w:i w:val="0"/>
                <w:iCs w:val="0"/>
                <w:caps w:val="0"/>
                <w:spacing w:val="0"/>
                <w:sz w:val="20"/>
                <w:szCs w:val="20"/>
                <w:shd w:val="clear" w:color="auto" w:fill="FFFFFF"/>
              </w:rPr>
              <w:t>一级</w:t>
            </w:r>
            <w:r>
              <w:rPr>
                <w:rFonts w:hint="eastAsia" w:ascii="宋体" w:hAnsi="宋体" w:eastAsia="宋体" w:cs="宋体"/>
                <w:i w:val="0"/>
                <w:iCs w:val="0"/>
                <w:caps w:val="0"/>
                <w:spacing w:val="0"/>
                <w:sz w:val="20"/>
                <w:szCs w:val="20"/>
                <w:shd w:val="clear" w:color="auto" w:fill="FFFFFF"/>
                <w:lang w:eastAsia="zh-CN"/>
              </w:rPr>
              <w:t>；</w:t>
            </w:r>
            <w:r>
              <w:rPr>
                <w:rFonts w:hint="eastAsia" w:ascii="宋体" w:hAnsi="宋体" w:eastAsia="宋体" w:cs="宋体"/>
                <w:i w:val="0"/>
                <w:iCs w:val="0"/>
                <w:caps w:val="0"/>
                <w:spacing w:val="0"/>
                <w:sz w:val="20"/>
                <w:szCs w:val="20"/>
                <w:shd w:val="clear" w:color="auto" w:fill="FFFFFF"/>
                <w:lang w:val="en-US" w:eastAsia="zh-CN"/>
              </w:rPr>
              <w:t>变频；</w:t>
            </w:r>
            <w:r>
              <w:rPr>
                <w:rFonts w:hint="eastAsia" w:ascii="宋体" w:hAnsi="宋体" w:eastAsia="宋体" w:cs="宋体"/>
                <w:i w:val="0"/>
                <w:iCs w:val="0"/>
                <w:color w:val="000000"/>
                <w:kern w:val="0"/>
                <w:sz w:val="20"/>
                <w:szCs w:val="20"/>
                <w:u w:val="none"/>
                <w:lang w:val="en-US" w:eastAsia="zh-CN" w:bidi="ar"/>
              </w:rPr>
              <w:t>额定制冷量(W)：3510；额定制热量(W)：5010；制冷季节耗电量(kW·h)：354；制热季节耗电量(kW·h)：282。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00" w:type="pct"/>
            <w:gridSpan w:val="5"/>
            <w:vAlign w:val="center"/>
          </w:tcPr>
          <w:p>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olor w:val="auto"/>
                <w:kern w:val="0"/>
                <w:sz w:val="20"/>
                <w:szCs w:val="20"/>
                <w:highlight w:val="none"/>
                <w:u w:val="none"/>
                <w:lang w:val="en-US" w:eastAsia="zh-CN" w:bidi="ar"/>
              </w:rPr>
              <w:t>五、体育室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24</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布卷尺</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盒</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50m，仿皮外壳，苎麻布卷尺，防水， 防腐蚀；铜制卡扣和收放扣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25</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装球车</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可四轮移动，可折叠。用于装篮球、排球、足球等球类物品，球车四角为圆角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26</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标志杆</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根</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20</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高 1.2m～1.6m，立柱直径 25mm，三角形红色旗面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27</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划线器</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车斗式，喷漆式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28</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接力棒</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根</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30</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长 280mm～300mm,直径 30mm～42mm,质量不小于 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29</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跳高架</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付</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立柱高度 1600mm～2000mm；高度刻度500mm～1800mm；横杆托长 60mm，宽 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30</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跳高垫</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3000mm×2000mm×300mm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31</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跳高横杆</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根</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长 3000mm～4000mm，直径 25mm～30mm, 质量不超过 2000g,采用不宜折断的适宜材料制成，不应采用金属材料，除两端外，横截面应呈圆形，颜色醒目。横杆固定在立柱上，中心自然下垂应小于20mm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32</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起跑器</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副</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长 690mm,宽≥100mm,三角体抵脚板,长160mm,宽 120mm,高 130mm，倾斜度可调整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33</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发令枪</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支</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可同时装 2～5 发子弹,军用钢发射装 置,塑胶手柄,具有一定撞针冲击力，无后坐力设计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34</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实心球</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圆周长 420mm～780mm,质量 2000g±30g,采用适宜的软性材料，球体表面应进行防滑处理,不应有颗粒脱落、裂缝等缺陷,经过从 10m 高处自由落体试验后，应无破裂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35</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实心球</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圆周长 400mm～780mm,质量 1500g±30g,采用适宜的软性材料，球体表面应进行防滑处理,不应有颗粒脱落、裂缝等缺陷,经过从 10m 高处自由落体试验后，应无破裂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36</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实心球</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w:t>
            </w:r>
          </w:p>
        </w:tc>
        <w:tc>
          <w:tcPr>
            <w:tcW w:w="7183" w:type="dxa"/>
            <w:vAlign w:val="bottom"/>
          </w:tcPr>
          <w:p>
            <w:pPr>
              <w:keepNext w:val="0"/>
              <w:keepLines w:val="0"/>
              <w:widowControl/>
              <w:suppressLineNumbers w:val="0"/>
              <w:jc w:val="left"/>
              <w:textAlignment w:val="bottom"/>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圆周长 350mm～780mm,质量 1000g±30g,采用适宜的软性材料，球体表面应进行防滑处理,不应有颗粒脱落、裂缝等缺陷,经过从 10m 高处自由落体试验后，应无破裂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37</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山羊</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山羊全高：1000mm～1300mm；山羊头长：500mm～600mm；头宽：360mm±5mm；头高：260mm～330mm，立轴升降间距：50mm±3mm，山羊腿外直径≥30mm，山羊腿壁厚≥3mm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38</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单杠</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副</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杠面高度：1400mm～2400mm，两立柱支点中心距：2000mm～2400mm，横杠材料： 弹簧钢，立柱材料：钢管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39</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双杠</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副</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7183"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杠高 1300mm～1700mm;杠长 3000mm～3500mm，两杠内侧距离 410mm～610mm， 纵向立轴中心距 2000mm～2300mm，升降间距 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40</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小跳垫</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块</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20</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采用泡沫塑料和泡沫乳胶，帆布或人造革外皮，长 1200mm±5mm,宽 600mm±5mm,厚≥50mm。在长度方向可对半折叠，两侧应各有提手，四周加装粘扣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41</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大跳垫</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块</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采用泡沫塑料和泡沫乳胶，帆布或人造革外皮，长 2000mm±5mm,宽 1000mm±5mm,厚≥100mm。在长度方向可对半折叠，两侧应各有提手，四周加装粘扣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42</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体操棒</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根</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30</w:t>
            </w:r>
          </w:p>
        </w:tc>
        <w:tc>
          <w:tcPr>
            <w:tcW w:w="7183"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采用木质或塑料。塑料采用硬质塑料， 壁厚不小于 5mm。长 1000mm，截面直径25mm～30mm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43</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初中生用篮球</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30</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圆周长 695mm～725mm；质量 490g～560g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44</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初中生用排球</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圆周长 650mm～670mm；质量 230g～270g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45</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软式排球</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30</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5#：圆周长 650mm～670mm，质量 220g～310g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46</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排球网柱</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付</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网柱高度：2120mm±5mm，拉网中央高度:2000mm±5mm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47</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拔河绳</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根</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30m，质量 10kg 左右，采用天然麻棕线绞制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48</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铁环</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30</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铁环直径约 50cm，附特制的铁钩。用铁钩推着,铁环可向前滚动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49</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陀螺</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30</w:t>
            </w:r>
          </w:p>
        </w:tc>
        <w:tc>
          <w:tcPr>
            <w:tcW w:w="7183" w:type="dxa"/>
            <w:vAlign w:val="center"/>
          </w:tcPr>
          <w:p>
            <w:pP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sz w:val="20"/>
                <w:szCs w:val="20"/>
                <w:u w:val="none"/>
              </w:rPr>
              <w:t>木质陀螺，直径5.6</w:t>
            </w:r>
            <w:r>
              <w:rPr>
                <w:rFonts w:hint="eastAsia" w:ascii="宋体" w:hAnsi="宋体" w:eastAsia="宋体" w:cs="宋体"/>
                <w:i w:val="0"/>
                <w:iCs w:val="0"/>
                <w:color w:val="000000"/>
                <w:sz w:val="20"/>
                <w:szCs w:val="20"/>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50</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划线器</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车斗式，石灰粉式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51</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手动记分牌</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手动翻分，局分 0～5，比分 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64"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52</w:t>
            </w:r>
          </w:p>
        </w:tc>
        <w:tc>
          <w:tcPr>
            <w:tcW w:w="681" w:type="pct"/>
            <w:vAlign w:val="center"/>
          </w:tcPr>
          <w:p>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电子记分牌</w:t>
            </w:r>
          </w:p>
        </w:tc>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30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718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电子式，可显示队名、大比分、局比分 、犯规、球权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jc w:val="center"/>
              <w:rPr>
                <w:rFonts w:hint="eastAsia" w:ascii="宋体" w:hAnsi="宋体" w:eastAsia="宋体" w:cs="宋体"/>
                <w:color w:val="auto"/>
                <w:szCs w:val="21"/>
                <w:highlight w:val="none"/>
              </w:rPr>
            </w:pPr>
            <w:bookmarkStart w:id="66" w:name="OLE_LINK35"/>
            <w:bookmarkStart w:id="67" w:name="OLE_LINK34"/>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b/>
                <w:bCs/>
                <w:color w:val="auto"/>
                <w:szCs w:val="21"/>
                <w:highlight w:val="none"/>
              </w:rPr>
              <w:t>商务要求表</w:t>
            </w:r>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一、合同签订期：自中标通知书发出之日起</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5日内。</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二、交货（交付）时间：签订合同后 </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 xml:space="preserve"> 个日历日，如因甲方及其他客观原因导致交付延期，不算作乙方违约，交付周期可视延期时间往后顺延。</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三、交货地点：合浦外国语实验学校、合浦县实验学校。</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四、付款时间和方式：</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项目验收合格后</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个日历日内支付中标合同金额</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0％。</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五、质量要求：</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货物必须是全新合格产品，产品质量符合国家相关标准及安全规范；</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供应商须按国家有关规定实行“三包”，免费送货上门。提供现场免费安装、调试设备，进行操作试验，直至运行正常；</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采购方对供应商所交货物依照采购文件上的技术规格要求和国家有关标准进行现场验收，性能达到技术要求的，给予签收。验收不合格的不予签收，后果由供货方负责。</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六、售后服务要求：</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1.免费送货上门、免费由技术人员现场安装、调试和技术指导，并在用户使用地免费培训操作人员掌握设备操作及日常维护。所供货物各项性能指标 达到技术要求的，由供需双方共同签字认可，现场验收；并提供设备完整技术资料，技术资料包括技术规格和指标，各部件型号和参数清单，操作使用说明手册和注意事项。设备到货后，成交人和采购单位应在现场进行清点。清点过程中如果发现因包装或运输不当引起的仪器外观或内部的损坏，成交人应承担所有责任。</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2.维修响应：成交供应商在接到用户维修电话后 4 小时内响应，12 小时内到达现场修理解决，并免费更换有缺陷的货物或零部件，24小时内恢复正常使用，若不能修复则应有合理应对方案。定期回访，对设备进行预防性维护指导。</w:t>
            </w:r>
          </w:p>
          <w:p>
            <w:pPr>
              <w:keepNext w:val="0"/>
              <w:keepLines w:val="0"/>
              <w:pageBreakBefore w:val="0"/>
              <w:kinsoku/>
              <w:wordWrap/>
              <w:overflowPunct/>
              <w:topLinePunct w:val="0"/>
              <w:autoSpaceDE/>
              <w:autoSpaceDN/>
              <w:bidi w:val="0"/>
              <w:adjustRightInd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rPr>
              <w:t xml:space="preserve">3.成交供应商除承担运输、安装、调试、验收与培训等义务外，还将为采购方提供免费技术支持，包括保修期外的修理及技术指导、配件供应等。 </w:t>
            </w:r>
            <w:r>
              <w:rPr>
                <w:rFonts w:hint="eastAsia" w:ascii="宋体" w:hAnsi="宋体" w:eastAsia="宋体" w:cs="宋体"/>
                <w:color w:val="auto"/>
                <w:kern w:val="0"/>
                <w:sz w:val="21"/>
                <w:szCs w:val="21"/>
                <w:highlight w:val="none"/>
              </w:rPr>
              <w:t>质量保证期：质保期不少于一年（若厂家免费质保期超过一年的，按厂家规定执行），质保期自双方代表在系统及设备安装调试后的验收证明文件上签字之日起计算，质保期内，按国家有关产品“三包”规定执行“三包”。</w:t>
            </w:r>
          </w:p>
        </w:tc>
      </w:tr>
    </w:tbl>
    <w:p>
      <w:pPr>
        <w:pStyle w:val="4"/>
        <w:rPr>
          <w:color w:val="auto"/>
          <w:highlight w:val="none"/>
          <w:lang w:val="en-US"/>
        </w:rPr>
      </w:pPr>
    </w:p>
    <w:p>
      <w:pPr>
        <w:tabs>
          <w:tab w:val="center" w:pos="4153"/>
          <w:tab w:val="right" w:pos="8306"/>
        </w:tabs>
        <w:adjustRightInd/>
        <w:snapToGrid w:val="0"/>
        <w:rPr>
          <w:color w:val="auto"/>
          <w:sz w:val="18"/>
          <w:szCs w:val="18"/>
          <w:highlight w:val="none"/>
        </w:rPr>
      </w:pPr>
    </w:p>
    <w:p>
      <w:pPr>
        <w:adjustRightInd/>
        <w:spacing w:before="25" w:after="25"/>
        <w:jc w:val="left"/>
        <w:rPr>
          <w:rFonts w:ascii="宋体" w:hAnsi="宋体" w:cs="宋体"/>
          <w:bCs/>
          <w:color w:val="auto"/>
          <w:spacing w:val="10"/>
          <w:kern w:val="0"/>
          <w:sz w:val="24"/>
          <w:highlight w:val="none"/>
        </w:rPr>
        <w:sectPr>
          <w:pgSz w:w="11906" w:h="16838"/>
          <w:pgMar w:top="1134" w:right="1134" w:bottom="1134" w:left="1134" w:header="794" w:footer="850" w:gutter="0"/>
          <w:cols w:space="720" w:num="1"/>
          <w:titlePg/>
          <w:docGrid w:type="lines" w:linePitch="312" w:charSpace="0"/>
        </w:sectPr>
      </w:pPr>
    </w:p>
    <w:p>
      <w:pPr>
        <w:rPr>
          <w:rFonts w:hint="eastAsia" w:ascii="宋体" w:hAnsi="宋体" w:cs="宋体"/>
          <w:b/>
          <w:color w:val="auto"/>
          <w:sz w:val="36"/>
          <w:szCs w:val="36"/>
          <w:highlight w:val="none"/>
        </w:rPr>
      </w:pPr>
      <w:bookmarkStart w:id="68" w:name="_Toc176185122"/>
      <w:bookmarkStart w:id="69" w:name="_Toc176343851"/>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70" w:name="_Toc184312072"/>
      <w:bookmarkEnd w:id="70"/>
      <w:bookmarkStart w:id="71" w:name="_Toc184313260"/>
      <w:bookmarkEnd w:id="71"/>
      <w:bookmarkStart w:id="72" w:name="_Toc184308097"/>
      <w:bookmarkEnd w:id="72"/>
      <w:bookmarkStart w:id="73" w:name="_Toc184313307"/>
      <w:bookmarkEnd w:id="73"/>
      <w:bookmarkStart w:id="74" w:name="_Toc184313309"/>
      <w:bookmarkEnd w:id="74"/>
      <w:bookmarkStart w:id="75" w:name="_Toc184314460"/>
      <w:bookmarkEnd w:id="75"/>
      <w:bookmarkStart w:id="76" w:name="_Toc184314456"/>
      <w:bookmarkEnd w:id="76"/>
      <w:bookmarkStart w:id="77" w:name="_Toc184312103"/>
      <w:bookmarkEnd w:id="77"/>
      <w:bookmarkStart w:id="78" w:name="_Toc184308063"/>
      <w:bookmarkEnd w:id="78"/>
      <w:bookmarkStart w:id="79" w:name="_Toc184314430"/>
      <w:bookmarkEnd w:id="79"/>
      <w:bookmarkStart w:id="80" w:name="_Toc184310281"/>
      <w:bookmarkEnd w:id="80"/>
      <w:bookmarkStart w:id="81" w:name="_Toc184313294"/>
      <w:bookmarkEnd w:id="81"/>
      <w:bookmarkStart w:id="82" w:name="_Toc184308082"/>
      <w:bookmarkEnd w:id="82"/>
      <w:bookmarkStart w:id="83" w:name="_Toc184314467"/>
      <w:bookmarkEnd w:id="83"/>
      <w:bookmarkStart w:id="84" w:name="_Toc184313256"/>
      <w:bookmarkEnd w:id="84"/>
      <w:bookmarkStart w:id="85" w:name="_Toc184313248"/>
      <w:bookmarkEnd w:id="85"/>
      <w:bookmarkStart w:id="86" w:name="_Toc184314476"/>
      <w:bookmarkEnd w:id="86"/>
      <w:bookmarkStart w:id="87" w:name="_Toc184310308"/>
      <w:bookmarkEnd w:id="87"/>
      <w:bookmarkStart w:id="88" w:name="_Toc184313310"/>
      <w:bookmarkEnd w:id="88"/>
      <w:bookmarkStart w:id="89" w:name="_Toc184308058"/>
      <w:bookmarkEnd w:id="89"/>
      <w:bookmarkStart w:id="90" w:name="_Toc184314439"/>
      <w:bookmarkEnd w:id="90"/>
      <w:bookmarkStart w:id="91" w:name="_Toc184308090"/>
      <w:bookmarkEnd w:id="91"/>
      <w:bookmarkStart w:id="92" w:name="_Toc184308075"/>
      <w:bookmarkEnd w:id="92"/>
      <w:bookmarkStart w:id="93" w:name="_Toc184312094"/>
      <w:bookmarkEnd w:id="93"/>
      <w:bookmarkStart w:id="94" w:name="_Toc184312088"/>
      <w:bookmarkEnd w:id="94"/>
      <w:bookmarkStart w:id="95" w:name="_Toc184314413"/>
      <w:bookmarkEnd w:id="95"/>
      <w:bookmarkStart w:id="96" w:name="_Toc184308055"/>
      <w:bookmarkEnd w:id="96"/>
      <w:bookmarkStart w:id="97" w:name="_Toc184308102"/>
      <w:bookmarkEnd w:id="97"/>
      <w:bookmarkStart w:id="98" w:name="_Toc184312083"/>
      <w:bookmarkEnd w:id="98"/>
      <w:bookmarkStart w:id="99" w:name="_Toc184313287"/>
      <w:bookmarkEnd w:id="99"/>
      <w:bookmarkStart w:id="100" w:name="_Toc184312106"/>
      <w:bookmarkEnd w:id="100"/>
      <w:bookmarkStart w:id="101" w:name="_Toc184308065"/>
      <w:bookmarkEnd w:id="101"/>
      <w:bookmarkStart w:id="102" w:name="_Toc184314419"/>
      <w:bookmarkEnd w:id="102"/>
      <w:bookmarkStart w:id="103" w:name="_Toc184312121"/>
      <w:bookmarkEnd w:id="103"/>
      <w:bookmarkStart w:id="104" w:name="_Toc184312135"/>
      <w:bookmarkEnd w:id="104"/>
      <w:bookmarkStart w:id="105" w:name="_Toc184312076"/>
      <w:bookmarkEnd w:id="105"/>
      <w:bookmarkStart w:id="106" w:name="_Toc184312134"/>
      <w:bookmarkEnd w:id="106"/>
      <w:bookmarkStart w:id="107" w:name="_Toc184314479"/>
      <w:bookmarkEnd w:id="107"/>
      <w:bookmarkStart w:id="108" w:name="_Toc184314481"/>
      <w:bookmarkEnd w:id="108"/>
      <w:bookmarkStart w:id="109" w:name="_Toc184310317"/>
      <w:bookmarkEnd w:id="109"/>
      <w:bookmarkStart w:id="110" w:name="_Toc184308088"/>
      <w:bookmarkEnd w:id="110"/>
      <w:bookmarkStart w:id="111" w:name="_Toc184314435"/>
      <w:bookmarkEnd w:id="111"/>
      <w:bookmarkStart w:id="112" w:name="_Toc184310286"/>
      <w:bookmarkEnd w:id="112"/>
      <w:bookmarkStart w:id="113" w:name="_Toc184313270"/>
      <w:bookmarkEnd w:id="113"/>
      <w:bookmarkStart w:id="114" w:name="_Toc184313241"/>
      <w:bookmarkEnd w:id="114"/>
      <w:bookmarkStart w:id="115" w:name="_Toc184314468"/>
      <w:bookmarkEnd w:id="115"/>
      <w:bookmarkStart w:id="116" w:name="_Toc184308085"/>
      <w:bookmarkEnd w:id="116"/>
      <w:bookmarkStart w:id="117" w:name="_Toc184310322"/>
      <w:bookmarkEnd w:id="117"/>
      <w:bookmarkStart w:id="118" w:name="_Toc184314473"/>
      <w:bookmarkEnd w:id="118"/>
      <w:bookmarkStart w:id="119" w:name="_Toc184312087"/>
      <w:bookmarkEnd w:id="119"/>
      <w:bookmarkStart w:id="120" w:name="_Toc184312068"/>
      <w:bookmarkEnd w:id="120"/>
      <w:bookmarkStart w:id="121" w:name="_Toc184314454"/>
      <w:bookmarkEnd w:id="121"/>
      <w:bookmarkStart w:id="122" w:name="_Toc184312091"/>
      <w:bookmarkEnd w:id="122"/>
      <w:bookmarkStart w:id="123" w:name="_Toc184308103"/>
      <w:bookmarkEnd w:id="123"/>
      <w:bookmarkStart w:id="124" w:name="_Toc184313308"/>
      <w:bookmarkEnd w:id="124"/>
      <w:bookmarkStart w:id="125" w:name="_Toc184310311"/>
      <w:bookmarkEnd w:id="125"/>
      <w:bookmarkStart w:id="126" w:name="_Toc184313303"/>
      <w:bookmarkEnd w:id="126"/>
      <w:bookmarkStart w:id="127" w:name="_Toc184312109"/>
      <w:bookmarkEnd w:id="127"/>
      <w:bookmarkStart w:id="128" w:name="_Toc184308061"/>
      <w:bookmarkEnd w:id="128"/>
      <w:bookmarkStart w:id="129" w:name="_Toc184308057"/>
      <w:bookmarkEnd w:id="129"/>
      <w:bookmarkStart w:id="130" w:name="_Toc184313281"/>
      <w:bookmarkEnd w:id="130"/>
      <w:bookmarkStart w:id="131" w:name="_Toc184308064"/>
      <w:bookmarkEnd w:id="131"/>
      <w:bookmarkStart w:id="132" w:name="_Toc184312097"/>
      <w:bookmarkEnd w:id="132"/>
      <w:bookmarkStart w:id="133" w:name="_Toc184312132"/>
      <w:bookmarkEnd w:id="133"/>
      <w:bookmarkStart w:id="134" w:name="_Toc184308043"/>
      <w:bookmarkEnd w:id="134"/>
      <w:bookmarkStart w:id="135" w:name="_Toc184310337"/>
      <w:bookmarkEnd w:id="135"/>
      <w:bookmarkStart w:id="136" w:name="_Toc184313245"/>
      <w:bookmarkEnd w:id="136"/>
      <w:bookmarkStart w:id="137" w:name="_Toc184313252"/>
      <w:bookmarkEnd w:id="137"/>
      <w:bookmarkStart w:id="138" w:name="_Toc184314441"/>
      <w:bookmarkEnd w:id="138"/>
      <w:bookmarkStart w:id="139" w:name="_Toc184312069"/>
      <w:bookmarkEnd w:id="139"/>
      <w:bookmarkStart w:id="140" w:name="_Toc184313292"/>
      <w:bookmarkEnd w:id="140"/>
      <w:bookmarkStart w:id="141" w:name="_Toc184310343"/>
      <w:bookmarkEnd w:id="141"/>
      <w:bookmarkStart w:id="142" w:name="_Toc184308078"/>
      <w:bookmarkEnd w:id="142"/>
      <w:bookmarkStart w:id="143" w:name="_Toc184310277"/>
      <w:bookmarkEnd w:id="143"/>
      <w:bookmarkStart w:id="144" w:name="_Toc184308073"/>
      <w:bookmarkEnd w:id="144"/>
      <w:bookmarkStart w:id="145" w:name="_Toc184313268"/>
      <w:bookmarkEnd w:id="145"/>
      <w:bookmarkStart w:id="146" w:name="_Toc184314455"/>
      <w:bookmarkEnd w:id="146"/>
      <w:bookmarkStart w:id="147" w:name="_Toc184310338"/>
      <w:bookmarkEnd w:id="147"/>
      <w:bookmarkStart w:id="148" w:name="_Toc184310340"/>
      <w:bookmarkEnd w:id="148"/>
      <w:bookmarkStart w:id="149" w:name="_Toc184310310"/>
      <w:bookmarkEnd w:id="149"/>
      <w:bookmarkStart w:id="150" w:name="_Toc184310294"/>
      <w:bookmarkEnd w:id="150"/>
      <w:bookmarkStart w:id="151" w:name="_Toc184310298"/>
      <w:bookmarkEnd w:id="151"/>
      <w:bookmarkStart w:id="152" w:name="_Toc184308099"/>
      <w:bookmarkEnd w:id="152"/>
      <w:bookmarkStart w:id="153" w:name="_Toc184308037"/>
      <w:bookmarkEnd w:id="153"/>
      <w:bookmarkStart w:id="154" w:name="_Toc184310325"/>
      <w:bookmarkEnd w:id="154"/>
      <w:bookmarkStart w:id="155" w:name="_Toc184313288"/>
      <w:bookmarkEnd w:id="155"/>
      <w:bookmarkStart w:id="156" w:name="_Toc184312133"/>
      <w:bookmarkEnd w:id="156"/>
      <w:bookmarkStart w:id="157" w:name="_Toc184314465"/>
      <w:bookmarkEnd w:id="157"/>
      <w:bookmarkStart w:id="158" w:name="_Toc184308074"/>
      <w:bookmarkEnd w:id="158"/>
      <w:bookmarkStart w:id="159" w:name="_Toc184314469"/>
      <w:bookmarkEnd w:id="159"/>
      <w:bookmarkStart w:id="160" w:name="_Toc184313290"/>
      <w:bookmarkEnd w:id="160"/>
      <w:bookmarkStart w:id="161" w:name="_Toc184310336"/>
      <w:bookmarkEnd w:id="161"/>
      <w:bookmarkStart w:id="162" w:name="_Toc184308049"/>
      <w:bookmarkEnd w:id="162"/>
      <w:bookmarkStart w:id="163" w:name="_Toc184310330"/>
      <w:bookmarkEnd w:id="163"/>
      <w:bookmarkStart w:id="164" w:name="_Toc184312137"/>
      <w:bookmarkEnd w:id="164"/>
      <w:bookmarkStart w:id="165" w:name="_Toc184308051"/>
      <w:bookmarkEnd w:id="165"/>
      <w:bookmarkStart w:id="166" w:name="_Toc184308048"/>
      <w:bookmarkEnd w:id="166"/>
      <w:bookmarkStart w:id="167" w:name="_Toc184314475"/>
      <w:bookmarkEnd w:id="167"/>
      <w:bookmarkStart w:id="168" w:name="_Toc184314425"/>
      <w:bookmarkEnd w:id="168"/>
      <w:bookmarkStart w:id="169" w:name="_Toc184310305"/>
      <w:bookmarkEnd w:id="169"/>
      <w:bookmarkStart w:id="170" w:name="_Toc184308107"/>
      <w:bookmarkEnd w:id="170"/>
      <w:bookmarkStart w:id="171" w:name="_Toc184312130"/>
      <w:bookmarkEnd w:id="171"/>
      <w:bookmarkStart w:id="172" w:name="_Toc184313298"/>
      <w:bookmarkEnd w:id="172"/>
      <w:bookmarkStart w:id="173" w:name="_Toc184308054"/>
      <w:bookmarkEnd w:id="173"/>
      <w:bookmarkStart w:id="174" w:name="_Toc184308104"/>
      <w:bookmarkEnd w:id="174"/>
      <w:bookmarkStart w:id="175" w:name="_Toc184312136"/>
      <w:bookmarkEnd w:id="175"/>
      <w:bookmarkStart w:id="176" w:name="_Toc184312116"/>
      <w:bookmarkEnd w:id="176"/>
      <w:bookmarkStart w:id="177" w:name="_Toc184314446"/>
      <w:bookmarkEnd w:id="177"/>
      <w:bookmarkStart w:id="178" w:name="_Toc184314436"/>
      <w:bookmarkEnd w:id="178"/>
      <w:bookmarkStart w:id="179" w:name="_Toc184313293"/>
      <w:bookmarkEnd w:id="179"/>
      <w:bookmarkStart w:id="180" w:name="_Toc184310280"/>
      <w:bookmarkEnd w:id="180"/>
      <w:bookmarkStart w:id="181" w:name="_Toc184312112"/>
      <w:bookmarkEnd w:id="181"/>
      <w:bookmarkStart w:id="182" w:name="_Toc184314452"/>
      <w:bookmarkEnd w:id="182"/>
      <w:bookmarkStart w:id="183" w:name="_Toc184313291"/>
      <w:bookmarkEnd w:id="183"/>
      <w:bookmarkStart w:id="184" w:name="_Toc184312090"/>
      <w:bookmarkEnd w:id="184"/>
      <w:bookmarkStart w:id="185" w:name="_Toc184312119"/>
      <w:bookmarkEnd w:id="185"/>
      <w:bookmarkStart w:id="186" w:name="_Toc184312114"/>
      <w:bookmarkEnd w:id="186"/>
      <w:bookmarkStart w:id="187" w:name="_Toc184314443"/>
      <w:bookmarkEnd w:id="187"/>
      <w:bookmarkStart w:id="188" w:name="_Toc184313299"/>
      <w:bookmarkEnd w:id="188"/>
      <w:bookmarkStart w:id="189" w:name="_Toc184312098"/>
      <w:bookmarkEnd w:id="189"/>
      <w:bookmarkStart w:id="190" w:name="_Toc184308056"/>
      <w:bookmarkEnd w:id="190"/>
      <w:bookmarkStart w:id="191" w:name="_Toc184314424"/>
      <w:bookmarkEnd w:id="191"/>
      <w:bookmarkStart w:id="192" w:name="_Toc184310288"/>
      <w:bookmarkEnd w:id="192"/>
      <w:bookmarkStart w:id="193" w:name="_Toc184312125"/>
      <w:bookmarkEnd w:id="193"/>
      <w:bookmarkStart w:id="194" w:name="_Toc184310292"/>
      <w:bookmarkEnd w:id="194"/>
      <w:bookmarkStart w:id="195" w:name="_Toc184308076"/>
      <w:bookmarkEnd w:id="195"/>
      <w:bookmarkStart w:id="196" w:name="_Toc184310295"/>
      <w:bookmarkEnd w:id="196"/>
      <w:bookmarkStart w:id="197" w:name="_Toc184313296"/>
      <w:bookmarkEnd w:id="197"/>
      <w:bookmarkStart w:id="198" w:name="_Toc184314411"/>
      <w:bookmarkEnd w:id="198"/>
      <w:bookmarkStart w:id="199" w:name="_Toc184313261"/>
      <w:bookmarkEnd w:id="199"/>
      <w:bookmarkStart w:id="200" w:name="_Toc184308087"/>
      <w:bookmarkEnd w:id="200"/>
      <w:bookmarkStart w:id="201" w:name="_Toc184312127"/>
      <w:bookmarkEnd w:id="201"/>
      <w:bookmarkStart w:id="202" w:name="_Toc184312086"/>
      <w:bookmarkEnd w:id="202"/>
      <w:bookmarkStart w:id="203" w:name="_Toc184314418"/>
      <w:bookmarkEnd w:id="203"/>
      <w:bookmarkStart w:id="204" w:name="_Toc184313277"/>
      <w:bookmarkEnd w:id="204"/>
      <w:bookmarkStart w:id="205" w:name="_Toc184308044"/>
      <w:bookmarkEnd w:id="205"/>
      <w:bookmarkStart w:id="206" w:name="_Toc184314442"/>
      <w:bookmarkEnd w:id="206"/>
      <w:bookmarkStart w:id="207" w:name="_Toc184308066"/>
      <w:bookmarkEnd w:id="207"/>
      <w:bookmarkStart w:id="208" w:name="_Toc184310319"/>
      <w:bookmarkEnd w:id="208"/>
      <w:bookmarkStart w:id="209" w:name="_Toc184312102"/>
      <w:bookmarkEnd w:id="209"/>
      <w:bookmarkStart w:id="210" w:name="_Toc184314445"/>
      <w:bookmarkEnd w:id="210"/>
      <w:bookmarkStart w:id="211" w:name="_Toc184314457"/>
      <w:bookmarkEnd w:id="211"/>
      <w:bookmarkStart w:id="212" w:name="_Toc184314453"/>
      <w:bookmarkEnd w:id="212"/>
      <w:bookmarkStart w:id="213" w:name="_Toc184314458"/>
      <w:bookmarkEnd w:id="213"/>
      <w:bookmarkStart w:id="214" w:name="_Toc184313273"/>
      <w:bookmarkEnd w:id="214"/>
      <w:bookmarkStart w:id="215" w:name="_Toc184312082"/>
      <w:bookmarkEnd w:id="215"/>
      <w:bookmarkStart w:id="216" w:name="_Toc184313267"/>
      <w:bookmarkEnd w:id="216"/>
      <w:bookmarkStart w:id="217" w:name="_Toc184314412"/>
      <w:bookmarkEnd w:id="217"/>
      <w:bookmarkStart w:id="218" w:name="_Toc184308081"/>
      <w:bookmarkEnd w:id="218"/>
      <w:bookmarkStart w:id="219" w:name="_Toc184314434"/>
      <w:bookmarkEnd w:id="219"/>
      <w:bookmarkStart w:id="220" w:name="_Toc184314459"/>
      <w:bookmarkEnd w:id="220"/>
      <w:bookmarkStart w:id="221" w:name="_Toc184312117"/>
      <w:bookmarkEnd w:id="221"/>
      <w:bookmarkStart w:id="222" w:name="_Toc184310291"/>
      <w:bookmarkEnd w:id="222"/>
      <w:bookmarkStart w:id="223" w:name="_Toc184310273"/>
      <w:bookmarkEnd w:id="223"/>
      <w:bookmarkStart w:id="224" w:name="_Toc184314463"/>
      <w:bookmarkEnd w:id="224"/>
      <w:bookmarkStart w:id="225" w:name="_Toc184313257"/>
      <w:bookmarkEnd w:id="225"/>
      <w:bookmarkStart w:id="226" w:name="_Toc184310331"/>
      <w:bookmarkEnd w:id="226"/>
      <w:bookmarkStart w:id="227" w:name="_Toc184308040"/>
      <w:bookmarkEnd w:id="227"/>
      <w:bookmarkStart w:id="228" w:name="_Toc184310335"/>
      <w:bookmarkEnd w:id="228"/>
      <w:bookmarkStart w:id="229" w:name="_Toc184313304"/>
      <w:bookmarkEnd w:id="229"/>
      <w:bookmarkStart w:id="230" w:name="_Toc184312108"/>
      <w:bookmarkEnd w:id="230"/>
      <w:bookmarkStart w:id="231" w:name="_Toc184308091"/>
      <w:bookmarkEnd w:id="231"/>
      <w:bookmarkStart w:id="232" w:name="_Toc184312077"/>
      <w:bookmarkEnd w:id="232"/>
      <w:bookmarkStart w:id="233" w:name="_Toc184312120"/>
      <w:bookmarkEnd w:id="233"/>
      <w:bookmarkStart w:id="234" w:name="_Toc184310342"/>
      <w:bookmarkEnd w:id="234"/>
      <w:bookmarkStart w:id="235" w:name="_Toc184310290"/>
      <w:bookmarkEnd w:id="235"/>
      <w:bookmarkStart w:id="236" w:name="_Toc184314466"/>
      <w:bookmarkEnd w:id="236"/>
      <w:bookmarkStart w:id="237" w:name="_Toc184308084"/>
      <w:bookmarkEnd w:id="237"/>
      <w:bookmarkStart w:id="238" w:name="_Toc184314480"/>
      <w:bookmarkEnd w:id="238"/>
      <w:bookmarkStart w:id="239" w:name="_Toc184312123"/>
      <w:bookmarkEnd w:id="239"/>
      <w:bookmarkStart w:id="240" w:name="_Toc184308038"/>
      <w:bookmarkEnd w:id="240"/>
      <w:bookmarkStart w:id="241" w:name="_Toc184308086"/>
      <w:bookmarkEnd w:id="241"/>
      <w:bookmarkStart w:id="242" w:name="_Toc184310326"/>
      <w:bookmarkEnd w:id="242"/>
      <w:bookmarkStart w:id="243" w:name="_Toc184312084"/>
      <w:bookmarkEnd w:id="243"/>
      <w:bookmarkStart w:id="244" w:name="_Toc184310274"/>
      <w:bookmarkEnd w:id="244"/>
      <w:bookmarkStart w:id="245" w:name="_Toc184313282"/>
      <w:bookmarkEnd w:id="245"/>
      <w:bookmarkStart w:id="246" w:name="_Toc184314447"/>
      <w:bookmarkEnd w:id="246"/>
      <w:bookmarkStart w:id="247" w:name="_Toc184314461"/>
      <w:bookmarkEnd w:id="247"/>
      <w:bookmarkStart w:id="248" w:name="_Toc184313295"/>
      <w:bookmarkEnd w:id="248"/>
      <w:bookmarkStart w:id="249" w:name="_Toc184312075"/>
      <w:bookmarkEnd w:id="249"/>
      <w:bookmarkStart w:id="250" w:name="_Toc184312129"/>
      <w:bookmarkEnd w:id="250"/>
      <w:bookmarkStart w:id="251" w:name="_Toc184313272"/>
      <w:bookmarkEnd w:id="251"/>
      <w:bookmarkStart w:id="252" w:name="_Toc184310289"/>
      <w:bookmarkEnd w:id="252"/>
      <w:bookmarkStart w:id="253" w:name="_Toc184314450"/>
      <w:bookmarkEnd w:id="253"/>
      <w:bookmarkStart w:id="254" w:name="_Toc184308096"/>
      <w:bookmarkEnd w:id="254"/>
      <w:bookmarkStart w:id="255" w:name="_Toc184312085"/>
      <w:bookmarkEnd w:id="255"/>
      <w:bookmarkStart w:id="256" w:name="_Toc184310301"/>
      <w:bookmarkEnd w:id="256"/>
      <w:bookmarkStart w:id="257" w:name="_Toc184308106"/>
      <w:bookmarkEnd w:id="257"/>
      <w:bookmarkStart w:id="258" w:name="_Toc184310333"/>
      <w:bookmarkEnd w:id="258"/>
      <w:bookmarkStart w:id="259" w:name="_Toc184308083"/>
      <w:bookmarkEnd w:id="259"/>
      <w:bookmarkStart w:id="260" w:name="_Toc184312081"/>
      <w:bookmarkEnd w:id="260"/>
      <w:bookmarkStart w:id="261" w:name="_Toc184310279"/>
      <w:bookmarkEnd w:id="261"/>
      <w:bookmarkStart w:id="262" w:name="_Toc184308045"/>
      <w:bookmarkEnd w:id="262"/>
      <w:bookmarkStart w:id="263" w:name="_Toc184314417"/>
      <w:bookmarkEnd w:id="263"/>
      <w:bookmarkStart w:id="264" w:name="_Toc184314414"/>
      <w:bookmarkEnd w:id="264"/>
      <w:bookmarkStart w:id="265" w:name="_Toc184314472"/>
      <w:bookmarkEnd w:id="265"/>
      <w:bookmarkStart w:id="266" w:name="_Toc184312067"/>
      <w:bookmarkEnd w:id="266"/>
      <w:bookmarkStart w:id="267" w:name="_Toc184310323"/>
      <w:bookmarkEnd w:id="267"/>
      <w:bookmarkStart w:id="268" w:name="_Toc184308108"/>
      <w:bookmarkEnd w:id="268"/>
      <w:bookmarkStart w:id="269" w:name="_Toc184314449"/>
      <w:bookmarkEnd w:id="269"/>
      <w:bookmarkStart w:id="270" w:name="_Toc184308094"/>
      <w:bookmarkEnd w:id="270"/>
      <w:bookmarkStart w:id="271" w:name="_Toc184308100"/>
      <w:bookmarkEnd w:id="271"/>
      <w:bookmarkStart w:id="272" w:name="_Toc184310303"/>
      <w:bookmarkEnd w:id="272"/>
      <w:bookmarkStart w:id="273" w:name="_Toc184308042"/>
      <w:bookmarkEnd w:id="273"/>
      <w:bookmarkStart w:id="274" w:name="_Toc184312089"/>
      <w:bookmarkEnd w:id="274"/>
      <w:bookmarkStart w:id="275" w:name="_Toc184308062"/>
      <w:bookmarkEnd w:id="275"/>
      <w:bookmarkStart w:id="276" w:name="_Toc184310314"/>
      <w:bookmarkEnd w:id="276"/>
      <w:bookmarkStart w:id="277" w:name="_Toc184312139"/>
      <w:bookmarkEnd w:id="277"/>
      <w:bookmarkStart w:id="278" w:name="_Toc184313301"/>
      <w:bookmarkEnd w:id="278"/>
      <w:bookmarkStart w:id="279" w:name="_Toc184313306"/>
      <w:bookmarkEnd w:id="279"/>
      <w:bookmarkStart w:id="280" w:name="_Toc184313254"/>
      <w:bookmarkEnd w:id="280"/>
      <w:bookmarkStart w:id="281" w:name="_Toc184310285"/>
      <w:bookmarkEnd w:id="281"/>
      <w:bookmarkStart w:id="282" w:name="_Toc184312071"/>
      <w:bookmarkEnd w:id="282"/>
      <w:bookmarkStart w:id="283" w:name="_Toc184310306"/>
      <w:bookmarkEnd w:id="283"/>
      <w:bookmarkStart w:id="284" w:name="_Toc184310283"/>
      <w:bookmarkEnd w:id="284"/>
      <w:bookmarkStart w:id="285" w:name="_Toc184310278"/>
      <w:bookmarkEnd w:id="285"/>
      <w:bookmarkStart w:id="286" w:name="_Toc184313300"/>
      <w:bookmarkEnd w:id="286"/>
      <w:bookmarkStart w:id="287" w:name="_Toc184314482"/>
      <w:bookmarkEnd w:id="287"/>
      <w:bookmarkStart w:id="288" w:name="_Toc184308046"/>
      <w:bookmarkEnd w:id="288"/>
      <w:bookmarkStart w:id="289" w:name="_Toc184308105"/>
      <w:bookmarkEnd w:id="289"/>
      <w:bookmarkStart w:id="290" w:name="_Toc184313244"/>
      <w:bookmarkEnd w:id="290"/>
      <w:bookmarkStart w:id="291" w:name="_Toc184310272"/>
      <w:bookmarkEnd w:id="291"/>
      <w:bookmarkStart w:id="292" w:name="_Toc184313246"/>
      <w:bookmarkEnd w:id="292"/>
      <w:bookmarkStart w:id="293" w:name="_Toc184314432"/>
      <w:bookmarkEnd w:id="293"/>
      <w:bookmarkStart w:id="294" w:name="_Toc184314470"/>
      <w:bookmarkEnd w:id="294"/>
      <w:bookmarkStart w:id="295" w:name="_Toc184314438"/>
      <w:bookmarkEnd w:id="295"/>
      <w:bookmarkStart w:id="296" w:name="_Toc184312092"/>
      <w:bookmarkEnd w:id="296"/>
      <w:bookmarkStart w:id="297" w:name="_Toc184314444"/>
      <w:bookmarkEnd w:id="297"/>
      <w:bookmarkStart w:id="298" w:name="_Toc184313238"/>
      <w:bookmarkEnd w:id="298"/>
      <w:bookmarkStart w:id="299" w:name="_Toc184314420"/>
      <w:bookmarkEnd w:id="299"/>
      <w:bookmarkStart w:id="300" w:name="_Toc184308089"/>
      <w:bookmarkEnd w:id="300"/>
      <w:bookmarkStart w:id="301" w:name="_Toc184312093"/>
      <w:bookmarkEnd w:id="301"/>
      <w:bookmarkStart w:id="302" w:name="_Toc184313275"/>
      <w:bookmarkEnd w:id="302"/>
      <w:bookmarkStart w:id="303" w:name="_Toc184312079"/>
      <w:bookmarkEnd w:id="303"/>
      <w:bookmarkStart w:id="304" w:name="_Toc184314428"/>
      <w:bookmarkEnd w:id="304"/>
      <w:bookmarkStart w:id="305" w:name="_Toc184312073"/>
      <w:bookmarkEnd w:id="305"/>
      <w:bookmarkStart w:id="306" w:name="_Toc184310296"/>
      <w:bookmarkEnd w:id="306"/>
      <w:bookmarkStart w:id="307" w:name="_Toc184312074"/>
      <w:bookmarkEnd w:id="307"/>
      <w:bookmarkStart w:id="308" w:name="_Toc184314433"/>
      <w:bookmarkEnd w:id="308"/>
      <w:bookmarkStart w:id="309" w:name="_Toc184310284"/>
      <w:bookmarkEnd w:id="309"/>
      <w:bookmarkStart w:id="310" w:name="_Toc184310344"/>
      <w:bookmarkEnd w:id="310"/>
      <w:bookmarkStart w:id="311" w:name="_Toc184314431"/>
      <w:bookmarkEnd w:id="311"/>
      <w:bookmarkStart w:id="312" w:name="_Toc184310341"/>
      <w:bookmarkEnd w:id="312"/>
      <w:bookmarkStart w:id="313" w:name="_Toc184313264"/>
      <w:bookmarkEnd w:id="313"/>
      <w:bookmarkStart w:id="314" w:name="_Toc184313262"/>
      <w:bookmarkEnd w:id="314"/>
      <w:bookmarkStart w:id="315" w:name="_Toc184313266"/>
      <w:bookmarkEnd w:id="315"/>
      <w:bookmarkStart w:id="316" w:name="_Toc184310324"/>
      <w:bookmarkEnd w:id="316"/>
      <w:bookmarkStart w:id="317" w:name="_Toc184312115"/>
      <w:bookmarkEnd w:id="317"/>
      <w:bookmarkStart w:id="318" w:name="_Toc184312099"/>
      <w:bookmarkEnd w:id="318"/>
      <w:bookmarkStart w:id="319" w:name="_Toc184314415"/>
      <w:bookmarkEnd w:id="319"/>
      <w:bookmarkStart w:id="320" w:name="_Toc184314440"/>
      <w:bookmarkEnd w:id="320"/>
      <w:bookmarkStart w:id="321" w:name="_Toc184308067"/>
      <w:bookmarkEnd w:id="321"/>
      <w:bookmarkStart w:id="322" w:name="_Toc184308041"/>
      <w:bookmarkEnd w:id="322"/>
      <w:bookmarkStart w:id="323" w:name="_Toc184312105"/>
      <w:bookmarkEnd w:id="323"/>
      <w:bookmarkStart w:id="324" w:name="_Toc184313243"/>
      <w:bookmarkEnd w:id="324"/>
      <w:bookmarkStart w:id="325" w:name="_Toc184310312"/>
      <w:bookmarkEnd w:id="325"/>
      <w:bookmarkStart w:id="326" w:name="_Toc184312111"/>
      <w:bookmarkEnd w:id="326"/>
      <w:bookmarkStart w:id="327" w:name="_Toc184313239"/>
      <w:bookmarkEnd w:id="327"/>
      <w:bookmarkStart w:id="328" w:name="_Toc184312078"/>
      <w:bookmarkEnd w:id="328"/>
      <w:bookmarkStart w:id="329" w:name="_Toc184310300"/>
      <w:bookmarkEnd w:id="329"/>
      <w:bookmarkStart w:id="330" w:name="_Toc184314410"/>
      <w:bookmarkEnd w:id="330"/>
      <w:bookmarkStart w:id="331" w:name="_Toc184308039"/>
      <w:bookmarkEnd w:id="331"/>
      <w:bookmarkStart w:id="332" w:name="_Toc184312104"/>
      <w:bookmarkEnd w:id="332"/>
      <w:bookmarkStart w:id="333" w:name="_Toc184310316"/>
      <w:bookmarkEnd w:id="333"/>
      <w:bookmarkStart w:id="334" w:name="_Toc184310339"/>
      <w:bookmarkEnd w:id="334"/>
      <w:bookmarkStart w:id="335" w:name="_Toc184313274"/>
      <w:bookmarkEnd w:id="335"/>
      <w:bookmarkStart w:id="336" w:name="_Toc184310299"/>
      <w:bookmarkEnd w:id="336"/>
      <w:bookmarkStart w:id="337" w:name="_Toc184308079"/>
      <w:bookmarkEnd w:id="337"/>
      <w:bookmarkStart w:id="338" w:name="_Toc184312110"/>
      <w:bookmarkEnd w:id="338"/>
      <w:bookmarkStart w:id="339" w:name="_Toc184314423"/>
      <w:bookmarkEnd w:id="339"/>
      <w:bookmarkStart w:id="340" w:name="_Toc184308095"/>
      <w:bookmarkEnd w:id="340"/>
      <w:bookmarkStart w:id="341" w:name="_Toc184308080"/>
      <w:bookmarkEnd w:id="341"/>
      <w:bookmarkStart w:id="342" w:name="_Toc184313271"/>
      <w:bookmarkEnd w:id="342"/>
      <w:bookmarkStart w:id="343" w:name="_Toc184310332"/>
      <w:bookmarkEnd w:id="343"/>
      <w:bookmarkStart w:id="344" w:name="_Toc184314437"/>
      <w:bookmarkEnd w:id="344"/>
      <w:bookmarkStart w:id="345" w:name="_Toc184312113"/>
      <w:bookmarkEnd w:id="345"/>
      <w:bookmarkStart w:id="346" w:name="_Toc184313278"/>
      <w:bookmarkEnd w:id="346"/>
      <w:bookmarkStart w:id="347" w:name="_Toc184308072"/>
      <w:bookmarkEnd w:id="347"/>
      <w:bookmarkStart w:id="348" w:name="_Toc184310327"/>
      <w:bookmarkEnd w:id="348"/>
      <w:bookmarkStart w:id="349" w:name="_Toc184313242"/>
      <w:bookmarkEnd w:id="349"/>
      <w:bookmarkStart w:id="350" w:name="_Toc184313255"/>
      <w:bookmarkEnd w:id="350"/>
      <w:bookmarkStart w:id="351" w:name="_Toc184313269"/>
      <w:bookmarkEnd w:id="351"/>
      <w:bookmarkStart w:id="352" w:name="_Toc184308098"/>
      <w:bookmarkEnd w:id="352"/>
      <w:bookmarkStart w:id="353" w:name="_Toc184314464"/>
      <w:bookmarkEnd w:id="353"/>
      <w:bookmarkStart w:id="354" w:name="_Toc184308092"/>
      <w:bookmarkEnd w:id="354"/>
      <w:bookmarkStart w:id="355" w:name="_Toc184308068"/>
      <w:bookmarkEnd w:id="355"/>
      <w:bookmarkStart w:id="356" w:name="_Toc184312124"/>
      <w:bookmarkEnd w:id="356"/>
      <w:bookmarkStart w:id="357" w:name="_Toc184312128"/>
      <w:bookmarkEnd w:id="357"/>
      <w:bookmarkStart w:id="358" w:name="_Toc184313276"/>
      <w:bookmarkEnd w:id="358"/>
      <w:bookmarkStart w:id="359" w:name="_Toc184313247"/>
      <w:bookmarkEnd w:id="359"/>
      <w:bookmarkStart w:id="360" w:name="_Toc184308036"/>
      <w:bookmarkEnd w:id="360"/>
      <w:bookmarkStart w:id="361" w:name="_Toc184313251"/>
      <w:bookmarkEnd w:id="361"/>
      <w:bookmarkStart w:id="362" w:name="_Toc184310302"/>
      <w:bookmarkEnd w:id="362"/>
      <w:bookmarkStart w:id="363" w:name="_Toc184313253"/>
      <w:bookmarkEnd w:id="363"/>
      <w:bookmarkStart w:id="364" w:name="_Toc184310309"/>
      <w:bookmarkEnd w:id="364"/>
      <w:bookmarkStart w:id="365" w:name="_Toc184312095"/>
      <w:bookmarkEnd w:id="365"/>
      <w:bookmarkStart w:id="366" w:name="_Toc184312101"/>
      <w:bookmarkEnd w:id="366"/>
      <w:bookmarkStart w:id="367" w:name="_Toc184314478"/>
      <w:bookmarkEnd w:id="367"/>
      <w:bookmarkStart w:id="368" w:name="_Toc184310293"/>
      <w:bookmarkEnd w:id="368"/>
      <w:bookmarkStart w:id="369" w:name="_Toc184310287"/>
      <w:bookmarkEnd w:id="369"/>
      <w:bookmarkStart w:id="370" w:name="_Toc184313284"/>
      <w:bookmarkEnd w:id="370"/>
      <w:bookmarkStart w:id="371" w:name="_Toc184314421"/>
      <w:bookmarkEnd w:id="371"/>
      <w:bookmarkStart w:id="372" w:name="_Toc184312070"/>
      <w:bookmarkEnd w:id="372"/>
      <w:bookmarkStart w:id="373" w:name="_Toc184314429"/>
      <w:bookmarkEnd w:id="373"/>
      <w:bookmarkStart w:id="374" w:name="_Toc184312100"/>
      <w:bookmarkEnd w:id="374"/>
      <w:bookmarkStart w:id="375" w:name="_Toc184308050"/>
      <w:bookmarkEnd w:id="375"/>
      <w:bookmarkStart w:id="376" w:name="_Toc184314426"/>
      <w:bookmarkEnd w:id="376"/>
      <w:bookmarkStart w:id="377" w:name="_Toc184314462"/>
      <w:bookmarkEnd w:id="377"/>
      <w:bookmarkStart w:id="378" w:name="_Toc184308071"/>
      <w:bookmarkEnd w:id="378"/>
      <w:bookmarkStart w:id="379" w:name="_Toc184312080"/>
      <w:bookmarkEnd w:id="379"/>
      <w:bookmarkStart w:id="380" w:name="_Toc184314416"/>
      <w:bookmarkEnd w:id="380"/>
      <w:bookmarkStart w:id="381" w:name="_Toc184310328"/>
      <w:bookmarkEnd w:id="381"/>
      <w:bookmarkStart w:id="382" w:name="_Toc184308059"/>
      <w:bookmarkEnd w:id="382"/>
      <w:bookmarkStart w:id="383" w:name="_Toc184314477"/>
      <w:bookmarkEnd w:id="383"/>
      <w:bookmarkStart w:id="384" w:name="_Toc184313283"/>
      <w:bookmarkEnd w:id="384"/>
      <w:bookmarkStart w:id="385" w:name="_Toc184310304"/>
      <w:bookmarkEnd w:id="385"/>
      <w:bookmarkStart w:id="386" w:name="_Toc184312131"/>
      <w:bookmarkEnd w:id="386"/>
      <w:bookmarkStart w:id="387" w:name="_Toc184314422"/>
      <w:bookmarkEnd w:id="387"/>
      <w:bookmarkStart w:id="388" w:name="_Toc184308069"/>
      <w:bookmarkEnd w:id="388"/>
      <w:bookmarkStart w:id="389" w:name="_Toc184308070"/>
      <w:bookmarkEnd w:id="389"/>
      <w:bookmarkStart w:id="390" w:name="_Toc184312107"/>
      <w:bookmarkEnd w:id="390"/>
      <w:bookmarkStart w:id="391" w:name="_Toc184314427"/>
      <w:bookmarkEnd w:id="391"/>
      <w:bookmarkStart w:id="392" w:name="_Toc184310334"/>
      <w:bookmarkEnd w:id="392"/>
      <w:bookmarkStart w:id="393" w:name="_Toc184312122"/>
      <w:bookmarkEnd w:id="393"/>
      <w:bookmarkStart w:id="394" w:name="_Toc184313258"/>
      <w:bookmarkEnd w:id="394"/>
      <w:bookmarkStart w:id="395" w:name="_Toc184310307"/>
      <w:bookmarkEnd w:id="395"/>
      <w:bookmarkStart w:id="396" w:name="_Toc184313297"/>
      <w:bookmarkEnd w:id="396"/>
      <w:bookmarkStart w:id="397" w:name="_Toc184308077"/>
      <w:bookmarkEnd w:id="397"/>
      <w:bookmarkStart w:id="398" w:name="_Toc184314451"/>
      <w:bookmarkEnd w:id="398"/>
      <w:bookmarkStart w:id="399" w:name="_Toc184313263"/>
      <w:bookmarkEnd w:id="399"/>
      <w:bookmarkStart w:id="400" w:name="_Toc184308047"/>
      <w:bookmarkEnd w:id="400"/>
      <w:bookmarkStart w:id="401" w:name="_Toc184312096"/>
      <w:bookmarkEnd w:id="401"/>
      <w:bookmarkStart w:id="402" w:name="_Toc184313279"/>
      <w:bookmarkEnd w:id="402"/>
      <w:bookmarkStart w:id="403" w:name="_Toc184310315"/>
      <w:bookmarkEnd w:id="403"/>
      <w:bookmarkStart w:id="404" w:name="_Toc184313259"/>
      <w:bookmarkEnd w:id="404"/>
      <w:bookmarkStart w:id="405" w:name="_Toc184314474"/>
      <w:bookmarkEnd w:id="405"/>
      <w:bookmarkStart w:id="406" w:name="_Toc184312138"/>
      <w:bookmarkEnd w:id="406"/>
      <w:bookmarkStart w:id="407" w:name="_Toc184313285"/>
      <w:bookmarkEnd w:id="407"/>
      <w:bookmarkStart w:id="408" w:name="_Toc184313240"/>
      <w:bookmarkEnd w:id="408"/>
      <w:bookmarkStart w:id="409" w:name="_Toc184310329"/>
      <w:bookmarkEnd w:id="409"/>
      <w:bookmarkStart w:id="410" w:name="_Toc184313302"/>
      <w:bookmarkEnd w:id="410"/>
      <w:bookmarkStart w:id="411" w:name="_Toc184313250"/>
      <w:bookmarkEnd w:id="411"/>
      <w:bookmarkStart w:id="412" w:name="_Toc184313289"/>
      <w:bookmarkEnd w:id="412"/>
      <w:bookmarkStart w:id="413" w:name="_Toc184312118"/>
      <w:bookmarkEnd w:id="413"/>
      <w:bookmarkStart w:id="414" w:name="_Toc184308093"/>
      <w:bookmarkEnd w:id="414"/>
      <w:bookmarkStart w:id="415" w:name="_Toc184308060"/>
      <w:bookmarkEnd w:id="415"/>
      <w:bookmarkStart w:id="416" w:name="_Toc184308101"/>
      <w:bookmarkEnd w:id="416"/>
      <w:bookmarkStart w:id="417" w:name="_Toc184310276"/>
      <w:bookmarkEnd w:id="417"/>
      <w:bookmarkStart w:id="418" w:name="_Toc184310297"/>
      <w:bookmarkEnd w:id="418"/>
      <w:bookmarkStart w:id="419" w:name="_Toc184310282"/>
      <w:bookmarkEnd w:id="419"/>
      <w:bookmarkStart w:id="420" w:name="_Toc184308052"/>
      <w:bookmarkEnd w:id="420"/>
      <w:bookmarkStart w:id="421" w:name="_Toc184314448"/>
      <w:bookmarkEnd w:id="421"/>
      <w:bookmarkStart w:id="422" w:name="_Toc184313286"/>
      <w:bookmarkEnd w:id="422"/>
      <w:bookmarkStart w:id="423" w:name="_Toc184310320"/>
      <w:bookmarkEnd w:id="423"/>
      <w:bookmarkStart w:id="424" w:name="_Toc184310275"/>
      <w:bookmarkEnd w:id="424"/>
      <w:bookmarkStart w:id="425" w:name="_Toc184313265"/>
      <w:bookmarkEnd w:id="425"/>
      <w:bookmarkStart w:id="426" w:name="_Toc184310313"/>
      <w:bookmarkEnd w:id="426"/>
      <w:bookmarkStart w:id="427" w:name="_Toc184310321"/>
      <w:bookmarkEnd w:id="427"/>
      <w:bookmarkStart w:id="428" w:name="_Toc184313280"/>
      <w:bookmarkEnd w:id="428"/>
      <w:bookmarkStart w:id="429" w:name="_Toc184312126"/>
      <w:bookmarkEnd w:id="429"/>
      <w:bookmarkStart w:id="430" w:name="_Toc184308053"/>
      <w:bookmarkEnd w:id="430"/>
      <w:bookmarkStart w:id="431" w:name="_Toc184310318"/>
      <w:bookmarkEnd w:id="431"/>
      <w:bookmarkStart w:id="432" w:name="_Toc184313249"/>
      <w:bookmarkEnd w:id="432"/>
      <w:bookmarkStart w:id="433" w:name="_Toc184313305"/>
      <w:bookmarkEnd w:id="433"/>
      <w:bookmarkStart w:id="434" w:name="_Toc184314471"/>
      <w:bookmarkEnd w:id="434"/>
      <w:r>
        <w:rPr>
          <w:rFonts w:hint="eastAsia" w:ascii="宋体" w:hAnsi="宋体" w:cs="宋体"/>
          <w:b/>
          <w:color w:val="auto"/>
          <w:sz w:val="36"/>
          <w:szCs w:val="36"/>
          <w:highlight w:val="none"/>
        </w:rPr>
        <w:t>评标办法</w:t>
      </w:r>
      <w:bookmarkEnd w:id="68"/>
      <w:bookmarkEnd w:id="69"/>
    </w:p>
    <w:p>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4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7"/>
        <w:gridCol w:w="1699"/>
        <w:gridCol w:w="709"/>
        <w:gridCol w:w="5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vAlign w:val="center"/>
          </w:tcPr>
          <w:p>
            <w:pPr>
              <w:jc w:val="center"/>
              <w:rPr>
                <w:color w:val="auto"/>
                <w:highlight w:val="none"/>
              </w:rPr>
            </w:pPr>
            <w:r>
              <w:rPr>
                <w:rFonts w:hint="eastAsia"/>
                <w:color w:val="auto"/>
                <w:highlight w:val="none"/>
              </w:rPr>
              <w:t>序号</w:t>
            </w:r>
          </w:p>
        </w:tc>
        <w:tc>
          <w:tcPr>
            <w:tcW w:w="1699" w:type="dxa"/>
            <w:vAlign w:val="center"/>
          </w:tcPr>
          <w:p>
            <w:pPr>
              <w:rPr>
                <w:color w:val="auto"/>
                <w:highlight w:val="none"/>
              </w:rPr>
            </w:pPr>
            <w:r>
              <w:rPr>
                <w:rFonts w:hint="eastAsia"/>
                <w:color w:val="auto"/>
                <w:highlight w:val="none"/>
              </w:rPr>
              <w:t>评标项目</w:t>
            </w:r>
          </w:p>
        </w:tc>
        <w:tc>
          <w:tcPr>
            <w:tcW w:w="709" w:type="dxa"/>
            <w:vAlign w:val="center"/>
          </w:tcPr>
          <w:p>
            <w:pPr>
              <w:rPr>
                <w:color w:val="auto"/>
                <w:highlight w:val="none"/>
              </w:rPr>
            </w:pPr>
            <w:r>
              <w:rPr>
                <w:rFonts w:hint="eastAsia"/>
                <w:color w:val="auto"/>
                <w:highlight w:val="none"/>
              </w:rPr>
              <w:t>评标分值</w:t>
            </w:r>
          </w:p>
        </w:tc>
        <w:tc>
          <w:tcPr>
            <w:tcW w:w="5974" w:type="dxa"/>
            <w:vAlign w:val="center"/>
          </w:tcPr>
          <w:p>
            <w:pPr>
              <w:jc w:val="center"/>
              <w:rPr>
                <w:color w:val="auto"/>
                <w:highlight w:val="none"/>
              </w:rPr>
            </w:pPr>
            <w:r>
              <w:rPr>
                <w:rFonts w:hint="eastAsia"/>
                <w:color w:val="auto"/>
                <w:highlight w:val="none"/>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vAlign w:val="center"/>
          </w:tcPr>
          <w:p>
            <w:pPr>
              <w:jc w:val="center"/>
              <w:rPr>
                <w:color w:val="auto"/>
                <w:highlight w:val="none"/>
              </w:rPr>
            </w:pPr>
            <w:r>
              <w:rPr>
                <w:rFonts w:hint="eastAsia"/>
                <w:color w:val="auto"/>
                <w:highlight w:val="none"/>
              </w:rPr>
              <w:t>1</w:t>
            </w:r>
          </w:p>
        </w:tc>
        <w:tc>
          <w:tcPr>
            <w:tcW w:w="1699" w:type="dxa"/>
            <w:vAlign w:val="center"/>
          </w:tcPr>
          <w:p>
            <w:pPr>
              <w:rPr>
                <w:color w:val="auto"/>
                <w:highlight w:val="none"/>
              </w:rPr>
            </w:pPr>
            <w:r>
              <w:rPr>
                <w:rFonts w:hint="eastAsia"/>
                <w:color w:val="auto"/>
                <w:highlight w:val="none"/>
              </w:rPr>
              <w:t>价格分</w:t>
            </w:r>
          </w:p>
        </w:tc>
        <w:tc>
          <w:tcPr>
            <w:tcW w:w="709" w:type="dxa"/>
            <w:vAlign w:val="center"/>
          </w:tcPr>
          <w:p>
            <w:pPr>
              <w:rPr>
                <w:color w:val="auto"/>
                <w:highlight w:val="none"/>
              </w:rPr>
            </w:pPr>
            <w:r>
              <w:rPr>
                <w:rFonts w:hint="eastAsia"/>
                <w:color w:val="auto"/>
                <w:highlight w:val="none"/>
              </w:rPr>
              <w:t>30分</w:t>
            </w:r>
          </w:p>
        </w:tc>
        <w:tc>
          <w:tcPr>
            <w:tcW w:w="5974" w:type="dxa"/>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color w:val="auto"/>
                <w:highlight w:val="none"/>
                <w:shd w:val="clear" w:color="auto" w:fill="auto"/>
              </w:rPr>
            </w:pPr>
            <w:r>
              <w:rPr>
                <w:rFonts w:hint="eastAsia"/>
                <w:color w:val="auto"/>
                <w:highlight w:val="none"/>
                <w:shd w:val="clear" w:color="auto" w:fill="auto"/>
              </w:rPr>
              <w:t>（1）评标报价为投标人的投标报价进行政策性扣除后的价格，评标报价只是作为评标时使用。最终中标人的中标金额等于投标报价。</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color w:val="auto"/>
                <w:highlight w:val="none"/>
                <w:shd w:val="clear" w:color="auto" w:fill="auto"/>
              </w:rPr>
            </w:pPr>
            <w:r>
              <w:rPr>
                <w:rFonts w:hint="eastAsia"/>
                <w:color w:val="auto"/>
                <w:highlight w:val="none"/>
                <w:shd w:val="clear" w:color="auto" w:fill="auto"/>
              </w:rPr>
              <w:t>（2）①按照《广西壮族自治区财政厅关于进一步发挥政府采购政策功能促进企业发展的通知》（桂财采〔2022〕30号）的规定，投标的全部产品按政策文件要求认定为小型和微型企业产品的（提供《中小企业声明函》），对投标价给予20%的扣除，扣除后的价格为评标价。</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color w:val="auto"/>
                <w:highlight w:val="none"/>
                <w:shd w:val="clear" w:color="auto" w:fill="auto"/>
              </w:rPr>
            </w:pPr>
            <w:r>
              <w:rPr>
                <w:rFonts w:hint="eastAsia"/>
                <w:color w:val="auto"/>
                <w:highlight w:val="none"/>
                <w:shd w:val="clear" w:color="auto" w:fill="auto"/>
              </w:rPr>
              <w:t>②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color w:val="auto"/>
                <w:highlight w:val="none"/>
                <w:shd w:val="clear" w:color="auto" w:fill="auto"/>
              </w:rPr>
            </w:pPr>
            <w:r>
              <w:rPr>
                <w:rFonts w:hint="eastAsia"/>
                <w:color w:val="auto"/>
                <w:highlight w:val="none"/>
                <w:shd w:val="clear" w:color="auto" w:fill="auto"/>
              </w:rPr>
              <w:t>③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color w:val="auto"/>
                <w:highlight w:val="none"/>
                <w:shd w:val="clear" w:color="auto" w:fill="auto"/>
              </w:rPr>
            </w:pPr>
            <w:r>
              <w:rPr>
                <w:rFonts w:hint="eastAsia"/>
                <w:color w:val="auto"/>
                <w:highlight w:val="none"/>
                <w:shd w:val="clear" w:color="auto" w:fill="auto"/>
              </w:rPr>
              <w:t>④政策性扣除计算方法：评标报价=投标报价×（1-20%）；除上述政策性扣除情况外，评标报价=投标报价。</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color w:val="auto"/>
                <w:highlight w:val="none"/>
                <w:shd w:val="clear" w:color="auto" w:fill="auto"/>
              </w:rPr>
            </w:pPr>
            <w:r>
              <w:rPr>
                <w:rFonts w:hint="eastAsia"/>
                <w:color w:val="auto"/>
                <w:highlight w:val="none"/>
                <w:shd w:val="clear" w:color="auto" w:fill="auto"/>
              </w:rPr>
              <w:t>（3）满足招标文件要求且评标报价最低的评标报价为评标基准价，基准价报价得分为 30 分。</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color w:val="auto"/>
                <w:highlight w:val="none"/>
                <w:shd w:val="clear" w:color="auto" w:fill="auto"/>
              </w:rPr>
            </w:pPr>
            <w:r>
              <w:rPr>
                <w:rFonts w:hint="eastAsia"/>
                <w:color w:val="auto"/>
                <w:highlight w:val="none"/>
                <w:shd w:val="clear" w:color="auto" w:fill="auto"/>
              </w:rPr>
              <w:t>（4）价格分计算公式：价格分=(评标基准价／评标报价)×30分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87" w:type="dxa"/>
            <w:vAlign w:val="center"/>
          </w:tcPr>
          <w:p>
            <w:pPr>
              <w:jc w:val="center"/>
              <w:rPr>
                <w:color w:val="auto"/>
                <w:highlight w:val="none"/>
              </w:rPr>
            </w:pPr>
            <w:r>
              <w:rPr>
                <w:rFonts w:hint="eastAsia"/>
                <w:color w:val="auto"/>
                <w:highlight w:val="none"/>
              </w:rPr>
              <w:t>2</w:t>
            </w:r>
          </w:p>
        </w:tc>
        <w:tc>
          <w:tcPr>
            <w:tcW w:w="1699" w:type="dxa"/>
            <w:vAlign w:val="center"/>
          </w:tcPr>
          <w:p>
            <w:pPr>
              <w:rPr>
                <w:color w:val="auto"/>
                <w:highlight w:val="none"/>
              </w:rPr>
            </w:pPr>
            <w:r>
              <w:rPr>
                <w:rFonts w:hint="eastAsia"/>
                <w:color w:val="auto"/>
                <w:highlight w:val="none"/>
              </w:rPr>
              <w:t>产品质量保障分</w:t>
            </w:r>
          </w:p>
        </w:tc>
        <w:tc>
          <w:tcPr>
            <w:tcW w:w="709" w:type="dxa"/>
            <w:vAlign w:val="center"/>
          </w:tcPr>
          <w:p>
            <w:pPr>
              <w:rPr>
                <w:color w:val="auto"/>
                <w:highlight w:val="none"/>
              </w:rPr>
            </w:pPr>
            <w:r>
              <w:rPr>
                <w:rFonts w:hint="eastAsia"/>
                <w:color w:val="auto"/>
                <w:highlight w:val="none"/>
                <w:lang w:val="en-US" w:eastAsia="zh-CN"/>
              </w:rPr>
              <w:t>12</w:t>
            </w:r>
            <w:r>
              <w:rPr>
                <w:rFonts w:hint="eastAsia"/>
                <w:color w:val="auto"/>
                <w:highlight w:val="none"/>
              </w:rPr>
              <w:t>分</w:t>
            </w:r>
          </w:p>
        </w:tc>
        <w:tc>
          <w:tcPr>
            <w:tcW w:w="5974" w:type="dxa"/>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color w:val="auto"/>
                <w:highlight w:val="none"/>
                <w:shd w:val="clear" w:color="auto" w:fill="auto"/>
              </w:rPr>
            </w:pPr>
            <w:r>
              <w:rPr>
                <w:rFonts w:hint="eastAsia"/>
                <w:color w:val="auto"/>
                <w:highlight w:val="none"/>
                <w:shd w:val="clear" w:color="auto" w:fill="auto"/>
              </w:rPr>
              <w:t>1）提供胶合板检测报告，检测依据：GB/T9846-2015《普通胶合板》、GB 18580-2017《室内装饰装修材料人造板及其制品中甲醛释放限量》、GB/T18513-2001《中国主要进口木材名称》，检测报告包含但不限于以下内容：①甲醛释放量≤0.124mg/m3，②含水率5%～16%；③静曲强度：顺纹≥24.0MPa、横纹≥20.0MPa；④弹性模量：顺纹≥5000MPa、横纹≥3500MPa；⑤胶合强度≥0.70MPa；木材名称(单板)为桉木；提供有以上检测内容的检测报告得3分。</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color w:val="auto"/>
                <w:highlight w:val="none"/>
                <w:shd w:val="clear" w:color="auto" w:fill="auto"/>
              </w:rPr>
            </w:pPr>
            <w:r>
              <w:rPr>
                <w:rFonts w:hint="eastAsia"/>
                <w:color w:val="auto"/>
                <w:highlight w:val="none"/>
                <w:shd w:val="clear" w:color="auto" w:fill="auto"/>
                <w:lang w:val="en-US" w:eastAsia="zh-CN"/>
              </w:rPr>
              <w:t>2</w:t>
            </w:r>
            <w:r>
              <w:rPr>
                <w:rFonts w:hint="eastAsia"/>
                <w:color w:val="auto"/>
                <w:highlight w:val="none"/>
                <w:shd w:val="clear" w:color="auto" w:fill="auto"/>
              </w:rPr>
              <w:t>）提供</w:t>
            </w:r>
            <w:r>
              <w:rPr>
                <w:rFonts w:hint="eastAsia"/>
                <w:color w:val="auto"/>
                <w:highlight w:val="none"/>
                <w:shd w:val="clear" w:color="auto" w:fill="auto"/>
                <w:lang w:val="en-US" w:eastAsia="zh-CN"/>
              </w:rPr>
              <w:t>冷轧钢板</w:t>
            </w:r>
            <w:r>
              <w:rPr>
                <w:rFonts w:hint="eastAsia"/>
                <w:color w:val="auto"/>
                <w:highlight w:val="none"/>
                <w:shd w:val="clear" w:color="auto" w:fill="auto"/>
              </w:rPr>
              <w:t>检测报告，检测依据：</w:t>
            </w:r>
            <w:bookmarkStart w:id="435" w:name="OLE_LINK9"/>
            <w:bookmarkStart w:id="436" w:name="OLE_LINK10"/>
            <w:r>
              <w:rPr>
                <w:rFonts w:hint="eastAsia"/>
                <w:color w:val="auto"/>
                <w:highlight w:val="none"/>
                <w:shd w:val="clear" w:color="auto" w:fill="auto"/>
                <w:lang w:val="en-US" w:eastAsia="zh-CN"/>
              </w:rPr>
              <w:t>GB/T 700-2006</w:t>
            </w:r>
            <w:bookmarkEnd w:id="435"/>
            <w:bookmarkEnd w:id="436"/>
            <w:r>
              <w:rPr>
                <w:rFonts w:hint="eastAsia"/>
                <w:color w:val="auto"/>
                <w:highlight w:val="none"/>
                <w:shd w:val="clear" w:color="auto" w:fill="auto"/>
                <w:lang w:val="en-US" w:eastAsia="zh-CN"/>
              </w:rPr>
              <w:t>《</w:t>
            </w:r>
            <w:bookmarkStart w:id="437" w:name="OLE_LINK11"/>
            <w:bookmarkStart w:id="438" w:name="OLE_LINK12"/>
            <w:r>
              <w:rPr>
                <w:rFonts w:hint="eastAsia"/>
                <w:color w:val="auto"/>
                <w:highlight w:val="none"/>
                <w:shd w:val="clear" w:color="auto" w:fill="auto"/>
                <w:lang w:val="en-US" w:eastAsia="zh-CN"/>
              </w:rPr>
              <w:t>碳素结构钢</w:t>
            </w:r>
            <w:bookmarkEnd w:id="437"/>
            <w:bookmarkEnd w:id="438"/>
            <w:r>
              <w:rPr>
                <w:rFonts w:hint="eastAsia"/>
                <w:color w:val="auto"/>
                <w:highlight w:val="none"/>
                <w:shd w:val="clear" w:color="auto" w:fill="auto"/>
                <w:lang w:val="en-US" w:eastAsia="zh-CN"/>
              </w:rPr>
              <w:t>》、QB/T 3826-1999《轻工产品金属镀层和化学处理层的耐腐蚀试验方法 中性盐雾试验(NSS)法》、QB/T 3832-1999《轻工产品金属镀层腐蚀试验结果的评价》</w:t>
            </w:r>
            <w:r>
              <w:rPr>
                <w:rFonts w:hint="eastAsia"/>
                <w:color w:val="auto"/>
                <w:highlight w:val="none"/>
                <w:shd w:val="clear" w:color="auto" w:fill="auto"/>
              </w:rPr>
              <w:t>，检测报告包含但不限于以下内容：①</w:t>
            </w:r>
            <w:r>
              <w:rPr>
                <w:rFonts w:hint="eastAsia"/>
                <w:color w:val="auto"/>
                <w:highlight w:val="none"/>
                <w:shd w:val="clear" w:color="auto" w:fill="auto"/>
                <w:lang w:val="en-US" w:eastAsia="zh-CN"/>
              </w:rPr>
              <w:t>化学成分(%)（C≤0.20、Si≤0.35、Mn≤1.40、P≤0.045、S≤0.045）；</w:t>
            </w:r>
            <w:r>
              <w:rPr>
                <w:rFonts w:hint="eastAsia"/>
                <w:color w:val="auto"/>
                <w:highlight w:val="none"/>
                <w:shd w:val="clear" w:color="auto" w:fill="auto"/>
              </w:rPr>
              <w:t>②</w:t>
            </w:r>
            <w:r>
              <w:rPr>
                <w:rFonts w:hint="eastAsia"/>
                <w:color w:val="auto"/>
                <w:highlight w:val="none"/>
                <w:shd w:val="clear" w:color="auto" w:fill="auto"/>
                <w:lang w:val="en-US" w:eastAsia="zh-CN"/>
              </w:rPr>
              <w:t>力学性能（屈服强度≥235N/m㎡、抗拉强度为370-500 N/m㎡、断后伸长率≥26%）；</w:t>
            </w:r>
            <w:r>
              <w:rPr>
                <w:rFonts w:hint="eastAsia"/>
                <w:color w:val="auto"/>
                <w:highlight w:val="none"/>
                <w:shd w:val="clear" w:color="auto" w:fill="auto"/>
              </w:rPr>
              <w:t>③</w:t>
            </w:r>
            <w:r>
              <w:rPr>
                <w:rFonts w:hint="eastAsia"/>
                <w:color w:val="auto"/>
                <w:highlight w:val="none"/>
                <w:shd w:val="clear" w:color="auto" w:fill="auto"/>
                <w:lang w:val="en-US" w:eastAsia="zh-CN"/>
              </w:rPr>
              <w:t>经过不少于125h试验，耐腐蚀等级达到9级以上；</w:t>
            </w:r>
            <w:r>
              <w:rPr>
                <w:rFonts w:hint="eastAsia"/>
                <w:color w:val="auto"/>
                <w:highlight w:val="none"/>
                <w:shd w:val="clear" w:color="auto" w:fill="auto"/>
              </w:rPr>
              <w:t>提供有以上检测内容的检测报告得3分。</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color w:val="auto"/>
                <w:highlight w:val="none"/>
                <w:shd w:val="clear" w:color="auto" w:fill="auto"/>
              </w:rPr>
            </w:pPr>
            <w:r>
              <w:rPr>
                <w:rFonts w:hint="eastAsia"/>
                <w:color w:val="auto"/>
                <w:highlight w:val="none"/>
                <w:shd w:val="clear" w:color="auto" w:fill="auto"/>
                <w:lang w:val="en-US" w:eastAsia="zh-CN"/>
              </w:rPr>
              <w:t>3</w:t>
            </w:r>
            <w:r>
              <w:rPr>
                <w:rFonts w:hint="eastAsia"/>
                <w:color w:val="auto"/>
                <w:highlight w:val="none"/>
                <w:shd w:val="clear" w:color="auto" w:fill="auto"/>
              </w:rPr>
              <w:t>）提供塑粉检测报告，检测依据：HG/T 2006-2022《热固性和热塑性粉末涂料》，检测报告包含但不限于以下内容：筛余物(125μm)全部通过、涂膜外观正常、铅笔硬度(内聚破坏中擦伤)≥H、附着力(干附着力)≤1级、弯曲试验≤4mm、杯突试验≥4mm、耐磨性(750g/500r)≤50mg、耐碱性168h无异常、耐酸性240h无异常、耐湿性500h无异常、耐沸水性(2h)无异常，提供有以上检测内容的检测报告得3分。</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color w:val="auto"/>
                <w:highlight w:val="none"/>
                <w:shd w:val="clear" w:color="auto" w:fill="auto"/>
              </w:rPr>
            </w:pPr>
            <w:r>
              <w:rPr>
                <w:rFonts w:hint="eastAsia"/>
                <w:color w:val="auto"/>
                <w:highlight w:val="none"/>
                <w:shd w:val="clear" w:color="auto" w:fill="auto"/>
                <w:lang w:val="en-US" w:eastAsia="zh-CN"/>
              </w:rPr>
              <w:t>4</w:t>
            </w:r>
            <w:r>
              <w:rPr>
                <w:rFonts w:hint="eastAsia"/>
                <w:color w:val="auto"/>
                <w:highlight w:val="none"/>
                <w:shd w:val="clear" w:color="auto" w:fill="auto"/>
              </w:rPr>
              <w:t>）提供床板检测报告，检测依据：GB/T 35607-2024《绿色产品评价 家具》，检测报告包含但不限于以下内容：甲醛释放量≤0.05mg/m³、苯≤0.05 mg/m³、甲苯≤0.10 mg/m³、二甲苯≤0.10 mg/m³，提供有以上检测内容的检测报告得3分。</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color w:val="auto"/>
                <w:highlight w:val="none"/>
                <w:shd w:val="clear" w:color="auto" w:fill="auto"/>
              </w:rPr>
            </w:pPr>
            <w:r>
              <w:rPr>
                <w:rFonts w:hint="eastAsia"/>
                <w:color w:val="auto"/>
                <w:highlight w:val="none"/>
                <w:shd w:val="clear" w:color="auto" w:fill="auto"/>
              </w:rPr>
              <w:t>注：投标人请在投标文件中提供2021年以来经具有检测资质的第三方检验机构出具的合格检测报告扫描件或其他电子文件（未提供或提供的检测报告内容不符的，不得分）；检验报告名字与要求不相同的，只要检测内容相同则视为相符；检测报告送检方可以是投标人、生产厂家、材料商。投标人需承诺检测报告中检测的材料在本次投标的产品中使用；检测的产品应与本次投标产品采用同样的材料和工艺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vAlign w:val="center"/>
          </w:tcPr>
          <w:p>
            <w:pPr>
              <w:jc w:val="center"/>
              <w:rPr>
                <w:color w:val="auto"/>
                <w:highlight w:val="none"/>
              </w:rPr>
            </w:pPr>
            <w:r>
              <w:rPr>
                <w:rFonts w:hint="eastAsia"/>
                <w:color w:val="auto"/>
                <w:highlight w:val="none"/>
              </w:rPr>
              <w:t>3</w:t>
            </w:r>
          </w:p>
        </w:tc>
        <w:tc>
          <w:tcPr>
            <w:tcW w:w="1699" w:type="dxa"/>
            <w:vAlign w:val="center"/>
          </w:tcPr>
          <w:p>
            <w:pPr>
              <w:rPr>
                <w:color w:val="auto"/>
                <w:highlight w:val="none"/>
              </w:rPr>
            </w:pPr>
            <w:r>
              <w:rPr>
                <w:rFonts w:hint="eastAsia"/>
                <w:color w:val="auto"/>
                <w:highlight w:val="none"/>
              </w:rPr>
              <w:t>产品设计分</w:t>
            </w:r>
          </w:p>
        </w:tc>
        <w:tc>
          <w:tcPr>
            <w:tcW w:w="709" w:type="dxa"/>
            <w:vAlign w:val="center"/>
          </w:tcPr>
          <w:p>
            <w:pPr>
              <w:rPr>
                <w:color w:val="auto"/>
                <w:highlight w:val="none"/>
              </w:rPr>
            </w:pPr>
            <w:r>
              <w:rPr>
                <w:rFonts w:hint="eastAsia"/>
                <w:color w:val="auto"/>
                <w:highlight w:val="none"/>
              </w:rPr>
              <w:t>12分</w:t>
            </w:r>
          </w:p>
        </w:tc>
        <w:tc>
          <w:tcPr>
            <w:tcW w:w="5974" w:type="dxa"/>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color w:val="auto"/>
                <w:highlight w:val="none"/>
                <w:shd w:val="clear" w:color="auto" w:fill="auto"/>
              </w:rPr>
            </w:pPr>
            <w:r>
              <w:rPr>
                <w:rFonts w:hint="eastAsia"/>
                <w:color w:val="auto"/>
                <w:highlight w:val="none"/>
                <w:shd w:val="clear" w:color="auto" w:fill="auto"/>
              </w:rPr>
              <w:t>评标委员会对投标人提供产品的设计结构图、产品效果图、产品部件图、产品使用功能描述等内容，考核产品设计的规范合理性、安全实用性、创新性等。</w:t>
            </w:r>
            <w:r>
              <w:rPr>
                <w:rFonts w:hint="eastAsia"/>
                <w:color w:val="auto"/>
                <w:highlight w:val="none"/>
                <w:shd w:val="clear" w:color="auto" w:fill="auto"/>
              </w:rPr>
              <w:br w:type="textWrapping"/>
            </w:r>
            <w:r>
              <w:rPr>
                <w:rFonts w:hint="eastAsia"/>
                <w:color w:val="auto"/>
                <w:highlight w:val="none"/>
                <w:shd w:val="clear" w:color="auto" w:fill="auto"/>
              </w:rPr>
              <w:t xml:space="preserve">    一档（3分)：提供产品的设计结构图、产品效果图，有产品使用功能描述、产品结构符合使用方实际要求。</w:t>
            </w:r>
            <w:r>
              <w:rPr>
                <w:rFonts w:hint="eastAsia"/>
                <w:color w:val="auto"/>
                <w:highlight w:val="none"/>
                <w:shd w:val="clear" w:color="auto" w:fill="auto"/>
              </w:rPr>
              <w:br w:type="textWrapping"/>
            </w:r>
            <w:r>
              <w:rPr>
                <w:rFonts w:hint="eastAsia"/>
                <w:color w:val="auto"/>
                <w:highlight w:val="none"/>
                <w:shd w:val="clear" w:color="auto" w:fill="auto"/>
              </w:rPr>
              <w:t xml:space="preserve">    二档（6分)：提供产品的设计结构图、产品效果图及课桌椅、双层床的部分零部件图，有产品使用功能描述、产品结构符合使用方实际要求，体现产品设计的规范合理性、安全实用性、创新性。</w:t>
            </w:r>
            <w:r>
              <w:rPr>
                <w:rFonts w:hint="eastAsia"/>
                <w:color w:val="auto"/>
                <w:highlight w:val="none"/>
                <w:shd w:val="clear" w:color="auto" w:fill="auto"/>
              </w:rPr>
              <w:br w:type="textWrapping"/>
            </w:r>
            <w:r>
              <w:rPr>
                <w:rFonts w:hint="eastAsia"/>
                <w:color w:val="auto"/>
                <w:highlight w:val="none"/>
                <w:shd w:val="clear" w:color="auto" w:fill="auto"/>
              </w:rPr>
              <w:t xml:space="preserve">    三档（9分)：提供产品的设计结构图、产品效果图及课桌椅、双层床</w:t>
            </w:r>
            <w:r>
              <w:rPr>
                <w:rFonts w:hint="eastAsia"/>
                <w:color w:val="auto"/>
                <w:highlight w:val="none"/>
                <w:shd w:val="clear" w:color="auto" w:fill="auto"/>
              </w:rPr>
              <w:t>的</w:t>
            </w:r>
            <w:r>
              <w:rPr>
                <w:rFonts w:hint="eastAsia"/>
                <w:color w:val="auto"/>
                <w:highlight w:val="none"/>
                <w:shd w:val="clear" w:color="auto" w:fill="auto"/>
                <w:lang w:eastAsia="zh-CN"/>
              </w:rPr>
              <w:t>完整零</w:t>
            </w:r>
            <w:r>
              <w:rPr>
                <w:rFonts w:hint="eastAsia"/>
                <w:color w:val="auto"/>
                <w:highlight w:val="none"/>
                <w:shd w:val="clear" w:color="auto" w:fill="auto"/>
              </w:rPr>
              <w:t>部件图，有产品使用功能描述、产品结构符合使用方实际要求，体现产品设计的规范合理性、安全实用性、创新性，设计方案有特色。</w:t>
            </w:r>
            <w:r>
              <w:rPr>
                <w:rFonts w:hint="eastAsia"/>
                <w:color w:val="auto"/>
                <w:highlight w:val="none"/>
                <w:shd w:val="clear" w:color="auto" w:fill="auto"/>
              </w:rPr>
              <w:br w:type="textWrapping"/>
            </w:r>
            <w:r>
              <w:rPr>
                <w:rFonts w:hint="eastAsia"/>
                <w:color w:val="auto"/>
                <w:highlight w:val="none"/>
                <w:shd w:val="clear" w:color="auto" w:fill="auto"/>
              </w:rPr>
              <w:t xml:space="preserve">    四档（12分)：提供产品的设计结构图、产品效果图、设计摆放图及课桌椅、双层床的完整零部件图及零部件明细表，产品使用功能描述清晰、完整，产品结构符合使用方实际要求，完全体现产品设计的规范合理性、安全实用性、创新性，设计方案有特色，有人性化。</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color w:val="auto"/>
                <w:highlight w:val="none"/>
                <w:shd w:val="clear" w:color="auto" w:fill="auto"/>
              </w:rPr>
            </w:pPr>
            <w:r>
              <w:rPr>
                <w:rFonts w:hint="eastAsia"/>
                <w:color w:val="auto"/>
                <w:highlight w:val="none"/>
                <w:shd w:val="clear" w:color="auto" w:fill="auto"/>
              </w:rPr>
              <w:t>注：不能满足一档的不得分。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vAlign w:val="center"/>
          </w:tcPr>
          <w:p>
            <w:pPr>
              <w:jc w:val="center"/>
              <w:rPr>
                <w:color w:val="auto"/>
                <w:highlight w:val="none"/>
              </w:rPr>
            </w:pPr>
            <w:r>
              <w:rPr>
                <w:rFonts w:hint="eastAsia"/>
                <w:color w:val="auto"/>
                <w:highlight w:val="none"/>
              </w:rPr>
              <w:t>4</w:t>
            </w:r>
          </w:p>
        </w:tc>
        <w:tc>
          <w:tcPr>
            <w:tcW w:w="1699" w:type="dxa"/>
            <w:vAlign w:val="center"/>
          </w:tcPr>
          <w:p>
            <w:pPr>
              <w:rPr>
                <w:color w:val="auto"/>
                <w:highlight w:val="none"/>
              </w:rPr>
            </w:pPr>
            <w:r>
              <w:rPr>
                <w:rFonts w:hint="eastAsia"/>
                <w:color w:val="auto"/>
                <w:highlight w:val="none"/>
              </w:rPr>
              <w:t>项目实施、安装方案分</w:t>
            </w:r>
          </w:p>
        </w:tc>
        <w:tc>
          <w:tcPr>
            <w:tcW w:w="709" w:type="dxa"/>
            <w:vAlign w:val="center"/>
          </w:tcPr>
          <w:p>
            <w:pPr>
              <w:rPr>
                <w:color w:val="auto"/>
                <w:highlight w:val="none"/>
              </w:rPr>
            </w:pPr>
            <w:r>
              <w:rPr>
                <w:rFonts w:hint="eastAsia"/>
                <w:color w:val="auto"/>
                <w:highlight w:val="none"/>
                <w:lang w:val="en-US" w:eastAsia="zh-CN"/>
              </w:rPr>
              <w:t>12</w:t>
            </w:r>
            <w:r>
              <w:rPr>
                <w:rFonts w:hint="eastAsia"/>
                <w:color w:val="auto"/>
                <w:highlight w:val="none"/>
              </w:rPr>
              <w:t>分</w:t>
            </w:r>
          </w:p>
        </w:tc>
        <w:tc>
          <w:tcPr>
            <w:tcW w:w="5974" w:type="dxa"/>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outlineLvl w:val="0"/>
              <w:rPr>
                <w:rFonts w:ascii="宋体" w:hAnsi="宋体" w:cs="宋体"/>
                <w:color w:val="auto"/>
                <w:szCs w:val="21"/>
                <w:highlight w:val="none"/>
              </w:rPr>
            </w:pPr>
            <w:r>
              <w:rPr>
                <w:rFonts w:hint="eastAsia" w:ascii="宋体" w:hAnsi="宋体" w:cs="宋体"/>
                <w:color w:val="auto"/>
                <w:szCs w:val="21"/>
                <w:highlight w:val="none"/>
              </w:rPr>
              <w:t>一档（4分）：项目实施方案进度安排合理，有实施方案，配套有货物存放仓库、送货人员、运输工具、项目实施人员。</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outlineLvl w:val="0"/>
              <w:rPr>
                <w:rFonts w:ascii="宋体" w:hAnsi="宋体" w:cs="宋体"/>
                <w:color w:val="auto"/>
                <w:szCs w:val="21"/>
                <w:highlight w:val="none"/>
              </w:rPr>
            </w:pPr>
            <w:r>
              <w:rPr>
                <w:rFonts w:hint="eastAsia" w:ascii="宋体" w:hAnsi="宋体" w:cs="宋体"/>
                <w:color w:val="auto"/>
                <w:szCs w:val="21"/>
                <w:highlight w:val="none"/>
              </w:rPr>
              <w:t>二档（8分）：项目实施方案详细，配套有货物存放仓库、送货人员、运输工具、项目实施人员，项目生产能力、实施的技术力量和人力资源安排等有保障，服务内容和措施完善，安装调试及培训方案详细完整。</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outlineLvl w:val="0"/>
              <w:rPr>
                <w:rFonts w:ascii="宋体" w:hAnsi="宋体" w:cs="宋体"/>
                <w:color w:val="auto"/>
                <w:szCs w:val="21"/>
                <w:highlight w:val="none"/>
              </w:rPr>
            </w:pPr>
            <w:r>
              <w:rPr>
                <w:rFonts w:hint="eastAsia" w:ascii="宋体" w:hAnsi="宋体" w:cs="宋体"/>
                <w:color w:val="auto"/>
                <w:szCs w:val="21"/>
                <w:highlight w:val="none"/>
              </w:rPr>
              <w:t>三档（12分）：项目实施方案详细、生产能力有保障措施，配套有货物存放仓库、送货人员、运输工具、项目实施人员，项目实施的技术力量和人力资源安排充足且提供有可靠保证，能对突发计划外供货需求的应对能力，大件家具需要紧急搬运重组需求的应对能力，承诺紧急服务时限，服务内容和措施完善，建议的验收方法或方案完善有效且优化、切实可行，安装调试及培训方案详细完整且针对性强。</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strike/>
                <w:color w:val="auto"/>
                <w:highlight w:val="none"/>
                <w:shd w:val="clear" w:color="auto" w:fill="auto"/>
              </w:rPr>
            </w:pPr>
            <w:r>
              <w:rPr>
                <w:rFonts w:hint="eastAsia" w:ascii="宋体" w:hAnsi="宋体" w:cs="宋体"/>
                <w:color w:val="auto"/>
                <w:szCs w:val="21"/>
                <w:highlight w:val="none"/>
              </w:rPr>
              <w:t>注：未提供“项目实施、安装方案”或经评定不能进档的不得分。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vAlign w:val="center"/>
          </w:tcPr>
          <w:p>
            <w:pPr>
              <w:jc w:val="center"/>
              <w:rPr>
                <w:rFonts w:hint="eastAsia" w:eastAsia="宋体"/>
                <w:color w:val="auto"/>
                <w:highlight w:val="none"/>
                <w:lang w:val="en-US" w:eastAsia="zh-CN"/>
              </w:rPr>
            </w:pPr>
            <w:r>
              <w:rPr>
                <w:rFonts w:hint="eastAsia"/>
                <w:color w:val="auto"/>
                <w:highlight w:val="none"/>
                <w:lang w:val="en-US" w:eastAsia="zh-CN"/>
              </w:rPr>
              <w:t>5</w:t>
            </w:r>
          </w:p>
        </w:tc>
        <w:tc>
          <w:tcPr>
            <w:tcW w:w="1699" w:type="dxa"/>
            <w:vAlign w:val="center"/>
          </w:tcPr>
          <w:p>
            <w:pPr>
              <w:rPr>
                <w:rFonts w:hint="eastAsia"/>
                <w:color w:val="auto"/>
                <w:highlight w:val="none"/>
              </w:rPr>
            </w:pPr>
            <w:r>
              <w:rPr>
                <w:rFonts w:hint="eastAsia"/>
                <w:color w:val="auto"/>
                <w:highlight w:val="none"/>
              </w:rPr>
              <w:t>产品生产能力、质量保障能力分</w:t>
            </w:r>
          </w:p>
        </w:tc>
        <w:tc>
          <w:tcPr>
            <w:tcW w:w="709" w:type="dxa"/>
            <w:vAlign w:val="center"/>
          </w:tcPr>
          <w:p>
            <w:pPr>
              <w:rPr>
                <w:rFonts w:hint="default"/>
                <w:color w:val="auto"/>
                <w:highlight w:val="none"/>
                <w:lang w:val="en-US" w:eastAsia="zh-CN"/>
              </w:rPr>
            </w:pPr>
            <w:r>
              <w:rPr>
                <w:rFonts w:hint="eastAsia"/>
                <w:color w:val="auto"/>
                <w:highlight w:val="none"/>
                <w:lang w:val="en-US" w:eastAsia="zh-CN"/>
              </w:rPr>
              <w:t>12分</w:t>
            </w:r>
          </w:p>
        </w:tc>
        <w:tc>
          <w:tcPr>
            <w:tcW w:w="5974" w:type="dxa"/>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根据投标人提供本项目生产主要设备清单、生产场地情况、主要设备、管理水平等综合评定。设备清单主要包含但不限：数控激光板管一体切割机、双头液压弯管机、冲床、液压剪板机、多维自动焊机（或焊接机器人）、自动粉体涂装生产线、木材加工中心（或开料锯）、六排钻数控钻孔中心、注塑机以及所投产品生产场地真实图片（包括但不限于生产车间、仓库等）、场地使用证明材料扫描件或其他电子文件、设备现场作业真实图片、提供设备购置发票或租赁合同等扫描件、提供设备现场作业真实图片以及质量管理制度复印件等材料综合评定，进行打分；原件备查。</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一档（4分）：投标人产品生产保障措施简单，生产条件、主要设备不足，流水线生产设备性能低、工艺水平低；基本能满足本项目的生产要求，有简单的质量管控措施。（提供相关材料有：提供生产场地证明和图片、主要设备证明和图片、工艺水平和质量管理制度体系等证明资料）</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二档（8分）：在满足一档的基础上，生产条件、主要设备配置完善，流水线生产设备较性能高、工艺水平高。（提供相关材料有：提供生产场地证明和图片、主要设备证明和图片、工艺水平和质量管理制度体系等证明资料）</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三档（12分）：在满足二档的基础上，生产条件、主要设备配置完善，流水线生产设备性能精准、工艺水平精湛。（提供相关材料有：提供生产场地证明和图片、主要设备证明和图片、工艺水平和质量管理制度体系等证明资料）</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注：①设备名称可以不相同，功能需类似，须提供设备功能证明（说明）材料；②提供能证明生产能力的生产场地、主要设备图片和发票（发票内容须和设备名称一致）或主要设备的租赁合同，房产权证明的复印件等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vAlign w:val="center"/>
          </w:tcPr>
          <w:p>
            <w:pPr>
              <w:jc w:val="center"/>
              <w:rPr>
                <w:rFonts w:hint="default"/>
                <w:color w:val="auto"/>
                <w:highlight w:val="none"/>
                <w:lang w:val="en-US" w:eastAsia="zh-CN"/>
              </w:rPr>
            </w:pPr>
            <w:r>
              <w:rPr>
                <w:rFonts w:hint="eastAsia"/>
                <w:color w:val="auto"/>
                <w:highlight w:val="none"/>
                <w:lang w:val="en-US" w:eastAsia="zh-CN"/>
              </w:rPr>
              <w:t>6</w:t>
            </w:r>
          </w:p>
        </w:tc>
        <w:tc>
          <w:tcPr>
            <w:tcW w:w="1699" w:type="dxa"/>
            <w:vAlign w:val="center"/>
          </w:tcPr>
          <w:p>
            <w:pPr>
              <w:rPr>
                <w:rFonts w:hint="eastAsia"/>
                <w:color w:val="auto"/>
                <w:highlight w:val="none"/>
              </w:rPr>
            </w:pPr>
            <w:r>
              <w:rPr>
                <w:rFonts w:hint="eastAsia"/>
                <w:color w:val="auto"/>
                <w:highlight w:val="none"/>
              </w:rPr>
              <w:t>售后服务方案分</w:t>
            </w:r>
          </w:p>
        </w:tc>
        <w:tc>
          <w:tcPr>
            <w:tcW w:w="709" w:type="dxa"/>
            <w:vAlign w:val="center"/>
          </w:tcPr>
          <w:p>
            <w:pPr>
              <w:rPr>
                <w:rFonts w:hint="eastAsia"/>
                <w:color w:val="auto"/>
                <w:highlight w:val="none"/>
                <w:lang w:val="en-US" w:eastAsia="zh-CN"/>
              </w:rPr>
            </w:pPr>
            <w:r>
              <w:rPr>
                <w:rFonts w:hint="eastAsia"/>
                <w:color w:val="auto"/>
                <w:highlight w:val="none"/>
                <w:lang w:val="en-US" w:eastAsia="zh-CN"/>
              </w:rPr>
              <w:t>17分</w:t>
            </w:r>
          </w:p>
        </w:tc>
        <w:tc>
          <w:tcPr>
            <w:tcW w:w="5974" w:type="dxa"/>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由评委根据各投标人提供售后服务承诺书的相关服务内容、材料进行评分。</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一档（4分）：有售后服务承诺书，满足招标文件的要求，有故障出现解决方案，有技术培训方案、保修期外维修方案。</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二档（12分）：在满足一档的基础上，对售后服务专用车辆、应急预案等方面都有简单描述。</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分）：在满足二档的基础上，提供服务流程（包括故障处理、上门维护、紧急维护、重要服务、电话维护、主动巡检等），提供技术服务表单（包括客户服务报告、客户服务质量考核评估、服务满意度调查单、电话回访记录单等），技术服务方案详细，有针对性，保修期、故障响应时间较好满足本项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vAlign w:val="center"/>
          </w:tcPr>
          <w:p>
            <w:pPr>
              <w:jc w:val="center"/>
              <w:rPr>
                <w:rFonts w:hint="default"/>
                <w:color w:val="auto"/>
                <w:highlight w:val="none"/>
                <w:lang w:val="en-US" w:eastAsia="zh-CN"/>
              </w:rPr>
            </w:pPr>
            <w:r>
              <w:rPr>
                <w:rFonts w:hint="eastAsia"/>
                <w:color w:val="auto"/>
                <w:highlight w:val="none"/>
                <w:lang w:val="en-US" w:eastAsia="zh-CN"/>
              </w:rPr>
              <w:t>7</w:t>
            </w:r>
          </w:p>
        </w:tc>
        <w:tc>
          <w:tcPr>
            <w:tcW w:w="1699" w:type="dxa"/>
            <w:vAlign w:val="center"/>
          </w:tcPr>
          <w:p>
            <w:pPr>
              <w:rPr>
                <w:rFonts w:hint="eastAsia"/>
                <w:color w:val="auto"/>
                <w:highlight w:val="none"/>
              </w:rPr>
            </w:pPr>
            <w:r>
              <w:rPr>
                <w:rFonts w:hint="eastAsia"/>
                <w:color w:val="auto"/>
                <w:highlight w:val="none"/>
              </w:rPr>
              <w:t>履约能力分</w:t>
            </w:r>
          </w:p>
        </w:tc>
        <w:tc>
          <w:tcPr>
            <w:tcW w:w="709" w:type="dxa"/>
            <w:vAlign w:val="center"/>
          </w:tcPr>
          <w:p>
            <w:pPr>
              <w:rPr>
                <w:rFonts w:hint="eastAsia"/>
                <w:color w:val="auto"/>
                <w:highlight w:val="none"/>
                <w:lang w:val="en-US" w:eastAsia="zh-CN"/>
              </w:rPr>
            </w:pPr>
            <w:r>
              <w:rPr>
                <w:rFonts w:hint="eastAsia"/>
                <w:color w:val="auto"/>
                <w:highlight w:val="none"/>
                <w:lang w:val="en-US" w:eastAsia="zh-CN"/>
              </w:rPr>
              <w:t>3分</w:t>
            </w:r>
          </w:p>
        </w:tc>
        <w:tc>
          <w:tcPr>
            <w:tcW w:w="5974" w:type="dxa"/>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①投标人或产品生产厂家通过 ISO9001 质量管理体系认证的，得 1 分（证书有效期须保持至本项目投标截止之日，提供证书复印件)。</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②投标人或产品生产厂家通过 ISO14001 环境管理体系认证的，得1 分（证书有效期须保持至本项目投标截止之日，提供证书复印件)。</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③投标人或产品生产厂家通过 ISO45001 职业健康安全管理体系认证的，得 1 分（证书有效期须保持至本项目投标截止之日，提供证书复印件)。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087" w:type="dxa"/>
            <w:vMerge w:val="restart"/>
            <w:vAlign w:val="center"/>
          </w:tcPr>
          <w:p>
            <w:pPr>
              <w:jc w:val="center"/>
              <w:rPr>
                <w:rFonts w:hint="eastAsia" w:eastAsia="宋体"/>
                <w:color w:val="auto"/>
                <w:highlight w:val="none"/>
                <w:lang w:eastAsia="zh-CN"/>
              </w:rPr>
            </w:pPr>
            <w:r>
              <w:rPr>
                <w:rFonts w:hint="eastAsia"/>
                <w:color w:val="auto"/>
                <w:highlight w:val="none"/>
                <w:lang w:val="en-US" w:eastAsia="zh-CN"/>
              </w:rPr>
              <w:t>8</w:t>
            </w:r>
          </w:p>
        </w:tc>
        <w:tc>
          <w:tcPr>
            <w:tcW w:w="1699" w:type="dxa"/>
            <w:vMerge w:val="restart"/>
            <w:vAlign w:val="center"/>
          </w:tcPr>
          <w:p>
            <w:pPr>
              <w:rPr>
                <w:color w:val="auto"/>
                <w:highlight w:val="none"/>
              </w:rPr>
            </w:pPr>
            <w:r>
              <w:rPr>
                <w:rFonts w:hint="eastAsia"/>
                <w:color w:val="auto"/>
                <w:highlight w:val="none"/>
              </w:rPr>
              <w:t>政策功能分（节能、环保、区内产品等）</w:t>
            </w:r>
          </w:p>
        </w:tc>
        <w:tc>
          <w:tcPr>
            <w:tcW w:w="709" w:type="dxa"/>
            <w:vMerge w:val="restart"/>
            <w:vAlign w:val="center"/>
          </w:tcPr>
          <w:p>
            <w:pPr>
              <w:rPr>
                <w:color w:val="auto"/>
                <w:highlight w:val="none"/>
              </w:rPr>
            </w:pPr>
            <w:r>
              <w:rPr>
                <w:rFonts w:hint="eastAsia"/>
                <w:color w:val="auto"/>
                <w:highlight w:val="none"/>
                <w:lang w:val="en-US" w:eastAsia="zh-CN"/>
              </w:rPr>
              <w:t>2</w:t>
            </w:r>
            <w:r>
              <w:rPr>
                <w:rFonts w:hint="eastAsia"/>
                <w:color w:val="auto"/>
                <w:highlight w:val="none"/>
              </w:rPr>
              <w:t>分</w:t>
            </w:r>
          </w:p>
        </w:tc>
        <w:tc>
          <w:tcPr>
            <w:tcW w:w="5974" w:type="dxa"/>
            <w:tcBorders>
              <w:bottom w:val="single" w:color="auto" w:sz="4" w:space="0"/>
            </w:tcBorders>
            <w:vAlign w:val="center"/>
          </w:tcPr>
          <w:p>
            <w:pPr>
              <w:pStyle w:val="34"/>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color w:val="auto"/>
                <w:highlight w:val="none"/>
              </w:rPr>
            </w:pPr>
            <w:r>
              <w:rPr>
                <w:rFonts w:hint="eastAsia"/>
                <w:color w:val="auto"/>
                <w:highlight w:val="none"/>
              </w:rPr>
              <w:t>（1）投标产品纳入财政部 国家发展改革委《关于印发节能产品政府采购品目清单的通知》（财库[2019]19号）中节能产品政府采购品目清单的，得</w:t>
            </w:r>
            <w:r>
              <w:rPr>
                <w:rFonts w:hint="eastAsia"/>
                <w:color w:val="auto"/>
                <w:highlight w:val="none"/>
                <w:lang w:val="en-US" w:eastAsia="zh-CN"/>
              </w:rPr>
              <w:t>1</w:t>
            </w:r>
            <w:r>
              <w:rPr>
                <w:rFonts w:hint="eastAsia"/>
                <w:color w:val="auto"/>
                <w:highlight w:val="none"/>
              </w:rPr>
              <w:t>分。（投标时须提供国家确定的认证机构出具的、处于有效期之内的有效的节能产品认证证书复印件并加盖投标人公章。适用于非强制采购节能产品）。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7" w:hRule="atLeast"/>
          <w:jc w:val="center"/>
        </w:trPr>
        <w:tc>
          <w:tcPr>
            <w:tcW w:w="1087" w:type="dxa"/>
            <w:vMerge w:val="continue"/>
            <w:vAlign w:val="center"/>
          </w:tcPr>
          <w:p>
            <w:pPr>
              <w:jc w:val="center"/>
              <w:rPr>
                <w:color w:val="auto"/>
                <w:highlight w:val="none"/>
              </w:rPr>
            </w:pPr>
          </w:p>
        </w:tc>
        <w:tc>
          <w:tcPr>
            <w:tcW w:w="1699" w:type="dxa"/>
            <w:vMerge w:val="continue"/>
            <w:vAlign w:val="center"/>
          </w:tcPr>
          <w:p>
            <w:pPr>
              <w:rPr>
                <w:color w:val="auto"/>
                <w:highlight w:val="none"/>
              </w:rPr>
            </w:pPr>
          </w:p>
        </w:tc>
        <w:tc>
          <w:tcPr>
            <w:tcW w:w="709" w:type="dxa"/>
            <w:vMerge w:val="continue"/>
            <w:tcBorders>
              <w:bottom w:val="single" w:color="auto" w:sz="4" w:space="0"/>
            </w:tcBorders>
            <w:vAlign w:val="center"/>
          </w:tcPr>
          <w:p>
            <w:pPr>
              <w:rPr>
                <w:color w:val="auto"/>
                <w:highlight w:val="none"/>
              </w:rPr>
            </w:pPr>
          </w:p>
        </w:tc>
        <w:tc>
          <w:tcPr>
            <w:tcW w:w="5974" w:type="dxa"/>
            <w:tcBorders>
              <w:top w:val="single" w:color="auto" w:sz="4" w:space="0"/>
              <w:bottom w:val="single" w:color="auto" w:sz="4" w:space="0"/>
            </w:tcBorders>
            <w:vAlign w:val="center"/>
          </w:tcPr>
          <w:p>
            <w:pPr>
              <w:pStyle w:val="34"/>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color w:val="auto"/>
                <w:highlight w:val="none"/>
              </w:rPr>
            </w:pPr>
            <w:r>
              <w:rPr>
                <w:rFonts w:hint="eastAsia"/>
                <w:color w:val="auto"/>
                <w:highlight w:val="none"/>
              </w:rPr>
              <w:t>（2）投标产品纳入财政部 国家发展改革委《关于印发环境标志产品政府采购品目清单的通知》（财库[2019]18号）中环境标志产品政府采购品目清单的，得</w:t>
            </w:r>
            <w:r>
              <w:rPr>
                <w:rFonts w:hint="eastAsia"/>
                <w:color w:val="auto"/>
                <w:highlight w:val="none"/>
                <w:lang w:val="en-US" w:eastAsia="zh-CN"/>
              </w:rPr>
              <w:t>1</w:t>
            </w:r>
            <w:r>
              <w:rPr>
                <w:rFonts w:hint="eastAsia"/>
                <w:color w:val="auto"/>
                <w:highlight w:val="none"/>
              </w:rPr>
              <w:t>分。（投标时须提供国家确定的认证机构出具的、处于有效期之内的有效的认证证书复印件并加盖投标人公章）。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jc w:val="center"/>
        </w:trPr>
        <w:tc>
          <w:tcPr>
            <w:tcW w:w="9469" w:type="dxa"/>
            <w:gridSpan w:val="4"/>
            <w:vAlign w:val="center"/>
          </w:tcPr>
          <w:p>
            <w:pPr>
              <w:jc w:val="left"/>
              <w:rPr>
                <w:rFonts w:hint="default" w:eastAsia="宋体"/>
                <w:color w:val="auto"/>
                <w:highlight w:val="none"/>
                <w:lang w:val="en-US" w:eastAsia="zh-CN"/>
              </w:rPr>
            </w:pPr>
            <w:r>
              <w:rPr>
                <w:rFonts w:hint="eastAsia"/>
                <w:b/>
                <w:bCs/>
                <w:color w:val="auto"/>
                <w:highlight w:val="none"/>
              </w:rPr>
              <w:t>总得分：1+2+3+4+5</w:t>
            </w:r>
            <w:r>
              <w:rPr>
                <w:rFonts w:hint="eastAsia"/>
                <w:b/>
                <w:bCs/>
                <w:color w:val="auto"/>
                <w:highlight w:val="none"/>
                <w:lang w:val="en-US" w:eastAsia="zh-CN"/>
              </w:rPr>
              <w:t>+6+7+8</w:t>
            </w:r>
          </w:p>
        </w:tc>
      </w:tr>
    </w:tbl>
    <w:p>
      <w:pPr>
        <w:tabs>
          <w:tab w:val="left" w:pos="284"/>
        </w:tabs>
        <w:snapToGrid w:val="0"/>
        <w:spacing w:line="360" w:lineRule="auto"/>
        <w:rPr>
          <w:rFonts w:hint="eastAsia"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cs="仿宋_GB2312" w:asciiTheme="minorEastAsia" w:hAnsiTheme="minorEastAsia" w:eastAsiaTheme="minorEastAsia"/>
          <w:bCs/>
          <w:color w:val="auto"/>
          <w:sz w:val="24"/>
          <w:highlight w:val="none"/>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pPr>
        <w:tabs>
          <w:tab w:val="left" w:pos="284"/>
        </w:tabs>
        <w:snapToGrid w:val="0"/>
        <w:spacing w:line="360" w:lineRule="auto"/>
        <w:rPr>
          <w:rFonts w:ascii="宋体" w:hAnsi="宋体" w:cs="宋体"/>
          <w:b/>
          <w:color w:val="auto"/>
          <w:sz w:val="32"/>
          <w:highlight w:val="none"/>
        </w:rPr>
      </w:pPr>
      <w:r>
        <w:rPr>
          <w:rFonts w:hint="eastAsia" w:ascii="宋体" w:hAnsi="宋体" w:cs="宋体"/>
          <w:b/>
          <w:color w:val="auto"/>
          <w:sz w:val="32"/>
          <w:highlight w:val="none"/>
        </w:rPr>
        <w:t>一、评标方法</w:t>
      </w:r>
    </w:p>
    <w:p>
      <w:pPr>
        <w:adjustRightInd/>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1.本项目采用的评标方法:</w:t>
      </w:r>
    </w:p>
    <w:p>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b/>
          <w:color w:val="auto"/>
          <w:kern w:val="0"/>
          <w:sz w:val="24"/>
          <w:highlight w:val="none"/>
        </w:rPr>
        <w:t>综合评分法</w:t>
      </w:r>
      <w:r>
        <w:rPr>
          <w:rFonts w:hint="eastAsia" w:ascii="宋体" w:hAnsi="宋体" w:cs="宋体"/>
          <w:color w:val="auto"/>
          <w:sz w:val="24"/>
          <w:highlight w:val="none"/>
        </w:rPr>
        <w:t>。</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B最低评标价法</w:t>
      </w:r>
      <w:r>
        <w:rPr>
          <w:rFonts w:hint="eastAsia" w:ascii="宋体" w:hAnsi="宋体" w:cs="宋体"/>
          <w:b/>
          <w:color w:val="auto"/>
          <w:kern w:val="0"/>
          <w:sz w:val="24"/>
          <w:highlight w:val="none"/>
        </w:rPr>
        <w:t>。</w:t>
      </w:r>
      <w:r>
        <w:rPr>
          <w:rFonts w:hint="eastAsia" w:ascii="宋体" w:hAnsi="宋体" w:cs="宋体"/>
          <w:color w:val="auto"/>
          <w:kern w:val="0"/>
          <w:sz w:val="24"/>
          <w:highlight w:val="none"/>
        </w:rPr>
        <w:t>最低评标价法，是指投标文件满足招标文件全部实质性要求，且投标报价最低的投标人为中标候选人的评标方法。</w:t>
      </w:r>
    </w:p>
    <w:p>
      <w:pPr>
        <w:adjustRightInd/>
        <w:spacing w:line="360" w:lineRule="auto"/>
        <w:outlineLvl w:val="1"/>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sz w:val="24"/>
          <w:highlight w:val="none"/>
        </w:rPr>
        <w:t>采用综合评分法的，评标标准</w:t>
      </w:r>
      <w:r>
        <w:rPr>
          <w:rFonts w:hint="eastAsia" w:ascii="宋体" w:hAnsi="宋体" w:cs="宋体"/>
          <w:color w:val="auto"/>
          <w:kern w:val="0"/>
          <w:sz w:val="24"/>
          <w:highlight w:val="none"/>
        </w:rPr>
        <w:t>见评标办法前附表。采用最低评标价法评标时，除了算术修正和落实政府采购政策需进行的价格扣除外，不能对投标人的投标价格进行任何调整。</w:t>
      </w:r>
    </w:p>
    <w:p>
      <w:pPr>
        <w:spacing w:line="360" w:lineRule="auto"/>
        <w:outlineLvl w:val="1"/>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采用综合评分法时，评标委员会各成员应当独立对每个投标人的商务和技术文件进行评价，并汇总商务技术得分情况。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3.4.5对于未预留份额专门面向中小企业采购的政府采购项目，以及预留份额政府采购项目中的非预留部分标项，对小型和微型企业的投标报价给予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对于专门面向中小企业采购的项目或者采购包，不再执行价格评审优惠的扶持政策。</w:t>
      </w:r>
    </w:p>
    <w:p>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3.5排序与推荐。</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3.5.1</w:t>
      </w:r>
      <w:r>
        <w:rPr>
          <w:rFonts w:hint="eastAsia" w:ascii="宋体" w:hAnsi="宋体" w:cs="宋体"/>
          <w:color w:val="auto"/>
          <w:kern w:val="0"/>
          <w:sz w:val="24"/>
          <w:highlight w:val="none"/>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84"/>
        <w:rPr>
          <w:rFonts w:cs="宋体"/>
          <w:color w:val="auto"/>
          <w:highlight w:val="none"/>
        </w:rPr>
      </w:pPr>
      <w:r>
        <w:rPr>
          <w:rFonts w:hint="eastAsia" w:cs="宋体"/>
          <w:color w:val="auto"/>
          <w:highlight w:val="none"/>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pPr>
        <w:pStyle w:val="84"/>
        <w:rPr>
          <w:color w:val="auto"/>
          <w:highlight w:val="none"/>
        </w:rPr>
      </w:pPr>
      <w:r>
        <w:rPr>
          <w:rFonts w:hint="eastAsia" w:cs="宋体"/>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line="360" w:lineRule="auto"/>
        <w:jc w:val="left"/>
        <w:outlineLvl w:val="1"/>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84"/>
        <w:rPr>
          <w:b/>
          <w:bCs/>
          <w:color w:val="auto"/>
          <w:highlight w:val="none"/>
        </w:rPr>
      </w:pPr>
      <w:r>
        <w:rPr>
          <w:rFonts w:hint="eastAsia"/>
          <w:color w:val="auto"/>
          <w:highlight w:val="none"/>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360" w:lineRule="auto"/>
        <w:rPr>
          <w:rFonts w:cs="宋体"/>
          <w:color w:val="auto"/>
          <w:highlight w:val="none"/>
        </w:rPr>
      </w:pPr>
      <w:r>
        <w:rPr>
          <w:rFonts w:hint="eastAsia" w:cs="宋体"/>
          <w:color w:val="auto"/>
          <w:highlight w:val="none"/>
        </w:rPr>
        <w:t>5.4因重大变故，采购任务取消的。</w:t>
      </w:r>
    </w:p>
    <w:p>
      <w:pPr>
        <w:pStyle w:val="2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26"/>
        <w:snapToGrid w:val="0"/>
        <w:spacing w:line="360" w:lineRule="auto"/>
        <w:ind w:firstLine="482"/>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84"/>
        <w:ind w:firstLine="0"/>
        <w:rPr>
          <w:b/>
          <w:color w:val="auto"/>
          <w:sz w:val="32"/>
          <w:szCs w:val="32"/>
          <w:highlight w:val="none"/>
        </w:rPr>
      </w:pPr>
      <w:r>
        <w:rPr>
          <w:rFonts w:hint="eastAsia"/>
          <w:b/>
          <w:color w:val="auto"/>
          <w:sz w:val="32"/>
          <w:szCs w:val="32"/>
          <w:highlight w:val="none"/>
        </w:rPr>
        <w:t>五、评审过程的保密与录像</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8.1.保密。</w:t>
      </w:r>
      <w:r>
        <w:rPr>
          <w:rFonts w:hint="eastAsia" w:cs="仿宋_GB2312" w:asciiTheme="minorEastAsia" w:hAnsiTheme="minorEastAsia" w:eastAsiaTheme="minorEastAsia"/>
          <w:color w:val="auto"/>
          <w:sz w:val="24"/>
          <w:highlight w:val="none"/>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pPr>
        <w:pStyle w:val="26"/>
        <w:snapToGrid w:val="0"/>
        <w:spacing w:line="360" w:lineRule="auto"/>
        <w:ind w:firstLine="482"/>
        <w:rPr>
          <w:rFonts w:cs="宋体"/>
          <w:color w:val="auto"/>
          <w:highlight w:val="none"/>
        </w:rPr>
      </w:pPr>
      <w:r>
        <w:rPr>
          <w:rFonts w:hint="eastAsia" w:cs="仿宋_GB2312" w:asciiTheme="minorEastAsia" w:hAnsiTheme="minorEastAsia" w:eastAsiaTheme="minorEastAsia"/>
          <w:b/>
          <w:color w:val="auto"/>
          <w:highlight w:val="none"/>
        </w:rPr>
        <w:t>8.2.录音录像。</w:t>
      </w:r>
      <w:r>
        <w:rPr>
          <w:rFonts w:hint="eastAsia" w:cs="仿宋_GB2312" w:asciiTheme="minorEastAsia" w:hAnsiTheme="minorEastAsia" w:eastAsiaTheme="minorEastAsia"/>
          <w:color w:val="auto"/>
          <w:highlight w:val="none"/>
        </w:rPr>
        <w:t>采购代理机构对评审工作现场进行全过程录音录像，录音录像资料作为采购项目文件随其他文件一并存档。</w:t>
      </w:r>
    </w:p>
    <w:bookmarkEnd w:id="61"/>
    <w:p>
      <w:pPr>
        <w:spacing w:line="360" w:lineRule="auto"/>
        <w:ind w:left="720" w:leftChars="343" w:firstLine="1084" w:firstLineChars="300"/>
        <w:rPr>
          <w:rFonts w:ascii="宋体" w:hAnsi="宋体" w:cs="宋体"/>
          <w:b/>
          <w:color w:val="auto"/>
          <w:sz w:val="36"/>
          <w:szCs w:val="36"/>
          <w:highlight w:val="none"/>
        </w:rPr>
      </w:pPr>
      <w:bookmarkStart w:id="439" w:name="第五部分"/>
      <w:bookmarkStart w:id="440" w:name="_Toc86217003"/>
    </w:p>
    <w:p>
      <w:pPr>
        <w:spacing w:line="360" w:lineRule="auto"/>
        <w:ind w:left="720" w:leftChars="343" w:firstLine="1084" w:firstLineChars="30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pStyle w:val="84"/>
        <w:rPr>
          <w:color w:val="auto"/>
          <w:highlight w:val="none"/>
        </w:rPr>
      </w:pPr>
      <w:r>
        <w:rPr>
          <w:color w:val="auto"/>
          <w:highlight w:val="none"/>
        </w:rPr>
        <w:br w:type="page"/>
      </w:r>
    </w:p>
    <w:p>
      <w:pPr>
        <w:pStyle w:val="84"/>
        <w:rPr>
          <w:color w:val="auto"/>
          <w:highlight w:val="none"/>
        </w:rPr>
      </w:pPr>
    </w:p>
    <w:p>
      <w:pPr>
        <w:spacing w:line="360" w:lineRule="auto"/>
        <w:jc w:val="center"/>
        <w:outlineLvl w:val="0"/>
        <w:rPr>
          <w:rFonts w:ascii="宋体" w:hAnsi="宋体" w:cs="宋体"/>
          <w:b/>
          <w:color w:val="auto"/>
          <w:sz w:val="36"/>
          <w:szCs w:val="36"/>
          <w:highlight w:val="none"/>
        </w:rPr>
      </w:pPr>
      <w:bookmarkStart w:id="441" w:name="_Toc176343852"/>
      <w:bookmarkStart w:id="442" w:name="_Toc176185125"/>
      <w:r>
        <w:rPr>
          <w:rFonts w:hint="eastAsia" w:ascii="宋体" w:hAnsi="宋体" w:cs="宋体"/>
          <w:b/>
          <w:color w:val="auto"/>
          <w:sz w:val="36"/>
          <w:szCs w:val="36"/>
          <w:highlight w:val="none"/>
        </w:rPr>
        <w:t>第五部分  拟签订的合同文本</w:t>
      </w:r>
      <w:bookmarkEnd w:id="441"/>
      <w:bookmarkEnd w:id="442"/>
    </w:p>
    <w:p>
      <w:pPr>
        <w:adjustRightInd/>
        <w:spacing w:line="600" w:lineRule="exact"/>
        <w:ind w:firstLine="1044"/>
        <w:rPr>
          <w:rFonts w:ascii="宋体" w:hAnsi="宋体" w:cs="宋体"/>
          <w:b/>
          <w:color w:val="auto"/>
          <w:kern w:val="0"/>
          <w:sz w:val="52"/>
          <w:szCs w:val="52"/>
          <w:highlight w:val="none"/>
        </w:rPr>
      </w:pPr>
    </w:p>
    <w:p>
      <w:pPr>
        <w:adjustRightInd/>
        <w:jc w:val="center"/>
        <w:rPr>
          <w:rFonts w:ascii="宋体" w:hAnsi="宋体" w:cs="宋体"/>
          <w:b/>
          <w:bCs/>
          <w:color w:val="auto"/>
          <w:spacing w:val="-20"/>
          <w:kern w:val="44"/>
          <w:sz w:val="48"/>
          <w:szCs w:val="48"/>
          <w:highlight w:val="none"/>
        </w:rPr>
      </w:pPr>
      <w:bookmarkStart w:id="443" w:name="_Toc3995"/>
    </w:p>
    <w:p>
      <w:pPr>
        <w:adjustRightInd/>
        <w:jc w:val="center"/>
        <w:rPr>
          <w:rFonts w:ascii="宋体" w:hAnsi="宋体" w:cs="宋体"/>
          <w:b/>
          <w:bCs/>
          <w:color w:val="auto"/>
          <w:spacing w:val="-20"/>
          <w:kern w:val="44"/>
          <w:sz w:val="48"/>
          <w:szCs w:val="48"/>
          <w:highlight w:val="none"/>
        </w:rPr>
      </w:pPr>
    </w:p>
    <w:p>
      <w:pPr>
        <w:adjustRightInd/>
        <w:jc w:val="center"/>
        <w:rPr>
          <w:rFonts w:ascii="宋体" w:hAnsi="宋体" w:cs="宋体"/>
          <w:b/>
          <w:bCs/>
          <w:color w:val="auto"/>
          <w:spacing w:val="-20"/>
          <w:kern w:val="44"/>
          <w:sz w:val="48"/>
          <w:szCs w:val="48"/>
          <w:highlight w:val="none"/>
        </w:rPr>
      </w:pPr>
    </w:p>
    <w:p>
      <w:pPr>
        <w:adjustRightInd/>
        <w:jc w:val="center"/>
        <w:rPr>
          <w:rFonts w:ascii="宋体" w:hAnsi="宋体" w:cs="宋体"/>
          <w:b/>
          <w:bCs/>
          <w:color w:val="auto"/>
          <w:spacing w:val="-20"/>
          <w:kern w:val="44"/>
          <w:sz w:val="48"/>
          <w:szCs w:val="48"/>
          <w:highlight w:val="none"/>
        </w:rPr>
      </w:pPr>
    </w:p>
    <w:p>
      <w:pPr>
        <w:adjustRightInd/>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北海市政府采购合同</w:t>
      </w:r>
    </w:p>
    <w:p>
      <w:pPr>
        <w:adjustRightInd/>
        <w:jc w:val="center"/>
        <w:rPr>
          <w:rFonts w:ascii="宋体" w:hAnsi="宋体" w:cs="宋体"/>
          <w:b/>
          <w:bCs/>
          <w:color w:val="auto"/>
          <w:spacing w:val="-20"/>
          <w:kern w:val="44"/>
          <w:sz w:val="36"/>
          <w:szCs w:val="36"/>
          <w:highlight w:val="none"/>
        </w:rPr>
      </w:pPr>
    </w:p>
    <w:p>
      <w:pPr>
        <w:adjustRightInd/>
        <w:jc w:val="center"/>
        <w:rPr>
          <w:rFonts w:ascii="宋体" w:hAnsi="宋体" w:cs="宋体"/>
          <w:b/>
          <w:bCs/>
          <w:color w:val="auto"/>
          <w:spacing w:val="-20"/>
          <w:kern w:val="44"/>
          <w:sz w:val="36"/>
          <w:szCs w:val="36"/>
          <w:highlight w:val="none"/>
        </w:rPr>
      </w:pPr>
      <w:r>
        <w:rPr>
          <w:rFonts w:hint="eastAsia" w:ascii="宋体" w:hAnsi="宋体" w:cs="宋体"/>
          <w:b/>
          <w:bCs/>
          <w:color w:val="auto"/>
          <w:spacing w:val="-20"/>
          <w:kern w:val="44"/>
          <w:sz w:val="36"/>
          <w:szCs w:val="36"/>
          <w:highlight w:val="none"/>
        </w:rPr>
        <w:t>（货物类）</w:t>
      </w:r>
    </w:p>
    <w:p>
      <w:pPr>
        <w:adjustRightInd/>
        <w:rPr>
          <w:rFonts w:ascii="宋体" w:hAnsi="宋体" w:cs="宋体"/>
          <w:b/>
          <w:bCs/>
          <w:color w:val="auto"/>
          <w:spacing w:val="-20"/>
          <w:kern w:val="44"/>
          <w:sz w:val="40"/>
          <w:szCs w:val="40"/>
          <w:highlight w:val="none"/>
        </w:rPr>
      </w:pPr>
    </w:p>
    <w:p>
      <w:pPr>
        <w:adjustRightInd/>
        <w:rPr>
          <w:rFonts w:ascii="宋体" w:hAnsi="宋体" w:cs="宋体"/>
          <w:b/>
          <w:bCs/>
          <w:color w:val="auto"/>
          <w:spacing w:val="-20"/>
          <w:kern w:val="44"/>
          <w:sz w:val="40"/>
          <w:szCs w:val="40"/>
          <w:highlight w:val="none"/>
        </w:rPr>
      </w:pPr>
    </w:p>
    <w:p>
      <w:pPr>
        <w:adjustRightInd/>
        <w:rPr>
          <w:rFonts w:ascii="宋体" w:hAnsi="宋体" w:cs="宋体"/>
          <w:b/>
          <w:bCs/>
          <w:color w:val="auto"/>
          <w:spacing w:val="-20"/>
          <w:kern w:val="44"/>
          <w:sz w:val="40"/>
          <w:szCs w:val="40"/>
          <w:highlight w:val="none"/>
        </w:rPr>
      </w:pPr>
    </w:p>
    <w:p>
      <w:pPr>
        <w:adjustRightInd/>
        <w:spacing w:line="360" w:lineRule="auto"/>
        <w:ind w:left="1680" w:leftChars="800"/>
        <w:rPr>
          <w:color w:val="auto"/>
          <w:sz w:val="32"/>
          <w:szCs w:val="32"/>
          <w:highlight w:val="none"/>
        </w:rPr>
      </w:pPr>
      <w:r>
        <w:rPr>
          <w:rFonts w:hint="eastAsia" w:ascii="宋体" w:hAnsi="宋体" w:cs="宋体"/>
          <w:color w:val="auto"/>
          <w:kern w:val="0"/>
          <w:sz w:val="32"/>
          <w:szCs w:val="32"/>
          <w:highlight w:val="none"/>
        </w:rPr>
        <w:t>项目名称：</w:t>
      </w:r>
      <w:r>
        <w:rPr>
          <w:color w:val="auto"/>
          <w:sz w:val="32"/>
          <w:szCs w:val="32"/>
          <w:highlight w:val="none"/>
          <w:u w:val="single"/>
        </w:rPr>
        <w:t xml:space="preserve">                             </w:t>
      </w:r>
    </w:p>
    <w:p>
      <w:pPr>
        <w:adjustRightInd/>
        <w:spacing w:line="360" w:lineRule="auto"/>
        <w:ind w:left="1680" w:leftChars="800"/>
        <w:rPr>
          <w:color w:val="auto"/>
          <w:sz w:val="32"/>
          <w:szCs w:val="32"/>
          <w:highlight w:val="none"/>
          <w:u w:val="single"/>
        </w:rPr>
      </w:pPr>
      <w:r>
        <w:rPr>
          <w:rFonts w:hint="eastAsia"/>
          <w:color w:val="auto"/>
          <w:sz w:val="32"/>
          <w:szCs w:val="32"/>
          <w:highlight w:val="none"/>
        </w:rPr>
        <w:t>合同编号：</w:t>
      </w:r>
      <w:r>
        <w:rPr>
          <w:color w:val="auto"/>
          <w:sz w:val="32"/>
          <w:szCs w:val="32"/>
          <w:highlight w:val="none"/>
          <w:u w:val="single"/>
        </w:rPr>
        <w:t xml:space="preserve">                             </w:t>
      </w:r>
    </w:p>
    <w:p>
      <w:pPr>
        <w:adjustRightInd/>
        <w:spacing w:line="360" w:lineRule="auto"/>
        <w:ind w:left="1680" w:leftChars="800"/>
        <w:rPr>
          <w:color w:val="auto"/>
          <w:sz w:val="32"/>
          <w:szCs w:val="32"/>
          <w:highlight w:val="none"/>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pPr>
        <w:adjustRightInd/>
        <w:spacing w:line="360" w:lineRule="auto"/>
        <w:ind w:left="1680" w:leftChars="8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pPr>
        <w:adjustRightInd/>
        <w:spacing w:line="360" w:lineRule="auto"/>
        <w:ind w:left="1680" w:leftChars="800"/>
        <w:rPr>
          <w:color w:val="auto"/>
          <w:sz w:val="32"/>
          <w:szCs w:val="32"/>
          <w:highlight w:val="none"/>
        </w:rPr>
      </w:pPr>
      <w:r>
        <w:rPr>
          <w:rFonts w:hint="eastAsia"/>
          <w:color w:val="auto"/>
          <w:sz w:val="32"/>
          <w:szCs w:val="32"/>
          <w:highlight w:val="none"/>
        </w:rPr>
        <w:t>签订时间：</w:t>
      </w:r>
      <w:r>
        <w:rPr>
          <w:color w:val="auto"/>
          <w:sz w:val="32"/>
          <w:szCs w:val="32"/>
          <w:highlight w:val="none"/>
          <w:u w:val="single"/>
        </w:rPr>
        <w:t xml:space="preserve">                             </w:t>
      </w:r>
    </w:p>
    <w:p>
      <w:pPr>
        <w:adjustRightInd/>
        <w:rPr>
          <w:color w:val="auto"/>
          <w:highlight w:val="none"/>
        </w:rPr>
      </w:pPr>
    </w:p>
    <w:p>
      <w:pPr>
        <w:adjustRightInd/>
        <w:jc w:val="center"/>
        <w:outlineLvl w:val="1"/>
        <w:rPr>
          <w:rFonts w:ascii="黑体" w:hAnsi="黑体" w:eastAsia="黑体"/>
          <w:color w:val="auto"/>
          <w:sz w:val="28"/>
          <w:szCs w:val="28"/>
          <w:highlight w:val="none"/>
        </w:rPr>
      </w:pPr>
      <w:r>
        <w:rPr>
          <w:rFonts w:eastAsia="黑体"/>
          <w:color w:val="auto"/>
          <w:sz w:val="44"/>
          <w:szCs w:val="44"/>
          <w:highlight w:val="none"/>
        </w:rPr>
        <w:br w:type="page"/>
      </w:r>
      <w:bookmarkEnd w:id="443"/>
      <w:bookmarkStart w:id="444" w:name="_Toc22209"/>
      <w:r>
        <w:rPr>
          <w:rFonts w:hint="eastAsia" w:ascii="黑体" w:hAnsi="黑体" w:eastAsia="黑体"/>
          <w:color w:val="auto"/>
          <w:sz w:val="28"/>
          <w:szCs w:val="28"/>
          <w:highlight w:val="none"/>
        </w:rPr>
        <w:t>第一节 政府采购合同协议书</w:t>
      </w:r>
      <w:bookmarkEnd w:id="444"/>
    </w:p>
    <w:p>
      <w:pPr>
        <w:pStyle w:val="84"/>
        <w:rPr>
          <w:color w:val="auto"/>
          <w:highlight w:val="none"/>
        </w:rPr>
      </w:pPr>
    </w:p>
    <w:p>
      <w:pPr>
        <w:pStyle w:val="84"/>
        <w:ind w:firstLine="0"/>
        <w:rPr>
          <w:color w:val="auto"/>
          <w:highlight w:val="none"/>
        </w:rPr>
      </w:pPr>
      <w:r>
        <w:rPr>
          <w:rFonts w:hint="eastAsia"/>
          <w:color w:val="auto"/>
          <w:highlight w:val="none"/>
        </w:rPr>
        <w:t>甲方（全称）：</w:t>
      </w:r>
      <w:r>
        <w:rPr>
          <w:rFonts w:hint="eastAsia"/>
          <w:color w:val="auto"/>
          <w:highlight w:val="none"/>
          <w:u w:val="single"/>
        </w:rPr>
        <w:t xml:space="preserve">                        </w:t>
      </w:r>
      <w:r>
        <w:rPr>
          <w:rFonts w:hint="eastAsia"/>
          <w:color w:val="auto"/>
          <w:highlight w:val="none"/>
        </w:rPr>
        <w:t>（采购人、受采购人委托签订合同的单位或采购文件约定的合同甲方）</w:t>
      </w:r>
    </w:p>
    <w:p>
      <w:pPr>
        <w:pStyle w:val="84"/>
        <w:ind w:firstLine="0"/>
        <w:rPr>
          <w:color w:val="auto"/>
          <w:highlight w:val="none"/>
        </w:rPr>
      </w:pPr>
      <w:r>
        <w:rPr>
          <w:rFonts w:hint="eastAsia"/>
          <w:color w:val="auto"/>
          <w:highlight w:val="none"/>
        </w:rPr>
        <w:t>乙方1（全称）：</w:t>
      </w:r>
      <w:r>
        <w:rPr>
          <w:rFonts w:hint="eastAsia"/>
          <w:color w:val="auto"/>
          <w:highlight w:val="none"/>
          <w:u w:val="single"/>
        </w:rPr>
        <w:t xml:space="preserve">                       </w:t>
      </w:r>
      <w:r>
        <w:rPr>
          <w:rFonts w:hint="eastAsia"/>
          <w:color w:val="auto"/>
          <w:highlight w:val="none"/>
        </w:rPr>
        <w:t>（供应商）</w:t>
      </w:r>
    </w:p>
    <w:p>
      <w:pPr>
        <w:pStyle w:val="84"/>
        <w:ind w:firstLine="0"/>
        <w:rPr>
          <w:color w:val="auto"/>
          <w:highlight w:val="none"/>
        </w:rPr>
      </w:pPr>
      <w:r>
        <w:rPr>
          <w:rFonts w:hint="eastAsia"/>
          <w:color w:val="auto"/>
          <w:highlight w:val="none"/>
        </w:rPr>
        <w:t>乙方2（全称）：</w:t>
      </w:r>
      <w:r>
        <w:rPr>
          <w:rFonts w:hint="eastAsia"/>
          <w:color w:val="auto"/>
          <w:highlight w:val="none"/>
          <w:u w:val="single"/>
        </w:rPr>
        <w:t xml:space="preserve">                        </w:t>
      </w:r>
      <w:r>
        <w:rPr>
          <w:rFonts w:hint="eastAsia"/>
          <w:color w:val="auto"/>
          <w:highlight w:val="none"/>
        </w:rPr>
        <w:t>（联合体成员供应商或其他合同主体）（如有）</w:t>
      </w:r>
    </w:p>
    <w:p>
      <w:pPr>
        <w:pStyle w:val="84"/>
        <w:ind w:firstLine="0"/>
        <w:rPr>
          <w:color w:val="auto"/>
          <w:highlight w:val="none"/>
        </w:rPr>
      </w:pPr>
      <w:r>
        <w:rPr>
          <w:rFonts w:hint="eastAsia"/>
          <w:color w:val="auto"/>
          <w:highlight w:val="none"/>
        </w:rPr>
        <w:t>乙方3（全称）：</w:t>
      </w:r>
      <w:r>
        <w:rPr>
          <w:rFonts w:hint="eastAsia"/>
          <w:color w:val="auto"/>
          <w:highlight w:val="none"/>
          <w:u w:val="single"/>
        </w:rPr>
        <w:t xml:space="preserve">                         </w:t>
      </w:r>
      <w:r>
        <w:rPr>
          <w:rFonts w:hint="eastAsia"/>
          <w:color w:val="auto"/>
          <w:highlight w:val="none"/>
        </w:rPr>
        <w:t>（联合体成员供应商或其他合同主体）（如有）</w:t>
      </w:r>
    </w:p>
    <w:p>
      <w:pPr>
        <w:adjustRightInd/>
        <w:spacing w:line="400" w:lineRule="exact"/>
        <w:rPr>
          <w:color w:val="auto"/>
          <w:highlight w:val="none"/>
        </w:rPr>
      </w:pPr>
    </w:p>
    <w:p>
      <w:pPr>
        <w:pStyle w:val="84"/>
        <w:ind w:firstLine="480" w:firstLineChars="200"/>
        <w:rPr>
          <w:color w:val="auto"/>
          <w:highlight w:val="none"/>
        </w:rPr>
      </w:pPr>
      <w:r>
        <w:rPr>
          <w:rFonts w:hint="eastAsia"/>
          <w:color w:val="auto"/>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pStyle w:val="84"/>
        <w:ind w:firstLine="0"/>
        <w:rPr>
          <w:b/>
          <w:color w:val="auto"/>
          <w:highlight w:val="none"/>
        </w:rPr>
      </w:pPr>
      <w:r>
        <w:rPr>
          <w:rFonts w:hint="eastAsia"/>
          <w:b/>
          <w:color w:val="auto"/>
          <w:highlight w:val="none"/>
        </w:rPr>
        <w:t>1.项目信息</w:t>
      </w:r>
    </w:p>
    <w:p>
      <w:pPr>
        <w:pStyle w:val="84"/>
        <w:ind w:firstLine="480" w:firstLineChars="200"/>
        <w:rPr>
          <w:color w:val="auto"/>
          <w:highlight w:val="none"/>
          <w:u w:val="single"/>
        </w:rPr>
      </w:pPr>
      <w:r>
        <w:rPr>
          <w:rFonts w:hint="eastAsia"/>
          <w:color w:val="auto"/>
          <w:highlight w:val="none"/>
        </w:rPr>
        <w:t>（1）采购项目名称：</w:t>
      </w:r>
      <w:r>
        <w:rPr>
          <w:rFonts w:hint="eastAsia"/>
          <w:color w:val="auto"/>
          <w:highlight w:val="none"/>
          <w:u w:val="single"/>
        </w:rPr>
        <w:t xml:space="preserve">                                          </w:t>
      </w:r>
    </w:p>
    <w:p>
      <w:pPr>
        <w:pStyle w:val="84"/>
        <w:ind w:firstLine="1080" w:firstLineChars="450"/>
        <w:rPr>
          <w:color w:val="auto"/>
          <w:highlight w:val="none"/>
        </w:rPr>
      </w:pPr>
      <w:r>
        <w:rPr>
          <w:rFonts w:hint="eastAsia"/>
          <w:color w:val="auto"/>
          <w:highlight w:val="none"/>
        </w:rPr>
        <w:t>采购项目编号：</w:t>
      </w:r>
      <w:r>
        <w:rPr>
          <w:rFonts w:hint="eastAsia"/>
          <w:color w:val="auto"/>
          <w:highlight w:val="none"/>
          <w:u w:val="single"/>
        </w:rPr>
        <w:t xml:space="preserve">                                          </w:t>
      </w:r>
    </w:p>
    <w:p>
      <w:pPr>
        <w:pStyle w:val="84"/>
        <w:ind w:firstLine="480" w:firstLineChars="200"/>
        <w:rPr>
          <w:color w:val="auto"/>
          <w:highlight w:val="none"/>
        </w:rPr>
      </w:pPr>
      <w:r>
        <w:rPr>
          <w:rFonts w:hint="eastAsia"/>
          <w:color w:val="auto"/>
          <w:highlight w:val="none"/>
        </w:rPr>
        <w:t>（2）采购计划编号：</w:t>
      </w:r>
      <w:r>
        <w:rPr>
          <w:rFonts w:hint="eastAsia"/>
          <w:color w:val="auto"/>
          <w:highlight w:val="none"/>
          <w:u w:val="single"/>
        </w:rPr>
        <w:t xml:space="preserve">                                          </w:t>
      </w:r>
      <w:r>
        <w:rPr>
          <w:rFonts w:hint="eastAsia"/>
          <w:color w:val="auto"/>
          <w:highlight w:val="none"/>
        </w:rPr>
        <w:t xml:space="preserve"> </w:t>
      </w:r>
    </w:p>
    <w:p>
      <w:pPr>
        <w:pStyle w:val="84"/>
        <w:ind w:firstLine="480" w:firstLineChars="200"/>
        <w:rPr>
          <w:color w:val="auto"/>
          <w:highlight w:val="none"/>
        </w:rPr>
      </w:pPr>
      <w:r>
        <w:rPr>
          <w:rFonts w:hint="eastAsia"/>
          <w:color w:val="auto"/>
          <w:highlight w:val="none"/>
        </w:rPr>
        <w:t>（3）项目内容：</w:t>
      </w:r>
    </w:p>
    <w:p>
      <w:pPr>
        <w:pStyle w:val="84"/>
        <w:ind w:firstLine="480" w:firstLineChars="200"/>
        <w:rPr>
          <w:color w:val="auto"/>
          <w:highlight w:val="none"/>
        </w:rPr>
      </w:pPr>
      <w:r>
        <w:rPr>
          <w:rFonts w:hint="eastAsia"/>
          <w:color w:val="auto"/>
          <w:highlight w:val="none"/>
        </w:rPr>
        <w:t xml:space="preserve">     采购标的及数量（台/套</w:t>
      </w:r>
      <w:r>
        <w:rPr>
          <w:rFonts w:hint="eastAsia"/>
          <w:color w:val="auto"/>
          <w:highlight w:val="none"/>
          <w:lang w:val="en"/>
        </w:rPr>
        <w:t>/个/架/组等</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pPr>
        <w:pStyle w:val="84"/>
        <w:ind w:firstLine="480" w:firstLineChars="200"/>
        <w:rPr>
          <w:rFonts w:cs="宋体"/>
          <w:color w:val="auto"/>
          <w:highlight w:val="none"/>
          <w:lang w:val="en"/>
        </w:rPr>
      </w:pPr>
      <w:r>
        <w:rPr>
          <w:rFonts w:hint="eastAsia"/>
          <w:color w:val="auto"/>
          <w:highlight w:val="none"/>
        </w:rPr>
        <w:t xml:space="preserve">     </w:t>
      </w:r>
      <w:r>
        <w:rPr>
          <w:rFonts w:hint="eastAsia" w:cs="宋体"/>
          <w:color w:val="auto"/>
          <w:highlight w:val="none"/>
        </w:rPr>
        <w:t>品牌：</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lang w:val="en"/>
        </w:rPr>
        <w:t xml:space="preserve">     </w:t>
      </w:r>
      <w:r>
        <w:rPr>
          <w:rFonts w:hint="eastAsia" w:cs="宋体"/>
          <w:color w:val="auto"/>
          <w:highlight w:val="none"/>
        </w:rPr>
        <w:t>规格型号：</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u w:val="single"/>
          <w:lang w:val="en"/>
        </w:rPr>
        <w:t xml:space="preserve">   </w:t>
      </w:r>
    </w:p>
    <w:p>
      <w:pPr>
        <w:pStyle w:val="84"/>
        <w:ind w:firstLine="480" w:firstLineChars="200"/>
        <w:rPr>
          <w:color w:val="auto"/>
          <w:highlight w:val="none"/>
          <w:u w:val="single"/>
        </w:rPr>
      </w:pPr>
      <w:r>
        <w:rPr>
          <w:rFonts w:hint="eastAsia"/>
          <w:color w:val="auto"/>
          <w:highlight w:val="none"/>
        </w:rPr>
        <w:t>采购标的的技术要求、商务要求具体见附件。</w:t>
      </w:r>
    </w:p>
    <w:p>
      <w:pPr>
        <w:pStyle w:val="84"/>
        <w:ind w:firstLine="480" w:firstLineChars="200"/>
        <w:rPr>
          <w:rFonts w:cs="宋体"/>
          <w:color w:val="auto"/>
          <w:highlight w:val="none"/>
        </w:rPr>
      </w:pPr>
      <w:r>
        <w:rPr>
          <w:rFonts w:hint="eastAsia" w:cs="宋体"/>
          <w:color w:val="auto"/>
          <w:highlight w:val="none"/>
        </w:rPr>
        <w:t>①涉及信息类产品，请填写该产品关键部件的品牌、型号：</w:t>
      </w:r>
    </w:p>
    <w:p>
      <w:pPr>
        <w:pStyle w:val="84"/>
        <w:ind w:firstLine="480" w:firstLineChars="200"/>
        <w:rPr>
          <w:rFonts w:cs="宋体"/>
          <w:color w:val="auto"/>
          <w:highlight w:val="none"/>
          <w:u w:val="single"/>
        </w:rPr>
      </w:pPr>
      <w:r>
        <w:rPr>
          <w:rFonts w:hint="eastAsia" w:cs="宋体"/>
          <w:color w:val="auto"/>
          <w:highlight w:val="none"/>
        </w:rPr>
        <w:t xml:space="preserve">     标的名称：</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p>
    <w:p>
      <w:pPr>
        <w:pStyle w:val="84"/>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r>
        <w:rPr>
          <w:rFonts w:hint="eastAsia" w:cs="宋体"/>
          <w:color w:val="auto"/>
          <w:highlight w:val="none"/>
        </w:rPr>
        <w:t xml:space="preserve"> </w:t>
      </w:r>
    </w:p>
    <w:p>
      <w:pPr>
        <w:pStyle w:val="84"/>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r>
        <w:rPr>
          <w:rFonts w:hint="eastAsia" w:cs="宋体"/>
          <w:color w:val="auto"/>
          <w:highlight w:val="none"/>
        </w:rPr>
        <w:t xml:space="preserve"> </w:t>
      </w:r>
    </w:p>
    <w:p>
      <w:pPr>
        <w:pStyle w:val="84"/>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p>
    <w:p>
      <w:pPr>
        <w:pStyle w:val="84"/>
        <w:ind w:firstLine="480" w:firstLineChars="200"/>
        <w:rPr>
          <w:rFonts w:cs="宋体"/>
          <w:color w:val="auto"/>
          <w:highlight w:val="none"/>
        </w:rPr>
      </w:pPr>
      <w:r>
        <w:rPr>
          <w:rFonts w:hint="eastAsia" w:cs="宋体"/>
          <w:color w:val="auto"/>
          <w:highlight w:val="none"/>
        </w:rPr>
        <w:t>（注：关键部件是指财政部会同有关部门发布的政府采购需求标准规定的需要通过国家有关部门指定的测评机构开展的安全可靠测评的软硬件，如CPU芯片、操作系统、数据库等。）</w:t>
      </w:r>
    </w:p>
    <w:p>
      <w:pPr>
        <w:pStyle w:val="84"/>
        <w:ind w:firstLine="480" w:firstLineChars="200"/>
        <w:rPr>
          <w:rFonts w:cs="宋体"/>
          <w:color w:val="auto"/>
          <w:highlight w:val="none"/>
        </w:rPr>
      </w:pPr>
      <w:r>
        <w:rPr>
          <w:rFonts w:hint="eastAsia" w:cs="宋体"/>
          <w:color w:val="auto"/>
          <w:highlight w:val="none"/>
        </w:rPr>
        <w:t>②涉及车辆采购，请填写是否属于新能源汽车：</w:t>
      </w:r>
    </w:p>
    <w:p>
      <w:pPr>
        <w:pStyle w:val="84"/>
        <w:ind w:firstLine="480" w:firstLineChars="200"/>
        <w:rPr>
          <w:rFonts w:cs="宋体"/>
          <w:color w:val="auto"/>
          <w:highlight w:val="none"/>
        </w:rPr>
      </w:pPr>
      <w:r>
        <w:rPr>
          <w:rFonts w:cs="宋体"/>
          <w:color w:val="auto"/>
          <w:highlight w:val="none"/>
        </w:rPr>
        <w:sym w:font="Wingdings" w:char="F0A8"/>
      </w:r>
      <w:r>
        <w:rPr>
          <w:rFonts w:hint="eastAsia" w:cs="宋体"/>
          <w:color w:val="auto"/>
          <w:highlight w:val="none"/>
        </w:rPr>
        <w:t>是，《政府采购品目分类目录》底级品目名称：</w:t>
      </w:r>
      <w:r>
        <w:rPr>
          <w:rFonts w:hint="eastAsia" w:cs="宋体"/>
          <w:color w:val="auto"/>
          <w:highlight w:val="none"/>
          <w:u w:val="single"/>
        </w:rPr>
        <w:t xml:space="preserve">     </w:t>
      </w:r>
      <w:r>
        <w:rPr>
          <w:rFonts w:hint="eastAsia" w:cs="宋体"/>
          <w:color w:val="auto"/>
          <w:highlight w:val="none"/>
        </w:rPr>
        <w:t xml:space="preserve"> 数量：</w:t>
      </w:r>
      <w:r>
        <w:rPr>
          <w:rFonts w:hint="eastAsia" w:cs="宋体"/>
          <w:color w:val="auto"/>
          <w:highlight w:val="none"/>
          <w:u w:val="single"/>
        </w:rPr>
        <w:t xml:space="preserve">    </w:t>
      </w:r>
      <w:r>
        <w:rPr>
          <w:rFonts w:hint="eastAsia" w:cs="宋体"/>
          <w:color w:val="auto"/>
          <w:highlight w:val="none"/>
        </w:rPr>
        <w:t xml:space="preserve"> 金额：</w:t>
      </w:r>
      <w:r>
        <w:rPr>
          <w:rFonts w:hint="eastAsia" w:cs="宋体"/>
          <w:color w:val="auto"/>
          <w:highlight w:val="none"/>
          <w:u w:val="single"/>
        </w:rPr>
        <w:t xml:space="preserve">     </w:t>
      </w:r>
      <w:r>
        <w:rPr>
          <w:rFonts w:hint="eastAsia" w:cs="宋体"/>
          <w:color w:val="auto"/>
          <w:highlight w:val="none"/>
        </w:rPr>
        <w:t xml:space="preserve"> </w:t>
      </w:r>
    </w:p>
    <w:p>
      <w:pPr>
        <w:pStyle w:val="84"/>
        <w:ind w:firstLine="480" w:firstLineChars="200"/>
        <w:rPr>
          <w:rFonts w:cs="宋体"/>
          <w:color w:val="auto"/>
          <w:highlight w:val="none"/>
        </w:rPr>
      </w:pPr>
      <w:r>
        <w:rPr>
          <w:rFonts w:cs="宋体"/>
          <w:color w:val="auto"/>
          <w:highlight w:val="none"/>
        </w:rPr>
        <w:sym w:font="Wingdings" w:char="F0A8"/>
      </w:r>
      <w:r>
        <w:rPr>
          <w:rFonts w:hint="eastAsia" w:cs="宋体"/>
          <w:color w:val="auto"/>
          <w:highlight w:val="none"/>
        </w:rPr>
        <w:t>否</w:t>
      </w:r>
    </w:p>
    <w:p>
      <w:pPr>
        <w:pStyle w:val="84"/>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4</w:t>
      </w:r>
      <w:r>
        <w:rPr>
          <w:rFonts w:hint="eastAsia" w:cs="宋体"/>
          <w:color w:val="auto"/>
          <w:highlight w:val="none"/>
        </w:rPr>
        <w:t>）政府采购组织形式：</w:t>
      </w:r>
      <w:r>
        <w:rPr>
          <w:rFonts w:cs="宋体"/>
          <w:color w:val="auto"/>
          <w:highlight w:val="none"/>
        </w:rPr>
        <w:sym w:font="Wingdings" w:char="F0A8"/>
      </w:r>
      <w:r>
        <w:rPr>
          <w:rFonts w:hint="eastAsia" w:cs="宋体"/>
          <w:color w:val="auto"/>
          <w:highlight w:val="none"/>
        </w:rPr>
        <w:t xml:space="preserve">政府集中采购  </w:t>
      </w:r>
      <w:r>
        <w:rPr>
          <w:rFonts w:cs="宋体"/>
          <w:color w:val="auto"/>
          <w:highlight w:val="none"/>
        </w:rPr>
        <w:sym w:font="Wingdings" w:char="F0A8"/>
      </w:r>
      <w:r>
        <w:rPr>
          <w:rFonts w:hint="eastAsia" w:cs="宋体"/>
          <w:color w:val="auto"/>
          <w:highlight w:val="none"/>
        </w:rPr>
        <w:t xml:space="preserve">部门集中采购  </w:t>
      </w:r>
      <w:r>
        <w:rPr>
          <w:rFonts w:cs="宋体"/>
          <w:color w:val="auto"/>
          <w:highlight w:val="none"/>
        </w:rPr>
        <w:sym w:font="Wingdings" w:char="F0A8"/>
      </w:r>
      <w:r>
        <w:rPr>
          <w:rFonts w:hint="eastAsia" w:cs="宋体"/>
          <w:color w:val="auto"/>
          <w:highlight w:val="none"/>
        </w:rPr>
        <w:t>分散采购</w:t>
      </w:r>
    </w:p>
    <w:p>
      <w:pPr>
        <w:pStyle w:val="84"/>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5</w:t>
      </w:r>
      <w:r>
        <w:rPr>
          <w:rFonts w:hint="eastAsia" w:cs="宋体"/>
          <w:color w:val="auto"/>
          <w:highlight w:val="none"/>
        </w:rPr>
        <w:t>）政府采购方式：</w:t>
      </w:r>
      <w:r>
        <w:rPr>
          <w:rFonts w:cs="宋体"/>
          <w:color w:val="auto"/>
          <w:highlight w:val="none"/>
        </w:rPr>
        <w:sym w:font="Wingdings" w:char="F0A8"/>
      </w:r>
      <w:r>
        <w:rPr>
          <w:rFonts w:hint="eastAsia" w:cs="宋体"/>
          <w:color w:val="auto"/>
          <w:highlight w:val="none"/>
        </w:rPr>
        <w:t xml:space="preserve">公开招标 </w:t>
      </w:r>
      <w:r>
        <w:rPr>
          <w:rFonts w:cs="宋体"/>
          <w:color w:val="auto"/>
          <w:highlight w:val="none"/>
        </w:rPr>
        <w:sym w:font="Wingdings" w:char="F0A8"/>
      </w:r>
      <w:r>
        <w:rPr>
          <w:rFonts w:hint="eastAsia" w:cs="宋体"/>
          <w:color w:val="auto"/>
          <w:highlight w:val="none"/>
        </w:rPr>
        <w:t xml:space="preserve">邀请招标 </w:t>
      </w:r>
      <w:r>
        <w:rPr>
          <w:rFonts w:cs="宋体"/>
          <w:color w:val="auto"/>
          <w:highlight w:val="none"/>
        </w:rPr>
        <w:sym w:font="Wingdings" w:char="F0A8"/>
      </w:r>
      <w:r>
        <w:rPr>
          <w:rFonts w:hint="eastAsia" w:cs="宋体"/>
          <w:color w:val="auto"/>
          <w:highlight w:val="none"/>
        </w:rPr>
        <w:t xml:space="preserve">竞争性谈判 </w:t>
      </w:r>
      <w:r>
        <w:rPr>
          <w:rFonts w:cs="宋体"/>
          <w:color w:val="auto"/>
          <w:highlight w:val="none"/>
        </w:rPr>
        <w:sym w:font="Wingdings" w:char="F0A8"/>
      </w:r>
      <w:r>
        <w:rPr>
          <w:rFonts w:hint="eastAsia" w:cs="宋体"/>
          <w:color w:val="auto"/>
          <w:highlight w:val="none"/>
        </w:rPr>
        <w:t>竞争性磋商</w:t>
      </w:r>
    </w:p>
    <w:p>
      <w:pPr>
        <w:pStyle w:val="84"/>
        <w:ind w:firstLine="440" w:firstLineChars="200"/>
        <w:rPr>
          <w:rFonts w:cs="宋体"/>
          <w:color w:val="auto"/>
          <w:highlight w:val="none"/>
          <w:u w:val="single"/>
        </w:rPr>
      </w:pPr>
      <w:r>
        <w:rPr>
          <w:rFonts w:hint="eastAsia" w:eastAsia="华文楷体" w:cs="宋体"/>
          <w:color w:val="auto"/>
          <w:sz w:val="22"/>
          <w:highlight w:val="none"/>
        </w:rPr>
        <w:t xml:space="preserve">                     </w:t>
      </w:r>
      <w:r>
        <w:rPr>
          <w:rFonts w:cs="宋体"/>
          <w:color w:val="auto"/>
          <w:highlight w:val="none"/>
        </w:rPr>
        <w:sym w:font="Wingdings" w:char="F0A8"/>
      </w:r>
      <w:r>
        <w:rPr>
          <w:rFonts w:hint="eastAsia" w:cs="宋体"/>
          <w:color w:val="auto"/>
          <w:highlight w:val="none"/>
        </w:rPr>
        <w:t xml:space="preserve">询价 </w:t>
      </w:r>
      <w:r>
        <w:rPr>
          <w:rFonts w:cs="宋体"/>
          <w:color w:val="auto"/>
          <w:highlight w:val="none"/>
        </w:rPr>
        <w:sym w:font="Wingdings" w:char="F0A8"/>
      </w:r>
      <w:r>
        <w:rPr>
          <w:rFonts w:hint="eastAsia" w:cs="宋体"/>
          <w:color w:val="auto"/>
          <w:highlight w:val="none"/>
        </w:rPr>
        <w:t xml:space="preserve">单一来源 </w:t>
      </w:r>
      <w:r>
        <w:rPr>
          <w:rFonts w:cs="宋体"/>
          <w:color w:val="auto"/>
          <w:highlight w:val="none"/>
        </w:rPr>
        <w:sym w:font="Wingdings" w:char="F0A8"/>
      </w:r>
      <w:r>
        <w:rPr>
          <w:rFonts w:hint="eastAsia" w:cs="宋体"/>
          <w:color w:val="auto"/>
          <w:highlight w:val="none"/>
        </w:rPr>
        <w:t xml:space="preserve">框架协议 </w:t>
      </w:r>
      <w:r>
        <w:rPr>
          <w:rFonts w:cs="宋体"/>
          <w:color w:val="auto"/>
          <w:highlight w:val="none"/>
        </w:rPr>
        <w:sym w:font="Wingdings" w:char="F0A8"/>
      </w:r>
      <w:r>
        <w:rPr>
          <w:rFonts w:hint="eastAsia" w:cs="宋体"/>
          <w:color w:val="auto"/>
          <w:highlight w:val="none"/>
        </w:rPr>
        <w:t>其他：</w:t>
      </w:r>
      <w:r>
        <w:rPr>
          <w:rFonts w:hint="eastAsia" w:cs="宋体"/>
          <w:color w:val="auto"/>
          <w:highlight w:val="none"/>
          <w:u w:val="single"/>
        </w:rPr>
        <w:t xml:space="preserve">          </w:t>
      </w:r>
    </w:p>
    <w:p>
      <w:pPr>
        <w:pStyle w:val="84"/>
        <w:ind w:firstLine="480" w:firstLineChars="200"/>
        <w:rPr>
          <w:rFonts w:cs="宋体"/>
          <w:color w:val="auto"/>
          <w:highlight w:val="none"/>
        </w:rPr>
      </w:pPr>
      <w:r>
        <w:rPr>
          <w:rFonts w:hint="eastAsia" w:cs="宋体"/>
          <w:color w:val="auto"/>
          <w:highlight w:val="none"/>
        </w:rPr>
        <w:t>（注：在框架协议采购的第二阶段，可选择使用该合同文本）</w:t>
      </w:r>
    </w:p>
    <w:p>
      <w:pPr>
        <w:pStyle w:val="84"/>
        <w:ind w:firstLine="440" w:firstLineChars="200"/>
        <w:rPr>
          <w:color w:val="auto"/>
          <w:highlight w:val="none"/>
        </w:rPr>
      </w:pPr>
      <w:r>
        <w:rPr>
          <w:rFonts w:hint="eastAsia" w:eastAsia="华文楷体" w:cs="华文楷体"/>
          <w:color w:val="auto"/>
          <w:sz w:val="22"/>
          <w:highlight w:val="none"/>
        </w:rPr>
        <w:t>（</w:t>
      </w:r>
      <w:r>
        <w:rPr>
          <w:rFonts w:hint="eastAsia" w:eastAsia="华文楷体" w:cs="华文楷体"/>
          <w:color w:val="auto"/>
          <w:sz w:val="22"/>
          <w:highlight w:val="none"/>
          <w:lang w:val="en"/>
        </w:rPr>
        <w:t>6</w:t>
      </w:r>
      <w:r>
        <w:rPr>
          <w:rFonts w:hint="eastAsia" w:eastAsia="华文楷体" w:cs="华文楷体"/>
          <w:color w:val="auto"/>
          <w:sz w:val="22"/>
          <w:highlight w:val="none"/>
        </w:rPr>
        <w:t>）</w:t>
      </w:r>
      <w:r>
        <w:rPr>
          <w:rFonts w:hint="eastAsia"/>
          <w:color w:val="auto"/>
          <w:highlight w:val="none"/>
        </w:rPr>
        <w:t>中标（成交）采购标的制造商是否为中小企业：</w:t>
      </w:r>
      <w:r>
        <w:rPr>
          <w:color w:val="auto"/>
          <w:highlight w:val="none"/>
        </w:rPr>
        <w:sym w:font="Wingdings" w:char="F0A8"/>
      </w:r>
      <w:r>
        <w:rPr>
          <w:rFonts w:hint="eastAsia"/>
          <w:color w:val="auto"/>
          <w:highlight w:val="none"/>
        </w:rPr>
        <w:t xml:space="preserve">是      </w:t>
      </w:r>
      <w:r>
        <w:rPr>
          <w:color w:val="auto"/>
          <w:highlight w:val="none"/>
        </w:rPr>
        <w:sym w:font="Wingdings" w:char="F0A8"/>
      </w:r>
      <w:r>
        <w:rPr>
          <w:rFonts w:hint="eastAsia"/>
          <w:color w:val="auto"/>
          <w:highlight w:val="none"/>
        </w:rPr>
        <w:t>否</w:t>
      </w:r>
    </w:p>
    <w:p>
      <w:pPr>
        <w:pStyle w:val="84"/>
        <w:ind w:firstLine="480" w:firstLineChars="200"/>
        <w:rPr>
          <w:iCs/>
          <w:color w:val="auto"/>
          <w:highlight w:val="none"/>
        </w:rPr>
      </w:pPr>
      <w:r>
        <w:rPr>
          <w:rFonts w:hint="eastAsia"/>
          <w:color w:val="auto"/>
          <w:highlight w:val="none"/>
        </w:rPr>
        <w:t>本合同是否为专门面向中小企业的采购合同（中小企业预留合同）：</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pPr>
        <w:pStyle w:val="84"/>
        <w:ind w:firstLine="480" w:firstLineChars="200"/>
        <w:rPr>
          <w:iCs/>
          <w:color w:val="auto"/>
          <w:highlight w:val="none"/>
        </w:rPr>
      </w:pPr>
      <w:r>
        <w:rPr>
          <w:rFonts w:hint="eastAsia"/>
          <w:color w:val="auto"/>
          <w:highlight w:val="none"/>
        </w:rPr>
        <w:t>若本项目不专门面向中小企业采购，是否给予小微企业评审优惠：</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pPr>
        <w:pStyle w:val="84"/>
        <w:ind w:firstLine="480" w:firstLineChars="200"/>
        <w:rPr>
          <w:iCs/>
          <w:color w:val="auto"/>
          <w:highlight w:val="none"/>
        </w:rPr>
      </w:pPr>
      <w:r>
        <w:rPr>
          <w:rFonts w:hint="eastAsia"/>
          <w:color w:val="auto"/>
          <w:highlight w:val="none"/>
        </w:rPr>
        <w:t>中标（成交）采购标的制造商是否为残疾人福利性单位：</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pPr>
        <w:pStyle w:val="84"/>
        <w:ind w:firstLine="480" w:firstLineChars="200"/>
        <w:rPr>
          <w:color w:val="auto"/>
          <w:highlight w:val="none"/>
        </w:rPr>
      </w:pPr>
      <w:r>
        <w:rPr>
          <w:rFonts w:hint="eastAsia"/>
          <w:color w:val="auto"/>
          <w:highlight w:val="none"/>
        </w:rPr>
        <w:t>中标（成交）采购标的制造商是否为监狱企业：</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pPr>
        <w:pStyle w:val="84"/>
        <w:ind w:firstLine="480" w:firstLineChars="200"/>
        <w:rPr>
          <w:color w:val="auto"/>
          <w:highlight w:val="none"/>
        </w:rPr>
      </w:pPr>
      <w:r>
        <w:rPr>
          <w:rFonts w:hint="eastAsia"/>
          <w:color w:val="auto"/>
          <w:highlight w:val="none"/>
        </w:rPr>
        <w:t>（</w:t>
      </w:r>
      <w:r>
        <w:rPr>
          <w:rFonts w:hint="eastAsia"/>
          <w:color w:val="auto"/>
          <w:highlight w:val="none"/>
          <w:lang w:val="en"/>
        </w:rPr>
        <w:t>7</w:t>
      </w:r>
      <w:r>
        <w:rPr>
          <w:rFonts w:hint="eastAsia"/>
          <w:color w:val="auto"/>
          <w:highlight w:val="none"/>
        </w:rPr>
        <w:t>）合同是否分包：</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pPr>
        <w:pStyle w:val="84"/>
        <w:ind w:firstLine="480" w:firstLineChars="200"/>
        <w:rPr>
          <w:color w:val="auto"/>
          <w:highlight w:val="none"/>
          <w:u w:val="single"/>
        </w:rPr>
      </w:pPr>
      <w:r>
        <w:rPr>
          <w:rFonts w:hint="eastAsia"/>
          <w:color w:val="auto"/>
          <w:highlight w:val="none"/>
        </w:rPr>
        <w:t>分包主要内容：</w:t>
      </w:r>
      <w:r>
        <w:rPr>
          <w:rFonts w:hint="eastAsia"/>
          <w:color w:val="auto"/>
          <w:highlight w:val="none"/>
          <w:u w:val="single"/>
        </w:rPr>
        <w:t xml:space="preserve">                                            </w:t>
      </w:r>
    </w:p>
    <w:p>
      <w:pPr>
        <w:pStyle w:val="84"/>
        <w:ind w:firstLine="480" w:firstLineChars="200"/>
        <w:rPr>
          <w:color w:val="auto"/>
          <w:highlight w:val="none"/>
        </w:rPr>
      </w:pPr>
      <w:r>
        <w:rPr>
          <w:rFonts w:hint="eastAsia"/>
          <w:color w:val="auto"/>
          <w:highlight w:val="none"/>
        </w:rPr>
        <w:t>分包供应商/制造商名称（如供应商和制造商不同，请分别填写）：</w:t>
      </w:r>
    </w:p>
    <w:p>
      <w:pPr>
        <w:pStyle w:val="84"/>
        <w:ind w:firstLine="480" w:firstLineChars="200"/>
        <w:rPr>
          <w:color w:val="auto"/>
          <w:highlight w:val="none"/>
          <w:u w:val="single"/>
        </w:rPr>
      </w:pPr>
      <w:r>
        <w:rPr>
          <w:rFonts w:hint="eastAsia"/>
          <w:color w:val="auto"/>
          <w:highlight w:val="none"/>
        </w:rPr>
        <w:t xml:space="preserve"> </w:t>
      </w:r>
      <w:r>
        <w:rPr>
          <w:rFonts w:hint="eastAsia"/>
          <w:color w:val="auto"/>
          <w:highlight w:val="none"/>
          <w:u w:val="single"/>
        </w:rPr>
        <w:t xml:space="preserve">                                                          </w:t>
      </w:r>
    </w:p>
    <w:p>
      <w:pPr>
        <w:pStyle w:val="84"/>
        <w:ind w:firstLine="480" w:firstLineChars="200"/>
        <w:rPr>
          <w:color w:val="auto"/>
          <w:highlight w:val="none"/>
        </w:rPr>
      </w:pPr>
      <w:r>
        <w:rPr>
          <w:rFonts w:hint="eastAsia"/>
          <w:color w:val="auto"/>
          <w:highlight w:val="none"/>
        </w:rPr>
        <w:t>分包供应商/制造商类型（如果供应商和制造商不同，只填写制造商类型）：</w:t>
      </w:r>
    </w:p>
    <w:p>
      <w:pPr>
        <w:pStyle w:val="84"/>
        <w:ind w:firstLine="480" w:firstLineChars="200"/>
        <w:rPr>
          <w:iCs/>
          <w:color w:val="auto"/>
          <w:highlight w:val="none"/>
        </w:rPr>
      </w:pPr>
      <w:r>
        <w:rPr>
          <w:iCs/>
          <w:color w:val="auto"/>
          <w:highlight w:val="none"/>
        </w:rPr>
        <w:sym w:font="Wingdings" w:char="F0A8"/>
      </w:r>
      <w:r>
        <w:rPr>
          <w:rFonts w:hint="eastAsia"/>
          <w:iCs/>
          <w:color w:val="auto"/>
          <w:highlight w:val="none"/>
        </w:rPr>
        <w:t xml:space="preserve">大型企业  </w:t>
      </w:r>
      <w:r>
        <w:rPr>
          <w:iCs/>
          <w:color w:val="auto"/>
          <w:highlight w:val="none"/>
        </w:rPr>
        <w:sym w:font="Wingdings" w:char="F0A8"/>
      </w:r>
      <w:r>
        <w:rPr>
          <w:rFonts w:hint="eastAsia"/>
          <w:iCs/>
          <w:color w:val="auto"/>
          <w:highlight w:val="none"/>
        </w:rPr>
        <w:t xml:space="preserve">中型企业  </w:t>
      </w:r>
      <w:r>
        <w:rPr>
          <w:iCs/>
          <w:color w:val="auto"/>
          <w:highlight w:val="none"/>
        </w:rPr>
        <w:sym w:font="Wingdings" w:char="F0A8"/>
      </w:r>
      <w:r>
        <w:rPr>
          <w:rFonts w:hint="eastAsia"/>
          <w:iCs/>
          <w:color w:val="auto"/>
          <w:highlight w:val="none"/>
        </w:rPr>
        <w:t xml:space="preserve">小微型企业  </w:t>
      </w:r>
    </w:p>
    <w:p>
      <w:pPr>
        <w:pStyle w:val="84"/>
        <w:ind w:firstLine="480" w:firstLineChars="200"/>
        <w:rPr>
          <w:rFonts w:eastAsia="华文楷体"/>
          <w:color w:val="auto"/>
          <w:highlight w:val="none"/>
        </w:rPr>
      </w:pPr>
      <w:r>
        <w:rPr>
          <w:iCs/>
          <w:color w:val="auto"/>
          <w:highlight w:val="none"/>
        </w:rPr>
        <w:sym w:font="Wingdings" w:char="F0A8"/>
      </w:r>
      <w:r>
        <w:rPr>
          <w:rFonts w:hint="eastAsia"/>
          <w:iCs/>
          <w:color w:val="auto"/>
          <w:highlight w:val="none"/>
        </w:rPr>
        <w:t xml:space="preserve">残疾人福利性单位 </w:t>
      </w:r>
      <w:r>
        <w:rPr>
          <w:iCs/>
          <w:color w:val="auto"/>
          <w:highlight w:val="none"/>
        </w:rPr>
        <w:sym w:font="Wingdings" w:char="F0A8"/>
      </w:r>
      <w:r>
        <w:rPr>
          <w:rFonts w:hint="eastAsia"/>
          <w:iCs/>
          <w:color w:val="auto"/>
          <w:highlight w:val="none"/>
        </w:rPr>
        <w:t xml:space="preserve">监狱企业 </w:t>
      </w:r>
      <w:r>
        <w:rPr>
          <w:iCs/>
          <w:color w:val="auto"/>
          <w:highlight w:val="none"/>
        </w:rPr>
        <w:sym w:font="Wingdings" w:char="F0A8"/>
      </w:r>
      <w:r>
        <w:rPr>
          <w:rFonts w:hint="eastAsia"/>
          <w:iCs/>
          <w:color w:val="auto"/>
          <w:highlight w:val="none"/>
        </w:rPr>
        <w:t>其他</w:t>
      </w:r>
    </w:p>
    <w:p>
      <w:pPr>
        <w:pStyle w:val="84"/>
        <w:ind w:firstLine="480" w:firstLineChars="200"/>
        <w:rPr>
          <w:rFonts w:cs="宋体"/>
          <w:iCs/>
          <w:color w:val="auto"/>
          <w:highlight w:val="none"/>
        </w:rPr>
      </w:pPr>
      <w:r>
        <w:rPr>
          <w:rFonts w:hint="eastAsia" w:cs="宋体"/>
          <w:color w:val="auto"/>
          <w:highlight w:val="none"/>
        </w:rPr>
        <w:t>（</w:t>
      </w:r>
      <w:r>
        <w:rPr>
          <w:rFonts w:hint="eastAsia" w:cs="宋体"/>
          <w:color w:val="auto"/>
          <w:highlight w:val="none"/>
          <w:lang w:val="en"/>
        </w:rPr>
        <w:t>8</w:t>
      </w:r>
      <w:r>
        <w:rPr>
          <w:rFonts w:hint="eastAsia" w:cs="宋体"/>
          <w:color w:val="auto"/>
          <w:highlight w:val="none"/>
        </w:rPr>
        <w:t>）中标（成交）供应商是否为外商投资企业：</w:t>
      </w:r>
      <w:r>
        <w:rPr>
          <w:rFonts w:cs="宋体"/>
          <w:iCs/>
          <w:color w:val="auto"/>
          <w:highlight w:val="none"/>
        </w:rPr>
        <w:sym w:font="Wingdings" w:char="F0A8"/>
      </w:r>
      <w:r>
        <w:rPr>
          <w:rFonts w:hint="eastAsia" w:cs="宋体"/>
          <w:iCs/>
          <w:color w:val="auto"/>
          <w:highlight w:val="none"/>
        </w:rPr>
        <w:t xml:space="preserve">是       </w:t>
      </w:r>
      <w:r>
        <w:rPr>
          <w:rFonts w:cs="宋体"/>
          <w:iCs/>
          <w:color w:val="auto"/>
          <w:highlight w:val="none"/>
        </w:rPr>
        <w:sym w:font="Wingdings" w:char="F0A8"/>
      </w:r>
      <w:r>
        <w:rPr>
          <w:rFonts w:hint="eastAsia" w:cs="宋体"/>
          <w:iCs/>
          <w:color w:val="auto"/>
          <w:highlight w:val="none"/>
        </w:rPr>
        <w:t>否</w:t>
      </w:r>
    </w:p>
    <w:p>
      <w:pPr>
        <w:pStyle w:val="84"/>
        <w:ind w:firstLine="480" w:firstLineChars="200"/>
        <w:rPr>
          <w:rFonts w:cs="宋体"/>
          <w:color w:val="auto"/>
          <w:highlight w:val="none"/>
          <w:u w:val="single"/>
        </w:rPr>
      </w:pPr>
      <w:r>
        <w:rPr>
          <w:rFonts w:hint="eastAsia" w:cs="宋体"/>
          <w:color w:val="auto"/>
          <w:highlight w:val="none"/>
        </w:rPr>
        <w:t xml:space="preserve">     外商投资企业类型：</w:t>
      </w:r>
      <w:r>
        <w:rPr>
          <w:rFonts w:cs="宋体"/>
          <w:iCs/>
          <w:color w:val="auto"/>
          <w:highlight w:val="none"/>
        </w:rPr>
        <w:sym w:font="Wingdings" w:char="F0A8"/>
      </w:r>
      <w:r>
        <w:rPr>
          <w:rFonts w:hint="eastAsia" w:cs="宋体"/>
          <w:color w:val="auto"/>
          <w:highlight w:val="none"/>
        </w:rPr>
        <w:t xml:space="preserve">全部由外国投资者投资  </w:t>
      </w:r>
      <w:r>
        <w:rPr>
          <w:rFonts w:cs="宋体"/>
          <w:iCs/>
          <w:color w:val="auto"/>
          <w:highlight w:val="none"/>
        </w:rPr>
        <w:sym w:font="Wingdings" w:char="F0A8"/>
      </w:r>
      <w:r>
        <w:rPr>
          <w:rFonts w:hint="eastAsia" w:cs="宋体"/>
          <w:iCs/>
          <w:color w:val="auto"/>
          <w:highlight w:val="none"/>
        </w:rPr>
        <w:t>部分由外国投资者投资</w:t>
      </w:r>
    </w:p>
    <w:p>
      <w:pPr>
        <w:pStyle w:val="84"/>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9</w:t>
      </w:r>
      <w:r>
        <w:rPr>
          <w:rFonts w:hint="eastAsia" w:cs="宋体"/>
          <w:color w:val="auto"/>
          <w:highlight w:val="none"/>
        </w:rPr>
        <w:t>）是否涉及进口产品：</w:t>
      </w:r>
    </w:p>
    <w:p>
      <w:pPr>
        <w:pStyle w:val="84"/>
        <w:ind w:firstLine="480" w:firstLineChars="200"/>
        <w:rPr>
          <w:rFonts w:cs="宋体"/>
          <w:color w:val="auto"/>
          <w:highlight w:val="none"/>
          <w:u w:val="single"/>
        </w:rPr>
      </w:pPr>
      <w:r>
        <w:rPr>
          <w:rFonts w:cs="宋体"/>
          <w:color w:val="auto"/>
          <w:highlight w:val="none"/>
        </w:rPr>
        <w:sym w:font="Wingdings" w:char="F0A8"/>
      </w:r>
      <w:r>
        <w:rPr>
          <w:rFonts w:hint="eastAsia" w:cs="宋体"/>
          <w:color w:val="auto"/>
          <w:highlight w:val="none"/>
        </w:rPr>
        <w:t>是，《政府采购品目分类目录》底级品目名称：</w:t>
      </w:r>
      <w:r>
        <w:rPr>
          <w:rFonts w:hint="eastAsia" w:cs="宋体"/>
          <w:color w:val="auto"/>
          <w:highlight w:val="none"/>
          <w:u w:val="single"/>
        </w:rPr>
        <w:t xml:space="preserve">         </w:t>
      </w:r>
      <w:r>
        <w:rPr>
          <w:rFonts w:hint="eastAsia" w:cs="宋体"/>
          <w:color w:val="auto"/>
          <w:highlight w:val="none"/>
        </w:rPr>
        <w:t xml:space="preserve"> 金额：</w:t>
      </w:r>
      <w:r>
        <w:rPr>
          <w:rFonts w:hint="eastAsia" w:cs="宋体"/>
          <w:color w:val="auto"/>
          <w:highlight w:val="none"/>
          <w:u w:val="single"/>
        </w:rPr>
        <w:t xml:space="preserve">        </w:t>
      </w:r>
    </w:p>
    <w:p>
      <w:pPr>
        <w:pStyle w:val="84"/>
        <w:ind w:firstLine="480" w:firstLineChars="200"/>
        <w:rPr>
          <w:color w:val="auto"/>
          <w:highlight w:val="none"/>
        </w:rPr>
      </w:pPr>
      <w:r>
        <w:rPr>
          <w:rFonts w:hint="eastAsia" w:cs="宋体"/>
          <w:color w:val="auto"/>
          <w:highlight w:val="none"/>
        </w:rPr>
        <w:t xml:space="preserve">        国别：</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规格型号：</w:t>
      </w:r>
      <w:r>
        <w:rPr>
          <w:rFonts w:hint="eastAsia" w:cs="宋体"/>
          <w:color w:val="auto"/>
          <w:highlight w:val="none"/>
          <w:u w:val="single"/>
        </w:rPr>
        <w:t xml:space="preserve">        </w:t>
      </w:r>
      <w:r>
        <w:rPr>
          <w:rFonts w:hint="eastAsia"/>
          <w:color w:val="auto"/>
          <w:highlight w:val="none"/>
        </w:rPr>
        <w:t xml:space="preserve">      </w:t>
      </w:r>
    </w:p>
    <w:p>
      <w:pPr>
        <w:pStyle w:val="84"/>
        <w:ind w:firstLine="480" w:firstLineChars="200"/>
        <w:rPr>
          <w:color w:val="auto"/>
          <w:highlight w:val="none"/>
        </w:rPr>
      </w:pPr>
      <w:r>
        <w:rPr>
          <w:color w:val="auto"/>
          <w:highlight w:val="none"/>
        </w:rPr>
        <w:sym w:font="Wingdings" w:char="F0A8"/>
      </w:r>
      <w:r>
        <w:rPr>
          <w:rFonts w:hint="eastAsia"/>
          <w:color w:val="auto"/>
          <w:highlight w:val="none"/>
        </w:rPr>
        <w:t>否</w:t>
      </w:r>
    </w:p>
    <w:p>
      <w:pPr>
        <w:pStyle w:val="84"/>
        <w:ind w:firstLine="480" w:firstLineChars="200"/>
        <w:rPr>
          <w:color w:val="auto"/>
          <w:highlight w:val="none"/>
        </w:rPr>
      </w:pPr>
      <w:r>
        <w:rPr>
          <w:rFonts w:hint="eastAsia"/>
          <w:color w:val="auto"/>
          <w:highlight w:val="none"/>
        </w:rPr>
        <w:t>（1</w:t>
      </w:r>
      <w:r>
        <w:rPr>
          <w:rFonts w:hint="eastAsia"/>
          <w:color w:val="auto"/>
          <w:highlight w:val="none"/>
          <w:lang w:val="en"/>
        </w:rPr>
        <w:t>0</w:t>
      </w:r>
      <w:r>
        <w:rPr>
          <w:rFonts w:hint="eastAsia"/>
          <w:color w:val="auto"/>
          <w:highlight w:val="none"/>
        </w:rPr>
        <w:t>）是否涉及节能产品：</w:t>
      </w:r>
    </w:p>
    <w:p>
      <w:pPr>
        <w:pStyle w:val="84"/>
        <w:ind w:firstLine="480" w:firstLineChars="200"/>
        <w:rPr>
          <w:iCs/>
          <w:color w:val="auto"/>
          <w:highlight w:val="none"/>
        </w:rPr>
      </w:pPr>
      <w:r>
        <w:rPr>
          <w:color w:val="auto"/>
          <w:highlight w:val="none"/>
        </w:rPr>
        <w:sym w:font="Wingdings" w:char="F0A8"/>
      </w:r>
      <w:r>
        <w:rPr>
          <w:rFonts w:hint="eastAsia"/>
          <w:color w:val="auto"/>
          <w:highlight w:val="none"/>
        </w:rPr>
        <w:t>是，《节能产品政府采购品目清单》的底级品目名称：</w:t>
      </w:r>
      <w:r>
        <w:rPr>
          <w:rFonts w:hint="eastAsia"/>
          <w:color w:val="auto"/>
          <w:highlight w:val="none"/>
          <w:u w:val="single"/>
        </w:rPr>
        <w:t xml:space="preserve">         </w:t>
      </w:r>
      <w:r>
        <w:rPr>
          <w:rFonts w:hint="eastAsia"/>
          <w:iCs/>
          <w:color w:val="auto"/>
          <w:highlight w:val="none"/>
        </w:rPr>
        <w:t xml:space="preserve">     </w:t>
      </w:r>
    </w:p>
    <w:p>
      <w:pPr>
        <w:pStyle w:val="84"/>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pPr>
        <w:pStyle w:val="84"/>
        <w:ind w:firstLine="480" w:firstLineChars="200"/>
        <w:rPr>
          <w:color w:val="auto"/>
          <w:highlight w:val="none"/>
        </w:rPr>
      </w:pPr>
      <w:r>
        <w:rPr>
          <w:color w:val="auto"/>
          <w:highlight w:val="none"/>
        </w:rPr>
        <w:sym w:font="Wingdings" w:char="F0A8"/>
      </w:r>
      <w:r>
        <w:rPr>
          <w:rFonts w:hint="eastAsia"/>
          <w:color w:val="auto"/>
          <w:highlight w:val="none"/>
        </w:rPr>
        <w:t>否</w:t>
      </w:r>
    </w:p>
    <w:p>
      <w:pPr>
        <w:pStyle w:val="84"/>
        <w:ind w:firstLine="480" w:firstLineChars="200"/>
        <w:rPr>
          <w:color w:val="auto"/>
          <w:highlight w:val="none"/>
        </w:rPr>
      </w:pPr>
      <w:r>
        <w:rPr>
          <w:rFonts w:hint="eastAsia"/>
          <w:color w:val="auto"/>
          <w:highlight w:val="none"/>
        </w:rPr>
        <w:t>是否涉及环境标志产品：</w:t>
      </w:r>
    </w:p>
    <w:p>
      <w:pPr>
        <w:pStyle w:val="84"/>
        <w:ind w:firstLine="480" w:firstLineChars="200"/>
        <w:rPr>
          <w:color w:val="auto"/>
          <w:highlight w:val="none"/>
        </w:rPr>
      </w:pPr>
      <w:r>
        <w:rPr>
          <w:color w:val="auto"/>
          <w:highlight w:val="none"/>
        </w:rPr>
        <w:sym w:font="Wingdings" w:char="F0A8"/>
      </w:r>
      <w:r>
        <w:rPr>
          <w:rFonts w:hint="eastAsia"/>
          <w:color w:val="auto"/>
          <w:highlight w:val="none"/>
        </w:rPr>
        <w:t>是，《环境标志产品政府采购品目清单》的底级品目名称：</w:t>
      </w:r>
      <w:r>
        <w:rPr>
          <w:rFonts w:hint="eastAsia"/>
          <w:color w:val="auto"/>
          <w:highlight w:val="none"/>
          <w:u w:val="single"/>
        </w:rPr>
        <w:t xml:space="preserve">         </w:t>
      </w:r>
      <w:r>
        <w:rPr>
          <w:rFonts w:hint="eastAsia"/>
          <w:iCs/>
          <w:color w:val="auto"/>
          <w:highlight w:val="none"/>
        </w:rPr>
        <w:t xml:space="preserve"> </w:t>
      </w:r>
    </w:p>
    <w:p>
      <w:pPr>
        <w:pStyle w:val="84"/>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pPr>
        <w:pStyle w:val="84"/>
        <w:ind w:firstLine="480" w:firstLineChars="200"/>
        <w:rPr>
          <w:color w:val="auto"/>
          <w:highlight w:val="none"/>
        </w:rPr>
      </w:pPr>
      <w:r>
        <w:rPr>
          <w:color w:val="auto"/>
          <w:highlight w:val="none"/>
        </w:rPr>
        <w:sym w:font="Wingdings" w:char="F0A8"/>
      </w:r>
      <w:r>
        <w:rPr>
          <w:rFonts w:hint="eastAsia"/>
          <w:color w:val="auto"/>
          <w:highlight w:val="none"/>
        </w:rPr>
        <w:t>否</w:t>
      </w:r>
    </w:p>
    <w:p>
      <w:pPr>
        <w:pStyle w:val="84"/>
        <w:ind w:firstLine="480" w:firstLineChars="200"/>
        <w:rPr>
          <w:color w:val="auto"/>
          <w:highlight w:val="none"/>
        </w:rPr>
      </w:pPr>
      <w:r>
        <w:rPr>
          <w:rFonts w:hint="eastAsia"/>
          <w:color w:val="auto"/>
          <w:highlight w:val="none"/>
        </w:rPr>
        <w:t xml:space="preserve">是否涉及绿色产品： </w:t>
      </w:r>
    </w:p>
    <w:p>
      <w:pPr>
        <w:pStyle w:val="84"/>
        <w:ind w:firstLine="480" w:firstLineChars="200"/>
        <w:rPr>
          <w:rFonts w:cs="华文楷体"/>
          <w:color w:val="auto"/>
          <w:sz w:val="22"/>
          <w:highlight w:val="none"/>
          <w:u w:val="single"/>
        </w:rPr>
      </w:pPr>
      <w:r>
        <w:rPr>
          <w:color w:val="auto"/>
          <w:highlight w:val="none"/>
        </w:rPr>
        <w:sym w:font="Wingdings" w:char="F0A8"/>
      </w:r>
      <w:r>
        <w:rPr>
          <w:rFonts w:hint="eastAsia"/>
          <w:color w:val="auto"/>
          <w:highlight w:val="none"/>
        </w:rPr>
        <w:t>是，绿色产品政府采购相关政策确定的底级品目名称：</w:t>
      </w:r>
      <w:r>
        <w:rPr>
          <w:rFonts w:hint="eastAsia" w:cs="华文楷体"/>
          <w:color w:val="auto"/>
          <w:sz w:val="22"/>
          <w:highlight w:val="none"/>
          <w:u w:val="single"/>
        </w:rPr>
        <w:t xml:space="preserve">         </w:t>
      </w:r>
    </w:p>
    <w:p>
      <w:pPr>
        <w:pStyle w:val="84"/>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pPr>
        <w:pStyle w:val="84"/>
        <w:ind w:firstLine="480" w:firstLineChars="200"/>
        <w:rPr>
          <w:rFonts w:eastAsia="华文楷体" w:cs="华文楷体"/>
          <w:color w:val="auto"/>
          <w:highlight w:val="none"/>
        </w:rPr>
      </w:pPr>
      <w:r>
        <w:rPr>
          <w:color w:val="auto"/>
          <w:highlight w:val="none"/>
        </w:rPr>
        <w:sym w:font="Wingdings" w:char="F0A8"/>
      </w:r>
      <w:r>
        <w:rPr>
          <w:rFonts w:hint="eastAsia"/>
          <w:color w:val="auto"/>
          <w:highlight w:val="none"/>
        </w:rPr>
        <w:t>否</w:t>
      </w:r>
    </w:p>
    <w:p>
      <w:pPr>
        <w:pStyle w:val="84"/>
        <w:ind w:firstLine="480" w:firstLineChars="200"/>
        <w:rPr>
          <w:color w:val="auto"/>
          <w:highlight w:val="none"/>
        </w:rPr>
      </w:pPr>
      <w:r>
        <w:rPr>
          <w:rFonts w:hint="eastAsia"/>
          <w:color w:val="auto"/>
          <w:highlight w:val="none"/>
        </w:rPr>
        <w:t>（1</w:t>
      </w:r>
      <w:r>
        <w:rPr>
          <w:rFonts w:hint="eastAsia"/>
          <w:color w:val="auto"/>
          <w:highlight w:val="none"/>
          <w:lang w:val="en"/>
        </w:rPr>
        <w:t>1</w:t>
      </w:r>
      <w:r>
        <w:rPr>
          <w:rFonts w:hint="eastAsia"/>
          <w:color w:val="auto"/>
          <w:highlight w:val="none"/>
        </w:rPr>
        <w:t>）涉及商品包装和快递包装的，是否参考《商品包装政府采购需求标准（试行）》、《快递包装政府采购需求标准（试行）》明确产品及相关快递服务的具体包装要求：</w:t>
      </w:r>
    </w:p>
    <w:p>
      <w:pPr>
        <w:pStyle w:val="84"/>
        <w:ind w:firstLine="480" w:firstLineChars="200"/>
        <w:rPr>
          <w:color w:val="auto"/>
          <w:highlight w:val="none"/>
        </w:rPr>
      </w:pPr>
      <w:r>
        <w:rPr>
          <w:color w:val="auto"/>
          <w:highlight w:val="none"/>
        </w:rPr>
        <w:sym w:font="Wingdings" w:char="F0A8"/>
      </w:r>
      <w:r>
        <w:rPr>
          <w:rFonts w:hint="eastAsia"/>
          <w:color w:val="auto"/>
          <w:highlight w:val="none"/>
        </w:rPr>
        <w:t xml:space="preserve">是       </w:t>
      </w:r>
      <w:r>
        <w:rPr>
          <w:color w:val="auto"/>
          <w:highlight w:val="none"/>
        </w:rPr>
        <w:sym w:font="Wingdings" w:char="F0A8"/>
      </w:r>
      <w:r>
        <w:rPr>
          <w:rFonts w:hint="eastAsia"/>
          <w:color w:val="auto"/>
          <w:highlight w:val="none"/>
        </w:rPr>
        <w:t xml:space="preserve">否      </w:t>
      </w:r>
      <w:r>
        <w:rPr>
          <w:color w:val="auto"/>
          <w:highlight w:val="none"/>
        </w:rPr>
        <w:sym w:font="Wingdings" w:char="F0A8"/>
      </w:r>
      <w:r>
        <w:rPr>
          <w:rFonts w:hint="eastAsia"/>
          <w:color w:val="auto"/>
          <w:highlight w:val="none"/>
        </w:rPr>
        <w:t>不涉及</w:t>
      </w:r>
    </w:p>
    <w:p>
      <w:pPr>
        <w:pStyle w:val="84"/>
        <w:ind w:firstLineChars="200"/>
        <w:rPr>
          <w:b/>
          <w:color w:val="auto"/>
          <w:highlight w:val="none"/>
        </w:rPr>
      </w:pPr>
      <w:r>
        <w:rPr>
          <w:rFonts w:hint="eastAsia"/>
          <w:b/>
          <w:color w:val="auto"/>
          <w:highlight w:val="none"/>
        </w:rPr>
        <w:t>2.合同金额</w:t>
      </w:r>
    </w:p>
    <w:p>
      <w:pPr>
        <w:pStyle w:val="84"/>
        <w:ind w:firstLine="480" w:firstLineChars="200"/>
        <w:rPr>
          <w:color w:val="auto"/>
          <w:highlight w:val="none"/>
        </w:rPr>
      </w:pPr>
      <w:r>
        <w:rPr>
          <w:rFonts w:hint="eastAsia"/>
          <w:color w:val="auto"/>
          <w:highlight w:val="none"/>
        </w:rPr>
        <w:t>（1）合同金额小写：</w:t>
      </w:r>
      <w:r>
        <w:rPr>
          <w:rFonts w:hint="eastAsia"/>
          <w:color w:val="auto"/>
          <w:highlight w:val="none"/>
          <w:u w:val="single"/>
        </w:rPr>
        <w:t xml:space="preserve">                           </w:t>
      </w:r>
    </w:p>
    <w:p>
      <w:pPr>
        <w:pStyle w:val="84"/>
        <w:ind w:firstLine="480" w:firstLineChars="200"/>
        <w:rPr>
          <w:color w:val="auto"/>
          <w:highlight w:val="none"/>
          <w:u w:val="single"/>
        </w:rPr>
      </w:pPr>
      <w:r>
        <w:rPr>
          <w:rFonts w:hint="eastAsia"/>
          <w:color w:val="auto"/>
          <w:highlight w:val="none"/>
        </w:rPr>
        <w:t xml:space="preserve">             大写：</w:t>
      </w:r>
      <w:r>
        <w:rPr>
          <w:rFonts w:hint="eastAsia"/>
          <w:color w:val="auto"/>
          <w:highlight w:val="none"/>
          <w:u w:val="single"/>
        </w:rPr>
        <w:t xml:space="preserve">                           </w:t>
      </w:r>
    </w:p>
    <w:p>
      <w:pPr>
        <w:pStyle w:val="84"/>
        <w:ind w:firstLine="480" w:firstLineChars="200"/>
        <w:rPr>
          <w:color w:val="auto"/>
          <w:highlight w:val="none"/>
        </w:rPr>
      </w:pPr>
      <w:r>
        <w:rPr>
          <w:rFonts w:hint="eastAsia"/>
          <w:color w:val="auto"/>
          <w:highlight w:val="none"/>
        </w:rPr>
        <w:t xml:space="preserve">     分包金额（如有）小写：</w:t>
      </w:r>
      <w:r>
        <w:rPr>
          <w:rFonts w:hint="eastAsia"/>
          <w:color w:val="auto"/>
          <w:highlight w:val="none"/>
          <w:u w:val="single"/>
        </w:rPr>
        <w:t xml:space="preserve">                   </w:t>
      </w:r>
    </w:p>
    <w:p>
      <w:pPr>
        <w:pStyle w:val="84"/>
        <w:ind w:firstLine="480" w:firstLineChars="200"/>
        <w:rPr>
          <w:color w:val="auto"/>
          <w:highlight w:val="none"/>
          <w:u w:val="single"/>
        </w:rPr>
      </w:pPr>
      <w:r>
        <w:rPr>
          <w:rFonts w:hint="eastAsia"/>
          <w:color w:val="auto"/>
          <w:highlight w:val="none"/>
        </w:rPr>
        <w:t xml:space="preserve">                     大写：</w:t>
      </w:r>
      <w:r>
        <w:rPr>
          <w:rFonts w:hint="eastAsia"/>
          <w:color w:val="auto"/>
          <w:highlight w:val="none"/>
          <w:u w:val="single"/>
        </w:rPr>
        <w:t xml:space="preserve">                   </w:t>
      </w:r>
    </w:p>
    <w:p>
      <w:pPr>
        <w:pStyle w:val="84"/>
        <w:ind w:firstLine="480" w:firstLineChars="200"/>
        <w:rPr>
          <w:color w:val="auto"/>
          <w:highlight w:val="none"/>
        </w:rPr>
      </w:pPr>
      <w:r>
        <w:rPr>
          <w:rFonts w:hint="eastAsia"/>
          <w:color w:val="auto"/>
          <w:highlight w:val="none"/>
        </w:rPr>
        <w:t xml:space="preserve">    （注：固定单价合同应填写单价和最高限价）</w:t>
      </w:r>
    </w:p>
    <w:p>
      <w:pPr>
        <w:pStyle w:val="84"/>
        <w:ind w:firstLine="480" w:firstLineChars="200"/>
        <w:rPr>
          <w:color w:val="auto"/>
          <w:highlight w:val="none"/>
        </w:rPr>
      </w:pPr>
      <w:r>
        <w:rPr>
          <w:rFonts w:hint="eastAsia"/>
          <w:color w:val="auto"/>
          <w:highlight w:val="none"/>
        </w:rPr>
        <w:t>（2）合同定价方式（采用组合定价方式的，可以勾选多项）：</w:t>
      </w:r>
    </w:p>
    <w:p>
      <w:pPr>
        <w:pStyle w:val="84"/>
        <w:ind w:firstLine="480" w:firstLineChars="200"/>
        <w:rPr>
          <w:color w:val="auto"/>
          <w:highlight w:val="none"/>
        </w:rPr>
      </w:pPr>
      <w:r>
        <w:rPr>
          <w:iCs/>
          <w:color w:val="auto"/>
          <w:highlight w:val="none"/>
        </w:rPr>
        <w:sym w:font="Wingdings" w:char="F0A8"/>
      </w:r>
      <w:r>
        <w:rPr>
          <w:rFonts w:hint="eastAsia"/>
          <w:iCs/>
          <w:color w:val="auto"/>
          <w:highlight w:val="none"/>
        </w:rPr>
        <w:t xml:space="preserve">固定总价 </w:t>
      </w:r>
      <w:r>
        <w:rPr>
          <w:iCs/>
          <w:color w:val="auto"/>
          <w:highlight w:val="none"/>
        </w:rPr>
        <w:sym w:font="Wingdings" w:char="F0FE"/>
      </w:r>
      <w:r>
        <w:rPr>
          <w:rFonts w:hint="eastAsia"/>
          <w:iCs/>
          <w:color w:val="auto"/>
          <w:highlight w:val="none"/>
        </w:rPr>
        <w:t xml:space="preserve">固定单价 </w:t>
      </w:r>
      <w:r>
        <w:rPr>
          <w:iCs/>
          <w:color w:val="auto"/>
          <w:highlight w:val="none"/>
        </w:rPr>
        <w:sym w:font="Wingdings" w:char="F0A8"/>
      </w:r>
      <w:r>
        <w:rPr>
          <w:rFonts w:hint="eastAsia"/>
          <w:iCs/>
          <w:color w:val="auto"/>
          <w:highlight w:val="none"/>
        </w:rPr>
        <w:t xml:space="preserve">固定费率 </w:t>
      </w:r>
      <w:r>
        <w:rPr>
          <w:iCs/>
          <w:color w:val="auto"/>
          <w:highlight w:val="none"/>
        </w:rPr>
        <w:sym w:font="Wingdings" w:char="F0A8"/>
      </w:r>
      <w:r>
        <w:rPr>
          <w:rFonts w:hint="eastAsia"/>
          <w:iCs/>
          <w:color w:val="auto"/>
          <w:highlight w:val="none"/>
        </w:rPr>
        <w:t xml:space="preserve">成本补偿 </w:t>
      </w:r>
      <w:r>
        <w:rPr>
          <w:iCs/>
          <w:color w:val="auto"/>
          <w:highlight w:val="none"/>
        </w:rPr>
        <w:sym w:font="Wingdings" w:char="F0A8"/>
      </w:r>
      <w:r>
        <w:rPr>
          <w:rFonts w:hint="eastAsia"/>
          <w:iCs/>
          <w:color w:val="auto"/>
          <w:highlight w:val="none"/>
        </w:rPr>
        <w:t xml:space="preserve">绩效激励 </w:t>
      </w:r>
      <w:r>
        <w:rPr>
          <w:iCs/>
          <w:color w:val="auto"/>
          <w:highlight w:val="none"/>
        </w:rPr>
        <w:sym w:font="Wingdings" w:char="F0A8"/>
      </w:r>
      <w:r>
        <w:rPr>
          <w:rFonts w:hint="eastAsia"/>
          <w:iCs/>
          <w:color w:val="auto"/>
          <w:highlight w:val="none"/>
        </w:rPr>
        <w:t>其他</w:t>
      </w:r>
      <w:r>
        <w:rPr>
          <w:rFonts w:hint="eastAsia"/>
          <w:color w:val="auto"/>
          <w:highlight w:val="none"/>
          <w:u w:val="single"/>
        </w:rPr>
        <w:t xml:space="preserve">       </w:t>
      </w:r>
    </w:p>
    <w:p>
      <w:pPr>
        <w:pStyle w:val="84"/>
        <w:ind w:firstLine="480" w:firstLineChars="200"/>
        <w:rPr>
          <w:color w:val="auto"/>
          <w:highlight w:val="none"/>
        </w:rPr>
      </w:pPr>
      <w:r>
        <w:rPr>
          <w:rFonts w:hint="eastAsia"/>
          <w:color w:val="auto"/>
          <w:highlight w:val="none"/>
        </w:rPr>
        <w:t>（3）付款方式（按项目实际勾选填写）：</w:t>
      </w:r>
    </w:p>
    <w:p>
      <w:pPr>
        <w:pStyle w:val="84"/>
        <w:ind w:firstLine="480" w:firstLineChars="200"/>
        <w:rPr>
          <w:color w:val="auto"/>
          <w:highlight w:val="none"/>
          <w:u w:val="single"/>
        </w:rPr>
      </w:pPr>
      <w:r>
        <w:rPr>
          <w:color w:val="auto"/>
          <w:highlight w:val="none"/>
        </w:rPr>
        <w:sym w:font="Wingdings" w:char="F0A8"/>
      </w:r>
      <w:r>
        <w:rPr>
          <w:rFonts w:hint="eastAsia"/>
          <w:color w:val="auto"/>
          <w:highlight w:val="none"/>
        </w:rPr>
        <w:t>全额付款：</w:t>
      </w:r>
      <w:r>
        <w:rPr>
          <w:rFonts w:hint="eastAsia"/>
          <w:color w:val="auto"/>
          <w:highlight w:val="none"/>
          <w:u w:val="single"/>
        </w:rPr>
        <w:t xml:space="preserve">     （应明确一次性支付合同款项的条件）                    </w:t>
      </w:r>
    </w:p>
    <w:p>
      <w:pPr>
        <w:pStyle w:val="84"/>
        <w:ind w:firstLine="480" w:firstLineChars="200"/>
        <w:rPr>
          <w:color w:val="auto"/>
          <w:highlight w:val="none"/>
        </w:rPr>
      </w:pPr>
      <w:r>
        <w:rPr>
          <w:color w:val="auto"/>
          <w:highlight w:val="none"/>
        </w:rPr>
        <w:sym w:font="Wingdings" w:char="F0A8"/>
      </w:r>
      <w:r>
        <w:rPr>
          <w:rFonts w:hint="eastAsia"/>
          <w:color w:val="auto"/>
          <w:highlight w:val="none"/>
        </w:rPr>
        <w:t>分期付款：</w:t>
      </w:r>
      <w:r>
        <w:rPr>
          <w:rFonts w:hint="eastAsia"/>
          <w:color w:val="auto"/>
          <w:highlight w:val="none"/>
          <w:u w:val="single"/>
        </w:rPr>
        <w:t xml:space="preserve">  （应明确分期支付合同款项的各期比例和支付条件，各期支付条件应与分期履约验收情况挂钩） </w:t>
      </w:r>
      <w:r>
        <w:rPr>
          <w:rFonts w:hint="eastAsia"/>
          <w:color w:val="auto"/>
          <w:highlight w:val="none"/>
        </w:rPr>
        <w:t>，其中涉及预付款的：</w:t>
      </w:r>
      <w:r>
        <w:rPr>
          <w:rFonts w:hint="eastAsia"/>
          <w:color w:val="auto"/>
          <w:highlight w:val="none"/>
          <w:u w:val="single"/>
        </w:rPr>
        <w:t xml:space="preserve"> （应明确预付款的支付比例和支付条件） </w:t>
      </w:r>
    </w:p>
    <w:p>
      <w:pPr>
        <w:pStyle w:val="84"/>
        <w:ind w:firstLine="480" w:firstLineChars="200"/>
        <w:rPr>
          <w:color w:val="auto"/>
          <w:highlight w:val="none"/>
          <w:u w:val="single"/>
        </w:rPr>
      </w:pPr>
      <w:r>
        <w:rPr>
          <w:color w:val="auto"/>
          <w:highlight w:val="none"/>
        </w:rPr>
        <w:sym w:font="Wingdings" w:char="F0A8"/>
      </w:r>
      <w:r>
        <w:rPr>
          <w:rFonts w:hint="eastAsia"/>
          <w:color w:val="auto"/>
          <w:highlight w:val="none"/>
        </w:rPr>
        <w:t>成本补偿：</w:t>
      </w:r>
      <w:r>
        <w:rPr>
          <w:rFonts w:hint="eastAsia"/>
          <w:color w:val="auto"/>
          <w:highlight w:val="none"/>
          <w:u w:val="single"/>
        </w:rPr>
        <w:t xml:space="preserve">      （应明确按照成本补偿方式的支付方式和支付条件）   </w:t>
      </w:r>
    </w:p>
    <w:p>
      <w:pPr>
        <w:pStyle w:val="84"/>
        <w:ind w:firstLine="480" w:firstLineChars="200"/>
        <w:rPr>
          <w:color w:val="auto"/>
          <w:highlight w:val="none"/>
        </w:rPr>
      </w:pPr>
      <w:r>
        <w:rPr>
          <w:color w:val="auto"/>
          <w:highlight w:val="none"/>
        </w:rPr>
        <w:sym w:font="Wingdings" w:char="F0A8"/>
      </w:r>
      <w:r>
        <w:rPr>
          <w:rFonts w:hint="eastAsia"/>
          <w:color w:val="auto"/>
          <w:highlight w:val="none"/>
        </w:rPr>
        <w:t>绩效激励：</w:t>
      </w:r>
      <w:r>
        <w:rPr>
          <w:rFonts w:hint="eastAsia"/>
          <w:color w:val="auto"/>
          <w:highlight w:val="none"/>
          <w:u w:val="single"/>
        </w:rPr>
        <w:t xml:space="preserve">      （应明确按照绩效激励方式的支付方式和支付条件）   </w:t>
      </w:r>
    </w:p>
    <w:p>
      <w:pPr>
        <w:pStyle w:val="84"/>
        <w:ind w:firstLineChars="200"/>
        <w:rPr>
          <w:b/>
          <w:color w:val="auto"/>
          <w:highlight w:val="none"/>
          <w:u w:val="single"/>
        </w:rPr>
      </w:pPr>
      <w:r>
        <w:rPr>
          <w:rFonts w:hint="eastAsia"/>
          <w:b/>
          <w:color w:val="auto"/>
          <w:highlight w:val="none"/>
        </w:rPr>
        <w:t>3.合同履行</w:t>
      </w:r>
    </w:p>
    <w:p>
      <w:pPr>
        <w:pStyle w:val="84"/>
        <w:ind w:firstLine="480" w:firstLineChars="200"/>
        <w:rPr>
          <w:rFonts w:cs="宋体"/>
          <w:color w:val="auto"/>
          <w:highlight w:val="none"/>
        </w:rPr>
      </w:pPr>
      <w:r>
        <w:rPr>
          <w:rFonts w:hint="eastAsia" w:cs="宋体"/>
          <w:color w:val="auto"/>
          <w:highlight w:val="none"/>
        </w:rPr>
        <w:t>（1）起始日期：</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日，完成日期：</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w:t>
      </w:r>
    </w:p>
    <w:p>
      <w:pPr>
        <w:pStyle w:val="84"/>
        <w:ind w:firstLine="480" w:firstLineChars="200"/>
        <w:rPr>
          <w:rFonts w:cs="宋体"/>
          <w:color w:val="auto"/>
          <w:highlight w:val="none"/>
          <w:u w:val="single"/>
        </w:rPr>
      </w:pPr>
      <w:r>
        <w:rPr>
          <w:rFonts w:hint="eastAsia" w:cs="宋体"/>
          <w:color w:val="auto"/>
          <w:highlight w:val="none"/>
        </w:rPr>
        <w:t>（2）履约地点</w:t>
      </w:r>
      <w:r>
        <w:rPr>
          <w:rFonts w:hint="eastAsia" w:cs="宋体"/>
          <w:bCs/>
          <w:color w:val="auto"/>
          <w:highlight w:val="none"/>
        </w:rPr>
        <w:t>：</w:t>
      </w:r>
      <w:r>
        <w:rPr>
          <w:rFonts w:hint="eastAsia" w:cs="宋体"/>
          <w:color w:val="auto"/>
          <w:highlight w:val="none"/>
          <w:u w:val="single"/>
        </w:rPr>
        <w:t xml:space="preserve">                             </w:t>
      </w:r>
    </w:p>
    <w:p>
      <w:pPr>
        <w:pStyle w:val="84"/>
        <w:ind w:firstLine="480" w:firstLineChars="200"/>
        <w:rPr>
          <w:rFonts w:cs="宋体"/>
          <w:color w:val="auto"/>
          <w:highlight w:val="none"/>
        </w:rPr>
      </w:pPr>
      <w:r>
        <w:rPr>
          <w:rFonts w:hint="eastAsia" w:cs="宋体"/>
          <w:bCs/>
          <w:color w:val="auto"/>
          <w:highlight w:val="none"/>
        </w:rPr>
        <w:t>（3）履约担保：</w:t>
      </w:r>
      <w:r>
        <w:rPr>
          <w:rFonts w:hint="eastAsia" w:cs="宋体"/>
          <w:color w:val="auto"/>
          <w:highlight w:val="none"/>
        </w:rPr>
        <w:t>是否收取履约保证金：</w:t>
      </w:r>
      <w:r>
        <w:rPr>
          <w:rFonts w:cs="宋体"/>
          <w:color w:val="auto"/>
          <w:highlight w:val="none"/>
        </w:rPr>
        <w:sym w:font="Wingdings" w:char="F0A8"/>
      </w:r>
      <w:r>
        <w:rPr>
          <w:rFonts w:hint="eastAsia" w:cs="宋体"/>
          <w:color w:val="auto"/>
          <w:highlight w:val="none"/>
        </w:rPr>
        <w:t xml:space="preserve">是    </w:t>
      </w:r>
      <w:r>
        <w:rPr>
          <w:rFonts w:cs="宋体"/>
          <w:color w:val="auto"/>
          <w:highlight w:val="none"/>
        </w:rPr>
        <w:sym w:font="Wingdings" w:char="F0A8"/>
      </w:r>
      <w:r>
        <w:rPr>
          <w:rFonts w:hint="eastAsia" w:cs="宋体"/>
          <w:color w:val="auto"/>
          <w:highlight w:val="none"/>
        </w:rPr>
        <w:t>否</w:t>
      </w:r>
    </w:p>
    <w:p>
      <w:pPr>
        <w:pStyle w:val="84"/>
        <w:ind w:firstLine="480" w:firstLineChars="200"/>
        <w:rPr>
          <w:rFonts w:cs="宋体"/>
          <w:color w:val="auto"/>
          <w:highlight w:val="none"/>
        </w:rPr>
      </w:pPr>
      <w:r>
        <w:rPr>
          <w:rFonts w:hint="eastAsia" w:cs="宋体"/>
          <w:color w:val="auto"/>
          <w:highlight w:val="none"/>
        </w:rPr>
        <w:t>收取履约保证金形式：</w:t>
      </w:r>
      <w:r>
        <w:rPr>
          <w:rFonts w:hint="eastAsia" w:cs="宋体"/>
          <w:bCs/>
          <w:color w:val="auto"/>
          <w:highlight w:val="none"/>
          <w:u w:val="single"/>
        </w:rPr>
        <w:t xml:space="preserve">                            </w:t>
      </w:r>
    </w:p>
    <w:p>
      <w:pPr>
        <w:pStyle w:val="84"/>
        <w:ind w:firstLine="480" w:firstLineChars="200"/>
        <w:rPr>
          <w:rFonts w:cs="宋体"/>
          <w:color w:val="auto"/>
          <w:highlight w:val="none"/>
        </w:rPr>
      </w:pPr>
      <w:r>
        <w:rPr>
          <w:rFonts w:hint="eastAsia" w:cs="宋体"/>
          <w:color w:val="auto"/>
          <w:highlight w:val="none"/>
        </w:rPr>
        <w:t>收取履约保证金金额：</w:t>
      </w:r>
      <w:r>
        <w:rPr>
          <w:rFonts w:hint="eastAsia" w:cs="宋体"/>
          <w:bCs/>
          <w:color w:val="auto"/>
          <w:highlight w:val="none"/>
          <w:u w:val="single"/>
        </w:rPr>
        <w:t xml:space="preserve">                            </w:t>
      </w:r>
    </w:p>
    <w:p>
      <w:pPr>
        <w:pStyle w:val="84"/>
        <w:ind w:firstLine="480" w:firstLineChars="200"/>
        <w:rPr>
          <w:rFonts w:cs="宋体"/>
          <w:color w:val="auto"/>
          <w:highlight w:val="none"/>
        </w:rPr>
      </w:pPr>
      <w:r>
        <w:rPr>
          <w:rFonts w:hint="eastAsia" w:cs="宋体"/>
          <w:bCs/>
          <w:color w:val="auto"/>
          <w:highlight w:val="none"/>
        </w:rPr>
        <w:t>履约担保期限：</w:t>
      </w:r>
      <w:r>
        <w:rPr>
          <w:rFonts w:hint="eastAsia" w:cs="宋体"/>
          <w:bCs/>
          <w:color w:val="auto"/>
          <w:highlight w:val="none"/>
          <w:u w:val="single"/>
        </w:rPr>
        <w:t xml:space="preserve">                                  </w:t>
      </w:r>
    </w:p>
    <w:p>
      <w:pPr>
        <w:pStyle w:val="84"/>
        <w:ind w:firstLine="480" w:firstLineChars="200"/>
        <w:rPr>
          <w:rFonts w:cs="宋体"/>
          <w:bCs/>
          <w:color w:val="auto"/>
          <w:highlight w:val="none"/>
        </w:rPr>
      </w:pPr>
      <w:r>
        <w:rPr>
          <w:rFonts w:hint="eastAsia" w:cs="宋体"/>
          <w:bCs/>
          <w:color w:val="auto"/>
          <w:highlight w:val="none"/>
        </w:rPr>
        <w:t>（4）分期履行要求：</w:t>
      </w:r>
      <w:r>
        <w:rPr>
          <w:rFonts w:hint="eastAsia" w:cs="宋体"/>
          <w:bCs/>
          <w:color w:val="auto"/>
          <w:highlight w:val="none"/>
          <w:u w:val="single"/>
        </w:rPr>
        <w:t xml:space="preserve">                                                        </w:t>
      </w:r>
    </w:p>
    <w:p>
      <w:pPr>
        <w:pStyle w:val="84"/>
        <w:ind w:firstLine="480" w:firstLineChars="200"/>
        <w:rPr>
          <w:rFonts w:cs="宋体"/>
          <w:color w:val="auto"/>
          <w:highlight w:val="none"/>
          <w:u w:val="single"/>
        </w:rPr>
      </w:pPr>
      <w:r>
        <w:rPr>
          <w:rFonts w:hint="eastAsia" w:cs="宋体"/>
          <w:bCs/>
          <w:color w:val="auto"/>
          <w:highlight w:val="none"/>
        </w:rPr>
        <w:t>（5）风险处置措施和替代方案：</w:t>
      </w:r>
      <w:r>
        <w:rPr>
          <w:rFonts w:hint="eastAsia" w:cs="宋体"/>
          <w:color w:val="auto"/>
          <w:highlight w:val="none"/>
          <w:u w:val="single"/>
        </w:rPr>
        <w:t xml:space="preserve">                                                               </w:t>
      </w:r>
    </w:p>
    <w:p>
      <w:pPr>
        <w:pStyle w:val="84"/>
        <w:ind w:firstLineChars="200"/>
        <w:rPr>
          <w:b/>
          <w:color w:val="auto"/>
          <w:highlight w:val="none"/>
        </w:rPr>
      </w:pPr>
      <w:r>
        <w:rPr>
          <w:rFonts w:hint="eastAsia"/>
          <w:b/>
          <w:color w:val="auto"/>
          <w:highlight w:val="none"/>
        </w:rPr>
        <w:t>4.合同验收</w:t>
      </w:r>
    </w:p>
    <w:p>
      <w:pPr>
        <w:pStyle w:val="84"/>
        <w:ind w:firstLine="480" w:firstLineChars="200"/>
        <w:rPr>
          <w:bCs/>
          <w:color w:val="auto"/>
          <w:highlight w:val="none"/>
        </w:rPr>
      </w:pPr>
      <w:r>
        <w:rPr>
          <w:rFonts w:hint="eastAsia"/>
          <w:bCs/>
          <w:color w:val="auto"/>
          <w:highlight w:val="none"/>
        </w:rPr>
        <w:t>验收组织方式：</w:t>
      </w:r>
      <w:r>
        <w:rPr>
          <w:rFonts w:cs="宋体"/>
          <w:color w:val="auto"/>
          <w:highlight w:val="none"/>
        </w:rPr>
        <w:sym w:font="Wingdings" w:char="F0A8"/>
      </w:r>
      <w:r>
        <w:rPr>
          <w:rFonts w:hint="eastAsia"/>
          <w:bCs/>
          <w:color w:val="auto"/>
          <w:highlight w:val="none"/>
        </w:rPr>
        <w:t xml:space="preserve">自行组织 </w:t>
      </w:r>
      <w:r>
        <w:rPr>
          <w:rFonts w:cs="宋体"/>
          <w:color w:val="auto"/>
          <w:highlight w:val="none"/>
        </w:rPr>
        <w:sym w:font="Wingdings" w:char="F0A8"/>
      </w:r>
      <w:r>
        <w:rPr>
          <w:rFonts w:hint="eastAsia"/>
          <w:bCs/>
          <w:color w:val="auto"/>
          <w:highlight w:val="none"/>
        </w:rPr>
        <w:t>委托第三方组织</w:t>
      </w:r>
    </w:p>
    <w:p>
      <w:pPr>
        <w:pStyle w:val="84"/>
        <w:ind w:firstLine="480" w:firstLineChars="200"/>
        <w:rPr>
          <w:bCs/>
          <w:color w:val="auto"/>
          <w:highlight w:val="none"/>
        </w:rPr>
      </w:pPr>
      <w:r>
        <w:rPr>
          <w:rFonts w:hint="eastAsia"/>
          <w:bCs/>
          <w:color w:val="auto"/>
          <w:highlight w:val="none"/>
        </w:rPr>
        <w:t>验收主体：</w:t>
      </w:r>
      <w:r>
        <w:rPr>
          <w:rFonts w:hint="eastAsia"/>
          <w:bCs/>
          <w:color w:val="auto"/>
          <w:highlight w:val="none"/>
          <w:u w:val="single"/>
        </w:rPr>
        <w:t xml:space="preserve">                  </w:t>
      </w:r>
    </w:p>
    <w:p>
      <w:pPr>
        <w:pStyle w:val="84"/>
        <w:ind w:firstLine="480" w:firstLineChars="200"/>
        <w:rPr>
          <w:bCs/>
          <w:color w:val="auto"/>
          <w:highlight w:val="none"/>
        </w:rPr>
      </w:pPr>
      <w:r>
        <w:rPr>
          <w:rFonts w:hint="eastAsia"/>
          <w:bCs/>
          <w:color w:val="auto"/>
          <w:highlight w:val="none"/>
        </w:rPr>
        <w:t>是否邀请本项目的其他供应商参加验收：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pPr>
        <w:pStyle w:val="84"/>
        <w:ind w:firstLine="480" w:firstLineChars="200"/>
        <w:rPr>
          <w:bCs/>
          <w:color w:val="auto"/>
          <w:highlight w:val="none"/>
        </w:rPr>
      </w:pPr>
      <w:r>
        <w:rPr>
          <w:rFonts w:hint="eastAsia"/>
          <w:bCs/>
          <w:color w:val="auto"/>
          <w:highlight w:val="none"/>
        </w:rPr>
        <w:t>是否邀请专家参加验收：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pPr>
        <w:pStyle w:val="84"/>
        <w:ind w:firstLine="480" w:firstLineChars="200"/>
        <w:rPr>
          <w:bCs/>
          <w:color w:val="auto"/>
          <w:highlight w:val="none"/>
        </w:rPr>
      </w:pPr>
      <w:r>
        <w:rPr>
          <w:rFonts w:hint="eastAsia"/>
          <w:bCs/>
          <w:color w:val="auto"/>
          <w:highlight w:val="none"/>
        </w:rPr>
        <w:t>是否邀请服务对象参加验收：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pPr>
        <w:pStyle w:val="84"/>
        <w:ind w:firstLine="480" w:firstLineChars="200"/>
        <w:rPr>
          <w:bCs/>
          <w:color w:val="auto"/>
          <w:highlight w:val="none"/>
        </w:rPr>
      </w:pPr>
      <w:r>
        <w:rPr>
          <w:rFonts w:hint="eastAsia"/>
          <w:bCs/>
          <w:color w:val="auto"/>
          <w:highlight w:val="none"/>
        </w:rPr>
        <w:t>是否邀请第三方检测机构参加验收：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pPr>
        <w:pStyle w:val="84"/>
        <w:ind w:firstLine="480" w:firstLineChars="200"/>
        <w:rPr>
          <w:bCs/>
          <w:color w:val="auto"/>
          <w:highlight w:val="none"/>
        </w:rPr>
      </w:pPr>
      <w:r>
        <w:rPr>
          <w:rFonts w:hint="eastAsia"/>
          <w:bCs/>
          <w:color w:val="auto"/>
          <w:highlight w:val="none"/>
        </w:rPr>
        <w:t>是否进行抽查检测：</w:t>
      </w:r>
      <w:r>
        <w:rPr>
          <w:rFonts w:cs="宋体"/>
          <w:color w:val="auto"/>
          <w:highlight w:val="none"/>
        </w:rPr>
        <w:sym w:font="Wingdings" w:char="F0A8"/>
      </w:r>
      <w:r>
        <w:rPr>
          <w:rFonts w:hint="eastAsia"/>
          <w:bCs/>
          <w:color w:val="auto"/>
          <w:highlight w:val="none"/>
        </w:rPr>
        <w:t>是，抽查比例：</w:t>
      </w:r>
      <w:r>
        <w:rPr>
          <w:rFonts w:hint="eastAsia"/>
          <w:bCs/>
          <w:color w:val="auto"/>
          <w:highlight w:val="none"/>
          <w:u w:val="single"/>
        </w:rPr>
        <w:t xml:space="preserve">        </w:t>
      </w: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否</w:t>
      </w:r>
    </w:p>
    <w:p>
      <w:pPr>
        <w:pStyle w:val="84"/>
        <w:ind w:firstLine="480" w:firstLineChars="200"/>
        <w:rPr>
          <w:bCs/>
          <w:color w:val="auto"/>
          <w:highlight w:val="none"/>
          <w:u w:val="single"/>
        </w:rPr>
      </w:pPr>
      <w:r>
        <w:rPr>
          <w:rFonts w:hint="eastAsia"/>
          <w:bCs/>
          <w:color w:val="auto"/>
          <w:highlight w:val="none"/>
        </w:rPr>
        <w:t>是否存在破坏性检测：</w:t>
      </w:r>
      <w:r>
        <w:rPr>
          <w:rFonts w:cs="宋体"/>
          <w:color w:val="auto"/>
          <w:highlight w:val="none"/>
        </w:rPr>
        <w:sym w:font="Wingdings" w:char="F0A8"/>
      </w:r>
      <w:r>
        <w:rPr>
          <w:rFonts w:hint="eastAsia"/>
          <w:bCs/>
          <w:color w:val="auto"/>
          <w:highlight w:val="none"/>
        </w:rPr>
        <w:t>是，</w:t>
      </w:r>
      <w:r>
        <w:rPr>
          <w:rFonts w:hint="eastAsia"/>
          <w:bCs/>
          <w:color w:val="auto"/>
          <w:highlight w:val="none"/>
          <w:u w:val="single"/>
        </w:rPr>
        <w:t>（应明确对被破坏的检测产品的处理方式）</w:t>
      </w:r>
    </w:p>
    <w:p>
      <w:pPr>
        <w:pStyle w:val="84"/>
        <w:ind w:firstLine="480" w:firstLineChars="200"/>
        <w:rPr>
          <w:bCs/>
          <w:color w:val="auto"/>
          <w:highlight w:val="none"/>
        </w:rPr>
      </w:pP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否</w:t>
      </w:r>
    </w:p>
    <w:p>
      <w:pPr>
        <w:pStyle w:val="84"/>
        <w:ind w:firstLine="480" w:firstLineChars="200"/>
        <w:rPr>
          <w:bCs/>
          <w:color w:val="auto"/>
          <w:highlight w:val="none"/>
          <w:u w:val="single"/>
        </w:rPr>
      </w:pPr>
      <w:r>
        <w:rPr>
          <w:rFonts w:hint="eastAsia"/>
          <w:bCs/>
          <w:color w:val="auto"/>
          <w:highlight w:val="none"/>
        </w:rPr>
        <w:t>验收组织的其他事项：</w:t>
      </w:r>
      <w:r>
        <w:rPr>
          <w:rFonts w:hint="eastAsia"/>
          <w:bCs/>
          <w:color w:val="auto"/>
          <w:highlight w:val="none"/>
          <w:u w:val="single"/>
        </w:rPr>
        <w:t xml:space="preserve">                </w:t>
      </w:r>
    </w:p>
    <w:p>
      <w:pPr>
        <w:pStyle w:val="84"/>
        <w:ind w:firstLine="480" w:firstLineChars="200"/>
        <w:rPr>
          <w:bCs/>
          <w:color w:val="auto"/>
          <w:highlight w:val="none"/>
          <w:u w:val="single"/>
        </w:rPr>
      </w:pPr>
      <w:r>
        <w:rPr>
          <w:rFonts w:hint="eastAsia"/>
          <w:bCs/>
          <w:color w:val="auto"/>
          <w:highlight w:val="none"/>
        </w:rPr>
        <w:t>（2）履约验收时间：</w:t>
      </w:r>
      <w:r>
        <w:rPr>
          <w:rFonts w:hint="eastAsia"/>
          <w:bCs/>
          <w:color w:val="auto"/>
          <w:highlight w:val="none"/>
          <w:u w:val="single"/>
        </w:rPr>
        <w:t xml:space="preserve">（计划于何时验收/供应商提出验收申请之日起   日内组织验收） </w:t>
      </w:r>
    </w:p>
    <w:p>
      <w:pPr>
        <w:pStyle w:val="84"/>
        <w:ind w:firstLine="480" w:firstLineChars="200"/>
        <w:rPr>
          <w:bCs/>
          <w:color w:val="auto"/>
          <w:highlight w:val="none"/>
        </w:rPr>
      </w:pPr>
      <w:r>
        <w:rPr>
          <w:rFonts w:hint="eastAsia"/>
          <w:bCs/>
          <w:color w:val="auto"/>
          <w:highlight w:val="none"/>
        </w:rPr>
        <w:t>（3）履约验收方式：</w:t>
      </w:r>
      <w:r>
        <w:rPr>
          <w:rFonts w:cs="宋体"/>
          <w:color w:val="auto"/>
          <w:highlight w:val="none"/>
        </w:rPr>
        <w:sym w:font="Wingdings" w:char="F0A8"/>
      </w:r>
      <w:r>
        <w:rPr>
          <w:rFonts w:hint="eastAsia"/>
          <w:bCs/>
          <w:color w:val="auto"/>
          <w:highlight w:val="none"/>
        </w:rPr>
        <w:t xml:space="preserve">一次性验收         </w:t>
      </w:r>
    </w:p>
    <w:p>
      <w:pPr>
        <w:pStyle w:val="84"/>
        <w:ind w:firstLine="480" w:firstLineChars="200"/>
        <w:rPr>
          <w:bCs/>
          <w:color w:val="auto"/>
          <w:highlight w:val="none"/>
        </w:rPr>
      </w:pP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分期/分项验收：</w:t>
      </w:r>
      <w:r>
        <w:rPr>
          <w:rFonts w:hint="eastAsia"/>
          <w:bCs/>
          <w:color w:val="auto"/>
          <w:highlight w:val="none"/>
          <w:u w:val="single"/>
        </w:rPr>
        <w:t xml:space="preserve"> （应明确分期</w:t>
      </w:r>
      <w:r>
        <w:rPr>
          <w:rFonts w:hint="eastAsia"/>
          <w:bCs/>
          <w:color w:val="auto"/>
          <w:highlight w:val="none"/>
          <w:u w:val="single"/>
          <w:lang w:val="en"/>
        </w:rPr>
        <w:t>/分项验收的工作安排</w:t>
      </w:r>
      <w:r>
        <w:rPr>
          <w:rFonts w:hint="eastAsia"/>
          <w:bCs/>
          <w:color w:val="auto"/>
          <w:highlight w:val="none"/>
          <w:u w:val="single"/>
        </w:rPr>
        <w:t xml:space="preserve">）  </w:t>
      </w:r>
    </w:p>
    <w:p>
      <w:pPr>
        <w:pStyle w:val="84"/>
        <w:ind w:firstLine="480" w:firstLineChars="200"/>
        <w:rPr>
          <w:bCs/>
          <w:color w:val="auto"/>
          <w:highlight w:val="none"/>
        </w:rPr>
      </w:pPr>
      <w:r>
        <w:rPr>
          <w:rFonts w:hint="eastAsia"/>
          <w:bCs/>
          <w:color w:val="auto"/>
          <w:highlight w:val="none"/>
        </w:rPr>
        <w:t>（4）履约验收程序：</w:t>
      </w:r>
      <w:r>
        <w:rPr>
          <w:rFonts w:hint="eastAsia"/>
          <w:bCs/>
          <w:color w:val="auto"/>
          <w:highlight w:val="none"/>
          <w:u w:val="single"/>
        </w:rPr>
        <w:t xml:space="preserve">                                         </w:t>
      </w:r>
    </w:p>
    <w:p>
      <w:pPr>
        <w:pStyle w:val="84"/>
        <w:ind w:firstLine="480" w:firstLineChars="200"/>
        <w:rPr>
          <w:bCs/>
          <w:color w:val="auto"/>
          <w:highlight w:val="none"/>
          <w:u w:val="single"/>
        </w:rPr>
      </w:pPr>
      <w:r>
        <w:rPr>
          <w:rFonts w:hint="eastAsia"/>
          <w:bCs/>
          <w:color w:val="auto"/>
          <w:highlight w:val="none"/>
        </w:rPr>
        <w:t>（5）履约验收的内容：</w:t>
      </w:r>
      <w:r>
        <w:rPr>
          <w:rFonts w:hint="eastAsia"/>
          <w:bCs/>
          <w:color w:val="auto"/>
          <w:highlight w:val="none"/>
          <w:u w:val="single"/>
        </w:rPr>
        <w:t xml:space="preserve"> （应当包括每一项技术和商务要求的履约情况，特别是落实政府采购扶持中小企业，支持绿色发展和乡村振兴等政策情况）                                      </w:t>
      </w:r>
    </w:p>
    <w:p>
      <w:pPr>
        <w:pStyle w:val="84"/>
        <w:ind w:firstLine="480" w:firstLineChars="200"/>
        <w:rPr>
          <w:bCs/>
          <w:color w:val="auto"/>
          <w:highlight w:val="none"/>
          <w:u w:val="single"/>
        </w:rPr>
      </w:pPr>
      <w:r>
        <w:rPr>
          <w:rFonts w:hint="eastAsia"/>
          <w:bCs/>
          <w:color w:val="auto"/>
          <w:highlight w:val="none"/>
        </w:rPr>
        <w:t>（6）履约验收标准：</w:t>
      </w:r>
      <w:r>
        <w:rPr>
          <w:rFonts w:hint="eastAsia"/>
          <w:bCs/>
          <w:color w:val="auto"/>
          <w:highlight w:val="none"/>
          <w:u w:val="single"/>
        </w:rPr>
        <w:t xml:space="preserve">                                         </w:t>
      </w:r>
    </w:p>
    <w:p>
      <w:pPr>
        <w:pStyle w:val="84"/>
        <w:ind w:firstLine="480" w:firstLineChars="200"/>
        <w:rPr>
          <w:rFonts w:cs="宋体"/>
          <w:color w:val="auto"/>
          <w:highlight w:val="none"/>
        </w:rPr>
      </w:pPr>
      <w:r>
        <w:rPr>
          <w:rFonts w:hint="eastAsia" w:cs="宋体"/>
          <w:bCs/>
          <w:color w:val="auto"/>
          <w:highlight w:val="none"/>
        </w:rPr>
        <w:t>（7）是否以采购活动中供应商提供的样品作为参考：</w:t>
      </w:r>
      <w:r>
        <w:rPr>
          <w:rFonts w:cs="宋体"/>
          <w:color w:val="auto"/>
          <w:highlight w:val="none"/>
        </w:rPr>
        <w:sym w:font="Wingdings" w:char="F0A8"/>
      </w:r>
      <w:r>
        <w:rPr>
          <w:rFonts w:hint="eastAsia" w:cs="宋体"/>
          <w:bCs/>
          <w:color w:val="auto"/>
          <w:highlight w:val="none"/>
        </w:rPr>
        <w:t xml:space="preserve">是  </w:t>
      </w:r>
      <w:r>
        <w:rPr>
          <w:rFonts w:cs="宋体"/>
          <w:color w:val="auto"/>
          <w:highlight w:val="none"/>
        </w:rPr>
        <w:sym w:font="Wingdings" w:char="F0A8"/>
      </w:r>
      <w:r>
        <w:rPr>
          <w:rFonts w:hint="eastAsia" w:cs="宋体"/>
          <w:bCs/>
          <w:color w:val="auto"/>
          <w:highlight w:val="none"/>
        </w:rPr>
        <w:t>否</w:t>
      </w:r>
    </w:p>
    <w:p>
      <w:pPr>
        <w:pStyle w:val="84"/>
        <w:ind w:firstLine="480" w:firstLineChars="200"/>
        <w:rPr>
          <w:rFonts w:cs="宋体"/>
          <w:bCs/>
          <w:color w:val="auto"/>
          <w:highlight w:val="none"/>
          <w:u w:val="single"/>
        </w:rPr>
      </w:pPr>
      <w:r>
        <w:rPr>
          <w:rFonts w:hint="eastAsia" w:cs="宋体"/>
          <w:bCs/>
          <w:color w:val="auto"/>
          <w:highlight w:val="none"/>
        </w:rPr>
        <w:t>（8）履约验收其他事项：</w:t>
      </w:r>
      <w:r>
        <w:rPr>
          <w:rFonts w:hint="eastAsia" w:cs="宋体"/>
          <w:bCs/>
          <w:color w:val="auto"/>
          <w:highlight w:val="none"/>
          <w:u w:val="single"/>
        </w:rPr>
        <w:t xml:space="preserve">      （产权过户登记等）          </w:t>
      </w:r>
    </w:p>
    <w:p>
      <w:pPr>
        <w:pStyle w:val="84"/>
        <w:ind w:firstLineChars="200"/>
        <w:rPr>
          <w:b/>
          <w:color w:val="auto"/>
          <w:highlight w:val="none"/>
        </w:rPr>
      </w:pPr>
      <w:r>
        <w:rPr>
          <w:rFonts w:hint="eastAsia"/>
          <w:b/>
          <w:color w:val="auto"/>
          <w:highlight w:val="none"/>
        </w:rPr>
        <w:t>5.组成合同的文件</w:t>
      </w:r>
    </w:p>
    <w:p>
      <w:pPr>
        <w:pStyle w:val="84"/>
        <w:ind w:firstLine="480" w:firstLineChars="200"/>
        <w:rPr>
          <w:color w:val="auto"/>
          <w:highlight w:val="none"/>
        </w:rPr>
      </w:pPr>
      <w:r>
        <w:rPr>
          <w:rFonts w:hint="eastAsia"/>
          <w:color w:val="auto"/>
          <w:highlight w:val="none"/>
        </w:rPr>
        <w:t>本协议书与下列文件一起构成合同文件，如下述文件之间有任何抵触、矛盾或歧义，应按以下顺序解释：</w:t>
      </w:r>
    </w:p>
    <w:p>
      <w:pPr>
        <w:pStyle w:val="84"/>
        <w:ind w:firstLine="480" w:firstLineChars="200"/>
        <w:rPr>
          <w:color w:val="auto"/>
          <w:highlight w:val="none"/>
        </w:rPr>
      </w:pPr>
      <w:r>
        <w:rPr>
          <w:rFonts w:hint="eastAsia"/>
          <w:color w:val="auto"/>
          <w:highlight w:val="none"/>
        </w:rPr>
        <w:t>（1）政府采购合同协议书及其变更、补充协议</w:t>
      </w:r>
    </w:p>
    <w:p>
      <w:pPr>
        <w:pStyle w:val="84"/>
        <w:ind w:firstLine="480" w:firstLineChars="200"/>
        <w:rPr>
          <w:color w:val="auto"/>
          <w:highlight w:val="none"/>
        </w:rPr>
      </w:pPr>
      <w:r>
        <w:rPr>
          <w:rFonts w:hint="eastAsia"/>
          <w:color w:val="auto"/>
          <w:highlight w:val="none"/>
        </w:rPr>
        <w:t>（2）政府采购合同专用条款</w:t>
      </w:r>
    </w:p>
    <w:p>
      <w:pPr>
        <w:pStyle w:val="84"/>
        <w:ind w:firstLine="480" w:firstLineChars="200"/>
        <w:rPr>
          <w:color w:val="auto"/>
          <w:highlight w:val="none"/>
        </w:rPr>
      </w:pPr>
      <w:r>
        <w:rPr>
          <w:rFonts w:hint="eastAsia"/>
          <w:color w:val="auto"/>
          <w:highlight w:val="none"/>
        </w:rPr>
        <w:t>（3）政府采购合同通用条款</w:t>
      </w:r>
    </w:p>
    <w:p>
      <w:pPr>
        <w:pStyle w:val="84"/>
        <w:ind w:firstLine="480" w:firstLineChars="200"/>
        <w:rPr>
          <w:color w:val="auto"/>
          <w:highlight w:val="none"/>
        </w:rPr>
      </w:pPr>
      <w:r>
        <w:rPr>
          <w:rFonts w:hint="eastAsia"/>
          <w:color w:val="auto"/>
          <w:highlight w:val="none"/>
        </w:rPr>
        <w:t>（4）中标（成交）通知书</w:t>
      </w:r>
    </w:p>
    <w:p>
      <w:pPr>
        <w:pStyle w:val="84"/>
        <w:ind w:firstLine="480" w:firstLineChars="200"/>
        <w:rPr>
          <w:color w:val="auto"/>
          <w:highlight w:val="none"/>
        </w:rPr>
      </w:pPr>
      <w:r>
        <w:rPr>
          <w:rFonts w:hint="eastAsia"/>
          <w:color w:val="auto"/>
          <w:highlight w:val="none"/>
        </w:rPr>
        <w:t>（5）投标（响应）文件</w:t>
      </w:r>
    </w:p>
    <w:p>
      <w:pPr>
        <w:pStyle w:val="84"/>
        <w:ind w:firstLine="480" w:firstLineChars="200"/>
        <w:rPr>
          <w:color w:val="auto"/>
          <w:highlight w:val="none"/>
        </w:rPr>
      </w:pPr>
      <w:r>
        <w:rPr>
          <w:rFonts w:hint="eastAsia"/>
          <w:color w:val="auto"/>
          <w:highlight w:val="none"/>
        </w:rPr>
        <w:t>（6）采购文件</w:t>
      </w:r>
    </w:p>
    <w:p>
      <w:pPr>
        <w:pStyle w:val="84"/>
        <w:ind w:firstLine="480" w:firstLineChars="200"/>
        <w:rPr>
          <w:color w:val="auto"/>
          <w:highlight w:val="none"/>
        </w:rPr>
      </w:pPr>
      <w:r>
        <w:rPr>
          <w:rFonts w:hint="eastAsia"/>
          <w:color w:val="auto"/>
          <w:highlight w:val="none"/>
        </w:rPr>
        <w:t>（7）有关技术文件，图纸</w:t>
      </w:r>
    </w:p>
    <w:p>
      <w:pPr>
        <w:pStyle w:val="84"/>
        <w:ind w:firstLine="480" w:firstLineChars="200"/>
        <w:rPr>
          <w:rFonts w:cs="宋体"/>
          <w:color w:val="auto"/>
          <w:highlight w:val="none"/>
        </w:rPr>
      </w:pPr>
      <w:r>
        <w:rPr>
          <w:rFonts w:hint="eastAsia" w:cs="宋体"/>
          <w:color w:val="auto"/>
          <w:highlight w:val="none"/>
        </w:rPr>
        <w:t>（8）国家法律、行政法规和规章制度规定或合同约定的作为合同组成部分的其他文件</w:t>
      </w:r>
    </w:p>
    <w:p>
      <w:pPr>
        <w:pStyle w:val="84"/>
        <w:ind w:firstLineChars="200"/>
        <w:rPr>
          <w:b/>
          <w:color w:val="auto"/>
          <w:highlight w:val="none"/>
        </w:rPr>
      </w:pPr>
      <w:r>
        <w:rPr>
          <w:rFonts w:hint="eastAsia"/>
          <w:b/>
          <w:color w:val="auto"/>
          <w:highlight w:val="none"/>
        </w:rPr>
        <w:t>6.合同生效</w:t>
      </w:r>
    </w:p>
    <w:p>
      <w:pPr>
        <w:pStyle w:val="84"/>
        <w:ind w:firstLine="480" w:firstLineChars="200"/>
        <w:rPr>
          <w:color w:val="auto"/>
          <w:highlight w:val="none"/>
        </w:rPr>
      </w:pPr>
      <w:r>
        <w:rPr>
          <w:rFonts w:hint="eastAsia"/>
          <w:color w:val="auto"/>
          <w:highlight w:val="none"/>
        </w:rPr>
        <w:t>本合同自</w:t>
      </w:r>
      <w:r>
        <w:rPr>
          <w:rFonts w:hint="eastAsia"/>
          <w:color w:val="auto"/>
          <w:highlight w:val="none"/>
          <w:u w:val="single"/>
        </w:rPr>
        <w:t xml:space="preserve">                             </w:t>
      </w:r>
      <w:r>
        <w:rPr>
          <w:rFonts w:hint="eastAsia"/>
          <w:color w:val="auto"/>
          <w:highlight w:val="none"/>
        </w:rPr>
        <w:t>生效。</w:t>
      </w:r>
    </w:p>
    <w:p>
      <w:pPr>
        <w:pStyle w:val="84"/>
        <w:ind w:firstLineChars="200"/>
        <w:rPr>
          <w:b/>
          <w:color w:val="auto"/>
          <w:highlight w:val="none"/>
        </w:rPr>
      </w:pPr>
      <w:r>
        <w:rPr>
          <w:rFonts w:hint="eastAsia"/>
          <w:b/>
          <w:color w:val="auto"/>
          <w:highlight w:val="none"/>
        </w:rPr>
        <w:t>7.合同份数</w:t>
      </w:r>
    </w:p>
    <w:p>
      <w:pPr>
        <w:pStyle w:val="84"/>
        <w:ind w:firstLine="480" w:firstLineChars="200"/>
        <w:rPr>
          <w:color w:val="auto"/>
          <w:highlight w:val="none"/>
        </w:rPr>
      </w:pPr>
      <w:r>
        <w:rPr>
          <w:rFonts w:hint="eastAsia"/>
          <w:color w:val="auto"/>
          <w:highlight w:val="none"/>
        </w:rPr>
        <w:t>本合同一式</w:t>
      </w:r>
      <w:r>
        <w:rPr>
          <w:rFonts w:hint="eastAsia"/>
          <w:color w:val="auto"/>
          <w:highlight w:val="none"/>
          <w:u w:val="single"/>
        </w:rPr>
        <w:t xml:space="preserve">    </w:t>
      </w:r>
      <w:r>
        <w:rPr>
          <w:rFonts w:hint="eastAsia"/>
          <w:color w:val="auto"/>
          <w:highlight w:val="none"/>
        </w:rPr>
        <w:t>份，甲方执</w:t>
      </w:r>
      <w:r>
        <w:rPr>
          <w:rFonts w:hint="eastAsia"/>
          <w:color w:val="auto"/>
          <w:highlight w:val="none"/>
          <w:u w:val="single"/>
        </w:rPr>
        <w:t xml:space="preserve">    </w:t>
      </w:r>
      <w:r>
        <w:rPr>
          <w:rFonts w:hint="eastAsia"/>
          <w:color w:val="auto"/>
          <w:highlight w:val="none"/>
        </w:rPr>
        <w:t>份，乙方执</w:t>
      </w:r>
      <w:r>
        <w:rPr>
          <w:rFonts w:hint="eastAsia"/>
          <w:color w:val="auto"/>
          <w:highlight w:val="none"/>
          <w:u w:val="single"/>
        </w:rPr>
        <w:t xml:space="preserve">    </w:t>
      </w:r>
      <w:r>
        <w:rPr>
          <w:rFonts w:hint="eastAsia"/>
          <w:color w:val="auto"/>
          <w:highlight w:val="none"/>
        </w:rPr>
        <w:t>份，均具有同等法律效力。</w:t>
      </w:r>
    </w:p>
    <w:p>
      <w:pPr>
        <w:pStyle w:val="84"/>
        <w:ind w:firstLine="480" w:firstLineChars="200"/>
        <w:rPr>
          <w:color w:val="auto"/>
          <w:highlight w:val="none"/>
        </w:rPr>
      </w:pPr>
      <w:r>
        <w:rPr>
          <w:rFonts w:hint="eastAsia"/>
          <w:color w:val="auto"/>
          <w:highlight w:val="none"/>
        </w:rPr>
        <w:t>合同订立时间：</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84"/>
        <w:ind w:firstLine="480" w:firstLineChars="200"/>
        <w:rPr>
          <w:color w:val="auto"/>
          <w:highlight w:val="none"/>
        </w:rPr>
      </w:pPr>
      <w:r>
        <w:rPr>
          <w:rFonts w:hint="eastAsia"/>
          <w:color w:val="auto"/>
          <w:highlight w:val="none"/>
        </w:rPr>
        <w:t>合同订立地点：</w:t>
      </w:r>
      <w:r>
        <w:rPr>
          <w:rFonts w:hint="eastAsia"/>
          <w:color w:val="auto"/>
          <w:highlight w:val="none"/>
          <w:u w:val="single"/>
        </w:rPr>
        <w:t xml:space="preserve">                           </w:t>
      </w:r>
    </w:p>
    <w:p>
      <w:pPr>
        <w:pStyle w:val="84"/>
        <w:ind w:firstLine="480" w:firstLineChars="200"/>
        <w:rPr>
          <w:color w:val="auto"/>
          <w:highlight w:val="none"/>
        </w:rPr>
      </w:pPr>
      <w:r>
        <w:rPr>
          <w:rFonts w:hint="eastAsia"/>
          <w:color w:val="auto"/>
          <w:highlight w:val="none"/>
        </w:rPr>
        <w:t>附件：具体标的及其技术要求和商务要求、联合协议、分包意向协议等。</w:t>
      </w:r>
    </w:p>
    <w:p>
      <w:pPr>
        <w:pStyle w:val="84"/>
        <w:rPr>
          <w:color w:val="auto"/>
          <w:highlight w:val="none"/>
        </w:rPr>
      </w:pPr>
    </w:p>
    <w:p>
      <w:pPr>
        <w:pStyle w:val="84"/>
        <w:rPr>
          <w:color w:val="auto"/>
          <w:szCs w:val="21"/>
          <w:highlight w:val="none"/>
        </w:rPr>
      </w:pPr>
      <w:r>
        <w:rPr>
          <w:color w:val="auto"/>
          <w:highlight w:val="none"/>
          <w:lang w:val="en"/>
        </w:rPr>
        <w:t xml:space="preserve">   </w:t>
      </w:r>
    </w:p>
    <w:p>
      <w:pPr>
        <w:adjustRightInd/>
        <w:rPr>
          <w:color w:val="auto"/>
          <w:highlight w:val="none"/>
        </w:rPr>
      </w:pPr>
      <w:r>
        <w:rPr>
          <w:color w:val="auto"/>
          <w:highlight w:val="none"/>
        </w:rPr>
        <w:br w:type="page"/>
      </w:r>
    </w:p>
    <w:p>
      <w:pPr>
        <w:adjustRightInd/>
        <w:ind w:firstLine="420" w:firstLineChars="200"/>
        <w:rPr>
          <w:color w:val="auto"/>
          <w:szCs w:val="21"/>
          <w:highlight w:val="none"/>
        </w:rPr>
      </w:pPr>
    </w:p>
    <w:tbl>
      <w:tblPr>
        <w:tblStyle w:val="63"/>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9"/>
        <w:gridCol w:w="2288"/>
        <w:gridCol w:w="244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甲方（采购人</w:t>
            </w:r>
            <w:r>
              <w:rPr>
                <w:rFonts w:hint="eastAsia" w:ascii="宋体" w:hAnsi="宋体"/>
                <w:color w:val="auto"/>
                <w:sz w:val="24"/>
                <w:highlight w:val="none"/>
              </w:rPr>
              <w:t>、受采购人委托签订合同的单位或</w:t>
            </w:r>
            <w:r>
              <w:rPr>
                <w:rFonts w:hint="eastAsia" w:ascii="Calibri" w:hAnsi="Calibri"/>
                <w:color w:val="auto"/>
                <w:sz w:val="24"/>
                <w:highlight w:val="none"/>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pPr>
              <w:snapToGrid w:val="0"/>
              <w:spacing w:line="360" w:lineRule="auto"/>
              <w:ind w:firstLine="115" w:firstLineChars="48"/>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pPr>
              <w:widowControl/>
              <w:adjustRightInd/>
              <w:spacing w:line="360" w:lineRule="auto"/>
              <w:jc w:val="left"/>
              <w:rPr>
                <w:rFonts w:ascii="Calibri" w:hAnsi="Calibri"/>
                <w:color w:val="auto"/>
                <w:sz w:val="24"/>
                <w:highlight w:val="none"/>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widowControl/>
              <w:adjustRightInd/>
              <w:spacing w:line="360" w:lineRule="auto"/>
              <w:jc w:val="left"/>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pPr>
              <w:snapToGrid w:val="0"/>
              <w:spacing w:line="360" w:lineRule="auto"/>
              <w:jc w:val="left"/>
              <w:rPr>
                <w:rFonts w:ascii="Calibri" w:hAnsi="Calibri"/>
                <w:color w:val="auto"/>
                <w:spacing w:val="20"/>
                <w:sz w:val="24"/>
                <w:highlight w:val="none"/>
              </w:rPr>
            </w:pPr>
            <w:r>
              <w:rPr>
                <w:rFonts w:hint="eastAsia" w:ascii="宋体" w:hAnsi="宋体"/>
                <w:color w:val="auto"/>
                <w:sz w:val="24"/>
                <w:highlight w:val="none"/>
              </w:rPr>
              <w:t>注：涉及联合体或其他合同主体的信息应按上表格式加列。</w:t>
            </w:r>
          </w:p>
        </w:tc>
      </w:tr>
    </w:tbl>
    <w:p>
      <w:pPr>
        <w:keepNext/>
        <w:keepLines/>
        <w:snapToGrid w:val="0"/>
        <w:spacing w:before="120" w:beforeLines="50" w:line="360" w:lineRule="auto"/>
        <w:jc w:val="center"/>
        <w:outlineLvl w:val="1"/>
        <w:rPr>
          <w:rFonts w:ascii="黑体" w:hAnsi="黑体" w:eastAsia="黑体"/>
          <w:b/>
          <w:bCs/>
          <w:color w:val="auto"/>
          <w:sz w:val="28"/>
          <w:szCs w:val="28"/>
          <w:highlight w:val="none"/>
        </w:rPr>
      </w:pPr>
      <w:r>
        <w:rPr>
          <w:rFonts w:hint="eastAsia" w:ascii="宋体" w:hAnsi="宋体"/>
          <w:b/>
          <w:bCs/>
          <w:color w:val="auto"/>
          <w:szCs w:val="21"/>
          <w:highlight w:val="none"/>
          <w:u w:val="single"/>
        </w:rPr>
        <w:br w:type="page"/>
      </w:r>
      <w:bookmarkStart w:id="445" w:name="_Toc27624"/>
      <w:r>
        <w:rPr>
          <w:rFonts w:hint="eastAsia" w:ascii="黑体" w:hAnsi="黑体" w:eastAsia="黑体"/>
          <w:color w:val="auto"/>
          <w:sz w:val="28"/>
          <w:szCs w:val="28"/>
          <w:highlight w:val="none"/>
        </w:rPr>
        <w:t>第二节 政府采购合同通用条款</w:t>
      </w:r>
      <w:bookmarkEnd w:id="445"/>
    </w:p>
    <w:p>
      <w:pPr>
        <w:tabs>
          <w:tab w:val="left" w:pos="8820"/>
          <w:tab w:val="left" w:pos="9345"/>
          <w:tab w:val="left" w:pos="9765"/>
        </w:tabs>
        <w:snapToGrid w:val="0"/>
        <w:spacing w:line="360" w:lineRule="auto"/>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1.1合同当事人</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（1）采购人（以下称甲方）是指使用财政性资金，通过政府采购方式向供应商购买货物及其相关服务的国家机关、事业单位、团体组织。</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（2）供应商（以下称乙方）是指参加政府采购活动并且中标（成交），向采购人提供合同约定的货物及其相关服务的法人、非法人组织或者自然人。</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（3）其他合同主体是指除采购人和供应商以外，</w:t>
      </w:r>
      <w:r>
        <w:rPr>
          <w:rFonts w:hint="eastAsia" w:ascii="宋体" w:hAnsi="宋体" w:cs="宋体"/>
          <w:bCs/>
          <w:color w:val="auto"/>
          <w:sz w:val="24"/>
          <w:highlight w:val="none"/>
        </w:rPr>
        <w:t>依法参与合同缔结或履行，享有权利、承担义务的合同当事人</w:t>
      </w:r>
      <w:r>
        <w:rPr>
          <w:rFonts w:hint="eastAsia" w:ascii="宋体" w:hAnsi="宋体"/>
          <w:color w:val="auto"/>
          <w:sz w:val="24"/>
          <w:highlight w:val="none"/>
        </w:rPr>
        <w:t>。</w:t>
      </w:r>
    </w:p>
    <w:p>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1.2本合同下列术语应解释为：</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（1）“合同”系指</w:t>
      </w:r>
      <w:r>
        <w:rPr>
          <w:rFonts w:hint="eastAsia" w:ascii="宋体" w:hAnsi="宋体" w:cs="宋体"/>
          <w:bCs/>
          <w:color w:val="auto"/>
          <w:sz w:val="24"/>
          <w:highlight w:val="none"/>
        </w:rPr>
        <w:t>合同当事人意思表示达成一致的任何协议，包括签署的</w:t>
      </w:r>
      <w:r>
        <w:rPr>
          <w:rFonts w:hint="eastAsia" w:ascii="宋体" w:hAnsi="宋体"/>
          <w:color w:val="auto"/>
          <w:sz w:val="24"/>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 w:val="24"/>
          <w:highlight w:val="none"/>
        </w:rPr>
        <w:t>国家法律、行政法规和规章制度规定或合同约定的作为合同组成部分的其他文件</w:t>
      </w:r>
      <w:r>
        <w:rPr>
          <w:rFonts w:hint="eastAsia" w:ascii="宋体" w:hAnsi="宋体"/>
          <w:color w:val="auto"/>
          <w:sz w:val="24"/>
          <w:highlight w:val="none"/>
        </w:rPr>
        <w:t>。</w:t>
      </w:r>
    </w:p>
    <w:p>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（2）“合同价款”系指根据本合同规定乙方在全面履行合同义务后甲方应支付给乙方的价款。</w:t>
      </w:r>
    </w:p>
    <w:p>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（3）“货物”系指乙方根据本合同规定须向甲方提供的各种形态和种类的物品，包括原材料、设备、产品（包括软件）及相关的其备品备件、工具、手册及</w:t>
      </w:r>
      <w:r>
        <w:rPr>
          <w:rFonts w:hint="eastAsia" w:ascii="宋体" w:hAnsi="宋体"/>
          <w:color w:val="auto"/>
          <w:sz w:val="24"/>
          <w:highlight w:val="none"/>
          <w:lang w:val="en"/>
        </w:rPr>
        <w:t>其他</w:t>
      </w:r>
      <w:r>
        <w:rPr>
          <w:rFonts w:hint="eastAsia" w:ascii="宋体" w:hAnsi="宋体"/>
          <w:color w:val="auto"/>
          <w:sz w:val="24"/>
          <w:highlight w:val="none"/>
        </w:rPr>
        <w:t>技术资料和材料等。</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（4）“相关服务”系指根据合同规定，乙方应提供的与货物有关的技术、管理和</w:t>
      </w:r>
      <w:r>
        <w:rPr>
          <w:rFonts w:hint="eastAsia" w:ascii="宋体" w:hAnsi="宋体"/>
          <w:color w:val="auto"/>
          <w:sz w:val="24"/>
          <w:highlight w:val="none"/>
          <w:lang w:val="en"/>
        </w:rPr>
        <w:t>其他</w:t>
      </w:r>
      <w:r>
        <w:rPr>
          <w:rFonts w:hint="eastAsia" w:ascii="宋体" w:hAnsi="宋体"/>
          <w:color w:val="auto"/>
          <w:sz w:val="24"/>
          <w:highlight w:val="none"/>
        </w:rPr>
        <w:t>服务，包括但不限于：管理和质量保证、运输、保险、检验、现场准备、安装、集成、调试、培训、维修、废弃处置、技术支持等以及合同中规定乙方应承担的</w:t>
      </w:r>
      <w:r>
        <w:rPr>
          <w:rFonts w:hint="eastAsia" w:ascii="宋体" w:hAnsi="宋体"/>
          <w:color w:val="auto"/>
          <w:sz w:val="24"/>
          <w:highlight w:val="none"/>
          <w:lang w:val="en"/>
        </w:rPr>
        <w:t>其他</w:t>
      </w:r>
      <w:r>
        <w:rPr>
          <w:rFonts w:hint="eastAsia" w:ascii="宋体" w:hAnsi="宋体"/>
          <w:color w:val="auto"/>
          <w:sz w:val="24"/>
          <w:highlight w:val="none"/>
        </w:rPr>
        <w:t>义务。</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 w:val="24"/>
          <w:highlight w:val="none"/>
        </w:rPr>
        <w:t>政府采购合同专用条款</w:t>
      </w:r>
      <w:r>
        <w:rPr>
          <w:rFonts w:hint="eastAsia" w:ascii="宋体" w:hAnsi="宋体"/>
          <w:color w:val="auto"/>
          <w:sz w:val="24"/>
          <w:highlight w:val="none"/>
        </w:rPr>
        <w:t>】。</w:t>
      </w:r>
    </w:p>
    <w:p>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（7）其他术语解释，见【</w:t>
      </w:r>
      <w:r>
        <w:rPr>
          <w:rFonts w:hint="eastAsia" w:ascii="宋体" w:hAnsi="宋体"/>
          <w:b/>
          <w:bCs/>
          <w:color w:val="auto"/>
          <w:sz w:val="24"/>
          <w:highlight w:val="none"/>
        </w:rPr>
        <w:t>政府采购合同专用条款</w:t>
      </w:r>
      <w:r>
        <w:rPr>
          <w:rFonts w:hint="eastAsia" w:ascii="宋体" w:hAnsi="宋体"/>
          <w:color w:val="auto"/>
          <w:sz w:val="24"/>
          <w:highlight w:val="none"/>
        </w:rPr>
        <w:t>】。</w:t>
      </w:r>
    </w:p>
    <w:p>
      <w:pPr>
        <w:tabs>
          <w:tab w:val="left" w:pos="8820"/>
          <w:tab w:val="left" w:pos="9345"/>
          <w:tab w:val="left" w:pos="9765"/>
        </w:tabs>
        <w:snapToGrid w:val="0"/>
        <w:spacing w:line="360" w:lineRule="auto"/>
        <w:jc w:val="left"/>
        <w:rPr>
          <w:rFonts w:ascii="宋体" w:hAnsi="宋体"/>
          <w:b/>
          <w:color w:val="auto"/>
          <w:sz w:val="24"/>
          <w:highlight w:val="none"/>
        </w:rPr>
      </w:pPr>
      <w:r>
        <w:rPr>
          <w:rFonts w:hint="eastAsia" w:ascii="宋体" w:hAnsi="宋体"/>
          <w:b/>
          <w:color w:val="auto"/>
          <w:sz w:val="24"/>
          <w:highlight w:val="none"/>
        </w:rPr>
        <w:t>2. 合同标的及金额</w:t>
      </w:r>
    </w:p>
    <w:p>
      <w:pPr>
        <w:autoSpaceDE w:val="0"/>
        <w:autoSpaceDN w:val="0"/>
        <w:snapToGrid w:val="0"/>
        <w:spacing w:line="360" w:lineRule="auto"/>
        <w:ind w:firstLine="480" w:firstLineChars="200"/>
        <w:jc w:val="left"/>
        <w:rPr>
          <w:rFonts w:ascii="宋体" w:hAnsi="宋体"/>
          <w:b/>
          <w:bCs/>
          <w:i/>
          <w:iCs/>
          <w:color w:val="auto"/>
          <w:sz w:val="24"/>
          <w:highlight w:val="none"/>
        </w:rPr>
      </w:pPr>
      <w:r>
        <w:rPr>
          <w:rFonts w:hint="eastAsia" w:ascii="宋体" w:hAnsi="宋体"/>
          <w:color w:val="auto"/>
          <w:sz w:val="24"/>
          <w:highlight w:val="none"/>
        </w:rPr>
        <w:t>2.1 合同标的及金额应与中标（成交）结果一致。乙方为履行本合同而发生的所有费用均应包含在合同价款中，甲方不再另行支付</w:t>
      </w:r>
      <w:r>
        <w:rPr>
          <w:rFonts w:hint="eastAsia" w:ascii="宋体" w:hAnsi="宋体"/>
          <w:color w:val="auto"/>
          <w:sz w:val="24"/>
          <w:highlight w:val="none"/>
          <w:lang w:val="en"/>
        </w:rPr>
        <w:t>其他</w:t>
      </w:r>
      <w:r>
        <w:rPr>
          <w:rFonts w:hint="eastAsia" w:ascii="宋体" w:hAnsi="宋体"/>
          <w:color w:val="auto"/>
          <w:sz w:val="24"/>
          <w:highlight w:val="none"/>
        </w:rPr>
        <w:t>任何费用。</w:t>
      </w:r>
    </w:p>
    <w:p>
      <w:pPr>
        <w:snapToGrid w:val="0"/>
        <w:spacing w:line="360" w:lineRule="auto"/>
        <w:jc w:val="left"/>
        <w:rPr>
          <w:rFonts w:ascii="宋体" w:hAnsi="宋体"/>
          <w:b/>
          <w:color w:val="auto"/>
          <w:sz w:val="24"/>
          <w:highlight w:val="none"/>
        </w:rPr>
      </w:pPr>
      <w:r>
        <w:rPr>
          <w:rFonts w:hint="eastAsia" w:ascii="宋体" w:hAnsi="宋体"/>
          <w:b/>
          <w:color w:val="auto"/>
          <w:sz w:val="24"/>
          <w:highlight w:val="none"/>
        </w:rPr>
        <w:t>3. 履行合同的时间、地点和方式</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3.1 </w:t>
      </w:r>
      <w:r>
        <w:rPr>
          <w:rFonts w:hint="eastAsia" w:ascii="宋体" w:hAnsi="宋体" w:cs="宋体"/>
          <w:color w:val="auto"/>
          <w:sz w:val="24"/>
          <w:highlight w:val="none"/>
        </w:rPr>
        <w:t>乙方应当在约定的时间、地点，按照约定方式履行合同。</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4. 甲方的权利和义务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4.2 甲方有权要求乙方按时提交各阶段有关安排计划，并有权定期核对乙方提供货物数量、规格、质量等内容。甲方有权督促乙方工作并要求乙方更换不符合要求的货物。</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4.3 甲方有权要求乙方对缺陷部分予以修复，并按合同约定享有货物保修及其他合同约定的权利。</w:t>
      </w:r>
    </w:p>
    <w:p>
      <w:pPr>
        <w:adjustRightInd/>
        <w:snapToGrid w:val="0"/>
        <w:spacing w:line="360" w:lineRule="auto"/>
        <w:ind w:firstLine="480" w:firstLineChars="200"/>
        <w:rPr>
          <w:rFonts w:eastAsia="华文楷体"/>
          <w:color w:val="auto"/>
          <w:sz w:val="24"/>
          <w:highlight w:val="none"/>
        </w:rPr>
      </w:pPr>
      <w:r>
        <w:rPr>
          <w:rFonts w:hint="eastAsia" w:ascii="宋体" w:hAnsi="宋体"/>
          <w:color w:val="auto"/>
          <w:sz w:val="24"/>
          <w:highlight w:val="none"/>
        </w:rPr>
        <w:t>4.4 甲方应当按照合同约定及时对交付的货物进行验收，</w:t>
      </w:r>
      <w:r>
        <w:rPr>
          <w:rFonts w:hint="eastAsia" w:ascii="宋体" w:hAnsi="宋体" w:cs="宋体"/>
          <w:color w:val="auto"/>
          <w:sz w:val="24"/>
          <w:highlight w:val="none"/>
        </w:rPr>
        <w:t>未</w:t>
      </w:r>
      <w:r>
        <w:rPr>
          <w:rFonts w:hint="eastAsia" w:ascii="宋体" w:hAnsi="宋体"/>
          <w:color w:val="auto"/>
          <w:sz w:val="24"/>
          <w:highlight w:val="none"/>
        </w:rPr>
        <w:t>在</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约定的期限内对乙方履约提出任何异议或者向乙方作出任何说明的，</w:t>
      </w:r>
      <w:r>
        <w:rPr>
          <w:rFonts w:hint="eastAsia" w:ascii="宋体" w:hAnsi="宋体"/>
          <w:color w:val="auto"/>
          <w:sz w:val="24"/>
          <w:highlight w:val="none"/>
        </w:rPr>
        <w:t>视为验收通过。</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4.5 甲方应当根据合同约定及时向乙方支付合同价款，不得以内部人员变更、履行内部付款流程等为由，拒绝或迟延支付。</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4.6 国家法律法规规定及</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约定应由甲方承担的其他义务和责任。</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5. 乙方的权利和义务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5.1 签署合同后，乙方应确定项目负责人（或项目联系人），负责与本合同有关的事务。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adjustRightInd/>
        <w:spacing w:line="360" w:lineRule="auto"/>
        <w:ind w:firstLine="422" w:firstLineChars="176"/>
        <w:rPr>
          <w:rFonts w:ascii="宋体" w:hAnsi="宋体" w:cs="宋体"/>
          <w:color w:val="auto"/>
          <w:sz w:val="24"/>
          <w:highlight w:val="none"/>
        </w:rPr>
      </w:pPr>
      <w:r>
        <w:rPr>
          <w:rFonts w:hint="eastAsia" w:ascii="宋体" w:hAnsi="宋体"/>
          <w:color w:val="auto"/>
          <w:sz w:val="24"/>
          <w:highlight w:val="none"/>
        </w:rPr>
        <w:t>5.3乙方有权</w:t>
      </w:r>
      <w:r>
        <w:rPr>
          <w:rFonts w:hint="eastAsia" w:ascii="宋体" w:hAnsi="宋体" w:cs="宋体"/>
          <w:color w:val="auto"/>
          <w:sz w:val="24"/>
          <w:highlight w:val="none"/>
        </w:rPr>
        <w:t>根据合同约定向甲方收取合同价款。</w:t>
      </w:r>
    </w:p>
    <w:p>
      <w:pPr>
        <w:adjustRightInd/>
        <w:spacing w:line="360" w:lineRule="auto"/>
        <w:ind w:firstLine="422" w:firstLineChars="176"/>
        <w:rPr>
          <w:rFonts w:ascii="宋体" w:hAnsi="宋体" w:cs="宋体"/>
          <w:color w:val="auto"/>
          <w:sz w:val="24"/>
          <w:highlight w:val="none"/>
        </w:rPr>
      </w:pPr>
      <w:r>
        <w:rPr>
          <w:rFonts w:hint="eastAsia" w:ascii="宋体" w:hAnsi="宋体"/>
          <w:color w:val="auto"/>
          <w:sz w:val="24"/>
          <w:highlight w:val="none"/>
        </w:rPr>
        <w:t>5.4</w:t>
      </w:r>
      <w:r>
        <w:rPr>
          <w:rFonts w:hint="eastAsia" w:ascii="宋体" w:hAnsi="宋体" w:cs="宋体"/>
          <w:color w:val="auto"/>
          <w:sz w:val="24"/>
          <w:highlight w:val="none"/>
        </w:rPr>
        <w:t>国家法律法规规定</w:t>
      </w:r>
      <w:r>
        <w:rPr>
          <w:rFonts w:hint="eastAsia" w:ascii="宋体" w:hAnsi="宋体"/>
          <w:color w:val="auto"/>
          <w:sz w:val="24"/>
          <w:highlight w:val="none"/>
        </w:rPr>
        <w:t>及</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约定应由乙方承担的其他义务和责任。</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6.合同履行</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6.1 甲乙双方应当按照</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约定顺序履行合同义务；如果没有先后顺序的，应当同时履行。</w:t>
      </w:r>
    </w:p>
    <w:p>
      <w:pPr>
        <w:autoSpaceDE w:val="0"/>
        <w:autoSpaceDN w:val="0"/>
        <w:snapToGrid w:val="0"/>
        <w:spacing w:line="360" w:lineRule="auto"/>
        <w:ind w:firstLine="480" w:firstLineChars="200"/>
        <w:jc w:val="left"/>
        <w:rPr>
          <w:color w:val="auto"/>
          <w:sz w:val="24"/>
          <w:highlight w:val="none"/>
        </w:rPr>
      </w:pPr>
      <w:r>
        <w:rPr>
          <w:rFonts w:hint="eastAsia" w:ascii="宋体" w:hAnsi="宋体"/>
          <w:color w:val="auto"/>
          <w:sz w:val="24"/>
          <w:highlight w:val="none"/>
        </w:rPr>
        <w:t>6.2 甲乙双方按照合同约定顺序履行合同义务时，应当先履行一方未履行的，后履行一方有权拒绝其履行请求。先履行一方履行不符合约定的，后履行一方有权拒绝其相应的履行请求。</w:t>
      </w:r>
    </w:p>
    <w:p>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7.1 本合同</w:t>
      </w:r>
      <w:r>
        <w:rPr>
          <w:rFonts w:hint="eastAsia" w:ascii="宋体" w:hAnsi="宋体"/>
          <w:bCs/>
          <w:color w:val="auto"/>
          <w:sz w:val="24"/>
          <w:highlight w:val="none"/>
        </w:rPr>
        <w:t>涉及商品包装、快递包装的，</w:t>
      </w:r>
      <w:r>
        <w:rPr>
          <w:rFonts w:hint="eastAsia" w:ascii="宋体" w:hAnsi="宋体"/>
          <w:color w:val="auto"/>
          <w:sz w:val="24"/>
          <w:highlight w:val="none"/>
        </w:rPr>
        <w:t>除</w:t>
      </w:r>
      <w:r>
        <w:rPr>
          <w:rFonts w:hint="eastAsia" w:ascii="宋体" w:hAnsi="宋体"/>
          <w:b/>
          <w:color w:val="auto"/>
          <w:sz w:val="24"/>
          <w:highlight w:val="none"/>
        </w:rPr>
        <w:t>【政府采购合同专用条款】</w:t>
      </w:r>
      <w:r>
        <w:rPr>
          <w:rFonts w:hint="eastAsia" w:ascii="宋体" w:hAnsi="宋体"/>
          <w:bCs/>
          <w:color w:val="auto"/>
          <w:sz w:val="24"/>
          <w:highlight w:val="none"/>
        </w:rPr>
        <w:t>另有约定外，</w:t>
      </w:r>
      <w:r>
        <w:rPr>
          <w:rFonts w:hint="eastAsia" w:ascii="宋体" w:hAnsi="宋体"/>
          <w:color w:val="auto"/>
          <w:sz w:val="24"/>
          <w:highlight w:val="none"/>
        </w:rPr>
        <w:t>包装应适应远距离运输、防潮、防震、防锈和防野蛮装卸等要求，确保货物安全无损地运抵</w:t>
      </w:r>
      <w:r>
        <w:rPr>
          <w:rFonts w:hint="eastAsia" w:ascii="宋体" w:hAnsi="宋体"/>
          <w:b/>
          <w:color w:val="auto"/>
          <w:sz w:val="24"/>
          <w:highlight w:val="none"/>
        </w:rPr>
        <w:t>【政府采购合同专用条款】</w:t>
      </w:r>
      <w:r>
        <w:rPr>
          <w:rFonts w:hint="eastAsia" w:ascii="宋体" w:hAnsi="宋体"/>
          <w:bCs/>
          <w:color w:val="auto"/>
          <w:sz w:val="24"/>
          <w:highlight w:val="none"/>
        </w:rPr>
        <w:t>约定的</w:t>
      </w:r>
      <w:r>
        <w:rPr>
          <w:rFonts w:hint="eastAsia" w:ascii="宋体" w:hAnsi="宋体"/>
          <w:color w:val="auto"/>
          <w:sz w:val="24"/>
          <w:highlight w:val="none"/>
        </w:rPr>
        <w:t>指定现场。</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7.2 除</w:t>
      </w:r>
      <w:r>
        <w:rPr>
          <w:rFonts w:hint="eastAsia" w:ascii="宋体" w:hAnsi="宋体"/>
          <w:b/>
          <w:color w:val="auto"/>
          <w:sz w:val="24"/>
          <w:highlight w:val="none"/>
        </w:rPr>
        <w:t>【政府采购合同专用条款】</w:t>
      </w:r>
      <w:r>
        <w:rPr>
          <w:rFonts w:hint="eastAsia" w:ascii="宋体" w:hAnsi="宋体"/>
          <w:bCs/>
          <w:color w:val="auto"/>
          <w:sz w:val="24"/>
          <w:highlight w:val="none"/>
        </w:rPr>
        <w:t>另有约定外，</w:t>
      </w:r>
      <w:r>
        <w:rPr>
          <w:rFonts w:hint="eastAsia" w:ascii="宋体" w:hAnsi="宋体"/>
          <w:color w:val="auto"/>
          <w:sz w:val="24"/>
          <w:highlight w:val="none"/>
        </w:rPr>
        <w:t>乙方负责办理将货物运抵本合同规定的交货地点，并装卸、交付至甲方的一切运输事项，相关费用应包含在合同价款中。</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7.3 货物保险要求按</w:t>
      </w:r>
      <w:r>
        <w:rPr>
          <w:rFonts w:hint="eastAsia" w:ascii="宋体" w:hAnsi="宋体"/>
          <w:b/>
          <w:color w:val="auto"/>
          <w:sz w:val="24"/>
          <w:highlight w:val="none"/>
        </w:rPr>
        <w:t>【政府采购合同专用条款】</w:t>
      </w:r>
      <w:r>
        <w:rPr>
          <w:rFonts w:hint="eastAsia" w:ascii="宋体" w:hAnsi="宋体"/>
          <w:bCs/>
          <w:color w:val="auto"/>
          <w:sz w:val="24"/>
          <w:highlight w:val="none"/>
        </w:rPr>
        <w:t>规定执行</w:t>
      </w:r>
      <w:r>
        <w:rPr>
          <w:rFonts w:hint="eastAsia" w:ascii="宋体" w:hAnsi="宋体"/>
          <w:color w:val="auto"/>
          <w:sz w:val="24"/>
          <w:highlight w:val="none"/>
        </w:rPr>
        <w:t>。</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7.5 </w:t>
      </w:r>
      <w:r>
        <w:rPr>
          <w:rFonts w:hint="eastAsia" w:ascii="宋体" w:hAnsi="宋体" w:cs="宋体"/>
          <w:color w:val="auto"/>
          <w:sz w:val="24"/>
          <w:highlight w:val="none"/>
        </w:rPr>
        <w:t>乙方在运输到达之前应提前通知甲方，并提示货物运输装卸的注意事项，甲方配合乙方做好货物的接收工作。</w:t>
      </w:r>
    </w:p>
    <w:p>
      <w:pPr>
        <w:widowControl/>
        <w:autoSpaceDE w:val="0"/>
        <w:autoSpaceDN w:val="0"/>
        <w:spacing w:line="360" w:lineRule="auto"/>
        <w:ind w:firstLine="480" w:firstLineChars="200"/>
        <w:jc w:val="left"/>
        <w:rPr>
          <w:rFonts w:ascii="华文楷体" w:hAnsi="华文楷体" w:eastAsia="华文楷体" w:cs="华文楷体"/>
          <w:color w:val="auto"/>
          <w:kern w:val="0"/>
          <w:sz w:val="24"/>
          <w:highlight w:val="none"/>
        </w:rPr>
      </w:pPr>
      <w:r>
        <w:rPr>
          <w:rFonts w:hint="eastAsia" w:ascii="宋体" w:hAnsi="宋体"/>
          <w:color w:val="auto"/>
          <w:sz w:val="24"/>
          <w:highlight w:val="none"/>
        </w:rPr>
        <w:t>7.6 如因包装、运输问题导致货物损毁、丢失或者品质下降，甲方有权要求降价、换货、拒收部分或整批货物，由此产生的费用和损失，均由乙方承担。</w:t>
      </w:r>
    </w:p>
    <w:p>
      <w:pPr>
        <w:snapToGrid w:val="0"/>
        <w:spacing w:line="360" w:lineRule="auto"/>
        <w:jc w:val="left"/>
        <w:rPr>
          <w:rFonts w:ascii="宋体" w:hAnsi="宋体"/>
          <w:b/>
          <w:color w:val="auto"/>
          <w:sz w:val="24"/>
          <w:highlight w:val="none"/>
        </w:rPr>
      </w:pPr>
      <w:r>
        <w:rPr>
          <w:rFonts w:hint="eastAsia" w:ascii="宋体" w:hAnsi="宋体"/>
          <w:b/>
          <w:color w:val="auto"/>
          <w:sz w:val="24"/>
          <w:highlight w:val="none"/>
        </w:rPr>
        <w:t>8. 质量标准和保证</w:t>
      </w:r>
    </w:p>
    <w:p>
      <w:pPr>
        <w:snapToGrid w:val="0"/>
        <w:spacing w:line="360" w:lineRule="auto"/>
        <w:ind w:firstLine="480" w:firstLineChars="200"/>
        <w:jc w:val="left"/>
        <w:rPr>
          <w:rFonts w:ascii="宋体" w:hAnsi="宋体" w:cs="Courier New"/>
          <w:b/>
          <w:color w:val="auto"/>
          <w:sz w:val="24"/>
          <w:highlight w:val="none"/>
        </w:rPr>
      </w:pPr>
      <w:r>
        <w:rPr>
          <w:rFonts w:hint="eastAsia" w:ascii="宋体" w:hAnsi="宋体" w:cs="Courier New"/>
          <w:color w:val="auto"/>
          <w:sz w:val="24"/>
          <w:highlight w:val="none"/>
        </w:rPr>
        <w:t>8.1 质量标准</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（1）本合同下提供的货物应符合合同</w:t>
      </w:r>
      <w:r>
        <w:rPr>
          <w:rFonts w:hint="eastAsia" w:ascii="宋体" w:hAnsi="宋体" w:cs="宋体"/>
          <w:color w:val="auto"/>
          <w:sz w:val="24"/>
          <w:highlight w:val="none"/>
        </w:rPr>
        <w:t>约定的品牌、规格型号、技术性能、配置、质量、数量等要求。</w:t>
      </w:r>
      <w:r>
        <w:rPr>
          <w:rFonts w:hint="eastAsia" w:ascii="宋体" w:hAnsi="宋体"/>
          <w:color w:val="auto"/>
          <w:sz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snapToGrid w:val="0"/>
        <w:spacing w:line="360" w:lineRule="auto"/>
        <w:ind w:firstLine="480" w:firstLineChars="200"/>
        <w:jc w:val="left"/>
        <w:rPr>
          <w:rFonts w:ascii="宋体" w:hAnsi="宋体" w:cs="Courier New"/>
          <w:color w:val="auto"/>
          <w:sz w:val="24"/>
          <w:highlight w:val="none"/>
        </w:rPr>
      </w:pPr>
      <w:r>
        <w:rPr>
          <w:rFonts w:hint="eastAsia" w:ascii="宋体" w:hAnsi="宋体" w:cs="Courier New"/>
          <w:color w:val="auto"/>
          <w:sz w:val="24"/>
          <w:highlight w:val="none"/>
        </w:rPr>
        <w:t>（2）采用中华人民共和国法定计量单位。</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（3）乙方所提供的货物应符合国家有关安全、环保、卫生的规定。</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（4）乙方应向甲方提交所提供货物的技术文件，包括相应的中文技术文件，如：产品目录、图纸、操作手册、使用说明、维护手册或服务指南等。上述文件应包装好随货物一同发运。</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8.2 保证</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（1）乙方应保证提供的货物完全符合合同规定的质量、规格和性能要求。乙方应保证货物在正确安装、正常使用和保养条件下，</w:t>
      </w:r>
      <w:r>
        <w:rPr>
          <w:rFonts w:hint="eastAsia" w:ascii="宋体" w:hAnsi="宋体" w:cs="宋体"/>
          <w:color w:val="auto"/>
          <w:sz w:val="24"/>
          <w:highlight w:val="none"/>
        </w:rPr>
        <w:t>在其使用寿命期内具备合同约定的性能</w:t>
      </w:r>
      <w:r>
        <w:rPr>
          <w:rFonts w:hint="eastAsia" w:ascii="宋体" w:hAnsi="宋体"/>
          <w:color w:val="auto"/>
          <w:sz w:val="24"/>
          <w:highlight w:val="none"/>
        </w:rPr>
        <w:t>。存在质量保证期的，货物最终交付验收合格后在</w:t>
      </w:r>
      <w:r>
        <w:rPr>
          <w:rFonts w:hint="eastAsia" w:ascii="宋体" w:hAnsi="宋体"/>
          <w:b/>
          <w:color w:val="auto"/>
          <w:sz w:val="24"/>
          <w:highlight w:val="none"/>
        </w:rPr>
        <w:t>【政府采购合同专用条款】</w:t>
      </w:r>
      <w:r>
        <w:rPr>
          <w:rFonts w:hint="eastAsia" w:ascii="宋体" w:hAnsi="宋体"/>
          <w:color w:val="auto"/>
          <w:sz w:val="24"/>
          <w:highlight w:val="none"/>
        </w:rPr>
        <w:t>规定或乙方书面承诺（两者以较长的为准）的质量保证期内，本保证保持有效。</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（2）在质量保证期内所发现的缺陷，甲方应尽快以书面形式通知乙方。</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（3）乙方收到通知后，应在</w:t>
      </w:r>
      <w:r>
        <w:rPr>
          <w:rFonts w:hint="eastAsia" w:ascii="宋体" w:hAnsi="宋体"/>
          <w:b/>
          <w:color w:val="auto"/>
          <w:sz w:val="24"/>
          <w:highlight w:val="none"/>
        </w:rPr>
        <w:t>【政府采购合同专用条款】</w:t>
      </w:r>
      <w:r>
        <w:rPr>
          <w:rFonts w:hint="eastAsia" w:ascii="宋体" w:hAnsi="宋体"/>
          <w:color w:val="auto"/>
          <w:sz w:val="24"/>
          <w:highlight w:val="none"/>
        </w:rPr>
        <w:t>规定的响应时间内以合理的速度免费维修或更换有缺陷的货物或部件。</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pPr>
        <w:snapToGrid w:val="0"/>
        <w:spacing w:line="360" w:lineRule="auto"/>
        <w:ind w:firstLine="480" w:firstLineChars="200"/>
        <w:jc w:val="left"/>
        <w:rPr>
          <w:color w:val="auto"/>
          <w:sz w:val="24"/>
          <w:highlight w:val="none"/>
        </w:rPr>
      </w:pPr>
      <w:r>
        <w:rPr>
          <w:rFonts w:hint="eastAsia" w:ascii="宋体" w:hAnsi="宋体"/>
          <w:color w:val="auto"/>
          <w:sz w:val="24"/>
          <w:highlight w:val="none"/>
        </w:rPr>
        <w:t>（5）乙方在约定的时间内未能弥补缺陷，甲方可采取必要的补救措施，但其风险和费用将由乙方承担，甲方根据合同约定对乙方行使的其他权利不受影响。</w:t>
      </w:r>
    </w:p>
    <w:p>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9. 权利瑕疵担保</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9.1 乙方保证对其出售的货物享有合法的权利。</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9.2 </w:t>
      </w:r>
      <w:r>
        <w:rPr>
          <w:rFonts w:hint="eastAsia" w:ascii="宋体" w:hAnsi="宋体" w:cs="宋体"/>
          <w:color w:val="auto"/>
          <w:sz w:val="24"/>
          <w:highlight w:val="none"/>
        </w:rPr>
        <w:t>乙方保证在交付的货物上不存在抵押权等担保物权。</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9.3 如甲方使用上述货物构成对第三人侵权的，则由乙方承担全部责任。</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10. 知识产权保护</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10.1 乙方对其所销售的货物应当享有知识产权或经权利人合法授权，保证没有侵犯任何第三人的知识产权等权利。</w:t>
      </w:r>
      <w:bookmarkStart w:id="446" w:name="_Hlk163047038"/>
      <w:r>
        <w:rPr>
          <w:rFonts w:hint="eastAsia" w:ascii="宋体" w:hAnsi="宋体" w:cs="宋体"/>
          <w:color w:val="auto"/>
          <w:sz w:val="24"/>
          <w:highlight w:val="none"/>
        </w:rPr>
        <w:t>因违反前述约定对第三人构成侵权的，应当由乙方向第三人承担法律责任；甲方依法向第三人赔偿后，有权向乙方追偿。甲方有其他损失的，乙方应当赔偿</w:t>
      </w:r>
      <w:bookmarkEnd w:id="446"/>
      <w:r>
        <w:rPr>
          <w:rFonts w:hint="eastAsia" w:ascii="宋体" w:hAnsi="宋体"/>
          <w:color w:val="auto"/>
          <w:sz w:val="24"/>
          <w:highlight w:val="none"/>
        </w:rPr>
        <w:t>。</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11. 保密义务</w:t>
      </w:r>
    </w:p>
    <w:p>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中约定。</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12. 合同价款支付</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12.1 合同价款支付按照国库集中支付制度及财政管理相关规定执行。</w:t>
      </w:r>
    </w:p>
    <w:p>
      <w:pPr>
        <w:keepNext/>
        <w:keepLines/>
        <w:adjustRightInd/>
        <w:spacing w:line="360" w:lineRule="auto"/>
        <w:ind w:firstLine="480" w:firstLineChars="200"/>
        <w:rPr>
          <w:rFonts w:ascii="Arial" w:hAnsi="Arial"/>
          <w:b/>
          <w:bCs/>
          <w:color w:val="auto"/>
          <w:sz w:val="24"/>
          <w:highlight w:val="none"/>
        </w:rPr>
      </w:pPr>
      <w:r>
        <w:rPr>
          <w:rFonts w:hint="eastAsia" w:ascii="宋体" w:hAnsi="宋体"/>
          <w:color w:val="auto"/>
          <w:sz w:val="24"/>
          <w:highlight w:val="none"/>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color w:val="auto"/>
          <w:sz w:val="24"/>
          <w:highlight w:val="none"/>
        </w:rPr>
        <w:t>政府采购合同专用条款</w:t>
      </w:r>
      <w:r>
        <w:rPr>
          <w:rFonts w:hint="eastAsia" w:ascii="宋体" w:hAnsi="宋体"/>
          <w:color w:val="auto"/>
          <w:sz w:val="24"/>
          <w:highlight w:val="none"/>
        </w:rPr>
        <w:t>】中约定。</w:t>
      </w:r>
    </w:p>
    <w:p>
      <w:pPr>
        <w:adjustRightInd/>
        <w:spacing w:line="360" w:lineRule="auto"/>
        <w:rPr>
          <w:rFonts w:ascii="宋体" w:hAnsi="宋体"/>
          <w:b/>
          <w:bCs/>
          <w:color w:val="auto"/>
          <w:sz w:val="24"/>
          <w:highlight w:val="none"/>
        </w:rPr>
      </w:pPr>
      <w:r>
        <w:rPr>
          <w:rFonts w:hint="eastAsia" w:ascii="宋体" w:hAnsi="宋体"/>
          <w:b/>
          <w:bCs/>
          <w:color w:val="auto"/>
          <w:sz w:val="24"/>
          <w:highlight w:val="none"/>
        </w:rPr>
        <w:t>13. 履约保证金</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13.1 </w:t>
      </w:r>
      <w:r>
        <w:rPr>
          <w:rFonts w:hint="eastAsia" w:ascii="宋体" w:hAnsi="宋体" w:cs="宋体"/>
          <w:color w:val="auto"/>
          <w:sz w:val="24"/>
          <w:highlight w:val="none"/>
        </w:rPr>
        <w:t>乙方应当以支票、汇票、本票或者金融机构、担保机构出具的保函等非现金形式提交。</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13.2 如果乙方出现</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约定情形的</w:t>
      </w:r>
      <w:r>
        <w:rPr>
          <w:rFonts w:hint="eastAsia" w:ascii="宋体" w:hAnsi="宋体"/>
          <w:color w:val="auto"/>
          <w:sz w:val="24"/>
          <w:highlight w:val="none"/>
        </w:rPr>
        <w:t>，履约保证金不予退还；如果乙方未能按合同约定全面履行义务，甲方有权从履约保证金中取得补偿或赔偿，且不影响甲方要求乙方承担合同约定的超过履约保证金的违约责任的权利。</w:t>
      </w:r>
    </w:p>
    <w:p>
      <w:pPr>
        <w:adjustRightInd/>
        <w:spacing w:line="360" w:lineRule="auto"/>
        <w:ind w:firstLine="420"/>
        <w:rPr>
          <w:color w:val="auto"/>
          <w:sz w:val="24"/>
          <w:highlight w:val="none"/>
        </w:rPr>
      </w:pPr>
      <w:r>
        <w:rPr>
          <w:rFonts w:hint="eastAsia" w:ascii="宋体" w:hAnsi="宋体"/>
          <w:color w:val="auto"/>
          <w:sz w:val="24"/>
          <w:highlight w:val="none"/>
        </w:rPr>
        <w:t>13.3 甲方在项目通过验收后按照</w:t>
      </w:r>
      <w:r>
        <w:rPr>
          <w:rFonts w:hint="eastAsia" w:ascii="宋体" w:hAnsi="宋体"/>
          <w:b/>
          <w:color w:val="auto"/>
          <w:sz w:val="24"/>
          <w:highlight w:val="none"/>
        </w:rPr>
        <w:t>【政府采购合同专用条款】</w:t>
      </w:r>
      <w:r>
        <w:rPr>
          <w:rFonts w:hint="eastAsia" w:ascii="宋体" w:hAnsi="宋体"/>
          <w:color w:val="auto"/>
          <w:sz w:val="24"/>
          <w:highlight w:val="none"/>
        </w:rPr>
        <w:t>规定的时间内将履约保证金退还乙方；逾期退还的，乙方可要求甲方支付违约金，违约金按照</w:t>
      </w:r>
      <w:r>
        <w:rPr>
          <w:rFonts w:hint="eastAsia" w:ascii="宋体" w:hAnsi="宋体"/>
          <w:b/>
          <w:color w:val="auto"/>
          <w:sz w:val="24"/>
          <w:highlight w:val="none"/>
        </w:rPr>
        <w:t>【政府采购合同专用条款】</w:t>
      </w:r>
      <w:r>
        <w:rPr>
          <w:rFonts w:hint="eastAsia" w:ascii="宋体" w:hAnsi="宋体"/>
          <w:color w:val="auto"/>
          <w:sz w:val="24"/>
          <w:highlight w:val="none"/>
        </w:rPr>
        <w:t>规定支付。</w:t>
      </w:r>
    </w:p>
    <w:p>
      <w:pPr>
        <w:autoSpaceDE w:val="0"/>
        <w:autoSpaceDN w:val="0"/>
        <w:snapToGrid w:val="0"/>
        <w:spacing w:line="360" w:lineRule="auto"/>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14.1 除项目不涉及或采购活动中明确约定无须承担外，乙方还应提供下列服务：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（1）货物的现场移动、安装、调试、启动监督及技术支持；</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（2）提供货物组装和维修所需的专用工具和辅助材料；</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（3）在</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约定的期限内对所有的货物实施运行监督、维修，但前提条件是该服务并不能免除乙方在质量保证期内所承担的义务；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（4）在制造商所在地或指定现场就货物的安装、启动、运营、维护、废弃处置等对甲方操作人员进行培训</w:t>
      </w:r>
      <w:r>
        <w:rPr>
          <w:rFonts w:hint="eastAsia" w:ascii="宋体" w:hAnsi="宋体" w:cs="宋体"/>
          <w:color w:val="auto"/>
          <w:sz w:val="24"/>
          <w:highlight w:val="none"/>
        </w:rPr>
        <w:t>；</w:t>
      </w:r>
    </w:p>
    <w:p>
      <w:pPr>
        <w:widowControl/>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（5）依照法律、行政法规的规定或者按照</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约定，货物在有效使用年限届满后应予回收的，乙方负有自行或者委托第三人对货物予以回收的义务；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hint="eastAsia" w:ascii="宋体" w:hAnsi="宋体"/>
          <w:b/>
          <w:color w:val="auto"/>
          <w:sz w:val="24"/>
          <w:highlight w:val="none"/>
        </w:rPr>
        <w:t>【政府采购合同专用条款】</w:t>
      </w:r>
      <w:r>
        <w:rPr>
          <w:rFonts w:hint="eastAsia" w:ascii="宋体" w:hAnsi="宋体"/>
          <w:color w:val="auto"/>
          <w:sz w:val="24"/>
          <w:highlight w:val="none"/>
        </w:rPr>
        <w:t>规定由乙方提供的其他服务。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14.2 乙方提供的售后服务的费用已包含在合同价款中，甲方不再另行支付。</w:t>
      </w:r>
    </w:p>
    <w:p>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15. 违约责任</w:t>
      </w:r>
    </w:p>
    <w:p>
      <w:pPr>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15.1质量瑕疵的违约责任</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乙方提供的产品不符合合同约定的质量标准或存在产品质量缺陷，甲方有权要求乙方根据</w:t>
      </w:r>
      <w:r>
        <w:rPr>
          <w:rFonts w:hint="eastAsia" w:ascii="宋体" w:hAnsi="宋体"/>
          <w:b/>
          <w:color w:val="auto"/>
          <w:sz w:val="24"/>
          <w:highlight w:val="none"/>
        </w:rPr>
        <w:t>【政府采购合同专用条款】</w:t>
      </w:r>
      <w:r>
        <w:rPr>
          <w:rFonts w:hint="eastAsia" w:ascii="宋体" w:hAnsi="宋体"/>
          <w:bCs/>
          <w:color w:val="auto"/>
          <w:sz w:val="24"/>
          <w:highlight w:val="none"/>
        </w:rPr>
        <w:t>要求</w:t>
      </w:r>
      <w:r>
        <w:rPr>
          <w:rFonts w:hint="eastAsia" w:ascii="宋体" w:hAnsi="宋体"/>
          <w:color w:val="auto"/>
          <w:sz w:val="24"/>
          <w:highlight w:val="none"/>
        </w:rPr>
        <w:t>及时修理、重作、更换，并承担由此给甲方造成的损失。</w:t>
      </w:r>
    </w:p>
    <w:p>
      <w:pPr>
        <w:autoSpaceDE w:val="0"/>
        <w:autoSpaceDN w:val="0"/>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15.2 迟延交货的违约责任</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 w:val="24"/>
          <w:highlight w:val="none"/>
        </w:rPr>
        <w:t>【政府采购合同专用条款】</w:t>
      </w:r>
      <w:r>
        <w:rPr>
          <w:rFonts w:hint="eastAsia" w:ascii="宋体" w:hAnsi="宋体"/>
          <w:color w:val="auto"/>
          <w:sz w:val="24"/>
          <w:highlight w:val="none"/>
        </w:rPr>
        <w:t>规定执行。如果涉及公共利益，且赔偿金额无法弥补公共利益损失，甲方可要求继续履行或者采取其他补救措施。</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15.3 迟延支付的违约责任</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甲方存在迟延支付乙方合同款项的，应当承担</w:t>
      </w:r>
      <w:r>
        <w:rPr>
          <w:rFonts w:hint="eastAsia" w:ascii="宋体" w:hAnsi="宋体"/>
          <w:b/>
          <w:bCs/>
          <w:color w:val="auto"/>
          <w:sz w:val="24"/>
          <w:highlight w:val="none"/>
        </w:rPr>
        <w:t>【政府采购合同专用条款】</w:t>
      </w:r>
      <w:r>
        <w:rPr>
          <w:rFonts w:hint="eastAsia" w:ascii="宋体" w:hAnsi="宋体"/>
          <w:color w:val="auto"/>
          <w:sz w:val="24"/>
          <w:highlight w:val="none"/>
        </w:rPr>
        <w:t>规定的逾期付款利息。</w:t>
      </w:r>
    </w:p>
    <w:p>
      <w:pPr>
        <w:snapToGrid w:val="0"/>
        <w:spacing w:line="360" w:lineRule="auto"/>
        <w:ind w:firstLine="480" w:firstLineChars="200"/>
        <w:jc w:val="left"/>
        <w:rPr>
          <w:rFonts w:ascii="宋体" w:hAnsi="宋体"/>
          <w:color w:val="auto"/>
          <w:sz w:val="24"/>
          <w:highlight w:val="none"/>
        </w:rPr>
      </w:pPr>
      <w:r>
        <w:rPr>
          <w:rFonts w:hint="eastAsia" w:ascii="宋体" w:hAnsi="宋体"/>
          <w:bCs/>
          <w:color w:val="auto"/>
          <w:sz w:val="24"/>
          <w:highlight w:val="none"/>
        </w:rPr>
        <w:t>15.4其他违约责任根据项目实际需要按</w:t>
      </w:r>
      <w:r>
        <w:rPr>
          <w:rFonts w:hint="eastAsia" w:ascii="宋体" w:hAnsi="宋体"/>
          <w:b/>
          <w:bCs/>
          <w:color w:val="auto"/>
          <w:sz w:val="24"/>
          <w:highlight w:val="none"/>
        </w:rPr>
        <w:t>【政府采购合同专用条款】</w:t>
      </w:r>
      <w:r>
        <w:rPr>
          <w:rFonts w:hint="eastAsia" w:ascii="宋体" w:hAnsi="宋体"/>
          <w:color w:val="auto"/>
          <w:sz w:val="24"/>
          <w:highlight w:val="none"/>
        </w:rPr>
        <w:t>规定执行。</w:t>
      </w:r>
    </w:p>
    <w:p>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16. 合同变更、中止与终止</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    16.1合同的变更</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政府采购合同履行中，在不改变合同其他条款的前提下，甲方可以在合同价款10%的范围内追加与合同标的相同的货物，并就此与乙方协商一致后签订补充协议。</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16.2合同的中止</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（1）合同履行过程中因供应商就采购文件、采购过程或结果提起投诉的，甲方认为有必要的，可以中止合同的履行。</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widowControl/>
        <w:autoSpaceDE w:val="0"/>
        <w:autoSpaceDN w:val="0"/>
        <w:spacing w:line="360" w:lineRule="auto"/>
        <w:ind w:firstLine="480" w:firstLineChars="200"/>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（3）乙方分立、合并或者变更住所的，应当及时以书面形式告知甲方。乙方没有及时告知甲方，致使合同履行发生困难的，甲方可以中止合同履行并要求乙方承担由此给甲方造成的损失。</w:t>
      </w:r>
    </w:p>
    <w:p>
      <w:pPr>
        <w:adjustRightInd/>
        <w:snapToGrid w:val="0"/>
        <w:spacing w:line="360" w:lineRule="auto"/>
        <w:ind w:firstLine="480" w:firstLineChars="200"/>
        <w:jc w:val="left"/>
        <w:rPr>
          <w:color w:val="auto"/>
          <w:sz w:val="24"/>
          <w:highlight w:val="none"/>
        </w:rPr>
      </w:pPr>
      <w:r>
        <w:rPr>
          <w:rFonts w:hint="eastAsia" w:ascii="宋体" w:hAnsi="宋体"/>
          <w:color w:val="auto"/>
          <w:sz w:val="24"/>
          <w:highlight w:val="none"/>
        </w:rPr>
        <w:t>（4）甲方不得以行政区划调整、政府换届、机构或者职能调整以及相关责任人更替为由中止合同。</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16.3合同的终止</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（1）合同因有效期限届满而终止；</w:t>
      </w:r>
    </w:p>
    <w:p>
      <w:pPr>
        <w:adjustRightInd/>
        <w:snapToGrid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（2）乙方未按合同约定履行，构成根本性违约的，甲方有权终止合同，</w:t>
      </w:r>
      <w:r>
        <w:rPr>
          <w:rFonts w:hint="eastAsia" w:ascii="宋体" w:hAnsi="宋体" w:cs="宋体"/>
          <w:color w:val="auto"/>
          <w:sz w:val="24"/>
          <w:highlight w:val="none"/>
        </w:rPr>
        <w:t>并追究乙方的违约责任</w:t>
      </w:r>
      <w:r>
        <w:rPr>
          <w:rFonts w:hint="eastAsia" w:ascii="宋体" w:hAnsi="宋体"/>
          <w:color w:val="auto"/>
          <w:sz w:val="24"/>
          <w:highlight w:val="none"/>
        </w:rPr>
        <w:t>。</w:t>
      </w:r>
    </w:p>
    <w:p>
      <w:pPr>
        <w:widowControl/>
        <w:autoSpaceDE w:val="0"/>
        <w:autoSpaceDN w:val="0"/>
        <w:spacing w:line="360" w:lineRule="auto"/>
        <w:ind w:firstLine="480" w:firstLineChars="200"/>
        <w:jc w:val="left"/>
        <w:rPr>
          <w:rFonts w:ascii="宋体" w:hAnsi="宋体" w:eastAsia="华文楷体" w:cs="华文楷体"/>
          <w:color w:val="auto"/>
          <w:kern w:val="0"/>
          <w:sz w:val="24"/>
          <w:highlight w:val="none"/>
        </w:rPr>
      </w:pPr>
      <w:r>
        <w:rPr>
          <w:rFonts w:hint="eastAsia" w:ascii="宋体" w:hAnsi="宋体" w:eastAsia="华文楷体" w:cs="华文楷体"/>
          <w:color w:val="auto"/>
          <w:kern w:val="0"/>
          <w:sz w:val="24"/>
          <w:highlight w:val="none"/>
        </w:rPr>
        <w:t xml:space="preserve">16.4 </w:t>
      </w:r>
      <w:r>
        <w:rPr>
          <w:rFonts w:hint="eastAsia" w:ascii="宋体" w:hAnsi="宋体"/>
          <w:color w:val="auto"/>
          <w:sz w:val="24"/>
          <w:highlight w:val="none"/>
        </w:rPr>
        <w:t>涉及国家利益、社会公共利益的情形</w:t>
      </w:r>
    </w:p>
    <w:p>
      <w:pPr>
        <w:widowControl/>
        <w:autoSpaceDE w:val="0"/>
        <w:autoSpaceDN w:val="0"/>
        <w:spacing w:line="360" w:lineRule="auto"/>
        <w:ind w:firstLine="480" w:firstLineChars="200"/>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17. 合同分包</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17.1 乙方不得将合同转包给其他供应商。涉及合同分包的，乙方应根据采购文件和投标（响应）文件规定进行合同分包。</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17.2 乙方执行政府采购政策向中小企业依法分包的，乙方应当按采购文件和投标（响应）文件签订分包意向协议，分包意向协议属于本合同组成部分。</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18. 不可抗力</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18.1 不可抗力是指合同双方不能预见、不能避免且不能克服的客观情况。</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18.2 任何一方对由于不可抗力造成的部分或全部不能履行合同不承担违约责任。但迟延履行后发生不可抗力的，不能免除责任。</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19. 解决争议的方法</w:t>
      </w:r>
    </w:p>
    <w:p>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19.2 选择仲裁的，应在</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中明确仲裁机构及仲裁地；通过诉讼方式解决的，可以在</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中进一步约定选择与争议有实际联系的地点的人民法院管辖，但管辖法院的约定不得违反级别管辖和专属管辖的规定。</w:t>
      </w:r>
    </w:p>
    <w:p>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19.3 如甲乙双方有争议的事项不影响合同其他部分的履行，在争议解决期间，合同其他部分应当继续履行。</w:t>
      </w:r>
    </w:p>
    <w:p>
      <w:pPr>
        <w:autoSpaceDE w:val="0"/>
        <w:autoSpaceDN w:val="0"/>
        <w:snapToGrid w:val="0"/>
        <w:spacing w:line="360" w:lineRule="auto"/>
        <w:jc w:val="left"/>
        <w:rPr>
          <w:rFonts w:ascii="宋体" w:hAnsi="宋体"/>
          <w:color w:val="auto"/>
          <w:sz w:val="24"/>
          <w:highlight w:val="none"/>
        </w:rPr>
      </w:pPr>
      <w:r>
        <w:rPr>
          <w:rFonts w:hint="eastAsia" w:ascii="宋体" w:hAnsi="宋体"/>
          <w:b/>
          <w:color w:val="auto"/>
          <w:sz w:val="24"/>
          <w:highlight w:val="none"/>
        </w:rPr>
        <w:t>20. 政府采购政策</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20.1 </w:t>
      </w:r>
      <w:r>
        <w:rPr>
          <w:rFonts w:hint="eastAsia" w:ascii="宋体" w:hAnsi="宋体" w:cs="宋体"/>
          <w:color w:val="auto"/>
          <w:sz w:val="24"/>
          <w:highlight w:val="none"/>
          <w:lang w:val="en-GB"/>
        </w:rPr>
        <w:t>本合同应当按照规定执行政府采购政策。</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20.2 本合同依法执行政府采购政策的方式和内容，属于合同履约验收的范围。</w:t>
      </w:r>
      <w:r>
        <w:rPr>
          <w:rFonts w:hint="eastAsia" w:ascii="宋体" w:hAnsi="宋体" w:cs="宋体"/>
          <w:color w:val="auto"/>
          <w:sz w:val="24"/>
          <w:highlight w:val="none"/>
        </w:rPr>
        <w:t>甲乙双方</w:t>
      </w:r>
      <w:r>
        <w:rPr>
          <w:rFonts w:hint="eastAsia" w:ascii="宋体" w:hAnsi="宋体" w:cs="宋体"/>
          <w:color w:val="auto"/>
          <w:sz w:val="24"/>
          <w:highlight w:val="none"/>
          <w:lang w:val="en-GB"/>
        </w:rPr>
        <w:t>未按规定要求执行政府采购政策造成损失的</w:t>
      </w:r>
      <w:r>
        <w:rPr>
          <w:rFonts w:hint="eastAsia" w:ascii="宋体" w:hAnsi="宋体"/>
          <w:color w:val="auto"/>
          <w:sz w:val="24"/>
          <w:highlight w:val="none"/>
        </w:rPr>
        <w:t>，有过错的一方应当承担赔偿责任，双方都有过错的，各自承担相应的责任。</w:t>
      </w:r>
    </w:p>
    <w:p>
      <w:pPr>
        <w:adjustRightInd/>
        <w:spacing w:line="360" w:lineRule="auto"/>
        <w:ind w:firstLine="480" w:firstLineChars="200"/>
        <w:rPr>
          <w:rFonts w:ascii="Calibri" w:hAnsi="Calibri"/>
          <w:color w:val="auto"/>
          <w:sz w:val="24"/>
          <w:highlight w:val="none"/>
        </w:rPr>
      </w:pPr>
      <w:r>
        <w:rPr>
          <w:rFonts w:hint="eastAsia" w:ascii="宋体" w:hAnsi="宋体"/>
          <w:color w:val="auto"/>
          <w:sz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21. 法律适用</w:t>
      </w:r>
    </w:p>
    <w:p>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21.1 本合同的订立、生效、解释、履行及与本合同有关的争议解决，均适用法律、行政法规。</w:t>
      </w:r>
    </w:p>
    <w:p>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21.2 本合同条款与法律、行政法规的强制性规定不一致的，双方当事人应按照法律、行政法规的强制性规定修改本合同的相关条款。</w:t>
      </w:r>
    </w:p>
    <w:p>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22. 通知</w:t>
      </w:r>
    </w:p>
    <w:p>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22.1 本合同任何一方向对方发出的通知、信件、数据电文等，应当发送至本合同第一部分《政府采购合同协议书》所约定的通讯地址、联系人、联系电话或电子邮箱。</w:t>
      </w:r>
    </w:p>
    <w:p>
      <w:pPr>
        <w:widowControl/>
        <w:autoSpaceDE w:val="0"/>
        <w:autoSpaceDN w:val="0"/>
        <w:spacing w:line="360" w:lineRule="auto"/>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 xml:space="preserve">    22.2 一方当事人变更名称、住所、联系人、联系电话或电子邮箱等信息的，应当在变更后3日内及时书面通知对方，对方实际收到变更通知前的送达仍为有效送达。</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22.3本合同一方给另一方的通知均应采用书面形式，传真或快递送到本合同中规定的对方的地址和办理签收手续。</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22.4通知以送达之日或通知书中规定的生效之日起生效，两者中以较迟之日为准。</w:t>
      </w:r>
    </w:p>
    <w:p>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23. 合同未尽事项</w:t>
      </w:r>
    </w:p>
    <w:p>
      <w:pPr>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23.1合同未尽事项见</w:t>
      </w:r>
      <w:r>
        <w:rPr>
          <w:rFonts w:hint="eastAsia" w:ascii="宋体" w:hAnsi="宋体"/>
          <w:b/>
          <w:color w:val="auto"/>
          <w:sz w:val="24"/>
          <w:highlight w:val="none"/>
        </w:rPr>
        <w:t>【政府采购合同专用条款】</w:t>
      </w:r>
      <w:r>
        <w:rPr>
          <w:rFonts w:hint="eastAsia" w:ascii="宋体" w:hAnsi="宋体"/>
          <w:bCs/>
          <w:color w:val="auto"/>
          <w:sz w:val="24"/>
          <w:highlight w:val="none"/>
        </w:rPr>
        <w:t>。</w:t>
      </w:r>
    </w:p>
    <w:p>
      <w:pPr>
        <w:snapToGrid w:val="0"/>
        <w:spacing w:line="360" w:lineRule="auto"/>
        <w:jc w:val="left"/>
        <w:rPr>
          <w:rFonts w:ascii="黑体" w:hAnsi="华文中宋" w:eastAsia="黑体"/>
          <w:color w:val="auto"/>
          <w:sz w:val="24"/>
          <w:highlight w:val="none"/>
        </w:rPr>
      </w:pPr>
      <w:r>
        <w:rPr>
          <w:rFonts w:hint="eastAsia" w:ascii="宋体" w:hAnsi="宋体"/>
          <w:bCs/>
          <w:color w:val="auto"/>
          <w:sz w:val="24"/>
          <w:highlight w:val="none"/>
        </w:rPr>
        <w:t xml:space="preserve">    23.2 合同附件与合同正文具有同等的法律效力。</w:t>
      </w:r>
      <w:bookmarkStart w:id="447" w:name="_Toc20313"/>
      <w:r>
        <w:rPr>
          <w:rFonts w:hint="eastAsia" w:ascii="黑体" w:hAnsi="华文中宋" w:eastAsia="黑体"/>
          <w:color w:val="auto"/>
          <w:sz w:val="24"/>
          <w:highlight w:val="none"/>
        </w:rPr>
        <w:br w:type="page"/>
      </w:r>
    </w:p>
    <w:p>
      <w:pPr>
        <w:keepNext/>
        <w:keepLines/>
        <w:snapToGrid w:val="0"/>
        <w:spacing w:line="360" w:lineRule="auto"/>
        <w:jc w:val="center"/>
        <w:outlineLvl w:val="1"/>
        <w:rPr>
          <w:rFonts w:ascii="黑体" w:hAnsi="华文中宋" w:eastAsia="黑体"/>
          <w:color w:val="auto"/>
          <w:sz w:val="24"/>
          <w:highlight w:val="none"/>
        </w:rPr>
      </w:pPr>
      <w:r>
        <w:rPr>
          <w:rFonts w:hint="eastAsia" w:ascii="黑体" w:hAnsi="华文中宋" w:eastAsia="黑体"/>
          <w:color w:val="auto"/>
          <w:sz w:val="24"/>
          <w:highlight w:val="none"/>
        </w:rPr>
        <w:t>第三节 政府采购合同专用条款</w:t>
      </w:r>
      <w:bookmarkEnd w:id="447"/>
    </w:p>
    <w:tbl>
      <w:tblPr>
        <w:tblStyle w:val="63"/>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第1.2（6）项</w:t>
            </w:r>
          </w:p>
        </w:tc>
        <w:tc>
          <w:tcPr>
            <w:tcW w:w="1742" w:type="dxa"/>
            <w:tcBorders>
              <w:top w:val="double" w:color="auto" w:sz="4"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第1.2（7）项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第4.4款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第4.6款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adjustRightInd/>
              <w:snapToGrid w:val="0"/>
              <w:spacing w:line="360" w:lineRule="auto"/>
              <w:jc w:val="center"/>
              <w:rPr>
                <w:rFonts w:ascii="Calibri" w:hAnsi="Calibri"/>
                <w:color w:val="auto"/>
                <w:sz w:val="24"/>
                <w:highlight w:val="none"/>
              </w:rPr>
            </w:pPr>
            <w:r>
              <w:rPr>
                <w:rFonts w:hint="eastAsia" w:ascii="宋体" w:hAnsi="宋体"/>
                <w:color w:val="auto"/>
                <w:sz w:val="24"/>
                <w:highlight w:val="none"/>
              </w:rPr>
              <w:t>第5.4款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adjustRightInd/>
              <w:snapToGrid w:val="0"/>
              <w:spacing w:line="360" w:lineRule="auto"/>
              <w:jc w:val="center"/>
              <w:rPr>
                <w:rFonts w:ascii="宋体" w:hAnsi="宋体"/>
                <w:color w:val="auto"/>
                <w:sz w:val="24"/>
                <w:highlight w:val="none"/>
              </w:rPr>
            </w:pPr>
            <w:r>
              <w:rPr>
                <w:rFonts w:hint="eastAsia" w:ascii="宋体" w:hAnsi="宋体"/>
                <w:color w:val="auto"/>
                <w:sz w:val="24"/>
                <w:highlight w:val="none"/>
              </w:rPr>
              <w:t>第6.1款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第7.1款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spacing w:line="360" w:lineRule="auto"/>
              <w:rPr>
                <w:rFonts w:ascii="Calibri" w:hAnsi="Calibri"/>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pPr>
              <w:widowControl/>
              <w:adjustRightInd/>
              <w:spacing w:line="360" w:lineRule="auto"/>
              <w:jc w:val="left"/>
              <w:rPr>
                <w:rFonts w:ascii="宋体" w:hAnsi="宋体"/>
                <w:color w:val="auto"/>
                <w:sz w:val="24"/>
                <w:highlight w:val="none"/>
              </w:rPr>
            </w:pP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spacing w:line="360" w:lineRule="auto"/>
              <w:rPr>
                <w:rFonts w:ascii="Calibri" w:hAnsi="Calibri"/>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第7.2款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spacing w:line="360" w:lineRule="auto"/>
              <w:rPr>
                <w:rFonts w:ascii="Calibri" w:hAnsi="Calibri"/>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第7.3款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spacing w:line="360" w:lineRule="auto"/>
              <w:rPr>
                <w:rFonts w:ascii="Calibri" w:hAnsi="Calibri"/>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第8.2（1）项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pPr>
              <w:autoSpaceDE w:val="0"/>
              <w:autoSpaceDN w:val="0"/>
              <w:snapToGrid w:val="0"/>
              <w:spacing w:line="360" w:lineRule="auto"/>
              <w:ind w:firstLine="480" w:firstLineChars="200"/>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第8.2（3）项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货物质量缺陷</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第二节</w:t>
            </w:r>
          </w:p>
          <w:p>
            <w:pPr>
              <w:widowControl/>
              <w:autoSpaceDE w:val="0"/>
              <w:autoSpaceDN w:val="0"/>
              <w:spacing w:line="360" w:lineRule="auto"/>
              <w:jc w:val="center"/>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第11.1款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第12.2款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第13.2款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第13.3款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第14.1（3）项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第14.1（5）项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第14.1（6）项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第15.1款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第15.2（2）项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第15.3款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第15.4款</w:t>
            </w:r>
          </w:p>
        </w:tc>
        <w:tc>
          <w:tcPr>
            <w:tcW w:w="1742" w:type="dxa"/>
            <w:tcBorders>
              <w:top w:val="single" w:color="auto" w:sz="6" w:space="0"/>
              <w:left w:val="single" w:color="auto" w:sz="2" w:space="0"/>
              <w:bottom w:val="single" w:color="auto" w:sz="2" w:space="0"/>
              <w:right w:val="single" w:color="auto" w:sz="2"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pPr>
              <w:snapToGrid w:val="0"/>
              <w:spacing w:line="360" w:lineRule="auto"/>
              <w:jc w:val="left"/>
              <w:rPr>
                <w:rFonts w:ascii="宋体" w:hAnsi="宋体"/>
                <w:color w:val="auto"/>
                <w:sz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第19.2款</w:t>
            </w:r>
          </w:p>
        </w:tc>
        <w:tc>
          <w:tcPr>
            <w:tcW w:w="1742" w:type="dxa"/>
            <w:tcBorders>
              <w:top w:val="single" w:color="auto" w:sz="2" w:space="0"/>
              <w:left w:val="single" w:color="auto" w:sz="2" w:space="0"/>
              <w:bottom w:val="single" w:color="auto" w:sz="6" w:space="0"/>
              <w:right w:val="single" w:color="auto" w:sz="2"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pPr>
              <w:autoSpaceDE w:val="0"/>
              <w:autoSpaceDN w:val="0"/>
              <w:snapToGrid w:val="0"/>
              <w:spacing w:line="360" w:lineRule="auto"/>
              <w:jc w:val="left"/>
              <w:rPr>
                <w:rFonts w:ascii="宋体" w:hAnsi="宋体" w:cs="宋体"/>
                <w:iCs/>
                <w:color w:val="auto"/>
                <w:sz w:val="24"/>
                <w:highlight w:val="none"/>
              </w:rPr>
            </w:pPr>
            <w:r>
              <w:rPr>
                <w:rFonts w:hint="eastAsia" w:ascii="宋体" w:hAnsi="宋体" w:cs="宋体"/>
                <w:iCs/>
                <w:color w:val="auto"/>
                <w:sz w:val="24"/>
                <w:highlight w:val="none"/>
              </w:rPr>
              <w:t>因本合同及合同有关事项发生的争议，按下列第</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种方式解决：</w:t>
            </w:r>
          </w:p>
          <w:p>
            <w:pPr>
              <w:autoSpaceDE w:val="0"/>
              <w:autoSpaceDN w:val="0"/>
              <w:snapToGrid w:val="0"/>
              <w:spacing w:line="360" w:lineRule="auto"/>
              <w:jc w:val="left"/>
              <w:rPr>
                <w:rFonts w:ascii="宋体" w:hAnsi="宋体" w:cs="宋体"/>
                <w:iCs/>
                <w:color w:val="auto"/>
                <w:sz w:val="24"/>
                <w:highlight w:val="none"/>
              </w:rPr>
            </w:pPr>
            <w:r>
              <w:rPr>
                <w:rFonts w:hint="eastAsia" w:ascii="宋体" w:hAnsi="宋体" w:cs="宋体"/>
                <w:iCs/>
                <w:color w:val="auto"/>
                <w:sz w:val="24"/>
                <w:highlight w:val="none"/>
              </w:rPr>
              <w:t>（1）向</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仲裁委员会申请仲裁，仲裁地点为</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w:t>
            </w:r>
          </w:p>
          <w:p>
            <w:pPr>
              <w:snapToGrid w:val="0"/>
              <w:spacing w:line="360" w:lineRule="auto"/>
              <w:jc w:val="left"/>
              <w:rPr>
                <w:rFonts w:ascii="宋体" w:hAnsi="宋体"/>
                <w:color w:val="auto"/>
                <w:sz w:val="24"/>
                <w:highlight w:val="none"/>
                <w:u w:val="single"/>
              </w:rPr>
            </w:pPr>
            <w:r>
              <w:rPr>
                <w:rFonts w:hint="eastAsia" w:ascii="宋体" w:hAnsi="宋体" w:cs="宋体"/>
                <w:iCs/>
                <w:color w:val="auto"/>
                <w:sz w:val="24"/>
                <w:highlight w:val="none"/>
              </w:rPr>
              <w:t>（2）向</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第23.1款</w:t>
            </w:r>
          </w:p>
        </w:tc>
        <w:tc>
          <w:tcPr>
            <w:tcW w:w="1742" w:type="dxa"/>
            <w:tcBorders>
              <w:top w:val="single" w:color="auto" w:sz="6" w:space="0"/>
              <w:left w:val="single" w:color="auto" w:sz="6" w:space="0"/>
              <w:bottom w:val="double" w:color="auto" w:sz="4"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bCs/>
                <w:color w:val="auto"/>
                <w:sz w:val="24"/>
                <w:highlight w:val="none"/>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pPr>
              <w:snapToGrid w:val="0"/>
              <w:spacing w:line="360" w:lineRule="auto"/>
              <w:jc w:val="left"/>
              <w:rPr>
                <w:rFonts w:ascii="宋体" w:hAnsi="宋体"/>
                <w:color w:val="auto"/>
                <w:sz w:val="24"/>
                <w:highlight w:val="none"/>
              </w:rPr>
            </w:pPr>
          </w:p>
        </w:tc>
      </w:tr>
    </w:tbl>
    <w:p>
      <w:pPr>
        <w:adjustRightInd/>
        <w:rPr>
          <w:color w:val="auto"/>
          <w:highlight w:val="none"/>
        </w:rPr>
      </w:pPr>
    </w:p>
    <w:p>
      <w:pPr>
        <w:adjustRightInd/>
        <w:rPr>
          <w:color w:val="auto"/>
          <w:highlight w:val="none"/>
        </w:rPr>
      </w:pPr>
    </w:p>
    <w:p>
      <w:pPr>
        <w:spacing w:line="360" w:lineRule="auto"/>
        <w:ind w:left="-420" w:leftChars="-200" w:right="-420" w:rightChars="-200"/>
        <w:rPr>
          <w:rFonts w:ascii="宋体" w:hAnsi="宋体" w:cs="宋体"/>
          <w:color w:val="auto"/>
          <w:sz w:val="24"/>
          <w:highlight w:val="none"/>
        </w:rPr>
      </w:pPr>
    </w:p>
    <w:p>
      <w:pPr>
        <w:pStyle w:val="4"/>
        <w:rPr>
          <w:color w:val="auto"/>
          <w:highlight w:val="none"/>
        </w:rPr>
      </w:pPr>
      <w:r>
        <w:rPr>
          <w:color w:val="auto"/>
          <w:highlight w:val="none"/>
        </w:rPr>
        <w:br w:type="page"/>
      </w:r>
    </w:p>
    <w:p>
      <w:pPr>
        <w:rPr>
          <w:color w:val="auto"/>
          <w:highlight w:val="none"/>
        </w:rPr>
      </w:pPr>
    </w:p>
    <w:p>
      <w:pPr>
        <w:spacing w:line="360" w:lineRule="auto"/>
        <w:ind w:left="720" w:firstLine="723" w:firstLineChars="200"/>
        <w:outlineLvl w:val="0"/>
        <w:rPr>
          <w:rFonts w:ascii="宋体" w:hAnsi="宋体" w:cs="宋体"/>
          <w:b/>
          <w:color w:val="auto"/>
          <w:sz w:val="36"/>
          <w:szCs w:val="20"/>
          <w:highlight w:val="none"/>
        </w:rPr>
      </w:pPr>
      <w:bookmarkStart w:id="448" w:name="_Toc176185126"/>
      <w:bookmarkStart w:id="449" w:name="_Toc176343853"/>
      <w:r>
        <w:rPr>
          <w:rFonts w:hint="eastAsia" w:ascii="宋体" w:hAnsi="宋体" w:cs="宋体"/>
          <w:b/>
          <w:color w:val="auto"/>
          <w:sz w:val="36"/>
          <w:szCs w:val="20"/>
          <w:highlight w:val="none"/>
        </w:rPr>
        <w:t>第六部分</w:t>
      </w:r>
      <w:bookmarkEnd w:id="439"/>
      <w:r>
        <w:rPr>
          <w:rFonts w:hint="eastAsia" w:ascii="宋体" w:hAnsi="宋体" w:cs="宋体"/>
          <w:b/>
          <w:color w:val="auto"/>
          <w:sz w:val="36"/>
          <w:szCs w:val="20"/>
          <w:highlight w:val="none"/>
        </w:rPr>
        <w:t xml:space="preserve"> </w:t>
      </w:r>
      <w:bookmarkEnd w:id="440"/>
      <w:r>
        <w:rPr>
          <w:rFonts w:hint="eastAsia" w:ascii="宋体" w:hAnsi="宋体" w:cs="宋体"/>
          <w:b/>
          <w:color w:val="auto"/>
          <w:sz w:val="36"/>
          <w:szCs w:val="20"/>
          <w:highlight w:val="none"/>
        </w:rPr>
        <w:t xml:space="preserve"> 应提交的有关格式范例</w:t>
      </w:r>
      <w:bookmarkEnd w:id="448"/>
      <w:bookmarkEnd w:id="449"/>
    </w:p>
    <w:p>
      <w:pPr>
        <w:pStyle w:val="84"/>
        <w:rPr>
          <w:color w:val="auto"/>
          <w:highlight w:val="none"/>
        </w:rPr>
      </w:pP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pStyle w:val="84"/>
        <w:rPr>
          <w:color w:val="auto"/>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Cs w:val="21"/>
          <w:highlight w:val="none"/>
        </w:rPr>
        <w:t>▲</w:t>
      </w:r>
      <w:r>
        <w:rPr>
          <w:rFonts w:hint="eastAsia" w:ascii="宋体" w:hAnsi="宋体" w:cs="宋体"/>
          <w:color w:val="auto"/>
          <w:sz w:val="24"/>
          <w:highlight w:val="none"/>
        </w:rPr>
        <w:t>（1）符合参加政府采购活动应当具备的一般条件的承诺函……………（页码）</w:t>
      </w:r>
    </w:p>
    <w:p>
      <w:pPr>
        <w:snapToGrid w:val="0"/>
        <w:spacing w:line="360" w:lineRule="auto"/>
        <w:ind w:firstLine="240" w:firstLineChars="100"/>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tabs>
          <w:tab w:val="left" w:pos="284"/>
        </w:tabs>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color w:val="auto"/>
          <w:kern w:val="0"/>
          <w:sz w:val="24"/>
          <w:highlight w:val="none"/>
        </w:rPr>
      </w:pPr>
      <w:r>
        <w:rPr>
          <w:rFonts w:hint="eastAsia" w:ascii="宋体" w:hAnsi="宋体" w:cs="宋体"/>
          <w:color w:val="auto"/>
          <w:kern w:val="0"/>
          <w:sz w:val="24"/>
          <w:highlight w:val="none"/>
        </w:rPr>
        <w:br w:type="page"/>
      </w: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ind w:right="480"/>
        <w:jc w:val="center"/>
        <w:rPr>
          <w:rFonts w:ascii="宋体" w:hAnsi="宋体" w:cs="宋体"/>
          <w:color w:val="auto"/>
          <w:sz w:val="24"/>
          <w:highlight w:val="none"/>
        </w:rPr>
      </w:pPr>
    </w:p>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北海市政府采购供应商信用承诺函（格式）</w:t>
      </w:r>
    </w:p>
    <w:p>
      <w:pPr>
        <w:snapToGrid w:val="0"/>
        <w:spacing w:line="360" w:lineRule="auto"/>
        <w:rPr>
          <w:rFonts w:ascii="宋体" w:hAnsi="宋体" w:cs="宋体"/>
          <w:color w:val="auto"/>
          <w:sz w:val="24"/>
          <w:highlight w:val="none"/>
        </w:rPr>
      </w:pPr>
    </w:p>
    <w:p>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（采购人）、（采购代理机构） ：</w:t>
      </w:r>
    </w:p>
    <w:p>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供应商名称：</w:t>
      </w:r>
    </w:p>
    <w:p>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统一社会信用代码：</w:t>
      </w:r>
    </w:p>
    <w:p>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供应商地址：</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1.我单位具有符合采购文件资格要求独立承担民事责任的能力。</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2.我单位具有符合采购文件资格要求的财务状况报告。</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3.我单位具有符合采购文件资格要求的依法缴纳税收和社会保障记录的良好记录。</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4.我单位具有符合采购文件资格要求履行合同所必需的设备和专业技术能力。</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若我单位承诺不实，自愿承担提供虚假材料谋取中标、成交的法律责任。</w:t>
      </w:r>
    </w:p>
    <w:p>
      <w:pPr>
        <w:snapToGrid w:val="0"/>
        <w:spacing w:line="360" w:lineRule="auto"/>
        <w:ind w:right="480"/>
        <w:rPr>
          <w:rFonts w:ascii="宋体" w:hAnsi="宋体" w:cs="宋体"/>
          <w:color w:val="auto"/>
          <w:sz w:val="24"/>
          <w:highlight w:val="none"/>
        </w:rPr>
      </w:pP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right="48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rPr>
        <w:t>（1）投标函</w:t>
      </w:r>
      <w:r>
        <w:rPr>
          <w:rFonts w:hint="eastAsia" w:ascii="宋体" w:hAnsi="宋体" w:cs="宋体"/>
          <w:color w:val="auto"/>
          <w:highlight w:val="none"/>
        </w:rPr>
        <w:t>…………………………………………………………………………………（页码）</w:t>
      </w:r>
      <w:bookmarkStart w:id="450" w:name="_Hlk203408480"/>
    </w:p>
    <w:p>
      <w:pPr>
        <w:snapToGrid w:val="0"/>
        <w:spacing w:line="360" w:lineRule="auto"/>
        <w:ind w:left="479" w:leftChars="228"/>
        <w:rPr>
          <w:rFonts w:ascii="宋体" w:hAnsi="宋体" w:cs="宋体"/>
          <w:color w:val="auto"/>
          <w:highlight w:val="none"/>
        </w:rPr>
      </w:pPr>
      <w:r>
        <w:rPr>
          <w:rFonts w:hint="eastAsia" w:ascii="宋体" w:hAnsi="宋体" w:cs="宋体"/>
          <w:color w:val="auto"/>
          <w:szCs w:val="21"/>
          <w:highlight w:val="none"/>
        </w:rPr>
        <w:t>▲</w:t>
      </w:r>
      <w:bookmarkEnd w:id="450"/>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bookmarkStart w:id="451" w:name="_Hlk203408512"/>
      <w:r>
        <w:rPr>
          <w:rFonts w:hint="eastAsia" w:ascii="宋体" w:hAnsi="宋体" w:cs="宋体"/>
          <w:color w:val="auto"/>
          <w:szCs w:val="21"/>
          <w:highlight w:val="none"/>
        </w:rPr>
        <w:t>▲</w:t>
      </w:r>
      <w:bookmarkEnd w:id="451"/>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bookmarkStart w:id="452" w:name="_Hlk203408516"/>
      <w:r>
        <w:rPr>
          <w:rFonts w:hint="eastAsia" w:ascii="宋体" w:hAnsi="宋体" w:cs="宋体"/>
          <w:color w:val="auto"/>
          <w:szCs w:val="21"/>
          <w:highlight w:val="none"/>
        </w:rPr>
        <w:t>▲</w:t>
      </w:r>
      <w:bookmarkEnd w:id="452"/>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）承诺函</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10</w:t>
      </w:r>
      <w:r>
        <w:rPr>
          <w:rFonts w:hint="eastAsia" w:ascii="宋体" w:hAnsi="宋体" w:cs="宋体"/>
          <w:color w:val="auto"/>
          <w:sz w:val="24"/>
          <w:highlight w:val="none"/>
          <w:lang w:val="zh-CN"/>
        </w:rPr>
        <w:t>）技术解决方案</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11</w:t>
      </w:r>
      <w:r>
        <w:rPr>
          <w:rFonts w:hint="eastAsia" w:ascii="宋体" w:hAnsi="宋体" w:cs="宋体"/>
          <w:color w:val="auto"/>
          <w:sz w:val="24"/>
          <w:highlight w:val="none"/>
          <w:lang w:val="zh-CN"/>
        </w:rPr>
        <w:t>）组织实施方案</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cs="宋体"/>
          <w:b w:val="0"/>
          <w:bCs/>
          <w:color w:val="auto"/>
          <w:szCs w:val="24"/>
          <w:highlight w:val="none"/>
        </w:rPr>
        <w:t>▲</w:t>
      </w:r>
      <w:r>
        <w:rPr>
          <w:rFonts w:hint="eastAsia" w:cs="宋体"/>
          <w:b w:val="0"/>
          <w:bCs/>
          <w:color w:val="auto"/>
          <w:szCs w:val="24"/>
          <w:highlight w:val="none"/>
          <w:lang w:eastAsia="zh-CN"/>
        </w:rPr>
        <w:t>（</w:t>
      </w:r>
      <w:r>
        <w:rPr>
          <w:rFonts w:hint="eastAsia" w:ascii="宋体" w:hAnsi="宋体" w:cs="宋体"/>
          <w:color w:val="auto"/>
          <w:sz w:val="24"/>
          <w:highlight w:val="none"/>
        </w:rPr>
        <w:t>12</w:t>
      </w:r>
      <w:r>
        <w:rPr>
          <w:rFonts w:hint="eastAsia" w:ascii="宋体" w:hAnsi="宋体" w:cs="宋体"/>
          <w:color w:val="auto"/>
          <w:sz w:val="24"/>
          <w:highlight w:val="none"/>
          <w:lang w:val="zh-CN"/>
        </w:rPr>
        <w:t>）售后服务方案</w:t>
      </w:r>
      <w:r>
        <w:rPr>
          <w:rFonts w:hint="eastAsia" w:ascii="宋体" w:hAnsi="宋体" w:cs="宋体"/>
          <w:color w:val="auto"/>
          <w:highlight w:val="none"/>
        </w:rPr>
        <w:t>…………………………………………………………………………（页码）</w:t>
      </w:r>
    </w:p>
    <w:p>
      <w:pPr>
        <w:pStyle w:val="84"/>
        <w:rPr>
          <w:color w:val="auto"/>
          <w:highlight w:val="none"/>
        </w:rPr>
      </w:pPr>
    </w:p>
    <w:p>
      <w:pPr>
        <w:snapToGrid w:val="0"/>
        <w:spacing w:line="360" w:lineRule="auto"/>
        <w:jc w:val="center"/>
        <w:rPr>
          <w:rFonts w:ascii="宋体" w:hAnsi="宋体" w:cs="宋体"/>
          <w:b/>
          <w:color w:val="auto"/>
          <w:kern w:val="0"/>
          <w:sz w:val="32"/>
          <w:szCs w:val="32"/>
          <w:highlight w:val="none"/>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rPr>
      </w:pPr>
    </w:p>
    <w:p>
      <w:pPr>
        <w:snapToGrid w:val="0"/>
        <w:spacing w:line="360" w:lineRule="auto"/>
        <w:jc w:val="center"/>
        <w:rPr>
          <w:rFonts w:ascii="宋体" w:hAnsi="宋体" w:cs="宋体"/>
          <w:b/>
          <w:color w:val="auto"/>
          <w:kern w:val="0"/>
          <w:sz w:val="32"/>
          <w:szCs w:val="32"/>
          <w:highlight w:val="none"/>
        </w:rPr>
      </w:pPr>
    </w:p>
    <w:p>
      <w:pPr>
        <w:pStyle w:val="84"/>
        <w:rPr>
          <w:color w:val="auto"/>
          <w:highlight w:val="none"/>
        </w:rPr>
      </w:pPr>
    </w:p>
    <w:p>
      <w:pPr>
        <w:rPr>
          <w:color w:val="auto"/>
          <w:highlight w:val="none"/>
        </w:rPr>
      </w:pPr>
    </w:p>
    <w:p>
      <w:pPr>
        <w:snapToGrid w:val="0"/>
        <w:spacing w:line="360" w:lineRule="auto"/>
        <w:ind w:firstLine="3855" w:firstLineChars="1200"/>
        <w:rPr>
          <w:rFonts w:ascii="宋体" w:hAnsi="宋体" w:cs="宋体"/>
          <w:b/>
          <w:color w:val="auto"/>
          <w:kern w:val="0"/>
          <w:sz w:val="32"/>
          <w:szCs w:val="32"/>
          <w:highlight w:val="none"/>
        </w:rPr>
      </w:pPr>
    </w:p>
    <w:p>
      <w:pPr>
        <w:snapToGrid w:val="0"/>
        <w:spacing w:line="360" w:lineRule="auto"/>
        <w:ind w:firstLine="3855" w:firstLineChars="1200"/>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ind w:firstLine="3855" w:firstLineChars="120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天（不少于60天）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pStyle w:val="84"/>
        <w:ind w:left="420" w:leftChars="200" w:firstLine="480" w:firstLineChars="200"/>
        <w:rPr>
          <w:rFonts w:cs="宋体"/>
          <w:color w:val="auto"/>
          <w:highlight w:val="none"/>
          <w:lang w:val="zh-CN"/>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9</w:t>
      </w:r>
      <w:r>
        <w:rPr>
          <w:rFonts w:hint="eastAsia" w:cs="宋体"/>
          <w:color w:val="auto"/>
          <w:highlight w:val="none"/>
          <w:lang w:val="zh-CN"/>
        </w:rPr>
        <w:t>承诺函；</w:t>
      </w:r>
    </w:p>
    <w:p>
      <w:pPr>
        <w:pStyle w:val="84"/>
        <w:ind w:left="420" w:leftChars="200" w:firstLine="480" w:firstLineChars="200"/>
        <w:rPr>
          <w:rFonts w:cs="宋体"/>
          <w:color w:val="auto"/>
          <w:highlight w:val="none"/>
          <w:lang w:val="zh-CN"/>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10</w:t>
      </w:r>
      <w:r>
        <w:rPr>
          <w:rFonts w:hint="eastAsia" w:cs="宋体"/>
          <w:color w:val="auto"/>
          <w:highlight w:val="none"/>
          <w:lang w:val="zh-CN"/>
        </w:rPr>
        <w:t>技术解决方案</w:t>
      </w:r>
      <w:r>
        <w:rPr>
          <w:rFonts w:hint="eastAsia" w:cs="宋体"/>
          <w:snapToGrid w:val="0"/>
          <w:color w:val="auto"/>
          <w:kern w:val="28"/>
          <w:highlight w:val="none"/>
        </w:rPr>
        <w:t>（如果有）</w:t>
      </w:r>
      <w:r>
        <w:rPr>
          <w:rFonts w:hint="eastAsia" w:cs="宋体"/>
          <w:color w:val="auto"/>
          <w:highlight w:val="none"/>
          <w:lang w:val="zh-CN"/>
        </w:rPr>
        <w:t>；</w:t>
      </w:r>
    </w:p>
    <w:p>
      <w:pPr>
        <w:pStyle w:val="84"/>
        <w:ind w:left="420" w:leftChars="200" w:firstLine="480" w:firstLineChars="200"/>
        <w:rPr>
          <w:rFonts w:cs="宋体"/>
          <w:color w:val="auto"/>
          <w:highlight w:val="none"/>
          <w:lang w:val="zh-CN"/>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11</w:t>
      </w:r>
      <w:r>
        <w:rPr>
          <w:rFonts w:hint="eastAsia" w:cs="宋体"/>
          <w:color w:val="auto"/>
          <w:highlight w:val="none"/>
          <w:lang w:val="zh-CN"/>
        </w:rPr>
        <w:t>组织实施方案</w:t>
      </w:r>
      <w:r>
        <w:rPr>
          <w:rFonts w:hint="eastAsia" w:cs="宋体"/>
          <w:snapToGrid w:val="0"/>
          <w:color w:val="auto"/>
          <w:kern w:val="28"/>
          <w:highlight w:val="none"/>
        </w:rPr>
        <w:t>（如果有）</w:t>
      </w:r>
      <w:r>
        <w:rPr>
          <w:rFonts w:hint="eastAsia" w:cs="宋体"/>
          <w:color w:val="auto"/>
          <w:highlight w:val="none"/>
          <w:lang w:val="zh-CN"/>
        </w:rPr>
        <w:t>；</w:t>
      </w:r>
    </w:p>
    <w:p>
      <w:pPr>
        <w:pStyle w:val="84"/>
        <w:ind w:left="420" w:leftChars="200" w:firstLine="480" w:firstLineChars="200"/>
        <w:rPr>
          <w:color w:val="auto"/>
          <w:highlight w:val="none"/>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12</w:t>
      </w:r>
      <w:r>
        <w:rPr>
          <w:rFonts w:hint="eastAsia" w:cs="宋体"/>
          <w:color w:val="auto"/>
          <w:highlight w:val="none"/>
          <w:lang w:val="zh-CN"/>
        </w:rPr>
        <w:t>售后服务方案。</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pacing w:line="360" w:lineRule="auto"/>
        <w:ind w:left="4649" w:leftChars="2214" w:firstLine="3600" w:firstLineChars="1500"/>
        <w:rPr>
          <w:rFonts w:ascii="宋体" w:hAnsi="宋体" w:cs="宋体"/>
          <w:color w:val="auto"/>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投标人名称（公章）：</w:t>
      </w:r>
    </w:p>
    <w:p>
      <w:pPr>
        <w:snapToGrid w:val="0"/>
        <w:spacing w:line="360" w:lineRule="auto"/>
        <w:ind w:left="4649" w:leftChars="2214"/>
        <w:rPr>
          <w:rFonts w:ascii="宋体" w:hAnsi="宋体" w:cs="宋体"/>
          <w:color w:val="auto"/>
          <w:kern w:val="0"/>
          <w:sz w:val="24"/>
          <w:highlight w:val="none"/>
        </w:rPr>
      </w:pPr>
      <w:r>
        <w:rPr>
          <w:rFonts w:hint="eastAsia" w:ascii="宋体" w:hAnsi="宋体" w:cs="宋体"/>
          <w:color w:val="auto"/>
          <w:sz w:val="24"/>
          <w:highlight w:val="none"/>
        </w:rPr>
        <w:t>法定代表人（负责人） (签名)：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pStyle w:val="148"/>
        <w:spacing w:line="360" w:lineRule="auto"/>
        <w:rPr>
          <w:rFonts w:hAnsi="宋体"/>
          <w:color w:val="auto"/>
          <w:sz w:val="24"/>
          <w:highlight w:val="none"/>
        </w:rPr>
      </w:pPr>
    </w:p>
    <w:p>
      <w:pPr>
        <w:pStyle w:val="148"/>
        <w:spacing w:line="360" w:lineRule="auto"/>
        <w:rPr>
          <w:rFonts w:hAnsi="宋体" w:cs="宋体"/>
          <w:bCs/>
          <w:color w:val="auto"/>
          <w:sz w:val="24"/>
          <w:highlight w:val="none"/>
        </w:rPr>
      </w:pPr>
      <w:r>
        <w:rPr>
          <w:rFonts w:hint="eastAsia" w:hAnsi="宋体"/>
          <w:color w:val="auto"/>
          <w:sz w:val="24"/>
          <w:highlight w:val="none"/>
        </w:rPr>
        <w:t>委托代理人和法定代表人</w:t>
      </w:r>
      <w:r>
        <w:rPr>
          <w:rFonts w:hint="eastAsia" w:hAnsi="宋体" w:cs="宋体"/>
          <w:color w:val="auto"/>
          <w:kern w:val="0"/>
          <w:sz w:val="24"/>
          <w:highlight w:val="none"/>
        </w:rPr>
        <w:t>（负责人）</w:t>
      </w: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p>
            <w:pPr>
              <w:pStyle w:val="148"/>
              <w:adjustRightInd w:val="0"/>
              <w:spacing w:line="360" w:lineRule="auto"/>
              <w:rPr>
                <w:rFonts w:hAnsi="宋体" w:cs="宋体"/>
                <w:bCs/>
                <w:color w:val="auto"/>
                <w:sz w:val="24"/>
                <w:highlight w:val="none"/>
              </w:rPr>
            </w:pPr>
          </w:p>
          <w:p>
            <w:pPr>
              <w:pStyle w:val="148"/>
              <w:adjustRightInd w:val="0"/>
              <w:spacing w:line="360" w:lineRule="auto"/>
              <w:rPr>
                <w:rFonts w:hAnsi="宋体" w:cs="宋体"/>
                <w:bCs/>
                <w:color w:val="auto"/>
                <w:sz w:val="24"/>
                <w:highlight w:val="none"/>
              </w:rPr>
            </w:pPr>
          </w:p>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134" w:right="1134" w:bottom="1134" w:left="1134" w:header="397" w:footer="567" w:gutter="0"/>
          <w:cols w:space="720" w:num="1"/>
          <w:titlePg/>
          <w:docGrid w:linePitch="312" w:charSpace="0"/>
        </w:sect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pPr>
        <w:snapToGrid w:val="0"/>
        <w:spacing w:line="360" w:lineRule="auto"/>
        <w:ind w:firstLine="5040" w:firstLineChars="2100"/>
        <w:rPr>
          <w:rStyle w:val="83"/>
          <w:color w:val="auto"/>
          <w:highlight w:val="none"/>
        </w:rPr>
      </w:pPr>
      <w:r>
        <w:rPr>
          <w:rStyle w:val="83"/>
          <w:rFonts w:hint="eastAsia"/>
          <w:color w:val="auto"/>
          <w:highlight w:val="none"/>
        </w:rPr>
        <w:t>法定代表人（负责人） (签名)：</w:t>
      </w:r>
    </w:p>
    <w:p>
      <w:pPr>
        <w:snapToGrid w:val="0"/>
        <w:spacing w:line="360" w:lineRule="auto"/>
        <w:ind w:firstLine="5040" w:firstLineChars="2100"/>
        <w:rPr>
          <w:rFonts w:ascii="宋体" w:hAnsi="宋体" w:cs="宋体"/>
          <w:color w:val="auto"/>
          <w:kern w:val="0"/>
          <w:sz w:val="24"/>
          <w:highlight w:val="none"/>
          <w:lang w:val="zh-CN"/>
        </w:rPr>
      </w:pPr>
      <w:r>
        <w:rPr>
          <w:rStyle w:val="83"/>
          <w:rFonts w:hint="eastAsia"/>
          <w:color w:val="auto"/>
          <w:highlight w:val="none"/>
        </w:rPr>
        <w:t>联合体成</w:t>
      </w:r>
      <w:r>
        <w:rPr>
          <w:rFonts w:hint="eastAsia" w:ascii="宋体" w:hAnsi="宋体" w:cs="宋体"/>
          <w:color w:val="auto"/>
          <w:kern w:val="0"/>
          <w:sz w:val="24"/>
          <w:highlight w:val="none"/>
          <w:lang w:val="zh-CN"/>
        </w:rPr>
        <w:t>员名称(公章)：</w:t>
      </w:r>
    </w:p>
    <w:p>
      <w:pPr>
        <w:pStyle w:val="84"/>
        <w:ind w:firstLine="5040" w:firstLineChars="2100"/>
        <w:rPr>
          <w:color w:val="auto"/>
          <w:highlight w:val="none"/>
        </w:rPr>
      </w:pPr>
      <w:r>
        <w:rPr>
          <w:rFonts w:hint="eastAsia"/>
          <w:color w:val="auto"/>
          <w:highlight w:val="none"/>
        </w:rPr>
        <w:t>法定代表人（负责人） (签名)：</w:t>
      </w:r>
    </w:p>
    <w:p>
      <w:pPr>
        <w:snapToGrid w:val="0"/>
        <w:spacing w:line="360" w:lineRule="auto"/>
        <w:ind w:firstLine="5040" w:firstLineChars="2100"/>
        <w:rPr>
          <w:rFonts w:ascii="宋体" w:hAnsi="宋体" w:cs="宋体"/>
          <w:color w:val="auto"/>
          <w:kern w:val="0"/>
          <w:sz w:val="24"/>
          <w:highlight w:val="none"/>
          <w:lang w:val="zh-CN"/>
        </w:rPr>
      </w:pP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pStyle w:val="148"/>
        <w:spacing w:line="360" w:lineRule="auto"/>
        <w:rPr>
          <w:rFonts w:hAnsi="宋体"/>
          <w:color w:val="auto"/>
          <w:sz w:val="24"/>
          <w:highlight w:val="none"/>
        </w:rPr>
      </w:pPr>
    </w:p>
    <w:p>
      <w:pPr>
        <w:pStyle w:val="148"/>
        <w:spacing w:line="360" w:lineRule="auto"/>
        <w:rPr>
          <w:rFonts w:hAnsi="宋体" w:cs="宋体"/>
          <w:bCs/>
          <w:color w:val="auto"/>
          <w:sz w:val="24"/>
          <w:highlight w:val="none"/>
        </w:rPr>
      </w:pPr>
      <w:r>
        <w:rPr>
          <w:rFonts w:hint="eastAsia" w:hAnsi="宋体"/>
          <w:color w:val="auto"/>
          <w:sz w:val="24"/>
          <w:highlight w:val="none"/>
        </w:rPr>
        <w:t>委托代理人和联合体牵头单位法定代表人</w:t>
      </w:r>
      <w:r>
        <w:rPr>
          <w:rFonts w:hint="eastAsia" w:hAnsi="宋体" w:cs="宋体"/>
          <w:color w:val="auto"/>
          <w:kern w:val="0"/>
          <w:sz w:val="24"/>
          <w:highlight w:val="none"/>
        </w:rPr>
        <w:t>（负责人）</w:t>
      </w: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p>
            <w:pPr>
              <w:pStyle w:val="148"/>
              <w:adjustRightInd w:val="0"/>
              <w:spacing w:line="360" w:lineRule="auto"/>
              <w:rPr>
                <w:rFonts w:hAnsi="宋体" w:cs="宋体"/>
                <w:bCs/>
                <w:color w:val="auto"/>
                <w:sz w:val="24"/>
                <w:highlight w:val="none"/>
              </w:rPr>
            </w:pPr>
          </w:p>
          <w:p>
            <w:pPr>
              <w:pStyle w:val="148"/>
              <w:adjustRightInd w:val="0"/>
              <w:spacing w:line="360" w:lineRule="auto"/>
              <w:rPr>
                <w:rFonts w:hAnsi="宋体" w:cs="宋体"/>
                <w:bCs/>
                <w:color w:val="auto"/>
                <w:sz w:val="24"/>
                <w:highlight w:val="none"/>
              </w:rPr>
            </w:pPr>
          </w:p>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pPr>
        <w:snapToGrid w:val="0"/>
        <w:spacing w:line="360" w:lineRule="auto"/>
        <w:ind w:right="480"/>
        <w:rPr>
          <w:rFonts w:ascii="宋体" w:hAnsi="宋体" w:cs="宋体"/>
          <w:b/>
          <w:color w:val="auto"/>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8"/>
        <w:spacing w:line="360" w:lineRule="auto"/>
        <w:rPr>
          <w:rFonts w:hAnsi="宋体" w:cs="宋体"/>
          <w:bCs/>
          <w:color w:val="auto"/>
          <w:sz w:val="24"/>
          <w:highlight w:val="none"/>
        </w:rPr>
      </w:pPr>
    </w:p>
    <w:p>
      <w:pPr>
        <w:adjustRightInd/>
        <w:snapToGrid w:val="0"/>
        <w:spacing w:before="120" w:beforeLines="50" w:after="50" w:line="600" w:lineRule="exact"/>
        <w:jc w:val="center"/>
        <w:rPr>
          <w:rFonts w:ascii="宋体" w:hAnsi="宋体"/>
          <w:b/>
          <w:color w:val="auto"/>
          <w:sz w:val="30"/>
          <w:szCs w:val="30"/>
          <w:highlight w:val="none"/>
        </w:rPr>
      </w:pPr>
      <w:r>
        <w:rPr>
          <w:rFonts w:hint="eastAsia" w:ascii="宋体" w:hAnsi="宋体"/>
          <w:b/>
          <w:color w:val="auto"/>
          <w:sz w:val="30"/>
          <w:szCs w:val="30"/>
          <w:highlight w:val="none"/>
        </w:rPr>
        <w:t>法定代表人、单位负责人或自然人身份证明书</w:t>
      </w:r>
    </w:p>
    <w:p>
      <w:pPr>
        <w:snapToGrid w:val="0"/>
        <w:spacing w:line="276" w:lineRule="auto"/>
        <w:ind w:firstLine="960" w:firstLineChars="400"/>
        <w:rPr>
          <w:rFonts w:ascii="宋体" w:hAnsi="宋体"/>
          <w:color w:val="auto"/>
          <w:sz w:val="24"/>
          <w:highlight w:val="none"/>
          <w:u w:val="single"/>
        </w:rPr>
      </w:pPr>
    </w:p>
    <w:p>
      <w:pPr>
        <w:snapToGrid w:val="0"/>
        <w:spacing w:line="720" w:lineRule="exact"/>
        <w:ind w:firstLine="960" w:firstLineChars="400"/>
        <w:rPr>
          <w:rFonts w:ascii="宋体" w:hAnsi="宋体"/>
          <w:color w:val="auto"/>
          <w:sz w:val="24"/>
          <w:highlight w:val="none"/>
        </w:rPr>
      </w:pP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w:t>
      </w:r>
      <w:r>
        <w:rPr>
          <w:rFonts w:hint="eastAsia" w:ascii="宋体" w:hAnsi="宋体"/>
          <w:color w:val="auto"/>
          <w:sz w:val="24"/>
          <w:highlight w:val="none"/>
        </w:rPr>
        <w:t>在我公司（单位）任</w:t>
      </w:r>
      <w:r>
        <w:rPr>
          <w:rFonts w:hint="eastAsia" w:ascii="宋体" w:hAnsi="宋体"/>
          <w:color w:val="auto"/>
          <w:sz w:val="24"/>
          <w:highlight w:val="none"/>
          <w:u w:val="single"/>
        </w:rPr>
        <w:t xml:space="preserve">          </w:t>
      </w:r>
      <w:r>
        <w:rPr>
          <w:rFonts w:hint="eastAsia" w:ascii="宋体" w:hAnsi="宋体"/>
          <w:color w:val="auto"/>
          <w:sz w:val="24"/>
          <w:highlight w:val="none"/>
        </w:rPr>
        <w:t>职务，是我公司（单位）</w:t>
      </w:r>
      <w:r>
        <w:rPr>
          <w:rFonts w:hint="eastAsia" w:ascii="宋体" w:hAnsi="宋体"/>
          <w:color w:val="auto"/>
          <w:sz w:val="24"/>
          <w:highlight w:val="none"/>
          <w:u w:val="single"/>
        </w:rPr>
        <w:t xml:space="preserve">          </w:t>
      </w:r>
      <w:r>
        <w:rPr>
          <w:rFonts w:hint="eastAsia" w:ascii="宋体" w:hAnsi="宋体"/>
          <w:color w:val="auto"/>
          <w:sz w:val="24"/>
          <w:highlight w:val="none"/>
        </w:rPr>
        <w:t>的法定代表人</w:t>
      </w:r>
      <w:r>
        <w:rPr>
          <w:rFonts w:hint="eastAsia" w:ascii="宋体" w:hAnsi="宋体" w:cs="宋体"/>
          <w:color w:val="auto"/>
          <w:kern w:val="0"/>
          <w:sz w:val="24"/>
          <w:highlight w:val="none"/>
        </w:rPr>
        <w:t>（负责人）</w:t>
      </w:r>
      <w:r>
        <w:rPr>
          <w:rFonts w:hint="eastAsia" w:ascii="宋体" w:hAnsi="宋体"/>
          <w:color w:val="auto"/>
          <w:sz w:val="24"/>
          <w:highlight w:val="none"/>
        </w:rPr>
        <w:t>。</w:t>
      </w:r>
    </w:p>
    <w:p>
      <w:pPr>
        <w:snapToGrid w:val="0"/>
        <w:spacing w:line="720" w:lineRule="exact"/>
        <w:ind w:firstLine="840" w:firstLineChars="350"/>
        <w:rPr>
          <w:rFonts w:ascii="宋体" w:hAnsi="宋体"/>
          <w:color w:val="auto"/>
          <w:sz w:val="24"/>
          <w:highlight w:val="none"/>
        </w:rPr>
      </w:pPr>
      <w:r>
        <w:rPr>
          <w:rFonts w:hint="eastAsia" w:ascii="宋体" w:hAnsi="宋体"/>
          <w:color w:val="auto"/>
          <w:sz w:val="24"/>
          <w:highlight w:val="none"/>
        </w:rPr>
        <w:t>特此证明。</w:t>
      </w:r>
    </w:p>
    <w:p>
      <w:pPr>
        <w:snapToGrid w:val="0"/>
        <w:spacing w:line="276" w:lineRule="auto"/>
        <w:rPr>
          <w:rFonts w:ascii="宋体" w:hAnsi="宋体"/>
          <w:color w:val="auto"/>
          <w:sz w:val="24"/>
          <w:highlight w:val="none"/>
        </w:rPr>
      </w:pPr>
    </w:p>
    <w:p>
      <w:pPr>
        <w:snapToGrid w:val="0"/>
        <w:spacing w:line="276" w:lineRule="auto"/>
        <w:rPr>
          <w:rFonts w:ascii="宋体" w:hAnsi="宋体"/>
          <w:color w:val="auto"/>
          <w:sz w:val="24"/>
          <w:highlight w:val="none"/>
        </w:rPr>
      </w:pPr>
      <w:r>
        <w:rPr>
          <w:rFonts w:hint="eastAsia" w:ascii="宋体" w:hAnsi="宋体"/>
          <w:color w:val="auto"/>
          <w:sz w:val="24"/>
          <w:highlight w:val="none"/>
        </w:rPr>
        <w:t xml:space="preserve">                        </w:t>
      </w:r>
    </w:p>
    <w:p>
      <w:pPr>
        <w:snapToGrid w:val="0"/>
        <w:spacing w:line="276" w:lineRule="auto"/>
        <w:rPr>
          <w:rFonts w:ascii="宋体" w:hAnsi="宋体"/>
          <w:color w:val="auto"/>
          <w:sz w:val="24"/>
          <w:highlight w:val="none"/>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投标人名称(公章)：                              </w:t>
      </w:r>
    </w:p>
    <w:p>
      <w:pPr>
        <w:pStyle w:val="148"/>
        <w:spacing w:line="360" w:lineRule="auto"/>
        <w:rPr>
          <w:rFonts w:hAnsi="宋体" w:cs="宋体"/>
          <w:bCs/>
          <w:color w:val="auto"/>
          <w:sz w:val="24"/>
          <w:highlight w:val="none"/>
        </w:rPr>
      </w:pPr>
      <w:r>
        <w:rPr>
          <w:rFonts w:hint="eastAsia" w:hAnsi="宋体" w:cs="宋体"/>
          <w:color w:val="auto"/>
          <w:kern w:val="0"/>
          <w:sz w:val="24"/>
          <w:highlight w:val="none"/>
          <w:lang w:val="zh-CN"/>
        </w:rPr>
        <w:t xml:space="preserve">                               日期：  年  月  日</w:t>
      </w:r>
    </w:p>
    <w:p>
      <w:pPr>
        <w:pStyle w:val="148"/>
        <w:spacing w:line="360" w:lineRule="auto"/>
        <w:rPr>
          <w:rFonts w:hAnsi="宋体" w:cs="宋体"/>
          <w:bCs/>
          <w:color w:val="auto"/>
          <w:sz w:val="24"/>
          <w:highlight w:val="none"/>
        </w:rPr>
      </w:pPr>
    </w:p>
    <w:p>
      <w:pPr>
        <w:pStyle w:val="148"/>
        <w:spacing w:line="360" w:lineRule="auto"/>
        <w:rPr>
          <w:rFonts w:hAnsi="宋体" w:cs="宋体"/>
          <w:bCs/>
          <w:color w:val="auto"/>
          <w:sz w:val="24"/>
          <w:highlight w:val="none"/>
        </w:rPr>
      </w:pPr>
      <w:r>
        <w:rPr>
          <w:rFonts w:hint="eastAsia" w:hAnsi="宋体"/>
          <w:color w:val="auto"/>
          <w:sz w:val="24"/>
          <w:highlight w:val="none"/>
        </w:rPr>
        <w:t>法定代表人</w:t>
      </w:r>
      <w:r>
        <w:rPr>
          <w:rFonts w:hint="eastAsia" w:hAnsi="宋体" w:cs="宋体"/>
          <w:color w:val="auto"/>
          <w:kern w:val="0"/>
          <w:sz w:val="24"/>
          <w:highlight w:val="none"/>
        </w:rPr>
        <w:t>（负责人）</w:t>
      </w: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right="480"/>
        <w:rPr>
          <w:rFonts w:ascii="宋体" w:hAnsi="宋体" w:cs="宋体"/>
          <w:b/>
          <w:color w:val="auto"/>
          <w:kern w:val="0"/>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453"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53"/>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pStyle w:val="84"/>
        <w:rPr>
          <w:color w:val="auto"/>
          <w:highlight w:val="none"/>
        </w:rPr>
      </w:pPr>
    </w:p>
    <w:p>
      <w:pPr>
        <w:rPr>
          <w:color w:val="auto"/>
          <w:highlight w:val="none"/>
        </w:rPr>
      </w:pPr>
    </w:p>
    <w:p>
      <w:pPr>
        <w:pStyle w:val="84"/>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spacing w:line="360" w:lineRule="auto"/>
        <w:ind w:firstLine="3600" w:firstLineChars="1500"/>
        <w:rPr>
          <w:rFonts w:ascii="宋体" w:hAnsi="宋体" w:cs="宋体"/>
          <w:color w:val="auto"/>
          <w:sz w:val="24"/>
          <w:highlight w:val="none"/>
        </w:rPr>
      </w:pP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pacing w:line="360" w:lineRule="auto"/>
        <w:ind w:left="4620" w:leftChars="2200"/>
        <w:rPr>
          <w:rFonts w:ascii="宋体" w:hAnsi="宋体" w:cs="宋体"/>
          <w:color w:val="auto"/>
          <w:sz w:val="24"/>
          <w:highlight w:val="none"/>
        </w:rPr>
      </w:pP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jc w:val="center"/>
        <w:rPr>
          <w:rFonts w:ascii="宋体" w:hAnsi="宋体" w:cs="宋体"/>
          <w:b/>
          <w:bCs/>
          <w:color w:val="auto"/>
          <w:sz w:val="32"/>
          <w:szCs w:val="32"/>
          <w:highlight w:val="none"/>
        </w:rPr>
      </w:pPr>
    </w:p>
    <w:p>
      <w:pPr>
        <w:ind w:firstLine="1911" w:firstLineChars="595"/>
        <w:jc w:val="center"/>
        <w:rPr>
          <w:rFonts w:ascii="宋体" w:hAnsi="宋体" w:cs="宋体"/>
          <w:b/>
          <w:bCs/>
          <w:color w:val="auto"/>
          <w:sz w:val="32"/>
          <w:szCs w:val="32"/>
          <w:highlight w:val="none"/>
        </w:rPr>
      </w:pPr>
    </w:p>
    <w:p>
      <w:pPr>
        <w:jc w:val="center"/>
        <w:rPr>
          <w:rFonts w:ascii="宋体" w:hAnsi="宋体" w:cs="宋体"/>
          <w:b/>
          <w:color w:val="auto"/>
          <w:kern w:val="0"/>
          <w:sz w:val="32"/>
          <w:szCs w:val="21"/>
          <w:highlight w:val="none"/>
        </w:rPr>
      </w:pPr>
      <w:r>
        <w:rPr>
          <w:rFonts w:hint="eastAsia" w:ascii="宋体" w:hAnsi="宋体" w:cs="宋体"/>
          <w:b/>
          <w:bCs/>
          <w:color w:val="auto"/>
          <w:sz w:val="32"/>
          <w:szCs w:val="32"/>
          <w:highlight w:val="none"/>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21"/>
          <w:highlight w:val="none"/>
        </w:rPr>
        <w:t>承诺函</w:t>
      </w:r>
    </w:p>
    <w:p>
      <w:pPr>
        <w:widowControl/>
        <w:adjustRightInd/>
        <w:ind w:firstLine="640" w:firstLineChars="200"/>
        <w:jc w:val="left"/>
        <w:rPr>
          <w:rFonts w:ascii="宋体" w:hAnsi="宋体" w:cs="宋体"/>
          <w:color w:val="auto"/>
          <w:kern w:val="0"/>
          <w:sz w:val="32"/>
          <w:szCs w:val="21"/>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我方作为本次采购项目的投标人，根据招标文件要求，现郑重承诺如下：</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二、参加本次招标采购活动，不存在与单位负责人为同一人或者存在直接控股、管理关系的其他供应商参与同一合同项下的政府采购活动的行为。</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三、为采购项目提供整体设计、规范编制或者项目管理、监理、检测等服务的供应商，不得再参加该采购项目的其他采购活动，我方承诺不属于此类禁止参加本项目的供应商。</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四、参加本次招标采购活动，不存在和其他供应商在同一合同项下的采购项目中，同时委托同一个自然人、同一家庭的人员、同一单位的人员作为代理人的行为。</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五、投标文件中提供的能够给予我方带来优惠、好处的任何材料资料和技术、服务、商务、响应产品等响应承诺情况都是真实的、有效的、合法的。</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七、国家或行业主管部门对采购产品的技术标准、质量标准和资格资质条件等有强制性规定的，我方承诺符合其要求。</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八、参加本次招标采购活动，我方完全同意招标文件第二部分关于“投标费用”、“合同分包”、“合同转包”、“履约保证金”的实质性要求，并承诺严格按照招标文件要求履行。</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我方对上述承诺的内容事项真实性负责。如经查实上述承诺的内容事项存在虚假，我方愿意接受以提供虚假材料谋取中标追究法律责任。</w:t>
      </w:r>
    </w:p>
    <w:p>
      <w:pPr>
        <w:widowControl/>
        <w:adjustRightInd/>
        <w:spacing w:line="360" w:lineRule="auto"/>
        <w:ind w:firstLine="480" w:firstLineChars="200"/>
        <w:jc w:val="left"/>
        <w:rPr>
          <w:rFonts w:ascii="宋体" w:hAnsi="宋体" w:cs="宋体"/>
          <w:color w:val="auto"/>
          <w:kern w:val="0"/>
          <w:sz w:val="24"/>
          <w:highlight w:val="none"/>
        </w:rPr>
      </w:pP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00" w:lineRule="auto"/>
        <w:rPr>
          <w:rFonts w:cs="仿宋_GB2312" w:asciiTheme="minorEastAsia" w:hAnsiTheme="minorEastAsia" w:eastAsiaTheme="minorEastAsia"/>
          <w:b/>
          <w:bCs/>
          <w:color w:val="auto"/>
          <w:sz w:val="32"/>
          <w:szCs w:val="32"/>
          <w:highlight w:val="none"/>
        </w:rPr>
      </w:pPr>
    </w:p>
    <w:p>
      <w:pPr>
        <w:spacing w:line="30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十、技术解决方案</w:t>
      </w:r>
    </w:p>
    <w:p>
      <w:pPr>
        <w:spacing w:line="30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（由供应商根据采购需求及招标文件要求编制）</w:t>
      </w:r>
    </w:p>
    <w:p>
      <w:pPr>
        <w:spacing w:line="300" w:lineRule="auto"/>
        <w:jc w:val="center"/>
        <w:rPr>
          <w:rFonts w:cs="仿宋_GB2312" w:asciiTheme="minorEastAsia" w:hAnsiTheme="minorEastAsia" w:eastAsiaTheme="minorEastAsia"/>
          <w:color w:val="auto"/>
          <w:sz w:val="24"/>
          <w:highlight w:val="none"/>
        </w:rPr>
      </w:pPr>
    </w:p>
    <w:p>
      <w:pPr>
        <w:autoSpaceDE w:val="0"/>
        <w:autoSpaceDN w:val="0"/>
        <w:spacing w:line="300" w:lineRule="auto"/>
        <w:rPr>
          <w:rFonts w:cs="仿宋_GB2312" w:asciiTheme="minorEastAsia" w:hAnsiTheme="minorEastAsia" w:eastAsiaTheme="minorEastAsia"/>
          <w:color w:val="auto"/>
          <w:kern w:val="0"/>
          <w:sz w:val="24"/>
          <w:highlight w:val="none"/>
        </w:rPr>
      </w:pPr>
    </w:p>
    <w:p>
      <w:pPr>
        <w:autoSpaceDE w:val="0"/>
        <w:autoSpaceDN w:val="0"/>
        <w:spacing w:line="30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投标人名称（公章）：</w:t>
      </w:r>
      <w:r>
        <w:rPr>
          <w:rFonts w:hint="eastAsia" w:cs="仿宋_GB2312" w:asciiTheme="minorEastAsia" w:hAnsiTheme="minorEastAsia" w:eastAsiaTheme="minorEastAsia"/>
          <w:color w:val="auto"/>
          <w:kern w:val="0"/>
          <w:sz w:val="24"/>
          <w:highlight w:val="none"/>
        </w:rPr>
        <w:t xml:space="preserve">                       </w:t>
      </w:r>
    </w:p>
    <w:p>
      <w:pPr>
        <w:spacing w:line="30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00" w:lineRule="auto"/>
        <w:jc w:val="center"/>
        <w:rPr>
          <w:rFonts w:cs="仿宋_GB2312" w:asciiTheme="minorEastAsia" w:hAnsiTheme="minorEastAsia" w:eastAsiaTheme="minorEastAsia"/>
          <w:b/>
          <w:bCs/>
          <w:color w:val="auto"/>
          <w:sz w:val="32"/>
          <w:szCs w:val="32"/>
          <w:highlight w:val="none"/>
        </w:rPr>
      </w:pPr>
    </w:p>
    <w:p>
      <w:pPr>
        <w:spacing w:line="30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十一、组织实施方案</w:t>
      </w:r>
    </w:p>
    <w:p>
      <w:pPr>
        <w:spacing w:line="30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（由供应商根据采购需求及招标文件要求编制）</w:t>
      </w:r>
    </w:p>
    <w:p>
      <w:pPr>
        <w:spacing w:line="300" w:lineRule="auto"/>
        <w:jc w:val="center"/>
        <w:rPr>
          <w:rFonts w:cs="仿宋_GB2312" w:asciiTheme="minorEastAsia" w:hAnsiTheme="minorEastAsia" w:eastAsiaTheme="minorEastAsia"/>
          <w:color w:val="auto"/>
          <w:sz w:val="24"/>
          <w:highlight w:val="none"/>
        </w:rPr>
      </w:pPr>
    </w:p>
    <w:p>
      <w:pPr>
        <w:autoSpaceDE w:val="0"/>
        <w:autoSpaceDN w:val="0"/>
        <w:spacing w:line="300" w:lineRule="auto"/>
        <w:rPr>
          <w:rFonts w:cs="仿宋_GB2312" w:asciiTheme="minorEastAsia" w:hAnsiTheme="minorEastAsia" w:eastAsiaTheme="minorEastAsia"/>
          <w:color w:val="auto"/>
          <w:kern w:val="0"/>
          <w:sz w:val="24"/>
          <w:highlight w:val="none"/>
        </w:rPr>
      </w:pPr>
    </w:p>
    <w:p>
      <w:pPr>
        <w:autoSpaceDE w:val="0"/>
        <w:autoSpaceDN w:val="0"/>
        <w:spacing w:line="30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投标人名称（公章）：</w:t>
      </w:r>
      <w:r>
        <w:rPr>
          <w:rFonts w:hint="eastAsia" w:cs="仿宋_GB2312" w:asciiTheme="minorEastAsia" w:hAnsiTheme="minorEastAsia" w:eastAsiaTheme="minorEastAsia"/>
          <w:color w:val="auto"/>
          <w:kern w:val="0"/>
          <w:sz w:val="24"/>
          <w:highlight w:val="none"/>
        </w:rPr>
        <w:t xml:space="preserve">                       </w:t>
      </w:r>
    </w:p>
    <w:p>
      <w:pPr>
        <w:spacing w:line="30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00" w:lineRule="auto"/>
        <w:jc w:val="center"/>
        <w:rPr>
          <w:rFonts w:cs="仿宋_GB2312" w:asciiTheme="minorEastAsia" w:hAnsiTheme="minorEastAsia" w:eastAsiaTheme="minorEastAsia"/>
          <w:b/>
          <w:bCs/>
          <w:color w:val="auto"/>
          <w:sz w:val="32"/>
          <w:szCs w:val="32"/>
          <w:highlight w:val="none"/>
        </w:rPr>
      </w:pPr>
    </w:p>
    <w:p>
      <w:pPr>
        <w:spacing w:line="30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十二、售后服务方案</w:t>
      </w:r>
    </w:p>
    <w:p>
      <w:pPr>
        <w:spacing w:line="30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（由供应商根据采购需求及招标文件要求编制）</w:t>
      </w:r>
    </w:p>
    <w:p>
      <w:pPr>
        <w:spacing w:line="300" w:lineRule="auto"/>
        <w:jc w:val="center"/>
        <w:rPr>
          <w:rFonts w:cs="仿宋_GB2312" w:asciiTheme="minorEastAsia" w:hAnsiTheme="minorEastAsia" w:eastAsiaTheme="minorEastAsia"/>
          <w:color w:val="auto"/>
          <w:sz w:val="24"/>
          <w:highlight w:val="none"/>
        </w:rPr>
      </w:pPr>
    </w:p>
    <w:p>
      <w:pPr>
        <w:autoSpaceDE w:val="0"/>
        <w:autoSpaceDN w:val="0"/>
        <w:spacing w:line="300" w:lineRule="auto"/>
        <w:rPr>
          <w:rFonts w:cs="仿宋_GB2312" w:asciiTheme="minorEastAsia" w:hAnsiTheme="minorEastAsia" w:eastAsiaTheme="minorEastAsia"/>
          <w:color w:val="auto"/>
          <w:kern w:val="0"/>
          <w:sz w:val="24"/>
          <w:highlight w:val="none"/>
        </w:rPr>
      </w:pPr>
    </w:p>
    <w:p>
      <w:pPr>
        <w:autoSpaceDE w:val="0"/>
        <w:autoSpaceDN w:val="0"/>
        <w:spacing w:line="30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投标人名称（公章）：</w:t>
      </w:r>
      <w:r>
        <w:rPr>
          <w:rFonts w:hint="eastAsia" w:cs="仿宋_GB2312" w:asciiTheme="minorEastAsia" w:hAnsiTheme="minorEastAsia" w:eastAsiaTheme="minorEastAsia"/>
          <w:color w:val="auto"/>
          <w:kern w:val="0"/>
          <w:sz w:val="24"/>
          <w:highlight w:val="none"/>
        </w:rPr>
        <w:t xml:space="preserve">                       </w:t>
      </w:r>
    </w:p>
    <w:p>
      <w:pPr>
        <w:spacing w:line="30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pStyle w:val="4"/>
        <w:ind w:left="0" w:firstLine="0"/>
        <w:rPr>
          <w:color w:val="auto"/>
          <w:highlight w:val="none"/>
          <w:lang w:val="en-US"/>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spacing w:line="360" w:lineRule="auto"/>
        <w:jc w:val="center"/>
        <w:rPr>
          <w:rFonts w:ascii="宋体" w:hAnsi="宋体" w:cs="宋体"/>
          <w:b/>
          <w:color w:val="auto"/>
          <w:kern w:val="0"/>
          <w:sz w:val="36"/>
          <w:szCs w:val="36"/>
          <w:highlight w:val="none"/>
        </w:rPr>
      </w:pP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bookmarkStart w:id="454" w:name="OLE_LINK218"/>
      <w:bookmarkStart w:id="455" w:name="OLE_LINK217"/>
      <w:r>
        <w:rPr>
          <w:rFonts w:hint="eastAsia" w:ascii="宋体" w:hAnsi="宋体" w:cs="宋体"/>
          <w:color w:val="auto"/>
          <w:szCs w:val="21"/>
          <w:highlight w:val="none"/>
        </w:rPr>
        <w:t>▲</w:t>
      </w:r>
      <w:bookmarkEnd w:id="454"/>
      <w:bookmarkEnd w:id="455"/>
      <w:r>
        <w:rPr>
          <w:rFonts w:hint="eastAsia" w:ascii="宋体" w:hAnsi="宋体" w:cs="宋体"/>
          <w:color w:val="auto"/>
          <w:sz w:val="24"/>
          <w:highlight w:val="none"/>
        </w:rPr>
        <w:t>（1）</w:t>
      </w:r>
      <w:bookmarkStart w:id="456" w:name="OLE_LINK220"/>
      <w:bookmarkStart w:id="457" w:name="OLE_LINK219"/>
      <w:r>
        <w:rPr>
          <w:rFonts w:hint="eastAsia" w:ascii="宋体" w:hAnsi="宋体" w:cs="宋体"/>
          <w:color w:val="auto"/>
          <w:sz w:val="24"/>
          <w:highlight w:val="none"/>
        </w:rPr>
        <w:t>开标一览表</w:t>
      </w:r>
      <w:bookmarkEnd w:id="456"/>
      <w:bookmarkEnd w:id="457"/>
      <w:r>
        <w:rPr>
          <w:rFonts w:hint="eastAsia" w:ascii="宋体" w:hAnsi="宋体" w:cs="宋体"/>
          <w:color w:val="auto"/>
          <w:sz w:val="24"/>
          <w:highlight w:val="none"/>
        </w:rPr>
        <w:t>（报价表）………………………………………………………（页码）</w:t>
      </w:r>
    </w:p>
    <w:p>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pPr>
    </w:p>
    <w:p>
      <w:pPr>
        <w:pStyle w:val="84"/>
        <w:jc w:val="center"/>
        <w:rPr>
          <w:b/>
          <w:color w:val="auto"/>
          <w:sz w:val="32"/>
          <w:szCs w:val="32"/>
          <w:highlight w:val="none"/>
        </w:rPr>
      </w:pPr>
      <w:bookmarkStart w:id="458" w:name="_Toc176185127"/>
      <w:r>
        <w:rPr>
          <w:rFonts w:hint="eastAsia"/>
          <w:b/>
          <w:color w:val="auto"/>
          <w:sz w:val="32"/>
          <w:szCs w:val="32"/>
          <w:highlight w:val="none"/>
        </w:rPr>
        <w:t>一、开标一览表（报价表）</w:t>
      </w:r>
      <w:bookmarkEnd w:id="458"/>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生产厂家、</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autoSpaceDE w:val="0"/>
        <w:autoSpaceDN w:val="0"/>
        <w:spacing w:line="360" w:lineRule="auto"/>
        <w:ind w:left="2"/>
        <w:jc w:val="left"/>
        <w:rPr>
          <w:rFonts w:ascii="宋体" w:hAnsi="宋体" w:cs="宋体"/>
          <w:color w:val="auto"/>
          <w:kern w:val="0"/>
          <w:sz w:val="24"/>
          <w:highlight w:val="none"/>
          <w:lang w:val="zh-CN"/>
        </w:rPr>
      </w:pPr>
    </w:p>
    <w:p>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pacing w:line="360" w:lineRule="auto"/>
        <w:ind w:firstLine="482" w:firstLineChars="200"/>
        <w:rPr>
          <w:rFonts w:ascii="宋体" w:hAnsi="宋体" w:cs="宋体"/>
          <w:b/>
          <w:color w:val="auto"/>
          <w:kern w:val="0"/>
          <w:sz w:val="24"/>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84"/>
        <w:jc w:val="center"/>
        <w:rPr>
          <w:b/>
          <w:color w:val="auto"/>
          <w:sz w:val="32"/>
          <w:szCs w:val="32"/>
          <w:highlight w:val="none"/>
        </w:rPr>
      </w:pPr>
      <w:bookmarkStart w:id="459" w:name="_Toc176185128"/>
      <w:r>
        <w:rPr>
          <w:rFonts w:hint="eastAsia"/>
          <w:b/>
          <w:color w:val="auto"/>
          <w:kern w:val="2"/>
          <w:sz w:val="32"/>
          <w:szCs w:val="32"/>
          <w:highlight w:val="none"/>
        </w:rPr>
        <w:t>二、</w:t>
      </w:r>
      <w:r>
        <w:rPr>
          <w:rFonts w:hint="eastAsia"/>
          <w:b/>
          <w:color w:val="auto"/>
          <w:sz w:val="32"/>
          <w:szCs w:val="32"/>
          <w:highlight w:val="none"/>
        </w:rPr>
        <w:t>中小企业声明函</w:t>
      </w:r>
      <w:bookmarkStart w:id="460" w:name="_Hlk101259491"/>
      <w:r>
        <w:rPr>
          <w:rFonts w:hint="eastAsia"/>
          <w:b/>
          <w:color w:val="auto"/>
          <w:sz w:val="32"/>
          <w:szCs w:val="32"/>
          <w:highlight w:val="none"/>
        </w:rPr>
        <w:t>（如果有）</w:t>
      </w:r>
      <w:bookmarkEnd w:id="459"/>
      <w:bookmarkEnd w:id="460"/>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84"/>
        <w:jc w:val="center"/>
        <w:rPr>
          <w:b/>
          <w:color w:val="auto"/>
          <w:sz w:val="36"/>
          <w:szCs w:val="36"/>
          <w:highlight w:val="none"/>
        </w:rPr>
      </w:pPr>
      <w:bookmarkStart w:id="461" w:name="_Toc465665161"/>
      <w:r>
        <w:rPr>
          <w:rFonts w:hint="eastAsia"/>
          <w:b/>
          <w:color w:val="auto"/>
          <w:sz w:val="36"/>
          <w:szCs w:val="36"/>
          <w:highlight w:val="none"/>
        </w:rPr>
        <w:t>附件</w:t>
      </w:r>
      <w:bookmarkEnd w:id="461"/>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62" w:name="OLE_LINK14"/>
      <w:bookmarkStart w:id="463" w:name="OLE_LINK13"/>
      <w:r>
        <w:rPr>
          <w:rFonts w:hint="eastAsia" w:ascii="宋体" w:hAnsi="宋体" w:cs="宋体"/>
          <w:b/>
          <w:color w:val="auto"/>
          <w:spacing w:val="6"/>
          <w:sz w:val="32"/>
          <w:szCs w:val="32"/>
          <w:highlight w:val="none"/>
        </w:rPr>
        <w:t>残疾人福利性单位声明函</w:t>
      </w:r>
    </w:p>
    <w:bookmarkEnd w:id="462"/>
    <w:bookmarkEnd w:id="463"/>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left"/>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46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64"/>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pPr>
        <w:snapToGrid w:val="0"/>
        <w:spacing w:line="360" w:lineRule="auto"/>
        <w:ind w:firstLine="5040" w:firstLineChars="2100"/>
        <w:rPr>
          <w:rStyle w:val="83"/>
          <w:color w:val="auto"/>
          <w:highlight w:val="none"/>
        </w:rPr>
      </w:pPr>
      <w:r>
        <w:rPr>
          <w:rStyle w:val="83"/>
          <w:rFonts w:hint="eastAsia"/>
          <w:color w:val="auto"/>
          <w:highlight w:val="none"/>
        </w:rPr>
        <w:t>法定代表人（负责人） (签名)：</w:t>
      </w:r>
    </w:p>
    <w:p>
      <w:pPr>
        <w:snapToGrid w:val="0"/>
        <w:spacing w:line="360" w:lineRule="auto"/>
        <w:ind w:firstLine="5040" w:firstLineChars="2100"/>
        <w:rPr>
          <w:rFonts w:ascii="宋体" w:hAnsi="宋体" w:cs="宋体"/>
          <w:color w:val="auto"/>
          <w:kern w:val="0"/>
          <w:sz w:val="24"/>
          <w:highlight w:val="none"/>
          <w:lang w:val="zh-CN"/>
        </w:rPr>
      </w:pPr>
      <w:r>
        <w:rPr>
          <w:rStyle w:val="83"/>
          <w:rFonts w:hint="eastAsia"/>
          <w:color w:val="auto"/>
          <w:highlight w:val="none"/>
        </w:rPr>
        <w:t>联合体成</w:t>
      </w:r>
      <w:r>
        <w:rPr>
          <w:rFonts w:hint="eastAsia" w:ascii="宋体" w:hAnsi="宋体" w:cs="宋体"/>
          <w:color w:val="auto"/>
          <w:kern w:val="0"/>
          <w:sz w:val="24"/>
          <w:highlight w:val="none"/>
          <w:lang w:val="zh-CN"/>
        </w:rPr>
        <w:t>员名称(公章)：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法定代表人（负责人） (签名)：</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84"/>
        <w:rPr>
          <w:color w:val="auto"/>
          <w:highlight w:val="none"/>
        </w:rPr>
      </w:pPr>
      <w:r>
        <w:rPr>
          <w:rFonts w:hint="eastAsia"/>
          <w:color w:val="auto"/>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6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65"/>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投标人名称(公章)：</w:t>
      </w:r>
    </w:p>
    <w:p>
      <w:pPr>
        <w:snapToGrid w:val="0"/>
        <w:spacing w:line="360" w:lineRule="auto"/>
        <w:rPr>
          <w:rStyle w:val="83"/>
          <w:color w:val="auto"/>
          <w:highlight w:val="none"/>
        </w:rPr>
      </w:pPr>
      <w:r>
        <w:rPr>
          <w:rStyle w:val="83"/>
          <w:rFonts w:hint="eastAsia"/>
          <w:color w:val="auto"/>
          <w:highlight w:val="none"/>
        </w:rPr>
        <w:t xml:space="preserve">                                              法定代表人（负责人） (签名)：</w:t>
      </w:r>
    </w:p>
    <w:p>
      <w:pPr>
        <w:snapToGrid w:val="0"/>
        <w:spacing w:line="360" w:lineRule="auto"/>
        <w:ind w:right="480"/>
        <w:rPr>
          <w:rFonts w:ascii="宋体" w:hAnsi="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分包供应商名称(公章)：</w:t>
      </w:r>
    </w:p>
    <w:p>
      <w:pPr>
        <w:pStyle w:val="84"/>
        <w:ind w:firstLine="5520" w:firstLineChars="2300"/>
        <w:jc w:val="both"/>
        <w:rPr>
          <w:color w:val="auto"/>
          <w:highlight w:val="none"/>
        </w:rPr>
      </w:pPr>
      <w:r>
        <w:rPr>
          <w:rStyle w:val="83"/>
          <w:rFonts w:hint="eastAsia"/>
          <w:color w:val="auto"/>
          <w:highlight w:val="none"/>
        </w:rPr>
        <w:t>法定代表人（负责人） (签名)：</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rPr>
        <w:t>……</w:t>
      </w:r>
    </w:p>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7</w:t>
      </w:r>
      <w:r>
        <w:rPr>
          <w:rFonts w:hint="eastAsia" w:ascii="宋体" w:hAnsi="宋体" w:cs="宋体"/>
          <w:b/>
          <w:color w:val="auto"/>
          <w:kern w:val="0"/>
          <w:sz w:val="32"/>
          <w:szCs w:val="32"/>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pPr>
    </w:p>
    <w:sectPr>
      <w:headerReference r:id="rId29" w:type="first"/>
      <w:footerReference r:id="rId32" w:type="first"/>
      <w:headerReference r:id="rId28" w:type="default"/>
      <w:footerReference r:id="rId30" w:type="default"/>
      <w:footerReference r:id="rId3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Inter">
    <w:altName w:val="Corbel"/>
    <w:panose1 w:val="02000503000000020004"/>
    <w:charset w:val="00"/>
    <w:family w:val="auto"/>
    <w:pitch w:val="default"/>
    <w:sig w:usb0="00000000" w:usb1="00000000" w:usb2="00000001" w:usb3="00000000" w:csb0="0000019F" w:csb1="00000000"/>
  </w:font>
  <w:font w:name="华文楷体">
    <w:altName w:val="楷体_GB2312"/>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28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99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bookmarkStart w:id="466" w:name="_Toc36110187"/>
    <w:bookmarkStart w:id="467" w:name="_Toc164085800"/>
    <w:bookmarkStart w:id="468" w:name="_Toc131845147"/>
    <w:bookmarkStart w:id="469" w:name="_Toc91899912"/>
    <w:r>
      <w:rPr>
        <w:rFonts w:hint="eastAsia" w:ascii="仿宋_GB2312" w:eastAsia="仿宋_GB2312"/>
        <w:kern w:val="0"/>
        <w:sz w:val="21"/>
        <w:szCs w:val="21"/>
      </w:rPr>
      <w:t xml:space="preserve"> 页</w:t>
    </w:r>
    <w:bookmarkEnd w:id="466"/>
    <w:bookmarkEnd w:id="467"/>
    <w:bookmarkEnd w:id="468"/>
    <w:bookmarkEnd w:id="46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29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37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97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98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ascii="仿宋_GB2312" w:eastAsia="仿宋_GB2312"/>
        <w:b/>
        <w:i/>
        <w:sz w:val="21"/>
        <w:szCs w:val="21"/>
        <w:u w:val="single"/>
      </w:rPr>
    </w:pPr>
    <w:r>
      <w:t></w:t>
    </w:r>
    <w:r>
      <w:rPr>
        <w:rFonts w:hint="eastAsia"/>
      </w:rPr>
      <w:t xml:space="preserve">            </w:t>
    </w:r>
    <w:r>
      <w:rPr>
        <w:rFonts w:hint="eastAsia"/>
        <w:sz w:val="21"/>
        <w:szCs w:val="21"/>
      </w:rPr>
      <w:t xml:space="preserve"> </w:t>
    </w:r>
    <w:r>
      <w:rPr>
        <w:sz w:val="21"/>
        <w:szCs w:val="21"/>
      </w:rPr>
      <w:t>北海市政府采购公开招标文件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sz w:val="21"/>
        <w:szCs w:val="21"/>
      </w:rPr>
    </w:pPr>
    <w:r>
      <w:t></w:t>
    </w:r>
    <w:r>
      <w:rPr>
        <w:rFonts w:hint="eastAsia"/>
      </w:rPr>
      <w:t xml:space="preserve">                                                                    </w:t>
    </w:r>
    <w:r>
      <w:rPr>
        <w:rFonts w:hint="eastAsia"/>
        <w:sz w:val="21"/>
        <w:szCs w:val="21"/>
      </w:rPr>
      <w:t>北海</w:t>
    </w:r>
    <w:r>
      <w:rPr>
        <w:sz w:val="21"/>
        <w:szCs w:val="21"/>
      </w:rPr>
      <w:t>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sz w:val="21"/>
        <w:szCs w:val="21"/>
        <w:u w:val="single"/>
      </w:rPr>
    </w:pPr>
    <w:r>
      <w:rPr>
        <w:rFonts w:hint="eastAsia"/>
      </w:rPr>
      <w:t xml:space="preserve">                                </w:t>
    </w:r>
    <w:r>
      <w:rPr>
        <w:rFonts w:hint="eastAsia"/>
        <w:sz w:val="21"/>
        <w:szCs w:val="21"/>
      </w:rPr>
      <w:t xml:space="preserve">  北海</w:t>
    </w:r>
    <w:r>
      <w:rPr>
        <w:sz w:val="21"/>
        <w:szCs w:val="21"/>
      </w:rPr>
      <w:t>市政府采购公开招标文件</w:t>
    </w:r>
  </w:p>
  <w:p>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sz w:val="21"/>
        <w:szCs w:val="21"/>
      </w:rPr>
    </w:pPr>
    <w:r>
      <w:rPr>
        <w:rFonts w:hint="eastAsia"/>
      </w:rPr>
      <w:t xml:space="preserve">                                                                                                        </w:t>
    </w:r>
    <w:r>
      <w:rPr>
        <w:rFonts w:hint="eastAsia"/>
        <w:sz w:val="21"/>
        <w:szCs w:val="21"/>
      </w:rPr>
      <w:t>北海</w:t>
    </w:r>
    <w:r>
      <w:rPr>
        <w:sz w:val="21"/>
        <w:szCs w:val="21"/>
      </w:rPr>
      <w:t>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sz w:val="21"/>
        <w:szCs w:val="21"/>
      </w:rPr>
      <w:t></w:t>
    </w:r>
    <w:r>
      <w:rPr>
        <w:rFonts w:hint="eastAsia"/>
        <w:sz w:val="21"/>
        <w:szCs w:val="21"/>
      </w:rPr>
      <w:t>北海</w:t>
    </w:r>
    <w:r>
      <w:rPr>
        <w:sz w:val="21"/>
        <w:szCs w:val="21"/>
      </w:rPr>
      <w:t>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sz w:val="21"/>
        <w:szCs w:val="21"/>
      </w:rPr>
    </w:pPr>
    <w:r>
      <w:t></w:t>
    </w:r>
    <w:r>
      <w:rPr>
        <w:rFonts w:hint="eastAsia"/>
      </w:rPr>
      <w:t xml:space="preserve">                </w:t>
    </w:r>
    <w:r>
      <w:rPr>
        <w:rFonts w:hint="eastAsia"/>
        <w:sz w:val="21"/>
        <w:szCs w:val="21"/>
      </w:rPr>
      <w:t xml:space="preserve">                       北海</w:t>
    </w:r>
    <w:r>
      <w:rPr>
        <w:sz w:val="21"/>
        <w:szCs w:val="21"/>
      </w:rP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sz w:val="21"/>
        <w:szCs w:val="21"/>
        <w:u w:val="single"/>
      </w:rPr>
    </w:pPr>
    <w:r>
      <w:t></w:t>
    </w:r>
    <w:r>
      <w:rPr>
        <w:rFonts w:hint="eastAsia"/>
      </w:rPr>
      <w:t xml:space="preserve">                                                </w:t>
    </w:r>
    <w:r>
      <w:rPr>
        <w:sz w:val="21"/>
        <w:szCs w:val="21"/>
      </w:rPr>
      <w:t xml:space="preserve"> </w:t>
    </w:r>
    <w:r>
      <w:rPr>
        <w:rFonts w:hint="eastAsia"/>
        <w:sz w:val="21"/>
        <w:szCs w:val="21"/>
      </w:rPr>
      <w:t>北海</w:t>
    </w:r>
    <w:r>
      <w:rPr>
        <w:sz w:val="21"/>
        <w:szCs w:val="21"/>
      </w:rPr>
      <w:t>市政府采购公开招标文件</w:t>
    </w:r>
  </w:p>
  <w:p>
    <w:pPr>
      <w:rPr>
        <w:rFonts w:ascii="仿宋_GB2312" w:eastAsia="仿宋_GB2312"/>
        <w:b/>
        <w:i/>
        <w:sz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MWMyOWY0ZmExNDQ4NjZlZGIzYmFkMGNlZTkyYjAifQ=="/>
  </w:docVars>
  <w:rsids>
    <w:rsidRoot w:val="00172A27"/>
    <w:rsid w:val="00000451"/>
    <w:rsid w:val="00000A8C"/>
    <w:rsid w:val="0000108B"/>
    <w:rsid w:val="0000114C"/>
    <w:rsid w:val="0000133D"/>
    <w:rsid w:val="00001509"/>
    <w:rsid w:val="00001C42"/>
    <w:rsid w:val="000032B2"/>
    <w:rsid w:val="0000363B"/>
    <w:rsid w:val="000058BD"/>
    <w:rsid w:val="00006109"/>
    <w:rsid w:val="00006150"/>
    <w:rsid w:val="000063E8"/>
    <w:rsid w:val="000066F2"/>
    <w:rsid w:val="00006725"/>
    <w:rsid w:val="0000675E"/>
    <w:rsid w:val="000072FF"/>
    <w:rsid w:val="00007CAA"/>
    <w:rsid w:val="00007EE0"/>
    <w:rsid w:val="00010FE9"/>
    <w:rsid w:val="0001122F"/>
    <w:rsid w:val="00011943"/>
    <w:rsid w:val="00011A4B"/>
    <w:rsid w:val="00012251"/>
    <w:rsid w:val="0001232F"/>
    <w:rsid w:val="0001337C"/>
    <w:rsid w:val="000138C4"/>
    <w:rsid w:val="00013C1F"/>
    <w:rsid w:val="00013F31"/>
    <w:rsid w:val="000140D8"/>
    <w:rsid w:val="00014530"/>
    <w:rsid w:val="00014BBC"/>
    <w:rsid w:val="000150EE"/>
    <w:rsid w:val="00015988"/>
    <w:rsid w:val="000163D1"/>
    <w:rsid w:val="000168D8"/>
    <w:rsid w:val="000170C8"/>
    <w:rsid w:val="000173F4"/>
    <w:rsid w:val="00020287"/>
    <w:rsid w:val="000202A2"/>
    <w:rsid w:val="000202FE"/>
    <w:rsid w:val="00020B5F"/>
    <w:rsid w:val="000211BC"/>
    <w:rsid w:val="0002207B"/>
    <w:rsid w:val="00022EBE"/>
    <w:rsid w:val="00022F58"/>
    <w:rsid w:val="000232FD"/>
    <w:rsid w:val="00023323"/>
    <w:rsid w:val="000233E4"/>
    <w:rsid w:val="00023495"/>
    <w:rsid w:val="00023777"/>
    <w:rsid w:val="00023CC9"/>
    <w:rsid w:val="00024130"/>
    <w:rsid w:val="00024584"/>
    <w:rsid w:val="00024962"/>
    <w:rsid w:val="000249AA"/>
    <w:rsid w:val="00025350"/>
    <w:rsid w:val="000253E5"/>
    <w:rsid w:val="00025776"/>
    <w:rsid w:val="00025A26"/>
    <w:rsid w:val="00026B14"/>
    <w:rsid w:val="00026EAC"/>
    <w:rsid w:val="000270F2"/>
    <w:rsid w:val="00027540"/>
    <w:rsid w:val="0003042E"/>
    <w:rsid w:val="00030572"/>
    <w:rsid w:val="00030A97"/>
    <w:rsid w:val="00030CB3"/>
    <w:rsid w:val="00030D6A"/>
    <w:rsid w:val="0003124B"/>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817"/>
    <w:rsid w:val="0004598C"/>
    <w:rsid w:val="00047354"/>
    <w:rsid w:val="00050072"/>
    <w:rsid w:val="00050656"/>
    <w:rsid w:val="00050A19"/>
    <w:rsid w:val="000511B6"/>
    <w:rsid w:val="00051B00"/>
    <w:rsid w:val="00051C72"/>
    <w:rsid w:val="00052192"/>
    <w:rsid w:val="0005238F"/>
    <w:rsid w:val="00052787"/>
    <w:rsid w:val="00052992"/>
    <w:rsid w:val="00052BB8"/>
    <w:rsid w:val="00052F10"/>
    <w:rsid w:val="0005417A"/>
    <w:rsid w:val="00054D39"/>
    <w:rsid w:val="0005501B"/>
    <w:rsid w:val="000550F5"/>
    <w:rsid w:val="000552AD"/>
    <w:rsid w:val="00055337"/>
    <w:rsid w:val="000554C7"/>
    <w:rsid w:val="000559B0"/>
    <w:rsid w:val="00056145"/>
    <w:rsid w:val="00056402"/>
    <w:rsid w:val="00056791"/>
    <w:rsid w:val="00056868"/>
    <w:rsid w:val="00056876"/>
    <w:rsid w:val="000568DF"/>
    <w:rsid w:val="00057700"/>
    <w:rsid w:val="000578A3"/>
    <w:rsid w:val="00057D4C"/>
    <w:rsid w:val="00060C48"/>
    <w:rsid w:val="00061A3C"/>
    <w:rsid w:val="00061C48"/>
    <w:rsid w:val="000622AC"/>
    <w:rsid w:val="00063C38"/>
    <w:rsid w:val="00063E1E"/>
    <w:rsid w:val="00064278"/>
    <w:rsid w:val="000646CA"/>
    <w:rsid w:val="000665C4"/>
    <w:rsid w:val="00066D83"/>
    <w:rsid w:val="00067821"/>
    <w:rsid w:val="0006785E"/>
    <w:rsid w:val="00067F92"/>
    <w:rsid w:val="00067FA7"/>
    <w:rsid w:val="0007038E"/>
    <w:rsid w:val="0007077C"/>
    <w:rsid w:val="00070825"/>
    <w:rsid w:val="00071845"/>
    <w:rsid w:val="00071CD8"/>
    <w:rsid w:val="00071DB2"/>
    <w:rsid w:val="00072519"/>
    <w:rsid w:val="00072AED"/>
    <w:rsid w:val="00072B56"/>
    <w:rsid w:val="00072D2B"/>
    <w:rsid w:val="00072D51"/>
    <w:rsid w:val="000730B1"/>
    <w:rsid w:val="00073860"/>
    <w:rsid w:val="000738EA"/>
    <w:rsid w:val="00074078"/>
    <w:rsid w:val="0007523B"/>
    <w:rsid w:val="00075B15"/>
    <w:rsid w:val="00075D0E"/>
    <w:rsid w:val="00075F6A"/>
    <w:rsid w:val="00076159"/>
    <w:rsid w:val="0007616C"/>
    <w:rsid w:val="000763B5"/>
    <w:rsid w:val="000763F3"/>
    <w:rsid w:val="000766D2"/>
    <w:rsid w:val="00076801"/>
    <w:rsid w:val="00076BCE"/>
    <w:rsid w:val="00077577"/>
    <w:rsid w:val="00077607"/>
    <w:rsid w:val="00077756"/>
    <w:rsid w:val="00077B7F"/>
    <w:rsid w:val="000808C1"/>
    <w:rsid w:val="00080970"/>
    <w:rsid w:val="00081671"/>
    <w:rsid w:val="00082AD4"/>
    <w:rsid w:val="00083B19"/>
    <w:rsid w:val="00083C35"/>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96E65"/>
    <w:rsid w:val="000A0729"/>
    <w:rsid w:val="000A0C6F"/>
    <w:rsid w:val="000A0E69"/>
    <w:rsid w:val="000A1A52"/>
    <w:rsid w:val="000A1E26"/>
    <w:rsid w:val="000A1F98"/>
    <w:rsid w:val="000A3A4C"/>
    <w:rsid w:val="000A3D58"/>
    <w:rsid w:val="000A3FE3"/>
    <w:rsid w:val="000A4708"/>
    <w:rsid w:val="000A47B0"/>
    <w:rsid w:val="000A4851"/>
    <w:rsid w:val="000A49BB"/>
    <w:rsid w:val="000A4F22"/>
    <w:rsid w:val="000A5674"/>
    <w:rsid w:val="000A5A46"/>
    <w:rsid w:val="000A64ED"/>
    <w:rsid w:val="000A7299"/>
    <w:rsid w:val="000A752E"/>
    <w:rsid w:val="000B0B97"/>
    <w:rsid w:val="000B0E04"/>
    <w:rsid w:val="000B1437"/>
    <w:rsid w:val="000B1776"/>
    <w:rsid w:val="000B2005"/>
    <w:rsid w:val="000B268D"/>
    <w:rsid w:val="000B291B"/>
    <w:rsid w:val="000B2BE4"/>
    <w:rsid w:val="000B33A8"/>
    <w:rsid w:val="000B35EC"/>
    <w:rsid w:val="000B381E"/>
    <w:rsid w:val="000B41D6"/>
    <w:rsid w:val="000B456C"/>
    <w:rsid w:val="000B458E"/>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2FC9"/>
    <w:rsid w:val="000C3970"/>
    <w:rsid w:val="000C3B1A"/>
    <w:rsid w:val="000C4727"/>
    <w:rsid w:val="000C47AE"/>
    <w:rsid w:val="000C51AD"/>
    <w:rsid w:val="000C5298"/>
    <w:rsid w:val="000C5374"/>
    <w:rsid w:val="000C5EC0"/>
    <w:rsid w:val="000C6162"/>
    <w:rsid w:val="000C64CC"/>
    <w:rsid w:val="000C6688"/>
    <w:rsid w:val="000C692E"/>
    <w:rsid w:val="000C6B28"/>
    <w:rsid w:val="000C725C"/>
    <w:rsid w:val="000C78DB"/>
    <w:rsid w:val="000C7B4D"/>
    <w:rsid w:val="000C7BEB"/>
    <w:rsid w:val="000D0124"/>
    <w:rsid w:val="000D0496"/>
    <w:rsid w:val="000D11E5"/>
    <w:rsid w:val="000D165F"/>
    <w:rsid w:val="000D19E8"/>
    <w:rsid w:val="000D1A04"/>
    <w:rsid w:val="000D1FA1"/>
    <w:rsid w:val="000D2834"/>
    <w:rsid w:val="000D2CAC"/>
    <w:rsid w:val="000D34C8"/>
    <w:rsid w:val="000D34FD"/>
    <w:rsid w:val="000D3BE5"/>
    <w:rsid w:val="000D3C37"/>
    <w:rsid w:val="000D41E3"/>
    <w:rsid w:val="000D453A"/>
    <w:rsid w:val="000D4AFA"/>
    <w:rsid w:val="000D5EA6"/>
    <w:rsid w:val="000D5F00"/>
    <w:rsid w:val="000D6C9F"/>
    <w:rsid w:val="000D6E3B"/>
    <w:rsid w:val="000D6F30"/>
    <w:rsid w:val="000D74E4"/>
    <w:rsid w:val="000D7BE9"/>
    <w:rsid w:val="000D7C9D"/>
    <w:rsid w:val="000D7CE0"/>
    <w:rsid w:val="000E1351"/>
    <w:rsid w:val="000E2785"/>
    <w:rsid w:val="000E27BB"/>
    <w:rsid w:val="000E3153"/>
    <w:rsid w:val="000E3484"/>
    <w:rsid w:val="000E386F"/>
    <w:rsid w:val="000E4051"/>
    <w:rsid w:val="000E4139"/>
    <w:rsid w:val="000E4765"/>
    <w:rsid w:val="000E5475"/>
    <w:rsid w:val="000E5B7E"/>
    <w:rsid w:val="000E5FF9"/>
    <w:rsid w:val="000E6AE1"/>
    <w:rsid w:val="000E6B0F"/>
    <w:rsid w:val="000E7142"/>
    <w:rsid w:val="000E7632"/>
    <w:rsid w:val="000E76F2"/>
    <w:rsid w:val="000E7737"/>
    <w:rsid w:val="000E7739"/>
    <w:rsid w:val="000E77EE"/>
    <w:rsid w:val="000F1604"/>
    <w:rsid w:val="000F1825"/>
    <w:rsid w:val="000F287A"/>
    <w:rsid w:val="000F2940"/>
    <w:rsid w:val="000F2AB3"/>
    <w:rsid w:val="000F3D08"/>
    <w:rsid w:val="000F4495"/>
    <w:rsid w:val="000F4A05"/>
    <w:rsid w:val="000F4AA8"/>
    <w:rsid w:val="000F4AEA"/>
    <w:rsid w:val="000F4E67"/>
    <w:rsid w:val="000F505B"/>
    <w:rsid w:val="000F5677"/>
    <w:rsid w:val="000F572C"/>
    <w:rsid w:val="000F5DDB"/>
    <w:rsid w:val="000F628E"/>
    <w:rsid w:val="000F68A0"/>
    <w:rsid w:val="000F6CC2"/>
    <w:rsid w:val="000F729C"/>
    <w:rsid w:val="000F7D4B"/>
    <w:rsid w:val="000F7F9A"/>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112"/>
    <w:rsid w:val="001176FF"/>
    <w:rsid w:val="0012153F"/>
    <w:rsid w:val="0012159D"/>
    <w:rsid w:val="00121804"/>
    <w:rsid w:val="00121EC9"/>
    <w:rsid w:val="0012208F"/>
    <w:rsid w:val="00122222"/>
    <w:rsid w:val="001224FE"/>
    <w:rsid w:val="001231D3"/>
    <w:rsid w:val="001232A7"/>
    <w:rsid w:val="00123F7C"/>
    <w:rsid w:val="001240B8"/>
    <w:rsid w:val="0012419E"/>
    <w:rsid w:val="0012432A"/>
    <w:rsid w:val="001248EF"/>
    <w:rsid w:val="00124AC0"/>
    <w:rsid w:val="00124EB2"/>
    <w:rsid w:val="00124FC4"/>
    <w:rsid w:val="001253AB"/>
    <w:rsid w:val="0012574C"/>
    <w:rsid w:val="001259B8"/>
    <w:rsid w:val="001264B9"/>
    <w:rsid w:val="0012693E"/>
    <w:rsid w:val="00126A3A"/>
    <w:rsid w:val="00127060"/>
    <w:rsid w:val="0012716F"/>
    <w:rsid w:val="00127B83"/>
    <w:rsid w:val="00127F4D"/>
    <w:rsid w:val="00131C2D"/>
    <w:rsid w:val="0013202C"/>
    <w:rsid w:val="00132704"/>
    <w:rsid w:val="00132CBF"/>
    <w:rsid w:val="00133707"/>
    <w:rsid w:val="00133742"/>
    <w:rsid w:val="00133B70"/>
    <w:rsid w:val="00133E97"/>
    <w:rsid w:val="001350F7"/>
    <w:rsid w:val="001355F2"/>
    <w:rsid w:val="00135769"/>
    <w:rsid w:val="00135BE9"/>
    <w:rsid w:val="00135E5C"/>
    <w:rsid w:val="00136762"/>
    <w:rsid w:val="00136C1D"/>
    <w:rsid w:val="00136E33"/>
    <w:rsid w:val="0013773D"/>
    <w:rsid w:val="00140130"/>
    <w:rsid w:val="0014042F"/>
    <w:rsid w:val="00140575"/>
    <w:rsid w:val="00140693"/>
    <w:rsid w:val="00140D7A"/>
    <w:rsid w:val="00141AC5"/>
    <w:rsid w:val="00141D28"/>
    <w:rsid w:val="00141DFE"/>
    <w:rsid w:val="00142185"/>
    <w:rsid w:val="001422E2"/>
    <w:rsid w:val="00142841"/>
    <w:rsid w:val="001433BC"/>
    <w:rsid w:val="00143872"/>
    <w:rsid w:val="00143A85"/>
    <w:rsid w:val="00144649"/>
    <w:rsid w:val="00145022"/>
    <w:rsid w:val="00145662"/>
    <w:rsid w:val="00145C6D"/>
    <w:rsid w:val="001460FC"/>
    <w:rsid w:val="00146151"/>
    <w:rsid w:val="00146326"/>
    <w:rsid w:val="00147032"/>
    <w:rsid w:val="00147EA7"/>
    <w:rsid w:val="00150082"/>
    <w:rsid w:val="00151820"/>
    <w:rsid w:val="00151B2F"/>
    <w:rsid w:val="001524DC"/>
    <w:rsid w:val="001525E5"/>
    <w:rsid w:val="00153859"/>
    <w:rsid w:val="00153915"/>
    <w:rsid w:val="001539F0"/>
    <w:rsid w:val="00153F7C"/>
    <w:rsid w:val="00154BBA"/>
    <w:rsid w:val="00155B95"/>
    <w:rsid w:val="00155EF6"/>
    <w:rsid w:val="00156853"/>
    <w:rsid w:val="00156CCE"/>
    <w:rsid w:val="00156FDF"/>
    <w:rsid w:val="0015719E"/>
    <w:rsid w:val="00157432"/>
    <w:rsid w:val="00161185"/>
    <w:rsid w:val="001620BA"/>
    <w:rsid w:val="001623AC"/>
    <w:rsid w:val="00162BAA"/>
    <w:rsid w:val="00163926"/>
    <w:rsid w:val="00163C40"/>
    <w:rsid w:val="0016488B"/>
    <w:rsid w:val="001654FA"/>
    <w:rsid w:val="00165758"/>
    <w:rsid w:val="00165A65"/>
    <w:rsid w:val="001662BF"/>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2DD"/>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6EBA"/>
    <w:rsid w:val="00177063"/>
    <w:rsid w:val="00177400"/>
    <w:rsid w:val="00180A47"/>
    <w:rsid w:val="00181ECA"/>
    <w:rsid w:val="001827B7"/>
    <w:rsid w:val="001827EF"/>
    <w:rsid w:val="00182982"/>
    <w:rsid w:val="001829BC"/>
    <w:rsid w:val="00182D68"/>
    <w:rsid w:val="00183031"/>
    <w:rsid w:val="00183468"/>
    <w:rsid w:val="0018397E"/>
    <w:rsid w:val="00184466"/>
    <w:rsid w:val="00184DBF"/>
    <w:rsid w:val="001852A8"/>
    <w:rsid w:val="001856EF"/>
    <w:rsid w:val="00185CBD"/>
    <w:rsid w:val="0018620A"/>
    <w:rsid w:val="00186EB0"/>
    <w:rsid w:val="00187121"/>
    <w:rsid w:val="00187243"/>
    <w:rsid w:val="0018774E"/>
    <w:rsid w:val="00187C29"/>
    <w:rsid w:val="00187ECB"/>
    <w:rsid w:val="00190782"/>
    <w:rsid w:val="00190942"/>
    <w:rsid w:val="001909A7"/>
    <w:rsid w:val="001909C3"/>
    <w:rsid w:val="00191459"/>
    <w:rsid w:val="00191603"/>
    <w:rsid w:val="001916DE"/>
    <w:rsid w:val="0019173E"/>
    <w:rsid w:val="0019174E"/>
    <w:rsid w:val="0019196B"/>
    <w:rsid w:val="00192173"/>
    <w:rsid w:val="001923D5"/>
    <w:rsid w:val="0019260C"/>
    <w:rsid w:val="00192991"/>
    <w:rsid w:val="00192D1F"/>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09C"/>
    <w:rsid w:val="001A128B"/>
    <w:rsid w:val="001A1475"/>
    <w:rsid w:val="001A1F0E"/>
    <w:rsid w:val="001A2A43"/>
    <w:rsid w:val="001A3335"/>
    <w:rsid w:val="001A473A"/>
    <w:rsid w:val="001A4977"/>
    <w:rsid w:val="001A4ED9"/>
    <w:rsid w:val="001A52CD"/>
    <w:rsid w:val="001A5785"/>
    <w:rsid w:val="001A5A67"/>
    <w:rsid w:val="001A5FD7"/>
    <w:rsid w:val="001A66A6"/>
    <w:rsid w:val="001A6BAF"/>
    <w:rsid w:val="001A6BBB"/>
    <w:rsid w:val="001A79A2"/>
    <w:rsid w:val="001A79F1"/>
    <w:rsid w:val="001A7FA5"/>
    <w:rsid w:val="001B00BE"/>
    <w:rsid w:val="001B06A6"/>
    <w:rsid w:val="001B13BF"/>
    <w:rsid w:val="001B16F5"/>
    <w:rsid w:val="001B1C1F"/>
    <w:rsid w:val="001B219B"/>
    <w:rsid w:val="001B2703"/>
    <w:rsid w:val="001B2B94"/>
    <w:rsid w:val="001B3DCD"/>
    <w:rsid w:val="001B422D"/>
    <w:rsid w:val="001B45B9"/>
    <w:rsid w:val="001B46B2"/>
    <w:rsid w:val="001B4725"/>
    <w:rsid w:val="001B48B2"/>
    <w:rsid w:val="001B49DA"/>
    <w:rsid w:val="001B4CA8"/>
    <w:rsid w:val="001B4F99"/>
    <w:rsid w:val="001B572D"/>
    <w:rsid w:val="001B576E"/>
    <w:rsid w:val="001B5B10"/>
    <w:rsid w:val="001B6025"/>
    <w:rsid w:val="001B6D58"/>
    <w:rsid w:val="001B6FA7"/>
    <w:rsid w:val="001B7A15"/>
    <w:rsid w:val="001B7B69"/>
    <w:rsid w:val="001B7DC1"/>
    <w:rsid w:val="001C08DB"/>
    <w:rsid w:val="001C0B5F"/>
    <w:rsid w:val="001C1072"/>
    <w:rsid w:val="001C10BD"/>
    <w:rsid w:val="001C13A3"/>
    <w:rsid w:val="001C1F01"/>
    <w:rsid w:val="001C2092"/>
    <w:rsid w:val="001C232F"/>
    <w:rsid w:val="001C2544"/>
    <w:rsid w:val="001C2884"/>
    <w:rsid w:val="001C2A17"/>
    <w:rsid w:val="001C31F5"/>
    <w:rsid w:val="001C4962"/>
    <w:rsid w:val="001C537C"/>
    <w:rsid w:val="001C6047"/>
    <w:rsid w:val="001C6231"/>
    <w:rsid w:val="001C64A8"/>
    <w:rsid w:val="001C6698"/>
    <w:rsid w:val="001C69CC"/>
    <w:rsid w:val="001C6C5B"/>
    <w:rsid w:val="001C6F7D"/>
    <w:rsid w:val="001C7399"/>
    <w:rsid w:val="001C7C5F"/>
    <w:rsid w:val="001C7CE0"/>
    <w:rsid w:val="001D005B"/>
    <w:rsid w:val="001D0947"/>
    <w:rsid w:val="001D0DF7"/>
    <w:rsid w:val="001D16F5"/>
    <w:rsid w:val="001D1970"/>
    <w:rsid w:val="001D1D55"/>
    <w:rsid w:val="001D21EF"/>
    <w:rsid w:val="001D29A4"/>
    <w:rsid w:val="001D2B73"/>
    <w:rsid w:val="001D3136"/>
    <w:rsid w:val="001D330D"/>
    <w:rsid w:val="001D4AB6"/>
    <w:rsid w:val="001D4AD3"/>
    <w:rsid w:val="001D5281"/>
    <w:rsid w:val="001D54EE"/>
    <w:rsid w:val="001D6E1E"/>
    <w:rsid w:val="001E17E3"/>
    <w:rsid w:val="001E2052"/>
    <w:rsid w:val="001E2492"/>
    <w:rsid w:val="001E257C"/>
    <w:rsid w:val="001E286C"/>
    <w:rsid w:val="001E28DF"/>
    <w:rsid w:val="001E2B44"/>
    <w:rsid w:val="001E2F34"/>
    <w:rsid w:val="001E35EE"/>
    <w:rsid w:val="001E4B2C"/>
    <w:rsid w:val="001E507F"/>
    <w:rsid w:val="001E56C2"/>
    <w:rsid w:val="001E59FB"/>
    <w:rsid w:val="001E5CB9"/>
    <w:rsid w:val="001E6665"/>
    <w:rsid w:val="001E7F81"/>
    <w:rsid w:val="001F0361"/>
    <w:rsid w:val="001F0FD1"/>
    <w:rsid w:val="001F1526"/>
    <w:rsid w:val="001F19D1"/>
    <w:rsid w:val="001F1CB9"/>
    <w:rsid w:val="001F1F18"/>
    <w:rsid w:val="001F2F92"/>
    <w:rsid w:val="001F3712"/>
    <w:rsid w:val="001F3A4E"/>
    <w:rsid w:val="001F41F3"/>
    <w:rsid w:val="001F5330"/>
    <w:rsid w:val="001F5DA1"/>
    <w:rsid w:val="001F612E"/>
    <w:rsid w:val="001F6A92"/>
    <w:rsid w:val="001F77E8"/>
    <w:rsid w:val="0020022C"/>
    <w:rsid w:val="00200B55"/>
    <w:rsid w:val="00200C64"/>
    <w:rsid w:val="00201647"/>
    <w:rsid w:val="00201A0C"/>
    <w:rsid w:val="00201B0F"/>
    <w:rsid w:val="0020255A"/>
    <w:rsid w:val="00202800"/>
    <w:rsid w:val="00202D33"/>
    <w:rsid w:val="00202E58"/>
    <w:rsid w:val="00202F99"/>
    <w:rsid w:val="002031BC"/>
    <w:rsid w:val="00203C85"/>
    <w:rsid w:val="0020449A"/>
    <w:rsid w:val="00204E9B"/>
    <w:rsid w:val="00205298"/>
    <w:rsid w:val="002055C0"/>
    <w:rsid w:val="0020569E"/>
    <w:rsid w:val="00206698"/>
    <w:rsid w:val="00206736"/>
    <w:rsid w:val="00206C88"/>
    <w:rsid w:val="0020742A"/>
    <w:rsid w:val="00207B46"/>
    <w:rsid w:val="00210943"/>
    <w:rsid w:val="00210B9C"/>
    <w:rsid w:val="00211185"/>
    <w:rsid w:val="00211A94"/>
    <w:rsid w:val="002126F2"/>
    <w:rsid w:val="00213478"/>
    <w:rsid w:val="00214028"/>
    <w:rsid w:val="002141C3"/>
    <w:rsid w:val="002141DC"/>
    <w:rsid w:val="0021440C"/>
    <w:rsid w:val="00214479"/>
    <w:rsid w:val="002144F3"/>
    <w:rsid w:val="002146C3"/>
    <w:rsid w:val="00214A9B"/>
    <w:rsid w:val="00215334"/>
    <w:rsid w:val="00215514"/>
    <w:rsid w:val="00215A2A"/>
    <w:rsid w:val="00215A3F"/>
    <w:rsid w:val="00215D21"/>
    <w:rsid w:val="002160DD"/>
    <w:rsid w:val="0021636B"/>
    <w:rsid w:val="00216387"/>
    <w:rsid w:val="00216E7B"/>
    <w:rsid w:val="002170A1"/>
    <w:rsid w:val="00217A7A"/>
    <w:rsid w:val="00217DEF"/>
    <w:rsid w:val="00217E1F"/>
    <w:rsid w:val="00220274"/>
    <w:rsid w:val="002204BC"/>
    <w:rsid w:val="00220BF2"/>
    <w:rsid w:val="00220F7B"/>
    <w:rsid w:val="002213CE"/>
    <w:rsid w:val="00221AF7"/>
    <w:rsid w:val="00222494"/>
    <w:rsid w:val="00222775"/>
    <w:rsid w:val="00222A31"/>
    <w:rsid w:val="00222CF6"/>
    <w:rsid w:val="00224037"/>
    <w:rsid w:val="002244E4"/>
    <w:rsid w:val="00224586"/>
    <w:rsid w:val="00224D2A"/>
    <w:rsid w:val="00224D8D"/>
    <w:rsid w:val="0022555A"/>
    <w:rsid w:val="00225E6B"/>
    <w:rsid w:val="00225F25"/>
    <w:rsid w:val="00227214"/>
    <w:rsid w:val="00227215"/>
    <w:rsid w:val="00227532"/>
    <w:rsid w:val="00227DDC"/>
    <w:rsid w:val="0023079F"/>
    <w:rsid w:val="00231135"/>
    <w:rsid w:val="00231B0B"/>
    <w:rsid w:val="00231D18"/>
    <w:rsid w:val="00232555"/>
    <w:rsid w:val="00232CB6"/>
    <w:rsid w:val="00233538"/>
    <w:rsid w:val="00234248"/>
    <w:rsid w:val="0023449F"/>
    <w:rsid w:val="002344F5"/>
    <w:rsid w:val="0023454D"/>
    <w:rsid w:val="00234679"/>
    <w:rsid w:val="00234D3E"/>
    <w:rsid w:val="002351C2"/>
    <w:rsid w:val="002359FC"/>
    <w:rsid w:val="002361C8"/>
    <w:rsid w:val="00236690"/>
    <w:rsid w:val="0023669D"/>
    <w:rsid w:val="002367EC"/>
    <w:rsid w:val="00237364"/>
    <w:rsid w:val="0023780D"/>
    <w:rsid w:val="00237EAE"/>
    <w:rsid w:val="00237FA2"/>
    <w:rsid w:val="002403D5"/>
    <w:rsid w:val="00240C1F"/>
    <w:rsid w:val="00240F55"/>
    <w:rsid w:val="00240F67"/>
    <w:rsid w:val="00241144"/>
    <w:rsid w:val="00241427"/>
    <w:rsid w:val="00242510"/>
    <w:rsid w:val="00242F79"/>
    <w:rsid w:val="0024415B"/>
    <w:rsid w:val="00244E18"/>
    <w:rsid w:val="00245565"/>
    <w:rsid w:val="002458C1"/>
    <w:rsid w:val="00245E62"/>
    <w:rsid w:val="002460D0"/>
    <w:rsid w:val="00246168"/>
    <w:rsid w:val="00246357"/>
    <w:rsid w:val="00247422"/>
    <w:rsid w:val="00247BA2"/>
    <w:rsid w:val="002507B0"/>
    <w:rsid w:val="00250870"/>
    <w:rsid w:val="0025151C"/>
    <w:rsid w:val="0025184F"/>
    <w:rsid w:val="00251967"/>
    <w:rsid w:val="002527CC"/>
    <w:rsid w:val="00252F48"/>
    <w:rsid w:val="002530C0"/>
    <w:rsid w:val="00253586"/>
    <w:rsid w:val="002537FC"/>
    <w:rsid w:val="002542F8"/>
    <w:rsid w:val="002543EF"/>
    <w:rsid w:val="00254F2A"/>
    <w:rsid w:val="00255272"/>
    <w:rsid w:val="00255784"/>
    <w:rsid w:val="00255A29"/>
    <w:rsid w:val="0025631F"/>
    <w:rsid w:val="00256986"/>
    <w:rsid w:val="00256D61"/>
    <w:rsid w:val="00256E23"/>
    <w:rsid w:val="00257246"/>
    <w:rsid w:val="00257438"/>
    <w:rsid w:val="0026119C"/>
    <w:rsid w:val="00261AFE"/>
    <w:rsid w:val="0026212A"/>
    <w:rsid w:val="002621D7"/>
    <w:rsid w:val="00262996"/>
    <w:rsid w:val="00262D66"/>
    <w:rsid w:val="00263044"/>
    <w:rsid w:val="00263759"/>
    <w:rsid w:val="002638BD"/>
    <w:rsid w:val="0026470B"/>
    <w:rsid w:val="0026486D"/>
    <w:rsid w:val="00264C4B"/>
    <w:rsid w:val="00264ED0"/>
    <w:rsid w:val="00265346"/>
    <w:rsid w:val="00266045"/>
    <w:rsid w:val="002660C3"/>
    <w:rsid w:val="00266C21"/>
    <w:rsid w:val="00266DE1"/>
    <w:rsid w:val="002673AD"/>
    <w:rsid w:val="00267887"/>
    <w:rsid w:val="00267A92"/>
    <w:rsid w:val="00267E43"/>
    <w:rsid w:val="00270282"/>
    <w:rsid w:val="0027062F"/>
    <w:rsid w:val="00270780"/>
    <w:rsid w:val="00270CF6"/>
    <w:rsid w:val="00271097"/>
    <w:rsid w:val="002719FA"/>
    <w:rsid w:val="00271C53"/>
    <w:rsid w:val="0027244F"/>
    <w:rsid w:val="00273052"/>
    <w:rsid w:val="002739CE"/>
    <w:rsid w:val="00273C5F"/>
    <w:rsid w:val="002741D4"/>
    <w:rsid w:val="002743AC"/>
    <w:rsid w:val="0027499D"/>
    <w:rsid w:val="002751CA"/>
    <w:rsid w:val="0027544D"/>
    <w:rsid w:val="00277196"/>
    <w:rsid w:val="002775ED"/>
    <w:rsid w:val="002778AB"/>
    <w:rsid w:val="00277A1C"/>
    <w:rsid w:val="002802A5"/>
    <w:rsid w:val="00280CFB"/>
    <w:rsid w:val="00280D24"/>
    <w:rsid w:val="002815C4"/>
    <w:rsid w:val="00281BCB"/>
    <w:rsid w:val="00281C76"/>
    <w:rsid w:val="002821E2"/>
    <w:rsid w:val="0028316D"/>
    <w:rsid w:val="00283296"/>
    <w:rsid w:val="00284EB2"/>
    <w:rsid w:val="0028583E"/>
    <w:rsid w:val="00285853"/>
    <w:rsid w:val="00285B1A"/>
    <w:rsid w:val="00285FF3"/>
    <w:rsid w:val="002866EC"/>
    <w:rsid w:val="002867C6"/>
    <w:rsid w:val="0028744E"/>
    <w:rsid w:val="002876D2"/>
    <w:rsid w:val="00287936"/>
    <w:rsid w:val="00287BB7"/>
    <w:rsid w:val="002903C5"/>
    <w:rsid w:val="0029041B"/>
    <w:rsid w:val="00290A99"/>
    <w:rsid w:val="00290E90"/>
    <w:rsid w:val="00290EAF"/>
    <w:rsid w:val="0029159A"/>
    <w:rsid w:val="00291CF1"/>
    <w:rsid w:val="00292AA1"/>
    <w:rsid w:val="00293748"/>
    <w:rsid w:val="00294012"/>
    <w:rsid w:val="002945B0"/>
    <w:rsid w:val="0029499D"/>
    <w:rsid w:val="00294A13"/>
    <w:rsid w:val="00294B10"/>
    <w:rsid w:val="00294DF9"/>
    <w:rsid w:val="00295073"/>
    <w:rsid w:val="00295468"/>
    <w:rsid w:val="0029680C"/>
    <w:rsid w:val="00296C32"/>
    <w:rsid w:val="002977CE"/>
    <w:rsid w:val="00297A66"/>
    <w:rsid w:val="00297AF5"/>
    <w:rsid w:val="002A02D6"/>
    <w:rsid w:val="002A07C4"/>
    <w:rsid w:val="002A0921"/>
    <w:rsid w:val="002A0CB3"/>
    <w:rsid w:val="002A1887"/>
    <w:rsid w:val="002A2001"/>
    <w:rsid w:val="002A205F"/>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FC1"/>
    <w:rsid w:val="002A7748"/>
    <w:rsid w:val="002A7ED3"/>
    <w:rsid w:val="002A7FB1"/>
    <w:rsid w:val="002A7FC9"/>
    <w:rsid w:val="002B137D"/>
    <w:rsid w:val="002B139C"/>
    <w:rsid w:val="002B1881"/>
    <w:rsid w:val="002B1F61"/>
    <w:rsid w:val="002B2070"/>
    <w:rsid w:val="002B2906"/>
    <w:rsid w:val="002B2C66"/>
    <w:rsid w:val="002B34E3"/>
    <w:rsid w:val="002B4F44"/>
    <w:rsid w:val="002B51B6"/>
    <w:rsid w:val="002B5AEE"/>
    <w:rsid w:val="002B6177"/>
    <w:rsid w:val="002B650C"/>
    <w:rsid w:val="002B68E6"/>
    <w:rsid w:val="002B6985"/>
    <w:rsid w:val="002B6D7A"/>
    <w:rsid w:val="002C0231"/>
    <w:rsid w:val="002C02BA"/>
    <w:rsid w:val="002C0301"/>
    <w:rsid w:val="002C0326"/>
    <w:rsid w:val="002C065F"/>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8E9"/>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4F69"/>
    <w:rsid w:val="002D53C3"/>
    <w:rsid w:val="002D5AAD"/>
    <w:rsid w:val="002D5DA3"/>
    <w:rsid w:val="002D6097"/>
    <w:rsid w:val="002D65AD"/>
    <w:rsid w:val="002D6782"/>
    <w:rsid w:val="002D74A4"/>
    <w:rsid w:val="002D7C9C"/>
    <w:rsid w:val="002D7D99"/>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CA"/>
    <w:rsid w:val="002E37C5"/>
    <w:rsid w:val="002E3956"/>
    <w:rsid w:val="002E3C08"/>
    <w:rsid w:val="002E3CF2"/>
    <w:rsid w:val="002E469E"/>
    <w:rsid w:val="002E4C01"/>
    <w:rsid w:val="002E4D50"/>
    <w:rsid w:val="002E4DBC"/>
    <w:rsid w:val="002E55FF"/>
    <w:rsid w:val="002E587E"/>
    <w:rsid w:val="002E5B3A"/>
    <w:rsid w:val="002E5BDA"/>
    <w:rsid w:val="002E672A"/>
    <w:rsid w:val="002E6853"/>
    <w:rsid w:val="002E7EC1"/>
    <w:rsid w:val="002E7EE5"/>
    <w:rsid w:val="002F0323"/>
    <w:rsid w:val="002F0325"/>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29"/>
    <w:rsid w:val="002F7DF0"/>
    <w:rsid w:val="002F7FAF"/>
    <w:rsid w:val="00300573"/>
    <w:rsid w:val="003018A6"/>
    <w:rsid w:val="00301B79"/>
    <w:rsid w:val="003025FE"/>
    <w:rsid w:val="00302A27"/>
    <w:rsid w:val="00303AB6"/>
    <w:rsid w:val="00304640"/>
    <w:rsid w:val="00304AC1"/>
    <w:rsid w:val="00304C93"/>
    <w:rsid w:val="00305090"/>
    <w:rsid w:val="00305454"/>
    <w:rsid w:val="00305B9F"/>
    <w:rsid w:val="00305E21"/>
    <w:rsid w:val="003066C6"/>
    <w:rsid w:val="003066FA"/>
    <w:rsid w:val="00306AD6"/>
    <w:rsid w:val="00306FB3"/>
    <w:rsid w:val="003077F4"/>
    <w:rsid w:val="00307DC7"/>
    <w:rsid w:val="00307FF2"/>
    <w:rsid w:val="00310002"/>
    <w:rsid w:val="00310EDB"/>
    <w:rsid w:val="0031106F"/>
    <w:rsid w:val="00311C51"/>
    <w:rsid w:val="00311D56"/>
    <w:rsid w:val="00312016"/>
    <w:rsid w:val="00312340"/>
    <w:rsid w:val="00312DFC"/>
    <w:rsid w:val="0031318C"/>
    <w:rsid w:val="00313C9D"/>
    <w:rsid w:val="00313DF8"/>
    <w:rsid w:val="0031430C"/>
    <w:rsid w:val="00314919"/>
    <w:rsid w:val="00314C5A"/>
    <w:rsid w:val="0031531A"/>
    <w:rsid w:val="00315394"/>
    <w:rsid w:val="00315D77"/>
    <w:rsid w:val="00315D8E"/>
    <w:rsid w:val="00316002"/>
    <w:rsid w:val="00316CDE"/>
    <w:rsid w:val="00316E94"/>
    <w:rsid w:val="0031730E"/>
    <w:rsid w:val="0031752D"/>
    <w:rsid w:val="00317709"/>
    <w:rsid w:val="00320688"/>
    <w:rsid w:val="00320B75"/>
    <w:rsid w:val="00321DB7"/>
    <w:rsid w:val="00321E7A"/>
    <w:rsid w:val="0032226D"/>
    <w:rsid w:val="003227AC"/>
    <w:rsid w:val="003235E6"/>
    <w:rsid w:val="00324038"/>
    <w:rsid w:val="0032451F"/>
    <w:rsid w:val="00324951"/>
    <w:rsid w:val="003249F6"/>
    <w:rsid w:val="00324B2F"/>
    <w:rsid w:val="0032589D"/>
    <w:rsid w:val="00325FCC"/>
    <w:rsid w:val="00326106"/>
    <w:rsid w:val="00326805"/>
    <w:rsid w:val="003269B7"/>
    <w:rsid w:val="00326C0E"/>
    <w:rsid w:val="003272A3"/>
    <w:rsid w:val="003272E4"/>
    <w:rsid w:val="0032756B"/>
    <w:rsid w:val="00327B71"/>
    <w:rsid w:val="003303ED"/>
    <w:rsid w:val="00330A0F"/>
    <w:rsid w:val="00331461"/>
    <w:rsid w:val="003316A8"/>
    <w:rsid w:val="00331C80"/>
    <w:rsid w:val="00331CC9"/>
    <w:rsid w:val="003320D7"/>
    <w:rsid w:val="00332265"/>
    <w:rsid w:val="003322F8"/>
    <w:rsid w:val="003325D3"/>
    <w:rsid w:val="00332862"/>
    <w:rsid w:val="00332BFF"/>
    <w:rsid w:val="00332D52"/>
    <w:rsid w:val="00333337"/>
    <w:rsid w:val="00333A28"/>
    <w:rsid w:val="00333B6C"/>
    <w:rsid w:val="0033404C"/>
    <w:rsid w:val="00334927"/>
    <w:rsid w:val="003360AD"/>
    <w:rsid w:val="0033631D"/>
    <w:rsid w:val="003369C7"/>
    <w:rsid w:val="003373A6"/>
    <w:rsid w:val="00337409"/>
    <w:rsid w:val="0033792A"/>
    <w:rsid w:val="00337E18"/>
    <w:rsid w:val="003405AF"/>
    <w:rsid w:val="0034088F"/>
    <w:rsid w:val="00340B3E"/>
    <w:rsid w:val="00340E1A"/>
    <w:rsid w:val="003413D2"/>
    <w:rsid w:val="00341525"/>
    <w:rsid w:val="0034257E"/>
    <w:rsid w:val="00342811"/>
    <w:rsid w:val="003429A1"/>
    <w:rsid w:val="003429FC"/>
    <w:rsid w:val="00343079"/>
    <w:rsid w:val="00343127"/>
    <w:rsid w:val="00343320"/>
    <w:rsid w:val="00344066"/>
    <w:rsid w:val="003447C1"/>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822"/>
    <w:rsid w:val="00355D75"/>
    <w:rsid w:val="00355D8F"/>
    <w:rsid w:val="00356A73"/>
    <w:rsid w:val="00356FF0"/>
    <w:rsid w:val="003577EF"/>
    <w:rsid w:val="00357A3A"/>
    <w:rsid w:val="00357A60"/>
    <w:rsid w:val="00360304"/>
    <w:rsid w:val="00360A78"/>
    <w:rsid w:val="00361750"/>
    <w:rsid w:val="00362DE8"/>
    <w:rsid w:val="00363573"/>
    <w:rsid w:val="00363894"/>
    <w:rsid w:val="00363B2A"/>
    <w:rsid w:val="00363BF1"/>
    <w:rsid w:val="00363D45"/>
    <w:rsid w:val="003666A7"/>
    <w:rsid w:val="00366779"/>
    <w:rsid w:val="003668E5"/>
    <w:rsid w:val="003669C8"/>
    <w:rsid w:val="00366CEB"/>
    <w:rsid w:val="003672B3"/>
    <w:rsid w:val="003676DF"/>
    <w:rsid w:val="00367783"/>
    <w:rsid w:val="00367898"/>
    <w:rsid w:val="003679D3"/>
    <w:rsid w:val="00367A87"/>
    <w:rsid w:val="00367EE7"/>
    <w:rsid w:val="00367F42"/>
    <w:rsid w:val="003703BB"/>
    <w:rsid w:val="003705EA"/>
    <w:rsid w:val="00370A56"/>
    <w:rsid w:val="00371213"/>
    <w:rsid w:val="003717BB"/>
    <w:rsid w:val="00372275"/>
    <w:rsid w:val="00372842"/>
    <w:rsid w:val="003729A5"/>
    <w:rsid w:val="00372C89"/>
    <w:rsid w:val="00372E9A"/>
    <w:rsid w:val="003735B9"/>
    <w:rsid w:val="00373634"/>
    <w:rsid w:val="00373B6E"/>
    <w:rsid w:val="00374677"/>
    <w:rsid w:val="0037510C"/>
    <w:rsid w:val="00375850"/>
    <w:rsid w:val="0037632F"/>
    <w:rsid w:val="00377B26"/>
    <w:rsid w:val="00380658"/>
    <w:rsid w:val="00381014"/>
    <w:rsid w:val="003811E0"/>
    <w:rsid w:val="00381604"/>
    <w:rsid w:val="00381B67"/>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EA"/>
    <w:rsid w:val="00392859"/>
    <w:rsid w:val="00392E35"/>
    <w:rsid w:val="00393157"/>
    <w:rsid w:val="00393247"/>
    <w:rsid w:val="00393551"/>
    <w:rsid w:val="00393816"/>
    <w:rsid w:val="00393FCD"/>
    <w:rsid w:val="003944EA"/>
    <w:rsid w:val="00394639"/>
    <w:rsid w:val="00394DF6"/>
    <w:rsid w:val="00394EC6"/>
    <w:rsid w:val="00395A02"/>
    <w:rsid w:val="00395B36"/>
    <w:rsid w:val="00395CD9"/>
    <w:rsid w:val="003962E6"/>
    <w:rsid w:val="00396831"/>
    <w:rsid w:val="003971A1"/>
    <w:rsid w:val="003A03B8"/>
    <w:rsid w:val="003A0F6B"/>
    <w:rsid w:val="003A12B6"/>
    <w:rsid w:val="003A1804"/>
    <w:rsid w:val="003A1C44"/>
    <w:rsid w:val="003A20D5"/>
    <w:rsid w:val="003A24CC"/>
    <w:rsid w:val="003A2512"/>
    <w:rsid w:val="003A2A53"/>
    <w:rsid w:val="003A2EE8"/>
    <w:rsid w:val="003A2FEB"/>
    <w:rsid w:val="003A3249"/>
    <w:rsid w:val="003A373C"/>
    <w:rsid w:val="003A5378"/>
    <w:rsid w:val="003A553C"/>
    <w:rsid w:val="003A56DF"/>
    <w:rsid w:val="003A6008"/>
    <w:rsid w:val="003A703F"/>
    <w:rsid w:val="003A76BD"/>
    <w:rsid w:val="003A7E2B"/>
    <w:rsid w:val="003A7E40"/>
    <w:rsid w:val="003B0336"/>
    <w:rsid w:val="003B0A3A"/>
    <w:rsid w:val="003B0A6B"/>
    <w:rsid w:val="003B0D79"/>
    <w:rsid w:val="003B18C5"/>
    <w:rsid w:val="003B2930"/>
    <w:rsid w:val="003B31A7"/>
    <w:rsid w:val="003B31F2"/>
    <w:rsid w:val="003B3A29"/>
    <w:rsid w:val="003B4587"/>
    <w:rsid w:val="003B4B51"/>
    <w:rsid w:val="003B4FE1"/>
    <w:rsid w:val="003B514E"/>
    <w:rsid w:val="003B5531"/>
    <w:rsid w:val="003B636A"/>
    <w:rsid w:val="003B64A2"/>
    <w:rsid w:val="003B69CE"/>
    <w:rsid w:val="003B7403"/>
    <w:rsid w:val="003B7C3C"/>
    <w:rsid w:val="003C011C"/>
    <w:rsid w:val="003C0BF8"/>
    <w:rsid w:val="003C0E32"/>
    <w:rsid w:val="003C11D7"/>
    <w:rsid w:val="003C126B"/>
    <w:rsid w:val="003C141F"/>
    <w:rsid w:val="003C16CB"/>
    <w:rsid w:val="003C1B97"/>
    <w:rsid w:val="003C247B"/>
    <w:rsid w:val="003C3292"/>
    <w:rsid w:val="003C3525"/>
    <w:rsid w:val="003C3C1E"/>
    <w:rsid w:val="003C3D88"/>
    <w:rsid w:val="003C4134"/>
    <w:rsid w:val="003C435B"/>
    <w:rsid w:val="003C4C8E"/>
    <w:rsid w:val="003C4EBE"/>
    <w:rsid w:val="003C5887"/>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13"/>
    <w:rsid w:val="003D2DA0"/>
    <w:rsid w:val="003D34C3"/>
    <w:rsid w:val="003D3A35"/>
    <w:rsid w:val="003D3D83"/>
    <w:rsid w:val="003D4685"/>
    <w:rsid w:val="003D4A41"/>
    <w:rsid w:val="003D4CDF"/>
    <w:rsid w:val="003D514A"/>
    <w:rsid w:val="003D5484"/>
    <w:rsid w:val="003D5ADB"/>
    <w:rsid w:val="003D6202"/>
    <w:rsid w:val="003D6448"/>
    <w:rsid w:val="003D646C"/>
    <w:rsid w:val="003D663E"/>
    <w:rsid w:val="003D664B"/>
    <w:rsid w:val="003D6793"/>
    <w:rsid w:val="003D6B03"/>
    <w:rsid w:val="003D75D8"/>
    <w:rsid w:val="003E006E"/>
    <w:rsid w:val="003E0947"/>
    <w:rsid w:val="003E0E96"/>
    <w:rsid w:val="003E16B9"/>
    <w:rsid w:val="003E20F7"/>
    <w:rsid w:val="003E2444"/>
    <w:rsid w:val="003E336A"/>
    <w:rsid w:val="003E3E2F"/>
    <w:rsid w:val="003E4048"/>
    <w:rsid w:val="003E4CE5"/>
    <w:rsid w:val="003E5A46"/>
    <w:rsid w:val="003E604C"/>
    <w:rsid w:val="003E60DA"/>
    <w:rsid w:val="003E6E00"/>
    <w:rsid w:val="003E7111"/>
    <w:rsid w:val="003E7940"/>
    <w:rsid w:val="003F01BD"/>
    <w:rsid w:val="003F0486"/>
    <w:rsid w:val="003F048E"/>
    <w:rsid w:val="003F09FA"/>
    <w:rsid w:val="003F0AFF"/>
    <w:rsid w:val="003F175C"/>
    <w:rsid w:val="003F1AA2"/>
    <w:rsid w:val="003F26DC"/>
    <w:rsid w:val="003F292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B06"/>
    <w:rsid w:val="004041FB"/>
    <w:rsid w:val="0040443E"/>
    <w:rsid w:val="004056B6"/>
    <w:rsid w:val="00405764"/>
    <w:rsid w:val="00405AA4"/>
    <w:rsid w:val="00406745"/>
    <w:rsid w:val="0040674B"/>
    <w:rsid w:val="00406B32"/>
    <w:rsid w:val="004074AD"/>
    <w:rsid w:val="004074FA"/>
    <w:rsid w:val="00407A56"/>
    <w:rsid w:val="00407FCC"/>
    <w:rsid w:val="0041035A"/>
    <w:rsid w:val="00410E76"/>
    <w:rsid w:val="004112D1"/>
    <w:rsid w:val="004113C9"/>
    <w:rsid w:val="00411D1E"/>
    <w:rsid w:val="00411DF2"/>
    <w:rsid w:val="004120DF"/>
    <w:rsid w:val="004126B5"/>
    <w:rsid w:val="00413FEE"/>
    <w:rsid w:val="00414512"/>
    <w:rsid w:val="00414909"/>
    <w:rsid w:val="00414D7A"/>
    <w:rsid w:val="00415034"/>
    <w:rsid w:val="00415B1A"/>
    <w:rsid w:val="00415DFD"/>
    <w:rsid w:val="00416208"/>
    <w:rsid w:val="0041690F"/>
    <w:rsid w:val="004169D3"/>
    <w:rsid w:val="00416C2B"/>
    <w:rsid w:val="00416D41"/>
    <w:rsid w:val="00416E70"/>
    <w:rsid w:val="00417264"/>
    <w:rsid w:val="00417490"/>
    <w:rsid w:val="004210C0"/>
    <w:rsid w:val="004211DD"/>
    <w:rsid w:val="00421762"/>
    <w:rsid w:val="00421D4B"/>
    <w:rsid w:val="00421ED8"/>
    <w:rsid w:val="00422907"/>
    <w:rsid w:val="00423125"/>
    <w:rsid w:val="00423309"/>
    <w:rsid w:val="004233AD"/>
    <w:rsid w:val="0042372C"/>
    <w:rsid w:val="00424446"/>
    <w:rsid w:val="00424867"/>
    <w:rsid w:val="00425341"/>
    <w:rsid w:val="004255FE"/>
    <w:rsid w:val="00425674"/>
    <w:rsid w:val="004259A5"/>
    <w:rsid w:val="00425A82"/>
    <w:rsid w:val="00425C60"/>
    <w:rsid w:val="00426B2C"/>
    <w:rsid w:val="00427D10"/>
    <w:rsid w:val="00427FA8"/>
    <w:rsid w:val="0043009D"/>
    <w:rsid w:val="0043026B"/>
    <w:rsid w:val="00430299"/>
    <w:rsid w:val="004306D4"/>
    <w:rsid w:val="00431810"/>
    <w:rsid w:val="00431A2A"/>
    <w:rsid w:val="00431C62"/>
    <w:rsid w:val="00432ECA"/>
    <w:rsid w:val="00433B43"/>
    <w:rsid w:val="004341AF"/>
    <w:rsid w:val="0043554E"/>
    <w:rsid w:val="004355D4"/>
    <w:rsid w:val="004357B1"/>
    <w:rsid w:val="00435821"/>
    <w:rsid w:val="0043583E"/>
    <w:rsid w:val="00436CCE"/>
    <w:rsid w:val="00436EAD"/>
    <w:rsid w:val="00437439"/>
    <w:rsid w:val="004375E1"/>
    <w:rsid w:val="00437730"/>
    <w:rsid w:val="00437A2F"/>
    <w:rsid w:val="00437B38"/>
    <w:rsid w:val="00440262"/>
    <w:rsid w:val="004406BF"/>
    <w:rsid w:val="00440814"/>
    <w:rsid w:val="00440D68"/>
    <w:rsid w:val="0044105D"/>
    <w:rsid w:val="00441424"/>
    <w:rsid w:val="00442731"/>
    <w:rsid w:val="00442C12"/>
    <w:rsid w:val="004434DF"/>
    <w:rsid w:val="0044354B"/>
    <w:rsid w:val="0044455F"/>
    <w:rsid w:val="0044493E"/>
    <w:rsid w:val="00444A1F"/>
    <w:rsid w:val="00444FC6"/>
    <w:rsid w:val="00445004"/>
    <w:rsid w:val="00445874"/>
    <w:rsid w:val="00445C38"/>
    <w:rsid w:val="0044686B"/>
    <w:rsid w:val="004475F7"/>
    <w:rsid w:val="0045057B"/>
    <w:rsid w:val="0045069B"/>
    <w:rsid w:val="0045070F"/>
    <w:rsid w:val="00450B22"/>
    <w:rsid w:val="004515DE"/>
    <w:rsid w:val="00451709"/>
    <w:rsid w:val="004518FA"/>
    <w:rsid w:val="00451A02"/>
    <w:rsid w:val="0045277C"/>
    <w:rsid w:val="004531DC"/>
    <w:rsid w:val="00453507"/>
    <w:rsid w:val="00453592"/>
    <w:rsid w:val="004543AB"/>
    <w:rsid w:val="004545EC"/>
    <w:rsid w:val="00455392"/>
    <w:rsid w:val="00455967"/>
    <w:rsid w:val="00455F71"/>
    <w:rsid w:val="00456272"/>
    <w:rsid w:val="0045679C"/>
    <w:rsid w:val="004570EF"/>
    <w:rsid w:val="004572D4"/>
    <w:rsid w:val="00457517"/>
    <w:rsid w:val="004579EC"/>
    <w:rsid w:val="00457CF7"/>
    <w:rsid w:val="00457D37"/>
    <w:rsid w:val="00457D7B"/>
    <w:rsid w:val="0046028A"/>
    <w:rsid w:val="00460CAC"/>
    <w:rsid w:val="00460E3A"/>
    <w:rsid w:val="00460E68"/>
    <w:rsid w:val="004614BC"/>
    <w:rsid w:val="004619A5"/>
    <w:rsid w:val="00461F80"/>
    <w:rsid w:val="0046240D"/>
    <w:rsid w:val="00462898"/>
    <w:rsid w:val="00462D5B"/>
    <w:rsid w:val="00462D81"/>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B8B"/>
    <w:rsid w:val="00472CA7"/>
    <w:rsid w:val="00472CEC"/>
    <w:rsid w:val="00473308"/>
    <w:rsid w:val="0047377C"/>
    <w:rsid w:val="00473DD1"/>
    <w:rsid w:val="004744BF"/>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E1B"/>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740"/>
    <w:rsid w:val="00492503"/>
    <w:rsid w:val="004925C8"/>
    <w:rsid w:val="00492AF9"/>
    <w:rsid w:val="00492B76"/>
    <w:rsid w:val="0049333E"/>
    <w:rsid w:val="0049418F"/>
    <w:rsid w:val="0049477A"/>
    <w:rsid w:val="00494B57"/>
    <w:rsid w:val="00494E90"/>
    <w:rsid w:val="00495380"/>
    <w:rsid w:val="00495553"/>
    <w:rsid w:val="0049570D"/>
    <w:rsid w:val="0049584D"/>
    <w:rsid w:val="00495C48"/>
    <w:rsid w:val="00495DC6"/>
    <w:rsid w:val="00496CCE"/>
    <w:rsid w:val="004978C1"/>
    <w:rsid w:val="00497AAD"/>
    <w:rsid w:val="00497BD7"/>
    <w:rsid w:val="00497D1A"/>
    <w:rsid w:val="004A00C9"/>
    <w:rsid w:val="004A03D0"/>
    <w:rsid w:val="004A1049"/>
    <w:rsid w:val="004A1AFA"/>
    <w:rsid w:val="004A1D81"/>
    <w:rsid w:val="004A1EA7"/>
    <w:rsid w:val="004A26F5"/>
    <w:rsid w:val="004A2EF8"/>
    <w:rsid w:val="004A3A21"/>
    <w:rsid w:val="004A407A"/>
    <w:rsid w:val="004A4E3B"/>
    <w:rsid w:val="004A6110"/>
    <w:rsid w:val="004A61B8"/>
    <w:rsid w:val="004A6415"/>
    <w:rsid w:val="004A64F9"/>
    <w:rsid w:val="004A65F4"/>
    <w:rsid w:val="004A6D2C"/>
    <w:rsid w:val="004A7733"/>
    <w:rsid w:val="004B026C"/>
    <w:rsid w:val="004B0271"/>
    <w:rsid w:val="004B0BE8"/>
    <w:rsid w:val="004B0E4A"/>
    <w:rsid w:val="004B18F4"/>
    <w:rsid w:val="004B1A98"/>
    <w:rsid w:val="004B2463"/>
    <w:rsid w:val="004B2E9D"/>
    <w:rsid w:val="004B305F"/>
    <w:rsid w:val="004B34C4"/>
    <w:rsid w:val="004B34E8"/>
    <w:rsid w:val="004B3981"/>
    <w:rsid w:val="004B3A03"/>
    <w:rsid w:val="004B3D51"/>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662"/>
    <w:rsid w:val="004C27CF"/>
    <w:rsid w:val="004C2CA7"/>
    <w:rsid w:val="004C3592"/>
    <w:rsid w:val="004C375C"/>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29"/>
    <w:rsid w:val="004D16A3"/>
    <w:rsid w:val="004D1934"/>
    <w:rsid w:val="004D199D"/>
    <w:rsid w:val="004D1E41"/>
    <w:rsid w:val="004D2326"/>
    <w:rsid w:val="004D2E11"/>
    <w:rsid w:val="004D3108"/>
    <w:rsid w:val="004D329C"/>
    <w:rsid w:val="004D34D1"/>
    <w:rsid w:val="004D4523"/>
    <w:rsid w:val="004D4990"/>
    <w:rsid w:val="004D4B05"/>
    <w:rsid w:val="004D4D71"/>
    <w:rsid w:val="004D51D6"/>
    <w:rsid w:val="004D5B4B"/>
    <w:rsid w:val="004D5CC4"/>
    <w:rsid w:val="004D6BF2"/>
    <w:rsid w:val="004D6F29"/>
    <w:rsid w:val="004D758F"/>
    <w:rsid w:val="004D76CF"/>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959"/>
    <w:rsid w:val="004E3A2A"/>
    <w:rsid w:val="004E3AB1"/>
    <w:rsid w:val="004E4003"/>
    <w:rsid w:val="004E428D"/>
    <w:rsid w:val="004E4626"/>
    <w:rsid w:val="004E4984"/>
    <w:rsid w:val="004E5101"/>
    <w:rsid w:val="004E5380"/>
    <w:rsid w:val="004E5D19"/>
    <w:rsid w:val="004E606D"/>
    <w:rsid w:val="004E6746"/>
    <w:rsid w:val="004E6CAC"/>
    <w:rsid w:val="004E6F69"/>
    <w:rsid w:val="004E75C1"/>
    <w:rsid w:val="004E777F"/>
    <w:rsid w:val="004F07F2"/>
    <w:rsid w:val="004F07F9"/>
    <w:rsid w:val="004F0A50"/>
    <w:rsid w:val="004F0D1F"/>
    <w:rsid w:val="004F0E82"/>
    <w:rsid w:val="004F13EB"/>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5F2F"/>
    <w:rsid w:val="004F60B4"/>
    <w:rsid w:val="004F61A3"/>
    <w:rsid w:val="004F6874"/>
    <w:rsid w:val="004F7922"/>
    <w:rsid w:val="004F7A1F"/>
    <w:rsid w:val="004F7B47"/>
    <w:rsid w:val="0050079C"/>
    <w:rsid w:val="00500DD6"/>
    <w:rsid w:val="0050106A"/>
    <w:rsid w:val="005010BC"/>
    <w:rsid w:val="00501848"/>
    <w:rsid w:val="00502B31"/>
    <w:rsid w:val="00502D6D"/>
    <w:rsid w:val="00503113"/>
    <w:rsid w:val="0050434C"/>
    <w:rsid w:val="0050537D"/>
    <w:rsid w:val="00505861"/>
    <w:rsid w:val="0050591C"/>
    <w:rsid w:val="00505935"/>
    <w:rsid w:val="005059BD"/>
    <w:rsid w:val="00505C9A"/>
    <w:rsid w:val="005060AE"/>
    <w:rsid w:val="005061D2"/>
    <w:rsid w:val="0050790B"/>
    <w:rsid w:val="00507FDF"/>
    <w:rsid w:val="0051037C"/>
    <w:rsid w:val="0051050F"/>
    <w:rsid w:val="0051058B"/>
    <w:rsid w:val="005105CD"/>
    <w:rsid w:val="00510734"/>
    <w:rsid w:val="00510DDC"/>
    <w:rsid w:val="00511166"/>
    <w:rsid w:val="00511A7A"/>
    <w:rsid w:val="00512217"/>
    <w:rsid w:val="00512459"/>
    <w:rsid w:val="005131A2"/>
    <w:rsid w:val="005137E4"/>
    <w:rsid w:val="00513BB9"/>
    <w:rsid w:val="0051440E"/>
    <w:rsid w:val="00514480"/>
    <w:rsid w:val="005147C4"/>
    <w:rsid w:val="005148CD"/>
    <w:rsid w:val="00515180"/>
    <w:rsid w:val="00515973"/>
    <w:rsid w:val="00516069"/>
    <w:rsid w:val="00517AC8"/>
    <w:rsid w:val="00517C3E"/>
    <w:rsid w:val="005207D8"/>
    <w:rsid w:val="0052091D"/>
    <w:rsid w:val="005212F4"/>
    <w:rsid w:val="005216A3"/>
    <w:rsid w:val="00521908"/>
    <w:rsid w:val="00521CEE"/>
    <w:rsid w:val="005224BC"/>
    <w:rsid w:val="00522928"/>
    <w:rsid w:val="00522FF1"/>
    <w:rsid w:val="00523946"/>
    <w:rsid w:val="0052397A"/>
    <w:rsid w:val="00524A6A"/>
    <w:rsid w:val="005256D6"/>
    <w:rsid w:val="00525AD8"/>
    <w:rsid w:val="00526429"/>
    <w:rsid w:val="005266C1"/>
    <w:rsid w:val="005267F4"/>
    <w:rsid w:val="00526966"/>
    <w:rsid w:val="005269D3"/>
    <w:rsid w:val="00527317"/>
    <w:rsid w:val="00527C5E"/>
    <w:rsid w:val="00527ED6"/>
    <w:rsid w:val="00530168"/>
    <w:rsid w:val="0053024F"/>
    <w:rsid w:val="005303E9"/>
    <w:rsid w:val="005309F7"/>
    <w:rsid w:val="00531064"/>
    <w:rsid w:val="005312CB"/>
    <w:rsid w:val="005313B2"/>
    <w:rsid w:val="00531911"/>
    <w:rsid w:val="00531E92"/>
    <w:rsid w:val="005323A7"/>
    <w:rsid w:val="005324D7"/>
    <w:rsid w:val="005326F0"/>
    <w:rsid w:val="00532764"/>
    <w:rsid w:val="00532AA5"/>
    <w:rsid w:val="00532C5F"/>
    <w:rsid w:val="00533233"/>
    <w:rsid w:val="005335A2"/>
    <w:rsid w:val="00533D13"/>
    <w:rsid w:val="00533DEC"/>
    <w:rsid w:val="00534026"/>
    <w:rsid w:val="00534D55"/>
    <w:rsid w:val="005352C2"/>
    <w:rsid w:val="00535B53"/>
    <w:rsid w:val="00536B03"/>
    <w:rsid w:val="005371D5"/>
    <w:rsid w:val="00537456"/>
    <w:rsid w:val="0053790C"/>
    <w:rsid w:val="00537974"/>
    <w:rsid w:val="00537B3D"/>
    <w:rsid w:val="00540401"/>
    <w:rsid w:val="005405B2"/>
    <w:rsid w:val="0054076A"/>
    <w:rsid w:val="00540D47"/>
    <w:rsid w:val="00540EE7"/>
    <w:rsid w:val="00541A22"/>
    <w:rsid w:val="00541EAD"/>
    <w:rsid w:val="005424C2"/>
    <w:rsid w:val="005426B2"/>
    <w:rsid w:val="005430FA"/>
    <w:rsid w:val="00543519"/>
    <w:rsid w:val="00543640"/>
    <w:rsid w:val="00544019"/>
    <w:rsid w:val="0054442E"/>
    <w:rsid w:val="005444C6"/>
    <w:rsid w:val="00544591"/>
    <w:rsid w:val="00544BF9"/>
    <w:rsid w:val="00544F05"/>
    <w:rsid w:val="00544FCC"/>
    <w:rsid w:val="005454B8"/>
    <w:rsid w:val="005455BB"/>
    <w:rsid w:val="00545ACB"/>
    <w:rsid w:val="00545DB9"/>
    <w:rsid w:val="005461BC"/>
    <w:rsid w:val="005462ED"/>
    <w:rsid w:val="00546585"/>
    <w:rsid w:val="0054680A"/>
    <w:rsid w:val="00546A91"/>
    <w:rsid w:val="00546BF8"/>
    <w:rsid w:val="00547344"/>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D45"/>
    <w:rsid w:val="00557F87"/>
    <w:rsid w:val="00560FCB"/>
    <w:rsid w:val="00561001"/>
    <w:rsid w:val="0056111C"/>
    <w:rsid w:val="00561140"/>
    <w:rsid w:val="00561412"/>
    <w:rsid w:val="00561903"/>
    <w:rsid w:val="00561A9B"/>
    <w:rsid w:val="00561E54"/>
    <w:rsid w:val="00561F73"/>
    <w:rsid w:val="005621F7"/>
    <w:rsid w:val="0056278F"/>
    <w:rsid w:val="00562C8D"/>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95"/>
    <w:rsid w:val="0057200B"/>
    <w:rsid w:val="00572297"/>
    <w:rsid w:val="0057345D"/>
    <w:rsid w:val="0057347D"/>
    <w:rsid w:val="00573560"/>
    <w:rsid w:val="005738BB"/>
    <w:rsid w:val="00573973"/>
    <w:rsid w:val="00574E7B"/>
    <w:rsid w:val="00574F36"/>
    <w:rsid w:val="0057516C"/>
    <w:rsid w:val="00575D4C"/>
    <w:rsid w:val="00576B5C"/>
    <w:rsid w:val="005770CC"/>
    <w:rsid w:val="00577A60"/>
    <w:rsid w:val="005802F9"/>
    <w:rsid w:val="005806D5"/>
    <w:rsid w:val="00580DFC"/>
    <w:rsid w:val="0058134C"/>
    <w:rsid w:val="005815CD"/>
    <w:rsid w:val="0058173F"/>
    <w:rsid w:val="005827A7"/>
    <w:rsid w:val="005828CB"/>
    <w:rsid w:val="00583072"/>
    <w:rsid w:val="00583D43"/>
    <w:rsid w:val="00584542"/>
    <w:rsid w:val="005846C3"/>
    <w:rsid w:val="00584C8E"/>
    <w:rsid w:val="00584F04"/>
    <w:rsid w:val="0058544C"/>
    <w:rsid w:val="00585623"/>
    <w:rsid w:val="005857F7"/>
    <w:rsid w:val="0058652B"/>
    <w:rsid w:val="005865E9"/>
    <w:rsid w:val="005868FD"/>
    <w:rsid w:val="00587411"/>
    <w:rsid w:val="0058769F"/>
    <w:rsid w:val="00587D7B"/>
    <w:rsid w:val="005904DB"/>
    <w:rsid w:val="005905ED"/>
    <w:rsid w:val="00590D11"/>
    <w:rsid w:val="00591BA6"/>
    <w:rsid w:val="00592825"/>
    <w:rsid w:val="00594437"/>
    <w:rsid w:val="00594B70"/>
    <w:rsid w:val="00594D62"/>
    <w:rsid w:val="00596CFA"/>
    <w:rsid w:val="00596EC6"/>
    <w:rsid w:val="00596F83"/>
    <w:rsid w:val="005975CE"/>
    <w:rsid w:val="005A0088"/>
    <w:rsid w:val="005A04F6"/>
    <w:rsid w:val="005A0C74"/>
    <w:rsid w:val="005A14F0"/>
    <w:rsid w:val="005A1861"/>
    <w:rsid w:val="005A1A31"/>
    <w:rsid w:val="005A243F"/>
    <w:rsid w:val="005A2520"/>
    <w:rsid w:val="005A29A5"/>
    <w:rsid w:val="005A3287"/>
    <w:rsid w:val="005A361D"/>
    <w:rsid w:val="005A36C2"/>
    <w:rsid w:val="005A3719"/>
    <w:rsid w:val="005A3A94"/>
    <w:rsid w:val="005A3DD7"/>
    <w:rsid w:val="005A40FA"/>
    <w:rsid w:val="005A4C20"/>
    <w:rsid w:val="005A4DD5"/>
    <w:rsid w:val="005A4F48"/>
    <w:rsid w:val="005A54F1"/>
    <w:rsid w:val="005A5534"/>
    <w:rsid w:val="005A57B8"/>
    <w:rsid w:val="005A5DDE"/>
    <w:rsid w:val="005A64A8"/>
    <w:rsid w:val="005A65C5"/>
    <w:rsid w:val="005A682A"/>
    <w:rsid w:val="005A6875"/>
    <w:rsid w:val="005A6A95"/>
    <w:rsid w:val="005A7016"/>
    <w:rsid w:val="005A7703"/>
    <w:rsid w:val="005A7A32"/>
    <w:rsid w:val="005A7F22"/>
    <w:rsid w:val="005A7F85"/>
    <w:rsid w:val="005B00DD"/>
    <w:rsid w:val="005B03B1"/>
    <w:rsid w:val="005B07D5"/>
    <w:rsid w:val="005B1A8A"/>
    <w:rsid w:val="005B1AAB"/>
    <w:rsid w:val="005B208A"/>
    <w:rsid w:val="005B2578"/>
    <w:rsid w:val="005B2930"/>
    <w:rsid w:val="005B2B87"/>
    <w:rsid w:val="005B2FAA"/>
    <w:rsid w:val="005B33C8"/>
    <w:rsid w:val="005B387B"/>
    <w:rsid w:val="005B3B01"/>
    <w:rsid w:val="005B4333"/>
    <w:rsid w:val="005B48BE"/>
    <w:rsid w:val="005B57CC"/>
    <w:rsid w:val="005B58F7"/>
    <w:rsid w:val="005B5981"/>
    <w:rsid w:val="005B5994"/>
    <w:rsid w:val="005B6474"/>
    <w:rsid w:val="005B666D"/>
    <w:rsid w:val="005B667A"/>
    <w:rsid w:val="005B6865"/>
    <w:rsid w:val="005B7840"/>
    <w:rsid w:val="005C039B"/>
    <w:rsid w:val="005C059F"/>
    <w:rsid w:val="005C07CE"/>
    <w:rsid w:val="005C0B8F"/>
    <w:rsid w:val="005C1312"/>
    <w:rsid w:val="005C194E"/>
    <w:rsid w:val="005C1C83"/>
    <w:rsid w:val="005C1DB1"/>
    <w:rsid w:val="005C226F"/>
    <w:rsid w:val="005C2294"/>
    <w:rsid w:val="005C2E48"/>
    <w:rsid w:val="005C3344"/>
    <w:rsid w:val="005C3B29"/>
    <w:rsid w:val="005C4B28"/>
    <w:rsid w:val="005C4E4D"/>
    <w:rsid w:val="005C51DD"/>
    <w:rsid w:val="005C58F2"/>
    <w:rsid w:val="005C5A97"/>
    <w:rsid w:val="005C5F77"/>
    <w:rsid w:val="005C6AAB"/>
    <w:rsid w:val="005C6BF3"/>
    <w:rsid w:val="005C6C80"/>
    <w:rsid w:val="005C6D5D"/>
    <w:rsid w:val="005C6FD0"/>
    <w:rsid w:val="005C78A6"/>
    <w:rsid w:val="005D01C3"/>
    <w:rsid w:val="005D05FF"/>
    <w:rsid w:val="005D0FB4"/>
    <w:rsid w:val="005D1176"/>
    <w:rsid w:val="005D1747"/>
    <w:rsid w:val="005D266D"/>
    <w:rsid w:val="005D306D"/>
    <w:rsid w:val="005D3327"/>
    <w:rsid w:val="005D476A"/>
    <w:rsid w:val="005D4854"/>
    <w:rsid w:val="005D5BCF"/>
    <w:rsid w:val="005D5CA3"/>
    <w:rsid w:val="005D5F14"/>
    <w:rsid w:val="005D621D"/>
    <w:rsid w:val="005D65BF"/>
    <w:rsid w:val="005D6D84"/>
    <w:rsid w:val="005D70A1"/>
    <w:rsid w:val="005D79F2"/>
    <w:rsid w:val="005D79FB"/>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1DB"/>
    <w:rsid w:val="005F1470"/>
    <w:rsid w:val="005F15A9"/>
    <w:rsid w:val="005F273D"/>
    <w:rsid w:val="005F2807"/>
    <w:rsid w:val="005F2CD5"/>
    <w:rsid w:val="005F3382"/>
    <w:rsid w:val="005F3720"/>
    <w:rsid w:val="005F3977"/>
    <w:rsid w:val="005F4F00"/>
    <w:rsid w:val="005F5506"/>
    <w:rsid w:val="005F5A0D"/>
    <w:rsid w:val="005F60DF"/>
    <w:rsid w:val="005F615B"/>
    <w:rsid w:val="005F61DF"/>
    <w:rsid w:val="005F680A"/>
    <w:rsid w:val="005F6880"/>
    <w:rsid w:val="005F6B3E"/>
    <w:rsid w:val="005F6ED2"/>
    <w:rsid w:val="005F745B"/>
    <w:rsid w:val="005F77F8"/>
    <w:rsid w:val="005F7CA8"/>
    <w:rsid w:val="0060008F"/>
    <w:rsid w:val="00600A8C"/>
    <w:rsid w:val="00600DE1"/>
    <w:rsid w:val="00601506"/>
    <w:rsid w:val="00601596"/>
    <w:rsid w:val="00601C92"/>
    <w:rsid w:val="00601F66"/>
    <w:rsid w:val="00602764"/>
    <w:rsid w:val="00602B29"/>
    <w:rsid w:val="00602DAD"/>
    <w:rsid w:val="00603373"/>
    <w:rsid w:val="006036D0"/>
    <w:rsid w:val="00603B1C"/>
    <w:rsid w:val="00604191"/>
    <w:rsid w:val="006042CD"/>
    <w:rsid w:val="00605217"/>
    <w:rsid w:val="006054A5"/>
    <w:rsid w:val="006059E4"/>
    <w:rsid w:val="00605D60"/>
    <w:rsid w:val="006062A0"/>
    <w:rsid w:val="00606CE0"/>
    <w:rsid w:val="00607015"/>
    <w:rsid w:val="00607261"/>
    <w:rsid w:val="0060795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935"/>
    <w:rsid w:val="00622B22"/>
    <w:rsid w:val="00622F67"/>
    <w:rsid w:val="00623571"/>
    <w:rsid w:val="00623A5E"/>
    <w:rsid w:val="006245B1"/>
    <w:rsid w:val="00625008"/>
    <w:rsid w:val="0062548B"/>
    <w:rsid w:val="00625553"/>
    <w:rsid w:val="006257A3"/>
    <w:rsid w:val="00626710"/>
    <w:rsid w:val="00626930"/>
    <w:rsid w:val="00626AD3"/>
    <w:rsid w:val="00626BAC"/>
    <w:rsid w:val="006271C3"/>
    <w:rsid w:val="006277EA"/>
    <w:rsid w:val="00627B14"/>
    <w:rsid w:val="00627BD7"/>
    <w:rsid w:val="0063001E"/>
    <w:rsid w:val="00630023"/>
    <w:rsid w:val="006308EE"/>
    <w:rsid w:val="00630C70"/>
    <w:rsid w:val="00630D67"/>
    <w:rsid w:val="00631005"/>
    <w:rsid w:val="006312FA"/>
    <w:rsid w:val="00631C79"/>
    <w:rsid w:val="00631F32"/>
    <w:rsid w:val="00632727"/>
    <w:rsid w:val="0063283D"/>
    <w:rsid w:val="00633769"/>
    <w:rsid w:val="00633FE3"/>
    <w:rsid w:val="00634276"/>
    <w:rsid w:val="00634570"/>
    <w:rsid w:val="0063481A"/>
    <w:rsid w:val="0063487C"/>
    <w:rsid w:val="00635B73"/>
    <w:rsid w:val="00635BB7"/>
    <w:rsid w:val="00635DCB"/>
    <w:rsid w:val="00636BF1"/>
    <w:rsid w:val="00636CC7"/>
    <w:rsid w:val="00637F27"/>
    <w:rsid w:val="006405EC"/>
    <w:rsid w:val="00640A4D"/>
    <w:rsid w:val="00640EBD"/>
    <w:rsid w:val="006418F2"/>
    <w:rsid w:val="00641A84"/>
    <w:rsid w:val="00641B05"/>
    <w:rsid w:val="00641DA1"/>
    <w:rsid w:val="00641E5B"/>
    <w:rsid w:val="00642369"/>
    <w:rsid w:val="006428D7"/>
    <w:rsid w:val="00642C69"/>
    <w:rsid w:val="0064330A"/>
    <w:rsid w:val="00643F89"/>
    <w:rsid w:val="00644334"/>
    <w:rsid w:val="0064477F"/>
    <w:rsid w:val="0064487C"/>
    <w:rsid w:val="00644BED"/>
    <w:rsid w:val="00644E2E"/>
    <w:rsid w:val="00645A3A"/>
    <w:rsid w:val="00645B87"/>
    <w:rsid w:val="00645CB4"/>
    <w:rsid w:val="00646084"/>
    <w:rsid w:val="006468ED"/>
    <w:rsid w:val="006472CD"/>
    <w:rsid w:val="0064758A"/>
    <w:rsid w:val="00647664"/>
    <w:rsid w:val="00650401"/>
    <w:rsid w:val="006506AA"/>
    <w:rsid w:val="00650D19"/>
    <w:rsid w:val="006515FD"/>
    <w:rsid w:val="00652647"/>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6FBF"/>
    <w:rsid w:val="006574AA"/>
    <w:rsid w:val="006576BA"/>
    <w:rsid w:val="006600BF"/>
    <w:rsid w:val="00660495"/>
    <w:rsid w:val="00660AF7"/>
    <w:rsid w:val="00660D3E"/>
    <w:rsid w:val="00661691"/>
    <w:rsid w:val="00662D3D"/>
    <w:rsid w:val="00662F1F"/>
    <w:rsid w:val="00663454"/>
    <w:rsid w:val="0066394F"/>
    <w:rsid w:val="00663D15"/>
    <w:rsid w:val="00664AF1"/>
    <w:rsid w:val="00665030"/>
    <w:rsid w:val="00665670"/>
    <w:rsid w:val="006659EA"/>
    <w:rsid w:val="00665D6B"/>
    <w:rsid w:val="006661E8"/>
    <w:rsid w:val="00666424"/>
    <w:rsid w:val="0066676C"/>
    <w:rsid w:val="006673B9"/>
    <w:rsid w:val="00667632"/>
    <w:rsid w:val="0066790C"/>
    <w:rsid w:val="00667DE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41"/>
    <w:rsid w:val="00677991"/>
    <w:rsid w:val="00677AD2"/>
    <w:rsid w:val="00680326"/>
    <w:rsid w:val="00680510"/>
    <w:rsid w:val="00680714"/>
    <w:rsid w:val="0068071D"/>
    <w:rsid w:val="00680C6B"/>
    <w:rsid w:val="006811F3"/>
    <w:rsid w:val="00681240"/>
    <w:rsid w:val="00681314"/>
    <w:rsid w:val="00683068"/>
    <w:rsid w:val="00683DAD"/>
    <w:rsid w:val="00683F81"/>
    <w:rsid w:val="00684592"/>
    <w:rsid w:val="00684963"/>
    <w:rsid w:val="00685033"/>
    <w:rsid w:val="0068517F"/>
    <w:rsid w:val="00685D65"/>
    <w:rsid w:val="00685FC8"/>
    <w:rsid w:val="00686E80"/>
    <w:rsid w:val="0068790B"/>
    <w:rsid w:val="00687AF2"/>
    <w:rsid w:val="00687E69"/>
    <w:rsid w:val="006901AC"/>
    <w:rsid w:val="00690C8D"/>
    <w:rsid w:val="00691389"/>
    <w:rsid w:val="00691890"/>
    <w:rsid w:val="00691AAD"/>
    <w:rsid w:val="00691CD1"/>
    <w:rsid w:val="00692416"/>
    <w:rsid w:val="00692789"/>
    <w:rsid w:val="00692AFF"/>
    <w:rsid w:val="00692D2D"/>
    <w:rsid w:val="00693B73"/>
    <w:rsid w:val="00693CF0"/>
    <w:rsid w:val="006945A1"/>
    <w:rsid w:val="00694A53"/>
    <w:rsid w:val="006952DE"/>
    <w:rsid w:val="00695985"/>
    <w:rsid w:val="00695C78"/>
    <w:rsid w:val="00695D5E"/>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D07"/>
    <w:rsid w:val="006A2309"/>
    <w:rsid w:val="006A2766"/>
    <w:rsid w:val="006A39D0"/>
    <w:rsid w:val="006A3E91"/>
    <w:rsid w:val="006A430B"/>
    <w:rsid w:val="006A4321"/>
    <w:rsid w:val="006A4E20"/>
    <w:rsid w:val="006A4F11"/>
    <w:rsid w:val="006A563C"/>
    <w:rsid w:val="006A58D1"/>
    <w:rsid w:val="006A59D9"/>
    <w:rsid w:val="006A5A6F"/>
    <w:rsid w:val="006A5F7E"/>
    <w:rsid w:val="006A6786"/>
    <w:rsid w:val="006A722A"/>
    <w:rsid w:val="006A7BCC"/>
    <w:rsid w:val="006A7C29"/>
    <w:rsid w:val="006B0102"/>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CB"/>
    <w:rsid w:val="006B36E5"/>
    <w:rsid w:val="006B3D00"/>
    <w:rsid w:val="006B4CF8"/>
    <w:rsid w:val="006B506B"/>
    <w:rsid w:val="006B5412"/>
    <w:rsid w:val="006B54E8"/>
    <w:rsid w:val="006B56A9"/>
    <w:rsid w:val="006B5D80"/>
    <w:rsid w:val="006B5FBC"/>
    <w:rsid w:val="006B6ED2"/>
    <w:rsid w:val="006B74FD"/>
    <w:rsid w:val="006B775A"/>
    <w:rsid w:val="006B79A8"/>
    <w:rsid w:val="006B7F74"/>
    <w:rsid w:val="006C0230"/>
    <w:rsid w:val="006C03A3"/>
    <w:rsid w:val="006C05BE"/>
    <w:rsid w:val="006C05C7"/>
    <w:rsid w:val="006C0C70"/>
    <w:rsid w:val="006C0CB2"/>
    <w:rsid w:val="006C0EAB"/>
    <w:rsid w:val="006C25AB"/>
    <w:rsid w:val="006C2DA6"/>
    <w:rsid w:val="006C3581"/>
    <w:rsid w:val="006C35E7"/>
    <w:rsid w:val="006C39A0"/>
    <w:rsid w:val="006C3EFE"/>
    <w:rsid w:val="006C46C7"/>
    <w:rsid w:val="006C4767"/>
    <w:rsid w:val="006C4A1A"/>
    <w:rsid w:val="006C4D02"/>
    <w:rsid w:val="006C53A4"/>
    <w:rsid w:val="006C54DF"/>
    <w:rsid w:val="006C5CA6"/>
    <w:rsid w:val="006C5D5D"/>
    <w:rsid w:val="006C627E"/>
    <w:rsid w:val="006C6303"/>
    <w:rsid w:val="006C6A51"/>
    <w:rsid w:val="006C6EBD"/>
    <w:rsid w:val="006C7500"/>
    <w:rsid w:val="006C7E04"/>
    <w:rsid w:val="006C7F79"/>
    <w:rsid w:val="006D0004"/>
    <w:rsid w:val="006D015F"/>
    <w:rsid w:val="006D060E"/>
    <w:rsid w:val="006D0681"/>
    <w:rsid w:val="006D0A80"/>
    <w:rsid w:val="006D0AE8"/>
    <w:rsid w:val="006D135C"/>
    <w:rsid w:val="006D17B8"/>
    <w:rsid w:val="006D2F72"/>
    <w:rsid w:val="006D38E6"/>
    <w:rsid w:val="006D43C1"/>
    <w:rsid w:val="006D5442"/>
    <w:rsid w:val="006D6E4E"/>
    <w:rsid w:val="006D7A7B"/>
    <w:rsid w:val="006D7A8E"/>
    <w:rsid w:val="006D7C59"/>
    <w:rsid w:val="006E00E3"/>
    <w:rsid w:val="006E045C"/>
    <w:rsid w:val="006E0569"/>
    <w:rsid w:val="006E065E"/>
    <w:rsid w:val="006E06D0"/>
    <w:rsid w:val="006E0849"/>
    <w:rsid w:val="006E11D6"/>
    <w:rsid w:val="006E11E4"/>
    <w:rsid w:val="006E17AC"/>
    <w:rsid w:val="006E189B"/>
    <w:rsid w:val="006E2079"/>
    <w:rsid w:val="006E20D9"/>
    <w:rsid w:val="006E27DC"/>
    <w:rsid w:val="006E2902"/>
    <w:rsid w:val="006E2F9D"/>
    <w:rsid w:val="006E37C6"/>
    <w:rsid w:val="006E3CF3"/>
    <w:rsid w:val="006E41ED"/>
    <w:rsid w:val="006E4667"/>
    <w:rsid w:val="006E46B7"/>
    <w:rsid w:val="006E475A"/>
    <w:rsid w:val="006E486D"/>
    <w:rsid w:val="006E4880"/>
    <w:rsid w:val="006E48BB"/>
    <w:rsid w:val="006E6E0C"/>
    <w:rsid w:val="006E727B"/>
    <w:rsid w:val="006E76C8"/>
    <w:rsid w:val="006E7A92"/>
    <w:rsid w:val="006E7FDD"/>
    <w:rsid w:val="006F01FF"/>
    <w:rsid w:val="006F0CB2"/>
    <w:rsid w:val="006F1DA1"/>
    <w:rsid w:val="006F1DE9"/>
    <w:rsid w:val="006F2046"/>
    <w:rsid w:val="006F2224"/>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6B3"/>
    <w:rsid w:val="00703ABE"/>
    <w:rsid w:val="0070415E"/>
    <w:rsid w:val="00704631"/>
    <w:rsid w:val="00704B79"/>
    <w:rsid w:val="00704E7D"/>
    <w:rsid w:val="00705060"/>
    <w:rsid w:val="00705351"/>
    <w:rsid w:val="007053A3"/>
    <w:rsid w:val="00705619"/>
    <w:rsid w:val="00705799"/>
    <w:rsid w:val="00705ACC"/>
    <w:rsid w:val="00705E93"/>
    <w:rsid w:val="007062AF"/>
    <w:rsid w:val="007069AE"/>
    <w:rsid w:val="007069D4"/>
    <w:rsid w:val="00706C89"/>
    <w:rsid w:val="007077CF"/>
    <w:rsid w:val="00707967"/>
    <w:rsid w:val="00710257"/>
    <w:rsid w:val="00710587"/>
    <w:rsid w:val="007107D5"/>
    <w:rsid w:val="007119DC"/>
    <w:rsid w:val="00711CC7"/>
    <w:rsid w:val="0071230A"/>
    <w:rsid w:val="0071294A"/>
    <w:rsid w:val="00712BDD"/>
    <w:rsid w:val="00712E1E"/>
    <w:rsid w:val="00712F37"/>
    <w:rsid w:val="00713184"/>
    <w:rsid w:val="00713A6B"/>
    <w:rsid w:val="00713CB5"/>
    <w:rsid w:val="00713DD9"/>
    <w:rsid w:val="0071499C"/>
    <w:rsid w:val="00714F9D"/>
    <w:rsid w:val="007154D8"/>
    <w:rsid w:val="00715577"/>
    <w:rsid w:val="007156D3"/>
    <w:rsid w:val="0071604D"/>
    <w:rsid w:val="007160F1"/>
    <w:rsid w:val="00716C67"/>
    <w:rsid w:val="007170AB"/>
    <w:rsid w:val="0071779C"/>
    <w:rsid w:val="00717808"/>
    <w:rsid w:val="00717E60"/>
    <w:rsid w:val="007208A7"/>
    <w:rsid w:val="00720B3D"/>
    <w:rsid w:val="00720B6A"/>
    <w:rsid w:val="007210F6"/>
    <w:rsid w:val="0072129A"/>
    <w:rsid w:val="0072139F"/>
    <w:rsid w:val="0072198A"/>
    <w:rsid w:val="00721AD9"/>
    <w:rsid w:val="00721D24"/>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1FF5"/>
    <w:rsid w:val="0073245C"/>
    <w:rsid w:val="00732493"/>
    <w:rsid w:val="00732FE9"/>
    <w:rsid w:val="007333EE"/>
    <w:rsid w:val="00733772"/>
    <w:rsid w:val="00733822"/>
    <w:rsid w:val="00733A43"/>
    <w:rsid w:val="00733AE4"/>
    <w:rsid w:val="00733D5F"/>
    <w:rsid w:val="00734932"/>
    <w:rsid w:val="00734AF7"/>
    <w:rsid w:val="00735D53"/>
    <w:rsid w:val="0073618A"/>
    <w:rsid w:val="007364A3"/>
    <w:rsid w:val="00736740"/>
    <w:rsid w:val="007378FD"/>
    <w:rsid w:val="007403FE"/>
    <w:rsid w:val="007413EB"/>
    <w:rsid w:val="007413FB"/>
    <w:rsid w:val="007421B8"/>
    <w:rsid w:val="00742D32"/>
    <w:rsid w:val="00742E9B"/>
    <w:rsid w:val="0074344A"/>
    <w:rsid w:val="007444E6"/>
    <w:rsid w:val="0074592C"/>
    <w:rsid w:val="00745C91"/>
    <w:rsid w:val="00746098"/>
    <w:rsid w:val="00746D58"/>
    <w:rsid w:val="00747300"/>
    <w:rsid w:val="00747578"/>
    <w:rsid w:val="00750ACA"/>
    <w:rsid w:val="00750D12"/>
    <w:rsid w:val="00751073"/>
    <w:rsid w:val="00751AF2"/>
    <w:rsid w:val="00751B1A"/>
    <w:rsid w:val="00751BD2"/>
    <w:rsid w:val="00751CE5"/>
    <w:rsid w:val="00752188"/>
    <w:rsid w:val="00752CC6"/>
    <w:rsid w:val="00753792"/>
    <w:rsid w:val="00753938"/>
    <w:rsid w:val="00753A57"/>
    <w:rsid w:val="007543CE"/>
    <w:rsid w:val="0075497E"/>
    <w:rsid w:val="00754A29"/>
    <w:rsid w:val="00755B6F"/>
    <w:rsid w:val="00755BCF"/>
    <w:rsid w:val="007564B9"/>
    <w:rsid w:val="00756C5F"/>
    <w:rsid w:val="00756D69"/>
    <w:rsid w:val="00757029"/>
    <w:rsid w:val="00757146"/>
    <w:rsid w:val="007571FD"/>
    <w:rsid w:val="0075723D"/>
    <w:rsid w:val="007577E0"/>
    <w:rsid w:val="007602D4"/>
    <w:rsid w:val="00760389"/>
    <w:rsid w:val="007605D0"/>
    <w:rsid w:val="00760613"/>
    <w:rsid w:val="00760A5A"/>
    <w:rsid w:val="00760D96"/>
    <w:rsid w:val="0076124A"/>
    <w:rsid w:val="0076161B"/>
    <w:rsid w:val="0076182A"/>
    <w:rsid w:val="00761950"/>
    <w:rsid w:val="00761CB5"/>
    <w:rsid w:val="0076216B"/>
    <w:rsid w:val="00762948"/>
    <w:rsid w:val="00762A81"/>
    <w:rsid w:val="00763137"/>
    <w:rsid w:val="0076357F"/>
    <w:rsid w:val="00763AED"/>
    <w:rsid w:val="00763F8B"/>
    <w:rsid w:val="007640F3"/>
    <w:rsid w:val="0076417E"/>
    <w:rsid w:val="0076497F"/>
    <w:rsid w:val="007660EC"/>
    <w:rsid w:val="007662C7"/>
    <w:rsid w:val="00766862"/>
    <w:rsid w:val="00766DD0"/>
    <w:rsid w:val="007675DD"/>
    <w:rsid w:val="007702BF"/>
    <w:rsid w:val="007705F0"/>
    <w:rsid w:val="00770884"/>
    <w:rsid w:val="00771CAC"/>
    <w:rsid w:val="00772036"/>
    <w:rsid w:val="00773098"/>
    <w:rsid w:val="007739A3"/>
    <w:rsid w:val="00773BD9"/>
    <w:rsid w:val="00773CB0"/>
    <w:rsid w:val="00773D71"/>
    <w:rsid w:val="00774336"/>
    <w:rsid w:val="00774C54"/>
    <w:rsid w:val="00775526"/>
    <w:rsid w:val="00775651"/>
    <w:rsid w:val="00775F3F"/>
    <w:rsid w:val="0077710B"/>
    <w:rsid w:val="0077765A"/>
    <w:rsid w:val="007778AE"/>
    <w:rsid w:val="00780032"/>
    <w:rsid w:val="00780636"/>
    <w:rsid w:val="00780E86"/>
    <w:rsid w:val="0078108C"/>
    <w:rsid w:val="00781727"/>
    <w:rsid w:val="007823E8"/>
    <w:rsid w:val="007827F9"/>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2F70"/>
    <w:rsid w:val="00793105"/>
    <w:rsid w:val="007931E8"/>
    <w:rsid w:val="00793333"/>
    <w:rsid w:val="00793D3A"/>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A2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AD5"/>
    <w:rsid w:val="007A54F6"/>
    <w:rsid w:val="007A5599"/>
    <w:rsid w:val="007A55FE"/>
    <w:rsid w:val="007A582C"/>
    <w:rsid w:val="007A5950"/>
    <w:rsid w:val="007A6D91"/>
    <w:rsid w:val="007A7618"/>
    <w:rsid w:val="007A7778"/>
    <w:rsid w:val="007B00C9"/>
    <w:rsid w:val="007B02C7"/>
    <w:rsid w:val="007B0306"/>
    <w:rsid w:val="007B06BE"/>
    <w:rsid w:val="007B06E3"/>
    <w:rsid w:val="007B08E4"/>
    <w:rsid w:val="007B0D86"/>
    <w:rsid w:val="007B1637"/>
    <w:rsid w:val="007B2896"/>
    <w:rsid w:val="007B28C3"/>
    <w:rsid w:val="007B3A74"/>
    <w:rsid w:val="007B3A8E"/>
    <w:rsid w:val="007B3C9B"/>
    <w:rsid w:val="007B4271"/>
    <w:rsid w:val="007B4472"/>
    <w:rsid w:val="007B497D"/>
    <w:rsid w:val="007B4EE9"/>
    <w:rsid w:val="007B5234"/>
    <w:rsid w:val="007B530C"/>
    <w:rsid w:val="007B54C7"/>
    <w:rsid w:val="007B5637"/>
    <w:rsid w:val="007B5DC5"/>
    <w:rsid w:val="007B5F32"/>
    <w:rsid w:val="007B63FC"/>
    <w:rsid w:val="007B6708"/>
    <w:rsid w:val="007B6C20"/>
    <w:rsid w:val="007B6E8D"/>
    <w:rsid w:val="007C029E"/>
    <w:rsid w:val="007C04CC"/>
    <w:rsid w:val="007C0636"/>
    <w:rsid w:val="007C09C6"/>
    <w:rsid w:val="007C0EDF"/>
    <w:rsid w:val="007C10E4"/>
    <w:rsid w:val="007C17B4"/>
    <w:rsid w:val="007C20F8"/>
    <w:rsid w:val="007C21C5"/>
    <w:rsid w:val="007C2229"/>
    <w:rsid w:val="007C2313"/>
    <w:rsid w:val="007C24E0"/>
    <w:rsid w:val="007C2D47"/>
    <w:rsid w:val="007C3162"/>
    <w:rsid w:val="007C3590"/>
    <w:rsid w:val="007C387A"/>
    <w:rsid w:val="007C3A0D"/>
    <w:rsid w:val="007C3EB0"/>
    <w:rsid w:val="007C43D6"/>
    <w:rsid w:val="007C47FF"/>
    <w:rsid w:val="007C5B15"/>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6A"/>
    <w:rsid w:val="007D2E50"/>
    <w:rsid w:val="007D3D74"/>
    <w:rsid w:val="007D445F"/>
    <w:rsid w:val="007D4DED"/>
    <w:rsid w:val="007D5BA2"/>
    <w:rsid w:val="007D5C40"/>
    <w:rsid w:val="007D5ED3"/>
    <w:rsid w:val="007D665C"/>
    <w:rsid w:val="007D682F"/>
    <w:rsid w:val="007D6FB9"/>
    <w:rsid w:val="007D7211"/>
    <w:rsid w:val="007E0595"/>
    <w:rsid w:val="007E0654"/>
    <w:rsid w:val="007E08C8"/>
    <w:rsid w:val="007E0A63"/>
    <w:rsid w:val="007E0C63"/>
    <w:rsid w:val="007E0E05"/>
    <w:rsid w:val="007E0F5D"/>
    <w:rsid w:val="007E1901"/>
    <w:rsid w:val="007E1C5F"/>
    <w:rsid w:val="007E1DE1"/>
    <w:rsid w:val="007E23A1"/>
    <w:rsid w:val="007E259F"/>
    <w:rsid w:val="007E2C4F"/>
    <w:rsid w:val="007E347E"/>
    <w:rsid w:val="007E3B14"/>
    <w:rsid w:val="007E41A4"/>
    <w:rsid w:val="007E43E3"/>
    <w:rsid w:val="007E469A"/>
    <w:rsid w:val="007E54B8"/>
    <w:rsid w:val="007E569C"/>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4F92"/>
    <w:rsid w:val="007F5072"/>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43FC"/>
    <w:rsid w:val="008052CE"/>
    <w:rsid w:val="0080548A"/>
    <w:rsid w:val="008058D0"/>
    <w:rsid w:val="00806A4C"/>
    <w:rsid w:val="0080705B"/>
    <w:rsid w:val="0080712F"/>
    <w:rsid w:val="0080723C"/>
    <w:rsid w:val="008073B3"/>
    <w:rsid w:val="00807748"/>
    <w:rsid w:val="00807F71"/>
    <w:rsid w:val="00807FFB"/>
    <w:rsid w:val="0081000F"/>
    <w:rsid w:val="00810FE5"/>
    <w:rsid w:val="00811E76"/>
    <w:rsid w:val="00812657"/>
    <w:rsid w:val="00812A1A"/>
    <w:rsid w:val="00812DFF"/>
    <w:rsid w:val="00812FA8"/>
    <w:rsid w:val="008135BD"/>
    <w:rsid w:val="0081362F"/>
    <w:rsid w:val="0081383A"/>
    <w:rsid w:val="0081497F"/>
    <w:rsid w:val="00814B90"/>
    <w:rsid w:val="00814FC7"/>
    <w:rsid w:val="008154A7"/>
    <w:rsid w:val="008162DC"/>
    <w:rsid w:val="0081660C"/>
    <w:rsid w:val="00816A0D"/>
    <w:rsid w:val="00816AD8"/>
    <w:rsid w:val="00816EA0"/>
    <w:rsid w:val="00817195"/>
    <w:rsid w:val="00817416"/>
    <w:rsid w:val="00817658"/>
    <w:rsid w:val="00817FB9"/>
    <w:rsid w:val="008206AE"/>
    <w:rsid w:val="00821271"/>
    <w:rsid w:val="00821306"/>
    <w:rsid w:val="008213D9"/>
    <w:rsid w:val="008216CE"/>
    <w:rsid w:val="008218AE"/>
    <w:rsid w:val="00821D85"/>
    <w:rsid w:val="00821E47"/>
    <w:rsid w:val="008220F6"/>
    <w:rsid w:val="00822456"/>
    <w:rsid w:val="0082253C"/>
    <w:rsid w:val="00822E53"/>
    <w:rsid w:val="00823819"/>
    <w:rsid w:val="00823C4B"/>
    <w:rsid w:val="00824140"/>
    <w:rsid w:val="0082427D"/>
    <w:rsid w:val="00825441"/>
    <w:rsid w:val="00826855"/>
    <w:rsid w:val="00830052"/>
    <w:rsid w:val="008300D0"/>
    <w:rsid w:val="008308D8"/>
    <w:rsid w:val="00830F8C"/>
    <w:rsid w:val="008313E8"/>
    <w:rsid w:val="008320D2"/>
    <w:rsid w:val="008321CE"/>
    <w:rsid w:val="0083257C"/>
    <w:rsid w:val="0083261B"/>
    <w:rsid w:val="00832B44"/>
    <w:rsid w:val="00832EC9"/>
    <w:rsid w:val="00833307"/>
    <w:rsid w:val="00833583"/>
    <w:rsid w:val="00833B5B"/>
    <w:rsid w:val="00833E9A"/>
    <w:rsid w:val="0083414E"/>
    <w:rsid w:val="0083454E"/>
    <w:rsid w:val="00834FEF"/>
    <w:rsid w:val="008355F6"/>
    <w:rsid w:val="00835692"/>
    <w:rsid w:val="00836100"/>
    <w:rsid w:val="00836323"/>
    <w:rsid w:val="00837133"/>
    <w:rsid w:val="008379FF"/>
    <w:rsid w:val="00837D3D"/>
    <w:rsid w:val="00837E9B"/>
    <w:rsid w:val="008404AA"/>
    <w:rsid w:val="008406D7"/>
    <w:rsid w:val="0084074F"/>
    <w:rsid w:val="008407BA"/>
    <w:rsid w:val="00840906"/>
    <w:rsid w:val="00840AA3"/>
    <w:rsid w:val="00840AAC"/>
    <w:rsid w:val="0084101C"/>
    <w:rsid w:val="0084181B"/>
    <w:rsid w:val="00841F29"/>
    <w:rsid w:val="008425CC"/>
    <w:rsid w:val="00842DC2"/>
    <w:rsid w:val="0084357B"/>
    <w:rsid w:val="00844214"/>
    <w:rsid w:val="00845869"/>
    <w:rsid w:val="00845B14"/>
    <w:rsid w:val="00845F4B"/>
    <w:rsid w:val="008465B4"/>
    <w:rsid w:val="00846ACC"/>
    <w:rsid w:val="00846D25"/>
    <w:rsid w:val="00847B75"/>
    <w:rsid w:val="00850013"/>
    <w:rsid w:val="008500DD"/>
    <w:rsid w:val="00850884"/>
    <w:rsid w:val="00850A0A"/>
    <w:rsid w:val="00850A94"/>
    <w:rsid w:val="0085114F"/>
    <w:rsid w:val="00851E96"/>
    <w:rsid w:val="00851F1C"/>
    <w:rsid w:val="00852FA5"/>
    <w:rsid w:val="00853D7C"/>
    <w:rsid w:val="00853F7D"/>
    <w:rsid w:val="0085517F"/>
    <w:rsid w:val="0085562D"/>
    <w:rsid w:val="00855A78"/>
    <w:rsid w:val="00855E8C"/>
    <w:rsid w:val="00856154"/>
    <w:rsid w:val="00856286"/>
    <w:rsid w:val="0085657E"/>
    <w:rsid w:val="00856F0E"/>
    <w:rsid w:val="008573AF"/>
    <w:rsid w:val="008576B0"/>
    <w:rsid w:val="00860296"/>
    <w:rsid w:val="008602E3"/>
    <w:rsid w:val="00860DA4"/>
    <w:rsid w:val="00861146"/>
    <w:rsid w:val="00861948"/>
    <w:rsid w:val="00861CEE"/>
    <w:rsid w:val="00862011"/>
    <w:rsid w:val="00862A15"/>
    <w:rsid w:val="00862CC9"/>
    <w:rsid w:val="00862D8E"/>
    <w:rsid w:val="00862EF2"/>
    <w:rsid w:val="0086598A"/>
    <w:rsid w:val="00865C3D"/>
    <w:rsid w:val="00865F4C"/>
    <w:rsid w:val="00866453"/>
    <w:rsid w:val="008669D2"/>
    <w:rsid w:val="00866BBB"/>
    <w:rsid w:val="0086707F"/>
    <w:rsid w:val="00867501"/>
    <w:rsid w:val="0086777D"/>
    <w:rsid w:val="00867D8E"/>
    <w:rsid w:val="008700C0"/>
    <w:rsid w:val="0087058B"/>
    <w:rsid w:val="0087099A"/>
    <w:rsid w:val="00870ACE"/>
    <w:rsid w:val="00870D79"/>
    <w:rsid w:val="00871333"/>
    <w:rsid w:val="00871952"/>
    <w:rsid w:val="00872006"/>
    <w:rsid w:val="00872386"/>
    <w:rsid w:val="008726D7"/>
    <w:rsid w:val="00873128"/>
    <w:rsid w:val="008735BC"/>
    <w:rsid w:val="00873AAC"/>
    <w:rsid w:val="00873C61"/>
    <w:rsid w:val="00873DFD"/>
    <w:rsid w:val="008748C0"/>
    <w:rsid w:val="008749BF"/>
    <w:rsid w:val="00875542"/>
    <w:rsid w:val="00875E14"/>
    <w:rsid w:val="0087677E"/>
    <w:rsid w:val="0087712C"/>
    <w:rsid w:val="008776E7"/>
    <w:rsid w:val="00877746"/>
    <w:rsid w:val="00877C5D"/>
    <w:rsid w:val="0088019D"/>
    <w:rsid w:val="00880354"/>
    <w:rsid w:val="0088093C"/>
    <w:rsid w:val="00880BC0"/>
    <w:rsid w:val="0088127A"/>
    <w:rsid w:val="00881D59"/>
    <w:rsid w:val="008826D7"/>
    <w:rsid w:val="00882991"/>
    <w:rsid w:val="00882DB6"/>
    <w:rsid w:val="00882EC1"/>
    <w:rsid w:val="00883236"/>
    <w:rsid w:val="0088324E"/>
    <w:rsid w:val="00883BBB"/>
    <w:rsid w:val="0088434F"/>
    <w:rsid w:val="00884371"/>
    <w:rsid w:val="008848E2"/>
    <w:rsid w:val="00884B7A"/>
    <w:rsid w:val="00884D47"/>
    <w:rsid w:val="00885604"/>
    <w:rsid w:val="008856C5"/>
    <w:rsid w:val="00886112"/>
    <w:rsid w:val="008869D4"/>
    <w:rsid w:val="00886EAC"/>
    <w:rsid w:val="008872B3"/>
    <w:rsid w:val="00887392"/>
    <w:rsid w:val="00890A64"/>
    <w:rsid w:val="00890C3E"/>
    <w:rsid w:val="00890C40"/>
    <w:rsid w:val="0089122E"/>
    <w:rsid w:val="008912A7"/>
    <w:rsid w:val="0089183A"/>
    <w:rsid w:val="008920B4"/>
    <w:rsid w:val="008925EB"/>
    <w:rsid w:val="0089275E"/>
    <w:rsid w:val="00892B43"/>
    <w:rsid w:val="00892D9C"/>
    <w:rsid w:val="00893432"/>
    <w:rsid w:val="00893936"/>
    <w:rsid w:val="00893CE2"/>
    <w:rsid w:val="00893F41"/>
    <w:rsid w:val="00895144"/>
    <w:rsid w:val="00895963"/>
    <w:rsid w:val="008969EE"/>
    <w:rsid w:val="008972B6"/>
    <w:rsid w:val="0089731C"/>
    <w:rsid w:val="00897339"/>
    <w:rsid w:val="00897697"/>
    <w:rsid w:val="008977E1"/>
    <w:rsid w:val="00897BFA"/>
    <w:rsid w:val="00897D19"/>
    <w:rsid w:val="008A0044"/>
    <w:rsid w:val="008A0156"/>
    <w:rsid w:val="008A091D"/>
    <w:rsid w:val="008A0BFE"/>
    <w:rsid w:val="008A1932"/>
    <w:rsid w:val="008A21D9"/>
    <w:rsid w:val="008A232D"/>
    <w:rsid w:val="008A3182"/>
    <w:rsid w:val="008A3C76"/>
    <w:rsid w:val="008A3D54"/>
    <w:rsid w:val="008A3E10"/>
    <w:rsid w:val="008A411C"/>
    <w:rsid w:val="008A4630"/>
    <w:rsid w:val="008A47CE"/>
    <w:rsid w:val="008A4DFA"/>
    <w:rsid w:val="008A5654"/>
    <w:rsid w:val="008A5D73"/>
    <w:rsid w:val="008A5F2F"/>
    <w:rsid w:val="008A6BAE"/>
    <w:rsid w:val="008A719F"/>
    <w:rsid w:val="008A7350"/>
    <w:rsid w:val="008A77AB"/>
    <w:rsid w:val="008A7A72"/>
    <w:rsid w:val="008B09F3"/>
    <w:rsid w:val="008B0ECF"/>
    <w:rsid w:val="008B111A"/>
    <w:rsid w:val="008B16E6"/>
    <w:rsid w:val="008B1AB2"/>
    <w:rsid w:val="008B1D9B"/>
    <w:rsid w:val="008B2042"/>
    <w:rsid w:val="008B20FF"/>
    <w:rsid w:val="008B2569"/>
    <w:rsid w:val="008B25F1"/>
    <w:rsid w:val="008B3351"/>
    <w:rsid w:val="008B3567"/>
    <w:rsid w:val="008B36D0"/>
    <w:rsid w:val="008B36ED"/>
    <w:rsid w:val="008B38AF"/>
    <w:rsid w:val="008B3D7F"/>
    <w:rsid w:val="008B3E1B"/>
    <w:rsid w:val="008B3F4B"/>
    <w:rsid w:val="008B4353"/>
    <w:rsid w:val="008B48EC"/>
    <w:rsid w:val="008B4AF0"/>
    <w:rsid w:val="008B518E"/>
    <w:rsid w:val="008B527B"/>
    <w:rsid w:val="008B5AB9"/>
    <w:rsid w:val="008B67E6"/>
    <w:rsid w:val="008B69B8"/>
    <w:rsid w:val="008B6F12"/>
    <w:rsid w:val="008B7042"/>
    <w:rsid w:val="008B770C"/>
    <w:rsid w:val="008C0325"/>
    <w:rsid w:val="008C094A"/>
    <w:rsid w:val="008C1570"/>
    <w:rsid w:val="008C1792"/>
    <w:rsid w:val="008C17B2"/>
    <w:rsid w:val="008C1AD3"/>
    <w:rsid w:val="008C1E3E"/>
    <w:rsid w:val="008C2059"/>
    <w:rsid w:val="008C21D0"/>
    <w:rsid w:val="008C2DBC"/>
    <w:rsid w:val="008C3A4E"/>
    <w:rsid w:val="008C422F"/>
    <w:rsid w:val="008C48FF"/>
    <w:rsid w:val="008C5371"/>
    <w:rsid w:val="008C6031"/>
    <w:rsid w:val="008C6051"/>
    <w:rsid w:val="008C623D"/>
    <w:rsid w:val="008C65F4"/>
    <w:rsid w:val="008C6683"/>
    <w:rsid w:val="008C6A10"/>
    <w:rsid w:val="008C6E0C"/>
    <w:rsid w:val="008C70FF"/>
    <w:rsid w:val="008C7273"/>
    <w:rsid w:val="008C78F8"/>
    <w:rsid w:val="008D05DF"/>
    <w:rsid w:val="008D07B8"/>
    <w:rsid w:val="008D09E8"/>
    <w:rsid w:val="008D0E65"/>
    <w:rsid w:val="008D10C6"/>
    <w:rsid w:val="008D110A"/>
    <w:rsid w:val="008D1612"/>
    <w:rsid w:val="008D19CF"/>
    <w:rsid w:val="008D20CE"/>
    <w:rsid w:val="008D2259"/>
    <w:rsid w:val="008D2531"/>
    <w:rsid w:val="008D25BB"/>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335"/>
    <w:rsid w:val="008E35A6"/>
    <w:rsid w:val="008E36D9"/>
    <w:rsid w:val="008E3A5C"/>
    <w:rsid w:val="008E3A9A"/>
    <w:rsid w:val="008E429E"/>
    <w:rsid w:val="008E58A3"/>
    <w:rsid w:val="008E5938"/>
    <w:rsid w:val="008E6109"/>
    <w:rsid w:val="008E6395"/>
    <w:rsid w:val="008E6A39"/>
    <w:rsid w:val="008E76BB"/>
    <w:rsid w:val="008E7BC7"/>
    <w:rsid w:val="008F12A6"/>
    <w:rsid w:val="008F1764"/>
    <w:rsid w:val="008F1E3D"/>
    <w:rsid w:val="008F235C"/>
    <w:rsid w:val="008F2860"/>
    <w:rsid w:val="008F290B"/>
    <w:rsid w:val="008F2F11"/>
    <w:rsid w:val="008F3369"/>
    <w:rsid w:val="008F33A6"/>
    <w:rsid w:val="008F35EC"/>
    <w:rsid w:val="008F4777"/>
    <w:rsid w:val="008F4FE8"/>
    <w:rsid w:val="008F4FED"/>
    <w:rsid w:val="008F5189"/>
    <w:rsid w:val="008F5D5A"/>
    <w:rsid w:val="008F6200"/>
    <w:rsid w:val="008F62F8"/>
    <w:rsid w:val="008F6893"/>
    <w:rsid w:val="008F6B9D"/>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CE"/>
    <w:rsid w:val="00906EA2"/>
    <w:rsid w:val="00907278"/>
    <w:rsid w:val="00907E91"/>
    <w:rsid w:val="00910041"/>
    <w:rsid w:val="00910C26"/>
    <w:rsid w:val="0091112B"/>
    <w:rsid w:val="00911D61"/>
    <w:rsid w:val="00912850"/>
    <w:rsid w:val="009128B8"/>
    <w:rsid w:val="00913AFB"/>
    <w:rsid w:val="0091472C"/>
    <w:rsid w:val="00914DC9"/>
    <w:rsid w:val="00914F4F"/>
    <w:rsid w:val="00915351"/>
    <w:rsid w:val="00915679"/>
    <w:rsid w:val="009159C2"/>
    <w:rsid w:val="00915D01"/>
    <w:rsid w:val="0091627F"/>
    <w:rsid w:val="00916E45"/>
    <w:rsid w:val="0092077A"/>
    <w:rsid w:val="00920DC0"/>
    <w:rsid w:val="009219F3"/>
    <w:rsid w:val="009221CB"/>
    <w:rsid w:val="00922320"/>
    <w:rsid w:val="00922E57"/>
    <w:rsid w:val="00923643"/>
    <w:rsid w:val="00923A75"/>
    <w:rsid w:val="00923E1A"/>
    <w:rsid w:val="0092405E"/>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09"/>
    <w:rsid w:val="00935194"/>
    <w:rsid w:val="00936EA5"/>
    <w:rsid w:val="00937079"/>
    <w:rsid w:val="00937114"/>
    <w:rsid w:val="00937E71"/>
    <w:rsid w:val="0094015D"/>
    <w:rsid w:val="00940916"/>
    <w:rsid w:val="009412B7"/>
    <w:rsid w:val="00941B13"/>
    <w:rsid w:val="0094215C"/>
    <w:rsid w:val="00942F8E"/>
    <w:rsid w:val="00943543"/>
    <w:rsid w:val="0094364F"/>
    <w:rsid w:val="009437AE"/>
    <w:rsid w:val="009441DB"/>
    <w:rsid w:val="0094435E"/>
    <w:rsid w:val="00944834"/>
    <w:rsid w:val="00946128"/>
    <w:rsid w:val="0094633F"/>
    <w:rsid w:val="00947BA5"/>
    <w:rsid w:val="00950805"/>
    <w:rsid w:val="009517E4"/>
    <w:rsid w:val="009518D4"/>
    <w:rsid w:val="009520BC"/>
    <w:rsid w:val="009521D2"/>
    <w:rsid w:val="0095224C"/>
    <w:rsid w:val="00952403"/>
    <w:rsid w:val="00952589"/>
    <w:rsid w:val="00952BD8"/>
    <w:rsid w:val="00953573"/>
    <w:rsid w:val="009537C0"/>
    <w:rsid w:val="00954B06"/>
    <w:rsid w:val="009557A9"/>
    <w:rsid w:val="00956647"/>
    <w:rsid w:val="00956CF3"/>
    <w:rsid w:val="00957380"/>
    <w:rsid w:val="00957409"/>
    <w:rsid w:val="00957499"/>
    <w:rsid w:val="00957ED2"/>
    <w:rsid w:val="009604AE"/>
    <w:rsid w:val="00960863"/>
    <w:rsid w:val="009609AF"/>
    <w:rsid w:val="00960DE4"/>
    <w:rsid w:val="009610C7"/>
    <w:rsid w:val="00961164"/>
    <w:rsid w:val="009612A4"/>
    <w:rsid w:val="00961867"/>
    <w:rsid w:val="00961A4F"/>
    <w:rsid w:val="00961DC5"/>
    <w:rsid w:val="009625B7"/>
    <w:rsid w:val="00962FB8"/>
    <w:rsid w:val="00963183"/>
    <w:rsid w:val="0096361C"/>
    <w:rsid w:val="0096373F"/>
    <w:rsid w:val="00964007"/>
    <w:rsid w:val="00964283"/>
    <w:rsid w:val="009642A4"/>
    <w:rsid w:val="009643F4"/>
    <w:rsid w:val="009645A6"/>
    <w:rsid w:val="00964DD4"/>
    <w:rsid w:val="00964F5A"/>
    <w:rsid w:val="0096527F"/>
    <w:rsid w:val="009653ED"/>
    <w:rsid w:val="009654BB"/>
    <w:rsid w:val="00965B85"/>
    <w:rsid w:val="00966216"/>
    <w:rsid w:val="00966A21"/>
    <w:rsid w:val="00966AD2"/>
    <w:rsid w:val="009700E6"/>
    <w:rsid w:val="0097025C"/>
    <w:rsid w:val="0097082E"/>
    <w:rsid w:val="00970C77"/>
    <w:rsid w:val="00971415"/>
    <w:rsid w:val="009716D8"/>
    <w:rsid w:val="00971F54"/>
    <w:rsid w:val="00972057"/>
    <w:rsid w:val="00972224"/>
    <w:rsid w:val="0097227B"/>
    <w:rsid w:val="0097262E"/>
    <w:rsid w:val="0097293F"/>
    <w:rsid w:val="00973103"/>
    <w:rsid w:val="009732EB"/>
    <w:rsid w:val="00974022"/>
    <w:rsid w:val="009743E8"/>
    <w:rsid w:val="009745D8"/>
    <w:rsid w:val="00974F3B"/>
    <w:rsid w:val="0097552A"/>
    <w:rsid w:val="0097564A"/>
    <w:rsid w:val="00975707"/>
    <w:rsid w:val="00975974"/>
    <w:rsid w:val="00975D06"/>
    <w:rsid w:val="00975D63"/>
    <w:rsid w:val="00975DAE"/>
    <w:rsid w:val="00976BBE"/>
    <w:rsid w:val="00977349"/>
    <w:rsid w:val="009775E3"/>
    <w:rsid w:val="00977A7B"/>
    <w:rsid w:val="00977D18"/>
    <w:rsid w:val="0098055B"/>
    <w:rsid w:val="00980B30"/>
    <w:rsid w:val="009810BE"/>
    <w:rsid w:val="009817BC"/>
    <w:rsid w:val="009819A7"/>
    <w:rsid w:val="0098220A"/>
    <w:rsid w:val="00982E75"/>
    <w:rsid w:val="00982F7D"/>
    <w:rsid w:val="00983337"/>
    <w:rsid w:val="009836AA"/>
    <w:rsid w:val="009846BF"/>
    <w:rsid w:val="00984EE9"/>
    <w:rsid w:val="009851F5"/>
    <w:rsid w:val="0098534B"/>
    <w:rsid w:val="00986019"/>
    <w:rsid w:val="00986281"/>
    <w:rsid w:val="00986283"/>
    <w:rsid w:val="00986B7B"/>
    <w:rsid w:val="00986FC9"/>
    <w:rsid w:val="00987322"/>
    <w:rsid w:val="0098764E"/>
    <w:rsid w:val="00987683"/>
    <w:rsid w:val="00987826"/>
    <w:rsid w:val="00987B4F"/>
    <w:rsid w:val="00987D58"/>
    <w:rsid w:val="0099034B"/>
    <w:rsid w:val="009906D4"/>
    <w:rsid w:val="00990A8E"/>
    <w:rsid w:val="00990EB7"/>
    <w:rsid w:val="00990F5F"/>
    <w:rsid w:val="009911A7"/>
    <w:rsid w:val="009913B8"/>
    <w:rsid w:val="009914E4"/>
    <w:rsid w:val="00991A37"/>
    <w:rsid w:val="00991E0C"/>
    <w:rsid w:val="00992141"/>
    <w:rsid w:val="009921DB"/>
    <w:rsid w:val="00992C67"/>
    <w:rsid w:val="00992D5B"/>
    <w:rsid w:val="00992F7F"/>
    <w:rsid w:val="00993135"/>
    <w:rsid w:val="0099321A"/>
    <w:rsid w:val="00993AC7"/>
    <w:rsid w:val="00993BAD"/>
    <w:rsid w:val="00993E49"/>
    <w:rsid w:val="00994120"/>
    <w:rsid w:val="009942F5"/>
    <w:rsid w:val="00994568"/>
    <w:rsid w:val="00994602"/>
    <w:rsid w:val="00995B01"/>
    <w:rsid w:val="00996055"/>
    <w:rsid w:val="009967B2"/>
    <w:rsid w:val="00996EF4"/>
    <w:rsid w:val="00997044"/>
    <w:rsid w:val="00997BC9"/>
    <w:rsid w:val="009A113D"/>
    <w:rsid w:val="009A1ECA"/>
    <w:rsid w:val="009A2BE9"/>
    <w:rsid w:val="009A2BF3"/>
    <w:rsid w:val="009A3688"/>
    <w:rsid w:val="009A3713"/>
    <w:rsid w:val="009A3BF3"/>
    <w:rsid w:val="009A3C3E"/>
    <w:rsid w:val="009A4153"/>
    <w:rsid w:val="009A4C2C"/>
    <w:rsid w:val="009A59B3"/>
    <w:rsid w:val="009A5FAE"/>
    <w:rsid w:val="009A6B3A"/>
    <w:rsid w:val="009A7081"/>
    <w:rsid w:val="009A70A3"/>
    <w:rsid w:val="009A73C5"/>
    <w:rsid w:val="009A73C9"/>
    <w:rsid w:val="009A7E7C"/>
    <w:rsid w:val="009A7EFA"/>
    <w:rsid w:val="009B05D2"/>
    <w:rsid w:val="009B152B"/>
    <w:rsid w:val="009B2731"/>
    <w:rsid w:val="009B2DCF"/>
    <w:rsid w:val="009B384C"/>
    <w:rsid w:val="009B39D8"/>
    <w:rsid w:val="009B3D38"/>
    <w:rsid w:val="009B4368"/>
    <w:rsid w:val="009B4D4C"/>
    <w:rsid w:val="009B66F5"/>
    <w:rsid w:val="009B7505"/>
    <w:rsid w:val="009B7F67"/>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9B"/>
    <w:rsid w:val="009D03B7"/>
    <w:rsid w:val="009D07AD"/>
    <w:rsid w:val="009D0824"/>
    <w:rsid w:val="009D1172"/>
    <w:rsid w:val="009D13CC"/>
    <w:rsid w:val="009D1654"/>
    <w:rsid w:val="009D1AAC"/>
    <w:rsid w:val="009D1BDB"/>
    <w:rsid w:val="009D298F"/>
    <w:rsid w:val="009D2F9C"/>
    <w:rsid w:val="009D4207"/>
    <w:rsid w:val="009D4225"/>
    <w:rsid w:val="009D4461"/>
    <w:rsid w:val="009D4E4A"/>
    <w:rsid w:val="009D5130"/>
    <w:rsid w:val="009D53D1"/>
    <w:rsid w:val="009D53FB"/>
    <w:rsid w:val="009D56A4"/>
    <w:rsid w:val="009D6081"/>
    <w:rsid w:val="009D6446"/>
    <w:rsid w:val="009D678C"/>
    <w:rsid w:val="009D6B9A"/>
    <w:rsid w:val="009D6D30"/>
    <w:rsid w:val="009D7523"/>
    <w:rsid w:val="009D76B5"/>
    <w:rsid w:val="009D7AF1"/>
    <w:rsid w:val="009D7BC7"/>
    <w:rsid w:val="009D7FAC"/>
    <w:rsid w:val="009E0109"/>
    <w:rsid w:val="009E0342"/>
    <w:rsid w:val="009E098B"/>
    <w:rsid w:val="009E09AB"/>
    <w:rsid w:val="009E0D2F"/>
    <w:rsid w:val="009E0D7D"/>
    <w:rsid w:val="009E0DAF"/>
    <w:rsid w:val="009E19BB"/>
    <w:rsid w:val="009E1C47"/>
    <w:rsid w:val="009E38D1"/>
    <w:rsid w:val="009E3DF1"/>
    <w:rsid w:val="009E40FF"/>
    <w:rsid w:val="009E47DD"/>
    <w:rsid w:val="009E48DE"/>
    <w:rsid w:val="009E514A"/>
    <w:rsid w:val="009E5177"/>
    <w:rsid w:val="009E5701"/>
    <w:rsid w:val="009E5711"/>
    <w:rsid w:val="009E758E"/>
    <w:rsid w:val="009E7737"/>
    <w:rsid w:val="009E7BC5"/>
    <w:rsid w:val="009E7BFB"/>
    <w:rsid w:val="009E7D6B"/>
    <w:rsid w:val="009E7E81"/>
    <w:rsid w:val="009F020A"/>
    <w:rsid w:val="009F02B9"/>
    <w:rsid w:val="009F0444"/>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5C92"/>
    <w:rsid w:val="009F70F1"/>
    <w:rsid w:val="00A000C5"/>
    <w:rsid w:val="00A00213"/>
    <w:rsid w:val="00A007B4"/>
    <w:rsid w:val="00A00930"/>
    <w:rsid w:val="00A00CA0"/>
    <w:rsid w:val="00A00E00"/>
    <w:rsid w:val="00A01221"/>
    <w:rsid w:val="00A012A8"/>
    <w:rsid w:val="00A012F1"/>
    <w:rsid w:val="00A016FF"/>
    <w:rsid w:val="00A01886"/>
    <w:rsid w:val="00A0207F"/>
    <w:rsid w:val="00A021AF"/>
    <w:rsid w:val="00A0228D"/>
    <w:rsid w:val="00A027B1"/>
    <w:rsid w:val="00A0307A"/>
    <w:rsid w:val="00A037E6"/>
    <w:rsid w:val="00A03A7C"/>
    <w:rsid w:val="00A04270"/>
    <w:rsid w:val="00A044AA"/>
    <w:rsid w:val="00A04763"/>
    <w:rsid w:val="00A0700C"/>
    <w:rsid w:val="00A102F8"/>
    <w:rsid w:val="00A10A20"/>
    <w:rsid w:val="00A117D5"/>
    <w:rsid w:val="00A11C11"/>
    <w:rsid w:val="00A12280"/>
    <w:rsid w:val="00A12720"/>
    <w:rsid w:val="00A12ED1"/>
    <w:rsid w:val="00A130DC"/>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773"/>
    <w:rsid w:val="00A21838"/>
    <w:rsid w:val="00A22C3E"/>
    <w:rsid w:val="00A22C4D"/>
    <w:rsid w:val="00A23343"/>
    <w:rsid w:val="00A2334E"/>
    <w:rsid w:val="00A23442"/>
    <w:rsid w:val="00A239AD"/>
    <w:rsid w:val="00A249D2"/>
    <w:rsid w:val="00A254AB"/>
    <w:rsid w:val="00A259F2"/>
    <w:rsid w:val="00A266CC"/>
    <w:rsid w:val="00A26DB4"/>
    <w:rsid w:val="00A27425"/>
    <w:rsid w:val="00A27F0F"/>
    <w:rsid w:val="00A3023E"/>
    <w:rsid w:val="00A305C5"/>
    <w:rsid w:val="00A30919"/>
    <w:rsid w:val="00A31F05"/>
    <w:rsid w:val="00A31FD2"/>
    <w:rsid w:val="00A33723"/>
    <w:rsid w:val="00A33924"/>
    <w:rsid w:val="00A33CF5"/>
    <w:rsid w:val="00A3404D"/>
    <w:rsid w:val="00A341AB"/>
    <w:rsid w:val="00A34290"/>
    <w:rsid w:val="00A355F9"/>
    <w:rsid w:val="00A357D3"/>
    <w:rsid w:val="00A35AA9"/>
    <w:rsid w:val="00A35F3C"/>
    <w:rsid w:val="00A36CF6"/>
    <w:rsid w:val="00A37309"/>
    <w:rsid w:val="00A37329"/>
    <w:rsid w:val="00A37558"/>
    <w:rsid w:val="00A3786A"/>
    <w:rsid w:val="00A37D5A"/>
    <w:rsid w:val="00A4008C"/>
    <w:rsid w:val="00A402A8"/>
    <w:rsid w:val="00A40685"/>
    <w:rsid w:val="00A40E2F"/>
    <w:rsid w:val="00A41819"/>
    <w:rsid w:val="00A41C9A"/>
    <w:rsid w:val="00A41D73"/>
    <w:rsid w:val="00A42406"/>
    <w:rsid w:val="00A433E8"/>
    <w:rsid w:val="00A43A1D"/>
    <w:rsid w:val="00A43AB0"/>
    <w:rsid w:val="00A44854"/>
    <w:rsid w:val="00A44A45"/>
    <w:rsid w:val="00A4651F"/>
    <w:rsid w:val="00A4665D"/>
    <w:rsid w:val="00A46859"/>
    <w:rsid w:val="00A46D39"/>
    <w:rsid w:val="00A47019"/>
    <w:rsid w:val="00A47247"/>
    <w:rsid w:val="00A472B8"/>
    <w:rsid w:val="00A47E11"/>
    <w:rsid w:val="00A47F4D"/>
    <w:rsid w:val="00A5004A"/>
    <w:rsid w:val="00A5013E"/>
    <w:rsid w:val="00A50149"/>
    <w:rsid w:val="00A5017C"/>
    <w:rsid w:val="00A502D6"/>
    <w:rsid w:val="00A502F5"/>
    <w:rsid w:val="00A504F4"/>
    <w:rsid w:val="00A507C4"/>
    <w:rsid w:val="00A508AA"/>
    <w:rsid w:val="00A50EE7"/>
    <w:rsid w:val="00A51A6F"/>
    <w:rsid w:val="00A526CE"/>
    <w:rsid w:val="00A52CFF"/>
    <w:rsid w:val="00A5468F"/>
    <w:rsid w:val="00A54909"/>
    <w:rsid w:val="00A54DC0"/>
    <w:rsid w:val="00A550C9"/>
    <w:rsid w:val="00A55228"/>
    <w:rsid w:val="00A55410"/>
    <w:rsid w:val="00A55A04"/>
    <w:rsid w:val="00A564DE"/>
    <w:rsid w:val="00A5670C"/>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1FF6"/>
    <w:rsid w:val="00A72727"/>
    <w:rsid w:val="00A727D8"/>
    <w:rsid w:val="00A72C1A"/>
    <w:rsid w:val="00A732FB"/>
    <w:rsid w:val="00A73513"/>
    <w:rsid w:val="00A73AA7"/>
    <w:rsid w:val="00A7463E"/>
    <w:rsid w:val="00A74C54"/>
    <w:rsid w:val="00A75185"/>
    <w:rsid w:val="00A75696"/>
    <w:rsid w:val="00A758E2"/>
    <w:rsid w:val="00A7613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19A"/>
    <w:rsid w:val="00A86EED"/>
    <w:rsid w:val="00A8733A"/>
    <w:rsid w:val="00A8778D"/>
    <w:rsid w:val="00A90B45"/>
    <w:rsid w:val="00A9151F"/>
    <w:rsid w:val="00A9196B"/>
    <w:rsid w:val="00A91AEF"/>
    <w:rsid w:val="00A91BB5"/>
    <w:rsid w:val="00A91BEE"/>
    <w:rsid w:val="00A91D4B"/>
    <w:rsid w:val="00A920B2"/>
    <w:rsid w:val="00A92A96"/>
    <w:rsid w:val="00A92AF0"/>
    <w:rsid w:val="00A933FE"/>
    <w:rsid w:val="00A937D5"/>
    <w:rsid w:val="00A93C41"/>
    <w:rsid w:val="00A93C70"/>
    <w:rsid w:val="00A93F85"/>
    <w:rsid w:val="00A94423"/>
    <w:rsid w:val="00A94A32"/>
    <w:rsid w:val="00A94AFC"/>
    <w:rsid w:val="00A94BF5"/>
    <w:rsid w:val="00A94D97"/>
    <w:rsid w:val="00A9686A"/>
    <w:rsid w:val="00A96B4A"/>
    <w:rsid w:val="00A97717"/>
    <w:rsid w:val="00A97BDA"/>
    <w:rsid w:val="00A97F56"/>
    <w:rsid w:val="00AA043A"/>
    <w:rsid w:val="00AA0779"/>
    <w:rsid w:val="00AA08F3"/>
    <w:rsid w:val="00AA0A7E"/>
    <w:rsid w:val="00AA0F23"/>
    <w:rsid w:val="00AA1067"/>
    <w:rsid w:val="00AA1163"/>
    <w:rsid w:val="00AA1DA8"/>
    <w:rsid w:val="00AA222C"/>
    <w:rsid w:val="00AA2264"/>
    <w:rsid w:val="00AA238E"/>
    <w:rsid w:val="00AA2483"/>
    <w:rsid w:val="00AA248C"/>
    <w:rsid w:val="00AA253B"/>
    <w:rsid w:val="00AA29F8"/>
    <w:rsid w:val="00AA3243"/>
    <w:rsid w:val="00AA388F"/>
    <w:rsid w:val="00AA3C4C"/>
    <w:rsid w:val="00AA408E"/>
    <w:rsid w:val="00AA4DA9"/>
    <w:rsid w:val="00AA4F6D"/>
    <w:rsid w:val="00AA50CE"/>
    <w:rsid w:val="00AA536B"/>
    <w:rsid w:val="00AA57C3"/>
    <w:rsid w:val="00AA57C9"/>
    <w:rsid w:val="00AA5A5C"/>
    <w:rsid w:val="00AA5A6F"/>
    <w:rsid w:val="00AA634D"/>
    <w:rsid w:val="00AA6F6C"/>
    <w:rsid w:val="00AA721D"/>
    <w:rsid w:val="00AA7519"/>
    <w:rsid w:val="00AA790A"/>
    <w:rsid w:val="00AA7CD0"/>
    <w:rsid w:val="00AB02EA"/>
    <w:rsid w:val="00AB0B63"/>
    <w:rsid w:val="00AB110C"/>
    <w:rsid w:val="00AB11EF"/>
    <w:rsid w:val="00AB135F"/>
    <w:rsid w:val="00AB227A"/>
    <w:rsid w:val="00AB22BF"/>
    <w:rsid w:val="00AB256E"/>
    <w:rsid w:val="00AB3466"/>
    <w:rsid w:val="00AB38B2"/>
    <w:rsid w:val="00AB3BBB"/>
    <w:rsid w:val="00AB408C"/>
    <w:rsid w:val="00AB40DD"/>
    <w:rsid w:val="00AB43AF"/>
    <w:rsid w:val="00AB4E41"/>
    <w:rsid w:val="00AB5A33"/>
    <w:rsid w:val="00AB5EB1"/>
    <w:rsid w:val="00AB6003"/>
    <w:rsid w:val="00AB6344"/>
    <w:rsid w:val="00AB759A"/>
    <w:rsid w:val="00AB7B06"/>
    <w:rsid w:val="00AB7EAA"/>
    <w:rsid w:val="00AC0432"/>
    <w:rsid w:val="00AC0770"/>
    <w:rsid w:val="00AC14B4"/>
    <w:rsid w:val="00AC1683"/>
    <w:rsid w:val="00AC1D82"/>
    <w:rsid w:val="00AC2D5F"/>
    <w:rsid w:val="00AC33F2"/>
    <w:rsid w:val="00AC4094"/>
    <w:rsid w:val="00AC42B6"/>
    <w:rsid w:val="00AC4AB7"/>
    <w:rsid w:val="00AC51E0"/>
    <w:rsid w:val="00AC55E0"/>
    <w:rsid w:val="00AC6987"/>
    <w:rsid w:val="00AC6CF3"/>
    <w:rsid w:val="00AC6D24"/>
    <w:rsid w:val="00AC6D34"/>
    <w:rsid w:val="00AC6E18"/>
    <w:rsid w:val="00AC75EB"/>
    <w:rsid w:val="00AC7F64"/>
    <w:rsid w:val="00AD1065"/>
    <w:rsid w:val="00AD159E"/>
    <w:rsid w:val="00AD2AB1"/>
    <w:rsid w:val="00AD3132"/>
    <w:rsid w:val="00AD33A5"/>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E7FC0"/>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6B61"/>
    <w:rsid w:val="00AF7003"/>
    <w:rsid w:val="00AF7389"/>
    <w:rsid w:val="00AF76B7"/>
    <w:rsid w:val="00AF79DF"/>
    <w:rsid w:val="00AF7C37"/>
    <w:rsid w:val="00B00378"/>
    <w:rsid w:val="00B00D91"/>
    <w:rsid w:val="00B00E84"/>
    <w:rsid w:val="00B01DD9"/>
    <w:rsid w:val="00B01F0E"/>
    <w:rsid w:val="00B02680"/>
    <w:rsid w:val="00B02E98"/>
    <w:rsid w:val="00B02EC7"/>
    <w:rsid w:val="00B037F9"/>
    <w:rsid w:val="00B038F1"/>
    <w:rsid w:val="00B0392E"/>
    <w:rsid w:val="00B03C1B"/>
    <w:rsid w:val="00B0430C"/>
    <w:rsid w:val="00B04678"/>
    <w:rsid w:val="00B047C9"/>
    <w:rsid w:val="00B04A04"/>
    <w:rsid w:val="00B04B78"/>
    <w:rsid w:val="00B04C37"/>
    <w:rsid w:val="00B04F00"/>
    <w:rsid w:val="00B0508C"/>
    <w:rsid w:val="00B05107"/>
    <w:rsid w:val="00B05BA6"/>
    <w:rsid w:val="00B066FE"/>
    <w:rsid w:val="00B06912"/>
    <w:rsid w:val="00B06C80"/>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AF2"/>
    <w:rsid w:val="00B13EDB"/>
    <w:rsid w:val="00B141A5"/>
    <w:rsid w:val="00B14546"/>
    <w:rsid w:val="00B14F47"/>
    <w:rsid w:val="00B15282"/>
    <w:rsid w:val="00B15286"/>
    <w:rsid w:val="00B1539F"/>
    <w:rsid w:val="00B1550D"/>
    <w:rsid w:val="00B15F6C"/>
    <w:rsid w:val="00B163E8"/>
    <w:rsid w:val="00B16A6F"/>
    <w:rsid w:val="00B16B1F"/>
    <w:rsid w:val="00B1767E"/>
    <w:rsid w:val="00B20760"/>
    <w:rsid w:val="00B2125C"/>
    <w:rsid w:val="00B21676"/>
    <w:rsid w:val="00B219E1"/>
    <w:rsid w:val="00B21ECF"/>
    <w:rsid w:val="00B22150"/>
    <w:rsid w:val="00B226DE"/>
    <w:rsid w:val="00B22FB5"/>
    <w:rsid w:val="00B234ED"/>
    <w:rsid w:val="00B241D5"/>
    <w:rsid w:val="00B243C7"/>
    <w:rsid w:val="00B24BE9"/>
    <w:rsid w:val="00B2547E"/>
    <w:rsid w:val="00B2551D"/>
    <w:rsid w:val="00B25F8C"/>
    <w:rsid w:val="00B260BE"/>
    <w:rsid w:val="00B260DE"/>
    <w:rsid w:val="00B26677"/>
    <w:rsid w:val="00B26A96"/>
    <w:rsid w:val="00B26E58"/>
    <w:rsid w:val="00B26F5E"/>
    <w:rsid w:val="00B27251"/>
    <w:rsid w:val="00B274E3"/>
    <w:rsid w:val="00B2765C"/>
    <w:rsid w:val="00B27C4B"/>
    <w:rsid w:val="00B30563"/>
    <w:rsid w:val="00B3069E"/>
    <w:rsid w:val="00B30A76"/>
    <w:rsid w:val="00B31246"/>
    <w:rsid w:val="00B32295"/>
    <w:rsid w:val="00B33998"/>
    <w:rsid w:val="00B33AB5"/>
    <w:rsid w:val="00B3412E"/>
    <w:rsid w:val="00B343E0"/>
    <w:rsid w:val="00B34478"/>
    <w:rsid w:val="00B35B6D"/>
    <w:rsid w:val="00B35D53"/>
    <w:rsid w:val="00B367C4"/>
    <w:rsid w:val="00B36D3E"/>
    <w:rsid w:val="00B3774E"/>
    <w:rsid w:val="00B37B8E"/>
    <w:rsid w:val="00B37C34"/>
    <w:rsid w:val="00B40222"/>
    <w:rsid w:val="00B404C3"/>
    <w:rsid w:val="00B4160A"/>
    <w:rsid w:val="00B41618"/>
    <w:rsid w:val="00B41A04"/>
    <w:rsid w:val="00B42743"/>
    <w:rsid w:val="00B430E9"/>
    <w:rsid w:val="00B4311F"/>
    <w:rsid w:val="00B431AE"/>
    <w:rsid w:val="00B43A43"/>
    <w:rsid w:val="00B44288"/>
    <w:rsid w:val="00B448BF"/>
    <w:rsid w:val="00B45A59"/>
    <w:rsid w:val="00B45F9F"/>
    <w:rsid w:val="00B4627C"/>
    <w:rsid w:val="00B4641F"/>
    <w:rsid w:val="00B4651A"/>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4E1"/>
    <w:rsid w:val="00B53623"/>
    <w:rsid w:val="00B53D1D"/>
    <w:rsid w:val="00B53E98"/>
    <w:rsid w:val="00B53F9B"/>
    <w:rsid w:val="00B54B19"/>
    <w:rsid w:val="00B55F64"/>
    <w:rsid w:val="00B56007"/>
    <w:rsid w:val="00B561D7"/>
    <w:rsid w:val="00B56CE0"/>
    <w:rsid w:val="00B56ECA"/>
    <w:rsid w:val="00B56EF6"/>
    <w:rsid w:val="00B57093"/>
    <w:rsid w:val="00B57B5D"/>
    <w:rsid w:val="00B60613"/>
    <w:rsid w:val="00B60BE6"/>
    <w:rsid w:val="00B61AEC"/>
    <w:rsid w:val="00B6244C"/>
    <w:rsid w:val="00B62774"/>
    <w:rsid w:val="00B62A2F"/>
    <w:rsid w:val="00B62B7B"/>
    <w:rsid w:val="00B62D3F"/>
    <w:rsid w:val="00B62F0A"/>
    <w:rsid w:val="00B63484"/>
    <w:rsid w:val="00B634B7"/>
    <w:rsid w:val="00B634F1"/>
    <w:rsid w:val="00B637EF"/>
    <w:rsid w:val="00B63EF6"/>
    <w:rsid w:val="00B6440A"/>
    <w:rsid w:val="00B65788"/>
    <w:rsid w:val="00B65844"/>
    <w:rsid w:val="00B66054"/>
    <w:rsid w:val="00B66563"/>
    <w:rsid w:val="00B6677F"/>
    <w:rsid w:val="00B66950"/>
    <w:rsid w:val="00B66A19"/>
    <w:rsid w:val="00B66C7A"/>
    <w:rsid w:val="00B66D0C"/>
    <w:rsid w:val="00B672EA"/>
    <w:rsid w:val="00B6747B"/>
    <w:rsid w:val="00B70200"/>
    <w:rsid w:val="00B702D7"/>
    <w:rsid w:val="00B70389"/>
    <w:rsid w:val="00B70E01"/>
    <w:rsid w:val="00B713F0"/>
    <w:rsid w:val="00B7191B"/>
    <w:rsid w:val="00B71973"/>
    <w:rsid w:val="00B72A0B"/>
    <w:rsid w:val="00B72CF0"/>
    <w:rsid w:val="00B7380E"/>
    <w:rsid w:val="00B740F6"/>
    <w:rsid w:val="00B74615"/>
    <w:rsid w:val="00B7474B"/>
    <w:rsid w:val="00B74789"/>
    <w:rsid w:val="00B75408"/>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21"/>
    <w:rsid w:val="00B81742"/>
    <w:rsid w:val="00B817B5"/>
    <w:rsid w:val="00B81BC5"/>
    <w:rsid w:val="00B823A6"/>
    <w:rsid w:val="00B829C4"/>
    <w:rsid w:val="00B83295"/>
    <w:rsid w:val="00B83E76"/>
    <w:rsid w:val="00B83FA0"/>
    <w:rsid w:val="00B84156"/>
    <w:rsid w:val="00B841D5"/>
    <w:rsid w:val="00B846E6"/>
    <w:rsid w:val="00B847E5"/>
    <w:rsid w:val="00B8537B"/>
    <w:rsid w:val="00B85586"/>
    <w:rsid w:val="00B859FB"/>
    <w:rsid w:val="00B86289"/>
    <w:rsid w:val="00B863B3"/>
    <w:rsid w:val="00B869D3"/>
    <w:rsid w:val="00B86CF8"/>
    <w:rsid w:val="00B86E44"/>
    <w:rsid w:val="00B87359"/>
    <w:rsid w:val="00B87C2A"/>
    <w:rsid w:val="00B87F1C"/>
    <w:rsid w:val="00B9002A"/>
    <w:rsid w:val="00B90D8D"/>
    <w:rsid w:val="00B91263"/>
    <w:rsid w:val="00B91B61"/>
    <w:rsid w:val="00B92E6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CD7"/>
    <w:rsid w:val="00BA0016"/>
    <w:rsid w:val="00BA050E"/>
    <w:rsid w:val="00BA1289"/>
    <w:rsid w:val="00BA14B2"/>
    <w:rsid w:val="00BA15DC"/>
    <w:rsid w:val="00BA1E2F"/>
    <w:rsid w:val="00BA1EB8"/>
    <w:rsid w:val="00BA2907"/>
    <w:rsid w:val="00BA2C82"/>
    <w:rsid w:val="00BA2FB2"/>
    <w:rsid w:val="00BA308C"/>
    <w:rsid w:val="00BA3532"/>
    <w:rsid w:val="00BA3869"/>
    <w:rsid w:val="00BA39EB"/>
    <w:rsid w:val="00BA4399"/>
    <w:rsid w:val="00BA4452"/>
    <w:rsid w:val="00BA46C6"/>
    <w:rsid w:val="00BA4ACF"/>
    <w:rsid w:val="00BA5039"/>
    <w:rsid w:val="00BA5800"/>
    <w:rsid w:val="00BA583B"/>
    <w:rsid w:val="00BA5DF2"/>
    <w:rsid w:val="00BA5EC7"/>
    <w:rsid w:val="00BA6319"/>
    <w:rsid w:val="00BA63CE"/>
    <w:rsid w:val="00BA65FC"/>
    <w:rsid w:val="00BA676E"/>
    <w:rsid w:val="00BA6980"/>
    <w:rsid w:val="00BA6E22"/>
    <w:rsid w:val="00BA6EF2"/>
    <w:rsid w:val="00BA7227"/>
    <w:rsid w:val="00BA763C"/>
    <w:rsid w:val="00BA784D"/>
    <w:rsid w:val="00BA7CD7"/>
    <w:rsid w:val="00BB00E5"/>
    <w:rsid w:val="00BB1688"/>
    <w:rsid w:val="00BB1EFB"/>
    <w:rsid w:val="00BB269F"/>
    <w:rsid w:val="00BB270D"/>
    <w:rsid w:val="00BB27CC"/>
    <w:rsid w:val="00BB2ACE"/>
    <w:rsid w:val="00BB2E4E"/>
    <w:rsid w:val="00BB2E62"/>
    <w:rsid w:val="00BB36C9"/>
    <w:rsid w:val="00BB3A66"/>
    <w:rsid w:val="00BB40D1"/>
    <w:rsid w:val="00BB610B"/>
    <w:rsid w:val="00BB777D"/>
    <w:rsid w:val="00BB7EC0"/>
    <w:rsid w:val="00BB7F88"/>
    <w:rsid w:val="00BC0207"/>
    <w:rsid w:val="00BC072C"/>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8B3"/>
    <w:rsid w:val="00BD1BDD"/>
    <w:rsid w:val="00BD1D7D"/>
    <w:rsid w:val="00BD1E27"/>
    <w:rsid w:val="00BD2B4D"/>
    <w:rsid w:val="00BD2EF3"/>
    <w:rsid w:val="00BD2F08"/>
    <w:rsid w:val="00BD2FB9"/>
    <w:rsid w:val="00BD31C2"/>
    <w:rsid w:val="00BD3683"/>
    <w:rsid w:val="00BD376F"/>
    <w:rsid w:val="00BD450A"/>
    <w:rsid w:val="00BD4717"/>
    <w:rsid w:val="00BD48EA"/>
    <w:rsid w:val="00BD4BA8"/>
    <w:rsid w:val="00BD5624"/>
    <w:rsid w:val="00BD62E6"/>
    <w:rsid w:val="00BD6B0E"/>
    <w:rsid w:val="00BD734D"/>
    <w:rsid w:val="00BD7532"/>
    <w:rsid w:val="00BD7941"/>
    <w:rsid w:val="00BD7B19"/>
    <w:rsid w:val="00BE0591"/>
    <w:rsid w:val="00BE0C55"/>
    <w:rsid w:val="00BE0F03"/>
    <w:rsid w:val="00BE11A2"/>
    <w:rsid w:val="00BE1501"/>
    <w:rsid w:val="00BE1EF0"/>
    <w:rsid w:val="00BE246C"/>
    <w:rsid w:val="00BE2657"/>
    <w:rsid w:val="00BE2FD2"/>
    <w:rsid w:val="00BE3473"/>
    <w:rsid w:val="00BE377A"/>
    <w:rsid w:val="00BE37AE"/>
    <w:rsid w:val="00BE3B14"/>
    <w:rsid w:val="00BE3C65"/>
    <w:rsid w:val="00BE4222"/>
    <w:rsid w:val="00BE452F"/>
    <w:rsid w:val="00BE472D"/>
    <w:rsid w:val="00BE4C03"/>
    <w:rsid w:val="00BE4C13"/>
    <w:rsid w:val="00BE593E"/>
    <w:rsid w:val="00BE5A35"/>
    <w:rsid w:val="00BE5C04"/>
    <w:rsid w:val="00BE7D6A"/>
    <w:rsid w:val="00BE7F4D"/>
    <w:rsid w:val="00BF02CD"/>
    <w:rsid w:val="00BF03C0"/>
    <w:rsid w:val="00BF0EBF"/>
    <w:rsid w:val="00BF1534"/>
    <w:rsid w:val="00BF153D"/>
    <w:rsid w:val="00BF1CB7"/>
    <w:rsid w:val="00BF2021"/>
    <w:rsid w:val="00BF21D4"/>
    <w:rsid w:val="00BF2829"/>
    <w:rsid w:val="00BF2DDC"/>
    <w:rsid w:val="00BF313C"/>
    <w:rsid w:val="00BF32DE"/>
    <w:rsid w:val="00BF4A15"/>
    <w:rsid w:val="00BF4E0E"/>
    <w:rsid w:val="00BF4E27"/>
    <w:rsid w:val="00BF4F7C"/>
    <w:rsid w:val="00BF537B"/>
    <w:rsid w:val="00BF55FF"/>
    <w:rsid w:val="00BF5901"/>
    <w:rsid w:val="00BF626A"/>
    <w:rsid w:val="00BF688E"/>
    <w:rsid w:val="00BF6D77"/>
    <w:rsid w:val="00BF704C"/>
    <w:rsid w:val="00BF70C8"/>
    <w:rsid w:val="00BF739A"/>
    <w:rsid w:val="00BF7E79"/>
    <w:rsid w:val="00BF7EF5"/>
    <w:rsid w:val="00C00358"/>
    <w:rsid w:val="00C00BF6"/>
    <w:rsid w:val="00C01146"/>
    <w:rsid w:val="00C0234A"/>
    <w:rsid w:val="00C0247B"/>
    <w:rsid w:val="00C0363A"/>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6EA"/>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402"/>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99B"/>
    <w:rsid w:val="00C24C2E"/>
    <w:rsid w:val="00C24C7A"/>
    <w:rsid w:val="00C24FFB"/>
    <w:rsid w:val="00C25CFF"/>
    <w:rsid w:val="00C25D94"/>
    <w:rsid w:val="00C25EA6"/>
    <w:rsid w:val="00C26164"/>
    <w:rsid w:val="00C261C1"/>
    <w:rsid w:val="00C26540"/>
    <w:rsid w:val="00C26574"/>
    <w:rsid w:val="00C26A27"/>
    <w:rsid w:val="00C26DBF"/>
    <w:rsid w:val="00C27199"/>
    <w:rsid w:val="00C27204"/>
    <w:rsid w:val="00C30021"/>
    <w:rsid w:val="00C304E9"/>
    <w:rsid w:val="00C30B0B"/>
    <w:rsid w:val="00C31214"/>
    <w:rsid w:val="00C31320"/>
    <w:rsid w:val="00C3158F"/>
    <w:rsid w:val="00C316B4"/>
    <w:rsid w:val="00C32A9B"/>
    <w:rsid w:val="00C32F03"/>
    <w:rsid w:val="00C332D4"/>
    <w:rsid w:val="00C33514"/>
    <w:rsid w:val="00C33A66"/>
    <w:rsid w:val="00C33E51"/>
    <w:rsid w:val="00C34C45"/>
    <w:rsid w:val="00C34C47"/>
    <w:rsid w:val="00C34FCE"/>
    <w:rsid w:val="00C34FF6"/>
    <w:rsid w:val="00C35411"/>
    <w:rsid w:val="00C35EED"/>
    <w:rsid w:val="00C36B2C"/>
    <w:rsid w:val="00C3701A"/>
    <w:rsid w:val="00C379EF"/>
    <w:rsid w:val="00C379F5"/>
    <w:rsid w:val="00C405C8"/>
    <w:rsid w:val="00C40C2F"/>
    <w:rsid w:val="00C415AC"/>
    <w:rsid w:val="00C428B6"/>
    <w:rsid w:val="00C4297A"/>
    <w:rsid w:val="00C4360C"/>
    <w:rsid w:val="00C439B8"/>
    <w:rsid w:val="00C43A0B"/>
    <w:rsid w:val="00C43EDA"/>
    <w:rsid w:val="00C43FEC"/>
    <w:rsid w:val="00C4414C"/>
    <w:rsid w:val="00C443D0"/>
    <w:rsid w:val="00C45512"/>
    <w:rsid w:val="00C4602B"/>
    <w:rsid w:val="00C46564"/>
    <w:rsid w:val="00C46BB5"/>
    <w:rsid w:val="00C46BFA"/>
    <w:rsid w:val="00C46DDF"/>
    <w:rsid w:val="00C500A1"/>
    <w:rsid w:val="00C50A02"/>
    <w:rsid w:val="00C51149"/>
    <w:rsid w:val="00C5117E"/>
    <w:rsid w:val="00C512D1"/>
    <w:rsid w:val="00C51856"/>
    <w:rsid w:val="00C51B04"/>
    <w:rsid w:val="00C51DB5"/>
    <w:rsid w:val="00C52959"/>
    <w:rsid w:val="00C53CE9"/>
    <w:rsid w:val="00C5531B"/>
    <w:rsid w:val="00C55375"/>
    <w:rsid w:val="00C5570F"/>
    <w:rsid w:val="00C56C98"/>
    <w:rsid w:val="00C56DE1"/>
    <w:rsid w:val="00C56DEE"/>
    <w:rsid w:val="00C5710A"/>
    <w:rsid w:val="00C57120"/>
    <w:rsid w:val="00C571D5"/>
    <w:rsid w:val="00C575D4"/>
    <w:rsid w:val="00C57E37"/>
    <w:rsid w:val="00C61223"/>
    <w:rsid w:val="00C61246"/>
    <w:rsid w:val="00C618A8"/>
    <w:rsid w:val="00C61A78"/>
    <w:rsid w:val="00C621E1"/>
    <w:rsid w:val="00C62929"/>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C4F"/>
    <w:rsid w:val="00C70718"/>
    <w:rsid w:val="00C70B25"/>
    <w:rsid w:val="00C713E1"/>
    <w:rsid w:val="00C71528"/>
    <w:rsid w:val="00C717E4"/>
    <w:rsid w:val="00C7191B"/>
    <w:rsid w:val="00C71F09"/>
    <w:rsid w:val="00C72443"/>
    <w:rsid w:val="00C72588"/>
    <w:rsid w:val="00C727B9"/>
    <w:rsid w:val="00C72F44"/>
    <w:rsid w:val="00C73670"/>
    <w:rsid w:val="00C737D1"/>
    <w:rsid w:val="00C738A0"/>
    <w:rsid w:val="00C73DE0"/>
    <w:rsid w:val="00C74609"/>
    <w:rsid w:val="00C749AB"/>
    <w:rsid w:val="00C757BF"/>
    <w:rsid w:val="00C75A8F"/>
    <w:rsid w:val="00C76129"/>
    <w:rsid w:val="00C76C0C"/>
    <w:rsid w:val="00C76FFC"/>
    <w:rsid w:val="00C774E0"/>
    <w:rsid w:val="00C77526"/>
    <w:rsid w:val="00C776BA"/>
    <w:rsid w:val="00C7791E"/>
    <w:rsid w:val="00C80994"/>
    <w:rsid w:val="00C81716"/>
    <w:rsid w:val="00C82BD2"/>
    <w:rsid w:val="00C832CB"/>
    <w:rsid w:val="00C83C1C"/>
    <w:rsid w:val="00C84085"/>
    <w:rsid w:val="00C852DC"/>
    <w:rsid w:val="00C854A8"/>
    <w:rsid w:val="00C85677"/>
    <w:rsid w:val="00C85E17"/>
    <w:rsid w:val="00C85F6A"/>
    <w:rsid w:val="00C861FF"/>
    <w:rsid w:val="00C868A7"/>
    <w:rsid w:val="00C86ABA"/>
    <w:rsid w:val="00C86BF7"/>
    <w:rsid w:val="00C87164"/>
    <w:rsid w:val="00C8786A"/>
    <w:rsid w:val="00C87BBA"/>
    <w:rsid w:val="00C87BD0"/>
    <w:rsid w:val="00C90492"/>
    <w:rsid w:val="00C905E5"/>
    <w:rsid w:val="00C90754"/>
    <w:rsid w:val="00C908A1"/>
    <w:rsid w:val="00C90B95"/>
    <w:rsid w:val="00C90BC4"/>
    <w:rsid w:val="00C90CA9"/>
    <w:rsid w:val="00C91802"/>
    <w:rsid w:val="00C91F6F"/>
    <w:rsid w:val="00C92E41"/>
    <w:rsid w:val="00C92F62"/>
    <w:rsid w:val="00C93097"/>
    <w:rsid w:val="00C93B40"/>
    <w:rsid w:val="00C93DB5"/>
    <w:rsid w:val="00C94CB9"/>
    <w:rsid w:val="00C95853"/>
    <w:rsid w:val="00C95C2F"/>
    <w:rsid w:val="00C95F87"/>
    <w:rsid w:val="00C96035"/>
    <w:rsid w:val="00C960DB"/>
    <w:rsid w:val="00C968EF"/>
    <w:rsid w:val="00C972CE"/>
    <w:rsid w:val="00CA0492"/>
    <w:rsid w:val="00CA05B0"/>
    <w:rsid w:val="00CA0632"/>
    <w:rsid w:val="00CA0A04"/>
    <w:rsid w:val="00CA2528"/>
    <w:rsid w:val="00CA33D8"/>
    <w:rsid w:val="00CA3CAB"/>
    <w:rsid w:val="00CA3FC0"/>
    <w:rsid w:val="00CA5685"/>
    <w:rsid w:val="00CA634A"/>
    <w:rsid w:val="00CA6A2E"/>
    <w:rsid w:val="00CA6B56"/>
    <w:rsid w:val="00CA6C0E"/>
    <w:rsid w:val="00CA7D3E"/>
    <w:rsid w:val="00CB0317"/>
    <w:rsid w:val="00CB0662"/>
    <w:rsid w:val="00CB0A82"/>
    <w:rsid w:val="00CB0F2F"/>
    <w:rsid w:val="00CB0F76"/>
    <w:rsid w:val="00CB10EA"/>
    <w:rsid w:val="00CB1556"/>
    <w:rsid w:val="00CB2913"/>
    <w:rsid w:val="00CB3970"/>
    <w:rsid w:val="00CB4234"/>
    <w:rsid w:val="00CB42B9"/>
    <w:rsid w:val="00CB4550"/>
    <w:rsid w:val="00CB4F39"/>
    <w:rsid w:val="00CB52A4"/>
    <w:rsid w:val="00CB537C"/>
    <w:rsid w:val="00CB5A26"/>
    <w:rsid w:val="00CB645B"/>
    <w:rsid w:val="00CB681E"/>
    <w:rsid w:val="00CB6A93"/>
    <w:rsid w:val="00CB6C79"/>
    <w:rsid w:val="00CB6F2E"/>
    <w:rsid w:val="00CB77C3"/>
    <w:rsid w:val="00CB7E9C"/>
    <w:rsid w:val="00CC0072"/>
    <w:rsid w:val="00CC027A"/>
    <w:rsid w:val="00CC0915"/>
    <w:rsid w:val="00CC0FBD"/>
    <w:rsid w:val="00CC1398"/>
    <w:rsid w:val="00CC1AF5"/>
    <w:rsid w:val="00CC1B74"/>
    <w:rsid w:val="00CC291E"/>
    <w:rsid w:val="00CC2D03"/>
    <w:rsid w:val="00CC2EB0"/>
    <w:rsid w:val="00CC40EC"/>
    <w:rsid w:val="00CC4701"/>
    <w:rsid w:val="00CC56B4"/>
    <w:rsid w:val="00CC5F95"/>
    <w:rsid w:val="00CC642A"/>
    <w:rsid w:val="00CC6AC7"/>
    <w:rsid w:val="00CC733D"/>
    <w:rsid w:val="00CC7617"/>
    <w:rsid w:val="00CC7E0D"/>
    <w:rsid w:val="00CC7E97"/>
    <w:rsid w:val="00CD00EB"/>
    <w:rsid w:val="00CD1255"/>
    <w:rsid w:val="00CD1343"/>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3AB"/>
    <w:rsid w:val="00CE0697"/>
    <w:rsid w:val="00CE0CA0"/>
    <w:rsid w:val="00CE14CB"/>
    <w:rsid w:val="00CE20E0"/>
    <w:rsid w:val="00CE2E2E"/>
    <w:rsid w:val="00CE3A51"/>
    <w:rsid w:val="00CE41F9"/>
    <w:rsid w:val="00CE4E0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545"/>
    <w:rsid w:val="00CF3AD3"/>
    <w:rsid w:val="00CF3D9D"/>
    <w:rsid w:val="00CF475F"/>
    <w:rsid w:val="00CF5008"/>
    <w:rsid w:val="00CF5069"/>
    <w:rsid w:val="00CF59BF"/>
    <w:rsid w:val="00CF5E34"/>
    <w:rsid w:val="00CF6025"/>
    <w:rsid w:val="00CF6707"/>
    <w:rsid w:val="00CF7101"/>
    <w:rsid w:val="00CF72DA"/>
    <w:rsid w:val="00CF7327"/>
    <w:rsid w:val="00CF7385"/>
    <w:rsid w:val="00CF7539"/>
    <w:rsid w:val="00CF75C6"/>
    <w:rsid w:val="00CF7B77"/>
    <w:rsid w:val="00CF7DF5"/>
    <w:rsid w:val="00D001D2"/>
    <w:rsid w:val="00D02A80"/>
    <w:rsid w:val="00D0352D"/>
    <w:rsid w:val="00D038B7"/>
    <w:rsid w:val="00D038DC"/>
    <w:rsid w:val="00D04658"/>
    <w:rsid w:val="00D04DBF"/>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4F5"/>
    <w:rsid w:val="00D11FE3"/>
    <w:rsid w:val="00D12393"/>
    <w:rsid w:val="00D12945"/>
    <w:rsid w:val="00D12CC0"/>
    <w:rsid w:val="00D12DA1"/>
    <w:rsid w:val="00D130C0"/>
    <w:rsid w:val="00D1343A"/>
    <w:rsid w:val="00D13D50"/>
    <w:rsid w:val="00D14101"/>
    <w:rsid w:val="00D144D8"/>
    <w:rsid w:val="00D14919"/>
    <w:rsid w:val="00D14E25"/>
    <w:rsid w:val="00D14F8A"/>
    <w:rsid w:val="00D15470"/>
    <w:rsid w:val="00D15AE3"/>
    <w:rsid w:val="00D160C4"/>
    <w:rsid w:val="00D165D8"/>
    <w:rsid w:val="00D16B61"/>
    <w:rsid w:val="00D1724E"/>
    <w:rsid w:val="00D17C26"/>
    <w:rsid w:val="00D17E08"/>
    <w:rsid w:val="00D206F6"/>
    <w:rsid w:val="00D20FD1"/>
    <w:rsid w:val="00D214D4"/>
    <w:rsid w:val="00D21AAA"/>
    <w:rsid w:val="00D21E6F"/>
    <w:rsid w:val="00D2218A"/>
    <w:rsid w:val="00D22B13"/>
    <w:rsid w:val="00D2371E"/>
    <w:rsid w:val="00D237E0"/>
    <w:rsid w:val="00D23A17"/>
    <w:rsid w:val="00D24343"/>
    <w:rsid w:val="00D24DFC"/>
    <w:rsid w:val="00D251CB"/>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EEE"/>
    <w:rsid w:val="00D32FA0"/>
    <w:rsid w:val="00D33112"/>
    <w:rsid w:val="00D331CB"/>
    <w:rsid w:val="00D33DAA"/>
    <w:rsid w:val="00D3497A"/>
    <w:rsid w:val="00D34EBC"/>
    <w:rsid w:val="00D35F2F"/>
    <w:rsid w:val="00D35FC6"/>
    <w:rsid w:val="00D36BB8"/>
    <w:rsid w:val="00D377D1"/>
    <w:rsid w:val="00D377D4"/>
    <w:rsid w:val="00D401A1"/>
    <w:rsid w:val="00D40217"/>
    <w:rsid w:val="00D40385"/>
    <w:rsid w:val="00D404CE"/>
    <w:rsid w:val="00D40E8F"/>
    <w:rsid w:val="00D412BF"/>
    <w:rsid w:val="00D417C6"/>
    <w:rsid w:val="00D417D0"/>
    <w:rsid w:val="00D41DA9"/>
    <w:rsid w:val="00D42B0C"/>
    <w:rsid w:val="00D42D6E"/>
    <w:rsid w:val="00D42F28"/>
    <w:rsid w:val="00D43DEF"/>
    <w:rsid w:val="00D44259"/>
    <w:rsid w:val="00D45C61"/>
    <w:rsid w:val="00D45DDC"/>
    <w:rsid w:val="00D479B3"/>
    <w:rsid w:val="00D5064C"/>
    <w:rsid w:val="00D50C94"/>
    <w:rsid w:val="00D511E7"/>
    <w:rsid w:val="00D517ED"/>
    <w:rsid w:val="00D52490"/>
    <w:rsid w:val="00D5251C"/>
    <w:rsid w:val="00D52F56"/>
    <w:rsid w:val="00D539DA"/>
    <w:rsid w:val="00D53B3E"/>
    <w:rsid w:val="00D53C58"/>
    <w:rsid w:val="00D53EC6"/>
    <w:rsid w:val="00D54A50"/>
    <w:rsid w:val="00D54FFD"/>
    <w:rsid w:val="00D5552C"/>
    <w:rsid w:val="00D5556D"/>
    <w:rsid w:val="00D55C34"/>
    <w:rsid w:val="00D55C81"/>
    <w:rsid w:val="00D5674B"/>
    <w:rsid w:val="00D56B56"/>
    <w:rsid w:val="00D56BF5"/>
    <w:rsid w:val="00D56F99"/>
    <w:rsid w:val="00D5743F"/>
    <w:rsid w:val="00D5768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5EA1"/>
    <w:rsid w:val="00D6611C"/>
    <w:rsid w:val="00D66D1F"/>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A76"/>
    <w:rsid w:val="00D774F4"/>
    <w:rsid w:val="00D77687"/>
    <w:rsid w:val="00D778A1"/>
    <w:rsid w:val="00D77AF6"/>
    <w:rsid w:val="00D80138"/>
    <w:rsid w:val="00D804C5"/>
    <w:rsid w:val="00D815E6"/>
    <w:rsid w:val="00D81A28"/>
    <w:rsid w:val="00D81BDE"/>
    <w:rsid w:val="00D8201D"/>
    <w:rsid w:val="00D82531"/>
    <w:rsid w:val="00D82B00"/>
    <w:rsid w:val="00D82B04"/>
    <w:rsid w:val="00D82BE4"/>
    <w:rsid w:val="00D82E05"/>
    <w:rsid w:val="00D83C0D"/>
    <w:rsid w:val="00D83C80"/>
    <w:rsid w:val="00D83F5B"/>
    <w:rsid w:val="00D8426A"/>
    <w:rsid w:val="00D84327"/>
    <w:rsid w:val="00D84922"/>
    <w:rsid w:val="00D85FDE"/>
    <w:rsid w:val="00D864AD"/>
    <w:rsid w:val="00D8665E"/>
    <w:rsid w:val="00D869C1"/>
    <w:rsid w:val="00D86CA9"/>
    <w:rsid w:val="00D86EC6"/>
    <w:rsid w:val="00D87418"/>
    <w:rsid w:val="00D87A39"/>
    <w:rsid w:val="00D87D32"/>
    <w:rsid w:val="00D87FE6"/>
    <w:rsid w:val="00D90830"/>
    <w:rsid w:val="00D90BC3"/>
    <w:rsid w:val="00D90C93"/>
    <w:rsid w:val="00D90DB9"/>
    <w:rsid w:val="00D91001"/>
    <w:rsid w:val="00D910FF"/>
    <w:rsid w:val="00D912F4"/>
    <w:rsid w:val="00D91337"/>
    <w:rsid w:val="00D915C9"/>
    <w:rsid w:val="00D916C2"/>
    <w:rsid w:val="00D918DA"/>
    <w:rsid w:val="00D9198F"/>
    <w:rsid w:val="00D92078"/>
    <w:rsid w:val="00D926F0"/>
    <w:rsid w:val="00D9274D"/>
    <w:rsid w:val="00D92A87"/>
    <w:rsid w:val="00D9319F"/>
    <w:rsid w:val="00D933E9"/>
    <w:rsid w:val="00D9384E"/>
    <w:rsid w:val="00D93AEE"/>
    <w:rsid w:val="00D93E95"/>
    <w:rsid w:val="00D9413E"/>
    <w:rsid w:val="00D94C8D"/>
    <w:rsid w:val="00D95F88"/>
    <w:rsid w:val="00D96698"/>
    <w:rsid w:val="00D96876"/>
    <w:rsid w:val="00D96940"/>
    <w:rsid w:val="00D96B12"/>
    <w:rsid w:val="00D96F59"/>
    <w:rsid w:val="00D9737A"/>
    <w:rsid w:val="00DA0175"/>
    <w:rsid w:val="00DA099C"/>
    <w:rsid w:val="00DA0F18"/>
    <w:rsid w:val="00DA1959"/>
    <w:rsid w:val="00DA2125"/>
    <w:rsid w:val="00DA21EC"/>
    <w:rsid w:val="00DA245B"/>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D77"/>
    <w:rsid w:val="00DB4F12"/>
    <w:rsid w:val="00DB4F21"/>
    <w:rsid w:val="00DB4F42"/>
    <w:rsid w:val="00DB540C"/>
    <w:rsid w:val="00DB5854"/>
    <w:rsid w:val="00DB6F96"/>
    <w:rsid w:val="00DB71B9"/>
    <w:rsid w:val="00DB7662"/>
    <w:rsid w:val="00DB7DEF"/>
    <w:rsid w:val="00DB7E46"/>
    <w:rsid w:val="00DC063C"/>
    <w:rsid w:val="00DC1395"/>
    <w:rsid w:val="00DC1B92"/>
    <w:rsid w:val="00DC32FC"/>
    <w:rsid w:val="00DC347D"/>
    <w:rsid w:val="00DC3D53"/>
    <w:rsid w:val="00DC3D89"/>
    <w:rsid w:val="00DC4567"/>
    <w:rsid w:val="00DC4D6C"/>
    <w:rsid w:val="00DC4F47"/>
    <w:rsid w:val="00DC5059"/>
    <w:rsid w:val="00DC5860"/>
    <w:rsid w:val="00DC5BD0"/>
    <w:rsid w:val="00DC5BE2"/>
    <w:rsid w:val="00DC5D92"/>
    <w:rsid w:val="00DC6284"/>
    <w:rsid w:val="00DC628E"/>
    <w:rsid w:val="00DC6747"/>
    <w:rsid w:val="00DC6AF3"/>
    <w:rsid w:val="00DC7608"/>
    <w:rsid w:val="00DC761E"/>
    <w:rsid w:val="00DC7B3B"/>
    <w:rsid w:val="00DC7B9B"/>
    <w:rsid w:val="00DC7CFC"/>
    <w:rsid w:val="00DC7F1D"/>
    <w:rsid w:val="00DD0273"/>
    <w:rsid w:val="00DD0359"/>
    <w:rsid w:val="00DD06ED"/>
    <w:rsid w:val="00DD09F2"/>
    <w:rsid w:val="00DD0DEE"/>
    <w:rsid w:val="00DD1205"/>
    <w:rsid w:val="00DD1633"/>
    <w:rsid w:val="00DD17A0"/>
    <w:rsid w:val="00DD1B97"/>
    <w:rsid w:val="00DD2182"/>
    <w:rsid w:val="00DD2831"/>
    <w:rsid w:val="00DD2A6D"/>
    <w:rsid w:val="00DD2E17"/>
    <w:rsid w:val="00DD42DE"/>
    <w:rsid w:val="00DD4309"/>
    <w:rsid w:val="00DD4344"/>
    <w:rsid w:val="00DD4357"/>
    <w:rsid w:val="00DD4DDD"/>
    <w:rsid w:val="00DD549E"/>
    <w:rsid w:val="00DD573B"/>
    <w:rsid w:val="00DD57E7"/>
    <w:rsid w:val="00DD5A1E"/>
    <w:rsid w:val="00DD5B8C"/>
    <w:rsid w:val="00DD5DFA"/>
    <w:rsid w:val="00DD5E91"/>
    <w:rsid w:val="00DD6CE2"/>
    <w:rsid w:val="00DD720D"/>
    <w:rsid w:val="00DE0229"/>
    <w:rsid w:val="00DE0264"/>
    <w:rsid w:val="00DE04E0"/>
    <w:rsid w:val="00DE12F1"/>
    <w:rsid w:val="00DE1A9D"/>
    <w:rsid w:val="00DE1CB1"/>
    <w:rsid w:val="00DE1EA4"/>
    <w:rsid w:val="00DE2073"/>
    <w:rsid w:val="00DE2F10"/>
    <w:rsid w:val="00DE2F85"/>
    <w:rsid w:val="00DE30AC"/>
    <w:rsid w:val="00DE38D1"/>
    <w:rsid w:val="00DE4106"/>
    <w:rsid w:val="00DE466B"/>
    <w:rsid w:val="00DE48F4"/>
    <w:rsid w:val="00DE493B"/>
    <w:rsid w:val="00DE5563"/>
    <w:rsid w:val="00DE5C19"/>
    <w:rsid w:val="00DE5D48"/>
    <w:rsid w:val="00DE6157"/>
    <w:rsid w:val="00DE6E4D"/>
    <w:rsid w:val="00DE7498"/>
    <w:rsid w:val="00DE75EF"/>
    <w:rsid w:val="00DE7611"/>
    <w:rsid w:val="00DE7614"/>
    <w:rsid w:val="00DE7D19"/>
    <w:rsid w:val="00DF05A0"/>
    <w:rsid w:val="00DF1162"/>
    <w:rsid w:val="00DF1BA8"/>
    <w:rsid w:val="00DF1F63"/>
    <w:rsid w:val="00DF28F2"/>
    <w:rsid w:val="00DF2BFF"/>
    <w:rsid w:val="00DF30F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3C60"/>
    <w:rsid w:val="00E0479F"/>
    <w:rsid w:val="00E04816"/>
    <w:rsid w:val="00E04982"/>
    <w:rsid w:val="00E04D6A"/>
    <w:rsid w:val="00E058DB"/>
    <w:rsid w:val="00E05950"/>
    <w:rsid w:val="00E05CD4"/>
    <w:rsid w:val="00E05DE8"/>
    <w:rsid w:val="00E06100"/>
    <w:rsid w:val="00E0614E"/>
    <w:rsid w:val="00E0692E"/>
    <w:rsid w:val="00E06E97"/>
    <w:rsid w:val="00E07B8F"/>
    <w:rsid w:val="00E102A6"/>
    <w:rsid w:val="00E10712"/>
    <w:rsid w:val="00E10DD1"/>
    <w:rsid w:val="00E11105"/>
    <w:rsid w:val="00E1148A"/>
    <w:rsid w:val="00E1224C"/>
    <w:rsid w:val="00E1254C"/>
    <w:rsid w:val="00E1298C"/>
    <w:rsid w:val="00E12BDF"/>
    <w:rsid w:val="00E131D8"/>
    <w:rsid w:val="00E13326"/>
    <w:rsid w:val="00E13D07"/>
    <w:rsid w:val="00E14346"/>
    <w:rsid w:val="00E14356"/>
    <w:rsid w:val="00E14961"/>
    <w:rsid w:val="00E14D76"/>
    <w:rsid w:val="00E15183"/>
    <w:rsid w:val="00E15D6C"/>
    <w:rsid w:val="00E1720B"/>
    <w:rsid w:val="00E20057"/>
    <w:rsid w:val="00E203DE"/>
    <w:rsid w:val="00E2096D"/>
    <w:rsid w:val="00E20CE7"/>
    <w:rsid w:val="00E217B1"/>
    <w:rsid w:val="00E222FA"/>
    <w:rsid w:val="00E229CE"/>
    <w:rsid w:val="00E22B4A"/>
    <w:rsid w:val="00E2376D"/>
    <w:rsid w:val="00E2449B"/>
    <w:rsid w:val="00E24A62"/>
    <w:rsid w:val="00E24E3B"/>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7B5"/>
    <w:rsid w:val="00E327EB"/>
    <w:rsid w:val="00E33328"/>
    <w:rsid w:val="00E333D5"/>
    <w:rsid w:val="00E333E8"/>
    <w:rsid w:val="00E3394F"/>
    <w:rsid w:val="00E33A0B"/>
    <w:rsid w:val="00E34037"/>
    <w:rsid w:val="00E34A2F"/>
    <w:rsid w:val="00E355CA"/>
    <w:rsid w:val="00E35A45"/>
    <w:rsid w:val="00E35F7F"/>
    <w:rsid w:val="00E36392"/>
    <w:rsid w:val="00E36790"/>
    <w:rsid w:val="00E36B32"/>
    <w:rsid w:val="00E37A6F"/>
    <w:rsid w:val="00E37A9C"/>
    <w:rsid w:val="00E40222"/>
    <w:rsid w:val="00E40406"/>
    <w:rsid w:val="00E4082B"/>
    <w:rsid w:val="00E40835"/>
    <w:rsid w:val="00E408EC"/>
    <w:rsid w:val="00E409B5"/>
    <w:rsid w:val="00E40BCB"/>
    <w:rsid w:val="00E4208F"/>
    <w:rsid w:val="00E42291"/>
    <w:rsid w:val="00E42E94"/>
    <w:rsid w:val="00E43006"/>
    <w:rsid w:val="00E4312A"/>
    <w:rsid w:val="00E4331B"/>
    <w:rsid w:val="00E434E6"/>
    <w:rsid w:val="00E43551"/>
    <w:rsid w:val="00E437FA"/>
    <w:rsid w:val="00E438F3"/>
    <w:rsid w:val="00E456A5"/>
    <w:rsid w:val="00E45A2C"/>
    <w:rsid w:val="00E46A6B"/>
    <w:rsid w:val="00E46A9C"/>
    <w:rsid w:val="00E47DB1"/>
    <w:rsid w:val="00E50BDD"/>
    <w:rsid w:val="00E510CF"/>
    <w:rsid w:val="00E513D7"/>
    <w:rsid w:val="00E519FE"/>
    <w:rsid w:val="00E5206C"/>
    <w:rsid w:val="00E52AAB"/>
    <w:rsid w:val="00E5448E"/>
    <w:rsid w:val="00E5477E"/>
    <w:rsid w:val="00E54E0D"/>
    <w:rsid w:val="00E54F47"/>
    <w:rsid w:val="00E55096"/>
    <w:rsid w:val="00E551E0"/>
    <w:rsid w:val="00E55247"/>
    <w:rsid w:val="00E558E5"/>
    <w:rsid w:val="00E55B3C"/>
    <w:rsid w:val="00E56795"/>
    <w:rsid w:val="00E56D88"/>
    <w:rsid w:val="00E56D96"/>
    <w:rsid w:val="00E57300"/>
    <w:rsid w:val="00E57594"/>
    <w:rsid w:val="00E57932"/>
    <w:rsid w:val="00E606C4"/>
    <w:rsid w:val="00E60811"/>
    <w:rsid w:val="00E60AB8"/>
    <w:rsid w:val="00E6103E"/>
    <w:rsid w:val="00E6185F"/>
    <w:rsid w:val="00E61D32"/>
    <w:rsid w:val="00E62FB2"/>
    <w:rsid w:val="00E63C60"/>
    <w:rsid w:val="00E64050"/>
    <w:rsid w:val="00E64B7B"/>
    <w:rsid w:val="00E6514D"/>
    <w:rsid w:val="00E65161"/>
    <w:rsid w:val="00E652C9"/>
    <w:rsid w:val="00E6593B"/>
    <w:rsid w:val="00E65D74"/>
    <w:rsid w:val="00E66E11"/>
    <w:rsid w:val="00E672C6"/>
    <w:rsid w:val="00E70192"/>
    <w:rsid w:val="00E70C55"/>
    <w:rsid w:val="00E70E34"/>
    <w:rsid w:val="00E71405"/>
    <w:rsid w:val="00E71809"/>
    <w:rsid w:val="00E71D1E"/>
    <w:rsid w:val="00E726F2"/>
    <w:rsid w:val="00E728E2"/>
    <w:rsid w:val="00E738FA"/>
    <w:rsid w:val="00E739B6"/>
    <w:rsid w:val="00E74A2B"/>
    <w:rsid w:val="00E75667"/>
    <w:rsid w:val="00E756D3"/>
    <w:rsid w:val="00E75A5A"/>
    <w:rsid w:val="00E76004"/>
    <w:rsid w:val="00E7608F"/>
    <w:rsid w:val="00E760D7"/>
    <w:rsid w:val="00E76937"/>
    <w:rsid w:val="00E769CC"/>
    <w:rsid w:val="00E77124"/>
    <w:rsid w:val="00E77341"/>
    <w:rsid w:val="00E7783E"/>
    <w:rsid w:val="00E778B8"/>
    <w:rsid w:val="00E801C7"/>
    <w:rsid w:val="00E80A66"/>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483"/>
    <w:rsid w:val="00E91B26"/>
    <w:rsid w:val="00E92C6E"/>
    <w:rsid w:val="00E92D0B"/>
    <w:rsid w:val="00E92FFF"/>
    <w:rsid w:val="00E93195"/>
    <w:rsid w:val="00E9391C"/>
    <w:rsid w:val="00E93D05"/>
    <w:rsid w:val="00E93F48"/>
    <w:rsid w:val="00E950D4"/>
    <w:rsid w:val="00E951D8"/>
    <w:rsid w:val="00E95C2A"/>
    <w:rsid w:val="00E95F03"/>
    <w:rsid w:val="00E961CB"/>
    <w:rsid w:val="00E963BC"/>
    <w:rsid w:val="00E966A6"/>
    <w:rsid w:val="00E96D97"/>
    <w:rsid w:val="00E96E91"/>
    <w:rsid w:val="00E9751D"/>
    <w:rsid w:val="00E97DC6"/>
    <w:rsid w:val="00E97F7A"/>
    <w:rsid w:val="00EA0010"/>
    <w:rsid w:val="00EA0143"/>
    <w:rsid w:val="00EA06C4"/>
    <w:rsid w:val="00EA073C"/>
    <w:rsid w:val="00EA089B"/>
    <w:rsid w:val="00EA1ACC"/>
    <w:rsid w:val="00EA29E4"/>
    <w:rsid w:val="00EA2DCA"/>
    <w:rsid w:val="00EA2E21"/>
    <w:rsid w:val="00EA2EAA"/>
    <w:rsid w:val="00EA380C"/>
    <w:rsid w:val="00EA613D"/>
    <w:rsid w:val="00EA6645"/>
    <w:rsid w:val="00EA6744"/>
    <w:rsid w:val="00EA7077"/>
    <w:rsid w:val="00EA7308"/>
    <w:rsid w:val="00EA7474"/>
    <w:rsid w:val="00EB018D"/>
    <w:rsid w:val="00EB0831"/>
    <w:rsid w:val="00EB089C"/>
    <w:rsid w:val="00EB0AA8"/>
    <w:rsid w:val="00EB0B65"/>
    <w:rsid w:val="00EB0C65"/>
    <w:rsid w:val="00EB1624"/>
    <w:rsid w:val="00EB169F"/>
    <w:rsid w:val="00EB2635"/>
    <w:rsid w:val="00EB2961"/>
    <w:rsid w:val="00EB2E1A"/>
    <w:rsid w:val="00EB2F8A"/>
    <w:rsid w:val="00EB3012"/>
    <w:rsid w:val="00EB3268"/>
    <w:rsid w:val="00EB3298"/>
    <w:rsid w:val="00EB33EA"/>
    <w:rsid w:val="00EB3939"/>
    <w:rsid w:val="00EB3CE6"/>
    <w:rsid w:val="00EB3E92"/>
    <w:rsid w:val="00EB54AB"/>
    <w:rsid w:val="00EB6257"/>
    <w:rsid w:val="00EB64E8"/>
    <w:rsid w:val="00EB68E6"/>
    <w:rsid w:val="00EB6AE9"/>
    <w:rsid w:val="00EB6B2D"/>
    <w:rsid w:val="00EB71C9"/>
    <w:rsid w:val="00EB763E"/>
    <w:rsid w:val="00EB7B67"/>
    <w:rsid w:val="00EC07F1"/>
    <w:rsid w:val="00EC1E8A"/>
    <w:rsid w:val="00EC21C0"/>
    <w:rsid w:val="00EC328C"/>
    <w:rsid w:val="00EC32F5"/>
    <w:rsid w:val="00EC36FD"/>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D53"/>
    <w:rsid w:val="00ED149C"/>
    <w:rsid w:val="00ED18B1"/>
    <w:rsid w:val="00ED1ADE"/>
    <w:rsid w:val="00ED2F40"/>
    <w:rsid w:val="00ED3692"/>
    <w:rsid w:val="00ED3B94"/>
    <w:rsid w:val="00ED4A77"/>
    <w:rsid w:val="00ED4B6E"/>
    <w:rsid w:val="00ED5981"/>
    <w:rsid w:val="00ED613A"/>
    <w:rsid w:val="00ED6227"/>
    <w:rsid w:val="00ED6514"/>
    <w:rsid w:val="00ED66B2"/>
    <w:rsid w:val="00ED71BA"/>
    <w:rsid w:val="00ED728F"/>
    <w:rsid w:val="00ED73A1"/>
    <w:rsid w:val="00ED7CA2"/>
    <w:rsid w:val="00EE04F9"/>
    <w:rsid w:val="00EE05E0"/>
    <w:rsid w:val="00EE0F88"/>
    <w:rsid w:val="00EE0FF6"/>
    <w:rsid w:val="00EE13DA"/>
    <w:rsid w:val="00EE1595"/>
    <w:rsid w:val="00EE1E71"/>
    <w:rsid w:val="00EE2087"/>
    <w:rsid w:val="00EE20C2"/>
    <w:rsid w:val="00EE2A9D"/>
    <w:rsid w:val="00EE3384"/>
    <w:rsid w:val="00EE4309"/>
    <w:rsid w:val="00EE499F"/>
    <w:rsid w:val="00EE56E2"/>
    <w:rsid w:val="00EE5C81"/>
    <w:rsid w:val="00EE5FCD"/>
    <w:rsid w:val="00EE63BF"/>
    <w:rsid w:val="00EE6D45"/>
    <w:rsid w:val="00EE6E89"/>
    <w:rsid w:val="00EE7DCE"/>
    <w:rsid w:val="00EF028F"/>
    <w:rsid w:val="00EF0D4B"/>
    <w:rsid w:val="00EF0FE6"/>
    <w:rsid w:val="00EF1130"/>
    <w:rsid w:val="00EF1432"/>
    <w:rsid w:val="00EF1511"/>
    <w:rsid w:val="00EF1F01"/>
    <w:rsid w:val="00EF2C39"/>
    <w:rsid w:val="00EF2C5F"/>
    <w:rsid w:val="00EF302A"/>
    <w:rsid w:val="00EF317C"/>
    <w:rsid w:val="00EF320D"/>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03B"/>
    <w:rsid w:val="00F016AB"/>
    <w:rsid w:val="00F0187E"/>
    <w:rsid w:val="00F01BE6"/>
    <w:rsid w:val="00F01F75"/>
    <w:rsid w:val="00F0217A"/>
    <w:rsid w:val="00F022AA"/>
    <w:rsid w:val="00F026D3"/>
    <w:rsid w:val="00F0272A"/>
    <w:rsid w:val="00F027E8"/>
    <w:rsid w:val="00F03395"/>
    <w:rsid w:val="00F034E6"/>
    <w:rsid w:val="00F03E4C"/>
    <w:rsid w:val="00F042D1"/>
    <w:rsid w:val="00F04D19"/>
    <w:rsid w:val="00F050A3"/>
    <w:rsid w:val="00F06340"/>
    <w:rsid w:val="00F0665D"/>
    <w:rsid w:val="00F068F3"/>
    <w:rsid w:val="00F06D42"/>
    <w:rsid w:val="00F07134"/>
    <w:rsid w:val="00F0724D"/>
    <w:rsid w:val="00F07378"/>
    <w:rsid w:val="00F07F8C"/>
    <w:rsid w:val="00F10B81"/>
    <w:rsid w:val="00F10BC9"/>
    <w:rsid w:val="00F113C9"/>
    <w:rsid w:val="00F11C01"/>
    <w:rsid w:val="00F11D80"/>
    <w:rsid w:val="00F12129"/>
    <w:rsid w:val="00F121BE"/>
    <w:rsid w:val="00F14B08"/>
    <w:rsid w:val="00F14B4B"/>
    <w:rsid w:val="00F14CD1"/>
    <w:rsid w:val="00F1500D"/>
    <w:rsid w:val="00F15115"/>
    <w:rsid w:val="00F1578E"/>
    <w:rsid w:val="00F15A85"/>
    <w:rsid w:val="00F15C81"/>
    <w:rsid w:val="00F15D8C"/>
    <w:rsid w:val="00F15F18"/>
    <w:rsid w:val="00F16B86"/>
    <w:rsid w:val="00F16E1A"/>
    <w:rsid w:val="00F16F92"/>
    <w:rsid w:val="00F17C3E"/>
    <w:rsid w:val="00F20197"/>
    <w:rsid w:val="00F20369"/>
    <w:rsid w:val="00F20607"/>
    <w:rsid w:val="00F2078B"/>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13"/>
    <w:rsid w:val="00F25824"/>
    <w:rsid w:val="00F25E8C"/>
    <w:rsid w:val="00F26065"/>
    <w:rsid w:val="00F26277"/>
    <w:rsid w:val="00F266E3"/>
    <w:rsid w:val="00F2689C"/>
    <w:rsid w:val="00F26913"/>
    <w:rsid w:val="00F26D17"/>
    <w:rsid w:val="00F27099"/>
    <w:rsid w:val="00F27E44"/>
    <w:rsid w:val="00F27F79"/>
    <w:rsid w:val="00F30313"/>
    <w:rsid w:val="00F303BC"/>
    <w:rsid w:val="00F30472"/>
    <w:rsid w:val="00F31052"/>
    <w:rsid w:val="00F318A1"/>
    <w:rsid w:val="00F31CF5"/>
    <w:rsid w:val="00F3265C"/>
    <w:rsid w:val="00F32C4A"/>
    <w:rsid w:val="00F33262"/>
    <w:rsid w:val="00F343EE"/>
    <w:rsid w:val="00F353F4"/>
    <w:rsid w:val="00F35494"/>
    <w:rsid w:val="00F35607"/>
    <w:rsid w:val="00F357F3"/>
    <w:rsid w:val="00F359AB"/>
    <w:rsid w:val="00F35AD5"/>
    <w:rsid w:val="00F35DBA"/>
    <w:rsid w:val="00F3619D"/>
    <w:rsid w:val="00F36DDE"/>
    <w:rsid w:val="00F3722A"/>
    <w:rsid w:val="00F37366"/>
    <w:rsid w:val="00F37C99"/>
    <w:rsid w:val="00F37EDB"/>
    <w:rsid w:val="00F37FCC"/>
    <w:rsid w:val="00F405CB"/>
    <w:rsid w:val="00F40FCD"/>
    <w:rsid w:val="00F419B8"/>
    <w:rsid w:val="00F41C0F"/>
    <w:rsid w:val="00F42856"/>
    <w:rsid w:val="00F4288F"/>
    <w:rsid w:val="00F42ED7"/>
    <w:rsid w:val="00F433B2"/>
    <w:rsid w:val="00F43777"/>
    <w:rsid w:val="00F4482B"/>
    <w:rsid w:val="00F44F02"/>
    <w:rsid w:val="00F45039"/>
    <w:rsid w:val="00F4526B"/>
    <w:rsid w:val="00F45298"/>
    <w:rsid w:val="00F45A96"/>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09E"/>
    <w:rsid w:val="00F5364F"/>
    <w:rsid w:val="00F53A44"/>
    <w:rsid w:val="00F54E5E"/>
    <w:rsid w:val="00F551DB"/>
    <w:rsid w:val="00F553E7"/>
    <w:rsid w:val="00F55810"/>
    <w:rsid w:val="00F559BE"/>
    <w:rsid w:val="00F55D76"/>
    <w:rsid w:val="00F56AF1"/>
    <w:rsid w:val="00F56F7E"/>
    <w:rsid w:val="00F56FEF"/>
    <w:rsid w:val="00F57521"/>
    <w:rsid w:val="00F57E2D"/>
    <w:rsid w:val="00F60024"/>
    <w:rsid w:val="00F60708"/>
    <w:rsid w:val="00F60938"/>
    <w:rsid w:val="00F60C7E"/>
    <w:rsid w:val="00F60E0A"/>
    <w:rsid w:val="00F61606"/>
    <w:rsid w:val="00F61918"/>
    <w:rsid w:val="00F62151"/>
    <w:rsid w:val="00F62CA8"/>
    <w:rsid w:val="00F62F92"/>
    <w:rsid w:val="00F630B4"/>
    <w:rsid w:val="00F635EF"/>
    <w:rsid w:val="00F63BF4"/>
    <w:rsid w:val="00F63C55"/>
    <w:rsid w:val="00F63C60"/>
    <w:rsid w:val="00F6432E"/>
    <w:rsid w:val="00F64991"/>
    <w:rsid w:val="00F65BA9"/>
    <w:rsid w:val="00F65BC8"/>
    <w:rsid w:val="00F65EEA"/>
    <w:rsid w:val="00F66205"/>
    <w:rsid w:val="00F6630F"/>
    <w:rsid w:val="00F66419"/>
    <w:rsid w:val="00F66944"/>
    <w:rsid w:val="00F67079"/>
    <w:rsid w:val="00F67B58"/>
    <w:rsid w:val="00F67E81"/>
    <w:rsid w:val="00F67E88"/>
    <w:rsid w:val="00F70055"/>
    <w:rsid w:val="00F7044B"/>
    <w:rsid w:val="00F70FD4"/>
    <w:rsid w:val="00F70FDC"/>
    <w:rsid w:val="00F71342"/>
    <w:rsid w:val="00F71C68"/>
    <w:rsid w:val="00F724E2"/>
    <w:rsid w:val="00F74103"/>
    <w:rsid w:val="00F7410A"/>
    <w:rsid w:val="00F745A4"/>
    <w:rsid w:val="00F74C0C"/>
    <w:rsid w:val="00F758E1"/>
    <w:rsid w:val="00F75BB5"/>
    <w:rsid w:val="00F75E22"/>
    <w:rsid w:val="00F75FD5"/>
    <w:rsid w:val="00F7604C"/>
    <w:rsid w:val="00F773A9"/>
    <w:rsid w:val="00F77864"/>
    <w:rsid w:val="00F8056E"/>
    <w:rsid w:val="00F805B7"/>
    <w:rsid w:val="00F80F4A"/>
    <w:rsid w:val="00F810C1"/>
    <w:rsid w:val="00F81623"/>
    <w:rsid w:val="00F81D25"/>
    <w:rsid w:val="00F81F6C"/>
    <w:rsid w:val="00F8245C"/>
    <w:rsid w:val="00F82928"/>
    <w:rsid w:val="00F829B9"/>
    <w:rsid w:val="00F83045"/>
    <w:rsid w:val="00F83615"/>
    <w:rsid w:val="00F83EC7"/>
    <w:rsid w:val="00F8421D"/>
    <w:rsid w:val="00F85329"/>
    <w:rsid w:val="00F85504"/>
    <w:rsid w:val="00F85683"/>
    <w:rsid w:val="00F85841"/>
    <w:rsid w:val="00F86079"/>
    <w:rsid w:val="00F8610A"/>
    <w:rsid w:val="00F87282"/>
    <w:rsid w:val="00F873B9"/>
    <w:rsid w:val="00F878CD"/>
    <w:rsid w:val="00F87905"/>
    <w:rsid w:val="00F87A66"/>
    <w:rsid w:val="00F903AB"/>
    <w:rsid w:val="00F90C1F"/>
    <w:rsid w:val="00F912D9"/>
    <w:rsid w:val="00F919F8"/>
    <w:rsid w:val="00F91A44"/>
    <w:rsid w:val="00F91BFA"/>
    <w:rsid w:val="00F91F8F"/>
    <w:rsid w:val="00F9217B"/>
    <w:rsid w:val="00F92A4E"/>
    <w:rsid w:val="00F9399D"/>
    <w:rsid w:val="00F94016"/>
    <w:rsid w:val="00F95995"/>
    <w:rsid w:val="00F97A34"/>
    <w:rsid w:val="00F97E4A"/>
    <w:rsid w:val="00F97EA1"/>
    <w:rsid w:val="00FA003A"/>
    <w:rsid w:val="00FA05C8"/>
    <w:rsid w:val="00FA0678"/>
    <w:rsid w:val="00FA0DB6"/>
    <w:rsid w:val="00FA23F7"/>
    <w:rsid w:val="00FA27EB"/>
    <w:rsid w:val="00FA2B08"/>
    <w:rsid w:val="00FA35B6"/>
    <w:rsid w:val="00FA3EBC"/>
    <w:rsid w:val="00FA423C"/>
    <w:rsid w:val="00FA44D0"/>
    <w:rsid w:val="00FA4590"/>
    <w:rsid w:val="00FA55A2"/>
    <w:rsid w:val="00FA568C"/>
    <w:rsid w:val="00FA672F"/>
    <w:rsid w:val="00FA775E"/>
    <w:rsid w:val="00FA7792"/>
    <w:rsid w:val="00FA7AA8"/>
    <w:rsid w:val="00FA7F1D"/>
    <w:rsid w:val="00FB011C"/>
    <w:rsid w:val="00FB0D60"/>
    <w:rsid w:val="00FB18FD"/>
    <w:rsid w:val="00FB2440"/>
    <w:rsid w:val="00FB2BF5"/>
    <w:rsid w:val="00FB2F8E"/>
    <w:rsid w:val="00FB30C3"/>
    <w:rsid w:val="00FB39B0"/>
    <w:rsid w:val="00FB5138"/>
    <w:rsid w:val="00FB547F"/>
    <w:rsid w:val="00FB55AB"/>
    <w:rsid w:val="00FB5A71"/>
    <w:rsid w:val="00FB63F6"/>
    <w:rsid w:val="00FB7823"/>
    <w:rsid w:val="00FC05B2"/>
    <w:rsid w:val="00FC08B3"/>
    <w:rsid w:val="00FC09D7"/>
    <w:rsid w:val="00FC0ABE"/>
    <w:rsid w:val="00FC1269"/>
    <w:rsid w:val="00FC13E4"/>
    <w:rsid w:val="00FC1D89"/>
    <w:rsid w:val="00FC22D0"/>
    <w:rsid w:val="00FC2DA4"/>
    <w:rsid w:val="00FC2E74"/>
    <w:rsid w:val="00FC38D4"/>
    <w:rsid w:val="00FC391E"/>
    <w:rsid w:val="00FC39B3"/>
    <w:rsid w:val="00FC3A70"/>
    <w:rsid w:val="00FC3BB7"/>
    <w:rsid w:val="00FC4345"/>
    <w:rsid w:val="00FC444A"/>
    <w:rsid w:val="00FC453D"/>
    <w:rsid w:val="00FC4A89"/>
    <w:rsid w:val="00FC619B"/>
    <w:rsid w:val="00FC665F"/>
    <w:rsid w:val="00FC6C35"/>
    <w:rsid w:val="00FC6D59"/>
    <w:rsid w:val="00FC7561"/>
    <w:rsid w:val="00FC78F5"/>
    <w:rsid w:val="00FC7ACA"/>
    <w:rsid w:val="00FC7AD2"/>
    <w:rsid w:val="00FD0993"/>
    <w:rsid w:val="00FD10B3"/>
    <w:rsid w:val="00FD11C3"/>
    <w:rsid w:val="00FD154E"/>
    <w:rsid w:val="00FD24D7"/>
    <w:rsid w:val="00FD29CE"/>
    <w:rsid w:val="00FD305F"/>
    <w:rsid w:val="00FD3AE2"/>
    <w:rsid w:val="00FD3E41"/>
    <w:rsid w:val="00FD3EFA"/>
    <w:rsid w:val="00FD54A8"/>
    <w:rsid w:val="00FD5A43"/>
    <w:rsid w:val="00FD5AE4"/>
    <w:rsid w:val="00FD5F25"/>
    <w:rsid w:val="00FD60BE"/>
    <w:rsid w:val="00FD6894"/>
    <w:rsid w:val="00FD6AF0"/>
    <w:rsid w:val="00FD704D"/>
    <w:rsid w:val="00FD74EF"/>
    <w:rsid w:val="00FD785C"/>
    <w:rsid w:val="00FD79B8"/>
    <w:rsid w:val="00FD79F6"/>
    <w:rsid w:val="00FE033F"/>
    <w:rsid w:val="00FE07A8"/>
    <w:rsid w:val="00FE0AD1"/>
    <w:rsid w:val="00FE0CC0"/>
    <w:rsid w:val="00FE1852"/>
    <w:rsid w:val="00FE1963"/>
    <w:rsid w:val="00FE1981"/>
    <w:rsid w:val="00FE1BF1"/>
    <w:rsid w:val="00FE31EE"/>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EF"/>
    <w:rsid w:val="00FF219D"/>
    <w:rsid w:val="00FF2A7B"/>
    <w:rsid w:val="00FF3D2B"/>
    <w:rsid w:val="00FF41FF"/>
    <w:rsid w:val="00FF49B4"/>
    <w:rsid w:val="00FF49F4"/>
    <w:rsid w:val="00FF5B8D"/>
    <w:rsid w:val="00FF5C6A"/>
    <w:rsid w:val="00FF651D"/>
    <w:rsid w:val="00FF6843"/>
    <w:rsid w:val="00FF6C25"/>
    <w:rsid w:val="00FF7B6C"/>
    <w:rsid w:val="00FF7DED"/>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1762F"/>
    <w:rsid w:val="036634D2"/>
    <w:rsid w:val="03DD35E4"/>
    <w:rsid w:val="03F529C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16E9D"/>
    <w:rsid w:val="08751CAA"/>
    <w:rsid w:val="087E4C40"/>
    <w:rsid w:val="08A871D0"/>
    <w:rsid w:val="08D66AD6"/>
    <w:rsid w:val="08DA33A3"/>
    <w:rsid w:val="08E80F13"/>
    <w:rsid w:val="09235E6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D2E48"/>
    <w:rsid w:val="0E5604B2"/>
    <w:rsid w:val="0E6D5D79"/>
    <w:rsid w:val="0E9D0089"/>
    <w:rsid w:val="0EB803EE"/>
    <w:rsid w:val="0EF94D4B"/>
    <w:rsid w:val="0F4958DC"/>
    <w:rsid w:val="0F515DF7"/>
    <w:rsid w:val="0F596BA8"/>
    <w:rsid w:val="0F6248D2"/>
    <w:rsid w:val="0F660C14"/>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D22583"/>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F1879"/>
    <w:rsid w:val="1BA209CF"/>
    <w:rsid w:val="1BB4777D"/>
    <w:rsid w:val="1BD75AB8"/>
    <w:rsid w:val="1C0459C2"/>
    <w:rsid w:val="1C1B3B4A"/>
    <w:rsid w:val="1C88086E"/>
    <w:rsid w:val="1D266CE1"/>
    <w:rsid w:val="1D3963AF"/>
    <w:rsid w:val="1D6A673C"/>
    <w:rsid w:val="1D9247AE"/>
    <w:rsid w:val="1DB567EC"/>
    <w:rsid w:val="1DF51A98"/>
    <w:rsid w:val="1E051CD9"/>
    <w:rsid w:val="1E0A4CCC"/>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AA262D"/>
    <w:rsid w:val="20B26522"/>
    <w:rsid w:val="20B44310"/>
    <w:rsid w:val="211116EB"/>
    <w:rsid w:val="216133FC"/>
    <w:rsid w:val="21B12DF9"/>
    <w:rsid w:val="21D56769"/>
    <w:rsid w:val="21E52EF3"/>
    <w:rsid w:val="21FB5D7B"/>
    <w:rsid w:val="22015E94"/>
    <w:rsid w:val="220B1C3D"/>
    <w:rsid w:val="221D1D20"/>
    <w:rsid w:val="22334A87"/>
    <w:rsid w:val="224044DA"/>
    <w:rsid w:val="22BE6801"/>
    <w:rsid w:val="233500BF"/>
    <w:rsid w:val="23377FF7"/>
    <w:rsid w:val="236B425F"/>
    <w:rsid w:val="23836192"/>
    <w:rsid w:val="23901F29"/>
    <w:rsid w:val="239C0061"/>
    <w:rsid w:val="23B908A4"/>
    <w:rsid w:val="23E27979"/>
    <w:rsid w:val="23E95BEF"/>
    <w:rsid w:val="23FD0064"/>
    <w:rsid w:val="245375B0"/>
    <w:rsid w:val="24642C0A"/>
    <w:rsid w:val="24B22173"/>
    <w:rsid w:val="24B95AD9"/>
    <w:rsid w:val="24BE24DA"/>
    <w:rsid w:val="24CF5825"/>
    <w:rsid w:val="24D663E6"/>
    <w:rsid w:val="24D77F2B"/>
    <w:rsid w:val="255D353C"/>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FA11CA"/>
    <w:rsid w:val="2B437463"/>
    <w:rsid w:val="2B6347FD"/>
    <w:rsid w:val="2B7807EE"/>
    <w:rsid w:val="2BA50BF7"/>
    <w:rsid w:val="2BBF00EC"/>
    <w:rsid w:val="2BC37CFD"/>
    <w:rsid w:val="2BCB43FB"/>
    <w:rsid w:val="2BD5237F"/>
    <w:rsid w:val="2BE536CE"/>
    <w:rsid w:val="2BE758D9"/>
    <w:rsid w:val="2BF346BB"/>
    <w:rsid w:val="2C09049E"/>
    <w:rsid w:val="2C0A653C"/>
    <w:rsid w:val="2C191F85"/>
    <w:rsid w:val="2C1B1013"/>
    <w:rsid w:val="2CE82D6F"/>
    <w:rsid w:val="2D343236"/>
    <w:rsid w:val="2D575011"/>
    <w:rsid w:val="2DCC5498"/>
    <w:rsid w:val="2DD15014"/>
    <w:rsid w:val="2DF72DE4"/>
    <w:rsid w:val="2E0220AF"/>
    <w:rsid w:val="2E4B082A"/>
    <w:rsid w:val="2E5D4E86"/>
    <w:rsid w:val="2E5D790B"/>
    <w:rsid w:val="2E9A3C18"/>
    <w:rsid w:val="2EA045AD"/>
    <w:rsid w:val="2EBB0FEE"/>
    <w:rsid w:val="2EC63002"/>
    <w:rsid w:val="2F0A6B38"/>
    <w:rsid w:val="2F552FA4"/>
    <w:rsid w:val="2F946CCB"/>
    <w:rsid w:val="2FD25781"/>
    <w:rsid w:val="2FDB44A0"/>
    <w:rsid w:val="2FDC745C"/>
    <w:rsid w:val="2FFD7934"/>
    <w:rsid w:val="30733ACD"/>
    <w:rsid w:val="308C3862"/>
    <w:rsid w:val="309379D8"/>
    <w:rsid w:val="30A270F7"/>
    <w:rsid w:val="30CF56A8"/>
    <w:rsid w:val="30DF1478"/>
    <w:rsid w:val="30EC586F"/>
    <w:rsid w:val="31131987"/>
    <w:rsid w:val="319C6071"/>
    <w:rsid w:val="31AC537E"/>
    <w:rsid w:val="31E3679B"/>
    <w:rsid w:val="31E732FD"/>
    <w:rsid w:val="32517576"/>
    <w:rsid w:val="3289247A"/>
    <w:rsid w:val="32BE5C2C"/>
    <w:rsid w:val="32FB6478"/>
    <w:rsid w:val="33263B3F"/>
    <w:rsid w:val="33322E83"/>
    <w:rsid w:val="333740E3"/>
    <w:rsid w:val="336963EB"/>
    <w:rsid w:val="33816EEB"/>
    <w:rsid w:val="33EB55CD"/>
    <w:rsid w:val="33EC4C02"/>
    <w:rsid w:val="340D2360"/>
    <w:rsid w:val="3410665D"/>
    <w:rsid w:val="34211214"/>
    <w:rsid w:val="342E63AB"/>
    <w:rsid w:val="34950E68"/>
    <w:rsid w:val="34986E94"/>
    <w:rsid w:val="34AF62C9"/>
    <w:rsid w:val="34CB4388"/>
    <w:rsid w:val="34FA6E12"/>
    <w:rsid w:val="351673E1"/>
    <w:rsid w:val="354D7158"/>
    <w:rsid w:val="358D5588"/>
    <w:rsid w:val="363A3B40"/>
    <w:rsid w:val="365302AE"/>
    <w:rsid w:val="36607A0A"/>
    <w:rsid w:val="366E227C"/>
    <w:rsid w:val="366F2E0D"/>
    <w:rsid w:val="367B6A5C"/>
    <w:rsid w:val="368B4C99"/>
    <w:rsid w:val="36A74ADA"/>
    <w:rsid w:val="36AD60D5"/>
    <w:rsid w:val="36B224F9"/>
    <w:rsid w:val="36EC0CC9"/>
    <w:rsid w:val="373F410B"/>
    <w:rsid w:val="37EE7094"/>
    <w:rsid w:val="38296C89"/>
    <w:rsid w:val="383002EB"/>
    <w:rsid w:val="38586797"/>
    <w:rsid w:val="385D15DF"/>
    <w:rsid w:val="38BC0149"/>
    <w:rsid w:val="38D87D1C"/>
    <w:rsid w:val="39636459"/>
    <w:rsid w:val="396B7F6C"/>
    <w:rsid w:val="398C7D68"/>
    <w:rsid w:val="39B417A9"/>
    <w:rsid w:val="39EB58A2"/>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803A8D"/>
    <w:rsid w:val="3CCE23CB"/>
    <w:rsid w:val="3CD17D17"/>
    <w:rsid w:val="3CE07CFB"/>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8164F"/>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E72440"/>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9A57D5"/>
    <w:rsid w:val="48B94FF3"/>
    <w:rsid w:val="48E37AAB"/>
    <w:rsid w:val="48F07D25"/>
    <w:rsid w:val="48FD4B4C"/>
    <w:rsid w:val="490A68E0"/>
    <w:rsid w:val="491055FE"/>
    <w:rsid w:val="495F5B3E"/>
    <w:rsid w:val="496F77D7"/>
    <w:rsid w:val="497654FD"/>
    <w:rsid w:val="49B64211"/>
    <w:rsid w:val="49F6167F"/>
    <w:rsid w:val="4A064FA0"/>
    <w:rsid w:val="4A16615C"/>
    <w:rsid w:val="4A282DED"/>
    <w:rsid w:val="4A4424D7"/>
    <w:rsid w:val="4AB80079"/>
    <w:rsid w:val="4AB82D0F"/>
    <w:rsid w:val="4AEB7664"/>
    <w:rsid w:val="4AFD7C19"/>
    <w:rsid w:val="4B0567D1"/>
    <w:rsid w:val="4B236AAE"/>
    <w:rsid w:val="4B707271"/>
    <w:rsid w:val="4B9739F7"/>
    <w:rsid w:val="4BB851E7"/>
    <w:rsid w:val="4BEE2503"/>
    <w:rsid w:val="4C03434F"/>
    <w:rsid w:val="4C245A30"/>
    <w:rsid w:val="4CB6685F"/>
    <w:rsid w:val="4CB9595F"/>
    <w:rsid w:val="4CC367FE"/>
    <w:rsid w:val="4D032026"/>
    <w:rsid w:val="4D077F3C"/>
    <w:rsid w:val="4D123355"/>
    <w:rsid w:val="4D2A3B31"/>
    <w:rsid w:val="4D312C52"/>
    <w:rsid w:val="4D905305"/>
    <w:rsid w:val="4D964A72"/>
    <w:rsid w:val="4D9C1254"/>
    <w:rsid w:val="4E3821A2"/>
    <w:rsid w:val="4E793892"/>
    <w:rsid w:val="4E800872"/>
    <w:rsid w:val="4EC569ED"/>
    <w:rsid w:val="4ED50EA1"/>
    <w:rsid w:val="4EEC050C"/>
    <w:rsid w:val="4F104EC3"/>
    <w:rsid w:val="4F47354A"/>
    <w:rsid w:val="4F911C54"/>
    <w:rsid w:val="4FE625E0"/>
    <w:rsid w:val="50212472"/>
    <w:rsid w:val="5021480F"/>
    <w:rsid w:val="503A648D"/>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F2928"/>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17B8E"/>
    <w:rsid w:val="569E7C51"/>
    <w:rsid w:val="57032A2C"/>
    <w:rsid w:val="570B073C"/>
    <w:rsid w:val="570F5219"/>
    <w:rsid w:val="575D12B5"/>
    <w:rsid w:val="57610A87"/>
    <w:rsid w:val="577B1140"/>
    <w:rsid w:val="577B7F21"/>
    <w:rsid w:val="577F181B"/>
    <w:rsid w:val="57921984"/>
    <w:rsid w:val="579737F0"/>
    <w:rsid w:val="57AB7B30"/>
    <w:rsid w:val="57AF5251"/>
    <w:rsid w:val="57B26373"/>
    <w:rsid w:val="57B63F04"/>
    <w:rsid w:val="57BC760A"/>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7408B"/>
    <w:rsid w:val="5A792B1F"/>
    <w:rsid w:val="5A874767"/>
    <w:rsid w:val="5AA85BE2"/>
    <w:rsid w:val="5AAD6F28"/>
    <w:rsid w:val="5AD63A24"/>
    <w:rsid w:val="5B2E1A1D"/>
    <w:rsid w:val="5B843A1C"/>
    <w:rsid w:val="5B873E3F"/>
    <w:rsid w:val="5BCE6DCB"/>
    <w:rsid w:val="5C02690E"/>
    <w:rsid w:val="5C196DA7"/>
    <w:rsid w:val="5C2A048C"/>
    <w:rsid w:val="5C80234E"/>
    <w:rsid w:val="5C8A680C"/>
    <w:rsid w:val="5D0C4701"/>
    <w:rsid w:val="5D0F0395"/>
    <w:rsid w:val="5D221076"/>
    <w:rsid w:val="5D2E75E8"/>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43A4D"/>
    <w:rsid w:val="5F6D0B1D"/>
    <w:rsid w:val="5F8D0B82"/>
    <w:rsid w:val="5FCC5339"/>
    <w:rsid w:val="5FDC3A2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196254"/>
    <w:rsid w:val="662E75B1"/>
    <w:rsid w:val="66342C2E"/>
    <w:rsid w:val="663E784C"/>
    <w:rsid w:val="668B6A45"/>
    <w:rsid w:val="672F3F24"/>
    <w:rsid w:val="673E055F"/>
    <w:rsid w:val="67551CE3"/>
    <w:rsid w:val="676C597E"/>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3457FB"/>
    <w:rsid w:val="6B573233"/>
    <w:rsid w:val="6B5B6274"/>
    <w:rsid w:val="6B935D53"/>
    <w:rsid w:val="6C196F71"/>
    <w:rsid w:val="6C226FCB"/>
    <w:rsid w:val="6C31226F"/>
    <w:rsid w:val="6C552F0B"/>
    <w:rsid w:val="6C6F13BD"/>
    <w:rsid w:val="6C8C67B7"/>
    <w:rsid w:val="6C9D744C"/>
    <w:rsid w:val="6D003F41"/>
    <w:rsid w:val="6D167928"/>
    <w:rsid w:val="6D26299B"/>
    <w:rsid w:val="6D4772EC"/>
    <w:rsid w:val="6D8B27F6"/>
    <w:rsid w:val="6D9078AF"/>
    <w:rsid w:val="6DAA3FEF"/>
    <w:rsid w:val="6DC0172B"/>
    <w:rsid w:val="6DCB690C"/>
    <w:rsid w:val="6DD41A5B"/>
    <w:rsid w:val="6DF43C2E"/>
    <w:rsid w:val="6DF51CA3"/>
    <w:rsid w:val="6E8335BD"/>
    <w:rsid w:val="6E8E12EF"/>
    <w:rsid w:val="6E972936"/>
    <w:rsid w:val="6EAC5ADB"/>
    <w:rsid w:val="6ED446C5"/>
    <w:rsid w:val="6F2A7D94"/>
    <w:rsid w:val="6F8331F1"/>
    <w:rsid w:val="6FAE1A09"/>
    <w:rsid w:val="6FD75BF8"/>
    <w:rsid w:val="707723D0"/>
    <w:rsid w:val="70F5661B"/>
    <w:rsid w:val="710758EE"/>
    <w:rsid w:val="71360107"/>
    <w:rsid w:val="713B688E"/>
    <w:rsid w:val="71D43752"/>
    <w:rsid w:val="71F1796A"/>
    <w:rsid w:val="72154626"/>
    <w:rsid w:val="72262B5D"/>
    <w:rsid w:val="72283FF7"/>
    <w:rsid w:val="722E7212"/>
    <w:rsid w:val="723A0474"/>
    <w:rsid w:val="723F2C69"/>
    <w:rsid w:val="725923E4"/>
    <w:rsid w:val="72864BF7"/>
    <w:rsid w:val="729023FC"/>
    <w:rsid w:val="731345A2"/>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9A783C"/>
    <w:rsid w:val="78A42DB0"/>
    <w:rsid w:val="78A656AB"/>
    <w:rsid w:val="78B2245C"/>
    <w:rsid w:val="78E172CC"/>
    <w:rsid w:val="78EA1D1F"/>
    <w:rsid w:val="7904172F"/>
    <w:rsid w:val="790F7E27"/>
    <w:rsid w:val="792A231A"/>
    <w:rsid w:val="79316829"/>
    <w:rsid w:val="79613344"/>
    <w:rsid w:val="797E66A9"/>
    <w:rsid w:val="798518A4"/>
    <w:rsid w:val="799037C1"/>
    <w:rsid w:val="79A97383"/>
    <w:rsid w:val="79E27E8B"/>
    <w:rsid w:val="79F850CE"/>
    <w:rsid w:val="79FD443C"/>
    <w:rsid w:val="7A1D1975"/>
    <w:rsid w:val="7A3E5150"/>
    <w:rsid w:val="7A4670D6"/>
    <w:rsid w:val="7A534B63"/>
    <w:rsid w:val="7A613295"/>
    <w:rsid w:val="7A615382"/>
    <w:rsid w:val="7A67303B"/>
    <w:rsid w:val="7A8216C7"/>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364901"/>
    <w:rsid w:val="7D491C6C"/>
    <w:rsid w:val="7D5429C0"/>
    <w:rsid w:val="7D6E6D43"/>
    <w:rsid w:val="7DB57A34"/>
    <w:rsid w:val="7DE60973"/>
    <w:rsid w:val="7DEF0916"/>
    <w:rsid w:val="7DFA111A"/>
    <w:rsid w:val="7E1E5218"/>
    <w:rsid w:val="7E9A4E1F"/>
    <w:rsid w:val="7EA7723A"/>
    <w:rsid w:val="7EF56FBB"/>
    <w:rsid w:val="7F0768EB"/>
    <w:rsid w:val="7F143BEC"/>
    <w:rsid w:val="7F715AF2"/>
    <w:rsid w:val="7F743F72"/>
    <w:rsid w:val="7F886E69"/>
    <w:rsid w:val="7FBE1262"/>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1"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1"/>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6">
    <w:name w:val="Normal Indent"/>
    <w:basedOn w:val="1"/>
    <w:link w:val="192"/>
    <w:qFormat/>
    <w:uiPriority w:val="99"/>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index 8"/>
    <w:basedOn w:val="1"/>
    <w:next w:val="1"/>
    <w:qFormat/>
    <w:uiPriority w:val="0"/>
    <w:pPr>
      <w:ind w:left="2940"/>
    </w:p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4"/>
    <w:qFormat/>
    <w:uiPriority w:val="99"/>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6"/>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next w:val="1"/>
    <w:link w:val="382"/>
    <w:qFormat/>
    <w:uiPriority w:val="0"/>
    <w:pPr>
      <w:tabs>
        <w:tab w:val="center" w:pos="4153"/>
        <w:tab w:val="right" w:pos="8306"/>
      </w:tabs>
      <w:snapToGrid w:val="0"/>
      <w:jc w:val="left"/>
    </w:pPr>
    <w:rPr>
      <w:sz w:val="18"/>
      <w:szCs w:val="18"/>
    </w:rPr>
  </w:style>
  <w:style w:type="paragraph" w:styleId="42">
    <w:name w:val="header"/>
    <w:basedOn w:val="1"/>
    <w:link w:val="39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qFormat/>
    <w:uiPriority w:val="0"/>
    <w:rPr>
      <w:b/>
      <w:bCs/>
    </w:rPr>
  </w:style>
  <w:style w:type="paragraph" w:styleId="61">
    <w:name w:val="Body Text First Indent"/>
    <w:basedOn w:val="25"/>
    <w:link w:val="320"/>
    <w:qFormat/>
    <w:uiPriority w:val="99"/>
    <w:pPr>
      <w:ind w:firstLine="420"/>
    </w:pPr>
    <w:rPr>
      <w:rFonts w:hAnsi="Calibri" w:cs="Times New Roman"/>
      <w:snapToGrid/>
      <w:szCs w:val="20"/>
    </w:rPr>
  </w:style>
  <w:style w:type="paragraph" w:styleId="62">
    <w:name w:val="Body Text First Indent 2"/>
    <w:basedOn w:val="26"/>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样式 标题 2 + 宋体"/>
    <w:basedOn w:val="4"/>
    <w:qFormat/>
    <w:uiPriority w:val="99"/>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99"/>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styleId="964">
    <w:name w:val="Intense Quote"/>
    <w:basedOn w:val="1"/>
    <w:next w:val="1"/>
    <w:link w:val="965"/>
    <w:qFormat/>
    <w:uiPriority w:val="0"/>
    <w:pPr>
      <w:wordWrap w:val="0"/>
      <w:adjustRightInd/>
      <w:spacing w:before="360" w:after="360"/>
      <w:ind w:left="950" w:right="950"/>
      <w:jc w:val="center"/>
    </w:pPr>
    <w:rPr>
      <w:i/>
    </w:rPr>
  </w:style>
  <w:style w:type="character" w:customStyle="1" w:styleId="965">
    <w:name w:val="明显引用 Char"/>
    <w:basedOn w:val="70"/>
    <w:link w:val="964"/>
    <w:qFormat/>
    <w:uiPriority w:val="0"/>
    <w:rPr>
      <w:i/>
      <w:kern w:val="2"/>
      <w:sz w:val="21"/>
      <w:szCs w:val="24"/>
    </w:rPr>
  </w:style>
  <w:style w:type="character" w:customStyle="1" w:styleId="966">
    <w:name w:val="NormalCharacter"/>
    <w:semiHidden/>
    <w:qFormat/>
    <w:uiPriority w:val="0"/>
    <w:rPr>
      <w:rFonts w:asciiTheme="minorHAnsi" w:hAnsiTheme="minorHAnsi" w:eastAsiaTheme="minorEastAsia" w:cstheme="minorBidi"/>
      <w:kern w:val="2"/>
      <w:sz w:val="21"/>
      <w:szCs w:val="24"/>
      <w:lang w:val="en-US" w:eastAsia="zh-CN" w:bidi="ar-SA"/>
    </w:rPr>
  </w:style>
  <w:style w:type="table" w:customStyle="1" w:styleId="967">
    <w:name w:val="Table Normal"/>
    <w:semiHidden/>
    <w:unhideWhenUsed/>
    <w:qFormat/>
    <w:uiPriority w:val="0"/>
    <w:tblPr>
      <w:tblCellMar>
        <w:top w:w="0" w:type="dxa"/>
        <w:left w:w="0" w:type="dxa"/>
        <w:bottom w:w="0" w:type="dxa"/>
        <w:right w:w="0" w:type="dxa"/>
      </w:tblCellMar>
    </w:tblPr>
  </w:style>
  <w:style w:type="paragraph" w:customStyle="1" w:styleId="968">
    <w:name w:val="p15"/>
    <w:basedOn w:val="1"/>
    <w:qFormat/>
    <w:uiPriority w:val="0"/>
    <w:pPr>
      <w:widowControl/>
      <w:adjustRightInd/>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F6772-48A4-4E36-99D6-E55FD00C68E8}">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119</Pages>
  <Words>14021</Words>
  <Characters>79923</Characters>
  <Lines>666</Lines>
  <Paragraphs>187</Paragraphs>
  <TotalTime>1</TotalTime>
  <ScaleCrop>false</ScaleCrop>
  <LinksUpToDate>false</LinksUpToDate>
  <CharactersWithSpaces>93757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北海市政府采购中心</dc:creator>
  <cp:lastModifiedBy>wwwww</cp:lastModifiedBy>
  <cp:lastPrinted>2025-08-14T00:43:00Z</cp:lastPrinted>
  <dcterms:modified xsi:type="dcterms:W3CDTF">2025-08-14T07:24:57Z</dcterms:modified>
  <dc:title>北海市政府采购中心</dc:title>
  <cp:revision>2902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