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015C9">
      <w:pPr>
        <w:pStyle w:val="22"/>
        <w:jc w:val="center"/>
        <w:rPr>
          <w:rFonts w:hint="eastAsia" w:hAnsi="宋体" w:eastAsia="宋体" w:cs="宋体"/>
          <w:color w:val="auto"/>
          <w:spacing w:val="-20"/>
          <w:highlight w:val="none"/>
          <w:u w:val="single"/>
          <w:lang w:eastAsia="zh-CN"/>
        </w:rPr>
      </w:pPr>
    </w:p>
    <w:p w14:paraId="3CBBCF2D">
      <w:pPr>
        <w:rPr>
          <w:rFonts w:hint="eastAsia" w:ascii="宋体" w:hAnsi="宋体" w:cs="宋体"/>
          <w:color w:val="auto"/>
          <w:highlight w:val="none"/>
        </w:rPr>
      </w:pPr>
      <w:r>
        <w:rPr>
          <w:color w:val="auto"/>
          <w:highlight w:val="none"/>
        </w:rPr>
        <w:drawing>
          <wp:anchor distT="0" distB="0" distL="114300" distR="114300" simplePos="0" relativeHeight="251661312" behindDoc="1" locked="0" layoutInCell="1" allowOverlap="1">
            <wp:simplePos x="0" y="0"/>
            <wp:positionH relativeFrom="column">
              <wp:posOffset>-389890</wp:posOffset>
            </wp:positionH>
            <wp:positionV relativeFrom="paragraph">
              <wp:posOffset>54610</wp:posOffset>
            </wp:positionV>
            <wp:extent cx="6709410" cy="1023620"/>
            <wp:effectExtent l="0" t="0" r="15240" b="5080"/>
            <wp:wrapTight wrapText="bothSides">
              <wp:wrapPolygon>
                <wp:start x="0" y="0"/>
                <wp:lineTo x="0" y="21305"/>
                <wp:lineTo x="21526" y="21305"/>
                <wp:lineTo x="21526"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6709410" cy="1023620"/>
                    </a:xfrm>
                    <a:prstGeom prst="rect">
                      <a:avLst/>
                    </a:prstGeom>
                    <a:noFill/>
                    <a:ln>
                      <a:noFill/>
                    </a:ln>
                  </pic:spPr>
                </pic:pic>
              </a:graphicData>
            </a:graphic>
          </wp:anchor>
        </w:drawing>
      </w:r>
    </w:p>
    <w:p w14:paraId="575BFE31">
      <w:pPr>
        <w:rPr>
          <w:rFonts w:hint="eastAsia" w:ascii="宋体" w:hAnsi="宋体" w:cs="宋体"/>
          <w:color w:val="auto"/>
          <w:highlight w:val="none"/>
        </w:rPr>
      </w:pPr>
    </w:p>
    <w:p w14:paraId="7E2C21B1">
      <w:pPr>
        <w:rPr>
          <w:rFonts w:hint="eastAsia" w:ascii="宋体" w:hAnsi="宋体" w:cs="宋体"/>
          <w:color w:val="auto"/>
          <w:highlight w:val="none"/>
        </w:rPr>
      </w:pPr>
    </w:p>
    <w:p w14:paraId="72B24BE1">
      <w:pPr>
        <w:jc w:val="center"/>
        <w:rPr>
          <w:rFonts w:hint="eastAsia" w:ascii="宋体" w:hAnsi="宋体" w:cs="宋体"/>
          <w:color w:val="auto"/>
          <w:highlight w:val="none"/>
        </w:rPr>
      </w:pPr>
    </w:p>
    <w:p w14:paraId="492BD968">
      <w:pPr>
        <w:rPr>
          <w:rFonts w:hint="eastAsia" w:ascii="宋体" w:hAnsi="宋体" w:cs="宋体"/>
          <w:color w:val="auto"/>
          <w:highlight w:val="none"/>
        </w:rPr>
      </w:pPr>
    </w:p>
    <w:p w14:paraId="03FF754A">
      <w:pPr>
        <w:rPr>
          <w:rFonts w:hint="eastAsia" w:ascii="宋体" w:hAnsi="宋体" w:eastAsia="宋体" w:cs="宋体"/>
          <w:color w:val="auto"/>
          <w:highlight w:val="none"/>
          <w:lang w:eastAsia="zh-CN"/>
        </w:rPr>
      </w:pPr>
    </w:p>
    <w:p w14:paraId="26EA7A2D">
      <w:pPr>
        <w:pStyle w:val="22"/>
        <w:tabs>
          <w:tab w:val="left" w:pos="4253"/>
        </w:tabs>
        <w:jc w:val="center"/>
        <w:rPr>
          <w:rFonts w:hint="eastAsia" w:hAnsi="宋体" w:cs="宋体"/>
          <w:b/>
          <w:color w:val="auto"/>
          <w:spacing w:val="32"/>
          <w:sz w:val="72"/>
          <w:szCs w:val="72"/>
          <w:highlight w:val="none"/>
        </w:rPr>
      </w:pPr>
    </w:p>
    <w:p w14:paraId="61BFA7B5">
      <w:pPr>
        <w:pStyle w:val="22"/>
        <w:tabs>
          <w:tab w:val="left" w:pos="4253"/>
        </w:tabs>
        <w:jc w:val="center"/>
        <w:rPr>
          <w:rFonts w:hint="eastAsia" w:hAnsi="宋体" w:cs="宋体"/>
          <w:b/>
          <w:color w:val="auto"/>
          <w:spacing w:val="32"/>
          <w:sz w:val="72"/>
          <w:szCs w:val="72"/>
          <w:highlight w:val="none"/>
        </w:rPr>
      </w:pPr>
    </w:p>
    <w:p w14:paraId="50920E20">
      <w:pPr>
        <w:pStyle w:val="22"/>
        <w:tabs>
          <w:tab w:val="left" w:pos="4253"/>
        </w:tabs>
        <w:jc w:val="center"/>
        <w:rPr>
          <w:rFonts w:hint="eastAsia" w:hAnsi="宋体" w:cs="宋体"/>
          <w:b/>
          <w:color w:val="auto"/>
          <w:spacing w:val="32"/>
          <w:sz w:val="72"/>
          <w:szCs w:val="72"/>
          <w:highlight w:val="none"/>
        </w:rPr>
      </w:pPr>
      <w:r>
        <w:rPr>
          <w:rFonts w:hint="eastAsia" w:hAnsi="宋体" w:cs="宋体"/>
          <w:b/>
          <w:color w:val="auto"/>
          <w:spacing w:val="32"/>
          <w:sz w:val="72"/>
          <w:szCs w:val="72"/>
          <w:highlight w:val="none"/>
        </w:rPr>
        <w:t>竞争性磋商文件</w:t>
      </w:r>
    </w:p>
    <w:p w14:paraId="4DA29997">
      <w:pPr>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（电子交易）</w:t>
      </w:r>
    </w:p>
    <w:p w14:paraId="5E353713">
      <w:pPr>
        <w:rPr>
          <w:rFonts w:hint="eastAsia" w:ascii="宋体" w:hAnsi="宋体" w:cs="宋体"/>
          <w:color w:val="auto"/>
          <w:highlight w:val="none"/>
        </w:rPr>
      </w:pPr>
    </w:p>
    <w:p w14:paraId="03C9B0D3">
      <w:pPr>
        <w:pStyle w:val="22"/>
        <w:rPr>
          <w:rFonts w:hint="eastAsia" w:hAnsi="宋体" w:cs="宋体"/>
          <w:color w:val="auto"/>
          <w:highlight w:val="none"/>
        </w:rPr>
      </w:pPr>
    </w:p>
    <w:p w14:paraId="44C63120">
      <w:pPr>
        <w:pStyle w:val="22"/>
        <w:rPr>
          <w:rFonts w:hint="eastAsia" w:hAnsi="宋体" w:cs="宋体"/>
          <w:b/>
          <w:color w:val="auto"/>
          <w:sz w:val="28"/>
          <w:szCs w:val="28"/>
          <w:highlight w:val="none"/>
        </w:rPr>
      </w:pPr>
    </w:p>
    <w:p w14:paraId="1AA1EC96">
      <w:pPr>
        <w:pStyle w:val="22"/>
        <w:rPr>
          <w:rFonts w:hint="eastAsia" w:hAnsi="宋体" w:cs="宋体"/>
          <w:b/>
          <w:color w:val="auto"/>
          <w:sz w:val="28"/>
          <w:szCs w:val="28"/>
          <w:highlight w:val="none"/>
        </w:rPr>
      </w:pPr>
    </w:p>
    <w:p w14:paraId="1FE77773">
      <w:pPr>
        <w:rPr>
          <w:rFonts w:hint="eastAsia" w:ascii="宋体" w:hAnsi="宋体" w:cs="宋体"/>
          <w:b/>
          <w:color w:val="auto"/>
          <w:sz w:val="32"/>
          <w:szCs w:val="32"/>
          <w:highlight w:val="none"/>
        </w:rPr>
      </w:pPr>
    </w:p>
    <w:p w14:paraId="745D8F83">
      <w:pPr>
        <w:snapToGrid w:val="0"/>
        <w:spacing w:before="120" w:beforeLines="50" w:line="360" w:lineRule="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项目名称：北海市银海区三合口民族学校教学楼拆除重建项目</w:t>
      </w:r>
    </w:p>
    <w:p w14:paraId="303C3B17">
      <w:pPr>
        <w:snapToGrid w:val="0"/>
        <w:spacing w:before="120" w:beforeLines="50" w:line="360" w:lineRule="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项目编号：BHZC2025-C2-030055-GXHS</w:t>
      </w:r>
    </w:p>
    <w:p w14:paraId="36EFB849">
      <w:pPr>
        <w:snapToGrid w:val="0"/>
        <w:spacing w:before="120" w:beforeLines="50" w:line="360" w:lineRule="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采购单位：北海市银海区三合口民族学校</w:t>
      </w:r>
    </w:p>
    <w:p w14:paraId="53AD4387">
      <w:pPr>
        <w:snapToGrid w:val="0"/>
        <w:spacing w:before="120" w:beforeLines="50" w:line="360" w:lineRule="auto"/>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rPr>
        <w:t>采购代理机构：</w:t>
      </w:r>
      <w:r>
        <w:rPr>
          <w:rFonts w:hint="eastAsia" w:ascii="宋体" w:hAnsi="宋体" w:cs="宋体"/>
          <w:b/>
          <w:bCs/>
          <w:color w:val="auto"/>
          <w:sz w:val="28"/>
          <w:szCs w:val="28"/>
          <w:highlight w:val="none"/>
          <w:u w:val="none"/>
          <w:lang w:eastAsia="zh-CN"/>
        </w:rPr>
        <w:t>广西华晟工程项目管理咨询有限公司</w:t>
      </w:r>
    </w:p>
    <w:p w14:paraId="4E62F7E7">
      <w:pPr>
        <w:snapToGrid w:val="0"/>
        <w:spacing w:before="120" w:beforeLines="50" w:line="360" w:lineRule="auto"/>
        <w:rPr>
          <w:rFonts w:hint="eastAsia" w:ascii="宋体" w:hAnsi="宋体" w:cs="宋体"/>
          <w:b/>
          <w:color w:val="auto"/>
          <w:sz w:val="28"/>
          <w:szCs w:val="28"/>
          <w:highlight w:val="none"/>
        </w:rPr>
      </w:pPr>
    </w:p>
    <w:p w14:paraId="3E76E97B">
      <w:pPr>
        <w:pStyle w:val="22"/>
        <w:jc w:val="center"/>
        <w:rPr>
          <w:rFonts w:hint="eastAsia" w:hAnsi="宋体" w:cs="宋体"/>
          <w:b/>
          <w:color w:val="auto"/>
          <w:sz w:val="56"/>
          <w:szCs w:val="56"/>
          <w:highlight w:val="none"/>
        </w:rPr>
      </w:pPr>
      <w:r>
        <w:rPr>
          <w:rFonts w:hint="eastAsia" w:hAnsi="宋体" w:cs="宋体"/>
          <w:b/>
          <w:color w:val="auto"/>
          <w:sz w:val="28"/>
          <w:szCs w:val="28"/>
          <w:highlight w:val="none"/>
        </w:rPr>
        <w:t xml:space="preserve"> 2025年</w:t>
      </w:r>
      <w:r>
        <w:rPr>
          <w:rFonts w:hint="eastAsia" w:hAnsi="宋体" w:cs="宋体"/>
          <w:b/>
          <w:color w:val="auto"/>
          <w:sz w:val="28"/>
          <w:szCs w:val="28"/>
          <w:highlight w:val="none"/>
          <w:lang w:val="en-US" w:eastAsia="zh-CN"/>
        </w:rPr>
        <w:t>11</w:t>
      </w:r>
      <w:r>
        <w:rPr>
          <w:rFonts w:hint="eastAsia" w:hAnsi="宋体" w:cs="宋体"/>
          <w:b/>
          <w:color w:val="auto"/>
          <w:sz w:val="28"/>
          <w:szCs w:val="28"/>
          <w:highlight w:val="none"/>
        </w:rPr>
        <w:t>月</w:t>
      </w:r>
    </w:p>
    <w:p w14:paraId="16F5BD38">
      <w:pPr>
        <w:spacing w:line="800" w:lineRule="exact"/>
        <w:jc w:val="center"/>
        <w:rPr>
          <w:rFonts w:ascii="黑体" w:hAnsi="Courier New" w:eastAsia="黑体" w:cs="Courier New"/>
          <w:color w:val="auto"/>
          <w:sz w:val="48"/>
          <w:szCs w:val="48"/>
          <w:highlight w:val="none"/>
        </w:rPr>
      </w:pPr>
      <w:r>
        <w:rPr>
          <w:rFonts w:hint="eastAsia" w:ascii="黑体" w:hAnsi="Courier New" w:eastAsia="黑体" w:cs="Courier New"/>
          <w:color w:val="auto"/>
          <w:sz w:val="48"/>
          <w:szCs w:val="48"/>
          <w:highlight w:val="none"/>
        </w:rPr>
        <w:t>目   录</w:t>
      </w:r>
    </w:p>
    <w:p w14:paraId="43968DC7">
      <w:pPr>
        <w:spacing w:line="400" w:lineRule="exact"/>
        <w:jc w:val="center"/>
        <w:rPr>
          <w:rFonts w:ascii="仿宋_GB2312" w:hAnsi="宋体" w:eastAsia="仿宋_GB2312"/>
          <w:b/>
          <w:color w:val="auto"/>
          <w:sz w:val="32"/>
          <w:szCs w:val="32"/>
          <w:highlight w:val="none"/>
        </w:rPr>
      </w:pPr>
    </w:p>
    <w:p w14:paraId="4914816B">
      <w:pPr>
        <w:spacing w:line="400" w:lineRule="exact"/>
        <w:rPr>
          <w:rFonts w:ascii="仿宋_GB2312" w:hAnsi="宋体" w:eastAsia="仿宋_GB2312"/>
          <w:b/>
          <w:color w:val="auto"/>
          <w:sz w:val="32"/>
          <w:szCs w:val="32"/>
          <w:highlight w:val="none"/>
        </w:rPr>
      </w:pPr>
    </w:p>
    <w:p w14:paraId="1877CFB8">
      <w:pPr>
        <w:pStyle w:val="28"/>
        <w:keepNext w:val="0"/>
        <w:keepLines w:val="0"/>
        <w:pageBreakBefore w:val="0"/>
        <w:widowControl w:val="0"/>
        <w:tabs>
          <w:tab w:val="right" w:leader="dot" w:pos="9298"/>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TOC \o "1-2" \h \z \u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_Toc9615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color w:val="auto"/>
          <w:sz w:val="24"/>
          <w:szCs w:val="24"/>
          <w:highlight w:val="none"/>
        </w:rPr>
        <w:t>第一章  竞争性磋商公告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5E9FB76C">
      <w:pPr>
        <w:pStyle w:val="28"/>
        <w:keepNext w:val="0"/>
        <w:keepLines w:val="0"/>
        <w:pageBreakBefore w:val="0"/>
        <w:widowControl w:val="0"/>
        <w:tabs>
          <w:tab w:val="right" w:leader="dot" w:pos="9298"/>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_Toc12743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color w:val="auto"/>
          <w:sz w:val="24"/>
          <w:szCs w:val="24"/>
          <w:highlight w:val="none"/>
        </w:rPr>
        <w:t>第二章  磋商供应商须知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_Toc12743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2766D34A">
      <w:pPr>
        <w:pStyle w:val="28"/>
        <w:keepNext w:val="0"/>
        <w:keepLines w:val="0"/>
        <w:pageBreakBefore w:val="0"/>
        <w:widowControl w:val="0"/>
        <w:tabs>
          <w:tab w:val="right" w:leader="dot" w:pos="9298"/>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_Toc11124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color w:val="auto"/>
          <w:sz w:val="24"/>
          <w:szCs w:val="24"/>
          <w:highlight w:val="none"/>
        </w:rPr>
        <w:t>第三章  竞争性磋商响应文件格式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5E600A8E">
      <w:pPr>
        <w:pStyle w:val="28"/>
        <w:keepNext w:val="0"/>
        <w:keepLines w:val="0"/>
        <w:pageBreakBefore w:val="0"/>
        <w:widowControl w:val="0"/>
        <w:tabs>
          <w:tab w:val="right" w:leader="dot" w:pos="9298"/>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_Toc10525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color w:val="auto"/>
          <w:sz w:val="24"/>
          <w:szCs w:val="24"/>
          <w:highlight w:val="none"/>
        </w:rPr>
        <w:t>第四章  采购项目需求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_Toc10525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447A7B2B">
      <w:pPr>
        <w:pStyle w:val="28"/>
        <w:keepNext w:val="0"/>
        <w:keepLines w:val="0"/>
        <w:pageBreakBefore w:val="0"/>
        <w:widowControl w:val="0"/>
        <w:tabs>
          <w:tab w:val="right" w:leader="dot" w:pos="9298"/>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_Toc24324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color w:val="auto"/>
          <w:sz w:val="24"/>
          <w:szCs w:val="24"/>
          <w:highlight w:val="none"/>
        </w:rPr>
        <w:t>第五章  工程量清单及图纸</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_Toc24324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72</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7D8660BB">
      <w:pPr>
        <w:pStyle w:val="28"/>
        <w:keepNext w:val="0"/>
        <w:keepLines w:val="0"/>
        <w:pageBreakBefore w:val="0"/>
        <w:widowControl w:val="0"/>
        <w:tabs>
          <w:tab w:val="right" w:leader="dot" w:pos="9298"/>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_Toc9174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color w:val="auto"/>
          <w:kern w:val="0"/>
          <w:sz w:val="24"/>
          <w:szCs w:val="24"/>
          <w:highlight w:val="none"/>
        </w:rPr>
        <w:t>第六章  合同格式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_Toc9174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68EFE544">
      <w:pPr>
        <w:pStyle w:val="31"/>
        <w:keepNext w:val="0"/>
        <w:keepLines w:val="0"/>
        <w:pageBreakBefore w:val="0"/>
        <w:widowControl w:val="0"/>
        <w:tabs>
          <w:tab w:val="right" w:leader="dot" w:pos="9298"/>
          <w:tab w:val="clear" w:pos="9360"/>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_Toc2107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color w:val="auto"/>
          <w:sz w:val="24"/>
          <w:szCs w:val="24"/>
          <w:highlight w:val="none"/>
        </w:rPr>
        <w:t>第一部分 合同协议书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_Toc2107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75</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31534BBC">
      <w:pPr>
        <w:pStyle w:val="31"/>
        <w:keepNext w:val="0"/>
        <w:keepLines w:val="0"/>
        <w:pageBreakBefore w:val="0"/>
        <w:widowControl w:val="0"/>
        <w:tabs>
          <w:tab w:val="right" w:leader="dot" w:pos="9298"/>
          <w:tab w:val="clear" w:pos="9360"/>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_Toc20267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color w:val="auto"/>
          <w:sz w:val="24"/>
          <w:szCs w:val="24"/>
          <w:highlight w:val="none"/>
        </w:rPr>
        <w:t>第二部分 通用合同条款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_Toc20267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478D22F0">
      <w:pPr>
        <w:pStyle w:val="31"/>
        <w:keepNext w:val="0"/>
        <w:keepLines w:val="0"/>
        <w:pageBreakBefore w:val="0"/>
        <w:widowControl w:val="0"/>
        <w:tabs>
          <w:tab w:val="right" w:leader="dot" w:pos="9298"/>
          <w:tab w:val="clear" w:pos="9360"/>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_Toc14322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color w:val="auto"/>
          <w:sz w:val="24"/>
          <w:szCs w:val="24"/>
          <w:highlight w:val="none"/>
        </w:rPr>
        <w:t>第三部分 专用合同条款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_Toc14322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21A1690B">
      <w:pPr>
        <w:pStyle w:val="28"/>
        <w:keepNext w:val="0"/>
        <w:keepLines w:val="0"/>
        <w:pageBreakBefore w:val="0"/>
        <w:widowControl w:val="0"/>
        <w:tabs>
          <w:tab w:val="right" w:leader="dot" w:pos="9298"/>
        </w:tabs>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pacing w:val="4"/>
          <w:sz w:val="24"/>
          <w:szCs w:val="24"/>
          <w:highlight w:val="none"/>
        </w:rPr>
        <w:fldChar w:fldCharType="begin"/>
      </w:r>
      <w:r>
        <w:rPr>
          <w:rFonts w:hint="eastAsia" w:ascii="宋体" w:hAnsi="宋体" w:eastAsia="宋体" w:cs="宋体"/>
          <w:bCs/>
          <w:color w:val="auto"/>
          <w:spacing w:val="4"/>
          <w:sz w:val="24"/>
          <w:szCs w:val="24"/>
          <w:highlight w:val="none"/>
        </w:rPr>
        <w:instrText xml:space="preserve"> HYPERLINK \l _Toc14089 </w:instrText>
      </w:r>
      <w:r>
        <w:rPr>
          <w:rFonts w:hint="eastAsia" w:ascii="宋体" w:hAnsi="宋体" w:eastAsia="宋体" w:cs="宋体"/>
          <w:bCs/>
          <w:color w:val="auto"/>
          <w:spacing w:val="4"/>
          <w:sz w:val="24"/>
          <w:szCs w:val="24"/>
          <w:highlight w:val="none"/>
        </w:rPr>
        <w:fldChar w:fldCharType="separate"/>
      </w:r>
      <w:r>
        <w:rPr>
          <w:rFonts w:hint="eastAsia" w:ascii="宋体" w:hAnsi="宋体" w:eastAsia="宋体" w:cs="宋体"/>
          <w:color w:val="auto"/>
          <w:kern w:val="0"/>
          <w:sz w:val="24"/>
          <w:szCs w:val="24"/>
          <w:highlight w:val="none"/>
        </w:rPr>
        <w:t>第七章  评定标准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_Toc14089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pacing w:val="4"/>
          <w:sz w:val="24"/>
          <w:szCs w:val="24"/>
          <w:highlight w:val="none"/>
        </w:rPr>
        <w:fldChar w:fldCharType="end"/>
      </w:r>
    </w:p>
    <w:p w14:paraId="2EF759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b/>
          <w:color w:val="auto"/>
          <w:sz w:val="32"/>
          <w:szCs w:val="32"/>
          <w:highlight w:val="none"/>
        </w:rPr>
      </w:pPr>
      <w:r>
        <w:rPr>
          <w:rFonts w:hint="eastAsia" w:ascii="宋体" w:hAnsi="宋体" w:eastAsia="宋体" w:cs="宋体"/>
          <w:bCs/>
          <w:color w:val="auto"/>
          <w:spacing w:val="4"/>
          <w:sz w:val="24"/>
          <w:szCs w:val="24"/>
          <w:highlight w:val="none"/>
        </w:rPr>
        <w:fldChar w:fldCharType="end"/>
      </w:r>
    </w:p>
    <w:p w14:paraId="0E9643E9">
      <w:pPr>
        <w:spacing w:line="400" w:lineRule="exact"/>
        <w:jc w:val="center"/>
        <w:rPr>
          <w:rFonts w:ascii="仿宋_GB2312" w:hAnsi="宋体" w:eastAsia="仿宋_GB2312"/>
          <w:b/>
          <w:color w:val="auto"/>
          <w:sz w:val="32"/>
          <w:szCs w:val="32"/>
          <w:highlight w:val="none"/>
        </w:rPr>
      </w:pPr>
    </w:p>
    <w:p w14:paraId="02ACC302">
      <w:pPr>
        <w:spacing w:line="400" w:lineRule="exact"/>
        <w:jc w:val="center"/>
        <w:rPr>
          <w:rFonts w:ascii="仿宋_GB2312" w:hAnsi="宋体" w:eastAsia="仿宋_GB2312"/>
          <w:b/>
          <w:color w:val="auto"/>
          <w:sz w:val="32"/>
          <w:szCs w:val="32"/>
          <w:highlight w:val="none"/>
        </w:rPr>
      </w:pPr>
    </w:p>
    <w:p w14:paraId="53C3C5D5">
      <w:pPr>
        <w:spacing w:line="400" w:lineRule="exact"/>
        <w:jc w:val="center"/>
        <w:rPr>
          <w:rFonts w:ascii="仿宋_GB2312" w:hAnsi="宋体" w:eastAsia="仿宋_GB2312"/>
          <w:b/>
          <w:color w:val="auto"/>
          <w:sz w:val="32"/>
          <w:szCs w:val="32"/>
          <w:highlight w:val="none"/>
        </w:rPr>
      </w:pPr>
    </w:p>
    <w:p w14:paraId="3BB8F815">
      <w:pPr>
        <w:spacing w:line="400" w:lineRule="exact"/>
        <w:jc w:val="center"/>
        <w:rPr>
          <w:rFonts w:ascii="仿宋_GB2312" w:hAnsi="宋体" w:eastAsia="仿宋_GB2312"/>
          <w:b/>
          <w:color w:val="auto"/>
          <w:sz w:val="32"/>
          <w:szCs w:val="32"/>
          <w:highlight w:val="none"/>
        </w:rPr>
      </w:pPr>
    </w:p>
    <w:p w14:paraId="52EF53B4">
      <w:pPr>
        <w:spacing w:line="400" w:lineRule="exact"/>
        <w:jc w:val="center"/>
        <w:rPr>
          <w:rFonts w:ascii="仿宋_GB2312" w:hAnsi="宋体" w:eastAsia="仿宋_GB2312"/>
          <w:b/>
          <w:color w:val="auto"/>
          <w:sz w:val="32"/>
          <w:szCs w:val="32"/>
          <w:highlight w:val="none"/>
        </w:rPr>
      </w:pPr>
    </w:p>
    <w:p w14:paraId="3CB83016">
      <w:pPr>
        <w:spacing w:line="400" w:lineRule="exact"/>
        <w:jc w:val="center"/>
        <w:rPr>
          <w:rFonts w:ascii="仿宋_GB2312" w:hAnsi="宋体" w:eastAsia="仿宋_GB2312"/>
          <w:b/>
          <w:color w:val="auto"/>
          <w:sz w:val="32"/>
          <w:szCs w:val="32"/>
          <w:highlight w:val="none"/>
        </w:rPr>
      </w:pPr>
    </w:p>
    <w:p w14:paraId="3298147C">
      <w:pPr>
        <w:spacing w:line="400" w:lineRule="exact"/>
        <w:jc w:val="center"/>
        <w:rPr>
          <w:rFonts w:ascii="仿宋_GB2312" w:hAnsi="宋体" w:eastAsia="仿宋_GB2312"/>
          <w:b/>
          <w:color w:val="auto"/>
          <w:sz w:val="32"/>
          <w:szCs w:val="32"/>
          <w:highlight w:val="none"/>
        </w:rPr>
      </w:pPr>
    </w:p>
    <w:p w14:paraId="4C764034">
      <w:pPr>
        <w:spacing w:line="400" w:lineRule="exact"/>
        <w:jc w:val="center"/>
        <w:rPr>
          <w:rFonts w:ascii="仿宋_GB2312" w:hAnsi="宋体" w:eastAsia="仿宋_GB2312"/>
          <w:b/>
          <w:color w:val="auto"/>
          <w:sz w:val="32"/>
          <w:szCs w:val="32"/>
          <w:highlight w:val="none"/>
        </w:rPr>
      </w:pPr>
    </w:p>
    <w:p w14:paraId="0140C42F">
      <w:pPr>
        <w:spacing w:line="400" w:lineRule="exact"/>
        <w:jc w:val="center"/>
        <w:rPr>
          <w:rFonts w:ascii="仿宋_GB2312" w:hAnsi="宋体" w:eastAsia="仿宋_GB2312"/>
          <w:b/>
          <w:color w:val="auto"/>
          <w:sz w:val="32"/>
          <w:szCs w:val="32"/>
          <w:highlight w:val="none"/>
        </w:rPr>
      </w:pPr>
    </w:p>
    <w:p w14:paraId="4461BC22">
      <w:pPr>
        <w:spacing w:line="400" w:lineRule="exact"/>
        <w:rPr>
          <w:rFonts w:ascii="仿宋_GB2312" w:hAnsi="宋体" w:eastAsia="仿宋_GB2312"/>
          <w:b/>
          <w:color w:val="auto"/>
          <w:sz w:val="32"/>
          <w:szCs w:val="32"/>
          <w:highlight w:val="none"/>
        </w:rPr>
      </w:pPr>
    </w:p>
    <w:p w14:paraId="39D00FAB">
      <w:pPr>
        <w:spacing w:line="400" w:lineRule="exact"/>
        <w:rPr>
          <w:rFonts w:ascii="仿宋_GB2312" w:hAnsi="宋体" w:eastAsia="仿宋_GB2312"/>
          <w:b/>
          <w:color w:val="auto"/>
          <w:sz w:val="32"/>
          <w:szCs w:val="32"/>
          <w:highlight w:val="none"/>
        </w:rPr>
        <w:sectPr>
          <w:headerReference r:id="rId4" w:type="first"/>
          <w:footerReference r:id="rId5" w:type="first"/>
          <w:headerReference r:id="rId3" w:type="default"/>
          <w:pgSz w:w="11906" w:h="16838"/>
          <w:pgMar w:top="1474" w:right="1304" w:bottom="1134" w:left="1304" w:header="851" w:footer="992" w:gutter="0"/>
          <w:pgNumType w:start="1"/>
          <w:cols w:space="720" w:num="1"/>
          <w:docGrid w:type="lines" w:linePitch="312" w:charSpace="0"/>
        </w:sectPr>
      </w:pPr>
    </w:p>
    <w:p w14:paraId="16699B75">
      <w:pPr>
        <w:pStyle w:val="18"/>
        <w:rPr>
          <w:color w:val="auto"/>
          <w:highlight w:val="none"/>
        </w:rPr>
      </w:pPr>
    </w:p>
    <w:p w14:paraId="3015E5EB">
      <w:pPr>
        <w:spacing w:line="400" w:lineRule="exact"/>
        <w:rPr>
          <w:rFonts w:ascii="仿宋_GB2312" w:hAnsi="宋体" w:eastAsia="仿宋_GB2312"/>
          <w:b/>
          <w:color w:val="auto"/>
          <w:sz w:val="32"/>
          <w:szCs w:val="32"/>
          <w:highlight w:val="none"/>
        </w:rPr>
      </w:pPr>
    </w:p>
    <w:p w14:paraId="041E8317">
      <w:pPr>
        <w:spacing w:line="400" w:lineRule="exact"/>
        <w:rPr>
          <w:rFonts w:ascii="仿宋_GB2312" w:hAnsi="宋体" w:eastAsia="仿宋_GB2312"/>
          <w:b/>
          <w:color w:val="auto"/>
          <w:sz w:val="32"/>
          <w:szCs w:val="32"/>
          <w:highlight w:val="none"/>
        </w:rPr>
      </w:pPr>
    </w:p>
    <w:p w14:paraId="55294ADE">
      <w:pPr>
        <w:spacing w:line="400" w:lineRule="exact"/>
        <w:rPr>
          <w:rFonts w:ascii="仿宋_GB2312" w:hAnsi="宋体" w:eastAsia="仿宋_GB2312"/>
          <w:b/>
          <w:color w:val="auto"/>
          <w:sz w:val="32"/>
          <w:szCs w:val="32"/>
          <w:highlight w:val="none"/>
        </w:rPr>
      </w:pPr>
    </w:p>
    <w:p w14:paraId="05647416">
      <w:pPr>
        <w:spacing w:line="400" w:lineRule="exact"/>
        <w:rPr>
          <w:rFonts w:ascii="仿宋_GB2312" w:hAnsi="宋体" w:eastAsia="仿宋_GB2312"/>
          <w:b/>
          <w:color w:val="auto"/>
          <w:sz w:val="32"/>
          <w:szCs w:val="32"/>
          <w:highlight w:val="none"/>
        </w:rPr>
      </w:pPr>
    </w:p>
    <w:p w14:paraId="3B6050A1">
      <w:pPr>
        <w:spacing w:line="400" w:lineRule="exact"/>
        <w:jc w:val="center"/>
        <w:rPr>
          <w:rFonts w:ascii="黑体" w:hAnsi="宋体" w:eastAsia="黑体"/>
          <w:b/>
          <w:color w:val="auto"/>
          <w:sz w:val="32"/>
          <w:szCs w:val="32"/>
          <w:highlight w:val="none"/>
        </w:rPr>
      </w:pPr>
    </w:p>
    <w:p w14:paraId="70F29A83">
      <w:pPr>
        <w:spacing w:line="400" w:lineRule="exact"/>
        <w:jc w:val="center"/>
        <w:rPr>
          <w:rFonts w:ascii="黑体" w:hAnsi="宋体" w:eastAsia="黑体"/>
          <w:b/>
          <w:color w:val="auto"/>
          <w:sz w:val="32"/>
          <w:szCs w:val="32"/>
          <w:highlight w:val="none"/>
        </w:rPr>
      </w:pPr>
    </w:p>
    <w:p w14:paraId="5400D096">
      <w:pPr>
        <w:spacing w:line="400" w:lineRule="exact"/>
        <w:jc w:val="center"/>
        <w:rPr>
          <w:rFonts w:ascii="黑体" w:hAnsi="宋体" w:eastAsia="黑体"/>
          <w:b/>
          <w:color w:val="auto"/>
          <w:sz w:val="32"/>
          <w:szCs w:val="32"/>
          <w:highlight w:val="none"/>
        </w:rPr>
      </w:pPr>
    </w:p>
    <w:p w14:paraId="04D6FA25">
      <w:pPr>
        <w:spacing w:line="400" w:lineRule="exact"/>
        <w:jc w:val="center"/>
        <w:rPr>
          <w:rFonts w:ascii="黑体" w:hAnsi="宋体" w:eastAsia="黑体"/>
          <w:b/>
          <w:color w:val="auto"/>
          <w:sz w:val="32"/>
          <w:szCs w:val="32"/>
          <w:highlight w:val="none"/>
        </w:rPr>
      </w:pPr>
    </w:p>
    <w:p w14:paraId="05295878">
      <w:pPr>
        <w:pStyle w:val="18"/>
        <w:rPr>
          <w:color w:val="auto"/>
          <w:highlight w:val="none"/>
        </w:rPr>
      </w:pPr>
    </w:p>
    <w:p w14:paraId="12547495">
      <w:pPr>
        <w:spacing w:line="400" w:lineRule="exact"/>
        <w:jc w:val="center"/>
        <w:rPr>
          <w:rFonts w:ascii="黑体" w:hAnsi="宋体" w:eastAsia="黑体"/>
          <w:b/>
          <w:color w:val="auto"/>
          <w:sz w:val="32"/>
          <w:szCs w:val="32"/>
          <w:highlight w:val="none"/>
        </w:rPr>
      </w:pPr>
    </w:p>
    <w:p w14:paraId="4893361A">
      <w:pPr>
        <w:spacing w:line="400" w:lineRule="exact"/>
        <w:jc w:val="center"/>
        <w:rPr>
          <w:rFonts w:ascii="黑体" w:hAnsi="宋体" w:eastAsia="黑体"/>
          <w:b/>
          <w:color w:val="auto"/>
          <w:sz w:val="32"/>
          <w:szCs w:val="32"/>
          <w:highlight w:val="none"/>
        </w:rPr>
      </w:pPr>
    </w:p>
    <w:p w14:paraId="0278A728">
      <w:pPr>
        <w:spacing w:line="400" w:lineRule="exact"/>
        <w:jc w:val="center"/>
        <w:rPr>
          <w:rFonts w:ascii="黑体" w:hAnsi="宋体" w:eastAsia="黑体"/>
          <w:b/>
          <w:color w:val="auto"/>
          <w:sz w:val="32"/>
          <w:szCs w:val="32"/>
          <w:highlight w:val="none"/>
        </w:rPr>
      </w:pPr>
    </w:p>
    <w:p w14:paraId="4A8C0126">
      <w:pPr>
        <w:spacing w:line="600" w:lineRule="exact"/>
        <w:jc w:val="center"/>
        <w:outlineLvl w:val="0"/>
        <w:rPr>
          <w:rFonts w:ascii="宋体" w:hAnsi="宋体"/>
          <w:b/>
          <w:color w:val="auto"/>
          <w:sz w:val="44"/>
          <w:szCs w:val="44"/>
          <w:highlight w:val="none"/>
        </w:rPr>
      </w:pPr>
      <w:bookmarkStart w:id="0" w:name="_Toc23639"/>
      <w:bookmarkStart w:id="1" w:name="_Toc3994503"/>
      <w:bookmarkStart w:id="2" w:name="_Toc9615"/>
      <w:r>
        <w:rPr>
          <w:rFonts w:hint="eastAsia" w:ascii="宋体" w:hAnsi="宋体"/>
          <w:b/>
          <w:color w:val="auto"/>
          <w:sz w:val="44"/>
          <w:szCs w:val="44"/>
          <w:highlight w:val="none"/>
        </w:rPr>
        <w:t>第一章  竞争性磋商公告</w:t>
      </w:r>
      <w:bookmarkEnd w:id="0"/>
      <w:bookmarkEnd w:id="1"/>
      <w:bookmarkEnd w:id="2"/>
    </w:p>
    <w:p w14:paraId="0727CA83">
      <w:pPr>
        <w:spacing w:line="400" w:lineRule="exact"/>
        <w:jc w:val="center"/>
        <w:rPr>
          <w:rFonts w:ascii="黑体" w:hAnsi="宋体" w:eastAsia="黑体"/>
          <w:b/>
          <w:color w:val="auto"/>
          <w:sz w:val="32"/>
          <w:szCs w:val="32"/>
          <w:highlight w:val="none"/>
        </w:rPr>
      </w:pPr>
    </w:p>
    <w:p w14:paraId="0F279573">
      <w:pPr>
        <w:spacing w:line="400" w:lineRule="exact"/>
        <w:jc w:val="center"/>
        <w:rPr>
          <w:rFonts w:ascii="黑体" w:hAnsi="宋体" w:eastAsia="黑体"/>
          <w:b/>
          <w:color w:val="auto"/>
          <w:sz w:val="32"/>
          <w:szCs w:val="32"/>
          <w:highlight w:val="none"/>
        </w:rPr>
      </w:pPr>
    </w:p>
    <w:p w14:paraId="60AF6439">
      <w:pPr>
        <w:spacing w:line="400" w:lineRule="exact"/>
        <w:jc w:val="center"/>
        <w:rPr>
          <w:rFonts w:ascii="黑体" w:hAnsi="宋体" w:eastAsia="黑体"/>
          <w:b/>
          <w:color w:val="auto"/>
          <w:sz w:val="32"/>
          <w:szCs w:val="32"/>
          <w:highlight w:val="none"/>
        </w:rPr>
      </w:pPr>
    </w:p>
    <w:p w14:paraId="6A5466D3">
      <w:pPr>
        <w:spacing w:line="400" w:lineRule="exact"/>
        <w:jc w:val="center"/>
        <w:rPr>
          <w:rFonts w:ascii="黑体" w:hAnsi="宋体" w:eastAsia="黑体"/>
          <w:b/>
          <w:color w:val="auto"/>
          <w:sz w:val="32"/>
          <w:szCs w:val="32"/>
          <w:highlight w:val="none"/>
        </w:rPr>
      </w:pPr>
    </w:p>
    <w:p w14:paraId="21C95CC6">
      <w:pPr>
        <w:spacing w:line="400" w:lineRule="exact"/>
        <w:jc w:val="center"/>
        <w:rPr>
          <w:rFonts w:ascii="黑体" w:hAnsi="宋体" w:eastAsia="黑体"/>
          <w:b/>
          <w:color w:val="auto"/>
          <w:sz w:val="32"/>
          <w:szCs w:val="32"/>
          <w:highlight w:val="none"/>
        </w:rPr>
      </w:pPr>
    </w:p>
    <w:p w14:paraId="6683E601">
      <w:pPr>
        <w:spacing w:line="400" w:lineRule="exact"/>
        <w:jc w:val="center"/>
        <w:rPr>
          <w:rFonts w:ascii="黑体" w:hAnsi="宋体" w:eastAsia="黑体"/>
          <w:b/>
          <w:color w:val="auto"/>
          <w:sz w:val="32"/>
          <w:szCs w:val="32"/>
          <w:highlight w:val="none"/>
        </w:rPr>
      </w:pPr>
    </w:p>
    <w:p w14:paraId="7A881D46">
      <w:pPr>
        <w:spacing w:line="400" w:lineRule="exact"/>
        <w:jc w:val="center"/>
        <w:rPr>
          <w:rFonts w:ascii="黑体" w:hAnsi="宋体" w:eastAsia="黑体"/>
          <w:b/>
          <w:color w:val="auto"/>
          <w:sz w:val="32"/>
          <w:szCs w:val="32"/>
          <w:highlight w:val="none"/>
        </w:rPr>
      </w:pPr>
    </w:p>
    <w:p w14:paraId="04DF5B70">
      <w:pPr>
        <w:spacing w:line="400" w:lineRule="exact"/>
        <w:jc w:val="center"/>
        <w:rPr>
          <w:rFonts w:ascii="黑体" w:hAnsi="宋体" w:eastAsia="黑体"/>
          <w:b/>
          <w:color w:val="auto"/>
          <w:sz w:val="32"/>
          <w:szCs w:val="32"/>
          <w:highlight w:val="none"/>
        </w:rPr>
      </w:pPr>
    </w:p>
    <w:p w14:paraId="0DC03F58">
      <w:pPr>
        <w:spacing w:line="400" w:lineRule="exact"/>
        <w:jc w:val="center"/>
        <w:rPr>
          <w:rFonts w:ascii="黑体" w:hAnsi="宋体" w:eastAsia="黑体"/>
          <w:b/>
          <w:color w:val="auto"/>
          <w:sz w:val="32"/>
          <w:szCs w:val="32"/>
          <w:highlight w:val="none"/>
        </w:rPr>
      </w:pPr>
    </w:p>
    <w:p w14:paraId="21857EB1">
      <w:pPr>
        <w:spacing w:line="400" w:lineRule="exact"/>
        <w:jc w:val="center"/>
        <w:rPr>
          <w:rFonts w:ascii="黑体" w:hAnsi="宋体" w:eastAsia="黑体"/>
          <w:b/>
          <w:color w:val="auto"/>
          <w:sz w:val="32"/>
          <w:szCs w:val="32"/>
          <w:highlight w:val="none"/>
        </w:rPr>
      </w:pPr>
    </w:p>
    <w:p w14:paraId="347BB638">
      <w:pPr>
        <w:spacing w:line="400" w:lineRule="exact"/>
        <w:jc w:val="center"/>
        <w:rPr>
          <w:rFonts w:ascii="黑体" w:hAnsi="宋体" w:eastAsia="黑体"/>
          <w:b/>
          <w:color w:val="auto"/>
          <w:sz w:val="32"/>
          <w:szCs w:val="32"/>
          <w:highlight w:val="none"/>
        </w:rPr>
      </w:pPr>
    </w:p>
    <w:p w14:paraId="2C7EFE80">
      <w:pPr>
        <w:spacing w:line="400" w:lineRule="exact"/>
        <w:jc w:val="center"/>
        <w:rPr>
          <w:rFonts w:ascii="黑体" w:hAnsi="宋体" w:eastAsia="黑体"/>
          <w:b/>
          <w:color w:val="auto"/>
          <w:sz w:val="32"/>
          <w:szCs w:val="32"/>
          <w:highlight w:val="none"/>
        </w:rPr>
      </w:pPr>
    </w:p>
    <w:p w14:paraId="4F6F081F">
      <w:pPr>
        <w:spacing w:line="400" w:lineRule="exact"/>
        <w:rPr>
          <w:rFonts w:ascii="黑体" w:hAnsi="宋体" w:eastAsia="黑体"/>
          <w:b/>
          <w:color w:val="auto"/>
          <w:sz w:val="32"/>
          <w:szCs w:val="32"/>
          <w:highlight w:val="none"/>
        </w:rPr>
      </w:pPr>
    </w:p>
    <w:p w14:paraId="6E8A6DFC">
      <w:pPr>
        <w:tabs>
          <w:tab w:val="left" w:pos="9639"/>
          <w:tab w:val="left" w:pos="9746"/>
        </w:tabs>
        <w:adjustRightInd w:val="0"/>
        <w:snapToGrid w:val="0"/>
        <w:spacing w:line="360" w:lineRule="auto"/>
        <w:jc w:val="center"/>
        <w:rPr>
          <w:rFonts w:hAnsi="宋体" w:cs="宋体"/>
          <w:bCs/>
          <w:color w:val="auto"/>
          <w:kern w:val="0"/>
          <w:szCs w:val="21"/>
          <w:highlight w:val="none"/>
        </w:rPr>
      </w:pPr>
      <w:r>
        <w:rPr>
          <w:rFonts w:hAnsi="宋体" w:cs="宋体"/>
          <w:bCs/>
          <w:color w:val="auto"/>
          <w:kern w:val="0"/>
          <w:szCs w:val="21"/>
          <w:highlight w:val="none"/>
        </w:rPr>
        <w:br w:type="page"/>
      </w:r>
    </w:p>
    <w:p w14:paraId="5303A5FE">
      <w:pPr>
        <w:spacing w:line="440" w:lineRule="exact"/>
        <w:ind w:right="-307" w:rightChars="-146"/>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广西华晟工程项目管理咨询有限公司</w:t>
      </w:r>
      <w:r>
        <w:rPr>
          <w:rFonts w:hint="eastAsia" w:ascii="宋体" w:hAnsi="宋体" w:eastAsia="宋体" w:cs="宋体"/>
          <w:b/>
          <w:color w:val="auto"/>
          <w:sz w:val="28"/>
          <w:szCs w:val="28"/>
          <w:highlight w:val="none"/>
          <w:lang w:val="en-US" w:eastAsia="zh-CN"/>
        </w:rPr>
        <w:t>关于北海市银海区三合口民族学校教学楼拆除重建项目（</w:t>
      </w:r>
      <w:r>
        <w:rPr>
          <w:rFonts w:hint="eastAsia" w:ascii="宋体" w:hAnsi="宋体" w:cs="宋体"/>
          <w:b/>
          <w:color w:val="auto"/>
          <w:sz w:val="28"/>
          <w:szCs w:val="28"/>
          <w:highlight w:val="none"/>
          <w:lang w:val="en-US" w:eastAsia="zh-CN"/>
        </w:rPr>
        <w:t>项目编号：BHZC2025-C2-030055-GXHS</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竞争性磋商公告</w:t>
      </w:r>
    </w:p>
    <w:p w14:paraId="754328C0">
      <w:pPr>
        <w:spacing w:line="440" w:lineRule="exact"/>
        <w:ind w:right="-307" w:rightChars="-146"/>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（远程异地</w:t>
      </w:r>
      <w:r>
        <w:rPr>
          <w:rFonts w:hint="eastAsia" w:ascii="宋体" w:hAnsi="宋体" w:cs="宋体"/>
          <w:b/>
          <w:color w:val="auto"/>
          <w:sz w:val="28"/>
          <w:szCs w:val="28"/>
          <w:highlight w:val="none"/>
          <w:lang w:val="en-US" w:eastAsia="zh-CN"/>
        </w:rPr>
        <w:t>评审</w:t>
      </w:r>
      <w:r>
        <w:rPr>
          <w:rFonts w:hint="eastAsia" w:ascii="宋体" w:hAnsi="宋体" w:eastAsia="宋体" w:cs="宋体"/>
          <w:b/>
          <w:color w:val="auto"/>
          <w:sz w:val="28"/>
          <w:szCs w:val="28"/>
          <w:highlight w:val="none"/>
        </w:rPr>
        <w:t>）</w:t>
      </w:r>
    </w:p>
    <w:p w14:paraId="5F1B9EB5">
      <w:pPr>
        <w:tabs>
          <w:tab w:val="left" w:pos="9639"/>
          <w:tab w:val="left" w:pos="9746"/>
        </w:tabs>
        <w:adjustRightInd w:val="0"/>
        <w:snapToGrid w:val="0"/>
        <w:ind w:firstLine="420" w:firstLineChars="200"/>
        <w:rPr>
          <w:rFonts w:ascii="宋体" w:hAnsi="宋体" w:cs="宋体"/>
          <w:color w:val="auto"/>
          <w:kern w:val="0"/>
          <w:szCs w:val="21"/>
          <w:highlight w:val="none"/>
        </w:rPr>
      </w:pPr>
    </w:p>
    <w:tbl>
      <w:tblPr>
        <w:tblStyle w:val="37"/>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0"/>
      </w:tblGrid>
      <w:tr w14:paraId="5E08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9840" w:type="dxa"/>
          </w:tcPr>
          <w:p w14:paraId="5BDF35DF">
            <w:pPr>
              <w:keepNext w:val="0"/>
              <w:keepLines w:val="0"/>
              <w:pageBreakBefore w:val="0"/>
              <w:widowControl w:val="0"/>
              <w:tabs>
                <w:tab w:val="left" w:pos="9639"/>
                <w:tab w:val="left" w:pos="9746"/>
              </w:tabs>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p w14:paraId="1582A0B5">
            <w:pPr>
              <w:keepNext w:val="0"/>
              <w:keepLines w:val="0"/>
              <w:pageBreakBefore w:val="0"/>
              <w:widowControl w:val="0"/>
              <w:tabs>
                <w:tab w:val="left" w:pos="9639"/>
                <w:tab w:val="left" w:pos="9746"/>
              </w:tabs>
              <w:kinsoku/>
              <w:wordWrap/>
              <w:overflowPunct/>
              <w:topLinePunct w:val="0"/>
              <w:autoSpaceDE/>
              <w:autoSpaceDN/>
              <w:bidi w:val="0"/>
              <w:adjustRightInd w:val="0"/>
              <w:snapToGrid w:val="0"/>
              <w:spacing w:line="460" w:lineRule="exact"/>
              <w:ind w:left="105" w:leftChars="50"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lang w:eastAsia="zh-CN"/>
              </w:rPr>
              <w:t>北海市银海区三合口民族学校教学楼拆除重建项目</w:t>
            </w:r>
            <w:r>
              <w:rPr>
                <w:rFonts w:hint="eastAsia" w:ascii="宋体" w:hAnsi="宋体" w:eastAsia="宋体" w:cs="宋体"/>
                <w:color w:val="auto"/>
                <w:kern w:val="0"/>
                <w:sz w:val="24"/>
                <w:szCs w:val="24"/>
                <w:highlight w:val="none"/>
              </w:rPr>
              <w:t>采购项目的潜在供应商应在广西政府采购云平台（https://www.gcy.zfcg.gxzf.gov.cn/）获取采购文件，并于</w:t>
            </w:r>
            <w:r>
              <w:rPr>
                <w:rFonts w:hint="eastAsia" w:ascii="宋体" w:hAnsi="宋体" w:cs="宋体"/>
                <w:color w:val="auto"/>
                <w:kern w:val="0"/>
                <w:sz w:val="24"/>
                <w:szCs w:val="24"/>
                <w:highlight w:val="none"/>
                <w:u w:val="single"/>
                <w:lang w:eastAsia="zh-CN"/>
              </w:rPr>
              <w:t>2025年11月17日 09：00</w:t>
            </w:r>
            <w:r>
              <w:rPr>
                <w:rFonts w:hint="eastAsia" w:ascii="宋体" w:hAnsi="宋体" w:eastAsia="宋体" w:cs="宋体"/>
                <w:color w:val="auto"/>
                <w:kern w:val="0"/>
                <w:sz w:val="24"/>
                <w:szCs w:val="24"/>
                <w:highlight w:val="none"/>
                <w:u w:val="single"/>
              </w:rPr>
              <w:t>（北京时间）</w:t>
            </w:r>
            <w:r>
              <w:rPr>
                <w:rFonts w:hint="eastAsia" w:ascii="宋体" w:hAnsi="宋体" w:eastAsia="宋体" w:cs="宋体"/>
                <w:color w:val="auto"/>
                <w:kern w:val="0"/>
                <w:sz w:val="24"/>
                <w:szCs w:val="24"/>
                <w:highlight w:val="none"/>
              </w:rPr>
              <w:t>前提交响应文件。</w:t>
            </w:r>
          </w:p>
        </w:tc>
      </w:tr>
    </w:tbl>
    <w:p w14:paraId="1264EDA0">
      <w:pPr>
        <w:keepNext w:val="0"/>
        <w:keepLines w:val="0"/>
        <w:pageBreakBefore w:val="0"/>
        <w:widowControl w:val="0"/>
        <w:tabs>
          <w:tab w:val="left" w:pos="9639"/>
          <w:tab w:val="lef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kern w:val="0"/>
          <w:sz w:val="24"/>
          <w:szCs w:val="24"/>
          <w:highlight w:val="none"/>
        </w:rPr>
      </w:pPr>
    </w:p>
    <w:p w14:paraId="132919B7">
      <w:pPr>
        <w:keepNext w:val="0"/>
        <w:keepLines w:val="0"/>
        <w:pageBreakBefore w:val="0"/>
        <w:widowControl w:val="0"/>
        <w:tabs>
          <w:tab w:val="left" w:pos="9639"/>
          <w:tab w:val="lef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一、项目基本情况</w:t>
      </w:r>
    </w:p>
    <w:p w14:paraId="2C4CC608">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BHZC2025-C2-030055-GXHS</w:t>
      </w:r>
      <w:r>
        <w:rPr>
          <w:rFonts w:hint="eastAsia" w:ascii="宋体" w:hAnsi="宋体" w:eastAsia="宋体" w:cs="宋体"/>
          <w:color w:val="auto"/>
          <w:sz w:val="24"/>
          <w:szCs w:val="24"/>
          <w:highlight w:val="none"/>
        </w:rPr>
        <w:t xml:space="preserve"> </w:t>
      </w:r>
    </w:p>
    <w:p w14:paraId="6C61F79D">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北海市银海区三合口民族</w:t>
      </w:r>
      <w:bookmarkStart w:id="1309" w:name="_GoBack"/>
      <w:bookmarkEnd w:id="1309"/>
      <w:r>
        <w:rPr>
          <w:rFonts w:hint="eastAsia" w:ascii="宋体" w:hAnsi="宋体" w:eastAsia="宋体" w:cs="宋体"/>
          <w:color w:val="auto"/>
          <w:sz w:val="24"/>
          <w:szCs w:val="24"/>
          <w:highlight w:val="none"/>
          <w:lang w:eastAsia="zh-CN"/>
        </w:rPr>
        <w:t>学校教学楼拆除重建项目</w:t>
      </w:r>
    </w:p>
    <w:p w14:paraId="71543200">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14:paraId="25FE96DA">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r>
        <w:rPr>
          <w:rFonts w:hint="eastAsia" w:ascii="宋体" w:hAnsi="宋体" w:eastAsia="宋体" w:cs="宋体"/>
          <w:color w:val="auto"/>
          <w:sz w:val="24"/>
          <w:szCs w:val="24"/>
          <w:highlight w:val="none"/>
          <w:lang w:val="en-US" w:eastAsia="zh-CN"/>
        </w:rPr>
        <w:t>2544118.71</w:t>
      </w:r>
    </w:p>
    <w:p w14:paraId="186511A5">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14:paraId="4B8D6E9B">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lang w:val="en-US" w:eastAsia="zh-CN"/>
        </w:rPr>
      </w:pPr>
    </w:p>
    <w:p w14:paraId="1347FEC9">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标项名称：北海市银海区三合口民族学校教学楼拆除重建项目</w:t>
      </w:r>
    </w:p>
    <w:p w14:paraId="3B589CD3">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数量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不限</w:t>
      </w:r>
    </w:p>
    <w:p w14:paraId="6C2AF8A2">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预算金额（元）：</w:t>
      </w:r>
      <w:r>
        <w:rPr>
          <w:rFonts w:hint="eastAsia" w:ascii="宋体" w:hAnsi="宋体" w:eastAsia="宋体" w:cs="宋体"/>
          <w:color w:val="auto"/>
          <w:sz w:val="24"/>
          <w:szCs w:val="24"/>
          <w:highlight w:val="none"/>
          <w:lang w:val="en-US" w:eastAsia="zh-CN"/>
        </w:rPr>
        <w:t>2544118.71</w:t>
      </w:r>
    </w:p>
    <w:p w14:paraId="64D7A4D1">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简要规格描述或项目基本概况介绍、用途：</w:t>
      </w:r>
      <w:r>
        <w:rPr>
          <w:rFonts w:hint="eastAsia" w:ascii="宋体" w:hAnsi="宋体" w:eastAsia="宋体" w:cs="宋体"/>
          <w:color w:val="auto"/>
          <w:sz w:val="24"/>
          <w:szCs w:val="24"/>
          <w:highlight w:val="none"/>
          <w:u w:val="single"/>
          <w:lang w:eastAsia="zh-CN"/>
        </w:rPr>
        <w:t>本项目为北海市银海区三合口民族学校教学楼拆除重建项目一项，</w:t>
      </w:r>
      <w:r>
        <w:rPr>
          <w:rFonts w:hint="eastAsia" w:ascii="宋体" w:hAnsi="宋体" w:eastAsia="宋体" w:cs="宋体"/>
          <w:color w:val="auto"/>
          <w:sz w:val="24"/>
          <w:szCs w:val="24"/>
          <w:highlight w:val="none"/>
          <w:u w:val="single"/>
        </w:rPr>
        <w:t>如需进一步了解详细内容</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详见竞争性磋商文件</w:t>
      </w:r>
      <w:r>
        <w:rPr>
          <w:rFonts w:hint="eastAsia" w:ascii="宋体" w:hAnsi="宋体" w:eastAsia="宋体" w:cs="宋体"/>
          <w:color w:val="auto"/>
          <w:sz w:val="24"/>
          <w:szCs w:val="24"/>
          <w:highlight w:val="none"/>
          <w:u w:val="none"/>
        </w:rPr>
        <w:t>。</w:t>
      </w:r>
    </w:p>
    <w:p w14:paraId="1CA0F13F">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2544118.71</w:t>
      </w:r>
    </w:p>
    <w:p w14:paraId="24479FD1">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合同履行期限：</w:t>
      </w:r>
      <w:r>
        <w:rPr>
          <w:rFonts w:hint="eastAsia" w:ascii="宋体" w:hAnsi="宋体" w:eastAsia="宋体" w:cs="宋体"/>
          <w:color w:val="auto"/>
          <w:sz w:val="24"/>
          <w:szCs w:val="24"/>
          <w:highlight w:val="none"/>
          <w:lang w:val="en-US" w:eastAsia="zh-CN"/>
        </w:rPr>
        <w:t>详见竞争性磋商文件。</w:t>
      </w:r>
      <w:r>
        <w:rPr>
          <w:rFonts w:hint="eastAsia" w:ascii="宋体" w:hAnsi="宋体" w:eastAsia="宋体" w:cs="宋体"/>
          <w:color w:val="auto"/>
          <w:sz w:val="24"/>
          <w:szCs w:val="24"/>
          <w:highlight w:val="none"/>
          <w:u w:val="single"/>
        </w:rPr>
        <w:t xml:space="preserve"> </w:t>
      </w:r>
    </w:p>
    <w:p w14:paraId="7B8FAAF8">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本标项（否）接受联合体投标</w:t>
      </w:r>
    </w:p>
    <w:p w14:paraId="5C399FB6">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备注：</w:t>
      </w:r>
    </w:p>
    <w:p w14:paraId="2F0A8F4E">
      <w:pPr>
        <w:keepNext w:val="0"/>
        <w:keepLines w:val="0"/>
        <w:pageBreakBefore w:val="0"/>
        <w:widowControl w:val="0"/>
        <w:tabs>
          <w:tab w:val="left" w:pos="9639"/>
          <w:tab w:val="left" w:pos="9746"/>
        </w:tabs>
        <w:kinsoku/>
        <w:wordWrap/>
        <w:overflowPunct/>
        <w:topLinePunct w:val="0"/>
        <w:autoSpaceDE/>
        <w:autoSpaceDN/>
        <w:bidi w:val="0"/>
        <w:adjustRightInd w:val="0"/>
        <w:snapToGrid w:val="0"/>
        <w:spacing w:line="460" w:lineRule="exac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二、申请人的资格要求</w:t>
      </w:r>
    </w:p>
    <w:p w14:paraId="7010E9EA">
      <w:pPr>
        <w:keepNext w:val="0"/>
        <w:keepLines w:val="0"/>
        <w:pageBreakBefore w:val="0"/>
        <w:widowControl w:val="0"/>
        <w:kinsoku/>
        <w:wordWrap/>
        <w:overflowPunct/>
        <w:topLinePunct w:val="0"/>
        <w:autoSpaceDE/>
        <w:autoSpaceDN/>
        <w:bidi w:val="0"/>
        <w:adjustRightInd w:val="0"/>
        <w:spacing w:line="460" w:lineRule="exact"/>
        <w:ind w:firstLine="480"/>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1.满足《中华人民共和国政府采购法》第二十二条规定；</w:t>
      </w:r>
    </w:p>
    <w:p w14:paraId="3E0B517C">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 xml:space="preserve">    2.落实政府采购政策需满足的资格要求：</w:t>
      </w:r>
      <w:r>
        <w:rPr>
          <w:rFonts w:hint="eastAsia" w:ascii="宋体" w:hAnsi="宋体" w:eastAsia="宋体" w:cs="宋体"/>
          <w:snapToGrid w:val="0"/>
          <w:color w:val="auto"/>
          <w:kern w:val="28"/>
          <w:sz w:val="24"/>
          <w:szCs w:val="24"/>
          <w:highlight w:val="none"/>
          <w:lang w:eastAsia="zh-CN"/>
        </w:rPr>
        <w:t>分标</w:t>
      </w:r>
      <w:r>
        <w:rPr>
          <w:rFonts w:hint="eastAsia" w:ascii="宋体" w:hAnsi="宋体" w:eastAsia="宋体" w:cs="宋体"/>
          <w:snapToGrid w:val="0"/>
          <w:color w:val="auto"/>
          <w:kern w:val="28"/>
          <w:sz w:val="24"/>
          <w:szCs w:val="24"/>
          <w:highlight w:val="none"/>
        </w:rPr>
        <w:t>1：</w:t>
      </w:r>
      <w:r>
        <w:rPr>
          <w:rFonts w:hint="eastAsia" w:ascii="宋体" w:hAnsi="宋体" w:cs="宋体"/>
          <w:snapToGrid w:val="0"/>
          <w:color w:val="auto"/>
          <w:kern w:val="28"/>
          <w:sz w:val="24"/>
          <w:szCs w:val="24"/>
          <w:highlight w:val="none"/>
          <w:lang w:eastAsia="zh-CN"/>
        </w:rPr>
        <w:t>本项目为专门面向小微企业采购的项目（供应商应为小微企业或者监狱企业或者残疾人福利性单位)</w:t>
      </w:r>
      <w:r>
        <w:rPr>
          <w:rFonts w:hint="eastAsia" w:ascii="宋体" w:hAnsi="宋体" w:eastAsia="宋体" w:cs="宋体"/>
          <w:snapToGrid w:val="0"/>
          <w:color w:val="auto"/>
          <w:kern w:val="28"/>
          <w:sz w:val="24"/>
          <w:szCs w:val="24"/>
          <w:highlight w:val="none"/>
        </w:rPr>
        <w:t>。</w:t>
      </w:r>
    </w:p>
    <w:p w14:paraId="1979BBD0">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eastAsia="zh-CN"/>
        </w:rPr>
        <w:t>分标</w:t>
      </w:r>
      <w:r>
        <w:rPr>
          <w:rFonts w:hint="eastAsia" w:ascii="宋体" w:hAnsi="宋体" w:eastAsia="宋体" w:cs="宋体"/>
          <w:color w:val="auto"/>
          <w:sz w:val="24"/>
          <w:szCs w:val="24"/>
          <w:highlight w:val="none"/>
        </w:rPr>
        <w:t>1】</w:t>
      </w:r>
    </w:p>
    <w:p w14:paraId="31A9676D">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具有有效的</w:t>
      </w:r>
      <w:r>
        <w:rPr>
          <w:rFonts w:hint="eastAsia" w:ascii="宋体" w:hAnsi="宋体" w:eastAsia="宋体" w:cs="宋体"/>
          <w:color w:val="auto"/>
          <w:sz w:val="24"/>
          <w:szCs w:val="24"/>
          <w:highlight w:val="none"/>
          <w:lang w:eastAsia="zh-CN"/>
        </w:rPr>
        <w:t>【建筑工程施工总承包三级】</w:t>
      </w:r>
      <w:r>
        <w:rPr>
          <w:rFonts w:hint="eastAsia" w:ascii="宋体" w:hAnsi="宋体" w:eastAsia="宋体" w:cs="宋体"/>
          <w:color w:val="auto"/>
          <w:sz w:val="24"/>
          <w:szCs w:val="24"/>
          <w:highlight w:val="none"/>
        </w:rPr>
        <w:t>（含）</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以上资质，并具备有效的安全生产许可证书</w:t>
      </w:r>
      <w:r>
        <w:rPr>
          <w:rFonts w:hint="eastAsia" w:ascii="宋体" w:hAnsi="宋体" w:eastAsia="宋体" w:cs="宋体"/>
          <w:color w:val="auto"/>
          <w:sz w:val="24"/>
          <w:szCs w:val="24"/>
          <w:highlight w:val="none"/>
          <w:lang w:eastAsia="zh-CN"/>
        </w:rPr>
        <w:t>，并在人员、资金等方面具备相应的施工能力；</w:t>
      </w:r>
      <w:r>
        <w:rPr>
          <w:rFonts w:hint="eastAsia" w:ascii="宋体" w:hAnsi="宋体" w:eastAsia="宋体" w:cs="宋体"/>
          <w:color w:val="auto"/>
          <w:sz w:val="24"/>
          <w:szCs w:val="24"/>
          <w:highlight w:val="none"/>
        </w:rPr>
        <w:t>其中拟派项目经理须具备</w:t>
      </w:r>
      <w:r>
        <w:rPr>
          <w:rFonts w:hint="eastAsia" w:ascii="宋体" w:hAnsi="宋体" w:eastAsia="宋体" w:cs="宋体"/>
          <w:color w:val="auto"/>
          <w:sz w:val="24"/>
          <w:szCs w:val="24"/>
          <w:highlight w:val="none"/>
          <w:lang w:eastAsia="zh-CN"/>
        </w:rPr>
        <w:t>【建筑工程</w:t>
      </w:r>
      <w:r>
        <w:rPr>
          <w:rFonts w:hint="eastAsia" w:ascii="宋体" w:hAnsi="宋体" w:eastAsia="宋体" w:cs="宋体"/>
          <w:color w:val="auto"/>
          <w:sz w:val="24"/>
          <w:szCs w:val="24"/>
          <w:highlight w:val="none"/>
        </w:rPr>
        <w:t>专业二级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（含）</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以上注册建造师执业资格，</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具备有效的安全生产考核合格证书（B 类）</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本项目不接受有在建、已中标未开工或已列为其他项目中标候选人第一名的建造师作为项目经理</w:t>
      </w:r>
      <w:r>
        <w:rPr>
          <w:rFonts w:hint="eastAsia" w:ascii="宋体" w:hAnsi="宋体" w:eastAsia="宋体" w:cs="宋体"/>
          <w:color w:val="auto"/>
          <w:sz w:val="24"/>
          <w:szCs w:val="24"/>
          <w:highlight w:val="none"/>
          <w:lang w:eastAsia="zh-CN"/>
        </w:rPr>
        <w:t>。</w:t>
      </w:r>
    </w:p>
    <w:p w14:paraId="05D4A9F1">
      <w:pPr>
        <w:keepNext w:val="0"/>
        <w:keepLines w:val="0"/>
        <w:pageBreakBefore w:val="0"/>
        <w:widowControl w:val="0"/>
        <w:kinsoku/>
        <w:wordWrap/>
        <w:overflowPunct/>
        <w:topLinePunct w:val="0"/>
        <w:autoSpaceDE/>
        <w:autoSpaceDN/>
        <w:bidi w:val="0"/>
        <w:spacing w:line="460" w:lineRule="exact"/>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三、获取</w:t>
      </w:r>
      <w:r>
        <w:rPr>
          <w:rFonts w:hint="eastAsia" w:ascii="宋体" w:hAnsi="宋体" w:cs="宋体"/>
          <w:b/>
          <w:color w:val="auto"/>
          <w:kern w:val="0"/>
          <w:sz w:val="24"/>
          <w:szCs w:val="24"/>
          <w:highlight w:val="none"/>
          <w:lang w:val="en-US" w:eastAsia="zh-CN"/>
        </w:rPr>
        <w:t>采购</w:t>
      </w:r>
      <w:r>
        <w:rPr>
          <w:rFonts w:hint="eastAsia" w:ascii="宋体" w:hAnsi="宋体" w:eastAsia="宋体" w:cs="宋体"/>
          <w:b/>
          <w:color w:val="auto"/>
          <w:kern w:val="0"/>
          <w:sz w:val="24"/>
          <w:szCs w:val="24"/>
          <w:highlight w:val="none"/>
        </w:rPr>
        <w:t>文件</w:t>
      </w:r>
    </w:p>
    <w:p w14:paraId="110A960D">
      <w:pPr>
        <w:keepNext w:val="0"/>
        <w:keepLines w:val="0"/>
        <w:pageBreakBefore w:val="0"/>
        <w:widowControl w:val="0"/>
        <w:kinsoku/>
        <w:wordWrap/>
        <w:overflowPunct/>
        <w:topLinePunct w:val="0"/>
        <w:autoSpaceDE/>
        <w:autoSpaceDN/>
        <w:bidi w:val="0"/>
        <w:adjustRightInd w:val="0"/>
        <w:spacing w:line="46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时间：</w:t>
      </w:r>
      <w:r>
        <w:rPr>
          <w:rFonts w:hint="eastAsia" w:ascii="宋体" w:hAnsi="宋体" w:cs="宋体"/>
          <w:color w:val="auto"/>
          <w:sz w:val="24"/>
          <w:szCs w:val="24"/>
          <w:highlight w:val="none"/>
          <w:lang w:eastAsia="zh-CN"/>
        </w:rPr>
        <w:t>2025年11月05日</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eastAsia="zh-CN"/>
        </w:rPr>
        <w:t>2025年11月12日</w:t>
      </w:r>
      <w:r>
        <w:rPr>
          <w:rFonts w:hint="eastAsia" w:ascii="宋体" w:hAnsi="宋体" w:eastAsia="宋体" w:cs="宋体"/>
          <w:color w:val="auto"/>
          <w:sz w:val="24"/>
          <w:szCs w:val="24"/>
          <w:highlight w:val="none"/>
        </w:rPr>
        <w:t>，每天上午0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00至12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 ，下午1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00至</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（北京时间，法定节假日除外）；</w:t>
      </w:r>
    </w:p>
    <w:p w14:paraId="6C5FB311">
      <w:pPr>
        <w:keepNext w:val="0"/>
        <w:keepLines w:val="0"/>
        <w:pageBreakBefore w:val="0"/>
        <w:widowControl w:val="0"/>
        <w:kinsoku/>
        <w:wordWrap/>
        <w:overflowPunct/>
        <w:topLinePunct w:val="0"/>
        <w:autoSpaceDE/>
        <w:autoSpaceDN/>
        <w:bidi w:val="0"/>
        <w:adjustRightInd w:val="0"/>
        <w:spacing w:line="46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地点（网址）：</w:t>
      </w:r>
      <w:r>
        <w:rPr>
          <w:rFonts w:hint="eastAsia" w:ascii="宋体" w:hAnsi="宋体" w:eastAsia="宋体" w:cs="宋体"/>
          <w:color w:val="auto"/>
          <w:sz w:val="24"/>
          <w:szCs w:val="24"/>
          <w:highlight w:val="none"/>
        </w:rPr>
        <w:t>广西政府采购云平台（https://www.gcy.zfcg.gxzf.gov.cn/）</w:t>
      </w:r>
    </w:p>
    <w:p w14:paraId="03D2C1A6">
      <w:pPr>
        <w:keepNext w:val="0"/>
        <w:keepLines w:val="0"/>
        <w:pageBreakBefore w:val="0"/>
        <w:widowControl w:val="0"/>
        <w:kinsoku/>
        <w:wordWrap/>
        <w:overflowPunct/>
        <w:topLinePunct w:val="0"/>
        <w:autoSpaceDE/>
        <w:autoSpaceDN/>
        <w:bidi w:val="0"/>
        <w:adjustRightInd w:val="0"/>
        <w:spacing w:line="460" w:lineRule="exact"/>
        <w:ind w:firstLine="540"/>
        <w:textAlignment w:val="auto"/>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方式：</w:t>
      </w:r>
      <w:r>
        <w:rPr>
          <w:rFonts w:hint="eastAsia" w:ascii="宋体" w:hAnsi="宋体" w:eastAsia="宋体" w:cs="宋体"/>
          <w:color w:val="auto"/>
          <w:sz w:val="24"/>
          <w:szCs w:val="24"/>
          <w:highlight w:val="none"/>
        </w:rPr>
        <w:t>供应商登录广西政府采购云平台（https://www.gcy.zfcg.gxzf.gov.cn/）在线申请获取采购文件（进入“项目采购”应用，在获取采购文件菜单中选择项目，申请获取采购文件）。</w:t>
      </w:r>
    </w:p>
    <w:p w14:paraId="0E29A1FB">
      <w:pPr>
        <w:keepNext w:val="0"/>
        <w:keepLines w:val="0"/>
        <w:pageBreakBefore w:val="0"/>
        <w:widowControl w:val="0"/>
        <w:kinsoku/>
        <w:wordWrap/>
        <w:overflowPunct/>
        <w:topLinePunct w:val="0"/>
        <w:autoSpaceDE/>
        <w:autoSpaceDN/>
        <w:bidi w:val="0"/>
        <w:adjustRightInd w:val="0"/>
        <w:spacing w:line="460" w:lineRule="exact"/>
        <w:ind w:firstLine="54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售价：</w:t>
      </w:r>
      <w:r>
        <w:rPr>
          <w:rFonts w:hint="eastAsia" w:ascii="宋体" w:hAnsi="宋体" w:eastAsia="宋体" w:cs="宋体"/>
          <w:color w:val="auto"/>
          <w:sz w:val="24"/>
          <w:szCs w:val="24"/>
          <w:highlight w:val="none"/>
        </w:rPr>
        <w:t>0。</w:t>
      </w:r>
    </w:p>
    <w:p w14:paraId="0C95BB66">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color w:val="auto"/>
          <w:kern w:val="0"/>
          <w:sz w:val="24"/>
          <w:szCs w:val="24"/>
          <w:highlight w:val="none"/>
        </w:rPr>
      </w:pPr>
      <w:bookmarkStart w:id="3" w:name="_Toc35393632"/>
      <w:bookmarkStart w:id="4" w:name="_Toc28359092"/>
      <w:bookmarkStart w:id="5" w:name="_Toc28359015"/>
      <w:bookmarkStart w:id="6" w:name="_Toc35393801"/>
      <w:r>
        <w:rPr>
          <w:rFonts w:hint="eastAsia" w:ascii="宋体" w:hAnsi="宋体" w:eastAsia="宋体" w:cs="宋体"/>
          <w:b/>
          <w:color w:val="auto"/>
          <w:kern w:val="0"/>
          <w:sz w:val="24"/>
          <w:szCs w:val="24"/>
          <w:highlight w:val="none"/>
        </w:rPr>
        <w:t>四、响应文件提交</w:t>
      </w:r>
      <w:bookmarkEnd w:id="3"/>
      <w:bookmarkEnd w:id="4"/>
      <w:bookmarkEnd w:id="5"/>
      <w:bookmarkEnd w:id="6"/>
    </w:p>
    <w:p w14:paraId="5BC60D37">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r>
        <w:rPr>
          <w:rFonts w:hint="eastAsia" w:ascii="宋体" w:hAnsi="宋体" w:cs="宋体"/>
          <w:color w:val="auto"/>
          <w:kern w:val="0"/>
          <w:sz w:val="24"/>
          <w:szCs w:val="24"/>
          <w:highlight w:val="none"/>
          <w:u w:val="none"/>
          <w:lang w:eastAsia="zh-CN"/>
        </w:rPr>
        <w:t>2025年11月17日 09：00</w:t>
      </w:r>
      <w:r>
        <w:rPr>
          <w:rFonts w:hint="eastAsia" w:ascii="宋体" w:hAnsi="宋体" w:eastAsia="宋体" w:cs="宋体"/>
          <w:bCs/>
          <w:color w:val="auto"/>
          <w:sz w:val="24"/>
          <w:szCs w:val="24"/>
          <w:highlight w:val="none"/>
        </w:rPr>
        <w:t>（北京时间）</w:t>
      </w:r>
    </w:p>
    <w:p w14:paraId="46ECEB4A">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地点（网址）：广西政府采购云平台（https://www.gcy.zfcg.gxzf.gov.cn/）</w:t>
      </w:r>
      <w:r>
        <w:rPr>
          <w:rFonts w:hint="eastAsia" w:ascii="宋体" w:hAnsi="宋体" w:eastAsia="宋体" w:cs="宋体"/>
          <w:b w:val="0"/>
          <w:bCs/>
          <w:color w:val="auto"/>
          <w:sz w:val="24"/>
          <w:szCs w:val="24"/>
          <w:highlight w:val="none"/>
        </w:rPr>
        <w:t>。</w:t>
      </w:r>
    </w:p>
    <w:p w14:paraId="6A5581F6">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color w:val="auto"/>
          <w:kern w:val="0"/>
          <w:sz w:val="24"/>
          <w:szCs w:val="24"/>
          <w:highlight w:val="none"/>
        </w:rPr>
      </w:pPr>
      <w:bookmarkStart w:id="7" w:name="_Toc35393802"/>
      <w:bookmarkStart w:id="8" w:name="_Toc35393633"/>
      <w:bookmarkStart w:id="9" w:name="_Toc28359016"/>
      <w:bookmarkStart w:id="10" w:name="_Toc28359093"/>
      <w:r>
        <w:rPr>
          <w:rFonts w:hint="eastAsia" w:ascii="宋体" w:hAnsi="宋体" w:eastAsia="宋体" w:cs="宋体"/>
          <w:b/>
          <w:color w:val="auto"/>
          <w:kern w:val="0"/>
          <w:sz w:val="24"/>
          <w:szCs w:val="24"/>
          <w:highlight w:val="none"/>
        </w:rPr>
        <w:t>五、响应文件开启</w:t>
      </w:r>
      <w:bookmarkEnd w:id="7"/>
      <w:bookmarkEnd w:id="8"/>
      <w:bookmarkEnd w:id="9"/>
      <w:bookmarkEnd w:id="10"/>
    </w:p>
    <w:p w14:paraId="7700FC4E">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cs="宋体"/>
          <w:color w:val="auto"/>
          <w:kern w:val="0"/>
          <w:sz w:val="24"/>
          <w:szCs w:val="24"/>
          <w:highlight w:val="none"/>
          <w:u w:val="none"/>
          <w:lang w:eastAsia="zh-CN"/>
        </w:rPr>
        <w:t>2025年11月17日 09：00</w:t>
      </w:r>
      <w:r>
        <w:rPr>
          <w:rFonts w:hint="eastAsia" w:ascii="宋体" w:hAnsi="宋体" w:eastAsia="宋体" w:cs="宋体"/>
          <w:bCs/>
          <w:color w:val="auto"/>
          <w:sz w:val="24"/>
          <w:szCs w:val="24"/>
          <w:highlight w:val="none"/>
        </w:rPr>
        <w:t>（北京时间）</w:t>
      </w:r>
    </w:p>
    <w:p w14:paraId="2176E1AC">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地点：广西政府采购云平台（https://www.gcy.zfcg.gxzf.gov.cn/）。</w:t>
      </w:r>
    </w:p>
    <w:p w14:paraId="36C2A273">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color w:val="auto"/>
          <w:kern w:val="0"/>
          <w:sz w:val="24"/>
          <w:szCs w:val="24"/>
          <w:highlight w:val="none"/>
        </w:rPr>
      </w:pPr>
      <w:bookmarkStart w:id="11" w:name="_Toc35393803"/>
      <w:bookmarkStart w:id="12" w:name="_Toc35393634"/>
      <w:bookmarkStart w:id="13" w:name="_Toc28359017"/>
      <w:bookmarkStart w:id="14" w:name="_Toc28359094"/>
      <w:r>
        <w:rPr>
          <w:rFonts w:hint="eastAsia" w:ascii="宋体" w:hAnsi="宋体" w:eastAsia="宋体" w:cs="宋体"/>
          <w:b/>
          <w:color w:val="auto"/>
          <w:kern w:val="0"/>
          <w:sz w:val="24"/>
          <w:szCs w:val="24"/>
          <w:highlight w:val="none"/>
        </w:rPr>
        <w:t>六、公告期限</w:t>
      </w:r>
      <w:bookmarkEnd w:id="11"/>
      <w:bookmarkEnd w:id="12"/>
      <w:bookmarkEnd w:id="13"/>
      <w:bookmarkEnd w:id="14"/>
    </w:p>
    <w:p w14:paraId="09EE3668">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个工作日。</w:t>
      </w:r>
    </w:p>
    <w:p w14:paraId="432D07B6">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color w:val="auto"/>
          <w:kern w:val="0"/>
          <w:sz w:val="24"/>
          <w:szCs w:val="24"/>
          <w:highlight w:val="none"/>
        </w:rPr>
      </w:pPr>
      <w:bookmarkStart w:id="15" w:name="_Toc35393635"/>
      <w:bookmarkStart w:id="16" w:name="_Toc35393804"/>
      <w:r>
        <w:rPr>
          <w:rFonts w:hint="eastAsia" w:ascii="宋体" w:hAnsi="宋体" w:eastAsia="宋体" w:cs="宋体"/>
          <w:b/>
          <w:color w:val="auto"/>
          <w:kern w:val="0"/>
          <w:sz w:val="24"/>
          <w:szCs w:val="24"/>
          <w:highlight w:val="none"/>
        </w:rPr>
        <w:t>七、其他补充事宜</w:t>
      </w:r>
      <w:bookmarkEnd w:id="15"/>
      <w:bookmarkEnd w:id="16"/>
    </w:p>
    <w:p w14:paraId="71238FCC">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1.磋商保证金：本项目不收取磋商保证金。</w:t>
      </w:r>
    </w:p>
    <w:p w14:paraId="61BED0DB">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DF3BE2E">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工程项目，以及预留份额政府采购工程项目中的非预留部分标项，对小型和微型企业的磋商报价给予3%-5%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6CF0A96F">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lang w:val="en-US" w:eastAsia="zh-CN"/>
        </w:rPr>
        <w:t>4</w:t>
      </w:r>
      <w:r>
        <w:rPr>
          <w:rFonts w:hint="eastAsia" w:ascii="宋体" w:hAnsi="宋体" w:eastAsia="宋体" w:cs="宋体"/>
          <w:snapToGrid w:val="0"/>
          <w:color w:val="auto"/>
          <w:kern w:val="28"/>
          <w:sz w:val="24"/>
          <w:szCs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0DA84D10">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.网上公告媒体查询：广西政府采购网（http://zfcg.gxzf.gov.cn/）、中国政府采购网（http://www.ccgp.gov.cn/）、全国公共资源交易平台（广西·北海）（http://ggzy.jgswj.gxzf.gov.cn/bhggzy/）</w:t>
      </w:r>
      <w:r>
        <w:rPr>
          <w:rFonts w:hint="eastAsia" w:ascii="宋体" w:hAnsi="宋体" w:eastAsia="宋体" w:cs="宋体"/>
          <w:color w:val="auto"/>
          <w:sz w:val="24"/>
          <w:szCs w:val="24"/>
          <w:highlight w:val="none"/>
          <w:lang w:val="en-US" w:eastAsia="zh-CN"/>
        </w:rPr>
        <w:t>。</w:t>
      </w:r>
    </w:p>
    <w:p w14:paraId="2222CF9A">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184EC113">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7C948DBC">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0EAC4996">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本项目采用远程异地评标</w:t>
      </w:r>
      <w:r>
        <w:rPr>
          <w:rFonts w:hint="eastAsia" w:ascii="宋体" w:hAnsi="宋体" w:eastAsia="宋体" w:cs="宋体"/>
          <w:color w:val="auto"/>
          <w:sz w:val="24"/>
          <w:szCs w:val="24"/>
          <w:highlight w:val="none"/>
        </w:rPr>
        <w:t>。</w:t>
      </w:r>
    </w:p>
    <w:p w14:paraId="2ADC81B1">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
          <w:color w:val="auto"/>
          <w:kern w:val="0"/>
          <w:sz w:val="24"/>
          <w:szCs w:val="24"/>
          <w:highlight w:val="none"/>
        </w:rPr>
      </w:pPr>
      <w:bookmarkStart w:id="17" w:name="_Toc35393636"/>
      <w:bookmarkStart w:id="18" w:name="_Toc28359018"/>
      <w:bookmarkStart w:id="19" w:name="_Toc35393805"/>
      <w:bookmarkStart w:id="20" w:name="_Toc28359095"/>
      <w:r>
        <w:rPr>
          <w:rFonts w:hint="eastAsia" w:ascii="宋体" w:hAnsi="宋体" w:eastAsia="宋体" w:cs="宋体"/>
          <w:b/>
          <w:color w:val="auto"/>
          <w:kern w:val="0"/>
          <w:sz w:val="24"/>
          <w:szCs w:val="24"/>
          <w:highlight w:val="none"/>
        </w:rPr>
        <w:t>八、</w:t>
      </w:r>
      <w:bookmarkEnd w:id="17"/>
      <w:bookmarkEnd w:id="18"/>
      <w:bookmarkEnd w:id="19"/>
      <w:bookmarkEnd w:id="20"/>
      <w:r>
        <w:rPr>
          <w:rFonts w:hint="eastAsia" w:ascii="宋体" w:hAnsi="宋体" w:eastAsia="宋体" w:cs="宋体"/>
          <w:b/>
          <w:color w:val="auto"/>
          <w:kern w:val="0"/>
          <w:sz w:val="24"/>
          <w:szCs w:val="24"/>
          <w:highlight w:val="none"/>
        </w:rPr>
        <w:t>凡对本次招标提出询问，请按以下方式联系</w:t>
      </w:r>
    </w:p>
    <w:p w14:paraId="32248B80">
      <w:pPr>
        <w:keepNext w:val="0"/>
        <w:keepLines w:val="0"/>
        <w:pageBreakBefore w:val="0"/>
        <w:widowControl w:val="0"/>
        <w:kinsoku/>
        <w:wordWrap/>
        <w:overflowPunct/>
        <w:topLinePunct w:val="0"/>
        <w:autoSpaceDE/>
        <w:autoSpaceDN/>
        <w:bidi w:val="0"/>
        <w:adjustRightInd w:val="0"/>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47BDA623">
      <w:pPr>
        <w:keepNext w:val="0"/>
        <w:keepLines w:val="0"/>
        <w:pageBreakBefore w:val="0"/>
        <w:widowControl w:val="0"/>
        <w:kinsoku/>
        <w:wordWrap/>
        <w:overflowPunct/>
        <w:topLinePunct w:val="0"/>
        <w:autoSpaceDE/>
        <w:autoSpaceDN/>
        <w:bidi w:val="0"/>
        <w:adjustRightInd w:val="0"/>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val="zh-CN" w:eastAsia="zh-CN"/>
        </w:rPr>
        <w:t>北海市银海区三合口民族学校</w:t>
      </w:r>
    </w:p>
    <w:p w14:paraId="00B17F69">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    址：</w:t>
      </w:r>
      <w:r>
        <w:rPr>
          <w:rFonts w:hint="eastAsia" w:ascii="宋体" w:hAnsi="宋体" w:eastAsia="宋体" w:cs="宋体"/>
          <w:color w:val="auto"/>
          <w:sz w:val="24"/>
          <w:szCs w:val="24"/>
          <w:highlight w:val="none"/>
          <w:lang w:val="zh-CN" w:eastAsia="zh-CN"/>
        </w:rPr>
        <w:t>北海市银海区福成镇三合口农场市场旁</w:t>
      </w:r>
      <w:r>
        <w:rPr>
          <w:rFonts w:hint="eastAsia" w:ascii="宋体" w:hAnsi="宋体" w:eastAsia="宋体" w:cs="宋体"/>
          <w:color w:val="auto"/>
          <w:sz w:val="24"/>
          <w:szCs w:val="24"/>
          <w:highlight w:val="none"/>
        </w:rPr>
        <w:t xml:space="preserve">       </w:t>
      </w:r>
    </w:p>
    <w:p w14:paraId="071F7930">
      <w:pPr>
        <w:keepNext w:val="0"/>
        <w:keepLines w:val="0"/>
        <w:pageBreakBefore w:val="0"/>
        <w:widowControl w:val="0"/>
        <w:kinsoku/>
        <w:wordWrap/>
        <w:overflowPunct/>
        <w:topLinePunct w:val="0"/>
        <w:autoSpaceDE/>
        <w:autoSpaceDN/>
        <w:bidi w:val="0"/>
        <w:adjustRightInd w:val="0"/>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zh-CN" w:eastAsia="zh-CN"/>
        </w:rPr>
        <w:t>姚主任</w:t>
      </w:r>
      <w:r>
        <w:rPr>
          <w:rFonts w:hint="eastAsia" w:ascii="宋体" w:hAnsi="宋体" w:eastAsia="宋体" w:cs="宋体"/>
          <w:color w:val="auto"/>
          <w:sz w:val="24"/>
          <w:szCs w:val="24"/>
          <w:highlight w:val="none"/>
        </w:rPr>
        <w:t xml:space="preserve">  </w:t>
      </w:r>
    </w:p>
    <w:p w14:paraId="74F6A7DC">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项目联系方式：</w:t>
      </w:r>
      <w:r>
        <w:rPr>
          <w:rFonts w:hint="eastAsia" w:ascii="宋体" w:hAnsi="宋体" w:eastAsia="宋体" w:cs="宋体"/>
          <w:color w:val="auto"/>
          <w:sz w:val="24"/>
          <w:szCs w:val="24"/>
          <w:highlight w:val="none"/>
          <w:lang w:val="zh-CN" w:eastAsia="zh-CN"/>
        </w:rPr>
        <w:t>0779-2238993</w:t>
      </w:r>
      <w:r>
        <w:rPr>
          <w:rFonts w:hint="eastAsia" w:ascii="宋体" w:hAnsi="宋体" w:eastAsia="宋体" w:cs="宋体"/>
          <w:color w:val="auto"/>
          <w:sz w:val="24"/>
          <w:szCs w:val="24"/>
          <w:highlight w:val="none"/>
        </w:rPr>
        <w:t xml:space="preserve"> </w:t>
      </w:r>
    </w:p>
    <w:p w14:paraId="075D2091">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8659DF4">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2.采购代理机构信息            </w:t>
      </w:r>
    </w:p>
    <w:p w14:paraId="6B2653E8">
      <w:pPr>
        <w:keepNext w:val="0"/>
        <w:keepLines w:val="0"/>
        <w:pageBreakBefore w:val="0"/>
        <w:widowControl w:val="0"/>
        <w:kinsoku/>
        <w:wordWrap/>
        <w:overflowPunct/>
        <w:topLinePunct w:val="0"/>
        <w:autoSpaceDE/>
        <w:autoSpaceDN/>
        <w:bidi w:val="0"/>
        <w:adjustRightInd w:val="0"/>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广西华晟工程项目管理咨询有限公司</w:t>
      </w:r>
    </w:p>
    <w:p w14:paraId="56CEC526">
      <w:pPr>
        <w:keepNext w:val="0"/>
        <w:keepLines w:val="0"/>
        <w:pageBreakBefore w:val="0"/>
        <w:widowControl w:val="0"/>
        <w:kinsoku/>
        <w:wordWrap/>
        <w:overflowPunct/>
        <w:topLinePunct w:val="0"/>
        <w:autoSpaceDE/>
        <w:autoSpaceDN/>
        <w:bidi w:val="0"/>
        <w:adjustRightInd w:val="0"/>
        <w:spacing w:line="46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zh-CN" w:eastAsia="zh-CN"/>
        </w:rPr>
        <w:t>广西壮族自治区北海市海城区西南大道753号光华花园3幢2号三楼</w:t>
      </w:r>
    </w:p>
    <w:p w14:paraId="173A1605">
      <w:pPr>
        <w:keepNext w:val="0"/>
        <w:keepLines w:val="0"/>
        <w:pageBreakBefore w:val="0"/>
        <w:widowControl w:val="0"/>
        <w:kinsoku/>
        <w:wordWrap/>
        <w:overflowPunct/>
        <w:topLinePunct w:val="0"/>
        <w:autoSpaceDE/>
        <w:autoSpaceDN/>
        <w:bidi w:val="0"/>
        <w:adjustRightInd w:val="0"/>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项目联系人：</w:t>
      </w:r>
      <w:r>
        <w:rPr>
          <w:rFonts w:hint="eastAsia" w:ascii="宋体" w:hAnsi="宋体" w:eastAsia="宋体" w:cs="宋体"/>
          <w:color w:val="auto"/>
          <w:sz w:val="24"/>
          <w:szCs w:val="24"/>
          <w:highlight w:val="none"/>
          <w:lang w:val="en-US" w:eastAsia="zh-CN"/>
        </w:rPr>
        <w:t>张洁</w:t>
      </w:r>
      <w:r>
        <w:rPr>
          <w:rFonts w:hint="eastAsia" w:ascii="宋体" w:hAnsi="宋体" w:eastAsia="宋体" w:cs="宋体"/>
          <w:color w:val="auto"/>
          <w:sz w:val="24"/>
          <w:szCs w:val="24"/>
          <w:highlight w:val="none"/>
        </w:rPr>
        <w:t xml:space="preserve"> </w:t>
      </w:r>
    </w:p>
    <w:p w14:paraId="04F2F91F">
      <w:pPr>
        <w:keepNext w:val="0"/>
        <w:keepLines w:val="0"/>
        <w:pageBreakBefore w:val="0"/>
        <w:widowControl w:val="0"/>
        <w:tabs>
          <w:tab w:val="left" w:pos="9639"/>
          <w:tab w:val="left" w:pos="9746"/>
        </w:tabs>
        <w:kinsoku/>
        <w:wordWrap/>
        <w:overflowPunct/>
        <w:topLinePunct w:val="0"/>
        <w:autoSpaceDE/>
        <w:autoSpaceDN/>
        <w:bidi w:val="0"/>
        <w:adjustRightInd w:val="0"/>
        <w:snapToGrid w:val="0"/>
        <w:spacing w:line="460" w:lineRule="exact"/>
        <w:ind w:firstLine="480" w:firstLineChars="200"/>
        <w:textAlignment w:val="auto"/>
        <w:rPr>
          <w:rFonts w:hint="default" w:ascii="宋体" w:hAnsi="宋体" w:cs="宋体"/>
          <w:color w:val="auto"/>
          <w:kern w:val="0"/>
          <w:szCs w:val="21"/>
          <w:highlight w:val="none"/>
          <w:lang w:val="en-US"/>
        </w:rPr>
      </w:pPr>
      <w:r>
        <w:rPr>
          <w:rFonts w:hint="eastAsia" w:ascii="宋体" w:hAnsi="宋体" w:eastAsia="宋体" w:cs="宋体"/>
          <w:color w:val="auto"/>
          <w:sz w:val="24"/>
          <w:szCs w:val="24"/>
          <w:highlight w:val="none"/>
        </w:rPr>
        <w:t>项目联系方式：</w:t>
      </w:r>
      <w:r>
        <w:rPr>
          <w:rFonts w:hint="eastAsia" w:ascii="宋体" w:hAnsi="宋体" w:eastAsia="宋体" w:cs="宋体"/>
          <w:color w:val="auto"/>
          <w:sz w:val="24"/>
          <w:szCs w:val="24"/>
          <w:highlight w:val="none"/>
          <w:lang w:val="en-US" w:eastAsia="zh-CN"/>
        </w:rPr>
        <w:t>0779-2020283</w:t>
      </w:r>
    </w:p>
    <w:p w14:paraId="582CEFDC">
      <w:pPr>
        <w:tabs>
          <w:tab w:val="left" w:pos="9639"/>
          <w:tab w:val="left" w:pos="9746"/>
        </w:tabs>
        <w:adjustRightInd w:val="0"/>
        <w:snapToGrid w:val="0"/>
        <w:ind w:firstLine="6377" w:firstLineChars="3037"/>
        <w:rPr>
          <w:rFonts w:ascii="宋体" w:hAnsi="宋体" w:cs="宋体"/>
          <w:color w:val="auto"/>
          <w:kern w:val="0"/>
          <w:szCs w:val="21"/>
          <w:highlight w:val="none"/>
        </w:rPr>
      </w:pPr>
    </w:p>
    <w:p w14:paraId="7CAD487D">
      <w:pPr>
        <w:tabs>
          <w:tab w:val="left" w:pos="9639"/>
          <w:tab w:val="left" w:pos="9746"/>
        </w:tabs>
        <w:adjustRightInd w:val="0"/>
        <w:snapToGrid w:val="0"/>
        <w:ind w:firstLine="420" w:firstLineChars="200"/>
        <w:rPr>
          <w:rFonts w:ascii="宋体" w:hAnsi="宋体" w:cs="宋体"/>
          <w:color w:val="auto"/>
          <w:kern w:val="0"/>
          <w:szCs w:val="21"/>
          <w:highlight w:val="none"/>
        </w:rPr>
      </w:pPr>
    </w:p>
    <w:p w14:paraId="353CE637">
      <w:pPr>
        <w:tabs>
          <w:tab w:val="left" w:pos="9639"/>
          <w:tab w:val="left" w:pos="9746"/>
        </w:tabs>
        <w:adjustRightInd w:val="0"/>
        <w:snapToGrid w:val="0"/>
        <w:spacing w:line="260" w:lineRule="exact"/>
        <w:ind w:firstLine="6972" w:firstLineChars="3320"/>
        <w:rPr>
          <w:rFonts w:ascii="仿宋_GB2312" w:hAnsi="宋体" w:eastAsia="仿宋_GB2312"/>
          <w:b/>
          <w:color w:val="auto"/>
          <w:sz w:val="32"/>
          <w:szCs w:val="32"/>
          <w:highlight w:val="none"/>
        </w:rPr>
      </w:pPr>
      <w:r>
        <w:rPr>
          <w:rFonts w:hAnsi="宋体" w:cs="宋体"/>
          <w:color w:val="auto"/>
          <w:kern w:val="0"/>
          <w:szCs w:val="21"/>
          <w:highlight w:val="none"/>
        </w:rPr>
        <w:br w:type="page"/>
      </w:r>
    </w:p>
    <w:p w14:paraId="7C3D33CB">
      <w:pPr>
        <w:spacing w:line="400" w:lineRule="exact"/>
        <w:jc w:val="center"/>
        <w:rPr>
          <w:rFonts w:ascii="仿宋_GB2312" w:hAnsi="宋体" w:eastAsia="仿宋_GB2312"/>
          <w:b/>
          <w:color w:val="auto"/>
          <w:sz w:val="32"/>
          <w:szCs w:val="32"/>
          <w:highlight w:val="none"/>
        </w:rPr>
      </w:pPr>
    </w:p>
    <w:p w14:paraId="17B07487">
      <w:pPr>
        <w:spacing w:line="400" w:lineRule="exact"/>
        <w:jc w:val="center"/>
        <w:rPr>
          <w:rFonts w:ascii="仿宋_GB2312" w:hAnsi="宋体" w:eastAsia="仿宋_GB2312"/>
          <w:b/>
          <w:color w:val="auto"/>
          <w:sz w:val="32"/>
          <w:szCs w:val="32"/>
          <w:highlight w:val="none"/>
        </w:rPr>
      </w:pPr>
    </w:p>
    <w:p w14:paraId="4E13B473">
      <w:pPr>
        <w:spacing w:line="400" w:lineRule="exact"/>
        <w:jc w:val="center"/>
        <w:rPr>
          <w:rFonts w:ascii="仿宋_GB2312" w:hAnsi="宋体" w:eastAsia="仿宋_GB2312"/>
          <w:b/>
          <w:color w:val="auto"/>
          <w:sz w:val="32"/>
          <w:szCs w:val="32"/>
          <w:highlight w:val="none"/>
        </w:rPr>
      </w:pPr>
    </w:p>
    <w:p w14:paraId="2ECABE38">
      <w:pPr>
        <w:spacing w:line="400" w:lineRule="exact"/>
        <w:jc w:val="center"/>
        <w:rPr>
          <w:rFonts w:ascii="仿宋_GB2312" w:hAnsi="宋体" w:eastAsia="仿宋_GB2312"/>
          <w:b/>
          <w:color w:val="auto"/>
          <w:sz w:val="32"/>
          <w:szCs w:val="32"/>
          <w:highlight w:val="none"/>
        </w:rPr>
      </w:pPr>
    </w:p>
    <w:p w14:paraId="09B8E8C0">
      <w:pPr>
        <w:spacing w:line="400" w:lineRule="exact"/>
        <w:jc w:val="center"/>
        <w:rPr>
          <w:rFonts w:ascii="仿宋_GB2312" w:hAnsi="宋体" w:eastAsia="仿宋_GB2312"/>
          <w:b/>
          <w:color w:val="auto"/>
          <w:sz w:val="32"/>
          <w:szCs w:val="32"/>
          <w:highlight w:val="none"/>
        </w:rPr>
      </w:pPr>
    </w:p>
    <w:p w14:paraId="2F3424D0">
      <w:pPr>
        <w:spacing w:line="400" w:lineRule="exact"/>
        <w:jc w:val="center"/>
        <w:rPr>
          <w:rFonts w:ascii="仿宋_GB2312" w:hAnsi="宋体" w:eastAsia="仿宋_GB2312"/>
          <w:b/>
          <w:color w:val="auto"/>
          <w:sz w:val="32"/>
          <w:szCs w:val="32"/>
          <w:highlight w:val="none"/>
        </w:rPr>
      </w:pPr>
    </w:p>
    <w:p w14:paraId="263D6381">
      <w:pPr>
        <w:spacing w:line="400" w:lineRule="exact"/>
        <w:jc w:val="center"/>
        <w:rPr>
          <w:rFonts w:ascii="仿宋_GB2312" w:hAnsi="宋体" w:eastAsia="仿宋_GB2312"/>
          <w:b/>
          <w:color w:val="auto"/>
          <w:sz w:val="32"/>
          <w:szCs w:val="32"/>
          <w:highlight w:val="none"/>
        </w:rPr>
      </w:pPr>
    </w:p>
    <w:p w14:paraId="1A985642">
      <w:pPr>
        <w:spacing w:line="400" w:lineRule="exact"/>
        <w:jc w:val="center"/>
        <w:rPr>
          <w:rFonts w:ascii="仿宋_GB2312" w:hAnsi="宋体" w:eastAsia="仿宋_GB2312"/>
          <w:b/>
          <w:color w:val="auto"/>
          <w:sz w:val="32"/>
          <w:szCs w:val="32"/>
          <w:highlight w:val="none"/>
        </w:rPr>
      </w:pPr>
    </w:p>
    <w:p w14:paraId="328BA367">
      <w:pPr>
        <w:spacing w:line="400" w:lineRule="exact"/>
        <w:jc w:val="center"/>
        <w:rPr>
          <w:rFonts w:ascii="仿宋_GB2312" w:hAnsi="宋体" w:eastAsia="仿宋_GB2312"/>
          <w:b/>
          <w:color w:val="auto"/>
          <w:sz w:val="32"/>
          <w:szCs w:val="32"/>
          <w:highlight w:val="none"/>
        </w:rPr>
      </w:pPr>
    </w:p>
    <w:p w14:paraId="73DFCFD4">
      <w:pPr>
        <w:spacing w:line="400" w:lineRule="exact"/>
        <w:jc w:val="center"/>
        <w:rPr>
          <w:rFonts w:ascii="仿宋_GB2312" w:hAnsi="宋体" w:eastAsia="仿宋_GB2312"/>
          <w:b/>
          <w:color w:val="auto"/>
          <w:sz w:val="32"/>
          <w:szCs w:val="32"/>
          <w:highlight w:val="none"/>
        </w:rPr>
      </w:pPr>
    </w:p>
    <w:p w14:paraId="234396C5">
      <w:pPr>
        <w:spacing w:line="400" w:lineRule="exact"/>
        <w:jc w:val="center"/>
        <w:rPr>
          <w:rFonts w:ascii="仿宋_GB2312" w:hAnsi="宋体" w:eastAsia="仿宋_GB2312"/>
          <w:b/>
          <w:color w:val="auto"/>
          <w:sz w:val="32"/>
          <w:szCs w:val="32"/>
          <w:highlight w:val="none"/>
        </w:rPr>
      </w:pPr>
    </w:p>
    <w:p w14:paraId="1416F750">
      <w:pPr>
        <w:spacing w:line="400" w:lineRule="exact"/>
        <w:jc w:val="center"/>
        <w:rPr>
          <w:rFonts w:ascii="仿宋_GB2312" w:hAnsi="宋体" w:eastAsia="仿宋_GB2312"/>
          <w:b/>
          <w:color w:val="auto"/>
          <w:sz w:val="32"/>
          <w:szCs w:val="32"/>
          <w:highlight w:val="none"/>
        </w:rPr>
      </w:pPr>
    </w:p>
    <w:p w14:paraId="2F6098DB">
      <w:pPr>
        <w:spacing w:line="600" w:lineRule="exact"/>
        <w:jc w:val="center"/>
        <w:outlineLvl w:val="0"/>
        <w:rPr>
          <w:rFonts w:ascii="宋体" w:hAnsi="宋体"/>
          <w:b/>
          <w:color w:val="auto"/>
          <w:sz w:val="44"/>
          <w:szCs w:val="44"/>
          <w:highlight w:val="none"/>
        </w:rPr>
      </w:pPr>
      <w:bookmarkStart w:id="21" w:name="_Toc12743"/>
      <w:bookmarkStart w:id="22" w:name="_Toc3994504"/>
      <w:bookmarkStart w:id="23" w:name="_Toc3943"/>
      <w:r>
        <w:rPr>
          <w:rFonts w:hint="eastAsia" w:ascii="宋体" w:hAnsi="宋体"/>
          <w:b/>
          <w:color w:val="auto"/>
          <w:sz w:val="44"/>
          <w:szCs w:val="44"/>
          <w:highlight w:val="none"/>
        </w:rPr>
        <w:t>第二章  磋商供应商须知</w:t>
      </w:r>
      <w:bookmarkEnd w:id="21"/>
      <w:bookmarkEnd w:id="22"/>
      <w:bookmarkEnd w:id="23"/>
    </w:p>
    <w:p w14:paraId="153945F7">
      <w:pPr>
        <w:spacing w:line="400" w:lineRule="exact"/>
        <w:jc w:val="center"/>
        <w:rPr>
          <w:rFonts w:ascii="仿宋_GB2312" w:hAnsi="宋体" w:eastAsia="仿宋_GB2312"/>
          <w:b/>
          <w:color w:val="auto"/>
          <w:sz w:val="32"/>
          <w:szCs w:val="32"/>
          <w:highlight w:val="none"/>
        </w:rPr>
      </w:pPr>
    </w:p>
    <w:p w14:paraId="6B1FAB4A">
      <w:pPr>
        <w:spacing w:line="400" w:lineRule="exact"/>
        <w:jc w:val="center"/>
        <w:rPr>
          <w:rFonts w:ascii="仿宋_GB2312" w:hAnsi="宋体" w:eastAsia="仿宋_GB2312"/>
          <w:b/>
          <w:color w:val="auto"/>
          <w:sz w:val="32"/>
          <w:szCs w:val="32"/>
          <w:highlight w:val="none"/>
        </w:rPr>
      </w:pPr>
    </w:p>
    <w:p w14:paraId="59522010">
      <w:pPr>
        <w:spacing w:line="400" w:lineRule="exact"/>
        <w:jc w:val="center"/>
        <w:rPr>
          <w:rFonts w:ascii="仿宋_GB2312" w:hAnsi="宋体" w:eastAsia="仿宋_GB2312"/>
          <w:b/>
          <w:color w:val="auto"/>
          <w:sz w:val="32"/>
          <w:szCs w:val="32"/>
          <w:highlight w:val="none"/>
        </w:rPr>
      </w:pPr>
    </w:p>
    <w:p w14:paraId="64C01642">
      <w:pPr>
        <w:spacing w:line="400" w:lineRule="exact"/>
        <w:jc w:val="center"/>
        <w:rPr>
          <w:rFonts w:ascii="仿宋_GB2312" w:hAnsi="宋体" w:eastAsia="仿宋_GB2312"/>
          <w:b/>
          <w:color w:val="auto"/>
          <w:sz w:val="32"/>
          <w:szCs w:val="32"/>
          <w:highlight w:val="none"/>
        </w:rPr>
      </w:pPr>
    </w:p>
    <w:p w14:paraId="7A516B33">
      <w:pPr>
        <w:spacing w:line="400" w:lineRule="exact"/>
        <w:jc w:val="center"/>
        <w:rPr>
          <w:rFonts w:ascii="仿宋_GB2312" w:hAnsi="宋体" w:eastAsia="仿宋_GB2312"/>
          <w:b/>
          <w:color w:val="auto"/>
          <w:sz w:val="32"/>
          <w:szCs w:val="32"/>
          <w:highlight w:val="none"/>
        </w:rPr>
      </w:pPr>
    </w:p>
    <w:p w14:paraId="4AA49741">
      <w:pPr>
        <w:spacing w:line="400" w:lineRule="exact"/>
        <w:jc w:val="center"/>
        <w:rPr>
          <w:rFonts w:ascii="仿宋_GB2312" w:hAnsi="宋体" w:eastAsia="仿宋_GB2312"/>
          <w:b/>
          <w:color w:val="auto"/>
          <w:sz w:val="32"/>
          <w:szCs w:val="32"/>
          <w:highlight w:val="none"/>
        </w:rPr>
      </w:pPr>
    </w:p>
    <w:p w14:paraId="1DF14D27">
      <w:pPr>
        <w:spacing w:line="400" w:lineRule="exact"/>
        <w:jc w:val="center"/>
        <w:rPr>
          <w:rFonts w:ascii="仿宋_GB2312" w:hAnsi="宋体" w:eastAsia="仿宋_GB2312"/>
          <w:b/>
          <w:color w:val="auto"/>
          <w:sz w:val="32"/>
          <w:szCs w:val="32"/>
          <w:highlight w:val="none"/>
        </w:rPr>
      </w:pPr>
    </w:p>
    <w:p w14:paraId="16A6FAD3">
      <w:pPr>
        <w:spacing w:line="400" w:lineRule="exact"/>
        <w:jc w:val="center"/>
        <w:rPr>
          <w:rFonts w:ascii="仿宋_GB2312" w:hAnsi="宋体" w:eastAsia="仿宋_GB2312"/>
          <w:b/>
          <w:color w:val="auto"/>
          <w:sz w:val="32"/>
          <w:szCs w:val="32"/>
          <w:highlight w:val="none"/>
        </w:rPr>
      </w:pPr>
    </w:p>
    <w:p w14:paraId="46D1A0DB">
      <w:pPr>
        <w:spacing w:line="400" w:lineRule="exact"/>
        <w:jc w:val="center"/>
        <w:rPr>
          <w:rFonts w:ascii="仿宋_GB2312" w:hAnsi="宋体" w:eastAsia="仿宋_GB2312"/>
          <w:b/>
          <w:color w:val="auto"/>
          <w:sz w:val="32"/>
          <w:szCs w:val="32"/>
          <w:highlight w:val="none"/>
        </w:rPr>
      </w:pPr>
    </w:p>
    <w:p w14:paraId="1DE3F822">
      <w:pPr>
        <w:spacing w:line="400" w:lineRule="exact"/>
        <w:jc w:val="center"/>
        <w:rPr>
          <w:rFonts w:ascii="仿宋_GB2312" w:hAnsi="宋体" w:eastAsia="仿宋_GB2312"/>
          <w:b/>
          <w:color w:val="auto"/>
          <w:sz w:val="32"/>
          <w:szCs w:val="32"/>
          <w:highlight w:val="none"/>
        </w:rPr>
      </w:pPr>
    </w:p>
    <w:p w14:paraId="71D6BFC0">
      <w:pPr>
        <w:spacing w:line="400" w:lineRule="exact"/>
        <w:jc w:val="center"/>
        <w:rPr>
          <w:rFonts w:ascii="仿宋_GB2312" w:hAnsi="宋体" w:eastAsia="仿宋_GB2312"/>
          <w:b/>
          <w:color w:val="auto"/>
          <w:sz w:val="32"/>
          <w:szCs w:val="32"/>
          <w:highlight w:val="none"/>
        </w:rPr>
      </w:pPr>
    </w:p>
    <w:p w14:paraId="4C10D039">
      <w:pPr>
        <w:spacing w:line="400" w:lineRule="exact"/>
        <w:rPr>
          <w:rFonts w:ascii="仿宋_GB2312" w:hAnsi="宋体" w:eastAsia="仿宋_GB2312"/>
          <w:b/>
          <w:color w:val="auto"/>
          <w:sz w:val="32"/>
          <w:szCs w:val="32"/>
          <w:highlight w:val="none"/>
        </w:rPr>
      </w:pPr>
    </w:p>
    <w:p w14:paraId="5A013BC2">
      <w:pPr>
        <w:spacing w:line="400" w:lineRule="exact"/>
        <w:rPr>
          <w:rFonts w:ascii="仿宋_GB2312" w:hAnsi="宋体" w:eastAsia="仿宋_GB2312"/>
          <w:b/>
          <w:color w:val="auto"/>
          <w:sz w:val="32"/>
          <w:szCs w:val="32"/>
          <w:highlight w:val="none"/>
        </w:rPr>
      </w:pPr>
    </w:p>
    <w:p w14:paraId="6BAD7B83">
      <w:pPr>
        <w:spacing w:line="400" w:lineRule="exact"/>
        <w:rPr>
          <w:rFonts w:ascii="仿宋_GB2312" w:hAnsi="宋体" w:eastAsia="仿宋_GB2312"/>
          <w:b/>
          <w:color w:val="auto"/>
          <w:sz w:val="32"/>
          <w:szCs w:val="32"/>
          <w:highlight w:val="none"/>
        </w:rPr>
      </w:pPr>
    </w:p>
    <w:p w14:paraId="1CDD73E5">
      <w:pPr>
        <w:spacing w:line="400" w:lineRule="exact"/>
        <w:rPr>
          <w:rFonts w:ascii="仿宋_GB2312" w:hAnsi="宋体" w:eastAsia="仿宋_GB2312"/>
          <w:b/>
          <w:color w:val="auto"/>
          <w:sz w:val="32"/>
          <w:szCs w:val="32"/>
          <w:highlight w:val="none"/>
        </w:rPr>
      </w:pPr>
    </w:p>
    <w:p w14:paraId="48A3316F">
      <w:pPr>
        <w:spacing w:line="400" w:lineRule="exact"/>
        <w:rPr>
          <w:rFonts w:ascii="仿宋_GB2312" w:hAnsi="宋体" w:eastAsia="仿宋_GB2312"/>
          <w:b/>
          <w:color w:val="auto"/>
          <w:sz w:val="32"/>
          <w:szCs w:val="32"/>
          <w:highlight w:val="none"/>
        </w:rPr>
      </w:pPr>
    </w:p>
    <w:p w14:paraId="7DB920DD">
      <w:pPr>
        <w:pStyle w:val="18"/>
        <w:rPr>
          <w:color w:val="auto"/>
          <w:highlight w:val="none"/>
        </w:rPr>
      </w:pPr>
    </w:p>
    <w:p w14:paraId="4E547095">
      <w:pPr>
        <w:rPr>
          <w:color w:val="auto"/>
          <w:highlight w:val="none"/>
        </w:rPr>
      </w:pPr>
    </w:p>
    <w:p w14:paraId="3E209EC4">
      <w:pPr>
        <w:pStyle w:val="18"/>
        <w:rPr>
          <w:color w:val="auto"/>
          <w:highlight w:val="none"/>
        </w:rPr>
      </w:pPr>
    </w:p>
    <w:p w14:paraId="48145553">
      <w:pPr>
        <w:rPr>
          <w:color w:val="auto"/>
          <w:highlight w:val="none"/>
        </w:rPr>
      </w:pPr>
    </w:p>
    <w:p w14:paraId="5DC1FD49">
      <w:pPr>
        <w:pStyle w:val="18"/>
        <w:rPr>
          <w:color w:val="auto"/>
          <w:highlight w:val="none"/>
        </w:rPr>
      </w:pPr>
    </w:p>
    <w:p w14:paraId="3733111A">
      <w:pPr>
        <w:spacing w:line="400" w:lineRule="exact"/>
        <w:rPr>
          <w:rFonts w:ascii="仿宋_GB2312" w:hAnsi="宋体" w:eastAsia="仿宋_GB2312"/>
          <w:b/>
          <w:color w:val="auto"/>
          <w:sz w:val="32"/>
          <w:szCs w:val="32"/>
          <w:highlight w:val="none"/>
        </w:rPr>
      </w:pPr>
    </w:p>
    <w:p w14:paraId="7E3A092E">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磋商</w:t>
      </w:r>
      <w:r>
        <w:rPr>
          <w:rFonts w:ascii="宋体" w:hAnsi="宋体"/>
          <w:b/>
          <w:color w:val="auto"/>
          <w:sz w:val="32"/>
          <w:szCs w:val="32"/>
          <w:highlight w:val="none"/>
        </w:rPr>
        <w:t>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430"/>
        <w:gridCol w:w="8635"/>
      </w:tblGrid>
      <w:tr w14:paraId="13D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10E8AA58">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430" w:type="dxa"/>
            <w:vAlign w:val="center"/>
          </w:tcPr>
          <w:p w14:paraId="542890F3">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8635" w:type="dxa"/>
            <w:vAlign w:val="center"/>
          </w:tcPr>
          <w:p w14:paraId="1404E1B9">
            <w:pPr>
              <w:pStyle w:val="68"/>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    容</w:t>
            </w:r>
          </w:p>
        </w:tc>
      </w:tr>
      <w:tr w14:paraId="0736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3DF314A7">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p>
        </w:tc>
        <w:tc>
          <w:tcPr>
            <w:tcW w:w="1430" w:type="dxa"/>
            <w:vAlign w:val="center"/>
          </w:tcPr>
          <w:p w14:paraId="68DF0803">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项目名称及编号</w:t>
            </w:r>
          </w:p>
        </w:tc>
        <w:tc>
          <w:tcPr>
            <w:tcW w:w="8635" w:type="dxa"/>
            <w:vAlign w:val="center"/>
          </w:tcPr>
          <w:p w14:paraId="252DEC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工程名称：</w:t>
            </w:r>
            <w:r>
              <w:rPr>
                <w:rFonts w:hint="eastAsia" w:ascii="宋体" w:hAnsi="宋体" w:eastAsia="宋体" w:cs="宋体"/>
                <w:color w:val="auto"/>
                <w:spacing w:val="2"/>
                <w:sz w:val="24"/>
                <w:szCs w:val="24"/>
                <w:highlight w:val="none"/>
                <w:lang w:eastAsia="zh-CN"/>
              </w:rPr>
              <w:t>北海市银海区三合口民族学校教学楼拆除重建项目</w:t>
            </w:r>
            <w:r>
              <w:rPr>
                <w:rFonts w:hint="eastAsia" w:ascii="宋体" w:hAnsi="宋体" w:eastAsia="宋体" w:cs="宋体"/>
                <w:color w:val="auto"/>
                <w:sz w:val="24"/>
                <w:szCs w:val="24"/>
                <w:highlight w:val="none"/>
              </w:rPr>
              <w:t xml:space="preserve"> </w:t>
            </w:r>
          </w:p>
          <w:p w14:paraId="46668C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项目编号：</w:t>
            </w:r>
            <w:r>
              <w:rPr>
                <w:rFonts w:hint="eastAsia" w:ascii="宋体" w:hAnsi="宋体" w:cs="宋体"/>
                <w:color w:val="auto"/>
                <w:sz w:val="24"/>
                <w:szCs w:val="24"/>
                <w:highlight w:val="none"/>
                <w:lang w:eastAsia="zh-CN"/>
              </w:rPr>
              <w:t>BHZC2025-C2-030055-GXHS</w:t>
            </w:r>
            <w:r>
              <w:rPr>
                <w:rFonts w:hint="eastAsia" w:ascii="宋体" w:hAnsi="宋体" w:eastAsia="宋体" w:cs="宋体"/>
                <w:color w:val="auto"/>
                <w:sz w:val="24"/>
                <w:szCs w:val="24"/>
                <w:highlight w:val="none"/>
              </w:rPr>
              <w:t xml:space="preserve">  </w:t>
            </w:r>
          </w:p>
          <w:p w14:paraId="1AFDFD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建设地点：广西北海</w:t>
            </w:r>
            <w:r>
              <w:rPr>
                <w:rFonts w:hint="eastAsia" w:ascii="宋体" w:hAnsi="宋体" w:eastAsia="宋体" w:cs="宋体"/>
                <w:color w:val="auto"/>
                <w:sz w:val="24"/>
                <w:szCs w:val="24"/>
                <w:highlight w:val="none"/>
              </w:rPr>
              <w:t xml:space="preserve"> </w:t>
            </w:r>
          </w:p>
          <w:p w14:paraId="6C4797C0">
            <w:pPr>
              <w:spacing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发包方式：包工包料</w:t>
            </w:r>
          </w:p>
          <w:p w14:paraId="3D957A9F">
            <w:pPr>
              <w:spacing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工程质量要求：达到国家工程施工验收规范合格标准</w:t>
            </w:r>
          </w:p>
          <w:p w14:paraId="35A90D0D">
            <w:pPr>
              <w:spacing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要求工期：</w:t>
            </w:r>
            <w:r>
              <w:rPr>
                <w:rFonts w:hint="eastAsia" w:ascii="宋体" w:hAnsi="宋体" w:cs="宋体"/>
                <w:color w:val="auto"/>
                <w:sz w:val="24"/>
                <w:szCs w:val="24"/>
                <w:highlight w:val="none"/>
                <w:lang w:val="en-US" w:eastAsia="zh-CN"/>
              </w:rPr>
              <w:t>自合同签订之日起165个日历天内完成</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pacing w:val="2"/>
                <w:sz w:val="24"/>
                <w:szCs w:val="24"/>
                <w:highlight w:val="none"/>
              </w:rPr>
              <w:t xml:space="preserve"> </w:t>
            </w:r>
          </w:p>
          <w:p w14:paraId="0C9A2FAB">
            <w:pPr>
              <w:pStyle w:val="6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采购范围：施工图纸范围内的所有内容（详见施工图纸及工程量清单）</w:t>
            </w:r>
            <w:r>
              <w:rPr>
                <w:rFonts w:hint="eastAsia" w:ascii="宋体" w:hAnsi="宋体" w:eastAsia="宋体" w:cs="宋体"/>
                <w:color w:val="auto"/>
                <w:spacing w:val="2"/>
                <w:sz w:val="24"/>
                <w:szCs w:val="24"/>
                <w:highlight w:val="none"/>
                <w:lang w:val="en-US" w:eastAsia="zh-CN"/>
              </w:rPr>
              <w:t>。</w:t>
            </w:r>
            <w:r>
              <w:rPr>
                <w:rFonts w:hint="eastAsia" w:ascii="宋体" w:hAnsi="宋体" w:eastAsia="宋体" w:cs="宋体"/>
                <w:color w:val="auto"/>
                <w:spacing w:val="2"/>
                <w:sz w:val="24"/>
                <w:szCs w:val="24"/>
                <w:highlight w:val="none"/>
              </w:rPr>
              <w:t xml:space="preserve"> </w:t>
            </w:r>
          </w:p>
        </w:tc>
      </w:tr>
      <w:tr w14:paraId="5BDB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B12B448">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p>
        </w:tc>
        <w:tc>
          <w:tcPr>
            <w:tcW w:w="1430" w:type="dxa"/>
            <w:vAlign w:val="center"/>
          </w:tcPr>
          <w:p w14:paraId="05BDC59D">
            <w:pPr>
              <w:pStyle w:val="68"/>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资金来源</w:t>
            </w:r>
          </w:p>
        </w:tc>
        <w:tc>
          <w:tcPr>
            <w:tcW w:w="8635" w:type="dxa"/>
            <w:vAlign w:val="center"/>
          </w:tcPr>
          <w:p w14:paraId="1D52DEDD">
            <w:pPr>
              <w:spacing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本工程的资金来源为</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u w:val="single"/>
                <w:lang w:val="en-US" w:eastAsia="zh-CN"/>
              </w:rPr>
              <w:t>财政资金</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2"/>
                <w:sz w:val="24"/>
                <w:szCs w:val="24"/>
                <w:highlight w:val="none"/>
              </w:rPr>
              <w:t>，资金已落实，并将资金用于本工程合同项下的合格支付。</w:t>
            </w:r>
          </w:p>
          <w:p w14:paraId="5D5636F6">
            <w:pPr>
              <w:pStyle w:val="68"/>
              <w:spacing w:line="360" w:lineRule="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本项目采购预算控制价（包含建安劳保费）</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2544118.71</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pacing w:val="2"/>
                <w:sz w:val="24"/>
                <w:szCs w:val="24"/>
                <w:highlight w:val="none"/>
              </w:rPr>
              <w:t xml:space="preserve"> </w:t>
            </w:r>
          </w:p>
        </w:tc>
      </w:tr>
      <w:tr w14:paraId="35AC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3774BC7D">
            <w:pPr>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p>
        </w:tc>
        <w:tc>
          <w:tcPr>
            <w:tcW w:w="1430" w:type="dxa"/>
            <w:vAlign w:val="center"/>
          </w:tcPr>
          <w:p w14:paraId="07F83ABA">
            <w:pPr>
              <w:pStyle w:val="96"/>
              <w:ind w:firstLine="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采购标的及其对应的中小企业划分标准所属行业</w:t>
            </w:r>
          </w:p>
        </w:tc>
        <w:tc>
          <w:tcPr>
            <w:tcW w:w="8635" w:type="dxa"/>
            <w:vAlign w:val="center"/>
          </w:tcPr>
          <w:p w14:paraId="6BA59B67">
            <w:pPr>
              <w:pStyle w:val="96"/>
              <w:ind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北海市银海区三合口民族学校教学楼拆除重建项目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建筑业 </w:t>
            </w:r>
            <w:r>
              <w:rPr>
                <w:rFonts w:hint="eastAsia" w:ascii="宋体" w:hAnsi="宋体" w:eastAsia="宋体" w:cs="宋体"/>
                <w:color w:val="auto"/>
                <w:sz w:val="24"/>
                <w:szCs w:val="24"/>
                <w:highlight w:val="none"/>
              </w:rPr>
              <w:t>行业</w:t>
            </w:r>
            <w:r>
              <w:rPr>
                <w:rFonts w:hint="eastAsia" w:ascii="宋体" w:hAnsi="宋体" w:eastAsia="宋体" w:cs="宋体"/>
                <w:color w:val="auto"/>
                <w:sz w:val="24"/>
                <w:szCs w:val="24"/>
                <w:highlight w:val="none"/>
                <w:lang w:eastAsia="zh-CN"/>
              </w:rPr>
              <w:t>。</w:t>
            </w:r>
          </w:p>
          <w:p w14:paraId="035DA9CD">
            <w:pPr>
              <w:pStyle w:val="96"/>
              <w:rPr>
                <w:rFonts w:hint="eastAsia" w:ascii="宋体" w:hAnsi="宋体" w:eastAsia="宋体" w:cs="宋体"/>
                <w:color w:val="auto"/>
                <w:sz w:val="24"/>
                <w:szCs w:val="24"/>
                <w:highlight w:val="none"/>
              </w:rPr>
            </w:pPr>
          </w:p>
        </w:tc>
      </w:tr>
      <w:tr w14:paraId="442EB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691C0470">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w:t>
            </w:r>
          </w:p>
        </w:tc>
        <w:tc>
          <w:tcPr>
            <w:tcW w:w="1430" w:type="dxa"/>
            <w:vAlign w:val="center"/>
          </w:tcPr>
          <w:p w14:paraId="010957B7">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磋商供应商资格</w:t>
            </w:r>
          </w:p>
        </w:tc>
        <w:tc>
          <w:tcPr>
            <w:tcW w:w="8635" w:type="dxa"/>
            <w:vAlign w:val="center"/>
          </w:tcPr>
          <w:p w14:paraId="798B6B02">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磋商供应商资格要求：</w:t>
            </w:r>
          </w:p>
          <w:p w14:paraId="28010EC8">
            <w:pPr>
              <w:keepNext w:val="0"/>
              <w:keepLines w:val="0"/>
              <w:pageBreakBefore w:val="0"/>
              <w:widowControl/>
              <w:kinsoku/>
              <w:wordWrap/>
              <w:overflowPunct/>
              <w:topLinePunct w:val="0"/>
              <w:autoSpaceDE/>
              <w:autoSpaceDN/>
              <w:bidi w:val="0"/>
              <w:adjustRightInd w:val="0"/>
              <w:snapToGrid w:val="0"/>
              <w:spacing w:line="360" w:lineRule="auto"/>
              <w:ind w:firstLine="0"/>
              <w:textAlignment w:val="auto"/>
              <w:rPr>
                <w:rFonts w:hint="eastAsia" w:ascii="宋体" w:hAnsi="宋体" w:eastAsia="宋体" w:cs="宋体"/>
                <w:snapToGrid/>
                <w:color w:val="auto"/>
                <w:kern w:val="0"/>
                <w:sz w:val="24"/>
                <w:szCs w:val="24"/>
                <w:highlight w:val="none"/>
              </w:rPr>
            </w:pPr>
            <w:r>
              <w:rPr>
                <w:rFonts w:hint="eastAsia" w:ascii="宋体" w:hAnsi="宋体" w:eastAsia="宋体" w:cs="宋体"/>
                <w:snapToGrid/>
                <w:color w:val="auto"/>
                <w:kern w:val="0"/>
                <w:sz w:val="24"/>
                <w:szCs w:val="24"/>
                <w:highlight w:val="none"/>
              </w:rPr>
              <w:t>1.满足《中华人民共和国政府采购法》第二十二条规定；</w:t>
            </w:r>
          </w:p>
          <w:p w14:paraId="4CEBD70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snapToGrid/>
                <w:color w:val="auto"/>
                <w:kern w:val="0"/>
                <w:sz w:val="24"/>
                <w:szCs w:val="24"/>
                <w:highlight w:val="none"/>
              </w:rPr>
              <w:t>2.落实政府采购政策需满足的资格要求：</w:t>
            </w:r>
            <w:r>
              <w:rPr>
                <w:rFonts w:hint="eastAsia" w:ascii="宋体" w:hAnsi="宋体" w:eastAsia="宋体" w:cs="宋体"/>
                <w:snapToGrid/>
                <w:color w:val="auto"/>
                <w:kern w:val="0"/>
                <w:sz w:val="24"/>
                <w:szCs w:val="24"/>
                <w:highlight w:val="none"/>
                <w:lang w:eastAsia="zh-CN"/>
              </w:rPr>
              <w:t>分标</w:t>
            </w:r>
            <w:r>
              <w:rPr>
                <w:rFonts w:hint="eastAsia" w:ascii="宋体" w:hAnsi="宋体" w:eastAsia="宋体" w:cs="宋体"/>
                <w:snapToGrid/>
                <w:color w:val="auto"/>
                <w:kern w:val="0"/>
                <w:sz w:val="24"/>
                <w:szCs w:val="24"/>
                <w:highlight w:val="none"/>
              </w:rPr>
              <w:t>1：</w:t>
            </w:r>
            <w:r>
              <w:rPr>
                <w:rFonts w:hint="eastAsia" w:ascii="宋体" w:hAnsi="宋体" w:cs="宋体"/>
                <w:snapToGrid/>
                <w:color w:val="auto"/>
                <w:kern w:val="0"/>
                <w:sz w:val="24"/>
                <w:szCs w:val="24"/>
                <w:highlight w:val="none"/>
                <w:lang w:eastAsia="zh-CN"/>
              </w:rPr>
              <w:t>本项目为专门面向小微企业采购的项目（供应商应为小微企业或者监狱企业或者残疾人福利性单位)</w:t>
            </w:r>
            <w:r>
              <w:rPr>
                <w:rFonts w:hint="eastAsia" w:ascii="宋体" w:hAnsi="宋体" w:eastAsia="宋体" w:cs="宋体"/>
                <w:snapToGrid/>
                <w:color w:val="auto"/>
                <w:kern w:val="0"/>
                <w:sz w:val="24"/>
                <w:szCs w:val="24"/>
                <w:highlight w:val="none"/>
              </w:rPr>
              <w:t>。</w:t>
            </w:r>
          </w:p>
          <w:p w14:paraId="65586D10">
            <w:pPr>
              <w:keepNext w:val="0"/>
              <w:keepLines w:val="0"/>
              <w:pageBreakBefore w:val="0"/>
              <w:widowControl/>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kern w:val="0"/>
                <w:sz w:val="24"/>
                <w:szCs w:val="24"/>
                <w:highlight w:val="none"/>
                <w:lang w:eastAsia="zh-CN"/>
              </w:rPr>
              <w:t>分标</w:t>
            </w:r>
            <w:r>
              <w:rPr>
                <w:rFonts w:hint="eastAsia" w:ascii="宋体" w:hAnsi="宋体" w:eastAsia="宋体" w:cs="宋体"/>
                <w:color w:val="auto"/>
                <w:sz w:val="24"/>
                <w:szCs w:val="24"/>
                <w:highlight w:val="none"/>
              </w:rPr>
              <w:t>1】</w:t>
            </w:r>
          </w:p>
          <w:p w14:paraId="15762057">
            <w:pPr>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具有有效的</w:t>
            </w:r>
            <w:r>
              <w:rPr>
                <w:rFonts w:hint="eastAsia" w:ascii="宋体" w:hAnsi="宋体" w:eastAsia="宋体" w:cs="宋体"/>
                <w:color w:val="auto"/>
                <w:kern w:val="0"/>
                <w:sz w:val="24"/>
                <w:szCs w:val="24"/>
                <w:highlight w:val="none"/>
                <w:lang w:eastAsia="zh-CN"/>
              </w:rPr>
              <w:t>【建筑工程施工总承包三级】</w:t>
            </w:r>
            <w:r>
              <w:rPr>
                <w:rFonts w:hint="eastAsia" w:ascii="宋体" w:hAnsi="宋体" w:eastAsia="宋体" w:cs="宋体"/>
                <w:color w:val="auto"/>
                <w:kern w:val="0"/>
                <w:sz w:val="24"/>
                <w:szCs w:val="24"/>
                <w:highlight w:val="none"/>
              </w:rPr>
              <w:t>（含）</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以上资质，并具备有效的安全生产许可证书</w:t>
            </w:r>
            <w:r>
              <w:rPr>
                <w:rFonts w:hint="eastAsia" w:ascii="宋体" w:hAnsi="宋体" w:eastAsia="宋体" w:cs="宋体"/>
                <w:color w:val="auto"/>
                <w:kern w:val="0"/>
                <w:sz w:val="24"/>
                <w:szCs w:val="24"/>
                <w:highlight w:val="none"/>
                <w:lang w:eastAsia="zh-CN"/>
              </w:rPr>
              <w:t>，并在人员、资金等方面具备相应的施工能力；</w:t>
            </w:r>
            <w:r>
              <w:rPr>
                <w:rFonts w:hint="eastAsia" w:ascii="宋体" w:hAnsi="宋体" w:eastAsia="宋体" w:cs="宋体"/>
                <w:color w:val="auto"/>
                <w:kern w:val="0"/>
                <w:sz w:val="24"/>
                <w:szCs w:val="24"/>
                <w:highlight w:val="none"/>
              </w:rPr>
              <w:t>其中拟派项目经理须具备</w:t>
            </w:r>
            <w:r>
              <w:rPr>
                <w:rFonts w:hint="eastAsia" w:ascii="宋体" w:hAnsi="宋体" w:eastAsia="宋体" w:cs="宋体"/>
                <w:color w:val="auto"/>
                <w:kern w:val="0"/>
                <w:sz w:val="24"/>
                <w:szCs w:val="24"/>
                <w:highlight w:val="none"/>
                <w:lang w:eastAsia="zh-CN"/>
              </w:rPr>
              <w:t>【建筑工程</w:t>
            </w:r>
            <w:r>
              <w:rPr>
                <w:rFonts w:hint="eastAsia" w:ascii="宋体" w:hAnsi="宋体" w:eastAsia="宋体" w:cs="宋体"/>
                <w:color w:val="auto"/>
                <w:kern w:val="0"/>
                <w:sz w:val="24"/>
                <w:szCs w:val="24"/>
                <w:highlight w:val="none"/>
              </w:rPr>
              <w:t>专业二级</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（含）</w:t>
            </w:r>
            <w:r>
              <w:rPr>
                <w:rFonts w:hint="eastAsia" w:ascii="宋体" w:hAnsi="宋体" w:eastAsia="宋体" w:cs="宋体"/>
                <w:color w:val="auto"/>
                <w:kern w:val="0"/>
                <w:sz w:val="24"/>
                <w:szCs w:val="24"/>
                <w:highlight w:val="none"/>
                <w:lang w:val="en-US" w:eastAsia="zh-CN"/>
              </w:rPr>
              <w:t>及</w:t>
            </w:r>
            <w:r>
              <w:rPr>
                <w:rFonts w:hint="eastAsia" w:ascii="宋体" w:hAnsi="宋体" w:eastAsia="宋体" w:cs="宋体"/>
                <w:color w:val="auto"/>
                <w:kern w:val="0"/>
                <w:sz w:val="24"/>
                <w:szCs w:val="24"/>
                <w:highlight w:val="none"/>
              </w:rPr>
              <w:t>以上注册建造师执业资格，</w:t>
            </w:r>
            <w:r>
              <w:rPr>
                <w:rFonts w:hint="eastAsia" w:ascii="宋体" w:hAnsi="宋体" w:eastAsia="宋体" w:cs="宋体"/>
                <w:color w:val="auto"/>
                <w:kern w:val="0"/>
                <w:sz w:val="24"/>
                <w:szCs w:val="24"/>
                <w:highlight w:val="none"/>
                <w:lang w:val="en-US" w:eastAsia="zh-CN"/>
              </w:rPr>
              <w:t>并</w:t>
            </w:r>
            <w:r>
              <w:rPr>
                <w:rFonts w:hint="eastAsia" w:ascii="宋体" w:hAnsi="宋体" w:eastAsia="宋体" w:cs="宋体"/>
                <w:color w:val="auto"/>
                <w:kern w:val="0"/>
                <w:sz w:val="24"/>
                <w:szCs w:val="24"/>
                <w:highlight w:val="none"/>
              </w:rPr>
              <w:t>具备有效的安全生产考核合格证书（B 类）</w:t>
            </w:r>
            <w:r>
              <w:rPr>
                <w:rFonts w:hint="eastAsia" w:ascii="宋体" w:hAnsi="宋体" w:eastAsia="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本项目不接受有在建、已中标未开工或已列为其他项目中标候选人第一名的建造师作为项目经理</w:t>
            </w:r>
            <w:r>
              <w:rPr>
                <w:rFonts w:hint="eastAsia" w:ascii="宋体" w:hAnsi="宋体" w:eastAsia="宋体" w:cs="宋体"/>
                <w:color w:val="auto"/>
                <w:kern w:val="0"/>
                <w:sz w:val="24"/>
                <w:szCs w:val="24"/>
                <w:highlight w:val="none"/>
                <w:lang w:eastAsia="zh-CN"/>
              </w:rPr>
              <w:t>。</w:t>
            </w:r>
          </w:p>
        </w:tc>
      </w:tr>
      <w:tr w14:paraId="77D3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1E08D199">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w:t>
            </w:r>
          </w:p>
        </w:tc>
        <w:tc>
          <w:tcPr>
            <w:tcW w:w="1430" w:type="dxa"/>
            <w:vAlign w:val="center"/>
          </w:tcPr>
          <w:p w14:paraId="5F31106A">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磋商保证金</w:t>
            </w:r>
          </w:p>
        </w:tc>
        <w:tc>
          <w:tcPr>
            <w:tcW w:w="8635" w:type="dxa"/>
            <w:tcBorders>
              <w:top w:val="single" w:color="auto" w:sz="4" w:space="0"/>
              <w:left w:val="single" w:color="auto" w:sz="4" w:space="0"/>
              <w:bottom w:val="single" w:color="auto" w:sz="4" w:space="0"/>
              <w:right w:val="single" w:color="auto" w:sz="4" w:space="0"/>
            </w:tcBorders>
            <w:vAlign w:val="center"/>
          </w:tcPr>
          <w:p w14:paraId="4C916428">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本项目不收取磋商保证金</w:t>
            </w:r>
            <w:r>
              <w:rPr>
                <w:rFonts w:hint="eastAsia" w:ascii="宋体" w:hAnsi="宋体" w:eastAsia="宋体" w:cs="宋体"/>
                <w:color w:val="auto"/>
                <w:sz w:val="24"/>
                <w:szCs w:val="24"/>
                <w:highlight w:val="none"/>
                <w:lang w:eastAsia="zh-CN"/>
              </w:rPr>
              <w:t>。</w:t>
            </w:r>
          </w:p>
        </w:tc>
      </w:tr>
      <w:tr w14:paraId="5A3C8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27EF9C35">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p>
        </w:tc>
        <w:tc>
          <w:tcPr>
            <w:tcW w:w="1430" w:type="dxa"/>
            <w:vAlign w:val="center"/>
          </w:tcPr>
          <w:p w14:paraId="194AF540">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分包</w:t>
            </w:r>
          </w:p>
        </w:tc>
        <w:tc>
          <w:tcPr>
            <w:tcW w:w="8635" w:type="dxa"/>
            <w:tcBorders>
              <w:top w:val="single" w:color="auto" w:sz="4" w:space="0"/>
              <w:left w:val="single" w:color="auto" w:sz="4" w:space="0"/>
              <w:bottom w:val="single" w:color="auto" w:sz="4" w:space="0"/>
              <w:right w:val="single" w:color="auto" w:sz="4" w:space="0"/>
            </w:tcBorders>
            <w:vAlign w:val="center"/>
          </w:tcPr>
          <w:p w14:paraId="7B1EF67F">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A同意将非主体、非关键性的工作分包。</w:t>
            </w:r>
          </w:p>
          <w:p w14:paraId="47F199C0">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B不同意分包。</w:t>
            </w:r>
          </w:p>
        </w:tc>
      </w:tr>
      <w:tr w14:paraId="3E9A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F33755A">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p>
        </w:tc>
        <w:tc>
          <w:tcPr>
            <w:tcW w:w="1430" w:type="dxa"/>
            <w:vAlign w:val="center"/>
          </w:tcPr>
          <w:p w14:paraId="6AD7CB57">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报价要求</w:t>
            </w:r>
          </w:p>
        </w:tc>
        <w:tc>
          <w:tcPr>
            <w:tcW w:w="8635" w:type="dxa"/>
            <w:vAlign w:val="center"/>
          </w:tcPr>
          <w:p w14:paraId="7D6E0BB1">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供应商应就《采购需求》中所有的服务内容作完整唯一报价。</w:t>
            </w:r>
          </w:p>
        </w:tc>
      </w:tr>
      <w:tr w14:paraId="6839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646EE091">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w:t>
            </w:r>
          </w:p>
        </w:tc>
        <w:tc>
          <w:tcPr>
            <w:tcW w:w="1430" w:type="dxa"/>
            <w:vAlign w:val="center"/>
          </w:tcPr>
          <w:p w14:paraId="73233EF4">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磋商前准备</w:t>
            </w:r>
          </w:p>
        </w:tc>
        <w:tc>
          <w:tcPr>
            <w:tcW w:w="8635" w:type="dxa"/>
            <w:vAlign w:val="center"/>
          </w:tcPr>
          <w:p w14:paraId="788FD8CA">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1.本项目实行网上磋商，采用电子磋商响应文件。若供应商参与磋商，自行承担磋商一切费用。</w:t>
            </w:r>
          </w:p>
          <w:p w14:paraId="5DE4092B">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2.各供应商应在截标前应确保成为“广西政府采购云平台”正式注册入库供应商，并完成CA数字证书申领。因未注册入库、未办理CA数字证书等原因造成无法磋商或磋商失败等后果由供应商自行承担。</w:t>
            </w:r>
          </w:p>
          <w:p w14:paraId="732567B6">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应商将广西政府采购云平台电子交易客户端下载、安装完成后，可通过账号密码或CA登录客户端进行磋商响应文件制作。新版客户端下载路径：广西政府采购网（http://zfcg.gxzf.gov.cn/）—办事服务—下载专区—广西政府采购云平台新版客户端。原在广西政府采购云平台注册的临时供应商需在新平台启用后重新注册登记。如有问题可拨打广西政府采购云平台客户服务热线95763进行咨询。</w:t>
            </w:r>
          </w:p>
          <w:p w14:paraId="4D4E22A9">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4.通过“广西政府采购云平台”上传递交的“电子加密磋商响应文件”无法按时解密，视为磋商响应文件撤回，磋商无效。</w:t>
            </w:r>
          </w:p>
        </w:tc>
      </w:tr>
      <w:tr w14:paraId="024D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4B91A621">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p>
        </w:tc>
        <w:tc>
          <w:tcPr>
            <w:tcW w:w="1430" w:type="dxa"/>
            <w:vAlign w:val="center"/>
          </w:tcPr>
          <w:p w14:paraId="108162E8">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响应文件递交截止时间</w:t>
            </w:r>
          </w:p>
        </w:tc>
        <w:tc>
          <w:tcPr>
            <w:tcW w:w="8635" w:type="dxa"/>
            <w:vAlign w:val="center"/>
          </w:tcPr>
          <w:p w14:paraId="0461C1B3">
            <w:pPr>
              <w:widowControl/>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响应文件递交截止时间：</w:t>
            </w:r>
            <w:r>
              <w:rPr>
                <w:rFonts w:hint="eastAsia" w:ascii="宋体" w:hAnsi="宋体" w:cs="宋体"/>
                <w:color w:val="auto"/>
                <w:kern w:val="0"/>
                <w:sz w:val="24"/>
                <w:szCs w:val="24"/>
                <w:highlight w:val="none"/>
                <w:u w:val="single"/>
                <w:lang w:eastAsia="zh-CN"/>
              </w:rPr>
              <w:t>2025年11月17日 09：00</w:t>
            </w:r>
            <w:r>
              <w:rPr>
                <w:rFonts w:hint="eastAsia" w:ascii="宋体" w:hAnsi="宋体" w:cs="宋体"/>
                <w:bCs/>
                <w:color w:val="auto"/>
                <w:sz w:val="24"/>
                <w:szCs w:val="24"/>
                <w:highlight w:val="none"/>
                <w:u w:val="single"/>
                <w:lang w:eastAsia="zh-CN"/>
              </w:rPr>
              <w:t>（</w:t>
            </w:r>
            <w:r>
              <w:rPr>
                <w:rFonts w:hint="eastAsia" w:ascii="宋体" w:hAnsi="宋体" w:cs="宋体"/>
                <w:bCs/>
                <w:color w:val="auto"/>
                <w:sz w:val="24"/>
                <w:szCs w:val="24"/>
                <w:highlight w:val="none"/>
                <w:u w:val="single"/>
                <w:lang w:val="en-US" w:eastAsia="zh-CN"/>
              </w:rPr>
              <w:t>北京时间</w:t>
            </w:r>
            <w:r>
              <w:rPr>
                <w:rFonts w:hint="eastAsia" w:ascii="宋体" w:hAnsi="宋体" w:cs="宋体"/>
                <w:bCs/>
                <w:color w:val="auto"/>
                <w:sz w:val="24"/>
                <w:szCs w:val="24"/>
                <w:highlight w:val="none"/>
                <w:u w:val="single"/>
                <w:lang w:eastAsia="zh-CN"/>
              </w:rPr>
              <w:t>）</w:t>
            </w:r>
            <w:r>
              <w:rPr>
                <w:rFonts w:hint="eastAsia" w:ascii="宋体" w:hAnsi="宋体" w:eastAsia="宋体" w:cs="宋体"/>
                <w:color w:val="auto"/>
                <w:kern w:val="0"/>
                <w:sz w:val="24"/>
                <w:szCs w:val="24"/>
                <w:highlight w:val="none"/>
              </w:rPr>
              <w:t>之前将电子磋商响应文件上传到广西政府采购云平台。应按照本项目磋商文件和广西政府采购云平台的要求编制、加密传输磋商响应文件。供应商在使用系统进行评审的过程中遇到涉及平台使用的任何问题，可致电广西政府采购云平台技术支持热线咨询，联系方式：95763。</w:t>
            </w:r>
          </w:p>
        </w:tc>
      </w:tr>
      <w:tr w14:paraId="4FED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535EB8DB">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w:t>
            </w:r>
          </w:p>
        </w:tc>
        <w:tc>
          <w:tcPr>
            <w:tcW w:w="1430" w:type="dxa"/>
            <w:vAlign w:val="center"/>
          </w:tcPr>
          <w:p w14:paraId="6A2A40B6">
            <w:pPr>
              <w:pStyle w:val="22"/>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有效期</w:t>
            </w:r>
          </w:p>
        </w:tc>
        <w:tc>
          <w:tcPr>
            <w:tcW w:w="8635" w:type="dxa"/>
            <w:vAlign w:val="center"/>
          </w:tcPr>
          <w:p w14:paraId="5E15971F">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响应文件有效期：响应文件递交截止日期后六十日。</w:t>
            </w:r>
          </w:p>
        </w:tc>
      </w:tr>
      <w:tr w14:paraId="19EE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7FD93E18">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p>
        </w:tc>
        <w:tc>
          <w:tcPr>
            <w:tcW w:w="1430" w:type="dxa"/>
            <w:vAlign w:val="center"/>
          </w:tcPr>
          <w:p w14:paraId="45AB7D37">
            <w:pPr>
              <w:overflowPunct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磋商响应文件解密时间</w:t>
            </w:r>
          </w:p>
        </w:tc>
        <w:tc>
          <w:tcPr>
            <w:tcW w:w="8635" w:type="dxa"/>
            <w:vAlign w:val="center"/>
          </w:tcPr>
          <w:p w14:paraId="1083556D">
            <w:pPr>
              <w:widowControl/>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09B3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39E59272">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w:t>
            </w:r>
          </w:p>
        </w:tc>
        <w:tc>
          <w:tcPr>
            <w:tcW w:w="1430" w:type="dxa"/>
            <w:vAlign w:val="center"/>
          </w:tcPr>
          <w:p w14:paraId="531225BF">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评审方法</w:t>
            </w:r>
          </w:p>
        </w:tc>
        <w:tc>
          <w:tcPr>
            <w:tcW w:w="8635" w:type="dxa"/>
            <w:vAlign w:val="center"/>
          </w:tcPr>
          <w:p w14:paraId="56E56470">
            <w:pPr>
              <w:pStyle w:val="68"/>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评审方法：综合评分法（详细见第</w:t>
            </w:r>
            <w:r>
              <w:rPr>
                <w:rFonts w:hint="eastAsia" w:hAnsi="宋体" w:cs="宋体"/>
                <w:color w:val="auto"/>
                <w:sz w:val="24"/>
                <w:szCs w:val="24"/>
                <w:highlight w:val="none"/>
                <w:lang w:val="en-US" w:eastAsia="zh-CN"/>
              </w:rPr>
              <w:t>七</w:t>
            </w:r>
            <w:r>
              <w:rPr>
                <w:rFonts w:hint="eastAsia" w:ascii="宋体" w:hAnsi="宋体" w:eastAsia="宋体" w:cs="宋体"/>
                <w:color w:val="auto"/>
                <w:sz w:val="24"/>
                <w:szCs w:val="24"/>
                <w:highlight w:val="none"/>
              </w:rPr>
              <w:t>章）</w:t>
            </w:r>
          </w:p>
        </w:tc>
      </w:tr>
      <w:tr w14:paraId="72CE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5E80FA66">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w:t>
            </w:r>
          </w:p>
        </w:tc>
        <w:tc>
          <w:tcPr>
            <w:tcW w:w="1430" w:type="dxa"/>
            <w:vAlign w:val="center"/>
          </w:tcPr>
          <w:p w14:paraId="09AD4A3B">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成交结果</w:t>
            </w:r>
          </w:p>
        </w:tc>
        <w:tc>
          <w:tcPr>
            <w:tcW w:w="8635" w:type="dxa"/>
            <w:tcBorders>
              <w:top w:val="single" w:color="auto" w:sz="4" w:space="0"/>
              <w:left w:val="single" w:color="auto" w:sz="4" w:space="0"/>
              <w:bottom w:val="single" w:color="auto" w:sz="4" w:space="0"/>
              <w:right w:val="single" w:color="auto" w:sz="4" w:space="0"/>
            </w:tcBorders>
            <w:vAlign w:val="center"/>
          </w:tcPr>
          <w:p w14:paraId="71FA5FE9">
            <w:pPr>
              <w:autoSpaceDE w:val="0"/>
              <w:autoSpaceDN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成交通知书及成交公告：</w:t>
            </w:r>
            <w:r>
              <w:rPr>
                <w:rFonts w:hint="eastAsia" w:ascii="宋体" w:hAnsi="宋体" w:eastAsia="宋体" w:cs="宋体"/>
                <w:color w:val="auto"/>
                <w:sz w:val="24"/>
                <w:szCs w:val="24"/>
                <w:highlight w:val="none"/>
              </w:rPr>
              <w:t>采购代理机构在采购人依法确定成交人之日起2个工作日内发出成交通知书，并</w:t>
            </w:r>
            <w:r>
              <w:rPr>
                <w:rFonts w:hint="eastAsia" w:ascii="宋体" w:hAnsi="宋体" w:eastAsia="宋体" w:cs="宋体"/>
                <w:color w:val="auto"/>
                <w:sz w:val="24"/>
                <w:szCs w:val="24"/>
                <w:highlight w:val="none"/>
                <w:lang w:eastAsia="zh-CN"/>
              </w:rPr>
              <w:t>广西政府采购网（http://zfcg.gxzf.gov.cn/）、中国政府采购网（http://www.ccgp.gov.cn/）、全国公共资源交易平台（广西·北海）（http://ggzy.jgswj.gxzf.gov.cn/bhggzy/）</w:t>
            </w:r>
            <w:r>
              <w:rPr>
                <w:rFonts w:hint="eastAsia" w:ascii="宋体" w:hAnsi="宋体" w:eastAsia="宋体" w:cs="宋体"/>
                <w:color w:val="auto"/>
                <w:sz w:val="24"/>
                <w:szCs w:val="24"/>
                <w:highlight w:val="none"/>
              </w:rPr>
              <w:t>发布成交公告。</w:t>
            </w:r>
          </w:p>
          <w:p w14:paraId="52A3BC21">
            <w:pPr>
              <w:autoSpaceDE w:val="0"/>
              <w:autoSpaceDN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中小企业信用融资：</w:t>
            </w:r>
            <w:r>
              <w:rPr>
                <w:rFonts w:hint="eastAsia" w:ascii="宋体" w:hAnsi="宋体" w:eastAsia="宋体" w:cs="宋体"/>
                <w:color w:val="auto"/>
                <w:sz w:val="24"/>
                <w:szCs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3D41D470">
            <w:pPr>
              <w:autoSpaceDE w:val="0"/>
              <w:autoSpaceDN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供应商成交后也可在“广西政府采购云平台”申请政采贷：操作路径：登录广西政府采购云平台-金融服务中心-【融资服务】，可在热门申请中选择产品直接申请。</w:t>
            </w:r>
          </w:p>
        </w:tc>
      </w:tr>
      <w:tr w14:paraId="7E5AD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0CBD1509">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w:t>
            </w:r>
          </w:p>
        </w:tc>
        <w:tc>
          <w:tcPr>
            <w:tcW w:w="1430" w:type="dxa"/>
            <w:vAlign w:val="center"/>
          </w:tcPr>
          <w:p w14:paraId="73779B06">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签订合同</w:t>
            </w:r>
          </w:p>
        </w:tc>
        <w:tc>
          <w:tcPr>
            <w:tcW w:w="8635" w:type="dxa"/>
            <w:tcBorders>
              <w:top w:val="single" w:color="auto" w:sz="4" w:space="0"/>
              <w:left w:val="single" w:color="auto" w:sz="4" w:space="0"/>
              <w:bottom w:val="single" w:color="auto" w:sz="4" w:space="0"/>
              <w:right w:val="single" w:color="auto" w:sz="4" w:space="0"/>
            </w:tcBorders>
            <w:vAlign w:val="center"/>
          </w:tcPr>
          <w:p w14:paraId="74171CAA">
            <w:pPr>
              <w:autoSpaceDE w:val="0"/>
              <w:autoSpaceDN w:val="0"/>
              <w:snapToGrid w:val="0"/>
              <w:spacing w:line="360" w:lineRule="auto"/>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自成交通知书发出之日起，原则上要求25日内签订（项目实施过程中出现质疑或投诉的情形除外）。</w:t>
            </w:r>
          </w:p>
        </w:tc>
      </w:tr>
      <w:tr w14:paraId="0CD3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D153EB0">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w:t>
            </w:r>
          </w:p>
        </w:tc>
        <w:tc>
          <w:tcPr>
            <w:tcW w:w="1430" w:type="dxa"/>
            <w:vAlign w:val="center"/>
          </w:tcPr>
          <w:p w14:paraId="241CBDE6">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电子签名</w:t>
            </w:r>
          </w:p>
        </w:tc>
        <w:tc>
          <w:tcPr>
            <w:tcW w:w="8635" w:type="dxa"/>
            <w:vAlign w:val="center"/>
          </w:tcPr>
          <w:p w14:paraId="59B6A201">
            <w:pPr>
              <w:pStyle w:val="22"/>
              <w:adjustRightInd w:val="0"/>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7E8C37A6">
            <w:pPr>
              <w:pStyle w:val="22"/>
              <w:adjustRightInd w:val="0"/>
              <w:snapToGrid w:val="0"/>
              <w:spacing w:line="360" w:lineRule="auto"/>
              <w:rPr>
                <w:rFonts w:hint="eastAsia" w:ascii="宋体" w:hAnsi="宋体" w:eastAsia="宋体" w:cs="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46A1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671B5B0">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w:t>
            </w:r>
          </w:p>
        </w:tc>
        <w:tc>
          <w:tcPr>
            <w:tcW w:w="1430" w:type="dxa"/>
            <w:vAlign w:val="center"/>
          </w:tcPr>
          <w:p w14:paraId="3BC14D49">
            <w:pPr>
              <w:pStyle w:val="68"/>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质疑及投诉联系方式</w:t>
            </w:r>
          </w:p>
        </w:tc>
        <w:tc>
          <w:tcPr>
            <w:tcW w:w="8635" w:type="dxa"/>
            <w:vAlign w:val="center"/>
          </w:tcPr>
          <w:p w14:paraId="4E6AE2BB">
            <w:pPr>
              <w:pStyle w:val="22"/>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质疑联系部门及电话为：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广西华晟工程项目管理咨询有限公司</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联系电话：</w:t>
            </w:r>
            <w:r>
              <w:rPr>
                <w:rFonts w:hint="eastAsia" w:ascii="宋体" w:hAnsi="宋体" w:eastAsia="宋体" w:cs="宋体"/>
                <w:color w:val="auto"/>
                <w:sz w:val="24"/>
                <w:szCs w:val="24"/>
                <w:highlight w:val="none"/>
                <w:u w:val="single"/>
                <w:lang w:val="en-US" w:eastAsia="zh-CN"/>
              </w:rPr>
              <w:t>0779-2020283</w:t>
            </w:r>
            <w:r>
              <w:rPr>
                <w:rFonts w:hint="eastAsia" w:ascii="宋体" w:hAnsi="宋体" w:eastAsia="宋体" w:cs="宋体"/>
                <w:bCs/>
                <w:color w:val="auto"/>
                <w:sz w:val="24"/>
                <w:szCs w:val="24"/>
                <w:highlight w:val="none"/>
                <w:u w:val="single"/>
              </w:rPr>
              <w:t xml:space="preserve">                </w:t>
            </w:r>
          </w:p>
          <w:p w14:paraId="758023E6">
            <w:pPr>
              <w:pStyle w:val="22"/>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投诉联系部门及电话为：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北海市银海区财政局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联系电话：</w:t>
            </w:r>
            <w:r>
              <w:rPr>
                <w:rFonts w:hint="eastAsia" w:ascii="宋体" w:hAnsi="宋体" w:eastAsia="宋体" w:cs="宋体"/>
                <w:bCs/>
                <w:color w:val="auto"/>
                <w:sz w:val="24"/>
                <w:szCs w:val="24"/>
                <w:highlight w:val="none"/>
                <w:u w:val="single"/>
                <w:lang w:val="en-US" w:eastAsia="zh-CN"/>
              </w:rPr>
              <w:t>0779-3228641</w:t>
            </w:r>
            <w:r>
              <w:rPr>
                <w:rFonts w:hint="eastAsia" w:ascii="宋体" w:hAnsi="宋体" w:eastAsia="宋体" w:cs="宋体"/>
                <w:bCs/>
                <w:color w:val="auto"/>
                <w:sz w:val="24"/>
                <w:szCs w:val="24"/>
                <w:highlight w:val="none"/>
                <w:u w:val="single"/>
              </w:rPr>
              <w:t xml:space="preserve">       </w:t>
            </w:r>
          </w:p>
        </w:tc>
      </w:tr>
      <w:tr w14:paraId="6452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EC4156E">
            <w:pPr>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w:t>
            </w:r>
          </w:p>
        </w:tc>
        <w:tc>
          <w:tcPr>
            <w:tcW w:w="1430" w:type="dxa"/>
            <w:vAlign w:val="center"/>
          </w:tcPr>
          <w:p w14:paraId="44FE25F7">
            <w:pPr>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解释权</w:t>
            </w:r>
          </w:p>
        </w:tc>
        <w:tc>
          <w:tcPr>
            <w:tcW w:w="8635" w:type="dxa"/>
            <w:vAlign w:val="center"/>
          </w:tcPr>
          <w:p w14:paraId="5678CB9D">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本磋商文件解释权属采购人及代理机构。</w:t>
            </w:r>
          </w:p>
        </w:tc>
      </w:tr>
    </w:tbl>
    <w:p w14:paraId="795E9F5E">
      <w:pPr>
        <w:spacing w:line="360" w:lineRule="auto"/>
        <w:ind w:firstLine="482" w:firstLineChars="200"/>
        <w:jc w:val="center"/>
        <w:rPr>
          <w:rFonts w:ascii="宋体" w:hAnsi="宋体"/>
          <w:b/>
          <w:color w:val="auto"/>
          <w:sz w:val="24"/>
          <w:highlight w:val="none"/>
        </w:rPr>
      </w:pPr>
    </w:p>
    <w:p w14:paraId="49736FBB">
      <w:pPr>
        <w:rPr>
          <w:rFonts w:hint="eastAsia" w:ascii="宋体" w:hAnsi="宋体"/>
          <w:b/>
          <w:color w:val="auto"/>
          <w:sz w:val="24"/>
          <w:highlight w:val="none"/>
        </w:rPr>
      </w:pPr>
      <w:r>
        <w:rPr>
          <w:rFonts w:hint="eastAsia" w:ascii="宋体" w:hAnsi="宋体"/>
          <w:b/>
          <w:color w:val="auto"/>
          <w:sz w:val="24"/>
          <w:highlight w:val="none"/>
        </w:rPr>
        <w:br w:type="page"/>
      </w:r>
    </w:p>
    <w:p w14:paraId="5D15177F">
      <w:pPr>
        <w:spacing w:line="360" w:lineRule="auto"/>
        <w:ind w:firstLine="482" w:firstLineChars="200"/>
        <w:jc w:val="center"/>
        <w:rPr>
          <w:rFonts w:ascii="宋体" w:hAnsi="宋体"/>
          <w:b/>
          <w:color w:val="auto"/>
          <w:sz w:val="24"/>
          <w:highlight w:val="none"/>
        </w:rPr>
      </w:pPr>
      <w:r>
        <w:rPr>
          <w:rFonts w:hint="eastAsia" w:ascii="宋体" w:hAnsi="宋体"/>
          <w:b/>
          <w:color w:val="auto"/>
          <w:sz w:val="24"/>
          <w:highlight w:val="none"/>
        </w:rPr>
        <w:t>磋商</w:t>
      </w:r>
      <w:r>
        <w:rPr>
          <w:rFonts w:ascii="宋体" w:hAnsi="宋体"/>
          <w:b/>
          <w:color w:val="auto"/>
          <w:sz w:val="24"/>
          <w:highlight w:val="none"/>
        </w:rPr>
        <w:t>供应商须知</w:t>
      </w:r>
    </w:p>
    <w:p w14:paraId="1BDB39B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4B545051">
      <w:pPr>
        <w:snapToGrid w:val="0"/>
        <w:spacing w:line="360" w:lineRule="auto"/>
        <w:ind w:firstLine="482" w:firstLineChars="200"/>
        <w:jc w:val="left"/>
        <w:rPr>
          <w:rFonts w:ascii="宋体" w:hAnsi="宋体" w:cs="宋体"/>
          <w:b/>
          <w:color w:val="auto"/>
          <w:sz w:val="24"/>
          <w:highlight w:val="none"/>
        </w:rPr>
      </w:pPr>
      <w:bookmarkStart w:id="24" w:name="_Toc254970668"/>
      <w:bookmarkStart w:id="25" w:name="_Toc254970527"/>
      <w:r>
        <w:rPr>
          <w:rFonts w:hint="eastAsia" w:ascii="宋体" w:hAnsi="宋体" w:cs="宋体"/>
          <w:b/>
          <w:color w:val="auto"/>
          <w:sz w:val="24"/>
          <w:highlight w:val="none"/>
        </w:rPr>
        <w:t>1.适用范围</w:t>
      </w:r>
      <w:bookmarkEnd w:id="24"/>
      <w:bookmarkEnd w:id="25"/>
    </w:p>
    <w:p w14:paraId="269A7450">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本磋商文件适用于本项目的磋商、响应、评审、定标、验收、合同履约、付款等行为（法律、法规另有规定的，从其规定）。</w:t>
      </w:r>
    </w:p>
    <w:p w14:paraId="056E58AB">
      <w:pPr>
        <w:snapToGrid w:val="0"/>
        <w:spacing w:line="360" w:lineRule="auto"/>
        <w:ind w:firstLine="482" w:firstLineChars="200"/>
        <w:jc w:val="left"/>
        <w:rPr>
          <w:rFonts w:ascii="宋体" w:hAnsi="宋体" w:cs="宋体"/>
          <w:b/>
          <w:color w:val="auto"/>
          <w:sz w:val="24"/>
          <w:highlight w:val="none"/>
        </w:rPr>
      </w:pPr>
      <w:bookmarkStart w:id="26" w:name="_Toc254970528"/>
      <w:bookmarkStart w:id="27" w:name="_Toc254970669"/>
      <w:r>
        <w:rPr>
          <w:rFonts w:hint="eastAsia" w:ascii="宋体" w:hAnsi="宋体" w:cs="宋体"/>
          <w:b/>
          <w:color w:val="auto"/>
          <w:sz w:val="24"/>
          <w:highlight w:val="none"/>
        </w:rPr>
        <w:t>2.定义</w:t>
      </w:r>
      <w:bookmarkEnd w:id="26"/>
      <w:bookmarkEnd w:id="27"/>
    </w:p>
    <w:p w14:paraId="77A1820C">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1“采购人”系指组织本次磋商的采购单位。</w:t>
      </w:r>
    </w:p>
    <w:p w14:paraId="67B63A7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“采购代理机构”系指组织本次磋商的采购代理机构（以下简称“</w:t>
      </w:r>
      <w:r>
        <w:rPr>
          <w:rFonts w:hint="eastAsia" w:ascii="宋体" w:hAnsi="宋体"/>
          <w:color w:val="auto"/>
          <w:sz w:val="24"/>
          <w:highlight w:val="none"/>
        </w:rPr>
        <w:t>本代理机构</w:t>
      </w:r>
      <w:r>
        <w:rPr>
          <w:rFonts w:hint="eastAsia" w:ascii="宋体" w:hAnsi="宋体" w:cs="宋体"/>
          <w:color w:val="auto"/>
          <w:sz w:val="24"/>
          <w:highlight w:val="none"/>
        </w:rPr>
        <w:t>”）。</w:t>
      </w:r>
    </w:p>
    <w:p w14:paraId="4F2DCE84">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“磋商供应商”系指响应磋商、参加磋商竞争的法人、其他组织或者自然人。</w:t>
      </w:r>
    </w:p>
    <w:p w14:paraId="76B140C7">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2E4BA932">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5“项目”系指磋商供应商按竞争性磋商文件规定向采购人提供的产品和服务。</w:t>
      </w:r>
    </w:p>
    <w:p w14:paraId="31F728E3">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0FA8C44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358A825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3E9FAB27">
      <w:pPr>
        <w:adjustRightInd/>
        <w:snapToGrid w:val="0"/>
        <w:spacing w:line="360" w:lineRule="auto"/>
        <w:ind w:firstLine="480" w:firstLineChars="200"/>
        <w:jc w:val="left"/>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val="en-US" w:eastAsia="zh-CN"/>
        </w:rPr>
        <w:t>3.</w:t>
      </w:r>
      <w:r>
        <w:rPr>
          <w:rFonts w:hint="eastAsia" w:ascii="宋体" w:hAnsi="宋体" w:cs="宋体"/>
          <w:snapToGrid/>
          <w:color w:val="auto"/>
          <w:kern w:val="2"/>
          <w:sz w:val="24"/>
          <w:szCs w:val="24"/>
          <w:highlight w:val="none"/>
        </w:rPr>
        <w:t>1满足《中华人民共和国政府采购法》第二十二条规定；</w:t>
      </w:r>
    </w:p>
    <w:p w14:paraId="64FE37D4">
      <w:pPr>
        <w:adjustRightInd/>
        <w:snapToGrid w:val="0"/>
        <w:spacing w:line="360" w:lineRule="auto"/>
        <w:ind w:firstLine="480" w:firstLineChars="200"/>
        <w:jc w:val="left"/>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val="en-US" w:eastAsia="zh-CN"/>
        </w:rPr>
        <w:t>3.</w:t>
      </w:r>
      <w:r>
        <w:rPr>
          <w:rFonts w:hint="eastAsia" w:ascii="宋体" w:hAnsi="宋体" w:cs="宋体"/>
          <w:snapToGrid/>
          <w:color w:val="auto"/>
          <w:kern w:val="2"/>
          <w:sz w:val="24"/>
          <w:szCs w:val="24"/>
          <w:highlight w:val="none"/>
        </w:rPr>
        <w:t>2落实政府采购政策需满足的资格要求：分标1：本项目为专门面向小微企业采购的项目（供应商应为小微企业或者监狱企业或者残疾人福利性单位)。</w:t>
      </w:r>
    </w:p>
    <w:p w14:paraId="39B8E0B0">
      <w:pPr>
        <w:adjustRightInd/>
        <w:snapToGrid w:val="0"/>
        <w:spacing w:line="360" w:lineRule="auto"/>
        <w:ind w:firstLine="480" w:firstLineChars="200"/>
        <w:jc w:val="left"/>
        <w:rPr>
          <w:rFonts w:hint="eastAsia" w:ascii="宋体" w:hAnsi="宋体" w:cs="宋体"/>
          <w:snapToGrid/>
          <w:color w:val="auto"/>
          <w:kern w:val="2"/>
          <w:sz w:val="24"/>
          <w:szCs w:val="24"/>
          <w:highlight w:val="none"/>
        </w:rPr>
      </w:pPr>
      <w:r>
        <w:rPr>
          <w:rFonts w:hint="eastAsia" w:ascii="宋体" w:hAnsi="宋体" w:cs="宋体"/>
          <w:snapToGrid/>
          <w:color w:val="auto"/>
          <w:kern w:val="2"/>
          <w:sz w:val="24"/>
          <w:szCs w:val="24"/>
          <w:highlight w:val="none"/>
          <w:lang w:val="en-US" w:eastAsia="zh-CN"/>
        </w:rPr>
        <w:t>3.</w:t>
      </w:r>
      <w:r>
        <w:rPr>
          <w:rFonts w:hint="eastAsia" w:ascii="宋体" w:hAnsi="宋体" w:cs="宋体"/>
          <w:snapToGrid/>
          <w:color w:val="auto"/>
          <w:kern w:val="2"/>
          <w:sz w:val="24"/>
          <w:szCs w:val="24"/>
          <w:highlight w:val="none"/>
        </w:rPr>
        <w:t>3本项目的特定资格要求：【分标1】</w:t>
      </w:r>
    </w:p>
    <w:p w14:paraId="0F17C6E1">
      <w:pPr>
        <w:adjustRightInd w:val="0"/>
        <w:spacing w:line="360" w:lineRule="auto"/>
        <w:ind w:firstLine="480" w:firstLineChars="200"/>
        <w:rPr>
          <w:rFonts w:hAnsi="宋体" w:cs="宋体"/>
          <w:color w:val="auto"/>
          <w:sz w:val="24"/>
          <w:szCs w:val="24"/>
          <w:highlight w:val="none"/>
        </w:rPr>
      </w:pPr>
      <w:r>
        <w:rPr>
          <w:rFonts w:hint="eastAsia" w:ascii="宋体" w:hAnsi="宋体" w:cs="宋体"/>
          <w:snapToGrid/>
          <w:color w:val="auto"/>
          <w:kern w:val="2"/>
          <w:sz w:val="24"/>
          <w:szCs w:val="24"/>
          <w:highlight w:val="none"/>
        </w:rPr>
        <w:t>具有有效的【建筑工程施工总承包三级】（含）及以上资质，并具备有效的安全生产许可证书，并在人员、资金等方面具备相应的施工能力；其中拟派项目经理须具备【建筑工程专业二级】（含）及以上注册建造师执业资格，并具备有效的安全生产考核合格证书（B 类），本项目不接受有在建、已中标未开工或已列为其他项目中标候选人第一名的建造师作为项目经理。</w:t>
      </w:r>
    </w:p>
    <w:p w14:paraId="7CDB834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783EA513">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46F8D3D2">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628EE457">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6A19AB3C">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0D2448D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52B3152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4743BD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8125664">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14B6330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673BDDE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7BB8E38B">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61A26576">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272300F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6A8144A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4.3.4符合《关于促进残疾人就业政府采购政策的通知》（财库〔2017〕141号）规定的条件并提供《残疾人福利性单位声明函》的残疾人福利性单位视同小型、微型企业；</w:t>
      </w:r>
    </w:p>
    <w:p w14:paraId="2E99730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F85DBF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30CF03A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74C593D4">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w:t>
      </w:r>
      <w:r>
        <w:rPr>
          <w:rFonts w:hint="eastAsia" w:ascii="宋体" w:hAnsi="宋体" w:cs="宋体"/>
          <w:b/>
          <w:color w:val="auto"/>
          <w:sz w:val="24"/>
          <w:highlight w:val="none"/>
          <w:lang w:val="en-US" w:eastAsia="zh-CN"/>
        </w:rPr>
        <w:t>4</w:t>
      </w:r>
      <w:r>
        <w:rPr>
          <w:rFonts w:hint="eastAsia" w:ascii="宋体" w:hAnsi="宋体" w:cs="宋体"/>
          <w:b/>
          <w:bCs/>
          <w:color w:val="auto"/>
          <w:sz w:val="24"/>
          <w:highlight w:val="none"/>
        </w:rPr>
        <w:t>支持创新发展</w:t>
      </w:r>
    </w:p>
    <w:p w14:paraId="070EEB4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.1 采购人优先采购被认定为首台套产品和“制造精品”的自主创新产品。</w:t>
      </w:r>
    </w:p>
    <w:p w14:paraId="436F563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2AF5A18D">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w:t>
      </w:r>
      <w:r>
        <w:rPr>
          <w:rFonts w:hint="eastAsia" w:ascii="宋体" w:hAnsi="宋体" w:cs="宋体"/>
          <w:b/>
          <w:color w:val="auto"/>
          <w:sz w:val="24"/>
          <w:highlight w:val="none"/>
          <w:lang w:val="en-US" w:eastAsia="zh-CN"/>
        </w:rPr>
        <w:t>5</w:t>
      </w:r>
      <w:r>
        <w:rPr>
          <w:rFonts w:hint="eastAsia" w:ascii="宋体" w:hAnsi="宋体" w:cs="宋体"/>
          <w:b/>
          <w:color w:val="auto"/>
          <w:sz w:val="24"/>
          <w:highlight w:val="none"/>
        </w:rPr>
        <w:t>平等对待内外资企业</w:t>
      </w:r>
    </w:p>
    <w:p w14:paraId="7B33FC9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1B98F3D7">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w:t>
      </w:r>
      <w:r>
        <w:rPr>
          <w:rFonts w:hint="eastAsia" w:ascii="宋体" w:hAnsi="宋体" w:cs="宋体"/>
          <w:b/>
          <w:color w:val="auto"/>
          <w:kern w:val="0"/>
          <w:sz w:val="24"/>
          <w:szCs w:val="20"/>
          <w:highlight w:val="none"/>
          <w:lang w:val="en-US" w:eastAsia="zh-CN"/>
        </w:rPr>
        <w:t>6</w:t>
      </w:r>
      <w:r>
        <w:rPr>
          <w:rFonts w:hint="eastAsia" w:ascii="宋体" w:hAnsi="宋体"/>
          <w:b/>
          <w:color w:val="auto"/>
          <w:kern w:val="0"/>
          <w:sz w:val="24"/>
          <w:szCs w:val="20"/>
          <w:highlight w:val="none"/>
        </w:rPr>
        <w:t>平等对待符合条件的破产重整企业</w:t>
      </w:r>
    </w:p>
    <w:p w14:paraId="705147F5">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42A553EB">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5.联合体磋商</w:t>
      </w:r>
    </w:p>
    <w:p w14:paraId="54885FBF">
      <w:pPr>
        <w:adjustRightInd w:val="0"/>
        <w:snapToGrid w:val="0"/>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5</w:t>
      </w:r>
      <w:r>
        <w:rPr>
          <w:rFonts w:ascii="宋体" w:hAnsi="宋体" w:cs="宋体"/>
          <w:color w:val="auto"/>
          <w:kern w:val="0"/>
          <w:sz w:val="24"/>
          <w:highlight w:val="none"/>
        </w:rPr>
        <w:t>.</w:t>
      </w:r>
      <w:r>
        <w:rPr>
          <w:rFonts w:hint="eastAsia" w:ascii="宋体" w:hAnsi="宋体" w:cs="宋体"/>
          <w:color w:val="auto"/>
          <w:kern w:val="0"/>
          <w:sz w:val="24"/>
          <w:highlight w:val="none"/>
        </w:rPr>
        <w:t>1联合体磋商要求</w:t>
      </w:r>
      <w:r>
        <w:rPr>
          <w:rFonts w:hint="eastAsia" w:ascii="宋体" w:hAnsi="宋体" w:cs="宋体"/>
          <w:color w:val="auto"/>
          <w:kern w:val="0"/>
          <w:sz w:val="24"/>
          <w:highlight w:val="none"/>
          <w:lang w:eastAsia="zh-CN"/>
        </w:rPr>
        <w:t>：</w:t>
      </w:r>
    </w:p>
    <w:p w14:paraId="60DBEF4C">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（1）两个以上供应商可以组成一个磋商联合体，以一个供应商的身份磋商。</w:t>
      </w:r>
    </w:p>
    <w:p w14:paraId="3904D882">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（2）以联合体形式参加磋商的，联合体各方均应当符合“具有独立承担民事责任的能力”的条件。本项目有特殊要求规定供应商特定条件的，联合体各方中至少应当有一方符合磋商文件规定的特定条件。</w:t>
      </w:r>
    </w:p>
    <w:p w14:paraId="39C27B18">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（3）联合体各方之间应当签订</w:t>
      </w:r>
      <w:r>
        <w:rPr>
          <w:rFonts w:hint="eastAsia" w:ascii="宋体" w:hAnsi="宋体" w:cs="宋体"/>
          <w:b/>
          <w:color w:val="auto"/>
          <w:kern w:val="0"/>
          <w:sz w:val="24"/>
          <w:highlight w:val="none"/>
        </w:rPr>
        <w:t>联合协议</w:t>
      </w:r>
      <w:r>
        <w:rPr>
          <w:rFonts w:hint="eastAsia" w:ascii="宋体" w:hAnsi="宋体" w:cs="宋体"/>
          <w:color w:val="auto"/>
          <w:kern w:val="0"/>
          <w:sz w:val="24"/>
          <w:highlight w:val="none"/>
        </w:rPr>
        <w:t>，明确约定联合体各方承担的工作和响应的责任，并将联合协议连同磋商响应文件一并提交本采购代理机构。联合体各方签订联合协议后，不得再以自己名义单独在同一项目中参与</w:t>
      </w:r>
      <w:r>
        <w:rPr>
          <w:rFonts w:ascii="宋体" w:hAnsi="宋体" w:cs="宋体"/>
          <w:color w:val="auto"/>
          <w:kern w:val="0"/>
          <w:sz w:val="24"/>
          <w:highlight w:val="none"/>
        </w:rPr>
        <w:t>磋商</w:t>
      </w:r>
      <w:r>
        <w:rPr>
          <w:rFonts w:hint="eastAsia" w:ascii="宋体" w:hAnsi="宋体" w:cs="宋体"/>
          <w:color w:val="auto"/>
          <w:kern w:val="0"/>
          <w:sz w:val="24"/>
          <w:highlight w:val="none"/>
        </w:rPr>
        <w:t>，也不得组成新的联合体参加同一项目磋商。否则，与之相关的响应文件作废。</w:t>
      </w:r>
    </w:p>
    <w:p w14:paraId="51482C41">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（4）磋商联合体的业绩和信誉按联合体主体方（或牵头方）计算。</w:t>
      </w:r>
    </w:p>
    <w:p w14:paraId="0F418528">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联合体各方中至少有一方符合本文件规定的特定资质条件。联合体磋商的，须提供《联合协议》（格式见附件）。</w:t>
      </w:r>
    </w:p>
    <w:p w14:paraId="39397981">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2大中型企业与小微企业组成联合体或者大中型企业向小微企业分包的，对其报价给予6%的扣除，用扣除后的价格参加评审。</w:t>
      </w:r>
    </w:p>
    <w:p w14:paraId="3F29DAA0">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 磋商费用、竞争性磋商公告、竞争性磋商文件的澄清和修改</w:t>
      </w:r>
    </w:p>
    <w:p w14:paraId="0CD217C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6.1磋商费用：供应商应自行承担所有与编写和提交竞争性磋商响应文件有关的费用，不论磋商结果如何，采购人和本代理机构在任何情况下无义务和责任承担此类费用。</w:t>
      </w:r>
    </w:p>
    <w:p w14:paraId="59369E51">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6.2竞争性磋商公告：见</w:t>
      </w:r>
      <w:r>
        <w:rPr>
          <w:rFonts w:hint="eastAsia" w:hAnsi="宋体"/>
          <w:b/>
          <w:color w:val="auto"/>
          <w:sz w:val="24"/>
          <w:szCs w:val="24"/>
          <w:highlight w:val="none"/>
          <w:u w:val="single"/>
          <w:lang w:eastAsia="zh-CN"/>
        </w:rPr>
        <w:t>2025年11月05日</w:t>
      </w:r>
      <w:r>
        <w:rPr>
          <w:rFonts w:hint="eastAsia" w:ascii="宋体" w:hAnsi="宋体"/>
          <w:color w:val="auto"/>
          <w:sz w:val="24"/>
          <w:highlight w:val="none"/>
          <w:u w:val="single"/>
          <w:lang w:eastAsia="zh-CN"/>
        </w:rPr>
        <w:t>广西政府采购网（http://zfcg.gxzf.gov.cn/）、中国政府采购网（http://www.ccgp.gov.cn/）、全国公共资源交易平台（广西·北海）（http://ggzy.jgswj.gxzf.gov.cn/bhggzy/）</w:t>
      </w:r>
      <w:r>
        <w:rPr>
          <w:rFonts w:hint="eastAsia" w:hAnsi="宋体" w:cs="宋体"/>
          <w:color w:val="auto"/>
          <w:sz w:val="24"/>
          <w:szCs w:val="24"/>
          <w:highlight w:val="none"/>
        </w:rPr>
        <w:t>。</w:t>
      </w:r>
    </w:p>
    <w:p w14:paraId="6512161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6.3竞争性磋商文件的澄清和修改：</w:t>
      </w:r>
    </w:p>
    <w:p w14:paraId="1DAF1DEF">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6.3.1</w:t>
      </w:r>
      <w:r>
        <w:rPr>
          <w:rFonts w:hint="eastAsia" w:hAnsi="宋体"/>
          <w:bCs/>
          <w:color w:val="auto"/>
          <w:sz w:val="24"/>
          <w:szCs w:val="24"/>
          <w:highlight w:val="none"/>
        </w:rPr>
        <w:t>供应商应认真审核《采购需求》中的服务要求，如发现采购需求中服务要求有误或要求不合理的，供应商必须在规定的时间前要求澄清，否则，由此产生的后果由供应商负责。</w:t>
      </w:r>
    </w:p>
    <w:p w14:paraId="3724FF14">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6.3.2任何要求澄清竞争性磋商文件的供应商，均应在响应文件递交截止日期三日前的正常工作时间以传真等书面形式通知本代理机构，同时认定其他澄清方式为无效。本代理机构将以书面形式予以答复。</w:t>
      </w:r>
    </w:p>
    <w:p w14:paraId="5379BBDC">
      <w:pPr>
        <w:widowControl/>
        <w:adjustRightInd w:val="0"/>
        <w:snapToGrid w:val="0"/>
        <w:spacing w:line="360" w:lineRule="auto"/>
        <w:ind w:firstLine="480" w:firstLineChars="200"/>
        <w:jc w:val="both"/>
        <w:rPr>
          <w:rFonts w:ascii="宋体" w:hAnsi="宋体"/>
          <w:color w:val="auto"/>
          <w:sz w:val="24"/>
          <w:highlight w:val="none"/>
        </w:rPr>
      </w:pPr>
      <w:r>
        <w:rPr>
          <w:rFonts w:hint="eastAsia" w:ascii="宋体" w:hAnsi="宋体"/>
          <w:color w:val="auto"/>
          <w:sz w:val="24"/>
          <w:highlight w:val="none"/>
        </w:rPr>
        <w:t>6.3.3本代理机构对已发出的磋商文件进行必要澄清或者修改的，在竞争性磋商文件要求提交竞争性磋商响应文件截止时间五日前（不足五日顺延），</w:t>
      </w:r>
      <w:r>
        <w:rPr>
          <w:rFonts w:hint="eastAsia" w:ascii="宋体" w:hAnsi="宋体"/>
          <w:color w:val="auto"/>
          <w:sz w:val="24"/>
          <w:highlight w:val="none"/>
          <w:u w:val="single"/>
          <w:lang w:eastAsia="zh-CN"/>
        </w:rPr>
        <w:t>广西政府采购网（http://zfcg.gxzf.gov.cn/）、中国政府采购网（http://www.ccgp.gov.cn/）、全国公共资源交易平台（广西·北海）（http://ggzy.jgswj.gxzf.gov.cn/bhggzy/）</w:t>
      </w:r>
      <w:r>
        <w:rPr>
          <w:rFonts w:hint="eastAsia" w:ascii="宋体" w:hAnsi="宋体"/>
          <w:color w:val="auto"/>
          <w:sz w:val="24"/>
          <w:highlight w:val="none"/>
        </w:rPr>
        <w:t>上发布更正公告，并以书面形式通知所有竞争性磋商文件收受人。该澄清或者修改的内容为竞争性磋商文件的组成部分。</w:t>
      </w:r>
    </w:p>
    <w:p w14:paraId="0C5AFC4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6.3.4本代理机构可视具体情况，延长响应文件递交截止时间和开标时间。本代理机构至少在竞争性磋商文件要求提交竞争性磋商响应文件的截止时间一日前，将变更时间书面通知所有竞争性磋商文件收受人，并</w:t>
      </w:r>
      <w:r>
        <w:rPr>
          <w:rFonts w:hint="eastAsia" w:ascii="宋体" w:hAnsi="宋体"/>
          <w:color w:val="auto"/>
          <w:sz w:val="24"/>
          <w:highlight w:val="none"/>
          <w:u w:val="single"/>
          <w:lang w:eastAsia="zh-CN"/>
        </w:rPr>
        <w:t>广西政府采购网（http://zfcg.gxzf.gov.cn/）、中国政府采购网（http://www.ccgp.gov.cn/）、全国公共资源交易平台（广西·北海）（http://ggzy.jgswj.gxzf.gov.cn/bhggzy/）</w:t>
      </w:r>
      <w:r>
        <w:rPr>
          <w:rFonts w:hint="eastAsia" w:ascii="宋体" w:hAnsi="宋体" w:cs="宋体"/>
          <w:color w:val="auto"/>
          <w:sz w:val="24"/>
          <w:highlight w:val="none"/>
          <w:lang w:val="en-US" w:eastAsia="zh-CN"/>
        </w:rPr>
        <w:t>。</w:t>
      </w:r>
      <w:r>
        <w:rPr>
          <w:rFonts w:hint="eastAsia" w:ascii="宋体" w:hAnsi="宋体"/>
          <w:color w:val="auto"/>
          <w:sz w:val="24"/>
          <w:highlight w:val="none"/>
        </w:rPr>
        <w:t>上发布变更公告。</w:t>
      </w:r>
    </w:p>
    <w:p w14:paraId="52BBFACA">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二、竞争性磋商响应文件的编制</w:t>
      </w:r>
    </w:p>
    <w:p w14:paraId="0BF7336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竞争性磋商响应文件编制基本要求</w:t>
      </w:r>
    </w:p>
    <w:p w14:paraId="2CB9139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磋商</w:t>
      </w:r>
      <w:r>
        <w:rPr>
          <w:rFonts w:ascii="宋体" w:hAnsi="宋体"/>
          <w:color w:val="auto"/>
          <w:sz w:val="24"/>
          <w:highlight w:val="none"/>
        </w:rPr>
        <w:t>，供应商应准备电子</w:t>
      </w:r>
      <w:r>
        <w:rPr>
          <w:rFonts w:hint="eastAsia" w:ascii="宋体" w:hAnsi="宋体"/>
          <w:color w:val="auto"/>
          <w:sz w:val="24"/>
          <w:highlight w:val="none"/>
        </w:rPr>
        <w:t>磋商</w:t>
      </w:r>
      <w:r>
        <w:rPr>
          <w:rFonts w:ascii="宋体" w:hAnsi="宋体"/>
          <w:color w:val="auto"/>
          <w:sz w:val="24"/>
          <w:highlight w:val="none"/>
        </w:rPr>
        <w:t>响应文件：</w:t>
      </w:r>
    </w:p>
    <w:p w14:paraId="559324B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电子响应文件按广西政府采购云平台平台</w:t>
      </w:r>
      <w:r>
        <w:rPr>
          <w:rFonts w:hint="eastAsia" w:ascii="宋体" w:hAnsi="宋体"/>
          <w:color w:val="auto"/>
          <w:sz w:val="24"/>
          <w:highlight w:val="none"/>
        </w:rPr>
        <w:t>要求</w:t>
      </w:r>
      <w:r>
        <w:rPr>
          <w:rFonts w:ascii="宋体" w:hAnsi="宋体"/>
          <w:color w:val="auto"/>
          <w:sz w:val="24"/>
          <w:highlight w:val="none"/>
        </w:rPr>
        <w:t>及本磋商文件要求制作、加密并递交。具体操作流程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广西政府采购网进行查阅。</w:t>
      </w:r>
    </w:p>
    <w:p w14:paraId="71B3A512">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7.1.3磋商响应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若磋商供应商在规定时间内无法解密或解密失败，视为磋商响应文件撤回，磋商无效。</w:t>
      </w:r>
    </w:p>
    <w:p w14:paraId="4BE7F2F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供应商提交的竞争性磋商响应文件以及供应商与XX代理机构和采购人就有关磋商的所有来往函电均应使用中文。供应商提交的支持文件和印刷的文献可以使用别的语言，但其相应内容必须附有中文翻译文本，在解释竞争性磋商响应文件时以翻译文本为主。</w:t>
      </w:r>
    </w:p>
    <w:p w14:paraId="14D7943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7.3供应商应认真阅读、并充分理解本文件的全部内容（包括所有的澄清、更改、补充、答疑等内容），承诺并履行本文件中各项条款规定及要求。</w:t>
      </w:r>
    </w:p>
    <w:p w14:paraId="11097C9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7.4竞争性磋商响应文件必须按本文件的全部内容，包括所有的澄清、更改、补充、答疑等内容及附件进行编制。</w:t>
      </w:r>
    </w:p>
    <w:p w14:paraId="265C508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7.5如因供应商只填写和提供了本文件要求的部分内容和附件，而给磋商小组评审造成困难，其可能导致的结果和责任由供应商自行承担。</w:t>
      </w:r>
    </w:p>
    <w:p w14:paraId="7285699E">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144E4A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7.7竞争性磋商响应文件的组成：竞争性磋商响应文件应分为资格文件、</w:t>
      </w:r>
      <w:r>
        <w:rPr>
          <w:rFonts w:hint="eastAsia" w:ascii="宋体" w:hAnsi="宋体"/>
          <w:color w:val="auto"/>
          <w:sz w:val="24"/>
          <w:highlight w:val="none"/>
          <w:lang w:eastAsia="zh-CN"/>
        </w:rPr>
        <w:t>报价文件</w:t>
      </w:r>
      <w:r>
        <w:rPr>
          <w:rFonts w:hint="eastAsia" w:ascii="宋体" w:hAnsi="宋体"/>
          <w:color w:val="auto"/>
          <w:sz w:val="24"/>
          <w:highlight w:val="none"/>
        </w:rPr>
        <w:t>和商务技术文件组成。</w:t>
      </w:r>
      <w:r>
        <w:rPr>
          <w:rFonts w:ascii="宋体" w:hAnsi="宋体"/>
          <w:color w:val="auto"/>
          <w:sz w:val="24"/>
          <w:highlight w:val="none"/>
        </w:rPr>
        <w:t>供应商应仔细阅读磋商采购文件的所有内容，按磋商采购文件的要求，详细编制磋商响应文件。</w:t>
      </w:r>
    </w:p>
    <w:p w14:paraId="344EB691">
      <w:pPr>
        <w:adjustRightInd w:val="0"/>
        <w:snapToGrid w:val="0"/>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b/>
          <w:color w:val="auto"/>
          <w:sz w:val="24"/>
          <w:highlight w:val="none"/>
        </w:rPr>
        <w:t>7.7.1资</w:t>
      </w:r>
      <w:r>
        <w:rPr>
          <w:rFonts w:hint="eastAsia" w:ascii="宋体" w:hAnsi="宋体" w:eastAsia="宋体" w:cs="宋体"/>
          <w:b/>
          <w:color w:val="auto"/>
          <w:sz w:val="24"/>
          <w:szCs w:val="24"/>
          <w:highlight w:val="none"/>
        </w:rPr>
        <w:t>格文件</w:t>
      </w:r>
    </w:p>
    <w:p w14:paraId="0283B7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▲（1）具有独立承担民事责任的能力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投标人为法人或者其他组织的</w:t>
      </w:r>
      <w:r>
        <w:rPr>
          <w:rFonts w:hint="eastAsia" w:ascii="宋体" w:hAnsi="宋体" w:eastAsia="宋体" w:cs="宋体"/>
          <w:color w:val="auto"/>
          <w:sz w:val="24"/>
          <w:szCs w:val="24"/>
          <w:highlight w:val="none"/>
          <w:lang w:val="en-US" w:eastAsia="zh-CN"/>
        </w:rPr>
        <w:t>具有</w:t>
      </w:r>
      <w:r>
        <w:rPr>
          <w:rFonts w:hint="eastAsia" w:ascii="宋体" w:hAnsi="宋体" w:eastAsia="宋体" w:cs="宋体"/>
          <w:color w:val="auto"/>
          <w:sz w:val="24"/>
          <w:szCs w:val="24"/>
          <w:highlight w:val="none"/>
        </w:rPr>
        <w:t>营业执照或者事业单位法人证书或者执业许可证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投标人为自</w:t>
      </w:r>
      <w:r>
        <w:rPr>
          <w:rFonts w:hint="eastAsia" w:ascii="宋体" w:hAnsi="宋体" w:eastAsia="宋体" w:cs="宋体"/>
          <w:b w:val="0"/>
          <w:bCs w:val="0"/>
          <w:color w:val="auto"/>
          <w:sz w:val="24"/>
          <w:szCs w:val="24"/>
          <w:highlight w:val="none"/>
        </w:rPr>
        <w:t>然人的</w:t>
      </w:r>
      <w:r>
        <w:rPr>
          <w:rFonts w:hint="eastAsia" w:ascii="宋体" w:hAnsi="宋体" w:eastAsia="宋体" w:cs="宋体"/>
          <w:b w:val="0"/>
          <w:bCs w:val="0"/>
          <w:color w:val="auto"/>
          <w:sz w:val="24"/>
          <w:szCs w:val="24"/>
          <w:highlight w:val="none"/>
          <w:lang w:val="en-US" w:eastAsia="zh-CN"/>
        </w:rPr>
        <w:t>具有</w:t>
      </w:r>
      <w:r>
        <w:rPr>
          <w:rFonts w:hint="eastAsia" w:ascii="宋体" w:hAnsi="宋体" w:eastAsia="宋体" w:cs="宋体"/>
          <w:b w:val="0"/>
          <w:bCs w:val="0"/>
          <w:color w:val="auto"/>
          <w:sz w:val="24"/>
          <w:szCs w:val="24"/>
          <w:highlight w:val="none"/>
        </w:rPr>
        <w:t>身份证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p>
    <w:p w14:paraId="0A892E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）具有依法缴纳税收的良好记录</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投标人具有税款所属时期为</w:t>
      </w:r>
      <w:r>
        <w:rPr>
          <w:rFonts w:hint="eastAsia" w:ascii="宋体" w:hAnsi="宋体" w:eastAsia="宋体" w:cs="宋体"/>
          <w:b w:val="0"/>
          <w:bCs w:val="0"/>
          <w:color w:val="auto"/>
          <w:sz w:val="24"/>
          <w:szCs w:val="24"/>
          <w:highlight w:val="none"/>
          <w:lang w:eastAsia="zh-CN"/>
        </w:rPr>
        <w:t>2025年8月1日至提交投标文件截止时间前</w:t>
      </w:r>
      <w:r>
        <w:rPr>
          <w:rFonts w:hint="eastAsia" w:ascii="宋体" w:hAnsi="宋体" w:eastAsia="宋体" w:cs="宋体"/>
          <w:b w:val="0"/>
          <w:bCs w:val="0"/>
          <w:color w:val="auto"/>
          <w:sz w:val="24"/>
          <w:szCs w:val="24"/>
          <w:highlight w:val="none"/>
        </w:rPr>
        <w:t>任意</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个月依法缴纳税费或依法免缴税费的证明</w:t>
      </w:r>
      <w:r>
        <w:rPr>
          <w:rFonts w:hint="eastAsia" w:ascii="宋体" w:hAnsi="宋体" w:eastAsia="宋体" w:cs="宋体"/>
          <w:color w:val="auto"/>
          <w:sz w:val="24"/>
          <w:szCs w:val="24"/>
          <w:highlight w:val="none"/>
          <w:lang w:val="en-US" w:eastAsia="zh-CN"/>
        </w:rPr>
        <w:t>【从取得营业执照时间起到投标文件提交截止时间为止不足要求月数的，至少具有从取得营业执照起任意一个月依法缴纳税收的良好记录】</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p>
    <w:p w14:paraId="369983A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）具有社会保障资金的良好记录</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投标人具有税款所属时期为</w:t>
      </w:r>
      <w:r>
        <w:rPr>
          <w:rFonts w:hint="eastAsia" w:ascii="宋体" w:hAnsi="宋体" w:eastAsia="宋体" w:cs="宋体"/>
          <w:b w:val="0"/>
          <w:bCs w:val="0"/>
          <w:color w:val="auto"/>
          <w:sz w:val="24"/>
          <w:szCs w:val="24"/>
          <w:highlight w:val="none"/>
          <w:lang w:eastAsia="zh-CN"/>
        </w:rPr>
        <w:t>2025年8月1日至提交投标文件截止时间前</w:t>
      </w:r>
      <w:r>
        <w:rPr>
          <w:rFonts w:hint="eastAsia" w:ascii="宋体" w:hAnsi="宋体" w:eastAsia="宋体" w:cs="宋体"/>
          <w:b w:val="0"/>
          <w:bCs w:val="0"/>
          <w:color w:val="auto"/>
          <w:sz w:val="24"/>
          <w:szCs w:val="24"/>
          <w:highlight w:val="none"/>
        </w:rPr>
        <w:t>任意</w:t>
      </w: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个月依法缴纳社保费的缴费凭证</w:t>
      </w:r>
      <w:r>
        <w:rPr>
          <w:rFonts w:hint="eastAsia" w:ascii="宋体" w:hAnsi="宋体" w:eastAsia="宋体" w:cs="宋体"/>
          <w:color w:val="auto"/>
          <w:sz w:val="24"/>
          <w:szCs w:val="24"/>
          <w:highlight w:val="none"/>
          <w:lang w:val="en-US" w:eastAsia="zh-CN"/>
        </w:rPr>
        <w:t>【从取得营业执照时间起到投标文件提交截止时间为止不足要求月数的，至少具有从取得营业执照起任意一个月依法缴纳社会保障资金的良好记录】</w:t>
      </w:r>
      <w:r>
        <w:rPr>
          <w:rFonts w:hint="eastAsia" w:ascii="宋体" w:hAnsi="宋体" w:eastAsia="宋体" w:cs="宋体"/>
          <w:b w:val="0"/>
          <w:bCs w:val="0"/>
          <w:color w:val="auto"/>
          <w:sz w:val="24"/>
          <w:szCs w:val="24"/>
          <w:highlight w:val="none"/>
          <w:lang w:eastAsia="zh-CN"/>
        </w:rPr>
        <w:t>）；</w:t>
      </w:r>
    </w:p>
    <w:p w14:paraId="2253298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）具有良好的商业信誉和健全的财务会计制度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投标人具有</w:t>
      </w:r>
      <w:r>
        <w:rPr>
          <w:rFonts w:hint="eastAsia" w:ascii="宋体" w:hAnsi="宋体" w:eastAsia="宋体" w:cs="宋体"/>
          <w:color w:val="auto"/>
          <w:sz w:val="24"/>
          <w:szCs w:val="24"/>
          <w:highlight w:val="none"/>
          <w:lang w:val="en-US" w:eastAsia="zh-CN"/>
        </w:rPr>
        <w:t>2024年年度</w:t>
      </w:r>
      <w:r>
        <w:rPr>
          <w:rFonts w:hint="eastAsia" w:ascii="宋体" w:hAnsi="宋体" w:eastAsia="宋体" w:cs="宋体"/>
          <w:b w:val="0"/>
          <w:bCs w:val="0"/>
          <w:color w:val="auto"/>
          <w:sz w:val="24"/>
          <w:szCs w:val="24"/>
          <w:highlight w:val="none"/>
          <w:lang w:val="en-US" w:eastAsia="zh-CN"/>
        </w:rPr>
        <w:t>经审计的财务报告或者截标时间前半年内至少一个月能反映财务状况的报表或者财务情况说明</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p>
    <w:p w14:paraId="4E184D9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）参加政府采购活动前3年内在经营活动中没有重大违法记录的书面声明</w:t>
      </w:r>
      <w:r>
        <w:rPr>
          <w:rFonts w:hint="eastAsia" w:ascii="宋体" w:hAnsi="宋体" w:eastAsia="宋体" w:cs="宋体"/>
          <w:b w:val="0"/>
          <w:bCs w:val="0"/>
          <w:color w:val="auto"/>
          <w:sz w:val="24"/>
          <w:szCs w:val="24"/>
          <w:highlight w:val="none"/>
          <w:lang w:eastAsia="zh-CN"/>
        </w:rPr>
        <w:t>；</w:t>
      </w:r>
    </w:p>
    <w:p w14:paraId="0124BB6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）具备履行合同所必需的设备和专业技术能力的证明材料</w:t>
      </w:r>
      <w:r>
        <w:rPr>
          <w:rFonts w:hint="eastAsia" w:ascii="宋体" w:hAnsi="宋体" w:eastAsia="宋体" w:cs="宋体"/>
          <w:b w:val="0"/>
          <w:bCs w:val="0"/>
          <w:color w:val="auto"/>
          <w:sz w:val="24"/>
          <w:szCs w:val="24"/>
          <w:highlight w:val="none"/>
          <w:lang w:eastAsia="zh-CN"/>
        </w:rPr>
        <w:t>；</w:t>
      </w:r>
    </w:p>
    <w:p w14:paraId="3319C95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（7）投标人直接控股股东及出资信息表</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格式见第三章</w:t>
      </w:r>
      <w:r>
        <w:rPr>
          <w:rFonts w:hint="eastAsia" w:ascii="宋体" w:hAnsi="宋体" w:eastAsia="宋体" w:cs="宋体"/>
          <w:b/>
          <w:color w:val="auto"/>
          <w:sz w:val="24"/>
          <w:szCs w:val="24"/>
          <w:highlight w:val="none"/>
        </w:rPr>
        <w:t>，必须提供）</w:t>
      </w:r>
      <w:r>
        <w:rPr>
          <w:rFonts w:hint="eastAsia" w:ascii="宋体" w:hAnsi="宋体" w:eastAsia="宋体" w:cs="宋体"/>
          <w:b/>
          <w:color w:val="auto"/>
          <w:sz w:val="24"/>
          <w:szCs w:val="24"/>
          <w:highlight w:val="none"/>
          <w:lang w:eastAsia="zh-CN"/>
        </w:rPr>
        <w:t>；</w:t>
      </w:r>
    </w:p>
    <w:p w14:paraId="2248B8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（8）投标人直接管理关系信息表</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格式见第三章</w:t>
      </w:r>
      <w:r>
        <w:rPr>
          <w:rFonts w:hint="eastAsia" w:ascii="宋体" w:hAnsi="宋体" w:eastAsia="宋体" w:cs="宋体"/>
          <w:b/>
          <w:color w:val="auto"/>
          <w:sz w:val="24"/>
          <w:szCs w:val="24"/>
          <w:highlight w:val="none"/>
        </w:rPr>
        <w:t>，必须提供）</w:t>
      </w:r>
      <w:r>
        <w:rPr>
          <w:rFonts w:hint="eastAsia" w:ascii="宋体" w:hAnsi="宋体" w:eastAsia="宋体" w:cs="宋体"/>
          <w:b/>
          <w:color w:val="auto"/>
          <w:sz w:val="24"/>
          <w:szCs w:val="24"/>
          <w:highlight w:val="none"/>
          <w:lang w:eastAsia="zh-CN"/>
        </w:rPr>
        <w:t>；</w:t>
      </w:r>
    </w:p>
    <w:p w14:paraId="6E2F97E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中小企业声明函或者残疾人福利性单位声明函或者投标人属于监狱企业的证明材料</w:t>
      </w:r>
      <w:r>
        <w:rPr>
          <w:rFonts w:hint="eastAsia" w:ascii="宋体" w:hAnsi="宋体" w:eastAsia="宋体" w:cs="宋体"/>
          <w:b/>
          <w:bCs/>
          <w:color w:val="auto"/>
          <w:sz w:val="24"/>
          <w:szCs w:val="24"/>
          <w:highlight w:val="none"/>
          <w:lang w:eastAsia="zh-CN"/>
        </w:rPr>
        <w:t>（</w:t>
      </w:r>
      <w:r>
        <w:rPr>
          <w:rFonts w:hint="eastAsia" w:ascii="宋体" w:hAnsi="宋体" w:eastAsia="宋体" w:cs="宋体"/>
          <w:b/>
          <w:color w:val="auto"/>
          <w:sz w:val="24"/>
          <w:szCs w:val="24"/>
          <w:highlight w:val="none"/>
          <w:lang w:eastAsia="zh-CN"/>
        </w:rPr>
        <w:t>格式见第三章</w:t>
      </w:r>
      <w:r>
        <w:rPr>
          <w:rFonts w:hint="eastAsia" w:ascii="宋体" w:hAnsi="宋体" w:eastAsia="宋体" w:cs="宋体"/>
          <w:b/>
          <w:color w:val="auto"/>
          <w:sz w:val="24"/>
          <w:szCs w:val="24"/>
          <w:highlight w:val="none"/>
        </w:rPr>
        <w:t>，</w:t>
      </w:r>
      <w:r>
        <w:rPr>
          <w:rFonts w:hint="eastAsia" w:ascii="宋体" w:hAnsi="宋体" w:eastAsia="宋体" w:cs="宋体"/>
          <w:b/>
          <w:bCs/>
          <w:color w:val="auto"/>
          <w:sz w:val="24"/>
          <w:szCs w:val="24"/>
          <w:highlight w:val="none"/>
          <w:lang w:eastAsia="zh-CN"/>
        </w:rPr>
        <w:t>必须提供）；</w:t>
      </w:r>
    </w:p>
    <w:p w14:paraId="27D5929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color w:val="auto"/>
          <w:sz w:val="24"/>
          <w:szCs w:val="24"/>
          <w:highlight w:val="none"/>
          <w:lang w:val="en-US" w:eastAsia="zh-CN"/>
        </w:rPr>
        <w:t>特定资质：具有有效的【建筑工程施工总承包三级】（含）及以上资质，并具备有效的安全生产许可证书，并在人员、资金等方面具备相应的施工能力；其中拟派项目经理须具备【建筑工程专业二级】（含）及以上注册建造师执业资格，并具备有效的安全生产考核合格证书（B 类），</w:t>
      </w:r>
      <w:r>
        <w:rPr>
          <w:rFonts w:hint="eastAsia" w:ascii="宋体" w:hAnsi="宋体" w:cs="宋体"/>
          <w:color w:val="auto"/>
          <w:sz w:val="24"/>
          <w:szCs w:val="24"/>
          <w:highlight w:val="none"/>
          <w:lang w:val="en-US" w:eastAsia="zh-CN"/>
        </w:rPr>
        <w:t>本项目不接受有在建、已中标未开工或已列为其他项目中标候选人第一名的建造师作为项目经理。</w:t>
      </w:r>
      <w:r>
        <w:rPr>
          <w:rFonts w:hint="eastAsia" w:ascii="宋体" w:hAnsi="宋体" w:eastAsia="宋体" w:cs="宋体"/>
          <w:b/>
          <w:bCs/>
          <w:color w:val="auto"/>
          <w:sz w:val="24"/>
          <w:szCs w:val="24"/>
          <w:highlight w:val="none"/>
          <w:lang w:val="en-US" w:eastAsia="zh-CN"/>
        </w:rPr>
        <w:t>（必须提供）</w:t>
      </w:r>
      <w:r>
        <w:rPr>
          <w:rFonts w:hint="eastAsia" w:ascii="宋体" w:hAnsi="宋体" w:eastAsia="宋体" w:cs="宋体"/>
          <w:b w:val="0"/>
          <w:bCs w:val="0"/>
          <w:color w:val="auto"/>
          <w:sz w:val="24"/>
          <w:szCs w:val="24"/>
          <w:highlight w:val="none"/>
          <w:lang w:val="en-US" w:eastAsia="zh-CN"/>
        </w:rPr>
        <w:t>。</w:t>
      </w:r>
    </w:p>
    <w:p w14:paraId="566B3FF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1.（1）-（6）项材料，投标人在制作投标文件时可提供符合招标文件要求的证明材料或以书面信用承诺函（格式见第三章）的形式进行响应。以承诺函形式进行响应的，无需提供证明材料。投标人若提供证明材料，提供的所有复印件必须加盖电子公章，否则投标无效。投标人未按要求提供材料或提供的证明材料不齐全或提供的承诺函不符合招标文件要求的或不如实填写承诺函的，投标无效。（7）-（1</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lang w:val="en-US" w:eastAsia="zh-CN"/>
        </w:rPr>
        <w:t>）项材料按要求提供证明材料，第</w:t>
      </w:r>
      <w:r>
        <w:rPr>
          <w:rFonts w:hint="eastAsia" w:ascii="宋体" w:hAnsi="宋体" w:cs="宋体"/>
          <w:b/>
          <w:bCs/>
          <w:color w:val="auto"/>
          <w:sz w:val="24"/>
          <w:szCs w:val="24"/>
          <w:highlight w:val="none"/>
          <w:lang w:val="en-US" w:eastAsia="zh-CN"/>
        </w:rPr>
        <w:t>三章</w:t>
      </w:r>
      <w:r>
        <w:rPr>
          <w:rFonts w:hint="eastAsia" w:ascii="宋体" w:hAnsi="宋体" w:eastAsia="宋体" w:cs="宋体"/>
          <w:b/>
          <w:bCs/>
          <w:color w:val="auto"/>
          <w:sz w:val="24"/>
          <w:szCs w:val="24"/>
          <w:highlight w:val="none"/>
          <w:lang w:val="en-US" w:eastAsia="zh-CN"/>
        </w:rPr>
        <w:t>提供了格式要求的，必须按格式内容进行填写、签章，不提供或者不按要求填写、签章的，投标无效。</w:t>
      </w:r>
    </w:p>
    <w:p w14:paraId="6B48D959">
      <w:pPr>
        <w:adjustRightInd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2.投标人应当遵守诚实信用原则，如实承诺，否则属于提供虚假材料谋取中标（成交），将上报财政监管部门，按照《中华人民共和国政府采购法》第七十七条相关规定进行处罚。</w:t>
      </w:r>
    </w:p>
    <w:p w14:paraId="1EF435E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7.7.2</w:t>
      </w:r>
      <w:r>
        <w:rPr>
          <w:rFonts w:hint="eastAsia" w:ascii="宋体" w:hAnsi="宋体"/>
          <w:b/>
          <w:color w:val="auto"/>
          <w:sz w:val="24"/>
          <w:highlight w:val="none"/>
          <w:lang w:eastAsia="zh-CN"/>
        </w:rPr>
        <w:t>报价文件</w:t>
      </w:r>
      <w:r>
        <w:rPr>
          <w:rFonts w:hint="eastAsia" w:ascii="宋体" w:hAnsi="宋体"/>
          <w:color w:val="auto"/>
          <w:sz w:val="24"/>
          <w:highlight w:val="none"/>
        </w:rPr>
        <w:t>（应该有的必须提供,如未提供,磋商小组有权拒绝其磋商响应文件）。</w:t>
      </w:r>
    </w:p>
    <w:p w14:paraId="7B34B2F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p>
    <w:p w14:paraId="345B752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0990686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44F3D44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（4）供应商认为需要提供的其他有关资料。</w:t>
      </w:r>
    </w:p>
    <w:p w14:paraId="21F9658B">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7.7.3 商务技术文件</w:t>
      </w:r>
      <w:r>
        <w:rPr>
          <w:rFonts w:hint="eastAsia" w:ascii="宋体" w:hAnsi="宋体"/>
          <w:color w:val="auto"/>
          <w:sz w:val="24"/>
          <w:highlight w:val="none"/>
        </w:rPr>
        <w:t>（应该有的必须提供,如未提供,磋商小组有权拒绝其磋商响应文件）。</w:t>
      </w:r>
    </w:p>
    <w:p w14:paraId="213D11E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▲（1）磋商书</w:t>
      </w:r>
      <w:r>
        <w:rPr>
          <w:rFonts w:hint="eastAsia" w:ascii="宋体" w:hAnsi="宋体"/>
          <w:b/>
          <w:color w:val="auto"/>
          <w:sz w:val="24"/>
          <w:highlight w:val="none"/>
        </w:rPr>
        <w:t xml:space="preserve"> （必须提供，格式见第三章）；</w:t>
      </w:r>
    </w:p>
    <w:p w14:paraId="10267B13">
      <w:pPr>
        <w:adjustRightInd w:val="0"/>
        <w:snapToGrid w:val="0"/>
        <w:spacing w:line="360" w:lineRule="auto"/>
        <w:ind w:firstLine="480" w:firstLineChars="200"/>
        <w:jc w:val="both"/>
        <w:rPr>
          <w:rFonts w:hint="eastAsia" w:ascii="宋体" w:hAnsi="宋体"/>
          <w:b/>
          <w:bCs/>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法定代表人（负责人）授权委托书和委托代理人身份证复印件</w:t>
      </w:r>
      <w:r>
        <w:rPr>
          <w:rFonts w:hint="eastAsia" w:ascii="宋体" w:hAnsi="宋体"/>
          <w:b/>
          <w:bCs/>
          <w:color w:val="auto"/>
          <w:sz w:val="24"/>
          <w:highlight w:val="none"/>
          <w:lang w:val="en-US" w:eastAsia="zh-CN"/>
        </w:rPr>
        <w:t xml:space="preserve">（格式见第三 </w:t>
      </w:r>
    </w:p>
    <w:p w14:paraId="3429B505">
      <w:pPr>
        <w:adjustRightInd w:val="0"/>
        <w:snapToGrid w:val="0"/>
        <w:spacing w:line="360" w:lineRule="auto"/>
        <w:ind w:firstLine="482" w:firstLineChars="200"/>
        <w:jc w:val="both"/>
        <w:rPr>
          <w:rFonts w:ascii="宋体" w:hAnsi="宋体"/>
          <w:b/>
          <w:bCs/>
          <w:color w:val="auto"/>
          <w:sz w:val="24"/>
          <w:highlight w:val="none"/>
        </w:rPr>
      </w:pPr>
      <w:r>
        <w:rPr>
          <w:rFonts w:hint="eastAsia" w:ascii="宋体" w:hAnsi="宋体"/>
          <w:b/>
          <w:bCs/>
          <w:color w:val="auto"/>
          <w:sz w:val="24"/>
          <w:highlight w:val="none"/>
          <w:lang w:val="en-US" w:eastAsia="zh-CN"/>
        </w:rPr>
        <w:t>章,委托代理时必须提供）；</w:t>
      </w:r>
    </w:p>
    <w:p w14:paraId="79657010">
      <w:pPr>
        <w:adjustRightInd w:val="0"/>
        <w:snapToGrid w:val="0"/>
        <w:spacing w:line="360" w:lineRule="auto"/>
        <w:ind w:firstLine="480" w:firstLineChars="200"/>
        <w:jc w:val="left"/>
        <w:rPr>
          <w:rFonts w:hint="eastAsia" w:ascii="宋体" w:hAnsi="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 xml:space="preserve">法定代表人（负责人）身份证明书（附企业营业执照副本及法定代表人身份 </w:t>
      </w:r>
    </w:p>
    <w:p w14:paraId="65D38A1C">
      <w:pPr>
        <w:adjustRightInd w:val="0"/>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证复印件）</w:t>
      </w:r>
      <w:r>
        <w:rPr>
          <w:rFonts w:hint="eastAsia" w:ascii="宋体" w:hAnsi="宋体"/>
          <w:b/>
          <w:bCs/>
          <w:color w:val="auto"/>
          <w:sz w:val="24"/>
          <w:highlight w:val="none"/>
          <w:lang w:val="en-US" w:eastAsia="zh-CN"/>
        </w:rPr>
        <w:t>（格式见第三章,必须提供）；</w:t>
      </w:r>
    </w:p>
    <w:p w14:paraId="312CD355">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78D4D66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bCs/>
          <w:color w:val="auto"/>
          <w:sz w:val="24"/>
          <w:highlight w:val="none"/>
        </w:rPr>
        <w:t>必须提供，格式自拟）；</w:t>
      </w:r>
    </w:p>
    <w:p w14:paraId="225C6A6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）项目管理机构配备情况表及主要人员简历表</w:t>
      </w:r>
      <w:r>
        <w:rPr>
          <w:rFonts w:hint="eastAsia" w:ascii="宋体" w:hAnsi="宋体"/>
          <w:b/>
          <w:bCs w:val="0"/>
          <w:color w:val="auto"/>
          <w:sz w:val="24"/>
          <w:highlight w:val="none"/>
        </w:rPr>
        <w:t>（根据采购需求相关要求提供，格式自拟，必须提供）；</w:t>
      </w:r>
    </w:p>
    <w:p w14:paraId="40B61DC7">
      <w:pPr>
        <w:adjustRightInd w:val="0"/>
        <w:snapToGrid w:val="0"/>
        <w:spacing w:line="360" w:lineRule="auto"/>
        <w:ind w:firstLine="480" w:firstLineChars="200"/>
        <w:rPr>
          <w:rFonts w:hint="eastAsia" w:ascii="宋体" w:hAnsi="宋体" w:cs="宋体"/>
          <w:snapToGrid w:val="0"/>
          <w:color w:val="auto"/>
          <w:spacing w:val="-1"/>
          <w:kern w:val="0"/>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7</w:t>
      </w:r>
      <w:r>
        <w:rPr>
          <w:rFonts w:hint="eastAsia" w:ascii="宋体" w:hAnsi="宋体"/>
          <w:color w:val="auto"/>
          <w:sz w:val="24"/>
          <w:highlight w:val="none"/>
        </w:rPr>
        <w:t>）建设工程项目管理承诺书</w:t>
      </w:r>
      <w:r>
        <w:rPr>
          <w:rFonts w:hint="eastAsia" w:ascii="宋体" w:hAnsi="宋体"/>
          <w:b/>
          <w:color w:val="auto"/>
          <w:sz w:val="24"/>
          <w:highlight w:val="none"/>
        </w:rPr>
        <w:t>（必须提供，格式见第三章）</w:t>
      </w:r>
    </w:p>
    <w:p w14:paraId="2C797D61">
      <w:pPr>
        <w:numPr>
          <w:ilvl w:val="0"/>
          <w:numId w:val="0"/>
        </w:numPr>
        <w:adjustRightInd w:val="0"/>
        <w:snapToGrid w:val="0"/>
        <w:spacing w:line="360" w:lineRule="auto"/>
        <w:ind w:firstLine="476" w:firstLineChars="200"/>
        <w:rPr>
          <w:rFonts w:ascii="宋体" w:hAnsi="宋体"/>
          <w:color w:val="auto"/>
          <w:sz w:val="24"/>
          <w:highlight w:val="none"/>
        </w:rPr>
      </w:pPr>
      <w:r>
        <w:rPr>
          <w:rFonts w:hint="eastAsia" w:ascii="宋体" w:hAnsi="宋体" w:cs="宋体"/>
          <w:snapToGrid w:val="0"/>
          <w:color w:val="auto"/>
          <w:spacing w:val="-1"/>
          <w:kern w:val="0"/>
          <w:sz w:val="24"/>
          <w:highlight w:val="none"/>
          <w:lang w:eastAsia="zh-CN"/>
        </w:rPr>
        <w:t>（</w:t>
      </w:r>
      <w:r>
        <w:rPr>
          <w:rFonts w:hint="eastAsia" w:ascii="宋体" w:hAnsi="宋体" w:cs="宋体"/>
          <w:snapToGrid w:val="0"/>
          <w:color w:val="auto"/>
          <w:spacing w:val="-1"/>
          <w:kern w:val="0"/>
          <w:sz w:val="24"/>
          <w:highlight w:val="none"/>
          <w:lang w:val="en-US" w:eastAsia="zh-CN"/>
        </w:rPr>
        <w:t>8</w:t>
      </w:r>
      <w:r>
        <w:rPr>
          <w:rFonts w:hint="eastAsia" w:ascii="宋体" w:hAnsi="宋体" w:cs="宋体"/>
          <w:snapToGrid w:val="0"/>
          <w:color w:val="auto"/>
          <w:spacing w:val="-1"/>
          <w:kern w:val="0"/>
          <w:sz w:val="24"/>
          <w:highlight w:val="none"/>
          <w:lang w:eastAsia="zh-CN"/>
        </w:rPr>
        <w:t>）</w:t>
      </w:r>
      <w:r>
        <w:rPr>
          <w:rFonts w:hint="eastAsia" w:ascii="宋体" w:hAnsi="宋体" w:cs="宋体"/>
          <w:snapToGrid w:val="0"/>
          <w:color w:val="auto"/>
          <w:spacing w:val="-1"/>
          <w:kern w:val="0"/>
          <w:sz w:val="24"/>
          <w:highlight w:val="none"/>
        </w:rPr>
        <w:t>拟分包项目情况表（格式见第三章）；（如有）</w:t>
      </w:r>
    </w:p>
    <w:p w14:paraId="079ACCF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）供应商负责过与本项目相类似的成功案例和经验（如有，需提供合同复印件）；</w:t>
      </w:r>
    </w:p>
    <w:p w14:paraId="4EF5BE44">
      <w:pPr>
        <w:adjustRightInd w:val="0"/>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hint="eastAsia" w:ascii="宋体" w:hAnsi="宋体"/>
          <w:color w:val="auto"/>
          <w:sz w:val="24"/>
          <w:highlight w:val="none"/>
        </w:rPr>
        <w:t>）采购需求要求提供的材料</w:t>
      </w:r>
      <w:r>
        <w:rPr>
          <w:rFonts w:hint="eastAsia" w:ascii="宋体" w:hAnsi="宋体"/>
          <w:b/>
          <w:bCs/>
          <w:color w:val="auto"/>
          <w:sz w:val="24"/>
          <w:highlight w:val="none"/>
        </w:rPr>
        <w:t>（格式自拟，如有要求则提供）</w:t>
      </w:r>
      <w:r>
        <w:rPr>
          <w:rFonts w:hint="eastAsia" w:ascii="宋体" w:hAnsi="宋体"/>
          <w:b/>
          <w:bCs/>
          <w:color w:val="auto"/>
          <w:sz w:val="24"/>
          <w:highlight w:val="none"/>
          <w:lang w:eastAsia="zh-CN"/>
        </w:rPr>
        <w:t>；</w:t>
      </w:r>
    </w:p>
    <w:p w14:paraId="1FFD81FE">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）具备履行合同所必需的设备和专业技术能力的证明材料</w:t>
      </w:r>
      <w:r>
        <w:rPr>
          <w:rFonts w:hint="eastAsia" w:ascii="宋体" w:hAnsi="宋体"/>
          <w:b/>
          <w:color w:val="auto"/>
          <w:sz w:val="24"/>
          <w:highlight w:val="none"/>
        </w:rPr>
        <w:t>；</w:t>
      </w:r>
    </w:p>
    <w:p w14:paraId="68DC8BD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）磋商供应商认为需要提供的有关资料。</w:t>
      </w:r>
    </w:p>
    <w:p w14:paraId="4F8869EA">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若磋商文件中有专门标注的某关联点</w:t>
      </w:r>
      <w:r>
        <w:rPr>
          <w:rFonts w:hint="eastAsia" w:ascii="宋体" w:hAnsi="宋体"/>
          <w:b/>
          <w:color w:val="auto"/>
          <w:sz w:val="24"/>
          <w:highlight w:val="none"/>
        </w:rPr>
        <w:t>，</w:t>
      </w:r>
      <w:r>
        <w:rPr>
          <w:rFonts w:ascii="宋体" w:hAnsi="宋体"/>
          <w:b/>
          <w:color w:val="auto"/>
          <w:sz w:val="24"/>
          <w:highlight w:val="none"/>
        </w:rPr>
        <w:t>并要求供应商在电子投标系统中作出磋商响应的，如供应商未对关联点进行响应或者在响应文件其它内容进行描述，造成电子评审不能查询的责任由供应商自行承担。</w:t>
      </w:r>
    </w:p>
    <w:p w14:paraId="07168E7F">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）磋商文件要求提供的各种复印件，必须加盖磋商供应商CA签章，否则其磋商无效。</w:t>
      </w:r>
    </w:p>
    <w:p w14:paraId="2467D019">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）磋商文件要求“必须提供”的证明等材料，磋商供应商必须全部提供，缺一不可，否则磋商无效。</w:t>
      </w:r>
    </w:p>
    <w:p w14:paraId="14A47C5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5425E35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0A8611F0">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583F6E7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9.1对于本文件中未列明，而供应商认为必需的费用也需列入总报价。在合同实施时，采购人将不予支付成交供应商没有列入的项目费用，并认为此项目的费用已包括在总报价中。</w:t>
      </w:r>
    </w:p>
    <w:p w14:paraId="350DF60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2763F1FE">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9.3供应商应用大写和小写分别详细填写基础指标报价表。大写和小写不一致的，以大写为准；对不同文字文本竞争性磋商响应文件的解释发生异议的，以中文文本为准。除上述原因以外，如果因供应商原因引起的报价失误，并在磋商时被接受，其后果由供应商自负。</w:t>
      </w:r>
    </w:p>
    <w:p w14:paraId="6D76CFA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6C1E5020">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四、竞争性磋商响应文件的封装和递交</w:t>
      </w:r>
    </w:p>
    <w:p w14:paraId="4B83BDA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竞争性磋商响应文件的封装</w:t>
      </w:r>
    </w:p>
    <w:p w14:paraId="6038E71D">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磋商</w:t>
      </w:r>
      <w:r>
        <w:rPr>
          <w:rFonts w:hAnsi="宋体"/>
          <w:color w:val="auto"/>
          <w:sz w:val="24"/>
          <w:szCs w:val="24"/>
          <w:highlight w:val="none"/>
        </w:rPr>
        <w:t>响应文件中须加盖供应商公章部分均采用 CA 签章，并根据“政府采购项目电子交易管理操作指南-供应商” 及本</w:t>
      </w:r>
      <w:r>
        <w:rPr>
          <w:rFonts w:hint="eastAsia" w:hAnsi="宋体"/>
          <w:color w:val="auto"/>
          <w:sz w:val="24"/>
          <w:szCs w:val="24"/>
          <w:highlight w:val="none"/>
        </w:rPr>
        <w:t>磋商</w:t>
      </w:r>
      <w:r>
        <w:rPr>
          <w:rFonts w:hAnsi="宋体"/>
          <w:color w:val="auto"/>
          <w:sz w:val="24"/>
          <w:szCs w:val="24"/>
          <w:highlight w:val="none"/>
        </w:rPr>
        <w:t>文件规定的格式和顺序编制电子</w:t>
      </w:r>
      <w:r>
        <w:rPr>
          <w:rFonts w:hint="eastAsia" w:hAnsi="宋体"/>
          <w:color w:val="auto"/>
          <w:sz w:val="24"/>
          <w:szCs w:val="24"/>
          <w:highlight w:val="none"/>
        </w:rPr>
        <w:t>磋商</w:t>
      </w:r>
      <w:r>
        <w:rPr>
          <w:rFonts w:hAnsi="宋体"/>
          <w:color w:val="auto"/>
          <w:sz w:val="24"/>
          <w:szCs w:val="24"/>
          <w:highlight w:val="none"/>
        </w:rPr>
        <w:t>响应文件并进行关联定位，以便</w:t>
      </w:r>
      <w:r>
        <w:rPr>
          <w:rFonts w:hint="eastAsia" w:hAnsi="宋体"/>
          <w:color w:val="auto"/>
          <w:sz w:val="24"/>
          <w:szCs w:val="24"/>
          <w:highlight w:val="none"/>
        </w:rPr>
        <w:t>磋商小组</w:t>
      </w:r>
      <w:r>
        <w:rPr>
          <w:rFonts w:hAnsi="宋体"/>
          <w:color w:val="auto"/>
          <w:sz w:val="24"/>
          <w:szCs w:val="24"/>
          <w:highlight w:val="none"/>
        </w:rPr>
        <w:t>在评</w:t>
      </w:r>
      <w:r>
        <w:rPr>
          <w:rFonts w:hint="eastAsia" w:hAnsi="宋体"/>
          <w:color w:val="auto"/>
          <w:sz w:val="24"/>
          <w:szCs w:val="24"/>
          <w:highlight w:val="none"/>
        </w:rPr>
        <w:t>时</w:t>
      </w:r>
      <w:r>
        <w:rPr>
          <w:rFonts w:hAnsi="宋体"/>
          <w:color w:val="auto"/>
          <w:sz w:val="24"/>
          <w:szCs w:val="24"/>
          <w:highlight w:val="none"/>
        </w:rPr>
        <w:t>时，点击评分项可直接定位到该评分项内容。如对</w:t>
      </w:r>
      <w:r>
        <w:rPr>
          <w:rFonts w:hint="eastAsia" w:hAnsi="宋体"/>
          <w:color w:val="auto"/>
          <w:sz w:val="24"/>
          <w:szCs w:val="24"/>
          <w:highlight w:val="none"/>
        </w:rPr>
        <w:t>磋商</w:t>
      </w:r>
      <w:r>
        <w:rPr>
          <w:rFonts w:hAnsi="宋体"/>
          <w:color w:val="auto"/>
          <w:sz w:val="24"/>
          <w:szCs w:val="24"/>
          <w:highlight w:val="none"/>
        </w:rPr>
        <w:t>文件的某项要求，供应商的电子</w:t>
      </w:r>
      <w:r>
        <w:rPr>
          <w:rFonts w:hint="eastAsia" w:hAnsi="宋体"/>
          <w:color w:val="auto"/>
          <w:sz w:val="24"/>
          <w:szCs w:val="24"/>
          <w:highlight w:val="none"/>
        </w:rPr>
        <w:t>磋商</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磋商小组</w:t>
      </w:r>
      <w:r>
        <w:rPr>
          <w:rFonts w:hAnsi="宋体"/>
          <w:color w:val="auto"/>
          <w:sz w:val="24"/>
          <w:szCs w:val="24"/>
          <w:highlight w:val="none"/>
        </w:rPr>
        <w:t>在评审时如做出对供应商不利的评审由供应商自行承担。电子</w:t>
      </w:r>
      <w:r>
        <w:rPr>
          <w:rFonts w:hint="eastAsia" w:hAnsi="宋体"/>
          <w:color w:val="auto"/>
          <w:sz w:val="24"/>
          <w:szCs w:val="24"/>
          <w:highlight w:val="none"/>
        </w:rPr>
        <w:t>磋商</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编排混乱导致磋商响应文件被误读、 漏读，或者在按采购文件规定的部位查找不到相关内容的，由供应商自行承担。</w:t>
      </w:r>
    </w:p>
    <w:p w14:paraId="1D6A1A4E">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w:t>
      </w:r>
      <w:r>
        <w:rPr>
          <w:rFonts w:hAnsi="宋体"/>
          <w:color w:val="auto"/>
          <w:sz w:val="24"/>
          <w:szCs w:val="24"/>
          <w:highlight w:val="none"/>
        </w:rPr>
        <w:t>磋商响应文件不得涂改，若有修改错漏处，须法定代表人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w:t>
      </w:r>
      <w:r>
        <w:rPr>
          <w:rFonts w:hAnsi="宋体"/>
          <w:color w:val="auto"/>
          <w:sz w:val="24"/>
          <w:szCs w:val="24"/>
          <w:highlight w:val="none"/>
        </w:rPr>
        <w:t>磋商响应文件因字迹潦草或表达不清所引起的后果由供应商负责。</w:t>
      </w:r>
    </w:p>
    <w:p w14:paraId="4C36168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竞争性磋商响应文件的递交</w:t>
      </w:r>
    </w:p>
    <w:p w14:paraId="4CEF119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11.1所有竞争性磋商响应文件应于竞争性磋商文件中规定的时间前</w:t>
      </w:r>
      <w:r>
        <w:rPr>
          <w:rFonts w:ascii="宋体" w:hAnsi="宋体"/>
          <w:color w:val="auto"/>
          <w:sz w:val="24"/>
          <w:highlight w:val="none"/>
        </w:rPr>
        <w:t>上传递交至广西政府采购云平台。</w:t>
      </w:r>
    </w:p>
    <w:p w14:paraId="3845F0F3">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磋商</w:t>
      </w:r>
      <w:r>
        <w:rPr>
          <w:rFonts w:ascii="宋体" w:hAnsi="宋体"/>
          <w:b/>
          <w:color w:val="auto"/>
          <w:sz w:val="24"/>
          <w:highlight w:val="none"/>
        </w:rPr>
        <w:t>文件的相关说明</w:t>
      </w:r>
    </w:p>
    <w:p w14:paraId="3D59417D">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（1）供应商进行电子</w:t>
      </w:r>
      <w:r>
        <w:rPr>
          <w:rFonts w:hint="eastAsia" w:ascii="宋体" w:hAnsi="宋体"/>
          <w:b/>
          <w:color w:val="auto"/>
          <w:sz w:val="24"/>
          <w:highlight w:val="none"/>
        </w:rPr>
        <w:t>磋商</w:t>
      </w:r>
      <w:r>
        <w:rPr>
          <w:rFonts w:ascii="宋体" w:hAnsi="宋体"/>
          <w:b/>
          <w:color w:val="auto"/>
          <w:sz w:val="24"/>
          <w:highlight w:val="none"/>
        </w:rPr>
        <w:t>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补充、修改后重新传输递交。磋商截止时间前未完成传输的，视为撤回磋商响应文件。磋商截止时间后递交的磋商响应文件，电子交易平台将拒收。</w:t>
      </w:r>
    </w:p>
    <w:p w14:paraId="1AE15173">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）如有特殊情况，采购代理机构延长截止时间和开标时间，采购代理机构和供应商的权利和义务将受到新的截止时间和开标时间的约束。</w:t>
      </w:r>
    </w:p>
    <w:p w14:paraId="346D7DE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11.2竞争性磋商响应文件从响应文件递交截止日期后六十日内有效。</w:t>
      </w:r>
    </w:p>
    <w:p w14:paraId="3A143BF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12.迟交的竞争性磋商响应文件</w:t>
      </w:r>
    </w:p>
    <w:p w14:paraId="39D8CAC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12.1在本文件要求竞争性磋商响应文件递交截止时间后送达的竞争性磋商响应文件为无效文件，本代理机构将拒收。</w:t>
      </w:r>
    </w:p>
    <w:p w14:paraId="5187A4C9">
      <w:pPr>
        <w:spacing w:line="360" w:lineRule="auto"/>
        <w:ind w:firstLine="480" w:firstLineChars="200"/>
        <w:rPr>
          <w:rFonts w:ascii="宋体" w:hAnsi="宋体" w:cs="宋体"/>
          <w:b/>
          <w:snapToGrid w:val="0"/>
          <w:color w:val="auto"/>
          <w:highlight w:val="none"/>
        </w:rPr>
      </w:pPr>
      <w:r>
        <w:rPr>
          <w:rFonts w:hint="eastAsia" w:ascii="宋体" w:hAnsi="宋体"/>
          <w:color w:val="auto"/>
          <w:sz w:val="24"/>
          <w:highlight w:val="none"/>
        </w:rPr>
        <w:t>13.</w:t>
      </w:r>
      <w:r>
        <w:rPr>
          <w:rFonts w:hint="eastAsia" w:ascii="宋体" w:hAnsi="宋体" w:cs="宋体"/>
          <w:b/>
          <w:snapToGrid w:val="0"/>
          <w:color w:val="auto"/>
          <w:kern w:val="28"/>
          <w:sz w:val="24"/>
          <w:highlight w:val="none"/>
        </w:rPr>
        <w:t xml:space="preserve"> 磋商保证金</w:t>
      </w:r>
    </w:p>
    <w:p w14:paraId="3FDD8B1E">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保证金的数额不得超过采购项目预算金额的1%，鼓励对诚信记录良好的供应商免收或者减少收取</w:t>
      </w:r>
      <w:r>
        <w:rPr>
          <w:rFonts w:hint="eastAsia" w:ascii="宋体" w:hAnsi="宋体" w:cs="宋体"/>
          <w:color w:val="auto"/>
          <w:sz w:val="24"/>
          <w:highlight w:val="none"/>
        </w:rPr>
        <w:t>磋商</w:t>
      </w:r>
      <w:r>
        <w:rPr>
          <w:rFonts w:hint="eastAsia" w:hAnsi="宋体" w:cs="宋体"/>
          <w:color w:val="auto"/>
          <w:sz w:val="24"/>
          <w:highlight w:val="none"/>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7ADD1C3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磋商保证金收取银行账户</w:t>
      </w:r>
    </w:p>
    <w:p w14:paraId="41DF8D2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783C845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30B3AB8A">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29667B2D">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5FC10339">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346BF91C">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磋商供应商自身原因导致无法及时退还的除外。</w:t>
      </w:r>
    </w:p>
    <w:p w14:paraId="31D465BD">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28"/>
          <w:sz w:val="24"/>
          <w:szCs w:val="20"/>
          <w:highlight w:val="none"/>
        </w:rPr>
        <w:t>13.3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4408C592">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磋</w:t>
      </w:r>
      <w:r>
        <w:rPr>
          <w:rFonts w:hint="eastAsia" w:ascii="宋体" w:hAnsi="宋体"/>
          <w:b/>
          <w:bCs/>
          <w:color w:val="auto"/>
          <w:sz w:val="24"/>
          <w:highlight w:val="none"/>
        </w:rPr>
        <w:t>商程序及评审方法</w:t>
      </w:r>
    </w:p>
    <w:p w14:paraId="31291BD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14．磋商程序</w:t>
      </w:r>
    </w:p>
    <w:p w14:paraId="4848687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14.1磋商截止时间后，主持人宣布磋商开始。</w:t>
      </w:r>
    </w:p>
    <w:p w14:paraId="6AABB53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14.2供应商登录广西政府采购云平台，用“项目采购-开标评标”功能对电子磋商响应文件进行在线解密。在线解密电子磋商响应文件时间为开标时间起半小时内。</w:t>
      </w:r>
    </w:p>
    <w:p w14:paraId="2C77273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14.3磋商小组对磋商响应文件进行评估和比较。</w:t>
      </w:r>
    </w:p>
    <w:p w14:paraId="70718AA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14.4以广西政府采购云平台中“项目采购”应用模块获取磋商文件顺序确定各供应商磋商、顺序。</w:t>
      </w:r>
    </w:p>
    <w:p w14:paraId="00AE60B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14.5磋商小组与单一供应商分别进行磋商。（磋商时供应商的技术资料、价格和其他信息在评审、磋商过程中保密）</w:t>
      </w:r>
    </w:p>
    <w:p w14:paraId="1BF3B64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14.6磋商小组要求所有实质性响应的供应商在规定时间内提交最后报价（只公开最后报价，最后报价不得高于初次报价）。</w:t>
      </w:r>
    </w:p>
    <w:p w14:paraId="0E1AAEA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14.7由磋商小组采用综合评分法对提交最后报价的供应商的响应文件和最后报价进行综合评审，在符合采购需求、质量和服务要求的前提下，按评审得分从高到低顺序推荐确定成交候选供应商。</w:t>
      </w:r>
    </w:p>
    <w:p w14:paraId="00D6D6A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特别说明：广西政府采购云平台如对电子化磋商及评审程序有调整的，按调整后的程序操作。</w:t>
      </w:r>
    </w:p>
    <w:p w14:paraId="2A98CB9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15.采购过程中出现以下情形，导致电子交易平台无法正常运行，或者无法保证电子交易的公平、公正和安全时，采购组织机构可中止电子交易活动：</w:t>
      </w:r>
    </w:p>
    <w:p w14:paraId="130E72B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15.1电子交易平台发生故障而无法登录访问的； </w:t>
      </w:r>
    </w:p>
    <w:p w14:paraId="5B9CFA6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15.2电子交易平台应用或数据库出现错误，不能进行正常操作的；</w:t>
      </w:r>
    </w:p>
    <w:p w14:paraId="63E3253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15.3电子交易平台发现严重安全漏洞，有潜在泄密危险的；</w:t>
      </w:r>
    </w:p>
    <w:p w14:paraId="7B3F886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15.4病毒发作导致不能进行正常操作的； </w:t>
      </w:r>
    </w:p>
    <w:p w14:paraId="74766D2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15.5其他无法保证电子交易的公平、公正和安全的情况。</w:t>
      </w:r>
    </w:p>
    <w:p w14:paraId="79DC4FD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1CEE6D7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16．磋商内容</w:t>
      </w:r>
    </w:p>
    <w:p w14:paraId="429A5BC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16.1本次磋商内容为在磋商文件范围内就供应商的磋商响应文件，磋商小组与供应商在技术、价格、服务、合同等问题进行磋商，最终确定成交与否。</w:t>
      </w:r>
    </w:p>
    <w:p w14:paraId="28731A9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16.2磋商应作书面记录，供应商并就磋商内容作出书面承诺，并由供应商法定代表人或其授权委托人签字后生效，作为磋商响应文件的一部分。</w:t>
      </w:r>
    </w:p>
    <w:p w14:paraId="3DAB9BF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16.3磋商文件有实质性变动的，磋商小组以书面形式通知所有参加磋商的供应商。</w:t>
      </w:r>
    </w:p>
    <w:p w14:paraId="3E86D97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17．磋商</w:t>
      </w:r>
    </w:p>
    <w:p w14:paraId="1DAECE5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17.1磋商小组由采购人、集中采购机构依法组建，负责评审活动。磋商小组遵循公开、公平、公正、科学合理、竞争择优的原则。</w:t>
      </w:r>
    </w:p>
    <w:p w14:paraId="738A10F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17.2磋商小组由采购人代表和有关方面专家组成，成员人数为3人以上单数。</w:t>
      </w:r>
    </w:p>
    <w:p w14:paraId="3FBE8C6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17.3磋商小组负责对供应商资格的最终审定。</w:t>
      </w:r>
    </w:p>
    <w:p w14:paraId="000A025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17.4磋商小组可以要求供应商对其磋商响应文件中含义不明确的内容作必要的澄清或者说明，但澄清或者说明不得超过磋商响应文件的范围或者改变磋商响应文件的实质性内容。</w:t>
      </w:r>
    </w:p>
    <w:p w14:paraId="473E8FB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17.5磋商小组对磋商响应文件的判定，只依据磋商响应文件和磋商文件内容本身，不依据任何外来证明。</w:t>
      </w:r>
    </w:p>
    <w:p w14:paraId="3D29123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17.6磋商小组不向落标方解释落标的原因，不退还磋商响应文件。</w:t>
      </w:r>
    </w:p>
    <w:p w14:paraId="5C2348F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18．磋商响应文件的初审鉴定</w:t>
      </w:r>
    </w:p>
    <w:p w14:paraId="7FD2C1B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18.1资格性审查</w:t>
      </w:r>
    </w:p>
    <w:p w14:paraId="394669E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18.1.1依据法律、法规和磋商文件规定，对磋商响应文件提供的资格证明及通过“信用中国”网站（www.creditchina.gov.cn）和中国政府采购网（www.ccgp.gov.cn）查询的相关供应商主体信用记录（查询截止时点为磋商当日）等进行审查，以确定供应商是否具备磋商资格。</w:t>
      </w:r>
    </w:p>
    <w:p w14:paraId="4DDB048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18.2符合性审查</w:t>
      </w:r>
    </w:p>
    <w:p w14:paraId="541BC27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供应商的义务方面造成重大的限制，纠正这些显著差异或保留将会对其他实质上响应磋商文件要求的供应商的竞争地位产生不公正的影响。</w:t>
      </w:r>
    </w:p>
    <w:p w14:paraId="557317E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18.3如果磋商响应文件实质不响应磋商文件的各项要求，磋商小组将予以拒绝，并且不允许供应商通过修改或撤销其不符合要求的差异或保留，使之成为具有响应性的磋商。</w:t>
      </w:r>
    </w:p>
    <w:p w14:paraId="26D8BCD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19.对明显的文字和计算错误的修正原则</w:t>
      </w:r>
    </w:p>
    <w:p w14:paraId="02C1498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19.1磋商响应文件中报价一览表（报价表）内容与磋商响应文件中相应内容不一致的，以报价一览表（报价表）为准；</w:t>
      </w:r>
    </w:p>
    <w:p w14:paraId="3E1580C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19.2大写金额和小写金额不一致的，以大写金额为准；</w:t>
      </w:r>
    </w:p>
    <w:p w14:paraId="75887AF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19.3单价金额小数点或者百分比有明显错位的，以开标一览表的总价为准，并修改单价；</w:t>
      </w:r>
    </w:p>
    <w:p w14:paraId="4BE92C4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19.4总价金额与按单价汇总金额不一致的，以单价金额计算结果为准。</w:t>
      </w:r>
    </w:p>
    <w:p w14:paraId="6E87278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同时出现两种以上不一致的，按照前款规定的顺序修正。修正后的报价经磋商响应人确认后产生约束力，磋商响应人不确认的，其磋商无效。</w:t>
      </w:r>
    </w:p>
    <w:p w14:paraId="2241E90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20.磋商响应文件的评审、比较和否决</w:t>
      </w:r>
    </w:p>
    <w:p w14:paraId="052B6AF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20.1磋商小组将对在实质上响应磋商文件要求的磋商响应文件进行评估和比较。</w:t>
      </w:r>
    </w:p>
    <w:p w14:paraId="0E57E8A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20.2在评审过程中，磋商小组可以书面形式要求供应商就磋商响应文件含义不明确的内容进行书面说明并提供相关材料。</w:t>
      </w:r>
    </w:p>
    <w:p w14:paraId="061AF6C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20.3在磋商过程中，如发现与磋商文件要求相偏离的，磋商小组应对其偏离情形进行必要的书面核实。</w:t>
      </w:r>
    </w:p>
    <w:p w14:paraId="25B5031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20.4在评审过程中，如属于实质性偏离或符合无效响应条件的，应当询问相关供应商，并允许其进行陈述申辩，但不允许对偏离条款撤回。</w:t>
      </w:r>
    </w:p>
    <w:p w14:paraId="48CFDA2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20.5比较与评价。磋商小组依据磋商文件规定的评审标准和方法，对磋商响应文件进行商务和技术评估，综合比较与评价。</w:t>
      </w:r>
    </w:p>
    <w:p w14:paraId="4938A93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20.6汇总（商务技术得分情况）。磋商小组各成员应当独立对每个供应商的磋商响应文件进行评价，并汇总商务技术得分情况。</w:t>
      </w:r>
    </w:p>
    <w:p w14:paraId="571A990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4C6BF7B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1B29EC6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20.7.2供应商存在以下报价情形的，磋商无效</w:t>
      </w:r>
    </w:p>
    <w:p w14:paraId="15716B8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 响应文件未提供“供应商须知前附表” 报价文件中规定的“竞标报价表”的； </w:t>
      </w:r>
    </w:p>
    <w:p w14:paraId="0DF5BF5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2）未采用人民币报价或者未按照磋商文件标明的币种报价的； </w:t>
      </w:r>
    </w:p>
    <w:p w14:paraId="39926AF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 </w:t>
      </w:r>
    </w:p>
    <w:p w14:paraId="2E8B397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6B59811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分项采购预算金额或者最高限价的（如本项目有要求并公布了分项采购预算金额或者最高限价）。 </w:t>
      </w:r>
    </w:p>
    <w:p w14:paraId="37D2DDF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3079FB5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5C5DFB4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7EDE9C9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9）供应商已标价工程量清单的项目编码（12位）、计量单位、工程量任何一处与工程量清单不一致的； </w:t>
      </w:r>
    </w:p>
    <w:p w14:paraId="47B2010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10）供应商已标价工程量清单的项目名称或项目特征与工程量清单不一致，磋商小组要求澄清、说明或补正，但供应商拒绝澄清、说明或补正的；（适用于房屋建筑和市政工程项目） </w:t>
      </w:r>
    </w:p>
    <w:p w14:paraId="03435EF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11）设有暂估价、暂列金额的，竞标时未按工程量清单给出的暂估价总价、暂列金额总价计入竞标总报价中的； </w:t>
      </w:r>
    </w:p>
    <w:p w14:paraId="22F2B20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12）供应商对工程量清单内容进行增减或对竞标范围进行调整的； </w:t>
      </w:r>
    </w:p>
    <w:p w14:paraId="20ACBDA4">
      <w:pPr>
        <w:pStyle w:val="22"/>
        <w:adjustRightInd w:val="0"/>
        <w:snapToGrid w:val="0"/>
        <w:spacing w:line="360" w:lineRule="auto"/>
        <w:ind w:left="479" w:leftChars="228" w:firstLine="0" w:firstLineChars="0"/>
        <w:rPr>
          <w:rFonts w:hint="eastAsia" w:hAnsi="宋体" w:cs="Times New Roman"/>
          <w:color w:val="auto"/>
          <w:sz w:val="24"/>
          <w:szCs w:val="24"/>
          <w:highlight w:val="none"/>
        </w:rPr>
      </w:pPr>
      <w:r>
        <w:rPr>
          <w:rFonts w:hint="eastAsia" w:hAnsi="宋体" w:cs="Times New Roman"/>
          <w:color w:val="auto"/>
          <w:sz w:val="24"/>
          <w:szCs w:val="24"/>
          <w:highlight w:val="none"/>
        </w:rPr>
        <w:t xml:space="preserve">13）响应文件响应的标的数量及单位与竞争性磋商采购文件要求实质性不一致的； </w:t>
      </w:r>
    </w:p>
    <w:p w14:paraId="67570BC0">
      <w:pPr>
        <w:pStyle w:val="22"/>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1</w:t>
      </w:r>
      <w:r>
        <w:rPr>
          <w:rFonts w:hint="eastAsia" w:hAnsi="宋体" w:cs="Times New Roman"/>
          <w:color w:val="auto"/>
          <w:sz w:val="24"/>
          <w:szCs w:val="24"/>
          <w:highlight w:val="none"/>
          <w:lang w:val="en-US" w:eastAsia="zh-CN"/>
        </w:rPr>
        <w:t>4</w:t>
      </w:r>
      <w:r>
        <w:rPr>
          <w:rFonts w:hint="eastAsia" w:hAnsi="宋体" w:cs="Times New Roman"/>
          <w:color w:val="auto"/>
          <w:sz w:val="24"/>
          <w:szCs w:val="24"/>
          <w:highlight w:val="none"/>
        </w:rPr>
        <w:t>）</w:t>
      </w:r>
      <w:r>
        <w:rPr>
          <w:rFonts w:hint="eastAsia" w:hAnsi="宋体" w:cs="Times New Roman"/>
          <w:color w:val="auto"/>
          <w:sz w:val="24"/>
          <w:szCs w:val="24"/>
          <w:highlight w:val="none"/>
          <w:lang w:val="en-US" w:eastAsia="zh-CN"/>
        </w:rPr>
        <w:t>报价总价封面竞标供应商未盖章或者法定代表人（或其授权人）未签字（或盖章）或者编制人员未签字或未盖专用章的；</w:t>
      </w:r>
    </w:p>
    <w:p w14:paraId="44A8972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w:t>
      </w:r>
      <w:r>
        <w:rPr>
          <w:rFonts w:hint="eastAsia" w:hAnsi="宋体" w:cs="Times New Roman"/>
          <w:color w:val="auto"/>
          <w:sz w:val="24"/>
          <w:szCs w:val="24"/>
          <w:highlight w:val="none"/>
          <w:lang w:val="en-US" w:eastAsia="zh-CN"/>
        </w:rPr>
        <w:t>5</w:t>
      </w:r>
      <w:r>
        <w:rPr>
          <w:rFonts w:hint="eastAsia" w:hAnsi="宋体" w:cs="Times New Roman"/>
          <w:color w:val="auto"/>
          <w:sz w:val="24"/>
          <w:szCs w:val="24"/>
          <w:highlight w:val="none"/>
        </w:rPr>
        <w:t xml:space="preserve">）未响应磋商文件实质性要求的。 </w:t>
      </w:r>
    </w:p>
    <w:p w14:paraId="35C2B1A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评标委员会依据磋商文件规定的评审标准和方法，对磋商响应文件进行评审和比较后，向</w:t>
      </w:r>
      <w:r>
        <w:rPr>
          <w:rFonts w:hint="eastAsia" w:hAnsi="宋体" w:cs="Times New Roman"/>
          <w:color w:val="auto"/>
          <w:sz w:val="24"/>
          <w:szCs w:val="24"/>
          <w:highlight w:val="none"/>
          <w:u w:val="single"/>
        </w:rPr>
        <w:t>广西华晟工程项目管理咨询有限公司</w:t>
      </w:r>
      <w:r>
        <w:rPr>
          <w:rFonts w:hint="eastAsia" w:hAnsi="宋体" w:cs="Times New Roman"/>
          <w:color w:val="auto"/>
          <w:sz w:val="24"/>
          <w:szCs w:val="24"/>
          <w:highlight w:val="none"/>
        </w:rPr>
        <w:t>提供书面磋商报告，并按得分高低排序推荐成交候选供应商。</w:t>
      </w:r>
    </w:p>
    <w:p w14:paraId="10032CE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w:t>
      </w:r>
      <w:r>
        <w:rPr>
          <w:rFonts w:hint="eastAsia" w:hAnsi="宋体" w:cs="Times New Roman"/>
          <w:color w:val="auto"/>
          <w:sz w:val="24"/>
          <w:szCs w:val="24"/>
          <w:highlight w:val="none"/>
          <w:lang w:val="en-US" w:eastAsia="zh-CN"/>
        </w:rPr>
        <w:t>4</w:t>
      </w:r>
      <w:r>
        <w:rPr>
          <w:rFonts w:hint="eastAsia" w:hAnsi="宋体" w:cs="Times New Roman"/>
          <w:color w:val="auto"/>
          <w:sz w:val="24"/>
          <w:szCs w:val="24"/>
          <w:highlight w:val="none"/>
        </w:rPr>
        <w:t>磋商响应文件的澄清</w:t>
      </w:r>
    </w:p>
    <w:p w14:paraId="66B54FF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为有利于对磋商响应文件的比较和评议，磋商小组可要求供应商对磋商响应文件进行澄清，必要时磋商小组可要求供应商对澄清的问题作出书面答复。</w:t>
      </w:r>
    </w:p>
    <w:p w14:paraId="365822F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供应商对磋商响应文件作出澄清、说明或者补正的，磋商小组和供应商应当通过广西政府采购云平台交换数据电文。给予供应商提交澄清说明或补正的时间不少于半小时，供应商已经明确表示澄清说明或补正完毕的除外。</w:t>
      </w:r>
    </w:p>
    <w:p w14:paraId="56AF561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供应商通过广西政府采购云平台交换的数据电文必须进行电子签章。</w:t>
      </w:r>
    </w:p>
    <w:p w14:paraId="7AF66EC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21．无效磋商的情形</w:t>
      </w:r>
    </w:p>
    <w:p w14:paraId="2E99DF3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磋商响应文件有下列情形之一的作无效磋商响应处理：</w:t>
      </w:r>
    </w:p>
    <w:p w14:paraId="58B0CFD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21.1未按照磋商文件规定要求签署、盖章的；</w:t>
      </w:r>
    </w:p>
    <w:p w14:paraId="40B9AA7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21.2单位负责人为同一人或者存在直接控股、管理关系的不同供应商参加同一合同项下的政府采购活动的（均无效）；</w:t>
      </w:r>
    </w:p>
    <w:p w14:paraId="6A022FE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5DB17FF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21.4供应商不具备磋商文件中规定的资格要求的（供应商未提供有效的资格证明文件的，视为其不具备磋商文件中规定的资格要求）；</w:t>
      </w:r>
    </w:p>
    <w:p w14:paraId="2428642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.5</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08C8EA3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4E708EE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21.7磋商响应文件中的磋商响应函未加盖供应商的企业公章或填写不全的；</w:t>
      </w:r>
    </w:p>
    <w:p w14:paraId="2D3B3DC2">
      <w:pPr>
        <w:pStyle w:val="22"/>
        <w:adjustRightInd w:val="0"/>
        <w:snapToGrid w:val="0"/>
        <w:spacing w:line="360" w:lineRule="auto"/>
        <w:ind w:firstLine="480" w:firstLineChars="200"/>
        <w:rPr>
          <w:rFonts w:hint="default" w:hAnsi="宋体" w:eastAsia="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21.8资格审查文件中拟派项目经理未提供“未担任其他在建、已中标未开工或已列为其他项目中标候选人第一名建造师的项目经理”的相关证明材料的，证明材料格式自拟</w:t>
      </w:r>
      <w:r>
        <w:rPr>
          <w:rFonts w:hint="eastAsia" w:ascii="宋体" w:hAnsi="宋体" w:cs="宋体"/>
          <w:color w:val="auto"/>
          <w:sz w:val="24"/>
          <w:highlight w:val="none"/>
          <w:lang w:val="en-US" w:eastAsia="zh-CN"/>
        </w:rPr>
        <w:t>。</w:t>
      </w:r>
    </w:p>
    <w:p w14:paraId="3A7D429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int="eastAsia" w:hAnsi="宋体" w:cs="Times New Roman"/>
          <w:color w:val="auto"/>
          <w:sz w:val="24"/>
          <w:szCs w:val="24"/>
          <w:highlight w:val="none"/>
          <w:lang w:val="en-US" w:eastAsia="zh-CN"/>
        </w:rPr>
        <w:t>9</w:t>
      </w:r>
      <w:r>
        <w:rPr>
          <w:rFonts w:hint="eastAsia" w:hAnsi="宋体" w:cs="Times New Roman"/>
          <w:color w:val="auto"/>
          <w:sz w:val="24"/>
          <w:szCs w:val="24"/>
          <w:highlight w:val="none"/>
        </w:rPr>
        <w:t>报价一经涂改，未在涂改处加盖磋商响应单位公章或者未经法定代表人或授权代表签字或盖章的；</w:t>
      </w:r>
    </w:p>
    <w:p w14:paraId="5523D90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int="eastAsia" w:hAnsi="宋体" w:cs="Times New Roman"/>
          <w:color w:val="auto"/>
          <w:sz w:val="24"/>
          <w:szCs w:val="24"/>
          <w:highlight w:val="none"/>
          <w:lang w:val="en-US" w:eastAsia="zh-CN"/>
        </w:rPr>
        <w:t>10</w:t>
      </w:r>
      <w:r>
        <w:rPr>
          <w:rFonts w:hint="eastAsia" w:hAnsi="宋体" w:cs="Times New Roman"/>
          <w:color w:val="auto"/>
          <w:sz w:val="24"/>
          <w:szCs w:val="24"/>
          <w:highlight w:val="none"/>
        </w:rPr>
        <w:t>磋商响应文件中未按磋商文件规定的格式填写，或未详细应答磋商服务（或技术或产品等要求），经磋商后仍无法详细应答或应答不完整有缺失，致使磋商小组无法评审的；</w:t>
      </w:r>
    </w:p>
    <w:p w14:paraId="303A740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1</w:t>
      </w:r>
      <w:r>
        <w:rPr>
          <w:rFonts w:hint="eastAsia" w:hAnsi="宋体" w:cs="Times New Roman"/>
          <w:color w:val="auto"/>
          <w:sz w:val="24"/>
          <w:szCs w:val="24"/>
          <w:highlight w:val="none"/>
        </w:rPr>
        <w:t>出现同一标的物或本次磋商产品(服务)内的主要产品(重要组成部分)出现商务技术（资信）文件资料、报价文件资料描述不一致或前后描述不一致，经磋商小组认定后为无法评审的；</w:t>
      </w:r>
    </w:p>
    <w:p w14:paraId="4E273A9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2</w:t>
      </w:r>
      <w:r>
        <w:rPr>
          <w:rFonts w:hint="eastAsia" w:hAnsi="宋体" w:cs="Times New Roman"/>
          <w:color w:val="auto"/>
          <w:sz w:val="24"/>
          <w:szCs w:val="24"/>
          <w:highlight w:val="none"/>
        </w:rPr>
        <w:t>《技术偏离说明表》不真实填写或弄虚作假的；</w:t>
      </w:r>
    </w:p>
    <w:p w14:paraId="2CAE5FB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磋商响应文件有采购人不能接受的条件；</w:t>
      </w:r>
    </w:p>
    <w:p w14:paraId="3A6FA99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4</w:t>
      </w:r>
      <w:r>
        <w:rPr>
          <w:rFonts w:hint="eastAsia" w:hAnsi="宋体" w:cs="Times New Roman"/>
          <w:color w:val="auto"/>
          <w:sz w:val="24"/>
          <w:szCs w:val="24"/>
          <w:highlight w:val="none"/>
        </w:rPr>
        <w:t>最后报价超过预算金额或上限价的；</w:t>
      </w:r>
    </w:p>
    <w:p w14:paraId="797455C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5</w:t>
      </w:r>
      <w:r>
        <w:rPr>
          <w:rFonts w:hint="eastAsia" w:hAnsi="宋体" w:cs="Times New Roman"/>
          <w:color w:val="auto"/>
          <w:sz w:val="24"/>
          <w:szCs w:val="24"/>
          <w:highlight w:val="none"/>
        </w:rPr>
        <w:t>磋商小组认定有重大偏差或实质性不响应磋商文件要求的；</w:t>
      </w:r>
    </w:p>
    <w:p w14:paraId="534300D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6</w:t>
      </w:r>
      <w:r>
        <w:rPr>
          <w:rFonts w:hint="eastAsia" w:hAnsi="宋体" w:cs="Times New Roman"/>
          <w:color w:val="auto"/>
          <w:sz w:val="24"/>
          <w:szCs w:val="24"/>
          <w:highlight w:val="none"/>
        </w:rPr>
        <w:t>采购人拟采购的产品属于政府强制采购的节能产品品目清单范围的，供应商未按磋商文件要求提供国家确定的认证机构出具的、处于有效期之内的节能产品认证证书的；</w:t>
      </w:r>
    </w:p>
    <w:p w14:paraId="2495E9B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7</w:t>
      </w:r>
      <w:r>
        <w:rPr>
          <w:rFonts w:hint="eastAsia" w:hAnsi="宋体" w:cs="Times New Roman"/>
          <w:color w:val="auto"/>
          <w:sz w:val="24"/>
          <w:szCs w:val="24"/>
          <w:highlight w:val="none"/>
        </w:rPr>
        <w:t>《报价一览表》填写不完整或字迹不能辨认或有漏项的；</w:t>
      </w:r>
    </w:p>
    <w:p w14:paraId="2685AC4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8</w:t>
      </w:r>
      <w:r>
        <w:rPr>
          <w:rFonts w:hint="eastAsia" w:hAnsi="宋体" w:cs="Times New Roman"/>
          <w:color w:val="auto"/>
          <w:sz w:val="24"/>
          <w:szCs w:val="24"/>
          <w:highlight w:val="none"/>
        </w:rPr>
        <w:t>供应商对根据修正原则修正后的报价不确认的；</w:t>
      </w:r>
    </w:p>
    <w:p w14:paraId="70F0BCA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9</w:t>
      </w:r>
      <w:r>
        <w:rPr>
          <w:rFonts w:hint="eastAsia" w:hAnsi="宋体" w:cs="Times New Roman"/>
          <w:color w:val="auto"/>
          <w:sz w:val="24"/>
          <w:szCs w:val="24"/>
          <w:highlight w:val="none"/>
        </w:rPr>
        <w:t>供应商提供虚假材料磋商的（包括但不限于以下情节）；</w:t>
      </w:r>
    </w:p>
    <w:p w14:paraId="2468619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9</w:t>
      </w:r>
      <w:r>
        <w:rPr>
          <w:rFonts w:hint="eastAsia" w:hAnsi="宋体" w:cs="Times New Roman"/>
          <w:color w:val="auto"/>
          <w:sz w:val="24"/>
          <w:szCs w:val="24"/>
          <w:highlight w:val="none"/>
        </w:rPr>
        <w:t>.1使用伪造、变造的许可证件；</w:t>
      </w:r>
    </w:p>
    <w:p w14:paraId="06FB974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9</w:t>
      </w:r>
      <w:r>
        <w:rPr>
          <w:rFonts w:hint="eastAsia" w:hAnsi="宋体" w:cs="Times New Roman"/>
          <w:color w:val="auto"/>
          <w:sz w:val="24"/>
          <w:szCs w:val="24"/>
          <w:highlight w:val="none"/>
        </w:rPr>
        <w:t>.2提供虚假的财务状况或者业绩；</w:t>
      </w:r>
    </w:p>
    <w:p w14:paraId="26F54F8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9</w:t>
      </w:r>
      <w:r>
        <w:rPr>
          <w:rFonts w:hint="eastAsia" w:hAnsi="宋体" w:cs="Times New Roman"/>
          <w:color w:val="auto"/>
          <w:sz w:val="24"/>
          <w:szCs w:val="24"/>
          <w:highlight w:val="none"/>
        </w:rPr>
        <w:t>.3提供虚假的项目负责人或者主要技术人员简历、劳动关系证明；</w:t>
      </w:r>
    </w:p>
    <w:p w14:paraId="3899DAF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9</w:t>
      </w:r>
      <w:r>
        <w:rPr>
          <w:rFonts w:hint="eastAsia" w:hAnsi="宋体" w:cs="Times New Roman"/>
          <w:color w:val="auto"/>
          <w:sz w:val="24"/>
          <w:szCs w:val="24"/>
          <w:highlight w:val="none"/>
        </w:rPr>
        <w:t>.4提供虚假的信用状况；</w:t>
      </w:r>
    </w:p>
    <w:p w14:paraId="0112895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w:t>
      </w:r>
      <w:r>
        <w:rPr>
          <w:rFonts w:hint="eastAsia" w:hAnsi="宋体" w:cs="Times New Roman"/>
          <w:color w:val="auto"/>
          <w:sz w:val="24"/>
          <w:szCs w:val="24"/>
          <w:highlight w:val="none"/>
          <w:lang w:val="en-US" w:eastAsia="zh-CN"/>
        </w:rPr>
        <w:t>9</w:t>
      </w:r>
      <w:r>
        <w:rPr>
          <w:rFonts w:hint="eastAsia" w:hAnsi="宋体" w:cs="Times New Roman"/>
          <w:color w:val="auto"/>
          <w:sz w:val="24"/>
          <w:szCs w:val="24"/>
          <w:highlight w:val="none"/>
        </w:rPr>
        <w:t>.5其他弄虚作假的行为。</w:t>
      </w:r>
    </w:p>
    <w:p w14:paraId="70C46C5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int="eastAsia" w:hAnsi="宋体" w:cs="Times New Roman"/>
          <w:color w:val="auto"/>
          <w:sz w:val="24"/>
          <w:szCs w:val="24"/>
          <w:highlight w:val="none"/>
          <w:lang w:val="en-US" w:eastAsia="zh-CN"/>
        </w:rPr>
        <w:t>20</w:t>
      </w:r>
      <w:r>
        <w:rPr>
          <w:rFonts w:hint="eastAsia" w:hAnsi="宋体" w:cs="Times New Roman"/>
          <w:color w:val="auto"/>
          <w:sz w:val="24"/>
          <w:szCs w:val="24"/>
          <w:highlight w:val="none"/>
        </w:rPr>
        <w:t>有下列情形之一的，视为供应商串通磋商，其磋商无效：</w:t>
      </w:r>
    </w:p>
    <w:p w14:paraId="5E6B64E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int="eastAsia" w:hAnsi="宋体" w:cs="Times New Roman"/>
          <w:color w:val="auto"/>
          <w:sz w:val="24"/>
          <w:szCs w:val="24"/>
          <w:highlight w:val="none"/>
          <w:lang w:val="en-US" w:eastAsia="zh-CN"/>
        </w:rPr>
        <w:t>20</w:t>
      </w:r>
      <w:r>
        <w:rPr>
          <w:rFonts w:hint="eastAsia" w:hAnsi="宋体" w:cs="Times New Roman"/>
          <w:color w:val="auto"/>
          <w:sz w:val="24"/>
          <w:szCs w:val="24"/>
          <w:highlight w:val="none"/>
        </w:rPr>
        <w:t>.1不同供应商的磋商响应文件由同一单位或者个人编制；</w:t>
      </w:r>
    </w:p>
    <w:p w14:paraId="411099D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int="eastAsia" w:hAnsi="宋体" w:cs="Times New Roman"/>
          <w:color w:val="auto"/>
          <w:sz w:val="24"/>
          <w:szCs w:val="24"/>
          <w:highlight w:val="none"/>
          <w:lang w:val="en-US" w:eastAsia="zh-CN"/>
        </w:rPr>
        <w:t>20</w:t>
      </w:r>
      <w:r>
        <w:rPr>
          <w:rFonts w:hint="eastAsia" w:hAnsi="宋体" w:cs="Times New Roman"/>
          <w:color w:val="auto"/>
          <w:sz w:val="24"/>
          <w:szCs w:val="24"/>
          <w:highlight w:val="none"/>
        </w:rPr>
        <w:t>.2不同供应商委托同一单位或者个人办理磋商事宜；</w:t>
      </w:r>
    </w:p>
    <w:p w14:paraId="47D7064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int="eastAsia" w:hAnsi="宋体" w:cs="Times New Roman"/>
          <w:color w:val="auto"/>
          <w:sz w:val="24"/>
          <w:szCs w:val="24"/>
          <w:highlight w:val="none"/>
          <w:lang w:val="en-US" w:eastAsia="zh-CN"/>
        </w:rPr>
        <w:t>20</w:t>
      </w:r>
      <w:r>
        <w:rPr>
          <w:rFonts w:hint="eastAsia" w:hAnsi="宋体" w:cs="Times New Roman"/>
          <w:color w:val="auto"/>
          <w:sz w:val="24"/>
          <w:szCs w:val="24"/>
          <w:highlight w:val="none"/>
        </w:rPr>
        <w:t>.3不同供应商的磋商响应文件载明的项目管理成员或者联系人员为同一人；</w:t>
      </w:r>
    </w:p>
    <w:p w14:paraId="0908821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int="eastAsia" w:hAnsi="宋体" w:cs="Times New Roman"/>
          <w:color w:val="auto"/>
          <w:sz w:val="24"/>
          <w:szCs w:val="24"/>
          <w:highlight w:val="none"/>
          <w:lang w:val="en-US" w:eastAsia="zh-CN"/>
        </w:rPr>
        <w:t>20</w:t>
      </w:r>
      <w:r>
        <w:rPr>
          <w:rFonts w:hint="eastAsia" w:hAnsi="宋体" w:cs="Times New Roman"/>
          <w:color w:val="auto"/>
          <w:sz w:val="24"/>
          <w:szCs w:val="24"/>
          <w:highlight w:val="none"/>
        </w:rPr>
        <w:t>.4不同供应商的磋商响应文件异常一致或者磋商报价呈规律性差异；</w:t>
      </w:r>
    </w:p>
    <w:p w14:paraId="3ECD691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int="eastAsia" w:hAnsi="宋体" w:cs="Times New Roman"/>
          <w:color w:val="auto"/>
          <w:sz w:val="24"/>
          <w:szCs w:val="24"/>
          <w:highlight w:val="none"/>
          <w:lang w:val="en-US" w:eastAsia="zh-CN"/>
        </w:rPr>
        <w:t>20</w:t>
      </w:r>
      <w:r>
        <w:rPr>
          <w:rFonts w:hint="eastAsia" w:hAnsi="宋体" w:cs="Times New Roman"/>
          <w:color w:val="auto"/>
          <w:sz w:val="24"/>
          <w:szCs w:val="24"/>
          <w:highlight w:val="none"/>
        </w:rPr>
        <w:t>.5不同供应商的磋商响应文件相互混装；</w:t>
      </w:r>
    </w:p>
    <w:p w14:paraId="74CDFF2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w:t>
      </w:r>
      <w:r>
        <w:rPr>
          <w:rFonts w:hint="eastAsia" w:hAnsi="宋体" w:cs="Times New Roman"/>
          <w:color w:val="auto"/>
          <w:sz w:val="24"/>
          <w:szCs w:val="24"/>
          <w:highlight w:val="none"/>
          <w:lang w:val="en-US" w:eastAsia="zh-CN"/>
        </w:rPr>
        <w:t>1</w:t>
      </w:r>
      <w:r>
        <w:rPr>
          <w:rFonts w:hint="eastAsia" w:hAnsi="宋体" w:cs="Times New Roman"/>
          <w:color w:val="auto"/>
          <w:sz w:val="24"/>
          <w:szCs w:val="24"/>
          <w:highlight w:val="none"/>
        </w:rPr>
        <w:t>有下列情形之一的，属于恶意串通，其磋商无效：</w:t>
      </w:r>
    </w:p>
    <w:p w14:paraId="1729C65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w:t>
      </w:r>
      <w:r>
        <w:rPr>
          <w:rFonts w:hint="eastAsia" w:hAnsi="宋体" w:cs="Times New Roman"/>
          <w:color w:val="auto"/>
          <w:sz w:val="24"/>
          <w:szCs w:val="24"/>
          <w:highlight w:val="none"/>
          <w:lang w:val="en-US" w:eastAsia="zh-CN"/>
        </w:rPr>
        <w:t>1</w:t>
      </w:r>
      <w:r>
        <w:rPr>
          <w:rFonts w:hint="eastAsia" w:hAnsi="宋体" w:cs="Times New Roman"/>
          <w:color w:val="auto"/>
          <w:sz w:val="24"/>
          <w:szCs w:val="24"/>
          <w:highlight w:val="none"/>
        </w:rPr>
        <w:t>.1供应商直接或者间接从采购人或者采购机构处获得其他供应商的相关情况并修改其磋商文件或者响应文件；</w:t>
      </w:r>
    </w:p>
    <w:p w14:paraId="609AC99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w:t>
      </w:r>
      <w:r>
        <w:rPr>
          <w:rFonts w:hint="eastAsia" w:hAnsi="宋体" w:cs="Times New Roman"/>
          <w:color w:val="auto"/>
          <w:sz w:val="24"/>
          <w:szCs w:val="24"/>
          <w:highlight w:val="none"/>
          <w:lang w:val="en-US" w:eastAsia="zh-CN"/>
        </w:rPr>
        <w:t>1</w:t>
      </w:r>
      <w:r>
        <w:rPr>
          <w:rFonts w:hint="eastAsia" w:hAnsi="宋体" w:cs="Times New Roman"/>
          <w:color w:val="auto"/>
          <w:sz w:val="24"/>
          <w:szCs w:val="24"/>
          <w:highlight w:val="none"/>
        </w:rPr>
        <w:t>.2供应商按照采购人或者采购机构的授意撤换、修改磋商文件或者响应文件；</w:t>
      </w:r>
    </w:p>
    <w:p w14:paraId="08EE2FD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w:t>
      </w:r>
      <w:r>
        <w:rPr>
          <w:rFonts w:hint="eastAsia" w:hAnsi="宋体" w:cs="Times New Roman"/>
          <w:color w:val="auto"/>
          <w:sz w:val="24"/>
          <w:szCs w:val="24"/>
          <w:highlight w:val="none"/>
          <w:lang w:val="en-US" w:eastAsia="zh-CN"/>
        </w:rPr>
        <w:t>1</w:t>
      </w:r>
      <w:r>
        <w:rPr>
          <w:rFonts w:hint="eastAsia" w:hAnsi="宋体" w:cs="Times New Roman"/>
          <w:color w:val="auto"/>
          <w:sz w:val="24"/>
          <w:szCs w:val="24"/>
          <w:highlight w:val="none"/>
        </w:rPr>
        <w:t>.3供应商之间协商报价、技术方案等磋商文件或者响应文件的实质性内容；</w:t>
      </w:r>
    </w:p>
    <w:p w14:paraId="3F49CA6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w:t>
      </w:r>
      <w:r>
        <w:rPr>
          <w:rFonts w:hint="eastAsia" w:hAnsi="宋体" w:cs="Times New Roman"/>
          <w:color w:val="auto"/>
          <w:sz w:val="24"/>
          <w:szCs w:val="24"/>
          <w:highlight w:val="none"/>
          <w:lang w:val="en-US" w:eastAsia="zh-CN"/>
        </w:rPr>
        <w:t>1</w:t>
      </w:r>
      <w:r>
        <w:rPr>
          <w:rFonts w:hint="eastAsia" w:hAnsi="宋体" w:cs="Times New Roman"/>
          <w:color w:val="auto"/>
          <w:sz w:val="24"/>
          <w:szCs w:val="24"/>
          <w:highlight w:val="none"/>
        </w:rPr>
        <w:t>.4属于同一集团、协会、商会等组织成员的供应商按照该组织要求协同参加政府采购活动；</w:t>
      </w:r>
    </w:p>
    <w:p w14:paraId="623B02B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w:t>
      </w:r>
      <w:r>
        <w:rPr>
          <w:rFonts w:hint="eastAsia" w:hAnsi="宋体" w:cs="Times New Roman"/>
          <w:color w:val="auto"/>
          <w:sz w:val="24"/>
          <w:szCs w:val="24"/>
          <w:highlight w:val="none"/>
          <w:lang w:val="en-US" w:eastAsia="zh-CN"/>
        </w:rPr>
        <w:t>1</w:t>
      </w:r>
      <w:r>
        <w:rPr>
          <w:rFonts w:hint="eastAsia" w:hAnsi="宋体" w:cs="Times New Roman"/>
          <w:color w:val="auto"/>
          <w:sz w:val="24"/>
          <w:szCs w:val="24"/>
          <w:highlight w:val="none"/>
        </w:rPr>
        <w:t>.5供应商之间事先约定由某一特定供应商成交；</w:t>
      </w:r>
    </w:p>
    <w:p w14:paraId="79FC377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w:t>
      </w:r>
      <w:r>
        <w:rPr>
          <w:rFonts w:hint="eastAsia" w:hAnsi="宋体" w:cs="Times New Roman"/>
          <w:color w:val="auto"/>
          <w:sz w:val="24"/>
          <w:szCs w:val="24"/>
          <w:highlight w:val="none"/>
          <w:lang w:val="en-US" w:eastAsia="zh-CN"/>
        </w:rPr>
        <w:t>1</w:t>
      </w:r>
      <w:r>
        <w:rPr>
          <w:rFonts w:hint="eastAsia" w:hAnsi="宋体" w:cs="Times New Roman"/>
          <w:color w:val="auto"/>
          <w:sz w:val="24"/>
          <w:szCs w:val="24"/>
          <w:highlight w:val="none"/>
        </w:rPr>
        <w:t>.6供应商之间商定部分供应商放弃参加政府采购活动或者放弃成交；</w:t>
      </w:r>
    </w:p>
    <w:p w14:paraId="2EE6526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w:t>
      </w:r>
      <w:r>
        <w:rPr>
          <w:rFonts w:hint="eastAsia" w:hAnsi="宋体" w:cs="Times New Roman"/>
          <w:color w:val="auto"/>
          <w:sz w:val="24"/>
          <w:szCs w:val="24"/>
          <w:highlight w:val="none"/>
          <w:lang w:val="en-US" w:eastAsia="zh-CN"/>
        </w:rPr>
        <w:t>1</w:t>
      </w:r>
      <w:r>
        <w:rPr>
          <w:rFonts w:hint="eastAsia" w:hAnsi="宋体" w:cs="Times New Roman"/>
          <w:color w:val="auto"/>
          <w:sz w:val="24"/>
          <w:szCs w:val="24"/>
          <w:highlight w:val="none"/>
        </w:rPr>
        <w:t>.7供应商与采购人或者采购机构之间、供应商相互之间，为谋求特定供应商成交或者排斥其他供应商的其他串通行为。</w:t>
      </w:r>
    </w:p>
    <w:p w14:paraId="6E902E1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w:t>
      </w:r>
      <w:r>
        <w:rPr>
          <w:rFonts w:hint="eastAsia" w:hAnsi="宋体" w:cs="Times New Roman"/>
          <w:color w:val="auto"/>
          <w:sz w:val="24"/>
          <w:szCs w:val="24"/>
          <w:highlight w:val="none"/>
          <w:lang w:val="en-US" w:eastAsia="zh-CN"/>
        </w:rPr>
        <w:t>2</w:t>
      </w:r>
      <w:r>
        <w:rPr>
          <w:rFonts w:hint="eastAsia" w:hAnsi="宋体" w:cs="Times New Roman"/>
          <w:color w:val="auto"/>
          <w:sz w:val="24"/>
          <w:szCs w:val="24"/>
          <w:highlight w:val="none"/>
        </w:rPr>
        <w:t>其他违反法律、法规的情形。</w:t>
      </w:r>
    </w:p>
    <w:p w14:paraId="5DE00E6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磋商过程保密</w:t>
      </w:r>
    </w:p>
    <w:p w14:paraId="5EE3F4F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7E57BB35">
      <w:pPr>
        <w:pStyle w:val="22"/>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22.2在磋商期间，供应商企图影响采购人、集中采购机构或磋商小组的任何活动，都将导致磋商被拒绝，并由其承担相应的法律责任。</w:t>
      </w:r>
    </w:p>
    <w:p w14:paraId="6B539DF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67505B4D">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23.1根据以下原则确定成交供应商：</w:t>
      </w:r>
      <w:r>
        <w:rPr>
          <w:rFonts w:ascii="宋体" w:hAnsi="宋体" w:cs="宋体"/>
          <w:color w:val="auto"/>
          <w:sz w:val="24"/>
          <w:highlight w:val="none"/>
        </w:rPr>
        <w:t>确定成交供应商。采购代理机构应当在评审结束后2个工作日内将评审报告送采购人确认。采购人应当在收到评审报告后</w:t>
      </w:r>
      <w:r>
        <w:rPr>
          <w:rFonts w:hint="eastAsia" w:ascii="宋体" w:hAnsi="宋体" w:cs="宋体"/>
          <w:color w:val="auto"/>
          <w:sz w:val="24"/>
          <w:highlight w:val="none"/>
        </w:rPr>
        <w:t>2</w:t>
      </w:r>
      <w:r>
        <w:rPr>
          <w:rFonts w:ascii="宋体" w:hAnsi="宋体" w:cs="宋体"/>
          <w:color w:val="auto"/>
          <w:sz w:val="24"/>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679018A">
      <w:pPr>
        <w:pStyle w:val="22"/>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5EFB4C7A">
      <w:pPr>
        <w:adjustRightInd w:val="0"/>
        <w:spacing w:line="360" w:lineRule="auto"/>
        <w:ind w:firstLine="480" w:firstLineChars="200"/>
        <w:rPr>
          <w:rFonts w:ascii="宋体" w:hAnsi="宋体" w:cs="宋体"/>
          <w:color w:val="auto"/>
          <w:sz w:val="24"/>
          <w:highlight w:val="none"/>
        </w:rPr>
      </w:pPr>
      <w:r>
        <w:rPr>
          <w:rFonts w:hint="eastAsia" w:ascii="宋体" w:hAnsi="宋体"/>
          <w:color w:val="auto"/>
          <w:sz w:val="24"/>
          <w:szCs w:val="21"/>
          <w:highlight w:val="none"/>
        </w:rPr>
        <w:t>24.1自成交人确定之日起2个工作日内，采购代理机构通过电子交易平台向成交人发出成交通知书，</w:t>
      </w:r>
      <w:r>
        <w:rPr>
          <w:rFonts w:hint="eastAsia" w:ascii="宋体" w:hAnsi="宋体" w:cs="宋体"/>
          <w:color w:val="auto"/>
          <w:sz w:val="24"/>
          <w:highlight w:val="none"/>
        </w:rPr>
        <w:t>同时编制发布采购</w:t>
      </w:r>
      <w:r>
        <w:rPr>
          <w:rFonts w:hint="eastAsia" w:ascii="宋体" w:hAnsi="宋体"/>
          <w:color w:val="auto"/>
          <w:sz w:val="24"/>
          <w:szCs w:val="21"/>
          <w:highlight w:val="none"/>
        </w:rPr>
        <w:t>成交结果公告。</w:t>
      </w:r>
    </w:p>
    <w:p w14:paraId="094CBF44">
      <w:pPr>
        <w:adjustRightInd w:val="0"/>
        <w:spacing w:line="360" w:lineRule="auto"/>
        <w:ind w:firstLine="480" w:firstLineChars="200"/>
        <w:rPr>
          <w:rFonts w:ascii="宋体" w:hAnsi="宋体"/>
          <w:color w:val="auto"/>
          <w:sz w:val="24"/>
          <w:szCs w:val="21"/>
          <w:highlight w:val="none"/>
        </w:rPr>
      </w:pPr>
      <w:r>
        <w:rPr>
          <w:rFonts w:hint="eastAsia" w:ascii="宋体" w:hAnsi="宋体" w:cs="宋体"/>
          <w:color w:val="auto"/>
          <w:sz w:val="24"/>
          <w:highlight w:val="none"/>
        </w:rPr>
        <w:t>24.2</w:t>
      </w:r>
      <w:r>
        <w:rPr>
          <w:rFonts w:hint="eastAsia" w:ascii="宋体" w:hAnsi="宋体"/>
          <w:color w:val="auto"/>
          <w:sz w:val="24"/>
          <w:szCs w:val="21"/>
          <w:highlight w:val="none"/>
        </w:rPr>
        <w:t>成交</w:t>
      </w:r>
      <w:r>
        <w:rPr>
          <w:rFonts w:hint="eastAsia" w:ascii="宋体" w:hAnsi="宋体" w:cs="仿宋_GB2312"/>
          <w:color w:val="auto"/>
          <w:sz w:val="24"/>
          <w:highlight w:val="none"/>
        </w:rPr>
        <w:t>结果公告内容包括</w:t>
      </w:r>
      <w:r>
        <w:rPr>
          <w:rFonts w:hint="eastAsia" w:ascii="宋体" w:hAnsi="宋体" w:cs="宋体"/>
          <w:color w:val="auto"/>
          <w:sz w:val="24"/>
          <w:highlight w:val="none"/>
        </w:rPr>
        <w:t>采购人及其委托的采购代理机构的名称、地址、联系方式，项目名称和项目编号，成交人名称、地址和成交金额，主要成交标的的名称、规格型号、数量、单价、服务要求，</w:t>
      </w:r>
      <w:bookmarkStart w:id="28" w:name="_Hlk101184471"/>
      <w:r>
        <w:rPr>
          <w:rFonts w:hint="eastAsia" w:ascii="宋体" w:hAnsi="宋体" w:cs="宋体"/>
          <w:color w:val="auto"/>
          <w:sz w:val="24"/>
          <w:highlight w:val="none"/>
        </w:rPr>
        <w:t>评审专家抽取规则、</w:t>
      </w:r>
      <w:bookmarkEnd w:id="28"/>
      <w:r>
        <w:rPr>
          <w:rFonts w:hint="eastAsia" w:ascii="宋体" w:hAnsi="宋体" w:cs="宋体"/>
          <w:color w:val="auto"/>
          <w:sz w:val="24"/>
          <w:highlight w:val="none"/>
        </w:rPr>
        <w:t>未成交情况说明、成交公告期限以及评审专家名单、成交供应商和未成交供应商的评审总得分及排名。</w:t>
      </w:r>
    </w:p>
    <w:p w14:paraId="56616605">
      <w:pPr>
        <w:adjustRightInd w:val="0"/>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24.3公告期限为1个工作日。</w:t>
      </w:r>
    </w:p>
    <w:p w14:paraId="2BA8B085">
      <w:pPr>
        <w:pStyle w:val="22"/>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八、履约保证金</w:t>
      </w:r>
    </w:p>
    <w:p w14:paraId="55AE35A8">
      <w:pPr>
        <w:tabs>
          <w:tab w:val="left" w:pos="0"/>
        </w:tabs>
        <w:spacing w:line="360" w:lineRule="auto"/>
        <w:ind w:firstLine="482"/>
        <w:rPr>
          <w:rFonts w:ascii="宋体" w:hAnsi="宋体" w:cs="宋体"/>
          <w:color w:val="auto"/>
          <w:sz w:val="24"/>
          <w:highlight w:val="none"/>
        </w:rPr>
      </w:pPr>
      <w:r>
        <w:rPr>
          <w:rFonts w:hint="eastAsia" w:ascii="宋体" w:hAnsi="宋体"/>
          <w:color w:val="auto"/>
          <w:sz w:val="24"/>
          <w:highlight w:val="none"/>
        </w:rPr>
        <w:t>25.1</w:t>
      </w:r>
      <w:r>
        <w:rPr>
          <w:rFonts w:hint="eastAsia" w:ascii="宋体" w:hAnsi="宋体" w:cs="宋体"/>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77A72F15">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467B802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0C96D909">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73BCC856">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5151E90F">
      <w:pPr>
        <w:adjustRightInd w:val="0"/>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14C36C08">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25.3履约保证金的退还。验收合格的政府采购项目，采购人应当按照合同约定的退还方式，在5个工作日内办理履约保证金退还手续。</w:t>
      </w:r>
    </w:p>
    <w:p w14:paraId="5E69948E">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67DE8987">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26.1成交通知书发出后，采购人不得违法改变成交结果，成交供应商无正当理由不得放弃成交，否则，按政府采购采购相关规定处理。</w:t>
      </w:r>
    </w:p>
    <w:p w14:paraId="704FB92B">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094F0295">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27EB1AB3">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2D6F64D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1742328C">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4B8DCEBD">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4E20C5D1">
      <w:pPr>
        <w:pStyle w:val="91"/>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3439372B">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5A1BEF74">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2E60620E">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191285B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65BCF390">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7CE41E4A">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57D11512">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2EDDE3E0">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0B1B4726">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582A3D19">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04A07692">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05EB1F89">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485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DB07E6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5E610D5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5041344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7410952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4471CF1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59303CF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264A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019AC67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476EF92C">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2410B53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65B5AF0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12C47F2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7A8A2789">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69EAE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C1E8DE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2E468A8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55A14CF1">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5A5E05B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1855C5D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491FDCC9">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557F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4B20CA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55E86A6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27F5181C">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7051FB0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2BEC276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45B368D9">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46DCB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E11A32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1AEEB51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60F7498C">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6EB54A6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36C79335">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3113751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2AD6969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70C37730">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007C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82F7E1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10E2006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211C2FF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331A097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09C7CDA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012CF451">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01CA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C00697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15CDE35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5D4720BC">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7448EBB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6F33A73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53FF006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6D1E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0A04A4D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06BC744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21FED486">
            <w:pPr>
              <w:adjustRightInd w:val="0"/>
              <w:snapToGrid w:val="0"/>
              <w:spacing w:line="360" w:lineRule="auto"/>
              <w:jc w:val="left"/>
              <w:rPr>
                <w:rFonts w:ascii="宋体" w:hAnsi="宋体"/>
                <w:color w:val="auto"/>
                <w:kern w:val="0"/>
                <w:sz w:val="24"/>
                <w:szCs w:val="20"/>
                <w:highlight w:val="none"/>
              </w:rPr>
            </w:pPr>
          </w:p>
        </w:tc>
        <w:tc>
          <w:tcPr>
            <w:tcW w:w="993" w:type="dxa"/>
            <w:shd w:val="clear" w:color="auto" w:fill="auto"/>
            <w:vAlign w:val="center"/>
          </w:tcPr>
          <w:p w14:paraId="04834F3D">
            <w:pPr>
              <w:adjustRightInd w:val="0"/>
              <w:snapToGrid w:val="0"/>
              <w:spacing w:line="360" w:lineRule="auto"/>
              <w:jc w:val="center"/>
              <w:rPr>
                <w:rFonts w:ascii="宋体" w:hAnsi="宋体"/>
                <w:color w:val="auto"/>
                <w:kern w:val="0"/>
                <w:sz w:val="24"/>
                <w:szCs w:val="20"/>
                <w:highlight w:val="none"/>
              </w:rPr>
            </w:pPr>
          </w:p>
        </w:tc>
        <w:tc>
          <w:tcPr>
            <w:tcW w:w="850" w:type="dxa"/>
            <w:shd w:val="clear" w:color="auto" w:fill="auto"/>
            <w:vAlign w:val="center"/>
          </w:tcPr>
          <w:p w14:paraId="40489ED8">
            <w:pPr>
              <w:adjustRightInd w:val="0"/>
              <w:snapToGrid w:val="0"/>
              <w:spacing w:line="360" w:lineRule="auto"/>
              <w:jc w:val="center"/>
              <w:rPr>
                <w:rFonts w:ascii="宋体" w:hAnsi="宋体"/>
                <w:color w:val="auto"/>
                <w:kern w:val="0"/>
                <w:sz w:val="24"/>
                <w:szCs w:val="20"/>
                <w:highlight w:val="none"/>
              </w:rPr>
            </w:pPr>
          </w:p>
        </w:tc>
        <w:tc>
          <w:tcPr>
            <w:tcW w:w="3366" w:type="dxa"/>
            <w:shd w:val="clear" w:color="auto" w:fill="auto"/>
            <w:vAlign w:val="center"/>
          </w:tcPr>
          <w:p w14:paraId="41D71B84">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0E152B74">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42428F41">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26.9预付款</w:t>
      </w:r>
    </w:p>
    <w:p w14:paraId="06B87F4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116D0B30">
      <w:pPr>
        <w:tabs>
          <w:tab w:val="left" w:pos="0"/>
        </w:tabs>
        <w:adjustRightInd w:val="0"/>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74F5EE70">
      <w:pPr>
        <w:numPr>
          <w:ilvl w:val="0"/>
          <w:numId w:val="2"/>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09BF443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27.1本项目不允许转包。</w:t>
      </w:r>
    </w:p>
    <w:p w14:paraId="2BBC8E5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155B2F95">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70FF28B9">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1799F04B">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7F9D1F25">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7EF8CDE5">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41F7FB65">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7C7376D4">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30.1采购当事人的一切活动均适用于《中华人民共和国政府采购法》及相关规定。最终磋商结束后，磋商小组不得再与供应商进行任何形式的磋商。</w:t>
      </w:r>
    </w:p>
    <w:p w14:paraId="585ADB63">
      <w:pPr>
        <w:pStyle w:val="22"/>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31A6C466">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635942D5">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5F80B85">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3795EE28">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78BEC248">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20C32E7C">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35694E51">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18D13FA1">
      <w:pPr>
        <w:adjustRightInd w:val="0"/>
        <w:spacing w:line="360" w:lineRule="auto"/>
        <w:ind w:firstLine="480" w:firstLineChars="200"/>
        <w:rPr>
          <w:rFonts w:ascii="宋体" w:hAnsi="宋体"/>
          <w:bCs/>
          <w:color w:val="auto"/>
          <w:sz w:val="24"/>
          <w:szCs w:val="20"/>
          <w:highlight w:val="none"/>
        </w:rPr>
      </w:pPr>
      <w:r>
        <w:rPr>
          <w:rFonts w:hint="eastAsia" w:ascii="宋体" w:hAnsi="宋体"/>
          <w:b w:val="0"/>
          <w:bCs/>
          <w:color w:val="auto"/>
          <w:sz w:val="24"/>
          <w:szCs w:val="20"/>
          <w:highlight w:val="none"/>
        </w:rPr>
        <w:t>31.5质疑答复</w:t>
      </w:r>
    </w:p>
    <w:p w14:paraId="37772698">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7777323A">
      <w:pPr>
        <w:widowControl/>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06972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7170A9FD">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shd w:val="clear" w:color="auto" w:fill="auto"/>
            <w:vAlign w:val="center"/>
          </w:tcPr>
          <w:p w14:paraId="26EC478E">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01061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12AA134F">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shd w:val="clear" w:color="auto" w:fill="auto"/>
            <w:vAlign w:val="center"/>
          </w:tcPr>
          <w:p w14:paraId="72F3D512">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shd w:val="clear" w:color="auto" w:fill="auto"/>
            <w:vAlign w:val="center"/>
          </w:tcPr>
          <w:p w14:paraId="5E60E005">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58C6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19334586">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4A937950">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shd w:val="clear" w:color="auto" w:fill="auto"/>
            <w:vAlign w:val="center"/>
          </w:tcPr>
          <w:p w14:paraId="26D28FB6">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3A11C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12A49AE4">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shd w:val="clear" w:color="auto" w:fill="auto"/>
            <w:vAlign w:val="center"/>
          </w:tcPr>
          <w:p w14:paraId="40A070DA">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shd w:val="clear" w:color="auto" w:fill="auto"/>
            <w:vAlign w:val="center"/>
          </w:tcPr>
          <w:p w14:paraId="75FAB9EE">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2539F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57873C3">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3DDB3C20">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shd w:val="clear" w:color="auto" w:fill="auto"/>
            <w:vAlign w:val="center"/>
          </w:tcPr>
          <w:p w14:paraId="7EDA5B1E">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2EF0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552B838D">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shd w:val="clear" w:color="auto" w:fill="auto"/>
            <w:vAlign w:val="center"/>
          </w:tcPr>
          <w:p w14:paraId="65374276">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shd w:val="clear" w:color="auto" w:fill="auto"/>
            <w:vAlign w:val="center"/>
          </w:tcPr>
          <w:p w14:paraId="0167BE22">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209FC2EA">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78A54302">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6FB3CB64">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5FA2CA0C">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058B1F4">
      <w:pPr>
        <w:pStyle w:val="96"/>
        <w:rPr>
          <w:rFonts w:hint="eastAsia"/>
          <w:color w:val="auto"/>
          <w:highlight w:val="none"/>
        </w:rPr>
      </w:pPr>
      <w:r>
        <w:rPr>
          <w:rFonts w:hint="eastAsia"/>
          <w:color w:val="auto"/>
          <w:highlight w:val="none"/>
        </w:rPr>
        <w:t>询问联系部门：</w:t>
      </w:r>
      <w:r>
        <w:rPr>
          <w:rFonts w:hint="eastAsia" w:cs="宋体"/>
          <w:color w:val="auto"/>
          <w:sz w:val="24"/>
          <w:highlight w:val="none"/>
          <w:lang w:eastAsia="zh-CN"/>
        </w:rPr>
        <w:t>广西华晟工程项目管理咨询有限公司</w:t>
      </w:r>
      <w:r>
        <w:rPr>
          <w:rFonts w:hint="eastAsia" w:ascii="宋体" w:hAnsi="宋体" w:cs="宋体"/>
          <w:color w:val="auto"/>
          <w:sz w:val="24"/>
          <w:highlight w:val="none"/>
          <w:lang w:val="en-US" w:eastAsia="zh-CN"/>
        </w:rPr>
        <w:t xml:space="preserve"> </w:t>
      </w:r>
      <w:r>
        <w:rPr>
          <w:rFonts w:hint="eastAsia"/>
          <w:color w:val="auto"/>
          <w:highlight w:val="none"/>
        </w:rPr>
        <w:t>联系电话：</w:t>
      </w:r>
      <w:r>
        <w:rPr>
          <w:rFonts w:hint="eastAsia" w:cs="宋体"/>
          <w:color w:val="auto"/>
          <w:sz w:val="24"/>
          <w:highlight w:val="none"/>
          <w:lang w:val="en-US" w:eastAsia="zh-CN"/>
        </w:rPr>
        <w:t>0779-2020283</w:t>
      </w:r>
      <w:r>
        <w:rPr>
          <w:rFonts w:hint="eastAsia"/>
          <w:color w:val="auto"/>
          <w:highlight w:val="none"/>
        </w:rPr>
        <w:t xml:space="preserve"> </w:t>
      </w:r>
    </w:p>
    <w:p w14:paraId="2A1F6CA6">
      <w:pPr>
        <w:pStyle w:val="96"/>
        <w:rPr>
          <w:color w:val="auto"/>
          <w:highlight w:val="none"/>
        </w:rPr>
      </w:pPr>
      <w:r>
        <w:rPr>
          <w:rFonts w:hint="eastAsia"/>
          <w:color w:val="auto"/>
          <w:highlight w:val="none"/>
        </w:rPr>
        <w:t>联系人：</w:t>
      </w:r>
      <w:r>
        <w:rPr>
          <w:rFonts w:hint="eastAsia" w:cs="宋体"/>
          <w:color w:val="auto"/>
          <w:sz w:val="24"/>
          <w:highlight w:val="none"/>
          <w:lang w:val="en-US" w:eastAsia="zh-CN"/>
        </w:rPr>
        <w:t>张洁</w:t>
      </w:r>
      <w:r>
        <w:rPr>
          <w:rFonts w:hint="eastAsia" w:ascii="宋体" w:hAnsi="宋体" w:cs="宋体"/>
          <w:color w:val="auto"/>
          <w:sz w:val="24"/>
          <w:highlight w:val="none"/>
          <w:lang w:val="en-US" w:eastAsia="zh-CN"/>
        </w:rPr>
        <w:t xml:space="preserve"> </w:t>
      </w:r>
      <w:r>
        <w:rPr>
          <w:rFonts w:hint="eastAsia"/>
          <w:color w:val="auto"/>
          <w:highlight w:val="none"/>
        </w:rPr>
        <w:t>地址：</w:t>
      </w:r>
      <w:r>
        <w:rPr>
          <w:rFonts w:hint="eastAsia" w:cs="宋体"/>
          <w:color w:val="auto"/>
          <w:sz w:val="24"/>
          <w:highlight w:val="none"/>
          <w:lang w:val="zh-CN" w:eastAsia="zh-CN"/>
        </w:rPr>
        <w:t>广西壮族自治区北海市海城区西南大道753号光华花园3幢2号三楼</w:t>
      </w:r>
    </w:p>
    <w:p w14:paraId="6F94D2D2">
      <w:pPr>
        <w:pStyle w:val="96"/>
        <w:ind w:firstLine="480" w:firstLineChars="200"/>
        <w:rPr>
          <w:rFonts w:hint="eastAsia"/>
          <w:color w:val="auto"/>
          <w:highlight w:val="none"/>
        </w:rPr>
      </w:pPr>
      <w:r>
        <w:rPr>
          <w:rFonts w:hint="eastAsia"/>
          <w:color w:val="auto"/>
          <w:highlight w:val="none"/>
        </w:rPr>
        <w:t>质疑联系部门：</w:t>
      </w:r>
      <w:r>
        <w:rPr>
          <w:rFonts w:hint="eastAsia" w:cs="宋体"/>
          <w:color w:val="auto"/>
          <w:sz w:val="24"/>
          <w:highlight w:val="none"/>
          <w:lang w:eastAsia="zh-CN"/>
        </w:rPr>
        <w:t>广西华晟工程项目管理咨询有限公司</w:t>
      </w:r>
      <w:r>
        <w:rPr>
          <w:rFonts w:hint="eastAsia" w:ascii="宋体" w:hAnsi="宋体" w:cs="宋体"/>
          <w:color w:val="auto"/>
          <w:sz w:val="24"/>
          <w:highlight w:val="none"/>
          <w:lang w:val="en-US" w:eastAsia="zh-CN"/>
        </w:rPr>
        <w:t xml:space="preserve"> </w:t>
      </w:r>
      <w:r>
        <w:rPr>
          <w:rFonts w:hint="eastAsia"/>
          <w:color w:val="auto"/>
          <w:highlight w:val="none"/>
        </w:rPr>
        <w:t>联系电话：</w:t>
      </w:r>
      <w:r>
        <w:rPr>
          <w:rFonts w:hint="eastAsia" w:cs="宋体"/>
          <w:color w:val="auto"/>
          <w:sz w:val="24"/>
          <w:highlight w:val="none"/>
          <w:lang w:val="en-US" w:eastAsia="zh-CN"/>
        </w:rPr>
        <w:t>0779-2020283</w:t>
      </w:r>
      <w:r>
        <w:rPr>
          <w:rFonts w:hint="eastAsia"/>
          <w:color w:val="auto"/>
          <w:highlight w:val="none"/>
        </w:rPr>
        <w:t xml:space="preserve"> </w:t>
      </w:r>
    </w:p>
    <w:p w14:paraId="76E6E101">
      <w:pPr>
        <w:pStyle w:val="96"/>
        <w:ind w:firstLine="480" w:firstLineChars="200"/>
        <w:rPr>
          <w:color w:val="auto"/>
          <w:highlight w:val="none"/>
        </w:rPr>
      </w:pPr>
      <w:r>
        <w:rPr>
          <w:rFonts w:hint="eastAsia"/>
          <w:color w:val="auto"/>
          <w:highlight w:val="none"/>
        </w:rPr>
        <w:t>联系人：</w:t>
      </w:r>
      <w:r>
        <w:rPr>
          <w:rFonts w:hint="eastAsia" w:cs="宋体"/>
          <w:color w:val="auto"/>
          <w:sz w:val="24"/>
          <w:highlight w:val="none"/>
          <w:lang w:val="en-US" w:eastAsia="zh-CN"/>
        </w:rPr>
        <w:t>张洁</w:t>
      </w:r>
      <w:r>
        <w:rPr>
          <w:rFonts w:hint="eastAsia" w:ascii="宋体" w:hAnsi="宋体" w:cs="宋体"/>
          <w:color w:val="auto"/>
          <w:sz w:val="24"/>
          <w:highlight w:val="none"/>
          <w:lang w:val="en-US" w:eastAsia="zh-CN"/>
        </w:rPr>
        <w:t xml:space="preserve"> </w:t>
      </w:r>
      <w:r>
        <w:rPr>
          <w:rFonts w:hint="eastAsia"/>
          <w:color w:val="auto"/>
          <w:highlight w:val="none"/>
        </w:rPr>
        <w:t>地址：</w:t>
      </w:r>
      <w:r>
        <w:rPr>
          <w:rFonts w:hint="eastAsia" w:cs="宋体"/>
          <w:color w:val="auto"/>
          <w:sz w:val="24"/>
          <w:highlight w:val="none"/>
          <w:lang w:val="zh-CN" w:eastAsia="zh-CN"/>
        </w:rPr>
        <w:t>广西壮族自治区北海市海城区西南大道753号光华花园3幢2号三楼</w:t>
      </w:r>
      <w:r>
        <w:rPr>
          <w:rFonts w:hint="eastAsia"/>
          <w:color w:val="auto"/>
          <w:highlight w:val="none"/>
        </w:rPr>
        <w:t xml:space="preserve"> </w:t>
      </w:r>
    </w:p>
    <w:p w14:paraId="6C7C0F5B">
      <w:pPr>
        <w:pStyle w:val="96"/>
        <w:rPr>
          <w:rFonts w:hint="eastAsia"/>
          <w:color w:val="auto"/>
          <w:highlight w:val="none"/>
          <w:lang w:val="en-US" w:eastAsia="zh-CN"/>
        </w:rPr>
      </w:pPr>
      <w:r>
        <w:rPr>
          <w:rFonts w:hint="eastAsia"/>
          <w:color w:val="auto"/>
          <w:highlight w:val="none"/>
        </w:rPr>
        <w:t>投诉联系部门：</w:t>
      </w:r>
      <w:r>
        <w:rPr>
          <w:rFonts w:hint="eastAsia"/>
          <w:color w:val="auto"/>
          <w:highlight w:val="none"/>
          <w:lang w:val="en-US" w:eastAsia="zh-CN"/>
        </w:rPr>
        <w:t xml:space="preserve">北海市银海区财政局     </w:t>
      </w:r>
      <w:r>
        <w:rPr>
          <w:rFonts w:hint="eastAsia"/>
          <w:color w:val="auto"/>
          <w:highlight w:val="none"/>
        </w:rPr>
        <w:t>联系电话：</w:t>
      </w:r>
      <w:r>
        <w:rPr>
          <w:rFonts w:hint="eastAsia"/>
          <w:color w:val="auto"/>
          <w:highlight w:val="none"/>
          <w:lang w:val="en-US" w:eastAsia="zh-CN"/>
        </w:rPr>
        <w:t xml:space="preserve">0779-3228641 </w:t>
      </w:r>
    </w:p>
    <w:p w14:paraId="429BD419">
      <w:pPr>
        <w:pStyle w:val="96"/>
        <w:rPr>
          <w:color w:val="auto"/>
          <w:highlight w:val="none"/>
        </w:rPr>
      </w:pPr>
      <w:r>
        <w:rPr>
          <w:rFonts w:hint="eastAsia"/>
          <w:color w:val="auto"/>
          <w:highlight w:val="none"/>
        </w:rPr>
        <w:t>联系人：罗工</w:t>
      </w:r>
      <w:r>
        <w:rPr>
          <w:rFonts w:hint="eastAsia"/>
          <w:color w:val="auto"/>
          <w:highlight w:val="none"/>
          <w:lang w:val="en-US" w:eastAsia="zh-CN"/>
        </w:rPr>
        <w:t xml:space="preserve">                         </w:t>
      </w:r>
      <w:r>
        <w:rPr>
          <w:rFonts w:hint="eastAsia"/>
          <w:color w:val="auto"/>
          <w:highlight w:val="none"/>
        </w:rPr>
        <w:t>地址：北海市新世纪大道银海区政府大院</w:t>
      </w:r>
    </w:p>
    <w:p w14:paraId="456504BD">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461458C2">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67FB8D6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32.1采购代理费支付方式：</w:t>
      </w:r>
    </w:p>
    <w:p w14:paraId="4EBA62C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本项目代理服务费由成交供应商一次性向采购代理机构支付。</w:t>
      </w:r>
    </w:p>
    <w:p w14:paraId="7F47760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□采购人支付。</w:t>
      </w:r>
    </w:p>
    <w:p w14:paraId="58795FC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32.2采购代理费收取标准：</w:t>
      </w:r>
    </w:p>
    <w:p w14:paraId="6D831AE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rPr>
        <w:t>以分标（</w:t>
      </w:r>
      <w:r>
        <w:rPr>
          <w:rFonts w:hint="eastAsia" w:ascii="宋体" w:hAnsi="宋体" w:cs="宋体"/>
          <w:color w:val="auto"/>
          <w:sz w:val="24"/>
          <w:highlight w:val="none"/>
          <w:lang w:eastAsia="zh-CN"/>
        </w:rPr>
        <w:t>☑</w:t>
      </w:r>
      <w:r>
        <w:rPr>
          <w:rFonts w:hint="eastAsia" w:ascii="宋体" w:hAnsi="宋体" w:cs="宋体"/>
          <w:color w:val="auto"/>
          <w:sz w:val="24"/>
          <w:highlight w:val="none"/>
        </w:rPr>
        <w:t>成交金额</w:t>
      </w:r>
      <w:r>
        <w:rPr>
          <w:rFonts w:ascii="宋体" w:hAnsi="宋体" w:cs="宋体"/>
          <w:color w:val="auto"/>
          <w:sz w:val="24"/>
          <w:highlight w:val="none"/>
        </w:rPr>
        <w:t>/</w:t>
      </w:r>
      <w:r>
        <w:rPr>
          <w:rFonts w:hint="eastAsia" w:ascii="宋体" w:hAnsi="宋体" w:cs="宋体"/>
          <w:color w:val="auto"/>
          <w:sz w:val="24"/>
          <w:highlight w:val="none"/>
        </w:rPr>
        <w:t>□采购预算</w:t>
      </w:r>
      <w:r>
        <w:rPr>
          <w:rFonts w:ascii="宋体" w:hAnsi="宋体" w:cs="宋体"/>
          <w:color w:val="auto"/>
          <w:sz w:val="24"/>
          <w:highlight w:val="none"/>
        </w:rPr>
        <w:t>/</w:t>
      </w:r>
      <w:r>
        <w:rPr>
          <w:rFonts w:hint="eastAsia" w:ascii="宋体" w:hAnsi="宋体" w:cs="宋体"/>
          <w:color w:val="auto"/>
          <w:sz w:val="24"/>
          <w:highlight w:val="none"/>
        </w:rPr>
        <w:t>□暂定成交金额</w:t>
      </w:r>
      <w:r>
        <w:rPr>
          <w:rFonts w:ascii="宋体" w:hAnsi="宋体" w:cs="宋体"/>
          <w:color w:val="auto"/>
          <w:sz w:val="24"/>
          <w:highlight w:val="none"/>
        </w:rPr>
        <w:t>/</w:t>
      </w:r>
      <w:r>
        <w:rPr>
          <w:rFonts w:hint="eastAsia" w:ascii="宋体" w:hAnsi="宋体" w:cs="宋体"/>
          <w:color w:val="auto"/>
          <w:sz w:val="24"/>
          <w:highlight w:val="none"/>
        </w:rPr>
        <w:t>□其他</w:t>
      </w:r>
      <w:r>
        <w:rPr>
          <w:rFonts w:ascii="宋体" w:hAnsi="宋体" w:cs="宋体"/>
          <w:color w:val="auto"/>
          <w:sz w:val="24"/>
          <w:highlight w:val="none"/>
        </w:rPr>
        <w:t xml:space="preserve"> / </w:t>
      </w:r>
      <w:r>
        <w:rPr>
          <w:rFonts w:hint="eastAsia" w:ascii="宋体" w:hAnsi="宋体" w:cs="宋体"/>
          <w:color w:val="auto"/>
          <w:sz w:val="24"/>
          <w:highlight w:val="none"/>
        </w:rPr>
        <w:t>）为计费额，按代理服务收费标准（□货物类</w:t>
      </w:r>
      <w:r>
        <w:rPr>
          <w:rFonts w:ascii="宋体" w:hAnsi="宋体" w:cs="宋体"/>
          <w:color w:val="auto"/>
          <w:sz w:val="24"/>
          <w:highlight w:val="none"/>
        </w:rPr>
        <w:t>/</w:t>
      </w:r>
      <w:r>
        <w:rPr>
          <w:rFonts w:hint="eastAsia" w:ascii="宋体" w:hAnsi="宋体" w:cs="宋体"/>
          <w:color w:val="auto"/>
          <w:sz w:val="24"/>
          <w:highlight w:val="none"/>
        </w:rPr>
        <w:t>□服务类</w:t>
      </w:r>
      <w:r>
        <w:rPr>
          <w:rFonts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工程类）采用差额定率累进法计算出收费基准价格，采购代理收费以（</w:t>
      </w:r>
      <w:r>
        <w:rPr>
          <w:rFonts w:hint="eastAsia" w:ascii="宋体" w:hAnsi="宋体" w:cs="宋体"/>
          <w:color w:val="auto"/>
          <w:sz w:val="24"/>
          <w:highlight w:val="none"/>
          <w:lang w:eastAsia="zh-CN"/>
        </w:rPr>
        <w:t>□</w:t>
      </w:r>
      <w:r>
        <w:rPr>
          <w:rFonts w:hint="eastAsia" w:ascii="宋体" w:hAnsi="宋体" w:cs="宋体"/>
          <w:color w:val="auto"/>
          <w:sz w:val="24"/>
          <w:highlight w:val="none"/>
        </w:rPr>
        <w:t>收费基准价格</w:t>
      </w:r>
      <w:r>
        <w:rPr>
          <w:rFonts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收费基准价格下浮</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10</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rPr>
        <w:t>/</w:t>
      </w:r>
      <w:r>
        <w:rPr>
          <w:rFonts w:hint="eastAsia" w:ascii="宋体" w:hAnsi="宋体" w:cs="宋体"/>
          <w:color w:val="auto"/>
          <w:sz w:val="24"/>
          <w:highlight w:val="none"/>
        </w:rPr>
        <w:t>□收费基准价格上浮</w:t>
      </w:r>
      <w:r>
        <w:rPr>
          <w:rFonts w:ascii="宋体" w:hAnsi="宋体" w:cs="宋体"/>
          <w:color w:val="auto"/>
          <w:sz w:val="24"/>
          <w:highlight w:val="none"/>
        </w:rPr>
        <w:t xml:space="preserve"> / %</w:t>
      </w:r>
      <w:r>
        <w:rPr>
          <w:rFonts w:hint="eastAsia" w:ascii="宋体" w:hAnsi="宋体" w:cs="宋体"/>
          <w:color w:val="auto"/>
          <w:sz w:val="24"/>
          <w:highlight w:val="none"/>
        </w:rPr>
        <w:t>）收取。</w:t>
      </w:r>
    </w:p>
    <w:p w14:paraId="1806F19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□固定采购代理收费。</w:t>
      </w:r>
    </w:p>
    <w:p w14:paraId="6D6AB1BC">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32.3采购代理费收取银行账户</w:t>
      </w:r>
    </w:p>
    <w:p w14:paraId="6FE1CF19">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开户名称：广西华晟工程项目管理咨询有限公司</w:t>
      </w:r>
    </w:p>
    <w:p w14:paraId="439A3B98">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账    号： 623685475696           </w:t>
      </w:r>
    </w:p>
    <w:p w14:paraId="3FDD35CB">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开户行名称：中国银行股份有限公司北海分行</w:t>
      </w:r>
    </w:p>
    <w:p w14:paraId="603330F0">
      <w:pPr>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32.4代理服务收费标准：参照国家发展改革委关于进一步放开建设项目专业服务价格的通知(发改价格〔2015〕299号)的收费标准打9折计取。</w:t>
      </w:r>
    </w:p>
    <w:p w14:paraId="579046F9">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0BE99160">
      <w:pPr>
        <w:pStyle w:val="22"/>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本竞争性磋商文件解释权属采购人及本代理机构。</w:t>
      </w:r>
    </w:p>
    <w:p w14:paraId="3638BB29">
      <w:pPr>
        <w:pStyle w:val="22"/>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43E1D8FC">
      <w:pPr>
        <w:pStyle w:val="22"/>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rPr>
        <w:t>磋商</w:t>
      </w:r>
      <w:r>
        <w:rPr>
          <w:rFonts w:hAnsi="宋体" w:cs="Times New Roman"/>
          <w:color w:val="auto"/>
          <w:kern w:val="0"/>
          <w:sz w:val="24"/>
          <w:szCs w:val="24"/>
          <w:highlight w:val="none"/>
        </w:rPr>
        <w:t>文件有关的函件请按下列通讯地址联系：</w:t>
      </w:r>
    </w:p>
    <w:p w14:paraId="22FF655A">
      <w:pPr>
        <w:pStyle w:val="22"/>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单位全称：</w:t>
      </w:r>
      <w:r>
        <w:rPr>
          <w:rFonts w:hint="eastAsia" w:hAnsi="宋体" w:cs="宋体"/>
          <w:color w:val="auto"/>
          <w:sz w:val="24"/>
          <w:highlight w:val="none"/>
          <w:lang w:eastAsia="zh-CN"/>
        </w:rPr>
        <w:t>广西华晟工程项目管理咨询有限公司</w:t>
      </w:r>
    </w:p>
    <w:p w14:paraId="278EEB6A">
      <w:pPr>
        <w:pStyle w:val="22"/>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通讯地址：</w:t>
      </w:r>
      <w:r>
        <w:rPr>
          <w:rFonts w:hint="eastAsia" w:hAnsi="宋体" w:cs="宋体"/>
          <w:color w:val="auto"/>
          <w:sz w:val="24"/>
          <w:highlight w:val="none"/>
          <w:lang w:val="zh-CN" w:eastAsia="zh-CN"/>
        </w:rPr>
        <w:t>广西壮族自治区北海市海城区西南大道753号光华花园3幢2号三楼</w:t>
      </w:r>
    </w:p>
    <w:p w14:paraId="5821822D">
      <w:pPr>
        <w:pStyle w:val="22"/>
        <w:spacing w:line="360" w:lineRule="auto"/>
        <w:ind w:firstLine="480" w:firstLineChars="200"/>
        <w:rPr>
          <w:rFonts w:hAnsi="宋体"/>
          <w:color w:val="auto"/>
          <w:sz w:val="24"/>
          <w:szCs w:val="24"/>
          <w:highlight w:val="none"/>
        </w:rPr>
      </w:pPr>
      <w:r>
        <w:rPr>
          <w:rFonts w:hAnsi="宋体" w:cs="Times New Roman"/>
          <w:color w:val="auto"/>
          <w:kern w:val="0"/>
          <w:sz w:val="24"/>
          <w:szCs w:val="24"/>
          <w:highlight w:val="none"/>
        </w:rPr>
        <w:t>电    话：</w:t>
      </w:r>
      <w:r>
        <w:rPr>
          <w:rFonts w:hint="eastAsia" w:hAnsi="宋体" w:cs="宋体"/>
          <w:color w:val="auto"/>
          <w:sz w:val="24"/>
          <w:highlight w:val="none"/>
          <w:lang w:val="en-US" w:eastAsia="zh-CN"/>
        </w:rPr>
        <w:t>张洁</w:t>
      </w:r>
      <w:r>
        <w:rPr>
          <w:rFonts w:hint="eastAsia" w:ascii="宋体" w:hAnsi="宋体" w:cs="宋体"/>
          <w:color w:val="auto"/>
          <w:sz w:val="24"/>
          <w:highlight w:val="none"/>
        </w:rPr>
        <w:t xml:space="preserve"> </w:t>
      </w:r>
      <w:r>
        <w:rPr>
          <w:rFonts w:hAnsi="宋体" w:cs="Times New Roman"/>
          <w:color w:val="auto"/>
          <w:kern w:val="0"/>
          <w:sz w:val="24"/>
          <w:szCs w:val="24"/>
          <w:highlight w:val="none"/>
        </w:rPr>
        <w:t xml:space="preserve">   </w:t>
      </w:r>
    </w:p>
    <w:p w14:paraId="3E1BC0C7">
      <w:pPr>
        <w:pStyle w:val="22"/>
        <w:spacing w:line="360" w:lineRule="auto"/>
        <w:ind w:firstLine="480" w:firstLineChars="200"/>
        <w:rPr>
          <w:rFonts w:hAnsi="宋体"/>
          <w:b/>
          <w:color w:val="auto"/>
          <w:sz w:val="24"/>
          <w:szCs w:val="24"/>
          <w:highlight w:val="none"/>
        </w:rPr>
      </w:pPr>
      <w:r>
        <w:rPr>
          <w:rFonts w:hAnsi="宋体" w:cs="Times New Roman"/>
          <w:color w:val="auto"/>
          <w:kern w:val="0"/>
          <w:sz w:val="24"/>
          <w:szCs w:val="24"/>
          <w:highlight w:val="none"/>
        </w:rPr>
        <w:t>联 系 人</w:t>
      </w:r>
      <w:r>
        <w:rPr>
          <w:rFonts w:hint="eastAsia" w:hAnsi="宋体" w:cs="Times New Roman"/>
          <w:color w:val="auto"/>
          <w:kern w:val="0"/>
          <w:sz w:val="24"/>
          <w:szCs w:val="24"/>
          <w:highlight w:val="none"/>
          <w:lang w:eastAsia="zh-CN"/>
        </w:rPr>
        <w:t>：</w:t>
      </w:r>
      <w:r>
        <w:rPr>
          <w:rFonts w:hint="eastAsia" w:hAnsi="宋体" w:cs="宋体"/>
          <w:color w:val="auto"/>
          <w:sz w:val="24"/>
          <w:highlight w:val="none"/>
          <w:lang w:val="en-US" w:eastAsia="zh-CN"/>
        </w:rPr>
        <w:t>0779-2020283</w:t>
      </w:r>
    </w:p>
    <w:p w14:paraId="49CC7E57">
      <w:pPr>
        <w:spacing w:line="620" w:lineRule="exact"/>
        <w:rPr>
          <w:rFonts w:ascii="宋体" w:hAnsi="宋体"/>
          <w:b/>
          <w:color w:val="auto"/>
          <w:sz w:val="44"/>
          <w:szCs w:val="44"/>
          <w:highlight w:val="none"/>
        </w:rPr>
      </w:pPr>
      <w:bookmarkStart w:id="29" w:name="_Toc3994506"/>
    </w:p>
    <w:p w14:paraId="4E6FD15E">
      <w:pPr>
        <w:pStyle w:val="22"/>
        <w:rPr>
          <w:color w:val="auto"/>
          <w:highlight w:val="none"/>
        </w:rPr>
      </w:pPr>
      <w:bookmarkStart w:id="30" w:name="_Toc23819"/>
      <w:r>
        <w:rPr>
          <w:color w:val="auto"/>
          <w:highlight w:val="none"/>
        </w:rPr>
        <w:br w:type="page"/>
      </w:r>
    </w:p>
    <w:p w14:paraId="11A8CBC7">
      <w:pPr>
        <w:pStyle w:val="22"/>
        <w:rPr>
          <w:color w:val="auto"/>
          <w:highlight w:val="none"/>
        </w:rPr>
      </w:pPr>
    </w:p>
    <w:p w14:paraId="1C6B8C7D">
      <w:pPr>
        <w:pStyle w:val="22"/>
        <w:rPr>
          <w:color w:val="auto"/>
          <w:highlight w:val="none"/>
        </w:rPr>
      </w:pPr>
    </w:p>
    <w:p w14:paraId="2BAD8AF9">
      <w:pPr>
        <w:pStyle w:val="22"/>
        <w:rPr>
          <w:color w:val="auto"/>
          <w:highlight w:val="none"/>
        </w:rPr>
      </w:pPr>
    </w:p>
    <w:p w14:paraId="6B6D4D3A">
      <w:pPr>
        <w:pStyle w:val="22"/>
        <w:rPr>
          <w:color w:val="auto"/>
          <w:highlight w:val="none"/>
        </w:rPr>
      </w:pPr>
    </w:p>
    <w:p w14:paraId="199E490C">
      <w:pPr>
        <w:pStyle w:val="22"/>
        <w:rPr>
          <w:color w:val="auto"/>
          <w:highlight w:val="none"/>
        </w:rPr>
      </w:pPr>
    </w:p>
    <w:p w14:paraId="3CE612CB">
      <w:pPr>
        <w:pStyle w:val="22"/>
        <w:rPr>
          <w:color w:val="auto"/>
          <w:highlight w:val="none"/>
        </w:rPr>
      </w:pPr>
    </w:p>
    <w:p w14:paraId="6D4619D4">
      <w:pPr>
        <w:pStyle w:val="22"/>
        <w:rPr>
          <w:color w:val="auto"/>
          <w:highlight w:val="none"/>
        </w:rPr>
      </w:pPr>
    </w:p>
    <w:p w14:paraId="1C70E206">
      <w:pPr>
        <w:pStyle w:val="22"/>
        <w:rPr>
          <w:color w:val="auto"/>
          <w:highlight w:val="none"/>
        </w:rPr>
      </w:pPr>
    </w:p>
    <w:p w14:paraId="761C0E52">
      <w:pPr>
        <w:pStyle w:val="22"/>
        <w:rPr>
          <w:color w:val="auto"/>
          <w:highlight w:val="none"/>
        </w:rPr>
      </w:pPr>
    </w:p>
    <w:p w14:paraId="14AED142">
      <w:pPr>
        <w:pStyle w:val="22"/>
        <w:rPr>
          <w:color w:val="auto"/>
          <w:highlight w:val="none"/>
        </w:rPr>
      </w:pPr>
    </w:p>
    <w:p w14:paraId="60A07FBE">
      <w:pPr>
        <w:pStyle w:val="22"/>
        <w:rPr>
          <w:color w:val="auto"/>
          <w:highlight w:val="none"/>
        </w:rPr>
      </w:pPr>
    </w:p>
    <w:p w14:paraId="7A22172F">
      <w:pPr>
        <w:pStyle w:val="22"/>
        <w:rPr>
          <w:color w:val="auto"/>
          <w:highlight w:val="none"/>
        </w:rPr>
      </w:pPr>
    </w:p>
    <w:p w14:paraId="33B03B22">
      <w:pPr>
        <w:pStyle w:val="22"/>
        <w:rPr>
          <w:color w:val="auto"/>
          <w:highlight w:val="none"/>
        </w:rPr>
      </w:pPr>
    </w:p>
    <w:p w14:paraId="1A512966">
      <w:pPr>
        <w:pStyle w:val="22"/>
        <w:rPr>
          <w:color w:val="auto"/>
          <w:highlight w:val="none"/>
        </w:rPr>
      </w:pPr>
    </w:p>
    <w:p w14:paraId="168BAEFA">
      <w:pPr>
        <w:pStyle w:val="22"/>
        <w:rPr>
          <w:color w:val="auto"/>
          <w:highlight w:val="none"/>
        </w:rPr>
      </w:pPr>
    </w:p>
    <w:p w14:paraId="15744822">
      <w:pPr>
        <w:pStyle w:val="22"/>
        <w:rPr>
          <w:color w:val="auto"/>
          <w:highlight w:val="none"/>
        </w:rPr>
      </w:pPr>
    </w:p>
    <w:p w14:paraId="29DA2E81">
      <w:pPr>
        <w:pStyle w:val="22"/>
        <w:rPr>
          <w:color w:val="auto"/>
          <w:highlight w:val="none"/>
        </w:rPr>
      </w:pPr>
    </w:p>
    <w:p w14:paraId="7B9AFB87">
      <w:pPr>
        <w:pStyle w:val="22"/>
        <w:rPr>
          <w:color w:val="auto"/>
          <w:highlight w:val="none"/>
        </w:rPr>
      </w:pPr>
    </w:p>
    <w:p w14:paraId="7FDC8772">
      <w:pPr>
        <w:pStyle w:val="22"/>
        <w:rPr>
          <w:color w:val="auto"/>
          <w:highlight w:val="none"/>
        </w:rPr>
      </w:pPr>
    </w:p>
    <w:p w14:paraId="431ACD80">
      <w:pPr>
        <w:pStyle w:val="22"/>
        <w:rPr>
          <w:color w:val="auto"/>
          <w:highlight w:val="none"/>
        </w:rPr>
      </w:pPr>
    </w:p>
    <w:p w14:paraId="3DEAD204">
      <w:pPr>
        <w:spacing w:line="620" w:lineRule="exact"/>
        <w:jc w:val="center"/>
        <w:outlineLvl w:val="0"/>
        <w:rPr>
          <w:rFonts w:ascii="宋体" w:hAnsi="宋体"/>
          <w:b/>
          <w:color w:val="auto"/>
          <w:sz w:val="44"/>
          <w:szCs w:val="44"/>
          <w:highlight w:val="none"/>
        </w:rPr>
      </w:pPr>
      <w:bookmarkStart w:id="31" w:name="_Toc11124"/>
      <w:r>
        <w:rPr>
          <w:rFonts w:hint="eastAsia" w:ascii="宋体" w:hAnsi="宋体"/>
          <w:b/>
          <w:color w:val="auto"/>
          <w:sz w:val="44"/>
          <w:szCs w:val="44"/>
          <w:highlight w:val="none"/>
        </w:rPr>
        <w:t>第三章  竞争性磋商响应文件格式</w:t>
      </w:r>
      <w:bookmarkEnd w:id="29"/>
      <w:bookmarkEnd w:id="30"/>
      <w:bookmarkEnd w:id="31"/>
    </w:p>
    <w:p w14:paraId="7B10E051">
      <w:pPr>
        <w:spacing w:line="500" w:lineRule="exact"/>
        <w:rPr>
          <w:rFonts w:ascii="仿宋_GB2312" w:hAnsi="宋体" w:eastAsia="仿宋_GB2312"/>
          <w:b/>
          <w:color w:val="auto"/>
          <w:sz w:val="32"/>
          <w:szCs w:val="32"/>
          <w:highlight w:val="none"/>
        </w:rPr>
      </w:pPr>
    </w:p>
    <w:p w14:paraId="6CC6B65E">
      <w:pPr>
        <w:spacing w:line="500" w:lineRule="exact"/>
        <w:rPr>
          <w:rFonts w:ascii="仿宋_GB2312" w:hAnsi="宋体" w:eastAsia="仿宋_GB2312"/>
          <w:b/>
          <w:color w:val="auto"/>
          <w:sz w:val="32"/>
          <w:szCs w:val="32"/>
          <w:highlight w:val="none"/>
        </w:rPr>
      </w:pPr>
    </w:p>
    <w:p w14:paraId="1F2A2454">
      <w:pPr>
        <w:spacing w:line="500" w:lineRule="exact"/>
        <w:rPr>
          <w:rFonts w:ascii="仿宋_GB2312" w:hAnsi="宋体" w:eastAsia="仿宋_GB2312"/>
          <w:b/>
          <w:color w:val="auto"/>
          <w:sz w:val="32"/>
          <w:szCs w:val="32"/>
          <w:highlight w:val="none"/>
        </w:rPr>
      </w:pPr>
    </w:p>
    <w:p w14:paraId="415BAAB2">
      <w:pPr>
        <w:spacing w:line="500" w:lineRule="exact"/>
        <w:rPr>
          <w:rFonts w:ascii="仿宋_GB2312" w:hAnsi="宋体" w:eastAsia="仿宋_GB2312"/>
          <w:b/>
          <w:color w:val="auto"/>
          <w:sz w:val="32"/>
          <w:szCs w:val="32"/>
          <w:highlight w:val="none"/>
        </w:rPr>
      </w:pPr>
    </w:p>
    <w:p w14:paraId="4B8A70EA">
      <w:pPr>
        <w:spacing w:line="500" w:lineRule="exact"/>
        <w:rPr>
          <w:rFonts w:ascii="仿宋_GB2312" w:hAnsi="宋体" w:eastAsia="仿宋_GB2312"/>
          <w:b/>
          <w:color w:val="auto"/>
          <w:sz w:val="32"/>
          <w:szCs w:val="32"/>
          <w:highlight w:val="none"/>
        </w:rPr>
      </w:pPr>
    </w:p>
    <w:p w14:paraId="20C27AF3">
      <w:pPr>
        <w:spacing w:line="500" w:lineRule="exact"/>
        <w:rPr>
          <w:rFonts w:ascii="仿宋_GB2312" w:hAnsi="宋体" w:eastAsia="仿宋_GB2312"/>
          <w:b/>
          <w:color w:val="auto"/>
          <w:sz w:val="32"/>
          <w:szCs w:val="32"/>
          <w:highlight w:val="none"/>
        </w:rPr>
      </w:pPr>
    </w:p>
    <w:p w14:paraId="5E5FEB9E">
      <w:pPr>
        <w:spacing w:line="500" w:lineRule="exact"/>
        <w:rPr>
          <w:rFonts w:ascii="仿宋_GB2312" w:hAnsi="宋体" w:eastAsia="仿宋_GB2312"/>
          <w:b/>
          <w:color w:val="auto"/>
          <w:sz w:val="32"/>
          <w:szCs w:val="32"/>
          <w:highlight w:val="none"/>
        </w:rPr>
      </w:pPr>
    </w:p>
    <w:p w14:paraId="57B007E4">
      <w:pPr>
        <w:spacing w:line="500" w:lineRule="exact"/>
        <w:rPr>
          <w:rFonts w:ascii="仿宋_GB2312" w:hAnsi="宋体" w:eastAsia="仿宋_GB2312"/>
          <w:b/>
          <w:color w:val="auto"/>
          <w:sz w:val="32"/>
          <w:szCs w:val="32"/>
          <w:highlight w:val="none"/>
        </w:rPr>
      </w:pPr>
    </w:p>
    <w:p w14:paraId="463E043A">
      <w:pPr>
        <w:snapToGrid w:val="0"/>
        <w:spacing w:before="120" w:beforeLines="50" w:after="50" w:line="360" w:lineRule="exact"/>
        <w:rPr>
          <w:rFonts w:ascii="宋体" w:hAnsi="宋体"/>
          <w:b/>
          <w:bCs/>
          <w:color w:val="auto"/>
          <w:sz w:val="28"/>
          <w:szCs w:val="28"/>
          <w:highlight w:val="none"/>
        </w:rPr>
      </w:pPr>
    </w:p>
    <w:p w14:paraId="648100CF">
      <w:pPr>
        <w:snapToGrid w:val="0"/>
        <w:spacing w:before="120" w:beforeLines="50" w:after="50" w:line="360" w:lineRule="exact"/>
        <w:rPr>
          <w:rFonts w:ascii="宋体" w:hAnsi="宋体"/>
          <w:b/>
          <w:bCs/>
          <w:color w:val="auto"/>
          <w:sz w:val="28"/>
          <w:szCs w:val="28"/>
          <w:highlight w:val="none"/>
        </w:rPr>
      </w:pPr>
    </w:p>
    <w:p w14:paraId="666A1AE1">
      <w:pPr>
        <w:snapToGrid w:val="0"/>
        <w:spacing w:before="120" w:beforeLines="50" w:after="50" w:line="360" w:lineRule="exact"/>
        <w:rPr>
          <w:rFonts w:ascii="宋体" w:hAnsi="宋体"/>
          <w:b/>
          <w:bCs/>
          <w:color w:val="auto"/>
          <w:sz w:val="28"/>
          <w:szCs w:val="28"/>
          <w:highlight w:val="none"/>
        </w:rPr>
      </w:pPr>
    </w:p>
    <w:p w14:paraId="3DF3DCAE">
      <w:pPr>
        <w:snapToGrid w:val="0"/>
        <w:spacing w:before="120" w:beforeLines="50" w:after="50" w:line="360" w:lineRule="exact"/>
        <w:rPr>
          <w:rFonts w:ascii="宋体" w:hAnsi="宋体"/>
          <w:b/>
          <w:bCs/>
          <w:color w:val="auto"/>
          <w:sz w:val="28"/>
          <w:szCs w:val="28"/>
          <w:highlight w:val="none"/>
        </w:rPr>
      </w:pPr>
    </w:p>
    <w:p w14:paraId="3FC2526C">
      <w:pPr>
        <w:snapToGrid w:val="0"/>
        <w:spacing w:before="120" w:beforeLines="50" w:after="50" w:line="360" w:lineRule="exact"/>
        <w:rPr>
          <w:rFonts w:ascii="宋体" w:hAnsi="宋体"/>
          <w:b/>
          <w:bCs/>
          <w:color w:val="auto"/>
          <w:sz w:val="28"/>
          <w:szCs w:val="28"/>
          <w:highlight w:val="none"/>
        </w:rPr>
      </w:pPr>
    </w:p>
    <w:p w14:paraId="143C22CB">
      <w:pPr>
        <w:pStyle w:val="18"/>
        <w:rPr>
          <w:color w:val="auto"/>
          <w:highlight w:val="none"/>
        </w:rPr>
      </w:pPr>
    </w:p>
    <w:p w14:paraId="395D6AF9">
      <w:pPr>
        <w:rPr>
          <w:color w:val="auto"/>
          <w:highlight w:val="none"/>
        </w:rPr>
      </w:pPr>
    </w:p>
    <w:p w14:paraId="0FF0C8F5">
      <w:pPr>
        <w:spacing w:line="360" w:lineRule="auto"/>
        <w:rPr>
          <w:rFonts w:ascii="宋体" w:hAnsi="宋体"/>
          <w:b/>
          <w:color w:val="auto"/>
          <w:sz w:val="28"/>
          <w:szCs w:val="28"/>
          <w:highlight w:val="none"/>
        </w:rPr>
      </w:pPr>
      <w:r>
        <w:rPr>
          <w:color w:val="auto"/>
          <w:highlight w:val="none"/>
        </w:rPr>
        <w:br w:type="page"/>
      </w:r>
      <w:r>
        <w:rPr>
          <w:rFonts w:hint="eastAsia" w:ascii="宋体" w:hAnsi="宋体"/>
          <w:b/>
          <w:color w:val="auto"/>
          <w:sz w:val="28"/>
          <w:szCs w:val="28"/>
          <w:highlight w:val="none"/>
        </w:rPr>
        <w:t>一、竞争性磋商响应文件外包装封面</w:t>
      </w:r>
      <w:r>
        <w:rPr>
          <w:rFonts w:hint="eastAsia" w:ascii="宋体" w:hAnsi="宋体"/>
          <w:b/>
          <w:bCs/>
          <w:color w:val="auto"/>
          <w:sz w:val="28"/>
          <w:szCs w:val="28"/>
          <w:highlight w:val="none"/>
        </w:rPr>
        <w:t>及</w:t>
      </w:r>
      <w:r>
        <w:rPr>
          <w:rFonts w:hint="eastAsia" w:ascii="宋体" w:hAnsi="宋体"/>
          <w:b/>
          <w:color w:val="auto"/>
          <w:sz w:val="28"/>
          <w:szCs w:val="28"/>
          <w:highlight w:val="none"/>
        </w:rPr>
        <w:t>竞争性磋商响应文件封面</w:t>
      </w:r>
      <w:r>
        <w:rPr>
          <w:rFonts w:hint="eastAsia" w:ascii="宋体" w:hAnsi="宋体"/>
          <w:b/>
          <w:bCs/>
          <w:color w:val="auto"/>
          <w:sz w:val="28"/>
          <w:szCs w:val="28"/>
          <w:highlight w:val="none"/>
        </w:rPr>
        <w:t>格式</w:t>
      </w:r>
    </w:p>
    <w:p w14:paraId="32969BFB">
      <w:pPr>
        <w:snapToGrid w:val="0"/>
        <w:spacing w:line="360" w:lineRule="auto"/>
        <w:rPr>
          <w:rFonts w:ascii="宋体" w:hAnsi="宋体"/>
          <w:b/>
          <w:color w:val="auto"/>
          <w:szCs w:val="21"/>
          <w:highlight w:val="none"/>
        </w:rPr>
      </w:pPr>
    </w:p>
    <w:p w14:paraId="51843AA7">
      <w:pPr>
        <w:snapToGrid w:val="0"/>
        <w:spacing w:line="360" w:lineRule="auto"/>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color w:val="auto"/>
          <w:highlight w:val="none"/>
        </w:rPr>
        <w:t xml:space="preserve"> 竞争性磋商响应文件</w:t>
      </w:r>
      <w:r>
        <w:rPr>
          <w:rFonts w:hint="eastAsia" w:ascii="宋体" w:hAnsi="宋体"/>
          <w:b/>
          <w:color w:val="auto"/>
          <w:szCs w:val="21"/>
          <w:highlight w:val="none"/>
        </w:rPr>
        <w:t xml:space="preserve">的外包装封面格式： </w:t>
      </w:r>
    </w:p>
    <w:p w14:paraId="3732C67A">
      <w:pPr>
        <w:snapToGrid w:val="0"/>
        <w:spacing w:line="360" w:lineRule="auto"/>
        <w:rPr>
          <w:rFonts w:ascii="宋体" w:hAnsi="宋体"/>
          <w:color w:val="auto"/>
          <w:szCs w:val="21"/>
          <w:highlight w:val="none"/>
        </w:rPr>
      </w:pPr>
    </w:p>
    <w:p w14:paraId="455AE8AC">
      <w:pPr>
        <w:snapToGrid w:val="0"/>
        <w:spacing w:line="360" w:lineRule="auto"/>
        <w:ind w:firstLine="2638" w:firstLineChars="1095"/>
        <w:rPr>
          <w:rFonts w:ascii="宋体" w:hAnsi="宋体"/>
          <w:color w:val="auto"/>
          <w:sz w:val="24"/>
          <w:highlight w:val="none"/>
        </w:rPr>
      </w:pPr>
      <w:r>
        <w:rPr>
          <w:rFonts w:hint="eastAsia" w:ascii="宋体" w:hAnsi="宋体"/>
          <w:b/>
          <w:color w:val="auto"/>
          <w:sz w:val="24"/>
          <w:highlight w:val="none"/>
        </w:rPr>
        <w:t>竞争性磋商响应文件</w:t>
      </w:r>
      <w:r>
        <w:rPr>
          <w:rFonts w:hint="eastAsia" w:ascii="宋体" w:hAnsi="宋体"/>
          <w:b/>
          <w:bCs/>
          <w:color w:val="auto"/>
          <w:sz w:val="24"/>
          <w:highlight w:val="none"/>
        </w:rPr>
        <w:t xml:space="preserve">              </w:t>
      </w:r>
    </w:p>
    <w:p w14:paraId="7AC9C5E8">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项目名称</w:t>
      </w:r>
      <w:r>
        <w:rPr>
          <w:rFonts w:hint="eastAsia" w:ascii="宋体" w:hAnsi="宋体"/>
          <w:bCs/>
          <w:color w:val="auto"/>
          <w:sz w:val="24"/>
          <w:highlight w:val="none"/>
        </w:rPr>
        <w:t>：</w:t>
      </w:r>
    </w:p>
    <w:p w14:paraId="0D3599F6">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项目编号</w:t>
      </w:r>
      <w:r>
        <w:rPr>
          <w:rFonts w:hint="eastAsia" w:ascii="宋体" w:hAnsi="宋体"/>
          <w:bCs/>
          <w:color w:val="auto"/>
          <w:sz w:val="24"/>
          <w:highlight w:val="none"/>
        </w:rPr>
        <w:t>：</w:t>
      </w:r>
    </w:p>
    <w:p w14:paraId="26DF1E0B">
      <w:pPr>
        <w:pStyle w:val="7"/>
        <w:snapToGrid w:val="0"/>
        <w:spacing w:line="360" w:lineRule="auto"/>
        <w:ind w:firstLine="720" w:firstLineChars="300"/>
        <w:rPr>
          <w:rFonts w:ascii="宋体" w:hAnsi="宋体"/>
          <w:bCs/>
          <w:color w:val="auto"/>
          <w:sz w:val="24"/>
          <w:szCs w:val="24"/>
          <w:highlight w:val="none"/>
        </w:rPr>
      </w:pPr>
      <w:r>
        <w:rPr>
          <w:rFonts w:hint="eastAsia" w:ascii="宋体" w:hAnsi="宋体"/>
          <w:color w:val="auto"/>
          <w:sz w:val="24"/>
          <w:szCs w:val="24"/>
          <w:highlight w:val="none"/>
        </w:rPr>
        <w:t>供应商名称</w:t>
      </w:r>
      <w:r>
        <w:rPr>
          <w:rFonts w:hint="eastAsia" w:ascii="宋体" w:hAnsi="宋体"/>
          <w:bCs/>
          <w:color w:val="auto"/>
          <w:sz w:val="24"/>
          <w:szCs w:val="24"/>
          <w:highlight w:val="none"/>
        </w:rPr>
        <w:t>：</w:t>
      </w:r>
    </w:p>
    <w:p w14:paraId="1DE12767">
      <w:pPr>
        <w:pStyle w:val="7"/>
        <w:snapToGrid w:val="0"/>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（截标时才能启封）</w:t>
      </w:r>
    </w:p>
    <w:p w14:paraId="5830EAC1">
      <w:pPr>
        <w:pStyle w:val="7"/>
        <w:snapToGrid w:val="0"/>
        <w:spacing w:line="360" w:lineRule="auto"/>
        <w:ind w:firstLine="630" w:firstLineChars="300"/>
        <w:rPr>
          <w:rFonts w:ascii="宋体" w:hAnsi="宋体"/>
          <w:bCs/>
          <w:color w:val="auto"/>
          <w:szCs w:val="21"/>
          <w:highlight w:val="none"/>
        </w:rPr>
      </w:pPr>
    </w:p>
    <w:p w14:paraId="076CB53D">
      <w:pPr>
        <w:snapToGrid w:val="0"/>
        <w:spacing w:line="360" w:lineRule="auto"/>
        <w:rPr>
          <w:rFonts w:ascii="宋体" w:hAnsi="宋体"/>
          <w:b/>
          <w:color w:val="auto"/>
          <w:sz w:val="24"/>
          <w:highlight w:val="none"/>
        </w:rPr>
      </w:pPr>
      <w:r>
        <w:rPr>
          <w:rFonts w:hint="eastAsia" w:ascii="宋体" w:hAnsi="宋体"/>
          <w:b/>
          <w:color w:val="auto"/>
          <w:szCs w:val="21"/>
          <w:highlight w:val="none"/>
        </w:rPr>
        <w:t>二）.</w:t>
      </w:r>
      <w:r>
        <w:rPr>
          <w:rFonts w:hint="eastAsia" w:ascii="宋体" w:hAnsi="宋体"/>
          <w:b/>
          <w:color w:val="auto"/>
          <w:highlight w:val="none"/>
        </w:rPr>
        <w:t xml:space="preserve"> 竞争性磋商响应文件</w:t>
      </w:r>
      <w:r>
        <w:rPr>
          <w:rFonts w:hint="eastAsia" w:ascii="宋体" w:hAnsi="宋体"/>
          <w:b/>
          <w:color w:val="auto"/>
          <w:szCs w:val="21"/>
          <w:highlight w:val="none"/>
        </w:rPr>
        <w:t>封面格式：</w:t>
      </w:r>
      <w:r>
        <w:rPr>
          <w:rFonts w:hint="eastAsia" w:ascii="宋体" w:hAnsi="宋体"/>
          <w:b/>
          <w:color w:val="auto"/>
          <w:sz w:val="24"/>
          <w:highlight w:val="none"/>
        </w:rPr>
        <w:t xml:space="preserve"> </w:t>
      </w:r>
    </w:p>
    <w:p w14:paraId="0142FEFE">
      <w:pPr>
        <w:snapToGrid w:val="0"/>
        <w:spacing w:line="360" w:lineRule="auto"/>
        <w:ind w:left="7200" w:hanging="7200" w:hangingChars="3000"/>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Cs w:val="21"/>
          <w:highlight w:val="none"/>
        </w:rPr>
        <w:t>（正/副本）</w:t>
      </w:r>
    </w:p>
    <w:p w14:paraId="36056413">
      <w:pPr>
        <w:snapToGrid w:val="0"/>
        <w:spacing w:line="360" w:lineRule="auto"/>
        <w:jc w:val="center"/>
        <w:rPr>
          <w:rFonts w:ascii="宋体" w:hAnsi="宋体"/>
          <w:bCs/>
          <w:color w:val="auto"/>
          <w:sz w:val="24"/>
          <w:highlight w:val="none"/>
        </w:rPr>
      </w:pPr>
      <w:r>
        <w:rPr>
          <w:rFonts w:hint="eastAsia" w:ascii="宋体" w:hAnsi="宋体"/>
          <w:b/>
          <w:color w:val="auto"/>
          <w:sz w:val="24"/>
          <w:highlight w:val="none"/>
        </w:rPr>
        <w:t>竞争性磋商响应文件（封面）</w:t>
      </w:r>
    </w:p>
    <w:p w14:paraId="62F2FA68">
      <w:pPr>
        <w:spacing w:line="360" w:lineRule="auto"/>
        <w:ind w:firstLine="480" w:firstLineChars="200"/>
        <w:jc w:val="center"/>
        <w:rPr>
          <w:rFonts w:hint="eastAsia" w:ascii="宋体" w:hAnsi="宋体"/>
          <w:color w:val="auto"/>
          <w:sz w:val="24"/>
          <w:highlight w:val="none"/>
        </w:rPr>
      </w:pPr>
    </w:p>
    <w:p w14:paraId="68AF8B00">
      <w:pPr>
        <w:spacing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资格文件、报价文件、商务技术文件</w:t>
      </w:r>
    </w:p>
    <w:p w14:paraId="5B53E1C9">
      <w:pPr>
        <w:spacing w:line="360" w:lineRule="auto"/>
        <w:ind w:firstLine="480" w:firstLineChars="200"/>
        <w:rPr>
          <w:rFonts w:hint="eastAsia" w:ascii="宋体" w:hAnsi="宋体"/>
          <w:color w:val="auto"/>
          <w:sz w:val="24"/>
          <w:highlight w:val="none"/>
        </w:rPr>
      </w:pPr>
    </w:p>
    <w:p w14:paraId="2288CC35">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2EBB6DC0">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6A7B184F">
      <w:pPr>
        <w:snapToGrid w:val="0"/>
        <w:spacing w:line="360" w:lineRule="auto"/>
        <w:ind w:firstLine="480" w:firstLineChars="200"/>
        <w:rPr>
          <w:rFonts w:ascii="宋体" w:hAnsi="宋体"/>
          <w:bCs/>
          <w:color w:val="auto"/>
          <w:sz w:val="24"/>
          <w:highlight w:val="none"/>
        </w:rPr>
      </w:pPr>
      <w:r>
        <w:rPr>
          <w:rFonts w:hint="eastAsia" w:ascii="宋体" w:hAnsi="宋体"/>
          <w:color w:val="auto"/>
          <w:sz w:val="24"/>
          <w:highlight w:val="none"/>
        </w:rPr>
        <w:t>供应商名称</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31D80599">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p>
    <w:p w14:paraId="23EF9BC8">
      <w:pPr>
        <w:snapToGrid w:val="0"/>
        <w:spacing w:line="360" w:lineRule="auto"/>
        <w:jc w:val="center"/>
        <w:rPr>
          <w:rFonts w:ascii="宋体" w:hAnsi="宋体"/>
          <w:color w:val="auto"/>
          <w:sz w:val="24"/>
          <w:highlight w:val="none"/>
        </w:rPr>
      </w:pPr>
      <w:r>
        <w:rPr>
          <w:rFonts w:hint="eastAsia" w:ascii="宋体" w:hAnsi="宋体"/>
          <w:color w:val="auto"/>
          <w:sz w:val="24"/>
          <w:highlight w:val="none"/>
        </w:rPr>
        <w:t xml:space="preserve">                                       年</w:t>
      </w:r>
      <w:r>
        <w:rPr>
          <w:rFonts w:hint="eastAsia" w:ascii="宋体" w:hAnsi="宋体" w:cs="宋体"/>
          <w:color w:val="auto"/>
          <w:sz w:val="24"/>
          <w:highlight w:val="none"/>
        </w:rPr>
        <w:t xml:space="preserve">    </w:t>
      </w:r>
      <w:r>
        <w:rPr>
          <w:rFonts w:hint="eastAsia" w:ascii="宋体" w:hAnsi="宋体"/>
          <w:color w:val="auto"/>
          <w:sz w:val="24"/>
          <w:highlight w:val="none"/>
        </w:rPr>
        <w:t>月    日</w:t>
      </w:r>
    </w:p>
    <w:p w14:paraId="4C463E9A">
      <w:pPr>
        <w:spacing w:line="360" w:lineRule="auto"/>
        <w:ind w:firstLine="3229" w:firstLineChars="1340"/>
        <w:rPr>
          <w:rFonts w:ascii="宋体" w:hAnsi="宋体"/>
          <w:b/>
          <w:color w:val="auto"/>
          <w:sz w:val="24"/>
          <w:highlight w:val="none"/>
        </w:rPr>
      </w:pPr>
    </w:p>
    <w:p w14:paraId="02E1267C">
      <w:pPr>
        <w:spacing w:line="360" w:lineRule="auto"/>
        <w:rPr>
          <w:rFonts w:ascii="宋体" w:hAnsi="宋体"/>
          <w:b/>
          <w:color w:val="auto"/>
          <w:sz w:val="24"/>
          <w:highlight w:val="none"/>
        </w:rPr>
      </w:pPr>
    </w:p>
    <w:p w14:paraId="234F446C">
      <w:pPr>
        <w:spacing w:line="360" w:lineRule="auto"/>
        <w:rPr>
          <w:rFonts w:ascii="宋体" w:hAnsi="宋体"/>
          <w:b/>
          <w:color w:val="auto"/>
          <w:sz w:val="24"/>
          <w:highlight w:val="none"/>
        </w:rPr>
      </w:pPr>
    </w:p>
    <w:p w14:paraId="5ECAADB4">
      <w:pPr>
        <w:spacing w:line="360" w:lineRule="auto"/>
        <w:rPr>
          <w:rFonts w:ascii="宋体" w:hAnsi="宋体"/>
          <w:b/>
          <w:color w:val="auto"/>
          <w:sz w:val="24"/>
          <w:highlight w:val="none"/>
        </w:rPr>
      </w:pPr>
    </w:p>
    <w:p w14:paraId="4AB92182">
      <w:pPr>
        <w:spacing w:line="360" w:lineRule="auto"/>
        <w:rPr>
          <w:rFonts w:ascii="宋体" w:hAnsi="宋体"/>
          <w:b/>
          <w:color w:val="auto"/>
          <w:sz w:val="28"/>
          <w:szCs w:val="28"/>
          <w:highlight w:val="none"/>
        </w:rPr>
      </w:pPr>
    </w:p>
    <w:p w14:paraId="63CF33A5">
      <w:pPr>
        <w:spacing w:line="360" w:lineRule="auto"/>
        <w:rPr>
          <w:rFonts w:ascii="宋体" w:hAnsi="宋体"/>
          <w:b/>
          <w:color w:val="auto"/>
          <w:sz w:val="28"/>
          <w:szCs w:val="28"/>
          <w:highlight w:val="none"/>
        </w:rPr>
      </w:pPr>
    </w:p>
    <w:p w14:paraId="5A110129">
      <w:pPr>
        <w:spacing w:line="360" w:lineRule="auto"/>
        <w:rPr>
          <w:rFonts w:ascii="宋体" w:hAnsi="宋体"/>
          <w:b/>
          <w:color w:val="auto"/>
          <w:sz w:val="28"/>
          <w:szCs w:val="28"/>
          <w:highlight w:val="none"/>
        </w:rPr>
      </w:pPr>
    </w:p>
    <w:p w14:paraId="5183DE96">
      <w:pPr>
        <w:spacing w:line="360" w:lineRule="auto"/>
        <w:rPr>
          <w:rFonts w:ascii="宋体" w:hAnsi="宋体"/>
          <w:b/>
          <w:color w:val="auto"/>
          <w:sz w:val="28"/>
          <w:szCs w:val="28"/>
          <w:highlight w:val="none"/>
        </w:rPr>
      </w:pPr>
    </w:p>
    <w:p w14:paraId="3F791D17">
      <w:pPr>
        <w:spacing w:line="360" w:lineRule="auto"/>
        <w:rPr>
          <w:rFonts w:ascii="宋体" w:hAnsi="宋体"/>
          <w:b/>
          <w:color w:val="auto"/>
          <w:sz w:val="28"/>
          <w:szCs w:val="28"/>
          <w:highlight w:val="none"/>
        </w:rPr>
      </w:pPr>
      <w:r>
        <w:rPr>
          <w:rFonts w:hint="eastAsia" w:ascii="宋体" w:hAnsi="宋体"/>
          <w:b/>
          <w:color w:val="auto"/>
          <w:sz w:val="28"/>
          <w:szCs w:val="28"/>
          <w:highlight w:val="none"/>
        </w:rPr>
        <w:t>二、附  件</w:t>
      </w:r>
    </w:p>
    <w:p w14:paraId="6979A2E1">
      <w:pPr>
        <w:widowControl/>
        <w:spacing w:line="360" w:lineRule="auto"/>
        <w:ind w:left="150"/>
        <w:jc w:val="both"/>
        <w:rPr>
          <w:rFonts w:hint="eastAsia" w:ascii="宋体" w:hAnsi="宋体" w:eastAsia="宋体" w:cs="宋体"/>
          <w:b/>
          <w:color w:val="auto"/>
          <w:kern w:val="0"/>
          <w:sz w:val="32"/>
          <w:szCs w:val="32"/>
          <w:highlight w:val="none"/>
          <w:lang w:val="en-US" w:eastAsia="zh-CN"/>
        </w:rPr>
      </w:pPr>
      <w:r>
        <w:rPr>
          <w:rFonts w:hint="eastAsia" w:ascii="宋体" w:hAnsi="宋体"/>
          <w:b/>
          <w:color w:val="auto"/>
          <w:sz w:val="24"/>
          <w:highlight w:val="none"/>
        </w:rPr>
        <w:t>附件1</w:t>
      </w:r>
    </w:p>
    <w:p w14:paraId="2C909620">
      <w:pPr>
        <w:bidi w:val="0"/>
        <w:rPr>
          <w:rFonts w:hint="eastAsia" w:ascii="宋体" w:hAnsi="宋体" w:eastAsia="宋体" w:cs="宋体"/>
          <w:color w:val="auto"/>
          <w:highlight w:val="none"/>
        </w:rPr>
      </w:pPr>
    </w:p>
    <w:p w14:paraId="30DEE7AD">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Times New Roman"/>
          <w:b/>
          <w:bCs w:val="0"/>
          <w:color w:val="auto"/>
          <w:sz w:val="28"/>
          <w:szCs w:val="28"/>
          <w:highlight w:val="none"/>
        </w:rPr>
      </w:pPr>
      <w:r>
        <w:rPr>
          <w:rFonts w:hint="eastAsia" w:ascii="宋体" w:hAnsi="宋体" w:eastAsia="宋体" w:cs="Times New Roman"/>
          <w:b/>
          <w:bCs w:val="0"/>
          <w:color w:val="auto"/>
          <w:sz w:val="28"/>
          <w:szCs w:val="28"/>
          <w:highlight w:val="none"/>
        </w:rPr>
        <w:t>投标人直接</w:t>
      </w:r>
      <w:r>
        <w:rPr>
          <w:rFonts w:hint="eastAsia" w:ascii="宋体" w:hAnsi="宋体" w:eastAsia="宋体" w:cs="Times New Roman"/>
          <w:b/>
          <w:bCs w:val="0"/>
          <w:color w:val="auto"/>
          <w:sz w:val="28"/>
          <w:szCs w:val="28"/>
          <w:highlight w:val="none"/>
          <w:lang w:val="en-US" w:eastAsia="zh-CN"/>
        </w:rPr>
        <w:t>控股</w:t>
      </w:r>
      <w:r>
        <w:rPr>
          <w:rFonts w:hint="eastAsia" w:ascii="宋体" w:hAnsi="宋体" w:eastAsia="宋体" w:cs="Times New Roman"/>
          <w:b/>
          <w:bCs w:val="0"/>
          <w:color w:val="auto"/>
          <w:sz w:val="28"/>
          <w:szCs w:val="28"/>
          <w:highlight w:val="none"/>
        </w:rPr>
        <w:t>股东及出资信息表</w:t>
      </w:r>
    </w:p>
    <w:p w14:paraId="32151F2B">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Times New Roman"/>
          <w:b/>
          <w:bCs w:val="0"/>
          <w:color w:val="auto"/>
          <w:sz w:val="28"/>
          <w:szCs w:val="28"/>
          <w:highlight w:val="none"/>
        </w:rPr>
      </w:pPr>
    </w:p>
    <w:tbl>
      <w:tblPr>
        <w:tblStyle w:val="37"/>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249"/>
        <w:gridCol w:w="1253"/>
        <w:gridCol w:w="3702"/>
        <w:gridCol w:w="812"/>
      </w:tblGrid>
      <w:tr w14:paraId="73994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01" w:type="dxa"/>
            <w:noWrap w:val="0"/>
            <w:vAlign w:val="top"/>
          </w:tcPr>
          <w:p w14:paraId="7D634A79">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 w:val="24"/>
                <w:szCs w:val="24"/>
                <w:highlight w:val="none"/>
              </w:rPr>
            </w:pPr>
            <w:r>
              <w:rPr>
                <w:rFonts w:hint="eastAsia" w:ascii="宋体" w:hAnsi="宋体" w:eastAsia="宋体" w:cs="宋体"/>
                <w:b/>
                <w:bCs/>
                <w:color w:val="auto"/>
                <w:spacing w:val="10"/>
                <w:kern w:val="0"/>
                <w:sz w:val="24"/>
                <w:szCs w:val="24"/>
                <w:highlight w:val="none"/>
              </w:rPr>
              <w:t>序号</w:t>
            </w:r>
          </w:p>
        </w:tc>
        <w:tc>
          <w:tcPr>
            <w:tcW w:w="2249" w:type="dxa"/>
            <w:noWrap w:val="0"/>
            <w:vAlign w:val="top"/>
          </w:tcPr>
          <w:p w14:paraId="3FA32789">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 w:val="24"/>
                <w:szCs w:val="24"/>
                <w:highlight w:val="none"/>
              </w:rPr>
            </w:pPr>
            <w:r>
              <w:rPr>
                <w:rFonts w:hint="eastAsia" w:ascii="宋体" w:hAnsi="宋体" w:eastAsia="宋体" w:cs="宋体"/>
                <w:b/>
                <w:bCs/>
                <w:color w:val="auto"/>
                <w:spacing w:val="10"/>
                <w:kern w:val="0"/>
                <w:sz w:val="24"/>
                <w:szCs w:val="24"/>
                <w:highlight w:val="none"/>
                <w:lang w:val="en-US" w:eastAsia="zh-CN"/>
              </w:rPr>
              <w:t>直接控股</w:t>
            </w:r>
            <w:r>
              <w:rPr>
                <w:rFonts w:hint="eastAsia" w:ascii="宋体" w:hAnsi="宋体" w:eastAsia="宋体" w:cs="宋体"/>
                <w:b/>
                <w:bCs/>
                <w:color w:val="auto"/>
                <w:spacing w:val="10"/>
                <w:kern w:val="0"/>
                <w:sz w:val="24"/>
                <w:szCs w:val="24"/>
                <w:highlight w:val="none"/>
              </w:rPr>
              <w:t>股东名称</w:t>
            </w:r>
          </w:p>
        </w:tc>
        <w:tc>
          <w:tcPr>
            <w:tcW w:w="1253" w:type="dxa"/>
            <w:noWrap w:val="0"/>
            <w:vAlign w:val="top"/>
          </w:tcPr>
          <w:p w14:paraId="3BFC9979">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出资比例</w:t>
            </w:r>
          </w:p>
        </w:tc>
        <w:tc>
          <w:tcPr>
            <w:tcW w:w="3702" w:type="dxa"/>
            <w:noWrap w:val="0"/>
            <w:vAlign w:val="top"/>
          </w:tcPr>
          <w:p w14:paraId="6C89E8E7">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 w:val="24"/>
                <w:szCs w:val="24"/>
                <w:highlight w:val="none"/>
              </w:rPr>
            </w:pPr>
            <w:r>
              <w:rPr>
                <w:rFonts w:hint="eastAsia" w:ascii="宋体" w:hAnsi="宋体" w:eastAsia="宋体" w:cs="宋体"/>
                <w:b/>
                <w:bCs/>
                <w:color w:val="auto"/>
                <w:spacing w:val="10"/>
                <w:kern w:val="0"/>
                <w:sz w:val="24"/>
                <w:szCs w:val="24"/>
                <w:highlight w:val="none"/>
              </w:rPr>
              <w:t>身份证号码（或</w:t>
            </w:r>
            <w:r>
              <w:rPr>
                <w:rFonts w:hint="eastAsia" w:ascii="宋体" w:hAnsi="宋体" w:eastAsia="宋体" w:cs="宋体"/>
                <w:b/>
                <w:bCs/>
                <w:color w:val="auto"/>
                <w:spacing w:val="10"/>
                <w:kern w:val="0"/>
                <w:sz w:val="24"/>
                <w:szCs w:val="24"/>
                <w:highlight w:val="none"/>
                <w:lang w:val="en-US" w:eastAsia="zh-CN"/>
              </w:rPr>
              <w:t>统一社会信用代码</w:t>
            </w:r>
            <w:r>
              <w:rPr>
                <w:rFonts w:hint="eastAsia" w:ascii="宋体" w:hAnsi="宋体" w:eastAsia="宋体" w:cs="宋体"/>
                <w:b/>
                <w:bCs/>
                <w:color w:val="auto"/>
                <w:spacing w:val="10"/>
                <w:kern w:val="0"/>
                <w:sz w:val="24"/>
                <w:szCs w:val="24"/>
                <w:highlight w:val="none"/>
              </w:rPr>
              <w:t>）</w:t>
            </w:r>
          </w:p>
        </w:tc>
        <w:tc>
          <w:tcPr>
            <w:tcW w:w="812" w:type="dxa"/>
            <w:noWrap w:val="0"/>
            <w:vAlign w:val="top"/>
          </w:tcPr>
          <w:p w14:paraId="4633949F">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16BA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01" w:type="dxa"/>
            <w:noWrap w:val="0"/>
            <w:vAlign w:val="top"/>
          </w:tcPr>
          <w:p w14:paraId="23CC9FF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 w:val="24"/>
                <w:szCs w:val="24"/>
                <w:highlight w:val="none"/>
              </w:rPr>
            </w:pPr>
            <w:r>
              <w:rPr>
                <w:rFonts w:hint="eastAsia" w:ascii="宋体" w:hAnsi="宋体" w:eastAsia="宋体" w:cs="宋体"/>
                <w:bCs/>
                <w:color w:val="auto"/>
                <w:spacing w:val="10"/>
                <w:kern w:val="0"/>
                <w:sz w:val="24"/>
                <w:szCs w:val="24"/>
                <w:highlight w:val="none"/>
              </w:rPr>
              <w:t>1</w:t>
            </w:r>
          </w:p>
        </w:tc>
        <w:tc>
          <w:tcPr>
            <w:tcW w:w="2249" w:type="dxa"/>
            <w:noWrap w:val="0"/>
            <w:vAlign w:val="top"/>
          </w:tcPr>
          <w:p w14:paraId="657F50C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1253" w:type="dxa"/>
            <w:noWrap w:val="0"/>
            <w:vAlign w:val="top"/>
          </w:tcPr>
          <w:p w14:paraId="16026D7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3702" w:type="dxa"/>
            <w:noWrap w:val="0"/>
            <w:vAlign w:val="top"/>
          </w:tcPr>
          <w:p w14:paraId="66BE013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812" w:type="dxa"/>
            <w:noWrap w:val="0"/>
            <w:vAlign w:val="top"/>
          </w:tcPr>
          <w:p w14:paraId="6A8B8F1D">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r>
      <w:tr w14:paraId="2B15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01" w:type="dxa"/>
            <w:noWrap w:val="0"/>
            <w:vAlign w:val="top"/>
          </w:tcPr>
          <w:p w14:paraId="01CC7695">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 w:val="24"/>
                <w:szCs w:val="24"/>
                <w:highlight w:val="none"/>
              </w:rPr>
            </w:pPr>
            <w:r>
              <w:rPr>
                <w:rFonts w:hint="eastAsia" w:ascii="宋体" w:hAnsi="宋体" w:eastAsia="宋体" w:cs="宋体"/>
                <w:bCs/>
                <w:color w:val="auto"/>
                <w:spacing w:val="10"/>
                <w:kern w:val="0"/>
                <w:sz w:val="24"/>
                <w:szCs w:val="24"/>
                <w:highlight w:val="none"/>
              </w:rPr>
              <w:t>2</w:t>
            </w:r>
          </w:p>
        </w:tc>
        <w:tc>
          <w:tcPr>
            <w:tcW w:w="2249" w:type="dxa"/>
            <w:noWrap w:val="0"/>
            <w:vAlign w:val="top"/>
          </w:tcPr>
          <w:p w14:paraId="27BD229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1253" w:type="dxa"/>
            <w:noWrap w:val="0"/>
            <w:vAlign w:val="top"/>
          </w:tcPr>
          <w:p w14:paraId="3F55357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3702" w:type="dxa"/>
            <w:noWrap w:val="0"/>
            <w:vAlign w:val="top"/>
          </w:tcPr>
          <w:p w14:paraId="6BD0F5A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812" w:type="dxa"/>
            <w:noWrap w:val="0"/>
            <w:vAlign w:val="top"/>
          </w:tcPr>
          <w:p w14:paraId="7D4060F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r>
      <w:tr w14:paraId="3A14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01" w:type="dxa"/>
            <w:noWrap w:val="0"/>
            <w:vAlign w:val="top"/>
          </w:tcPr>
          <w:p w14:paraId="7CD4B58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 w:val="24"/>
                <w:szCs w:val="24"/>
                <w:highlight w:val="none"/>
                <w:lang w:val="en-US" w:eastAsia="zh-CN"/>
              </w:rPr>
            </w:pPr>
            <w:r>
              <w:rPr>
                <w:rFonts w:hint="eastAsia" w:ascii="宋体" w:hAnsi="宋体" w:eastAsia="宋体" w:cs="宋体"/>
                <w:bCs/>
                <w:color w:val="auto"/>
                <w:spacing w:val="10"/>
                <w:kern w:val="0"/>
                <w:sz w:val="24"/>
                <w:szCs w:val="24"/>
                <w:highlight w:val="none"/>
                <w:lang w:val="en-US" w:eastAsia="zh-CN"/>
              </w:rPr>
              <w:t>3</w:t>
            </w:r>
          </w:p>
        </w:tc>
        <w:tc>
          <w:tcPr>
            <w:tcW w:w="2249" w:type="dxa"/>
            <w:noWrap w:val="0"/>
            <w:vAlign w:val="top"/>
          </w:tcPr>
          <w:p w14:paraId="4FF44C4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1253" w:type="dxa"/>
            <w:noWrap w:val="0"/>
            <w:vAlign w:val="top"/>
          </w:tcPr>
          <w:p w14:paraId="190298E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3702" w:type="dxa"/>
            <w:noWrap w:val="0"/>
            <w:vAlign w:val="top"/>
          </w:tcPr>
          <w:p w14:paraId="3964B3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812" w:type="dxa"/>
            <w:noWrap w:val="0"/>
            <w:vAlign w:val="top"/>
          </w:tcPr>
          <w:p w14:paraId="60386646">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r>
      <w:tr w14:paraId="3D63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01" w:type="dxa"/>
            <w:noWrap w:val="0"/>
            <w:vAlign w:val="top"/>
          </w:tcPr>
          <w:p w14:paraId="64CA08D2">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 w:val="24"/>
                <w:szCs w:val="24"/>
                <w:highlight w:val="none"/>
                <w:lang w:val="en-US" w:eastAsia="zh-CN"/>
              </w:rPr>
            </w:pPr>
            <w:r>
              <w:rPr>
                <w:rFonts w:hint="eastAsia" w:ascii="宋体" w:hAnsi="宋体" w:eastAsia="宋体" w:cs="宋体"/>
                <w:bCs/>
                <w:color w:val="auto"/>
                <w:spacing w:val="10"/>
                <w:kern w:val="0"/>
                <w:sz w:val="24"/>
                <w:szCs w:val="24"/>
                <w:highlight w:val="none"/>
                <w:lang w:val="en-US" w:eastAsia="zh-CN"/>
              </w:rPr>
              <w:t>.....</w:t>
            </w:r>
          </w:p>
        </w:tc>
        <w:tc>
          <w:tcPr>
            <w:tcW w:w="2249" w:type="dxa"/>
            <w:noWrap w:val="0"/>
            <w:vAlign w:val="top"/>
          </w:tcPr>
          <w:p w14:paraId="017E07F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1253" w:type="dxa"/>
            <w:noWrap w:val="0"/>
            <w:vAlign w:val="top"/>
          </w:tcPr>
          <w:p w14:paraId="11DCE4C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3702" w:type="dxa"/>
            <w:noWrap w:val="0"/>
            <w:vAlign w:val="top"/>
          </w:tcPr>
          <w:p w14:paraId="1EC77C0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812" w:type="dxa"/>
            <w:noWrap w:val="0"/>
            <w:vAlign w:val="top"/>
          </w:tcPr>
          <w:p w14:paraId="6332A816">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r>
    </w:tbl>
    <w:p w14:paraId="222DE95E">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说明：</w:t>
      </w:r>
    </w:p>
    <w:p w14:paraId="659B5CB2">
      <w:pPr>
        <w:keepNext w:val="0"/>
        <w:keepLines w:val="0"/>
        <w:pageBreakBefore w:val="0"/>
        <w:widowControl w:val="0"/>
        <w:kinsoku/>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直接控股股东：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31A014A3">
      <w:pPr>
        <w:keepNext w:val="0"/>
        <w:keepLines w:val="0"/>
        <w:pageBreakBefore w:val="0"/>
        <w:widowControl w:val="0"/>
        <w:kinsoku/>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2.本表所指的控股关系仅限于直接控股关系，不包括间接的控股关系。公司实际控制人与公司之间的关系不属于本表所指的直接控股关系。</w:t>
      </w:r>
    </w:p>
    <w:p w14:paraId="6B335151">
      <w:pPr>
        <w:keepNext w:val="0"/>
        <w:keepLines w:val="0"/>
        <w:pageBreakBefore w:val="0"/>
        <w:widowControl w:val="0"/>
        <w:kinsoku/>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3.各股东名称必须与《国家企业信用信息公示系统》（网址：http://www.gsxt.gov.cn/index.html）</w:t>
      </w:r>
      <w:r>
        <w:rPr>
          <w:rFonts w:hint="eastAsia" w:ascii="宋体" w:hAnsi="宋体" w:eastAsia="宋体" w:cs="宋体"/>
          <w:b w:val="0"/>
          <w:bCs w:val="0"/>
          <w:color w:val="auto"/>
          <w:sz w:val="24"/>
          <w:szCs w:val="24"/>
          <w:highlight w:val="none"/>
          <w:lang w:val="en-US" w:eastAsia="zh-CN"/>
        </w:rPr>
        <w:fldChar w:fldCharType="begin"/>
      </w:r>
      <w:r>
        <w:rPr>
          <w:rFonts w:hint="eastAsia" w:ascii="宋体" w:hAnsi="宋体" w:eastAsia="宋体" w:cs="宋体"/>
          <w:b w:val="0"/>
          <w:bCs w:val="0"/>
          <w:color w:val="auto"/>
          <w:sz w:val="24"/>
          <w:szCs w:val="24"/>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4"/>
          <w:szCs w:val="24"/>
          <w:highlight w:val="none"/>
          <w:lang w:val="en-US" w:eastAsia="zh-CN"/>
        </w:rPr>
        <w:fldChar w:fldCharType="separate"/>
      </w:r>
      <w:r>
        <w:rPr>
          <w:rFonts w:hint="eastAsia" w:ascii="宋体" w:hAnsi="宋体" w:eastAsia="宋体" w:cs="宋体"/>
          <w:b w:val="0"/>
          <w:bCs w:val="0"/>
          <w:color w:val="auto"/>
          <w:sz w:val="24"/>
          <w:szCs w:val="24"/>
          <w:highlight w:val="none"/>
          <w:lang w:val="en-US" w:eastAsia="zh-CN"/>
        </w:rPr>
        <w:t>“股东及出资信息”的信息相符，否则投标文件作无效处理。</w:t>
      </w:r>
      <w:r>
        <w:rPr>
          <w:rFonts w:hint="eastAsia" w:ascii="宋体" w:hAnsi="宋体" w:eastAsia="宋体" w:cs="宋体"/>
          <w:b w:val="0"/>
          <w:bCs w:val="0"/>
          <w:color w:val="auto"/>
          <w:sz w:val="24"/>
          <w:szCs w:val="24"/>
          <w:highlight w:val="none"/>
          <w:lang w:val="en-US" w:eastAsia="zh-CN"/>
        </w:rPr>
        <w:fldChar w:fldCharType="end"/>
      </w:r>
    </w:p>
    <w:p w14:paraId="2DB0224D">
      <w:pPr>
        <w:keepNext w:val="0"/>
        <w:keepLines w:val="0"/>
        <w:pageBreakBefore w:val="0"/>
        <w:widowControl w:val="0"/>
        <w:kinsoku/>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4.投标人</w:t>
      </w:r>
      <w:r>
        <w:rPr>
          <w:rFonts w:hint="eastAsia" w:ascii="宋体" w:hAnsi="宋体" w:eastAsia="宋体" w:cs="宋体"/>
          <w:b w:val="0"/>
          <w:bCs w:val="0"/>
          <w:color w:val="auto"/>
          <w:sz w:val="24"/>
          <w:szCs w:val="24"/>
          <w:highlight w:val="none"/>
        </w:rPr>
        <w:t>如为事业单位、其他团体组织、个人的，不需要提供本表。</w:t>
      </w:r>
    </w:p>
    <w:p w14:paraId="36013429">
      <w:pPr>
        <w:keepNext w:val="0"/>
        <w:keepLines w:val="0"/>
        <w:pageBreakBefore w:val="0"/>
        <w:widowControl w:val="0"/>
        <w:kinsoku/>
        <w:overflowPunct/>
        <w:topLinePunct w:val="0"/>
        <w:autoSpaceDE/>
        <w:autoSpaceDN/>
        <w:bidi w:val="0"/>
        <w:adjustRightInd/>
        <w:snapToGrid w:val="0"/>
        <w:spacing w:line="4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5.投标人</w:t>
      </w:r>
      <w:r>
        <w:rPr>
          <w:rFonts w:hint="eastAsia" w:ascii="宋体" w:hAnsi="宋体" w:eastAsia="宋体" w:cs="宋体"/>
          <w:b w:val="0"/>
          <w:bCs w:val="0"/>
          <w:color w:val="auto"/>
          <w:sz w:val="24"/>
          <w:szCs w:val="24"/>
          <w:highlight w:val="none"/>
        </w:rPr>
        <w:t>不存在直接控股股东的，则填“无”。</w:t>
      </w:r>
    </w:p>
    <w:p w14:paraId="15B708F6">
      <w:pPr>
        <w:jc w:val="right"/>
        <w:outlineLvl w:val="9"/>
        <w:rPr>
          <w:rFonts w:hint="eastAsia" w:ascii="宋体" w:hAnsi="宋体" w:eastAsia="宋体" w:cs="宋体"/>
          <w:b/>
          <w:bCs/>
          <w:color w:val="auto"/>
          <w:sz w:val="24"/>
          <w:szCs w:val="24"/>
          <w:highlight w:val="none"/>
          <w:lang w:val="en-US" w:eastAsia="zh-CN"/>
        </w:rPr>
      </w:pPr>
    </w:p>
    <w:p w14:paraId="0D77569C">
      <w:pPr>
        <w:jc w:val="right"/>
        <w:outlineLvl w:val="9"/>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投标人名称</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电子公章</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w:t>
      </w:r>
    </w:p>
    <w:p w14:paraId="39028912">
      <w:pPr>
        <w:spacing w:line="360" w:lineRule="auto"/>
        <w:rPr>
          <w:rFonts w:ascii="宋体" w:hAnsi="宋体"/>
          <w:color w:val="auto"/>
          <w:szCs w:val="21"/>
          <w:highlight w:val="none"/>
        </w:rPr>
      </w:pPr>
    </w:p>
    <w:p w14:paraId="0D62B01E">
      <w:pPr>
        <w:spacing w:line="240" w:lineRule="auto"/>
        <w:ind w:left="0" w:firstLine="0"/>
        <w:rPr>
          <w:rFonts w:hint="eastAsia" w:ascii="宋体" w:hAnsi="宋体"/>
          <w:b/>
          <w:color w:val="auto"/>
          <w:sz w:val="24"/>
          <w:highlight w:val="none"/>
        </w:rPr>
      </w:pPr>
      <w:r>
        <w:rPr>
          <w:rFonts w:hint="eastAsia" w:ascii="宋体" w:hAnsi="宋体"/>
          <w:b/>
          <w:color w:val="auto"/>
          <w:sz w:val="24"/>
          <w:highlight w:val="none"/>
        </w:rPr>
        <w:br w:type="page"/>
      </w:r>
    </w:p>
    <w:p w14:paraId="18627642">
      <w:pPr>
        <w:widowControl/>
        <w:spacing w:line="360" w:lineRule="auto"/>
        <w:ind w:left="150"/>
        <w:jc w:val="both"/>
        <w:rPr>
          <w:rFonts w:hint="eastAsia" w:ascii="宋体" w:hAnsi="宋体" w:eastAsia="宋体" w:cs="宋体"/>
          <w:b/>
          <w:color w:val="auto"/>
          <w:kern w:val="0"/>
          <w:sz w:val="32"/>
          <w:szCs w:val="32"/>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2</w:t>
      </w:r>
    </w:p>
    <w:p w14:paraId="1B9901E0">
      <w:pPr>
        <w:keepNext w:val="0"/>
        <w:keepLines w:val="0"/>
        <w:pageBreakBefore w:val="0"/>
        <w:kinsoku/>
        <w:wordWrap/>
        <w:overflowPunct/>
        <w:topLinePunct w:val="0"/>
        <w:autoSpaceDE/>
        <w:autoSpaceDN/>
        <w:bidi w:val="0"/>
        <w:adjustRightInd w:val="0"/>
        <w:snapToGrid w:val="0"/>
        <w:spacing w:before="0" w:beforeLines="-2147483648" w:beforeAutospacing="0" w:line="360" w:lineRule="auto"/>
        <w:jc w:val="center"/>
        <w:textAlignment w:val="auto"/>
        <w:outlineLvl w:val="9"/>
        <w:rPr>
          <w:rFonts w:hint="eastAsia" w:ascii="宋体" w:hAnsi="宋体" w:eastAsia="宋体" w:cs="Times New Roman"/>
          <w:b/>
          <w:bCs w:val="0"/>
          <w:color w:val="auto"/>
          <w:sz w:val="28"/>
          <w:szCs w:val="28"/>
          <w:highlight w:val="none"/>
        </w:rPr>
      </w:pPr>
      <w:r>
        <w:rPr>
          <w:rFonts w:hint="eastAsia" w:ascii="宋体" w:hAnsi="宋体" w:eastAsia="宋体" w:cs="Times New Roman"/>
          <w:b/>
          <w:bCs w:val="0"/>
          <w:color w:val="auto"/>
          <w:sz w:val="28"/>
          <w:szCs w:val="28"/>
          <w:highlight w:val="none"/>
        </w:rPr>
        <w:t>投标人</w:t>
      </w:r>
      <w:r>
        <w:rPr>
          <w:rFonts w:hint="eastAsia" w:ascii="宋体" w:hAnsi="宋体" w:eastAsia="宋体" w:cs="Times New Roman"/>
          <w:b/>
          <w:bCs w:val="0"/>
          <w:color w:val="auto"/>
          <w:sz w:val="28"/>
          <w:szCs w:val="28"/>
          <w:highlight w:val="none"/>
          <w:lang w:val="en-US" w:eastAsia="zh-CN"/>
        </w:rPr>
        <w:t>直接管理关系</w:t>
      </w:r>
      <w:r>
        <w:rPr>
          <w:rFonts w:hint="eastAsia" w:ascii="宋体" w:hAnsi="宋体" w:eastAsia="宋体" w:cs="Times New Roman"/>
          <w:b/>
          <w:bCs w:val="0"/>
          <w:color w:val="auto"/>
          <w:sz w:val="28"/>
          <w:szCs w:val="28"/>
          <w:highlight w:val="none"/>
        </w:rPr>
        <w:t>信息表</w:t>
      </w:r>
    </w:p>
    <w:p w14:paraId="504D4DB7">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tbl>
      <w:tblPr>
        <w:tblStyle w:val="37"/>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3103"/>
        <w:gridCol w:w="2828"/>
        <w:gridCol w:w="1661"/>
      </w:tblGrid>
      <w:tr w14:paraId="12D0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6" w:type="dxa"/>
            <w:noWrap w:val="0"/>
            <w:vAlign w:val="top"/>
          </w:tcPr>
          <w:p w14:paraId="610C6826">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 w:val="24"/>
                <w:szCs w:val="24"/>
                <w:highlight w:val="none"/>
              </w:rPr>
            </w:pPr>
            <w:r>
              <w:rPr>
                <w:rFonts w:hint="eastAsia" w:ascii="宋体" w:hAnsi="宋体" w:eastAsia="宋体" w:cs="宋体"/>
                <w:b/>
                <w:bCs/>
                <w:color w:val="auto"/>
                <w:spacing w:val="10"/>
                <w:kern w:val="0"/>
                <w:sz w:val="24"/>
                <w:szCs w:val="24"/>
                <w:highlight w:val="none"/>
              </w:rPr>
              <w:t>序号</w:t>
            </w:r>
          </w:p>
        </w:tc>
        <w:tc>
          <w:tcPr>
            <w:tcW w:w="3103" w:type="dxa"/>
            <w:noWrap w:val="0"/>
            <w:vAlign w:val="top"/>
          </w:tcPr>
          <w:p w14:paraId="3FBDFC55">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 w:val="24"/>
                <w:szCs w:val="24"/>
                <w:highlight w:val="none"/>
                <w:lang w:val="en-US" w:eastAsia="zh-CN"/>
              </w:rPr>
            </w:pPr>
            <w:r>
              <w:rPr>
                <w:rFonts w:hint="eastAsia" w:ascii="宋体" w:hAnsi="宋体" w:eastAsia="宋体" w:cs="宋体"/>
                <w:b/>
                <w:bCs/>
                <w:color w:val="auto"/>
                <w:spacing w:val="10"/>
                <w:kern w:val="0"/>
                <w:sz w:val="24"/>
                <w:szCs w:val="24"/>
                <w:highlight w:val="none"/>
                <w:lang w:val="en-US" w:eastAsia="zh-CN"/>
              </w:rPr>
              <w:t>直接管理关系单位名称</w:t>
            </w:r>
          </w:p>
        </w:tc>
        <w:tc>
          <w:tcPr>
            <w:tcW w:w="2828" w:type="dxa"/>
            <w:noWrap w:val="0"/>
            <w:vAlign w:val="top"/>
          </w:tcPr>
          <w:p w14:paraId="76B78F2C">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 w:val="24"/>
                <w:szCs w:val="24"/>
                <w:highlight w:val="none"/>
              </w:rPr>
            </w:pPr>
            <w:r>
              <w:rPr>
                <w:rFonts w:hint="eastAsia" w:ascii="宋体" w:hAnsi="宋体" w:eastAsia="宋体" w:cs="宋体"/>
                <w:b/>
                <w:bCs/>
                <w:color w:val="auto"/>
                <w:spacing w:val="10"/>
                <w:kern w:val="0"/>
                <w:sz w:val="24"/>
                <w:szCs w:val="24"/>
                <w:highlight w:val="none"/>
                <w:lang w:val="en-US" w:eastAsia="zh-CN"/>
              </w:rPr>
              <w:t>统一社会信用代码</w:t>
            </w:r>
          </w:p>
        </w:tc>
        <w:tc>
          <w:tcPr>
            <w:tcW w:w="1661" w:type="dxa"/>
            <w:noWrap w:val="0"/>
            <w:vAlign w:val="top"/>
          </w:tcPr>
          <w:p w14:paraId="4CE0DA60">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2A59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6" w:type="dxa"/>
            <w:noWrap w:val="0"/>
            <w:vAlign w:val="top"/>
          </w:tcPr>
          <w:p w14:paraId="50DE19A5">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 w:val="24"/>
                <w:szCs w:val="24"/>
                <w:highlight w:val="none"/>
              </w:rPr>
            </w:pPr>
            <w:r>
              <w:rPr>
                <w:rFonts w:hint="eastAsia" w:ascii="宋体" w:hAnsi="宋体" w:eastAsia="宋体" w:cs="宋体"/>
                <w:bCs/>
                <w:color w:val="auto"/>
                <w:spacing w:val="10"/>
                <w:kern w:val="0"/>
                <w:sz w:val="24"/>
                <w:szCs w:val="24"/>
                <w:highlight w:val="none"/>
              </w:rPr>
              <w:t>1</w:t>
            </w:r>
          </w:p>
        </w:tc>
        <w:tc>
          <w:tcPr>
            <w:tcW w:w="3103" w:type="dxa"/>
            <w:noWrap w:val="0"/>
            <w:vAlign w:val="top"/>
          </w:tcPr>
          <w:p w14:paraId="4BE3300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2828" w:type="dxa"/>
            <w:noWrap w:val="0"/>
            <w:vAlign w:val="top"/>
          </w:tcPr>
          <w:p w14:paraId="54069D3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1661" w:type="dxa"/>
            <w:noWrap w:val="0"/>
            <w:vAlign w:val="top"/>
          </w:tcPr>
          <w:p w14:paraId="4387F5D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r>
      <w:tr w14:paraId="493BA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6" w:type="dxa"/>
            <w:noWrap w:val="0"/>
            <w:vAlign w:val="top"/>
          </w:tcPr>
          <w:p w14:paraId="47F05887">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 w:val="24"/>
                <w:szCs w:val="24"/>
                <w:highlight w:val="none"/>
              </w:rPr>
            </w:pPr>
            <w:r>
              <w:rPr>
                <w:rFonts w:hint="eastAsia" w:ascii="宋体" w:hAnsi="宋体" w:eastAsia="宋体" w:cs="宋体"/>
                <w:bCs/>
                <w:color w:val="auto"/>
                <w:spacing w:val="10"/>
                <w:kern w:val="0"/>
                <w:sz w:val="24"/>
                <w:szCs w:val="24"/>
                <w:highlight w:val="none"/>
              </w:rPr>
              <w:t>2</w:t>
            </w:r>
          </w:p>
        </w:tc>
        <w:tc>
          <w:tcPr>
            <w:tcW w:w="3103" w:type="dxa"/>
            <w:noWrap w:val="0"/>
            <w:vAlign w:val="top"/>
          </w:tcPr>
          <w:p w14:paraId="76085EF0">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2828" w:type="dxa"/>
            <w:noWrap w:val="0"/>
            <w:vAlign w:val="top"/>
          </w:tcPr>
          <w:p w14:paraId="7F7FFF8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1661" w:type="dxa"/>
            <w:noWrap w:val="0"/>
            <w:vAlign w:val="top"/>
          </w:tcPr>
          <w:p w14:paraId="56AEF3F6">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r>
      <w:tr w14:paraId="60723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086" w:type="dxa"/>
            <w:noWrap w:val="0"/>
            <w:vAlign w:val="top"/>
          </w:tcPr>
          <w:p w14:paraId="724A6FA5">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 w:val="24"/>
                <w:szCs w:val="24"/>
                <w:highlight w:val="none"/>
                <w:lang w:val="en-US" w:eastAsia="zh-CN"/>
              </w:rPr>
            </w:pPr>
            <w:r>
              <w:rPr>
                <w:rFonts w:hint="eastAsia" w:ascii="宋体" w:hAnsi="宋体" w:eastAsia="宋体" w:cs="宋体"/>
                <w:bCs/>
                <w:color w:val="auto"/>
                <w:spacing w:val="10"/>
                <w:kern w:val="0"/>
                <w:sz w:val="24"/>
                <w:szCs w:val="24"/>
                <w:highlight w:val="none"/>
                <w:lang w:val="en-US" w:eastAsia="zh-CN"/>
              </w:rPr>
              <w:t>.....</w:t>
            </w:r>
          </w:p>
        </w:tc>
        <w:tc>
          <w:tcPr>
            <w:tcW w:w="3103" w:type="dxa"/>
            <w:noWrap w:val="0"/>
            <w:vAlign w:val="top"/>
          </w:tcPr>
          <w:p w14:paraId="2CE4A28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2828" w:type="dxa"/>
            <w:noWrap w:val="0"/>
            <w:vAlign w:val="top"/>
          </w:tcPr>
          <w:p w14:paraId="51F65B41">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c>
          <w:tcPr>
            <w:tcW w:w="1661" w:type="dxa"/>
            <w:noWrap w:val="0"/>
            <w:vAlign w:val="top"/>
          </w:tcPr>
          <w:p w14:paraId="02F4E89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 w:val="24"/>
                <w:szCs w:val="24"/>
                <w:highlight w:val="none"/>
              </w:rPr>
            </w:pPr>
          </w:p>
        </w:tc>
      </w:tr>
    </w:tbl>
    <w:p w14:paraId="32A39A22">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说明：</w:t>
      </w:r>
    </w:p>
    <w:p w14:paraId="3C9AC4B4">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lang w:val="en-US" w:eastAsia="zh-CN"/>
        </w:rPr>
        <w:t>管理关系：是指不具有出资持股关系的其他单位之间的管理与被管理关系。</w:t>
      </w:r>
    </w:p>
    <w:p w14:paraId="27EF293C">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lang w:val="en-US" w:eastAsia="zh-CN"/>
        </w:rPr>
        <w:t>本表所指的管理关系仅限于直接管理关系，不包含间接的管理关系。</w:t>
      </w:r>
    </w:p>
    <w:p w14:paraId="698589B4">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3.供应商不存在直接管理关系的，则在“直接管理关系单位名称”填“无”。</w:t>
      </w:r>
    </w:p>
    <w:p w14:paraId="505CD193">
      <w:pPr>
        <w:pStyle w:val="33"/>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4"/>
          <w:szCs w:val="24"/>
          <w:highlight w:val="none"/>
        </w:rPr>
      </w:pPr>
    </w:p>
    <w:p w14:paraId="49B2EB1B">
      <w:pPr>
        <w:bidi w:val="0"/>
        <w:jc w:val="right"/>
        <w:rPr>
          <w:rFonts w:hint="eastAsia" w:ascii="宋体" w:hAnsi="宋体" w:eastAsia="宋体" w:cs="宋体"/>
          <w:b/>
          <w:bCs/>
          <w:color w:val="auto"/>
          <w:sz w:val="24"/>
          <w:highlight w:val="none"/>
          <w:lang w:val="en-US" w:eastAsia="zh-CN"/>
        </w:rPr>
      </w:pPr>
    </w:p>
    <w:p w14:paraId="57C170BC">
      <w:pPr>
        <w:bidi w:val="0"/>
        <w:jc w:val="righ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投标人名称</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电子公章</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eastAsia="zh-CN"/>
        </w:rPr>
        <w:t>：</w:t>
      </w:r>
    </w:p>
    <w:p w14:paraId="66E265B0">
      <w:pPr>
        <w:rPr>
          <w:rFonts w:hint="eastAsia" w:ascii="宋体" w:hAnsi="宋体" w:eastAsia="宋体" w:cs="宋体"/>
          <w:color w:val="auto"/>
          <w:highlight w:val="none"/>
        </w:rPr>
      </w:pPr>
    </w:p>
    <w:p w14:paraId="336CABF3">
      <w:pPr>
        <w:spacing w:line="240" w:lineRule="auto"/>
        <w:ind w:left="0" w:firstLine="0"/>
        <w:rPr>
          <w:rFonts w:hint="eastAsia" w:ascii="宋体" w:hAnsi="宋体"/>
          <w:b/>
          <w:color w:val="auto"/>
          <w:sz w:val="24"/>
          <w:highlight w:val="none"/>
        </w:rPr>
      </w:pPr>
      <w:r>
        <w:rPr>
          <w:rFonts w:hint="eastAsia" w:ascii="宋体" w:hAnsi="宋体"/>
          <w:b/>
          <w:color w:val="auto"/>
          <w:sz w:val="24"/>
          <w:highlight w:val="none"/>
        </w:rPr>
        <w:br w:type="page"/>
      </w:r>
    </w:p>
    <w:p w14:paraId="5ED1AD02">
      <w:pPr>
        <w:spacing w:line="360" w:lineRule="auto"/>
        <w:ind w:left="420" w:hanging="420"/>
        <w:rPr>
          <w:rFonts w:hint="eastAsia" w:ascii="宋体" w:hAnsi="宋体" w:eastAsia="宋体"/>
          <w:b/>
          <w:color w:val="auto"/>
          <w:sz w:val="24"/>
          <w:highlight w:val="none"/>
          <w:lang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3</w:t>
      </w:r>
    </w:p>
    <w:p w14:paraId="4BD37559">
      <w:pPr>
        <w:adjustRightInd w:val="0"/>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北海市政府采购供应商信用承诺函（格式）</w:t>
      </w:r>
    </w:p>
    <w:p w14:paraId="47133FC7">
      <w:pPr>
        <w:widowControl/>
        <w:spacing w:line="360" w:lineRule="auto"/>
        <w:ind w:firstLine="480" w:firstLineChars="200"/>
        <w:jc w:val="left"/>
        <w:rPr>
          <w:rFonts w:ascii="宋体" w:hAnsi="宋体" w:cs="宋体"/>
          <w:color w:val="auto"/>
          <w:kern w:val="0"/>
          <w:sz w:val="24"/>
          <w:highlight w:val="none"/>
        </w:rPr>
      </w:pPr>
    </w:p>
    <w:p w14:paraId="03DE0EE2">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（采购人）、（采购代理机构）：</w:t>
      </w:r>
    </w:p>
    <w:p w14:paraId="30794EE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040F18A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75C2ABD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578715B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51278E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31B693AD">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0F6CF67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701C8F7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74D735A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1A78557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223D5405">
      <w:pPr>
        <w:widowControl/>
        <w:spacing w:line="360" w:lineRule="auto"/>
        <w:ind w:firstLine="480" w:firstLineChars="200"/>
        <w:jc w:val="left"/>
        <w:rPr>
          <w:rFonts w:ascii="宋体" w:hAnsi="宋体" w:cs="宋体"/>
          <w:color w:val="auto"/>
          <w:kern w:val="0"/>
          <w:sz w:val="24"/>
          <w:highlight w:val="none"/>
        </w:rPr>
      </w:pPr>
    </w:p>
    <w:p w14:paraId="47A72634">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11DC89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B6D3180">
      <w:pPr>
        <w:adjustRightInd w:val="0"/>
        <w:snapToGrid w:val="0"/>
        <w:spacing w:line="360" w:lineRule="auto"/>
        <w:ind w:firstLine="360" w:firstLineChars="150"/>
        <w:jc w:val="left"/>
        <w:rPr>
          <w:rFonts w:ascii="宋体" w:hAnsi="宋体"/>
          <w:color w:val="auto"/>
          <w:szCs w:val="21"/>
          <w:highlight w:val="none"/>
          <w:u w:val="single"/>
        </w:rPr>
      </w:pPr>
      <w:r>
        <w:rPr>
          <w:rFonts w:hint="eastAsia" w:ascii="宋体" w:hAnsi="宋体"/>
          <w:color w:val="auto"/>
          <w:sz w:val="24"/>
          <w:highlight w:val="none"/>
        </w:rPr>
        <w:t xml:space="preserve">     日期：  年   月   日</w:t>
      </w:r>
      <w:r>
        <w:rPr>
          <w:rFonts w:hint="eastAsia" w:ascii="宋体" w:hAnsi="宋体"/>
          <w:color w:val="auto"/>
          <w:sz w:val="24"/>
          <w:highlight w:val="none"/>
          <w:u w:val="single"/>
        </w:rPr>
        <w:t xml:space="preserve">                           </w:t>
      </w:r>
      <w:r>
        <w:rPr>
          <w:rFonts w:hint="eastAsia" w:ascii="宋体" w:hAnsi="宋体"/>
          <w:color w:val="auto"/>
          <w:szCs w:val="21"/>
          <w:highlight w:val="none"/>
          <w:u w:val="single"/>
        </w:rPr>
        <w:t xml:space="preserve">    </w:t>
      </w:r>
    </w:p>
    <w:p w14:paraId="1FBD4CE1">
      <w:pPr>
        <w:adjustRightInd w:val="0"/>
        <w:snapToGrid w:val="0"/>
        <w:spacing w:line="360" w:lineRule="auto"/>
        <w:ind w:firstLine="315" w:firstLineChars="150"/>
        <w:jc w:val="left"/>
        <w:rPr>
          <w:rFonts w:ascii="宋体" w:hAnsi="宋体"/>
          <w:color w:val="auto"/>
          <w:szCs w:val="21"/>
          <w:highlight w:val="none"/>
          <w:u w:val="single"/>
        </w:rPr>
      </w:pPr>
    </w:p>
    <w:p w14:paraId="5197923A">
      <w:pPr>
        <w:adjustRightInd w:val="0"/>
        <w:snapToGrid w:val="0"/>
        <w:spacing w:line="360"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w:t>
      </w:r>
    </w:p>
    <w:p w14:paraId="79D0878E">
      <w:pPr>
        <w:adjustRightInd w:val="0"/>
        <w:snapToGrid w:val="0"/>
        <w:spacing w:line="360" w:lineRule="auto"/>
        <w:ind w:firstLine="360" w:firstLineChars="150"/>
        <w:jc w:val="left"/>
        <w:rPr>
          <w:rFonts w:ascii="宋体" w:hAnsi="宋体"/>
          <w:b/>
          <w:color w:val="auto"/>
          <w:highlight w:val="none"/>
        </w:rPr>
      </w:pP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rPr>
        <w:t>供应商须在响应文件中按此模板提供承诺函，未提供视为未实质性响应采购文件要求，按无效响应处理。</w:t>
      </w:r>
    </w:p>
    <w:p w14:paraId="7A354041">
      <w:pPr>
        <w:adjustRightInd w:val="0"/>
        <w:snapToGrid w:val="0"/>
        <w:spacing w:line="360" w:lineRule="auto"/>
        <w:ind w:firstLine="360" w:firstLineChars="150"/>
        <w:jc w:val="left"/>
        <w:rPr>
          <w:rFonts w:ascii="宋体" w:hAnsi="宋体"/>
          <w:b/>
          <w:color w:val="auto"/>
          <w:highlight w:val="none"/>
        </w:rPr>
        <w:sectPr>
          <w:footerReference r:id="rId6" w:type="default"/>
          <w:pgSz w:w="11907" w:h="16839"/>
          <w:pgMar w:top="1431" w:right="1272" w:bottom="1364" w:left="1418" w:header="850" w:footer="1204" w:gutter="0"/>
          <w:pgNumType w:fmt="decimal" w:start="1"/>
          <w:cols w:space="720" w:num="1"/>
          <w:docGrid w:linePitch="286" w:charSpace="0"/>
        </w:sectPr>
      </w:pPr>
      <w:r>
        <w:rPr>
          <w:rFonts w:hint="eastAsia" w:ascii="宋体" w:hAnsi="宋体" w:eastAsia="宋体" w:cs="宋体"/>
          <w:color w:val="auto"/>
          <w:kern w:val="0"/>
          <w:sz w:val="24"/>
          <w:highlight w:val="none"/>
          <w:lang w:val="en-US" w:eastAsia="zh-CN"/>
        </w:rPr>
        <w:t>2.供应商的法定代表人（其他组织的为负责人）或者授权代表的签名应真实、有效，如授权代表签名的，须提供“法定代表人（负责人）授权委托书”。</w:t>
      </w:r>
    </w:p>
    <w:p w14:paraId="76355114">
      <w:pPr>
        <w:adjustRightInd w:val="0"/>
        <w:snapToGrid w:val="0"/>
        <w:spacing w:line="360" w:lineRule="auto"/>
        <w:jc w:val="both"/>
        <w:rPr>
          <w:rFonts w:hint="eastAsia" w:ascii="宋体" w:hAnsi="宋体"/>
          <w:b/>
          <w:color w:val="auto"/>
          <w:sz w:val="24"/>
          <w:highlight w:val="none"/>
        </w:rPr>
      </w:pPr>
    </w:p>
    <w:p w14:paraId="67497B63">
      <w:pPr>
        <w:spacing w:line="360" w:lineRule="auto"/>
        <w:ind w:left="420" w:hanging="420"/>
        <w:rPr>
          <w:rFonts w:hint="eastAsia" w:ascii="宋体" w:hAnsi="宋体" w:eastAsia="宋体"/>
          <w:b/>
          <w:color w:val="auto"/>
          <w:sz w:val="24"/>
          <w:highlight w:val="none"/>
        </w:rPr>
      </w:pPr>
      <w:r>
        <w:rPr>
          <w:rFonts w:hint="default" w:ascii="宋体" w:hAnsi="宋体" w:eastAsia="宋体"/>
          <w:b/>
          <w:color w:val="auto"/>
          <w:sz w:val="24"/>
          <w:highlight w:val="none"/>
          <w:lang w:val="en-US" w:eastAsia="zh-CN"/>
        </w:rPr>
        <w:t>1.1</w:t>
      </w:r>
      <w:r>
        <w:rPr>
          <w:rFonts w:hint="eastAsia" w:ascii="宋体" w:hAnsi="宋体" w:eastAsia="宋体"/>
          <w:b/>
          <w:color w:val="auto"/>
          <w:sz w:val="24"/>
          <w:highlight w:val="none"/>
          <w:lang w:val="en-US" w:eastAsia="zh-CN"/>
        </w:rPr>
        <w:t>法定代表人（负责人）授权委托书（信用承诺函由授权代表签名时，必须提供）</w:t>
      </w:r>
    </w:p>
    <w:p w14:paraId="0A335B9D">
      <w:pPr>
        <w:adjustRightInd w:val="0"/>
        <w:snapToGrid w:val="0"/>
        <w:spacing w:line="360" w:lineRule="auto"/>
        <w:jc w:val="center"/>
        <w:rPr>
          <w:rFonts w:hint="eastAsia" w:ascii="宋体" w:hAnsi="宋体"/>
          <w:b/>
          <w:color w:val="auto"/>
          <w:sz w:val="24"/>
          <w:highlight w:val="none"/>
        </w:rPr>
      </w:pPr>
    </w:p>
    <w:p w14:paraId="5EF8D538">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28"/>
          <w:szCs w:val="28"/>
          <w:highlight w:val="none"/>
        </w:rPr>
        <w:t>法定代表人（负责人）授权委托书</w:t>
      </w:r>
    </w:p>
    <w:p w14:paraId="02DE94A8">
      <w:pPr>
        <w:adjustRightInd w:val="0"/>
        <w:snapToGrid w:val="0"/>
        <w:spacing w:line="360" w:lineRule="auto"/>
        <w:rPr>
          <w:rFonts w:ascii="宋体" w:hAnsi="宋体"/>
          <w:color w:val="auto"/>
          <w:szCs w:val="21"/>
          <w:highlight w:val="none"/>
        </w:rPr>
      </w:pPr>
    </w:p>
    <w:p w14:paraId="489BBCCC">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569CFE0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327F13A5">
      <w:pPr>
        <w:spacing w:line="360" w:lineRule="auto"/>
        <w:rPr>
          <w:rFonts w:ascii="宋体" w:hAnsi="宋体"/>
          <w:color w:val="auto"/>
          <w:sz w:val="24"/>
          <w:highlight w:val="none"/>
        </w:rPr>
      </w:pPr>
    </w:p>
    <w:p w14:paraId="698636ED">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445E67BD">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1ABD632E">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05A0EF7">
      <w:pPr>
        <w:spacing w:line="360" w:lineRule="auto"/>
        <w:rPr>
          <w:rFonts w:ascii="宋体" w:hAnsi="宋体"/>
          <w:color w:val="auto"/>
          <w:sz w:val="24"/>
          <w:highlight w:val="none"/>
        </w:rPr>
      </w:pPr>
    </w:p>
    <w:p w14:paraId="62B1E03B">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4A0982B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45CB7450">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01CD4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E61EA58">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33034139">
      <w:pPr>
        <w:autoSpaceDE w:val="0"/>
        <w:autoSpaceDN w:val="0"/>
        <w:spacing w:line="360" w:lineRule="auto"/>
        <w:ind w:left="480" w:hanging="480"/>
        <w:rPr>
          <w:rFonts w:ascii="宋体" w:hAnsi="宋体"/>
          <w:color w:val="auto"/>
          <w:sz w:val="24"/>
          <w:highlight w:val="none"/>
        </w:rPr>
      </w:pPr>
    </w:p>
    <w:p w14:paraId="38B9371A">
      <w:pPr>
        <w:rPr>
          <w:rFonts w:hint="eastAsia" w:ascii="宋体" w:hAnsi="宋体"/>
          <w:b/>
          <w:color w:val="auto"/>
          <w:sz w:val="24"/>
          <w:highlight w:val="none"/>
        </w:rPr>
      </w:pPr>
    </w:p>
    <w:p w14:paraId="34B28D93">
      <w:pPr>
        <w:rPr>
          <w:rFonts w:hint="eastAsia" w:ascii="宋体" w:hAnsi="宋体"/>
          <w:b/>
          <w:color w:val="auto"/>
          <w:sz w:val="24"/>
          <w:highlight w:val="none"/>
        </w:rPr>
      </w:pPr>
      <w:r>
        <w:rPr>
          <w:rFonts w:hint="eastAsia" w:ascii="宋体" w:hAnsi="宋体"/>
          <w:b/>
          <w:color w:val="auto"/>
          <w:sz w:val="24"/>
          <w:highlight w:val="none"/>
        </w:rPr>
        <w:br w:type="page"/>
      </w:r>
    </w:p>
    <w:p w14:paraId="5F1F3FD2">
      <w:pPr>
        <w:spacing w:line="360" w:lineRule="auto"/>
        <w:ind w:left="420" w:hanging="420"/>
        <w:rPr>
          <w:rFonts w:hint="eastAsia" w:ascii="宋体" w:hAnsi="宋体" w:eastAsia="宋体"/>
          <w:b/>
          <w:color w:val="auto"/>
          <w:sz w:val="24"/>
          <w:highlight w:val="none"/>
          <w:lang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4</w:t>
      </w:r>
    </w:p>
    <w:p w14:paraId="398859F8">
      <w:pPr>
        <w:adjustRightInd w:val="0"/>
        <w:snapToGrid w:val="0"/>
        <w:spacing w:line="360" w:lineRule="auto"/>
        <w:jc w:val="center"/>
        <w:rPr>
          <w:rFonts w:ascii="宋体" w:hAnsi="宋体" w:cs="宋体"/>
          <w:b/>
          <w:bCs/>
          <w:color w:val="auto"/>
          <w:sz w:val="28"/>
          <w:szCs w:val="28"/>
          <w:highlight w:val="none"/>
        </w:rPr>
      </w:pPr>
      <w:r>
        <w:rPr>
          <w:rFonts w:hint="eastAsia" w:ascii="宋体" w:hAnsi="宋体" w:eastAsia="宋体" w:cs="Times New Roman"/>
          <w:b/>
          <w:color w:val="auto"/>
          <w:sz w:val="28"/>
          <w:szCs w:val="28"/>
          <w:highlight w:val="none"/>
        </w:rPr>
        <w:t>竞标函及竞标函附录</w:t>
      </w:r>
    </w:p>
    <w:p w14:paraId="57D3662B">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163D71A0">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60C5595B">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2725784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1FE5071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2AA6629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磋商文件的全部内容，愿意以人民币（大写）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4C3ABA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7DC7DC3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32A93F1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40EFF44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2D9867E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（3）我方承诺按照磋商文件规定向你方递交履约担保。</w:t>
      </w:r>
    </w:p>
    <w:p w14:paraId="1764D46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3449C81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0D02326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6978B88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1EF08DC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4F3CA19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3857037C">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61A53E4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2369872">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6CAF482">
      <w:pPr>
        <w:spacing w:line="360" w:lineRule="auto"/>
        <w:ind w:left="3222"/>
        <w:rPr>
          <w:rFonts w:ascii="宋体" w:hAnsi="宋体"/>
          <w:color w:val="auto"/>
          <w:sz w:val="24"/>
          <w:highlight w:val="none"/>
        </w:rPr>
      </w:pPr>
    </w:p>
    <w:p w14:paraId="1183B4C8">
      <w:pPr>
        <w:spacing w:line="360" w:lineRule="auto"/>
        <w:ind w:left="3222"/>
        <w:rPr>
          <w:rFonts w:ascii="宋体" w:hAnsi="宋体"/>
          <w:color w:val="auto"/>
          <w:sz w:val="24"/>
          <w:highlight w:val="none"/>
        </w:rPr>
      </w:pPr>
    </w:p>
    <w:p w14:paraId="09EFC909">
      <w:pPr>
        <w:spacing w:line="360" w:lineRule="auto"/>
        <w:ind w:left="3222"/>
        <w:rPr>
          <w:rFonts w:ascii="宋体" w:hAnsi="宋体"/>
          <w:color w:val="auto"/>
          <w:sz w:val="24"/>
          <w:highlight w:val="none"/>
        </w:rPr>
      </w:pPr>
    </w:p>
    <w:p w14:paraId="4949FB8D">
      <w:pPr>
        <w:spacing w:line="360" w:lineRule="auto"/>
        <w:ind w:left="3222"/>
        <w:rPr>
          <w:rFonts w:ascii="宋体" w:hAnsi="宋体" w:cs="宋体"/>
          <w:b/>
          <w:bCs/>
          <w:color w:val="auto"/>
          <w:sz w:val="31"/>
          <w:szCs w:val="31"/>
          <w:highlight w:val="none"/>
        </w:rPr>
      </w:pPr>
      <w:r>
        <w:rPr>
          <w:rFonts w:hint="eastAsia" w:ascii="宋体" w:hAnsi="宋体" w:cs="宋体"/>
          <w:b/>
          <w:bCs/>
          <w:color w:val="auto"/>
          <w:spacing w:val="-12"/>
          <w:sz w:val="28"/>
          <w:szCs w:val="28"/>
          <w:highlight w:val="none"/>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6CE1A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6E8F8A0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shd w:val="clear" w:color="auto" w:fill="auto"/>
            <w:vAlign w:val="center"/>
          </w:tcPr>
          <w:p w14:paraId="3DCF0D9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shd w:val="clear" w:color="auto" w:fill="auto"/>
            <w:vAlign w:val="center"/>
          </w:tcPr>
          <w:p w14:paraId="45282B4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shd w:val="clear" w:color="auto" w:fill="auto"/>
            <w:vAlign w:val="center"/>
          </w:tcPr>
          <w:p w14:paraId="59EE998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shd w:val="clear" w:color="auto" w:fill="auto"/>
            <w:vAlign w:val="center"/>
          </w:tcPr>
          <w:p w14:paraId="5672499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3F5A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A4C1EF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shd w:val="clear" w:color="auto" w:fill="auto"/>
            <w:vAlign w:val="center"/>
          </w:tcPr>
          <w:p w14:paraId="52CEB8A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shd w:val="clear" w:color="auto" w:fill="auto"/>
            <w:vAlign w:val="center"/>
          </w:tcPr>
          <w:p w14:paraId="5CFC7F9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7CBE310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shd w:val="clear" w:color="auto" w:fill="auto"/>
            <w:vAlign w:val="center"/>
          </w:tcPr>
          <w:p w14:paraId="7CCBA71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F307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8FD680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shd w:val="clear" w:color="auto" w:fill="auto"/>
            <w:vAlign w:val="center"/>
          </w:tcPr>
          <w:p w14:paraId="26B74DB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shd w:val="clear" w:color="auto" w:fill="auto"/>
            <w:vAlign w:val="center"/>
          </w:tcPr>
          <w:p w14:paraId="681122D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shd w:val="clear" w:color="auto" w:fill="auto"/>
            <w:vAlign w:val="center"/>
          </w:tcPr>
          <w:p w14:paraId="55ADB21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日历天</w:t>
            </w:r>
          </w:p>
        </w:tc>
        <w:tc>
          <w:tcPr>
            <w:tcW w:w="1516" w:type="dxa"/>
            <w:shd w:val="clear" w:color="auto" w:fill="auto"/>
            <w:vAlign w:val="center"/>
          </w:tcPr>
          <w:p w14:paraId="7C1A265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664C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76082D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shd w:val="clear" w:color="auto" w:fill="auto"/>
            <w:vAlign w:val="center"/>
          </w:tcPr>
          <w:p w14:paraId="4B4563A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shd w:val="clear" w:color="auto" w:fill="auto"/>
            <w:vAlign w:val="center"/>
          </w:tcPr>
          <w:p w14:paraId="4E07687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63B6163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0330183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1A329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46FCD39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shd w:val="clear" w:color="auto" w:fill="auto"/>
            <w:vAlign w:val="center"/>
          </w:tcPr>
          <w:p w14:paraId="6E2F513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shd w:val="clear" w:color="auto" w:fill="auto"/>
            <w:vAlign w:val="center"/>
          </w:tcPr>
          <w:p w14:paraId="54D5593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41C9B8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3CA65AB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67112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507E201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shd w:val="clear" w:color="auto" w:fill="auto"/>
            <w:vAlign w:val="center"/>
          </w:tcPr>
          <w:p w14:paraId="443CCA3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shd w:val="clear" w:color="auto" w:fill="auto"/>
            <w:vAlign w:val="center"/>
          </w:tcPr>
          <w:p w14:paraId="58B67BB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0E0A002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0CE7641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42916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5C383C0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shd w:val="clear" w:color="auto" w:fill="auto"/>
            <w:vAlign w:val="center"/>
          </w:tcPr>
          <w:p w14:paraId="731DD47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shd w:val="clear" w:color="auto" w:fill="auto"/>
            <w:vAlign w:val="center"/>
          </w:tcPr>
          <w:p w14:paraId="54A7C0F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8A0AE4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674453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18EC2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5C4E38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shd w:val="clear" w:color="auto" w:fill="auto"/>
            <w:vAlign w:val="center"/>
          </w:tcPr>
          <w:p w14:paraId="54A16FE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shd w:val="clear" w:color="auto" w:fill="auto"/>
            <w:vAlign w:val="center"/>
          </w:tcPr>
          <w:p w14:paraId="2ABBC26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2C56148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shd w:val="clear" w:color="auto" w:fill="auto"/>
            <w:vAlign w:val="center"/>
          </w:tcPr>
          <w:p w14:paraId="0ADC810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27E52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32A10A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shd w:val="clear" w:color="auto" w:fill="auto"/>
            <w:vAlign w:val="center"/>
          </w:tcPr>
          <w:p w14:paraId="341DE1E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shd w:val="clear" w:color="auto" w:fill="auto"/>
            <w:vAlign w:val="center"/>
          </w:tcPr>
          <w:p w14:paraId="7399864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A116CE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363C7DA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CD9C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4FE7B22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5B1629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7116130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DA3949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61D3D1F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74A87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72882A5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shd w:val="clear" w:color="auto" w:fill="auto"/>
            <w:vAlign w:val="center"/>
          </w:tcPr>
          <w:p w14:paraId="3FED656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shd w:val="clear" w:color="auto" w:fill="auto"/>
            <w:vAlign w:val="center"/>
          </w:tcPr>
          <w:p w14:paraId="798C70E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DFFF19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61AF25B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2E5A5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9D6E97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shd w:val="clear" w:color="auto" w:fill="auto"/>
            <w:vAlign w:val="center"/>
          </w:tcPr>
          <w:p w14:paraId="6E55626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shd w:val="clear" w:color="auto" w:fill="auto"/>
            <w:vAlign w:val="center"/>
          </w:tcPr>
          <w:p w14:paraId="1A33D9A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796167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4753371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5603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3F226A10">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shd w:val="clear" w:color="auto" w:fill="auto"/>
            <w:vAlign w:val="center"/>
          </w:tcPr>
          <w:p w14:paraId="57ABE06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shd w:val="clear" w:color="auto" w:fill="auto"/>
            <w:vAlign w:val="center"/>
          </w:tcPr>
          <w:p w14:paraId="092C51F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7B0D4D1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shd w:val="clear" w:color="auto" w:fill="auto"/>
            <w:vAlign w:val="center"/>
          </w:tcPr>
          <w:p w14:paraId="31D5B45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D63C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F17EB3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shd w:val="clear" w:color="auto" w:fill="auto"/>
            <w:vAlign w:val="center"/>
          </w:tcPr>
          <w:p w14:paraId="6CF1934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shd w:val="clear" w:color="auto" w:fill="auto"/>
            <w:vAlign w:val="center"/>
          </w:tcPr>
          <w:p w14:paraId="7C67019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76C091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7110FC4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3C0D2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D4ACCF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15C3070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shd w:val="clear" w:color="auto" w:fill="auto"/>
            <w:vAlign w:val="center"/>
          </w:tcPr>
          <w:p w14:paraId="6EF3F07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34F532C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shd w:val="clear" w:color="auto" w:fill="auto"/>
            <w:vAlign w:val="center"/>
          </w:tcPr>
          <w:p w14:paraId="0A8A666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2966" w:type="dxa"/>
            <w:shd w:val="clear" w:color="auto" w:fill="auto"/>
            <w:vAlign w:val="center"/>
          </w:tcPr>
          <w:p w14:paraId="3D8B4ED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5A0578C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6D47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55C80E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供应商在响应磋商文件中规定的实质性要求和条件的基础上，可做出其他有利于采购人的承诺。此类承诺可在本表中予以补充填写。</w:t>
            </w:r>
          </w:p>
        </w:tc>
      </w:tr>
    </w:tbl>
    <w:p w14:paraId="5CD7D0F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0E2A2D1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6630E5F1">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DE41FAA">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EDA66F8">
      <w:pPr>
        <w:spacing w:line="360" w:lineRule="auto"/>
        <w:jc w:val="left"/>
        <w:rPr>
          <w:rFonts w:ascii="宋体" w:hAnsi="宋体" w:cs="宋体"/>
          <w:b/>
          <w:bCs/>
          <w:color w:val="auto"/>
          <w:spacing w:val="7"/>
          <w:sz w:val="24"/>
          <w:highlight w:val="none"/>
        </w:rPr>
      </w:pPr>
    </w:p>
    <w:p w14:paraId="5CA19399">
      <w:pPr>
        <w:rPr>
          <w:rFonts w:hint="eastAsia" w:ascii="宋体" w:hAnsi="宋体" w:cs="宋体"/>
          <w:b/>
          <w:bCs/>
          <w:color w:val="auto"/>
          <w:spacing w:val="7"/>
          <w:sz w:val="24"/>
          <w:highlight w:val="none"/>
        </w:rPr>
      </w:pPr>
      <w:r>
        <w:rPr>
          <w:rFonts w:hint="eastAsia" w:ascii="宋体" w:hAnsi="宋体" w:cs="宋体"/>
          <w:b/>
          <w:bCs/>
          <w:color w:val="auto"/>
          <w:spacing w:val="7"/>
          <w:sz w:val="24"/>
          <w:highlight w:val="none"/>
        </w:rPr>
        <w:br w:type="page"/>
      </w:r>
    </w:p>
    <w:p w14:paraId="5F409657">
      <w:pPr>
        <w:spacing w:line="360" w:lineRule="auto"/>
        <w:jc w:val="left"/>
        <w:rPr>
          <w:rFonts w:hint="eastAsia" w:ascii="宋体" w:hAnsi="宋体" w:eastAsia="宋体" w:cs="宋体"/>
          <w:b/>
          <w:bCs/>
          <w:color w:val="auto"/>
          <w:spacing w:val="7"/>
          <w:sz w:val="24"/>
          <w:highlight w:val="none"/>
          <w:lang w:eastAsia="zh-CN"/>
        </w:rPr>
      </w:pPr>
      <w:r>
        <w:rPr>
          <w:rFonts w:hint="eastAsia" w:ascii="宋体" w:hAnsi="宋体" w:cs="宋体"/>
          <w:b/>
          <w:bCs/>
          <w:color w:val="auto"/>
          <w:spacing w:val="7"/>
          <w:sz w:val="24"/>
          <w:highlight w:val="none"/>
        </w:rPr>
        <w:t>附件</w:t>
      </w:r>
      <w:r>
        <w:rPr>
          <w:rFonts w:hint="eastAsia" w:ascii="宋体" w:hAnsi="宋体" w:cs="宋体"/>
          <w:b/>
          <w:bCs/>
          <w:color w:val="auto"/>
          <w:spacing w:val="7"/>
          <w:sz w:val="24"/>
          <w:highlight w:val="none"/>
          <w:lang w:val="en-US" w:eastAsia="zh-CN"/>
        </w:rPr>
        <w:t>5</w:t>
      </w:r>
    </w:p>
    <w:p w14:paraId="215E291E">
      <w:pPr>
        <w:spacing w:line="360" w:lineRule="auto"/>
        <w:ind w:left="3643"/>
        <w:rPr>
          <w:rFonts w:ascii="宋体" w:hAnsi="宋体" w:cs="宋体"/>
          <w:color w:val="auto"/>
          <w:sz w:val="31"/>
          <w:szCs w:val="31"/>
          <w:highlight w:val="none"/>
        </w:rPr>
      </w:pPr>
      <w:r>
        <w:rPr>
          <w:rFonts w:hint="eastAsia" w:ascii="宋体" w:hAnsi="宋体" w:cs="宋体"/>
          <w:b/>
          <w:bCs/>
          <w:color w:val="auto"/>
          <w:spacing w:val="7"/>
          <w:sz w:val="28"/>
          <w:szCs w:val="28"/>
          <w:highlight w:val="none"/>
        </w:rPr>
        <w:t>竞标报价表</w:t>
      </w:r>
    </w:p>
    <w:p w14:paraId="251D6C82">
      <w:pPr>
        <w:widowControl/>
        <w:kinsoku w:val="0"/>
        <w:autoSpaceDE w:val="0"/>
        <w:autoSpaceDN w:val="0"/>
        <w:adjustRightInd w:val="0"/>
        <w:snapToGrid w:val="0"/>
        <w:spacing w:line="360" w:lineRule="auto"/>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 xml:space="preserve">项目名称：                  </w:t>
      </w:r>
    </w:p>
    <w:p w14:paraId="6D9605C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项目编号：                    </w:t>
      </w:r>
    </w:p>
    <w:p w14:paraId="238F2CB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分标（如有）：             </w:t>
      </w:r>
    </w:p>
    <w:p w14:paraId="6BD0BC5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51EE1EC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元</w:t>
      </w:r>
    </w:p>
    <w:tbl>
      <w:tblPr>
        <w:tblStyle w:val="3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116"/>
        <w:gridCol w:w="1987"/>
        <w:gridCol w:w="1702"/>
      </w:tblGrid>
      <w:tr w14:paraId="47E2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100" w:type="dxa"/>
            <w:gridSpan w:val="2"/>
            <w:noWrap w:val="0"/>
            <w:vAlign w:val="center"/>
          </w:tcPr>
          <w:p w14:paraId="3149C765">
            <w:pPr>
              <w:pStyle w:val="105"/>
              <w:widowControl/>
              <w:jc w:val="center"/>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投标总价</w:t>
            </w:r>
          </w:p>
        </w:tc>
        <w:tc>
          <w:tcPr>
            <w:tcW w:w="1987" w:type="dxa"/>
            <w:noWrap w:val="0"/>
            <w:vAlign w:val="center"/>
          </w:tcPr>
          <w:p w14:paraId="498F273D">
            <w:pPr>
              <w:pStyle w:val="105"/>
              <w:widowControl/>
              <w:jc w:val="right"/>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万元</w:t>
            </w:r>
          </w:p>
        </w:tc>
        <w:tc>
          <w:tcPr>
            <w:tcW w:w="1702" w:type="dxa"/>
            <w:noWrap w:val="0"/>
            <w:vAlign w:val="center"/>
          </w:tcPr>
          <w:p w14:paraId="3E9ACC64">
            <w:pPr>
              <w:pStyle w:val="105"/>
              <w:widowControl/>
              <w:jc w:val="center"/>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备注</w:t>
            </w:r>
          </w:p>
        </w:tc>
      </w:tr>
      <w:tr w14:paraId="1566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84" w:type="dxa"/>
            <w:vMerge w:val="restart"/>
            <w:noWrap w:val="0"/>
            <w:vAlign w:val="center"/>
          </w:tcPr>
          <w:p w14:paraId="7ED56653">
            <w:pPr>
              <w:pStyle w:val="105"/>
              <w:widowControl w:val="0"/>
              <w:jc w:val="center"/>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其中</w:t>
            </w:r>
          </w:p>
        </w:tc>
        <w:tc>
          <w:tcPr>
            <w:tcW w:w="3116" w:type="dxa"/>
            <w:noWrap w:val="0"/>
            <w:vAlign w:val="center"/>
          </w:tcPr>
          <w:p w14:paraId="0C30B782">
            <w:pPr>
              <w:pStyle w:val="105"/>
              <w:widowControl w:val="0"/>
              <w:jc w:val="center"/>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安全文明施工费</w:t>
            </w:r>
          </w:p>
        </w:tc>
        <w:tc>
          <w:tcPr>
            <w:tcW w:w="1987" w:type="dxa"/>
            <w:noWrap w:val="0"/>
            <w:vAlign w:val="center"/>
          </w:tcPr>
          <w:p w14:paraId="5335BE7F">
            <w:pPr>
              <w:pStyle w:val="105"/>
              <w:widowControl w:val="0"/>
              <w:jc w:val="right"/>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万元</w:t>
            </w:r>
          </w:p>
        </w:tc>
        <w:tc>
          <w:tcPr>
            <w:tcW w:w="1702" w:type="dxa"/>
            <w:noWrap w:val="0"/>
            <w:vAlign w:val="center"/>
          </w:tcPr>
          <w:p w14:paraId="5F5331B8">
            <w:pPr>
              <w:pStyle w:val="105"/>
              <w:widowControl w:val="0"/>
              <w:jc w:val="center"/>
              <w:rPr>
                <w:rStyle w:val="39"/>
                <w:rFonts w:ascii="Times New Roman" w:hAnsi="Times New Roman" w:eastAsia="宋体" w:cs="Times New Roman"/>
                <w:color w:val="auto"/>
                <w:kern w:val="2"/>
                <w:sz w:val="24"/>
                <w:szCs w:val="24"/>
                <w:highlight w:val="none"/>
                <w:lang w:val="en-US" w:eastAsia="zh-CN" w:bidi="ar-SA"/>
              </w:rPr>
            </w:pPr>
          </w:p>
        </w:tc>
      </w:tr>
      <w:tr w14:paraId="4FC4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3EF9EAD4">
            <w:pPr>
              <w:pStyle w:val="105"/>
              <w:widowControl/>
              <w:jc w:val="center"/>
              <w:rPr>
                <w:rStyle w:val="39"/>
                <w:rFonts w:ascii="Times New Roman" w:hAnsi="Times New Roman" w:eastAsia="宋体" w:cs="Times New Roman"/>
                <w:color w:val="auto"/>
                <w:kern w:val="2"/>
                <w:sz w:val="24"/>
                <w:szCs w:val="24"/>
                <w:highlight w:val="none"/>
                <w:lang w:val="en-US" w:eastAsia="zh-CN" w:bidi="ar-SA"/>
              </w:rPr>
            </w:pPr>
          </w:p>
        </w:tc>
        <w:tc>
          <w:tcPr>
            <w:tcW w:w="3116" w:type="dxa"/>
            <w:noWrap w:val="0"/>
            <w:vAlign w:val="center"/>
          </w:tcPr>
          <w:p w14:paraId="12F318AA">
            <w:pPr>
              <w:pStyle w:val="105"/>
              <w:widowControl w:val="0"/>
              <w:jc w:val="center"/>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发包人提供材料（设备）暂估价（如有）</w:t>
            </w:r>
          </w:p>
        </w:tc>
        <w:tc>
          <w:tcPr>
            <w:tcW w:w="1987" w:type="dxa"/>
            <w:noWrap w:val="0"/>
            <w:vAlign w:val="center"/>
          </w:tcPr>
          <w:p w14:paraId="67288D83">
            <w:pPr>
              <w:pStyle w:val="105"/>
              <w:widowControl/>
              <w:jc w:val="right"/>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万元</w:t>
            </w:r>
          </w:p>
        </w:tc>
        <w:tc>
          <w:tcPr>
            <w:tcW w:w="1702" w:type="dxa"/>
            <w:noWrap w:val="0"/>
            <w:vAlign w:val="top"/>
          </w:tcPr>
          <w:p w14:paraId="600939EB">
            <w:pPr>
              <w:pStyle w:val="105"/>
              <w:widowControl/>
              <w:ind w:right="480"/>
              <w:jc w:val="both"/>
              <w:rPr>
                <w:rStyle w:val="39"/>
                <w:rFonts w:ascii="Times New Roman" w:hAnsi="Times New Roman" w:eastAsia="宋体" w:cs="Times New Roman"/>
                <w:color w:val="auto"/>
                <w:kern w:val="2"/>
                <w:sz w:val="24"/>
                <w:szCs w:val="24"/>
                <w:highlight w:val="none"/>
                <w:lang w:val="en-US" w:eastAsia="zh-CN" w:bidi="ar-SA"/>
              </w:rPr>
            </w:pPr>
          </w:p>
        </w:tc>
      </w:tr>
      <w:tr w14:paraId="51C3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84" w:type="dxa"/>
            <w:vMerge w:val="continue"/>
            <w:noWrap w:val="0"/>
            <w:vAlign w:val="center"/>
          </w:tcPr>
          <w:p w14:paraId="5C3E0859">
            <w:pPr>
              <w:pStyle w:val="105"/>
              <w:widowControl/>
              <w:jc w:val="center"/>
              <w:rPr>
                <w:rStyle w:val="39"/>
                <w:rFonts w:ascii="Times New Roman" w:hAnsi="Times New Roman" w:eastAsia="宋体" w:cs="Times New Roman"/>
                <w:color w:val="auto"/>
                <w:kern w:val="2"/>
                <w:sz w:val="24"/>
                <w:szCs w:val="24"/>
                <w:highlight w:val="none"/>
                <w:lang w:val="en-US" w:eastAsia="zh-CN" w:bidi="ar-SA"/>
              </w:rPr>
            </w:pPr>
          </w:p>
        </w:tc>
        <w:tc>
          <w:tcPr>
            <w:tcW w:w="3116" w:type="dxa"/>
            <w:noWrap w:val="0"/>
            <w:vAlign w:val="center"/>
          </w:tcPr>
          <w:p w14:paraId="752D9CB0">
            <w:pPr>
              <w:pStyle w:val="105"/>
              <w:widowControl w:val="0"/>
              <w:jc w:val="both"/>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专业工程暂估价（如有）</w:t>
            </w:r>
          </w:p>
        </w:tc>
        <w:tc>
          <w:tcPr>
            <w:tcW w:w="1987" w:type="dxa"/>
            <w:noWrap w:val="0"/>
            <w:vAlign w:val="center"/>
          </w:tcPr>
          <w:p w14:paraId="1922ED42">
            <w:pPr>
              <w:pStyle w:val="105"/>
              <w:widowControl/>
              <w:jc w:val="right"/>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万元</w:t>
            </w:r>
          </w:p>
        </w:tc>
        <w:tc>
          <w:tcPr>
            <w:tcW w:w="1702" w:type="dxa"/>
            <w:noWrap w:val="0"/>
            <w:vAlign w:val="top"/>
          </w:tcPr>
          <w:p w14:paraId="43A8DDC7">
            <w:pPr>
              <w:pStyle w:val="105"/>
              <w:widowControl/>
              <w:ind w:right="480"/>
              <w:jc w:val="both"/>
              <w:rPr>
                <w:rStyle w:val="39"/>
                <w:rFonts w:ascii="Times New Roman" w:hAnsi="Times New Roman" w:eastAsia="宋体" w:cs="Times New Roman"/>
                <w:color w:val="auto"/>
                <w:kern w:val="2"/>
                <w:sz w:val="24"/>
                <w:szCs w:val="24"/>
                <w:highlight w:val="none"/>
                <w:lang w:val="en-US" w:eastAsia="zh-CN" w:bidi="ar-SA"/>
              </w:rPr>
            </w:pPr>
          </w:p>
        </w:tc>
      </w:tr>
      <w:tr w14:paraId="79A2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84" w:type="dxa"/>
            <w:vMerge w:val="continue"/>
            <w:noWrap w:val="0"/>
            <w:vAlign w:val="center"/>
          </w:tcPr>
          <w:p w14:paraId="11D91225">
            <w:pPr>
              <w:pStyle w:val="105"/>
              <w:widowControl/>
              <w:jc w:val="center"/>
              <w:rPr>
                <w:rStyle w:val="39"/>
                <w:rFonts w:ascii="Times New Roman" w:hAnsi="Times New Roman" w:eastAsia="宋体" w:cs="Times New Roman"/>
                <w:color w:val="auto"/>
                <w:kern w:val="2"/>
                <w:sz w:val="24"/>
                <w:szCs w:val="24"/>
                <w:highlight w:val="none"/>
                <w:lang w:val="en-US" w:eastAsia="zh-CN" w:bidi="ar-SA"/>
              </w:rPr>
            </w:pPr>
          </w:p>
        </w:tc>
        <w:tc>
          <w:tcPr>
            <w:tcW w:w="3116" w:type="dxa"/>
            <w:noWrap w:val="0"/>
            <w:vAlign w:val="center"/>
          </w:tcPr>
          <w:p w14:paraId="4B69862C">
            <w:pPr>
              <w:pStyle w:val="105"/>
              <w:widowControl/>
              <w:jc w:val="both"/>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暂列金额（如有）</w:t>
            </w:r>
          </w:p>
        </w:tc>
        <w:tc>
          <w:tcPr>
            <w:tcW w:w="1987" w:type="dxa"/>
            <w:noWrap w:val="0"/>
            <w:vAlign w:val="center"/>
          </w:tcPr>
          <w:p w14:paraId="5E7DBF79">
            <w:pPr>
              <w:pStyle w:val="105"/>
              <w:widowControl/>
              <w:jc w:val="right"/>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万元</w:t>
            </w:r>
          </w:p>
        </w:tc>
        <w:tc>
          <w:tcPr>
            <w:tcW w:w="1702" w:type="dxa"/>
            <w:noWrap w:val="0"/>
            <w:vAlign w:val="top"/>
          </w:tcPr>
          <w:p w14:paraId="3952D187">
            <w:pPr>
              <w:pStyle w:val="105"/>
              <w:widowControl/>
              <w:ind w:right="480"/>
              <w:jc w:val="both"/>
              <w:rPr>
                <w:rStyle w:val="39"/>
                <w:rFonts w:ascii="Times New Roman" w:hAnsi="Times New Roman" w:eastAsia="宋体" w:cs="Times New Roman"/>
                <w:color w:val="auto"/>
                <w:kern w:val="2"/>
                <w:sz w:val="24"/>
                <w:szCs w:val="24"/>
                <w:highlight w:val="none"/>
                <w:lang w:val="en-US" w:eastAsia="zh-CN" w:bidi="ar-SA"/>
              </w:rPr>
            </w:pPr>
          </w:p>
        </w:tc>
      </w:tr>
      <w:tr w14:paraId="4525C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84" w:type="dxa"/>
            <w:vMerge w:val="restart"/>
            <w:noWrap w:val="0"/>
            <w:vAlign w:val="center"/>
          </w:tcPr>
          <w:p w14:paraId="78F1FBDB">
            <w:pPr>
              <w:pStyle w:val="105"/>
              <w:widowControl/>
              <w:jc w:val="center"/>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主要材料</w:t>
            </w:r>
          </w:p>
        </w:tc>
        <w:tc>
          <w:tcPr>
            <w:tcW w:w="3116" w:type="dxa"/>
            <w:noWrap w:val="0"/>
            <w:vAlign w:val="center"/>
          </w:tcPr>
          <w:p w14:paraId="4C38142E">
            <w:pPr>
              <w:pStyle w:val="105"/>
              <w:widowControl/>
              <w:jc w:val="center"/>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钢筋</w:t>
            </w:r>
          </w:p>
        </w:tc>
        <w:tc>
          <w:tcPr>
            <w:tcW w:w="1987" w:type="dxa"/>
            <w:noWrap w:val="0"/>
            <w:vAlign w:val="center"/>
          </w:tcPr>
          <w:p w14:paraId="40D3F6CB">
            <w:pPr>
              <w:pStyle w:val="105"/>
              <w:widowControl/>
              <w:jc w:val="right"/>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吨</w:t>
            </w:r>
          </w:p>
        </w:tc>
        <w:tc>
          <w:tcPr>
            <w:tcW w:w="1702" w:type="dxa"/>
            <w:noWrap w:val="0"/>
            <w:vAlign w:val="top"/>
          </w:tcPr>
          <w:p w14:paraId="57E2AB46">
            <w:pPr>
              <w:pStyle w:val="105"/>
              <w:widowControl/>
              <w:jc w:val="right"/>
              <w:rPr>
                <w:rStyle w:val="39"/>
                <w:rFonts w:ascii="Times New Roman" w:hAnsi="Times New Roman" w:eastAsia="宋体" w:cs="Times New Roman"/>
                <w:color w:val="auto"/>
                <w:kern w:val="2"/>
                <w:sz w:val="24"/>
                <w:szCs w:val="24"/>
                <w:highlight w:val="none"/>
                <w:lang w:val="en-US" w:eastAsia="zh-CN" w:bidi="ar-SA"/>
              </w:rPr>
            </w:pPr>
          </w:p>
        </w:tc>
      </w:tr>
      <w:tr w14:paraId="04DB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984" w:type="dxa"/>
            <w:vMerge w:val="continue"/>
            <w:noWrap w:val="0"/>
            <w:vAlign w:val="center"/>
          </w:tcPr>
          <w:p w14:paraId="65B6DE5E">
            <w:pPr>
              <w:pStyle w:val="105"/>
              <w:widowControl/>
              <w:jc w:val="center"/>
              <w:rPr>
                <w:rStyle w:val="39"/>
                <w:rFonts w:ascii="Times New Roman" w:hAnsi="Times New Roman" w:eastAsia="宋体" w:cs="Times New Roman"/>
                <w:color w:val="auto"/>
                <w:kern w:val="2"/>
                <w:sz w:val="24"/>
                <w:szCs w:val="24"/>
                <w:highlight w:val="none"/>
                <w:lang w:val="en-US" w:eastAsia="zh-CN" w:bidi="ar-SA"/>
              </w:rPr>
            </w:pPr>
          </w:p>
        </w:tc>
        <w:tc>
          <w:tcPr>
            <w:tcW w:w="3116" w:type="dxa"/>
            <w:noWrap w:val="0"/>
            <w:vAlign w:val="center"/>
          </w:tcPr>
          <w:p w14:paraId="2B07FBE8">
            <w:pPr>
              <w:pStyle w:val="105"/>
              <w:widowControl/>
              <w:jc w:val="center"/>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水泥（不含商品混凝土用量）</w:t>
            </w:r>
          </w:p>
        </w:tc>
        <w:tc>
          <w:tcPr>
            <w:tcW w:w="1987" w:type="dxa"/>
            <w:noWrap w:val="0"/>
            <w:vAlign w:val="center"/>
          </w:tcPr>
          <w:p w14:paraId="4C82F74F">
            <w:pPr>
              <w:pStyle w:val="105"/>
              <w:widowControl/>
              <w:tabs>
                <w:tab w:val="left" w:pos="2398"/>
              </w:tabs>
              <w:ind w:right="18"/>
              <w:jc w:val="right"/>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吨</w:t>
            </w:r>
          </w:p>
        </w:tc>
        <w:tc>
          <w:tcPr>
            <w:tcW w:w="1702" w:type="dxa"/>
            <w:noWrap w:val="0"/>
            <w:vAlign w:val="top"/>
          </w:tcPr>
          <w:p w14:paraId="27C58E6D">
            <w:pPr>
              <w:pStyle w:val="105"/>
              <w:widowControl/>
              <w:jc w:val="right"/>
              <w:rPr>
                <w:rStyle w:val="39"/>
                <w:rFonts w:ascii="Times New Roman" w:hAnsi="Times New Roman" w:eastAsia="宋体" w:cs="Times New Roman"/>
                <w:color w:val="auto"/>
                <w:kern w:val="2"/>
                <w:sz w:val="24"/>
                <w:szCs w:val="24"/>
                <w:highlight w:val="none"/>
                <w:lang w:val="en-US" w:eastAsia="zh-CN" w:bidi="ar-SA"/>
              </w:rPr>
            </w:pPr>
          </w:p>
        </w:tc>
      </w:tr>
      <w:tr w14:paraId="264A2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4" w:type="dxa"/>
            <w:vMerge w:val="continue"/>
            <w:noWrap w:val="0"/>
            <w:vAlign w:val="center"/>
          </w:tcPr>
          <w:p w14:paraId="2CD910CF">
            <w:pPr>
              <w:pStyle w:val="105"/>
              <w:widowControl/>
              <w:jc w:val="center"/>
              <w:rPr>
                <w:rStyle w:val="39"/>
                <w:rFonts w:ascii="Times New Roman" w:hAnsi="Times New Roman" w:eastAsia="宋体" w:cs="Times New Roman"/>
                <w:color w:val="auto"/>
                <w:kern w:val="2"/>
                <w:sz w:val="24"/>
                <w:szCs w:val="24"/>
                <w:highlight w:val="none"/>
                <w:lang w:val="en-US" w:eastAsia="zh-CN" w:bidi="ar-SA"/>
              </w:rPr>
            </w:pPr>
          </w:p>
        </w:tc>
        <w:tc>
          <w:tcPr>
            <w:tcW w:w="3116" w:type="dxa"/>
            <w:noWrap w:val="0"/>
            <w:vAlign w:val="center"/>
          </w:tcPr>
          <w:p w14:paraId="5429A9E1">
            <w:pPr>
              <w:pStyle w:val="105"/>
              <w:widowControl/>
              <w:jc w:val="center"/>
              <w:rPr>
                <w:rStyle w:val="39"/>
                <w:rFonts w:ascii="Times New Roman" w:hAnsi="Times New Roman" w:eastAsia="宋体" w:cs="Times New Roman"/>
                <w:color w:val="auto"/>
                <w:kern w:val="2"/>
                <w:sz w:val="24"/>
                <w:szCs w:val="24"/>
                <w:highlight w:val="none"/>
                <w:lang w:val="en-US" w:eastAsia="zh-CN" w:bidi="ar-SA"/>
              </w:rPr>
            </w:pPr>
            <w:r>
              <w:rPr>
                <w:rStyle w:val="39"/>
                <w:rFonts w:hint="eastAsia" w:ascii="Times New Roman" w:hAnsi="Times New Roman" w:eastAsia="宋体" w:cs="宋体"/>
                <w:color w:val="auto"/>
                <w:kern w:val="2"/>
                <w:sz w:val="24"/>
                <w:szCs w:val="24"/>
                <w:highlight w:val="none"/>
                <w:lang w:val="en-US" w:eastAsia="zh-CN" w:bidi="ar-SA"/>
              </w:rPr>
              <w:t>商品混凝土</w:t>
            </w:r>
          </w:p>
        </w:tc>
        <w:tc>
          <w:tcPr>
            <w:tcW w:w="1987" w:type="dxa"/>
            <w:noWrap w:val="0"/>
            <w:vAlign w:val="center"/>
          </w:tcPr>
          <w:p w14:paraId="59A85BF9">
            <w:pPr>
              <w:pStyle w:val="105"/>
              <w:widowControl/>
              <w:jc w:val="right"/>
              <w:rPr>
                <w:rStyle w:val="39"/>
                <w:rFonts w:ascii="Times New Roman" w:hAnsi="Times New Roman" w:eastAsia="宋体" w:cs="Times New Roman"/>
                <w:color w:val="auto"/>
                <w:kern w:val="2"/>
                <w:sz w:val="24"/>
                <w:szCs w:val="24"/>
                <w:highlight w:val="none"/>
                <w:lang w:val="en-US" w:eastAsia="zh-CN" w:bidi="ar-SA"/>
              </w:rPr>
            </w:pPr>
            <w:r>
              <w:rPr>
                <w:rStyle w:val="39"/>
                <w:rFonts w:ascii="Times New Roman" w:hAnsi="Times New Roman" w:eastAsia="宋体" w:cs="Times New Roman"/>
                <w:color w:val="auto"/>
                <w:kern w:val="2"/>
                <w:sz w:val="24"/>
                <w:szCs w:val="24"/>
                <w:highlight w:val="none"/>
                <w:lang w:val="en-US" w:eastAsia="zh-CN" w:bidi="ar-SA"/>
              </w:rPr>
              <w:t>m</w:t>
            </w:r>
            <w:r>
              <w:rPr>
                <w:rStyle w:val="39"/>
                <w:rFonts w:ascii="Times New Roman" w:hAnsi="Times New Roman" w:eastAsia="宋体" w:cs="Times New Roman"/>
                <w:color w:val="auto"/>
                <w:kern w:val="2"/>
                <w:sz w:val="24"/>
                <w:szCs w:val="24"/>
                <w:highlight w:val="none"/>
                <w:vertAlign w:val="superscript"/>
                <w:lang w:val="en-US" w:eastAsia="zh-CN" w:bidi="ar-SA"/>
              </w:rPr>
              <w:t>3</w:t>
            </w:r>
          </w:p>
        </w:tc>
        <w:tc>
          <w:tcPr>
            <w:tcW w:w="1702" w:type="dxa"/>
            <w:noWrap w:val="0"/>
            <w:vAlign w:val="top"/>
          </w:tcPr>
          <w:p w14:paraId="13E60933">
            <w:pPr>
              <w:pStyle w:val="105"/>
              <w:widowControl/>
              <w:jc w:val="right"/>
              <w:rPr>
                <w:rStyle w:val="39"/>
                <w:rFonts w:ascii="Times New Roman" w:hAnsi="Times New Roman" w:eastAsia="宋体" w:cs="Times New Roman"/>
                <w:color w:val="auto"/>
                <w:kern w:val="2"/>
                <w:sz w:val="24"/>
                <w:szCs w:val="24"/>
                <w:highlight w:val="none"/>
                <w:lang w:val="en-US" w:eastAsia="zh-CN" w:bidi="ar-SA"/>
              </w:rPr>
            </w:pPr>
          </w:p>
        </w:tc>
      </w:tr>
    </w:tbl>
    <w:p w14:paraId="09AC39A2">
      <w:pPr>
        <w:widowControl/>
        <w:kinsoku w:val="0"/>
        <w:autoSpaceDE w:val="0"/>
        <w:autoSpaceDN w:val="0"/>
        <w:adjustRightInd w:val="0"/>
        <w:snapToGrid w:val="0"/>
        <w:spacing w:line="360" w:lineRule="auto"/>
        <w:ind w:firstLine="480" w:firstLineChars="200"/>
        <w:textAlignment w:val="baseline"/>
        <w:rPr>
          <w:rFonts w:hint="eastAsia" w:ascii="宋体" w:hAnsi="宋体" w:eastAsia="宋体" w:cs="宋体"/>
          <w:color w:val="auto"/>
          <w:sz w:val="24"/>
          <w:highlight w:val="none"/>
          <w:lang w:eastAsia="zh-CN"/>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p>
    <w:p w14:paraId="095187EA">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1.供应商的报价表使用电子签名，否则其响应文件按无效处理。</w:t>
      </w:r>
    </w:p>
    <w:p w14:paraId="525F5EA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2.报价一经涂改，应在涂改处使用电子签名，或由法定代表人或者授权委托人签字，否则其响应文件按无效处理。</w:t>
      </w:r>
    </w:p>
    <w:p w14:paraId="666EEFD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3.如为联合体竞标，“供应商名称”处必须列明联合体各方名称，标注联合体牵头人名称，否则其响应文件按无效处理。</w:t>
      </w:r>
    </w:p>
    <w:p w14:paraId="72D79E3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4.如为联合体竞标，须使用联合体牵头人电子签名，否则其响应文件按无效处理。</w:t>
      </w:r>
    </w:p>
    <w:p w14:paraId="2CEFC7A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5.如有多分标，分别列明各分标的报价表，否则其响应文件按无效处理。</w:t>
      </w:r>
    </w:p>
    <w:p w14:paraId="5905548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DC0DBD2">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BB275A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A1A29AF">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024E8E7F">
      <w:pPr>
        <w:spacing w:line="360" w:lineRule="auto"/>
        <w:rPr>
          <w:rFonts w:ascii="宋体" w:hAnsi="宋体"/>
          <w:b/>
          <w:bCs/>
          <w:color w:val="auto"/>
          <w:sz w:val="24"/>
          <w:highlight w:val="none"/>
        </w:rPr>
      </w:pPr>
    </w:p>
    <w:p w14:paraId="043E6F2C">
      <w:pPr>
        <w:spacing w:line="360" w:lineRule="auto"/>
        <w:rPr>
          <w:rFonts w:hint="eastAsia" w:ascii="宋体" w:hAnsi="宋体" w:eastAsia="宋体"/>
          <w:b/>
          <w:bCs/>
          <w:color w:val="auto"/>
          <w:sz w:val="24"/>
          <w:highlight w:val="none"/>
          <w:lang w:eastAsia="zh-CN"/>
        </w:rPr>
      </w:pPr>
      <w:r>
        <w:rPr>
          <w:rFonts w:hint="eastAsia" w:ascii="宋体" w:hAnsi="宋体"/>
          <w:b/>
          <w:bCs/>
          <w:color w:val="auto"/>
          <w:sz w:val="24"/>
          <w:highlight w:val="none"/>
        </w:rPr>
        <w:t>附件</w:t>
      </w:r>
      <w:r>
        <w:rPr>
          <w:rFonts w:hint="eastAsia" w:ascii="宋体" w:hAnsi="宋体"/>
          <w:b/>
          <w:bCs/>
          <w:color w:val="auto"/>
          <w:sz w:val="24"/>
          <w:highlight w:val="none"/>
          <w:lang w:val="en-US" w:eastAsia="zh-CN"/>
        </w:rPr>
        <w:t>6</w:t>
      </w:r>
    </w:p>
    <w:p w14:paraId="6E444F9F">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4"/>
          <w:highlight w:val="none"/>
        </w:rPr>
      </w:pPr>
      <w:r>
        <w:rPr>
          <w:rFonts w:hint="eastAsia" w:ascii="宋体" w:hAnsi="宋体" w:cs="宋体"/>
          <w:b/>
          <w:bCs/>
          <w:color w:val="auto"/>
          <w:sz w:val="28"/>
          <w:szCs w:val="28"/>
          <w:highlight w:val="none"/>
        </w:rPr>
        <w:t>已标价工程量清单</w:t>
      </w:r>
    </w:p>
    <w:p w14:paraId="040AB11A">
      <w:pPr>
        <w:widowControl/>
        <w:kinsoku w:val="0"/>
        <w:autoSpaceDE w:val="0"/>
        <w:autoSpaceDN w:val="0"/>
        <w:adjustRightInd w:val="0"/>
        <w:snapToGrid w:val="0"/>
        <w:spacing w:line="360" w:lineRule="auto"/>
        <w:ind w:firstLine="480" w:firstLineChars="200"/>
        <w:textAlignment w:val="baseline"/>
        <w:rPr>
          <w:rFonts w:hint="eastAsia" w:ascii="宋体" w:hAnsi="宋体" w:cs="宋体"/>
          <w:color w:val="auto"/>
          <w:sz w:val="24"/>
          <w:highlight w:val="none"/>
        </w:rPr>
      </w:pPr>
    </w:p>
    <w:p w14:paraId="0A8EC87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1F1C92E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7E39433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E2994B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644F214">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02F78F2A">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5E5A27BA">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磋商处理。</w:t>
      </w:r>
    </w:p>
    <w:p w14:paraId="65D2D593">
      <w:pPr>
        <w:spacing w:line="360" w:lineRule="auto"/>
        <w:ind w:firstLine="482" w:firstLineChars="200"/>
        <w:rPr>
          <w:rFonts w:ascii="宋体" w:hAnsi="宋体"/>
          <w:b/>
          <w:color w:val="auto"/>
          <w:sz w:val="24"/>
          <w:highlight w:val="none"/>
        </w:rPr>
        <w:sectPr>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（2）已标价工程量清单表格要严格按照工程量清单给出的表格要求和内容填报，否则按无效磋商处理。</w:t>
      </w:r>
    </w:p>
    <w:p w14:paraId="51810106">
      <w:pPr>
        <w:spacing w:line="360" w:lineRule="auto"/>
        <w:ind w:left="420" w:hanging="420"/>
        <w:rPr>
          <w:rFonts w:hint="eastAsia" w:ascii="宋体" w:hAnsi="宋体" w:eastAsia="宋体"/>
          <w:b/>
          <w:color w:val="auto"/>
          <w:sz w:val="24"/>
          <w:highlight w:val="none"/>
          <w:lang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7</w:t>
      </w:r>
    </w:p>
    <w:p w14:paraId="4264A9FC">
      <w:pPr>
        <w:spacing w:line="360" w:lineRule="auto"/>
        <w:jc w:val="center"/>
        <w:rPr>
          <w:rFonts w:ascii="宋体" w:hAnsi="宋体"/>
          <w:b/>
          <w:color w:val="auto"/>
          <w:sz w:val="32"/>
          <w:szCs w:val="32"/>
          <w:highlight w:val="none"/>
        </w:rPr>
      </w:pPr>
      <w:r>
        <w:rPr>
          <w:rFonts w:hint="eastAsia" w:ascii="宋体" w:hAnsi="宋体"/>
          <w:b/>
          <w:color w:val="auto"/>
          <w:sz w:val="28"/>
          <w:szCs w:val="28"/>
          <w:highlight w:val="none"/>
        </w:rPr>
        <w:t>磋商书</w:t>
      </w:r>
    </w:p>
    <w:p w14:paraId="0103A840">
      <w:pPr>
        <w:spacing w:line="360" w:lineRule="auto"/>
        <w:jc w:val="center"/>
        <w:rPr>
          <w:rFonts w:ascii="宋体" w:hAnsi="宋体"/>
          <w:b/>
          <w:color w:val="auto"/>
          <w:sz w:val="24"/>
          <w:highlight w:val="none"/>
        </w:rPr>
      </w:pPr>
    </w:p>
    <w:p w14:paraId="68D09C32">
      <w:pPr>
        <w:pStyle w:val="22"/>
        <w:spacing w:line="360" w:lineRule="auto"/>
        <w:rPr>
          <w:rFonts w:hAnsi="宋体"/>
          <w:color w:val="auto"/>
          <w:sz w:val="24"/>
          <w:szCs w:val="24"/>
          <w:highlight w:val="none"/>
        </w:rPr>
      </w:pPr>
      <w:r>
        <w:rPr>
          <w:rFonts w:hint="eastAsia" w:hAnsi="宋体"/>
          <w:color w:val="auto"/>
          <w:sz w:val="24"/>
          <w:szCs w:val="24"/>
          <w:highlight w:val="none"/>
        </w:rPr>
        <w:t>（采购人）、（采购代理机构）：</w:t>
      </w:r>
    </w:p>
    <w:p w14:paraId="1945CB6D">
      <w:pPr>
        <w:pStyle w:val="22"/>
        <w:spacing w:line="360" w:lineRule="auto"/>
        <w:ind w:firstLine="480"/>
        <w:rPr>
          <w:rFonts w:hAnsi="宋体"/>
          <w:color w:val="auto"/>
          <w:sz w:val="24"/>
          <w:szCs w:val="24"/>
          <w:highlight w:val="none"/>
        </w:rPr>
      </w:pPr>
      <w:r>
        <w:rPr>
          <w:rFonts w:hint="eastAsia" w:hAnsi="宋体"/>
          <w:color w:val="auto"/>
          <w:sz w:val="24"/>
          <w:szCs w:val="24"/>
          <w:highlight w:val="none"/>
        </w:rPr>
        <w:t>依据贵方</w:t>
      </w:r>
      <w:r>
        <w:rPr>
          <w:rFonts w:hint="eastAsia" w:hAnsi="宋体"/>
          <w:color w:val="auto"/>
          <w:sz w:val="24"/>
          <w:szCs w:val="24"/>
          <w:highlight w:val="none"/>
          <w:u w:val="single"/>
        </w:rPr>
        <w:t>（项目名称/项目编号）</w:t>
      </w:r>
      <w:r>
        <w:rPr>
          <w:rFonts w:hint="eastAsia" w:hAnsi="宋体"/>
          <w:color w:val="auto"/>
          <w:sz w:val="24"/>
          <w:szCs w:val="24"/>
          <w:highlight w:val="none"/>
        </w:rPr>
        <w:t>项目政府采购的磋商邀请，我方</w:t>
      </w:r>
      <w:r>
        <w:rPr>
          <w:rFonts w:hint="eastAsia" w:hAnsi="宋体"/>
          <w:color w:val="auto"/>
          <w:sz w:val="24"/>
          <w:szCs w:val="24"/>
          <w:highlight w:val="none"/>
          <w:u w:val="single"/>
        </w:rPr>
        <w:t>（姓名和职务）</w:t>
      </w:r>
      <w:r>
        <w:rPr>
          <w:rFonts w:hint="eastAsia" w:hAnsi="宋体"/>
          <w:color w:val="auto"/>
          <w:sz w:val="24"/>
          <w:szCs w:val="24"/>
          <w:highlight w:val="none"/>
        </w:rPr>
        <w:t>经正式授权并代表本单位</w:t>
      </w:r>
      <w:r>
        <w:rPr>
          <w:rFonts w:hint="eastAsia" w:hAnsi="宋体"/>
          <w:color w:val="auto"/>
          <w:sz w:val="24"/>
          <w:szCs w:val="24"/>
          <w:highlight w:val="none"/>
          <w:u w:val="single"/>
        </w:rPr>
        <w:t>（供应商名称、地址）</w:t>
      </w:r>
      <w:r>
        <w:rPr>
          <w:rFonts w:hint="eastAsia" w:hAnsi="宋体"/>
          <w:color w:val="auto"/>
          <w:sz w:val="24"/>
          <w:szCs w:val="24"/>
          <w:highlight w:val="none"/>
        </w:rPr>
        <w:t>提交下述竞争性磋商响应文件</w:t>
      </w:r>
      <w:r>
        <w:rPr>
          <w:rFonts w:hint="eastAsia" w:hAnsi="宋体"/>
          <w:b/>
          <w:color w:val="auto"/>
          <w:sz w:val="24"/>
          <w:szCs w:val="24"/>
          <w:highlight w:val="none"/>
        </w:rPr>
        <w:t>（资格文件、</w:t>
      </w:r>
      <w:r>
        <w:rPr>
          <w:rFonts w:hint="eastAsia" w:hAnsi="宋体"/>
          <w:b/>
          <w:color w:val="auto"/>
          <w:sz w:val="24"/>
          <w:szCs w:val="24"/>
          <w:highlight w:val="none"/>
          <w:lang w:eastAsia="zh-CN"/>
        </w:rPr>
        <w:t>报价文件</w:t>
      </w:r>
      <w:r>
        <w:rPr>
          <w:rFonts w:hint="eastAsia" w:hAnsi="宋体"/>
          <w:b/>
          <w:color w:val="auto"/>
          <w:sz w:val="24"/>
          <w:szCs w:val="24"/>
          <w:highlight w:val="none"/>
        </w:rPr>
        <w:t>、商务技术文件）</w:t>
      </w:r>
      <w:r>
        <w:rPr>
          <w:rFonts w:hint="eastAsia" w:hAnsi="宋体"/>
          <w:color w:val="auto"/>
          <w:sz w:val="24"/>
          <w:szCs w:val="24"/>
          <w:highlight w:val="none"/>
        </w:rPr>
        <w:t>。</w:t>
      </w:r>
    </w:p>
    <w:p w14:paraId="20F46C87">
      <w:pPr>
        <w:pStyle w:val="22"/>
        <w:spacing w:line="360" w:lineRule="auto"/>
        <w:ind w:firstLine="480"/>
        <w:rPr>
          <w:rFonts w:hAnsi="宋体"/>
          <w:color w:val="auto"/>
          <w:sz w:val="24"/>
          <w:szCs w:val="24"/>
          <w:highlight w:val="none"/>
        </w:rPr>
      </w:pPr>
      <w:r>
        <w:rPr>
          <w:rFonts w:hint="eastAsia" w:hAnsi="宋体"/>
          <w:color w:val="auto"/>
          <w:sz w:val="24"/>
          <w:szCs w:val="24"/>
          <w:highlight w:val="none"/>
        </w:rPr>
        <w:t>1. 报价表；</w:t>
      </w:r>
    </w:p>
    <w:p w14:paraId="70ED0F69">
      <w:pPr>
        <w:pStyle w:val="22"/>
        <w:spacing w:line="360" w:lineRule="auto"/>
        <w:ind w:firstLine="480"/>
        <w:rPr>
          <w:rFonts w:hAnsi="宋体"/>
          <w:color w:val="auto"/>
          <w:sz w:val="24"/>
          <w:szCs w:val="24"/>
          <w:highlight w:val="none"/>
        </w:rPr>
      </w:pPr>
      <w:r>
        <w:rPr>
          <w:rFonts w:hint="eastAsia" w:hAnsi="宋体"/>
          <w:color w:val="auto"/>
          <w:sz w:val="24"/>
          <w:szCs w:val="24"/>
          <w:highlight w:val="none"/>
        </w:rPr>
        <w:t xml:space="preserve">2. 资格证明文件； </w:t>
      </w:r>
    </w:p>
    <w:p w14:paraId="6E7CCF5D">
      <w:pPr>
        <w:pStyle w:val="22"/>
        <w:spacing w:line="360" w:lineRule="auto"/>
        <w:ind w:firstLine="480"/>
        <w:rPr>
          <w:rFonts w:hAnsi="宋体"/>
          <w:color w:val="auto"/>
          <w:sz w:val="24"/>
          <w:szCs w:val="24"/>
          <w:highlight w:val="none"/>
        </w:rPr>
      </w:pPr>
      <w:r>
        <w:rPr>
          <w:rFonts w:hint="eastAsia" w:hAnsi="宋体"/>
          <w:color w:val="auto"/>
          <w:sz w:val="24"/>
          <w:szCs w:val="24"/>
          <w:highlight w:val="none"/>
        </w:rPr>
        <w:t>3. 按竞争性磋商文件供应商须知和采购需求提供的有关文件。</w:t>
      </w:r>
    </w:p>
    <w:p w14:paraId="4AABCA93">
      <w:pPr>
        <w:pStyle w:val="22"/>
        <w:spacing w:line="360" w:lineRule="auto"/>
        <w:ind w:firstLine="360" w:firstLineChars="150"/>
        <w:rPr>
          <w:rFonts w:hAnsi="宋体"/>
          <w:color w:val="auto"/>
          <w:sz w:val="24"/>
          <w:szCs w:val="24"/>
          <w:highlight w:val="none"/>
        </w:rPr>
      </w:pPr>
      <w:r>
        <w:rPr>
          <w:rFonts w:hint="eastAsia" w:hAnsi="宋体"/>
          <w:color w:val="auto"/>
          <w:sz w:val="24"/>
          <w:szCs w:val="24"/>
          <w:highlight w:val="none"/>
        </w:rPr>
        <w:t>在此，授权代表宣布同意如下：</w:t>
      </w:r>
    </w:p>
    <w:p w14:paraId="2190BA65">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1. 将按竞争性磋商文件的约定履行合同责任和义务；</w:t>
      </w:r>
    </w:p>
    <w:p w14:paraId="71A7B268">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2. 已详细审查全部竞争性磋商文件，包括</w:t>
      </w:r>
      <w:r>
        <w:rPr>
          <w:rFonts w:hint="eastAsia" w:hAnsi="宋体"/>
          <w:color w:val="auto"/>
          <w:sz w:val="24"/>
          <w:szCs w:val="24"/>
          <w:highlight w:val="none"/>
          <w:u w:val="single"/>
        </w:rPr>
        <w:t>（补遗文件）（如果有的话）</w:t>
      </w:r>
      <w:r>
        <w:rPr>
          <w:rFonts w:hint="eastAsia" w:hAnsi="宋体"/>
          <w:color w:val="auto"/>
          <w:sz w:val="24"/>
          <w:szCs w:val="24"/>
          <w:highlight w:val="none"/>
        </w:rPr>
        <w:t>；</w:t>
      </w:r>
    </w:p>
    <w:p w14:paraId="7A692740">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3. 同意提供按照贵方可能要求的与其磋商有关的一切数据或资料；</w:t>
      </w:r>
    </w:p>
    <w:p w14:paraId="4C862C76">
      <w:pPr>
        <w:pStyle w:val="22"/>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4. 与本磋商有关的一切正式往来信函请寄：</w:t>
      </w:r>
      <w:r>
        <w:rPr>
          <w:rFonts w:hint="eastAsia" w:hAnsi="宋体"/>
          <w:color w:val="auto"/>
          <w:sz w:val="24"/>
          <w:szCs w:val="24"/>
          <w:highlight w:val="none"/>
          <w:u w:val="single"/>
        </w:rPr>
        <w:t xml:space="preserve">                       </w:t>
      </w:r>
    </w:p>
    <w:p w14:paraId="0EA6D15E">
      <w:pPr>
        <w:pStyle w:val="22"/>
        <w:spacing w:line="360" w:lineRule="auto"/>
        <w:ind w:firstLine="840"/>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帐号/行号：</w:t>
      </w:r>
      <w:r>
        <w:rPr>
          <w:rFonts w:hint="eastAsia" w:hAnsi="宋体"/>
          <w:color w:val="auto"/>
          <w:sz w:val="24"/>
          <w:szCs w:val="24"/>
          <w:highlight w:val="none"/>
          <w:u w:val="single"/>
        </w:rPr>
        <w:t xml:space="preserve">                   </w:t>
      </w:r>
    </w:p>
    <w:p w14:paraId="50383A9D">
      <w:pPr>
        <w:pStyle w:val="22"/>
        <w:spacing w:line="360" w:lineRule="auto"/>
        <w:ind w:firstLine="840"/>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电子函件：</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403741FB">
      <w:pPr>
        <w:pStyle w:val="22"/>
        <w:spacing w:line="360" w:lineRule="auto"/>
        <w:ind w:firstLine="840"/>
        <w:rPr>
          <w:rFonts w:hAnsi="宋体"/>
          <w:color w:val="auto"/>
          <w:sz w:val="24"/>
          <w:szCs w:val="24"/>
          <w:highlight w:val="none"/>
          <w:u w:val="single"/>
        </w:rPr>
      </w:pPr>
      <w:r>
        <w:rPr>
          <w:rFonts w:hint="eastAsia" w:hAnsi="宋体"/>
          <w:color w:val="auto"/>
          <w:sz w:val="24"/>
          <w:szCs w:val="24"/>
          <w:highlight w:val="none"/>
        </w:rPr>
        <w:t>日期：</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44F3BBAA">
      <w:pPr>
        <w:adjustRightInd w:val="0"/>
        <w:snapToGrid w:val="0"/>
        <w:spacing w:line="360" w:lineRule="auto"/>
        <w:ind w:firstLine="1440" w:firstLineChars="600"/>
        <w:jc w:val="left"/>
        <w:rPr>
          <w:rFonts w:ascii="宋体" w:hAnsi="宋体"/>
          <w:color w:val="auto"/>
          <w:sz w:val="24"/>
          <w:highlight w:val="none"/>
        </w:rPr>
      </w:pPr>
    </w:p>
    <w:p w14:paraId="69833979">
      <w:pPr>
        <w:adjustRightInd w:val="0"/>
        <w:snapToGrid w:val="0"/>
        <w:spacing w:line="360" w:lineRule="auto"/>
        <w:ind w:firstLine="1440" w:firstLineChars="600"/>
        <w:jc w:val="left"/>
        <w:rPr>
          <w:rFonts w:ascii="宋体" w:hAnsi="宋体"/>
          <w:color w:val="auto"/>
          <w:sz w:val="24"/>
          <w:highlight w:val="none"/>
        </w:rPr>
      </w:pPr>
    </w:p>
    <w:p w14:paraId="0F57227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61A07466">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2C83E58C">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D7D3B78">
      <w:pPr>
        <w:pStyle w:val="22"/>
        <w:spacing w:line="360" w:lineRule="auto"/>
        <w:ind w:firstLine="840"/>
        <w:rPr>
          <w:rFonts w:hAnsi="宋体"/>
          <w:color w:val="auto"/>
          <w:sz w:val="24"/>
          <w:szCs w:val="24"/>
          <w:highlight w:val="none"/>
        </w:rPr>
      </w:pP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5D8CDB61">
      <w:pPr>
        <w:spacing w:line="360" w:lineRule="auto"/>
        <w:rPr>
          <w:rFonts w:ascii="宋体" w:hAnsi="宋体"/>
          <w:color w:val="auto"/>
          <w:sz w:val="24"/>
          <w:highlight w:val="none"/>
        </w:rPr>
      </w:pPr>
    </w:p>
    <w:p w14:paraId="349995C6">
      <w:pPr>
        <w:spacing w:line="360" w:lineRule="auto"/>
        <w:rPr>
          <w:rFonts w:ascii="宋体" w:hAnsi="宋体"/>
          <w:color w:val="auto"/>
          <w:highlight w:val="none"/>
        </w:rPr>
      </w:pPr>
    </w:p>
    <w:p w14:paraId="1CB5E665">
      <w:pPr>
        <w:spacing w:line="360" w:lineRule="auto"/>
        <w:rPr>
          <w:rFonts w:ascii="宋体" w:hAnsi="宋体"/>
          <w:color w:val="auto"/>
          <w:highlight w:val="none"/>
        </w:rPr>
      </w:pPr>
    </w:p>
    <w:p w14:paraId="4B0E4D49">
      <w:pPr>
        <w:spacing w:line="360" w:lineRule="auto"/>
        <w:ind w:left="420" w:hanging="420"/>
        <w:rPr>
          <w:rFonts w:ascii="宋体" w:hAnsi="宋体"/>
          <w:color w:val="auto"/>
          <w:highlight w:val="none"/>
        </w:rPr>
      </w:pPr>
    </w:p>
    <w:p w14:paraId="07701C22">
      <w:pPr>
        <w:spacing w:line="360" w:lineRule="auto"/>
        <w:ind w:left="420" w:hanging="420"/>
        <w:rPr>
          <w:rFonts w:ascii="宋体" w:hAnsi="宋体"/>
          <w:b/>
          <w:color w:val="auto"/>
          <w:highlight w:val="none"/>
        </w:rPr>
      </w:pPr>
      <w:r>
        <w:rPr>
          <w:rFonts w:hint="eastAsia" w:ascii="宋体" w:hAnsi="宋体"/>
          <w:color w:val="auto"/>
          <w:highlight w:val="none"/>
        </w:rPr>
        <w:br w:type="page"/>
      </w:r>
    </w:p>
    <w:p w14:paraId="0D396285">
      <w:pPr>
        <w:spacing w:line="360" w:lineRule="auto"/>
        <w:ind w:left="420" w:hanging="420"/>
        <w:rPr>
          <w:rFonts w:hint="eastAsia" w:ascii="宋体" w:hAnsi="宋体" w:eastAsia="宋体"/>
          <w:b/>
          <w:color w:val="auto"/>
          <w:sz w:val="24"/>
          <w:highlight w:val="none"/>
          <w:lang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8</w:t>
      </w:r>
    </w:p>
    <w:p w14:paraId="3A1E3245">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28"/>
          <w:szCs w:val="28"/>
          <w:highlight w:val="none"/>
        </w:rPr>
        <w:t>法定代表人（负责人）授权委托书</w:t>
      </w:r>
    </w:p>
    <w:p w14:paraId="11E8612A">
      <w:pPr>
        <w:adjustRightInd w:val="0"/>
        <w:snapToGrid w:val="0"/>
        <w:spacing w:line="360" w:lineRule="auto"/>
        <w:rPr>
          <w:rFonts w:ascii="宋体" w:hAnsi="宋体"/>
          <w:color w:val="auto"/>
          <w:szCs w:val="21"/>
          <w:highlight w:val="none"/>
        </w:rPr>
      </w:pPr>
    </w:p>
    <w:p w14:paraId="6E6D378A">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6C0155F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2FFD064B">
      <w:pPr>
        <w:spacing w:line="360" w:lineRule="auto"/>
        <w:rPr>
          <w:rFonts w:ascii="宋体" w:hAnsi="宋体"/>
          <w:color w:val="auto"/>
          <w:sz w:val="24"/>
          <w:highlight w:val="none"/>
        </w:rPr>
      </w:pPr>
    </w:p>
    <w:p w14:paraId="0A920B0A">
      <w:pPr>
        <w:spacing w:line="360" w:lineRule="auto"/>
        <w:rPr>
          <w:rFonts w:ascii="宋体" w:hAnsi="宋体"/>
          <w:color w:val="auto"/>
          <w:sz w:val="24"/>
          <w:highlight w:val="none"/>
        </w:rPr>
      </w:pPr>
      <w:r>
        <w:rPr>
          <w:rFonts w:hint="eastAsia" w:ascii="宋体" w:hAnsi="宋体"/>
          <w:color w:val="auto"/>
          <w:sz w:val="24"/>
          <w:highlight w:val="none"/>
        </w:rPr>
        <w:t>磋商供应商（公章）：</w:t>
      </w:r>
      <w:r>
        <w:rPr>
          <w:rFonts w:hint="eastAsia" w:ascii="宋体" w:hAnsi="宋体"/>
          <w:color w:val="auto"/>
          <w:sz w:val="24"/>
          <w:highlight w:val="none"/>
          <w:u w:val="single"/>
        </w:rPr>
        <w:t xml:space="preserve">               </w:t>
      </w:r>
    </w:p>
    <w:p w14:paraId="665B68DD">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49E0D079">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42566A3E">
      <w:pPr>
        <w:spacing w:line="360" w:lineRule="auto"/>
        <w:rPr>
          <w:rFonts w:ascii="宋体" w:hAnsi="宋体"/>
          <w:color w:val="auto"/>
          <w:sz w:val="24"/>
          <w:highlight w:val="none"/>
        </w:rPr>
      </w:pPr>
    </w:p>
    <w:p w14:paraId="607E1AA2">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154DDED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49A4A887">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6E73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9" w:hRule="atLeast"/>
        </w:trPr>
        <w:tc>
          <w:tcPr>
            <w:tcW w:w="8657" w:type="dxa"/>
          </w:tcPr>
          <w:p w14:paraId="3E5DFC5F">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5240A7ED">
      <w:pPr>
        <w:autoSpaceDE w:val="0"/>
        <w:autoSpaceDN w:val="0"/>
        <w:spacing w:line="360" w:lineRule="auto"/>
        <w:ind w:left="480" w:hanging="480"/>
        <w:rPr>
          <w:rFonts w:ascii="宋体" w:hAnsi="宋体"/>
          <w:color w:val="auto"/>
          <w:sz w:val="24"/>
          <w:highlight w:val="none"/>
        </w:rPr>
      </w:pPr>
    </w:p>
    <w:p w14:paraId="0BA1FD4C">
      <w:pPr>
        <w:pStyle w:val="22"/>
        <w:spacing w:line="360" w:lineRule="auto"/>
        <w:rPr>
          <w:rFonts w:hAnsi="宋体"/>
          <w:color w:val="auto"/>
          <w:sz w:val="24"/>
          <w:szCs w:val="24"/>
          <w:highlight w:val="none"/>
        </w:rPr>
      </w:pPr>
    </w:p>
    <w:p w14:paraId="0703A2DC">
      <w:pPr>
        <w:pStyle w:val="22"/>
        <w:spacing w:line="360" w:lineRule="auto"/>
        <w:rPr>
          <w:rFonts w:hAnsi="宋体"/>
          <w:color w:val="auto"/>
          <w:sz w:val="24"/>
          <w:szCs w:val="24"/>
          <w:highlight w:val="none"/>
        </w:rPr>
      </w:pPr>
      <w:r>
        <w:rPr>
          <w:rFonts w:hAnsi="宋体"/>
          <w:color w:val="auto"/>
          <w:sz w:val="24"/>
          <w:szCs w:val="24"/>
          <w:highlight w:val="none"/>
        </w:rPr>
        <w:br w:type="page"/>
      </w:r>
    </w:p>
    <w:p w14:paraId="62DC40A7">
      <w:pPr>
        <w:spacing w:line="360" w:lineRule="auto"/>
        <w:ind w:left="420" w:hanging="420"/>
        <w:rPr>
          <w:rFonts w:hint="eastAsia" w:ascii="宋体" w:hAnsi="宋体" w:eastAsia="宋体"/>
          <w:b/>
          <w:color w:val="auto"/>
          <w:sz w:val="24"/>
          <w:highlight w:val="none"/>
          <w:lang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9</w:t>
      </w:r>
    </w:p>
    <w:p w14:paraId="0DD61954">
      <w:pPr>
        <w:adjustRightInd w:val="0"/>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法定代表人（负责人）身份证明书</w:t>
      </w:r>
    </w:p>
    <w:p w14:paraId="3649B0DE">
      <w:pPr>
        <w:adjustRightInd w:val="0"/>
        <w:snapToGrid w:val="0"/>
        <w:spacing w:line="360" w:lineRule="auto"/>
        <w:ind w:firstLine="960" w:firstLineChars="400"/>
        <w:rPr>
          <w:rFonts w:ascii="宋体" w:hAnsi="宋体"/>
          <w:color w:val="auto"/>
          <w:sz w:val="24"/>
          <w:highlight w:val="none"/>
          <w:u w:val="single"/>
        </w:rPr>
      </w:pPr>
    </w:p>
    <w:p w14:paraId="13B79A10">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在我</w:t>
      </w:r>
      <w:r>
        <w:rPr>
          <w:rFonts w:hint="eastAsia" w:ascii="宋体" w:hAnsi="宋体"/>
          <w:color w:val="auto"/>
          <w:sz w:val="24"/>
          <w:highlight w:val="none"/>
          <w:u w:val="single"/>
        </w:rPr>
        <w:t xml:space="preserve">       </w:t>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职务，是我</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的法定代表人（负责人）。</w:t>
      </w:r>
    </w:p>
    <w:p w14:paraId="54E7E441">
      <w:pPr>
        <w:adjustRightInd w:val="0"/>
        <w:snapToGrid w:val="0"/>
        <w:spacing w:line="360" w:lineRule="auto"/>
        <w:ind w:firstLine="840" w:firstLineChars="350"/>
        <w:rPr>
          <w:rFonts w:ascii="宋体" w:hAnsi="宋体"/>
          <w:color w:val="auto"/>
          <w:sz w:val="24"/>
          <w:highlight w:val="none"/>
        </w:rPr>
      </w:pPr>
      <w:r>
        <w:rPr>
          <w:rFonts w:hint="eastAsia" w:ascii="宋体" w:hAnsi="宋体"/>
          <w:color w:val="auto"/>
          <w:sz w:val="24"/>
          <w:highlight w:val="none"/>
        </w:rPr>
        <w:t>特此证明。</w:t>
      </w:r>
    </w:p>
    <w:p w14:paraId="1E3101E1">
      <w:pPr>
        <w:adjustRightInd w:val="0"/>
        <w:snapToGrid w:val="0"/>
        <w:spacing w:line="360" w:lineRule="auto"/>
        <w:rPr>
          <w:rFonts w:ascii="宋体" w:hAnsi="宋体"/>
          <w:color w:val="auto"/>
          <w:sz w:val="24"/>
          <w:highlight w:val="none"/>
        </w:rPr>
      </w:pPr>
    </w:p>
    <w:p w14:paraId="00AFDC93">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2DB56EB4">
      <w:pPr>
        <w:adjustRightInd w:val="0"/>
        <w:snapToGrid w:val="0"/>
        <w:spacing w:line="360" w:lineRule="auto"/>
        <w:rPr>
          <w:rFonts w:ascii="宋体" w:hAnsi="宋体"/>
          <w:color w:val="auto"/>
          <w:sz w:val="24"/>
          <w:highlight w:val="none"/>
        </w:rPr>
      </w:pPr>
    </w:p>
    <w:p w14:paraId="3A8F90E7">
      <w:pPr>
        <w:adjustRightInd w:val="0"/>
        <w:snapToGrid w:val="0"/>
        <w:spacing w:line="360" w:lineRule="auto"/>
        <w:ind w:firstLine="3360" w:firstLineChars="1400"/>
        <w:rPr>
          <w:rFonts w:ascii="宋体" w:hAnsi="宋体"/>
          <w:color w:val="auto"/>
          <w:sz w:val="24"/>
          <w:highlight w:val="none"/>
          <w:u w:val="single"/>
        </w:rPr>
      </w:pP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14:paraId="09D95D73">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（单位公章）</w:t>
      </w:r>
    </w:p>
    <w:p w14:paraId="42DC17FE">
      <w:pPr>
        <w:adjustRightInd w:val="0"/>
        <w:snapToGrid w:val="0"/>
        <w:spacing w:line="360" w:lineRule="auto"/>
        <w:rPr>
          <w:rFonts w:ascii="宋体" w:hAnsi="宋体"/>
          <w:color w:val="auto"/>
          <w:sz w:val="24"/>
          <w:highlight w:val="none"/>
        </w:rPr>
      </w:pPr>
    </w:p>
    <w:p w14:paraId="7EB72613">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年     月    日</w:t>
      </w:r>
    </w:p>
    <w:p w14:paraId="4167525F">
      <w:pPr>
        <w:adjustRightInd w:val="0"/>
        <w:snapToGrid w:val="0"/>
        <w:spacing w:line="360" w:lineRule="auto"/>
        <w:rPr>
          <w:rFonts w:ascii="宋体" w:hAnsi="宋体"/>
          <w:color w:val="auto"/>
          <w:sz w:val="24"/>
          <w:highlight w:val="none"/>
        </w:rPr>
      </w:pPr>
    </w:p>
    <w:p w14:paraId="3E8F49BA">
      <w:pPr>
        <w:adjustRightInd w:val="0"/>
        <w:snapToGrid w:val="0"/>
        <w:spacing w:line="360" w:lineRule="auto"/>
        <w:ind w:firstLine="360" w:firstLineChars="150"/>
        <w:rPr>
          <w:rFonts w:ascii="宋体" w:hAnsi="宋体"/>
          <w:color w:val="auto"/>
          <w:sz w:val="24"/>
          <w:highlight w:val="none"/>
        </w:rPr>
      </w:pPr>
    </w:p>
    <w:p w14:paraId="76FD495F">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住    址：</w:t>
      </w:r>
    </w:p>
    <w:p w14:paraId="76AB0893">
      <w:pPr>
        <w:adjustRightInd w:val="0"/>
        <w:snapToGrid w:val="0"/>
        <w:spacing w:line="360" w:lineRule="auto"/>
        <w:ind w:firstLine="360" w:firstLineChars="150"/>
        <w:rPr>
          <w:rFonts w:ascii="宋体" w:hAnsi="宋体"/>
          <w:color w:val="auto"/>
          <w:sz w:val="24"/>
          <w:highlight w:val="none"/>
        </w:rPr>
      </w:pPr>
    </w:p>
    <w:p w14:paraId="6CD513FF">
      <w:pPr>
        <w:pStyle w:val="22"/>
        <w:adjustRightInd w:val="0"/>
        <w:snapToGrid w:val="0"/>
        <w:spacing w:line="360" w:lineRule="auto"/>
        <w:ind w:firstLine="360" w:firstLineChars="150"/>
        <w:rPr>
          <w:rFonts w:hAnsi="宋体"/>
          <w:color w:val="auto"/>
          <w:sz w:val="24"/>
          <w:szCs w:val="24"/>
          <w:highlight w:val="none"/>
        </w:rPr>
      </w:pPr>
      <w:r>
        <w:rPr>
          <w:rFonts w:hint="eastAsia" w:hAnsi="宋体"/>
          <w:color w:val="auto"/>
          <w:sz w:val="24"/>
          <w:szCs w:val="24"/>
          <w:highlight w:val="none"/>
        </w:rPr>
        <w:t>联系电话：</w:t>
      </w:r>
    </w:p>
    <w:p w14:paraId="531738A5">
      <w:pPr>
        <w:pStyle w:val="22"/>
        <w:adjustRightInd w:val="0"/>
        <w:snapToGrid w:val="0"/>
        <w:spacing w:line="360" w:lineRule="auto"/>
        <w:ind w:firstLine="360" w:firstLineChars="150"/>
        <w:rPr>
          <w:rFonts w:hAnsi="宋体"/>
          <w:color w:val="auto"/>
          <w:sz w:val="24"/>
          <w:szCs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4C68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76FB70BA">
            <w:pPr>
              <w:snapToGrid w:val="0"/>
              <w:spacing w:line="360" w:lineRule="auto"/>
              <w:rPr>
                <w:rFonts w:ascii="宋体" w:hAnsi="宋体"/>
                <w:color w:val="auto"/>
                <w:sz w:val="24"/>
                <w:highlight w:val="none"/>
              </w:rPr>
            </w:pPr>
            <w:r>
              <w:rPr>
                <w:rFonts w:hint="eastAsia" w:ascii="宋体" w:hAnsi="宋体"/>
                <w:color w:val="auto"/>
                <w:sz w:val="24"/>
                <w:highlight w:val="none"/>
              </w:rPr>
              <w:t>贴附“身份证复印件”（正反两面）</w:t>
            </w:r>
          </w:p>
        </w:tc>
      </w:tr>
      <w:tr w14:paraId="3935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34084561">
            <w:pPr>
              <w:snapToGrid w:val="0"/>
              <w:spacing w:line="360" w:lineRule="auto"/>
              <w:rPr>
                <w:rFonts w:ascii="宋体" w:hAnsi="宋体"/>
                <w:color w:val="auto"/>
                <w:szCs w:val="21"/>
                <w:highlight w:val="none"/>
              </w:rPr>
            </w:pPr>
          </w:p>
        </w:tc>
      </w:tr>
    </w:tbl>
    <w:p w14:paraId="49CF5EAF">
      <w:pPr>
        <w:pStyle w:val="22"/>
        <w:spacing w:line="360" w:lineRule="auto"/>
        <w:rPr>
          <w:rFonts w:hAnsi="宋体"/>
          <w:color w:val="auto"/>
          <w:highlight w:val="none"/>
        </w:rPr>
      </w:pPr>
    </w:p>
    <w:p w14:paraId="50EC2A71">
      <w:pPr>
        <w:rPr>
          <w:rFonts w:hint="eastAsia" w:ascii="宋体" w:hAnsi="宋体"/>
          <w:b/>
          <w:color w:val="auto"/>
          <w:sz w:val="24"/>
          <w:highlight w:val="none"/>
        </w:rPr>
      </w:pPr>
      <w:r>
        <w:rPr>
          <w:rFonts w:hint="eastAsia" w:ascii="宋体" w:hAnsi="宋体"/>
          <w:b/>
          <w:color w:val="auto"/>
          <w:sz w:val="24"/>
          <w:highlight w:val="none"/>
        </w:rPr>
        <w:br w:type="page"/>
      </w:r>
    </w:p>
    <w:p w14:paraId="1AC4AAEB">
      <w:pPr>
        <w:autoSpaceDE w:val="0"/>
        <w:autoSpaceDN w:val="0"/>
        <w:adjustRightInd w:val="0"/>
        <w:snapToGrid w:val="0"/>
        <w:spacing w:line="360" w:lineRule="auto"/>
        <w:rPr>
          <w:rFonts w:hint="default" w:ascii="宋体" w:hAnsi="宋体" w:eastAsia="宋体"/>
          <w:b/>
          <w:color w:val="auto"/>
          <w:kern w:val="0"/>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10</w:t>
      </w:r>
    </w:p>
    <w:p w14:paraId="43DDE986">
      <w:pPr>
        <w:spacing w:line="360" w:lineRule="auto"/>
        <w:ind w:firstLine="562" w:firstLineChars="200"/>
        <w:jc w:val="center"/>
        <w:rPr>
          <w:rFonts w:ascii="宋体" w:hAnsi="宋体"/>
          <w:color w:val="auto"/>
          <w:kern w:val="0"/>
          <w:sz w:val="32"/>
          <w:szCs w:val="21"/>
          <w:highlight w:val="none"/>
        </w:rPr>
      </w:pPr>
      <w:r>
        <w:rPr>
          <w:rFonts w:hint="eastAsia" w:ascii="宋体" w:hAnsi="宋体"/>
          <w:b/>
          <w:bCs/>
          <w:color w:val="auto"/>
          <w:kern w:val="0"/>
          <w:sz w:val="28"/>
          <w:szCs w:val="28"/>
          <w:highlight w:val="none"/>
        </w:rPr>
        <w:t>承诺函（格式）</w:t>
      </w:r>
    </w:p>
    <w:p w14:paraId="6CB0E04C">
      <w:pPr>
        <w:widowControl/>
        <w:spacing w:line="360" w:lineRule="auto"/>
        <w:ind w:firstLine="480" w:firstLineChars="200"/>
        <w:jc w:val="left"/>
        <w:rPr>
          <w:rFonts w:ascii="宋体" w:hAnsi="宋体"/>
          <w:color w:val="auto"/>
          <w:kern w:val="0"/>
          <w:sz w:val="24"/>
          <w:highlight w:val="none"/>
        </w:rPr>
      </w:pPr>
    </w:p>
    <w:p w14:paraId="7A28DAA1">
      <w:pPr>
        <w:widowControl/>
        <w:spacing w:line="360" w:lineRule="auto"/>
        <w:jc w:val="left"/>
        <w:rPr>
          <w:rFonts w:ascii="宋体" w:hAnsi="宋体"/>
          <w:color w:val="auto"/>
          <w:kern w:val="0"/>
          <w:sz w:val="24"/>
          <w:highlight w:val="none"/>
        </w:rPr>
      </w:pPr>
      <w:r>
        <w:rPr>
          <w:rFonts w:hint="eastAsia" w:ascii="宋体" w:hAnsi="宋体"/>
          <w:color w:val="auto"/>
          <w:kern w:val="0"/>
          <w:sz w:val="24"/>
          <w:highlight w:val="none"/>
          <w:u w:val="single"/>
        </w:rPr>
        <w:t>（采购人）、（采购代理机构）</w:t>
      </w:r>
      <w:r>
        <w:rPr>
          <w:rFonts w:hint="eastAsia" w:ascii="宋体" w:hAnsi="宋体"/>
          <w:color w:val="auto"/>
          <w:kern w:val="0"/>
          <w:sz w:val="24"/>
          <w:highlight w:val="none"/>
        </w:rPr>
        <w:t>：</w:t>
      </w:r>
    </w:p>
    <w:p w14:paraId="6685C87A">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我方作为本次采购项目的磋商供应商，根据磋商文件要求，现郑重承诺如下：</w:t>
      </w:r>
    </w:p>
    <w:p w14:paraId="194B4F77">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1FCFE752">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二、参加本次采购活动，不存在与单位负责人为同一人或者存在直接控股、管理关系的其他供应商参与同一合同项下的政府采购活动的行为。</w:t>
      </w:r>
    </w:p>
    <w:p w14:paraId="5CE1AFCF">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7E0E5B36">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5E31E7F2">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五、响应文件中提供的能够给予我方带来优惠、好处的任何材料资料和技术、服务、商务、响应产品等响应承诺情况都是真实的、有效的、合法的。</w:t>
      </w:r>
    </w:p>
    <w:p w14:paraId="1849B4C5">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六、参加本次采购活动，我方完全同意磋商文件第二章关于“成交费用”、 “履约保证金”的实质性要求，并承诺严格按照磋商文件要求履行。</w:t>
      </w:r>
    </w:p>
    <w:p w14:paraId="24570E96">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3DF772EA">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我方对上述承诺的内容事项真实性负责。如经查实上述承诺的内容事项存在虚假，我方愿意接受以提供虚假材料谋取成交追究法律责任。</w:t>
      </w:r>
    </w:p>
    <w:p w14:paraId="44B7920F">
      <w:pPr>
        <w:adjustRightInd w:val="0"/>
        <w:snapToGrid w:val="0"/>
        <w:spacing w:line="360" w:lineRule="auto"/>
        <w:ind w:right="1470" w:rightChars="700"/>
        <w:rPr>
          <w:rFonts w:ascii="宋体" w:hAnsi="宋体"/>
          <w:color w:val="auto"/>
          <w:kern w:val="0"/>
          <w:sz w:val="24"/>
          <w:highlight w:val="none"/>
        </w:rPr>
      </w:pPr>
    </w:p>
    <w:p w14:paraId="3157FB5F">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46B8B961">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19E91F7E">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0DDD4E67">
      <w:pPr>
        <w:pStyle w:val="88"/>
        <w:spacing w:before="0" w:after="0" w:line="360" w:lineRule="auto"/>
        <w:rPr>
          <w:rFonts w:ascii="宋体" w:hAnsi="宋体" w:eastAsia="宋体"/>
          <w:color w:val="auto"/>
          <w:highlight w:val="none"/>
        </w:rPr>
      </w:pPr>
    </w:p>
    <w:p w14:paraId="57CD72A7">
      <w:pPr>
        <w:rPr>
          <w:rFonts w:hint="eastAsia" w:ascii="宋体" w:hAnsi="宋体"/>
          <w:b/>
          <w:color w:val="auto"/>
          <w:sz w:val="24"/>
          <w:highlight w:val="none"/>
        </w:rPr>
      </w:pPr>
      <w:r>
        <w:rPr>
          <w:rFonts w:hint="eastAsia" w:ascii="宋体" w:hAnsi="宋体"/>
          <w:b/>
          <w:color w:val="auto"/>
          <w:sz w:val="24"/>
          <w:highlight w:val="none"/>
        </w:rPr>
        <w:br w:type="page"/>
      </w:r>
    </w:p>
    <w:p w14:paraId="61F33042">
      <w:pPr>
        <w:spacing w:line="360" w:lineRule="auto"/>
        <w:rPr>
          <w:rFonts w:hint="default" w:ascii="宋体" w:hAnsi="宋体" w:eastAsia="宋体"/>
          <w:b/>
          <w:color w:val="auto"/>
          <w:sz w:val="24"/>
          <w:highlight w:val="none"/>
          <w:lang w:val="en-US" w:eastAsia="zh-CN"/>
        </w:rPr>
      </w:pPr>
      <w:r>
        <w:rPr>
          <w:rFonts w:hint="eastAsia" w:ascii="宋体" w:hAnsi="宋体"/>
          <w:b/>
          <w:color w:val="auto"/>
          <w:sz w:val="24"/>
          <w:highlight w:val="none"/>
        </w:rPr>
        <w:t>附件</w:t>
      </w:r>
      <w:r>
        <w:rPr>
          <w:rFonts w:hint="eastAsia" w:ascii="宋体" w:hAnsi="宋体"/>
          <w:b/>
          <w:color w:val="auto"/>
          <w:sz w:val="24"/>
          <w:highlight w:val="none"/>
          <w:lang w:val="en-US" w:eastAsia="zh-CN"/>
        </w:rPr>
        <w:t>11</w:t>
      </w:r>
    </w:p>
    <w:p w14:paraId="52B114AC">
      <w:pPr>
        <w:tabs>
          <w:tab w:val="left" w:pos="5387"/>
        </w:tabs>
        <w:spacing w:line="360" w:lineRule="auto"/>
        <w:jc w:val="center"/>
        <w:rPr>
          <w:rFonts w:ascii="宋体" w:hAnsi="宋体" w:cs="宋体"/>
          <w:color w:val="auto"/>
          <w:sz w:val="24"/>
          <w:highlight w:val="none"/>
        </w:rPr>
      </w:pPr>
      <w:r>
        <w:rPr>
          <w:rFonts w:hint="eastAsia" w:ascii="宋体" w:hAnsi="宋体"/>
          <w:b/>
          <w:color w:val="auto"/>
          <w:sz w:val="28"/>
          <w:szCs w:val="28"/>
          <w:highlight w:val="none"/>
        </w:rPr>
        <w:t>施工组织设计</w:t>
      </w:r>
    </w:p>
    <w:p w14:paraId="72EBC0AA">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019CBD3">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6D73146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05BCB6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03EBCE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405240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25DC03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0550BDF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49A4FE94">
      <w:pPr>
        <w:spacing w:line="360" w:lineRule="auto"/>
        <w:ind w:firstLine="480" w:firstLineChars="200"/>
        <w:rPr>
          <w:rFonts w:ascii="宋体" w:hAnsi="宋体" w:cs="宋体"/>
          <w:color w:val="auto"/>
          <w:sz w:val="24"/>
          <w:highlight w:val="none"/>
        </w:rPr>
      </w:pPr>
    </w:p>
    <w:p w14:paraId="1A14F8E7">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2A63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47B95F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77793E6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2F45860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79B914B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34A993B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31F01D1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136F104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1657A9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285A024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513A5F5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7F8D83F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229653E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10A6B13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63B7279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7F7CBEC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23D1585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23AFC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7132C029">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10058205">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3807F2FF">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54EE8DC0">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759FF9F7">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CFF81D0">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2E8ABD04">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66EFC950">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2F654342">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314165DF">
            <w:pPr>
              <w:spacing w:line="360" w:lineRule="auto"/>
              <w:rPr>
                <w:rFonts w:ascii="宋体" w:hAnsi="宋体" w:cs="宋体"/>
                <w:color w:val="auto"/>
                <w:sz w:val="24"/>
                <w:highlight w:val="none"/>
              </w:rPr>
            </w:pPr>
          </w:p>
        </w:tc>
      </w:tr>
      <w:tr w14:paraId="0980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1A235483">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42AA6029">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710A759C">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666B2A43">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361EB7F">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5217D1E8">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5828690">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0366B2C5">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D1C6212">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93DDC05">
            <w:pPr>
              <w:spacing w:line="360" w:lineRule="auto"/>
              <w:rPr>
                <w:rFonts w:ascii="宋体" w:hAnsi="宋体" w:cs="宋体"/>
                <w:color w:val="auto"/>
                <w:sz w:val="24"/>
                <w:highlight w:val="none"/>
              </w:rPr>
            </w:pPr>
          </w:p>
        </w:tc>
      </w:tr>
      <w:tr w14:paraId="4672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4E6A9AD8">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4BF41573">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D131269">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7ABC253D">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2B2DB4F0">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69E49E9">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792FDE21">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DBA86DD">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4A9D5E6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63699E65">
            <w:pPr>
              <w:spacing w:line="360" w:lineRule="auto"/>
              <w:rPr>
                <w:rFonts w:ascii="宋体" w:hAnsi="宋体" w:cs="宋体"/>
                <w:color w:val="auto"/>
                <w:sz w:val="24"/>
                <w:highlight w:val="none"/>
              </w:rPr>
            </w:pPr>
          </w:p>
        </w:tc>
      </w:tr>
      <w:tr w14:paraId="26B8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7302E42F">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7B4BCCF4">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7F765C2A">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15F20F05">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23F782E1">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1C7F4F86">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1D88AA68">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6BEDF37E">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7DC83CFC">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5E7103B6">
            <w:pPr>
              <w:spacing w:line="360" w:lineRule="auto"/>
              <w:rPr>
                <w:rFonts w:ascii="宋体" w:hAnsi="宋体" w:cs="宋体"/>
                <w:color w:val="auto"/>
                <w:sz w:val="24"/>
                <w:highlight w:val="none"/>
              </w:rPr>
            </w:pPr>
          </w:p>
        </w:tc>
      </w:tr>
    </w:tbl>
    <w:p w14:paraId="1E9EA804">
      <w:pPr>
        <w:spacing w:line="360" w:lineRule="auto"/>
        <w:rPr>
          <w:rFonts w:ascii="宋体" w:hAnsi="宋体" w:cs="宋体"/>
          <w:color w:val="auto"/>
          <w:sz w:val="24"/>
          <w:highlight w:val="none"/>
        </w:rPr>
      </w:pPr>
    </w:p>
    <w:p w14:paraId="19C26FCE">
      <w:pPr>
        <w:spacing w:line="360" w:lineRule="auto"/>
        <w:rPr>
          <w:rFonts w:ascii="宋体" w:hAnsi="宋体" w:cs="宋体"/>
          <w:color w:val="auto"/>
          <w:sz w:val="24"/>
          <w:highlight w:val="none"/>
        </w:rPr>
      </w:pPr>
    </w:p>
    <w:p w14:paraId="37664B96">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2C2B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3EC707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3E4D7A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1A0C94D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5ACA94C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1CF9A24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5AE6CC6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282A2B3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5EF284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77CC7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14AC744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6701F80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1D11478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7937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B4A278F">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5BC5AABA">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084F71DB">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0598740">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3B2EEBE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06BBEB0">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262E02B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81BC8BC">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253BCF25">
            <w:pPr>
              <w:spacing w:line="360" w:lineRule="auto"/>
              <w:ind w:firstLine="480" w:firstLineChars="200"/>
              <w:rPr>
                <w:rFonts w:ascii="宋体" w:hAnsi="宋体" w:cs="宋体"/>
                <w:color w:val="auto"/>
                <w:sz w:val="24"/>
                <w:highlight w:val="none"/>
              </w:rPr>
            </w:pPr>
          </w:p>
        </w:tc>
      </w:tr>
      <w:tr w14:paraId="0D4C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E68B34C">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63841833">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33E5F5B8">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6B515D16">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145718D2">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21A3B91">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0FE35FE4">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D77186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0E8429D8">
            <w:pPr>
              <w:spacing w:line="360" w:lineRule="auto"/>
              <w:ind w:firstLine="480" w:firstLineChars="200"/>
              <w:rPr>
                <w:rFonts w:ascii="宋体" w:hAnsi="宋体" w:cs="宋体"/>
                <w:color w:val="auto"/>
                <w:sz w:val="24"/>
                <w:highlight w:val="none"/>
              </w:rPr>
            </w:pPr>
          </w:p>
        </w:tc>
      </w:tr>
      <w:tr w14:paraId="7B3A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E7A390D">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0C9794C7">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2122BE49">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9C13C30">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55C462EF">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BB09891">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676BFE50">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67F8763E">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0999F23E">
            <w:pPr>
              <w:spacing w:line="360" w:lineRule="auto"/>
              <w:ind w:firstLine="480" w:firstLineChars="200"/>
              <w:rPr>
                <w:rFonts w:ascii="宋体" w:hAnsi="宋体" w:cs="宋体"/>
                <w:color w:val="auto"/>
                <w:sz w:val="24"/>
                <w:highlight w:val="none"/>
              </w:rPr>
            </w:pPr>
          </w:p>
        </w:tc>
      </w:tr>
      <w:tr w14:paraId="1CF2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98301C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2A1798B8">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1618DD42">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3D6C4D82">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6EAA96EC">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6722CDC">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3CADF21">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04DC0AB">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6A2E8B5F">
            <w:pPr>
              <w:spacing w:line="360" w:lineRule="auto"/>
              <w:ind w:firstLine="480" w:firstLineChars="200"/>
              <w:rPr>
                <w:rFonts w:ascii="宋体" w:hAnsi="宋体" w:cs="宋体"/>
                <w:color w:val="auto"/>
                <w:sz w:val="24"/>
                <w:highlight w:val="none"/>
              </w:rPr>
            </w:pPr>
          </w:p>
        </w:tc>
      </w:tr>
      <w:tr w14:paraId="53D6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1C05AD7C">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01AB5B4A">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42210025">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6E769735">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60C1C6FD">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663009B1">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3F352E48">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0DA2AE87">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16C83247">
            <w:pPr>
              <w:spacing w:line="360" w:lineRule="auto"/>
              <w:ind w:firstLine="480" w:firstLineChars="200"/>
              <w:rPr>
                <w:rFonts w:ascii="宋体" w:hAnsi="宋体" w:cs="宋体"/>
                <w:color w:val="auto"/>
                <w:sz w:val="24"/>
                <w:highlight w:val="none"/>
              </w:rPr>
            </w:pPr>
          </w:p>
        </w:tc>
      </w:tr>
    </w:tbl>
    <w:p w14:paraId="04CC302E">
      <w:pPr>
        <w:spacing w:line="360" w:lineRule="auto"/>
        <w:rPr>
          <w:rFonts w:ascii="宋体" w:hAnsi="宋体" w:cs="宋体"/>
          <w:color w:val="auto"/>
          <w:sz w:val="24"/>
          <w:highlight w:val="none"/>
        </w:rPr>
      </w:pPr>
    </w:p>
    <w:p w14:paraId="2DA07CB0">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76941A6B">
      <w:pPr>
        <w:spacing w:line="360" w:lineRule="auto"/>
        <w:rPr>
          <w:rFonts w:ascii="宋体" w:hAnsi="宋体" w:cs="宋体"/>
          <w:color w:val="auto"/>
          <w:sz w:val="24"/>
          <w:highlight w:val="none"/>
        </w:rPr>
      </w:pPr>
      <w:r>
        <w:rPr>
          <w:rFonts w:hint="eastAsia" w:ascii="宋体" w:hAnsi="宋体" w:cs="宋体"/>
          <w:color w:val="auto"/>
          <w:sz w:val="24"/>
          <w:highlight w:val="none"/>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5A31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431A51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12CAF45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0FBD7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EA448B8">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8D22DDF">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196B94E">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15B5BD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5806099">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B7D022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532BCFE">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43C0D2E3">
            <w:pPr>
              <w:spacing w:line="360" w:lineRule="auto"/>
              <w:jc w:val="center"/>
              <w:rPr>
                <w:rFonts w:ascii="宋体" w:hAnsi="宋体" w:cs="宋体"/>
                <w:color w:val="auto"/>
                <w:sz w:val="24"/>
                <w:highlight w:val="none"/>
              </w:rPr>
            </w:pPr>
          </w:p>
        </w:tc>
      </w:tr>
      <w:tr w14:paraId="2F4E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5BFE9CE">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06F65F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DB9417B">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CD6EDA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C124D44">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C9161B9">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1A4AA98">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C777FE1">
            <w:pPr>
              <w:spacing w:line="360" w:lineRule="auto"/>
              <w:jc w:val="center"/>
              <w:rPr>
                <w:rFonts w:ascii="宋体" w:hAnsi="宋体" w:cs="宋体"/>
                <w:color w:val="auto"/>
                <w:sz w:val="24"/>
                <w:highlight w:val="none"/>
              </w:rPr>
            </w:pPr>
          </w:p>
        </w:tc>
      </w:tr>
      <w:tr w14:paraId="2F76A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3956A45">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1C616647">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4B20D77">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4AA466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198710A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2C70AB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ECCFB80">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43A0737">
            <w:pPr>
              <w:spacing w:line="360" w:lineRule="auto"/>
              <w:jc w:val="center"/>
              <w:rPr>
                <w:rFonts w:ascii="宋体" w:hAnsi="宋体" w:cs="宋体"/>
                <w:color w:val="auto"/>
                <w:sz w:val="24"/>
                <w:highlight w:val="none"/>
              </w:rPr>
            </w:pPr>
          </w:p>
        </w:tc>
      </w:tr>
      <w:tr w14:paraId="160E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5554E2E">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3D68527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84A928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5767EE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ABAFF5B">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6667A4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0D0625E">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2D0585C3">
            <w:pPr>
              <w:spacing w:line="360" w:lineRule="auto"/>
              <w:jc w:val="center"/>
              <w:rPr>
                <w:rFonts w:ascii="宋体" w:hAnsi="宋体" w:cs="宋体"/>
                <w:color w:val="auto"/>
                <w:sz w:val="24"/>
                <w:highlight w:val="none"/>
              </w:rPr>
            </w:pPr>
          </w:p>
        </w:tc>
      </w:tr>
      <w:tr w14:paraId="099A8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6C7F56F">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75A08DD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EF5D820">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28024061">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515A613">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3F4585E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12F14A5">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220B845A">
            <w:pPr>
              <w:spacing w:line="360" w:lineRule="auto"/>
              <w:jc w:val="center"/>
              <w:rPr>
                <w:rFonts w:ascii="宋体" w:hAnsi="宋体" w:cs="宋体"/>
                <w:color w:val="auto"/>
                <w:sz w:val="24"/>
                <w:highlight w:val="none"/>
              </w:rPr>
            </w:pPr>
          </w:p>
        </w:tc>
      </w:tr>
    </w:tbl>
    <w:p w14:paraId="4DAB07BE">
      <w:pPr>
        <w:spacing w:line="360" w:lineRule="auto"/>
        <w:rPr>
          <w:rFonts w:ascii="宋体" w:hAnsi="宋体" w:cs="宋体"/>
          <w:color w:val="auto"/>
          <w:sz w:val="24"/>
          <w:highlight w:val="none"/>
        </w:rPr>
      </w:pPr>
    </w:p>
    <w:p w14:paraId="6D88AF4B">
      <w:pPr>
        <w:spacing w:line="360" w:lineRule="auto"/>
        <w:rPr>
          <w:rFonts w:ascii="宋体" w:hAnsi="宋体" w:cs="宋体"/>
          <w:color w:val="auto"/>
          <w:sz w:val="24"/>
          <w:highlight w:val="none"/>
        </w:rPr>
      </w:pPr>
    </w:p>
    <w:p w14:paraId="38AC7D9C">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38246B7D">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磋商供应商应提交施工进度计划，说明按磋商文件要求的工期进行施工的各个关键日期。成交的磋商供应商还应按合同条件有关条款的要求提交详细的施工进度计划。</w:t>
      </w:r>
    </w:p>
    <w:p w14:paraId="5C0D7B05">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2A24BD3C">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075F4B05">
      <w:pPr>
        <w:spacing w:line="360" w:lineRule="auto"/>
        <w:rPr>
          <w:rFonts w:ascii="宋体" w:hAnsi="宋体" w:cs="宋体"/>
          <w:color w:val="auto"/>
          <w:sz w:val="24"/>
          <w:highlight w:val="none"/>
        </w:rPr>
      </w:pPr>
    </w:p>
    <w:p w14:paraId="0319ED4F">
      <w:pPr>
        <w:spacing w:line="360" w:lineRule="auto"/>
        <w:rPr>
          <w:rFonts w:ascii="宋体" w:hAnsi="宋体" w:cs="宋体"/>
          <w:color w:val="auto"/>
          <w:sz w:val="24"/>
          <w:highlight w:val="none"/>
        </w:rPr>
      </w:pPr>
    </w:p>
    <w:p w14:paraId="4A839C1A">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0052AB1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磋商供应商应递交一份施工总平面图，绘出现场临时设施布置图表并附文字说明，说明临时设施、加工车间、现场办公、设备及仓储、供电、供水、卫生、生活、道路、消防等设施的情况和布置。</w:t>
      </w:r>
    </w:p>
    <w:p w14:paraId="04A86BB3">
      <w:pPr>
        <w:spacing w:line="360" w:lineRule="auto"/>
        <w:rPr>
          <w:rFonts w:ascii="宋体" w:hAnsi="宋体" w:cs="宋体"/>
          <w:color w:val="auto"/>
          <w:sz w:val="24"/>
          <w:highlight w:val="none"/>
        </w:rPr>
      </w:pPr>
    </w:p>
    <w:p w14:paraId="55E20AAA">
      <w:pPr>
        <w:spacing w:line="360" w:lineRule="auto"/>
        <w:rPr>
          <w:rFonts w:ascii="宋体" w:hAnsi="宋体" w:cs="宋体"/>
          <w:color w:val="auto"/>
          <w:sz w:val="24"/>
          <w:highlight w:val="none"/>
        </w:rPr>
      </w:pPr>
    </w:p>
    <w:p w14:paraId="1962CD9A">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63A8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062E862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9B621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538D4A2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1C065DF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6E94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4B59B88A">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0AC50CE5">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9848F88">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6EE7FC12">
            <w:pPr>
              <w:spacing w:line="360" w:lineRule="auto"/>
              <w:rPr>
                <w:rFonts w:ascii="宋体" w:hAnsi="宋体" w:cs="宋体"/>
                <w:color w:val="auto"/>
                <w:sz w:val="24"/>
                <w:highlight w:val="none"/>
              </w:rPr>
            </w:pPr>
          </w:p>
        </w:tc>
      </w:tr>
      <w:tr w14:paraId="0B64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06B90452">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142D7FD8">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4A88110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A9F0E9D">
            <w:pPr>
              <w:spacing w:line="360" w:lineRule="auto"/>
              <w:rPr>
                <w:rFonts w:ascii="宋体" w:hAnsi="宋体" w:cs="宋体"/>
                <w:color w:val="auto"/>
                <w:sz w:val="24"/>
                <w:highlight w:val="none"/>
              </w:rPr>
            </w:pPr>
          </w:p>
        </w:tc>
      </w:tr>
      <w:tr w14:paraId="6F40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1DB63D49">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6D5C173C">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231259F3">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4FF0B031">
            <w:pPr>
              <w:spacing w:line="360" w:lineRule="auto"/>
              <w:rPr>
                <w:rFonts w:ascii="宋体" w:hAnsi="宋体" w:cs="宋体"/>
                <w:color w:val="auto"/>
                <w:sz w:val="24"/>
                <w:highlight w:val="none"/>
              </w:rPr>
            </w:pPr>
          </w:p>
        </w:tc>
      </w:tr>
      <w:tr w14:paraId="568F0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04595EA">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0D1546D3">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B065388">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59B841AF">
            <w:pPr>
              <w:spacing w:line="360" w:lineRule="auto"/>
              <w:rPr>
                <w:rFonts w:ascii="宋体" w:hAnsi="宋体" w:cs="宋体"/>
                <w:color w:val="auto"/>
                <w:sz w:val="24"/>
                <w:highlight w:val="none"/>
              </w:rPr>
            </w:pPr>
          </w:p>
        </w:tc>
      </w:tr>
    </w:tbl>
    <w:p w14:paraId="7C9E7CB6">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lang w:eastAsia="en-US"/>
        </w:rPr>
      </w:pPr>
    </w:p>
    <w:p w14:paraId="285556E4">
      <w:pPr>
        <w:spacing w:line="360" w:lineRule="auto"/>
        <w:rPr>
          <w:rFonts w:ascii="宋体" w:hAnsi="宋体" w:cs="宋体"/>
          <w:color w:val="auto"/>
          <w:highlight w:val="none"/>
        </w:rPr>
        <w:sectPr>
          <w:pgSz w:w="11907" w:h="16839"/>
          <w:pgMar w:top="1431" w:right="1272" w:bottom="1364" w:left="1418" w:header="850" w:footer="1204" w:gutter="0"/>
          <w:pgNumType w:fmt="decimal"/>
          <w:cols w:space="720" w:num="1"/>
          <w:docGrid w:linePitch="286" w:charSpace="0"/>
        </w:sectPr>
      </w:pPr>
    </w:p>
    <w:p w14:paraId="78E09746">
      <w:pPr>
        <w:spacing w:line="360" w:lineRule="auto"/>
        <w:rPr>
          <w:rFonts w:hint="default" w:ascii="宋体" w:hAnsi="宋体" w:eastAsia="宋体" w:cs="宋体"/>
          <w:b/>
          <w:bCs/>
          <w:color w:val="auto"/>
          <w:spacing w:val="9"/>
          <w:position w:val="3"/>
          <w:sz w:val="24"/>
          <w:highlight w:val="none"/>
          <w:lang w:val="en-US" w:eastAsia="zh-CN"/>
        </w:rPr>
      </w:pPr>
      <w:r>
        <w:rPr>
          <w:rFonts w:hint="eastAsia" w:ascii="宋体" w:hAnsi="宋体" w:cs="宋体"/>
          <w:b/>
          <w:bCs/>
          <w:color w:val="auto"/>
          <w:spacing w:val="9"/>
          <w:position w:val="3"/>
          <w:sz w:val="24"/>
          <w:highlight w:val="none"/>
        </w:rPr>
        <w:t>附件</w:t>
      </w:r>
      <w:r>
        <w:rPr>
          <w:rFonts w:hint="eastAsia" w:ascii="宋体" w:hAnsi="宋体" w:cs="宋体"/>
          <w:b/>
          <w:bCs/>
          <w:color w:val="auto"/>
          <w:spacing w:val="9"/>
          <w:position w:val="3"/>
          <w:sz w:val="24"/>
          <w:highlight w:val="none"/>
          <w:lang w:val="en-US" w:eastAsia="zh-CN"/>
        </w:rPr>
        <w:t>12</w:t>
      </w:r>
    </w:p>
    <w:p w14:paraId="4FACB232">
      <w:pPr>
        <w:spacing w:line="360" w:lineRule="auto"/>
        <w:jc w:val="center"/>
        <w:rPr>
          <w:rFonts w:ascii="宋体" w:hAnsi="宋体" w:cs="宋体"/>
          <w:color w:val="auto"/>
          <w:sz w:val="43"/>
          <w:szCs w:val="43"/>
          <w:highlight w:val="none"/>
        </w:rPr>
      </w:pPr>
      <w:r>
        <w:rPr>
          <w:rFonts w:hint="eastAsia" w:ascii="宋体" w:hAnsi="宋体" w:cs="宋体"/>
          <w:b/>
          <w:bCs/>
          <w:color w:val="auto"/>
          <w:spacing w:val="9"/>
          <w:position w:val="3"/>
          <w:sz w:val="28"/>
          <w:szCs w:val="28"/>
          <w:highlight w:val="none"/>
        </w:rPr>
        <w:t>项目管理机构配备情况表及主要人员简历表</w:t>
      </w:r>
    </w:p>
    <w:p w14:paraId="54C056F7">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6D2F26F3">
      <w:pPr>
        <w:spacing w:line="360" w:lineRule="auto"/>
        <w:ind w:left="2716"/>
        <w:rPr>
          <w:rFonts w:ascii="宋体" w:hAnsi="宋体" w:cs="宋体"/>
          <w:b/>
          <w:bCs/>
          <w:color w:val="auto"/>
          <w:sz w:val="31"/>
          <w:szCs w:val="31"/>
          <w:highlight w:val="none"/>
        </w:rPr>
      </w:pPr>
      <w:r>
        <w:rPr>
          <w:rFonts w:hint="eastAsia" w:ascii="宋体" w:hAnsi="宋体" w:cs="宋体"/>
          <w:b/>
          <w:bCs/>
          <w:color w:val="auto"/>
          <w:spacing w:val="8"/>
          <w:sz w:val="28"/>
          <w:szCs w:val="28"/>
          <w:highlight w:val="none"/>
        </w:rPr>
        <w:t>（一）项目管理机构配备情况表</w:t>
      </w:r>
    </w:p>
    <w:p w14:paraId="39C0ED21">
      <w:pPr>
        <w:spacing w:line="360" w:lineRule="auto"/>
        <w:ind w:left="511"/>
        <w:rPr>
          <w:rFonts w:ascii="宋体" w:hAnsi="宋体" w:cs="宋体"/>
          <w:color w:val="auto"/>
          <w:sz w:val="24"/>
          <w:highlight w:val="none"/>
        </w:rPr>
      </w:pPr>
      <w:r>
        <w:rPr>
          <w:rFonts w:hint="eastAsia" w:ascii="宋体" w:hAnsi="宋体" w:cs="宋体"/>
          <w:color w:val="auto"/>
          <w:spacing w:val="-25"/>
          <w:sz w:val="24"/>
          <w:highlight w:val="none"/>
        </w:rPr>
        <w:t>分标（如有</w:t>
      </w:r>
      <w:r>
        <w:rPr>
          <w:rFonts w:hint="eastAsia" w:ascii="宋体" w:hAnsi="宋体" w:cs="宋体"/>
          <w:color w:val="auto"/>
          <w:spacing w:val="-28"/>
          <w:sz w:val="24"/>
          <w:highlight w:val="none"/>
        </w:rPr>
        <w:t>）</w:t>
      </w:r>
      <w:r>
        <w:rPr>
          <w:rFonts w:hint="eastAsia" w:ascii="宋体" w:hAnsi="宋体" w:cs="宋体"/>
          <w:color w:val="auto"/>
          <w:spacing w:val="47"/>
          <w:sz w:val="24"/>
          <w:highlight w:val="none"/>
        </w:rPr>
        <w:t xml:space="preserve"> </w:t>
      </w:r>
      <w:r>
        <w:rPr>
          <w:rFonts w:hint="eastAsia" w:ascii="宋体" w:hAnsi="宋体" w:cs="宋体"/>
          <w:color w:val="auto"/>
          <w:spacing w:val="-28"/>
          <w:sz w:val="24"/>
          <w:highlight w:val="none"/>
        </w:rPr>
        <w:t>：</w:t>
      </w:r>
      <w:r>
        <w:rPr>
          <w:rFonts w:hint="eastAsia" w:ascii="宋体" w:hAnsi="宋体" w:cs="宋体"/>
          <w:color w:val="auto"/>
          <w:sz w:val="24"/>
          <w:highlight w:val="none"/>
          <w:u w:val="single"/>
        </w:rPr>
        <w:t xml:space="preserve">         </w:t>
      </w:r>
    </w:p>
    <w:p w14:paraId="313CE29E">
      <w:pPr>
        <w:spacing w:line="360" w:lineRule="auto"/>
        <w:rPr>
          <w:rFonts w:ascii="宋体" w:hAnsi="宋体" w:cs="宋体"/>
          <w:color w:val="auto"/>
          <w:highlight w:val="none"/>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C214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6CB1B60C">
            <w:pPr>
              <w:spacing w:line="360" w:lineRule="auto"/>
              <w:rPr>
                <w:rFonts w:ascii="宋体" w:hAnsi="宋体" w:cs="宋体"/>
                <w:color w:val="auto"/>
                <w:sz w:val="24"/>
                <w:highlight w:val="none"/>
              </w:rPr>
            </w:pPr>
          </w:p>
          <w:p w14:paraId="3BE0A3D1">
            <w:pPr>
              <w:kinsoku w:val="0"/>
              <w:autoSpaceDE w:val="0"/>
              <w:autoSpaceDN w:val="0"/>
              <w:adjustRightInd w:val="0"/>
              <w:snapToGrid w:val="0"/>
              <w:spacing w:line="360" w:lineRule="auto"/>
              <w:ind w:left="28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shd w:val="clear" w:color="auto" w:fill="auto"/>
            <w:vAlign w:val="center"/>
          </w:tcPr>
          <w:p w14:paraId="2C172186">
            <w:pPr>
              <w:spacing w:line="360" w:lineRule="auto"/>
              <w:rPr>
                <w:rFonts w:ascii="宋体" w:hAnsi="宋体" w:cs="宋体"/>
                <w:color w:val="auto"/>
                <w:sz w:val="24"/>
                <w:highlight w:val="none"/>
              </w:rPr>
            </w:pPr>
          </w:p>
          <w:p w14:paraId="5D38B6AC">
            <w:pPr>
              <w:kinsoku w:val="0"/>
              <w:autoSpaceDE w:val="0"/>
              <w:autoSpaceDN w:val="0"/>
              <w:adjustRightInd w:val="0"/>
              <w:snapToGrid w:val="0"/>
              <w:spacing w:line="360" w:lineRule="auto"/>
              <w:ind w:left="12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shd w:val="clear" w:color="auto" w:fill="auto"/>
            <w:vAlign w:val="center"/>
          </w:tcPr>
          <w:p w14:paraId="1B7F97C1">
            <w:pPr>
              <w:kinsoku w:val="0"/>
              <w:autoSpaceDE w:val="0"/>
              <w:autoSpaceDN w:val="0"/>
              <w:adjustRightInd w:val="0"/>
              <w:snapToGrid w:val="0"/>
              <w:spacing w:line="360" w:lineRule="auto"/>
              <w:ind w:left="21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2798971B">
            <w:pPr>
              <w:kinsoku w:val="0"/>
              <w:autoSpaceDE w:val="0"/>
              <w:autoSpaceDN w:val="0"/>
              <w:adjustRightInd w:val="0"/>
              <w:snapToGrid w:val="0"/>
              <w:spacing w:line="360" w:lineRule="auto"/>
              <w:ind w:left="20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shd w:val="clear" w:color="auto" w:fill="auto"/>
            <w:vAlign w:val="center"/>
          </w:tcPr>
          <w:p w14:paraId="113C0F23">
            <w:pPr>
              <w:spacing w:line="360" w:lineRule="auto"/>
              <w:rPr>
                <w:rFonts w:ascii="宋体" w:hAnsi="宋体" w:cs="宋体"/>
                <w:color w:val="auto"/>
                <w:sz w:val="24"/>
                <w:highlight w:val="none"/>
              </w:rPr>
            </w:pPr>
          </w:p>
          <w:p w14:paraId="1813FA64">
            <w:pPr>
              <w:kinsoku w:val="0"/>
              <w:autoSpaceDE w:val="0"/>
              <w:autoSpaceDN w:val="0"/>
              <w:adjustRightInd w:val="0"/>
              <w:snapToGrid w:val="0"/>
              <w:spacing w:line="360" w:lineRule="auto"/>
              <w:ind w:left="2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shd w:val="clear" w:color="auto" w:fill="auto"/>
            <w:vAlign w:val="center"/>
          </w:tcPr>
          <w:p w14:paraId="70CDDE08">
            <w:pPr>
              <w:kinsoku w:val="0"/>
              <w:autoSpaceDE w:val="0"/>
              <w:autoSpaceDN w:val="0"/>
              <w:adjustRightInd w:val="0"/>
              <w:snapToGrid w:val="0"/>
              <w:spacing w:line="360" w:lineRule="auto"/>
              <w:ind w:left="136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shd w:val="clear" w:color="auto" w:fill="auto"/>
            <w:vAlign w:val="center"/>
          </w:tcPr>
          <w:p w14:paraId="58E71AAC">
            <w:pPr>
              <w:kinsoku w:val="0"/>
              <w:autoSpaceDE w:val="0"/>
              <w:autoSpaceDN w:val="0"/>
              <w:adjustRightInd w:val="0"/>
              <w:snapToGrid w:val="0"/>
              <w:spacing w:line="360" w:lineRule="auto"/>
              <w:ind w:left="115"/>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583B1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36BE557D">
            <w:pPr>
              <w:spacing w:line="360" w:lineRule="auto"/>
              <w:rPr>
                <w:rFonts w:ascii="宋体" w:hAnsi="宋体" w:cs="宋体"/>
                <w:color w:val="auto"/>
                <w:sz w:val="24"/>
                <w:highlight w:val="none"/>
              </w:rPr>
            </w:pPr>
          </w:p>
        </w:tc>
        <w:tc>
          <w:tcPr>
            <w:tcW w:w="669" w:type="dxa"/>
            <w:vMerge w:val="continue"/>
            <w:tcBorders>
              <w:top w:val="nil"/>
            </w:tcBorders>
            <w:shd w:val="clear" w:color="auto" w:fill="auto"/>
            <w:vAlign w:val="center"/>
          </w:tcPr>
          <w:p w14:paraId="7FD5CAA8">
            <w:pPr>
              <w:spacing w:line="360" w:lineRule="auto"/>
              <w:rPr>
                <w:rFonts w:ascii="宋体" w:hAnsi="宋体" w:cs="宋体"/>
                <w:color w:val="auto"/>
                <w:sz w:val="24"/>
                <w:highlight w:val="none"/>
              </w:rPr>
            </w:pPr>
          </w:p>
        </w:tc>
        <w:tc>
          <w:tcPr>
            <w:tcW w:w="827" w:type="dxa"/>
            <w:vMerge w:val="continue"/>
            <w:tcBorders>
              <w:top w:val="nil"/>
            </w:tcBorders>
            <w:shd w:val="clear" w:color="auto" w:fill="auto"/>
            <w:vAlign w:val="center"/>
          </w:tcPr>
          <w:p w14:paraId="4E52CFD4">
            <w:pPr>
              <w:spacing w:line="360" w:lineRule="auto"/>
              <w:rPr>
                <w:rFonts w:ascii="宋体" w:hAnsi="宋体" w:cs="宋体"/>
                <w:color w:val="auto"/>
                <w:sz w:val="24"/>
                <w:highlight w:val="none"/>
              </w:rPr>
            </w:pPr>
          </w:p>
        </w:tc>
        <w:tc>
          <w:tcPr>
            <w:tcW w:w="815" w:type="dxa"/>
            <w:vMerge w:val="continue"/>
            <w:tcBorders>
              <w:top w:val="nil"/>
            </w:tcBorders>
            <w:shd w:val="clear" w:color="auto" w:fill="auto"/>
            <w:vAlign w:val="center"/>
          </w:tcPr>
          <w:p w14:paraId="2539C9A9">
            <w:pPr>
              <w:spacing w:line="360" w:lineRule="auto"/>
              <w:rPr>
                <w:rFonts w:ascii="宋体" w:hAnsi="宋体" w:cs="宋体"/>
                <w:color w:val="auto"/>
                <w:sz w:val="24"/>
                <w:highlight w:val="none"/>
              </w:rPr>
            </w:pPr>
          </w:p>
        </w:tc>
        <w:tc>
          <w:tcPr>
            <w:tcW w:w="1147" w:type="dxa"/>
            <w:shd w:val="clear" w:color="auto" w:fill="auto"/>
            <w:vAlign w:val="center"/>
          </w:tcPr>
          <w:p w14:paraId="2E7E4B99">
            <w:pPr>
              <w:kinsoku w:val="0"/>
              <w:autoSpaceDE w:val="0"/>
              <w:autoSpaceDN w:val="0"/>
              <w:adjustRightInd w:val="0"/>
              <w:snapToGrid w:val="0"/>
              <w:spacing w:line="360" w:lineRule="auto"/>
              <w:ind w:left="15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shd w:val="clear" w:color="auto" w:fill="auto"/>
            <w:vAlign w:val="center"/>
          </w:tcPr>
          <w:p w14:paraId="190DF1A0">
            <w:pPr>
              <w:kinsoku w:val="0"/>
              <w:autoSpaceDE w:val="0"/>
              <w:autoSpaceDN w:val="0"/>
              <w:adjustRightInd w:val="0"/>
              <w:snapToGrid w:val="0"/>
              <w:spacing w:line="360" w:lineRule="auto"/>
              <w:ind w:left="37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shd w:val="clear" w:color="auto" w:fill="auto"/>
            <w:vAlign w:val="center"/>
          </w:tcPr>
          <w:p w14:paraId="72F048AD">
            <w:pPr>
              <w:kinsoku w:val="0"/>
              <w:autoSpaceDE w:val="0"/>
              <w:autoSpaceDN w:val="0"/>
              <w:adjustRightInd w:val="0"/>
              <w:snapToGrid w:val="0"/>
              <w:spacing w:line="360" w:lineRule="auto"/>
              <w:ind w:left="3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shd w:val="clear" w:color="auto" w:fill="auto"/>
            <w:vAlign w:val="center"/>
          </w:tcPr>
          <w:p w14:paraId="0DAB6DA8">
            <w:pPr>
              <w:kinsoku w:val="0"/>
              <w:autoSpaceDE w:val="0"/>
              <w:autoSpaceDN w:val="0"/>
              <w:adjustRightInd w:val="0"/>
              <w:snapToGrid w:val="0"/>
              <w:spacing w:line="360" w:lineRule="auto"/>
              <w:ind w:left="16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shd w:val="clear" w:color="auto" w:fill="auto"/>
            <w:vAlign w:val="center"/>
          </w:tcPr>
          <w:p w14:paraId="3003B31C">
            <w:pPr>
              <w:kinsoku w:val="0"/>
              <w:autoSpaceDE w:val="0"/>
              <w:autoSpaceDN w:val="0"/>
              <w:adjustRightInd w:val="0"/>
              <w:snapToGrid w:val="0"/>
              <w:spacing w:line="360" w:lineRule="auto"/>
              <w:ind w:left="1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shd w:val="clear" w:color="auto" w:fill="auto"/>
            <w:vAlign w:val="center"/>
          </w:tcPr>
          <w:p w14:paraId="182173C7">
            <w:pPr>
              <w:kinsoku w:val="0"/>
              <w:autoSpaceDE w:val="0"/>
              <w:autoSpaceDN w:val="0"/>
              <w:adjustRightInd w:val="0"/>
              <w:snapToGrid w:val="0"/>
              <w:spacing w:line="360" w:lineRule="auto"/>
              <w:ind w:left="439" w:right="213" w:hanging="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主要项目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3"/>
                <w:kern w:val="0"/>
                <w:sz w:val="24"/>
                <w:highlight w:val="none"/>
                <w:lang w:eastAsia="en-US"/>
              </w:rPr>
              <w:t>名称</w:t>
            </w:r>
          </w:p>
        </w:tc>
      </w:tr>
      <w:tr w14:paraId="56253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9ED5D0C">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24E1C703">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shd w:val="clear" w:color="auto" w:fill="auto"/>
            <w:vAlign w:val="center"/>
          </w:tcPr>
          <w:p w14:paraId="24FDEF01">
            <w:pPr>
              <w:spacing w:line="360" w:lineRule="auto"/>
              <w:rPr>
                <w:rFonts w:ascii="宋体" w:hAnsi="宋体" w:cs="宋体"/>
                <w:color w:val="auto"/>
                <w:sz w:val="24"/>
                <w:highlight w:val="none"/>
              </w:rPr>
            </w:pPr>
          </w:p>
        </w:tc>
        <w:tc>
          <w:tcPr>
            <w:tcW w:w="827" w:type="dxa"/>
            <w:shd w:val="clear" w:color="auto" w:fill="auto"/>
            <w:vAlign w:val="center"/>
          </w:tcPr>
          <w:p w14:paraId="1CEAAFEE">
            <w:pPr>
              <w:spacing w:line="360" w:lineRule="auto"/>
              <w:rPr>
                <w:rFonts w:ascii="宋体" w:hAnsi="宋体" w:cs="宋体"/>
                <w:color w:val="auto"/>
                <w:sz w:val="24"/>
                <w:highlight w:val="none"/>
              </w:rPr>
            </w:pPr>
          </w:p>
        </w:tc>
        <w:tc>
          <w:tcPr>
            <w:tcW w:w="815" w:type="dxa"/>
            <w:shd w:val="clear" w:color="auto" w:fill="auto"/>
            <w:vAlign w:val="center"/>
          </w:tcPr>
          <w:p w14:paraId="4624AE4A">
            <w:pPr>
              <w:spacing w:line="360" w:lineRule="auto"/>
              <w:rPr>
                <w:rFonts w:ascii="宋体" w:hAnsi="宋体" w:cs="宋体"/>
                <w:color w:val="auto"/>
                <w:sz w:val="24"/>
                <w:highlight w:val="none"/>
              </w:rPr>
            </w:pPr>
          </w:p>
        </w:tc>
        <w:tc>
          <w:tcPr>
            <w:tcW w:w="1147" w:type="dxa"/>
            <w:shd w:val="clear" w:color="auto" w:fill="auto"/>
            <w:vAlign w:val="center"/>
          </w:tcPr>
          <w:p w14:paraId="7986C595">
            <w:pPr>
              <w:spacing w:line="360" w:lineRule="auto"/>
              <w:rPr>
                <w:rFonts w:ascii="宋体" w:hAnsi="宋体" w:cs="宋体"/>
                <w:color w:val="auto"/>
                <w:sz w:val="24"/>
                <w:highlight w:val="none"/>
              </w:rPr>
            </w:pPr>
          </w:p>
        </w:tc>
        <w:tc>
          <w:tcPr>
            <w:tcW w:w="1149" w:type="dxa"/>
            <w:shd w:val="clear" w:color="auto" w:fill="auto"/>
            <w:vAlign w:val="center"/>
          </w:tcPr>
          <w:p w14:paraId="75CE6210">
            <w:pPr>
              <w:spacing w:line="360" w:lineRule="auto"/>
              <w:rPr>
                <w:rFonts w:ascii="宋体" w:hAnsi="宋体" w:cs="宋体"/>
                <w:color w:val="auto"/>
                <w:sz w:val="24"/>
                <w:highlight w:val="none"/>
              </w:rPr>
            </w:pPr>
          </w:p>
        </w:tc>
        <w:tc>
          <w:tcPr>
            <w:tcW w:w="1147" w:type="dxa"/>
            <w:shd w:val="clear" w:color="auto" w:fill="auto"/>
            <w:vAlign w:val="center"/>
          </w:tcPr>
          <w:p w14:paraId="6FCA543E">
            <w:pPr>
              <w:spacing w:line="360" w:lineRule="auto"/>
              <w:rPr>
                <w:rFonts w:ascii="宋体" w:hAnsi="宋体" w:cs="宋体"/>
                <w:color w:val="auto"/>
                <w:sz w:val="24"/>
                <w:highlight w:val="none"/>
              </w:rPr>
            </w:pPr>
          </w:p>
        </w:tc>
        <w:tc>
          <w:tcPr>
            <w:tcW w:w="744" w:type="dxa"/>
            <w:shd w:val="clear" w:color="auto" w:fill="auto"/>
            <w:vAlign w:val="center"/>
          </w:tcPr>
          <w:p w14:paraId="30273B79">
            <w:pPr>
              <w:spacing w:line="360" w:lineRule="auto"/>
              <w:rPr>
                <w:rFonts w:ascii="宋体" w:hAnsi="宋体" w:cs="宋体"/>
                <w:color w:val="auto"/>
                <w:sz w:val="24"/>
                <w:highlight w:val="none"/>
              </w:rPr>
            </w:pPr>
          </w:p>
        </w:tc>
        <w:tc>
          <w:tcPr>
            <w:tcW w:w="1166" w:type="dxa"/>
            <w:shd w:val="clear" w:color="auto" w:fill="auto"/>
            <w:vAlign w:val="center"/>
          </w:tcPr>
          <w:p w14:paraId="37787495">
            <w:pPr>
              <w:spacing w:line="360" w:lineRule="auto"/>
              <w:rPr>
                <w:rFonts w:ascii="宋体" w:hAnsi="宋体" w:cs="宋体"/>
                <w:color w:val="auto"/>
                <w:sz w:val="24"/>
                <w:highlight w:val="none"/>
              </w:rPr>
            </w:pPr>
          </w:p>
        </w:tc>
        <w:tc>
          <w:tcPr>
            <w:tcW w:w="1281" w:type="dxa"/>
            <w:shd w:val="clear" w:color="auto" w:fill="auto"/>
            <w:vAlign w:val="center"/>
          </w:tcPr>
          <w:p w14:paraId="5394094C">
            <w:pPr>
              <w:spacing w:line="360" w:lineRule="auto"/>
              <w:rPr>
                <w:rFonts w:ascii="宋体" w:hAnsi="宋体" w:cs="宋体"/>
                <w:color w:val="auto"/>
                <w:sz w:val="24"/>
                <w:highlight w:val="none"/>
              </w:rPr>
            </w:pPr>
          </w:p>
        </w:tc>
      </w:tr>
      <w:tr w14:paraId="06C4B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64DD64B3">
            <w:pPr>
              <w:kinsoku w:val="0"/>
              <w:autoSpaceDE w:val="0"/>
              <w:autoSpaceDN w:val="0"/>
              <w:adjustRightInd w:val="0"/>
              <w:snapToGrid w:val="0"/>
              <w:spacing w:line="360" w:lineRule="auto"/>
              <w:ind w:left="118" w:right="179" w:hanging="6"/>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shd w:val="clear" w:color="auto" w:fill="auto"/>
            <w:vAlign w:val="center"/>
          </w:tcPr>
          <w:p w14:paraId="578B23A5">
            <w:pPr>
              <w:spacing w:line="360" w:lineRule="auto"/>
              <w:rPr>
                <w:rFonts w:ascii="宋体" w:hAnsi="宋体" w:cs="宋体"/>
                <w:color w:val="auto"/>
                <w:sz w:val="24"/>
                <w:highlight w:val="none"/>
              </w:rPr>
            </w:pPr>
          </w:p>
        </w:tc>
        <w:tc>
          <w:tcPr>
            <w:tcW w:w="827" w:type="dxa"/>
            <w:shd w:val="clear" w:color="auto" w:fill="auto"/>
            <w:vAlign w:val="center"/>
          </w:tcPr>
          <w:p w14:paraId="140141A4">
            <w:pPr>
              <w:spacing w:line="360" w:lineRule="auto"/>
              <w:rPr>
                <w:rFonts w:ascii="宋体" w:hAnsi="宋体" w:cs="宋体"/>
                <w:color w:val="auto"/>
                <w:sz w:val="24"/>
                <w:highlight w:val="none"/>
              </w:rPr>
            </w:pPr>
          </w:p>
        </w:tc>
        <w:tc>
          <w:tcPr>
            <w:tcW w:w="815" w:type="dxa"/>
            <w:shd w:val="clear" w:color="auto" w:fill="auto"/>
            <w:vAlign w:val="center"/>
          </w:tcPr>
          <w:p w14:paraId="1A0C08DB">
            <w:pPr>
              <w:spacing w:line="360" w:lineRule="auto"/>
              <w:rPr>
                <w:rFonts w:ascii="宋体" w:hAnsi="宋体" w:cs="宋体"/>
                <w:color w:val="auto"/>
                <w:sz w:val="24"/>
                <w:highlight w:val="none"/>
              </w:rPr>
            </w:pPr>
          </w:p>
        </w:tc>
        <w:tc>
          <w:tcPr>
            <w:tcW w:w="1147" w:type="dxa"/>
            <w:shd w:val="clear" w:color="auto" w:fill="auto"/>
            <w:vAlign w:val="center"/>
          </w:tcPr>
          <w:p w14:paraId="09C70794">
            <w:pPr>
              <w:spacing w:line="360" w:lineRule="auto"/>
              <w:rPr>
                <w:rFonts w:ascii="宋体" w:hAnsi="宋体" w:cs="宋体"/>
                <w:color w:val="auto"/>
                <w:sz w:val="24"/>
                <w:highlight w:val="none"/>
              </w:rPr>
            </w:pPr>
          </w:p>
        </w:tc>
        <w:tc>
          <w:tcPr>
            <w:tcW w:w="1149" w:type="dxa"/>
            <w:shd w:val="clear" w:color="auto" w:fill="auto"/>
            <w:vAlign w:val="center"/>
          </w:tcPr>
          <w:p w14:paraId="305C0CD2">
            <w:pPr>
              <w:spacing w:line="360" w:lineRule="auto"/>
              <w:rPr>
                <w:rFonts w:ascii="宋体" w:hAnsi="宋体" w:cs="宋体"/>
                <w:color w:val="auto"/>
                <w:sz w:val="24"/>
                <w:highlight w:val="none"/>
              </w:rPr>
            </w:pPr>
          </w:p>
        </w:tc>
        <w:tc>
          <w:tcPr>
            <w:tcW w:w="1147" w:type="dxa"/>
            <w:shd w:val="clear" w:color="auto" w:fill="auto"/>
            <w:vAlign w:val="center"/>
          </w:tcPr>
          <w:p w14:paraId="7FBCD8C0">
            <w:pPr>
              <w:spacing w:line="360" w:lineRule="auto"/>
              <w:rPr>
                <w:rFonts w:ascii="宋体" w:hAnsi="宋体" w:cs="宋体"/>
                <w:color w:val="auto"/>
                <w:sz w:val="24"/>
                <w:highlight w:val="none"/>
              </w:rPr>
            </w:pPr>
          </w:p>
        </w:tc>
        <w:tc>
          <w:tcPr>
            <w:tcW w:w="744" w:type="dxa"/>
            <w:shd w:val="clear" w:color="auto" w:fill="auto"/>
            <w:vAlign w:val="center"/>
          </w:tcPr>
          <w:p w14:paraId="6812CE97">
            <w:pPr>
              <w:spacing w:line="360" w:lineRule="auto"/>
              <w:rPr>
                <w:rFonts w:ascii="宋体" w:hAnsi="宋体" w:cs="宋体"/>
                <w:color w:val="auto"/>
                <w:sz w:val="24"/>
                <w:highlight w:val="none"/>
              </w:rPr>
            </w:pPr>
          </w:p>
        </w:tc>
        <w:tc>
          <w:tcPr>
            <w:tcW w:w="1166" w:type="dxa"/>
            <w:shd w:val="clear" w:color="auto" w:fill="auto"/>
            <w:vAlign w:val="center"/>
          </w:tcPr>
          <w:p w14:paraId="792784F1">
            <w:pPr>
              <w:spacing w:line="360" w:lineRule="auto"/>
              <w:rPr>
                <w:rFonts w:ascii="宋体" w:hAnsi="宋体" w:cs="宋体"/>
                <w:color w:val="auto"/>
                <w:sz w:val="24"/>
                <w:highlight w:val="none"/>
              </w:rPr>
            </w:pPr>
          </w:p>
        </w:tc>
        <w:tc>
          <w:tcPr>
            <w:tcW w:w="1281" w:type="dxa"/>
            <w:shd w:val="clear" w:color="auto" w:fill="auto"/>
            <w:vAlign w:val="center"/>
          </w:tcPr>
          <w:p w14:paraId="48FF4F8B">
            <w:pPr>
              <w:spacing w:line="360" w:lineRule="auto"/>
              <w:rPr>
                <w:rFonts w:ascii="宋体" w:hAnsi="宋体" w:cs="宋体"/>
                <w:color w:val="auto"/>
                <w:sz w:val="24"/>
                <w:highlight w:val="none"/>
              </w:rPr>
            </w:pPr>
          </w:p>
        </w:tc>
      </w:tr>
      <w:tr w14:paraId="54379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6CC826D1">
            <w:pPr>
              <w:kinsoku w:val="0"/>
              <w:autoSpaceDE w:val="0"/>
              <w:autoSpaceDN w:val="0"/>
              <w:adjustRightInd w:val="0"/>
              <w:snapToGrid w:val="0"/>
              <w:spacing w:line="360" w:lineRule="auto"/>
              <w:ind w:left="123" w:right="129" w:hanging="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施工</w:t>
            </w:r>
            <w:r>
              <w:rPr>
                <w:rFonts w:hint="eastAsia" w:ascii="宋体" w:hAnsi="宋体" w:cs="宋体"/>
                <w:snapToGrid w:val="0"/>
                <w:color w:val="auto"/>
                <w:spacing w:val="1"/>
                <w:kern w:val="0"/>
                <w:sz w:val="24"/>
                <w:highlight w:val="none"/>
                <w:lang w:eastAsia="en-US"/>
              </w:rPr>
              <w:t xml:space="preserve"> </w:t>
            </w: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2AEC7547">
            <w:pPr>
              <w:spacing w:line="360" w:lineRule="auto"/>
              <w:rPr>
                <w:rFonts w:ascii="宋体" w:hAnsi="宋体" w:cs="宋体"/>
                <w:color w:val="auto"/>
                <w:sz w:val="24"/>
                <w:highlight w:val="none"/>
              </w:rPr>
            </w:pPr>
          </w:p>
        </w:tc>
        <w:tc>
          <w:tcPr>
            <w:tcW w:w="827" w:type="dxa"/>
            <w:shd w:val="clear" w:color="auto" w:fill="auto"/>
            <w:vAlign w:val="center"/>
          </w:tcPr>
          <w:p w14:paraId="7E21E4F4">
            <w:pPr>
              <w:spacing w:line="360" w:lineRule="auto"/>
              <w:rPr>
                <w:rFonts w:ascii="宋体" w:hAnsi="宋体" w:cs="宋体"/>
                <w:color w:val="auto"/>
                <w:sz w:val="24"/>
                <w:highlight w:val="none"/>
              </w:rPr>
            </w:pPr>
          </w:p>
        </w:tc>
        <w:tc>
          <w:tcPr>
            <w:tcW w:w="815" w:type="dxa"/>
            <w:shd w:val="clear" w:color="auto" w:fill="auto"/>
            <w:vAlign w:val="center"/>
          </w:tcPr>
          <w:p w14:paraId="5BC38D98">
            <w:pPr>
              <w:spacing w:line="360" w:lineRule="auto"/>
              <w:rPr>
                <w:rFonts w:ascii="宋体" w:hAnsi="宋体" w:cs="宋体"/>
                <w:color w:val="auto"/>
                <w:sz w:val="24"/>
                <w:highlight w:val="none"/>
              </w:rPr>
            </w:pPr>
          </w:p>
        </w:tc>
        <w:tc>
          <w:tcPr>
            <w:tcW w:w="1147" w:type="dxa"/>
            <w:shd w:val="clear" w:color="auto" w:fill="auto"/>
            <w:vAlign w:val="center"/>
          </w:tcPr>
          <w:p w14:paraId="6C7C509E">
            <w:pPr>
              <w:spacing w:line="360" w:lineRule="auto"/>
              <w:rPr>
                <w:rFonts w:ascii="宋体" w:hAnsi="宋体" w:cs="宋体"/>
                <w:color w:val="auto"/>
                <w:sz w:val="24"/>
                <w:highlight w:val="none"/>
              </w:rPr>
            </w:pPr>
          </w:p>
        </w:tc>
        <w:tc>
          <w:tcPr>
            <w:tcW w:w="1149" w:type="dxa"/>
            <w:shd w:val="clear" w:color="auto" w:fill="auto"/>
            <w:vAlign w:val="center"/>
          </w:tcPr>
          <w:p w14:paraId="01865723">
            <w:pPr>
              <w:spacing w:line="360" w:lineRule="auto"/>
              <w:rPr>
                <w:rFonts w:ascii="宋体" w:hAnsi="宋体" w:cs="宋体"/>
                <w:color w:val="auto"/>
                <w:sz w:val="24"/>
                <w:highlight w:val="none"/>
              </w:rPr>
            </w:pPr>
          </w:p>
        </w:tc>
        <w:tc>
          <w:tcPr>
            <w:tcW w:w="1147" w:type="dxa"/>
            <w:shd w:val="clear" w:color="auto" w:fill="auto"/>
            <w:vAlign w:val="center"/>
          </w:tcPr>
          <w:p w14:paraId="42BCF16F">
            <w:pPr>
              <w:spacing w:line="360" w:lineRule="auto"/>
              <w:rPr>
                <w:rFonts w:ascii="宋体" w:hAnsi="宋体" w:cs="宋体"/>
                <w:color w:val="auto"/>
                <w:sz w:val="24"/>
                <w:highlight w:val="none"/>
              </w:rPr>
            </w:pPr>
          </w:p>
        </w:tc>
        <w:tc>
          <w:tcPr>
            <w:tcW w:w="744" w:type="dxa"/>
            <w:shd w:val="clear" w:color="auto" w:fill="auto"/>
            <w:vAlign w:val="center"/>
          </w:tcPr>
          <w:p w14:paraId="0512021F">
            <w:pPr>
              <w:spacing w:line="360" w:lineRule="auto"/>
              <w:rPr>
                <w:rFonts w:ascii="宋体" w:hAnsi="宋体" w:cs="宋体"/>
                <w:color w:val="auto"/>
                <w:sz w:val="24"/>
                <w:highlight w:val="none"/>
              </w:rPr>
            </w:pPr>
          </w:p>
        </w:tc>
        <w:tc>
          <w:tcPr>
            <w:tcW w:w="1166" w:type="dxa"/>
            <w:shd w:val="clear" w:color="auto" w:fill="auto"/>
            <w:vAlign w:val="center"/>
          </w:tcPr>
          <w:p w14:paraId="022FA330">
            <w:pPr>
              <w:spacing w:line="360" w:lineRule="auto"/>
              <w:rPr>
                <w:rFonts w:ascii="宋体" w:hAnsi="宋体" w:cs="宋体"/>
                <w:color w:val="auto"/>
                <w:sz w:val="24"/>
                <w:highlight w:val="none"/>
              </w:rPr>
            </w:pPr>
          </w:p>
        </w:tc>
        <w:tc>
          <w:tcPr>
            <w:tcW w:w="1281" w:type="dxa"/>
            <w:shd w:val="clear" w:color="auto" w:fill="auto"/>
            <w:vAlign w:val="center"/>
          </w:tcPr>
          <w:p w14:paraId="09E3EDC1">
            <w:pPr>
              <w:spacing w:line="360" w:lineRule="auto"/>
              <w:rPr>
                <w:rFonts w:ascii="宋体" w:hAnsi="宋体" w:cs="宋体"/>
                <w:color w:val="auto"/>
                <w:sz w:val="24"/>
                <w:highlight w:val="none"/>
              </w:rPr>
            </w:pPr>
          </w:p>
        </w:tc>
      </w:tr>
      <w:tr w14:paraId="0F69A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C6069A">
            <w:pPr>
              <w:kinsoku w:val="0"/>
              <w:autoSpaceDE w:val="0"/>
              <w:autoSpaceDN w:val="0"/>
              <w:adjustRightInd w:val="0"/>
              <w:snapToGrid w:val="0"/>
              <w:spacing w:line="360" w:lineRule="auto"/>
              <w:ind w:left="1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766490B6">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3A50E819">
            <w:pPr>
              <w:spacing w:line="360" w:lineRule="auto"/>
              <w:rPr>
                <w:rFonts w:ascii="宋体" w:hAnsi="宋体" w:cs="宋体"/>
                <w:color w:val="auto"/>
                <w:sz w:val="24"/>
                <w:highlight w:val="none"/>
              </w:rPr>
            </w:pPr>
          </w:p>
        </w:tc>
        <w:tc>
          <w:tcPr>
            <w:tcW w:w="827" w:type="dxa"/>
            <w:shd w:val="clear" w:color="auto" w:fill="auto"/>
            <w:vAlign w:val="center"/>
          </w:tcPr>
          <w:p w14:paraId="5876F530">
            <w:pPr>
              <w:spacing w:line="360" w:lineRule="auto"/>
              <w:rPr>
                <w:rFonts w:ascii="宋体" w:hAnsi="宋体" w:cs="宋体"/>
                <w:color w:val="auto"/>
                <w:sz w:val="24"/>
                <w:highlight w:val="none"/>
              </w:rPr>
            </w:pPr>
          </w:p>
        </w:tc>
        <w:tc>
          <w:tcPr>
            <w:tcW w:w="815" w:type="dxa"/>
            <w:shd w:val="clear" w:color="auto" w:fill="auto"/>
            <w:vAlign w:val="center"/>
          </w:tcPr>
          <w:p w14:paraId="0641B9C8">
            <w:pPr>
              <w:spacing w:line="360" w:lineRule="auto"/>
              <w:rPr>
                <w:rFonts w:ascii="宋体" w:hAnsi="宋体" w:cs="宋体"/>
                <w:color w:val="auto"/>
                <w:sz w:val="24"/>
                <w:highlight w:val="none"/>
              </w:rPr>
            </w:pPr>
          </w:p>
        </w:tc>
        <w:tc>
          <w:tcPr>
            <w:tcW w:w="1147" w:type="dxa"/>
            <w:shd w:val="clear" w:color="auto" w:fill="auto"/>
            <w:vAlign w:val="center"/>
          </w:tcPr>
          <w:p w14:paraId="55E53792">
            <w:pPr>
              <w:spacing w:line="360" w:lineRule="auto"/>
              <w:rPr>
                <w:rFonts w:ascii="宋体" w:hAnsi="宋体" w:cs="宋体"/>
                <w:color w:val="auto"/>
                <w:sz w:val="24"/>
                <w:highlight w:val="none"/>
              </w:rPr>
            </w:pPr>
          </w:p>
        </w:tc>
        <w:tc>
          <w:tcPr>
            <w:tcW w:w="1149" w:type="dxa"/>
            <w:shd w:val="clear" w:color="auto" w:fill="auto"/>
            <w:vAlign w:val="center"/>
          </w:tcPr>
          <w:p w14:paraId="2B002DCD">
            <w:pPr>
              <w:spacing w:line="360" w:lineRule="auto"/>
              <w:rPr>
                <w:rFonts w:ascii="宋体" w:hAnsi="宋体" w:cs="宋体"/>
                <w:color w:val="auto"/>
                <w:sz w:val="24"/>
                <w:highlight w:val="none"/>
              </w:rPr>
            </w:pPr>
          </w:p>
        </w:tc>
        <w:tc>
          <w:tcPr>
            <w:tcW w:w="1147" w:type="dxa"/>
            <w:shd w:val="clear" w:color="auto" w:fill="auto"/>
            <w:vAlign w:val="center"/>
          </w:tcPr>
          <w:p w14:paraId="55E0C963">
            <w:pPr>
              <w:spacing w:line="360" w:lineRule="auto"/>
              <w:rPr>
                <w:rFonts w:ascii="宋体" w:hAnsi="宋体" w:cs="宋体"/>
                <w:color w:val="auto"/>
                <w:sz w:val="24"/>
                <w:highlight w:val="none"/>
              </w:rPr>
            </w:pPr>
          </w:p>
        </w:tc>
        <w:tc>
          <w:tcPr>
            <w:tcW w:w="744" w:type="dxa"/>
            <w:shd w:val="clear" w:color="auto" w:fill="auto"/>
            <w:vAlign w:val="center"/>
          </w:tcPr>
          <w:p w14:paraId="1C2A94FE">
            <w:pPr>
              <w:spacing w:line="360" w:lineRule="auto"/>
              <w:rPr>
                <w:rFonts w:ascii="宋体" w:hAnsi="宋体" w:cs="宋体"/>
                <w:color w:val="auto"/>
                <w:sz w:val="24"/>
                <w:highlight w:val="none"/>
              </w:rPr>
            </w:pPr>
          </w:p>
        </w:tc>
        <w:tc>
          <w:tcPr>
            <w:tcW w:w="1166" w:type="dxa"/>
            <w:shd w:val="clear" w:color="auto" w:fill="auto"/>
            <w:vAlign w:val="center"/>
          </w:tcPr>
          <w:p w14:paraId="70E5D941">
            <w:pPr>
              <w:spacing w:line="360" w:lineRule="auto"/>
              <w:rPr>
                <w:rFonts w:ascii="宋体" w:hAnsi="宋体" w:cs="宋体"/>
                <w:color w:val="auto"/>
                <w:sz w:val="24"/>
                <w:highlight w:val="none"/>
              </w:rPr>
            </w:pPr>
          </w:p>
        </w:tc>
        <w:tc>
          <w:tcPr>
            <w:tcW w:w="1281" w:type="dxa"/>
            <w:shd w:val="clear" w:color="auto" w:fill="auto"/>
            <w:vAlign w:val="center"/>
          </w:tcPr>
          <w:p w14:paraId="144ABCB1">
            <w:pPr>
              <w:spacing w:line="360" w:lineRule="auto"/>
              <w:rPr>
                <w:rFonts w:ascii="宋体" w:hAnsi="宋体" w:cs="宋体"/>
                <w:color w:val="auto"/>
                <w:sz w:val="24"/>
                <w:highlight w:val="none"/>
              </w:rPr>
            </w:pPr>
          </w:p>
        </w:tc>
      </w:tr>
      <w:tr w14:paraId="70533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E349C6F">
            <w:pPr>
              <w:kinsoku w:val="0"/>
              <w:autoSpaceDE w:val="0"/>
              <w:autoSpaceDN w:val="0"/>
              <w:adjustRightInd w:val="0"/>
              <w:snapToGrid w:val="0"/>
              <w:spacing w:line="360" w:lineRule="auto"/>
              <w:ind w:left="123" w:right="129" w:hanging="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 xml:space="preserve"> 员</w:t>
            </w:r>
          </w:p>
        </w:tc>
        <w:tc>
          <w:tcPr>
            <w:tcW w:w="669" w:type="dxa"/>
            <w:shd w:val="clear" w:color="auto" w:fill="auto"/>
            <w:vAlign w:val="center"/>
          </w:tcPr>
          <w:p w14:paraId="1D361022">
            <w:pPr>
              <w:spacing w:line="360" w:lineRule="auto"/>
              <w:rPr>
                <w:rFonts w:ascii="宋体" w:hAnsi="宋体" w:cs="宋体"/>
                <w:color w:val="auto"/>
                <w:sz w:val="24"/>
                <w:highlight w:val="none"/>
              </w:rPr>
            </w:pPr>
          </w:p>
        </w:tc>
        <w:tc>
          <w:tcPr>
            <w:tcW w:w="827" w:type="dxa"/>
            <w:shd w:val="clear" w:color="auto" w:fill="auto"/>
            <w:vAlign w:val="center"/>
          </w:tcPr>
          <w:p w14:paraId="368DD0C3">
            <w:pPr>
              <w:spacing w:line="360" w:lineRule="auto"/>
              <w:rPr>
                <w:rFonts w:ascii="宋体" w:hAnsi="宋体" w:cs="宋体"/>
                <w:color w:val="auto"/>
                <w:sz w:val="24"/>
                <w:highlight w:val="none"/>
              </w:rPr>
            </w:pPr>
          </w:p>
        </w:tc>
        <w:tc>
          <w:tcPr>
            <w:tcW w:w="815" w:type="dxa"/>
            <w:shd w:val="clear" w:color="auto" w:fill="auto"/>
            <w:vAlign w:val="center"/>
          </w:tcPr>
          <w:p w14:paraId="5834B9C9">
            <w:pPr>
              <w:spacing w:line="360" w:lineRule="auto"/>
              <w:rPr>
                <w:rFonts w:ascii="宋体" w:hAnsi="宋体" w:cs="宋体"/>
                <w:color w:val="auto"/>
                <w:sz w:val="24"/>
                <w:highlight w:val="none"/>
              </w:rPr>
            </w:pPr>
          </w:p>
        </w:tc>
        <w:tc>
          <w:tcPr>
            <w:tcW w:w="1147" w:type="dxa"/>
            <w:shd w:val="clear" w:color="auto" w:fill="auto"/>
            <w:vAlign w:val="center"/>
          </w:tcPr>
          <w:p w14:paraId="7CF2CD36">
            <w:pPr>
              <w:spacing w:line="360" w:lineRule="auto"/>
              <w:rPr>
                <w:rFonts w:ascii="宋体" w:hAnsi="宋体" w:cs="宋体"/>
                <w:color w:val="auto"/>
                <w:sz w:val="24"/>
                <w:highlight w:val="none"/>
              </w:rPr>
            </w:pPr>
          </w:p>
        </w:tc>
        <w:tc>
          <w:tcPr>
            <w:tcW w:w="1149" w:type="dxa"/>
            <w:shd w:val="clear" w:color="auto" w:fill="auto"/>
            <w:vAlign w:val="center"/>
          </w:tcPr>
          <w:p w14:paraId="0DF552C2">
            <w:pPr>
              <w:spacing w:line="360" w:lineRule="auto"/>
              <w:rPr>
                <w:rFonts w:ascii="宋体" w:hAnsi="宋体" w:cs="宋体"/>
                <w:color w:val="auto"/>
                <w:sz w:val="24"/>
                <w:highlight w:val="none"/>
              </w:rPr>
            </w:pPr>
          </w:p>
        </w:tc>
        <w:tc>
          <w:tcPr>
            <w:tcW w:w="1147" w:type="dxa"/>
            <w:shd w:val="clear" w:color="auto" w:fill="auto"/>
            <w:vAlign w:val="center"/>
          </w:tcPr>
          <w:p w14:paraId="23A45911">
            <w:pPr>
              <w:spacing w:line="360" w:lineRule="auto"/>
              <w:rPr>
                <w:rFonts w:ascii="宋体" w:hAnsi="宋体" w:cs="宋体"/>
                <w:color w:val="auto"/>
                <w:sz w:val="24"/>
                <w:highlight w:val="none"/>
              </w:rPr>
            </w:pPr>
          </w:p>
        </w:tc>
        <w:tc>
          <w:tcPr>
            <w:tcW w:w="744" w:type="dxa"/>
            <w:shd w:val="clear" w:color="auto" w:fill="auto"/>
            <w:vAlign w:val="center"/>
          </w:tcPr>
          <w:p w14:paraId="3DB547F1">
            <w:pPr>
              <w:spacing w:line="360" w:lineRule="auto"/>
              <w:rPr>
                <w:rFonts w:ascii="宋体" w:hAnsi="宋体" w:cs="宋体"/>
                <w:color w:val="auto"/>
                <w:sz w:val="24"/>
                <w:highlight w:val="none"/>
              </w:rPr>
            </w:pPr>
          </w:p>
        </w:tc>
        <w:tc>
          <w:tcPr>
            <w:tcW w:w="1166" w:type="dxa"/>
            <w:shd w:val="clear" w:color="auto" w:fill="auto"/>
            <w:vAlign w:val="center"/>
          </w:tcPr>
          <w:p w14:paraId="1AC44A67">
            <w:pPr>
              <w:spacing w:line="360" w:lineRule="auto"/>
              <w:rPr>
                <w:rFonts w:ascii="宋体" w:hAnsi="宋体" w:cs="宋体"/>
                <w:color w:val="auto"/>
                <w:sz w:val="24"/>
                <w:highlight w:val="none"/>
              </w:rPr>
            </w:pPr>
          </w:p>
        </w:tc>
        <w:tc>
          <w:tcPr>
            <w:tcW w:w="1281" w:type="dxa"/>
            <w:shd w:val="clear" w:color="auto" w:fill="auto"/>
            <w:vAlign w:val="center"/>
          </w:tcPr>
          <w:p w14:paraId="479CB2B6">
            <w:pPr>
              <w:spacing w:line="360" w:lineRule="auto"/>
              <w:rPr>
                <w:rFonts w:ascii="宋体" w:hAnsi="宋体" w:cs="宋体"/>
                <w:color w:val="auto"/>
                <w:sz w:val="24"/>
                <w:highlight w:val="none"/>
              </w:rPr>
            </w:pPr>
          </w:p>
        </w:tc>
      </w:tr>
      <w:tr w14:paraId="17704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AFF6389">
            <w:pPr>
              <w:kinsoku w:val="0"/>
              <w:autoSpaceDE w:val="0"/>
              <w:autoSpaceDN w:val="0"/>
              <w:adjustRightInd w:val="0"/>
              <w:snapToGrid w:val="0"/>
              <w:spacing w:line="360" w:lineRule="auto"/>
              <w:ind w:left="1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7"/>
                <w:sz w:val="24"/>
                <w:highlight w:val="none"/>
                <w:lang w:eastAsia="en-US"/>
              </w:rPr>
              <w:t>6.材料</w:t>
            </w:r>
          </w:p>
          <w:p w14:paraId="7DAC0551">
            <w:pPr>
              <w:kinsoku w:val="0"/>
              <w:autoSpaceDE w:val="0"/>
              <w:autoSpaceDN w:val="0"/>
              <w:adjustRightInd w:val="0"/>
              <w:snapToGrid w:val="0"/>
              <w:spacing w:line="360" w:lineRule="auto"/>
              <w:ind w:left="1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0C16FB94">
            <w:pPr>
              <w:spacing w:line="360" w:lineRule="auto"/>
              <w:rPr>
                <w:rFonts w:ascii="宋体" w:hAnsi="宋体" w:cs="宋体"/>
                <w:color w:val="auto"/>
                <w:sz w:val="24"/>
                <w:highlight w:val="none"/>
              </w:rPr>
            </w:pPr>
          </w:p>
        </w:tc>
        <w:tc>
          <w:tcPr>
            <w:tcW w:w="827" w:type="dxa"/>
            <w:shd w:val="clear" w:color="auto" w:fill="auto"/>
            <w:vAlign w:val="center"/>
          </w:tcPr>
          <w:p w14:paraId="60FE899F">
            <w:pPr>
              <w:spacing w:line="360" w:lineRule="auto"/>
              <w:rPr>
                <w:rFonts w:ascii="宋体" w:hAnsi="宋体" w:cs="宋体"/>
                <w:color w:val="auto"/>
                <w:sz w:val="24"/>
                <w:highlight w:val="none"/>
              </w:rPr>
            </w:pPr>
          </w:p>
        </w:tc>
        <w:tc>
          <w:tcPr>
            <w:tcW w:w="815" w:type="dxa"/>
            <w:shd w:val="clear" w:color="auto" w:fill="auto"/>
            <w:vAlign w:val="center"/>
          </w:tcPr>
          <w:p w14:paraId="771C0BB7">
            <w:pPr>
              <w:spacing w:line="360" w:lineRule="auto"/>
              <w:rPr>
                <w:rFonts w:ascii="宋体" w:hAnsi="宋体" w:cs="宋体"/>
                <w:color w:val="auto"/>
                <w:sz w:val="24"/>
                <w:highlight w:val="none"/>
              </w:rPr>
            </w:pPr>
          </w:p>
        </w:tc>
        <w:tc>
          <w:tcPr>
            <w:tcW w:w="1147" w:type="dxa"/>
            <w:shd w:val="clear" w:color="auto" w:fill="auto"/>
            <w:vAlign w:val="center"/>
          </w:tcPr>
          <w:p w14:paraId="1909F857">
            <w:pPr>
              <w:spacing w:line="360" w:lineRule="auto"/>
              <w:rPr>
                <w:rFonts w:ascii="宋体" w:hAnsi="宋体" w:cs="宋体"/>
                <w:color w:val="auto"/>
                <w:sz w:val="24"/>
                <w:highlight w:val="none"/>
              </w:rPr>
            </w:pPr>
          </w:p>
        </w:tc>
        <w:tc>
          <w:tcPr>
            <w:tcW w:w="1149" w:type="dxa"/>
            <w:shd w:val="clear" w:color="auto" w:fill="auto"/>
            <w:vAlign w:val="center"/>
          </w:tcPr>
          <w:p w14:paraId="41032FE4">
            <w:pPr>
              <w:spacing w:line="360" w:lineRule="auto"/>
              <w:rPr>
                <w:rFonts w:ascii="宋体" w:hAnsi="宋体" w:cs="宋体"/>
                <w:color w:val="auto"/>
                <w:sz w:val="24"/>
                <w:highlight w:val="none"/>
              </w:rPr>
            </w:pPr>
          </w:p>
        </w:tc>
        <w:tc>
          <w:tcPr>
            <w:tcW w:w="1147" w:type="dxa"/>
            <w:shd w:val="clear" w:color="auto" w:fill="auto"/>
            <w:vAlign w:val="center"/>
          </w:tcPr>
          <w:p w14:paraId="5AAFD94F">
            <w:pPr>
              <w:spacing w:line="360" w:lineRule="auto"/>
              <w:rPr>
                <w:rFonts w:ascii="宋体" w:hAnsi="宋体" w:cs="宋体"/>
                <w:color w:val="auto"/>
                <w:sz w:val="24"/>
                <w:highlight w:val="none"/>
              </w:rPr>
            </w:pPr>
          </w:p>
        </w:tc>
        <w:tc>
          <w:tcPr>
            <w:tcW w:w="744" w:type="dxa"/>
            <w:shd w:val="clear" w:color="auto" w:fill="auto"/>
            <w:vAlign w:val="center"/>
          </w:tcPr>
          <w:p w14:paraId="1C353FAB">
            <w:pPr>
              <w:spacing w:line="360" w:lineRule="auto"/>
              <w:rPr>
                <w:rFonts w:ascii="宋体" w:hAnsi="宋体" w:cs="宋体"/>
                <w:color w:val="auto"/>
                <w:sz w:val="24"/>
                <w:highlight w:val="none"/>
              </w:rPr>
            </w:pPr>
          </w:p>
        </w:tc>
        <w:tc>
          <w:tcPr>
            <w:tcW w:w="1166" w:type="dxa"/>
            <w:shd w:val="clear" w:color="auto" w:fill="auto"/>
            <w:vAlign w:val="center"/>
          </w:tcPr>
          <w:p w14:paraId="13C6C8F0">
            <w:pPr>
              <w:spacing w:line="360" w:lineRule="auto"/>
              <w:rPr>
                <w:rFonts w:ascii="宋体" w:hAnsi="宋体" w:cs="宋体"/>
                <w:color w:val="auto"/>
                <w:sz w:val="24"/>
                <w:highlight w:val="none"/>
              </w:rPr>
            </w:pPr>
          </w:p>
        </w:tc>
        <w:tc>
          <w:tcPr>
            <w:tcW w:w="1281" w:type="dxa"/>
            <w:shd w:val="clear" w:color="auto" w:fill="auto"/>
            <w:vAlign w:val="center"/>
          </w:tcPr>
          <w:p w14:paraId="3A8B9249">
            <w:pPr>
              <w:spacing w:line="360" w:lineRule="auto"/>
              <w:rPr>
                <w:rFonts w:ascii="宋体" w:hAnsi="宋体" w:cs="宋体"/>
                <w:color w:val="auto"/>
                <w:sz w:val="24"/>
                <w:highlight w:val="none"/>
              </w:rPr>
            </w:pPr>
          </w:p>
        </w:tc>
      </w:tr>
      <w:tr w14:paraId="279E7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9C6E78A">
            <w:pPr>
              <w:spacing w:line="360" w:lineRule="auto"/>
              <w:rPr>
                <w:rFonts w:ascii="宋体" w:hAnsi="宋体" w:cs="宋体"/>
                <w:color w:val="auto"/>
                <w:sz w:val="24"/>
                <w:highlight w:val="none"/>
              </w:rPr>
            </w:pPr>
          </w:p>
        </w:tc>
        <w:tc>
          <w:tcPr>
            <w:tcW w:w="669" w:type="dxa"/>
            <w:shd w:val="clear" w:color="auto" w:fill="auto"/>
            <w:vAlign w:val="center"/>
          </w:tcPr>
          <w:p w14:paraId="4A308D43">
            <w:pPr>
              <w:spacing w:line="360" w:lineRule="auto"/>
              <w:rPr>
                <w:rFonts w:ascii="宋体" w:hAnsi="宋体" w:cs="宋体"/>
                <w:color w:val="auto"/>
                <w:sz w:val="24"/>
                <w:highlight w:val="none"/>
              </w:rPr>
            </w:pPr>
          </w:p>
        </w:tc>
        <w:tc>
          <w:tcPr>
            <w:tcW w:w="827" w:type="dxa"/>
            <w:shd w:val="clear" w:color="auto" w:fill="auto"/>
            <w:vAlign w:val="center"/>
          </w:tcPr>
          <w:p w14:paraId="02201FF3">
            <w:pPr>
              <w:spacing w:line="360" w:lineRule="auto"/>
              <w:rPr>
                <w:rFonts w:ascii="宋体" w:hAnsi="宋体" w:cs="宋体"/>
                <w:color w:val="auto"/>
                <w:sz w:val="24"/>
                <w:highlight w:val="none"/>
              </w:rPr>
            </w:pPr>
          </w:p>
        </w:tc>
        <w:tc>
          <w:tcPr>
            <w:tcW w:w="815" w:type="dxa"/>
            <w:shd w:val="clear" w:color="auto" w:fill="auto"/>
            <w:vAlign w:val="center"/>
          </w:tcPr>
          <w:p w14:paraId="0401A769">
            <w:pPr>
              <w:spacing w:line="360" w:lineRule="auto"/>
              <w:rPr>
                <w:rFonts w:ascii="宋体" w:hAnsi="宋体" w:cs="宋体"/>
                <w:color w:val="auto"/>
                <w:sz w:val="24"/>
                <w:highlight w:val="none"/>
              </w:rPr>
            </w:pPr>
          </w:p>
        </w:tc>
        <w:tc>
          <w:tcPr>
            <w:tcW w:w="1147" w:type="dxa"/>
            <w:shd w:val="clear" w:color="auto" w:fill="auto"/>
            <w:vAlign w:val="center"/>
          </w:tcPr>
          <w:p w14:paraId="29327217">
            <w:pPr>
              <w:spacing w:line="360" w:lineRule="auto"/>
              <w:rPr>
                <w:rFonts w:ascii="宋体" w:hAnsi="宋体" w:cs="宋体"/>
                <w:color w:val="auto"/>
                <w:sz w:val="24"/>
                <w:highlight w:val="none"/>
              </w:rPr>
            </w:pPr>
          </w:p>
        </w:tc>
        <w:tc>
          <w:tcPr>
            <w:tcW w:w="1149" w:type="dxa"/>
            <w:shd w:val="clear" w:color="auto" w:fill="auto"/>
            <w:vAlign w:val="center"/>
          </w:tcPr>
          <w:p w14:paraId="538BCCE6">
            <w:pPr>
              <w:spacing w:line="360" w:lineRule="auto"/>
              <w:rPr>
                <w:rFonts w:ascii="宋体" w:hAnsi="宋体" w:cs="宋体"/>
                <w:color w:val="auto"/>
                <w:sz w:val="24"/>
                <w:highlight w:val="none"/>
              </w:rPr>
            </w:pPr>
          </w:p>
        </w:tc>
        <w:tc>
          <w:tcPr>
            <w:tcW w:w="1147" w:type="dxa"/>
            <w:shd w:val="clear" w:color="auto" w:fill="auto"/>
            <w:vAlign w:val="center"/>
          </w:tcPr>
          <w:p w14:paraId="33FF69EC">
            <w:pPr>
              <w:spacing w:line="360" w:lineRule="auto"/>
              <w:rPr>
                <w:rFonts w:ascii="宋体" w:hAnsi="宋体" w:cs="宋体"/>
                <w:color w:val="auto"/>
                <w:sz w:val="24"/>
                <w:highlight w:val="none"/>
              </w:rPr>
            </w:pPr>
          </w:p>
        </w:tc>
        <w:tc>
          <w:tcPr>
            <w:tcW w:w="744" w:type="dxa"/>
            <w:shd w:val="clear" w:color="auto" w:fill="auto"/>
            <w:vAlign w:val="center"/>
          </w:tcPr>
          <w:p w14:paraId="1CCFB020">
            <w:pPr>
              <w:spacing w:line="360" w:lineRule="auto"/>
              <w:rPr>
                <w:rFonts w:ascii="宋体" w:hAnsi="宋体" w:cs="宋体"/>
                <w:color w:val="auto"/>
                <w:sz w:val="24"/>
                <w:highlight w:val="none"/>
              </w:rPr>
            </w:pPr>
          </w:p>
        </w:tc>
        <w:tc>
          <w:tcPr>
            <w:tcW w:w="1166" w:type="dxa"/>
            <w:shd w:val="clear" w:color="auto" w:fill="auto"/>
            <w:vAlign w:val="center"/>
          </w:tcPr>
          <w:p w14:paraId="33B30D43">
            <w:pPr>
              <w:spacing w:line="360" w:lineRule="auto"/>
              <w:rPr>
                <w:rFonts w:ascii="宋体" w:hAnsi="宋体" w:cs="宋体"/>
                <w:color w:val="auto"/>
                <w:sz w:val="24"/>
                <w:highlight w:val="none"/>
              </w:rPr>
            </w:pPr>
          </w:p>
        </w:tc>
        <w:tc>
          <w:tcPr>
            <w:tcW w:w="1281" w:type="dxa"/>
            <w:shd w:val="clear" w:color="auto" w:fill="auto"/>
            <w:vAlign w:val="center"/>
          </w:tcPr>
          <w:p w14:paraId="31E0B22A">
            <w:pPr>
              <w:spacing w:line="360" w:lineRule="auto"/>
              <w:rPr>
                <w:rFonts w:ascii="宋体" w:hAnsi="宋体" w:cs="宋体"/>
                <w:color w:val="auto"/>
                <w:sz w:val="24"/>
                <w:highlight w:val="none"/>
              </w:rPr>
            </w:pPr>
          </w:p>
        </w:tc>
      </w:tr>
      <w:tr w14:paraId="76CCF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73A39CE9">
            <w:pPr>
              <w:kinsoku w:val="0"/>
              <w:autoSpaceDE w:val="0"/>
              <w:autoSpaceDN w:val="0"/>
              <w:adjustRightInd w:val="0"/>
              <w:snapToGrid w:val="0"/>
              <w:spacing w:line="360" w:lineRule="auto"/>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07F9B51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13CBB60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3762B38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2.供应商应当在本表后附所有管理人员的身份证、职称证、执业或职业资格证书的复印件并加盖供应商公章。</w:t>
      </w:r>
    </w:p>
    <w:p w14:paraId="62C02867">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414832A9">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2B76177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11F25CA">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DFBECAC">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D3A1ABB">
      <w:pPr>
        <w:spacing w:line="360" w:lineRule="auto"/>
        <w:ind w:left="1067"/>
        <w:rPr>
          <w:rFonts w:ascii="宋体" w:hAnsi="宋体" w:cs="宋体"/>
          <w:color w:val="auto"/>
          <w:sz w:val="24"/>
          <w:highlight w:val="none"/>
        </w:rPr>
      </w:pPr>
      <w:r>
        <w:rPr>
          <w:rFonts w:hint="eastAsia" w:ascii="宋体" w:hAnsi="宋体" w:cs="宋体"/>
          <w:color w:val="auto"/>
          <w:spacing w:val="3"/>
          <w:sz w:val="24"/>
          <w:highlight w:val="none"/>
          <w:u w:val="single"/>
        </w:rPr>
        <w:t xml:space="preserve">           </w:t>
      </w:r>
    </w:p>
    <w:p w14:paraId="7A4E7572">
      <w:pPr>
        <w:spacing w:line="360" w:lineRule="auto"/>
        <w:rPr>
          <w:rFonts w:ascii="宋体" w:hAnsi="宋体"/>
          <w:color w:val="auto"/>
          <w:highlight w:val="none"/>
        </w:rPr>
      </w:pPr>
      <w:r>
        <w:rPr>
          <w:rFonts w:hint="eastAsia" w:ascii="宋体" w:hAnsi="宋体"/>
          <w:color w:val="auto"/>
          <w:highlight w:val="none"/>
        </w:rPr>
        <w:br w:type="page"/>
      </w:r>
    </w:p>
    <w:p w14:paraId="1D0D7998">
      <w:pPr>
        <w:spacing w:line="360" w:lineRule="auto"/>
        <w:ind w:left="2591"/>
        <w:rPr>
          <w:rFonts w:ascii="宋体" w:hAnsi="宋体" w:cs="宋体"/>
          <w:color w:val="auto"/>
          <w:sz w:val="31"/>
          <w:szCs w:val="31"/>
          <w:highlight w:val="none"/>
        </w:rPr>
      </w:pPr>
      <w:r>
        <w:rPr>
          <w:rFonts w:hint="eastAsia" w:ascii="宋体" w:hAnsi="宋体" w:cs="宋体"/>
          <w:b/>
          <w:bCs/>
          <w:color w:val="auto"/>
          <w:spacing w:val="-3"/>
          <w:position w:val="23"/>
          <w:sz w:val="28"/>
          <w:szCs w:val="28"/>
          <w:highlight w:val="none"/>
        </w:rPr>
        <w:t>（二） 拟投入的主要人员简历表</w:t>
      </w:r>
    </w:p>
    <w:p w14:paraId="05974D72">
      <w:pPr>
        <w:spacing w:line="360" w:lineRule="auto"/>
        <w:ind w:left="4027"/>
        <w:rPr>
          <w:rFonts w:ascii="宋体" w:hAnsi="宋体" w:cs="宋体"/>
          <w:color w:val="auto"/>
          <w:sz w:val="31"/>
          <w:szCs w:val="31"/>
          <w:highlight w:val="none"/>
        </w:rPr>
      </w:pPr>
      <w:r>
        <w:rPr>
          <w:rFonts w:hint="eastAsia" w:ascii="宋体" w:hAnsi="宋体" w:cs="宋体"/>
          <w:b/>
          <w:bCs/>
          <w:color w:val="auto"/>
          <w:spacing w:val="8"/>
          <w:sz w:val="28"/>
          <w:szCs w:val="28"/>
          <w:highlight w:val="none"/>
        </w:rPr>
        <w:t>项目经理简历表</w:t>
      </w:r>
    </w:p>
    <w:p w14:paraId="519E0D06">
      <w:pPr>
        <w:spacing w:line="360" w:lineRule="auto"/>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4BDAC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shd w:val="clear" w:color="auto" w:fill="auto"/>
          </w:tcPr>
          <w:p w14:paraId="42E72AB2">
            <w:pPr>
              <w:kinsoku w:val="0"/>
              <w:autoSpaceDE w:val="0"/>
              <w:autoSpaceDN w:val="0"/>
              <w:adjustRightInd w:val="0"/>
              <w:snapToGrid w:val="0"/>
              <w:spacing w:line="360" w:lineRule="auto"/>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291" w:type="dxa"/>
            <w:gridSpan w:val="4"/>
            <w:shd w:val="clear" w:color="auto" w:fill="auto"/>
          </w:tcPr>
          <w:p w14:paraId="5A5C8CD4">
            <w:pPr>
              <w:spacing w:line="360" w:lineRule="auto"/>
              <w:rPr>
                <w:rFonts w:ascii="宋体" w:hAnsi="宋体" w:cs="宋体"/>
                <w:color w:val="auto"/>
                <w:sz w:val="24"/>
                <w:highlight w:val="none"/>
              </w:rPr>
            </w:pPr>
          </w:p>
        </w:tc>
        <w:tc>
          <w:tcPr>
            <w:tcW w:w="1894" w:type="dxa"/>
            <w:gridSpan w:val="3"/>
            <w:shd w:val="clear" w:color="auto" w:fill="auto"/>
          </w:tcPr>
          <w:p w14:paraId="1EA01674">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40CBB515">
            <w:pPr>
              <w:spacing w:line="360" w:lineRule="auto"/>
              <w:rPr>
                <w:rFonts w:ascii="宋体" w:hAnsi="宋体" w:cs="宋体"/>
                <w:color w:val="auto"/>
                <w:sz w:val="24"/>
                <w:highlight w:val="none"/>
              </w:rPr>
            </w:pPr>
          </w:p>
        </w:tc>
        <w:tc>
          <w:tcPr>
            <w:tcW w:w="1134" w:type="dxa"/>
            <w:shd w:val="clear" w:color="auto" w:fill="auto"/>
          </w:tcPr>
          <w:p w14:paraId="20B9C7BA">
            <w:pPr>
              <w:kinsoku w:val="0"/>
              <w:autoSpaceDE w:val="0"/>
              <w:autoSpaceDN w:val="0"/>
              <w:adjustRightInd w:val="0"/>
              <w:snapToGrid w:val="0"/>
              <w:spacing w:line="360" w:lineRule="auto"/>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shd w:val="clear" w:color="auto" w:fill="auto"/>
          </w:tcPr>
          <w:p w14:paraId="3935C77D">
            <w:pPr>
              <w:spacing w:line="360" w:lineRule="auto"/>
              <w:rPr>
                <w:rFonts w:ascii="宋体" w:hAnsi="宋体" w:cs="宋体"/>
                <w:color w:val="auto"/>
                <w:sz w:val="24"/>
                <w:highlight w:val="none"/>
              </w:rPr>
            </w:pPr>
          </w:p>
        </w:tc>
      </w:tr>
      <w:tr w14:paraId="350C8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43571656">
            <w:pPr>
              <w:kinsoku w:val="0"/>
              <w:autoSpaceDE w:val="0"/>
              <w:autoSpaceDN w:val="0"/>
              <w:adjustRightInd w:val="0"/>
              <w:snapToGrid w:val="0"/>
              <w:spacing w:line="360" w:lineRule="auto"/>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291" w:type="dxa"/>
            <w:gridSpan w:val="4"/>
            <w:shd w:val="clear" w:color="auto" w:fill="auto"/>
          </w:tcPr>
          <w:p w14:paraId="4AC64637">
            <w:pPr>
              <w:kinsoku w:val="0"/>
              <w:autoSpaceDE w:val="0"/>
              <w:autoSpaceDN w:val="0"/>
              <w:adjustRightInd w:val="0"/>
              <w:snapToGrid w:val="0"/>
              <w:spacing w:line="360" w:lineRule="auto"/>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shd w:val="clear" w:color="auto" w:fill="auto"/>
          </w:tcPr>
          <w:p w14:paraId="175747EC">
            <w:pPr>
              <w:kinsoku w:val="0"/>
              <w:autoSpaceDE w:val="0"/>
              <w:autoSpaceDN w:val="0"/>
              <w:adjustRightInd w:val="0"/>
              <w:snapToGrid w:val="0"/>
              <w:spacing w:line="360" w:lineRule="auto"/>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55093463">
            <w:pPr>
              <w:spacing w:line="360" w:lineRule="auto"/>
              <w:rPr>
                <w:rFonts w:ascii="宋体" w:hAnsi="宋体" w:cs="宋体"/>
                <w:color w:val="auto"/>
                <w:sz w:val="24"/>
                <w:highlight w:val="none"/>
              </w:rPr>
            </w:pPr>
          </w:p>
        </w:tc>
        <w:tc>
          <w:tcPr>
            <w:tcW w:w="1134" w:type="dxa"/>
            <w:shd w:val="clear" w:color="auto" w:fill="auto"/>
          </w:tcPr>
          <w:p w14:paraId="2662070E">
            <w:pPr>
              <w:kinsoku w:val="0"/>
              <w:autoSpaceDE w:val="0"/>
              <w:autoSpaceDN w:val="0"/>
              <w:adjustRightInd w:val="0"/>
              <w:snapToGrid w:val="0"/>
              <w:spacing w:line="360" w:lineRule="auto"/>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shd w:val="clear" w:color="auto" w:fill="auto"/>
          </w:tcPr>
          <w:p w14:paraId="596A1306">
            <w:pPr>
              <w:spacing w:line="360" w:lineRule="auto"/>
              <w:rPr>
                <w:rFonts w:ascii="宋体" w:hAnsi="宋体" w:cs="宋体"/>
                <w:color w:val="auto"/>
                <w:sz w:val="24"/>
                <w:highlight w:val="none"/>
              </w:rPr>
            </w:pPr>
          </w:p>
        </w:tc>
      </w:tr>
      <w:tr w14:paraId="1D8AB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08BF959B">
            <w:pPr>
              <w:kinsoku w:val="0"/>
              <w:autoSpaceDE w:val="0"/>
              <w:autoSpaceDN w:val="0"/>
              <w:adjustRightInd w:val="0"/>
              <w:snapToGrid w:val="0"/>
              <w:spacing w:line="360" w:lineRule="auto"/>
              <w:ind w:left="401" w:right="189" w:hanging="2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291" w:type="dxa"/>
            <w:gridSpan w:val="4"/>
            <w:shd w:val="clear" w:color="auto" w:fill="auto"/>
          </w:tcPr>
          <w:p w14:paraId="6A68D074">
            <w:pPr>
              <w:spacing w:line="360" w:lineRule="auto"/>
              <w:rPr>
                <w:rFonts w:ascii="宋体" w:hAnsi="宋体" w:cs="宋体"/>
                <w:color w:val="auto"/>
                <w:sz w:val="24"/>
                <w:highlight w:val="none"/>
              </w:rPr>
            </w:pPr>
          </w:p>
        </w:tc>
        <w:tc>
          <w:tcPr>
            <w:tcW w:w="1894" w:type="dxa"/>
            <w:gridSpan w:val="3"/>
            <w:shd w:val="clear" w:color="auto" w:fill="auto"/>
          </w:tcPr>
          <w:p w14:paraId="3F7E162D">
            <w:pPr>
              <w:kinsoku w:val="0"/>
              <w:autoSpaceDE w:val="0"/>
              <w:autoSpaceDN w:val="0"/>
              <w:adjustRightInd w:val="0"/>
              <w:snapToGrid w:val="0"/>
              <w:spacing w:line="360" w:lineRule="auto"/>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4F336FEA">
            <w:pPr>
              <w:spacing w:line="360" w:lineRule="auto"/>
              <w:rPr>
                <w:rFonts w:ascii="宋体" w:hAnsi="宋体" w:cs="宋体"/>
                <w:color w:val="auto"/>
                <w:sz w:val="24"/>
                <w:highlight w:val="none"/>
              </w:rPr>
            </w:pPr>
          </w:p>
        </w:tc>
        <w:tc>
          <w:tcPr>
            <w:tcW w:w="1134" w:type="dxa"/>
            <w:shd w:val="clear" w:color="auto" w:fill="auto"/>
          </w:tcPr>
          <w:p w14:paraId="0476BE13">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shd w:val="clear" w:color="auto" w:fill="auto"/>
          </w:tcPr>
          <w:p w14:paraId="4723B6CE">
            <w:pPr>
              <w:spacing w:line="360" w:lineRule="auto"/>
              <w:rPr>
                <w:rFonts w:ascii="宋体" w:hAnsi="宋体" w:cs="宋体"/>
                <w:color w:val="auto"/>
                <w:sz w:val="24"/>
                <w:highlight w:val="none"/>
              </w:rPr>
            </w:pPr>
          </w:p>
        </w:tc>
      </w:tr>
      <w:tr w14:paraId="43019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57F592B8">
            <w:pPr>
              <w:kinsoku w:val="0"/>
              <w:autoSpaceDE w:val="0"/>
              <w:autoSpaceDN w:val="0"/>
              <w:adjustRightInd w:val="0"/>
              <w:snapToGrid w:val="0"/>
              <w:spacing w:line="360" w:lineRule="auto"/>
              <w:ind w:left="210" w:right="16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经理年限</w:t>
            </w:r>
          </w:p>
        </w:tc>
        <w:tc>
          <w:tcPr>
            <w:tcW w:w="2291" w:type="dxa"/>
            <w:gridSpan w:val="4"/>
            <w:shd w:val="clear" w:color="auto" w:fill="auto"/>
          </w:tcPr>
          <w:p w14:paraId="66ADB8A3">
            <w:pPr>
              <w:spacing w:line="360" w:lineRule="auto"/>
              <w:rPr>
                <w:rFonts w:ascii="宋体" w:hAnsi="宋体" w:cs="宋体"/>
                <w:color w:val="auto"/>
                <w:sz w:val="24"/>
                <w:highlight w:val="none"/>
              </w:rPr>
            </w:pPr>
          </w:p>
        </w:tc>
        <w:tc>
          <w:tcPr>
            <w:tcW w:w="1649" w:type="dxa"/>
            <w:gridSpan w:val="2"/>
            <w:shd w:val="clear" w:color="auto" w:fill="auto"/>
          </w:tcPr>
          <w:p w14:paraId="271B3717">
            <w:pPr>
              <w:kinsoku w:val="0"/>
              <w:autoSpaceDE w:val="0"/>
              <w:autoSpaceDN w:val="0"/>
              <w:adjustRightInd w:val="0"/>
              <w:snapToGrid w:val="0"/>
              <w:spacing w:line="360" w:lineRule="auto"/>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shd w:val="clear" w:color="auto" w:fill="auto"/>
          </w:tcPr>
          <w:p w14:paraId="7BC52471">
            <w:pPr>
              <w:spacing w:line="360" w:lineRule="auto"/>
              <w:rPr>
                <w:rFonts w:ascii="宋体" w:hAnsi="宋体" w:cs="宋体"/>
                <w:color w:val="auto"/>
                <w:sz w:val="24"/>
                <w:highlight w:val="none"/>
              </w:rPr>
            </w:pPr>
          </w:p>
        </w:tc>
      </w:tr>
      <w:tr w14:paraId="3BAF5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shd w:val="clear" w:color="auto" w:fill="auto"/>
          </w:tcPr>
          <w:p w14:paraId="54541E58">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6B9188A0">
            <w:pPr>
              <w:kinsoku w:val="0"/>
              <w:autoSpaceDE w:val="0"/>
              <w:autoSpaceDN w:val="0"/>
              <w:adjustRightInd w:val="0"/>
              <w:snapToGrid w:val="0"/>
              <w:spacing w:line="360" w:lineRule="auto"/>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shd w:val="clear" w:color="auto" w:fill="auto"/>
          </w:tcPr>
          <w:p w14:paraId="75397E4D">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shd w:val="clear" w:color="auto" w:fill="auto"/>
          </w:tcPr>
          <w:p w14:paraId="6753438A">
            <w:pPr>
              <w:kinsoku w:val="0"/>
              <w:autoSpaceDE w:val="0"/>
              <w:autoSpaceDN w:val="0"/>
              <w:adjustRightInd w:val="0"/>
              <w:snapToGrid w:val="0"/>
              <w:spacing w:line="360" w:lineRule="auto"/>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08E44E1A">
            <w:pPr>
              <w:kinsoku w:val="0"/>
              <w:autoSpaceDE w:val="0"/>
              <w:autoSpaceDN w:val="0"/>
              <w:adjustRightInd w:val="0"/>
              <w:snapToGrid w:val="0"/>
              <w:spacing w:line="360" w:lineRule="auto"/>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2DE18231">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shd w:val="clear" w:color="auto" w:fill="auto"/>
          </w:tcPr>
          <w:p w14:paraId="42568078">
            <w:pPr>
              <w:kinsoku w:val="0"/>
              <w:autoSpaceDE w:val="0"/>
              <w:autoSpaceDN w:val="0"/>
              <w:adjustRightInd w:val="0"/>
              <w:snapToGrid w:val="0"/>
              <w:spacing w:line="360" w:lineRule="auto"/>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02534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shd w:val="clear" w:color="auto" w:fill="auto"/>
          </w:tcPr>
          <w:p w14:paraId="57982443">
            <w:pPr>
              <w:spacing w:line="360" w:lineRule="auto"/>
              <w:rPr>
                <w:rFonts w:ascii="宋体" w:hAnsi="宋体" w:cs="宋体"/>
                <w:color w:val="auto"/>
                <w:sz w:val="24"/>
                <w:highlight w:val="none"/>
              </w:rPr>
            </w:pPr>
          </w:p>
        </w:tc>
        <w:tc>
          <w:tcPr>
            <w:tcW w:w="1274" w:type="dxa"/>
            <w:gridSpan w:val="2"/>
            <w:shd w:val="clear" w:color="auto" w:fill="auto"/>
          </w:tcPr>
          <w:p w14:paraId="35E0AE17">
            <w:pPr>
              <w:spacing w:line="360" w:lineRule="auto"/>
              <w:rPr>
                <w:rFonts w:ascii="宋体" w:hAnsi="宋体" w:cs="宋体"/>
                <w:color w:val="auto"/>
                <w:sz w:val="24"/>
                <w:highlight w:val="none"/>
              </w:rPr>
            </w:pPr>
          </w:p>
        </w:tc>
        <w:tc>
          <w:tcPr>
            <w:tcW w:w="1225" w:type="dxa"/>
            <w:gridSpan w:val="3"/>
            <w:shd w:val="clear" w:color="auto" w:fill="auto"/>
          </w:tcPr>
          <w:p w14:paraId="56B3FDC1">
            <w:pPr>
              <w:spacing w:line="360" w:lineRule="auto"/>
              <w:rPr>
                <w:rFonts w:ascii="宋体" w:hAnsi="宋体" w:cs="宋体"/>
                <w:color w:val="auto"/>
                <w:sz w:val="24"/>
                <w:highlight w:val="none"/>
              </w:rPr>
            </w:pPr>
          </w:p>
        </w:tc>
        <w:tc>
          <w:tcPr>
            <w:tcW w:w="1441" w:type="dxa"/>
            <w:shd w:val="clear" w:color="auto" w:fill="auto"/>
          </w:tcPr>
          <w:p w14:paraId="7281D2B4">
            <w:pPr>
              <w:spacing w:line="360" w:lineRule="auto"/>
              <w:rPr>
                <w:rFonts w:ascii="宋体" w:hAnsi="宋体" w:cs="宋体"/>
                <w:color w:val="auto"/>
                <w:sz w:val="24"/>
                <w:highlight w:val="none"/>
              </w:rPr>
            </w:pPr>
          </w:p>
        </w:tc>
        <w:tc>
          <w:tcPr>
            <w:tcW w:w="1418" w:type="dxa"/>
            <w:gridSpan w:val="3"/>
            <w:shd w:val="clear" w:color="auto" w:fill="auto"/>
          </w:tcPr>
          <w:p w14:paraId="08D26934">
            <w:pPr>
              <w:spacing w:line="360" w:lineRule="auto"/>
              <w:rPr>
                <w:rFonts w:ascii="宋体" w:hAnsi="宋体" w:cs="宋体"/>
                <w:color w:val="auto"/>
                <w:sz w:val="24"/>
                <w:highlight w:val="none"/>
              </w:rPr>
            </w:pPr>
          </w:p>
        </w:tc>
        <w:tc>
          <w:tcPr>
            <w:tcW w:w="1632" w:type="dxa"/>
            <w:gridSpan w:val="3"/>
            <w:shd w:val="clear" w:color="auto" w:fill="auto"/>
          </w:tcPr>
          <w:p w14:paraId="2DB4F54E">
            <w:pPr>
              <w:spacing w:line="360" w:lineRule="auto"/>
              <w:rPr>
                <w:rFonts w:ascii="宋体" w:hAnsi="宋体" w:cs="宋体"/>
                <w:color w:val="auto"/>
                <w:sz w:val="24"/>
                <w:highlight w:val="none"/>
              </w:rPr>
            </w:pPr>
          </w:p>
        </w:tc>
        <w:tc>
          <w:tcPr>
            <w:tcW w:w="1421" w:type="dxa"/>
            <w:gridSpan w:val="2"/>
            <w:shd w:val="clear" w:color="auto" w:fill="auto"/>
          </w:tcPr>
          <w:p w14:paraId="521B7DFA">
            <w:pPr>
              <w:spacing w:line="360" w:lineRule="auto"/>
              <w:rPr>
                <w:rFonts w:ascii="宋体" w:hAnsi="宋体" w:cs="宋体"/>
                <w:color w:val="auto"/>
                <w:sz w:val="24"/>
                <w:highlight w:val="none"/>
              </w:rPr>
            </w:pPr>
          </w:p>
        </w:tc>
      </w:tr>
      <w:tr w14:paraId="50C49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shd w:val="clear" w:color="auto" w:fill="auto"/>
          </w:tcPr>
          <w:p w14:paraId="1250305E">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6BDDE78F">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575DFB51">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4267F214">
            <w:pPr>
              <w:spacing w:line="360" w:lineRule="auto"/>
              <w:rPr>
                <w:rFonts w:ascii="宋体" w:hAnsi="宋体" w:cs="宋体"/>
                <w:color w:val="auto"/>
                <w:sz w:val="24"/>
                <w:highlight w:val="none"/>
              </w:rPr>
            </w:pPr>
          </w:p>
        </w:tc>
        <w:tc>
          <w:tcPr>
            <w:tcW w:w="1225" w:type="dxa"/>
            <w:gridSpan w:val="3"/>
            <w:shd w:val="clear" w:color="auto" w:fill="auto"/>
          </w:tcPr>
          <w:p w14:paraId="5F4F62AF">
            <w:pPr>
              <w:spacing w:line="360" w:lineRule="auto"/>
              <w:rPr>
                <w:rFonts w:ascii="宋体" w:hAnsi="宋体" w:cs="宋体"/>
                <w:color w:val="auto"/>
                <w:sz w:val="24"/>
                <w:highlight w:val="none"/>
              </w:rPr>
            </w:pPr>
          </w:p>
          <w:p w14:paraId="2D00E376">
            <w:pPr>
              <w:kinsoku w:val="0"/>
              <w:autoSpaceDE w:val="0"/>
              <w:autoSpaceDN w:val="0"/>
              <w:adjustRightInd w:val="0"/>
              <w:snapToGrid w:val="0"/>
              <w:spacing w:line="360" w:lineRule="auto"/>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shd w:val="clear" w:color="auto" w:fill="auto"/>
          </w:tcPr>
          <w:p w14:paraId="748233C1">
            <w:pPr>
              <w:spacing w:line="360" w:lineRule="auto"/>
              <w:rPr>
                <w:rFonts w:ascii="宋体" w:hAnsi="宋体" w:cs="宋体"/>
                <w:color w:val="auto"/>
                <w:sz w:val="24"/>
                <w:highlight w:val="none"/>
              </w:rPr>
            </w:pPr>
          </w:p>
        </w:tc>
        <w:tc>
          <w:tcPr>
            <w:tcW w:w="1418" w:type="dxa"/>
            <w:gridSpan w:val="3"/>
            <w:shd w:val="clear" w:color="auto" w:fill="auto"/>
          </w:tcPr>
          <w:p w14:paraId="0E4F9E16">
            <w:pPr>
              <w:spacing w:line="360" w:lineRule="auto"/>
              <w:rPr>
                <w:rFonts w:ascii="宋体" w:hAnsi="宋体" w:cs="宋体"/>
                <w:color w:val="auto"/>
                <w:sz w:val="24"/>
                <w:highlight w:val="none"/>
              </w:rPr>
            </w:pPr>
          </w:p>
        </w:tc>
        <w:tc>
          <w:tcPr>
            <w:tcW w:w="1632" w:type="dxa"/>
            <w:gridSpan w:val="3"/>
            <w:shd w:val="clear" w:color="auto" w:fill="auto"/>
          </w:tcPr>
          <w:p w14:paraId="0212A9D3">
            <w:pPr>
              <w:spacing w:line="360" w:lineRule="auto"/>
              <w:rPr>
                <w:rFonts w:ascii="宋体" w:hAnsi="宋体" w:cs="宋体"/>
                <w:color w:val="auto"/>
                <w:sz w:val="24"/>
                <w:highlight w:val="none"/>
              </w:rPr>
            </w:pPr>
          </w:p>
        </w:tc>
        <w:tc>
          <w:tcPr>
            <w:tcW w:w="1421" w:type="dxa"/>
            <w:gridSpan w:val="2"/>
            <w:shd w:val="clear" w:color="auto" w:fill="auto"/>
          </w:tcPr>
          <w:p w14:paraId="063A5124">
            <w:pPr>
              <w:spacing w:line="360" w:lineRule="auto"/>
              <w:rPr>
                <w:rFonts w:ascii="宋体" w:hAnsi="宋体" w:cs="宋体"/>
                <w:color w:val="auto"/>
                <w:sz w:val="24"/>
                <w:highlight w:val="none"/>
              </w:rPr>
            </w:pPr>
          </w:p>
        </w:tc>
      </w:tr>
      <w:tr w14:paraId="15A7C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1E3AC66">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3AF24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492DBA28">
            <w:pPr>
              <w:spacing w:line="360" w:lineRule="auto"/>
              <w:rPr>
                <w:rFonts w:ascii="宋体" w:hAnsi="宋体" w:cs="宋体"/>
                <w:color w:val="auto"/>
                <w:sz w:val="24"/>
                <w:highlight w:val="none"/>
              </w:rPr>
            </w:pPr>
          </w:p>
        </w:tc>
        <w:tc>
          <w:tcPr>
            <w:tcW w:w="1548" w:type="dxa"/>
            <w:gridSpan w:val="2"/>
            <w:shd w:val="clear" w:color="auto" w:fill="auto"/>
          </w:tcPr>
          <w:p w14:paraId="1E49471D">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shd w:val="clear" w:color="auto" w:fill="auto"/>
          </w:tcPr>
          <w:p w14:paraId="2D3BE5B2">
            <w:pPr>
              <w:kinsoku w:val="0"/>
              <w:autoSpaceDE w:val="0"/>
              <w:autoSpaceDN w:val="0"/>
              <w:adjustRightInd w:val="0"/>
              <w:snapToGrid w:val="0"/>
              <w:spacing w:line="360" w:lineRule="auto"/>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4A72CAFA">
            <w:pPr>
              <w:kinsoku w:val="0"/>
              <w:autoSpaceDE w:val="0"/>
              <w:autoSpaceDN w:val="0"/>
              <w:adjustRightInd w:val="0"/>
              <w:snapToGrid w:val="0"/>
              <w:spacing w:line="360" w:lineRule="auto"/>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shd w:val="clear" w:color="auto" w:fill="auto"/>
          </w:tcPr>
          <w:p w14:paraId="76099BAD">
            <w:pPr>
              <w:kinsoku w:val="0"/>
              <w:autoSpaceDE w:val="0"/>
              <w:autoSpaceDN w:val="0"/>
              <w:adjustRightInd w:val="0"/>
              <w:snapToGrid w:val="0"/>
              <w:spacing w:line="360" w:lineRule="auto"/>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shd w:val="clear" w:color="auto" w:fill="auto"/>
          </w:tcPr>
          <w:p w14:paraId="10E8CDB5">
            <w:pPr>
              <w:kinsoku w:val="0"/>
              <w:autoSpaceDE w:val="0"/>
              <w:autoSpaceDN w:val="0"/>
              <w:adjustRightInd w:val="0"/>
              <w:snapToGrid w:val="0"/>
              <w:spacing w:line="360" w:lineRule="auto"/>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69E91A5C">
            <w:pPr>
              <w:spacing w:line="360" w:lineRule="auto"/>
              <w:rPr>
                <w:rFonts w:ascii="宋体" w:hAnsi="宋体" w:cs="宋体"/>
                <w:color w:val="auto"/>
                <w:sz w:val="24"/>
                <w:highlight w:val="none"/>
              </w:rPr>
            </w:pPr>
          </w:p>
        </w:tc>
      </w:tr>
      <w:tr w14:paraId="15CC6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3DEAE82F">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3B6F9393">
            <w:pPr>
              <w:spacing w:line="360" w:lineRule="auto"/>
              <w:rPr>
                <w:rFonts w:ascii="宋体" w:hAnsi="宋体" w:cs="宋体"/>
                <w:color w:val="auto"/>
                <w:sz w:val="24"/>
                <w:highlight w:val="none"/>
              </w:rPr>
            </w:pPr>
          </w:p>
        </w:tc>
        <w:tc>
          <w:tcPr>
            <w:tcW w:w="1974" w:type="dxa"/>
            <w:gridSpan w:val="3"/>
            <w:shd w:val="clear" w:color="auto" w:fill="auto"/>
          </w:tcPr>
          <w:p w14:paraId="52578865">
            <w:pPr>
              <w:spacing w:line="360" w:lineRule="auto"/>
              <w:rPr>
                <w:rFonts w:ascii="宋体" w:hAnsi="宋体" w:cs="宋体"/>
                <w:color w:val="auto"/>
                <w:sz w:val="24"/>
                <w:highlight w:val="none"/>
              </w:rPr>
            </w:pPr>
          </w:p>
        </w:tc>
        <w:tc>
          <w:tcPr>
            <w:tcW w:w="1329" w:type="dxa"/>
            <w:gridSpan w:val="2"/>
            <w:shd w:val="clear" w:color="auto" w:fill="auto"/>
          </w:tcPr>
          <w:p w14:paraId="7701BB79">
            <w:pPr>
              <w:spacing w:line="360" w:lineRule="auto"/>
              <w:rPr>
                <w:rFonts w:ascii="宋体" w:hAnsi="宋体" w:cs="宋体"/>
                <w:color w:val="auto"/>
                <w:sz w:val="24"/>
                <w:highlight w:val="none"/>
              </w:rPr>
            </w:pPr>
          </w:p>
        </w:tc>
        <w:tc>
          <w:tcPr>
            <w:tcW w:w="1634" w:type="dxa"/>
            <w:gridSpan w:val="3"/>
            <w:shd w:val="clear" w:color="auto" w:fill="auto"/>
          </w:tcPr>
          <w:p w14:paraId="3023A1C7">
            <w:pPr>
              <w:spacing w:line="360" w:lineRule="auto"/>
              <w:rPr>
                <w:rFonts w:ascii="宋体" w:hAnsi="宋体" w:cs="宋体"/>
                <w:color w:val="auto"/>
                <w:sz w:val="24"/>
                <w:highlight w:val="none"/>
              </w:rPr>
            </w:pPr>
          </w:p>
        </w:tc>
        <w:tc>
          <w:tcPr>
            <w:tcW w:w="1483" w:type="dxa"/>
            <w:gridSpan w:val="2"/>
            <w:shd w:val="clear" w:color="auto" w:fill="auto"/>
          </w:tcPr>
          <w:p w14:paraId="2E9BC682">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5C7DA187">
            <w:pPr>
              <w:spacing w:line="360" w:lineRule="auto"/>
              <w:rPr>
                <w:rFonts w:ascii="宋体" w:hAnsi="宋体" w:cs="宋体"/>
                <w:color w:val="auto"/>
                <w:sz w:val="24"/>
                <w:highlight w:val="none"/>
              </w:rPr>
            </w:pPr>
          </w:p>
        </w:tc>
      </w:tr>
      <w:tr w14:paraId="2A47C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77AAEACB">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63968F49">
            <w:pPr>
              <w:spacing w:line="360" w:lineRule="auto"/>
              <w:rPr>
                <w:rFonts w:ascii="宋体" w:hAnsi="宋体" w:cs="宋体"/>
                <w:color w:val="auto"/>
                <w:sz w:val="24"/>
                <w:highlight w:val="none"/>
              </w:rPr>
            </w:pPr>
          </w:p>
        </w:tc>
        <w:tc>
          <w:tcPr>
            <w:tcW w:w="1974" w:type="dxa"/>
            <w:gridSpan w:val="3"/>
            <w:shd w:val="clear" w:color="auto" w:fill="auto"/>
          </w:tcPr>
          <w:p w14:paraId="7ACC17E8">
            <w:pPr>
              <w:spacing w:line="360" w:lineRule="auto"/>
              <w:rPr>
                <w:rFonts w:ascii="宋体" w:hAnsi="宋体" w:cs="宋体"/>
                <w:color w:val="auto"/>
                <w:sz w:val="24"/>
                <w:highlight w:val="none"/>
              </w:rPr>
            </w:pPr>
          </w:p>
        </w:tc>
        <w:tc>
          <w:tcPr>
            <w:tcW w:w="1329" w:type="dxa"/>
            <w:gridSpan w:val="2"/>
            <w:shd w:val="clear" w:color="auto" w:fill="auto"/>
          </w:tcPr>
          <w:p w14:paraId="025EDCEC">
            <w:pPr>
              <w:spacing w:line="360" w:lineRule="auto"/>
              <w:rPr>
                <w:rFonts w:ascii="宋体" w:hAnsi="宋体" w:cs="宋体"/>
                <w:color w:val="auto"/>
                <w:sz w:val="24"/>
                <w:highlight w:val="none"/>
              </w:rPr>
            </w:pPr>
          </w:p>
        </w:tc>
        <w:tc>
          <w:tcPr>
            <w:tcW w:w="1634" w:type="dxa"/>
            <w:gridSpan w:val="3"/>
            <w:shd w:val="clear" w:color="auto" w:fill="auto"/>
          </w:tcPr>
          <w:p w14:paraId="7D6D3DE2">
            <w:pPr>
              <w:spacing w:line="360" w:lineRule="auto"/>
              <w:rPr>
                <w:rFonts w:ascii="宋体" w:hAnsi="宋体" w:cs="宋体"/>
                <w:color w:val="auto"/>
                <w:sz w:val="24"/>
                <w:highlight w:val="none"/>
              </w:rPr>
            </w:pPr>
          </w:p>
        </w:tc>
        <w:tc>
          <w:tcPr>
            <w:tcW w:w="1483" w:type="dxa"/>
            <w:gridSpan w:val="2"/>
            <w:shd w:val="clear" w:color="auto" w:fill="auto"/>
          </w:tcPr>
          <w:p w14:paraId="5CFD367B">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0C57E098">
            <w:pPr>
              <w:spacing w:line="360" w:lineRule="auto"/>
              <w:rPr>
                <w:rFonts w:ascii="宋体" w:hAnsi="宋体" w:cs="宋体"/>
                <w:color w:val="auto"/>
                <w:sz w:val="24"/>
                <w:highlight w:val="none"/>
              </w:rPr>
            </w:pPr>
          </w:p>
        </w:tc>
      </w:tr>
      <w:tr w14:paraId="49AC1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233A4756">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712CD64A">
            <w:pPr>
              <w:spacing w:line="360" w:lineRule="auto"/>
              <w:rPr>
                <w:rFonts w:ascii="宋体" w:hAnsi="宋体" w:cs="宋体"/>
                <w:color w:val="auto"/>
                <w:sz w:val="24"/>
                <w:highlight w:val="none"/>
              </w:rPr>
            </w:pPr>
          </w:p>
        </w:tc>
        <w:tc>
          <w:tcPr>
            <w:tcW w:w="1974" w:type="dxa"/>
            <w:gridSpan w:val="3"/>
            <w:shd w:val="clear" w:color="auto" w:fill="auto"/>
          </w:tcPr>
          <w:p w14:paraId="6243F930">
            <w:pPr>
              <w:spacing w:line="360" w:lineRule="auto"/>
              <w:rPr>
                <w:rFonts w:ascii="宋体" w:hAnsi="宋体" w:cs="宋体"/>
                <w:color w:val="auto"/>
                <w:sz w:val="24"/>
                <w:highlight w:val="none"/>
              </w:rPr>
            </w:pPr>
          </w:p>
        </w:tc>
        <w:tc>
          <w:tcPr>
            <w:tcW w:w="1329" w:type="dxa"/>
            <w:gridSpan w:val="2"/>
            <w:shd w:val="clear" w:color="auto" w:fill="auto"/>
          </w:tcPr>
          <w:p w14:paraId="7898FEF3">
            <w:pPr>
              <w:spacing w:line="360" w:lineRule="auto"/>
              <w:rPr>
                <w:rFonts w:ascii="宋体" w:hAnsi="宋体" w:cs="宋体"/>
                <w:color w:val="auto"/>
                <w:sz w:val="24"/>
                <w:highlight w:val="none"/>
              </w:rPr>
            </w:pPr>
          </w:p>
        </w:tc>
        <w:tc>
          <w:tcPr>
            <w:tcW w:w="1634" w:type="dxa"/>
            <w:gridSpan w:val="3"/>
            <w:shd w:val="clear" w:color="auto" w:fill="auto"/>
          </w:tcPr>
          <w:p w14:paraId="29FDFA1E">
            <w:pPr>
              <w:spacing w:line="360" w:lineRule="auto"/>
              <w:rPr>
                <w:rFonts w:ascii="宋体" w:hAnsi="宋体" w:cs="宋体"/>
                <w:color w:val="auto"/>
                <w:sz w:val="24"/>
                <w:highlight w:val="none"/>
              </w:rPr>
            </w:pPr>
          </w:p>
        </w:tc>
        <w:tc>
          <w:tcPr>
            <w:tcW w:w="1483" w:type="dxa"/>
            <w:gridSpan w:val="2"/>
            <w:shd w:val="clear" w:color="auto" w:fill="auto"/>
          </w:tcPr>
          <w:p w14:paraId="2E148DE7">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0D3BF44D">
            <w:pPr>
              <w:spacing w:line="360" w:lineRule="auto"/>
              <w:rPr>
                <w:rFonts w:ascii="宋体" w:hAnsi="宋体" w:cs="宋体"/>
                <w:color w:val="auto"/>
                <w:sz w:val="24"/>
                <w:highlight w:val="none"/>
              </w:rPr>
            </w:pPr>
          </w:p>
        </w:tc>
      </w:tr>
      <w:tr w14:paraId="53C49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C397043">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1637A357">
            <w:pPr>
              <w:spacing w:line="360" w:lineRule="auto"/>
              <w:rPr>
                <w:rFonts w:ascii="宋体" w:hAnsi="宋体" w:cs="宋体"/>
                <w:color w:val="auto"/>
                <w:sz w:val="24"/>
                <w:highlight w:val="none"/>
              </w:rPr>
            </w:pPr>
          </w:p>
        </w:tc>
        <w:tc>
          <w:tcPr>
            <w:tcW w:w="1974" w:type="dxa"/>
            <w:gridSpan w:val="3"/>
            <w:shd w:val="clear" w:color="auto" w:fill="auto"/>
          </w:tcPr>
          <w:p w14:paraId="10C89D74">
            <w:pPr>
              <w:spacing w:line="360" w:lineRule="auto"/>
              <w:rPr>
                <w:rFonts w:ascii="宋体" w:hAnsi="宋体" w:cs="宋体"/>
                <w:color w:val="auto"/>
                <w:sz w:val="24"/>
                <w:highlight w:val="none"/>
              </w:rPr>
            </w:pPr>
          </w:p>
        </w:tc>
        <w:tc>
          <w:tcPr>
            <w:tcW w:w="1329" w:type="dxa"/>
            <w:gridSpan w:val="2"/>
            <w:shd w:val="clear" w:color="auto" w:fill="auto"/>
          </w:tcPr>
          <w:p w14:paraId="113D7EB6">
            <w:pPr>
              <w:spacing w:line="360" w:lineRule="auto"/>
              <w:rPr>
                <w:rFonts w:ascii="宋体" w:hAnsi="宋体" w:cs="宋体"/>
                <w:color w:val="auto"/>
                <w:sz w:val="24"/>
                <w:highlight w:val="none"/>
              </w:rPr>
            </w:pPr>
          </w:p>
        </w:tc>
        <w:tc>
          <w:tcPr>
            <w:tcW w:w="1634" w:type="dxa"/>
            <w:gridSpan w:val="3"/>
            <w:shd w:val="clear" w:color="auto" w:fill="auto"/>
          </w:tcPr>
          <w:p w14:paraId="415E48ED">
            <w:pPr>
              <w:spacing w:line="360" w:lineRule="auto"/>
              <w:rPr>
                <w:rFonts w:ascii="宋体" w:hAnsi="宋体" w:cs="宋体"/>
                <w:color w:val="auto"/>
                <w:sz w:val="24"/>
                <w:highlight w:val="none"/>
              </w:rPr>
            </w:pPr>
          </w:p>
        </w:tc>
        <w:tc>
          <w:tcPr>
            <w:tcW w:w="1483" w:type="dxa"/>
            <w:gridSpan w:val="2"/>
            <w:shd w:val="clear" w:color="auto" w:fill="auto"/>
          </w:tcPr>
          <w:p w14:paraId="3CBC4E88">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7BC61D81">
            <w:pPr>
              <w:spacing w:line="360" w:lineRule="auto"/>
              <w:rPr>
                <w:rFonts w:ascii="宋体" w:hAnsi="宋体" w:cs="宋体"/>
                <w:color w:val="auto"/>
                <w:sz w:val="24"/>
                <w:highlight w:val="none"/>
              </w:rPr>
            </w:pPr>
          </w:p>
        </w:tc>
      </w:tr>
      <w:tr w14:paraId="12277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56A6D55">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62E5ACE6">
            <w:pPr>
              <w:spacing w:line="360" w:lineRule="auto"/>
              <w:rPr>
                <w:rFonts w:ascii="宋体" w:hAnsi="宋体" w:cs="宋体"/>
                <w:color w:val="auto"/>
                <w:sz w:val="24"/>
                <w:highlight w:val="none"/>
              </w:rPr>
            </w:pPr>
          </w:p>
        </w:tc>
        <w:tc>
          <w:tcPr>
            <w:tcW w:w="1974" w:type="dxa"/>
            <w:gridSpan w:val="3"/>
            <w:shd w:val="clear" w:color="auto" w:fill="auto"/>
          </w:tcPr>
          <w:p w14:paraId="45F3DB17">
            <w:pPr>
              <w:spacing w:line="360" w:lineRule="auto"/>
              <w:rPr>
                <w:rFonts w:ascii="宋体" w:hAnsi="宋体" w:cs="宋体"/>
                <w:color w:val="auto"/>
                <w:sz w:val="24"/>
                <w:highlight w:val="none"/>
              </w:rPr>
            </w:pPr>
          </w:p>
        </w:tc>
        <w:tc>
          <w:tcPr>
            <w:tcW w:w="1329" w:type="dxa"/>
            <w:gridSpan w:val="2"/>
            <w:shd w:val="clear" w:color="auto" w:fill="auto"/>
          </w:tcPr>
          <w:p w14:paraId="6C6DC800">
            <w:pPr>
              <w:spacing w:line="360" w:lineRule="auto"/>
              <w:rPr>
                <w:rFonts w:ascii="宋体" w:hAnsi="宋体" w:cs="宋体"/>
                <w:color w:val="auto"/>
                <w:sz w:val="24"/>
                <w:highlight w:val="none"/>
              </w:rPr>
            </w:pPr>
          </w:p>
        </w:tc>
        <w:tc>
          <w:tcPr>
            <w:tcW w:w="1634" w:type="dxa"/>
            <w:gridSpan w:val="3"/>
            <w:shd w:val="clear" w:color="auto" w:fill="auto"/>
          </w:tcPr>
          <w:p w14:paraId="046773E7">
            <w:pPr>
              <w:spacing w:line="360" w:lineRule="auto"/>
              <w:rPr>
                <w:rFonts w:ascii="宋体" w:hAnsi="宋体" w:cs="宋体"/>
                <w:color w:val="auto"/>
                <w:sz w:val="24"/>
                <w:highlight w:val="none"/>
              </w:rPr>
            </w:pPr>
          </w:p>
        </w:tc>
        <w:tc>
          <w:tcPr>
            <w:tcW w:w="1483" w:type="dxa"/>
            <w:gridSpan w:val="2"/>
            <w:shd w:val="clear" w:color="auto" w:fill="auto"/>
          </w:tcPr>
          <w:p w14:paraId="7A17131C">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3852A0D0">
            <w:pPr>
              <w:spacing w:line="360" w:lineRule="auto"/>
              <w:rPr>
                <w:rFonts w:ascii="宋体" w:hAnsi="宋体" w:cs="宋体"/>
                <w:color w:val="auto"/>
                <w:sz w:val="24"/>
                <w:highlight w:val="none"/>
              </w:rPr>
            </w:pPr>
          </w:p>
        </w:tc>
      </w:tr>
      <w:tr w14:paraId="28062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95B45F">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499E0113">
            <w:pPr>
              <w:spacing w:line="360" w:lineRule="auto"/>
              <w:rPr>
                <w:rFonts w:ascii="宋体" w:hAnsi="宋体" w:cs="宋体"/>
                <w:color w:val="auto"/>
                <w:sz w:val="24"/>
                <w:highlight w:val="none"/>
              </w:rPr>
            </w:pPr>
          </w:p>
        </w:tc>
        <w:tc>
          <w:tcPr>
            <w:tcW w:w="1974" w:type="dxa"/>
            <w:gridSpan w:val="3"/>
            <w:shd w:val="clear" w:color="auto" w:fill="auto"/>
          </w:tcPr>
          <w:p w14:paraId="150083CF">
            <w:pPr>
              <w:spacing w:line="360" w:lineRule="auto"/>
              <w:rPr>
                <w:rFonts w:ascii="宋体" w:hAnsi="宋体" w:cs="宋体"/>
                <w:color w:val="auto"/>
                <w:sz w:val="24"/>
                <w:highlight w:val="none"/>
              </w:rPr>
            </w:pPr>
          </w:p>
        </w:tc>
        <w:tc>
          <w:tcPr>
            <w:tcW w:w="1329" w:type="dxa"/>
            <w:gridSpan w:val="2"/>
            <w:shd w:val="clear" w:color="auto" w:fill="auto"/>
          </w:tcPr>
          <w:p w14:paraId="736E4C7A">
            <w:pPr>
              <w:spacing w:line="360" w:lineRule="auto"/>
              <w:rPr>
                <w:rFonts w:ascii="宋体" w:hAnsi="宋体" w:cs="宋体"/>
                <w:color w:val="auto"/>
                <w:sz w:val="24"/>
                <w:highlight w:val="none"/>
              </w:rPr>
            </w:pPr>
          </w:p>
        </w:tc>
        <w:tc>
          <w:tcPr>
            <w:tcW w:w="1634" w:type="dxa"/>
            <w:gridSpan w:val="3"/>
            <w:shd w:val="clear" w:color="auto" w:fill="auto"/>
          </w:tcPr>
          <w:p w14:paraId="41F09AC1">
            <w:pPr>
              <w:spacing w:line="360" w:lineRule="auto"/>
              <w:rPr>
                <w:rFonts w:ascii="宋体" w:hAnsi="宋体" w:cs="宋体"/>
                <w:color w:val="auto"/>
                <w:sz w:val="24"/>
                <w:highlight w:val="none"/>
              </w:rPr>
            </w:pPr>
          </w:p>
        </w:tc>
        <w:tc>
          <w:tcPr>
            <w:tcW w:w="1483" w:type="dxa"/>
            <w:gridSpan w:val="2"/>
            <w:shd w:val="clear" w:color="auto" w:fill="auto"/>
          </w:tcPr>
          <w:p w14:paraId="60316434">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4A9D18B">
            <w:pPr>
              <w:spacing w:line="360" w:lineRule="auto"/>
              <w:rPr>
                <w:rFonts w:ascii="宋体" w:hAnsi="宋体" w:cs="宋体"/>
                <w:color w:val="auto"/>
                <w:sz w:val="24"/>
                <w:highlight w:val="none"/>
              </w:rPr>
            </w:pPr>
          </w:p>
        </w:tc>
      </w:tr>
      <w:tr w14:paraId="4CA70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2B00FF7">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2DB43054">
            <w:pPr>
              <w:spacing w:line="360" w:lineRule="auto"/>
              <w:rPr>
                <w:rFonts w:ascii="宋体" w:hAnsi="宋体" w:cs="宋体"/>
                <w:color w:val="auto"/>
                <w:sz w:val="24"/>
                <w:highlight w:val="none"/>
              </w:rPr>
            </w:pPr>
          </w:p>
        </w:tc>
        <w:tc>
          <w:tcPr>
            <w:tcW w:w="1974" w:type="dxa"/>
            <w:gridSpan w:val="3"/>
            <w:shd w:val="clear" w:color="auto" w:fill="auto"/>
          </w:tcPr>
          <w:p w14:paraId="574662D1">
            <w:pPr>
              <w:spacing w:line="360" w:lineRule="auto"/>
              <w:rPr>
                <w:rFonts w:ascii="宋体" w:hAnsi="宋体" w:cs="宋体"/>
                <w:color w:val="auto"/>
                <w:sz w:val="24"/>
                <w:highlight w:val="none"/>
              </w:rPr>
            </w:pPr>
          </w:p>
        </w:tc>
        <w:tc>
          <w:tcPr>
            <w:tcW w:w="1329" w:type="dxa"/>
            <w:gridSpan w:val="2"/>
            <w:shd w:val="clear" w:color="auto" w:fill="auto"/>
          </w:tcPr>
          <w:p w14:paraId="2B389120">
            <w:pPr>
              <w:spacing w:line="360" w:lineRule="auto"/>
              <w:rPr>
                <w:rFonts w:ascii="宋体" w:hAnsi="宋体" w:cs="宋体"/>
                <w:color w:val="auto"/>
                <w:sz w:val="24"/>
                <w:highlight w:val="none"/>
              </w:rPr>
            </w:pPr>
          </w:p>
        </w:tc>
        <w:tc>
          <w:tcPr>
            <w:tcW w:w="1634" w:type="dxa"/>
            <w:gridSpan w:val="3"/>
            <w:shd w:val="clear" w:color="auto" w:fill="auto"/>
          </w:tcPr>
          <w:p w14:paraId="3DA9E38C">
            <w:pPr>
              <w:spacing w:line="360" w:lineRule="auto"/>
              <w:rPr>
                <w:rFonts w:ascii="宋体" w:hAnsi="宋体" w:cs="宋体"/>
                <w:color w:val="auto"/>
                <w:sz w:val="24"/>
                <w:highlight w:val="none"/>
              </w:rPr>
            </w:pPr>
          </w:p>
        </w:tc>
        <w:tc>
          <w:tcPr>
            <w:tcW w:w="1483" w:type="dxa"/>
            <w:gridSpan w:val="2"/>
            <w:shd w:val="clear" w:color="auto" w:fill="auto"/>
          </w:tcPr>
          <w:p w14:paraId="1BCE1130">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06E95B6E">
            <w:pPr>
              <w:spacing w:line="360" w:lineRule="auto"/>
              <w:rPr>
                <w:rFonts w:ascii="宋体" w:hAnsi="宋体" w:cs="宋体"/>
                <w:color w:val="auto"/>
                <w:sz w:val="24"/>
                <w:highlight w:val="none"/>
              </w:rPr>
            </w:pPr>
          </w:p>
        </w:tc>
      </w:tr>
      <w:tr w14:paraId="18E79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431465C">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049A868B">
            <w:pPr>
              <w:spacing w:line="360" w:lineRule="auto"/>
              <w:rPr>
                <w:rFonts w:ascii="宋体" w:hAnsi="宋体" w:cs="宋体"/>
                <w:color w:val="auto"/>
                <w:sz w:val="24"/>
                <w:highlight w:val="none"/>
              </w:rPr>
            </w:pPr>
          </w:p>
        </w:tc>
        <w:tc>
          <w:tcPr>
            <w:tcW w:w="1974" w:type="dxa"/>
            <w:gridSpan w:val="3"/>
            <w:shd w:val="clear" w:color="auto" w:fill="auto"/>
          </w:tcPr>
          <w:p w14:paraId="1599361F">
            <w:pPr>
              <w:spacing w:line="360" w:lineRule="auto"/>
              <w:rPr>
                <w:rFonts w:ascii="宋体" w:hAnsi="宋体" w:cs="宋体"/>
                <w:color w:val="auto"/>
                <w:sz w:val="24"/>
                <w:highlight w:val="none"/>
              </w:rPr>
            </w:pPr>
          </w:p>
        </w:tc>
        <w:tc>
          <w:tcPr>
            <w:tcW w:w="1329" w:type="dxa"/>
            <w:gridSpan w:val="2"/>
            <w:shd w:val="clear" w:color="auto" w:fill="auto"/>
          </w:tcPr>
          <w:p w14:paraId="78F0D2E7">
            <w:pPr>
              <w:spacing w:line="360" w:lineRule="auto"/>
              <w:rPr>
                <w:rFonts w:ascii="宋体" w:hAnsi="宋体" w:cs="宋体"/>
                <w:color w:val="auto"/>
                <w:sz w:val="24"/>
                <w:highlight w:val="none"/>
              </w:rPr>
            </w:pPr>
          </w:p>
        </w:tc>
        <w:tc>
          <w:tcPr>
            <w:tcW w:w="1634" w:type="dxa"/>
            <w:gridSpan w:val="3"/>
            <w:shd w:val="clear" w:color="auto" w:fill="auto"/>
          </w:tcPr>
          <w:p w14:paraId="7121B993">
            <w:pPr>
              <w:spacing w:line="360" w:lineRule="auto"/>
              <w:rPr>
                <w:rFonts w:ascii="宋体" w:hAnsi="宋体" w:cs="宋体"/>
                <w:color w:val="auto"/>
                <w:sz w:val="24"/>
                <w:highlight w:val="none"/>
              </w:rPr>
            </w:pPr>
          </w:p>
        </w:tc>
        <w:tc>
          <w:tcPr>
            <w:tcW w:w="1483" w:type="dxa"/>
            <w:gridSpan w:val="2"/>
            <w:shd w:val="clear" w:color="auto" w:fill="auto"/>
          </w:tcPr>
          <w:p w14:paraId="2FA45E5A">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5B57C473">
            <w:pPr>
              <w:spacing w:line="360" w:lineRule="auto"/>
              <w:rPr>
                <w:rFonts w:ascii="宋体" w:hAnsi="宋体" w:cs="宋体"/>
                <w:color w:val="auto"/>
                <w:sz w:val="24"/>
                <w:highlight w:val="none"/>
              </w:rPr>
            </w:pPr>
          </w:p>
        </w:tc>
      </w:tr>
      <w:tr w14:paraId="4A703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71E03C2">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4DE76022">
            <w:pPr>
              <w:spacing w:line="360" w:lineRule="auto"/>
              <w:rPr>
                <w:rFonts w:ascii="宋体" w:hAnsi="宋体" w:cs="宋体"/>
                <w:color w:val="auto"/>
                <w:sz w:val="24"/>
                <w:highlight w:val="none"/>
              </w:rPr>
            </w:pPr>
          </w:p>
        </w:tc>
        <w:tc>
          <w:tcPr>
            <w:tcW w:w="1974" w:type="dxa"/>
            <w:gridSpan w:val="3"/>
            <w:shd w:val="clear" w:color="auto" w:fill="auto"/>
          </w:tcPr>
          <w:p w14:paraId="5DD1C15F">
            <w:pPr>
              <w:spacing w:line="360" w:lineRule="auto"/>
              <w:rPr>
                <w:rFonts w:ascii="宋体" w:hAnsi="宋体" w:cs="宋体"/>
                <w:color w:val="auto"/>
                <w:sz w:val="24"/>
                <w:highlight w:val="none"/>
              </w:rPr>
            </w:pPr>
          </w:p>
        </w:tc>
        <w:tc>
          <w:tcPr>
            <w:tcW w:w="1329" w:type="dxa"/>
            <w:gridSpan w:val="2"/>
            <w:shd w:val="clear" w:color="auto" w:fill="auto"/>
          </w:tcPr>
          <w:p w14:paraId="41A33584">
            <w:pPr>
              <w:spacing w:line="360" w:lineRule="auto"/>
              <w:rPr>
                <w:rFonts w:ascii="宋体" w:hAnsi="宋体" w:cs="宋体"/>
                <w:color w:val="auto"/>
                <w:sz w:val="24"/>
                <w:highlight w:val="none"/>
              </w:rPr>
            </w:pPr>
          </w:p>
        </w:tc>
        <w:tc>
          <w:tcPr>
            <w:tcW w:w="1634" w:type="dxa"/>
            <w:gridSpan w:val="3"/>
            <w:shd w:val="clear" w:color="auto" w:fill="auto"/>
          </w:tcPr>
          <w:p w14:paraId="5BF041F5">
            <w:pPr>
              <w:spacing w:line="360" w:lineRule="auto"/>
              <w:rPr>
                <w:rFonts w:ascii="宋体" w:hAnsi="宋体" w:cs="宋体"/>
                <w:color w:val="auto"/>
                <w:sz w:val="24"/>
                <w:highlight w:val="none"/>
              </w:rPr>
            </w:pPr>
          </w:p>
        </w:tc>
        <w:tc>
          <w:tcPr>
            <w:tcW w:w="1483" w:type="dxa"/>
            <w:gridSpan w:val="2"/>
            <w:shd w:val="clear" w:color="auto" w:fill="auto"/>
          </w:tcPr>
          <w:p w14:paraId="238AAE27">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5C713054">
            <w:pPr>
              <w:spacing w:line="360" w:lineRule="auto"/>
              <w:rPr>
                <w:rFonts w:ascii="宋体" w:hAnsi="宋体" w:cs="宋体"/>
                <w:color w:val="auto"/>
                <w:sz w:val="24"/>
                <w:highlight w:val="none"/>
              </w:rPr>
            </w:pPr>
          </w:p>
        </w:tc>
      </w:tr>
    </w:tbl>
    <w:p w14:paraId="08A59B6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032A88B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533D680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类）、本表所列证书复印件并加盖供应商公章。</w:t>
      </w:r>
    </w:p>
    <w:p w14:paraId="0CFE9804">
      <w:pPr>
        <w:spacing w:line="360" w:lineRule="auto"/>
        <w:rPr>
          <w:rFonts w:ascii="宋体" w:hAnsi="宋体"/>
          <w:color w:val="auto"/>
          <w:sz w:val="24"/>
          <w:highlight w:val="none"/>
        </w:rPr>
      </w:pPr>
      <w:r>
        <w:rPr>
          <w:rFonts w:hint="eastAsia" w:ascii="宋体" w:hAnsi="宋体"/>
          <w:color w:val="auto"/>
          <w:sz w:val="24"/>
          <w:highlight w:val="none"/>
        </w:rPr>
        <w:br w:type="page"/>
      </w:r>
    </w:p>
    <w:p w14:paraId="180D1748">
      <w:pPr>
        <w:spacing w:line="360" w:lineRule="auto"/>
        <w:ind w:left="1939"/>
        <w:rPr>
          <w:rFonts w:ascii="宋体" w:hAnsi="宋体" w:cs="宋体"/>
          <w:color w:val="auto"/>
          <w:sz w:val="31"/>
          <w:szCs w:val="31"/>
          <w:highlight w:val="none"/>
        </w:rPr>
      </w:pPr>
      <w:r>
        <w:rPr>
          <w:rFonts w:hint="eastAsia" w:ascii="宋体" w:hAnsi="宋体" w:cs="宋体"/>
          <w:b/>
          <w:bCs/>
          <w:color w:val="auto"/>
          <w:spacing w:val="3"/>
          <w:sz w:val="28"/>
          <w:szCs w:val="28"/>
          <w:highlight w:val="none"/>
        </w:rPr>
        <w:t>项目技术负责人（项目总工）</w:t>
      </w:r>
      <w:r>
        <w:rPr>
          <w:rFonts w:hint="eastAsia" w:ascii="宋体" w:hAnsi="宋体" w:cs="宋体"/>
          <w:b/>
          <w:bCs/>
          <w:color w:val="auto"/>
          <w:spacing w:val="-20"/>
          <w:sz w:val="28"/>
          <w:szCs w:val="28"/>
          <w:highlight w:val="none"/>
        </w:rPr>
        <w:t xml:space="preserve"> </w:t>
      </w:r>
      <w:r>
        <w:rPr>
          <w:rFonts w:hint="eastAsia" w:ascii="宋体" w:hAnsi="宋体" w:cs="宋体"/>
          <w:b/>
          <w:bCs/>
          <w:color w:val="auto"/>
          <w:spacing w:val="3"/>
          <w:sz w:val="28"/>
          <w:szCs w:val="28"/>
          <w:highlight w:val="none"/>
        </w:rPr>
        <w:t>简历表（如有）</w:t>
      </w: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0A0D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4F223169">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338" w:type="dxa"/>
            <w:gridSpan w:val="5"/>
            <w:shd w:val="clear" w:color="auto" w:fill="auto"/>
          </w:tcPr>
          <w:p w14:paraId="7FD24DF8">
            <w:pPr>
              <w:spacing w:line="360" w:lineRule="auto"/>
              <w:rPr>
                <w:rFonts w:ascii="宋体" w:hAnsi="宋体" w:cs="宋体"/>
                <w:color w:val="auto"/>
                <w:sz w:val="24"/>
                <w:highlight w:val="none"/>
              </w:rPr>
            </w:pPr>
          </w:p>
        </w:tc>
        <w:tc>
          <w:tcPr>
            <w:tcW w:w="1892" w:type="dxa"/>
            <w:gridSpan w:val="3"/>
            <w:shd w:val="clear" w:color="auto" w:fill="auto"/>
          </w:tcPr>
          <w:p w14:paraId="5A241558">
            <w:pPr>
              <w:kinsoku w:val="0"/>
              <w:autoSpaceDE w:val="0"/>
              <w:autoSpaceDN w:val="0"/>
              <w:adjustRightInd w:val="0"/>
              <w:snapToGrid w:val="0"/>
              <w:spacing w:line="360" w:lineRule="auto"/>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6E8DAF26">
            <w:pPr>
              <w:spacing w:line="360" w:lineRule="auto"/>
              <w:rPr>
                <w:rFonts w:ascii="宋体" w:hAnsi="宋体" w:cs="宋体"/>
                <w:color w:val="auto"/>
                <w:sz w:val="24"/>
                <w:highlight w:val="none"/>
              </w:rPr>
            </w:pPr>
          </w:p>
        </w:tc>
        <w:tc>
          <w:tcPr>
            <w:tcW w:w="1136" w:type="dxa"/>
            <w:shd w:val="clear" w:color="auto" w:fill="auto"/>
          </w:tcPr>
          <w:p w14:paraId="311C7D1B">
            <w:pPr>
              <w:kinsoku w:val="0"/>
              <w:autoSpaceDE w:val="0"/>
              <w:autoSpaceDN w:val="0"/>
              <w:adjustRightInd w:val="0"/>
              <w:snapToGrid w:val="0"/>
              <w:spacing w:line="360" w:lineRule="auto"/>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shd w:val="clear" w:color="auto" w:fill="auto"/>
          </w:tcPr>
          <w:p w14:paraId="14E7C32B">
            <w:pPr>
              <w:spacing w:line="360" w:lineRule="auto"/>
              <w:rPr>
                <w:rFonts w:ascii="宋体" w:hAnsi="宋体" w:cs="宋体"/>
                <w:color w:val="auto"/>
                <w:sz w:val="24"/>
                <w:highlight w:val="none"/>
              </w:rPr>
            </w:pPr>
          </w:p>
        </w:tc>
      </w:tr>
      <w:tr w14:paraId="4D526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308C5186">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338" w:type="dxa"/>
            <w:gridSpan w:val="5"/>
            <w:shd w:val="clear" w:color="auto" w:fill="auto"/>
          </w:tcPr>
          <w:p w14:paraId="6204B1B1">
            <w:pPr>
              <w:kinsoku w:val="0"/>
              <w:autoSpaceDE w:val="0"/>
              <w:autoSpaceDN w:val="0"/>
              <w:adjustRightInd w:val="0"/>
              <w:snapToGrid w:val="0"/>
              <w:spacing w:line="360" w:lineRule="auto"/>
              <w:ind w:left="860" w:right="115" w:hanging="73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项目技术负责人（项目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1892" w:type="dxa"/>
            <w:gridSpan w:val="3"/>
            <w:shd w:val="clear" w:color="auto" w:fill="auto"/>
          </w:tcPr>
          <w:p w14:paraId="1AE59757">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48B5BA74">
            <w:pPr>
              <w:spacing w:line="360" w:lineRule="auto"/>
              <w:rPr>
                <w:rFonts w:ascii="宋体" w:hAnsi="宋体" w:cs="宋体"/>
                <w:color w:val="auto"/>
                <w:sz w:val="24"/>
                <w:highlight w:val="none"/>
              </w:rPr>
            </w:pPr>
          </w:p>
        </w:tc>
        <w:tc>
          <w:tcPr>
            <w:tcW w:w="1136" w:type="dxa"/>
            <w:shd w:val="clear" w:color="auto" w:fill="auto"/>
          </w:tcPr>
          <w:p w14:paraId="1625F1BB">
            <w:pPr>
              <w:kinsoku w:val="0"/>
              <w:autoSpaceDE w:val="0"/>
              <w:autoSpaceDN w:val="0"/>
              <w:adjustRightInd w:val="0"/>
              <w:snapToGrid w:val="0"/>
              <w:spacing w:line="360" w:lineRule="auto"/>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shd w:val="clear" w:color="auto" w:fill="auto"/>
          </w:tcPr>
          <w:p w14:paraId="6136CE39">
            <w:pPr>
              <w:spacing w:line="360" w:lineRule="auto"/>
              <w:rPr>
                <w:rFonts w:ascii="宋体" w:hAnsi="宋体" w:cs="宋体"/>
                <w:color w:val="auto"/>
                <w:sz w:val="24"/>
                <w:highlight w:val="none"/>
              </w:rPr>
            </w:pPr>
          </w:p>
        </w:tc>
      </w:tr>
      <w:tr w14:paraId="65BC0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2BA70FF4">
            <w:pPr>
              <w:kinsoku w:val="0"/>
              <w:autoSpaceDE w:val="0"/>
              <w:autoSpaceDN w:val="0"/>
              <w:adjustRightInd w:val="0"/>
              <w:snapToGrid w:val="0"/>
              <w:spacing w:line="360" w:lineRule="auto"/>
              <w:ind w:left="391" w:right="155"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338" w:type="dxa"/>
            <w:gridSpan w:val="5"/>
            <w:shd w:val="clear" w:color="auto" w:fill="auto"/>
          </w:tcPr>
          <w:p w14:paraId="3FD1EDE2">
            <w:pPr>
              <w:spacing w:line="360" w:lineRule="auto"/>
              <w:rPr>
                <w:rFonts w:ascii="宋体" w:hAnsi="宋体" w:cs="宋体"/>
                <w:color w:val="auto"/>
                <w:sz w:val="24"/>
                <w:highlight w:val="none"/>
              </w:rPr>
            </w:pPr>
          </w:p>
        </w:tc>
        <w:tc>
          <w:tcPr>
            <w:tcW w:w="1892" w:type="dxa"/>
            <w:gridSpan w:val="3"/>
            <w:shd w:val="clear" w:color="auto" w:fill="auto"/>
          </w:tcPr>
          <w:p w14:paraId="73D40B3F">
            <w:pPr>
              <w:kinsoku w:val="0"/>
              <w:autoSpaceDE w:val="0"/>
              <w:autoSpaceDN w:val="0"/>
              <w:adjustRightInd w:val="0"/>
              <w:snapToGrid w:val="0"/>
              <w:spacing w:line="360" w:lineRule="auto"/>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159F536A">
            <w:pPr>
              <w:spacing w:line="360" w:lineRule="auto"/>
              <w:rPr>
                <w:rFonts w:ascii="宋体" w:hAnsi="宋体" w:cs="宋体"/>
                <w:color w:val="auto"/>
                <w:sz w:val="24"/>
                <w:highlight w:val="none"/>
              </w:rPr>
            </w:pPr>
          </w:p>
        </w:tc>
        <w:tc>
          <w:tcPr>
            <w:tcW w:w="1136" w:type="dxa"/>
            <w:shd w:val="clear" w:color="auto" w:fill="auto"/>
          </w:tcPr>
          <w:p w14:paraId="10E38F00">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shd w:val="clear" w:color="auto" w:fill="auto"/>
          </w:tcPr>
          <w:p w14:paraId="6AAE0BE3">
            <w:pPr>
              <w:spacing w:line="360" w:lineRule="auto"/>
              <w:rPr>
                <w:rFonts w:ascii="宋体" w:hAnsi="宋体" w:cs="宋体"/>
                <w:color w:val="auto"/>
                <w:sz w:val="24"/>
                <w:highlight w:val="none"/>
              </w:rPr>
            </w:pPr>
          </w:p>
        </w:tc>
      </w:tr>
      <w:tr w14:paraId="30A6A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59208A6A">
            <w:pPr>
              <w:kinsoku w:val="0"/>
              <w:autoSpaceDE w:val="0"/>
              <w:autoSpaceDN w:val="0"/>
              <w:adjustRightInd w:val="0"/>
              <w:snapToGrid w:val="0"/>
              <w:spacing w:line="360" w:lineRule="auto"/>
              <w:ind w:left="582" w:right="131" w:hanging="4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担任……年</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kern w:val="0"/>
                <w:sz w:val="24"/>
                <w:highlight w:val="none"/>
                <w:lang w:eastAsia="en-US"/>
              </w:rPr>
              <w:t>限</w:t>
            </w:r>
          </w:p>
        </w:tc>
        <w:tc>
          <w:tcPr>
            <w:tcW w:w="2175" w:type="dxa"/>
            <w:gridSpan w:val="4"/>
            <w:shd w:val="clear" w:color="auto" w:fill="auto"/>
          </w:tcPr>
          <w:p w14:paraId="53B169E4">
            <w:pPr>
              <w:spacing w:line="360" w:lineRule="auto"/>
              <w:rPr>
                <w:rFonts w:ascii="宋体" w:hAnsi="宋体" w:cs="宋体"/>
                <w:color w:val="auto"/>
                <w:sz w:val="24"/>
                <w:highlight w:val="none"/>
              </w:rPr>
            </w:pPr>
          </w:p>
        </w:tc>
        <w:tc>
          <w:tcPr>
            <w:tcW w:w="1650" w:type="dxa"/>
            <w:gridSpan w:val="2"/>
            <w:shd w:val="clear" w:color="auto" w:fill="auto"/>
          </w:tcPr>
          <w:p w14:paraId="340EAC27">
            <w:pPr>
              <w:kinsoku w:val="0"/>
              <w:autoSpaceDE w:val="0"/>
              <w:autoSpaceDN w:val="0"/>
              <w:adjustRightInd w:val="0"/>
              <w:snapToGrid w:val="0"/>
              <w:spacing w:line="360" w:lineRule="auto"/>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shd w:val="clear" w:color="auto" w:fill="auto"/>
          </w:tcPr>
          <w:p w14:paraId="3D42FE0A">
            <w:pPr>
              <w:spacing w:line="360" w:lineRule="auto"/>
              <w:rPr>
                <w:rFonts w:ascii="宋体" w:hAnsi="宋体" w:cs="宋体"/>
                <w:color w:val="auto"/>
                <w:sz w:val="24"/>
                <w:highlight w:val="none"/>
              </w:rPr>
            </w:pPr>
          </w:p>
        </w:tc>
      </w:tr>
      <w:tr w14:paraId="66B4A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6CFF3E3">
            <w:pPr>
              <w:kinsoku w:val="0"/>
              <w:autoSpaceDE w:val="0"/>
              <w:autoSpaceDN w:val="0"/>
              <w:adjustRightInd w:val="0"/>
              <w:snapToGrid w:val="0"/>
              <w:spacing w:line="360" w:lineRule="auto"/>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87" w:type="dxa"/>
            <w:gridSpan w:val="2"/>
            <w:shd w:val="clear" w:color="auto" w:fill="auto"/>
          </w:tcPr>
          <w:p w14:paraId="2D227CC6">
            <w:pPr>
              <w:kinsoku w:val="0"/>
              <w:autoSpaceDE w:val="0"/>
              <w:autoSpaceDN w:val="0"/>
              <w:adjustRightInd w:val="0"/>
              <w:snapToGrid w:val="0"/>
              <w:spacing w:line="360" w:lineRule="auto"/>
              <w:ind w:left="17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shd w:val="clear" w:color="auto" w:fill="auto"/>
          </w:tcPr>
          <w:p w14:paraId="7C96C9F8">
            <w:pPr>
              <w:kinsoku w:val="0"/>
              <w:autoSpaceDE w:val="0"/>
              <w:autoSpaceDN w:val="0"/>
              <w:adjustRightInd w:val="0"/>
              <w:snapToGrid w:val="0"/>
              <w:spacing w:line="360" w:lineRule="auto"/>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shd w:val="clear" w:color="auto" w:fill="auto"/>
          </w:tcPr>
          <w:p w14:paraId="708DAE3E">
            <w:pPr>
              <w:kinsoku w:val="0"/>
              <w:autoSpaceDE w:val="0"/>
              <w:autoSpaceDN w:val="0"/>
              <w:adjustRightInd w:val="0"/>
              <w:snapToGrid w:val="0"/>
              <w:spacing w:line="360" w:lineRule="auto"/>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2AF2BC13">
            <w:pPr>
              <w:kinsoku w:val="0"/>
              <w:autoSpaceDE w:val="0"/>
              <w:autoSpaceDN w:val="0"/>
              <w:adjustRightInd w:val="0"/>
              <w:snapToGrid w:val="0"/>
              <w:spacing w:line="360" w:lineRule="auto"/>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shd w:val="clear" w:color="auto" w:fill="auto"/>
          </w:tcPr>
          <w:p w14:paraId="2060E778">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shd w:val="clear" w:color="auto" w:fill="auto"/>
          </w:tcPr>
          <w:p w14:paraId="753F79CB">
            <w:pPr>
              <w:kinsoku w:val="0"/>
              <w:autoSpaceDE w:val="0"/>
              <w:autoSpaceDN w:val="0"/>
              <w:adjustRightInd w:val="0"/>
              <w:snapToGrid w:val="0"/>
              <w:spacing w:line="360" w:lineRule="auto"/>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6A631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34208C5A">
            <w:pPr>
              <w:spacing w:line="360" w:lineRule="auto"/>
              <w:rPr>
                <w:rFonts w:ascii="宋体" w:hAnsi="宋体" w:cs="宋体"/>
                <w:color w:val="auto"/>
                <w:sz w:val="24"/>
                <w:highlight w:val="none"/>
              </w:rPr>
            </w:pPr>
          </w:p>
        </w:tc>
        <w:tc>
          <w:tcPr>
            <w:tcW w:w="1187" w:type="dxa"/>
            <w:gridSpan w:val="2"/>
            <w:shd w:val="clear" w:color="auto" w:fill="auto"/>
          </w:tcPr>
          <w:p w14:paraId="0E072846">
            <w:pPr>
              <w:spacing w:line="360" w:lineRule="auto"/>
              <w:rPr>
                <w:rFonts w:ascii="宋体" w:hAnsi="宋体" w:cs="宋体"/>
                <w:color w:val="auto"/>
                <w:sz w:val="24"/>
                <w:highlight w:val="none"/>
              </w:rPr>
            </w:pPr>
          </w:p>
        </w:tc>
        <w:tc>
          <w:tcPr>
            <w:tcW w:w="1223" w:type="dxa"/>
            <w:gridSpan w:val="3"/>
            <w:shd w:val="clear" w:color="auto" w:fill="auto"/>
          </w:tcPr>
          <w:p w14:paraId="1A26D6F3">
            <w:pPr>
              <w:spacing w:line="360" w:lineRule="auto"/>
              <w:rPr>
                <w:rFonts w:ascii="宋体" w:hAnsi="宋体" w:cs="宋体"/>
                <w:color w:val="auto"/>
                <w:sz w:val="24"/>
                <w:highlight w:val="none"/>
              </w:rPr>
            </w:pPr>
          </w:p>
        </w:tc>
        <w:tc>
          <w:tcPr>
            <w:tcW w:w="1415" w:type="dxa"/>
            <w:shd w:val="clear" w:color="auto" w:fill="auto"/>
          </w:tcPr>
          <w:p w14:paraId="693E3455">
            <w:pPr>
              <w:spacing w:line="360" w:lineRule="auto"/>
              <w:rPr>
                <w:rFonts w:ascii="宋体" w:hAnsi="宋体" w:cs="宋体"/>
                <w:color w:val="auto"/>
                <w:sz w:val="24"/>
                <w:highlight w:val="none"/>
              </w:rPr>
            </w:pPr>
          </w:p>
        </w:tc>
        <w:tc>
          <w:tcPr>
            <w:tcW w:w="1418" w:type="dxa"/>
            <w:gridSpan w:val="3"/>
            <w:shd w:val="clear" w:color="auto" w:fill="auto"/>
          </w:tcPr>
          <w:p w14:paraId="171DCD26">
            <w:pPr>
              <w:spacing w:line="360" w:lineRule="auto"/>
              <w:rPr>
                <w:rFonts w:ascii="宋体" w:hAnsi="宋体" w:cs="宋体"/>
                <w:color w:val="auto"/>
                <w:sz w:val="24"/>
                <w:highlight w:val="none"/>
              </w:rPr>
            </w:pPr>
          </w:p>
        </w:tc>
        <w:tc>
          <w:tcPr>
            <w:tcW w:w="1631" w:type="dxa"/>
            <w:gridSpan w:val="3"/>
            <w:shd w:val="clear" w:color="auto" w:fill="auto"/>
          </w:tcPr>
          <w:p w14:paraId="02617CEF">
            <w:pPr>
              <w:spacing w:line="360" w:lineRule="auto"/>
              <w:rPr>
                <w:rFonts w:ascii="宋体" w:hAnsi="宋体" w:cs="宋体"/>
                <w:color w:val="auto"/>
                <w:sz w:val="24"/>
                <w:highlight w:val="none"/>
              </w:rPr>
            </w:pPr>
          </w:p>
        </w:tc>
        <w:tc>
          <w:tcPr>
            <w:tcW w:w="1420" w:type="dxa"/>
            <w:gridSpan w:val="2"/>
            <w:shd w:val="clear" w:color="auto" w:fill="auto"/>
          </w:tcPr>
          <w:p w14:paraId="01488BB8">
            <w:pPr>
              <w:spacing w:line="360" w:lineRule="auto"/>
              <w:rPr>
                <w:rFonts w:ascii="宋体" w:hAnsi="宋体" w:cs="宋体"/>
                <w:color w:val="auto"/>
                <w:sz w:val="24"/>
                <w:highlight w:val="none"/>
              </w:rPr>
            </w:pPr>
          </w:p>
        </w:tc>
      </w:tr>
      <w:tr w14:paraId="084AA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03207543">
            <w:pPr>
              <w:spacing w:line="360" w:lineRule="auto"/>
              <w:rPr>
                <w:rFonts w:ascii="宋体" w:hAnsi="宋体" w:cs="宋体"/>
                <w:color w:val="auto"/>
                <w:sz w:val="24"/>
                <w:highlight w:val="none"/>
              </w:rPr>
            </w:pPr>
          </w:p>
        </w:tc>
        <w:tc>
          <w:tcPr>
            <w:tcW w:w="1187" w:type="dxa"/>
            <w:gridSpan w:val="2"/>
            <w:shd w:val="clear" w:color="auto" w:fill="auto"/>
          </w:tcPr>
          <w:p w14:paraId="04674552">
            <w:pPr>
              <w:spacing w:line="360" w:lineRule="auto"/>
              <w:rPr>
                <w:rFonts w:ascii="宋体" w:hAnsi="宋体" w:cs="宋体"/>
                <w:color w:val="auto"/>
                <w:sz w:val="24"/>
                <w:highlight w:val="none"/>
              </w:rPr>
            </w:pPr>
          </w:p>
        </w:tc>
        <w:tc>
          <w:tcPr>
            <w:tcW w:w="1223" w:type="dxa"/>
            <w:gridSpan w:val="3"/>
            <w:shd w:val="clear" w:color="auto" w:fill="auto"/>
          </w:tcPr>
          <w:p w14:paraId="28D010FD">
            <w:pPr>
              <w:spacing w:line="360" w:lineRule="auto"/>
              <w:rPr>
                <w:rFonts w:ascii="宋体" w:hAnsi="宋体" w:cs="宋体"/>
                <w:color w:val="auto"/>
                <w:sz w:val="24"/>
                <w:highlight w:val="none"/>
              </w:rPr>
            </w:pPr>
          </w:p>
        </w:tc>
        <w:tc>
          <w:tcPr>
            <w:tcW w:w="1415" w:type="dxa"/>
            <w:shd w:val="clear" w:color="auto" w:fill="auto"/>
          </w:tcPr>
          <w:p w14:paraId="6D88F824">
            <w:pPr>
              <w:spacing w:line="360" w:lineRule="auto"/>
              <w:rPr>
                <w:rFonts w:ascii="宋体" w:hAnsi="宋体" w:cs="宋体"/>
                <w:color w:val="auto"/>
                <w:sz w:val="24"/>
                <w:highlight w:val="none"/>
              </w:rPr>
            </w:pPr>
          </w:p>
        </w:tc>
        <w:tc>
          <w:tcPr>
            <w:tcW w:w="1418" w:type="dxa"/>
            <w:gridSpan w:val="3"/>
            <w:shd w:val="clear" w:color="auto" w:fill="auto"/>
          </w:tcPr>
          <w:p w14:paraId="5F2484FF">
            <w:pPr>
              <w:spacing w:line="360" w:lineRule="auto"/>
              <w:rPr>
                <w:rFonts w:ascii="宋体" w:hAnsi="宋体" w:cs="宋体"/>
                <w:color w:val="auto"/>
                <w:sz w:val="24"/>
                <w:highlight w:val="none"/>
              </w:rPr>
            </w:pPr>
          </w:p>
        </w:tc>
        <w:tc>
          <w:tcPr>
            <w:tcW w:w="1631" w:type="dxa"/>
            <w:gridSpan w:val="3"/>
            <w:shd w:val="clear" w:color="auto" w:fill="auto"/>
          </w:tcPr>
          <w:p w14:paraId="029BFAE9">
            <w:pPr>
              <w:spacing w:line="360" w:lineRule="auto"/>
              <w:rPr>
                <w:rFonts w:ascii="宋体" w:hAnsi="宋体" w:cs="宋体"/>
                <w:color w:val="auto"/>
                <w:sz w:val="24"/>
                <w:highlight w:val="none"/>
              </w:rPr>
            </w:pPr>
          </w:p>
        </w:tc>
        <w:tc>
          <w:tcPr>
            <w:tcW w:w="1420" w:type="dxa"/>
            <w:gridSpan w:val="2"/>
            <w:shd w:val="clear" w:color="auto" w:fill="auto"/>
          </w:tcPr>
          <w:p w14:paraId="135A72C3">
            <w:pPr>
              <w:spacing w:line="360" w:lineRule="auto"/>
              <w:rPr>
                <w:rFonts w:ascii="宋体" w:hAnsi="宋体" w:cs="宋体"/>
                <w:color w:val="auto"/>
                <w:sz w:val="24"/>
                <w:highlight w:val="none"/>
              </w:rPr>
            </w:pPr>
          </w:p>
        </w:tc>
      </w:tr>
      <w:tr w14:paraId="3688E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07A73123">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0416C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6350D8D4">
            <w:pPr>
              <w:spacing w:line="360" w:lineRule="auto"/>
              <w:rPr>
                <w:rFonts w:ascii="宋体" w:hAnsi="宋体" w:cs="宋体"/>
                <w:color w:val="auto"/>
                <w:sz w:val="24"/>
                <w:highlight w:val="none"/>
              </w:rPr>
            </w:pPr>
          </w:p>
        </w:tc>
        <w:tc>
          <w:tcPr>
            <w:tcW w:w="1547" w:type="dxa"/>
            <w:gridSpan w:val="2"/>
            <w:shd w:val="clear" w:color="auto" w:fill="auto"/>
          </w:tcPr>
          <w:p w14:paraId="680476F0">
            <w:pPr>
              <w:kinsoku w:val="0"/>
              <w:autoSpaceDE w:val="0"/>
              <w:autoSpaceDN w:val="0"/>
              <w:adjustRightInd w:val="0"/>
              <w:snapToGrid w:val="0"/>
              <w:spacing w:line="360" w:lineRule="auto"/>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shd w:val="clear" w:color="auto" w:fill="auto"/>
          </w:tcPr>
          <w:p w14:paraId="5DB66893">
            <w:pPr>
              <w:kinsoku w:val="0"/>
              <w:autoSpaceDE w:val="0"/>
              <w:autoSpaceDN w:val="0"/>
              <w:adjustRightInd w:val="0"/>
              <w:snapToGrid w:val="0"/>
              <w:spacing w:line="360" w:lineRule="auto"/>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7AD8A587">
            <w:pPr>
              <w:kinsoku w:val="0"/>
              <w:autoSpaceDE w:val="0"/>
              <w:autoSpaceDN w:val="0"/>
              <w:adjustRightInd w:val="0"/>
              <w:snapToGrid w:val="0"/>
              <w:spacing w:line="360" w:lineRule="auto"/>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shd w:val="clear" w:color="auto" w:fill="auto"/>
          </w:tcPr>
          <w:p w14:paraId="23E0A628">
            <w:pPr>
              <w:kinsoku w:val="0"/>
              <w:autoSpaceDE w:val="0"/>
              <w:autoSpaceDN w:val="0"/>
              <w:adjustRightInd w:val="0"/>
              <w:snapToGrid w:val="0"/>
              <w:spacing w:line="360" w:lineRule="auto"/>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6DD781F1">
            <w:pPr>
              <w:kinsoku w:val="0"/>
              <w:autoSpaceDE w:val="0"/>
              <w:autoSpaceDN w:val="0"/>
              <w:adjustRightInd w:val="0"/>
              <w:snapToGrid w:val="0"/>
              <w:spacing w:line="360" w:lineRule="auto"/>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183DB8EC">
            <w:pPr>
              <w:spacing w:line="360" w:lineRule="auto"/>
              <w:rPr>
                <w:rFonts w:ascii="宋体" w:hAnsi="宋体" w:cs="宋体"/>
                <w:color w:val="auto"/>
                <w:sz w:val="24"/>
                <w:highlight w:val="none"/>
              </w:rPr>
            </w:pPr>
          </w:p>
        </w:tc>
      </w:tr>
      <w:tr w14:paraId="3B62F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6D90C68D">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shd w:val="clear" w:color="auto" w:fill="auto"/>
          </w:tcPr>
          <w:p w14:paraId="3A7F9E1D">
            <w:pPr>
              <w:spacing w:line="360" w:lineRule="auto"/>
              <w:rPr>
                <w:rFonts w:ascii="宋体" w:hAnsi="宋体" w:cs="宋体"/>
                <w:color w:val="auto"/>
                <w:sz w:val="24"/>
                <w:highlight w:val="none"/>
              </w:rPr>
            </w:pPr>
          </w:p>
        </w:tc>
        <w:tc>
          <w:tcPr>
            <w:tcW w:w="1978" w:type="dxa"/>
            <w:gridSpan w:val="3"/>
            <w:shd w:val="clear" w:color="auto" w:fill="auto"/>
          </w:tcPr>
          <w:p w14:paraId="49AEE6BD">
            <w:pPr>
              <w:spacing w:line="360" w:lineRule="auto"/>
              <w:rPr>
                <w:rFonts w:ascii="宋体" w:hAnsi="宋体" w:cs="宋体"/>
                <w:color w:val="auto"/>
                <w:sz w:val="24"/>
                <w:highlight w:val="none"/>
              </w:rPr>
            </w:pPr>
          </w:p>
        </w:tc>
        <w:tc>
          <w:tcPr>
            <w:tcW w:w="1329" w:type="dxa"/>
            <w:gridSpan w:val="2"/>
            <w:shd w:val="clear" w:color="auto" w:fill="auto"/>
          </w:tcPr>
          <w:p w14:paraId="3DC7D920">
            <w:pPr>
              <w:spacing w:line="360" w:lineRule="auto"/>
              <w:rPr>
                <w:rFonts w:ascii="宋体" w:hAnsi="宋体" w:cs="宋体"/>
                <w:color w:val="auto"/>
                <w:sz w:val="24"/>
                <w:highlight w:val="none"/>
              </w:rPr>
            </w:pPr>
          </w:p>
        </w:tc>
        <w:tc>
          <w:tcPr>
            <w:tcW w:w="1633" w:type="dxa"/>
            <w:gridSpan w:val="3"/>
            <w:shd w:val="clear" w:color="auto" w:fill="auto"/>
          </w:tcPr>
          <w:p w14:paraId="35230057">
            <w:pPr>
              <w:spacing w:line="360" w:lineRule="auto"/>
              <w:rPr>
                <w:rFonts w:ascii="宋体" w:hAnsi="宋体" w:cs="宋体"/>
                <w:color w:val="auto"/>
                <w:sz w:val="24"/>
                <w:highlight w:val="none"/>
              </w:rPr>
            </w:pPr>
          </w:p>
        </w:tc>
        <w:tc>
          <w:tcPr>
            <w:tcW w:w="1482" w:type="dxa"/>
            <w:gridSpan w:val="2"/>
            <w:shd w:val="clear" w:color="auto" w:fill="auto"/>
          </w:tcPr>
          <w:p w14:paraId="2E89CA0E">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2D2A6AAD">
            <w:pPr>
              <w:spacing w:line="360" w:lineRule="auto"/>
              <w:rPr>
                <w:rFonts w:ascii="宋体" w:hAnsi="宋体" w:cs="宋体"/>
                <w:color w:val="auto"/>
                <w:sz w:val="24"/>
                <w:highlight w:val="none"/>
              </w:rPr>
            </w:pPr>
          </w:p>
        </w:tc>
      </w:tr>
      <w:tr w14:paraId="57795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66971687">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shd w:val="clear" w:color="auto" w:fill="auto"/>
          </w:tcPr>
          <w:p w14:paraId="5D66D1B7">
            <w:pPr>
              <w:spacing w:line="360" w:lineRule="auto"/>
              <w:rPr>
                <w:rFonts w:ascii="宋体" w:hAnsi="宋体" w:cs="宋体"/>
                <w:color w:val="auto"/>
                <w:sz w:val="24"/>
                <w:highlight w:val="none"/>
              </w:rPr>
            </w:pPr>
          </w:p>
        </w:tc>
        <w:tc>
          <w:tcPr>
            <w:tcW w:w="1978" w:type="dxa"/>
            <w:gridSpan w:val="3"/>
            <w:shd w:val="clear" w:color="auto" w:fill="auto"/>
          </w:tcPr>
          <w:p w14:paraId="2EC46F45">
            <w:pPr>
              <w:spacing w:line="360" w:lineRule="auto"/>
              <w:rPr>
                <w:rFonts w:ascii="宋体" w:hAnsi="宋体" w:cs="宋体"/>
                <w:color w:val="auto"/>
                <w:sz w:val="24"/>
                <w:highlight w:val="none"/>
              </w:rPr>
            </w:pPr>
          </w:p>
        </w:tc>
        <w:tc>
          <w:tcPr>
            <w:tcW w:w="1329" w:type="dxa"/>
            <w:gridSpan w:val="2"/>
            <w:shd w:val="clear" w:color="auto" w:fill="auto"/>
          </w:tcPr>
          <w:p w14:paraId="7F511244">
            <w:pPr>
              <w:spacing w:line="360" w:lineRule="auto"/>
              <w:rPr>
                <w:rFonts w:ascii="宋体" w:hAnsi="宋体" w:cs="宋体"/>
                <w:color w:val="auto"/>
                <w:sz w:val="24"/>
                <w:highlight w:val="none"/>
              </w:rPr>
            </w:pPr>
          </w:p>
        </w:tc>
        <w:tc>
          <w:tcPr>
            <w:tcW w:w="1633" w:type="dxa"/>
            <w:gridSpan w:val="3"/>
            <w:shd w:val="clear" w:color="auto" w:fill="auto"/>
          </w:tcPr>
          <w:p w14:paraId="13AA7DF9">
            <w:pPr>
              <w:spacing w:line="360" w:lineRule="auto"/>
              <w:rPr>
                <w:rFonts w:ascii="宋体" w:hAnsi="宋体" w:cs="宋体"/>
                <w:color w:val="auto"/>
                <w:sz w:val="24"/>
                <w:highlight w:val="none"/>
              </w:rPr>
            </w:pPr>
          </w:p>
        </w:tc>
        <w:tc>
          <w:tcPr>
            <w:tcW w:w="1482" w:type="dxa"/>
            <w:gridSpan w:val="2"/>
            <w:shd w:val="clear" w:color="auto" w:fill="auto"/>
          </w:tcPr>
          <w:p w14:paraId="576A00C9">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5904632A">
            <w:pPr>
              <w:spacing w:line="360" w:lineRule="auto"/>
              <w:rPr>
                <w:rFonts w:ascii="宋体" w:hAnsi="宋体" w:cs="宋体"/>
                <w:color w:val="auto"/>
                <w:sz w:val="24"/>
                <w:highlight w:val="none"/>
              </w:rPr>
            </w:pPr>
          </w:p>
        </w:tc>
      </w:tr>
      <w:tr w14:paraId="70111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BB8E939">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shd w:val="clear" w:color="auto" w:fill="auto"/>
          </w:tcPr>
          <w:p w14:paraId="4B30A39D">
            <w:pPr>
              <w:spacing w:line="360" w:lineRule="auto"/>
              <w:rPr>
                <w:rFonts w:ascii="宋体" w:hAnsi="宋体" w:cs="宋体"/>
                <w:color w:val="auto"/>
                <w:sz w:val="24"/>
                <w:highlight w:val="none"/>
              </w:rPr>
            </w:pPr>
          </w:p>
        </w:tc>
        <w:tc>
          <w:tcPr>
            <w:tcW w:w="1978" w:type="dxa"/>
            <w:gridSpan w:val="3"/>
            <w:shd w:val="clear" w:color="auto" w:fill="auto"/>
          </w:tcPr>
          <w:p w14:paraId="5865A778">
            <w:pPr>
              <w:spacing w:line="360" w:lineRule="auto"/>
              <w:rPr>
                <w:rFonts w:ascii="宋体" w:hAnsi="宋体" w:cs="宋体"/>
                <w:color w:val="auto"/>
                <w:sz w:val="24"/>
                <w:highlight w:val="none"/>
              </w:rPr>
            </w:pPr>
          </w:p>
        </w:tc>
        <w:tc>
          <w:tcPr>
            <w:tcW w:w="1329" w:type="dxa"/>
            <w:gridSpan w:val="2"/>
            <w:shd w:val="clear" w:color="auto" w:fill="auto"/>
          </w:tcPr>
          <w:p w14:paraId="30101A01">
            <w:pPr>
              <w:spacing w:line="360" w:lineRule="auto"/>
              <w:rPr>
                <w:rFonts w:ascii="宋体" w:hAnsi="宋体" w:cs="宋体"/>
                <w:color w:val="auto"/>
                <w:sz w:val="24"/>
                <w:highlight w:val="none"/>
              </w:rPr>
            </w:pPr>
          </w:p>
        </w:tc>
        <w:tc>
          <w:tcPr>
            <w:tcW w:w="1633" w:type="dxa"/>
            <w:gridSpan w:val="3"/>
            <w:shd w:val="clear" w:color="auto" w:fill="auto"/>
          </w:tcPr>
          <w:p w14:paraId="0E0C1D13">
            <w:pPr>
              <w:spacing w:line="360" w:lineRule="auto"/>
              <w:rPr>
                <w:rFonts w:ascii="宋体" w:hAnsi="宋体" w:cs="宋体"/>
                <w:color w:val="auto"/>
                <w:sz w:val="24"/>
                <w:highlight w:val="none"/>
              </w:rPr>
            </w:pPr>
          </w:p>
        </w:tc>
        <w:tc>
          <w:tcPr>
            <w:tcW w:w="1482" w:type="dxa"/>
            <w:gridSpan w:val="2"/>
            <w:shd w:val="clear" w:color="auto" w:fill="auto"/>
          </w:tcPr>
          <w:p w14:paraId="5683A144">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7DDDA852">
            <w:pPr>
              <w:spacing w:line="360" w:lineRule="auto"/>
              <w:rPr>
                <w:rFonts w:ascii="宋体" w:hAnsi="宋体" w:cs="宋体"/>
                <w:color w:val="auto"/>
                <w:sz w:val="24"/>
                <w:highlight w:val="none"/>
              </w:rPr>
            </w:pPr>
          </w:p>
        </w:tc>
      </w:tr>
      <w:tr w14:paraId="0C478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76CE9A29">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shd w:val="clear" w:color="auto" w:fill="auto"/>
          </w:tcPr>
          <w:p w14:paraId="00F68678">
            <w:pPr>
              <w:spacing w:line="360" w:lineRule="auto"/>
              <w:rPr>
                <w:rFonts w:ascii="宋体" w:hAnsi="宋体" w:cs="宋体"/>
                <w:color w:val="auto"/>
                <w:sz w:val="24"/>
                <w:highlight w:val="none"/>
              </w:rPr>
            </w:pPr>
          </w:p>
        </w:tc>
        <w:tc>
          <w:tcPr>
            <w:tcW w:w="1978" w:type="dxa"/>
            <w:gridSpan w:val="3"/>
            <w:shd w:val="clear" w:color="auto" w:fill="auto"/>
          </w:tcPr>
          <w:p w14:paraId="0BF7F604">
            <w:pPr>
              <w:spacing w:line="360" w:lineRule="auto"/>
              <w:rPr>
                <w:rFonts w:ascii="宋体" w:hAnsi="宋体" w:cs="宋体"/>
                <w:color w:val="auto"/>
                <w:sz w:val="24"/>
                <w:highlight w:val="none"/>
              </w:rPr>
            </w:pPr>
          </w:p>
        </w:tc>
        <w:tc>
          <w:tcPr>
            <w:tcW w:w="1329" w:type="dxa"/>
            <w:gridSpan w:val="2"/>
            <w:shd w:val="clear" w:color="auto" w:fill="auto"/>
          </w:tcPr>
          <w:p w14:paraId="465FC2D4">
            <w:pPr>
              <w:spacing w:line="360" w:lineRule="auto"/>
              <w:rPr>
                <w:rFonts w:ascii="宋体" w:hAnsi="宋体" w:cs="宋体"/>
                <w:color w:val="auto"/>
                <w:sz w:val="24"/>
                <w:highlight w:val="none"/>
              </w:rPr>
            </w:pPr>
          </w:p>
        </w:tc>
        <w:tc>
          <w:tcPr>
            <w:tcW w:w="1633" w:type="dxa"/>
            <w:gridSpan w:val="3"/>
            <w:shd w:val="clear" w:color="auto" w:fill="auto"/>
          </w:tcPr>
          <w:p w14:paraId="56FB85D9">
            <w:pPr>
              <w:spacing w:line="360" w:lineRule="auto"/>
              <w:rPr>
                <w:rFonts w:ascii="宋体" w:hAnsi="宋体" w:cs="宋体"/>
                <w:color w:val="auto"/>
                <w:sz w:val="24"/>
                <w:highlight w:val="none"/>
              </w:rPr>
            </w:pPr>
          </w:p>
        </w:tc>
        <w:tc>
          <w:tcPr>
            <w:tcW w:w="1482" w:type="dxa"/>
            <w:gridSpan w:val="2"/>
            <w:shd w:val="clear" w:color="auto" w:fill="auto"/>
          </w:tcPr>
          <w:p w14:paraId="0204E2E6">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5E1ABD3B">
            <w:pPr>
              <w:spacing w:line="360" w:lineRule="auto"/>
              <w:rPr>
                <w:rFonts w:ascii="宋体" w:hAnsi="宋体" w:cs="宋体"/>
                <w:color w:val="auto"/>
                <w:sz w:val="24"/>
                <w:highlight w:val="none"/>
              </w:rPr>
            </w:pPr>
          </w:p>
        </w:tc>
      </w:tr>
      <w:tr w14:paraId="12169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1C65BCBD">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shd w:val="clear" w:color="auto" w:fill="auto"/>
          </w:tcPr>
          <w:p w14:paraId="0E459597">
            <w:pPr>
              <w:spacing w:line="360" w:lineRule="auto"/>
              <w:rPr>
                <w:rFonts w:ascii="宋体" w:hAnsi="宋体" w:cs="宋体"/>
                <w:color w:val="auto"/>
                <w:sz w:val="24"/>
                <w:highlight w:val="none"/>
              </w:rPr>
            </w:pPr>
          </w:p>
        </w:tc>
        <w:tc>
          <w:tcPr>
            <w:tcW w:w="1978" w:type="dxa"/>
            <w:gridSpan w:val="3"/>
            <w:shd w:val="clear" w:color="auto" w:fill="auto"/>
          </w:tcPr>
          <w:p w14:paraId="10E056D3">
            <w:pPr>
              <w:spacing w:line="360" w:lineRule="auto"/>
              <w:rPr>
                <w:rFonts w:ascii="宋体" w:hAnsi="宋体" w:cs="宋体"/>
                <w:color w:val="auto"/>
                <w:sz w:val="24"/>
                <w:highlight w:val="none"/>
              </w:rPr>
            </w:pPr>
          </w:p>
        </w:tc>
        <w:tc>
          <w:tcPr>
            <w:tcW w:w="1329" w:type="dxa"/>
            <w:gridSpan w:val="2"/>
            <w:shd w:val="clear" w:color="auto" w:fill="auto"/>
          </w:tcPr>
          <w:p w14:paraId="28BE875A">
            <w:pPr>
              <w:spacing w:line="360" w:lineRule="auto"/>
              <w:rPr>
                <w:rFonts w:ascii="宋体" w:hAnsi="宋体" w:cs="宋体"/>
                <w:color w:val="auto"/>
                <w:sz w:val="24"/>
                <w:highlight w:val="none"/>
              </w:rPr>
            </w:pPr>
          </w:p>
        </w:tc>
        <w:tc>
          <w:tcPr>
            <w:tcW w:w="1633" w:type="dxa"/>
            <w:gridSpan w:val="3"/>
            <w:shd w:val="clear" w:color="auto" w:fill="auto"/>
          </w:tcPr>
          <w:p w14:paraId="37F4F582">
            <w:pPr>
              <w:spacing w:line="360" w:lineRule="auto"/>
              <w:rPr>
                <w:rFonts w:ascii="宋体" w:hAnsi="宋体" w:cs="宋体"/>
                <w:color w:val="auto"/>
                <w:sz w:val="24"/>
                <w:highlight w:val="none"/>
              </w:rPr>
            </w:pPr>
          </w:p>
        </w:tc>
        <w:tc>
          <w:tcPr>
            <w:tcW w:w="1482" w:type="dxa"/>
            <w:gridSpan w:val="2"/>
            <w:shd w:val="clear" w:color="auto" w:fill="auto"/>
          </w:tcPr>
          <w:p w14:paraId="36872412">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52016876">
            <w:pPr>
              <w:spacing w:line="360" w:lineRule="auto"/>
              <w:rPr>
                <w:rFonts w:ascii="宋体" w:hAnsi="宋体" w:cs="宋体"/>
                <w:color w:val="auto"/>
                <w:sz w:val="24"/>
                <w:highlight w:val="none"/>
              </w:rPr>
            </w:pPr>
          </w:p>
        </w:tc>
      </w:tr>
      <w:tr w14:paraId="61F88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0F6B82C9">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shd w:val="clear" w:color="auto" w:fill="auto"/>
          </w:tcPr>
          <w:p w14:paraId="4E590C59">
            <w:pPr>
              <w:spacing w:line="360" w:lineRule="auto"/>
              <w:rPr>
                <w:rFonts w:ascii="宋体" w:hAnsi="宋体" w:cs="宋体"/>
                <w:color w:val="auto"/>
                <w:sz w:val="24"/>
                <w:highlight w:val="none"/>
              </w:rPr>
            </w:pPr>
          </w:p>
        </w:tc>
        <w:tc>
          <w:tcPr>
            <w:tcW w:w="1978" w:type="dxa"/>
            <w:gridSpan w:val="3"/>
            <w:shd w:val="clear" w:color="auto" w:fill="auto"/>
          </w:tcPr>
          <w:p w14:paraId="72E7A246">
            <w:pPr>
              <w:spacing w:line="360" w:lineRule="auto"/>
              <w:rPr>
                <w:rFonts w:ascii="宋体" w:hAnsi="宋体" w:cs="宋体"/>
                <w:color w:val="auto"/>
                <w:sz w:val="24"/>
                <w:highlight w:val="none"/>
              </w:rPr>
            </w:pPr>
          </w:p>
        </w:tc>
        <w:tc>
          <w:tcPr>
            <w:tcW w:w="1329" w:type="dxa"/>
            <w:gridSpan w:val="2"/>
            <w:shd w:val="clear" w:color="auto" w:fill="auto"/>
          </w:tcPr>
          <w:p w14:paraId="2BDFCD16">
            <w:pPr>
              <w:spacing w:line="360" w:lineRule="auto"/>
              <w:rPr>
                <w:rFonts w:ascii="宋体" w:hAnsi="宋体" w:cs="宋体"/>
                <w:color w:val="auto"/>
                <w:sz w:val="24"/>
                <w:highlight w:val="none"/>
              </w:rPr>
            </w:pPr>
          </w:p>
        </w:tc>
        <w:tc>
          <w:tcPr>
            <w:tcW w:w="1633" w:type="dxa"/>
            <w:gridSpan w:val="3"/>
            <w:shd w:val="clear" w:color="auto" w:fill="auto"/>
          </w:tcPr>
          <w:p w14:paraId="43EA9760">
            <w:pPr>
              <w:spacing w:line="360" w:lineRule="auto"/>
              <w:rPr>
                <w:rFonts w:ascii="宋体" w:hAnsi="宋体" w:cs="宋体"/>
                <w:color w:val="auto"/>
                <w:sz w:val="24"/>
                <w:highlight w:val="none"/>
              </w:rPr>
            </w:pPr>
          </w:p>
        </w:tc>
        <w:tc>
          <w:tcPr>
            <w:tcW w:w="1482" w:type="dxa"/>
            <w:gridSpan w:val="2"/>
            <w:shd w:val="clear" w:color="auto" w:fill="auto"/>
          </w:tcPr>
          <w:p w14:paraId="386DBEC2">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00455C08">
            <w:pPr>
              <w:spacing w:line="360" w:lineRule="auto"/>
              <w:rPr>
                <w:rFonts w:ascii="宋体" w:hAnsi="宋体" w:cs="宋体"/>
                <w:color w:val="auto"/>
                <w:sz w:val="24"/>
                <w:highlight w:val="none"/>
              </w:rPr>
            </w:pPr>
          </w:p>
        </w:tc>
      </w:tr>
      <w:tr w14:paraId="19146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E69E5F9">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shd w:val="clear" w:color="auto" w:fill="auto"/>
          </w:tcPr>
          <w:p w14:paraId="34C22611">
            <w:pPr>
              <w:spacing w:line="360" w:lineRule="auto"/>
              <w:rPr>
                <w:rFonts w:ascii="宋体" w:hAnsi="宋体" w:cs="宋体"/>
                <w:color w:val="auto"/>
                <w:sz w:val="24"/>
                <w:highlight w:val="none"/>
              </w:rPr>
            </w:pPr>
          </w:p>
        </w:tc>
        <w:tc>
          <w:tcPr>
            <w:tcW w:w="1978" w:type="dxa"/>
            <w:gridSpan w:val="3"/>
            <w:shd w:val="clear" w:color="auto" w:fill="auto"/>
          </w:tcPr>
          <w:p w14:paraId="36E1021E">
            <w:pPr>
              <w:spacing w:line="360" w:lineRule="auto"/>
              <w:rPr>
                <w:rFonts w:ascii="宋体" w:hAnsi="宋体" w:cs="宋体"/>
                <w:color w:val="auto"/>
                <w:sz w:val="24"/>
                <w:highlight w:val="none"/>
              </w:rPr>
            </w:pPr>
          </w:p>
        </w:tc>
        <w:tc>
          <w:tcPr>
            <w:tcW w:w="1329" w:type="dxa"/>
            <w:gridSpan w:val="2"/>
            <w:shd w:val="clear" w:color="auto" w:fill="auto"/>
          </w:tcPr>
          <w:p w14:paraId="76360A5B">
            <w:pPr>
              <w:spacing w:line="360" w:lineRule="auto"/>
              <w:rPr>
                <w:rFonts w:ascii="宋体" w:hAnsi="宋体" w:cs="宋体"/>
                <w:color w:val="auto"/>
                <w:sz w:val="24"/>
                <w:highlight w:val="none"/>
              </w:rPr>
            </w:pPr>
          </w:p>
        </w:tc>
        <w:tc>
          <w:tcPr>
            <w:tcW w:w="1633" w:type="dxa"/>
            <w:gridSpan w:val="3"/>
            <w:shd w:val="clear" w:color="auto" w:fill="auto"/>
          </w:tcPr>
          <w:p w14:paraId="232811E3">
            <w:pPr>
              <w:spacing w:line="360" w:lineRule="auto"/>
              <w:rPr>
                <w:rFonts w:ascii="宋体" w:hAnsi="宋体" w:cs="宋体"/>
                <w:color w:val="auto"/>
                <w:sz w:val="24"/>
                <w:highlight w:val="none"/>
              </w:rPr>
            </w:pPr>
          </w:p>
        </w:tc>
        <w:tc>
          <w:tcPr>
            <w:tcW w:w="1482" w:type="dxa"/>
            <w:gridSpan w:val="2"/>
            <w:shd w:val="clear" w:color="auto" w:fill="auto"/>
          </w:tcPr>
          <w:p w14:paraId="0D4E7ED8">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5AA322BE">
            <w:pPr>
              <w:spacing w:line="360" w:lineRule="auto"/>
              <w:rPr>
                <w:rFonts w:ascii="宋体" w:hAnsi="宋体" w:cs="宋体"/>
                <w:color w:val="auto"/>
                <w:sz w:val="24"/>
                <w:highlight w:val="none"/>
              </w:rPr>
            </w:pPr>
          </w:p>
        </w:tc>
      </w:tr>
      <w:tr w14:paraId="09F93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88D1B56">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shd w:val="clear" w:color="auto" w:fill="auto"/>
          </w:tcPr>
          <w:p w14:paraId="3178B702">
            <w:pPr>
              <w:spacing w:line="360" w:lineRule="auto"/>
              <w:rPr>
                <w:rFonts w:ascii="宋体" w:hAnsi="宋体" w:cs="宋体"/>
                <w:color w:val="auto"/>
                <w:sz w:val="24"/>
                <w:highlight w:val="none"/>
              </w:rPr>
            </w:pPr>
          </w:p>
        </w:tc>
        <w:tc>
          <w:tcPr>
            <w:tcW w:w="1978" w:type="dxa"/>
            <w:gridSpan w:val="3"/>
            <w:shd w:val="clear" w:color="auto" w:fill="auto"/>
          </w:tcPr>
          <w:p w14:paraId="18768393">
            <w:pPr>
              <w:spacing w:line="360" w:lineRule="auto"/>
              <w:rPr>
                <w:rFonts w:ascii="宋体" w:hAnsi="宋体" w:cs="宋体"/>
                <w:color w:val="auto"/>
                <w:sz w:val="24"/>
                <w:highlight w:val="none"/>
              </w:rPr>
            </w:pPr>
          </w:p>
        </w:tc>
        <w:tc>
          <w:tcPr>
            <w:tcW w:w="1329" w:type="dxa"/>
            <w:gridSpan w:val="2"/>
            <w:shd w:val="clear" w:color="auto" w:fill="auto"/>
          </w:tcPr>
          <w:p w14:paraId="46BB263A">
            <w:pPr>
              <w:spacing w:line="360" w:lineRule="auto"/>
              <w:rPr>
                <w:rFonts w:ascii="宋体" w:hAnsi="宋体" w:cs="宋体"/>
                <w:color w:val="auto"/>
                <w:sz w:val="24"/>
                <w:highlight w:val="none"/>
              </w:rPr>
            </w:pPr>
          </w:p>
        </w:tc>
        <w:tc>
          <w:tcPr>
            <w:tcW w:w="1633" w:type="dxa"/>
            <w:gridSpan w:val="3"/>
            <w:shd w:val="clear" w:color="auto" w:fill="auto"/>
          </w:tcPr>
          <w:p w14:paraId="799D1B40">
            <w:pPr>
              <w:spacing w:line="360" w:lineRule="auto"/>
              <w:rPr>
                <w:rFonts w:ascii="宋体" w:hAnsi="宋体" w:cs="宋体"/>
                <w:color w:val="auto"/>
                <w:sz w:val="24"/>
                <w:highlight w:val="none"/>
              </w:rPr>
            </w:pPr>
          </w:p>
        </w:tc>
        <w:tc>
          <w:tcPr>
            <w:tcW w:w="1482" w:type="dxa"/>
            <w:gridSpan w:val="2"/>
            <w:shd w:val="clear" w:color="auto" w:fill="auto"/>
          </w:tcPr>
          <w:p w14:paraId="5C5C7A88">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16C43AA2">
            <w:pPr>
              <w:spacing w:line="360" w:lineRule="auto"/>
              <w:rPr>
                <w:rFonts w:ascii="宋体" w:hAnsi="宋体" w:cs="宋体"/>
                <w:color w:val="auto"/>
                <w:sz w:val="24"/>
                <w:highlight w:val="none"/>
              </w:rPr>
            </w:pPr>
          </w:p>
        </w:tc>
      </w:tr>
      <w:tr w14:paraId="1D1BF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658A5CA5">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shd w:val="clear" w:color="auto" w:fill="auto"/>
          </w:tcPr>
          <w:p w14:paraId="1148F635">
            <w:pPr>
              <w:spacing w:line="360" w:lineRule="auto"/>
              <w:rPr>
                <w:rFonts w:ascii="宋体" w:hAnsi="宋体" w:cs="宋体"/>
                <w:color w:val="auto"/>
                <w:sz w:val="24"/>
                <w:highlight w:val="none"/>
              </w:rPr>
            </w:pPr>
          </w:p>
        </w:tc>
        <w:tc>
          <w:tcPr>
            <w:tcW w:w="1978" w:type="dxa"/>
            <w:gridSpan w:val="3"/>
            <w:shd w:val="clear" w:color="auto" w:fill="auto"/>
          </w:tcPr>
          <w:p w14:paraId="3D7151B0">
            <w:pPr>
              <w:spacing w:line="360" w:lineRule="auto"/>
              <w:rPr>
                <w:rFonts w:ascii="宋体" w:hAnsi="宋体" w:cs="宋体"/>
                <w:color w:val="auto"/>
                <w:sz w:val="24"/>
                <w:highlight w:val="none"/>
              </w:rPr>
            </w:pPr>
          </w:p>
        </w:tc>
        <w:tc>
          <w:tcPr>
            <w:tcW w:w="1329" w:type="dxa"/>
            <w:gridSpan w:val="2"/>
            <w:shd w:val="clear" w:color="auto" w:fill="auto"/>
          </w:tcPr>
          <w:p w14:paraId="77A00ED0">
            <w:pPr>
              <w:spacing w:line="360" w:lineRule="auto"/>
              <w:rPr>
                <w:rFonts w:ascii="宋体" w:hAnsi="宋体" w:cs="宋体"/>
                <w:color w:val="auto"/>
                <w:sz w:val="24"/>
                <w:highlight w:val="none"/>
              </w:rPr>
            </w:pPr>
          </w:p>
        </w:tc>
        <w:tc>
          <w:tcPr>
            <w:tcW w:w="1633" w:type="dxa"/>
            <w:gridSpan w:val="3"/>
            <w:shd w:val="clear" w:color="auto" w:fill="auto"/>
          </w:tcPr>
          <w:p w14:paraId="74D5223C">
            <w:pPr>
              <w:spacing w:line="360" w:lineRule="auto"/>
              <w:rPr>
                <w:rFonts w:ascii="宋体" w:hAnsi="宋体" w:cs="宋体"/>
                <w:color w:val="auto"/>
                <w:sz w:val="24"/>
                <w:highlight w:val="none"/>
              </w:rPr>
            </w:pPr>
          </w:p>
        </w:tc>
        <w:tc>
          <w:tcPr>
            <w:tcW w:w="1482" w:type="dxa"/>
            <w:gridSpan w:val="2"/>
            <w:shd w:val="clear" w:color="auto" w:fill="auto"/>
          </w:tcPr>
          <w:p w14:paraId="42C25461">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42B03054">
            <w:pPr>
              <w:spacing w:line="360" w:lineRule="auto"/>
              <w:rPr>
                <w:rFonts w:ascii="宋体" w:hAnsi="宋体" w:cs="宋体"/>
                <w:color w:val="auto"/>
                <w:sz w:val="24"/>
                <w:highlight w:val="none"/>
              </w:rPr>
            </w:pPr>
          </w:p>
        </w:tc>
      </w:tr>
    </w:tbl>
    <w:p w14:paraId="2EDC7687">
      <w:pPr>
        <w:spacing w:line="36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6DD496AD">
      <w:pPr>
        <w:spacing w:line="360" w:lineRule="auto"/>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145593FB">
      <w:pPr>
        <w:spacing w:line="360" w:lineRule="auto"/>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的学历证、本表所列证书复</w:t>
      </w:r>
      <w:r>
        <w:rPr>
          <w:rFonts w:hint="eastAsia" w:ascii="宋体" w:hAnsi="宋体" w:cs="宋体"/>
          <w:color w:val="auto"/>
          <w:spacing w:val="-4"/>
          <w:sz w:val="24"/>
          <w:highlight w:val="none"/>
        </w:rPr>
        <w:t>印件并加盖供应商公章。</w:t>
      </w:r>
    </w:p>
    <w:p w14:paraId="71DE46B1">
      <w:pPr>
        <w:spacing w:line="360" w:lineRule="auto"/>
        <w:ind w:left="2739"/>
        <w:rPr>
          <w:rFonts w:ascii="宋体" w:hAnsi="宋体" w:cs="宋体"/>
          <w:color w:val="auto"/>
          <w:sz w:val="31"/>
          <w:szCs w:val="31"/>
          <w:highlight w:val="none"/>
        </w:rPr>
      </w:pPr>
      <w:bookmarkStart w:id="32" w:name="_Toc4741"/>
      <w:bookmarkStart w:id="33" w:name="_Toc28941"/>
      <w:r>
        <w:rPr>
          <w:rFonts w:hint="eastAsia" w:ascii="宋体" w:hAnsi="宋体" w:cs="宋体"/>
          <w:b/>
          <w:bCs/>
          <w:color w:val="auto"/>
          <w:spacing w:val="10"/>
          <w:sz w:val="28"/>
          <w:szCs w:val="28"/>
          <w:highlight w:val="none"/>
        </w:rPr>
        <w:t>专职安全生产管理人员简历表</w:t>
      </w:r>
      <w:bookmarkEnd w:id="32"/>
      <w:bookmarkEnd w:id="33"/>
    </w:p>
    <w:p w14:paraId="613BBCFE">
      <w:pPr>
        <w:spacing w:line="360" w:lineRule="auto"/>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3A02A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D111611">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shd w:val="clear" w:color="auto" w:fill="auto"/>
          </w:tcPr>
          <w:p w14:paraId="2CD4FB3D">
            <w:pPr>
              <w:spacing w:line="360" w:lineRule="auto"/>
              <w:rPr>
                <w:rFonts w:ascii="宋体" w:hAnsi="宋体" w:cs="宋体"/>
                <w:color w:val="auto"/>
                <w:sz w:val="24"/>
                <w:highlight w:val="none"/>
              </w:rPr>
            </w:pPr>
          </w:p>
        </w:tc>
        <w:tc>
          <w:tcPr>
            <w:tcW w:w="1417" w:type="dxa"/>
            <w:shd w:val="clear" w:color="auto" w:fill="auto"/>
          </w:tcPr>
          <w:p w14:paraId="4EE78730">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shd w:val="clear" w:color="auto" w:fill="auto"/>
          </w:tcPr>
          <w:p w14:paraId="43504A77">
            <w:pPr>
              <w:spacing w:line="360" w:lineRule="auto"/>
              <w:rPr>
                <w:rFonts w:ascii="宋体" w:hAnsi="宋体" w:cs="宋体"/>
                <w:color w:val="auto"/>
                <w:sz w:val="24"/>
                <w:highlight w:val="none"/>
              </w:rPr>
            </w:pPr>
          </w:p>
        </w:tc>
        <w:tc>
          <w:tcPr>
            <w:tcW w:w="1128" w:type="dxa"/>
            <w:shd w:val="clear" w:color="auto" w:fill="auto"/>
          </w:tcPr>
          <w:p w14:paraId="511DEE08">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shd w:val="clear" w:color="auto" w:fill="auto"/>
          </w:tcPr>
          <w:p w14:paraId="7430BC49">
            <w:pPr>
              <w:spacing w:line="360" w:lineRule="auto"/>
              <w:rPr>
                <w:rFonts w:ascii="宋体" w:hAnsi="宋体" w:cs="宋体"/>
                <w:color w:val="auto"/>
                <w:sz w:val="24"/>
                <w:highlight w:val="none"/>
              </w:rPr>
            </w:pPr>
          </w:p>
        </w:tc>
      </w:tr>
      <w:tr w14:paraId="562D4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76C4C86D">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shd w:val="clear" w:color="auto" w:fill="auto"/>
          </w:tcPr>
          <w:p w14:paraId="30A02D46">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shd w:val="clear" w:color="auto" w:fill="auto"/>
          </w:tcPr>
          <w:p w14:paraId="0499B1BF">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shd w:val="clear" w:color="auto" w:fill="auto"/>
          </w:tcPr>
          <w:p w14:paraId="064A5895">
            <w:pPr>
              <w:spacing w:line="360" w:lineRule="auto"/>
              <w:rPr>
                <w:rFonts w:ascii="宋体" w:hAnsi="宋体" w:cs="宋体"/>
                <w:color w:val="auto"/>
                <w:sz w:val="24"/>
                <w:highlight w:val="none"/>
              </w:rPr>
            </w:pPr>
          </w:p>
        </w:tc>
        <w:tc>
          <w:tcPr>
            <w:tcW w:w="1128" w:type="dxa"/>
            <w:shd w:val="clear" w:color="auto" w:fill="auto"/>
          </w:tcPr>
          <w:p w14:paraId="1843F3DF">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shd w:val="clear" w:color="auto" w:fill="auto"/>
          </w:tcPr>
          <w:p w14:paraId="1B98CE86">
            <w:pPr>
              <w:spacing w:line="360" w:lineRule="auto"/>
              <w:rPr>
                <w:rFonts w:ascii="宋体" w:hAnsi="宋体" w:cs="宋体"/>
                <w:color w:val="auto"/>
                <w:sz w:val="24"/>
                <w:highlight w:val="none"/>
              </w:rPr>
            </w:pPr>
          </w:p>
        </w:tc>
      </w:tr>
      <w:tr w14:paraId="5C8D9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213AECF3">
            <w:pPr>
              <w:kinsoku w:val="0"/>
              <w:autoSpaceDE w:val="0"/>
              <w:autoSpaceDN w:val="0"/>
              <w:adjustRightInd w:val="0"/>
              <w:snapToGrid w:val="0"/>
              <w:spacing w:line="360" w:lineRule="auto"/>
              <w:ind w:left="391" w:right="189"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498" w:type="dxa"/>
            <w:gridSpan w:val="4"/>
            <w:shd w:val="clear" w:color="auto" w:fill="auto"/>
          </w:tcPr>
          <w:p w14:paraId="77ED3B08">
            <w:pPr>
              <w:spacing w:line="360" w:lineRule="auto"/>
              <w:rPr>
                <w:rFonts w:ascii="宋体" w:hAnsi="宋体" w:cs="宋体"/>
                <w:color w:val="auto"/>
                <w:sz w:val="24"/>
                <w:highlight w:val="none"/>
              </w:rPr>
            </w:pPr>
          </w:p>
        </w:tc>
        <w:tc>
          <w:tcPr>
            <w:tcW w:w="1417" w:type="dxa"/>
            <w:shd w:val="clear" w:color="auto" w:fill="auto"/>
          </w:tcPr>
          <w:p w14:paraId="519B6684">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shd w:val="clear" w:color="auto" w:fill="auto"/>
          </w:tcPr>
          <w:p w14:paraId="20685F97">
            <w:pPr>
              <w:spacing w:line="360" w:lineRule="auto"/>
              <w:rPr>
                <w:rFonts w:ascii="宋体" w:hAnsi="宋体" w:cs="宋体"/>
                <w:color w:val="auto"/>
                <w:sz w:val="24"/>
                <w:highlight w:val="none"/>
              </w:rPr>
            </w:pPr>
          </w:p>
        </w:tc>
        <w:tc>
          <w:tcPr>
            <w:tcW w:w="1128" w:type="dxa"/>
            <w:shd w:val="clear" w:color="auto" w:fill="auto"/>
          </w:tcPr>
          <w:p w14:paraId="1C45A8FB">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shd w:val="clear" w:color="auto" w:fill="auto"/>
          </w:tcPr>
          <w:p w14:paraId="4093B718">
            <w:pPr>
              <w:spacing w:line="360" w:lineRule="auto"/>
              <w:rPr>
                <w:rFonts w:ascii="宋体" w:hAnsi="宋体" w:cs="宋体"/>
                <w:color w:val="auto"/>
                <w:sz w:val="24"/>
                <w:highlight w:val="none"/>
              </w:rPr>
            </w:pPr>
          </w:p>
        </w:tc>
      </w:tr>
      <w:tr w14:paraId="67257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54750FE7">
            <w:pPr>
              <w:kinsoku w:val="0"/>
              <w:autoSpaceDE w:val="0"/>
              <w:autoSpaceDN w:val="0"/>
              <w:adjustRightInd w:val="0"/>
              <w:snapToGrid w:val="0"/>
              <w:spacing w:line="360" w:lineRule="auto"/>
              <w:ind w:left="421" w:right="151" w:hanging="2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年限</w:t>
            </w:r>
          </w:p>
        </w:tc>
        <w:tc>
          <w:tcPr>
            <w:tcW w:w="2498" w:type="dxa"/>
            <w:gridSpan w:val="4"/>
            <w:shd w:val="clear" w:color="auto" w:fill="auto"/>
          </w:tcPr>
          <w:p w14:paraId="5B1C228A">
            <w:pPr>
              <w:spacing w:line="360" w:lineRule="auto"/>
              <w:rPr>
                <w:rFonts w:ascii="宋体" w:hAnsi="宋体" w:cs="宋体"/>
                <w:color w:val="auto"/>
                <w:sz w:val="24"/>
                <w:highlight w:val="none"/>
              </w:rPr>
            </w:pPr>
          </w:p>
        </w:tc>
        <w:tc>
          <w:tcPr>
            <w:tcW w:w="1417" w:type="dxa"/>
            <w:shd w:val="clear" w:color="auto" w:fill="auto"/>
          </w:tcPr>
          <w:p w14:paraId="5CEBAD00">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shd w:val="clear" w:color="auto" w:fill="auto"/>
          </w:tcPr>
          <w:p w14:paraId="70405713">
            <w:pPr>
              <w:spacing w:line="360" w:lineRule="auto"/>
              <w:rPr>
                <w:rFonts w:ascii="宋体" w:hAnsi="宋体" w:cs="宋体"/>
                <w:color w:val="auto"/>
                <w:sz w:val="24"/>
                <w:highlight w:val="none"/>
              </w:rPr>
            </w:pPr>
          </w:p>
        </w:tc>
      </w:tr>
      <w:tr w14:paraId="70A8C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3BE778B6">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0B3C18EC">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shd w:val="clear" w:color="auto" w:fill="auto"/>
          </w:tcPr>
          <w:p w14:paraId="05B4057E">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shd w:val="clear" w:color="auto" w:fill="auto"/>
          </w:tcPr>
          <w:p w14:paraId="31D1064F">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shd w:val="clear" w:color="auto" w:fill="auto"/>
          </w:tcPr>
          <w:p w14:paraId="06D620AD">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272FDFDE">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shd w:val="clear" w:color="auto" w:fill="auto"/>
          </w:tcPr>
          <w:p w14:paraId="0E9A272A">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77602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25B1FA56">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0E956408">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2E1B422A">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25652C58">
            <w:pPr>
              <w:spacing w:line="360" w:lineRule="auto"/>
              <w:rPr>
                <w:rFonts w:ascii="宋体" w:hAnsi="宋体" w:cs="宋体"/>
                <w:color w:val="auto"/>
                <w:sz w:val="24"/>
                <w:highlight w:val="none"/>
              </w:rPr>
            </w:pPr>
          </w:p>
        </w:tc>
        <w:tc>
          <w:tcPr>
            <w:tcW w:w="1224" w:type="dxa"/>
            <w:gridSpan w:val="2"/>
            <w:shd w:val="clear" w:color="auto" w:fill="auto"/>
          </w:tcPr>
          <w:p w14:paraId="3C55CDA7">
            <w:pPr>
              <w:spacing w:line="360" w:lineRule="auto"/>
              <w:rPr>
                <w:rFonts w:ascii="宋体" w:hAnsi="宋体" w:cs="宋体"/>
                <w:color w:val="auto"/>
                <w:sz w:val="24"/>
                <w:highlight w:val="none"/>
              </w:rPr>
            </w:pPr>
          </w:p>
          <w:p w14:paraId="07E9ADE4">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shd w:val="clear" w:color="auto" w:fill="auto"/>
          </w:tcPr>
          <w:p w14:paraId="66F05FC1">
            <w:pPr>
              <w:spacing w:line="360" w:lineRule="auto"/>
              <w:rPr>
                <w:rFonts w:ascii="宋体" w:hAnsi="宋体" w:cs="宋体"/>
                <w:color w:val="auto"/>
                <w:sz w:val="24"/>
                <w:highlight w:val="none"/>
              </w:rPr>
            </w:pPr>
          </w:p>
        </w:tc>
        <w:tc>
          <w:tcPr>
            <w:tcW w:w="1419" w:type="dxa"/>
            <w:gridSpan w:val="2"/>
            <w:shd w:val="clear" w:color="auto" w:fill="auto"/>
          </w:tcPr>
          <w:p w14:paraId="38F77E6E">
            <w:pPr>
              <w:spacing w:line="360" w:lineRule="auto"/>
              <w:rPr>
                <w:rFonts w:ascii="宋体" w:hAnsi="宋体" w:cs="宋体"/>
                <w:color w:val="auto"/>
                <w:sz w:val="24"/>
                <w:highlight w:val="none"/>
              </w:rPr>
            </w:pPr>
          </w:p>
        </w:tc>
        <w:tc>
          <w:tcPr>
            <w:tcW w:w="1632" w:type="dxa"/>
            <w:gridSpan w:val="3"/>
            <w:shd w:val="clear" w:color="auto" w:fill="auto"/>
          </w:tcPr>
          <w:p w14:paraId="511CC9AD">
            <w:pPr>
              <w:spacing w:line="360" w:lineRule="auto"/>
              <w:rPr>
                <w:rFonts w:ascii="宋体" w:hAnsi="宋体" w:cs="宋体"/>
                <w:color w:val="auto"/>
                <w:sz w:val="24"/>
                <w:highlight w:val="none"/>
              </w:rPr>
            </w:pPr>
          </w:p>
        </w:tc>
        <w:tc>
          <w:tcPr>
            <w:tcW w:w="1457" w:type="dxa"/>
            <w:gridSpan w:val="2"/>
            <w:shd w:val="clear" w:color="auto" w:fill="auto"/>
          </w:tcPr>
          <w:p w14:paraId="16CADC73">
            <w:pPr>
              <w:spacing w:line="360" w:lineRule="auto"/>
              <w:rPr>
                <w:rFonts w:ascii="宋体" w:hAnsi="宋体" w:cs="宋体"/>
                <w:color w:val="auto"/>
                <w:sz w:val="24"/>
                <w:highlight w:val="none"/>
              </w:rPr>
            </w:pPr>
          </w:p>
        </w:tc>
      </w:tr>
      <w:tr w14:paraId="6F23F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26A0ED48">
            <w:pPr>
              <w:spacing w:line="360" w:lineRule="auto"/>
              <w:rPr>
                <w:rFonts w:ascii="宋体" w:hAnsi="宋体" w:cs="宋体"/>
                <w:color w:val="auto"/>
                <w:sz w:val="24"/>
                <w:highlight w:val="none"/>
              </w:rPr>
            </w:pPr>
          </w:p>
        </w:tc>
        <w:tc>
          <w:tcPr>
            <w:tcW w:w="1274" w:type="dxa"/>
            <w:gridSpan w:val="2"/>
            <w:shd w:val="clear" w:color="auto" w:fill="auto"/>
          </w:tcPr>
          <w:p w14:paraId="18E7CBBF">
            <w:pPr>
              <w:spacing w:line="360" w:lineRule="auto"/>
              <w:rPr>
                <w:rFonts w:ascii="宋体" w:hAnsi="宋体" w:cs="宋体"/>
                <w:color w:val="auto"/>
                <w:sz w:val="24"/>
                <w:highlight w:val="none"/>
              </w:rPr>
            </w:pPr>
          </w:p>
        </w:tc>
        <w:tc>
          <w:tcPr>
            <w:tcW w:w="1224" w:type="dxa"/>
            <w:gridSpan w:val="2"/>
            <w:shd w:val="clear" w:color="auto" w:fill="auto"/>
          </w:tcPr>
          <w:p w14:paraId="1E8E53BC">
            <w:pPr>
              <w:spacing w:line="360" w:lineRule="auto"/>
              <w:rPr>
                <w:rFonts w:ascii="宋体" w:hAnsi="宋体" w:cs="宋体"/>
                <w:color w:val="auto"/>
                <w:sz w:val="24"/>
                <w:highlight w:val="none"/>
              </w:rPr>
            </w:pPr>
          </w:p>
        </w:tc>
        <w:tc>
          <w:tcPr>
            <w:tcW w:w="1417" w:type="dxa"/>
            <w:shd w:val="clear" w:color="auto" w:fill="auto"/>
          </w:tcPr>
          <w:p w14:paraId="01F4A591">
            <w:pPr>
              <w:spacing w:line="360" w:lineRule="auto"/>
              <w:rPr>
                <w:rFonts w:ascii="宋体" w:hAnsi="宋体" w:cs="宋体"/>
                <w:color w:val="auto"/>
                <w:sz w:val="24"/>
                <w:highlight w:val="none"/>
              </w:rPr>
            </w:pPr>
          </w:p>
        </w:tc>
        <w:tc>
          <w:tcPr>
            <w:tcW w:w="1419" w:type="dxa"/>
            <w:gridSpan w:val="2"/>
            <w:shd w:val="clear" w:color="auto" w:fill="auto"/>
          </w:tcPr>
          <w:p w14:paraId="60932A62">
            <w:pPr>
              <w:spacing w:line="360" w:lineRule="auto"/>
              <w:rPr>
                <w:rFonts w:ascii="宋体" w:hAnsi="宋体" w:cs="宋体"/>
                <w:color w:val="auto"/>
                <w:sz w:val="24"/>
                <w:highlight w:val="none"/>
              </w:rPr>
            </w:pPr>
          </w:p>
        </w:tc>
        <w:tc>
          <w:tcPr>
            <w:tcW w:w="1632" w:type="dxa"/>
            <w:gridSpan w:val="3"/>
            <w:shd w:val="clear" w:color="auto" w:fill="auto"/>
          </w:tcPr>
          <w:p w14:paraId="2D3CE09D">
            <w:pPr>
              <w:spacing w:line="360" w:lineRule="auto"/>
              <w:rPr>
                <w:rFonts w:ascii="宋体" w:hAnsi="宋体" w:cs="宋体"/>
                <w:color w:val="auto"/>
                <w:sz w:val="24"/>
                <w:highlight w:val="none"/>
              </w:rPr>
            </w:pPr>
          </w:p>
        </w:tc>
        <w:tc>
          <w:tcPr>
            <w:tcW w:w="1457" w:type="dxa"/>
            <w:gridSpan w:val="2"/>
            <w:shd w:val="clear" w:color="auto" w:fill="auto"/>
          </w:tcPr>
          <w:p w14:paraId="0FA00EB7">
            <w:pPr>
              <w:spacing w:line="360" w:lineRule="auto"/>
              <w:rPr>
                <w:rFonts w:ascii="宋体" w:hAnsi="宋体" w:cs="宋体"/>
                <w:color w:val="auto"/>
                <w:sz w:val="24"/>
                <w:highlight w:val="none"/>
              </w:rPr>
            </w:pPr>
          </w:p>
        </w:tc>
      </w:tr>
      <w:tr w14:paraId="18FCA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20B8933E">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74E30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294D4BB3">
            <w:pPr>
              <w:spacing w:line="360" w:lineRule="auto"/>
              <w:rPr>
                <w:rFonts w:ascii="宋体" w:hAnsi="宋体" w:cs="宋体"/>
                <w:color w:val="auto"/>
                <w:sz w:val="24"/>
                <w:highlight w:val="none"/>
              </w:rPr>
            </w:pPr>
          </w:p>
        </w:tc>
        <w:tc>
          <w:tcPr>
            <w:tcW w:w="1548" w:type="dxa"/>
            <w:gridSpan w:val="2"/>
            <w:shd w:val="clear" w:color="auto" w:fill="auto"/>
          </w:tcPr>
          <w:p w14:paraId="7A1DF1DC">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shd w:val="clear" w:color="auto" w:fill="auto"/>
          </w:tcPr>
          <w:p w14:paraId="4664E179">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shd w:val="clear" w:color="auto" w:fill="auto"/>
          </w:tcPr>
          <w:p w14:paraId="1DECEF8C">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shd w:val="clear" w:color="auto" w:fill="auto"/>
          </w:tcPr>
          <w:p w14:paraId="7A7ECEBC">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2F945BF8">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shd w:val="clear" w:color="auto" w:fill="auto"/>
          </w:tcPr>
          <w:p w14:paraId="656D083C">
            <w:pPr>
              <w:spacing w:line="360" w:lineRule="auto"/>
              <w:rPr>
                <w:rFonts w:ascii="宋体" w:hAnsi="宋体" w:cs="宋体"/>
                <w:color w:val="auto"/>
                <w:sz w:val="24"/>
                <w:highlight w:val="none"/>
              </w:rPr>
            </w:pPr>
          </w:p>
        </w:tc>
      </w:tr>
      <w:tr w14:paraId="5D205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54761E7B">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2B91C9CC">
            <w:pPr>
              <w:spacing w:line="360" w:lineRule="auto"/>
              <w:rPr>
                <w:rFonts w:ascii="宋体" w:hAnsi="宋体" w:cs="宋体"/>
                <w:color w:val="auto"/>
                <w:sz w:val="24"/>
                <w:highlight w:val="none"/>
              </w:rPr>
            </w:pPr>
          </w:p>
        </w:tc>
        <w:tc>
          <w:tcPr>
            <w:tcW w:w="1937" w:type="dxa"/>
            <w:gridSpan w:val="2"/>
            <w:shd w:val="clear" w:color="auto" w:fill="auto"/>
          </w:tcPr>
          <w:p w14:paraId="0CA6FFF6">
            <w:pPr>
              <w:spacing w:line="360" w:lineRule="auto"/>
              <w:rPr>
                <w:rFonts w:ascii="宋体" w:hAnsi="宋体" w:cs="宋体"/>
                <w:color w:val="auto"/>
                <w:sz w:val="24"/>
                <w:highlight w:val="none"/>
              </w:rPr>
            </w:pPr>
          </w:p>
        </w:tc>
        <w:tc>
          <w:tcPr>
            <w:tcW w:w="1370" w:type="dxa"/>
            <w:shd w:val="clear" w:color="auto" w:fill="auto"/>
          </w:tcPr>
          <w:p w14:paraId="1A8FBEE4">
            <w:pPr>
              <w:spacing w:line="360" w:lineRule="auto"/>
              <w:rPr>
                <w:rFonts w:ascii="宋体" w:hAnsi="宋体" w:cs="宋体"/>
                <w:color w:val="auto"/>
                <w:sz w:val="24"/>
                <w:highlight w:val="none"/>
              </w:rPr>
            </w:pPr>
          </w:p>
        </w:tc>
        <w:tc>
          <w:tcPr>
            <w:tcW w:w="1636" w:type="dxa"/>
            <w:gridSpan w:val="3"/>
            <w:shd w:val="clear" w:color="auto" w:fill="auto"/>
          </w:tcPr>
          <w:p w14:paraId="04580836">
            <w:pPr>
              <w:spacing w:line="360" w:lineRule="auto"/>
              <w:rPr>
                <w:rFonts w:ascii="宋体" w:hAnsi="宋体" w:cs="宋体"/>
                <w:color w:val="auto"/>
                <w:sz w:val="24"/>
                <w:highlight w:val="none"/>
              </w:rPr>
            </w:pPr>
          </w:p>
        </w:tc>
        <w:tc>
          <w:tcPr>
            <w:tcW w:w="1482" w:type="dxa"/>
            <w:gridSpan w:val="2"/>
            <w:shd w:val="clear" w:color="auto" w:fill="auto"/>
          </w:tcPr>
          <w:p w14:paraId="1E1446F6">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3F00A48D">
            <w:pPr>
              <w:spacing w:line="360" w:lineRule="auto"/>
              <w:rPr>
                <w:rFonts w:ascii="宋体" w:hAnsi="宋体" w:cs="宋体"/>
                <w:color w:val="auto"/>
                <w:sz w:val="24"/>
                <w:highlight w:val="none"/>
              </w:rPr>
            </w:pPr>
          </w:p>
        </w:tc>
      </w:tr>
      <w:tr w14:paraId="7186B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039B713B">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6565A184">
            <w:pPr>
              <w:spacing w:line="360" w:lineRule="auto"/>
              <w:rPr>
                <w:rFonts w:ascii="宋体" w:hAnsi="宋体" w:cs="宋体"/>
                <w:color w:val="auto"/>
                <w:sz w:val="24"/>
                <w:highlight w:val="none"/>
              </w:rPr>
            </w:pPr>
          </w:p>
        </w:tc>
        <w:tc>
          <w:tcPr>
            <w:tcW w:w="1937" w:type="dxa"/>
            <w:gridSpan w:val="2"/>
            <w:shd w:val="clear" w:color="auto" w:fill="auto"/>
          </w:tcPr>
          <w:p w14:paraId="2BE7498F">
            <w:pPr>
              <w:spacing w:line="360" w:lineRule="auto"/>
              <w:rPr>
                <w:rFonts w:ascii="宋体" w:hAnsi="宋体" w:cs="宋体"/>
                <w:color w:val="auto"/>
                <w:sz w:val="24"/>
                <w:highlight w:val="none"/>
              </w:rPr>
            </w:pPr>
          </w:p>
        </w:tc>
        <w:tc>
          <w:tcPr>
            <w:tcW w:w="1370" w:type="dxa"/>
            <w:shd w:val="clear" w:color="auto" w:fill="auto"/>
          </w:tcPr>
          <w:p w14:paraId="64850702">
            <w:pPr>
              <w:spacing w:line="360" w:lineRule="auto"/>
              <w:rPr>
                <w:rFonts w:ascii="宋体" w:hAnsi="宋体" w:cs="宋体"/>
                <w:color w:val="auto"/>
                <w:sz w:val="24"/>
                <w:highlight w:val="none"/>
              </w:rPr>
            </w:pPr>
          </w:p>
        </w:tc>
        <w:tc>
          <w:tcPr>
            <w:tcW w:w="1636" w:type="dxa"/>
            <w:gridSpan w:val="3"/>
            <w:shd w:val="clear" w:color="auto" w:fill="auto"/>
          </w:tcPr>
          <w:p w14:paraId="1E28FAA3">
            <w:pPr>
              <w:spacing w:line="360" w:lineRule="auto"/>
              <w:rPr>
                <w:rFonts w:ascii="宋体" w:hAnsi="宋体" w:cs="宋体"/>
                <w:color w:val="auto"/>
                <w:sz w:val="24"/>
                <w:highlight w:val="none"/>
              </w:rPr>
            </w:pPr>
          </w:p>
        </w:tc>
        <w:tc>
          <w:tcPr>
            <w:tcW w:w="1482" w:type="dxa"/>
            <w:gridSpan w:val="2"/>
            <w:shd w:val="clear" w:color="auto" w:fill="auto"/>
          </w:tcPr>
          <w:p w14:paraId="7CABF65D">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43924D00">
            <w:pPr>
              <w:spacing w:line="360" w:lineRule="auto"/>
              <w:rPr>
                <w:rFonts w:ascii="宋体" w:hAnsi="宋体" w:cs="宋体"/>
                <w:color w:val="auto"/>
                <w:sz w:val="24"/>
                <w:highlight w:val="none"/>
              </w:rPr>
            </w:pPr>
          </w:p>
        </w:tc>
      </w:tr>
      <w:tr w14:paraId="57395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366F6F0">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2BF1714A">
            <w:pPr>
              <w:spacing w:line="360" w:lineRule="auto"/>
              <w:rPr>
                <w:rFonts w:ascii="宋体" w:hAnsi="宋体" w:cs="宋体"/>
                <w:color w:val="auto"/>
                <w:sz w:val="24"/>
                <w:highlight w:val="none"/>
              </w:rPr>
            </w:pPr>
          </w:p>
        </w:tc>
        <w:tc>
          <w:tcPr>
            <w:tcW w:w="1937" w:type="dxa"/>
            <w:gridSpan w:val="2"/>
            <w:shd w:val="clear" w:color="auto" w:fill="auto"/>
          </w:tcPr>
          <w:p w14:paraId="47FE801B">
            <w:pPr>
              <w:spacing w:line="360" w:lineRule="auto"/>
              <w:rPr>
                <w:rFonts w:ascii="宋体" w:hAnsi="宋体" w:cs="宋体"/>
                <w:color w:val="auto"/>
                <w:sz w:val="24"/>
                <w:highlight w:val="none"/>
              </w:rPr>
            </w:pPr>
          </w:p>
        </w:tc>
        <w:tc>
          <w:tcPr>
            <w:tcW w:w="1370" w:type="dxa"/>
            <w:shd w:val="clear" w:color="auto" w:fill="auto"/>
          </w:tcPr>
          <w:p w14:paraId="476111F1">
            <w:pPr>
              <w:spacing w:line="360" w:lineRule="auto"/>
              <w:rPr>
                <w:rFonts w:ascii="宋体" w:hAnsi="宋体" w:cs="宋体"/>
                <w:color w:val="auto"/>
                <w:sz w:val="24"/>
                <w:highlight w:val="none"/>
              </w:rPr>
            </w:pPr>
          </w:p>
        </w:tc>
        <w:tc>
          <w:tcPr>
            <w:tcW w:w="1636" w:type="dxa"/>
            <w:gridSpan w:val="3"/>
            <w:shd w:val="clear" w:color="auto" w:fill="auto"/>
          </w:tcPr>
          <w:p w14:paraId="6A9F8A7F">
            <w:pPr>
              <w:spacing w:line="360" w:lineRule="auto"/>
              <w:rPr>
                <w:rFonts w:ascii="宋体" w:hAnsi="宋体" w:cs="宋体"/>
                <w:color w:val="auto"/>
                <w:sz w:val="24"/>
                <w:highlight w:val="none"/>
              </w:rPr>
            </w:pPr>
          </w:p>
        </w:tc>
        <w:tc>
          <w:tcPr>
            <w:tcW w:w="1482" w:type="dxa"/>
            <w:gridSpan w:val="2"/>
            <w:shd w:val="clear" w:color="auto" w:fill="auto"/>
          </w:tcPr>
          <w:p w14:paraId="63F16418">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5AF3F132">
            <w:pPr>
              <w:spacing w:line="360" w:lineRule="auto"/>
              <w:rPr>
                <w:rFonts w:ascii="宋体" w:hAnsi="宋体" w:cs="宋体"/>
                <w:color w:val="auto"/>
                <w:sz w:val="24"/>
                <w:highlight w:val="none"/>
              </w:rPr>
            </w:pPr>
          </w:p>
        </w:tc>
      </w:tr>
      <w:tr w14:paraId="51AB6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72822B2">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6B1E919E">
            <w:pPr>
              <w:spacing w:line="360" w:lineRule="auto"/>
              <w:rPr>
                <w:rFonts w:ascii="宋体" w:hAnsi="宋体" w:cs="宋体"/>
                <w:color w:val="auto"/>
                <w:sz w:val="24"/>
                <w:highlight w:val="none"/>
              </w:rPr>
            </w:pPr>
          </w:p>
        </w:tc>
        <w:tc>
          <w:tcPr>
            <w:tcW w:w="1937" w:type="dxa"/>
            <w:gridSpan w:val="2"/>
            <w:shd w:val="clear" w:color="auto" w:fill="auto"/>
          </w:tcPr>
          <w:p w14:paraId="4AEAFE39">
            <w:pPr>
              <w:spacing w:line="360" w:lineRule="auto"/>
              <w:rPr>
                <w:rFonts w:ascii="宋体" w:hAnsi="宋体" w:cs="宋体"/>
                <w:color w:val="auto"/>
                <w:sz w:val="24"/>
                <w:highlight w:val="none"/>
              </w:rPr>
            </w:pPr>
          </w:p>
        </w:tc>
        <w:tc>
          <w:tcPr>
            <w:tcW w:w="1370" w:type="dxa"/>
            <w:shd w:val="clear" w:color="auto" w:fill="auto"/>
          </w:tcPr>
          <w:p w14:paraId="03AAE948">
            <w:pPr>
              <w:spacing w:line="360" w:lineRule="auto"/>
              <w:rPr>
                <w:rFonts w:ascii="宋体" w:hAnsi="宋体" w:cs="宋体"/>
                <w:color w:val="auto"/>
                <w:sz w:val="24"/>
                <w:highlight w:val="none"/>
              </w:rPr>
            </w:pPr>
          </w:p>
        </w:tc>
        <w:tc>
          <w:tcPr>
            <w:tcW w:w="1636" w:type="dxa"/>
            <w:gridSpan w:val="3"/>
            <w:shd w:val="clear" w:color="auto" w:fill="auto"/>
          </w:tcPr>
          <w:p w14:paraId="6F5C4BD7">
            <w:pPr>
              <w:spacing w:line="360" w:lineRule="auto"/>
              <w:rPr>
                <w:rFonts w:ascii="宋体" w:hAnsi="宋体" w:cs="宋体"/>
                <w:color w:val="auto"/>
                <w:sz w:val="24"/>
                <w:highlight w:val="none"/>
              </w:rPr>
            </w:pPr>
          </w:p>
        </w:tc>
        <w:tc>
          <w:tcPr>
            <w:tcW w:w="1482" w:type="dxa"/>
            <w:gridSpan w:val="2"/>
            <w:shd w:val="clear" w:color="auto" w:fill="auto"/>
          </w:tcPr>
          <w:p w14:paraId="30208F22">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77AB5267">
            <w:pPr>
              <w:spacing w:line="360" w:lineRule="auto"/>
              <w:rPr>
                <w:rFonts w:ascii="宋体" w:hAnsi="宋体" w:cs="宋体"/>
                <w:color w:val="auto"/>
                <w:sz w:val="24"/>
                <w:highlight w:val="none"/>
              </w:rPr>
            </w:pPr>
          </w:p>
        </w:tc>
      </w:tr>
      <w:tr w14:paraId="3921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3D268B1">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2E944998">
            <w:pPr>
              <w:spacing w:line="360" w:lineRule="auto"/>
              <w:rPr>
                <w:rFonts w:ascii="宋体" w:hAnsi="宋体" w:cs="宋体"/>
                <w:color w:val="auto"/>
                <w:sz w:val="24"/>
                <w:highlight w:val="none"/>
              </w:rPr>
            </w:pPr>
          </w:p>
        </w:tc>
        <w:tc>
          <w:tcPr>
            <w:tcW w:w="1937" w:type="dxa"/>
            <w:gridSpan w:val="2"/>
            <w:shd w:val="clear" w:color="auto" w:fill="auto"/>
          </w:tcPr>
          <w:p w14:paraId="0E3C1CE7">
            <w:pPr>
              <w:spacing w:line="360" w:lineRule="auto"/>
              <w:rPr>
                <w:rFonts w:ascii="宋体" w:hAnsi="宋体" w:cs="宋体"/>
                <w:color w:val="auto"/>
                <w:sz w:val="24"/>
                <w:highlight w:val="none"/>
              </w:rPr>
            </w:pPr>
          </w:p>
        </w:tc>
        <w:tc>
          <w:tcPr>
            <w:tcW w:w="1370" w:type="dxa"/>
            <w:shd w:val="clear" w:color="auto" w:fill="auto"/>
          </w:tcPr>
          <w:p w14:paraId="48015479">
            <w:pPr>
              <w:spacing w:line="360" w:lineRule="auto"/>
              <w:rPr>
                <w:rFonts w:ascii="宋体" w:hAnsi="宋体" w:cs="宋体"/>
                <w:color w:val="auto"/>
                <w:sz w:val="24"/>
                <w:highlight w:val="none"/>
              </w:rPr>
            </w:pPr>
          </w:p>
        </w:tc>
        <w:tc>
          <w:tcPr>
            <w:tcW w:w="1636" w:type="dxa"/>
            <w:gridSpan w:val="3"/>
            <w:shd w:val="clear" w:color="auto" w:fill="auto"/>
          </w:tcPr>
          <w:p w14:paraId="4D7ADF77">
            <w:pPr>
              <w:spacing w:line="360" w:lineRule="auto"/>
              <w:rPr>
                <w:rFonts w:ascii="宋体" w:hAnsi="宋体" w:cs="宋体"/>
                <w:color w:val="auto"/>
                <w:sz w:val="24"/>
                <w:highlight w:val="none"/>
              </w:rPr>
            </w:pPr>
          </w:p>
        </w:tc>
        <w:tc>
          <w:tcPr>
            <w:tcW w:w="1482" w:type="dxa"/>
            <w:gridSpan w:val="2"/>
            <w:shd w:val="clear" w:color="auto" w:fill="auto"/>
          </w:tcPr>
          <w:p w14:paraId="039BBA52">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03344725">
            <w:pPr>
              <w:spacing w:line="360" w:lineRule="auto"/>
              <w:rPr>
                <w:rFonts w:ascii="宋体" w:hAnsi="宋体" w:cs="宋体"/>
                <w:color w:val="auto"/>
                <w:sz w:val="24"/>
                <w:highlight w:val="none"/>
              </w:rPr>
            </w:pPr>
          </w:p>
        </w:tc>
      </w:tr>
      <w:tr w14:paraId="00D0E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62E3722">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13348BD0">
            <w:pPr>
              <w:spacing w:line="360" w:lineRule="auto"/>
              <w:rPr>
                <w:rFonts w:ascii="宋体" w:hAnsi="宋体" w:cs="宋体"/>
                <w:color w:val="auto"/>
                <w:sz w:val="24"/>
                <w:highlight w:val="none"/>
              </w:rPr>
            </w:pPr>
          </w:p>
        </w:tc>
        <w:tc>
          <w:tcPr>
            <w:tcW w:w="1937" w:type="dxa"/>
            <w:gridSpan w:val="2"/>
            <w:shd w:val="clear" w:color="auto" w:fill="auto"/>
          </w:tcPr>
          <w:p w14:paraId="654E8983">
            <w:pPr>
              <w:spacing w:line="360" w:lineRule="auto"/>
              <w:rPr>
                <w:rFonts w:ascii="宋体" w:hAnsi="宋体" w:cs="宋体"/>
                <w:color w:val="auto"/>
                <w:sz w:val="24"/>
                <w:highlight w:val="none"/>
              </w:rPr>
            </w:pPr>
          </w:p>
        </w:tc>
        <w:tc>
          <w:tcPr>
            <w:tcW w:w="1370" w:type="dxa"/>
            <w:shd w:val="clear" w:color="auto" w:fill="auto"/>
          </w:tcPr>
          <w:p w14:paraId="69897269">
            <w:pPr>
              <w:spacing w:line="360" w:lineRule="auto"/>
              <w:rPr>
                <w:rFonts w:ascii="宋体" w:hAnsi="宋体" w:cs="宋体"/>
                <w:color w:val="auto"/>
                <w:sz w:val="24"/>
                <w:highlight w:val="none"/>
              </w:rPr>
            </w:pPr>
          </w:p>
        </w:tc>
        <w:tc>
          <w:tcPr>
            <w:tcW w:w="1636" w:type="dxa"/>
            <w:gridSpan w:val="3"/>
            <w:shd w:val="clear" w:color="auto" w:fill="auto"/>
          </w:tcPr>
          <w:p w14:paraId="136C69FA">
            <w:pPr>
              <w:spacing w:line="360" w:lineRule="auto"/>
              <w:rPr>
                <w:rFonts w:ascii="宋体" w:hAnsi="宋体" w:cs="宋体"/>
                <w:color w:val="auto"/>
                <w:sz w:val="24"/>
                <w:highlight w:val="none"/>
              </w:rPr>
            </w:pPr>
          </w:p>
        </w:tc>
        <w:tc>
          <w:tcPr>
            <w:tcW w:w="1482" w:type="dxa"/>
            <w:gridSpan w:val="2"/>
            <w:shd w:val="clear" w:color="auto" w:fill="auto"/>
          </w:tcPr>
          <w:p w14:paraId="68192443">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18D317BD">
            <w:pPr>
              <w:spacing w:line="360" w:lineRule="auto"/>
              <w:rPr>
                <w:rFonts w:ascii="宋体" w:hAnsi="宋体" w:cs="宋体"/>
                <w:color w:val="auto"/>
                <w:sz w:val="24"/>
                <w:highlight w:val="none"/>
              </w:rPr>
            </w:pPr>
          </w:p>
        </w:tc>
      </w:tr>
      <w:tr w14:paraId="2E0B8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FB7D74D">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58820374">
            <w:pPr>
              <w:spacing w:line="360" w:lineRule="auto"/>
              <w:rPr>
                <w:rFonts w:ascii="宋体" w:hAnsi="宋体" w:cs="宋体"/>
                <w:color w:val="auto"/>
                <w:sz w:val="24"/>
                <w:highlight w:val="none"/>
              </w:rPr>
            </w:pPr>
          </w:p>
        </w:tc>
        <w:tc>
          <w:tcPr>
            <w:tcW w:w="1937" w:type="dxa"/>
            <w:gridSpan w:val="2"/>
            <w:shd w:val="clear" w:color="auto" w:fill="auto"/>
          </w:tcPr>
          <w:p w14:paraId="67731F23">
            <w:pPr>
              <w:spacing w:line="360" w:lineRule="auto"/>
              <w:rPr>
                <w:rFonts w:ascii="宋体" w:hAnsi="宋体" w:cs="宋体"/>
                <w:color w:val="auto"/>
                <w:sz w:val="24"/>
                <w:highlight w:val="none"/>
              </w:rPr>
            </w:pPr>
          </w:p>
        </w:tc>
        <w:tc>
          <w:tcPr>
            <w:tcW w:w="1370" w:type="dxa"/>
            <w:shd w:val="clear" w:color="auto" w:fill="auto"/>
          </w:tcPr>
          <w:p w14:paraId="5EF98EBA">
            <w:pPr>
              <w:spacing w:line="360" w:lineRule="auto"/>
              <w:rPr>
                <w:rFonts w:ascii="宋体" w:hAnsi="宋体" w:cs="宋体"/>
                <w:color w:val="auto"/>
                <w:sz w:val="24"/>
                <w:highlight w:val="none"/>
              </w:rPr>
            </w:pPr>
          </w:p>
        </w:tc>
        <w:tc>
          <w:tcPr>
            <w:tcW w:w="1636" w:type="dxa"/>
            <w:gridSpan w:val="3"/>
            <w:shd w:val="clear" w:color="auto" w:fill="auto"/>
          </w:tcPr>
          <w:p w14:paraId="5CB61A52">
            <w:pPr>
              <w:spacing w:line="360" w:lineRule="auto"/>
              <w:rPr>
                <w:rFonts w:ascii="宋体" w:hAnsi="宋体" w:cs="宋体"/>
                <w:color w:val="auto"/>
                <w:sz w:val="24"/>
                <w:highlight w:val="none"/>
              </w:rPr>
            </w:pPr>
          </w:p>
        </w:tc>
        <w:tc>
          <w:tcPr>
            <w:tcW w:w="1482" w:type="dxa"/>
            <w:gridSpan w:val="2"/>
            <w:shd w:val="clear" w:color="auto" w:fill="auto"/>
          </w:tcPr>
          <w:p w14:paraId="4A9B6D91">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5E146296">
            <w:pPr>
              <w:spacing w:line="360" w:lineRule="auto"/>
              <w:rPr>
                <w:rFonts w:ascii="宋体" w:hAnsi="宋体" w:cs="宋体"/>
                <w:color w:val="auto"/>
                <w:sz w:val="24"/>
                <w:highlight w:val="none"/>
              </w:rPr>
            </w:pPr>
          </w:p>
        </w:tc>
      </w:tr>
      <w:tr w14:paraId="55136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55E9B1">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64460DDF">
            <w:pPr>
              <w:spacing w:line="360" w:lineRule="auto"/>
              <w:rPr>
                <w:rFonts w:ascii="宋体" w:hAnsi="宋体" w:cs="宋体"/>
                <w:color w:val="auto"/>
                <w:sz w:val="24"/>
                <w:highlight w:val="none"/>
              </w:rPr>
            </w:pPr>
          </w:p>
        </w:tc>
        <w:tc>
          <w:tcPr>
            <w:tcW w:w="1937" w:type="dxa"/>
            <w:gridSpan w:val="2"/>
            <w:shd w:val="clear" w:color="auto" w:fill="auto"/>
          </w:tcPr>
          <w:p w14:paraId="4781F7CD">
            <w:pPr>
              <w:spacing w:line="360" w:lineRule="auto"/>
              <w:rPr>
                <w:rFonts w:ascii="宋体" w:hAnsi="宋体" w:cs="宋体"/>
                <w:color w:val="auto"/>
                <w:sz w:val="24"/>
                <w:highlight w:val="none"/>
              </w:rPr>
            </w:pPr>
          </w:p>
        </w:tc>
        <w:tc>
          <w:tcPr>
            <w:tcW w:w="1370" w:type="dxa"/>
            <w:shd w:val="clear" w:color="auto" w:fill="auto"/>
          </w:tcPr>
          <w:p w14:paraId="142F8211">
            <w:pPr>
              <w:spacing w:line="360" w:lineRule="auto"/>
              <w:rPr>
                <w:rFonts w:ascii="宋体" w:hAnsi="宋体" w:cs="宋体"/>
                <w:color w:val="auto"/>
                <w:sz w:val="24"/>
                <w:highlight w:val="none"/>
              </w:rPr>
            </w:pPr>
          </w:p>
        </w:tc>
        <w:tc>
          <w:tcPr>
            <w:tcW w:w="1636" w:type="dxa"/>
            <w:gridSpan w:val="3"/>
            <w:shd w:val="clear" w:color="auto" w:fill="auto"/>
          </w:tcPr>
          <w:p w14:paraId="3D42A276">
            <w:pPr>
              <w:spacing w:line="360" w:lineRule="auto"/>
              <w:rPr>
                <w:rFonts w:ascii="宋体" w:hAnsi="宋体" w:cs="宋体"/>
                <w:color w:val="auto"/>
                <w:sz w:val="24"/>
                <w:highlight w:val="none"/>
              </w:rPr>
            </w:pPr>
          </w:p>
        </w:tc>
        <w:tc>
          <w:tcPr>
            <w:tcW w:w="1482" w:type="dxa"/>
            <w:gridSpan w:val="2"/>
            <w:shd w:val="clear" w:color="auto" w:fill="auto"/>
          </w:tcPr>
          <w:p w14:paraId="6B9BBF96">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04532C7D">
            <w:pPr>
              <w:spacing w:line="360" w:lineRule="auto"/>
              <w:rPr>
                <w:rFonts w:ascii="宋体" w:hAnsi="宋体" w:cs="宋体"/>
                <w:color w:val="auto"/>
                <w:sz w:val="24"/>
                <w:highlight w:val="none"/>
              </w:rPr>
            </w:pPr>
          </w:p>
        </w:tc>
      </w:tr>
      <w:tr w14:paraId="5F0F5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1D3957F8">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56E10132">
            <w:pPr>
              <w:spacing w:line="360" w:lineRule="auto"/>
              <w:rPr>
                <w:rFonts w:ascii="宋体" w:hAnsi="宋体" w:cs="宋体"/>
                <w:color w:val="auto"/>
                <w:sz w:val="24"/>
                <w:highlight w:val="none"/>
              </w:rPr>
            </w:pPr>
          </w:p>
        </w:tc>
        <w:tc>
          <w:tcPr>
            <w:tcW w:w="1937" w:type="dxa"/>
            <w:gridSpan w:val="2"/>
            <w:shd w:val="clear" w:color="auto" w:fill="auto"/>
          </w:tcPr>
          <w:p w14:paraId="33971E40">
            <w:pPr>
              <w:spacing w:line="360" w:lineRule="auto"/>
              <w:rPr>
                <w:rFonts w:ascii="宋体" w:hAnsi="宋体" w:cs="宋体"/>
                <w:color w:val="auto"/>
                <w:sz w:val="24"/>
                <w:highlight w:val="none"/>
              </w:rPr>
            </w:pPr>
          </w:p>
        </w:tc>
        <w:tc>
          <w:tcPr>
            <w:tcW w:w="1370" w:type="dxa"/>
            <w:shd w:val="clear" w:color="auto" w:fill="auto"/>
          </w:tcPr>
          <w:p w14:paraId="2A964659">
            <w:pPr>
              <w:spacing w:line="360" w:lineRule="auto"/>
              <w:rPr>
                <w:rFonts w:ascii="宋体" w:hAnsi="宋体" w:cs="宋体"/>
                <w:color w:val="auto"/>
                <w:sz w:val="24"/>
                <w:highlight w:val="none"/>
              </w:rPr>
            </w:pPr>
          </w:p>
        </w:tc>
        <w:tc>
          <w:tcPr>
            <w:tcW w:w="1636" w:type="dxa"/>
            <w:gridSpan w:val="3"/>
            <w:shd w:val="clear" w:color="auto" w:fill="auto"/>
          </w:tcPr>
          <w:p w14:paraId="69FC26FA">
            <w:pPr>
              <w:spacing w:line="360" w:lineRule="auto"/>
              <w:rPr>
                <w:rFonts w:ascii="宋体" w:hAnsi="宋体" w:cs="宋体"/>
                <w:color w:val="auto"/>
                <w:sz w:val="24"/>
                <w:highlight w:val="none"/>
              </w:rPr>
            </w:pPr>
          </w:p>
        </w:tc>
        <w:tc>
          <w:tcPr>
            <w:tcW w:w="1482" w:type="dxa"/>
            <w:gridSpan w:val="2"/>
            <w:shd w:val="clear" w:color="auto" w:fill="auto"/>
          </w:tcPr>
          <w:p w14:paraId="1E289EB4">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D703C97">
            <w:pPr>
              <w:spacing w:line="360" w:lineRule="auto"/>
              <w:rPr>
                <w:rFonts w:ascii="宋体" w:hAnsi="宋体" w:cs="宋体"/>
                <w:color w:val="auto"/>
                <w:sz w:val="24"/>
                <w:highlight w:val="none"/>
              </w:rPr>
            </w:pPr>
          </w:p>
        </w:tc>
      </w:tr>
    </w:tbl>
    <w:p w14:paraId="4DE94698">
      <w:pPr>
        <w:spacing w:line="36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43A10744">
      <w:pPr>
        <w:adjustRightInd w:val="0"/>
        <w:snapToGrid w:val="0"/>
        <w:spacing w:line="360" w:lineRule="auto"/>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73DEA38E">
      <w:pPr>
        <w:adjustRightInd w:val="0"/>
        <w:snapToGrid w:val="0"/>
        <w:spacing w:line="360" w:lineRule="auto"/>
        <w:rPr>
          <w:rFonts w:ascii="宋体" w:hAnsi="宋体" w:cs="宋体"/>
          <w:color w:val="auto"/>
          <w:spacing w:val="-4"/>
          <w:sz w:val="24"/>
          <w:highlight w:val="none"/>
        </w:rPr>
      </w:pPr>
      <w:r>
        <w:rPr>
          <w:rFonts w:hint="eastAsia" w:ascii="宋体" w:hAnsi="宋体" w:cs="宋体"/>
          <w:color w:val="auto"/>
          <w:spacing w:val="-3"/>
          <w:position w:val="19"/>
          <w:sz w:val="24"/>
          <w:highlight w:val="none"/>
        </w:rPr>
        <w:t>2.本表后附专职安全生产管理人员的学历证、安全生产考核合格证（C</w:t>
      </w:r>
      <w:r>
        <w:rPr>
          <w:rFonts w:hint="eastAsia" w:ascii="宋体" w:hAnsi="宋体" w:cs="宋体"/>
          <w:color w:val="auto"/>
          <w:spacing w:val="-34"/>
          <w:position w:val="19"/>
          <w:sz w:val="24"/>
          <w:highlight w:val="none"/>
        </w:rPr>
        <w:t xml:space="preserve"> </w:t>
      </w:r>
      <w:r>
        <w:rPr>
          <w:rFonts w:hint="eastAsia" w:ascii="宋体" w:hAnsi="宋体" w:cs="宋体"/>
          <w:color w:val="auto"/>
          <w:spacing w:val="-3"/>
          <w:position w:val="19"/>
          <w:sz w:val="24"/>
          <w:highlight w:val="none"/>
        </w:rPr>
        <w:t>类）、本表所列证书复印件</w:t>
      </w:r>
    </w:p>
    <w:p w14:paraId="66F73CD7">
      <w:pPr>
        <w:spacing w:line="360" w:lineRule="auto"/>
        <w:rPr>
          <w:rFonts w:ascii="宋体" w:hAnsi="宋体"/>
          <w:color w:val="auto"/>
          <w:sz w:val="24"/>
          <w:highlight w:val="none"/>
        </w:rPr>
      </w:pPr>
    </w:p>
    <w:p w14:paraId="50BB24FA">
      <w:pPr>
        <w:pStyle w:val="22"/>
        <w:spacing w:line="360" w:lineRule="auto"/>
        <w:rPr>
          <w:rFonts w:hAnsi="宋体"/>
          <w:color w:val="auto"/>
          <w:sz w:val="24"/>
          <w:szCs w:val="24"/>
          <w:highlight w:val="none"/>
        </w:rPr>
      </w:pPr>
    </w:p>
    <w:p w14:paraId="5D91F870">
      <w:pPr>
        <w:pStyle w:val="22"/>
        <w:spacing w:line="360" w:lineRule="auto"/>
        <w:rPr>
          <w:rFonts w:hAnsi="宋体"/>
          <w:color w:val="auto"/>
          <w:sz w:val="24"/>
          <w:szCs w:val="24"/>
          <w:highlight w:val="none"/>
        </w:rPr>
      </w:pPr>
    </w:p>
    <w:p w14:paraId="7AEB57FF">
      <w:pPr>
        <w:pStyle w:val="22"/>
        <w:spacing w:line="360" w:lineRule="auto"/>
        <w:rPr>
          <w:rFonts w:hAnsi="宋体"/>
          <w:color w:val="auto"/>
          <w:sz w:val="24"/>
          <w:szCs w:val="24"/>
          <w:highlight w:val="none"/>
        </w:rPr>
      </w:pPr>
      <w:r>
        <w:rPr>
          <w:rFonts w:hint="eastAsia" w:hAnsi="宋体"/>
          <w:color w:val="auto"/>
          <w:sz w:val="24"/>
          <w:szCs w:val="24"/>
          <w:highlight w:val="none"/>
        </w:rPr>
        <w:t xml:space="preserve">                        </w:t>
      </w:r>
    </w:p>
    <w:p w14:paraId="0C09CFBD">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533B78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0F6CF2A3">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0D5CF461">
      <w:pPr>
        <w:pStyle w:val="22"/>
        <w:spacing w:line="360" w:lineRule="auto"/>
        <w:rPr>
          <w:rFonts w:hAnsi="宋体"/>
          <w:color w:val="auto"/>
          <w:sz w:val="24"/>
          <w:szCs w:val="24"/>
          <w:highlight w:val="none"/>
        </w:rPr>
      </w:pP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1A1EED03">
      <w:pPr>
        <w:adjustRightInd w:val="0"/>
        <w:snapToGrid w:val="0"/>
        <w:spacing w:line="360" w:lineRule="auto"/>
        <w:ind w:right="1470" w:rightChars="700"/>
        <w:rPr>
          <w:rFonts w:hint="eastAsia" w:ascii="宋体" w:hAnsi="宋体" w:eastAsia="宋体" w:cs="宋体"/>
          <w:b/>
          <w:bCs/>
          <w:color w:val="auto"/>
          <w:spacing w:val="9"/>
          <w:sz w:val="24"/>
          <w:highlight w:val="none"/>
          <w:lang w:eastAsia="zh-CN"/>
        </w:rPr>
      </w:pPr>
      <w:r>
        <w:rPr>
          <w:rFonts w:ascii="宋体" w:hAnsi="宋体"/>
          <w:color w:val="auto"/>
          <w:sz w:val="24"/>
          <w:highlight w:val="none"/>
        </w:rPr>
        <w:br w:type="page"/>
      </w:r>
      <w:r>
        <w:rPr>
          <w:rFonts w:hint="eastAsia" w:ascii="宋体" w:hAnsi="宋体" w:cs="宋体"/>
          <w:b/>
          <w:bCs/>
          <w:color w:val="auto"/>
          <w:spacing w:val="9"/>
          <w:sz w:val="24"/>
          <w:highlight w:val="none"/>
        </w:rPr>
        <w:t>附件1</w:t>
      </w:r>
      <w:r>
        <w:rPr>
          <w:rFonts w:hint="eastAsia" w:ascii="宋体" w:hAnsi="宋体" w:cs="宋体"/>
          <w:b/>
          <w:bCs/>
          <w:color w:val="auto"/>
          <w:spacing w:val="9"/>
          <w:sz w:val="24"/>
          <w:highlight w:val="none"/>
          <w:lang w:val="en-US" w:eastAsia="zh-CN"/>
        </w:rPr>
        <w:t>3</w:t>
      </w:r>
    </w:p>
    <w:p w14:paraId="2039B98E">
      <w:pPr>
        <w:spacing w:line="360" w:lineRule="auto"/>
        <w:jc w:val="center"/>
        <w:rPr>
          <w:rFonts w:ascii="宋体" w:hAnsi="宋体" w:cs="宋体"/>
          <w:b/>
          <w:bCs/>
          <w:color w:val="auto"/>
          <w:sz w:val="43"/>
          <w:szCs w:val="43"/>
          <w:highlight w:val="none"/>
        </w:rPr>
      </w:pPr>
      <w:r>
        <w:rPr>
          <w:rFonts w:hint="eastAsia" w:ascii="宋体" w:hAnsi="宋体" w:cs="宋体"/>
          <w:b/>
          <w:bCs/>
          <w:color w:val="auto"/>
          <w:spacing w:val="9"/>
          <w:sz w:val="28"/>
          <w:szCs w:val="28"/>
          <w:highlight w:val="none"/>
        </w:rPr>
        <w:t>拟分包项目情况表</w:t>
      </w:r>
    </w:p>
    <w:p w14:paraId="20FF8EB6">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5EDBB699">
      <w:pPr>
        <w:spacing w:line="360" w:lineRule="auto"/>
        <w:ind w:left="233"/>
        <w:rPr>
          <w:rFonts w:ascii="宋体" w:hAnsi="宋体" w:cs="宋体"/>
          <w:color w:val="auto"/>
          <w:sz w:val="24"/>
          <w:highlight w:val="none"/>
        </w:rPr>
      </w:pPr>
      <w:r>
        <w:rPr>
          <w:rFonts w:hint="eastAsia" w:ascii="宋体" w:hAnsi="宋体" w:cs="宋体"/>
          <w:color w:val="auto"/>
          <w:spacing w:val="-27"/>
          <w:sz w:val="24"/>
          <w:highlight w:val="none"/>
        </w:rPr>
        <w:t>分标（如有）：</w:t>
      </w:r>
      <w:r>
        <w:rPr>
          <w:rFonts w:hint="eastAsia" w:ascii="宋体" w:hAnsi="宋体" w:cs="宋体"/>
          <w:color w:val="auto"/>
          <w:spacing w:val="55"/>
          <w:sz w:val="24"/>
          <w:highlight w:val="none"/>
        </w:rPr>
        <w:t xml:space="preserve"> </w:t>
      </w:r>
      <w:r>
        <w:rPr>
          <w:rFonts w:hint="eastAsia" w:ascii="宋体" w:hAnsi="宋体" w:cs="宋体"/>
          <w:color w:val="auto"/>
          <w:sz w:val="24"/>
          <w:highlight w:val="none"/>
          <w:u w:val="single"/>
        </w:rPr>
        <w:t xml:space="preserve">                 </w:t>
      </w:r>
    </w:p>
    <w:p w14:paraId="66B20AE9">
      <w:pPr>
        <w:spacing w:line="360" w:lineRule="auto"/>
        <w:rPr>
          <w:rFonts w:ascii="宋体" w:hAnsi="宋体" w:cs="宋体"/>
          <w:color w:val="auto"/>
          <w:sz w:val="24"/>
          <w:highlight w:val="none"/>
        </w:rPr>
      </w:pPr>
    </w:p>
    <w:tbl>
      <w:tblPr>
        <w:tblStyle w:val="37"/>
        <w:tblW w:w="9637"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0"/>
        <w:gridCol w:w="1751"/>
        <w:gridCol w:w="777"/>
        <w:gridCol w:w="980"/>
        <w:gridCol w:w="1162"/>
        <w:gridCol w:w="1128"/>
        <w:gridCol w:w="1236"/>
        <w:gridCol w:w="1314"/>
        <w:gridCol w:w="699"/>
      </w:tblGrid>
      <w:tr w14:paraId="3B55BA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0" w:type="dxa"/>
            <w:vMerge w:val="restart"/>
            <w:tcBorders>
              <w:bottom w:val="nil"/>
            </w:tcBorders>
            <w:shd w:val="clear" w:color="auto" w:fill="auto"/>
            <w:textDirection w:val="tbRlV"/>
          </w:tcPr>
          <w:p w14:paraId="01EDFACC">
            <w:pPr>
              <w:kinsoku w:val="0"/>
              <w:autoSpaceDE w:val="0"/>
              <w:autoSpaceDN w:val="0"/>
              <w:adjustRightInd w:val="0"/>
              <w:snapToGrid w:val="0"/>
              <w:spacing w:line="360" w:lineRule="auto"/>
              <w:ind w:left="2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w:t>
            </w:r>
            <w:r>
              <w:rPr>
                <w:rFonts w:hint="eastAsia" w:ascii="宋体" w:hAnsi="宋体" w:cs="宋体"/>
                <w:snapToGrid w:val="0"/>
                <w:color w:val="auto"/>
                <w:spacing w:val="-6"/>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号</w:t>
            </w:r>
          </w:p>
        </w:tc>
        <w:tc>
          <w:tcPr>
            <w:tcW w:w="1751" w:type="dxa"/>
            <w:vMerge w:val="restart"/>
            <w:tcBorders>
              <w:bottom w:val="nil"/>
            </w:tcBorders>
            <w:shd w:val="clear" w:color="auto" w:fill="auto"/>
          </w:tcPr>
          <w:p w14:paraId="1058C830">
            <w:pPr>
              <w:kinsoku w:val="0"/>
              <w:autoSpaceDE w:val="0"/>
              <w:autoSpaceDN w:val="0"/>
              <w:adjustRightInd w:val="0"/>
              <w:snapToGrid w:val="0"/>
              <w:spacing w:line="360" w:lineRule="auto"/>
              <w:ind w:left="115" w:right="106" w:firstLine="106"/>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1"/>
                <w:kern w:val="0"/>
                <w:sz w:val="24"/>
                <w:highlight w:val="none"/>
              </w:rPr>
              <w:t>称、范围及理由</w:t>
            </w:r>
          </w:p>
        </w:tc>
        <w:tc>
          <w:tcPr>
            <w:tcW w:w="6597" w:type="dxa"/>
            <w:gridSpan w:val="6"/>
            <w:shd w:val="clear" w:color="auto" w:fill="auto"/>
          </w:tcPr>
          <w:p w14:paraId="1845A42F">
            <w:pPr>
              <w:kinsoku w:val="0"/>
              <w:autoSpaceDE w:val="0"/>
              <w:autoSpaceDN w:val="0"/>
              <w:adjustRightInd w:val="0"/>
              <w:snapToGrid w:val="0"/>
              <w:spacing w:line="360" w:lineRule="auto"/>
              <w:ind w:left="266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99" w:type="dxa"/>
            <w:vMerge w:val="restart"/>
            <w:tcBorders>
              <w:bottom w:val="nil"/>
            </w:tcBorders>
            <w:shd w:val="clear" w:color="auto" w:fill="auto"/>
          </w:tcPr>
          <w:p w14:paraId="1D57EF9E">
            <w:pPr>
              <w:spacing w:line="360" w:lineRule="auto"/>
              <w:rPr>
                <w:rFonts w:ascii="宋体" w:hAnsi="宋体" w:cs="宋体"/>
                <w:color w:val="auto"/>
                <w:sz w:val="24"/>
                <w:highlight w:val="none"/>
              </w:rPr>
            </w:pPr>
          </w:p>
          <w:p w14:paraId="2EA6DC64">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1B836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90" w:type="dxa"/>
            <w:vMerge w:val="continue"/>
            <w:tcBorders>
              <w:top w:val="nil"/>
            </w:tcBorders>
            <w:shd w:val="clear" w:color="auto" w:fill="auto"/>
            <w:textDirection w:val="tbRlV"/>
          </w:tcPr>
          <w:p w14:paraId="14F5AA44">
            <w:pPr>
              <w:spacing w:line="360" w:lineRule="auto"/>
              <w:rPr>
                <w:rFonts w:ascii="宋体" w:hAnsi="宋体" w:cs="宋体"/>
                <w:color w:val="auto"/>
                <w:sz w:val="24"/>
                <w:highlight w:val="none"/>
              </w:rPr>
            </w:pPr>
          </w:p>
        </w:tc>
        <w:tc>
          <w:tcPr>
            <w:tcW w:w="1751" w:type="dxa"/>
            <w:vMerge w:val="continue"/>
            <w:tcBorders>
              <w:top w:val="nil"/>
            </w:tcBorders>
            <w:shd w:val="clear" w:color="auto" w:fill="auto"/>
          </w:tcPr>
          <w:p w14:paraId="178199FA">
            <w:pPr>
              <w:spacing w:line="360" w:lineRule="auto"/>
              <w:rPr>
                <w:rFonts w:ascii="宋体" w:hAnsi="宋体" w:cs="宋体"/>
                <w:color w:val="auto"/>
                <w:sz w:val="24"/>
                <w:highlight w:val="none"/>
              </w:rPr>
            </w:pPr>
          </w:p>
        </w:tc>
        <w:tc>
          <w:tcPr>
            <w:tcW w:w="1757" w:type="dxa"/>
            <w:gridSpan w:val="2"/>
            <w:shd w:val="clear" w:color="auto" w:fill="auto"/>
          </w:tcPr>
          <w:p w14:paraId="5F8EE9E5">
            <w:pPr>
              <w:kinsoku w:val="0"/>
              <w:autoSpaceDE w:val="0"/>
              <w:autoSpaceDN w:val="0"/>
              <w:adjustRightInd w:val="0"/>
              <w:snapToGrid w:val="0"/>
              <w:spacing w:line="360" w:lineRule="auto"/>
              <w:ind w:left="12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62" w:type="dxa"/>
            <w:shd w:val="clear" w:color="auto" w:fill="auto"/>
          </w:tcPr>
          <w:p w14:paraId="3BA68486">
            <w:pPr>
              <w:kinsoku w:val="0"/>
              <w:autoSpaceDE w:val="0"/>
              <w:autoSpaceDN w:val="0"/>
              <w:adjustRightInd w:val="0"/>
              <w:snapToGrid w:val="0"/>
              <w:spacing w:line="360" w:lineRule="auto"/>
              <w:ind w:left="1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128" w:type="dxa"/>
            <w:shd w:val="clear" w:color="auto" w:fill="auto"/>
          </w:tcPr>
          <w:p w14:paraId="4F459008">
            <w:pPr>
              <w:kinsoku w:val="0"/>
              <w:autoSpaceDE w:val="0"/>
              <w:autoSpaceDN w:val="0"/>
              <w:adjustRightInd w:val="0"/>
              <w:snapToGrid w:val="0"/>
              <w:spacing w:line="360" w:lineRule="auto"/>
              <w:ind w:left="13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236" w:type="dxa"/>
            <w:shd w:val="clear" w:color="auto" w:fill="auto"/>
          </w:tcPr>
          <w:p w14:paraId="460EA725">
            <w:pPr>
              <w:kinsoku w:val="0"/>
              <w:autoSpaceDE w:val="0"/>
              <w:autoSpaceDN w:val="0"/>
              <w:adjustRightInd w:val="0"/>
              <w:snapToGrid w:val="0"/>
              <w:spacing w:line="360" w:lineRule="auto"/>
              <w:ind w:left="1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314" w:type="dxa"/>
            <w:shd w:val="clear" w:color="auto" w:fill="auto"/>
          </w:tcPr>
          <w:p w14:paraId="346CE3AA">
            <w:pPr>
              <w:kinsoku w:val="0"/>
              <w:autoSpaceDE w:val="0"/>
              <w:autoSpaceDN w:val="0"/>
              <w:adjustRightInd w:val="0"/>
              <w:snapToGrid w:val="0"/>
              <w:spacing w:line="360" w:lineRule="auto"/>
              <w:ind w:left="11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99" w:type="dxa"/>
            <w:vMerge w:val="continue"/>
            <w:tcBorders>
              <w:top w:val="nil"/>
            </w:tcBorders>
            <w:shd w:val="clear" w:color="auto" w:fill="auto"/>
          </w:tcPr>
          <w:p w14:paraId="52D1EE82">
            <w:pPr>
              <w:spacing w:line="360" w:lineRule="auto"/>
              <w:rPr>
                <w:rFonts w:ascii="宋体" w:hAnsi="宋体" w:cs="宋体"/>
                <w:color w:val="auto"/>
                <w:sz w:val="24"/>
                <w:highlight w:val="none"/>
              </w:rPr>
            </w:pPr>
          </w:p>
        </w:tc>
      </w:tr>
      <w:tr w14:paraId="6A511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0" w:type="dxa"/>
            <w:vMerge w:val="restart"/>
            <w:tcBorders>
              <w:bottom w:val="nil"/>
            </w:tcBorders>
            <w:shd w:val="clear" w:color="auto" w:fill="auto"/>
          </w:tcPr>
          <w:p w14:paraId="79A1442B">
            <w:pPr>
              <w:spacing w:line="360" w:lineRule="auto"/>
              <w:rPr>
                <w:rFonts w:ascii="宋体" w:hAnsi="宋体" w:cs="宋体"/>
                <w:color w:val="auto"/>
                <w:sz w:val="24"/>
                <w:highlight w:val="none"/>
              </w:rPr>
            </w:pPr>
          </w:p>
        </w:tc>
        <w:tc>
          <w:tcPr>
            <w:tcW w:w="1751" w:type="dxa"/>
            <w:vMerge w:val="restart"/>
            <w:tcBorders>
              <w:bottom w:val="nil"/>
            </w:tcBorders>
            <w:shd w:val="clear" w:color="auto" w:fill="auto"/>
          </w:tcPr>
          <w:p w14:paraId="3F8962ED">
            <w:pPr>
              <w:spacing w:line="360" w:lineRule="auto"/>
              <w:rPr>
                <w:rFonts w:ascii="宋体" w:hAnsi="宋体" w:cs="宋体"/>
                <w:color w:val="auto"/>
                <w:sz w:val="24"/>
                <w:highlight w:val="none"/>
              </w:rPr>
            </w:pPr>
          </w:p>
        </w:tc>
        <w:tc>
          <w:tcPr>
            <w:tcW w:w="777" w:type="dxa"/>
            <w:shd w:val="clear" w:color="auto" w:fill="auto"/>
          </w:tcPr>
          <w:p w14:paraId="49087EFB">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80" w:type="dxa"/>
            <w:shd w:val="clear" w:color="auto" w:fill="auto"/>
          </w:tcPr>
          <w:p w14:paraId="13BDAE19">
            <w:pPr>
              <w:spacing w:line="360" w:lineRule="auto"/>
              <w:rPr>
                <w:rFonts w:ascii="宋体" w:hAnsi="宋体" w:cs="宋体"/>
                <w:color w:val="auto"/>
                <w:sz w:val="24"/>
                <w:highlight w:val="none"/>
              </w:rPr>
            </w:pPr>
          </w:p>
        </w:tc>
        <w:tc>
          <w:tcPr>
            <w:tcW w:w="1162" w:type="dxa"/>
            <w:shd w:val="clear" w:color="auto" w:fill="auto"/>
          </w:tcPr>
          <w:p w14:paraId="68B1DA94">
            <w:pPr>
              <w:spacing w:line="360" w:lineRule="auto"/>
              <w:rPr>
                <w:rFonts w:ascii="宋体" w:hAnsi="宋体" w:cs="宋体"/>
                <w:color w:val="auto"/>
                <w:sz w:val="24"/>
                <w:highlight w:val="none"/>
              </w:rPr>
            </w:pPr>
          </w:p>
        </w:tc>
        <w:tc>
          <w:tcPr>
            <w:tcW w:w="1128" w:type="dxa"/>
            <w:shd w:val="clear" w:color="auto" w:fill="auto"/>
          </w:tcPr>
          <w:p w14:paraId="36AF1AC2">
            <w:pPr>
              <w:spacing w:line="360" w:lineRule="auto"/>
              <w:rPr>
                <w:rFonts w:ascii="宋体" w:hAnsi="宋体" w:cs="宋体"/>
                <w:color w:val="auto"/>
                <w:sz w:val="24"/>
                <w:highlight w:val="none"/>
              </w:rPr>
            </w:pPr>
          </w:p>
        </w:tc>
        <w:tc>
          <w:tcPr>
            <w:tcW w:w="1236" w:type="dxa"/>
            <w:shd w:val="clear" w:color="auto" w:fill="auto"/>
          </w:tcPr>
          <w:p w14:paraId="4B02A60C">
            <w:pPr>
              <w:spacing w:line="360" w:lineRule="auto"/>
              <w:rPr>
                <w:rFonts w:ascii="宋体" w:hAnsi="宋体" w:cs="宋体"/>
                <w:color w:val="auto"/>
                <w:sz w:val="24"/>
                <w:highlight w:val="none"/>
              </w:rPr>
            </w:pPr>
          </w:p>
        </w:tc>
        <w:tc>
          <w:tcPr>
            <w:tcW w:w="1314" w:type="dxa"/>
            <w:shd w:val="clear" w:color="auto" w:fill="auto"/>
          </w:tcPr>
          <w:p w14:paraId="57AEA9B9">
            <w:pPr>
              <w:spacing w:line="360" w:lineRule="auto"/>
              <w:rPr>
                <w:rFonts w:ascii="宋体" w:hAnsi="宋体" w:cs="宋体"/>
                <w:color w:val="auto"/>
                <w:sz w:val="24"/>
                <w:highlight w:val="none"/>
              </w:rPr>
            </w:pPr>
          </w:p>
        </w:tc>
        <w:tc>
          <w:tcPr>
            <w:tcW w:w="699" w:type="dxa"/>
            <w:shd w:val="clear" w:color="auto" w:fill="auto"/>
          </w:tcPr>
          <w:p w14:paraId="54E17354">
            <w:pPr>
              <w:spacing w:line="360" w:lineRule="auto"/>
              <w:rPr>
                <w:rFonts w:ascii="宋体" w:hAnsi="宋体" w:cs="宋体"/>
                <w:color w:val="auto"/>
                <w:sz w:val="24"/>
                <w:highlight w:val="none"/>
              </w:rPr>
            </w:pPr>
          </w:p>
        </w:tc>
      </w:tr>
      <w:tr w14:paraId="1C3D1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0" w:type="dxa"/>
            <w:vMerge w:val="continue"/>
            <w:tcBorders>
              <w:top w:val="nil"/>
              <w:bottom w:val="nil"/>
            </w:tcBorders>
            <w:shd w:val="clear" w:color="auto" w:fill="auto"/>
          </w:tcPr>
          <w:p w14:paraId="0E2566CC">
            <w:pPr>
              <w:spacing w:line="360" w:lineRule="auto"/>
              <w:rPr>
                <w:rFonts w:ascii="宋体" w:hAnsi="宋体" w:cs="宋体"/>
                <w:color w:val="auto"/>
                <w:sz w:val="24"/>
                <w:highlight w:val="none"/>
              </w:rPr>
            </w:pPr>
          </w:p>
        </w:tc>
        <w:tc>
          <w:tcPr>
            <w:tcW w:w="1751" w:type="dxa"/>
            <w:vMerge w:val="continue"/>
            <w:tcBorders>
              <w:top w:val="nil"/>
              <w:bottom w:val="nil"/>
            </w:tcBorders>
            <w:shd w:val="clear" w:color="auto" w:fill="auto"/>
          </w:tcPr>
          <w:p w14:paraId="03E705D6">
            <w:pPr>
              <w:spacing w:line="360" w:lineRule="auto"/>
              <w:rPr>
                <w:rFonts w:ascii="宋体" w:hAnsi="宋体" w:cs="宋体"/>
                <w:color w:val="auto"/>
                <w:sz w:val="24"/>
                <w:highlight w:val="none"/>
              </w:rPr>
            </w:pPr>
          </w:p>
        </w:tc>
        <w:tc>
          <w:tcPr>
            <w:tcW w:w="777" w:type="dxa"/>
            <w:shd w:val="clear" w:color="auto" w:fill="auto"/>
          </w:tcPr>
          <w:p w14:paraId="49DB55A2">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80" w:type="dxa"/>
            <w:shd w:val="clear" w:color="auto" w:fill="auto"/>
          </w:tcPr>
          <w:p w14:paraId="7FFF0E6D">
            <w:pPr>
              <w:spacing w:line="360" w:lineRule="auto"/>
              <w:rPr>
                <w:rFonts w:ascii="宋体" w:hAnsi="宋体" w:cs="宋体"/>
                <w:color w:val="auto"/>
                <w:sz w:val="24"/>
                <w:highlight w:val="none"/>
              </w:rPr>
            </w:pPr>
          </w:p>
        </w:tc>
        <w:tc>
          <w:tcPr>
            <w:tcW w:w="1162" w:type="dxa"/>
            <w:shd w:val="clear" w:color="auto" w:fill="auto"/>
          </w:tcPr>
          <w:p w14:paraId="11A98816">
            <w:pPr>
              <w:spacing w:line="360" w:lineRule="auto"/>
              <w:rPr>
                <w:rFonts w:ascii="宋体" w:hAnsi="宋体" w:cs="宋体"/>
                <w:color w:val="auto"/>
                <w:sz w:val="24"/>
                <w:highlight w:val="none"/>
              </w:rPr>
            </w:pPr>
          </w:p>
        </w:tc>
        <w:tc>
          <w:tcPr>
            <w:tcW w:w="1128" w:type="dxa"/>
            <w:shd w:val="clear" w:color="auto" w:fill="auto"/>
          </w:tcPr>
          <w:p w14:paraId="4B39E136">
            <w:pPr>
              <w:spacing w:line="360" w:lineRule="auto"/>
              <w:rPr>
                <w:rFonts w:ascii="宋体" w:hAnsi="宋体" w:cs="宋体"/>
                <w:color w:val="auto"/>
                <w:sz w:val="24"/>
                <w:highlight w:val="none"/>
              </w:rPr>
            </w:pPr>
          </w:p>
        </w:tc>
        <w:tc>
          <w:tcPr>
            <w:tcW w:w="1236" w:type="dxa"/>
            <w:shd w:val="clear" w:color="auto" w:fill="auto"/>
          </w:tcPr>
          <w:p w14:paraId="55D51DA3">
            <w:pPr>
              <w:spacing w:line="360" w:lineRule="auto"/>
              <w:rPr>
                <w:rFonts w:ascii="宋体" w:hAnsi="宋体" w:cs="宋体"/>
                <w:color w:val="auto"/>
                <w:sz w:val="24"/>
                <w:highlight w:val="none"/>
              </w:rPr>
            </w:pPr>
          </w:p>
        </w:tc>
        <w:tc>
          <w:tcPr>
            <w:tcW w:w="1314" w:type="dxa"/>
            <w:shd w:val="clear" w:color="auto" w:fill="auto"/>
          </w:tcPr>
          <w:p w14:paraId="03270BAC">
            <w:pPr>
              <w:spacing w:line="360" w:lineRule="auto"/>
              <w:rPr>
                <w:rFonts w:ascii="宋体" w:hAnsi="宋体" w:cs="宋体"/>
                <w:color w:val="auto"/>
                <w:sz w:val="24"/>
                <w:highlight w:val="none"/>
              </w:rPr>
            </w:pPr>
          </w:p>
        </w:tc>
        <w:tc>
          <w:tcPr>
            <w:tcW w:w="699" w:type="dxa"/>
            <w:shd w:val="clear" w:color="auto" w:fill="auto"/>
          </w:tcPr>
          <w:p w14:paraId="76AD4551">
            <w:pPr>
              <w:spacing w:line="360" w:lineRule="auto"/>
              <w:rPr>
                <w:rFonts w:ascii="宋体" w:hAnsi="宋体" w:cs="宋体"/>
                <w:color w:val="auto"/>
                <w:sz w:val="24"/>
                <w:highlight w:val="none"/>
              </w:rPr>
            </w:pPr>
          </w:p>
        </w:tc>
      </w:tr>
      <w:tr w14:paraId="43F65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590" w:type="dxa"/>
            <w:vMerge w:val="continue"/>
            <w:tcBorders>
              <w:top w:val="nil"/>
            </w:tcBorders>
            <w:shd w:val="clear" w:color="auto" w:fill="auto"/>
          </w:tcPr>
          <w:p w14:paraId="0C9CC39F">
            <w:pPr>
              <w:spacing w:line="360" w:lineRule="auto"/>
              <w:rPr>
                <w:rFonts w:ascii="宋体" w:hAnsi="宋体" w:cs="宋体"/>
                <w:color w:val="auto"/>
                <w:sz w:val="24"/>
                <w:highlight w:val="none"/>
              </w:rPr>
            </w:pPr>
          </w:p>
        </w:tc>
        <w:tc>
          <w:tcPr>
            <w:tcW w:w="1751" w:type="dxa"/>
            <w:vMerge w:val="continue"/>
            <w:tcBorders>
              <w:top w:val="nil"/>
            </w:tcBorders>
            <w:shd w:val="clear" w:color="auto" w:fill="auto"/>
          </w:tcPr>
          <w:p w14:paraId="2FA084B6">
            <w:pPr>
              <w:spacing w:line="360" w:lineRule="auto"/>
              <w:rPr>
                <w:rFonts w:ascii="宋体" w:hAnsi="宋体" w:cs="宋体"/>
                <w:color w:val="auto"/>
                <w:sz w:val="24"/>
                <w:highlight w:val="none"/>
              </w:rPr>
            </w:pPr>
          </w:p>
        </w:tc>
        <w:tc>
          <w:tcPr>
            <w:tcW w:w="777" w:type="dxa"/>
            <w:shd w:val="clear" w:color="auto" w:fill="auto"/>
          </w:tcPr>
          <w:p w14:paraId="306511D6">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80" w:type="dxa"/>
            <w:shd w:val="clear" w:color="auto" w:fill="auto"/>
          </w:tcPr>
          <w:p w14:paraId="2A9F32B7">
            <w:pPr>
              <w:spacing w:line="360" w:lineRule="auto"/>
              <w:rPr>
                <w:rFonts w:ascii="宋体" w:hAnsi="宋体" w:cs="宋体"/>
                <w:color w:val="auto"/>
                <w:sz w:val="24"/>
                <w:highlight w:val="none"/>
              </w:rPr>
            </w:pPr>
          </w:p>
        </w:tc>
        <w:tc>
          <w:tcPr>
            <w:tcW w:w="1162" w:type="dxa"/>
            <w:shd w:val="clear" w:color="auto" w:fill="auto"/>
          </w:tcPr>
          <w:p w14:paraId="018EE303">
            <w:pPr>
              <w:spacing w:line="360" w:lineRule="auto"/>
              <w:rPr>
                <w:rFonts w:ascii="宋体" w:hAnsi="宋体" w:cs="宋体"/>
                <w:color w:val="auto"/>
                <w:sz w:val="24"/>
                <w:highlight w:val="none"/>
              </w:rPr>
            </w:pPr>
          </w:p>
        </w:tc>
        <w:tc>
          <w:tcPr>
            <w:tcW w:w="1128" w:type="dxa"/>
            <w:shd w:val="clear" w:color="auto" w:fill="auto"/>
          </w:tcPr>
          <w:p w14:paraId="58FF8E53">
            <w:pPr>
              <w:spacing w:line="360" w:lineRule="auto"/>
              <w:rPr>
                <w:rFonts w:ascii="宋体" w:hAnsi="宋体" w:cs="宋体"/>
                <w:color w:val="auto"/>
                <w:sz w:val="24"/>
                <w:highlight w:val="none"/>
              </w:rPr>
            </w:pPr>
          </w:p>
        </w:tc>
        <w:tc>
          <w:tcPr>
            <w:tcW w:w="1236" w:type="dxa"/>
            <w:shd w:val="clear" w:color="auto" w:fill="auto"/>
          </w:tcPr>
          <w:p w14:paraId="45DD9464">
            <w:pPr>
              <w:spacing w:line="360" w:lineRule="auto"/>
              <w:rPr>
                <w:rFonts w:ascii="宋体" w:hAnsi="宋体" w:cs="宋体"/>
                <w:color w:val="auto"/>
                <w:sz w:val="24"/>
                <w:highlight w:val="none"/>
              </w:rPr>
            </w:pPr>
          </w:p>
        </w:tc>
        <w:tc>
          <w:tcPr>
            <w:tcW w:w="1314" w:type="dxa"/>
            <w:shd w:val="clear" w:color="auto" w:fill="auto"/>
          </w:tcPr>
          <w:p w14:paraId="616F284A">
            <w:pPr>
              <w:spacing w:line="360" w:lineRule="auto"/>
              <w:rPr>
                <w:rFonts w:ascii="宋体" w:hAnsi="宋体" w:cs="宋体"/>
                <w:color w:val="auto"/>
                <w:sz w:val="24"/>
                <w:highlight w:val="none"/>
              </w:rPr>
            </w:pPr>
          </w:p>
        </w:tc>
        <w:tc>
          <w:tcPr>
            <w:tcW w:w="699" w:type="dxa"/>
            <w:shd w:val="clear" w:color="auto" w:fill="auto"/>
          </w:tcPr>
          <w:p w14:paraId="67DF5D9C">
            <w:pPr>
              <w:spacing w:line="360" w:lineRule="auto"/>
              <w:rPr>
                <w:rFonts w:ascii="宋体" w:hAnsi="宋体" w:cs="宋体"/>
                <w:color w:val="auto"/>
                <w:sz w:val="24"/>
                <w:highlight w:val="none"/>
              </w:rPr>
            </w:pPr>
          </w:p>
        </w:tc>
      </w:tr>
      <w:tr w14:paraId="22CA9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0" w:type="dxa"/>
            <w:vMerge w:val="restart"/>
            <w:tcBorders>
              <w:bottom w:val="nil"/>
            </w:tcBorders>
            <w:shd w:val="clear" w:color="auto" w:fill="auto"/>
          </w:tcPr>
          <w:p w14:paraId="5F46AB42">
            <w:pPr>
              <w:spacing w:line="360" w:lineRule="auto"/>
              <w:rPr>
                <w:rFonts w:ascii="宋体" w:hAnsi="宋体" w:cs="宋体"/>
                <w:color w:val="auto"/>
                <w:sz w:val="24"/>
                <w:highlight w:val="none"/>
              </w:rPr>
            </w:pPr>
          </w:p>
        </w:tc>
        <w:tc>
          <w:tcPr>
            <w:tcW w:w="1751" w:type="dxa"/>
            <w:vMerge w:val="restart"/>
            <w:tcBorders>
              <w:bottom w:val="nil"/>
            </w:tcBorders>
            <w:shd w:val="clear" w:color="auto" w:fill="auto"/>
          </w:tcPr>
          <w:p w14:paraId="16C23248">
            <w:pPr>
              <w:spacing w:line="360" w:lineRule="auto"/>
              <w:rPr>
                <w:rFonts w:ascii="宋体" w:hAnsi="宋体" w:cs="宋体"/>
                <w:color w:val="auto"/>
                <w:sz w:val="24"/>
                <w:highlight w:val="none"/>
              </w:rPr>
            </w:pPr>
          </w:p>
        </w:tc>
        <w:tc>
          <w:tcPr>
            <w:tcW w:w="777" w:type="dxa"/>
            <w:shd w:val="clear" w:color="auto" w:fill="auto"/>
          </w:tcPr>
          <w:p w14:paraId="348BEAB1">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80" w:type="dxa"/>
            <w:shd w:val="clear" w:color="auto" w:fill="auto"/>
          </w:tcPr>
          <w:p w14:paraId="08358152">
            <w:pPr>
              <w:spacing w:line="360" w:lineRule="auto"/>
              <w:rPr>
                <w:rFonts w:ascii="宋体" w:hAnsi="宋体" w:cs="宋体"/>
                <w:color w:val="auto"/>
                <w:sz w:val="24"/>
                <w:highlight w:val="none"/>
              </w:rPr>
            </w:pPr>
          </w:p>
        </w:tc>
        <w:tc>
          <w:tcPr>
            <w:tcW w:w="1162" w:type="dxa"/>
            <w:shd w:val="clear" w:color="auto" w:fill="auto"/>
          </w:tcPr>
          <w:p w14:paraId="165B4FD4">
            <w:pPr>
              <w:spacing w:line="360" w:lineRule="auto"/>
              <w:rPr>
                <w:rFonts w:ascii="宋体" w:hAnsi="宋体" w:cs="宋体"/>
                <w:color w:val="auto"/>
                <w:sz w:val="24"/>
                <w:highlight w:val="none"/>
              </w:rPr>
            </w:pPr>
          </w:p>
        </w:tc>
        <w:tc>
          <w:tcPr>
            <w:tcW w:w="1128" w:type="dxa"/>
            <w:shd w:val="clear" w:color="auto" w:fill="auto"/>
          </w:tcPr>
          <w:p w14:paraId="67714237">
            <w:pPr>
              <w:spacing w:line="360" w:lineRule="auto"/>
              <w:rPr>
                <w:rFonts w:ascii="宋体" w:hAnsi="宋体" w:cs="宋体"/>
                <w:color w:val="auto"/>
                <w:sz w:val="24"/>
                <w:highlight w:val="none"/>
              </w:rPr>
            </w:pPr>
          </w:p>
        </w:tc>
        <w:tc>
          <w:tcPr>
            <w:tcW w:w="1236" w:type="dxa"/>
            <w:shd w:val="clear" w:color="auto" w:fill="auto"/>
          </w:tcPr>
          <w:p w14:paraId="47ED604B">
            <w:pPr>
              <w:spacing w:line="360" w:lineRule="auto"/>
              <w:rPr>
                <w:rFonts w:ascii="宋体" w:hAnsi="宋体" w:cs="宋体"/>
                <w:color w:val="auto"/>
                <w:sz w:val="24"/>
                <w:highlight w:val="none"/>
              </w:rPr>
            </w:pPr>
          </w:p>
        </w:tc>
        <w:tc>
          <w:tcPr>
            <w:tcW w:w="1314" w:type="dxa"/>
            <w:shd w:val="clear" w:color="auto" w:fill="auto"/>
          </w:tcPr>
          <w:p w14:paraId="1B8F7F83">
            <w:pPr>
              <w:spacing w:line="360" w:lineRule="auto"/>
              <w:rPr>
                <w:rFonts w:ascii="宋体" w:hAnsi="宋体" w:cs="宋体"/>
                <w:color w:val="auto"/>
                <w:sz w:val="24"/>
                <w:highlight w:val="none"/>
              </w:rPr>
            </w:pPr>
          </w:p>
        </w:tc>
        <w:tc>
          <w:tcPr>
            <w:tcW w:w="699" w:type="dxa"/>
            <w:shd w:val="clear" w:color="auto" w:fill="auto"/>
          </w:tcPr>
          <w:p w14:paraId="18113555">
            <w:pPr>
              <w:spacing w:line="360" w:lineRule="auto"/>
              <w:rPr>
                <w:rFonts w:ascii="宋体" w:hAnsi="宋体" w:cs="宋体"/>
                <w:color w:val="auto"/>
                <w:sz w:val="24"/>
                <w:highlight w:val="none"/>
              </w:rPr>
            </w:pPr>
          </w:p>
        </w:tc>
      </w:tr>
      <w:tr w14:paraId="6D502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trPr>
        <w:tc>
          <w:tcPr>
            <w:tcW w:w="590" w:type="dxa"/>
            <w:vMerge w:val="continue"/>
            <w:tcBorders>
              <w:top w:val="nil"/>
              <w:bottom w:val="nil"/>
            </w:tcBorders>
            <w:shd w:val="clear" w:color="auto" w:fill="auto"/>
          </w:tcPr>
          <w:p w14:paraId="0B447A76">
            <w:pPr>
              <w:spacing w:line="360" w:lineRule="auto"/>
              <w:rPr>
                <w:rFonts w:ascii="宋体" w:hAnsi="宋体" w:cs="宋体"/>
                <w:color w:val="auto"/>
                <w:sz w:val="24"/>
                <w:highlight w:val="none"/>
              </w:rPr>
            </w:pPr>
          </w:p>
        </w:tc>
        <w:tc>
          <w:tcPr>
            <w:tcW w:w="1751" w:type="dxa"/>
            <w:vMerge w:val="continue"/>
            <w:tcBorders>
              <w:top w:val="nil"/>
              <w:bottom w:val="nil"/>
            </w:tcBorders>
            <w:shd w:val="clear" w:color="auto" w:fill="auto"/>
          </w:tcPr>
          <w:p w14:paraId="7A8FA530">
            <w:pPr>
              <w:spacing w:line="360" w:lineRule="auto"/>
              <w:rPr>
                <w:rFonts w:ascii="宋体" w:hAnsi="宋体" w:cs="宋体"/>
                <w:color w:val="auto"/>
                <w:sz w:val="24"/>
                <w:highlight w:val="none"/>
              </w:rPr>
            </w:pPr>
          </w:p>
        </w:tc>
        <w:tc>
          <w:tcPr>
            <w:tcW w:w="777" w:type="dxa"/>
            <w:shd w:val="clear" w:color="auto" w:fill="auto"/>
          </w:tcPr>
          <w:p w14:paraId="318079EB">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80" w:type="dxa"/>
            <w:shd w:val="clear" w:color="auto" w:fill="auto"/>
          </w:tcPr>
          <w:p w14:paraId="34F382D2">
            <w:pPr>
              <w:spacing w:line="360" w:lineRule="auto"/>
              <w:rPr>
                <w:rFonts w:ascii="宋体" w:hAnsi="宋体" w:cs="宋体"/>
                <w:color w:val="auto"/>
                <w:sz w:val="24"/>
                <w:highlight w:val="none"/>
              </w:rPr>
            </w:pPr>
          </w:p>
        </w:tc>
        <w:tc>
          <w:tcPr>
            <w:tcW w:w="1162" w:type="dxa"/>
            <w:shd w:val="clear" w:color="auto" w:fill="auto"/>
          </w:tcPr>
          <w:p w14:paraId="279D8B23">
            <w:pPr>
              <w:spacing w:line="360" w:lineRule="auto"/>
              <w:rPr>
                <w:rFonts w:ascii="宋体" w:hAnsi="宋体" w:cs="宋体"/>
                <w:color w:val="auto"/>
                <w:sz w:val="24"/>
                <w:highlight w:val="none"/>
              </w:rPr>
            </w:pPr>
          </w:p>
        </w:tc>
        <w:tc>
          <w:tcPr>
            <w:tcW w:w="1128" w:type="dxa"/>
            <w:shd w:val="clear" w:color="auto" w:fill="auto"/>
          </w:tcPr>
          <w:p w14:paraId="0E3CA1C4">
            <w:pPr>
              <w:spacing w:line="360" w:lineRule="auto"/>
              <w:rPr>
                <w:rFonts w:ascii="宋体" w:hAnsi="宋体" w:cs="宋体"/>
                <w:color w:val="auto"/>
                <w:sz w:val="24"/>
                <w:highlight w:val="none"/>
              </w:rPr>
            </w:pPr>
          </w:p>
        </w:tc>
        <w:tc>
          <w:tcPr>
            <w:tcW w:w="1236" w:type="dxa"/>
            <w:shd w:val="clear" w:color="auto" w:fill="auto"/>
          </w:tcPr>
          <w:p w14:paraId="6EF8A4DF">
            <w:pPr>
              <w:spacing w:line="360" w:lineRule="auto"/>
              <w:rPr>
                <w:rFonts w:ascii="宋体" w:hAnsi="宋体" w:cs="宋体"/>
                <w:color w:val="auto"/>
                <w:sz w:val="24"/>
                <w:highlight w:val="none"/>
              </w:rPr>
            </w:pPr>
          </w:p>
        </w:tc>
        <w:tc>
          <w:tcPr>
            <w:tcW w:w="1314" w:type="dxa"/>
            <w:shd w:val="clear" w:color="auto" w:fill="auto"/>
          </w:tcPr>
          <w:p w14:paraId="4B0C9D32">
            <w:pPr>
              <w:spacing w:line="360" w:lineRule="auto"/>
              <w:rPr>
                <w:rFonts w:ascii="宋体" w:hAnsi="宋体" w:cs="宋体"/>
                <w:color w:val="auto"/>
                <w:sz w:val="24"/>
                <w:highlight w:val="none"/>
              </w:rPr>
            </w:pPr>
          </w:p>
        </w:tc>
        <w:tc>
          <w:tcPr>
            <w:tcW w:w="699" w:type="dxa"/>
            <w:shd w:val="clear" w:color="auto" w:fill="auto"/>
          </w:tcPr>
          <w:p w14:paraId="2F770F26">
            <w:pPr>
              <w:spacing w:line="360" w:lineRule="auto"/>
              <w:rPr>
                <w:rFonts w:ascii="宋体" w:hAnsi="宋体" w:cs="宋体"/>
                <w:color w:val="auto"/>
                <w:sz w:val="24"/>
                <w:highlight w:val="none"/>
              </w:rPr>
            </w:pPr>
          </w:p>
        </w:tc>
      </w:tr>
      <w:tr w14:paraId="66D2B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590" w:type="dxa"/>
            <w:vMerge w:val="continue"/>
            <w:tcBorders>
              <w:top w:val="nil"/>
            </w:tcBorders>
            <w:shd w:val="clear" w:color="auto" w:fill="auto"/>
          </w:tcPr>
          <w:p w14:paraId="6C2DF996">
            <w:pPr>
              <w:spacing w:line="360" w:lineRule="auto"/>
              <w:rPr>
                <w:rFonts w:ascii="宋体" w:hAnsi="宋体" w:cs="宋体"/>
                <w:color w:val="auto"/>
                <w:sz w:val="24"/>
                <w:highlight w:val="none"/>
              </w:rPr>
            </w:pPr>
          </w:p>
        </w:tc>
        <w:tc>
          <w:tcPr>
            <w:tcW w:w="1751" w:type="dxa"/>
            <w:vMerge w:val="continue"/>
            <w:tcBorders>
              <w:top w:val="nil"/>
            </w:tcBorders>
            <w:shd w:val="clear" w:color="auto" w:fill="auto"/>
          </w:tcPr>
          <w:p w14:paraId="71BF5190">
            <w:pPr>
              <w:spacing w:line="360" w:lineRule="auto"/>
              <w:rPr>
                <w:rFonts w:ascii="宋体" w:hAnsi="宋体" w:cs="宋体"/>
                <w:color w:val="auto"/>
                <w:sz w:val="24"/>
                <w:highlight w:val="none"/>
              </w:rPr>
            </w:pPr>
          </w:p>
        </w:tc>
        <w:tc>
          <w:tcPr>
            <w:tcW w:w="777" w:type="dxa"/>
            <w:shd w:val="clear" w:color="auto" w:fill="auto"/>
          </w:tcPr>
          <w:p w14:paraId="19BDB808">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80" w:type="dxa"/>
            <w:shd w:val="clear" w:color="auto" w:fill="auto"/>
          </w:tcPr>
          <w:p w14:paraId="0763DBF7">
            <w:pPr>
              <w:spacing w:line="360" w:lineRule="auto"/>
              <w:rPr>
                <w:rFonts w:ascii="宋体" w:hAnsi="宋体" w:cs="宋体"/>
                <w:color w:val="auto"/>
                <w:sz w:val="24"/>
                <w:highlight w:val="none"/>
              </w:rPr>
            </w:pPr>
          </w:p>
        </w:tc>
        <w:tc>
          <w:tcPr>
            <w:tcW w:w="1162" w:type="dxa"/>
            <w:shd w:val="clear" w:color="auto" w:fill="auto"/>
          </w:tcPr>
          <w:p w14:paraId="446702B0">
            <w:pPr>
              <w:spacing w:line="360" w:lineRule="auto"/>
              <w:rPr>
                <w:rFonts w:ascii="宋体" w:hAnsi="宋体" w:cs="宋体"/>
                <w:color w:val="auto"/>
                <w:sz w:val="24"/>
                <w:highlight w:val="none"/>
              </w:rPr>
            </w:pPr>
          </w:p>
        </w:tc>
        <w:tc>
          <w:tcPr>
            <w:tcW w:w="1128" w:type="dxa"/>
            <w:shd w:val="clear" w:color="auto" w:fill="auto"/>
          </w:tcPr>
          <w:p w14:paraId="02C1D65A">
            <w:pPr>
              <w:spacing w:line="360" w:lineRule="auto"/>
              <w:rPr>
                <w:rFonts w:ascii="宋体" w:hAnsi="宋体" w:cs="宋体"/>
                <w:color w:val="auto"/>
                <w:sz w:val="24"/>
                <w:highlight w:val="none"/>
              </w:rPr>
            </w:pPr>
          </w:p>
        </w:tc>
        <w:tc>
          <w:tcPr>
            <w:tcW w:w="1236" w:type="dxa"/>
            <w:shd w:val="clear" w:color="auto" w:fill="auto"/>
          </w:tcPr>
          <w:p w14:paraId="3CD6F962">
            <w:pPr>
              <w:spacing w:line="360" w:lineRule="auto"/>
              <w:rPr>
                <w:rFonts w:ascii="宋体" w:hAnsi="宋体" w:cs="宋体"/>
                <w:color w:val="auto"/>
                <w:sz w:val="24"/>
                <w:highlight w:val="none"/>
              </w:rPr>
            </w:pPr>
          </w:p>
        </w:tc>
        <w:tc>
          <w:tcPr>
            <w:tcW w:w="1314" w:type="dxa"/>
            <w:shd w:val="clear" w:color="auto" w:fill="auto"/>
          </w:tcPr>
          <w:p w14:paraId="64341DE4">
            <w:pPr>
              <w:spacing w:line="360" w:lineRule="auto"/>
              <w:rPr>
                <w:rFonts w:ascii="宋体" w:hAnsi="宋体" w:cs="宋体"/>
                <w:color w:val="auto"/>
                <w:sz w:val="24"/>
                <w:highlight w:val="none"/>
              </w:rPr>
            </w:pPr>
          </w:p>
        </w:tc>
        <w:tc>
          <w:tcPr>
            <w:tcW w:w="699" w:type="dxa"/>
            <w:shd w:val="clear" w:color="auto" w:fill="auto"/>
          </w:tcPr>
          <w:p w14:paraId="0861E8CE">
            <w:pPr>
              <w:spacing w:line="360" w:lineRule="auto"/>
              <w:rPr>
                <w:rFonts w:ascii="宋体" w:hAnsi="宋体" w:cs="宋体"/>
                <w:color w:val="auto"/>
                <w:sz w:val="24"/>
                <w:highlight w:val="none"/>
              </w:rPr>
            </w:pPr>
          </w:p>
        </w:tc>
      </w:tr>
    </w:tbl>
    <w:p w14:paraId="49E7C497">
      <w:pPr>
        <w:spacing w:line="360" w:lineRule="auto"/>
        <w:ind w:left="713"/>
        <w:rPr>
          <w:rFonts w:hint="eastAsia" w:ascii="宋体" w:hAnsi="宋体" w:cs="宋体"/>
          <w:color w:val="auto"/>
          <w:spacing w:val="-6"/>
          <w:sz w:val="24"/>
          <w:highlight w:val="none"/>
        </w:rPr>
      </w:pPr>
    </w:p>
    <w:p w14:paraId="6C2B745E">
      <w:pPr>
        <w:spacing w:line="360"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1A7AB9F7">
      <w:pPr>
        <w:spacing w:line="360" w:lineRule="auto"/>
        <w:ind w:firstLine="1428" w:firstLineChars="600"/>
        <w:rPr>
          <w:rFonts w:ascii="宋体" w:hAnsi="宋体" w:cs="宋体"/>
          <w:color w:val="auto"/>
          <w:spacing w:val="-2"/>
          <w:sz w:val="24"/>
          <w:highlight w:val="none"/>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auto"/>
          <w:spacing w:val="-1"/>
          <w:sz w:val="24"/>
          <w:highlight w:val="none"/>
        </w:rPr>
        <w:t>2.本表所列分包仅限于承包人自行施工范围内的非主体</w:t>
      </w:r>
      <w:r>
        <w:rPr>
          <w:rFonts w:hint="eastAsia" w:ascii="宋体" w:hAnsi="宋体" w:cs="宋体"/>
          <w:color w:val="auto"/>
          <w:spacing w:val="-2"/>
          <w:sz w:val="24"/>
          <w:highlight w:val="none"/>
        </w:rPr>
        <w:t>、非关键工程。</w:t>
      </w:r>
    </w:p>
    <w:p w14:paraId="767CC1A4">
      <w:pPr>
        <w:tabs>
          <w:tab w:val="left" w:pos="5387"/>
        </w:tabs>
        <w:spacing w:line="360" w:lineRule="auto"/>
        <w:jc w:val="left"/>
        <w:rPr>
          <w:rFonts w:hint="eastAsia" w:ascii="宋体" w:hAnsi="宋体" w:eastAsia="宋体"/>
          <w:b/>
          <w:color w:val="auto"/>
          <w:sz w:val="24"/>
          <w:highlight w:val="none"/>
          <w:lang w:val="en-US" w:eastAsia="zh-CN"/>
        </w:rPr>
      </w:pPr>
      <w:r>
        <w:rPr>
          <w:rFonts w:hint="eastAsia" w:ascii="宋体" w:hAnsi="宋体"/>
          <w:b/>
          <w:color w:val="auto"/>
          <w:sz w:val="24"/>
          <w:highlight w:val="none"/>
        </w:rPr>
        <w:t>附件1</w:t>
      </w:r>
      <w:r>
        <w:rPr>
          <w:rFonts w:hint="eastAsia" w:ascii="宋体" w:hAnsi="宋体"/>
          <w:b/>
          <w:color w:val="auto"/>
          <w:sz w:val="24"/>
          <w:highlight w:val="none"/>
          <w:lang w:val="en-US" w:eastAsia="zh-CN"/>
        </w:rPr>
        <w:t>4</w:t>
      </w:r>
    </w:p>
    <w:p w14:paraId="5D0ADA83">
      <w:pPr>
        <w:tabs>
          <w:tab w:val="left" w:pos="5387"/>
        </w:tabs>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1C82E9DF">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22FC4063">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（工程名称）项目的磋商供应商，根据国家、自治区相关文件规定，我方在此向采购人承诺：</w:t>
      </w:r>
    </w:p>
    <w:p w14:paraId="5F1F5952">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01871AFB">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36F27F6">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4CDB776B">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4DDACB24">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1516ECFA">
      <w:pPr>
        <w:pStyle w:val="7"/>
        <w:overflowPunct w:val="0"/>
        <w:spacing w:line="360" w:lineRule="auto"/>
        <w:ind w:firstLine="0"/>
        <w:contextualSpacing/>
        <w:jc w:val="left"/>
        <w:rPr>
          <w:rFonts w:ascii="宋体" w:hAnsi="宋体" w:cs="方正小标宋简体"/>
          <w:color w:val="auto"/>
          <w:sz w:val="24"/>
          <w:szCs w:val="24"/>
          <w:highlight w:val="none"/>
        </w:rPr>
      </w:pPr>
    </w:p>
    <w:p w14:paraId="3FD93E04">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78FFD4A8">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C68381D">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041F2ED7">
      <w:pPr>
        <w:spacing w:line="360" w:lineRule="auto"/>
        <w:jc w:val="center"/>
        <w:rPr>
          <w:rFonts w:ascii="宋体" w:hAnsi="宋体"/>
          <w:b/>
          <w:color w:val="auto"/>
          <w:sz w:val="28"/>
          <w:szCs w:val="28"/>
          <w:highlight w:val="none"/>
        </w:rPr>
      </w:pPr>
    </w:p>
    <w:p w14:paraId="5DA0B280">
      <w:pPr>
        <w:spacing w:line="360" w:lineRule="auto"/>
        <w:jc w:val="center"/>
        <w:rPr>
          <w:rFonts w:ascii="宋体" w:hAnsi="宋体"/>
          <w:b/>
          <w:color w:val="auto"/>
          <w:sz w:val="28"/>
          <w:szCs w:val="28"/>
          <w:highlight w:val="none"/>
        </w:rPr>
      </w:pPr>
    </w:p>
    <w:p w14:paraId="631AE7F4">
      <w:pPr>
        <w:pStyle w:val="105"/>
        <w:spacing w:line="360" w:lineRule="auto"/>
        <w:jc w:val="center"/>
        <w:rPr>
          <w:rStyle w:val="39"/>
          <w:rFonts w:ascii="Times New Roman" w:hAnsi="Times New Roman" w:eastAsia="宋体" w:cs="Times New Roman"/>
          <w:color w:val="auto"/>
          <w:szCs w:val="21"/>
          <w:highlight w:val="none"/>
        </w:rPr>
      </w:pPr>
      <w:r>
        <w:rPr>
          <w:rStyle w:val="39"/>
          <w:rFonts w:hint="eastAsia" w:ascii="Times New Roman" w:hAnsi="Times New Roman" w:eastAsia="宋体" w:cs="宋体"/>
          <w:b/>
          <w:bCs/>
          <w:color w:val="auto"/>
          <w:sz w:val="28"/>
          <w:szCs w:val="28"/>
          <w:highlight w:val="none"/>
        </w:rPr>
        <w:t>广西壮族自治区建筑工程安全文明施工措施项目清单内容</w:t>
      </w:r>
    </w:p>
    <w:p w14:paraId="2294E0DE">
      <w:pPr>
        <w:pStyle w:val="105"/>
        <w:spacing w:line="360" w:lineRule="auto"/>
        <w:ind w:firstLine="600" w:firstLineChars="250"/>
        <w:jc w:val="center"/>
        <w:rPr>
          <w:rStyle w:val="39"/>
          <w:rFonts w:ascii="Times New Roman" w:hAnsi="Times New Roman" w:eastAsia="宋体" w:cs="Times New Roman"/>
          <w:color w:val="auto"/>
          <w:sz w:val="24"/>
          <w:szCs w:val="24"/>
          <w:highlight w:val="none"/>
        </w:rPr>
      </w:pPr>
      <w:r>
        <w:rPr>
          <w:rStyle w:val="39"/>
          <w:rFonts w:hint="eastAsia" w:ascii="Times New Roman" w:hAnsi="Times New Roman" w:eastAsia="宋体" w:cs="宋体"/>
          <w:color w:val="auto"/>
          <w:sz w:val="24"/>
          <w:szCs w:val="24"/>
          <w:highlight w:val="none"/>
        </w:rPr>
        <w:t>（桂建质〔</w:t>
      </w:r>
      <w:r>
        <w:rPr>
          <w:rStyle w:val="39"/>
          <w:rFonts w:ascii="Times New Roman" w:hAnsi="Times New Roman" w:eastAsia="宋体" w:cs="Times New Roman"/>
          <w:color w:val="auto"/>
          <w:sz w:val="24"/>
          <w:szCs w:val="24"/>
          <w:highlight w:val="none"/>
        </w:rPr>
        <w:t>2015</w:t>
      </w:r>
      <w:r>
        <w:rPr>
          <w:rStyle w:val="39"/>
          <w:rFonts w:hint="eastAsia" w:ascii="Times New Roman" w:hAnsi="Times New Roman" w:eastAsia="宋体" w:cs="宋体"/>
          <w:color w:val="auto"/>
          <w:sz w:val="24"/>
          <w:szCs w:val="24"/>
          <w:highlight w:val="none"/>
        </w:rPr>
        <w:t>〕</w:t>
      </w:r>
      <w:r>
        <w:rPr>
          <w:rStyle w:val="39"/>
          <w:rFonts w:ascii="Times New Roman" w:hAnsi="Times New Roman" w:eastAsia="宋体" w:cs="Times New Roman"/>
          <w:color w:val="auto"/>
          <w:sz w:val="24"/>
          <w:szCs w:val="24"/>
          <w:highlight w:val="none"/>
        </w:rPr>
        <w:t>16</w:t>
      </w:r>
      <w:r>
        <w:rPr>
          <w:rStyle w:val="39"/>
          <w:rFonts w:hint="eastAsia" w:ascii="Times New Roman" w:hAnsi="Times New Roman" w:eastAsia="宋体" w:cs="宋体"/>
          <w:color w:val="auto"/>
          <w:sz w:val="24"/>
          <w:szCs w:val="24"/>
          <w:highlight w:val="none"/>
        </w:rPr>
        <w:t>号文附件一）</w:t>
      </w:r>
    </w:p>
    <w:p w14:paraId="7A0DF2B0">
      <w:pPr>
        <w:pStyle w:val="105"/>
        <w:spacing w:line="240" w:lineRule="atLeast"/>
        <w:jc w:val="center"/>
        <w:rPr>
          <w:rStyle w:val="39"/>
          <w:rFonts w:ascii="宋体" w:hAnsi="Times New Roman" w:eastAsia="宋体" w:cs="Times New Roman"/>
          <w:b/>
          <w:bCs/>
          <w:color w:val="auto"/>
          <w:sz w:val="24"/>
          <w:szCs w:val="24"/>
          <w:highlight w:val="none"/>
        </w:rPr>
      </w:pPr>
      <w:r>
        <w:rPr>
          <w:rStyle w:val="39"/>
          <w:rFonts w:hint="eastAsia" w:ascii="宋体" w:hAnsi="宋体" w:eastAsia="宋体" w:cs="宋体"/>
          <w:b/>
          <w:bCs/>
          <w:color w:val="auto"/>
          <w:sz w:val="24"/>
          <w:szCs w:val="24"/>
          <w:highlight w:val="none"/>
        </w:rPr>
        <w:t>广西壮族自治区</w:t>
      </w:r>
    </w:p>
    <w:p w14:paraId="3A3BF30A">
      <w:pPr>
        <w:pStyle w:val="105"/>
        <w:spacing w:line="240" w:lineRule="atLeast"/>
        <w:ind w:firstLine="546"/>
        <w:jc w:val="center"/>
        <w:rPr>
          <w:rStyle w:val="39"/>
          <w:rFonts w:ascii="Times New Roman" w:hAnsi="Times New Roman" w:eastAsia="宋体" w:cs="Times New Roman"/>
          <w:b/>
          <w:bCs/>
          <w:color w:val="auto"/>
          <w:w w:val="90"/>
          <w:sz w:val="24"/>
          <w:szCs w:val="24"/>
          <w:highlight w:val="none"/>
        </w:rPr>
      </w:pPr>
      <w:r>
        <w:rPr>
          <w:rStyle w:val="39"/>
          <w:rFonts w:hint="eastAsia" w:ascii="Times New Roman" w:hAnsi="Times New Roman" w:eastAsia="宋体" w:cs="宋体"/>
          <w:b/>
          <w:bCs/>
          <w:color w:val="auto"/>
          <w:w w:val="90"/>
          <w:sz w:val="24"/>
          <w:szCs w:val="24"/>
          <w:highlight w:val="none"/>
        </w:rPr>
        <w:t>建设工程安全文明施工措施项目清单内容</w:t>
      </w:r>
    </w:p>
    <w:p w14:paraId="57566B4A">
      <w:pPr>
        <w:pStyle w:val="105"/>
        <w:spacing w:line="240" w:lineRule="atLeast"/>
        <w:ind w:firstLine="546"/>
        <w:jc w:val="center"/>
        <w:rPr>
          <w:rStyle w:val="39"/>
          <w:rFonts w:ascii="Times New Roman" w:hAnsi="Times New Roman" w:eastAsia="宋体" w:cs="Times New Roman"/>
          <w:b/>
          <w:bCs/>
          <w:color w:val="auto"/>
          <w:w w:val="90"/>
          <w:sz w:val="24"/>
          <w:szCs w:val="24"/>
          <w:highlight w:val="none"/>
        </w:rPr>
      </w:pPr>
    </w:p>
    <w:tbl>
      <w:tblPr>
        <w:tblStyle w:val="37"/>
        <w:tblW w:w="9453"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3613E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tcBorders>
              <w:top w:val="single" w:color="auto" w:sz="12" w:space="0"/>
            </w:tcBorders>
            <w:noWrap w:val="0"/>
            <w:vAlign w:val="center"/>
          </w:tcPr>
          <w:p w14:paraId="588696C8">
            <w:pPr>
              <w:pStyle w:val="105"/>
              <w:widowControl w:val="0"/>
              <w:spacing w:line="300" w:lineRule="exact"/>
              <w:jc w:val="center"/>
              <w:rPr>
                <w:rStyle w:val="39"/>
                <w:rFonts w:ascii="方正仿宋_GBK" w:hAnsi="Times New Roman" w:eastAsia="方正仿宋_GBK" w:cs="Times New Roman"/>
                <w:b/>
                <w:bCs/>
                <w:color w:val="auto"/>
                <w:kern w:val="2"/>
                <w:sz w:val="21"/>
                <w:szCs w:val="21"/>
                <w:highlight w:val="none"/>
                <w:lang w:val="en-US" w:eastAsia="zh-CN" w:bidi="ar-SA"/>
              </w:rPr>
            </w:pPr>
            <w:r>
              <w:rPr>
                <w:rStyle w:val="39"/>
                <w:rFonts w:hint="eastAsia" w:ascii="方正仿宋_GBK" w:hAnsi="Times New Roman" w:eastAsia="方正仿宋_GBK" w:cs="方正仿宋_GBK"/>
                <w:b/>
                <w:bCs/>
                <w:color w:val="auto"/>
                <w:kern w:val="2"/>
                <w:sz w:val="21"/>
                <w:szCs w:val="21"/>
                <w:highlight w:val="none"/>
                <w:lang w:val="en-US" w:eastAsia="zh-CN" w:bidi="ar-SA"/>
              </w:rPr>
              <w:t>类别</w:t>
            </w:r>
          </w:p>
        </w:tc>
        <w:tc>
          <w:tcPr>
            <w:tcW w:w="2070" w:type="dxa"/>
            <w:gridSpan w:val="2"/>
            <w:tcBorders>
              <w:top w:val="single" w:color="auto" w:sz="12" w:space="0"/>
            </w:tcBorders>
            <w:noWrap w:val="0"/>
            <w:vAlign w:val="center"/>
          </w:tcPr>
          <w:p w14:paraId="0D3EE98B">
            <w:pPr>
              <w:pStyle w:val="105"/>
              <w:widowControl w:val="0"/>
              <w:spacing w:line="300" w:lineRule="exact"/>
              <w:jc w:val="center"/>
              <w:rPr>
                <w:rStyle w:val="39"/>
                <w:rFonts w:ascii="方正仿宋_GBK" w:hAnsi="Times New Roman" w:eastAsia="方正仿宋_GBK" w:cs="Times New Roman"/>
                <w:b/>
                <w:bCs/>
                <w:color w:val="auto"/>
                <w:kern w:val="2"/>
                <w:sz w:val="21"/>
                <w:szCs w:val="21"/>
                <w:highlight w:val="none"/>
                <w:lang w:val="en-US" w:eastAsia="zh-CN" w:bidi="ar-SA"/>
              </w:rPr>
            </w:pPr>
            <w:r>
              <w:rPr>
                <w:rStyle w:val="39"/>
                <w:rFonts w:hint="eastAsia" w:ascii="方正仿宋_GBK" w:hAnsi="Times New Roman" w:eastAsia="方正仿宋_GBK" w:cs="方正仿宋_GBK"/>
                <w:b/>
                <w:bCs/>
                <w:color w:val="auto"/>
                <w:kern w:val="2"/>
                <w:sz w:val="21"/>
                <w:szCs w:val="21"/>
                <w:highlight w:val="none"/>
                <w:lang w:val="en-US" w:eastAsia="zh-CN" w:bidi="ar-SA"/>
              </w:rPr>
              <w:t>项目名称</w:t>
            </w:r>
          </w:p>
        </w:tc>
        <w:tc>
          <w:tcPr>
            <w:tcW w:w="6645" w:type="dxa"/>
            <w:tcBorders>
              <w:top w:val="single" w:color="auto" w:sz="12" w:space="0"/>
            </w:tcBorders>
            <w:noWrap w:val="0"/>
            <w:vAlign w:val="center"/>
          </w:tcPr>
          <w:p w14:paraId="6DBBCBA5">
            <w:pPr>
              <w:pStyle w:val="105"/>
              <w:widowControl w:val="0"/>
              <w:spacing w:line="300" w:lineRule="exact"/>
              <w:jc w:val="center"/>
              <w:rPr>
                <w:rStyle w:val="39"/>
                <w:rFonts w:ascii="方正仿宋_GBK" w:hAnsi="Times New Roman" w:eastAsia="方正仿宋_GBK" w:cs="Times New Roman"/>
                <w:b/>
                <w:bCs/>
                <w:color w:val="auto"/>
                <w:kern w:val="2"/>
                <w:sz w:val="21"/>
                <w:szCs w:val="21"/>
                <w:highlight w:val="none"/>
                <w:lang w:val="en-US" w:eastAsia="zh-CN" w:bidi="ar-SA"/>
              </w:rPr>
            </w:pPr>
            <w:r>
              <w:rPr>
                <w:rStyle w:val="39"/>
                <w:rFonts w:hint="eastAsia" w:ascii="方正仿宋_GBK" w:hAnsi="Times New Roman" w:eastAsia="方正仿宋_GBK" w:cs="方正仿宋_GBK"/>
                <w:b/>
                <w:bCs/>
                <w:color w:val="auto"/>
                <w:kern w:val="2"/>
                <w:sz w:val="21"/>
                <w:szCs w:val="21"/>
                <w:highlight w:val="none"/>
                <w:lang w:val="en-US" w:eastAsia="zh-CN" w:bidi="ar-SA"/>
              </w:rPr>
              <w:t>主要内容和要求</w:t>
            </w:r>
          </w:p>
        </w:tc>
      </w:tr>
      <w:tr w14:paraId="551CD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33FF3CD0">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文明</w:t>
            </w:r>
          </w:p>
          <w:p w14:paraId="37136DAF">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施工</w:t>
            </w:r>
          </w:p>
          <w:p w14:paraId="6F4DF256">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与</w:t>
            </w:r>
          </w:p>
          <w:p w14:paraId="20754F92">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环境</w:t>
            </w:r>
          </w:p>
          <w:p w14:paraId="106562CB">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保护</w:t>
            </w:r>
          </w:p>
        </w:tc>
        <w:tc>
          <w:tcPr>
            <w:tcW w:w="2070" w:type="dxa"/>
            <w:gridSpan w:val="2"/>
            <w:noWrap w:val="0"/>
            <w:vAlign w:val="center"/>
          </w:tcPr>
          <w:p w14:paraId="4678FF1E">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安全警示</w:t>
            </w:r>
          </w:p>
          <w:p w14:paraId="390E510D">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标志牌</w:t>
            </w:r>
          </w:p>
        </w:tc>
        <w:tc>
          <w:tcPr>
            <w:tcW w:w="6645" w:type="dxa"/>
            <w:noWrap w:val="0"/>
            <w:vAlign w:val="center"/>
          </w:tcPr>
          <w:p w14:paraId="6FE8CD46">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在易发伤亡事故（或危险）处设置明显的、符合国家标准要求的安全警示标志牌。</w:t>
            </w:r>
          </w:p>
        </w:tc>
      </w:tr>
      <w:tr w14:paraId="39A5C2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BAA1A90">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2709465B">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现场围挡</w:t>
            </w:r>
          </w:p>
        </w:tc>
        <w:tc>
          <w:tcPr>
            <w:tcW w:w="6645" w:type="dxa"/>
            <w:noWrap w:val="0"/>
            <w:vAlign w:val="center"/>
          </w:tcPr>
          <w:p w14:paraId="40D7F1C6">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1. </w:t>
            </w:r>
            <w:r>
              <w:rPr>
                <w:rStyle w:val="39"/>
                <w:rFonts w:hint="eastAsia" w:ascii="方正仿宋_GBK" w:hAnsi="Times New Roman" w:eastAsia="方正仿宋_GBK" w:cs="方正仿宋_GBK"/>
                <w:color w:val="auto"/>
                <w:kern w:val="2"/>
                <w:sz w:val="21"/>
                <w:szCs w:val="21"/>
                <w:highlight w:val="none"/>
                <w:lang w:val="en-US" w:eastAsia="zh-CN" w:bidi="ar-SA"/>
              </w:rPr>
              <w:t>现场采用封闭围挡，高度不小于</w:t>
            </w:r>
            <w:r>
              <w:rPr>
                <w:rStyle w:val="39"/>
                <w:rFonts w:ascii="方正仿宋_GBK" w:hAnsi="Times New Roman" w:eastAsia="方正仿宋_GBK" w:cs="方正仿宋_GBK"/>
                <w:color w:val="auto"/>
                <w:kern w:val="2"/>
                <w:sz w:val="21"/>
                <w:szCs w:val="21"/>
                <w:highlight w:val="none"/>
                <w:lang w:val="en-US" w:eastAsia="zh-CN" w:bidi="ar-SA"/>
              </w:rPr>
              <w:t>1.8m</w:t>
            </w:r>
            <w:r>
              <w:rPr>
                <w:rStyle w:val="39"/>
                <w:rFonts w:hint="eastAsia" w:ascii="方正仿宋_GBK" w:hAnsi="Times New Roman" w:eastAsia="方正仿宋_GBK" w:cs="方正仿宋_GBK"/>
                <w:color w:val="auto"/>
                <w:kern w:val="2"/>
                <w:sz w:val="21"/>
                <w:szCs w:val="21"/>
                <w:highlight w:val="none"/>
                <w:lang w:val="en-US" w:eastAsia="zh-CN" w:bidi="ar-SA"/>
              </w:rPr>
              <w:t>。</w:t>
            </w:r>
          </w:p>
          <w:p w14:paraId="0578A072">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2. </w:t>
            </w:r>
            <w:r>
              <w:rPr>
                <w:rStyle w:val="39"/>
                <w:rFonts w:hint="eastAsia" w:ascii="方正仿宋_GBK" w:hAnsi="Times New Roman" w:eastAsia="方正仿宋_GBK" w:cs="方正仿宋_GBK"/>
                <w:color w:val="auto"/>
                <w:kern w:val="2"/>
                <w:sz w:val="21"/>
                <w:szCs w:val="21"/>
                <w:highlight w:val="none"/>
                <w:lang w:val="en-US" w:eastAsia="zh-CN" w:bidi="ar-SA"/>
              </w:rPr>
              <w:t>围挡材料可用彩色、定型钢板，砌块等墙体。</w:t>
            </w:r>
          </w:p>
        </w:tc>
      </w:tr>
      <w:tr w14:paraId="4D26F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407103A">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2EC70E0D">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七牌二图</w:t>
            </w:r>
          </w:p>
        </w:tc>
        <w:tc>
          <w:tcPr>
            <w:tcW w:w="6645" w:type="dxa"/>
            <w:noWrap w:val="0"/>
            <w:vAlign w:val="center"/>
          </w:tcPr>
          <w:p w14:paraId="6A29C13D">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在进门处悬挂工程概况、现场出入制度、管理人员名单及监督电话、安全生产规定、文明施工、消防保卫、节能公示等七牌以及施工现场总平面图、工程效果图。</w:t>
            </w:r>
          </w:p>
        </w:tc>
      </w:tr>
      <w:tr w14:paraId="76DCB8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20F31F55">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5AB6A248">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企业标志</w:t>
            </w:r>
          </w:p>
        </w:tc>
        <w:tc>
          <w:tcPr>
            <w:tcW w:w="6645" w:type="dxa"/>
            <w:noWrap w:val="0"/>
            <w:vAlign w:val="center"/>
          </w:tcPr>
          <w:p w14:paraId="0F58A9A3">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现场出入的大门应设有本企业标志或企业标识。</w:t>
            </w:r>
          </w:p>
        </w:tc>
      </w:tr>
      <w:tr w14:paraId="1B05A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3C7179F">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3C56BB31">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场容场貌</w:t>
            </w:r>
          </w:p>
        </w:tc>
        <w:tc>
          <w:tcPr>
            <w:tcW w:w="6645" w:type="dxa"/>
            <w:noWrap w:val="0"/>
            <w:vAlign w:val="center"/>
          </w:tcPr>
          <w:p w14:paraId="30B12006">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1. </w:t>
            </w:r>
            <w:r>
              <w:rPr>
                <w:rStyle w:val="39"/>
                <w:rFonts w:hint="eastAsia" w:ascii="方正仿宋_GBK" w:hAnsi="Times New Roman" w:eastAsia="方正仿宋_GBK" w:cs="方正仿宋_GBK"/>
                <w:color w:val="auto"/>
                <w:kern w:val="2"/>
                <w:sz w:val="21"/>
                <w:szCs w:val="21"/>
                <w:highlight w:val="none"/>
                <w:lang w:val="en-US" w:eastAsia="zh-CN" w:bidi="ar-SA"/>
              </w:rPr>
              <w:t>道路畅通。</w:t>
            </w:r>
          </w:p>
          <w:p w14:paraId="6C42688B">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2. </w:t>
            </w:r>
            <w:r>
              <w:rPr>
                <w:rStyle w:val="39"/>
                <w:rFonts w:hint="eastAsia" w:ascii="方正仿宋_GBK" w:hAnsi="Times New Roman" w:eastAsia="方正仿宋_GBK" w:cs="方正仿宋_GBK"/>
                <w:color w:val="auto"/>
                <w:kern w:val="2"/>
                <w:sz w:val="21"/>
                <w:szCs w:val="21"/>
                <w:highlight w:val="none"/>
                <w:lang w:val="en-US" w:eastAsia="zh-CN" w:bidi="ar-SA"/>
              </w:rPr>
              <w:t>排水设施齐全畅通。</w:t>
            </w:r>
          </w:p>
          <w:p w14:paraId="31D0F4E5">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3. </w:t>
            </w:r>
            <w:r>
              <w:rPr>
                <w:rStyle w:val="39"/>
                <w:rFonts w:hint="eastAsia" w:ascii="方正仿宋_GBK" w:hAnsi="Times New Roman" w:eastAsia="方正仿宋_GBK" w:cs="方正仿宋_GBK"/>
                <w:color w:val="auto"/>
                <w:kern w:val="2"/>
                <w:sz w:val="21"/>
                <w:szCs w:val="21"/>
                <w:highlight w:val="none"/>
                <w:lang w:val="en-US" w:eastAsia="zh-CN" w:bidi="ar-SA"/>
              </w:rPr>
              <w:t>工地地面硬化处理（办公区、生活区、现场道路、材料堆放、混凝土搅拌、砂浆搅拌、钢筋加工等场地和外脚手架基础等）。</w:t>
            </w:r>
          </w:p>
        </w:tc>
      </w:tr>
      <w:tr w14:paraId="003A20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FE53B5F">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2A3804CC">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材料堆放</w:t>
            </w:r>
          </w:p>
        </w:tc>
        <w:tc>
          <w:tcPr>
            <w:tcW w:w="6645" w:type="dxa"/>
            <w:noWrap w:val="0"/>
            <w:vAlign w:val="center"/>
          </w:tcPr>
          <w:p w14:paraId="1ED2998C">
            <w:pPr>
              <w:pStyle w:val="105"/>
              <w:widowControl w:val="0"/>
              <w:numPr>
                <w:ilvl w:val="0"/>
                <w:numId w:val="3"/>
              </w:numPr>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材料、构件、料具等堆放时，应有名称、品种、规格等标牌。</w:t>
            </w:r>
          </w:p>
          <w:p w14:paraId="42263412">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2. </w:t>
            </w:r>
            <w:r>
              <w:rPr>
                <w:rStyle w:val="39"/>
                <w:rFonts w:hint="eastAsia" w:ascii="方正仿宋_GBK" w:hAnsi="Times New Roman" w:eastAsia="方正仿宋_GBK" w:cs="方正仿宋_GBK"/>
                <w:color w:val="auto"/>
                <w:kern w:val="2"/>
                <w:sz w:val="21"/>
                <w:szCs w:val="21"/>
                <w:highlight w:val="none"/>
                <w:lang w:val="en-US" w:eastAsia="zh-CN" w:bidi="ar-SA"/>
              </w:rPr>
              <w:t>水泥和其它易飞扬细颗粒建筑材料应封闭存放或采取覆盖等措施。</w:t>
            </w:r>
          </w:p>
          <w:p w14:paraId="39E10EA8">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3. </w:t>
            </w:r>
            <w:r>
              <w:rPr>
                <w:rStyle w:val="39"/>
                <w:rFonts w:hint="eastAsia" w:ascii="方正仿宋_GBK" w:hAnsi="Times New Roman" w:eastAsia="方正仿宋_GBK" w:cs="方正仿宋_GBK"/>
                <w:color w:val="auto"/>
                <w:kern w:val="2"/>
                <w:sz w:val="21"/>
                <w:szCs w:val="21"/>
                <w:highlight w:val="none"/>
                <w:lang w:val="en-US" w:eastAsia="zh-CN" w:bidi="ar-SA"/>
              </w:rPr>
              <w:t>易燃、易爆和有毒有害物品分类存放。</w:t>
            </w:r>
          </w:p>
        </w:tc>
      </w:tr>
      <w:tr w14:paraId="77DFC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4657DB83">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41612774">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现场防火</w:t>
            </w:r>
          </w:p>
        </w:tc>
        <w:tc>
          <w:tcPr>
            <w:tcW w:w="6645" w:type="dxa"/>
            <w:noWrap w:val="0"/>
            <w:vAlign w:val="center"/>
          </w:tcPr>
          <w:p w14:paraId="0F868675">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消防器材配置合理，符合消防要求。</w:t>
            </w:r>
          </w:p>
        </w:tc>
      </w:tr>
      <w:tr w14:paraId="7C580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554D0F9">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5135D3DC">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垃圾清运</w:t>
            </w:r>
          </w:p>
        </w:tc>
        <w:tc>
          <w:tcPr>
            <w:tcW w:w="6645" w:type="dxa"/>
            <w:noWrap w:val="0"/>
            <w:vAlign w:val="center"/>
          </w:tcPr>
          <w:p w14:paraId="65783E86">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1. </w:t>
            </w:r>
            <w:r>
              <w:rPr>
                <w:rStyle w:val="39"/>
                <w:rFonts w:hint="eastAsia" w:ascii="方正仿宋_GBK" w:hAnsi="Times New Roman" w:eastAsia="方正仿宋_GBK" w:cs="方正仿宋_GBK"/>
                <w:color w:val="auto"/>
                <w:kern w:val="2"/>
                <w:sz w:val="21"/>
                <w:szCs w:val="21"/>
                <w:highlight w:val="none"/>
                <w:lang w:val="en-US" w:eastAsia="zh-CN" w:bidi="ar-SA"/>
              </w:rPr>
              <w:t>施工现场应设置密闭式垃圾站，施工垃圾、生活垃圾应分类存放。</w:t>
            </w:r>
          </w:p>
          <w:p w14:paraId="7B019148">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2. </w:t>
            </w:r>
            <w:r>
              <w:rPr>
                <w:rStyle w:val="39"/>
                <w:rFonts w:hint="eastAsia" w:ascii="方正仿宋_GBK" w:hAnsi="Times New Roman" w:eastAsia="方正仿宋_GBK" w:cs="方正仿宋_GBK"/>
                <w:color w:val="auto"/>
                <w:kern w:val="2"/>
                <w:sz w:val="21"/>
                <w:szCs w:val="21"/>
                <w:highlight w:val="none"/>
                <w:lang w:val="en-US" w:eastAsia="zh-CN" w:bidi="ar-SA"/>
              </w:rPr>
              <w:t>施工垃圾必须采用相应容器或管道运输。</w:t>
            </w:r>
          </w:p>
        </w:tc>
      </w:tr>
      <w:tr w14:paraId="1F89C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457983D">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60DCB19A">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宣传栏、环保及不扰民措施</w:t>
            </w:r>
          </w:p>
        </w:tc>
        <w:tc>
          <w:tcPr>
            <w:tcW w:w="6645" w:type="dxa"/>
            <w:noWrap w:val="0"/>
            <w:vAlign w:val="center"/>
          </w:tcPr>
          <w:p w14:paraId="158E9810">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宣传栏、安全宣传标语等，洗车（防止污染市区道路）、粉尘、噪声控制和排污（污水、废气）措施等。</w:t>
            </w:r>
          </w:p>
        </w:tc>
      </w:tr>
      <w:tr w14:paraId="0C993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7BAAA733">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临时设施</w:t>
            </w:r>
          </w:p>
        </w:tc>
        <w:tc>
          <w:tcPr>
            <w:tcW w:w="2070" w:type="dxa"/>
            <w:gridSpan w:val="2"/>
            <w:noWrap w:val="0"/>
            <w:vAlign w:val="center"/>
          </w:tcPr>
          <w:p w14:paraId="00AD82FA">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现场办公</w:t>
            </w:r>
          </w:p>
          <w:p w14:paraId="7902B57B">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生活设施</w:t>
            </w:r>
          </w:p>
        </w:tc>
        <w:tc>
          <w:tcPr>
            <w:tcW w:w="6645" w:type="dxa"/>
            <w:noWrap w:val="0"/>
            <w:vAlign w:val="center"/>
          </w:tcPr>
          <w:p w14:paraId="32894F0F">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1. </w:t>
            </w:r>
            <w:r>
              <w:rPr>
                <w:rStyle w:val="39"/>
                <w:rFonts w:hint="eastAsia" w:ascii="方正仿宋_GBK" w:hAnsi="Times New Roman" w:eastAsia="方正仿宋_GBK" w:cs="方正仿宋_GBK"/>
                <w:color w:val="auto"/>
                <w:kern w:val="2"/>
                <w:sz w:val="21"/>
                <w:szCs w:val="21"/>
                <w:highlight w:val="none"/>
                <w:lang w:val="en-US" w:eastAsia="zh-CN" w:bidi="ar-SA"/>
              </w:rPr>
              <w:t>施工现场办公、生活区与作业区分开设置，保持安全距离。</w:t>
            </w:r>
          </w:p>
          <w:p w14:paraId="3A49BA16">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2. </w:t>
            </w:r>
            <w:r>
              <w:rPr>
                <w:rStyle w:val="39"/>
                <w:rFonts w:hint="eastAsia" w:ascii="方正仿宋_GBK" w:hAnsi="Times New Roman" w:eastAsia="方正仿宋_GBK" w:cs="方正仿宋_GBK"/>
                <w:color w:val="auto"/>
                <w:kern w:val="2"/>
                <w:sz w:val="21"/>
                <w:szCs w:val="21"/>
                <w:highlight w:val="none"/>
                <w:lang w:val="en-US" w:eastAsia="zh-CN" w:bidi="ar-SA"/>
              </w:rPr>
              <w:t>工地办公室、现场宿舍、食堂、厕所、饮水、沐浴、休息场所等符合卫生、消防安全要求。</w:t>
            </w:r>
          </w:p>
        </w:tc>
      </w:tr>
      <w:tr w14:paraId="0AF7F2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5405D94">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525" w:type="dxa"/>
            <w:vMerge w:val="restart"/>
            <w:noWrap w:val="0"/>
            <w:vAlign w:val="center"/>
          </w:tcPr>
          <w:p w14:paraId="7DD2233E">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施工现场</w:t>
            </w:r>
          </w:p>
          <w:p w14:paraId="4AFB5C59">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临时用电</w:t>
            </w:r>
          </w:p>
        </w:tc>
        <w:tc>
          <w:tcPr>
            <w:tcW w:w="1545" w:type="dxa"/>
            <w:noWrap w:val="0"/>
            <w:vAlign w:val="center"/>
          </w:tcPr>
          <w:p w14:paraId="1B2C8C8E">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配电线路</w:t>
            </w:r>
          </w:p>
        </w:tc>
        <w:tc>
          <w:tcPr>
            <w:tcW w:w="6645" w:type="dxa"/>
            <w:noWrap w:val="0"/>
            <w:vAlign w:val="center"/>
          </w:tcPr>
          <w:p w14:paraId="2D39F16C">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1. </w:t>
            </w:r>
            <w:r>
              <w:rPr>
                <w:rStyle w:val="39"/>
                <w:rFonts w:hint="eastAsia" w:ascii="方正仿宋_GBK" w:hAnsi="Times New Roman" w:eastAsia="方正仿宋_GBK" w:cs="方正仿宋_GBK"/>
                <w:color w:val="auto"/>
                <w:kern w:val="2"/>
                <w:sz w:val="21"/>
                <w:szCs w:val="21"/>
                <w:highlight w:val="none"/>
                <w:lang w:val="en-US" w:eastAsia="zh-CN" w:bidi="ar-SA"/>
              </w:rPr>
              <w:t>按照</w:t>
            </w:r>
            <w:r>
              <w:rPr>
                <w:rStyle w:val="39"/>
                <w:rFonts w:ascii="方正仿宋_GBK" w:hAnsi="Times New Roman" w:eastAsia="方正仿宋_GBK" w:cs="方正仿宋_GBK"/>
                <w:color w:val="auto"/>
                <w:kern w:val="2"/>
                <w:sz w:val="21"/>
                <w:szCs w:val="21"/>
                <w:highlight w:val="none"/>
                <w:lang w:val="en-US" w:eastAsia="zh-CN" w:bidi="ar-SA"/>
              </w:rPr>
              <w:t>TN-S</w:t>
            </w:r>
            <w:r>
              <w:rPr>
                <w:rStyle w:val="39"/>
                <w:rFonts w:hint="eastAsia" w:ascii="方正仿宋_GBK" w:hAnsi="Times New Roman" w:eastAsia="方正仿宋_GBK" w:cs="方正仿宋_GBK"/>
                <w:color w:val="auto"/>
                <w:kern w:val="2"/>
                <w:sz w:val="21"/>
                <w:szCs w:val="21"/>
                <w:highlight w:val="none"/>
                <w:lang w:val="en-US" w:eastAsia="zh-CN" w:bidi="ar-SA"/>
              </w:rPr>
              <w:t>系统要求配备五芯电缆、四芯电缆和三芯电缆。</w:t>
            </w:r>
          </w:p>
          <w:p w14:paraId="54C0C82B">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2. </w:t>
            </w:r>
            <w:r>
              <w:rPr>
                <w:rStyle w:val="39"/>
                <w:rFonts w:hint="eastAsia" w:ascii="方正仿宋_GBK" w:hAnsi="Times New Roman" w:eastAsia="方正仿宋_GBK" w:cs="方正仿宋_GBK"/>
                <w:color w:val="auto"/>
                <w:kern w:val="2"/>
                <w:sz w:val="21"/>
                <w:szCs w:val="21"/>
                <w:highlight w:val="none"/>
                <w:lang w:val="en-US" w:eastAsia="zh-CN" w:bidi="ar-SA"/>
              </w:rPr>
              <w:t>按要求架设临时用电线路的电杆、横担、瓷夹、瓷瓶等，或电缆埋地的地沟。</w:t>
            </w:r>
          </w:p>
          <w:p w14:paraId="5B0DA926">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3. </w:t>
            </w:r>
            <w:r>
              <w:rPr>
                <w:rStyle w:val="39"/>
                <w:rFonts w:hint="eastAsia" w:ascii="方正仿宋_GBK" w:hAnsi="Times New Roman" w:eastAsia="方正仿宋_GBK" w:cs="方正仿宋_GBK"/>
                <w:color w:val="auto"/>
                <w:kern w:val="2"/>
                <w:sz w:val="21"/>
                <w:szCs w:val="21"/>
                <w:highlight w:val="none"/>
                <w:lang w:val="en-US" w:eastAsia="zh-CN" w:bidi="ar-SA"/>
              </w:rPr>
              <w:t>对靠近施工现场的外电线路，设置木质、塑料等绝缘体的防护设施。</w:t>
            </w:r>
          </w:p>
        </w:tc>
      </w:tr>
      <w:tr w14:paraId="1E1068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BA72DD4">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15C69FAA">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0EF348D9">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配电箱</w:t>
            </w:r>
          </w:p>
          <w:p w14:paraId="1F2B5CB0">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开关箱</w:t>
            </w:r>
          </w:p>
        </w:tc>
        <w:tc>
          <w:tcPr>
            <w:tcW w:w="6645" w:type="dxa"/>
            <w:noWrap w:val="0"/>
            <w:vAlign w:val="center"/>
          </w:tcPr>
          <w:p w14:paraId="7AB2041D">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1. </w:t>
            </w:r>
            <w:r>
              <w:rPr>
                <w:rStyle w:val="39"/>
                <w:rFonts w:hint="eastAsia" w:ascii="方正仿宋_GBK" w:hAnsi="Times New Roman" w:eastAsia="方正仿宋_GBK" w:cs="方正仿宋_GBK"/>
                <w:color w:val="auto"/>
                <w:kern w:val="2"/>
                <w:sz w:val="21"/>
                <w:szCs w:val="21"/>
                <w:highlight w:val="none"/>
                <w:lang w:val="en-US" w:eastAsia="zh-CN" w:bidi="ar-SA"/>
              </w:rPr>
              <w:t>按三级配电要求，配备总配电箱、分配电箱、开关箱三类（铁质）标准电箱，开关箱应符合“一机、一箱、一闸、一漏”，三类电箱中的各类电器应是合格品。</w:t>
            </w:r>
          </w:p>
          <w:p w14:paraId="6C0E3B35">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2. </w:t>
            </w:r>
            <w:r>
              <w:rPr>
                <w:rStyle w:val="39"/>
                <w:rFonts w:hint="eastAsia" w:ascii="方正仿宋_GBK" w:hAnsi="Times New Roman" w:eastAsia="方正仿宋_GBK" w:cs="方正仿宋_GBK"/>
                <w:color w:val="auto"/>
                <w:kern w:val="2"/>
                <w:sz w:val="21"/>
                <w:szCs w:val="21"/>
                <w:highlight w:val="none"/>
                <w:lang w:val="en-US" w:eastAsia="zh-CN" w:bidi="ar-SA"/>
              </w:rPr>
              <w:t>按两级保护的要求，选取符合容量要求和质量合格的总配电箱和开关箱中的漏电保护器。</w:t>
            </w:r>
          </w:p>
          <w:p w14:paraId="145BA994">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3. </w:t>
            </w:r>
            <w:r>
              <w:rPr>
                <w:rStyle w:val="39"/>
                <w:rFonts w:hint="eastAsia" w:ascii="方正仿宋_GBK" w:hAnsi="Times New Roman" w:eastAsia="方正仿宋_GBK" w:cs="方正仿宋_GBK"/>
                <w:color w:val="auto"/>
                <w:kern w:val="2"/>
                <w:sz w:val="21"/>
                <w:szCs w:val="21"/>
                <w:highlight w:val="none"/>
                <w:lang w:val="en-US" w:eastAsia="zh-CN" w:bidi="ar-SA"/>
              </w:rPr>
              <w:t>对大型、落地式分配电箱、开关箱设置防护棚和通透式围挡。</w:t>
            </w:r>
          </w:p>
        </w:tc>
      </w:tr>
      <w:tr w14:paraId="02B13F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04AF5803">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070BCC3F">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7713242C">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接地装置</w:t>
            </w:r>
          </w:p>
        </w:tc>
        <w:tc>
          <w:tcPr>
            <w:tcW w:w="6645" w:type="dxa"/>
            <w:noWrap w:val="0"/>
            <w:vAlign w:val="center"/>
          </w:tcPr>
          <w:p w14:paraId="54587BF1">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施工现场应设置不少于三处的重复接地装置。</w:t>
            </w:r>
          </w:p>
        </w:tc>
      </w:tr>
      <w:tr w14:paraId="10D3B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7645F2F9">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294D1CBA">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698E2088">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现场变配电装置</w:t>
            </w:r>
          </w:p>
        </w:tc>
        <w:tc>
          <w:tcPr>
            <w:tcW w:w="6645" w:type="dxa"/>
            <w:noWrap w:val="0"/>
            <w:vAlign w:val="center"/>
          </w:tcPr>
          <w:p w14:paraId="4166C18D">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总配电房建筑材料必须达到消防防火要求，室内做硬地坪、电缆沟。</w:t>
            </w:r>
          </w:p>
        </w:tc>
      </w:tr>
      <w:tr w14:paraId="32707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5948CB4A">
            <w:pPr>
              <w:pStyle w:val="105"/>
              <w:widowControl w:val="0"/>
              <w:spacing w:line="300" w:lineRule="exact"/>
              <w:jc w:val="center"/>
              <w:rPr>
                <w:rStyle w:val="39"/>
                <w:rFonts w:ascii="方正仿宋_GBK" w:hAnsi="Times New Roman" w:eastAsia="方正仿宋_GBK" w:cs="Times New Roman"/>
                <w:b/>
                <w:bCs/>
                <w:color w:val="auto"/>
                <w:kern w:val="2"/>
                <w:sz w:val="21"/>
                <w:szCs w:val="21"/>
                <w:highlight w:val="none"/>
                <w:lang w:val="en-US" w:eastAsia="zh-CN" w:bidi="ar-SA"/>
              </w:rPr>
            </w:pPr>
            <w:r>
              <w:rPr>
                <w:rStyle w:val="39"/>
                <w:rFonts w:hint="eastAsia" w:ascii="方正仿宋_GBK" w:hAnsi="Times New Roman" w:eastAsia="方正仿宋_GBK" w:cs="方正仿宋_GBK"/>
                <w:b/>
                <w:bCs/>
                <w:color w:val="auto"/>
                <w:kern w:val="2"/>
                <w:sz w:val="21"/>
                <w:szCs w:val="21"/>
                <w:highlight w:val="none"/>
                <w:lang w:val="en-US" w:eastAsia="zh-CN" w:bidi="ar-SA"/>
              </w:rPr>
              <w:t>类别</w:t>
            </w:r>
          </w:p>
        </w:tc>
        <w:tc>
          <w:tcPr>
            <w:tcW w:w="2070" w:type="dxa"/>
            <w:gridSpan w:val="2"/>
            <w:noWrap w:val="0"/>
            <w:vAlign w:val="center"/>
          </w:tcPr>
          <w:p w14:paraId="74AC5653">
            <w:pPr>
              <w:pStyle w:val="105"/>
              <w:widowControl w:val="0"/>
              <w:spacing w:line="300" w:lineRule="exact"/>
              <w:jc w:val="center"/>
              <w:rPr>
                <w:rStyle w:val="39"/>
                <w:rFonts w:ascii="方正仿宋_GBK" w:hAnsi="Times New Roman" w:eastAsia="方正仿宋_GBK" w:cs="Times New Roman"/>
                <w:b/>
                <w:bCs/>
                <w:color w:val="auto"/>
                <w:kern w:val="2"/>
                <w:sz w:val="21"/>
                <w:szCs w:val="21"/>
                <w:highlight w:val="none"/>
                <w:lang w:val="en-US" w:eastAsia="zh-CN" w:bidi="ar-SA"/>
              </w:rPr>
            </w:pPr>
            <w:r>
              <w:rPr>
                <w:rStyle w:val="39"/>
                <w:rFonts w:hint="eastAsia" w:ascii="方正仿宋_GBK" w:hAnsi="Times New Roman" w:eastAsia="方正仿宋_GBK" w:cs="方正仿宋_GBK"/>
                <w:b/>
                <w:bCs/>
                <w:color w:val="auto"/>
                <w:kern w:val="2"/>
                <w:sz w:val="21"/>
                <w:szCs w:val="21"/>
                <w:highlight w:val="none"/>
                <w:lang w:val="en-US" w:eastAsia="zh-CN" w:bidi="ar-SA"/>
              </w:rPr>
              <w:t>项目名称</w:t>
            </w:r>
          </w:p>
        </w:tc>
        <w:tc>
          <w:tcPr>
            <w:tcW w:w="6645" w:type="dxa"/>
            <w:noWrap w:val="0"/>
            <w:vAlign w:val="center"/>
          </w:tcPr>
          <w:p w14:paraId="3CFFC39C">
            <w:pPr>
              <w:pStyle w:val="105"/>
              <w:widowControl w:val="0"/>
              <w:spacing w:line="300" w:lineRule="exact"/>
              <w:jc w:val="center"/>
              <w:rPr>
                <w:rStyle w:val="39"/>
                <w:rFonts w:ascii="方正仿宋_GBK" w:hAnsi="Times New Roman" w:eastAsia="方正仿宋_GBK" w:cs="Times New Roman"/>
                <w:b/>
                <w:bCs/>
                <w:color w:val="auto"/>
                <w:kern w:val="2"/>
                <w:sz w:val="21"/>
                <w:szCs w:val="21"/>
                <w:highlight w:val="none"/>
                <w:lang w:val="en-US" w:eastAsia="zh-CN" w:bidi="ar-SA"/>
              </w:rPr>
            </w:pPr>
            <w:r>
              <w:rPr>
                <w:rStyle w:val="39"/>
                <w:rFonts w:hint="eastAsia" w:ascii="方正仿宋_GBK" w:hAnsi="Times New Roman" w:eastAsia="方正仿宋_GBK" w:cs="方正仿宋_GBK"/>
                <w:b/>
                <w:bCs/>
                <w:color w:val="auto"/>
                <w:kern w:val="2"/>
                <w:sz w:val="21"/>
                <w:szCs w:val="21"/>
                <w:highlight w:val="none"/>
                <w:lang w:val="en-US" w:eastAsia="zh-CN" w:bidi="ar-SA"/>
              </w:rPr>
              <w:t>主要内容和要求</w:t>
            </w:r>
          </w:p>
        </w:tc>
      </w:tr>
      <w:tr w14:paraId="1AA36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571FF268">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安全施工</w:t>
            </w:r>
          </w:p>
        </w:tc>
        <w:tc>
          <w:tcPr>
            <w:tcW w:w="525" w:type="dxa"/>
            <w:vMerge w:val="restart"/>
            <w:noWrap w:val="0"/>
            <w:vAlign w:val="center"/>
          </w:tcPr>
          <w:p w14:paraId="2611BF26">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高处作业防护</w:t>
            </w:r>
          </w:p>
        </w:tc>
        <w:tc>
          <w:tcPr>
            <w:tcW w:w="1545" w:type="dxa"/>
            <w:noWrap w:val="0"/>
            <w:vAlign w:val="center"/>
          </w:tcPr>
          <w:p w14:paraId="20EB2FA2">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楼层、屋面、阳台等临边</w:t>
            </w:r>
          </w:p>
        </w:tc>
        <w:tc>
          <w:tcPr>
            <w:tcW w:w="6645" w:type="dxa"/>
            <w:noWrap w:val="0"/>
            <w:vAlign w:val="center"/>
          </w:tcPr>
          <w:p w14:paraId="0DEA029E">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设两道防护栏杆和</w:t>
            </w:r>
            <w:r>
              <w:rPr>
                <w:rStyle w:val="39"/>
                <w:rFonts w:ascii="方正仿宋_GBK" w:hAnsi="Times New Roman" w:eastAsia="方正仿宋_GBK" w:cs="方正仿宋_GBK"/>
                <w:color w:val="auto"/>
                <w:kern w:val="2"/>
                <w:sz w:val="21"/>
                <w:szCs w:val="21"/>
                <w:highlight w:val="none"/>
                <w:lang w:val="en-US" w:eastAsia="zh-CN" w:bidi="ar-SA"/>
              </w:rPr>
              <w:t>18cm</w:t>
            </w:r>
            <w:r>
              <w:rPr>
                <w:rStyle w:val="39"/>
                <w:rFonts w:hint="eastAsia" w:ascii="方正仿宋_GBK" w:hAnsi="Times New Roman" w:eastAsia="方正仿宋_GBK" w:cs="方正仿宋_GBK"/>
                <w:color w:val="auto"/>
                <w:kern w:val="2"/>
                <w:sz w:val="21"/>
                <w:szCs w:val="21"/>
                <w:highlight w:val="none"/>
                <w:lang w:val="en-US" w:eastAsia="zh-CN" w:bidi="ar-SA"/>
              </w:rPr>
              <w:t>高的踢脚板，用密目式安全立网全封闭。</w:t>
            </w:r>
          </w:p>
        </w:tc>
      </w:tr>
      <w:tr w14:paraId="1EF36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EAAEA05">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01BBDA4F">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2CF6AA78">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通道口</w:t>
            </w:r>
          </w:p>
        </w:tc>
        <w:tc>
          <w:tcPr>
            <w:tcW w:w="6645" w:type="dxa"/>
            <w:noWrap w:val="0"/>
            <w:vAlign w:val="center"/>
          </w:tcPr>
          <w:p w14:paraId="2C0D3B0A">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设防护棚，防护棚应为不小于</w:t>
            </w:r>
            <w:r>
              <w:rPr>
                <w:rStyle w:val="39"/>
                <w:rFonts w:ascii="方正仿宋_GBK" w:hAnsi="Times New Roman" w:eastAsia="方正仿宋_GBK" w:cs="方正仿宋_GBK"/>
                <w:color w:val="auto"/>
                <w:kern w:val="2"/>
                <w:sz w:val="21"/>
                <w:szCs w:val="21"/>
                <w:highlight w:val="none"/>
                <w:lang w:val="en-US" w:eastAsia="zh-CN" w:bidi="ar-SA"/>
              </w:rPr>
              <w:t>5cm</w:t>
            </w:r>
            <w:r>
              <w:rPr>
                <w:rStyle w:val="39"/>
                <w:rFonts w:hint="eastAsia" w:ascii="方正仿宋_GBK" w:hAnsi="Times New Roman" w:eastAsia="方正仿宋_GBK" w:cs="方正仿宋_GBK"/>
                <w:color w:val="auto"/>
                <w:kern w:val="2"/>
                <w:sz w:val="21"/>
                <w:szCs w:val="21"/>
                <w:highlight w:val="none"/>
                <w:lang w:val="en-US" w:eastAsia="zh-CN" w:bidi="ar-SA"/>
              </w:rPr>
              <w:t>厚的木板或两道相距</w:t>
            </w:r>
            <w:r>
              <w:rPr>
                <w:rStyle w:val="39"/>
                <w:rFonts w:ascii="方正仿宋_GBK" w:hAnsi="Times New Roman" w:eastAsia="方正仿宋_GBK" w:cs="方正仿宋_GBK"/>
                <w:color w:val="auto"/>
                <w:kern w:val="2"/>
                <w:sz w:val="21"/>
                <w:szCs w:val="21"/>
                <w:highlight w:val="none"/>
                <w:lang w:val="en-US" w:eastAsia="zh-CN" w:bidi="ar-SA"/>
              </w:rPr>
              <w:t>50cm</w:t>
            </w:r>
            <w:r>
              <w:rPr>
                <w:rStyle w:val="39"/>
                <w:rFonts w:hint="eastAsia" w:ascii="方正仿宋_GBK" w:hAnsi="Times New Roman" w:eastAsia="方正仿宋_GBK" w:cs="方正仿宋_GBK"/>
                <w:color w:val="auto"/>
                <w:kern w:val="2"/>
                <w:sz w:val="21"/>
                <w:szCs w:val="21"/>
                <w:highlight w:val="none"/>
                <w:lang w:val="en-US" w:eastAsia="zh-CN" w:bidi="ar-SA"/>
              </w:rPr>
              <w:t>的竹笆。两侧应沿栏杆架用密目式安全网封闭。</w:t>
            </w:r>
          </w:p>
        </w:tc>
      </w:tr>
      <w:tr w14:paraId="2166D7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4B6DF47">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48AE87CF">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7970B182">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预留洞口</w:t>
            </w:r>
          </w:p>
        </w:tc>
        <w:tc>
          <w:tcPr>
            <w:tcW w:w="6645" w:type="dxa"/>
            <w:noWrap w:val="0"/>
            <w:vAlign w:val="center"/>
          </w:tcPr>
          <w:p w14:paraId="2C1E7395">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用硬质材料全封闭，短边超过</w:t>
            </w:r>
            <w:r>
              <w:rPr>
                <w:rStyle w:val="39"/>
                <w:rFonts w:ascii="方正仿宋_GBK" w:hAnsi="Times New Roman" w:eastAsia="方正仿宋_GBK" w:cs="方正仿宋_GBK"/>
                <w:color w:val="auto"/>
                <w:kern w:val="2"/>
                <w:sz w:val="21"/>
                <w:szCs w:val="21"/>
                <w:highlight w:val="none"/>
                <w:lang w:val="en-US" w:eastAsia="zh-CN" w:bidi="ar-SA"/>
              </w:rPr>
              <w:t>1.5m</w:t>
            </w:r>
            <w:r>
              <w:rPr>
                <w:rStyle w:val="39"/>
                <w:rFonts w:hint="eastAsia" w:ascii="方正仿宋_GBK" w:hAnsi="Times New Roman" w:eastAsia="方正仿宋_GBK" w:cs="方正仿宋_GBK"/>
                <w:color w:val="auto"/>
                <w:kern w:val="2"/>
                <w:sz w:val="21"/>
                <w:szCs w:val="21"/>
                <w:highlight w:val="none"/>
                <w:lang w:val="en-US" w:eastAsia="zh-CN" w:bidi="ar-SA"/>
              </w:rPr>
              <w:t>长的洞口，除封闭外四周还应设有防护栏杆。</w:t>
            </w:r>
          </w:p>
        </w:tc>
      </w:tr>
      <w:tr w14:paraId="13B8F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540FE09A">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6EC5E648">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3E82175F">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电梯井口</w:t>
            </w:r>
          </w:p>
        </w:tc>
        <w:tc>
          <w:tcPr>
            <w:tcW w:w="6645" w:type="dxa"/>
            <w:noWrap w:val="0"/>
            <w:vAlign w:val="center"/>
          </w:tcPr>
          <w:p w14:paraId="2CB26043">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设置定型化、工具化的防护门，在电梯井内每隔</w:t>
            </w:r>
            <w:r>
              <w:rPr>
                <w:rStyle w:val="39"/>
                <w:rFonts w:ascii="方正仿宋_GBK" w:hAnsi="Times New Roman" w:eastAsia="方正仿宋_GBK" w:cs="方正仿宋_GBK"/>
                <w:color w:val="auto"/>
                <w:kern w:val="2"/>
                <w:sz w:val="21"/>
                <w:szCs w:val="21"/>
                <w:highlight w:val="none"/>
                <w:lang w:val="en-US" w:eastAsia="zh-CN" w:bidi="ar-SA"/>
              </w:rPr>
              <w:t>2</w:t>
            </w:r>
            <w:r>
              <w:rPr>
                <w:rStyle w:val="39"/>
                <w:rFonts w:hint="eastAsia" w:ascii="方正仿宋_GBK" w:hAnsi="Times New Roman" w:eastAsia="方正仿宋_GBK" w:cs="方正仿宋_GBK"/>
                <w:color w:val="auto"/>
                <w:kern w:val="2"/>
                <w:sz w:val="21"/>
                <w:szCs w:val="21"/>
                <w:highlight w:val="none"/>
                <w:lang w:val="en-US" w:eastAsia="zh-CN" w:bidi="ar-SA"/>
              </w:rPr>
              <w:t>层（不大于</w:t>
            </w:r>
            <w:r>
              <w:rPr>
                <w:rStyle w:val="39"/>
                <w:rFonts w:ascii="方正仿宋_GBK" w:hAnsi="Times New Roman" w:eastAsia="方正仿宋_GBK" w:cs="方正仿宋_GBK"/>
                <w:color w:val="auto"/>
                <w:kern w:val="2"/>
                <w:sz w:val="21"/>
                <w:szCs w:val="21"/>
                <w:highlight w:val="none"/>
                <w:lang w:val="en-US" w:eastAsia="zh-CN" w:bidi="ar-SA"/>
              </w:rPr>
              <w:t>10m</w:t>
            </w:r>
            <w:r>
              <w:rPr>
                <w:rStyle w:val="39"/>
                <w:rFonts w:hint="eastAsia" w:ascii="方正仿宋_GBK" w:hAnsi="Times New Roman" w:eastAsia="方正仿宋_GBK" w:cs="方正仿宋_GBK"/>
                <w:color w:val="auto"/>
                <w:kern w:val="2"/>
                <w:sz w:val="21"/>
                <w:szCs w:val="21"/>
                <w:highlight w:val="none"/>
                <w:lang w:val="en-US" w:eastAsia="zh-CN" w:bidi="ar-SA"/>
              </w:rPr>
              <w:t>）设置一道水平防护。</w:t>
            </w:r>
          </w:p>
        </w:tc>
      </w:tr>
      <w:tr w14:paraId="7D2D9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FFDFCA5">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4813D5D3">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65F78E21">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楼梯边</w:t>
            </w:r>
          </w:p>
        </w:tc>
        <w:tc>
          <w:tcPr>
            <w:tcW w:w="6645" w:type="dxa"/>
            <w:noWrap w:val="0"/>
            <w:vAlign w:val="center"/>
          </w:tcPr>
          <w:p w14:paraId="167CD062">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设</w:t>
            </w:r>
            <w:r>
              <w:rPr>
                <w:rStyle w:val="39"/>
                <w:rFonts w:ascii="方正仿宋_GBK" w:hAnsi="Times New Roman" w:eastAsia="方正仿宋_GBK" w:cs="方正仿宋_GBK"/>
                <w:color w:val="auto"/>
                <w:kern w:val="2"/>
                <w:sz w:val="21"/>
                <w:szCs w:val="21"/>
                <w:highlight w:val="none"/>
                <w:lang w:val="en-US" w:eastAsia="zh-CN" w:bidi="ar-SA"/>
              </w:rPr>
              <w:t>1.2m</w:t>
            </w:r>
            <w:r>
              <w:rPr>
                <w:rStyle w:val="39"/>
                <w:rFonts w:hint="eastAsia" w:ascii="方正仿宋_GBK" w:hAnsi="Times New Roman" w:eastAsia="方正仿宋_GBK" w:cs="方正仿宋_GBK"/>
                <w:color w:val="auto"/>
                <w:kern w:val="2"/>
                <w:sz w:val="21"/>
                <w:szCs w:val="21"/>
                <w:highlight w:val="none"/>
                <w:lang w:val="en-US" w:eastAsia="zh-CN" w:bidi="ar-SA"/>
              </w:rPr>
              <w:t>高的定型化、工具化的防护栏，</w:t>
            </w:r>
            <w:r>
              <w:rPr>
                <w:rStyle w:val="39"/>
                <w:rFonts w:ascii="方正仿宋_GBK" w:hAnsi="Times New Roman" w:eastAsia="方正仿宋_GBK" w:cs="方正仿宋_GBK"/>
                <w:color w:val="auto"/>
                <w:kern w:val="2"/>
                <w:sz w:val="21"/>
                <w:szCs w:val="21"/>
                <w:highlight w:val="none"/>
                <w:lang w:val="en-US" w:eastAsia="zh-CN" w:bidi="ar-SA"/>
              </w:rPr>
              <w:t>18cm</w:t>
            </w:r>
            <w:r>
              <w:rPr>
                <w:rStyle w:val="39"/>
                <w:rFonts w:hint="eastAsia" w:ascii="方正仿宋_GBK" w:hAnsi="Times New Roman" w:eastAsia="方正仿宋_GBK" w:cs="方正仿宋_GBK"/>
                <w:color w:val="auto"/>
                <w:kern w:val="2"/>
                <w:sz w:val="21"/>
                <w:szCs w:val="21"/>
                <w:highlight w:val="none"/>
                <w:lang w:val="en-US" w:eastAsia="zh-CN" w:bidi="ar-SA"/>
              </w:rPr>
              <w:t>高的踢脚板。</w:t>
            </w:r>
          </w:p>
        </w:tc>
      </w:tr>
      <w:tr w14:paraId="348F9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DF594B3">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47A45EA6">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0FA0DFEA">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垂直方向交叉作业</w:t>
            </w:r>
          </w:p>
        </w:tc>
        <w:tc>
          <w:tcPr>
            <w:tcW w:w="6645" w:type="dxa"/>
            <w:noWrap w:val="0"/>
            <w:vAlign w:val="center"/>
          </w:tcPr>
          <w:p w14:paraId="7D5975CA">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设置防护隔离棚或其它设施。</w:t>
            </w:r>
          </w:p>
        </w:tc>
      </w:tr>
      <w:tr w14:paraId="09F76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0C0B439">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71B45631">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1411994E">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高处作业</w:t>
            </w:r>
          </w:p>
        </w:tc>
        <w:tc>
          <w:tcPr>
            <w:tcW w:w="6645" w:type="dxa"/>
            <w:noWrap w:val="0"/>
            <w:vAlign w:val="center"/>
          </w:tcPr>
          <w:p w14:paraId="2561E152">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有悬挂安全带的悬索或其它设施，有操作平台，有上下的梯子或其它形式的通道。</w:t>
            </w:r>
          </w:p>
        </w:tc>
      </w:tr>
      <w:tr w14:paraId="756F1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C906F9E">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3563A4CE">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46F81E69">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基坑、物料平台</w:t>
            </w:r>
          </w:p>
        </w:tc>
        <w:tc>
          <w:tcPr>
            <w:tcW w:w="6645" w:type="dxa"/>
            <w:noWrap w:val="0"/>
            <w:vAlign w:val="center"/>
          </w:tcPr>
          <w:p w14:paraId="7302FE11">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设</w:t>
            </w:r>
            <w:r>
              <w:rPr>
                <w:rStyle w:val="39"/>
                <w:rFonts w:ascii="方正仿宋_GBK" w:hAnsi="Times New Roman" w:eastAsia="方正仿宋_GBK" w:cs="方正仿宋_GBK"/>
                <w:color w:val="auto"/>
                <w:kern w:val="2"/>
                <w:sz w:val="21"/>
                <w:szCs w:val="21"/>
                <w:highlight w:val="none"/>
                <w:lang w:val="en-US" w:eastAsia="zh-CN" w:bidi="ar-SA"/>
              </w:rPr>
              <w:t>1.2m</w:t>
            </w:r>
            <w:r>
              <w:rPr>
                <w:rStyle w:val="39"/>
                <w:rFonts w:hint="eastAsia" w:ascii="方正仿宋_GBK" w:hAnsi="Times New Roman" w:eastAsia="方正仿宋_GBK" w:cs="方正仿宋_GBK"/>
                <w:color w:val="auto"/>
                <w:kern w:val="2"/>
                <w:sz w:val="21"/>
                <w:szCs w:val="21"/>
                <w:highlight w:val="none"/>
                <w:lang w:val="en-US" w:eastAsia="zh-CN" w:bidi="ar-SA"/>
              </w:rPr>
              <w:t>高标准化的防护栏，用密目式安全立网封闭，悬挂标识。</w:t>
            </w:r>
          </w:p>
        </w:tc>
      </w:tr>
      <w:tr w14:paraId="51497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B6B4C55">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5F1F58D5">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安全防护用品</w:t>
            </w:r>
          </w:p>
        </w:tc>
        <w:tc>
          <w:tcPr>
            <w:tcW w:w="6645" w:type="dxa"/>
            <w:noWrap w:val="0"/>
            <w:vAlign w:val="center"/>
          </w:tcPr>
          <w:p w14:paraId="443C0D20">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安全帽、安全带、特种作业人员（电工、焊工、架子工等）防护服装、用品等。</w:t>
            </w:r>
          </w:p>
        </w:tc>
      </w:tr>
      <w:tr w14:paraId="796D6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25BBB512">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其它</w:t>
            </w:r>
          </w:p>
        </w:tc>
        <w:tc>
          <w:tcPr>
            <w:tcW w:w="525" w:type="dxa"/>
            <w:vMerge w:val="restart"/>
            <w:noWrap w:val="0"/>
            <w:vAlign w:val="center"/>
          </w:tcPr>
          <w:p w14:paraId="430AEB55">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机械设备防护</w:t>
            </w:r>
          </w:p>
        </w:tc>
        <w:tc>
          <w:tcPr>
            <w:tcW w:w="1545" w:type="dxa"/>
            <w:noWrap w:val="0"/>
            <w:vAlign w:val="center"/>
          </w:tcPr>
          <w:p w14:paraId="3D3AA987">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中小型机械</w:t>
            </w:r>
          </w:p>
        </w:tc>
        <w:tc>
          <w:tcPr>
            <w:tcW w:w="6645" w:type="dxa"/>
            <w:noWrap w:val="0"/>
            <w:vAlign w:val="center"/>
          </w:tcPr>
          <w:p w14:paraId="0854D90F">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设防护棚（同通道口防护并有防雨措施）。</w:t>
            </w:r>
          </w:p>
        </w:tc>
      </w:tr>
      <w:tr w14:paraId="42DB0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F2AB41C">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525" w:type="dxa"/>
            <w:vMerge w:val="continue"/>
            <w:noWrap w:val="0"/>
            <w:vAlign w:val="center"/>
          </w:tcPr>
          <w:p w14:paraId="087C7CA0">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1545" w:type="dxa"/>
            <w:noWrap w:val="0"/>
            <w:vAlign w:val="center"/>
          </w:tcPr>
          <w:p w14:paraId="18182E1F">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垂直运输设备</w:t>
            </w:r>
          </w:p>
        </w:tc>
        <w:tc>
          <w:tcPr>
            <w:tcW w:w="6645" w:type="dxa"/>
            <w:noWrap w:val="0"/>
            <w:vAlign w:val="center"/>
          </w:tcPr>
          <w:p w14:paraId="42FCDA31">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1. </w:t>
            </w:r>
            <w:r>
              <w:rPr>
                <w:rStyle w:val="39"/>
                <w:rFonts w:hint="eastAsia" w:ascii="方正仿宋_GBK" w:hAnsi="Times New Roman" w:eastAsia="方正仿宋_GBK" w:cs="方正仿宋_GBK"/>
                <w:color w:val="auto"/>
                <w:kern w:val="2"/>
                <w:sz w:val="21"/>
                <w:szCs w:val="21"/>
                <w:highlight w:val="none"/>
                <w:lang w:val="en-US" w:eastAsia="zh-CN" w:bidi="ar-SA"/>
              </w:rPr>
              <w:t>垂直运输设备检测、检验、日常维护、保养等。</w:t>
            </w:r>
          </w:p>
          <w:p w14:paraId="4CF11A3D">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ascii="方正仿宋_GBK" w:hAnsi="Times New Roman" w:eastAsia="方正仿宋_GBK" w:cs="方正仿宋_GBK"/>
                <w:color w:val="auto"/>
                <w:kern w:val="2"/>
                <w:sz w:val="21"/>
                <w:szCs w:val="21"/>
                <w:highlight w:val="none"/>
                <w:lang w:val="en-US" w:eastAsia="zh-CN" w:bidi="ar-SA"/>
              </w:rPr>
              <w:t xml:space="preserve">2. </w:t>
            </w:r>
            <w:r>
              <w:rPr>
                <w:rStyle w:val="39"/>
                <w:rFonts w:hint="eastAsia" w:ascii="方正仿宋_GBK" w:hAnsi="Times New Roman" w:eastAsia="方正仿宋_GBK" w:cs="方正仿宋_GBK"/>
                <w:color w:val="auto"/>
                <w:kern w:val="2"/>
                <w:sz w:val="21"/>
                <w:szCs w:val="21"/>
                <w:highlight w:val="none"/>
                <w:lang w:val="en-US" w:eastAsia="zh-CN" w:bidi="ar-SA"/>
              </w:rPr>
              <w:t>物料提升机、施工电梯等物料平台搭设、外侧用密目式安全立网全封闭，有安全通道、安全防护门、防护棚等。</w:t>
            </w:r>
          </w:p>
        </w:tc>
      </w:tr>
      <w:tr w14:paraId="58B4B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2063B8E5">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684BF3B7">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专家论证审查</w:t>
            </w:r>
          </w:p>
        </w:tc>
        <w:tc>
          <w:tcPr>
            <w:tcW w:w="6645" w:type="dxa"/>
            <w:noWrap w:val="0"/>
            <w:vAlign w:val="center"/>
          </w:tcPr>
          <w:p w14:paraId="481F4D36">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超过一定规模的危险性较大分部分项工程专家论证审查。</w:t>
            </w:r>
          </w:p>
        </w:tc>
      </w:tr>
      <w:tr w14:paraId="4141F1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16F76968">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2070" w:type="dxa"/>
            <w:gridSpan w:val="2"/>
            <w:noWrap w:val="0"/>
            <w:vAlign w:val="center"/>
          </w:tcPr>
          <w:p w14:paraId="123653BC">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应急救援预案</w:t>
            </w:r>
          </w:p>
        </w:tc>
        <w:tc>
          <w:tcPr>
            <w:tcW w:w="6645" w:type="dxa"/>
            <w:noWrap w:val="0"/>
            <w:vAlign w:val="center"/>
          </w:tcPr>
          <w:p w14:paraId="27F5E95D">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救援器材准备及演练等。</w:t>
            </w:r>
          </w:p>
        </w:tc>
      </w:tr>
      <w:tr w14:paraId="48010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bottom w:val="single" w:color="auto" w:sz="12" w:space="0"/>
            </w:tcBorders>
            <w:noWrap w:val="0"/>
            <w:vAlign w:val="center"/>
          </w:tcPr>
          <w:p w14:paraId="329E4CE6">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p>
        </w:tc>
        <w:tc>
          <w:tcPr>
            <w:tcW w:w="2070" w:type="dxa"/>
            <w:gridSpan w:val="2"/>
            <w:tcBorders>
              <w:bottom w:val="single" w:color="auto" w:sz="12" w:space="0"/>
            </w:tcBorders>
            <w:noWrap w:val="0"/>
            <w:vAlign w:val="center"/>
          </w:tcPr>
          <w:p w14:paraId="18BA36E9">
            <w:pPr>
              <w:pStyle w:val="105"/>
              <w:widowControl w:val="0"/>
              <w:spacing w:line="300" w:lineRule="exact"/>
              <w:jc w:val="center"/>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非正常情况施工</w:t>
            </w:r>
          </w:p>
        </w:tc>
        <w:tc>
          <w:tcPr>
            <w:tcW w:w="6645" w:type="dxa"/>
            <w:tcBorders>
              <w:bottom w:val="single" w:color="auto" w:sz="12" w:space="0"/>
            </w:tcBorders>
            <w:noWrap w:val="0"/>
            <w:vAlign w:val="center"/>
          </w:tcPr>
          <w:p w14:paraId="45869207">
            <w:pPr>
              <w:pStyle w:val="105"/>
              <w:widowControl w:val="0"/>
              <w:spacing w:line="300" w:lineRule="exact"/>
              <w:jc w:val="both"/>
              <w:rPr>
                <w:rStyle w:val="39"/>
                <w:rFonts w:ascii="方正仿宋_GBK" w:hAnsi="Times New Roman" w:eastAsia="方正仿宋_GBK" w:cs="Times New Roman"/>
                <w:color w:val="auto"/>
                <w:kern w:val="2"/>
                <w:sz w:val="21"/>
                <w:szCs w:val="21"/>
                <w:highlight w:val="none"/>
                <w:lang w:val="en-US" w:eastAsia="zh-CN" w:bidi="ar-SA"/>
              </w:rPr>
            </w:pPr>
            <w:r>
              <w:rPr>
                <w:rStyle w:val="39"/>
                <w:rFonts w:hint="eastAsia" w:ascii="方正仿宋_GBK" w:hAnsi="Times New Roman" w:eastAsia="方正仿宋_GBK" w:cs="方正仿宋_GBK"/>
                <w:color w:val="auto"/>
                <w:kern w:val="2"/>
                <w:sz w:val="21"/>
                <w:szCs w:val="21"/>
                <w:highlight w:val="none"/>
                <w:lang w:val="en-US" w:eastAsia="zh-CN" w:bidi="ar-SA"/>
              </w:rPr>
              <w:t>其它特殊情况下的防护费用，如：城市主干道、人流密集、河边等处施工及文物、古建筑、古树保护等。</w:t>
            </w:r>
          </w:p>
        </w:tc>
      </w:tr>
    </w:tbl>
    <w:p w14:paraId="684224DD">
      <w:pPr>
        <w:pStyle w:val="105"/>
        <w:spacing w:line="240" w:lineRule="atLeast"/>
        <w:ind w:firstLine="546"/>
        <w:jc w:val="center"/>
        <w:rPr>
          <w:rStyle w:val="39"/>
          <w:rFonts w:ascii="Times New Roman" w:hAnsi="Times New Roman" w:eastAsia="宋体" w:cs="Times New Roman"/>
          <w:b/>
          <w:bCs/>
          <w:color w:val="auto"/>
          <w:w w:val="90"/>
          <w:sz w:val="24"/>
          <w:szCs w:val="24"/>
          <w:highlight w:val="none"/>
        </w:rPr>
      </w:pPr>
    </w:p>
    <w:p w14:paraId="7CAEFF04">
      <w:pPr>
        <w:pStyle w:val="105"/>
        <w:spacing w:before="120" w:beforeLines="50"/>
        <w:ind w:firstLine="420" w:firstLineChars="200"/>
        <w:rPr>
          <w:rStyle w:val="39"/>
          <w:rFonts w:ascii="Times New Roman" w:hAnsi="Times New Roman" w:eastAsia="宋体" w:cs="宋体"/>
          <w:color w:val="auto"/>
          <w:szCs w:val="21"/>
          <w:highlight w:val="none"/>
        </w:rPr>
      </w:pPr>
      <w:r>
        <w:rPr>
          <w:rStyle w:val="39"/>
          <w:rFonts w:hint="eastAsia" w:ascii="Times New Roman" w:hAnsi="Times New Roman" w:eastAsia="宋体" w:cs="宋体"/>
          <w:color w:val="auto"/>
          <w:szCs w:val="21"/>
          <w:highlight w:val="none"/>
        </w:rPr>
        <w:t>注：本表所列建筑工程安全文明施工费，是依据现行法律法规及标准规范确定的。如法律法规和标准规范修订，本表所列项目应按照修订后的法律法规和标准规范进行调整。</w:t>
      </w:r>
    </w:p>
    <w:p w14:paraId="6C2EEB5D">
      <w:pPr>
        <w:spacing w:line="360" w:lineRule="auto"/>
        <w:ind w:firstLine="480" w:firstLineChars="200"/>
        <w:jc w:val="left"/>
        <w:rPr>
          <w:rFonts w:ascii="宋体" w:hAnsi="宋体" w:cs="宋体"/>
          <w:bCs/>
          <w:color w:val="auto"/>
          <w:sz w:val="24"/>
          <w:highlight w:val="none"/>
        </w:rPr>
      </w:pPr>
    </w:p>
    <w:p w14:paraId="5D99C9FA">
      <w:pPr>
        <w:pStyle w:val="18"/>
        <w:spacing w:line="360" w:lineRule="auto"/>
        <w:rPr>
          <w:rFonts w:ascii="宋体" w:hAnsi="宋体"/>
          <w:color w:val="auto"/>
          <w:highlight w:val="none"/>
        </w:rPr>
      </w:pPr>
    </w:p>
    <w:p w14:paraId="1C331504">
      <w:pPr>
        <w:pStyle w:val="26"/>
        <w:spacing w:line="360" w:lineRule="auto"/>
        <w:rPr>
          <w:rFonts w:ascii="宋体" w:hAnsi="宋体"/>
          <w:color w:val="auto"/>
          <w:highlight w:val="none"/>
        </w:rPr>
      </w:pPr>
    </w:p>
    <w:p w14:paraId="161B2D87">
      <w:pPr>
        <w:pStyle w:val="22"/>
        <w:spacing w:line="360" w:lineRule="auto"/>
        <w:rPr>
          <w:rFonts w:hAnsi="宋体"/>
          <w:color w:val="auto"/>
          <w:highlight w:val="none"/>
        </w:rPr>
        <w:sectPr>
          <w:pgSz w:w="11906" w:h="16838"/>
          <w:pgMar w:top="1247" w:right="1247" w:bottom="1247" w:left="1247" w:header="851" w:footer="992" w:gutter="0"/>
          <w:pgNumType w:fmt="decimal"/>
          <w:cols w:space="720" w:num="1"/>
          <w:titlePg/>
          <w:docGrid w:linePitch="312" w:charSpace="0"/>
        </w:sectPr>
      </w:pPr>
    </w:p>
    <w:p w14:paraId="59BD0514">
      <w:pPr>
        <w:adjustRightInd w:val="0"/>
        <w:snapToGrid w:val="0"/>
        <w:spacing w:line="360" w:lineRule="auto"/>
        <w:rPr>
          <w:rFonts w:hint="eastAsia" w:ascii="宋体" w:hAnsi="宋体" w:eastAsia="宋体"/>
          <w:b/>
          <w:color w:val="auto"/>
          <w:sz w:val="24"/>
          <w:highlight w:val="none"/>
          <w:lang w:eastAsia="zh-CN"/>
        </w:rPr>
      </w:pPr>
      <w:r>
        <w:rPr>
          <w:rFonts w:hint="eastAsia" w:ascii="宋体" w:hAnsi="宋体"/>
          <w:b/>
          <w:color w:val="auto"/>
          <w:sz w:val="24"/>
          <w:highlight w:val="none"/>
        </w:rPr>
        <w:t>附件1</w:t>
      </w:r>
      <w:r>
        <w:rPr>
          <w:rFonts w:hint="eastAsia" w:ascii="宋体" w:hAnsi="宋体"/>
          <w:b/>
          <w:color w:val="auto"/>
          <w:sz w:val="24"/>
          <w:highlight w:val="none"/>
          <w:lang w:val="en-US" w:eastAsia="zh-CN"/>
        </w:rPr>
        <w:t>5</w:t>
      </w:r>
    </w:p>
    <w:p w14:paraId="670804D3">
      <w:pPr>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t>中小企业声明函（工程）</w:t>
      </w:r>
    </w:p>
    <w:p w14:paraId="1B2B5369">
      <w:pPr>
        <w:pStyle w:val="105"/>
        <w:spacing w:line="360" w:lineRule="auto"/>
        <w:ind w:firstLine="420"/>
        <w:rPr>
          <w:rStyle w:val="39"/>
          <w:rFonts w:ascii="Times New Roman" w:hAnsi="Times New Roman" w:eastAsia="宋体" w:cs="Times New Roman"/>
          <w:bCs/>
          <w:color w:val="auto"/>
          <w:szCs w:val="21"/>
          <w:highlight w:val="none"/>
        </w:rPr>
      </w:pPr>
    </w:p>
    <w:p w14:paraId="416D34A9">
      <w:pPr>
        <w:pStyle w:val="105"/>
        <w:spacing w:line="360" w:lineRule="auto"/>
        <w:ind w:firstLine="420"/>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CFD109F">
      <w:pPr>
        <w:pStyle w:val="105"/>
        <w:spacing w:line="360" w:lineRule="auto"/>
        <w:ind w:firstLine="420"/>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1.</w:t>
      </w:r>
      <w:r>
        <w:rPr>
          <w:rStyle w:val="39"/>
          <w:rFonts w:hint="eastAsia" w:ascii="宋体" w:hAnsi="宋体" w:eastAsia="宋体" w:cs="宋体"/>
          <w:bCs/>
          <w:color w:val="auto"/>
          <w:sz w:val="24"/>
          <w:szCs w:val="24"/>
          <w:highlight w:val="none"/>
          <w:u w:val="single"/>
        </w:rPr>
        <w:t>（标的名称）</w:t>
      </w:r>
      <w:r>
        <w:rPr>
          <w:rStyle w:val="39"/>
          <w:rFonts w:hint="eastAsia" w:ascii="宋体" w:hAnsi="宋体" w:eastAsia="宋体" w:cs="宋体"/>
          <w:bCs/>
          <w:color w:val="auto"/>
          <w:sz w:val="24"/>
          <w:szCs w:val="24"/>
          <w:highlight w:val="none"/>
        </w:rPr>
        <w:t>，属于</w:t>
      </w:r>
      <w:r>
        <w:rPr>
          <w:rStyle w:val="39"/>
          <w:rFonts w:hint="eastAsia" w:ascii="宋体" w:hAnsi="宋体" w:eastAsia="宋体" w:cs="宋体"/>
          <w:bCs/>
          <w:color w:val="auto"/>
          <w:sz w:val="24"/>
          <w:szCs w:val="24"/>
          <w:highlight w:val="none"/>
          <w:u w:val="single"/>
        </w:rPr>
        <w:t>（第二章“投标人须知前附表”</w:t>
      </w:r>
      <w:r>
        <w:rPr>
          <w:rStyle w:val="39"/>
          <w:rFonts w:hint="eastAsia" w:ascii="宋体" w:hAnsi="宋体" w:eastAsia="宋体" w:cs="宋体"/>
          <w:bCs/>
          <w:color w:val="auto"/>
          <w:sz w:val="24"/>
          <w:szCs w:val="24"/>
          <w:highlight w:val="none"/>
          <w:u w:val="single"/>
          <w:lang w:val="en-US" w:eastAsia="zh-CN"/>
        </w:rPr>
        <w:t>3.</w:t>
      </w:r>
      <w:r>
        <w:rPr>
          <w:rStyle w:val="39"/>
          <w:rFonts w:hint="eastAsia" w:ascii="宋体" w:hAnsi="宋体" w:eastAsia="宋体" w:cs="宋体"/>
          <w:bCs/>
          <w:color w:val="auto"/>
          <w:sz w:val="24"/>
          <w:szCs w:val="24"/>
          <w:highlight w:val="none"/>
          <w:u w:val="single"/>
        </w:rPr>
        <w:t>中明确的所属行业）</w:t>
      </w:r>
      <w:r>
        <w:rPr>
          <w:rStyle w:val="39"/>
          <w:rFonts w:hint="eastAsia" w:ascii="宋体" w:hAnsi="宋体" w:eastAsia="宋体" w:cs="宋体"/>
          <w:bCs/>
          <w:color w:val="auto"/>
          <w:sz w:val="24"/>
          <w:szCs w:val="24"/>
          <w:highlight w:val="none"/>
        </w:rPr>
        <w:t>行业；承建企业为</w:t>
      </w:r>
      <w:r>
        <w:rPr>
          <w:rStyle w:val="39"/>
          <w:rFonts w:hint="eastAsia" w:ascii="宋体" w:hAnsi="宋体" w:eastAsia="宋体" w:cs="宋体"/>
          <w:bCs/>
          <w:color w:val="auto"/>
          <w:sz w:val="24"/>
          <w:szCs w:val="24"/>
          <w:highlight w:val="none"/>
          <w:u w:val="single"/>
        </w:rPr>
        <w:t>（企业名称）</w:t>
      </w:r>
      <w:r>
        <w:rPr>
          <w:rStyle w:val="39"/>
          <w:rFonts w:hint="eastAsia" w:ascii="宋体" w:hAnsi="宋体" w:eastAsia="宋体" w:cs="宋体"/>
          <w:bCs/>
          <w:color w:val="auto"/>
          <w:sz w:val="24"/>
          <w:szCs w:val="24"/>
          <w:highlight w:val="none"/>
        </w:rPr>
        <w:t>，从业人员</w:t>
      </w:r>
      <w:r>
        <w:rPr>
          <w:rStyle w:val="39"/>
          <w:rFonts w:hint="eastAsia" w:ascii="宋体" w:hAnsi="宋体" w:eastAsia="宋体" w:cs="宋体"/>
          <w:bCs/>
          <w:color w:val="auto"/>
          <w:sz w:val="24"/>
          <w:szCs w:val="24"/>
          <w:highlight w:val="none"/>
          <w:u w:val="single"/>
        </w:rPr>
        <w:t xml:space="preserve">    </w:t>
      </w:r>
      <w:r>
        <w:rPr>
          <w:rStyle w:val="39"/>
          <w:rFonts w:hint="eastAsia" w:ascii="宋体" w:hAnsi="宋体" w:eastAsia="宋体" w:cs="宋体"/>
          <w:bCs/>
          <w:color w:val="auto"/>
          <w:sz w:val="24"/>
          <w:szCs w:val="24"/>
          <w:highlight w:val="none"/>
        </w:rPr>
        <w:t>人，营业收入为</w:t>
      </w:r>
      <w:r>
        <w:rPr>
          <w:rStyle w:val="39"/>
          <w:rFonts w:hint="eastAsia" w:ascii="宋体" w:hAnsi="宋体" w:eastAsia="宋体" w:cs="宋体"/>
          <w:bCs/>
          <w:color w:val="auto"/>
          <w:sz w:val="24"/>
          <w:szCs w:val="24"/>
          <w:highlight w:val="none"/>
          <w:u w:val="single"/>
        </w:rPr>
        <w:t xml:space="preserve">    </w:t>
      </w:r>
      <w:r>
        <w:rPr>
          <w:rStyle w:val="39"/>
          <w:rFonts w:hint="eastAsia" w:ascii="宋体" w:hAnsi="宋体" w:eastAsia="宋体" w:cs="宋体"/>
          <w:bCs/>
          <w:color w:val="auto"/>
          <w:sz w:val="24"/>
          <w:szCs w:val="24"/>
          <w:highlight w:val="none"/>
        </w:rPr>
        <w:t>万元，资产总额为</w:t>
      </w:r>
      <w:r>
        <w:rPr>
          <w:rStyle w:val="39"/>
          <w:rFonts w:hint="eastAsia" w:ascii="宋体" w:hAnsi="宋体" w:eastAsia="宋体" w:cs="宋体"/>
          <w:bCs/>
          <w:color w:val="auto"/>
          <w:sz w:val="24"/>
          <w:szCs w:val="24"/>
          <w:highlight w:val="none"/>
          <w:u w:val="single"/>
        </w:rPr>
        <w:t xml:space="preserve">    </w:t>
      </w:r>
      <w:r>
        <w:rPr>
          <w:rStyle w:val="39"/>
          <w:rFonts w:hint="eastAsia" w:ascii="宋体" w:hAnsi="宋体" w:eastAsia="宋体" w:cs="宋体"/>
          <w:bCs/>
          <w:color w:val="auto"/>
          <w:sz w:val="24"/>
          <w:szCs w:val="24"/>
          <w:highlight w:val="none"/>
        </w:rPr>
        <w:t>万元，属于</w:t>
      </w:r>
      <w:r>
        <w:rPr>
          <w:rStyle w:val="39"/>
          <w:rFonts w:hint="eastAsia" w:ascii="宋体" w:hAnsi="宋体" w:eastAsia="宋体" w:cs="宋体"/>
          <w:bCs/>
          <w:color w:val="auto"/>
          <w:sz w:val="24"/>
          <w:szCs w:val="24"/>
          <w:highlight w:val="none"/>
          <w:u w:val="single"/>
        </w:rPr>
        <w:t>（中型企业、小型企业、微型企业）</w:t>
      </w:r>
      <w:r>
        <w:rPr>
          <w:rStyle w:val="39"/>
          <w:rFonts w:hint="eastAsia" w:ascii="宋体" w:hAnsi="宋体" w:eastAsia="宋体" w:cs="宋体"/>
          <w:bCs/>
          <w:color w:val="auto"/>
          <w:sz w:val="24"/>
          <w:szCs w:val="24"/>
          <w:highlight w:val="none"/>
        </w:rPr>
        <w:t>；</w:t>
      </w:r>
    </w:p>
    <w:p w14:paraId="479529AA">
      <w:pPr>
        <w:pStyle w:val="105"/>
        <w:spacing w:line="360" w:lineRule="auto"/>
        <w:ind w:firstLine="420"/>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2.</w:t>
      </w:r>
      <w:r>
        <w:rPr>
          <w:rStyle w:val="39"/>
          <w:rFonts w:hint="eastAsia" w:ascii="宋体" w:hAnsi="宋体" w:eastAsia="宋体" w:cs="宋体"/>
          <w:bCs/>
          <w:color w:val="auto"/>
          <w:sz w:val="24"/>
          <w:szCs w:val="24"/>
          <w:highlight w:val="none"/>
          <w:u w:val="single"/>
        </w:rPr>
        <w:t>（标的名称）</w:t>
      </w:r>
      <w:r>
        <w:rPr>
          <w:rStyle w:val="39"/>
          <w:rFonts w:hint="eastAsia" w:ascii="宋体" w:hAnsi="宋体" w:eastAsia="宋体" w:cs="宋体"/>
          <w:bCs/>
          <w:color w:val="auto"/>
          <w:sz w:val="24"/>
          <w:szCs w:val="24"/>
          <w:highlight w:val="none"/>
        </w:rPr>
        <w:t>，属于</w:t>
      </w:r>
      <w:r>
        <w:rPr>
          <w:rStyle w:val="39"/>
          <w:rFonts w:hint="eastAsia" w:ascii="宋体" w:hAnsi="宋体" w:eastAsia="宋体" w:cs="宋体"/>
          <w:bCs/>
          <w:color w:val="auto"/>
          <w:sz w:val="24"/>
          <w:szCs w:val="24"/>
          <w:highlight w:val="none"/>
          <w:u w:val="single"/>
        </w:rPr>
        <w:t>（第二章“投标人须知前附表”</w:t>
      </w:r>
      <w:r>
        <w:rPr>
          <w:rStyle w:val="39"/>
          <w:rFonts w:hint="eastAsia" w:ascii="宋体" w:hAnsi="宋体" w:eastAsia="宋体" w:cs="宋体"/>
          <w:bCs/>
          <w:color w:val="auto"/>
          <w:sz w:val="24"/>
          <w:szCs w:val="24"/>
          <w:highlight w:val="none"/>
          <w:u w:val="single"/>
          <w:lang w:val="en-US" w:eastAsia="zh-CN"/>
        </w:rPr>
        <w:t>3.</w:t>
      </w:r>
      <w:r>
        <w:rPr>
          <w:rStyle w:val="39"/>
          <w:rFonts w:hint="eastAsia" w:ascii="宋体" w:hAnsi="宋体" w:eastAsia="宋体" w:cs="宋体"/>
          <w:bCs/>
          <w:color w:val="auto"/>
          <w:sz w:val="24"/>
          <w:szCs w:val="24"/>
          <w:highlight w:val="none"/>
          <w:u w:val="single"/>
        </w:rPr>
        <w:t>中明确的所属行业）</w:t>
      </w:r>
      <w:r>
        <w:rPr>
          <w:rStyle w:val="39"/>
          <w:rFonts w:hint="eastAsia" w:ascii="宋体" w:hAnsi="宋体" w:eastAsia="宋体" w:cs="宋体"/>
          <w:bCs/>
          <w:color w:val="auto"/>
          <w:sz w:val="24"/>
          <w:szCs w:val="24"/>
          <w:highlight w:val="none"/>
        </w:rPr>
        <w:t>行业；承建企业为</w:t>
      </w:r>
      <w:r>
        <w:rPr>
          <w:rStyle w:val="39"/>
          <w:rFonts w:hint="eastAsia" w:ascii="宋体" w:hAnsi="宋体" w:eastAsia="宋体" w:cs="宋体"/>
          <w:bCs/>
          <w:color w:val="auto"/>
          <w:sz w:val="24"/>
          <w:szCs w:val="24"/>
          <w:highlight w:val="none"/>
          <w:u w:val="single"/>
        </w:rPr>
        <w:t>（企业名称）</w:t>
      </w:r>
      <w:r>
        <w:rPr>
          <w:rStyle w:val="39"/>
          <w:rFonts w:hint="eastAsia" w:ascii="宋体" w:hAnsi="宋体" w:eastAsia="宋体" w:cs="宋体"/>
          <w:bCs/>
          <w:color w:val="auto"/>
          <w:sz w:val="24"/>
          <w:szCs w:val="24"/>
          <w:highlight w:val="none"/>
        </w:rPr>
        <w:t>，从业人员</w:t>
      </w:r>
      <w:r>
        <w:rPr>
          <w:rStyle w:val="39"/>
          <w:rFonts w:hint="eastAsia" w:ascii="宋体" w:hAnsi="宋体" w:eastAsia="宋体" w:cs="宋体"/>
          <w:bCs/>
          <w:color w:val="auto"/>
          <w:sz w:val="24"/>
          <w:szCs w:val="24"/>
          <w:highlight w:val="none"/>
          <w:u w:val="single"/>
        </w:rPr>
        <w:t xml:space="preserve">    </w:t>
      </w:r>
      <w:r>
        <w:rPr>
          <w:rStyle w:val="39"/>
          <w:rFonts w:hint="eastAsia" w:ascii="宋体" w:hAnsi="宋体" w:eastAsia="宋体" w:cs="宋体"/>
          <w:bCs/>
          <w:color w:val="auto"/>
          <w:sz w:val="24"/>
          <w:szCs w:val="24"/>
          <w:highlight w:val="none"/>
        </w:rPr>
        <w:t>人，营业收入为</w:t>
      </w:r>
      <w:r>
        <w:rPr>
          <w:rStyle w:val="39"/>
          <w:rFonts w:hint="eastAsia" w:ascii="宋体" w:hAnsi="宋体" w:eastAsia="宋体" w:cs="宋体"/>
          <w:bCs/>
          <w:color w:val="auto"/>
          <w:sz w:val="24"/>
          <w:szCs w:val="24"/>
          <w:highlight w:val="none"/>
          <w:u w:val="single"/>
        </w:rPr>
        <w:t xml:space="preserve">    </w:t>
      </w:r>
      <w:r>
        <w:rPr>
          <w:rStyle w:val="39"/>
          <w:rFonts w:hint="eastAsia" w:ascii="宋体" w:hAnsi="宋体" w:eastAsia="宋体" w:cs="宋体"/>
          <w:bCs/>
          <w:color w:val="auto"/>
          <w:sz w:val="24"/>
          <w:szCs w:val="24"/>
          <w:highlight w:val="none"/>
        </w:rPr>
        <w:t>万元，资产总额为</w:t>
      </w:r>
      <w:r>
        <w:rPr>
          <w:rStyle w:val="39"/>
          <w:rFonts w:hint="eastAsia" w:ascii="宋体" w:hAnsi="宋体" w:eastAsia="宋体" w:cs="宋体"/>
          <w:bCs/>
          <w:color w:val="auto"/>
          <w:sz w:val="24"/>
          <w:szCs w:val="24"/>
          <w:highlight w:val="none"/>
          <w:u w:val="single"/>
        </w:rPr>
        <w:t xml:space="preserve">    </w:t>
      </w:r>
      <w:r>
        <w:rPr>
          <w:rStyle w:val="39"/>
          <w:rFonts w:hint="eastAsia" w:ascii="宋体" w:hAnsi="宋体" w:eastAsia="宋体" w:cs="宋体"/>
          <w:bCs/>
          <w:color w:val="auto"/>
          <w:sz w:val="24"/>
          <w:szCs w:val="24"/>
          <w:highlight w:val="none"/>
        </w:rPr>
        <w:t>万元，属于</w:t>
      </w:r>
      <w:r>
        <w:rPr>
          <w:rStyle w:val="39"/>
          <w:rFonts w:hint="eastAsia" w:ascii="宋体" w:hAnsi="宋体" w:eastAsia="宋体" w:cs="宋体"/>
          <w:bCs/>
          <w:color w:val="auto"/>
          <w:sz w:val="24"/>
          <w:szCs w:val="24"/>
          <w:highlight w:val="none"/>
          <w:u w:val="single"/>
        </w:rPr>
        <w:t>（中型企业、小型企业、微型企业）</w:t>
      </w:r>
      <w:r>
        <w:rPr>
          <w:rStyle w:val="39"/>
          <w:rFonts w:hint="eastAsia" w:ascii="宋体" w:hAnsi="宋体" w:eastAsia="宋体" w:cs="宋体"/>
          <w:bCs/>
          <w:color w:val="auto"/>
          <w:sz w:val="24"/>
          <w:szCs w:val="24"/>
          <w:highlight w:val="none"/>
        </w:rPr>
        <w:t>；</w:t>
      </w:r>
    </w:p>
    <w:p w14:paraId="0BAA7A39">
      <w:pPr>
        <w:pStyle w:val="105"/>
        <w:spacing w:line="360" w:lineRule="auto"/>
        <w:ind w:firstLine="420"/>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w:t>
      </w:r>
    </w:p>
    <w:p w14:paraId="1DECFC5A">
      <w:pPr>
        <w:pStyle w:val="105"/>
        <w:spacing w:line="360" w:lineRule="auto"/>
        <w:ind w:firstLine="420"/>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以上企业，不属于大企业的分支机构，不存在控股股东为大企业的情形，也不存在与大企业的负责人为同一人的情形。</w:t>
      </w:r>
    </w:p>
    <w:p w14:paraId="72C8FE9D">
      <w:pPr>
        <w:pStyle w:val="105"/>
        <w:spacing w:line="360" w:lineRule="auto"/>
        <w:ind w:firstLine="420"/>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本企业对上述声明内容的真实性负责。如有虚假，将依法承担相应责任。</w:t>
      </w:r>
    </w:p>
    <w:p w14:paraId="79194E23">
      <w:pPr>
        <w:pStyle w:val="105"/>
        <w:spacing w:line="360" w:lineRule="auto"/>
        <w:ind w:firstLine="3600" w:firstLineChars="1500"/>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企业名称（</w:t>
      </w:r>
      <w:r>
        <w:rPr>
          <w:rStyle w:val="39"/>
          <w:rFonts w:hint="eastAsia" w:ascii="宋体" w:hAnsi="宋体" w:eastAsia="宋体" w:cs="宋体"/>
          <w:color w:val="auto"/>
          <w:spacing w:val="6"/>
          <w:sz w:val="24"/>
          <w:szCs w:val="24"/>
          <w:highlight w:val="none"/>
        </w:rPr>
        <w:t>盖法人单位电子印章</w:t>
      </w:r>
      <w:r>
        <w:rPr>
          <w:rStyle w:val="39"/>
          <w:rFonts w:hint="eastAsia" w:ascii="宋体" w:hAnsi="宋体" w:eastAsia="宋体" w:cs="宋体"/>
          <w:bCs/>
          <w:color w:val="auto"/>
          <w:sz w:val="24"/>
          <w:szCs w:val="24"/>
          <w:highlight w:val="none"/>
        </w:rPr>
        <w:t>）：</w:t>
      </w:r>
    </w:p>
    <w:p w14:paraId="3611FCDD">
      <w:pPr>
        <w:pStyle w:val="105"/>
        <w:spacing w:line="360" w:lineRule="auto"/>
        <w:ind w:firstLine="3600" w:firstLineChars="1500"/>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日期：</w:t>
      </w:r>
    </w:p>
    <w:p w14:paraId="76B04E78">
      <w:pPr>
        <w:pStyle w:val="105"/>
        <w:spacing w:line="360" w:lineRule="auto"/>
        <w:jc w:val="left"/>
        <w:rPr>
          <w:rStyle w:val="39"/>
          <w:rFonts w:hint="eastAsia" w:ascii="宋体" w:hAnsi="宋体" w:eastAsia="宋体" w:cs="宋体"/>
          <w:bCs/>
          <w:color w:val="auto"/>
          <w:sz w:val="24"/>
          <w:szCs w:val="24"/>
          <w:highlight w:val="none"/>
        </w:rPr>
      </w:pPr>
    </w:p>
    <w:p w14:paraId="75F260F8">
      <w:pPr>
        <w:pStyle w:val="105"/>
        <w:spacing w:line="360" w:lineRule="auto"/>
        <w:jc w:val="left"/>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注：（1）如投标人为联合体或分包的，声明函中“项目名称”应填写联合体中中小企业承担的具体内容或者中小企业具体分包内容。</w:t>
      </w:r>
    </w:p>
    <w:p w14:paraId="267F7258">
      <w:pPr>
        <w:pStyle w:val="105"/>
        <w:spacing w:line="360" w:lineRule="auto"/>
        <w:jc w:val="left"/>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（2）请根据真实情况出具《中小企业声明函》。</w:t>
      </w:r>
      <w:r>
        <w:rPr>
          <w:rStyle w:val="39"/>
          <w:rFonts w:hint="eastAsia" w:ascii="宋体" w:hAnsi="宋体" w:eastAsia="宋体" w:cs="宋体"/>
          <w:color w:val="auto"/>
          <w:sz w:val="24"/>
          <w:szCs w:val="24"/>
          <w:highlight w:val="none"/>
        </w:rPr>
        <w:t>中标候选人享受《政府采购促进中小企业发展管理办法》（财库〔2020〕46号）规定的中小企业扶持政策的，招标人或者其委托的招标代理机构应当在公示中标候选人时公开中标候选人的《中小企业声明函》</w:t>
      </w:r>
      <w:r>
        <w:rPr>
          <w:rStyle w:val="39"/>
          <w:rFonts w:hint="eastAsia" w:ascii="宋体" w:hAnsi="宋体" w:eastAsia="宋体" w:cs="宋体"/>
          <w:bCs/>
          <w:color w:val="auto"/>
          <w:sz w:val="24"/>
          <w:szCs w:val="24"/>
          <w:highlight w:val="none"/>
        </w:rPr>
        <w:t>，接受社会监督。</w:t>
      </w:r>
    </w:p>
    <w:p w14:paraId="7E0EB31D">
      <w:pPr>
        <w:pStyle w:val="105"/>
        <w:spacing w:line="360" w:lineRule="auto"/>
        <w:jc w:val="left"/>
        <w:rPr>
          <w:rStyle w:val="39"/>
          <w:rFonts w:hint="eastAsia" w:ascii="宋体" w:hAnsi="宋体" w:eastAsia="宋体" w:cs="宋体"/>
          <w:bCs/>
          <w:color w:val="auto"/>
          <w:sz w:val="24"/>
          <w:szCs w:val="24"/>
          <w:highlight w:val="none"/>
        </w:rPr>
      </w:pPr>
      <w:r>
        <w:rPr>
          <w:rStyle w:val="39"/>
          <w:rFonts w:hint="eastAsia" w:ascii="宋体" w:hAnsi="宋体" w:eastAsia="宋体" w:cs="宋体"/>
          <w:bCs/>
          <w:color w:val="auto"/>
          <w:sz w:val="24"/>
          <w:szCs w:val="24"/>
          <w:highlight w:val="none"/>
        </w:rPr>
        <w:t>（3）从业人员、营业收入、资产总额填报上一年度数据，无上一年度数据的新成立企业可不填报。</w:t>
      </w:r>
    </w:p>
    <w:p w14:paraId="343EDB6F">
      <w:pPr>
        <w:rPr>
          <w:rFonts w:hint="eastAsia" w:ascii="宋体" w:hAnsi="宋体"/>
          <w:b/>
          <w:bCs/>
          <w:color w:val="auto"/>
          <w:sz w:val="28"/>
          <w:szCs w:val="28"/>
          <w:highlight w:val="none"/>
        </w:rPr>
      </w:pPr>
    </w:p>
    <w:p w14:paraId="3AEAB768">
      <w:pPr>
        <w:rPr>
          <w:rFonts w:hint="eastAsia" w:ascii="宋体" w:hAnsi="宋体"/>
          <w:b/>
          <w:color w:val="auto"/>
          <w:sz w:val="24"/>
          <w:highlight w:val="none"/>
        </w:rPr>
      </w:pPr>
      <w:r>
        <w:rPr>
          <w:rFonts w:hint="eastAsia" w:ascii="宋体" w:hAnsi="宋体"/>
          <w:b/>
          <w:color w:val="auto"/>
          <w:sz w:val="24"/>
          <w:highlight w:val="none"/>
        </w:rPr>
        <w:br w:type="page"/>
      </w:r>
    </w:p>
    <w:p w14:paraId="3F230ABF">
      <w:pPr>
        <w:spacing w:line="360" w:lineRule="auto"/>
        <w:ind w:left="420" w:hanging="420"/>
        <w:jc w:val="left"/>
        <w:rPr>
          <w:rFonts w:hint="eastAsia" w:ascii="宋体" w:hAnsi="宋体" w:eastAsia="宋体"/>
          <w:b/>
          <w:color w:val="auto"/>
          <w:sz w:val="24"/>
          <w:highlight w:val="none"/>
          <w:lang w:eastAsia="zh-CN"/>
        </w:rPr>
      </w:pPr>
      <w:r>
        <w:rPr>
          <w:rFonts w:hint="eastAsia" w:ascii="宋体" w:hAnsi="宋体"/>
          <w:b/>
          <w:color w:val="auto"/>
          <w:sz w:val="24"/>
          <w:highlight w:val="none"/>
        </w:rPr>
        <w:t>附件1</w:t>
      </w:r>
      <w:r>
        <w:rPr>
          <w:rFonts w:hint="eastAsia" w:ascii="宋体" w:hAnsi="宋体"/>
          <w:b/>
          <w:color w:val="auto"/>
          <w:sz w:val="24"/>
          <w:highlight w:val="none"/>
          <w:lang w:val="en-US" w:eastAsia="zh-CN"/>
        </w:rPr>
        <w:t>6</w:t>
      </w:r>
    </w:p>
    <w:p w14:paraId="68F4561E">
      <w:pPr>
        <w:spacing w:line="360" w:lineRule="auto"/>
        <w:jc w:val="center"/>
        <w:rPr>
          <w:rFonts w:hint="eastAsia" w:ascii="宋体" w:hAnsi="宋体" w:eastAsia="宋体" w:cs="Times New Roman"/>
          <w:b/>
          <w:bCs/>
          <w:color w:val="auto"/>
          <w:sz w:val="28"/>
          <w:szCs w:val="28"/>
          <w:highlight w:val="none"/>
        </w:rPr>
      </w:pPr>
      <w:r>
        <w:rPr>
          <w:rFonts w:hint="eastAsia" w:ascii="宋体" w:hAnsi="宋体" w:eastAsia="宋体" w:cs="Times New Roman"/>
          <w:b/>
          <w:bCs/>
          <w:color w:val="auto"/>
          <w:sz w:val="28"/>
          <w:szCs w:val="28"/>
          <w:highlight w:val="none"/>
        </w:rPr>
        <w:t>残疾人福利性单位声明函</w:t>
      </w:r>
    </w:p>
    <w:p w14:paraId="236904B1">
      <w:pPr>
        <w:spacing w:line="360" w:lineRule="auto"/>
        <w:ind w:firstLine="480" w:firstLineChars="200"/>
        <w:outlineLvl w:val="9"/>
        <w:rPr>
          <w:rFonts w:hint="eastAsia" w:ascii="宋体" w:hAnsi="宋体" w:eastAsia="宋体" w:cs="宋体"/>
          <w:color w:val="auto"/>
          <w:sz w:val="24"/>
          <w:highlight w:val="none"/>
        </w:rPr>
      </w:pPr>
    </w:p>
    <w:p w14:paraId="68D22154">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20B4E39">
      <w:pPr>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65811DF6">
      <w:pPr>
        <w:spacing w:line="360" w:lineRule="auto"/>
        <w:ind w:firstLine="480" w:firstLineChars="200"/>
        <w:outlineLvl w:val="9"/>
        <w:rPr>
          <w:rFonts w:hint="eastAsia" w:ascii="宋体" w:hAnsi="宋体" w:eastAsia="宋体" w:cs="宋体"/>
          <w:color w:val="auto"/>
          <w:sz w:val="24"/>
          <w:highlight w:val="none"/>
        </w:rPr>
      </w:pPr>
    </w:p>
    <w:p w14:paraId="06EEF951">
      <w:pPr>
        <w:spacing w:line="360" w:lineRule="auto"/>
        <w:ind w:firstLine="480" w:firstLineChars="200"/>
        <w:outlineLvl w:val="9"/>
        <w:rPr>
          <w:rFonts w:hint="eastAsia" w:ascii="宋体" w:hAnsi="宋体" w:eastAsia="宋体" w:cs="宋体"/>
          <w:color w:val="auto"/>
          <w:sz w:val="24"/>
          <w:highlight w:val="none"/>
        </w:rPr>
      </w:pPr>
    </w:p>
    <w:p w14:paraId="0CB87A64">
      <w:pPr>
        <w:tabs>
          <w:tab w:val="left" w:pos="4860"/>
        </w:tabs>
        <w:spacing w:line="360" w:lineRule="auto"/>
        <w:ind w:right="1560" w:firstLine="480" w:firstLineChars="200"/>
        <w:jc w:val="center"/>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eastAsia="宋体" w:cs="宋体"/>
          <w:color w:val="auto"/>
          <w:kern w:val="0"/>
          <w:sz w:val="24"/>
          <w:highlight w:val="none"/>
          <w:lang w:val="en-US" w:eastAsia="zh-CN"/>
        </w:rPr>
        <w:t>电子</w:t>
      </w:r>
      <w:r>
        <w:rPr>
          <w:rFonts w:hint="eastAsia" w:ascii="宋体" w:hAnsi="宋体" w:eastAsia="宋体" w:cs="宋体"/>
          <w:color w:val="auto"/>
          <w:sz w:val="24"/>
          <w:highlight w:val="none"/>
        </w:rPr>
        <w:t>公章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w:t>
      </w:r>
    </w:p>
    <w:p w14:paraId="12D17E82">
      <w:pPr>
        <w:spacing w:line="360" w:lineRule="auto"/>
        <w:ind w:left="420" w:hanging="42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410C4CC">
      <w:pPr>
        <w:spacing w:line="360" w:lineRule="auto"/>
        <w:ind w:left="420" w:hanging="420"/>
        <w:jc w:val="center"/>
        <w:rPr>
          <w:rFonts w:hint="eastAsia" w:ascii="宋体" w:hAnsi="宋体"/>
          <w:b/>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52D09BAA">
      <w:pPr>
        <w:spacing w:line="360" w:lineRule="auto"/>
        <w:ind w:firstLine="7680" w:firstLineChars="3200"/>
        <w:rPr>
          <w:rFonts w:ascii="宋体" w:hAnsi="宋体" w:cs="Courier New"/>
          <w:color w:val="auto"/>
          <w:sz w:val="24"/>
          <w:highlight w:val="none"/>
        </w:rPr>
      </w:pPr>
    </w:p>
    <w:p w14:paraId="700A9AA8">
      <w:pPr>
        <w:spacing w:line="360" w:lineRule="auto"/>
        <w:ind w:firstLine="7680" w:firstLineChars="3200"/>
        <w:rPr>
          <w:rFonts w:ascii="宋体" w:hAnsi="宋体" w:cs="Courier New"/>
          <w:color w:val="auto"/>
          <w:sz w:val="24"/>
          <w:highlight w:val="none"/>
        </w:rPr>
      </w:pPr>
    </w:p>
    <w:p w14:paraId="7E96D92D">
      <w:pPr>
        <w:spacing w:line="360" w:lineRule="auto"/>
        <w:ind w:firstLine="6720" w:firstLineChars="3200"/>
        <w:rPr>
          <w:rFonts w:ascii="宋体" w:hAnsi="宋体" w:cs="Courier New"/>
          <w:color w:val="auto"/>
          <w:szCs w:val="21"/>
          <w:highlight w:val="none"/>
        </w:rPr>
      </w:pPr>
    </w:p>
    <w:p w14:paraId="71CD6EF4">
      <w:pPr>
        <w:spacing w:line="360" w:lineRule="auto"/>
        <w:ind w:firstLine="6720" w:firstLineChars="3200"/>
        <w:rPr>
          <w:rFonts w:ascii="宋体" w:hAnsi="宋体" w:cs="Courier New"/>
          <w:color w:val="auto"/>
          <w:szCs w:val="21"/>
          <w:highlight w:val="none"/>
        </w:rPr>
      </w:pPr>
    </w:p>
    <w:p w14:paraId="17F6B47B">
      <w:pPr>
        <w:spacing w:line="360" w:lineRule="auto"/>
        <w:rPr>
          <w:rFonts w:ascii="宋体" w:hAnsi="宋体" w:cs="宋体"/>
          <w:b/>
          <w:color w:val="auto"/>
          <w:spacing w:val="6"/>
          <w:sz w:val="28"/>
          <w:szCs w:val="28"/>
          <w:highlight w:val="none"/>
        </w:rPr>
      </w:pPr>
    </w:p>
    <w:p w14:paraId="7B2E7F3D">
      <w:pPr>
        <w:spacing w:line="360" w:lineRule="auto"/>
        <w:rPr>
          <w:rFonts w:ascii="宋体" w:hAnsi="宋体" w:cs="宋体"/>
          <w:b/>
          <w:color w:val="auto"/>
          <w:spacing w:val="6"/>
          <w:sz w:val="28"/>
          <w:szCs w:val="28"/>
          <w:highlight w:val="none"/>
        </w:rPr>
      </w:pPr>
      <w:r>
        <w:rPr>
          <w:rFonts w:hint="eastAsia" w:ascii="宋体" w:hAnsi="宋体" w:cs="宋体"/>
          <w:b/>
          <w:color w:val="auto"/>
          <w:spacing w:val="6"/>
          <w:sz w:val="28"/>
          <w:szCs w:val="28"/>
          <w:highlight w:val="none"/>
        </w:rPr>
        <w:br w:type="page"/>
      </w:r>
    </w:p>
    <w:p w14:paraId="25D75C30">
      <w:pPr>
        <w:spacing w:line="360" w:lineRule="auto"/>
        <w:rPr>
          <w:rFonts w:hint="eastAsia" w:ascii="宋体" w:hAnsi="宋体" w:eastAsia="宋体" w:cs="宋体"/>
          <w:b/>
          <w:color w:val="auto"/>
          <w:spacing w:val="6"/>
          <w:sz w:val="24"/>
          <w:highlight w:val="none"/>
          <w:lang w:eastAsia="zh-CN"/>
        </w:rPr>
      </w:pPr>
      <w:r>
        <w:rPr>
          <w:rFonts w:hint="eastAsia" w:ascii="宋体" w:hAnsi="宋体" w:cs="宋体"/>
          <w:b/>
          <w:color w:val="auto"/>
          <w:spacing w:val="6"/>
          <w:sz w:val="24"/>
          <w:highlight w:val="none"/>
        </w:rPr>
        <w:t>附件1</w:t>
      </w:r>
      <w:r>
        <w:rPr>
          <w:rFonts w:hint="eastAsia" w:ascii="宋体" w:hAnsi="宋体" w:cs="宋体"/>
          <w:b/>
          <w:color w:val="auto"/>
          <w:spacing w:val="6"/>
          <w:sz w:val="24"/>
          <w:highlight w:val="none"/>
          <w:lang w:val="en-US" w:eastAsia="zh-CN"/>
        </w:rPr>
        <w:t>7</w:t>
      </w:r>
    </w:p>
    <w:p w14:paraId="0452BBC5">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质疑函范本格式：</w:t>
      </w:r>
    </w:p>
    <w:p w14:paraId="5E078460">
      <w:pPr>
        <w:spacing w:line="360" w:lineRule="auto"/>
        <w:jc w:val="center"/>
        <w:rPr>
          <w:rFonts w:ascii="宋体" w:hAnsi="宋体" w:cs="宋体"/>
          <w:b/>
          <w:color w:val="auto"/>
          <w:spacing w:val="6"/>
          <w:sz w:val="24"/>
          <w:highlight w:val="none"/>
        </w:rPr>
      </w:pPr>
      <w:r>
        <w:rPr>
          <w:rFonts w:hint="eastAsia" w:ascii="宋体" w:hAnsi="宋体" w:cs="宋体"/>
          <w:b/>
          <w:color w:val="auto"/>
          <w:spacing w:val="6"/>
          <w:sz w:val="24"/>
          <w:highlight w:val="none"/>
        </w:rPr>
        <w:t>质疑函范本</w:t>
      </w:r>
    </w:p>
    <w:p w14:paraId="04C85F8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5F298C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651BF5D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103F9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861414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36C592A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CFFDD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4488397">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6BC8066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5890B6F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901AAE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40F47AD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653F082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3D70199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05F9D1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2D0D38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478A4E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07C0A2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6A465C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4CEC228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3F1A6FCA">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47E33C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276CC81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6F3F36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9CFB28D">
      <w:pPr>
        <w:spacing w:line="360" w:lineRule="auto"/>
        <w:jc w:val="center"/>
        <w:rPr>
          <w:rFonts w:ascii="宋体" w:hAnsi="宋体" w:cs="宋体"/>
          <w:b/>
          <w:bCs/>
          <w:color w:val="auto"/>
          <w:sz w:val="24"/>
          <w:highlight w:val="none"/>
        </w:rPr>
      </w:pPr>
    </w:p>
    <w:p w14:paraId="49616744">
      <w:pPr>
        <w:spacing w:line="360" w:lineRule="auto"/>
        <w:rPr>
          <w:rFonts w:ascii="宋体" w:hAnsi="宋体" w:cs="宋体"/>
          <w:b/>
          <w:color w:val="auto"/>
          <w:sz w:val="24"/>
          <w:highlight w:val="none"/>
        </w:rPr>
      </w:pPr>
    </w:p>
    <w:p w14:paraId="248726B4">
      <w:pPr>
        <w:spacing w:line="360" w:lineRule="auto"/>
        <w:rPr>
          <w:rFonts w:ascii="宋体" w:hAnsi="宋体" w:cs="宋体"/>
          <w:b/>
          <w:color w:val="auto"/>
          <w:sz w:val="24"/>
          <w:highlight w:val="none"/>
        </w:rPr>
      </w:pPr>
    </w:p>
    <w:p w14:paraId="0F194F7C">
      <w:pPr>
        <w:spacing w:line="360" w:lineRule="auto"/>
        <w:rPr>
          <w:rFonts w:ascii="宋体" w:hAnsi="宋体" w:cs="宋体"/>
          <w:b/>
          <w:color w:val="auto"/>
          <w:sz w:val="24"/>
          <w:highlight w:val="none"/>
        </w:rPr>
      </w:pPr>
    </w:p>
    <w:p w14:paraId="3E062F92">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49FF48A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2BF032C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1B6094F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CE2A3E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38E1580C">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B9D96F1">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61744817">
      <w:pPr>
        <w:widowControl/>
        <w:spacing w:line="360" w:lineRule="auto"/>
        <w:ind w:firstLine="480" w:firstLineChars="200"/>
        <w:jc w:val="left"/>
        <w:rPr>
          <w:rFonts w:ascii="宋体" w:hAnsi="宋体" w:cs="宋体"/>
          <w:color w:val="auto"/>
          <w:sz w:val="24"/>
          <w:highlight w:val="none"/>
        </w:rPr>
      </w:pPr>
    </w:p>
    <w:p w14:paraId="5D8130D8">
      <w:pPr>
        <w:spacing w:line="360" w:lineRule="auto"/>
        <w:rPr>
          <w:rFonts w:ascii="宋体" w:hAnsi="宋体" w:cs="宋体"/>
          <w:b/>
          <w:color w:val="auto"/>
          <w:spacing w:val="6"/>
          <w:szCs w:val="21"/>
          <w:highlight w:val="none"/>
        </w:rPr>
        <w:sectPr>
          <w:pgSz w:w="11906" w:h="16838"/>
          <w:pgMar w:top="1247" w:right="1247" w:bottom="1247" w:left="1247" w:header="851" w:footer="992" w:gutter="0"/>
          <w:pgNumType w:fmt="decimal"/>
          <w:cols w:space="720" w:num="1"/>
          <w:titlePg/>
          <w:docGrid w:linePitch="312" w:charSpace="0"/>
        </w:sectPr>
      </w:pPr>
    </w:p>
    <w:p w14:paraId="27B587BB">
      <w:pPr>
        <w:spacing w:line="360" w:lineRule="auto"/>
        <w:rPr>
          <w:rFonts w:hint="eastAsia" w:ascii="宋体" w:hAnsi="宋体" w:eastAsia="宋体" w:cs="宋体"/>
          <w:b/>
          <w:color w:val="auto"/>
          <w:spacing w:val="6"/>
          <w:sz w:val="24"/>
          <w:highlight w:val="none"/>
          <w:lang w:eastAsia="zh-CN"/>
        </w:rPr>
      </w:pPr>
      <w:r>
        <w:rPr>
          <w:rFonts w:hint="eastAsia" w:ascii="宋体" w:hAnsi="宋体" w:cs="宋体"/>
          <w:b/>
          <w:color w:val="auto"/>
          <w:spacing w:val="6"/>
          <w:sz w:val="24"/>
          <w:highlight w:val="none"/>
        </w:rPr>
        <w:t>附件1</w:t>
      </w:r>
      <w:r>
        <w:rPr>
          <w:rFonts w:hint="eastAsia" w:ascii="宋体" w:hAnsi="宋体" w:cs="宋体"/>
          <w:b/>
          <w:color w:val="auto"/>
          <w:spacing w:val="6"/>
          <w:sz w:val="24"/>
          <w:highlight w:val="none"/>
          <w:lang w:val="en-US" w:eastAsia="zh-CN"/>
        </w:rPr>
        <w:t>8</w:t>
      </w:r>
    </w:p>
    <w:p w14:paraId="2C30F687">
      <w:pPr>
        <w:spacing w:line="360" w:lineRule="auto"/>
        <w:rPr>
          <w:rFonts w:ascii="宋体" w:hAnsi="宋体" w:cs="宋体"/>
          <w:b/>
          <w:color w:val="auto"/>
          <w:spacing w:val="6"/>
          <w:sz w:val="24"/>
          <w:highlight w:val="none"/>
        </w:rPr>
      </w:pPr>
      <w:r>
        <w:rPr>
          <w:rFonts w:hint="eastAsia" w:ascii="宋体" w:hAnsi="宋体" w:cs="宋体"/>
          <w:b/>
          <w:color w:val="auto"/>
          <w:spacing w:val="6"/>
          <w:sz w:val="24"/>
          <w:highlight w:val="none"/>
        </w:rPr>
        <w:t>投诉书范本格式：</w:t>
      </w:r>
    </w:p>
    <w:p w14:paraId="17744F89">
      <w:pPr>
        <w:snapToGrid w:val="0"/>
        <w:spacing w:line="360" w:lineRule="auto"/>
        <w:jc w:val="center"/>
        <w:rPr>
          <w:rFonts w:ascii="宋体" w:hAnsi="宋体" w:cs="宋体"/>
          <w:b/>
          <w:bCs/>
          <w:color w:val="auto"/>
          <w:kern w:val="0"/>
          <w:sz w:val="24"/>
          <w:highlight w:val="none"/>
        </w:rPr>
      </w:pPr>
      <w:r>
        <w:rPr>
          <w:rFonts w:ascii="宋体" w:hAnsi="宋体" w:cs="宋体"/>
          <w:b/>
          <w:bCs/>
          <w:color w:val="auto"/>
          <w:kern w:val="0"/>
          <w:sz w:val="24"/>
          <w:highlight w:val="none"/>
        </w:rPr>
        <w:t>政府采购供应商投诉书范本</w:t>
      </w:r>
    </w:p>
    <w:p w14:paraId="6A5CEA62">
      <w:pPr>
        <w:snapToGrid w:val="0"/>
        <w:spacing w:line="360" w:lineRule="auto"/>
        <w:jc w:val="center"/>
        <w:rPr>
          <w:rFonts w:ascii="宋体" w:hAnsi="宋体" w:cs="宋体"/>
          <w:b/>
          <w:bCs/>
          <w:color w:val="auto"/>
          <w:kern w:val="0"/>
          <w:sz w:val="24"/>
          <w:highlight w:val="none"/>
        </w:rPr>
      </w:pPr>
    </w:p>
    <w:p w14:paraId="4037A1D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一、投诉相关主体基本情况</w:t>
      </w:r>
    </w:p>
    <w:p w14:paraId="33D9473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w:t>
      </w:r>
    </w:p>
    <w:p w14:paraId="72BB144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2930B36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法定代表人/主要负责人：</w:t>
      </w:r>
    </w:p>
    <w:p w14:paraId="3202A5C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联系电话：</w:t>
      </w:r>
    </w:p>
    <w:p w14:paraId="64393D9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授权代表：联系电话：</w:t>
      </w:r>
    </w:p>
    <w:p w14:paraId="1AA889A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3D1F7AB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被投诉人1：</w:t>
      </w:r>
    </w:p>
    <w:p w14:paraId="0A53A54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63A6E0A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1BAFE15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被投诉人2</w:t>
      </w:r>
    </w:p>
    <w:p w14:paraId="1BBAA4D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22EB404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相关供应商：</w:t>
      </w:r>
    </w:p>
    <w:p w14:paraId="78E4ED9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地址：   邮编：</w:t>
      </w:r>
    </w:p>
    <w:p w14:paraId="4E5EE52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联系人：    联系电话：</w:t>
      </w:r>
    </w:p>
    <w:p w14:paraId="3925566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二、投诉项目基本情况</w:t>
      </w:r>
    </w:p>
    <w:p w14:paraId="11EFAFD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采购项目名称：</w:t>
      </w:r>
    </w:p>
    <w:p w14:paraId="14D7B17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采购项目编号：包号：</w:t>
      </w:r>
    </w:p>
    <w:p w14:paraId="57B3170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采购人名称：</w:t>
      </w:r>
    </w:p>
    <w:p w14:paraId="1A1F8DC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代理机构名称：</w:t>
      </w:r>
    </w:p>
    <w:p w14:paraId="4BE87AF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采购文件公告:是/否 公告期限：</w:t>
      </w:r>
    </w:p>
    <w:p w14:paraId="1A63E68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采购结果公告:是/否 公告期限：</w:t>
      </w:r>
    </w:p>
    <w:p w14:paraId="792C6C8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三、质疑基本情况</w:t>
      </w:r>
    </w:p>
    <w:p w14:paraId="097F77E4">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投诉人于年月 日,向提出质疑，质疑事项为：</w:t>
      </w:r>
    </w:p>
    <w:p w14:paraId="77222CEF">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采购人/代理机构于年月日,就质疑事项作出了答复/没有在法定期限内作出答复。</w:t>
      </w:r>
    </w:p>
    <w:p w14:paraId="53004E2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四、投诉事项具体内容</w:t>
      </w:r>
    </w:p>
    <w:p w14:paraId="3BFE8BC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投诉事项1：</w:t>
      </w:r>
    </w:p>
    <w:p w14:paraId="62EB14E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事实依据：</w:t>
      </w:r>
    </w:p>
    <w:p w14:paraId="39333A3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法律依据：</w:t>
      </w:r>
    </w:p>
    <w:p w14:paraId="6E1BC7E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投诉事项2</w:t>
      </w:r>
    </w:p>
    <w:p w14:paraId="3A174AD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w:t>
      </w:r>
    </w:p>
    <w:p w14:paraId="5B454B9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五、与投诉事项相关的投诉请求</w:t>
      </w:r>
    </w:p>
    <w:p w14:paraId="17090DD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请求：</w:t>
      </w:r>
    </w:p>
    <w:p w14:paraId="2EF9576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签字(签章)：公章：</w:t>
      </w:r>
    </w:p>
    <w:p w14:paraId="6D91B4D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日期：</w:t>
      </w:r>
    </w:p>
    <w:p w14:paraId="1084AE56">
      <w:pPr>
        <w:snapToGrid w:val="0"/>
        <w:spacing w:line="360" w:lineRule="auto"/>
        <w:rPr>
          <w:rFonts w:ascii="宋体" w:hAnsi="宋体" w:cs="宋体"/>
          <w:color w:val="auto"/>
          <w:kern w:val="0"/>
          <w:sz w:val="24"/>
          <w:highlight w:val="none"/>
        </w:rPr>
      </w:pPr>
      <w:r>
        <w:rPr>
          <w:rFonts w:hint="eastAsia" w:ascii="宋体" w:hAnsi="宋体" w:cs="宋体"/>
          <w:b/>
          <w:bCs/>
          <w:color w:val="auto"/>
          <w:kern w:val="0"/>
          <w:sz w:val="24"/>
          <w:highlight w:val="none"/>
        </w:rPr>
        <w:t>投诉书制作说明：</w:t>
      </w:r>
    </w:p>
    <w:p w14:paraId="57D8960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1.投诉人提起投诉时，应当提交投诉书和必要的证明材料，并按照被投诉人和与投诉事项有关的供应商数量提供投诉书副本。</w:t>
      </w:r>
    </w:p>
    <w:p w14:paraId="1C4B8AB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308778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3.投诉人若对项目的某一分包进行投诉，投诉书应列明具体分包号。</w:t>
      </w:r>
    </w:p>
    <w:p w14:paraId="34F3F92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4.投诉书应简要列明质疑事项，质疑函、质疑答复等作为附件材料提供。</w:t>
      </w:r>
    </w:p>
    <w:p w14:paraId="38A2CD0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5.投诉书的投诉事项应具体、明确，并有必要的事实依据和法律依据。</w:t>
      </w:r>
    </w:p>
    <w:p w14:paraId="54B93DC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6.投诉书的投诉请求应与投诉事项相关。</w:t>
      </w:r>
    </w:p>
    <w:p w14:paraId="53DD1639">
      <w:pPr>
        <w:snapToGrid w:val="0"/>
        <w:spacing w:line="360" w:lineRule="auto"/>
        <w:rPr>
          <w:rFonts w:ascii="宋体" w:hAnsi="宋体"/>
          <w:color w:val="auto"/>
          <w:sz w:val="24"/>
          <w:highlight w:val="none"/>
        </w:rPr>
      </w:pPr>
      <w:r>
        <w:rPr>
          <w:rFonts w:hint="eastAsia" w:ascii="宋体" w:hAnsi="宋体" w:cs="宋体"/>
          <w:color w:val="auto"/>
          <w:kern w:val="0"/>
          <w:sz w:val="24"/>
          <w:highlight w:val="none"/>
        </w:rPr>
        <w:t>7.投诉人为自然人的，投诉书应当由本人签字；投诉人为法人或者其他组织的，投诉书应当由法定代表人、主要负责人，或者其授权代表签字或者盖章，并加盖公章。</w:t>
      </w:r>
    </w:p>
    <w:p w14:paraId="7E6B075D">
      <w:pPr>
        <w:pStyle w:val="22"/>
        <w:rPr>
          <w:color w:val="auto"/>
          <w:sz w:val="24"/>
          <w:szCs w:val="24"/>
          <w:highlight w:val="none"/>
        </w:rPr>
      </w:pPr>
    </w:p>
    <w:p w14:paraId="088F9894">
      <w:pPr>
        <w:pStyle w:val="22"/>
        <w:rPr>
          <w:color w:val="auto"/>
          <w:highlight w:val="none"/>
        </w:rPr>
      </w:pPr>
    </w:p>
    <w:p w14:paraId="20552969">
      <w:pPr>
        <w:pStyle w:val="22"/>
        <w:rPr>
          <w:color w:val="auto"/>
          <w:highlight w:val="none"/>
        </w:rPr>
      </w:pPr>
    </w:p>
    <w:p w14:paraId="0D82A0E2">
      <w:pPr>
        <w:pStyle w:val="22"/>
        <w:rPr>
          <w:color w:val="auto"/>
          <w:highlight w:val="none"/>
        </w:rPr>
      </w:pPr>
    </w:p>
    <w:p w14:paraId="256471E8">
      <w:pPr>
        <w:pStyle w:val="96"/>
        <w:rPr>
          <w:color w:val="auto"/>
          <w:highlight w:val="none"/>
        </w:rPr>
      </w:pPr>
      <w:r>
        <w:rPr>
          <w:color w:val="auto"/>
          <w:highlight w:val="none"/>
        </w:rPr>
        <w:br w:type="page"/>
      </w:r>
    </w:p>
    <w:p w14:paraId="02A1AF4A">
      <w:pPr>
        <w:pStyle w:val="96"/>
        <w:rPr>
          <w:color w:val="auto"/>
          <w:highlight w:val="none"/>
        </w:rPr>
      </w:pPr>
    </w:p>
    <w:p w14:paraId="7FE953AE">
      <w:pPr>
        <w:pStyle w:val="96"/>
        <w:rPr>
          <w:color w:val="auto"/>
          <w:highlight w:val="none"/>
        </w:rPr>
      </w:pPr>
    </w:p>
    <w:p w14:paraId="1FDD3927">
      <w:pPr>
        <w:pStyle w:val="96"/>
        <w:rPr>
          <w:color w:val="auto"/>
          <w:highlight w:val="none"/>
        </w:rPr>
      </w:pPr>
    </w:p>
    <w:p w14:paraId="3E518D86">
      <w:pPr>
        <w:pStyle w:val="96"/>
        <w:rPr>
          <w:color w:val="auto"/>
          <w:highlight w:val="none"/>
        </w:rPr>
      </w:pPr>
    </w:p>
    <w:p w14:paraId="0499F516">
      <w:pPr>
        <w:pStyle w:val="96"/>
        <w:rPr>
          <w:color w:val="auto"/>
          <w:highlight w:val="none"/>
        </w:rPr>
      </w:pPr>
    </w:p>
    <w:p w14:paraId="2483C92A">
      <w:pPr>
        <w:pStyle w:val="96"/>
        <w:rPr>
          <w:color w:val="auto"/>
          <w:highlight w:val="none"/>
        </w:rPr>
      </w:pPr>
    </w:p>
    <w:p w14:paraId="1A4058A8">
      <w:pPr>
        <w:pStyle w:val="96"/>
        <w:rPr>
          <w:color w:val="auto"/>
          <w:highlight w:val="none"/>
        </w:rPr>
      </w:pPr>
    </w:p>
    <w:p w14:paraId="494071BA">
      <w:pPr>
        <w:pStyle w:val="96"/>
        <w:rPr>
          <w:color w:val="auto"/>
          <w:highlight w:val="none"/>
        </w:rPr>
      </w:pPr>
    </w:p>
    <w:p w14:paraId="6E31DE67">
      <w:pPr>
        <w:pStyle w:val="96"/>
        <w:rPr>
          <w:color w:val="auto"/>
          <w:highlight w:val="none"/>
        </w:rPr>
      </w:pPr>
    </w:p>
    <w:p w14:paraId="6063839E">
      <w:pPr>
        <w:pStyle w:val="96"/>
        <w:rPr>
          <w:color w:val="auto"/>
          <w:highlight w:val="none"/>
        </w:rPr>
      </w:pPr>
    </w:p>
    <w:p w14:paraId="0A375EE7">
      <w:pPr>
        <w:pStyle w:val="96"/>
        <w:rPr>
          <w:color w:val="auto"/>
          <w:highlight w:val="none"/>
        </w:rPr>
      </w:pPr>
    </w:p>
    <w:p w14:paraId="07D77B5E">
      <w:pPr>
        <w:pStyle w:val="2"/>
        <w:spacing w:before="0" w:after="0" w:line="240" w:lineRule="auto"/>
        <w:jc w:val="center"/>
        <w:rPr>
          <w:rFonts w:ascii="宋体" w:hAnsi="宋体"/>
          <w:color w:val="auto"/>
          <w:highlight w:val="none"/>
        </w:rPr>
      </w:pPr>
      <w:bookmarkStart w:id="34" w:name="_Toc10525"/>
      <w:r>
        <w:rPr>
          <w:rFonts w:hint="eastAsia" w:ascii="宋体" w:hAnsi="宋体"/>
          <w:color w:val="auto"/>
          <w:highlight w:val="none"/>
        </w:rPr>
        <w:t>第四章  采购项目需求</w:t>
      </w:r>
      <w:bookmarkEnd w:id="34"/>
    </w:p>
    <w:p w14:paraId="6E0B5ACE">
      <w:pPr>
        <w:rPr>
          <w:color w:val="auto"/>
          <w:highlight w:val="none"/>
        </w:rPr>
      </w:pPr>
    </w:p>
    <w:p w14:paraId="3E633894">
      <w:pPr>
        <w:rPr>
          <w:color w:val="auto"/>
          <w:highlight w:val="none"/>
        </w:rPr>
      </w:pPr>
    </w:p>
    <w:p w14:paraId="63923EB0">
      <w:pPr>
        <w:spacing w:line="440" w:lineRule="exact"/>
        <w:jc w:val="center"/>
        <w:rPr>
          <w:color w:val="auto"/>
          <w:sz w:val="36"/>
          <w:szCs w:val="36"/>
          <w:highlight w:val="none"/>
        </w:rPr>
      </w:pPr>
    </w:p>
    <w:p w14:paraId="7091C65B">
      <w:pPr>
        <w:pStyle w:val="22"/>
        <w:rPr>
          <w:color w:val="auto"/>
          <w:highlight w:val="none"/>
        </w:rPr>
      </w:pPr>
    </w:p>
    <w:p w14:paraId="06A487A5">
      <w:pPr>
        <w:pStyle w:val="22"/>
        <w:rPr>
          <w:color w:val="auto"/>
          <w:highlight w:val="none"/>
        </w:rPr>
      </w:pPr>
    </w:p>
    <w:p w14:paraId="1F6EB3E2">
      <w:pPr>
        <w:pStyle w:val="22"/>
        <w:rPr>
          <w:color w:val="auto"/>
          <w:highlight w:val="none"/>
        </w:rPr>
      </w:pPr>
    </w:p>
    <w:p w14:paraId="3F7CF9FD">
      <w:pPr>
        <w:pStyle w:val="22"/>
        <w:rPr>
          <w:color w:val="auto"/>
          <w:highlight w:val="none"/>
        </w:rPr>
      </w:pPr>
    </w:p>
    <w:p w14:paraId="3B3A225B">
      <w:pPr>
        <w:pStyle w:val="22"/>
        <w:rPr>
          <w:color w:val="auto"/>
          <w:highlight w:val="none"/>
        </w:rPr>
      </w:pPr>
    </w:p>
    <w:p w14:paraId="2486312D">
      <w:pPr>
        <w:pStyle w:val="22"/>
        <w:rPr>
          <w:color w:val="auto"/>
          <w:highlight w:val="none"/>
        </w:rPr>
      </w:pPr>
    </w:p>
    <w:p w14:paraId="619375BB">
      <w:pPr>
        <w:pStyle w:val="22"/>
        <w:rPr>
          <w:color w:val="auto"/>
          <w:highlight w:val="none"/>
        </w:rPr>
      </w:pPr>
    </w:p>
    <w:p w14:paraId="68907668">
      <w:pPr>
        <w:pStyle w:val="22"/>
        <w:rPr>
          <w:color w:val="auto"/>
          <w:highlight w:val="none"/>
        </w:rPr>
      </w:pPr>
    </w:p>
    <w:p w14:paraId="2B275D41">
      <w:pPr>
        <w:pStyle w:val="22"/>
        <w:rPr>
          <w:color w:val="auto"/>
          <w:highlight w:val="none"/>
        </w:rPr>
      </w:pPr>
    </w:p>
    <w:p w14:paraId="50E65353">
      <w:pPr>
        <w:pStyle w:val="22"/>
        <w:rPr>
          <w:color w:val="auto"/>
          <w:highlight w:val="none"/>
        </w:rPr>
      </w:pPr>
    </w:p>
    <w:p w14:paraId="7511E4EB">
      <w:pPr>
        <w:pStyle w:val="22"/>
        <w:rPr>
          <w:color w:val="auto"/>
          <w:highlight w:val="none"/>
        </w:rPr>
      </w:pPr>
    </w:p>
    <w:p w14:paraId="2E31B470">
      <w:pPr>
        <w:pStyle w:val="22"/>
        <w:rPr>
          <w:color w:val="auto"/>
          <w:highlight w:val="none"/>
        </w:rPr>
      </w:pPr>
    </w:p>
    <w:p w14:paraId="615C081E">
      <w:pPr>
        <w:pStyle w:val="22"/>
        <w:rPr>
          <w:color w:val="auto"/>
          <w:highlight w:val="none"/>
        </w:rPr>
      </w:pPr>
    </w:p>
    <w:p w14:paraId="3D60929C">
      <w:pPr>
        <w:pStyle w:val="22"/>
        <w:rPr>
          <w:color w:val="auto"/>
          <w:highlight w:val="none"/>
        </w:rPr>
      </w:pPr>
    </w:p>
    <w:p w14:paraId="56A42279">
      <w:pPr>
        <w:pStyle w:val="22"/>
        <w:rPr>
          <w:color w:val="auto"/>
          <w:highlight w:val="none"/>
        </w:rPr>
      </w:pPr>
    </w:p>
    <w:p w14:paraId="4F9C2376">
      <w:pPr>
        <w:pStyle w:val="22"/>
        <w:rPr>
          <w:color w:val="auto"/>
          <w:highlight w:val="none"/>
        </w:rPr>
      </w:pPr>
    </w:p>
    <w:p w14:paraId="2F91A14D">
      <w:pPr>
        <w:pStyle w:val="22"/>
        <w:rPr>
          <w:color w:val="auto"/>
          <w:highlight w:val="none"/>
        </w:rPr>
      </w:pPr>
    </w:p>
    <w:p w14:paraId="703C706E">
      <w:pPr>
        <w:pStyle w:val="22"/>
        <w:rPr>
          <w:color w:val="auto"/>
          <w:highlight w:val="none"/>
        </w:rPr>
      </w:pPr>
    </w:p>
    <w:p w14:paraId="7647EA48">
      <w:pPr>
        <w:pStyle w:val="22"/>
        <w:rPr>
          <w:color w:val="auto"/>
          <w:highlight w:val="none"/>
        </w:rPr>
      </w:pPr>
    </w:p>
    <w:p w14:paraId="675908FD">
      <w:pPr>
        <w:pStyle w:val="22"/>
        <w:rPr>
          <w:color w:val="auto"/>
          <w:highlight w:val="none"/>
        </w:rPr>
      </w:pPr>
    </w:p>
    <w:p w14:paraId="02B67B4A">
      <w:pPr>
        <w:pStyle w:val="22"/>
        <w:rPr>
          <w:color w:val="auto"/>
          <w:highlight w:val="none"/>
        </w:rPr>
      </w:pPr>
    </w:p>
    <w:p w14:paraId="2F0BFAE2">
      <w:pPr>
        <w:pStyle w:val="22"/>
        <w:rPr>
          <w:color w:val="auto"/>
          <w:highlight w:val="none"/>
        </w:rPr>
      </w:pPr>
    </w:p>
    <w:p w14:paraId="5DBE34A6">
      <w:pPr>
        <w:rPr>
          <w:rFonts w:hint="eastAsia"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br w:type="page"/>
      </w:r>
    </w:p>
    <w:p w14:paraId="4E6759EB">
      <w:pPr>
        <w:autoSpaceDE w:val="0"/>
        <w:autoSpaceDN w:val="0"/>
        <w:adjustRightInd w:val="0"/>
        <w:jc w:val="center"/>
        <w:rPr>
          <w:rFonts w:hint="eastAsia"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项目采购需求</w:t>
      </w:r>
    </w:p>
    <w:tbl>
      <w:tblPr>
        <w:tblStyle w:val="37"/>
        <w:tblW w:w="97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77"/>
        <w:gridCol w:w="1110"/>
        <w:gridCol w:w="773"/>
        <w:gridCol w:w="7400"/>
      </w:tblGrid>
      <w:tr w14:paraId="6E461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760" w:type="dxa"/>
            <w:gridSpan w:val="4"/>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FB4FF7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br w:type="page"/>
            </w:r>
            <w:r>
              <w:rPr>
                <w:rFonts w:hint="eastAsia" w:ascii="宋体" w:hAnsi="宋体" w:eastAsia="宋体" w:cs="宋体"/>
                <w:b/>
                <w:color w:val="auto"/>
                <w:sz w:val="24"/>
                <w:szCs w:val="24"/>
                <w:highlight w:val="none"/>
              </w:rPr>
              <w:t>一、项目要求及技术需求</w:t>
            </w:r>
          </w:p>
        </w:tc>
      </w:tr>
      <w:tr w14:paraId="5C890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23C9028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548AAD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名称</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3DBFB24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数量</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单位</w:t>
            </w:r>
          </w:p>
        </w:tc>
        <w:tc>
          <w:tcPr>
            <w:tcW w:w="7400" w:type="dxa"/>
            <w:tcBorders>
              <w:top w:val="single" w:color="auto" w:sz="4" w:space="0"/>
              <w:left w:val="single" w:color="auto" w:sz="4" w:space="0"/>
              <w:bottom w:val="single" w:color="auto" w:sz="4" w:space="0"/>
              <w:right w:val="single" w:color="auto" w:sz="4" w:space="0"/>
            </w:tcBorders>
            <w:noWrap w:val="0"/>
            <w:vAlign w:val="center"/>
          </w:tcPr>
          <w:p w14:paraId="544E428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服务内容及要求</w:t>
            </w:r>
          </w:p>
        </w:tc>
      </w:tr>
      <w:tr w14:paraId="1F3936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7" w:type="dxa"/>
            <w:tcBorders>
              <w:top w:val="single" w:color="auto" w:sz="4" w:space="0"/>
              <w:left w:val="single" w:color="auto" w:sz="4" w:space="0"/>
              <w:bottom w:val="single" w:color="auto" w:sz="4" w:space="0"/>
              <w:right w:val="single" w:color="auto" w:sz="4" w:space="0"/>
            </w:tcBorders>
            <w:noWrap w:val="0"/>
            <w:vAlign w:val="center"/>
          </w:tcPr>
          <w:p w14:paraId="5D3362E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7F8AF08">
            <w:pPr>
              <w:pStyle w:val="18"/>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北海市银海区三合口民族学校教学楼拆除重建项目</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46FE1E8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w:t>
            </w:r>
          </w:p>
        </w:tc>
        <w:tc>
          <w:tcPr>
            <w:tcW w:w="7400" w:type="dxa"/>
            <w:tcBorders>
              <w:top w:val="single" w:color="auto" w:sz="4" w:space="0"/>
              <w:left w:val="single" w:color="auto" w:sz="4" w:space="0"/>
              <w:bottom w:val="single" w:color="auto" w:sz="4" w:space="0"/>
              <w:right w:val="single" w:color="auto" w:sz="4" w:space="0"/>
            </w:tcBorders>
            <w:noWrap w:val="0"/>
            <w:vAlign w:val="center"/>
          </w:tcPr>
          <w:p w14:paraId="6DD615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一、建设地点：</w:t>
            </w:r>
            <w:r>
              <w:rPr>
                <w:rFonts w:hint="eastAsia" w:ascii="宋体" w:hAnsi="宋体" w:eastAsia="宋体" w:cs="宋体"/>
                <w:b w:val="0"/>
                <w:bCs w:val="0"/>
                <w:color w:val="auto"/>
                <w:sz w:val="24"/>
                <w:szCs w:val="24"/>
                <w:highlight w:val="none"/>
                <w:lang w:val="en-US" w:eastAsia="zh-CN"/>
              </w:rPr>
              <w:t>广西北海</w:t>
            </w:r>
          </w:p>
          <w:p w14:paraId="738DE42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二、工程概况：</w:t>
            </w:r>
            <w:r>
              <w:rPr>
                <w:rFonts w:hint="eastAsia" w:ascii="宋体" w:hAnsi="宋体" w:eastAsia="宋体" w:cs="宋体"/>
                <w:b w:val="0"/>
                <w:bCs w:val="0"/>
                <w:color w:val="auto"/>
                <w:sz w:val="24"/>
                <w:szCs w:val="24"/>
                <w:highlight w:val="none"/>
                <w:lang w:val="en-US" w:eastAsia="zh-CN"/>
              </w:rPr>
              <w:t xml:space="preserve">本工程位于北海市，主要建设内容为北海市银海区三合口民族学校教学楼拆除重建项目1项。  </w:t>
            </w:r>
            <w:r>
              <w:rPr>
                <w:rFonts w:hint="eastAsia" w:ascii="宋体" w:hAnsi="宋体" w:eastAsia="宋体" w:cs="宋体"/>
                <w:b/>
                <w:bCs/>
                <w:color w:val="auto"/>
                <w:sz w:val="24"/>
                <w:szCs w:val="24"/>
                <w:highlight w:val="none"/>
                <w:lang w:val="en-US" w:eastAsia="zh-CN"/>
              </w:rPr>
              <w:t xml:space="preserve">  </w:t>
            </w:r>
          </w:p>
          <w:p w14:paraId="396D647B">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三、预算总金额（元）：</w:t>
            </w:r>
            <w:r>
              <w:rPr>
                <w:rFonts w:hint="eastAsia" w:ascii="宋体" w:hAnsi="宋体" w:eastAsia="宋体" w:cs="宋体"/>
                <w:b w:val="0"/>
                <w:bCs w:val="0"/>
                <w:color w:val="auto"/>
                <w:sz w:val="24"/>
                <w:szCs w:val="24"/>
                <w:highlight w:val="none"/>
                <w:lang w:val="en-US" w:eastAsia="zh-CN"/>
              </w:rPr>
              <w:t>2544118.71元</w:t>
            </w:r>
          </w:p>
          <w:p w14:paraId="15B44B3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四、质量标准：</w:t>
            </w:r>
            <w:r>
              <w:rPr>
                <w:rFonts w:hint="eastAsia" w:ascii="宋体" w:hAnsi="宋体" w:eastAsia="宋体" w:cs="宋体"/>
                <w:b w:val="0"/>
                <w:bCs w:val="0"/>
                <w:color w:val="auto"/>
                <w:sz w:val="24"/>
                <w:szCs w:val="24"/>
                <w:highlight w:val="none"/>
                <w:lang w:val="en-US" w:eastAsia="zh-CN"/>
              </w:rPr>
              <w:t>达到国家工程施工验收规范合格标准</w:t>
            </w:r>
          </w:p>
          <w:p w14:paraId="577A348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五、采购范围：</w:t>
            </w:r>
            <w:r>
              <w:rPr>
                <w:rFonts w:hint="eastAsia" w:ascii="宋体" w:hAnsi="宋体" w:eastAsia="宋体" w:cs="宋体"/>
                <w:color w:val="auto"/>
                <w:sz w:val="24"/>
                <w:szCs w:val="24"/>
                <w:highlight w:val="none"/>
                <w:lang w:val="en-US" w:eastAsia="zh-CN"/>
              </w:rPr>
              <w:t>施工图纸范围内的所有</w:t>
            </w:r>
            <w:r>
              <w:rPr>
                <w:rFonts w:hint="eastAsia" w:ascii="宋体" w:hAnsi="宋体" w:eastAsia="宋体" w:cs="宋体"/>
                <w:color w:val="auto"/>
                <w:sz w:val="24"/>
                <w:szCs w:val="24"/>
                <w:highlight w:val="none"/>
                <w:lang w:eastAsia="zh-CN"/>
              </w:rPr>
              <w:t>内容（详见施工图纸及工程量清单）</w:t>
            </w:r>
          </w:p>
          <w:p w14:paraId="1EFF5F0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工程量清单</w:t>
            </w:r>
            <w:r>
              <w:rPr>
                <w:rFonts w:hint="eastAsia" w:ascii="宋体" w:hAnsi="宋体" w:eastAsia="宋体" w:cs="宋体"/>
                <w:b/>
                <w:bCs/>
                <w:color w:val="auto"/>
                <w:sz w:val="24"/>
                <w:szCs w:val="24"/>
                <w:highlight w:val="none"/>
                <w:lang w:val="en-US" w:eastAsia="zh-CN"/>
              </w:rPr>
              <w:t>、招标控制价及施工图纸</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val="en-US" w:eastAsia="zh-CN"/>
              </w:rPr>
              <w:t>另册发放</w:t>
            </w:r>
          </w:p>
          <w:p w14:paraId="6EAC93F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七、预算总金额</w:t>
            </w:r>
            <w:r>
              <w:rPr>
                <w:rFonts w:hint="eastAsia" w:ascii="宋体" w:hAnsi="宋体" w:eastAsia="宋体" w:cs="宋体"/>
                <w:b/>
                <w:bCs/>
                <w:color w:val="auto"/>
                <w:sz w:val="24"/>
                <w:szCs w:val="24"/>
                <w:highlight w:val="none"/>
              </w:rPr>
              <w:t>计算依据</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lang w:eastAsia="zh-CN"/>
              </w:rPr>
              <w:t>详见工程量清单</w:t>
            </w:r>
          </w:p>
          <w:p w14:paraId="5E5C533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八、项目管理机构配备最低要求：</w:t>
            </w:r>
          </w:p>
          <w:p w14:paraId="06CD3E7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按《北海市建设工程施工项目部和现场监理部关键岗位人员配备管理办法》（北建施〔2015〕5 号）的规定，施工项目部关键岗位人员最低配备标准，项目经理至少 1 人，施工员至少 1 人，安全员至少 1 人，合计至少 3 人。其中技术负责人、质检员（质量员）可以由其他岗位人员兼任。</w:t>
            </w:r>
          </w:p>
          <w:p w14:paraId="0851F113">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1、项目经理：具备【建筑工程专业二级】（含）及以上注册建造师执业资格，并具备有效的安全生产考核合格证书（B 类），本项目不接受有在建、已中标未开工或已列为其他项目中标候选人第一名的建造师作为项目经理。</w:t>
            </w:r>
          </w:p>
          <w:p w14:paraId="45BB0B54">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2、安全员：具有相应施工现场专业人员职业培训合格证书并在有效期内及有效的安全生产考核合格证书（C 类）；</w:t>
            </w:r>
          </w:p>
          <w:p w14:paraId="5FD919CC">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3、施工员：具有相应施工现场专业人员职业培训合格证书并在有效期内。</w:t>
            </w:r>
          </w:p>
        </w:tc>
      </w:tr>
      <w:tr w14:paraId="5952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9760" w:type="dxa"/>
            <w:gridSpan w:val="4"/>
            <w:tcBorders>
              <w:top w:val="single" w:color="auto" w:sz="4" w:space="0"/>
              <w:left w:val="single" w:color="auto" w:sz="4" w:space="0"/>
              <w:bottom w:val="single" w:color="auto" w:sz="4" w:space="0"/>
              <w:right w:val="single" w:color="auto" w:sz="4" w:space="0"/>
            </w:tcBorders>
            <w:noWrap w:val="0"/>
            <w:vAlign w:val="center"/>
          </w:tcPr>
          <w:p w14:paraId="2132A67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商务</w:t>
            </w:r>
            <w:r>
              <w:rPr>
                <w:rFonts w:hint="eastAsia" w:ascii="宋体" w:hAnsi="宋体" w:eastAsia="宋体" w:cs="宋体"/>
                <w:b/>
                <w:bCs/>
                <w:color w:val="auto"/>
                <w:sz w:val="24"/>
                <w:szCs w:val="24"/>
                <w:highlight w:val="none"/>
                <w:lang w:val="en-US" w:eastAsia="zh-CN"/>
              </w:rPr>
              <w:t>条款</w:t>
            </w:r>
          </w:p>
        </w:tc>
      </w:tr>
      <w:tr w14:paraId="08533A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77" w:hRule="atLeast"/>
          <w:jc w:val="center"/>
        </w:trPr>
        <w:tc>
          <w:tcPr>
            <w:tcW w:w="9760" w:type="dxa"/>
            <w:gridSpan w:val="4"/>
            <w:tcBorders>
              <w:top w:val="single" w:color="auto" w:sz="4" w:space="0"/>
              <w:left w:val="single" w:color="auto" w:sz="4" w:space="0"/>
              <w:bottom w:val="single" w:color="auto" w:sz="4" w:space="0"/>
              <w:right w:val="single" w:color="auto" w:sz="4" w:space="0"/>
            </w:tcBorders>
            <w:noWrap w:val="0"/>
            <w:vAlign w:val="center"/>
          </w:tcPr>
          <w:p w14:paraId="18552489">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一、合同签订日期：</w:t>
            </w:r>
            <w:r>
              <w:rPr>
                <w:rFonts w:hint="eastAsia" w:ascii="宋体" w:hAnsi="宋体" w:eastAsia="宋体" w:cs="宋体"/>
                <w:b w:val="0"/>
                <w:bCs w:val="0"/>
                <w:color w:val="auto"/>
                <w:sz w:val="24"/>
                <w:szCs w:val="24"/>
                <w:highlight w:val="none"/>
              </w:rPr>
              <w:t xml:space="preserve">自成交通知书发出之日起 </w:t>
            </w: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个日内天与采购人签订采购合同</w:t>
            </w:r>
            <w:r>
              <w:rPr>
                <w:rFonts w:hint="eastAsia" w:ascii="宋体" w:hAnsi="宋体" w:eastAsia="宋体" w:cs="宋体"/>
                <w:color w:val="auto"/>
                <w:sz w:val="24"/>
                <w:szCs w:val="24"/>
                <w:highlight w:val="none"/>
              </w:rPr>
              <w:t>。</w:t>
            </w:r>
          </w:p>
          <w:p w14:paraId="1AEF797D">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二、工期：</w:t>
            </w:r>
            <w:r>
              <w:rPr>
                <w:rFonts w:hint="eastAsia" w:ascii="宋体" w:hAnsi="宋体" w:cs="宋体"/>
                <w:b w:val="0"/>
                <w:bCs w:val="0"/>
                <w:color w:val="auto"/>
                <w:sz w:val="24"/>
                <w:szCs w:val="24"/>
                <w:highlight w:val="none"/>
                <w:lang w:eastAsia="zh-CN"/>
              </w:rPr>
              <w:t>自合同签订之日起165个日历天内完成</w:t>
            </w:r>
            <w:r>
              <w:rPr>
                <w:rFonts w:hint="eastAsia" w:ascii="宋体" w:hAnsi="宋体" w:eastAsia="宋体" w:cs="宋体"/>
                <w:b w:val="0"/>
                <w:bCs w:val="0"/>
                <w:color w:val="auto"/>
                <w:sz w:val="24"/>
                <w:szCs w:val="24"/>
                <w:highlight w:val="none"/>
                <w:lang w:eastAsia="zh-CN"/>
              </w:rPr>
              <w:t>。</w:t>
            </w:r>
          </w:p>
          <w:p w14:paraId="44F57B8B">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、合同履行期限：</w:t>
            </w:r>
            <w:r>
              <w:rPr>
                <w:rFonts w:hint="eastAsia" w:ascii="宋体" w:hAnsi="宋体" w:eastAsia="宋体" w:cs="宋体"/>
                <w:b w:val="0"/>
                <w:bCs w:val="0"/>
                <w:color w:val="auto"/>
                <w:sz w:val="24"/>
                <w:szCs w:val="24"/>
                <w:highlight w:val="none"/>
              </w:rPr>
              <w:t>自合同生效之日起至缺陷责任期结束止。</w:t>
            </w:r>
          </w:p>
          <w:p w14:paraId="600C96BF">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四、提交工程成果地点：</w:t>
            </w:r>
            <w:r>
              <w:rPr>
                <w:rFonts w:hint="eastAsia" w:ascii="宋体" w:hAnsi="宋体" w:eastAsia="宋体" w:cs="宋体"/>
                <w:b w:val="0"/>
                <w:bCs w:val="0"/>
                <w:color w:val="auto"/>
                <w:sz w:val="24"/>
                <w:szCs w:val="24"/>
                <w:highlight w:val="none"/>
                <w:lang w:val="en-US" w:eastAsia="zh-CN"/>
              </w:rPr>
              <w:t>广西北海（采购人指定地点）。</w:t>
            </w:r>
          </w:p>
          <w:p w14:paraId="5EDDA694">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、售后服务要求：</w:t>
            </w:r>
          </w:p>
          <w:p w14:paraId="4867A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1、缺陷责任期：24个月。</w:t>
            </w:r>
          </w:p>
          <w:p w14:paraId="030E7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宋体"/>
                <w:color w:val="auto"/>
                <w:sz w:val="24"/>
                <w:szCs w:val="24"/>
                <w:highlight w:val="none"/>
                <w:lang w:val="en-US" w:eastAsia="zh-CN"/>
              </w:rPr>
              <w:t>质量标准：达到国家工程施工验收规范合格标准</w:t>
            </w:r>
            <w:r>
              <w:rPr>
                <w:rFonts w:hint="eastAsia" w:ascii="宋体" w:hAnsi="宋体" w:eastAsia="宋体" w:cs="宋体"/>
                <w:color w:val="auto"/>
                <w:kern w:val="2"/>
                <w:sz w:val="24"/>
                <w:szCs w:val="24"/>
                <w:highlight w:val="none"/>
                <w:lang w:val="en-US" w:eastAsia="zh-CN" w:bidi="ar"/>
              </w:rPr>
              <w:t>。</w:t>
            </w:r>
          </w:p>
          <w:p w14:paraId="2AD2ED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3、发生问题时接到通知后2小时内响应，时间不超过一周，费用由成交人负责。</w:t>
            </w:r>
          </w:p>
          <w:p w14:paraId="6C7D2E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4、成交人与采购人应按照采购文件中规定的合同格式订立书面合同。不得再要求订立背离合同实质性内容的其他合同或要求实际使用单位签署其他任何声明或合同，否则将被取消成交资格。</w:t>
            </w:r>
          </w:p>
          <w:p w14:paraId="230E5026">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本工程约定的工程质保金为</w:t>
            </w:r>
            <w:r>
              <w:rPr>
                <w:rFonts w:hint="eastAsia" w:ascii="宋体" w:hAnsi="宋体" w:eastAsia="宋体" w:cs="宋体"/>
                <w:color w:val="auto"/>
                <w:sz w:val="24"/>
                <w:szCs w:val="24"/>
                <w:highlight w:val="none"/>
                <w:lang w:val="en-US" w:eastAsia="zh-CN"/>
              </w:rPr>
              <w:t>结算</w:t>
            </w:r>
            <w:r>
              <w:rPr>
                <w:rFonts w:hint="eastAsia" w:ascii="宋体" w:hAnsi="宋体" w:eastAsia="宋体" w:cs="宋体"/>
                <w:color w:val="auto"/>
                <w:sz w:val="24"/>
                <w:szCs w:val="24"/>
                <w:highlight w:val="none"/>
              </w:rPr>
              <w:t>总价的</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p>
          <w:p w14:paraId="355AC1D6">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、付款方式：</w:t>
            </w:r>
          </w:p>
          <w:p w14:paraId="16EFA5F2">
            <w:pPr>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签订合同后5个工作日内由采购人支付合同金额的30%作为预付款；工程进度款支付限额为已完成工程量的85%；工程完工验收达到质量要求，结算经审定后，工程款支付至结算总价的97%；预留3%作为质保金，缺陷责任期满后，5个工作日内由采购人退还给成交人。以上支付方式待财政拨付到位后再执行。</w:t>
            </w:r>
          </w:p>
          <w:p w14:paraId="11D0F7F5">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、付款方式：</w:t>
            </w:r>
          </w:p>
          <w:p w14:paraId="5DAD043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1、报价人的报价已包含以下部分，包括：</w:t>
            </w:r>
          </w:p>
          <w:p w14:paraId="50F3DD6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（1）工程项目的价格</w:t>
            </w:r>
            <w:r>
              <w:rPr>
                <w:rFonts w:hint="eastAsia" w:ascii="宋体" w:hAnsi="宋体" w:eastAsia="宋体" w:cs="宋体"/>
                <w:color w:val="auto"/>
                <w:sz w:val="24"/>
                <w:szCs w:val="24"/>
                <w:highlight w:val="none"/>
                <w:lang w:eastAsia="zh-CN"/>
              </w:rPr>
              <w:t>。</w:t>
            </w:r>
          </w:p>
          <w:p w14:paraId="73DC153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（2）必要的保险费用和各项税金</w:t>
            </w:r>
            <w:r>
              <w:rPr>
                <w:rFonts w:hint="eastAsia" w:ascii="宋体" w:hAnsi="宋体" w:eastAsia="宋体" w:cs="宋体"/>
                <w:color w:val="auto"/>
                <w:sz w:val="24"/>
                <w:szCs w:val="24"/>
                <w:highlight w:val="none"/>
                <w:lang w:eastAsia="zh-CN"/>
              </w:rPr>
              <w:t>。</w:t>
            </w:r>
          </w:p>
        </w:tc>
      </w:tr>
    </w:tbl>
    <w:p w14:paraId="339AEC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p>
    <w:p w14:paraId="30CB00B4">
      <w:pPr>
        <w:pStyle w:val="22"/>
        <w:rPr>
          <w:color w:val="auto"/>
          <w:highlight w:val="none"/>
        </w:rPr>
      </w:pPr>
    </w:p>
    <w:p w14:paraId="69C89087">
      <w:pPr>
        <w:pStyle w:val="22"/>
        <w:rPr>
          <w:color w:val="auto"/>
          <w:highlight w:val="none"/>
        </w:rPr>
      </w:pPr>
    </w:p>
    <w:p w14:paraId="29CE26D3">
      <w:pPr>
        <w:pStyle w:val="22"/>
        <w:rPr>
          <w:color w:val="auto"/>
          <w:highlight w:val="none"/>
        </w:rPr>
      </w:pPr>
    </w:p>
    <w:p w14:paraId="5A941A36">
      <w:pPr>
        <w:pStyle w:val="22"/>
        <w:rPr>
          <w:color w:val="auto"/>
          <w:highlight w:val="none"/>
        </w:rPr>
      </w:pPr>
    </w:p>
    <w:p w14:paraId="4BBF356B">
      <w:pPr>
        <w:pStyle w:val="22"/>
        <w:rPr>
          <w:color w:val="auto"/>
          <w:highlight w:val="none"/>
        </w:rPr>
      </w:pPr>
    </w:p>
    <w:p w14:paraId="4509A74C">
      <w:pPr>
        <w:pStyle w:val="22"/>
        <w:rPr>
          <w:color w:val="auto"/>
          <w:highlight w:val="none"/>
        </w:rPr>
      </w:pPr>
    </w:p>
    <w:p w14:paraId="2621B7DF">
      <w:pPr>
        <w:bidi w:val="0"/>
        <w:rPr>
          <w:rFonts w:hint="eastAsia"/>
          <w:color w:val="auto"/>
          <w:highlight w:val="none"/>
        </w:rPr>
      </w:pPr>
    </w:p>
    <w:p w14:paraId="607AD410">
      <w:pPr>
        <w:bidi w:val="0"/>
        <w:rPr>
          <w:rFonts w:hint="eastAsia"/>
          <w:color w:val="auto"/>
          <w:highlight w:val="none"/>
        </w:rPr>
      </w:pPr>
    </w:p>
    <w:p w14:paraId="68A80D37">
      <w:pPr>
        <w:bidi w:val="0"/>
        <w:rPr>
          <w:rFonts w:hint="eastAsia"/>
          <w:color w:val="auto"/>
          <w:highlight w:val="none"/>
        </w:rPr>
      </w:pPr>
    </w:p>
    <w:p w14:paraId="3E7F2EBB">
      <w:pPr>
        <w:bidi w:val="0"/>
        <w:rPr>
          <w:rFonts w:hint="eastAsia"/>
          <w:color w:val="auto"/>
          <w:highlight w:val="none"/>
        </w:rPr>
      </w:pPr>
    </w:p>
    <w:p w14:paraId="16FC0984">
      <w:pPr>
        <w:bidi w:val="0"/>
        <w:rPr>
          <w:rFonts w:hint="eastAsia"/>
          <w:color w:val="auto"/>
          <w:highlight w:val="none"/>
        </w:rPr>
      </w:pPr>
    </w:p>
    <w:p w14:paraId="52F15E15">
      <w:pPr>
        <w:bidi w:val="0"/>
        <w:rPr>
          <w:rFonts w:hint="eastAsia"/>
          <w:color w:val="auto"/>
          <w:highlight w:val="none"/>
        </w:rPr>
      </w:pPr>
    </w:p>
    <w:p w14:paraId="0A10D0D7">
      <w:pPr>
        <w:bidi w:val="0"/>
        <w:rPr>
          <w:rFonts w:hint="eastAsia"/>
          <w:color w:val="auto"/>
          <w:highlight w:val="none"/>
        </w:rPr>
      </w:pPr>
    </w:p>
    <w:p w14:paraId="22CC7FC1">
      <w:pPr>
        <w:bidi w:val="0"/>
        <w:rPr>
          <w:rFonts w:hint="eastAsia"/>
          <w:color w:val="auto"/>
          <w:highlight w:val="none"/>
        </w:rPr>
      </w:pPr>
    </w:p>
    <w:p w14:paraId="4D4AE253">
      <w:pPr>
        <w:bidi w:val="0"/>
        <w:rPr>
          <w:rFonts w:hint="eastAsia"/>
          <w:color w:val="auto"/>
          <w:highlight w:val="none"/>
        </w:rPr>
      </w:pPr>
    </w:p>
    <w:p w14:paraId="429B4500">
      <w:pPr>
        <w:bidi w:val="0"/>
        <w:rPr>
          <w:rFonts w:hint="eastAsia"/>
          <w:color w:val="auto"/>
          <w:highlight w:val="none"/>
        </w:rPr>
      </w:pPr>
    </w:p>
    <w:p w14:paraId="58994C0A">
      <w:pPr>
        <w:pStyle w:val="2"/>
        <w:spacing w:before="0" w:after="0" w:line="240" w:lineRule="auto"/>
        <w:jc w:val="center"/>
        <w:rPr>
          <w:rFonts w:ascii="宋体" w:hAnsi="宋体"/>
          <w:color w:val="auto"/>
          <w:highlight w:val="none"/>
        </w:rPr>
      </w:pPr>
      <w:bookmarkStart w:id="35" w:name="_Toc24324"/>
      <w:r>
        <w:rPr>
          <w:rFonts w:hint="eastAsia" w:ascii="宋体" w:hAnsi="宋体"/>
          <w:color w:val="auto"/>
          <w:highlight w:val="none"/>
        </w:rPr>
        <w:t>第五章  工程量清单及图纸</w:t>
      </w:r>
      <w:bookmarkEnd w:id="35"/>
    </w:p>
    <w:p w14:paraId="66FAABFF">
      <w:pPr>
        <w:rPr>
          <w:color w:val="auto"/>
          <w:highlight w:val="none"/>
        </w:rPr>
      </w:pPr>
    </w:p>
    <w:p w14:paraId="00707806">
      <w:pPr>
        <w:rPr>
          <w:color w:val="auto"/>
          <w:highlight w:val="none"/>
        </w:rPr>
      </w:pPr>
    </w:p>
    <w:p w14:paraId="6CD3A635">
      <w:pPr>
        <w:spacing w:line="440" w:lineRule="exact"/>
        <w:jc w:val="center"/>
        <w:rPr>
          <w:color w:val="auto"/>
          <w:sz w:val="36"/>
          <w:szCs w:val="36"/>
          <w:highlight w:val="none"/>
        </w:rPr>
      </w:pPr>
      <w:r>
        <w:rPr>
          <w:rFonts w:hint="eastAsia"/>
          <w:color w:val="auto"/>
          <w:sz w:val="36"/>
          <w:szCs w:val="36"/>
          <w:highlight w:val="none"/>
        </w:rPr>
        <w:t>工程量清单及图纸（另册）</w:t>
      </w:r>
    </w:p>
    <w:p w14:paraId="2C570D07">
      <w:pPr>
        <w:spacing w:line="440" w:lineRule="exact"/>
        <w:jc w:val="center"/>
        <w:rPr>
          <w:rFonts w:eastAsia="仿宋_GB2312"/>
          <w:color w:val="auto"/>
          <w:sz w:val="36"/>
          <w:szCs w:val="36"/>
          <w:highlight w:val="none"/>
        </w:rPr>
      </w:pPr>
    </w:p>
    <w:p w14:paraId="06C4F755">
      <w:pPr>
        <w:bidi w:val="0"/>
        <w:rPr>
          <w:color w:val="auto"/>
          <w:highlight w:val="none"/>
        </w:rPr>
      </w:pPr>
      <w:r>
        <w:rPr>
          <w:color w:val="auto"/>
          <w:highlight w:val="none"/>
        </w:rPr>
        <w:br w:type="page"/>
      </w:r>
    </w:p>
    <w:p w14:paraId="056F608A">
      <w:pPr>
        <w:rPr>
          <w:color w:val="auto"/>
          <w:highlight w:val="none"/>
        </w:rPr>
      </w:pPr>
    </w:p>
    <w:p w14:paraId="2D679BE4">
      <w:pPr>
        <w:pStyle w:val="18"/>
        <w:rPr>
          <w:color w:val="auto"/>
          <w:highlight w:val="none"/>
        </w:rPr>
      </w:pPr>
    </w:p>
    <w:p w14:paraId="4A36C273">
      <w:pPr>
        <w:rPr>
          <w:color w:val="auto"/>
          <w:highlight w:val="none"/>
        </w:rPr>
      </w:pPr>
    </w:p>
    <w:p w14:paraId="7288DC8E">
      <w:pPr>
        <w:spacing w:line="600" w:lineRule="exact"/>
        <w:rPr>
          <w:color w:val="auto"/>
          <w:szCs w:val="21"/>
          <w:highlight w:val="none"/>
        </w:rPr>
      </w:pPr>
    </w:p>
    <w:p w14:paraId="2F5F20B1">
      <w:pPr>
        <w:spacing w:line="300" w:lineRule="auto"/>
        <w:rPr>
          <w:rFonts w:ascii="方正宋黑简体" w:hAnsi="宋体" w:eastAsia="方正宋黑简体"/>
          <w:b/>
          <w:color w:val="auto"/>
          <w:szCs w:val="21"/>
          <w:highlight w:val="none"/>
        </w:rPr>
      </w:pPr>
    </w:p>
    <w:p w14:paraId="7C345D1E">
      <w:pPr>
        <w:spacing w:line="300" w:lineRule="auto"/>
        <w:ind w:left="420" w:hanging="420"/>
        <w:jc w:val="center"/>
        <w:rPr>
          <w:rFonts w:ascii="黑体" w:hAnsi="宋体" w:eastAsia="黑体"/>
          <w:b/>
          <w:color w:val="auto"/>
          <w:kern w:val="0"/>
          <w:sz w:val="32"/>
          <w:szCs w:val="32"/>
          <w:highlight w:val="none"/>
        </w:rPr>
      </w:pPr>
    </w:p>
    <w:p w14:paraId="70BB86D2">
      <w:pPr>
        <w:spacing w:line="300" w:lineRule="auto"/>
        <w:ind w:left="420" w:hanging="420"/>
        <w:jc w:val="center"/>
        <w:rPr>
          <w:rFonts w:ascii="黑体" w:hAnsi="宋体" w:eastAsia="黑体"/>
          <w:b/>
          <w:color w:val="auto"/>
          <w:kern w:val="0"/>
          <w:sz w:val="32"/>
          <w:szCs w:val="32"/>
          <w:highlight w:val="none"/>
        </w:rPr>
      </w:pPr>
    </w:p>
    <w:p w14:paraId="67C43B8A">
      <w:pPr>
        <w:spacing w:line="300" w:lineRule="auto"/>
        <w:ind w:left="420" w:hanging="420"/>
        <w:jc w:val="center"/>
        <w:rPr>
          <w:rFonts w:ascii="黑体" w:hAnsi="宋体" w:eastAsia="黑体"/>
          <w:b/>
          <w:color w:val="auto"/>
          <w:kern w:val="0"/>
          <w:sz w:val="32"/>
          <w:szCs w:val="32"/>
          <w:highlight w:val="none"/>
        </w:rPr>
      </w:pPr>
    </w:p>
    <w:p w14:paraId="105EDC45">
      <w:pPr>
        <w:pStyle w:val="18"/>
        <w:rPr>
          <w:color w:val="auto"/>
          <w:highlight w:val="none"/>
        </w:rPr>
      </w:pPr>
    </w:p>
    <w:p w14:paraId="0D06CD34">
      <w:pPr>
        <w:rPr>
          <w:color w:val="auto"/>
          <w:highlight w:val="none"/>
        </w:rPr>
      </w:pPr>
    </w:p>
    <w:p w14:paraId="4FEF6E28">
      <w:pPr>
        <w:autoSpaceDE w:val="0"/>
        <w:autoSpaceDN w:val="0"/>
        <w:adjustRightInd w:val="0"/>
        <w:snapToGrid w:val="0"/>
        <w:spacing w:line="300" w:lineRule="auto"/>
        <w:jc w:val="center"/>
        <w:outlineLvl w:val="0"/>
        <w:rPr>
          <w:rFonts w:ascii="宋体" w:hAnsi="宋体"/>
          <w:b/>
          <w:color w:val="auto"/>
          <w:kern w:val="0"/>
          <w:sz w:val="44"/>
          <w:szCs w:val="44"/>
          <w:highlight w:val="none"/>
        </w:rPr>
      </w:pPr>
      <w:bookmarkStart w:id="36" w:name="_Toc3994507"/>
      <w:bookmarkStart w:id="37" w:name="_Toc31815"/>
      <w:bookmarkStart w:id="38" w:name="_Toc9174"/>
      <w:r>
        <w:rPr>
          <w:rFonts w:hint="eastAsia" w:ascii="宋体" w:hAnsi="宋体"/>
          <w:b/>
          <w:color w:val="auto"/>
          <w:kern w:val="0"/>
          <w:sz w:val="44"/>
          <w:szCs w:val="44"/>
          <w:highlight w:val="none"/>
        </w:rPr>
        <w:t>第六章  合同格式</w:t>
      </w:r>
      <w:bookmarkEnd w:id="36"/>
      <w:bookmarkEnd w:id="37"/>
      <w:bookmarkEnd w:id="38"/>
    </w:p>
    <w:p w14:paraId="7AD86426">
      <w:pPr>
        <w:spacing w:line="300" w:lineRule="auto"/>
        <w:ind w:left="420" w:hanging="420"/>
        <w:jc w:val="center"/>
        <w:rPr>
          <w:rFonts w:ascii="黑体" w:hAnsi="宋体" w:eastAsia="黑体"/>
          <w:b/>
          <w:color w:val="auto"/>
          <w:kern w:val="0"/>
          <w:sz w:val="32"/>
          <w:szCs w:val="32"/>
          <w:highlight w:val="none"/>
        </w:rPr>
      </w:pPr>
    </w:p>
    <w:p w14:paraId="26451821">
      <w:pPr>
        <w:spacing w:line="300" w:lineRule="auto"/>
        <w:ind w:left="420" w:hanging="420"/>
        <w:jc w:val="center"/>
        <w:rPr>
          <w:rFonts w:ascii="黑体" w:hAnsi="宋体" w:eastAsia="黑体"/>
          <w:b/>
          <w:color w:val="auto"/>
          <w:kern w:val="0"/>
          <w:sz w:val="32"/>
          <w:szCs w:val="32"/>
          <w:highlight w:val="none"/>
        </w:rPr>
      </w:pPr>
    </w:p>
    <w:p w14:paraId="50592666">
      <w:pPr>
        <w:spacing w:line="300" w:lineRule="auto"/>
        <w:ind w:left="420" w:hanging="420"/>
        <w:jc w:val="center"/>
        <w:rPr>
          <w:rFonts w:ascii="黑体" w:hAnsi="宋体" w:eastAsia="黑体"/>
          <w:b/>
          <w:color w:val="auto"/>
          <w:kern w:val="0"/>
          <w:sz w:val="32"/>
          <w:szCs w:val="32"/>
          <w:highlight w:val="none"/>
        </w:rPr>
      </w:pPr>
    </w:p>
    <w:p w14:paraId="05E13B35">
      <w:pPr>
        <w:spacing w:line="300" w:lineRule="auto"/>
        <w:ind w:left="420" w:hanging="420"/>
        <w:jc w:val="center"/>
        <w:rPr>
          <w:rFonts w:ascii="黑体" w:hAnsi="宋体" w:eastAsia="黑体"/>
          <w:b/>
          <w:color w:val="auto"/>
          <w:kern w:val="0"/>
          <w:sz w:val="32"/>
          <w:szCs w:val="32"/>
          <w:highlight w:val="none"/>
        </w:rPr>
      </w:pPr>
    </w:p>
    <w:p w14:paraId="6893C2A9">
      <w:pPr>
        <w:spacing w:line="300" w:lineRule="auto"/>
        <w:ind w:left="420" w:hanging="420"/>
        <w:jc w:val="center"/>
        <w:rPr>
          <w:rFonts w:ascii="黑体" w:hAnsi="宋体" w:eastAsia="黑体"/>
          <w:b/>
          <w:color w:val="auto"/>
          <w:kern w:val="0"/>
          <w:sz w:val="32"/>
          <w:szCs w:val="32"/>
          <w:highlight w:val="none"/>
        </w:rPr>
      </w:pPr>
    </w:p>
    <w:p w14:paraId="1E8ED383">
      <w:pPr>
        <w:spacing w:line="300" w:lineRule="auto"/>
        <w:ind w:left="420" w:hanging="420"/>
        <w:jc w:val="center"/>
        <w:rPr>
          <w:rFonts w:ascii="黑体" w:hAnsi="宋体" w:eastAsia="黑体"/>
          <w:b/>
          <w:color w:val="auto"/>
          <w:kern w:val="0"/>
          <w:sz w:val="32"/>
          <w:szCs w:val="32"/>
          <w:highlight w:val="none"/>
        </w:rPr>
      </w:pPr>
    </w:p>
    <w:p w14:paraId="57CD3F2D">
      <w:pPr>
        <w:spacing w:line="300" w:lineRule="auto"/>
        <w:ind w:left="420" w:hanging="420"/>
        <w:jc w:val="center"/>
        <w:rPr>
          <w:rFonts w:ascii="黑体" w:hAnsi="宋体" w:eastAsia="黑体"/>
          <w:b/>
          <w:color w:val="auto"/>
          <w:kern w:val="0"/>
          <w:sz w:val="32"/>
          <w:szCs w:val="32"/>
          <w:highlight w:val="none"/>
        </w:rPr>
      </w:pPr>
    </w:p>
    <w:p w14:paraId="7FAF63C3">
      <w:pPr>
        <w:spacing w:line="300" w:lineRule="auto"/>
        <w:ind w:left="420" w:hanging="420"/>
        <w:jc w:val="center"/>
        <w:rPr>
          <w:rFonts w:ascii="黑体" w:hAnsi="宋体" w:eastAsia="黑体"/>
          <w:b/>
          <w:color w:val="auto"/>
          <w:kern w:val="0"/>
          <w:sz w:val="32"/>
          <w:szCs w:val="32"/>
          <w:highlight w:val="none"/>
        </w:rPr>
      </w:pPr>
    </w:p>
    <w:p w14:paraId="778B0FC3">
      <w:pPr>
        <w:spacing w:line="300" w:lineRule="auto"/>
        <w:ind w:left="420" w:hanging="420"/>
        <w:jc w:val="center"/>
        <w:rPr>
          <w:rFonts w:ascii="黑体" w:hAnsi="宋体" w:eastAsia="黑体"/>
          <w:b/>
          <w:color w:val="auto"/>
          <w:kern w:val="0"/>
          <w:sz w:val="32"/>
          <w:szCs w:val="32"/>
          <w:highlight w:val="none"/>
        </w:rPr>
      </w:pPr>
    </w:p>
    <w:p w14:paraId="057B3198">
      <w:pPr>
        <w:pStyle w:val="18"/>
        <w:rPr>
          <w:color w:val="auto"/>
          <w:highlight w:val="none"/>
        </w:rPr>
      </w:pPr>
    </w:p>
    <w:p w14:paraId="55A7491D">
      <w:pPr>
        <w:rPr>
          <w:color w:val="auto"/>
          <w:highlight w:val="none"/>
        </w:rPr>
      </w:pPr>
    </w:p>
    <w:p w14:paraId="6FACF0EC">
      <w:pPr>
        <w:spacing w:line="300" w:lineRule="auto"/>
        <w:rPr>
          <w:rFonts w:ascii="黑体" w:hAnsi="宋体" w:eastAsia="黑体"/>
          <w:b/>
          <w:color w:val="auto"/>
          <w:kern w:val="0"/>
          <w:sz w:val="32"/>
          <w:szCs w:val="32"/>
          <w:highlight w:val="none"/>
        </w:rPr>
      </w:pPr>
      <w:r>
        <w:rPr>
          <w:rFonts w:ascii="黑体" w:hAnsi="宋体" w:eastAsia="黑体"/>
          <w:b/>
          <w:color w:val="auto"/>
          <w:kern w:val="0"/>
          <w:sz w:val="32"/>
          <w:szCs w:val="32"/>
          <w:highlight w:val="none"/>
        </w:rPr>
        <w:br w:type="page"/>
      </w:r>
    </w:p>
    <w:p w14:paraId="448F4CDE">
      <w:pPr>
        <w:pStyle w:val="22"/>
        <w:jc w:val="center"/>
        <w:rPr>
          <w:rFonts w:hAnsi="宋体"/>
          <w:b/>
          <w:color w:val="auto"/>
          <w:sz w:val="52"/>
          <w:szCs w:val="52"/>
          <w:highlight w:val="none"/>
        </w:rPr>
      </w:pPr>
      <w:r>
        <w:rPr>
          <w:rFonts w:hint="eastAsia" w:hAnsi="宋体"/>
          <w:b/>
          <w:color w:val="auto"/>
          <w:sz w:val="52"/>
          <w:szCs w:val="52"/>
          <w:highlight w:val="none"/>
        </w:rPr>
        <w:t>北海市政府采购合同</w:t>
      </w:r>
    </w:p>
    <w:p w14:paraId="32B28BFF">
      <w:pPr>
        <w:pStyle w:val="22"/>
        <w:rPr>
          <w:rFonts w:hAnsi="宋体"/>
          <w:color w:val="auto"/>
          <w:highlight w:val="none"/>
        </w:rPr>
      </w:pPr>
    </w:p>
    <w:p w14:paraId="77038783">
      <w:pPr>
        <w:pStyle w:val="22"/>
        <w:rPr>
          <w:rFonts w:hAnsi="宋体"/>
          <w:color w:val="auto"/>
          <w:highlight w:val="none"/>
        </w:rPr>
      </w:pPr>
    </w:p>
    <w:p w14:paraId="25305D2C">
      <w:pPr>
        <w:pStyle w:val="22"/>
        <w:rPr>
          <w:rFonts w:hAnsi="宋体"/>
          <w:color w:val="auto"/>
          <w:highlight w:val="none"/>
        </w:rPr>
      </w:pPr>
    </w:p>
    <w:p w14:paraId="18934646">
      <w:pPr>
        <w:pStyle w:val="22"/>
        <w:rPr>
          <w:rFonts w:hAnsi="宋体"/>
          <w:color w:val="auto"/>
          <w:highlight w:val="none"/>
        </w:rPr>
      </w:pPr>
    </w:p>
    <w:p w14:paraId="78D8F17C">
      <w:pPr>
        <w:pStyle w:val="22"/>
        <w:rPr>
          <w:rFonts w:hint="eastAsia" w:hAnsi="宋体"/>
          <w:b/>
          <w:color w:val="auto"/>
          <w:sz w:val="32"/>
          <w:szCs w:val="32"/>
          <w:highlight w:val="none"/>
        </w:rPr>
      </w:pPr>
    </w:p>
    <w:p w14:paraId="6705124F">
      <w:pPr>
        <w:pStyle w:val="22"/>
        <w:rPr>
          <w:rFonts w:hAnsi="宋体"/>
          <w:b/>
          <w:color w:val="auto"/>
          <w:sz w:val="32"/>
          <w:szCs w:val="32"/>
          <w:highlight w:val="none"/>
          <w:u w:val="single"/>
        </w:rPr>
      </w:pPr>
      <w:r>
        <w:rPr>
          <w:rFonts w:hint="eastAsia" w:hAnsi="宋体"/>
          <w:b/>
          <w:color w:val="auto"/>
          <w:sz w:val="32"/>
          <w:szCs w:val="32"/>
          <w:highlight w:val="none"/>
        </w:rPr>
        <w:t>合同名称：</w:t>
      </w:r>
      <w:r>
        <w:rPr>
          <w:rFonts w:hint="eastAsia" w:hAnsi="宋体"/>
          <w:b/>
          <w:color w:val="auto"/>
          <w:sz w:val="32"/>
          <w:szCs w:val="32"/>
          <w:highlight w:val="none"/>
          <w:u w:val="single"/>
          <w:lang w:val="en-US" w:eastAsia="zh-CN"/>
        </w:rPr>
        <w:t>北海市银海区三合口民族学校教学楼拆除重建项目</w:t>
      </w:r>
      <w:r>
        <w:rPr>
          <w:rFonts w:hint="eastAsia" w:hAnsi="宋体"/>
          <w:b/>
          <w:color w:val="auto"/>
          <w:sz w:val="32"/>
          <w:szCs w:val="32"/>
          <w:highlight w:val="none"/>
          <w:u w:val="single"/>
        </w:rPr>
        <w:t xml:space="preserve">                    </w:t>
      </w:r>
    </w:p>
    <w:p w14:paraId="254B980B">
      <w:pPr>
        <w:pStyle w:val="22"/>
        <w:rPr>
          <w:rFonts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14:paraId="6D053194">
      <w:pPr>
        <w:pStyle w:val="22"/>
        <w:jc w:val="center"/>
        <w:rPr>
          <w:rFonts w:hAnsi="宋体"/>
          <w:color w:val="auto"/>
          <w:highlight w:val="none"/>
        </w:rPr>
      </w:pPr>
    </w:p>
    <w:p w14:paraId="7F36AFB7">
      <w:pPr>
        <w:pStyle w:val="22"/>
        <w:jc w:val="center"/>
        <w:rPr>
          <w:rFonts w:hAnsi="宋体"/>
          <w:color w:val="auto"/>
          <w:highlight w:val="none"/>
        </w:rPr>
      </w:pPr>
    </w:p>
    <w:p w14:paraId="2C874ECE">
      <w:pPr>
        <w:pStyle w:val="22"/>
        <w:jc w:val="center"/>
        <w:rPr>
          <w:rFonts w:hAnsi="宋体"/>
          <w:color w:val="auto"/>
          <w:highlight w:val="none"/>
        </w:rPr>
      </w:pPr>
    </w:p>
    <w:p w14:paraId="4BB573FD">
      <w:pPr>
        <w:pStyle w:val="22"/>
        <w:spacing w:line="340" w:lineRule="exact"/>
        <w:rPr>
          <w:rFonts w:hAnsi="宋体"/>
          <w:b/>
          <w:color w:val="auto"/>
          <w:sz w:val="32"/>
          <w:szCs w:val="32"/>
          <w:highlight w:val="none"/>
        </w:rPr>
      </w:pPr>
      <w:r>
        <w:rPr>
          <w:rFonts w:hint="eastAsia" w:hAnsi="宋体"/>
          <w:b/>
          <w:color w:val="auto"/>
          <w:sz w:val="32"/>
          <w:szCs w:val="32"/>
          <w:highlight w:val="none"/>
        </w:rPr>
        <w:t>采购人（甲方）</w:t>
      </w:r>
      <w:r>
        <w:rPr>
          <w:rFonts w:hint="eastAsia" w:hAnsi="宋体"/>
          <w:b/>
          <w:color w:val="auto"/>
          <w:sz w:val="32"/>
          <w:szCs w:val="32"/>
          <w:highlight w:val="none"/>
          <w:u w:val="none"/>
        </w:rPr>
        <w:t xml:space="preserve"> </w:t>
      </w:r>
      <w:r>
        <w:rPr>
          <w:rFonts w:hint="eastAsia" w:hAnsi="宋体"/>
          <w:b/>
          <w:color w:val="auto"/>
          <w:sz w:val="32"/>
          <w:szCs w:val="32"/>
          <w:highlight w:val="none"/>
          <w:u w:val="none"/>
          <w:lang w:eastAsia="zh-CN"/>
        </w:rPr>
        <w:t>：</w:t>
      </w:r>
      <w:r>
        <w:rPr>
          <w:rFonts w:hint="eastAsia" w:hAnsi="宋体"/>
          <w:b/>
          <w:color w:val="auto"/>
          <w:sz w:val="32"/>
          <w:szCs w:val="32"/>
          <w:highlight w:val="none"/>
          <w:u w:val="single"/>
          <w:lang w:val="en-US" w:eastAsia="zh-CN"/>
        </w:rPr>
        <w:t>北海市银海区三合口民族学校</w:t>
      </w:r>
      <w:r>
        <w:rPr>
          <w:rFonts w:hint="eastAsia" w:hAnsi="宋体"/>
          <w:b/>
          <w:color w:val="auto"/>
          <w:sz w:val="32"/>
          <w:szCs w:val="32"/>
          <w:highlight w:val="none"/>
          <w:u w:val="single"/>
        </w:rPr>
        <w:t xml:space="preserve">                   </w:t>
      </w:r>
    </w:p>
    <w:p w14:paraId="045C5EE5">
      <w:pPr>
        <w:pStyle w:val="22"/>
        <w:spacing w:line="340" w:lineRule="exact"/>
        <w:ind w:firstLine="1590" w:firstLineChars="495"/>
        <w:rPr>
          <w:rFonts w:hAnsi="宋体"/>
          <w:b/>
          <w:color w:val="auto"/>
          <w:sz w:val="32"/>
          <w:szCs w:val="32"/>
          <w:highlight w:val="none"/>
        </w:rPr>
      </w:pPr>
    </w:p>
    <w:p w14:paraId="6F075E3D">
      <w:pPr>
        <w:pStyle w:val="22"/>
        <w:spacing w:line="340" w:lineRule="exact"/>
        <w:rPr>
          <w:rFonts w:hAnsi="宋体"/>
          <w:b/>
          <w:color w:val="auto"/>
          <w:sz w:val="32"/>
          <w:szCs w:val="32"/>
          <w:highlight w:val="none"/>
        </w:rPr>
      </w:pPr>
      <w:r>
        <w:rPr>
          <w:rFonts w:hint="eastAsia" w:hAnsi="宋体"/>
          <w:b/>
          <w:color w:val="auto"/>
          <w:sz w:val="32"/>
          <w:szCs w:val="32"/>
          <w:highlight w:val="none"/>
        </w:rPr>
        <w:t>供 应 商（乙方）</w:t>
      </w:r>
      <w:r>
        <w:rPr>
          <w:rFonts w:hint="eastAsia" w:hAnsi="宋体"/>
          <w:b/>
          <w:color w:val="auto"/>
          <w:sz w:val="32"/>
          <w:szCs w:val="32"/>
          <w:highlight w:val="none"/>
          <w:u w:val="none"/>
          <w:lang w:eastAsia="zh-CN"/>
        </w:rPr>
        <w:t>：</w:t>
      </w:r>
      <w:r>
        <w:rPr>
          <w:rFonts w:hint="eastAsia" w:hAnsi="宋体"/>
          <w:b/>
          <w:color w:val="auto"/>
          <w:sz w:val="32"/>
          <w:szCs w:val="32"/>
          <w:highlight w:val="none"/>
          <w:u w:val="single"/>
        </w:rPr>
        <w:t xml:space="preserve">                   </w:t>
      </w:r>
    </w:p>
    <w:p w14:paraId="325162A1">
      <w:pPr>
        <w:pStyle w:val="22"/>
        <w:jc w:val="center"/>
        <w:rPr>
          <w:rFonts w:hAnsi="宋体"/>
          <w:color w:val="auto"/>
          <w:highlight w:val="none"/>
        </w:rPr>
      </w:pPr>
    </w:p>
    <w:p w14:paraId="2A5A2037">
      <w:pPr>
        <w:pStyle w:val="22"/>
        <w:jc w:val="center"/>
        <w:rPr>
          <w:rFonts w:hAnsi="宋体"/>
          <w:color w:val="auto"/>
          <w:highlight w:val="none"/>
        </w:rPr>
      </w:pPr>
    </w:p>
    <w:p w14:paraId="3754D649">
      <w:pPr>
        <w:pStyle w:val="22"/>
        <w:jc w:val="center"/>
        <w:rPr>
          <w:rFonts w:hAnsi="宋体"/>
          <w:color w:val="auto"/>
          <w:highlight w:val="none"/>
        </w:rPr>
      </w:pPr>
    </w:p>
    <w:p w14:paraId="3E506208">
      <w:pPr>
        <w:pStyle w:val="22"/>
        <w:jc w:val="center"/>
        <w:rPr>
          <w:rFonts w:hAnsi="宋体"/>
          <w:color w:val="auto"/>
          <w:highlight w:val="none"/>
        </w:rPr>
      </w:pPr>
    </w:p>
    <w:p w14:paraId="0E65658F">
      <w:pPr>
        <w:pStyle w:val="22"/>
        <w:ind w:firstLine="1590" w:firstLineChars="495"/>
        <w:rPr>
          <w:rFonts w:hint="eastAsia" w:hAnsi="宋体"/>
          <w:b/>
          <w:color w:val="auto"/>
          <w:sz w:val="32"/>
          <w:szCs w:val="32"/>
          <w:highlight w:val="none"/>
        </w:rPr>
      </w:pPr>
    </w:p>
    <w:p w14:paraId="631431D3">
      <w:pPr>
        <w:pStyle w:val="22"/>
        <w:ind w:firstLine="1590" w:firstLineChars="495"/>
        <w:rPr>
          <w:rFonts w:hint="eastAsia" w:hAnsi="宋体"/>
          <w:b/>
          <w:color w:val="auto"/>
          <w:sz w:val="32"/>
          <w:szCs w:val="32"/>
          <w:highlight w:val="none"/>
        </w:rPr>
      </w:pPr>
    </w:p>
    <w:p w14:paraId="74480209">
      <w:pPr>
        <w:pStyle w:val="22"/>
        <w:ind w:firstLine="1590" w:firstLineChars="495"/>
        <w:rPr>
          <w:rFonts w:hAnsi="宋体"/>
          <w:b/>
          <w:color w:val="auto"/>
          <w:sz w:val="32"/>
          <w:szCs w:val="32"/>
          <w:highlight w:val="none"/>
          <w:u w:val="single"/>
        </w:rPr>
      </w:pPr>
      <w:r>
        <w:rPr>
          <w:rFonts w:hint="eastAsia" w:hAnsi="宋体"/>
          <w:b/>
          <w:color w:val="auto"/>
          <w:sz w:val="32"/>
          <w:szCs w:val="32"/>
          <w:highlight w:val="none"/>
        </w:rPr>
        <w:t>签订合同地点：</w:t>
      </w:r>
      <w:r>
        <w:rPr>
          <w:rFonts w:hint="eastAsia" w:hAnsi="宋体"/>
          <w:b/>
          <w:color w:val="auto"/>
          <w:sz w:val="32"/>
          <w:szCs w:val="32"/>
          <w:highlight w:val="none"/>
          <w:u w:val="single"/>
          <w:lang w:val="en-US" w:eastAsia="zh-CN"/>
        </w:rPr>
        <w:t>广西北海市</w:t>
      </w:r>
      <w:r>
        <w:rPr>
          <w:rFonts w:hint="eastAsia" w:hAnsi="宋体"/>
          <w:b/>
          <w:color w:val="auto"/>
          <w:sz w:val="32"/>
          <w:szCs w:val="32"/>
          <w:highlight w:val="none"/>
          <w:u w:val="single"/>
        </w:rPr>
        <w:t xml:space="preserve">                    </w:t>
      </w:r>
    </w:p>
    <w:p w14:paraId="2ECC2FE5">
      <w:pPr>
        <w:pStyle w:val="22"/>
        <w:ind w:firstLine="1590" w:firstLineChars="495"/>
        <w:rPr>
          <w:rFonts w:hint="eastAsia" w:hAnsi="宋体"/>
          <w:b/>
          <w:color w:val="auto"/>
          <w:sz w:val="32"/>
          <w:szCs w:val="32"/>
          <w:highlight w:val="none"/>
        </w:rPr>
      </w:pPr>
    </w:p>
    <w:p w14:paraId="55F2E9AA">
      <w:pPr>
        <w:pStyle w:val="22"/>
        <w:ind w:firstLine="1590" w:firstLineChars="495"/>
        <w:rPr>
          <w:rFonts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r>
        <w:rPr>
          <w:rFonts w:hint="eastAsia" w:hAnsi="宋体"/>
          <w:b/>
          <w:color w:val="auto"/>
          <w:sz w:val="32"/>
          <w:szCs w:val="32"/>
          <w:highlight w:val="none"/>
          <w:u w:val="single"/>
          <w:lang w:val="en-US" w:eastAsia="zh-CN"/>
        </w:rPr>
        <w:t xml:space="preserve">    年   月   日</w:t>
      </w:r>
      <w:r>
        <w:rPr>
          <w:rFonts w:hint="eastAsia" w:hAnsi="宋体"/>
          <w:b/>
          <w:color w:val="auto"/>
          <w:sz w:val="32"/>
          <w:szCs w:val="32"/>
          <w:highlight w:val="none"/>
          <w:u w:val="single"/>
        </w:rPr>
        <w:t xml:space="preserve">                   </w:t>
      </w:r>
    </w:p>
    <w:p w14:paraId="3A530D78">
      <w:pPr>
        <w:pStyle w:val="22"/>
        <w:jc w:val="center"/>
        <w:rPr>
          <w:rFonts w:hAnsi="宋体"/>
          <w:color w:val="auto"/>
          <w:highlight w:val="none"/>
        </w:rPr>
      </w:pPr>
      <w:r>
        <w:rPr>
          <w:rFonts w:hint="eastAsia" w:hAnsi="宋体"/>
          <w:color w:val="auto"/>
          <w:highlight w:val="none"/>
        </w:rPr>
        <w:t xml:space="preserve"> </w:t>
      </w:r>
    </w:p>
    <w:p w14:paraId="31C99489">
      <w:pPr>
        <w:pStyle w:val="22"/>
        <w:jc w:val="center"/>
        <w:rPr>
          <w:rFonts w:hAnsi="宋体"/>
          <w:color w:val="auto"/>
          <w:highlight w:val="none"/>
        </w:rPr>
      </w:pPr>
    </w:p>
    <w:p w14:paraId="0EE91911">
      <w:pPr>
        <w:pStyle w:val="22"/>
        <w:jc w:val="center"/>
        <w:rPr>
          <w:rFonts w:hAnsi="宋体"/>
          <w:color w:val="auto"/>
          <w:highlight w:val="none"/>
        </w:rPr>
      </w:pPr>
    </w:p>
    <w:p w14:paraId="503709D4">
      <w:pPr>
        <w:pStyle w:val="22"/>
        <w:jc w:val="center"/>
        <w:rPr>
          <w:rFonts w:hAnsi="宋体"/>
          <w:color w:val="auto"/>
          <w:highlight w:val="none"/>
        </w:rPr>
      </w:pPr>
    </w:p>
    <w:p w14:paraId="786F6045">
      <w:pPr>
        <w:pStyle w:val="22"/>
        <w:jc w:val="center"/>
        <w:rPr>
          <w:rFonts w:hAnsi="宋体"/>
          <w:color w:val="auto"/>
          <w:highlight w:val="none"/>
        </w:rPr>
      </w:pPr>
    </w:p>
    <w:p w14:paraId="6B0241AE">
      <w:pPr>
        <w:pStyle w:val="22"/>
        <w:jc w:val="center"/>
        <w:rPr>
          <w:rFonts w:hAnsi="宋体"/>
          <w:color w:val="auto"/>
          <w:highlight w:val="none"/>
        </w:rPr>
      </w:pPr>
    </w:p>
    <w:p w14:paraId="0EFAFE67">
      <w:pPr>
        <w:spacing w:line="300" w:lineRule="auto"/>
        <w:ind w:left="420" w:hanging="420"/>
        <w:jc w:val="center"/>
        <w:rPr>
          <w:rFonts w:ascii="黑体" w:hAnsi="宋体" w:eastAsia="黑体"/>
          <w:b/>
          <w:color w:val="auto"/>
          <w:kern w:val="0"/>
          <w:sz w:val="32"/>
          <w:szCs w:val="32"/>
          <w:highlight w:val="none"/>
        </w:rPr>
      </w:pPr>
    </w:p>
    <w:p w14:paraId="26B05DE4">
      <w:pPr>
        <w:spacing w:line="300" w:lineRule="auto"/>
        <w:ind w:left="420" w:hanging="420"/>
        <w:jc w:val="center"/>
        <w:rPr>
          <w:rFonts w:ascii="黑体" w:hAnsi="宋体" w:eastAsia="黑体"/>
          <w:b/>
          <w:color w:val="auto"/>
          <w:kern w:val="0"/>
          <w:sz w:val="32"/>
          <w:szCs w:val="32"/>
          <w:highlight w:val="none"/>
        </w:rPr>
      </w:pPr>
    </w:p>
    <w:p w14:paraId="5A30BAD8">
      <w:pPr>
        <w:spacing w:line="300" w:lineRule="auto"/>
        <w:ind w:left="420" w:hanging="420"/>
        <w:jc w:val="center"/>
        <w:rPr>
          <w:rFonts w:ascii="黑体" w:hAnsi="宋体" w:eastAsia="黑体"/>
          <w:b/>
          <w:color w:val="auto"/>
          <w:kern w:val="0"/>
          <w:sz w:val="32"/>
          <w:szCs w:val="32"/>
          <w:highlight w:val="none"/>
        </w:rPr>
      </w:pPr>
    </w:p>
    <w:p w14:paraId="3E550FDA">
      <w:pPr>
        <w:spacing w:line="300" w:lineRule="auto"/>
        <w:ind w:left="420" w:hanging="420"/>
        <w:jc w:val="center"/>
        <w:rPr>
          <w:rFonts w:ascii="黑体" w:hAnsi="宋体" w:eastAsia="黑体"/>
          <w:b/>
          <w:color w:val="auto"/>
          <w:kern w:val="0"/>
          <w:sz w:val="32"/>
          <w:szCs w:val="32"/>
          <w:highlight w:val="none"/>
        </w:rPr>
      </w:pPr>
    </w:p>
    <w:p w14:paraId="6C3B0524">
      <w:pPr>
        <w:spacing w:line="300" w:lineRule="auto"/>
        <w:ind w:left="420" w:hanging="420"/>
        <w:jc w:val="center"/>
        <w:rPr>
          <w:rFonts w:ascii="黑体" w:hAnsi="宋体" w:eastAsia="黑体"/>
          <w:b/>
          <w:color w:val="auto"/>
          <w:kern w:val="0"/>
          <w:sz w:val="32"/>
          <w:szCs w:val="32"/>
          <w:highlight w:val="none"/>
        </w:rPr>
      </w:pPr>
      <w:r>
        <w:rPr>
          <w:rFonts w:hint="eastAsia" w:ascii="黑体" w:hAnsi="宋体" w:eastAsia="黑体"/>
          <w:b/>
          <w:color w:val="auto"/>
          <w:kern w:val="0"/>
          <w:sz w:val="32"/>
          <w:szCs w:val="32"/>
          <w:highlight w:val="none"/>
        </w:rPr>
        <w:t>采购合同文本</w:t>
      </w:r>
    </w:p>
    <w:p w14:paraId="27415094">
      <w:pPr>
        <w:snapToGrid w:val="0"/>
        <w:spacing w:line="360" w:lineRule="auto"/>
        <w:jc w:val="center"/>
        <w:rPr>
          <w:rFonts w:ascii="宋体" w:hAnsi="宋体"/>
          <w:b/>
          <w:bCs/>
          <w:color w:val="auto"/>
          <w:sz w:val="24"/>
          <w:highlight w:val="none"/>
        </w:rPr>
      </w:pPr>
      <w:r>
        <w:rPr>
          <w:rFonts w:hint="eastAsia" w:ascii="宋体" w:hAnsi="宋体"/>
          <w:b/>
          <w:bCs/>
          <w:color w:val="auto"/>
          <w:sz w:val="24"/>
          <w:highlight w:val="none"/>
        </w:rPr>
        <w:t>北海市政府采购合同</w:t>
      </w:r>
    </w:p>
    <w:p w14:paraId="7433799D">
      <w:pPr>
        <w:snapToGrid w:val="0"/>
        <w:spacing w:line="360" w:lineRule="auto"/>
        <w:jc w:val="center"/>
        <w:rPr>
          <w:rFonts w:ascii="宋体" w:hAnsi="宋体"/>
          <w:b/>
          <w:bCs/>
          <w:color w:val="auto"/>
          <w:sz w:val="24"/>
          <w:highlight w:val="none"/>
        </w:rPr>
      </w:pPr>
    </w:p>
    <w:p w14:paraId="0C096A86">
      <w:pPr>
        <w:snapToGrid w:val="0"/>
        <w:spacing w:line="360" w:lineRule="auto"/>
        <w:rPr>
          <w:rFonts w:ascii="宋体" w:hAnsi="宋体"/>
          <w:bCs/>
          <w:color w:val="auto"/>
          <w:sz w:val="21"/>
          <w:szCs w:val="21"/>
          <w:highlight w:val="none"/>
          <w:u w:val="single"/>
        </w:rPr>
      </w:pPr>
      <w:r>
        <w:rPr>
          <w:rFonts w:hint="eastAsia" w:ascii="宋体" w:hAnsi="宋体"/>
          <w:bCs/>
          <w:color w:val="auto"/>
          <w:sz w:val="21"/>
          <w:szCs w:val="21"/>
          <w:highlight w:val="none"/>
        </w:rPr>
        <w:t>合同编号：</w:t>
      </w:r>
    </w:p>
    <w:p w14:paraId="2FADCBD3">
      <w:pPr>
        <w:snapToGrid w:val="0"/>
        <w:spacing w:line="360" w:lineRule="auto"/>
        <w:rPr>
          <w:rFonts w:ascii="宋体" w:hAnsi="宋体"/>
          <w:color w:val="auto"/>
          <w:sz w:val="21"/>
          <w:szCs w:val="21"/>
          <w:highlight w:val="none"/>
        </w:rPr>
      </w:pPr>
    </w:p>
    <w:p w14:paraId="7EAEB8FA">
      <w:pPr>
        <w:snapToGrid w:val="0"/>
        <w:spacing w:line="360" w:lineRule="auto"/>
        <w:rPr>
          <w:rFonts w:ascii="宋体" w:hAnsi="宋体"/>
          <w:color w:val="auto"/>
          <w:sz w:val="21"/>
          <w:szCs w:val="21"/>
          <w:highlight w:val="none"/>
          <w:u w:val="single"/>
        </w:rPr>
      </w:pPr>
      <w:r>
        <w:rPr>
          <w:rFonts w:hint="eastAsia" w:ascii="宋体" w:hAnsi="宋体"/>
          <w:color w:val="auto"/>
          <w:sz w:val="21"/>
          <w:szCs w:val="21"/>
          <w:highlight w:val="none"/>
        </w:rPr>
        <w:t>采购人（甲方）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pacing w:val="-20"/>
          <w:sz w:val="21"/>
          <w:szCs w:val="21"/>
          <w:highlight w:val="none"/>
        </w:rPr>
        <w:t>采 购 计 划 号</w:t>
      </w:r>
      <w:r>
        <w:rPr>
          <w:rFonts w:hint="eastAsia" w:ascii="宋体" w:hAnsi="宋体"/>
          <w:color w:val="auto"/>
          <w:sz w:val="21"/>
          <w:szCs w:val="21"/>
          <w:highlight w:val="none"/>
          <w:u w:val="single"/>
        </w:rPr>
        <w:t xml:space="preserve">             </w:t>
      </w:r>
    </w:p>
    <w:p w14:paraId="5491AA5C">
      <w:pPr>
        <w:snapToGrid w:val="0"/>
        <w:spacing w:line="360" w:lineRule="auto"/>
        <w:rPr>
          <w:rFonts w:ascii="宋体" w:hAnsi="宋体"/>
          <w:color w:val="auto"/>
          <w:sz w:val="21"/>
          <w:szCs w:val="21"/>
          <w:highlight w:val="none"/>
          <w:u w:val="single"/>
        </w:rPr>
      </w:pPr>
      <w:r>
        <w:rPr>
          <w:rFonts w:hint="eastAsia" w:ascii="宋体" w:hAnsi="宋体"/>
          <w:color w:val="auto"/>
          <w:sz w:val="21"/>
          <w:szCs w:val="21"/>
          <w:highlight w:val="none"/>
        </w:rPr>
        <w:t>供 应 商（乙方）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项目名称和</w:t>
      </w:r>
      <w:r>
        <w:rPr>
          <w:rFonts w:hint="eastAsia" w:ascii="宋体" w:hAnsi="宋体"/>
          <w:color w:val="auto"/>
          <w:spacing w:val="-20"/>
          <w:sz w:val="21"/>
          <w:szCs w:val="21"/>
          <w:highlight w:val="none"/>
        </w:rPr>
        <w:t>项目编号</w:t>
      </w:r>
      <w:r>
        <w:rPr>
          <w:rFonts w:hint="eastAsia" w:ascii="宋体" w:hAnsi="宋体"/>
          <w:color w:val="auto"/>
          <w:sz w:val="21"/>
          <w:szCs w:val="21"/>
          <w:highlight w:val="none"/>
          <w:u w:val="single"/>
        </w:rPr>
        <w:t xml:space="preserve">             </w:t>
      </w:r>
    </w:p>
    <w:p w14:paraId="1726416B">
      <w:pPr>
        <w:snapToGrid w:val="0"/>
        <w:spacing w:line="360" w:lineRule="auto"/>
        <w:rPr>
          <w:rFonts w:ascii="宋体" w:hAnsi="宋体"/>
          <w:color w:val="auto"/>
          <w:sz w:val="21"/>
          <w:szCs w:val="21"/>
          <w:highlight w:val="none"/>
          <w:u w:val="single"/>
        </w:rPr>
      </w:pPr>
      <w:r>
        <w:rPr>
          <w:rFonts w:hint="eastAsia" w:ascii="宋体" w:hAnsi="宋体"/>
          <w:color w:val="auto"/>
          <w:sz w:val="21"/>
          <w:szCs w:val="21"/>
          <w:highlight w:val="none"/>
        </w:rPr>
        <w:t xml:space="preserve">签  订  地  点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签 订 时 间</w:t>
      </w:r>
      <w:r>
        <w:rPr>
          <w:rFonts w:hint="eastAsia" w:ascii="宋体" w:hAnsi="宋体"/>
          <w:color w:val="auto"/>
          <w:sz w:val="21"/>
          <w:szCs w:val="21"/>
          <w:highlight w:val="none"/>
          <w:u w:val="single"/>
        </w:rPr>
        <w:t xml:space="preserve">             </w:t>
      </w:r>
    </w:p>
    <w:p w14:paraId="7BA0D0E7">
      <w:pPr>
        <w:snapToGrid w:val="0"/>
        <w:spacing w:line="360" w:lineRule="auto"/>
        <w:rPr>
          <w:rFonts w:ascii="宋体" w:hAnsi="宋体"/>
          <w:color w:val="auto"/>
          <w:sz w:val="21"/>
          <w:szCs w:val="21"/>
          <w:highlight w:val="none"/>
        </w:rPr>
      </w:pPr>
    </w:p>
    <w:p w14:paraId="2C9A37A4">
      <w:pPr>
        <w:snapToGrid w:val="0"/>
        <w:spacing w:line="360" w:lineRule="auto"/>
        <w:rPr>
          <w:rFonts w:ascii="宋体" w:hAnsi="宋体"/>
          <w:color w:val="auto"/>
          <w:sz w:val="21"/>
          <w:szCs w:val="21"/>
          <w:highlight w:val="none"/>
        </w:rPr>
      </w:pPr>
      <w:r>
        <w:rPr>
          <w:rFonts w:hint="eastAsia" w:ascii="宋体" w:hAnsi="宋体"/>
          <w:color w:val="auto"/>
          <w:sz w:val="21"/>
          <w:szCs w:val="21"/>
          <w:highlight w:val="none"/>
        </w:rPr>
        <w:t>根据《中华人民共和国政府采购法》、《中华人民共和国民法典》等法律、法规规定，按照磋商文件（以下简称“磋商文件”）规定条款和成交供应商竞争性磋商响应文件（以下简称“响应文件”）及其承诺，甲乙双方签订本合同。</w:t>
      </w:r>
    </w:p>
    <w:p w14:paraId="36DEFE43">
      <w:pPr>
        <w:pStyle w:val="3"/>
        <w:jc w:val="center"/>
        <w:outlineLvl w:val="1"/>
        <w:rPr>
          <w:color w:val="auto"/>
          <w:highlight w:val="none"/>
        </w:rPr>
      </w:pPr>
      <w:bookmarkStart w:id="39" w:name="_Toc389065255"/>
      <w:bookmarkStart w:id="40" w:name="_Toc351203480"/>
      <w:bookmarkStart w:id="41" w:name="_Toc296890982"/>
      <w:bookmarkStart w:id="42" w:name="_Toc373478199"/>
      <w:bookmarkStart w:id="43" w:name="_Toc296503025"/>
      <w:bookmarkStart w:id="44" w:name="_Toc256000127"/>
      <w:bookmarkStart w:id="45" w:name="_Toc83895638"/>
      <w:bookmarkStart w:id="46" w:name="_Toc373227552"/>
      <w:bookmarkStart w:id="47" w:name="_Toc2107"/>
      <w:bookmarkStart w:id="48" w:name="_Toc407135191"/>
      <w:bookmarkStart w:id="49" w:name="_Toc3994508"/>
      <w:bookmarkStart w:id="50" w:name="_Toc29416"/>
      <w:r>
        <w:rPr>
          <w:rFonts w:hint="eastAsia" w:cs="黑体"/>
          <w:color w:val="auto"/>
          <w:sz w:val="28"/>
          <w:szCs w:val="28"/>
          <w:highlight w:val="none"/>
        </w:rPr>
        <w:t>第一部分</w:t>
      </w:r>
      <w:r>
        <w:rPr>
          <w:color w:val="auto"/>
          <w:sz w:val="28"/>
          <w:szCs w:val="28"/>
          <w:highlight w:val="none"/>
        </w:rPr>
        <w:t xml:space="preserve"> </w:t>
      </w:r>
      <w:r>
        <w:rPr>
          <w:rFonts w:hint="eastAsia" w:cs="黑体"/>
          <w:color w:val="auto"/>
          <w:sz w:val="28"/>
          <w:szCs w:val="28"/>
          <w:highlight w:val="none"/>
        </w:rPr>
        <w:t>合同协议书</w:t>
      </w:r>
      <w:bookmarkEnd w:id="39"/>
      <w:bookmarkEnd w:id="40"/>
      <w:bookmarkEnd w:id="41"/>
      <w:bookmarkEnd w:id="42"/>
      <w:bookmarkEnd w:id="43"/>
      <w:bookmarkEnd w:id="44"/>
      <w:bookmarkEnd w:id="45"/>
      <w:bookmarkEnd w:id="46"/>
      <w:bookmarkEnd w:id="47"/>
      <w:bookmarkEnd w:id="48"/>
    </w:p>
    <w:p w14:paraId="6BC2CAA7">
      <w:pPr>
        <w:rPr>
          <w:color w:val="auto"/>
          <w:highlight w:val="none"/>
        </w:rPr>
      </w:pPr>
      <w:bookmarkStart w:id="51" w:name="EBf5d8882b67eb450294403d6d9eac2034"/>
    </w:p>
    <w:p w14:paraId="62BFE8C6">
      <w:pPr>
        <w:pStyle w:val="90"/>
        <w:spacing w:line="360" w:lineRule="auto"/>
        <w:outlineLvl w:val="9"/>
        <w:rPr>
          <w:rStyle w:val="39"/>
          <w:rFonts w:ascii="Calibri" w:hAnsi="Calibri" w:eastAsia="宋体" w:cs="Times New Roman"/>
          <w:color w:val="auto"/>
          <w:highlight w:val="none"/>
          <w:u w:val="single"/>
        </w:rPr>
      </w:pPr>
      <w:r>
        <w:rPr>
          <w:rStyle w:val="39"/>
          <w:rFonts w:hint="eastAsia" w:ascii="Calibri" w:hAnsi="宋体" w:eastAsia="宋体" w:cs="宋体"/>
          <w:color w:val="auto"/>
          <w:highlight w:val="none"/>
        </w:rPr>
        <w:t>发包人（全称）：</w:t>
      </w:r>
      <w:r>
        <w:rPr>
          <w:rStyle w:val="39"/>
          <w:rFonts w:ascii="Calibri" w:hAnsi="宋体" w:eastAsia="宋体" w:cs="Times New Roman"/>
          <w:color w:val="auto"/>
          <w:highlight w:val="none"/>
          <w:u w:val="single"/>
        </w:rPr>
        <w:t xml:space="preserve"> </w:t>
      </w:r>
      <w:r>
        <w:rPr>
          <w:rStyle w:val="39"/>
          <w:rFonts w:hint="eastAsia" w:hAnsi="宋体" w:cs="Times New Roman"/>
          <w:color w:val="auto"/>
          <w:highlight w:val="none"/>
          <w:u w:val="single"/>
          <w:lang w:eastAsia="zh-CN"/>
        </w:rPr>
        <w:t>北海市银海区三合口民族学校</w:t>
      </w:r>
      <w:r>
        <w:rPr>
          <w:rStyle w:val="39"/>
          <w:rFonts w:ascii="Calibri" w:hAnsi="宋体" w:eastAsia="宋体" w:cs="Times New Roman"/>
          <w:color w:val="auto"/>
          <w:highlight w:val="none"/>
          <w:u w:val="single"/>
        </w:rPr>
        <w:t xml:space="preserve">   </w:t>
      </w:r>
    </w:p>
    <w:p w14:paraId="6104D20E">
      <w:pPr>
        <w:pStyle w:val="90"/>
        <w:spacing w:line="360" w:lineRule="auto"/>
        <w:outlineLvl w:val="9"/>
        <w:rPr>
          <w:rStyle w:val="39"/>
          <w:rFonts w:ascii="Calibri" w:hAnsi="Calibri" w:eastAsia="宋体" w:cs="Times New Roman"/>
          <w:color w:val="auto"/>
          <w:highlight w:val="none"/>
          <w:u w:val="single"/>
        </w:rPr>
      </w:pPr>
      <w:r>
        <w:rPr>
          <w:rStyle w:val="39"/>
          <w:rFonts w:hint="eastAsia" w:ascii="Calibri" w:hAnsi="宋体" w:eastAsia="宋体" w:cs="宋体"/>
          <w:color w:val="auto"/>
          <w:highlight w:val="none"/>
        </w:rPr>
        <w:t>承包人（全称）：</w:t>
      </w:r>
      <w:r>
        <w:rPr>
          <w:rStyle w:val="39"/>
          <w:rFonts w:ascii="Calibri" w:hAnsi="宋体" w:eastAsia="宋体" w:cs="Times New Roman"/>
          <w:color w:val="auto"/>
          <w:highlight w:val="none"/>
          <w:u w:val="none"/>
        </w:rPr>
        <w:t xml:space="preserve">            </w:t>
      </w:r>
      <w:r>
        <w:rPr>
          <w:rStyle w:val="39"/>
          <w:rFonts w:ascii="Calibri" w:hAnsi="宋体" w:eastAsia="宋体" w:cs="Times New Roman"/>
          <w:color w:val="auto"/>
          <w:highlight w:val="none"/>
          <w:u w:val="single"/>
        </w:rPr>
        <w:t xml:space="preserve">                  </w:t>
      </w:r>
    </w:p>
    <w:p w14:paraId="12F1A1FA">
      <w:pPr>
        <w:pStyle w:val="90"/>
        <w:spacing w:line="360" w:lineRule="auto"/>
        <w:ind w:firstLine="420" w:firstLineChars="200"/>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根据《中华人民共和国民法典》、《中华人民共和国建筑法》及有关法律规定，遵循平等、自愿、公平和诚实信用的原则，双方就</w:t>
      </w:r>
      <w:r>
        <w:rPr>
          <w:rStyle w:val="39"/>
          <w:rFonts w:ascii="Calibri" w:hAnsi="Calibri" w:eastAsia="宋体" w:cs="Times New Roman"/>
          <w:color w:val="auto"/>
          <w:highlight w:val="none"/>
          <w:u w:val="single"/>
        </w:rPr>
        <w:t xml:space="preserve"> </w:t>
      </w:r>
      <w:r>
        <w:rPr>
          <w:rStyle w:val="39"/>
          <w:rFonts w:hint="eastAsia" w:cs="Times New Roman"/>
          <w:color w:val="auto"/>
          <w:highlight w:val="none"/>
          <w:u w:val="single"/>
          <w:lang w:eastAsia="zh-CN"/>
        </w:rPr>
        <w:t>北海市银海区三合口民族学校教学楼拆除重建项目</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工程施工及有关事项协商一致，共同达成如下协议：</w:t>
      </w:r>
      <w:bookmarkStart w:id="52" w:name="_Toc351203481"/>
    </w:p>
    <w:p w14:paraId="49CCCB07">
      <w:pPr>
        <w:pStyle w:val="90"/>
        <w:spacing w:line="360" w:lineRule="auto"/>
        <w:ind w:firstLine="422" w:firstLineChars="200"/>
        <w:outlineLvl w:val="9"/>
        <w:rPr>
          <w:rStyle w:val="39"/>
          <w:rFonts w:ascii="Calibri" w:hAnsi="Calibri" w:eastAsia="宋体" w:cs="Times New Roman"/>
          <w:b/>
          <w:bCs/>
          <w:color w:val="auto"/>
          <w:highlight w:val="none"/>
        </w:rPr>
      </w:pPr>
      <w:r>
        <w:rPr>
          <w:rStyle w:val="39"/>
          <w:rFonts w:hint="eastAsia" w:ascii="Calibri" w:hAnsi="宋体" w:eastAsia="宋体" w:cs="宋体"/>
          <w:b/>
          <w:bCs/>
          <w:color w:val="auto"/>
          <w:highlight w:val="none"/>
        </w:rPr>
        <w:t>一、工程概况</w:t>
      </w:r>
      <w:bookmarkEnd w:id="52"/>
    </w:p>
    <w:p w14:paraId="74DCED68">
      <w:pPr>
        <w:pStyle w:val="90"/>
        <w:spacing w:line="360" w:lineRule="auto"/>
        <w:ind w:firstLine="411" w:firstLineChars="196"/>
        <w:outlineLvl w:val="9"/>
        <w:rPr>
          <w:rStyle w:val="39"/>
          <w:rFonts w:ascii="Calibri" w:hAnsi="Calibri" w:eastAsia="宋体" w:cs="Times New Roman"/>
          <w:color w:val="auto"/>
          <w:highlight w:val="none"/>
          <w:u w:val="single"/>
        </w:rPr>
      </w:pPr>
      <w:r>
        <w:rPr>
          <w:rStyle w:val="39"/>
          <w:rFonts w:ascii="Calibri" w:hAnsi="Calibri" w:eastAsia="宋体" w:cs="Times New Roman"/>
          <w:color w:val="auto"/>
          <w:highlight w:val="none"/>
        </w:rPr>
        <w:t xml:space="preserve">1. </w:t>
      </w:r>
      <w:r>
        <w:rPr>
          <w:rStyle w:val="39"/>
          <w:rFonts w:hint="eastAsia" w:ascii="Calibri" w:hAnsi="宋体" w:eastAsia="宋体" w:cs="宋体"/>
          <w:color w:val="auto"/>
          <w:highlight w:val="none"/>
        </w:rPr>
        <w:t>工程名称：</w:t>
      </w:r>
      <w:r>
        <w:rPr>
          <w:rStyle w:val="39"/>
          <w:rFonts w:ascii="Calibri" w:hAnsi="Calibri" w:eastAsia="宋体" w:cs="Times New Roman"/>
          <w:color w:val="auto"/>
          <w:highlight w:val="none"/>
          <w:u w:val="single"/>
        </w:rPr>
        <w:t xml:space="preserve"> </w:t>
      </w:r>
      <w:r>
        <w:rPr>
          <w:rStyle w:val="39"/>
          <w:rFonts w:hint="eastAsia" w:cs="Times New Roman"/>
          <w:color w:val="auto"/>
          <w:highlight w:val="none"/>
          <w:u w:val="single"/>
          <w:lang w:eastAsia="zh-CN"/>
        </w:rPr>
        <w:t>北海市银海区三合口民族学校教学楼拆除重建项目</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w:t>
      </w:r>
    </w:p>
    <w:p w14:paraId="497F9ECE">
      <w:pPr>
        <w:pStyle w:val="90"/>
        <w:spacing w:line="360" w:lineRule="auto"/>
        <w:ind w:firstLine="411" w:firstLineChars="196"/>
        <w:outlineLvl w:val="9"/>
        <w:rPr>
          <w:rStyle w:val="39"/>
          <w:rFonts w:ascii="Calibri" w:hAnsi="Calibri" w:eastAsia="宋体" w:cs="Times New Roman"/>
          <w:color w:val="auto"/>
          <w:highlight w:val="none"/>
        </w:rPr>
      </w:pPr>
      <w:r>
        <w:rPr>
          <w:rStyle w:val="39"/>
          <w:rFonts w:ascii="Calibri" w:hAnsi="Calibri" w:eastAsia="宋体" w:cs="Times New Roman"/>
          <w:color w:val="auto"/>
          <w:highlight w:val="none"/>
        </w:rPr>
        <w:t xml:space="preserve">2. </w:t>
      </w:r>
      <w:r>
        <w:rPr>
          <w:rStyle w:val="39"/>
          <w:rFonts w:hint="eastAsia" w:ascii="Calibri" w:hAnsi="宋体" w:eastAsia="宋体" w:cs="宋体"/>
          <w:color w:val="auto"/>
          <w:highlight w:val="none"/>
        </w:rPr>
        <w:t>工程地点：</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广西北海</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w:t>
      </w:r>
    </w:p>
    <w:p w14:paraId="318E1E0C">
      <w:pPr>
        <w:pStyle w:val="90"/>
        <w:spacing w:line="360" w:lineRule="auto"/>
        <w:ind w:firstLine="411" w:firstLineChars="196"/>
        <w:outlineLvl w:val="9"/>
        <w:rPr>
          <w:rStyle w:val="39"/>
          <w:rFonts w:ascii="Calibri" w:hAnsi="Calibri" w:eastAsia="宋体" w:cs="Times New Roman"/>
          <w:color w:val="auto"/>
          <w:highlight w:val="none"/>
        </w:rPr>
      </w:pPr>
      <w:r>
        <w:rPr>
          <w:rStyle w:val="39"/>
          <w:rFonts w:ascii="Calibri" w:hAnsi="Calibri" w:eastAsia="宋体" w:cs="Times New Roman"/>
          <w:color w:val="auto"/>
          <w:highlight w:val="none"/>
        </w:rPr>
        <w:t xml:space="preserve">3. </w:t>
      </w:r>
      <w:r>
        <w:rPr>
          <w:rStyle w:val="39"/>
          <w:rFonts w:hint="eastAsia" w:ascii="Calibri" w:hAnsi="宋体" w:eastAsia="宋体" w:cs="宋体"/>
          <w:color w:val="auto"/>
          <w:highlight w:val="none"/>
        </w:rPr>
        <w:t>工程立项批准文号：</w:t>
      </w:r>
      <w:r>
        <w:rPr>
          <w:rStyle w:val="39"/>
          <w:rFonts w:ascii="Calibri" w:hAnsi="Calibri" w:eastAsia="宋体" w:cs="Times New Roman"/>
          <w:color w:val="auto"/>
          <w:highlight w:val="none"/>
          <w:u w:val="single"/>
        </w:rPr>
        <w:t xml:space="preserve">   </w:t>
      </w:r>
      <w:r>
        <w:rPr>
          <w:rStyle w:val="39"/>
          <w:rFonts w:hint="eastAsia" w:hAnsi="宋体" w:eastAsia="宋体" w:cs="宋体"/>
          <w:color w:val="auto"/>
          <w:highlight w:val="none"/>
          <w:u w:val="single"/>
          <w:lang w:val="en-US" w:eastAsia="zh-CN"/>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w:t>
      </w:r>
    </w:p>
    <w:p w14:paraId="289982CE">
      <w:pPr>
        <w:pStyle w:val="90"/>
        <w:spacing w:line="360" w:lineRule="auto"/>
        <w:ind w:firstLine="411" w:firstLineChars="196"/>
        <w:outlineLvl w:val="9"/>
        <w:rPr>
          <w:rStyle w:val="39"/>
          <w:rFonts w:ascii="Calibri" w:hAnsi="Calibri" w:eastAsia="宋体" w:cs="Times New Roman"/>
          <w:color w:val="auto"/>
          <w:highlight w:val="none"/>
        </w:rPr>
      </w:pPr>
      <w:r>
        <w:rPr>
          <w:rStyle w:val="39"/>
          <w:rFonts w:ascii="Calibri" w:hAnsi="Calibri" w:eastAsia="宋体" w:cs="Times New Roman"/>
          <w:color w:val="auto"/>
          <w:highlight w:val="none"/>
        </w:rPr>
        <w:t xml:space="preserve">4. </w:t>
      </w:r>
      <w:r>
        <w:rPr>
          <w:rStyle w:val="39"/>
          <w:rFonts w:hint="eastAsia" w:ascii="Calibri" w:hAnsi="宋体" w:eastAsia="宋体" w:cs="宋体"/>
          <w:color w:val="auto"/>
          <w:highlight w:val="none"/>
        </w:rPr>
        <w:t>资金来源：</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lang w:eastAsia="zh-CN"/>
        </w:rPr>
        <w:t>财政资金</w:t>
      </w:r>
      <w:r>
        <w:rPr>
          <w:rStyle w:val="39"/>
          <w:rFonts w:hint="eastAsia" w:ascii="Calibri" w:hAnsi="Calibri" w:eastAsia="宋体" w:cs="Times New Roman"/>
          <w:color w:val="auto"/>
          <w:highlight w:val="none"/>
          <w:u w:val="single"/>
          <w:lang w:val="en-US" w:eastAsia="zh-CN"/>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w:t>
      </w:r>
    </w:p>
    <w:p w14:paraId="12CE293B">
      <w:pPr>
        <w:pStyle w:val="90"/>
        <w:spacing w:line="360" w:lineRule="auto"/>
        <w:ind w:firstLine="411" w:firstLineChars="196"/>
        <w:outlineLvl w:val="9"/>
        <w:rPr>
          <w:rStyle w:val="39"/>
          <w:rFonts w:ascii="Calibri" w:hAnsi="Calibri" w:eastAsia="宋体" w:cs="Times New Roman"/>
          <w:color w:val="auto"/>
          <w:highlight w:val="none"/>
        </w:rPr>
      </w:pPr>
      <w:r>
        <w:rPr>
          <w:rStyle w:val="39"/>
          <w:rFonts w:ascii="Calibri" w:hAnsi="Calibri" w:eastAsia="宋体" w:cs="Times New Roman"/>
          <w:color w:val="auto"/>
          <w:highlight w:val="none"/>
        </w:rPr>
        <w:t xml:space="preserve">5. </w:t>
      </w:r>
      <w:r>
        <w:rPr>
          <w:rStyle w:val="39"/>
          <w:rFonts w:hint="eastAsia" w:ascii="Calibri" w:hAnsi="宋体" w:eastAsia="宋体" w:cs="宋体"/>
          <w:color w:val="auto"/>
          <w:highlight w:val="none"/>
        </w:rPr>
        <w:t>工程内容：</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w:t>
      </w:r>
    </w:p>
    <w:p w14:paraId="55012DDC">
      <w:pPr>
        <w:pStyle w:val="90"/>
        <w:spacing w:line="360" w:lineRule="auto"/>
        <w:ind w:firstLine="411" w:firstLineChars="196"/>
        <w:outlineLvl w:val="9"/>
        <w:rPr>
          <w:rStyle w:val="39"/>
          <w:rFonts w:ascii="Calibri" w:hAnsi="宋体" w:eastAsia="宋体" w:cs="Times New Roman"/>
          <w:color w:val="auto"/>
          <w:highlight w:val="none"/>
        </w:rPr>
      </w:pPr>
      <w:r>
        <w:rPr>
          <w:rStyle w:val="39"/>
          <w:rFonts w:ascii="Calibri" w:hAnsi="Calibri" w:eastAsia="宋体" w:cs="Times New Roman"/>
          <w:color w:val="auto"/>
          <w:highlight w:val="none"/>
        </w:rPr>
        <w:t xml:space="preserve">6. </w:t>
      </w:r>
      <w:r>
        <w:rPr>
          <w:rStyle w:val="39"/>
          <w:rFonts w:hint="eastAsia" w:ascii="Calibri" w:hAnsi="宋体" w:eastAsia="宋体" w:cs="宋体"/>
          <w:color w:val="auto"/>
          <w:highlight w:val="none"/>
        </w:rPr>
        <w:t>工程承包范围：</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lang w:val="en-US" w:eastAsia="zh-CN"/>
        </w:rPr>
        <w:t>施工图纸范围内的所有内容（详见施工图纸及工程量清单）</w:t>
      </w:r>
      <w:r>
        <w:rPr>
          <w:rStyle w:val="39"/>
          <w:rFonts w:hint="eastAsia" w:eastAsia="宋体" w:cs="Times New Roman"/>
          <w:color w:val="auto"/>
          <w:highlight w:val="none"/>
          <w:u w:val="single"/>
          <w:lang w:val="en-US" w:eastAsia="zh-CN"/>
        </w:rPr>
        <w:t xml:space="preserve"> </w:t>
      </w:r>
      <w:r>
        <w:rPr>
          <w:rStyle w:val="39"/>
          <w:rFonts w:hint="eastAsia" w:ascii="Calibri" w:hAnsi="宋体" w:eastAsia="宋体" w:cs="宋体"/>
          <w:b w:val="0"/>
          <w:bCs w:val="0"/>
          <w:color w:val="auto"/>
          <w:highlight w:val="none"/>
        </w:rPr>
        <w:t>。</w:t>
      </w:r>
    </w:p>
    <w:p w14:paraId="1EBC2007">
      <w:pPr>
        <w:pStyle w:val="90"/>
        <w:spacing w:line="360" w:lineRule="auto"/>
        <w:ind w:firstLine="407" w:firstLineChars="193"/>
        <w:outlineLvl w:val="9"/>
        <w:rPr>
          <w:rStyle w:val="39"/>
          <w:rFonts w:ascii="Calibri" w:hAnsi="Calibri" w:eastAsia="宋体" w:cs="Times New Roman"/>
          <w:b/>
          <w:bCs/>
          <w:color w:val="auto"/>
          <w:highlight w:val="none"/>
        </w:rPr>
      </w:pPr>
      <w:bookmarkStart w:id="53" w:name="_Toc351203482"/>
      <w:r>
        <w:rPr>
          <w:rStyle w:val="39"/>
          <w:rFonts w:hint="eastAsia" w:ascii="Calibri" w:hAnsi="宋体" w:eastAsia="宋体" w:cs="宋体"/>
          <w:b/>
          <w:bCs/>
          <w:color w:val="auto"/>
          <w:highlight w:val="none"/>
        </w:rPr>
        <w:t>二、合同工期</w:t>
      </w:r>
      <w:bookmarkEnd w:id="53"/>
    </w:p>
    <w:p w14:paraId="6ABA6279">
      <w:pPr>
        <w:pStyle w:val="90"/>
        <w:spacing w:line="360" w:lineRule="auto"/>
        <w:ind w:firstLine="459"/>
        <w:outlineLvl w:val="9"/>
        <w:rPr>
          <w:rStyle w:val="39"/>
          <w:rFonts w:ascii="Calibri" w:hAnsi="Calibri" w:eastAsia="宋体" w:cs="Times New Roman"/>
          <w:color w:val="auto"/>
          <w:highlight w:val="none"/>
        </w:rPr>
      </w:pPr>
      <w:r>
        <w:rPr>
          <w:rStyle w:val="39"/>
          <w:rFonts w:hint="eastAsia" w:ascii="Calibri" w:hAnsi="宋体" w:eastAsia="宋体" w:cs="宋体"/>
          <w:color w:val="auto"/>
          <w:highlight w:val="none"/>
        </w:rPr>
        <w:t>计划开工日期：</w:t>
      </w:r>
      <w:r>
        <w:rPr>
          <w:rStyle w:val="39"/>
          <w:rFonts w:ascii="Calibri" w:hAnsi="宋体" w:eastAsia="宋体" w:cs="Times New Roman"/>
          <w:color w:val="auto"/>
          <w:highlight w:val="none"/>
          <w:u w:val="single"/>
        </w:rPr>
        <w:t></w:t>
      </w:r>
      <w:r>
        <w:rPr>
          <w:rStyle w:val="39"/>
          <w:rFonts w:ascii="Calibri" w:hAnsi="宋体" w:eastAsia="宋体" w:cs="Times New Roman"/>
          <w:color w:val="auto"/>
          <w:highlight w:val="none"/>
        </w:rPr>
        <w:t>年</w:t>
      </w:r>
      <w:r>
        <w:rPr>
          <w:rStyle w:val="39"/>
          <w:rFonts w:ascii="Calibri" w:hAnsi="宋体" w:eastAsia="宋体" w:cs="Times New Roman"/>
          <w:color w:val="auto"/>
          <w:highlight w:val="none"/>
          <w:u w:val="single"/>
        </w:rPr>
        <w:t></w:t>
      </w:r>
      <w:r>
        <w:rPr>
          <w:rStyle w:val="39"/>
          <w:rFonts w:ascii="Calibri" w:hAnsi="宋体" w:eastAsia="宋体" w:cs="Times New Roman"/>
          <w:color w:val="auto"/>
          <w:highlight w:val="none"/>
        </w:rPr>
        <w:t>月</w:t>
      </w:r>
      <w:r>
        <w:rPr>
          <w:rStyle w:val="39"/>
          <w:rFonts w:ascii="Calibri" w:hAnsi="宋体" w:eastAsia="宋体" w:cs="Times New Roman"/>
          <w:color w:val="auto"/>
          <w:highlight w:val="none"/>
          <w:u w:val="single"/>
        </w:rPr>
        <w:t></w:t>
      </w:r>
      <w:r>
        <w:rPr>
          <w:rStyle w:val="39"/>
          <w:rFonts w:ascii="Calibri" w:hAnsi="宋体" w:eastAsia="宋体" w:cs="Times New Roman"/>
          <w:color w:val="auto"/>
          <w:highlight w:val="none"/>
        </w:rPr>
        <w:t>日。</w:t>
      </w:r>
      <w:r>
        <w:rPr>
          <w:rStyle w:val="39"/>
          <w:rFonts w:hint="eastAsia" w:ascii="Calibri" w:hAnsi="宋体" w:eastAsia="宋体" w:cs="宋体"/>
          <w:color w:val="auto"/>
          <w:highlight w:val="none"/>
        </w:rPr>
        <w:t>（具体以发包人书面通知为准）</w:t>
      </w:r>
    </w:p>
    <w:p w14:paraId="2F8ED226">
      <w:pPr>
        <w:pStyle w:val="90"/>
        <w:spacing w:line="360" w:lineRule="auto"/>
        <w:ind w:firstLine="459"/>
        <w:outlineLvl w:val="9"/>
        <w:rPr>
          <w:rStyle w:val="39"/>
          <w:rFonts w:ascii="Calibri" w:hAnsi="Calibri" w:eastAsia="宋体" w:cs="Times New Roman"/>
          <w:color w:val="auto"/>
          <w:highlight w:val="none"/>
        </w:rPr>
      </w:pPr>
      <w:r>
        <w:rPr>
          <w:rStyle w:val="39"/>
          <w:rFonts w:hint="eastAsia" w:ascii="Calibri" w:hAnsi="宋体" w:eastAsia="宋体" w:cs="宋体"/>
          <w:color w:val="auto"/>
          <w:highlight w:val="none"/>
        </w:rPr>
        <w:t>计划竣工日期：</w:t>
      </w:r>
      <w:r>
        <w:rPr>
          <w:rStyle w:val="39"/>
          <w:rFonts w:ascii="Calibri" w:hAnsi="宋体" w:eastAsia="宋体" w:cs="Times New Roman"/>
          <w:color w:val="auto"/>
          <w:highlight w:val="none"/>
          <w:u w:val="single"/>
        </w:rPr>
        <w:t></w:t>
      </w:r>
      <w:r>
        <w:rPr>
          <w:rStyle w:val="39"/>
          <w:rFonts w:ascii="Calibri" w:hAnsi="宋体" w:eastAsia="宋体" w:cs="Times New Roman"/>
          <w:color w:val="auto"/>
          <w:highlight w:val="none"/>
        </w:rPr>
        <w:t>年</w:t>
      </w:r>
      <w:r>
        <w:rPr>
          <w:rStyle w:val="39"/>
          <w:rFonts w:ascii="Calibri" w:hAnsi="宋体" w:eastAsia="宋体" w:cs="Times New Roman"/>
          <w:color w:val="auto"/>
          <w:highlight w:val="none"/>
          <w:u w:val="single"/>
        </w:rPr>
        <w:t></w:t>
      </w:r>
      <w:r>
        <w:rPr>
          <w:rStyle w:val="39"/>
          <w:rFonts w:ascii="Calibri" w:hAnsi="宋体" w:eastAsia="宋体" w:cs="Times New Roman"/>
          <w:color w:val="auto"/>
          <w:highlight w:val="none"/>
        </w:rPr>
        <w:t>月</w:t>
      </w:r>
      <w:r>
        <w:rPr>
          <w:rStyle w:val="39"/>
          <w:rFonts w:ascii="Calibri" w:hAnsi="宋体" w:eastAsia="宋体" w:cs="Times New Roman"/>
          <w:color w:val="auto"/>
          <w:highlight w:val="none"/>
          <w:u w:val="single"/>
        </w:rPr>
        <w:t></w:t>
      </w:r>
      <w:r>
        <w:rPr>
          <w:rStyle w:val="39"/>
          <w:rFonts w:ascii="Calibri" w:hAnsi="宋体" w:eastAsia="宋体" w:cs="Times New Roman"/>
          <w:color w:val="auto"/>
          <w:highlight w:val="none"/>
        </w:rPr>
        <w:t>日</w:t>
      </w:r>
      <w:r>
        <w:rPr>
          <w:rStyle w:val="39"/>
          <w:rFonts w:hint="eastAsia" w:ascii="Calibri" w:hAnsi="宋体" w:eastAsia="宋体" w:cs="宋体"/>
          <w:color w:val="auto"/>
          <w:highlight w:val="none"/>
        </w:rPr>
        <w:t>。</w:t>
      </w:r>
    </w:p>
    <w:p w14:paraId="7DBA7011">
      <w:pPr>
        <w:pStyle w:val="90"/>
        <w:spacing w:line="360" w:lineRule="auto"/>
        <w:ind w:firstLine="459"/>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工期总日历天数：</w:t>
      </w:r>
      <w:r>
        <w:rPr>
          <w:rStyle w:val="39"/>
          <w:rFonts w:hint="eastAsia" w:ascii="Calibri" w:hAnsi="宋体" w:eastAsia="宋体" w:cs="宋体"/>
          <w:color w:val="auto"/>
          <w:highlight w:val="none"/>
          <w:u w:val="single"/>
        </w:rPr>
        <w:t xml:space="preserve">   </w:t>
      </w:r>
      <w:r>
        <w:rPr>
          <w:rStyle w:val="39"/>
          <w:rFonts w:hint="eastAsia" w:hAnsi="宋体" w:eastAsia="宋体" w:cs="宋体"/>
          <w:color w:val="auto"/>
          <w:highlight w:val="none"/>
          <w:u w:val="single"/>
          <w:lang w:val="en-US" w:eastAsia="zh-CN"/>
        </w:rPr>
        <w:t xml:space="preserve">   </w:t>
      </w:r>
      <w:r>
        <w:rPr>
          <w:rStyle w:val="39"/>
          <w:rFonts w:hint="eastAsia" w:ascii="Calibri" w:hAnsi="宋体" w:eastAsia="宋体" w:cs="宋体"/>
          <w:color w:val="auto"/>
          <w:highlight w:val="none"/>
          <w:u w:val="single"/>
        </w:rPr>
        <w:t xml:space="preserve"> </w:t>
      </w:r>
      <w:r>
        <w:rPr>
          <w:rStyle w:val="39"/>
          <w:rFonts w:hint="eastAsia" w:ascii="Calibri" w:hAnsi="宋体" w:eastAsia="宋体" w:cs="宋体"/>
          <w:color w:val="auto"/>
          <w:highlight w:val="none"/>
        </w:rPr>
        <w:t>天。工期总日历天数与根据前述计划开竣工日期计算的工期天数不一致的，以工期总日历天数为准。</w:t>
      </w:r>
    </w:p>
    <w:p w14:paraId="697AE53B">
      <w:pPr>
        <w:pStyle w:val="90"/>
        <w:spacing w:line="360" w:lineRule="auto"/>
        <w:ind w:firstLine="459"/>
        <w:outlineLvl w:val="9"/>
        <w:rPr>
          <w:rStyle w:val="39"/>
          <w:rFonts w:ascii="Calibri" w:hAnsi="Calibri" w:eastAsia="宋体" w:cs="Times New Roman"/>
          <w:b/>
          <w:bCs/>
          <w:color w:val="auto"/>
          <w:highlight w:val="none"/>
        </w:rPr>
      </w:pPr>
      <w:bookmarkStart w:id="54" w:name="_Toc351203483"/>
      <w:r>
        <w:rPr>
          <w:rStyle w:val="39"/>
          <w:rFonts w:hint="eastAsia" w:ascii="Calibri" w:hAnsi="宋体" w:eastAsia="宋体" w:cs="宋体"/>
          <w:b/>
          <w:bCs/>
          <w:color w:val="auto"/>
          <w:highlight w:val="none"/>
        </w:rPr>
        <w:t>三、质量标准</w:t>
      </w:r>
      <w:bookmarkEnd w:id="54"/>
    </w:p>
    <w:p w14:paraId="42B9DF20">
      <w:pPr>
        <w:pStyle w:val="90"/>
        <w:spacing w:line="360" w:lineRule="auto"/>
        <w:ind w:firstLine="459"/>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工程质量符合</w:t>
      </w:r>
      <w:r>
        <w:rPr>
          <w:rStyle w:val="39"/>
          <w:rFonts w:hint="eastAsia" w:ascii="Calibri" w:hAnsi="宋体" w:eastAsia="宋体" w:cs="宋体"/>
          <w:color w:val="auto"/>
          <w:highlight w:val="none"/>
          <w:u w:val="single"/>
          <w:lang w:val="en-US" w:eastAsia="zh-CN"/>
        </w:rPr>
        <w:t xml:space="preserve">  </w:t>
      </w:r>
      <w:r>
        <w:rPr>
          <w:rStyle w:val="39"/>
          <w:rFonts w:hint="eastAsia" w:hAnsi="宋体" w:eastAsia="宋体" w:cs="宋体"/>
          <w:color w:val="auto"/>
          <w:highlight w:val="none"/>
          <w:u w:val="single"/>
          <w:lang w:val="en-US" w:eastAsia="zh-CN"/>
        </w:rPr>
        <w:t xml:space="preserve">      </w:t>
      </w:r>
      <w:r>
        <w:rPr>
          <w:rStyle w:val="39"/>
          <w:rFonts w:ascii="Calibri" w:hAnsi="Calibri" w:eastAsia="仿宋_GB2312" w:cs="Times New Roman"/>
          <w:color w:val="auto"/>
          <w:highlight w:val="none"/>
          <w:u w:val="single"/>
        </w:rPr>
        <w:t></w:t>
      </w:r>
      <w:r>
        <w:rPr>
          <w:rStyle w:val="39"/>
          <w:rFonts w:hint="eastAsia" w:ascii="Calibri" w:hAnsi="宋体" w:eastAsia="宋体" w:cs="宋体"/>
          <w:color w:val="auto"/>
          <w:highlight w:val="none"/>
        </w:rPr>
        <w:t>标准。</w:t>
      </w:r>
    </w:p>
    <w:p w14:paraId="739A8626">
      <w:pPr>
        <w:pStyle w:val="90"/>
        <w:spacing w:line="360" w:lineRule="auto"/>
        <w:ind w:firstLine="459"/>
        <w:outlineLvl w:val="9"/>
        <w:rPr>
          <w:rStyle w:val="39"/>
          <w:rFonts w:ascii="Calibri" w:hAnsi="宋体" w:eastAsia="宋体" w:cs="Times New Roman"/>
          <w:b/>
          <w:bCs/>
          <w:color w:val="auto"/>
          <w:highlight w:val="none"/>
        </w:rPr>
      </w:pPr>
      <w:bookmarkStart w:id="55" w:name="_Toc351203484"/>
      <w:r>
        <w:rPr>
          <w:rStyle w:val="39"/>
          <w:rFonts w:hint="eastAsia" w:ascii="Calibri" w:hAnsi="宋体" w:eastAsia="宋体" w:cs="宋体"/>
          <w:b/>
          <w:bCs/>
          <w:color w:val="auto"/>
          <w:highlight w:val="none"/>
        </w:rPr>
        <w:t>四、签约合同价与合同价格形式</w:t>
      </w:r>
      <w:bookmarkEnd w:id="55"/>
    </w:p>
    <w:p w14:paraId="66D4D701">
      <w:pPr>
        <w:pStyle w:val="90"/>
        <w:spacing w:line="360" w:lineRule="auto"/>
        <w:ind w:firstLine="459"/>
        <w:outlineLvl w:val="9"/>
        <w:rPr>
          <w:rStyle w:val="39"/>
          <w:rFonts w:ascii="Calibri" w:hAnsi="Calibri" w:eastAsia="宋体" w:cs="Times New Roman"/>
          <w:color w:val="auto"/>
          <w:highlight w:val="none"/>
        </w:rPr>
      </w:pPr>
      <w:r>
        <w:rPr>
          <w:rStyle w:val="39"/>
          <w:rFonts w:ascii="Calibri" w:hAnsi="Calibri" w:eastAsia="宋体" w:cs="Times New Roman"/>
          <w:color w:val="auto"/>
          <w:highlight w:val="none"/>
        </w:rPr>
        <w:t xml:space="preserve">1. </w:t>
      </w:r>
      <w:r>
        <w:rPr>
          <w:rStyle w:val="39"/>
          <w:rFonts w:hint="eastAsia" w:ascii="Calibri" w:hAnsi="宋体" w:eastAsia="宋体" w:cs="宋体"/>
          <w:color w:val="auto"/>
          <w:highlight w:val="none"/>
        </w:rPr>
        <w:t>签约合同价为：</w:t>
      </w:r>
    </w:p>
    <w:p w14:paraId="4CD42FD6">
      <w:pPr>
        <w:pStyle w:val="90"/>
        <w:spacing w:line="360" w:lineRule="auto"/>
        <w:ind w:firstLine="525" w:firstLineChars="250"/>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人民币（大写）</w:t>
      </w:r>
      <w:r>
        <w:rPr>
          <w:rStyle w:val="39"/>
          <w:rFonts w:ascii="Calibri" w:hAnsi="Calibri" w:eastAsia="宋体" w:cs="Times New Roman"/>
          <w:color w:val="auto"/>
          <w:highlight w:val="none"/>
          <w:u w:val="single"/>
        </w:rPr>
        <w:t xml:space="preserve">                 </w:t>
      </w:r>
      <w:r>
        <w:rPr>
          <w:rStyle w:val="39"/>
          <w:rFonts w:hint="eastAsia" w:ascii="Calibri" w:hAnsi="Calibri" w:eastAsia="宋体" w:cs="宋体"/>
          <w:color w:val="auto"/>
          <w:highlight w:val="none"/>
        </w:rPr>
        <w:t>（</w:t>
      </w:r>
      <w:r>
        <w:rPr>
          <w:rStyle w:val="39"/>
          <w:rFonts w:ascii="Calibri" w:hAnsi="Calibri" w:eastAsia="宋体" w:cs="Times New Roman"/>
          <w:color w:val="auto"/>
          <w:highlight w:val="none"/>
        </w:rPr>
        <w:t>¥</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元</w:t>
      </w:r>
      <w:r>
        <w:rPr>
          <w:rStyle w:val="39"/>
          <w:rFonts w:hint="eastAsia" w:ascii="Calibri" w:hAnsi="Calibri" w:eastAsia="宋体" w:cs="宋体"/>
          <w:color w:val="auto"/>
          <w:highlight w:val="none"/>
        </w:rPr>
        <w:t>）</w:t>
      </w:r>
      <w:r>
        <w:rPr>
          <w:rStyle w:val="39"/>
          <w:rFonts w:hint="eastAsia" w:ascii="Calibri" w:hAnsi="宋体" w:eastAsia="宋体" w:cs="宋体"/>
          <w:color w:val="auto"/>
          <w:highlight w:val="none"/>
        </w:rPr>
        <w:t>；</w:t>
      </w:r>
    </w:p>
    <w:p w14:paraId="52D5DAC3">
      <w:pPr>
        <w:pStyle w:val="90"/>
        <w:spacing w:line="360" w:lineRule="auto"/>
        <w:ind w:firstLine="525" w:firstLineChars="250"/>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其中：</w:t>
      </w:r>
    </w:p>
    <w:p w14:paraId="18820143">
      <w:pPr>
        <w:pStyle w:val="90"/>
        <w:spacing w:line="360" w:lineRule="auto"/>
        <w:ind w:firstLine="420" w:firstLineChars="200"/>
        <w:outlineLvl w:val="9"/>
        <w:rPr>
          <w:rStyle w:val="39"/>
          <w:rFonts w:ascii="Calibri" w:hAnsi="Calibri" w:eastAsia="宋体" w:cs="Times New Roman"/>
          <w:color w:val="auto"/>
          <w:highlight w:val="none"/>
        </w:rPr>
      </w:pPr>
      <w:r>
        <w:rPr>
          <w:rStyle w:val="39"/>
          <w:rFonts w:hint="eastAsia" w:ascii="Calibri" w:hAnsi="宋体" w:eastAsia="宋体" w:cs="宋体"/>
          <w:color w:val="auto"/>
          <w:highlight w:val="none"/>
        </w:rPr>
        <w:t>（</w:t>
      </w:r>
      <w:r>
        <w:rPr>
          <w:rStyle w:val="39"/>
          <w:rFonts w:ascii="Calibri" w:hAnsi="宋体" w:eastAsia="宋体" w:cs="Times New Roman"/>
          <w:color w:val="auto"/>
          <w:highlight w:val="none"/>
        </w:rPr>
        <w:t>1</w:t>
      </w:r>
      <w:r>
        <w:rPr>
          <w:rStyle w:val="39"/>
          <w:rFonts w:hint="eastAsia" w:ascii="Calibri" w:hAnsi="宋体" w:eastAsia="宋体" w:cs="宋体"/>
          <w:color w:val="auto"/>
          <w:highlight w:val="none"/>
        </w:rPr>
        <w:t>）安全文明施工费：</w:t>
      </w:r>
    </w:p>
    <w:p w14:paraId="2E1AC9F1">
      <w:pPr>
        <w:pStyle w:val="90"/>
        <w:spacing w:line="360" w:lineRule="auto"/>
        <w:ind w:left="420" w:leftChars="200" w:firstLine="525" w:firstLineChars="250"/>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人民币（大写）</w:t>
      </w:r>
      <w:r>
        <w:rPr>
          <w:rStyle w:val="39"/>
          <w:rFonts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r>
        <w:rPr>
          <w:rStyle w:val="39"/>
          <w:rFonts w:hint="eastAsia" w:ascii="Calibri" w:hAnsi="Calibri" w:eastAsia="宋体" w:cs="宋体"/>
          <w:color w:val="auto"/>
          <w:highlight w:val="none"/>
        </w:rPr>
        <w:t>（</w:t>
      </w:r>
      <w:r>
        <w:rPr>
          <w:rStyle w:val="39"/>
          <w:rFonts w:ascii="Calibri" w:hAnsi="Calibri" w:eastAsia="宋体" w:cs="Times New Roman"/>
          <w:color w:val="auto"/>
          <w:highlight w:val="none"/>
        </w:rPr>
        <w:t>¥</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元</w:t>
      </w:r>
      <w:r>
        <w:rPr>
          <w:rStyle w:val="39"/>
          <w:rFonts w:hint="eastAsia" w:ascii="Calibri" w:hAnsi="Calibri" w:eastAsia="宋体" w:cs="宋体"/>
          <w:color w:val="auto"/>
          <w:highlight w:val="none"/>
        </w:rPr>
        <w:t>）</w:t>
      </w:r>
      <w:r>
        <w:rPr>
          <w:rStyle w:val="39"/>
          <w:rFonts w:hint="eastAsia" w:ascii="Calibri" w:hAnsi="宋体" w:eastAsia="宋体" w:cs="宋体"/>
          <w:color w:val="auto"/>
          <w:highlight w:val="none"/>
        </w:rPr>
        <w:t>；</w:t>
      </w:r>
    </w:p>
    <w:p w14:paraId="124EE47A">
      <w:pPr>
        <w:pStyle w:val="90"/>
        <w:spacing w:line="360" w:lineRule="auto"/>
        <w:ind w:firstLine="420" w:firstLineChars="200"/>
        <w:outlineLvl w:val="9"/>
        <w:rPr>
          <w:rStyle w:val="39"/>
          <w:rFonts w:ascii="Calibri" w:hAnsi="Calibri" w:eastAsia="宋体" w:cs="Times New Roman"/>
          <w:color w:val="auto"/>
          <w:highlight w:val="none"/>
        </w:rPr>
      </w:pPr>
      <w:r>
        <w:rPr>
          <w:rStyle w:val="39"/>
          <w:rFonts w:hint="eastAsia" w:ascii="Calibri" w:hAnsi="宋体" w:eastAsia="宋体" w:cs="宋体"/>
          <w:color w:val="auto"/>
          <w:highlight w:val="none"/>
        </w:rPr>
        <w:t>（</w:t>
      </w:r>
      <w:r>
        <w:rPr>
          <w:rStyle w:val="39"/>
          <w:rFonts w:ascii="Calibri" w:hAnsi="Calibri" w:eastAsia="宋体" w:cs="Times New Roman"/>
          <w:color w:val="auto"/>
          <w:highlight w:val="none"/>
        </w:rPr>
        <w:t>2</w:t>
      </w:r>
      <w:r>
        <w:rPr>
          <w:rStyle w:val="39"/>
          <w:rFonts w:hint="eastAsia" w:ascii="Calibri" w:hAnsi="宋体" w:eastAsia="宋体" w:cs="宋体"/>
          <w:color w:val="auto"/>
          <w:highlight w:val="none"/>
        </w:rPr>
        <w:t>）材料和工程设备暂估价金额：</w:t>
      </w:r>
    </w:p>
    <w:p w14:paraId="13747694">
      <w:pPr>
        <w:pStyle w:val="90"/>
        <w:spacing w:line="360" w:lineRule="auto"/>
        <w:ind w:firstLine="945" w:firstLineChars="450"/>
        <w:outlineLvl w:val="9"/>
        <w:rPr>
          <w:rStyle w:val="39"/>
          <w:rFonts w:ascii="Calibri" w:hAnsi="Calibri" w:eastAsia="宋体" w:cs="Times New Roman"/>
          <w:color w:val="auto"/>
          <w:highlight w:val="none"/>
        </w:rPr>
      </w:pPr>
      <w:r>
        <w:rPr>
          <w:rStyle w:val="39"/>
          <w:rFonts w:hint="eastAsia" w:ascii="Calibri" w:hAnsi="宋体" w:eastAsia="宋体" w:cs="宋体"/>
          <w:color w:val="auto"/>
          <w:highlight w:val="none"/>
        </w:rPr>
        <w:t>人民币（大写）</w:t>
      </w:r>
      <w:r>
        <w:rPr>
          <w:rStyle w:val="39"/>
          <w:rFonts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r>
        <w:rPr>
          <w:rStyle w:val="39"/>
          <w:rFonts w:hint="eastAsia" w:ascii="Calibri" w:hAnsi="Calibri" w:eastAsia="宋体" w:cs="宋体"/>
          <w:color w:val="auto"/>
          <w:highlight w:val="none"/>
        </w:rPr>
        <w:t>（</w:t>
      </w:r>
      <w:r>
        <w:rPr>
          <w:rStyle w:val="39"/>
          <w:rFonts w:ascii="Calibri" w:hAnsi="Calibri" w:eastAsia="宋体" w:cs="Times New Roman"/>
          <w:color w:val="auto"/>
          <w:highlight w:val="none"/>
        </w:rPr>
        <w:t>¥</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元</w:t>
      </w:r>
      <w:r>
        <w:rPr>
          <w:rStyle w:val="39"/>
          <w:rFonts w:hint="eastAsia" w:ascii="Calibri" w:hAnsi="Calibri" w:eastAsia="宋体" w:cs="宋体"/>
          <w:color w:val="auto"/>
          <w:highlight w:val="none"/>
        </w:rPr>
        <w:t>）</w:t>
      </w:r>
      <w:r>
        <w:rPr>
          <w:rStyle w:val="39"/>
          <w:rFonts w:hint="eastAsia" w:ascii="Calibri" w:hAnsi="宋体" w:eastAsia="宋体" w:cs="宋体"/>
          <w:color w:val="auto"/>
          <w:highlight w:val="none"/>
        </w:rPr>
        <w:t>；</w:t>
      </w:r>
    </w:p>
    <w:p w14:paraId="056323F4">
      <w:pPr>
        <w:pStyle w:val="90"/>
        <w:spacing w:line="360" w:lineRule="auto"/>
        <w:ind w:firstLine="420" w:firstLineChars="200"/>
        <w:outlineLvl w:val="9"/>
        <w:rPr>
          <w:rStyle w:val="39"/>
          <w:rFonts w:ascii="Calibri" w:hAnsi="Calibri" w:eastAsia="宋体" w:cs="Times New Roman"/>
          <w:color w:val="auto"/>
          <w:highlight w:val="none"/>
        </w:rPr>
      </w:pPr>
      <w:r>
        <w:rPr>
          <w:rStyle w:val="39"/>
          <w:rFonts w:hint="eastAsia" w:ascii="Calibri" w:hAnsi="宋体" w:eastAsia="宋体" w:cs="宋体"/>
          <w:color w:val="auto"/>
          <w:highlight w:val="none"/>
        </w:rPr>
        <w:t>（</w:t>
      </w:r>
      <w:r>
        <w:rPr>
          <w:rStyle w:val="39"/>
          <w:rFonts w:ascii="Calibri" w:hAnsi="Calibri" w:eastAsia="宋体" w:cs="Times New Roman"/>
          <w:color w:val="auto"/>
          <w:highlight w:val="none"/>
        </w:rPr>
        <w:t>3</w:t>
      </w:r>
      <w:r>
        <w:rPr>
          <w:rStyle w:val="39"/>
          <w:rFonts w:hint="eastAsia" w:ascii="Calibri" w:hAnsi="宋体" w:eastAsia="宋体" w:cs="宋体"/>
          <w:color w:val="auto"/>
          <w:highlight w:val="none"/>
        </w:rPr>
        <w:t>）专业工程暂估价金额：</w:t>
      </w:r>
    </w:p>
    <w:p w14:paraId="104BE18B">
      <w:pPr>
        <w:pStyle w:val="90"/>
        <w:spacing w:line="360" w:lineRule="auto"/>
        <w:ind w:firstLine="945" w:firstLineChars="450"/>
        <w:outlineLvl w:val="9"/>
        <w:rPr>
          <w:rStyle w:val="39"/>
          <w:rFonts w:ascii="Calibri" w:hAnsi="Calibri" w:eastAsia="宋体" w:cs="Times New Roman"/>
          <w:color w:val="auto"/>
          <w:highlight w:val="none"/>
        </w:rPr>
      </w:pPr>
      <w:r>
        <w:rPr>
          <w:rStyle w:val="39"/>
          <w:rFonts w:hint="eastAsia" w:ascii="Calibri" w:hAnsi="宋体" w:eastAsia="宋体" w:cs="宋体"/>
          <w:color w:val="auto"/>
          <w:highlight w:val="none"/>
        </w:rPr>
        <w:t>人民币（大写）</w:t>
      </w:r>
      <w:r>
        <w:rPr>
          <w:rStyle w:val="39"/>
          <w:rFonts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r>
        <w:rPr>
          <w:rStyle w:val="39"/>
          <w:rFonts w:hint="eastAsia" w:ascii="Calibri" w:hAnsi="Calibri" w:eastAsia="宋体" w:cs="宋体"/>
          <w:color w:val="auto"/>
          <w:highlight w:val="none"/>
        </w:rPr>
        <w:t>（</w:t>
      </w:r>
      <w:r>
        <w:rPr>
          <w:rStyle w:val="39"/>
          <w:rFonts w:ascii="Calibri" w:hAnsi="Calibri" w:eastAsia="宋体" w:cs="Times New Roman"/>
          <w:color w:val="auto"/>
          <w:highlight w:val="none"/>
        </w:rPr>
        <w:t>¥</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元</w:t>
      </w:r>
      <w:r>
        <w:rPr>
          <w:rStyle w:val="39"/>
          <w:rFonts w:hint="eastAsia" w:ascii="Calibri" w:hAnsi="Calibri" w:eastAsia="宋体" w:cs="宋体"/>
          <w:color w:val="auto"/>
          <w:highlight w:val="none"/>
        </w:rPr>
        <w:t>）</w:t>
      </w:r>
      <w:r>
        <w:rPr>
          <w:rStyle w:val="39"/>
          <w:rFonts w:hint="eastAsia" w:ascii="Calibri" w:hAnsi="宋体" w:eastAsia="宋体" w:cs="宋体"/>
          <w:color w:val="auto"/>
          <w:highlight w:val="none"/>
        </w:rPr>
        <w:t>；</w:t>
      </w:r>
    </w:p>
    <w:p w14:paraId="047F4A67">
      <w:pPr>
        <w:pStyle w:val="90"/>
        <w:spacing w:line="360" w:lineRule="auto"/>
        <w:ind w:firstLine="420" w:firstLineChars="200"/>
        <w:outlineLvl w:val="9"/>
        <w:rPr>
          <w:rStyle w:val="39"/>
          <w:rFonts w:ascii="Calibri" w:hAnsi="Calibri" w:eastAsia="宋体" w:cs="Times New Roman"/>
          <w:color w:val="auto"/>
          <w:highlight w:val="none"/>
        </w:rPr>
      </w:pPr>
      <w:r>
        <w:rPr>
          <w:rStyle w:val="39"/>
          <w:rFonts w:hint="eastAsia" w:ascii="Calibri" w:hAnsi="宋体" w:eastAsia="宋体" w:cs="宋体"/>
          <w:color w:val="auto"/>
          <w:highlight w:val="none"/>
        </w:rPr>
        <w:t>（</w:t>
      </w:r>
      <w:r>
        <w:rPr>
          <w:rStyle w:val="39"/>
          <w:rFonts w:ascii="Calibri" w:hAnsi="Calibri" w:eastAsia="宋体" w:cs="Times New Roman"/>
          <w:color w:val="auto"/>
          <w:highlight w:val="none"/>
        </w:rPr>
        <w:t>4</w:t>
      </w:r>
      <w:r>
        <w:rPr>
          <w:rStyle w:val="39"/>
          <w:rFonts w:hint="eastAsia" w:ascii="Calibri" w:hAnsi="宋体" w:eastAsia="宋体" w:cs="宋体"/>
          <w:color w:val="auto"/>
          <w:highlight w:val="none"/>
        </w:rPr>
        <w:t>）暂列金额：</w:t>
      </w:r>
    </w:p>
    <w:p w14:paraId="53CC43A0">
      <w:pPr>
        <w:pStyle w:val="90"/>
        <w:spacing w:line="360" w:lineRule="auto"/>
        <w:ind w:firstLine="945" w:firstLineChars="450"/>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人民币（大写）</w:t>
      </w:r>
      <w:r>
        <w:rPr>
          <w:rStyle w:val="39"/>
          <w:rFonts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r>
        <w:rPr>
          <w:rStyle w:val="39"/>
          <w:rFonts w:hint="eastAsia" w:ascii="Calibri" w:hAnsi="Calibri" w:eastAsia="宋体" w:cs="宋体"/>
          <w:color w:val="auto"/>
          <w:highlight w:val="none"/>
        </w:rPr>
        <w:t>（</w:t>
      </w:r>
      <w:r>
        <w:rPr>
          <w:rStyle w:val="39"/>
          <w:rFonts w:ascii="Calibri" w:hAnsi="Calibri" w:eastAsia="宋体" w:cs="Times New Roman"/>
          <w:color w:val="auto"/>
          <w:highlight w:val="none"/>
        </w:rPr>
        <w:t>¥</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元</w:t>
      </w:r>
      <w:r>
        <w:rPr>
          <w:rStyle w:val="39"/>
          <w:rFonts w:hint="eastAsia" w:ascii="Calibri" w:hAnsi="Calibri" w:eastAsia="宋体" w:cs="宋体"/>
          <w:color w:val="auto"/>
          <w:highlight w:val="none"/>
        </w:rPr>
        <w:t>）</w:t>
      </w:r>
      <w:r>
        <w:rPr>
          <w:rStyle w:val="39"/>
          <w:rFonts w:hint="eastAsia" w:ascii="Calibri" w:hAnsi="宋体" w:eastAsia="宋体" w:cs="宋体"/>
          <w:color w:val="auto"/>
          <w:highlight w:val="none"/>
        </w:rPr>
        <w:t>。</w:t>
      </w:r>
    </w:p>
    <w:p w14:paraId="5FF8C876">
      <w:pPr>
        <w:pStyle w:val="90"/>
        <w:spacing w:line="360" w:lineRule="auto"/>
        <w:ind w:firstLine="420" w:firstLineChars="200"/>
        <w:outlineLvl w:val="9"/>
        <w:rPr>
          <w:rStyle w:val="39"/>
          <w:rFonts w:hint="eastAsia" w:ascii="Calibri" w:hAnsi="宋体" w:eastAsia="宋体" w:cs="Times New Roman"/>
          <w:color w:val="auto"/>
          <w:highlight w:val="none"/>
        </w:rPr>
      </w:pPr>
      <w:r>
        <w:rPr>
          <w:rStyle w:val="39"/>
          <w:rFonts w:ascii="Calibri" w:hAnsi="Calibri" w:eastAsia="宋体" w:cs="Times New Roman"/>
          <w:color w:val="auto"/>
          <w:highlight w:val="none"/>
        </w:rPr>
        <w:t xml:space="preserve">2. </w:t>
      </w:r>
      <w:r>
        <w:rPr>
          <w:rStyle w:val="39"/>
          <w:rFonts w:hint="eastAsia" w:ascii="Calibri" w:hAnsi="宋体" w:eastAsia="宋体" w:cs="宋体"/>
          <w:color w:val="auto"/>
          <w:highlight w:val="none"/>
        </w:rPr>
        <w:t>合同价格形式：</w:t>
      </w:r>
      <w:r>
        <w:rPr>
          <w:rStyle w:val="39"/>
          <w:rFonts w:ascii="Calibri" w:hAnsi="Calibri" w:eastAsia="宋体" w:cs="Times New Roman"/>
          <w:color w:val="auto"/>
          <w:highlight w:val="none"/>
        </w:rPr>
        <w:t xml:space="preserve">   </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w:t>
      </w:r>
    </w:p>
    <w:p w14:paraId="44A72ED2">
      <w:pPr>
        <w:pStyle w:val="90"/>
        <w:spacing w:line="360" w:lineRule="auto"/>
        <w:ind w:firstLine="422" w:firstLineChars="200"/>
        <w:outlineLvl w:val="9"/>
        <w:rPr>
          <w:rStyle w:val="39"/>
          <w:rFonts w:ascii="Calibri" w:hAnsi="Calibri" w:eastAsia="宋体" w:cs="Times New Roman"/>
          <w:b/>
          <w:bCs/>
          <w:color w:val="auto"/>
          <w:highlight w:val="none"/>
        </w:rPr>
      </w:pPr>
      <w:bookmarkStart w:id="56" w:name="_Toc351203485"/>
      <w:r>
        <w:rPr>
          <w:rStyle w:val="39"/>
          <w:rFonts w:hint="eastAsia" w:ascii="Calibri" w:hAnsi="宋体" w:eastAsia="宋体" w:cs="宋体"/>
          <w:b/>
          <w:bCs/>
          <w:color w:val="auto"/>
          <w:highlight w:val="none"/>
        </w:rPr>
        <w:t>五、</w:t>
      </w:r>
      <w:bookmarkEnd w:id="56"/>
      <w:r>
        <w:rPr>
          <w:rStyle w:val="39"/>
          <w:rFonts w:hint="eastAsia" w:ascii="Calibri" w:hAnsi="宋体" w:eastAsia="宋体" w:cs="宋体"/>
          <w:b/>
          <w:bCs/>
          <w:color w:val="auto"/>
          <w:highlight w:val="none"/>
        </w:rPr>
        <w:t>项目经理</w:t>
      </w:r>
    </w:p>
    <w:p w14:paraId="47273BAA">
      <w:pPr>
        <w:pStyle w:val="90"/>
        <w:spacing w:line="360" w:lineRule="auto"/>
        <w:ind w:firstLine="420" w:firstLineChars="200"/>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承包人项目经理：</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w:t>
      </w:r>
    </w:p>
    <w:p w14:paraId="4AD8F8B7">
      <w:pPr>
        <w:pStyle w:val="90"/>
        <w:spacing w:line="360" w:lineRule="auto"/>
        <w:ind w:firstLine="422" w:firstLineChars="200"/>
        <w:outlineLvl w:val="9"/>
        <w:rPr>
          <w:rStyle w:val="39"/>
          <w:rFonts w:ascii="Calibri" w:hAnsi="Calibri" w:eastAsia="宋体" w:cs="Times New Roman"/>
          <w:b/>
          <w:bCs/>
          <w:color w:val="auto"/>
          <w:highlight w:val="none"/>
        </w:rPr>
      </w:pPr>
      <w:bookmarkStart w:id="57" w:name="_Toc351203486"/>
      <w:r>
        <w:rPr>
          <w:rStyle w:val="39"/>
          <w:rFonts w:hint="eastAsia" w:ascii="Calibri" w:hAnsi="宋体" w:eastAsia="宋体" w:cs="宋体"/>
          <w:b/>
          <w:bCs/>
          <w:color w:val="auto"/>
          <w:highlight w:val="none"/>
        </w:rPr>
        <w:t>六、合同文件构成</w:t>
      </w:r>
      <w:bookmarkEnd w:id="57"/>
    </w:p>
    <w:p w14:paraId="654D0054">
      <w:pPr>
        <w:pStyle w:val="90"/>
        <w:spacing w:line="360" w:lineRule="auto"/>
        <w:ind w:firstLine="420" w:firstLineChars="200"/>
        <w:outlineLvl w:val="9"/>
        <w:rPr>
          <w:rStyle w:val="39"/>
          <w:rFonts w:ascii="Calibri" w:hAnsi="Calibri" w:eastAsia="宋体" w:cs="Times New Roman"/>
          <w:color w:val="auto"/>
          <w:highlight w:val="none"/>
        </w:rPr>
      </w:pPr>
      <w:r>
        <w:rPr>
          <w:rStyle w:val="39"/>
          <w:rFonts w:hint="eastAsia" w:ascii="Calibri" w:hAnsi="宋体" w:eastAsia="宋体" w:cs="宋体"/>
          <w:color w:val="auto"/>
          <w:highlight w:val="none"/>
        </w:rPr>
        <w:t>本协议书与下列文件一起构成合同文件：</w:t>
      </w:r>
    </w:p>
    <w:p w14:paraId="4527B8C2">
      <w:pPr>
        <w:pStyle w:val="90"/>
        <w:autoSpaceDE w:val="0"/>
        <w:autoSpaceDN w:val="0"/>
        <w:adjustRightInd w:val="0"/>
        <w:spacing w:line="360" w:lineRule="auto"/>
        <w:ind w:firstLine="420" w:firstLineChars="200"/>
        <w:jc w:val="left"/>
        <w:outlineLvl w:val="9"/>
        <w:rPr>
          <w:rStyle w:val="39"/>
          <w:rFonts w:hint="default" w:ascii="Calibri" w:hAnsi="宋体" w:eastAsia="宋体" w:cs="宋体"/>
          <w:color w:val="auto"/>
          <w:highlight w:val="none"/>
          <w:lang w:val="en-US" w:eastAsia="zh-CN"/>
        </w:rPr>
      </w:pPr>
      <w:r>
        <w:rPr>
          <w:rStyle w:val="39"/>
          <w:rFonts w:hint="eastAsia" w:hAnsi="宋体" w:eastAsia="宋体" w:cs="宋体"/>
          <w:color w:val="auto"/>
          <w:highlight w:val="none"/>
          <w:lang w:eastAsia="zh-CN"/>
        </w:rPr>
        <w:t>（</w:t>
      </w:r>
      <w:r>
        <w:rPr>
          <w:rStyle w:val="39"/>
          <w:rFonts w:hint="eastAsia" w:hAnsi="宋体" w:eastAsia="宋体" w:cs="宋体"/>
          <w:color w:val="auto"/>
          <w:highlight w:val="none"/>
          <w:lang w:val="en-US" w:eastAsia="zh-CN"/>
        </w:rPr>
        <w:t>1</w:t>
      </w:r>
      <w:r>
        <w:rPr>
          <w:rStyle w:val="39"/>
          <w:rFonts w:hint="eastAsia" w:hAnsi="宋体" w:eastAsia="宋体" w:cs="宋体"/>
          <w:color w:val="auto"/>
          <w:highlight w:val="none"/>
          <w:lang w:eastAsia="zh-CN"/>
        </w:rPr>
        <w:t>）</w:t>
      </w:r>
      <w:r>
        <w:rPr>
          <w:rStyle w:val="39"/>
          <w:rFonts w:hint="eastAsia" w:hAnsi="宋体" w:eastAsia="宋体" w:cs="宋体"/>
          <w:color w:val="auto"/>
          <w:highlight w:val="none"/>
          <w:lang w:val="en-US" w:eastAsia="zh-CN"/>
        </w:rPr>
        <w:t>合同协议书；</w:t>
      </w:r>
    </w:p>
    <w:p w14:paraId="6492F500">
      <w:pPr>
        <w:pStyle w:val="90"/>
        <w:autoSpaceDE w:val="0"/>
        <w:autoSpaceDN w:val="0"/>
        <w:adjustRightInd w:val="0"/>
        <w:spacing w:line="360" w:lineRule="auto"/>
        <w:ind w:firstLine="420" w:firstLineChars="200"/>
        <w:jc w:val="left"/>
        <w:outlineLvl w:val="9"/>
        <w:rPr>
          <w:rStyle w:val="39"/>
          <w:rFonts w:ascii="Calibri" w:hAnsi="Calibri" w:eastAsia="宋体" w:cs="Times New Roman"/>
          <w:color w:val="auto"/>
          <w:highlight w:val="none"/>
        </w:rPr>
      </w:pPr>
      <w:r>
        <w:rPr>
          <w:rStyle w:val="39"/>
          <w:rFonts w:hint="eastAsia" w:ascii="Calibri" w:hAnsi="宋体" w:eastAsia="宋体" w:cs="宋体"/>
          <w:color w:val="auto"/>
          <w:highlight w:val="none"/>
        </w:rPr>
        <w:t>（</w:t>
      </w:r>
      <w:r>
        <w:rPr>
          <w:rStyle w:val="39"/>
          <w:rFonts w:hint="eastAsia" w:eastAsia="宋体" w:cs="Times New Roman"/>
          <w:color w:val="auto"/>
          <w:highlight w:val="none"/>
          <w:lang w:val="en-US" w:eastAsia="zh-CN"/>
        </w:rPr>
        <w:t>2</w:t>
      </w:r>
      <w:r>
        <w:rPr>
          <w:rStyle w:val="39"/>
          <w:rFonts w:hint="eastAsia" w:ascii="Calibri" w:hAnsi="宋体" w:eastAsia="宋体" w:cs="宋体"/>
          <w:color w:val="auto"/>
          <w:highlight w:val="none"/>
        </w:rPr>
        <w:t>）</w:t>
      </w:r>
      <w:r>
        <w:rPr>
          <w:rStyle w:val="39"/>
          <w:rFonts w:hint="eastAsia" w:hAnsi="宋体" w:eastAsia="宋体" w:cs="宋体"/>
          <w:color w:val="auto"/>
          <w:highlight w:val="none"/>
          <w:lang w:val="en-US" w:eastAsia="zh-CN"/>
        </w:rPr>
        <w:t>成交通知书</w:t>
      </w:r>
      <w:r>
        <w:rPr>
          <w:rStyle w:val="39"/>
          <w:rFonts w:hint="eastAsia" w:ascii="Calibri" w:hAnsi="宋体" w:eastAsia="宋体" w:cs="宋体"/>
          <w:color w:val="auto"/>
          <w:highlight w:val="none"/>
        </w:rPr>
        <w:t>；</w:t>
      </w:r>
    </w:p>
    <w:p w14:paraId="5B6C7CFE">
      <w:pPr>
        <w:pStyle w:val="90"/>
        <w:autoSpaceDE w:val="0"/>
        <w:autoSpaceDN w:val="0"/>
        <w:adjustRightInd w:val="0"/>
        <w:spacing w:line="360" w:lineRule="auto"/>
        <w:ind w:firstLine="420" w:firstLineChars="200"/>
        <w:jc w:val="left"/>
        <w:outlineLvl w:val="9"/>
        <w:rPr>
          <w:rStyle w:val="39"/>
          <w:rFonts w:ascii="Calibri" w:hAnsi="Calibri" w:eastAsia="宋体" w:cs="Times New Roman"/>
          <w:color w:val="auto"/>
          <w:highlight w:val="none"/>
        </w:rPr>
      </w:pPr>
      <w:r>
        <w:rPr>
          <w:rStyle w:val="39"/>
          <w:rFonts w:hint="eastAsia" w:ascii="Calibri" w:hAnsi="宋体" w:eastAsia="宋体" w:cs="宋体"/>
          <w:color w:val="auto"/>
          <w:highlight w:val="none"/>
        </w:rPr>
        <w:t>（</w:t>
      </w:r>
      <w:r>
        <w:rPr>
          <w:rStyle w:val="39"/>
          <w:rFonts w:hint="eastAsia" w:eastAsia="宋体" w:cs="Times New Roman"/>
          <w:color w:val="auto"/>
          <w:highlight w:val="none"/>
          <w:lang w:val="en-US" w:eastAsia="zh-CN"/>
        </w:rPr>
        <w:t>3</w:t>
      </w:r>
      <w:r>
        <w:rPr>
          <w:rStyle w:val="39"/>
          <w:rFonts w:hint="eastAsia" w:ascii="Calibri" w:hAnsi="宋体" w:eastAsia="宋体" w:cs="宋体"/>
          <w:color w:val="auto"/>
          <w:highlight w:val="none"/>
        </w:rPr>
        <w:t>）</w:t>
      </w:r>
      <w:r>
        <w:rPr>
          <w:rStyle w:val="39"/>
          <w:rFonts w:hint="eastAsia" w:hAnsi="宋体" w:cs="宋体"/>
          <w:color w:val="auto"/>
          <w:highlight w:val="none"/>
          <w:lang w:val="en-US" w:eastAsia="zh-CN"/>
        </w:rPr>
        <w:t>竞标函及竞标函附录</w:t>
      </w:r>
      <w:r>
        <w:rPr>
          <w:rStyle w:val="39"/>
          <w:rFonts w:hint="eastAsia" w:ascii="Calibri" w:hAnsi="宋体" w:eastAsia="宋体" w:cs="宋体"/>
          <w:color w:val="auto"/>
          <w:highlight w:val="none"/>
        </w:rPr>
        <w:t>；</w:t>
      </w:r>
      <w:r>
        <w:rPr>
          <w:rStyle w:val="39"/>
          <w:rFonts w:ascii="Calibri" w:hAnsi="Calibri" w:eastAsia="宋体" w:cs="Times New Roman"/>
          <w:color w:val="auto"/>
          <w:highlight w:val="none"/>
        </w:rPr>
        <w:t xml:space="preserve"> </w:t>
      </w:r>
    </w:p>
    <w:p w14:paraId="6E5B8666">
      <w:pPr>
        <w:pStyle w:val="90"/>
        <w:autoSpaceDE w:val="0"/>
        <w:autoSpaceDN w:val="0"/>
        <w:adjustRightInd w:val="0"/>
        <w:spacing w:line="360" w:lineRule="auto"/>
        <w:ind w:firstLine="420" w:firstLineChars="200"/>
        <w:jc w:val="left"/>
        <w:outlineLvl w:val="9"/>
        <w:rPr>
          <w:rStyle w:val="39"/>
          <w:rFonts w:ascii="Calibri" w:hAnsi="Calibri" w:eastAsia="宋体" w:cs="Times New Roman"/>
          <w:color w:val="auto"/>
          <w:highlight w:val="none"/>
        </w:rPr>
      </w:pPr>
      <w:r>
        <w:rPr>
          <w:rStyle w:val="39"/>
          <w:rFonts w:hint="eastAsia" w:ascii="Calibri" w:hAnsi="宋体" w:eastAsia="宋体" w:cs="宋体"/>
          <w:color w:val="auto"/>
          <w:highlight w:val="none"/>
        </w:rPr>
        <w:t>（</w:t>
      </w:r>
      <w:r>
        <w:rPr>
          <w:rStyle w:val="39"/>
          <w:rFonts w:hint="eastAsia" w:eastAsia="宋体" w:cs="Times New Roman"/>
          <w:color w:val="auto"/>
          <w:highlight w:val="none"/>
          <w:lang w:val="en-US" w:eastAsia="zh-CN"/>
        </w:rPr>
        <w:t>4</w:t>
      </w:r>
      <w:r>
        <w:rPr>
          <w:rStyle w:val="39"/>
          <w:rFonts w:hint="eastAsia" w:ascii="Calibri" w:hAnsi="宋体" w:eastAsia="宋体" w:cs="宋体"/>
          <w:color w:val="auto"/>
          <w:highlight w:val="none"/>
        </w:rPr>
        <w:t>）专用合同条款及其附件；</w:t>
      </w:r>
    </w:p>
    <w:p w14:paraId="082BCC68">
      <w:pPr>
        <w:pStyle w:val="90"/>
        <w:autoSpaceDE w:val="0"/>
        <w:autoSpaceDN w:val="0"/>
        <w:adjustRightInd w:val="0"/>
        <w:spacing w:line="360" w:lineRule="auto"/>
        <w:ind w:firstLine="420" w:firstLineChars="200"/>
        <w:jc w:val="left"/>
        <w:outlineLvl w:val="9"/>
        <w:rPr>
          <w:rStyle w:val="39"/>
          <w:rFonts w:ascii="Calibri" w:hAnsi="Calibri" w:eastAsia="宋体" w:cs="Times New Roman"/>
          <w:color w:val="auto"/>
          <w:highlight w:val="none"/>
          <w:u w:val="none"/>
        </w:rPr>
      </w:pPr>
      <w:r>
        <w:rPr>
          <w:rStyle w:val="39"/>
          <w:rFonts w:hint="eastAsia" w:ascii="Calibri" w:hAnsi="宋体" w:eastAsia="宋体" w:cs="宋体"/>
          <w:color w:val="auto"/>
          <w:highlight w:val="none"/>
        </w:rPr>
        <w:t>（</w:t>
      </w:r>
      <w:r>
        <w:rPr>
          <w:rStyle w:val="39"/>
          <w:rFonts w:hint="eastAsia" w:eastAsia="宋体" w:cs="Times New Roman"/>
          <w:color w:val="auto"/>
          <w:highlight w:val="none"/>
          <w:u w:val="none"/>
          <w:lang w:val="en-US" w:eastAsia="zh-CN"/>
        </w:rPr>
        <w:t>5</w:t>
      </w:r>
      <w:r>
        <w:rPr>
          <w:rStyle w:val="39"/>
          <w:rFonts w:hint="eastAsia" w:ascii="Calibri" w:hAnsi="宋体" w:eastAsia="宋体" w:cs="宋体"/>
          <w:color w:val="auto"/>
          <w:highlight w:val="none"/>
          <w:u w:val="none"/>
        </w:rPr>
        <w:t>）通用合同条款；</w:t>
      </w:r>
    </w:p>
    <w:p w14:paraId="7D58C8FC">
      <w:pPr>
        <w:pStyle w:val="90"/>
        <w:autoSpaceDE w:val="0"/>
        <w:autoSpaceDN w:val="0"/>
        <w:adjustRightInd w:val="0"/>
        <w:spacing w:line="360" w:lineRule="auto"/>
        <w:ind w:firstLine="420" w:firstLineChars="200"/>
        <w:jc w:val="left"/>
        <w:outlineLvl w:val="9"/>
        <w:rPr>
          <w:rStyle w:val="39"/>
          <w:rFonts w:ascii="Calibri" w:hAnsi="Calibri" w:eastAsia="宋体" w:cs="Times New Roman"/>
          <w:color w:val="auto"/>
          <w:highlight w:val="none"/>
          <w:u w:val="none"/>
        </w:rPr>
      </w:pPr>
      <w:r>
        <w:rPr>
          <w:rStyle w:val="39"/>
          <w:rFonts w:hint="eastAsia" w:ascii="Calibri" w:hAnsi="宋体" w:eastAsia="宋体" w:cs="宋体"/>
          <w:color w:val="auto"/>
          <w:highlight w:val="none"/>
          <w:u w:val="none"/>
        </w:rPr>
        <w:t>（</w:t>
      </w:r>
      <w:r>
        <w:rPr>
          <w:rStyle w:val="39"/>
          <w:rFonts w:hint="eastAsia" w:eastAsia="宋体" w:cs="Times New Roman"/>
          <w:color w:val="auto"/>
          <w:highlight w:val="none"/>
          <w:u w:val="none"/>
          <w:lang w:val="en-US" w:eastAsia="zh-CN"/>
        </w:rPr>
        <w:t>6</w:t>
      </w:r>
      <w:r>
        <w:rPr>
          <w:rStyle w:val="39"/>
          <w:rFonts w:hint="eastAsia" w:ascii="Calibri" w:hAnsi="宋体" w:eastAsia="宋体" w:cs="宋体"/>
          <w:color w:val="auto"/>
          <w:highlight w:val="none"/>
          <w:u w:val="none"/>
        </w:rPr>
        <w:t>）标准、规范及有关技术文件；</w:t>
      </w:r>
    </w:p>
    <w:p w14:paraId="23E8BED1">
      <w:pPr>
        <w:pStyle w:val="90"/>
        <w:autoSpaceDE w:val="0"/>
        <w:autoSpaceDN w:val="0"/>
        <w:adjustRightInd w:val="0"/>
        <w:spacing w:line="360" w:lineRule="auto"/>
        <w:ind w:firstLine="420" w:firstLineChars="200"/>
        <w:jc w:val="left"/>
        <w:outlineLvl w:val="9"/>
        <w:rPr>
          <w:rStyle w:val="39"/>
          <w:rFonts w:ascii="Calibri" w:hAnsi="Calibri" w:eastAsia="宋体" w:cs="Times New Roman"/>
          <w:color w:val="auto"/>
          <w:highlight w:val="none"/>
          <w:u w:val="none"/>
        </w:rPr>
      </w:pPr>
      <w:r>
        <w:rPr>
          <w:rStyle w:val="39"/>
          <w:rFonts w:hint="eastAsia" w:ascii="Calibri" w:hAnsi="宋体" w:eastAsia="宋体" w:cs="宋体"/>
          <w:color w:val="auto"/>
          <w:highlight w:val="none"/>
          <w:u w:val="none"/>
        </w:rPr>
        <w:t>（</w:t>
      </w:r>
      <w:r>
        <w:rPr>
          <w:rStyle w:val="39"/>
          <w:rFonts w:hint="eastAsia" w:eastAsia="宋体" w:cs="Times New Roman"/>
          <w:color w:val="auto"/>
          <w:highlight w:val="none"/>
          <w:u w:val="none"/>
          <w:lang w:val="en-US" w:eastAsia="zh-CN"/>
        </w:rPr>
        <w:t>7</w:t>
      </w:r>
      <w:r>
        <w:rPr>
          <w:rStyle w:val="39"/>
          <w:rFonts w:hint="eastAsia" w:ascii="Calibri" w:hAnsi="宋体" w:eastAsia="宋体" w:cs="宋体"/>
          <w:color w:val="auto"/>
          <w:highlight w:val="none"/>
          <w:u w:val="none"/>
        </w:rPr>
        <w:t>）图纸；</w:t>
      </w:r>
    </w:p>
    <w:p w14:paraId="6CF8586E">
      <w:pPr>
        <w:pStyle w:val="90"/>
        <w:autoSpaceDE w:val="0"/>
        <w:autoSpaceDN w:val="0"/>
        <w:adjustRightInd w:val="0"/>
        <w:spacing w:line="360" w:lineRule="auto"/>
        <w:ind w:firstLine="420" w:firstLineChars="200"/>
        <w:jc w:val="left"/>
        <w:outlineLvl w:val="9"/>
        <w:rPr>
          <w:rStyle w:val="39"/>
          <w:rFonts w:hint="eastAsia" w:ascii="Calibri" w:hAnsi="宋体" w:eastAsia="宋体" w:cs="宋体"/>
          <w:color w:val="auto"/>
          <w:highlight w:val="none"/>
          <w:u w:val="none"/>
          <w:lang w:eastAsia="zh-CN"/>
        </w:rPr>
      </w:pPr>
      <w:r>
        <w:rPr>
          <w:rStyle w:val="39"/>
          <w:rFonts w:hint="eastAsia" w:hAnsi="宋体" w:eastAsia="宋体" w:cs="宋体"/>
          <w:color w:val="auto"/>
          <w:highlight w:val="none"/>
          <w:u w:val="none"/>
          <w:lang w:eastAsia="zh-CN"/>
        </w:rPr>
        <w:t>（</w:t>
      </w:r>
      <w:r>
        <w:rPr>
          <w:rStyle w:val="39"/>
          <w:rFonts w:hint="eastAsia" w:hAnsi="宋体" w:eastAsia="宋体" w:cs="宋体"/>
          <w:color w:val="auto"/>
          <w:highlight w:val="none"/>
          <w:u w:val="none"/>
          <w:lang w:val="en-US" w:eastAsia="zh-CN"/>
        </w:rPr>
        <w:t>8</w:t>
      </w:r>
      <w:r>
        <w:rPr>
          <w:rStyle w:val="39"/>
          <w:rFonts w:hint="eastAsia" w:hAnsi="宋体" w:eastAsia="宋体" w:cs="宋体"/>
          <w:color w:val="auto"/>
          <w:highlight w:val="none"/>
          <w:u w:val="none"/>
          <w:lang w:eastAsia="zh-CN"/>
        </w:rPr>
        <w:t>）</w:t>
      </w:r>
      <w:r>
        <w:rPr>
          <w:rStyle w:val="39"/>
          <w:rFonts w:hint="eastAsia" w:ascii="Calibri" w:hAnsi="宋体" w:eastAsia="宋体" w:cs="宋体"/>
          <w:color w:val="auto"/>
          <w:highlight w:val="none"/>
          <w:u w:val="none"/>
        </w:rPr>
        <w:t>已标价工程量清单</w:t>
      </w:r>
      <w:r>
        <w:rPr>
          <w:rStyle w:val="39"/>
          <w:rFonts w:hint="eastAsia" w:hAnsi="宋体" w:eastAsia="宋体" w:cs="宋体"/>
          <w:color w:val="auto"/>
          <w:highlight w:val="none"/>
          <w:u w:val="none"/>
          <w:lang w:eastAsia="zh-CN"/>
        </w:rPr>
        <w:t>；</w:t>
      </w:r>
      <w:r>
        <w:rPr>
          <w:rStyle w:val="39"/>
          <w:rFonts w:ascii="Calibri" w:hAnsi="宋体" w:eastAsia="宋体" w:cs="宋体"/>
          <w:color w:val="auto"/>
          <w:highlight w:val="none"/>
          <w:u w:val="none"/>
        </w:rPr>
        <w:t xml:space="preserve"> </w:t>
      </w:r>
    </w:p>
    <w:p w14:paraId="128F928D">
      <w:pPr>
        <w:pStyle w:val="90"/>
        <w:autoSpaceDE w:val="0"/>
        <w:autoSpaceDN w:val="0"/>
        <w:adjustRightInd w:val="0"/>
        <w:spacing w:line="360" w:lineRule="auto"/>
        <w:ind w:firstLine="420" w:firstLineChars="200"/>
        <w:jc w:val="left"/>
        <w:outlineLvl w:val="9"/>
        <w:rPr>
          <w:rStyle w:val="39"/>
          <w:rFonts w:hint="eastAsia" w:ascii="Calibri" w:hAnsi="Calibri" w:eastAsia="宋体" w:cs="Times New Roman"/>
          <w:color w:val="auto"/>
          <w:highlight w:val="none"/>
          <w:u w:val="none"/>
          <w:lang w:eastAsia="zh-CN"/>
        </w:rPr>
      </w:pPr>
      <w:r>
        <w:rPr>
          <w:rStyle w:val="39"/>
          <w:rFonts w:hint="eastAsia" w:ascii="Calibri" w:hAnsi="宋体" w:eastAsia="宋体" w:cs="宋体"/>
          <w:color w:val="auto"/>
          <w:highlight w:val="none"/>
          <w:u w:val="none"/>
        </w:rPr>
        <w:t>（</w:t>
      </w:r>
      <w:r>
        <w:rPr>
          <w:rStyle w:val="39"/>
          <w:rFonts w:hint="eastAsia" w:eastAsia="宋体" w:cs="Times New Roman"/>
          <w:color w:val="auto"/>
          <w:highlight w:val="none"/>
          <w:u w:val="none"/>
          <w:lang w:val="en-US" w:eastAsia="zh-CN"/>
        </w:rPr>
        <w:t>9</w:t>
      </w:r>
      <w:r>
        <w:rPr>
          <w:rStyle w:val="39"/>
          <w:rFonts w:hint="eastAsia" w:ascii="Calibri" w:hAnsi="宋体" w:eastAsia="宋体" w:cs="宋体"/>
          <w:color w:val="auto"/>
          <w:highlight w:val="none"/>
          <w:u w:val="none"/>
        </w:rPr>
        <w:t>）其他合同文件</w:t>
      </w:r>
      <w:r>
        <w:rPr>
          <w:rStyle w:val="39"/>
          <w:rFonts w:hint="eastAsia" w:hAnsi="宋体" w:eastAsia="宋体" w:cs="宋体"/>
          <w:color w:val="auto"/>
          <w:highlight w:val="none"/>
          <w:u w:val="none"/>
          <w:lang w:eastAsia="zh-CN"/>
        </w:rPr>
        <w:t>：</w:t>
      </w:r>
    </w:p>
    <w:p w14:paraId="4F75E843">
      <w:pPr>
        <w:pStyle w:val="90"/>
        <w:autoSpaceDE w:val="0"/>
        <w:autoSpaceDN w:val="0"/>
        <w:adjustRightInd w:val="0"/>
        <w:spacing w:line="360" w:lineRule="auto"/>
        <w:ind w:firstLine="420" w:firstLineChars="200"/>
        <w:jc w:val="left"/>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上述各项合同文件包括合同当事人就该项合同文件所作出的补充和修改，属于同一类内容的文件，应以最新签署的为准（违反</w:t>
      </w:r>
      <w:r>
        <w:rPr>
          <w:rStyle w:val="39"/>
          <w:rFonts w:hint="eastAsia" w:hAnsi="宋体" w:eastAsia="宋体" w:cs="宋体"/>
          <w:color w:val="auto"/>
          <w:highlight w:val="none"/>
          <w:lang w:val="en-US" w:eastAsia="zh-CN"/>
        </w:rPr>
        <w:t>采购</w:t>
      </w:r>
      <w:r>
        <w:rPr>
          <w:rStyle w:val="39"/>
          <w:rFonts w:hint="eastAsia" w:ascii="Calibri" w:hAnsi="宋体" w:eastAsia="宋体" w:cs="宋体"/>
          <w:color w:val="auto"/>
          <w:highlight w:val="none"/>
        </w:rPr>
        <w:t>文件</w:t>
      </w:r>
      <w:r>
        <w:rPr>
          <w:rStyle w:val="39"/>
          <w:rFonts w:ascii="Calibri" w:hAnsi="宋体" w:eastAsia="宋体" w:cs="宋体"/>
          <w:color w:val="auto"/>
          <w:highlight w:val="none"/>
        </w:rPr>
        <w:t>实质性内容的约定除外</w:t>
      </w:r>
      <w:r>
        <w:rPr>
          <w:rStyle w:val="39"/>
          <w:rFonts w:hint="eastAsia" w:ascii="Calibri" w:hAnsi="宋体" w:eastAsia="宋体" w:cs="宋体"/>
          <w:color w:val="auto"/>
          <w:highlight w:val="none"/>
        </w:rPr>
        <w:t>）。专用合同条款及其附件须经合同当事人签字或盖章。</w:t>
      </w:r>
    </w:p>
    <w:p w14:paraId="453F5423">
      <w:pPr>
        <w:pStyle w:val="90"/>
        <w:autoSpaceDE w:val="0"/>
        <w:autoSpaceDN w:val="0"/>
        <w:adjustRightInd w:val="0"/>
        <w:spacing w:line="360" w:lineRule="auto"/>
        <w:ind w:firstLine="422" w:firstLineChars="200"/>
        <w:jc w:val="left"/>
        <w:outlineLvl w:val="9"/>
        <w:rPr>
          <w:rStyle w:val="39"/>
          <w:rFonts w:ascii="Calibri" w:hAnsi="Calibri" w:eastAsia="宋体" w:cs="Times New Roman"/>
          <w:b/>
          <w:bCs/>
          <w:color w:val="auto"/>
          <w:highlight w:val="none"/>
        </w:rPr>
      </w:pPr>
      <w:bookmarkStart w:id="58" w:name="_Toc351203487"/>
      <w:r>
        <w:rPr>
          <w:rStyle w:val="39"/>
          <w:rFonts w:hint="eastAsia" w:ascii="Calibri" w:hAnsi="宋体" w:eastAsia="宋体" w:cs="宋体"/>
          <w:b/>
          <w:bCs/>
          <w:color w:val="auto"/>
          <w:highlight w:val="none"/>
        </w:rPr>
        <w:t>七、承诺</w:t>
      </w:r>
      <w:bookmarkEnd w:id="58"/>
    </w:p>
    <w:p w14:paraId="56DD98F3">
      <w:pPr>
        <w:pStyle w:val="90"/>
        <w:spacing w:line="360" w:lineRule="auto"/>
        <w:ind w:firstLine="420" w:firstLineChars="200"/>
        <w:outlineLvl w:val="9"/>
        <w:rPr>
          <w:rStyle w:val="39"/>
          <w:rFonts w:ascii="Calibri" w:hAnsi="Calibri" w:eastAsia="宋体" w:cs="Times New Roman"/>
          <w:color w:val="auto"/>
          <w:highlight w:val="none"/>
        </w:rPr>
      </w:pPr>
      <w:r>
        <w:rPr>
          <w:rStyle w:val="39"/>
          <w:rFonts w:ascii="Calibri" w:hAnsi="Calibri" w:eastAsia="宋体" w:cs="Times New Roman"/>
          <w:color w:val="auto"/>
          <w:highlight w:val="none"/>
        </w:rPr>
        <w:t xml:space="preserve">1. </w:t>
      </w:r>
      <w:r>
        <w:rPr>
          <w:rStyle w:val="39"/>
          <w:rFonts w:hint="eastAsia" w:ascii="Calibri" w:hAnsi="宋体" w:eastAsia="宋体" w:cs="宋体"/>
          <w:color w:val="auto"/>
          <w:highlight w:val="none"/>
        </w:rPr>
        <w:t>发包人承诺按照法律规定履行项目审批手续、筹集工程建设资金并按照合同约定的期限和方式支付合同价款。</w:t>
      </w:r>
    </w:p>
    <w:p w14:paraId="705BB3D5">
      <w:pPr>
        <w:pStyle w:val="90"/>
        <w:spacing w:line="360" w:lineRule="auto"/>
        <w:ind w:firstLine="420" w:firstLineChars="200"/>
        <w:outlineLvl w:val="9"/>
        <w:rPr>
          <w:rStyle w:val="39"/>
          <w:rFonts w:ascii="Calibri" w:hAnsi="Calibri" w:eastAsia="宋体" w:cs="Times New Roman"/>
          <w:color w:val="auto"/>
          <w:highlight w:val="none"/>
        </w:rPr>
      </w:pPr>
      <w:r>
        <w:rPr>
          <w:rStyle w:val="39"/>
          <w:rFonts w:ascii="Calibri" w:hAnsi="Calibri" w:eastAsia="宋体" w:cs="Times New Roman"/>
          <w:color w:val="auto"/>
          <w:highlight w:val="none"/>
        </w:rPr>
        <w:t xml:space="preserve">2. </w:t>
      </w:r>
      <w:r>
        <w:rPr>
          <w:rStyle w:val="39"/>
          <w:rFonts w:hint="eastAsia" w:ascii="Calibri" w:hAnsi="宋体" w:eastAsia="宋体" w:cs="宋体"/>
          <w:color w:val="auto"/>
          <w:highlight w:val="none"/>
        </w:rPr>
        <w:t>承包人承诺按照法律规定及合同约定组织完成工程施工，确保工程质量和安全，不进行转包及违法分包，并在缺陷责任期及保修期内承担相应的工程维修责任。</w:t>
      </w:r>
    </w:p>
    <w:p w14:paraId="4E4B7E69">
      <w:pPr>
        <w:pStyle w:val="90"/>
        <w:spacing w:line="360" w:lineRule="auto"/>
        <w:ind w:firstLine="420" w:firstLineChars="200"/>
        <w:outlineLvl w:val="9"/>
        <w:rPr>
          <w:rStyle w:val="39"/>
          <w:rFonts w:ascii="Calibri" w:hAnsi="宋体" w:eastAsia="宋体" w:cs="Times New Roman"/>
          <w:color w:val="auto"/>
          <w:highlight w:val="none"/>
        </w:rPr>
      </w:pPr>
      <w:r>
        <w:rPr>
          <w:rStyle w:val="39"/>
          <w:rFonts w:ascii="Calibri" w:hAnsi="Calibri" w:eastAsia="宋体" w:cs="Times New Roman"/>
          <w:color w:val="auto"/>
          <w:highlight w:val="none"/>
        </w:rPr>
        <w:t xml:space="preserve">3. </w:t>
      </w:r>
      <w:r>
        <w:rPr>
          <w:rStyle w:val="39"/>
          <w:rFonts w:hint="eastAsia" w:ascii="Calibri" w:hAnsi="宋体" w:eastAsia="宋体" w:cs="宋体"/>
          <w:color w:val="auto"/>
          <w:highlight w:val="none"/>
        </w:rPr>
        <w:t>发包人和承包人通过招投标形式签订合同的，双方理解并承诺不再就同一工程另行签订与合同实质性内容相背离的协议。</w:t>
      </w:r>
      <w:bookmarkStart w:id="59" w:name="_Toc351203488"/>
    </w:p>
    <w:p w14:paraId="570F112B">
      <w:pPr>
        <w:pStyle w:val="90"/>
        <w:spacing w:line="360" w:lineRule="auto"/>
        <w:ind w:firstLine="422" w:firstLineChars="200"/>
        <w:outlineLvl w:val="9"/>
        <w:rPr>
          <w:rStyle w:val="39"/>
          <w:rFonts w:ascii="Calibri" w:hAnsi="Calibri" w:eastAsia="宋体" w:cs="Times New Roman"/>
          <w:b/>
          <w:bCs/>
          <w:color w:val="auto"/>
          <w:highlight w:val="none"/>
        </w:rPr>
      </w:pPr>
      <w:r>
        <w:rPr>
          <w:rStyle w:val="39"/>
          <w:rFonts w:hint="eastAsia" w:ascii="Calibri" w:hAnsi="宋体" w:eastAsia="宋体" w:cs="宋体"/>
          <w:b/>
          <w:bCs/>
          <w:color w:val="auto"/>
          <w:highlight w:val="none"/>
        </w:rPr>
        <w:t>八、词语含义</w:t>
      </w:r>
      <w:bookmarkEnd w:id="59"/>
    </w:p>
    <w:p w14:paraId="36C7E8D2">
      <w:pPr>
        <w:pStyle w:val="90"/>
        <w:spacing w:line="360" w:lineRule="auto"/>
        <w:ind w:firstLine="420" w:firstLineChars="200"/>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本协议书中词语含义与第二部分通用合同条款中赋予的含义相同。</w:t>
      </w:r>
    </w:p>
    <w:p w14:paraId="007D57E9">
      <w:pPr>
        <w:pStyle w:val="90"/>
        <w:spacing w:line="360" w:lineRule="auto"/>
        <w:ind w:firstLine="422" w:firstLineChars="200"/>
        <w:outlineLvl w:val="9"/>
        <w:rPr>
          <w:rStyle w:val="39"/>
          <w:rFonts w:ascii="Calibri" w:hAnsi="Calibri" w:eastAsia="宋体" w:cs="Times New Roman"/>
          <w:b/>
          <w:bCs/>
          <w:color w:val="auto"/>
          <w:highlight w:val="none"/>
        </w:rPr>
      </w:pPr>
      <w:bookmarkStart w:id="60" w:name="_Toc351203489"/>
      <w:r>
        <w:rPr>
          <w:rStyle w:val="39"/>
          <w:rFonts w:hint="eastAsia" w:ascii="Calibri" w:hAnsi="宋体" w:eastAsia="宋体" w:cs="宋体"/>
          <w:b/>
          <w:bCs/>
          <w:color w:val="auto"/>
          <w:highlight w:val="none"/>
        </w:rPr>
        <w:t>九、签订时间</w:t>
      </w:r>
      <w:bookmarkEnd w:id="60"/>
    </w:p>
    <w:p w14:paraId="415C1298">
      <w:pPr>
        <w:pStyle w:val="90"/>
        <w:spacing w:line="360" w:lineRule="auto"/>
        <w:ind w:firstLine="420" w:firstLineChars="200"/>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本合同于</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年</w:t>
      </w:r>
      <w:r>
        <w:rPr>
          <w:rStyle w:val="39"/>
          <w:rFonts w:ascii="Calibri" w:hAnsi="Calibri" w:eastAsia="宋体" w:cs="Times New Roman"/>
          <w:color w:val="auto"/>
          <w:highlight w:val="none"/>
          <w:u w:val="single"/>
        </w:rPr>
        <w:t xml:space="preserve">  </w:t>
      </w:r>
      <w:r>
        <w:rPr>
          <w:rStyle w:val="39"/>
          <w:rFonts w:hint="eastAsia" w:eastAsia="宋体" w:cs="Times New Roman"/>
          <w:color w:val="auto"/>
          <w:highlight w:val="none"/>
          <w:u w:val="single"/>
          <w:lang w:val="en-US" w:eastAsia="zh-CN"/>
        </w:rPr>
        <w:t xml:space="preserve"> </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月</w:t>
      </w:r>
      <w:r>
        <w:rPr>
          <w:rStyle w:val="39"/>
          <w:rFonts w:ascii="Calibri" w:hAnsi="Calibri" w:eastAsia="宋体" w:cs="Times New Roman"/>
          <w:color w:val="auto"/>
          <w:highlight w:val="none"/>
          <w:u w:val="single"/>
        </w:rPr>
        <w:t xml:space="preserve">    </w:t>
      </w:r>
      <w:r>
        <w:rPr>
          <w:rStyle w:val="39"/>
          <w:rFonts w:hint="eastAsia" w:eastAsia="宋体" w:cs="Times New Roman"/>
          <w:color w:val="auto"/>
          <w:highlight w:val="none"/>
          <w:u w:val="single"/>
          <w:lang w:val="en-US" w:eastAsia="zh-CN"/>
        </w:rPr>
        <w:t xml:space="preserve"> </w:t>
      </w:r>
      <w:r>
        <w:rPr>
          <w:rStyle w:val="39"/>
          <w:rFonts w:hint="eastAsia" w:ascii="Calibri" w:hAnsi="宋体" w:eastAsia="宋体" w:cs="宋体"/>
          <w:color w:val="auto"/>
          <w:highlight w:val="none"/>
        </w:rPr>
        <w:t>日签订。</w:t>
      </w:r>
    </w:p>
    <w:p w14:paraId="62EB1825">
      <w:pPr>
        <w:pStyle w:val="90"/>
        <w:spacing w:line="360" w:lineRule="auto"/>
        <w:ind w:firstLine="422" w:firstLineChars="200"/>
        <w:outlineLvl w:val="9"/>
        <w:rPr>
          <w:rStyle w:val="39"/>
          <w:rFonts w:ascii="Calibri" w:hAnsi="Calibri" w:eastAsia="宋体" w:cs="Times New Roman"/>
          <w:b/>
          <w:bCs/>
          <w:color w:val="auto"/>
          <w:highlight w:val="none"/>
        </w:rPr>
      </w:pPr>
      <w:bookmarkStart w:id="61" w:name="_Toc351203490"/>
      <w:r>
        <w:rPr>
          <w:rStyle w:val="39"/>
          <w:rFonts w:hint="eastAsia" w:ascii="Calibri" w:hAnsi="宋体" w:eastAsia="宋体" w:cs="宋体"/>
          <w:b/>
          <w:bCs/>
          <w:color w:val="auto"/>
          <w:highlight w:val="none"/>
        </w:rPr>
        <w:t>十、签订地点</w:t>
      </w:r>
      <w:bookmarkEnd w:id="61"/>
    </w:p>
    <w:p w14:paraId="1BF3188A">
      <w:pPr>
        <w:pStyle w:val="90"/>
        <w:spacing w:line="360" w:lineRule="auto"/>
        <w:ind w:firstLine="420" w:firstLineChars="200"/>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本合同在</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签订。</w:t>
      </w:r>
    </w:p>
    <w:p w14:paraId="778EB1C0">
      <w:pPr>
        <w:pStyle w:val="90"/>
        <w:spacing w:line="360" w:lineRule="auto"/>
        <w:ind w:firstLine="422" w:firstLineChars="200"/>
        <w:outlineLvl w:val="9"/>
        <w:rPr>
          <w:rStyle w:val="39"/>
          <w:rFonts w:ascii="Calibri" w:hAnsi="Calibri" w:eastAsia="宋体" w:cs="Times New Roman"/>
          <w:b/>
          <w:bCs/>
          <w:color w:val="auto"/>
          <w:highlight w:val="none"/>
        </w:rPr>
      </w:pPr>
      <w:bookmarkStart w:id="62" w:name="_Toc351203491"/>
      <w:r>
        <w:rPr>
          <w:rStyle w:val="39"/>
          <w:rFonts w:hint="eastAsia" w:ascii="Calibri" w:hAnsi="宋体" w:eastAsia="宋体" w:cs="宋体"/>
          <w:b/>
          <w:bCs/>
          <w:color w:val="auto"/>
          <w:highlight w:val="none"/>
        </w:rPr>
        <w:t>十一、补充协议</w:t>
      </w:r>
      <w:bookmarkEnd w:id="62"/>
    </w:p>
    <w:p w14:paraId="523BB867">
      <w:pPr>
        <w:pStyle w:val="90"/>
        <w:spacing w:line="360" w:lineRule="auto"/>
        <w:ind w:firstLine="420" w:firstLineChars="200"/>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合同未尽事宜，合同当事人另行签订补充协议，补充协议是合同的组成部分。</w:t>
      </w:r>
    </w:p>
    <w:p w14:paraId="7BEE8728">
      <w:pPr>
        <w:pStyle w:val="90"/>
        <w:spacing w:line="360" w:lineRule="auto"/>
        <w:ind w:firstLine="422" w:firstLineChars="200"/>
        <w:outlineLvl w:val="9"/>
        <w:rPr>
          <w:rStyle w:val="39"/>
          <w:rFonts w:ascii="Calibri" w:hAnsi="Calibri" w:eastAsia="宋体" w:cs="Times New Roman"/>
          <w:b/>
          <w:bCs/>
          <w:color w:val="auto"/>
          <w:highlight w:val="none"/>
        </w:rPr>
      </w:pPr>
      <w:bookmarkStart w:id="63" w:name="_Toc351203492"/>
      <w:r>
        <w:rPr>
          <w:rStyle w:val="39"/>
          <w:rFonts w:hint="eastAsia" w:ascii="Calibri" w:hAnsi="宋体" w:eastAsia="宋体" w:cs="宋体"/>
          <w:b/>
          <w:bCs/>
          <w:color w:val="auto"/>
          <w:highlight w:val="none"/>
        </w:rPr>
        <w:t>十二、合同生效</w:t>
      </w:r>
      <w:bookmarkEnd w:id="63"/>
    </w:p>
    <w:p w14:paraId="1618DB96">
      <w:pPr>
        <w:pStyle w:val="90"/>
        <w:spacing w:line="360" w:lineRule="auto"/>
        <w:ind w:firstLine="420" w:firstLineChars="200"/>
        <w:outlineLvl w:val="9"/>
        <w:rPr>
          <w:rStyle w:val="39"/>
          <w:rFonts w:ascii="Calibri" w:hAnsi="宋体" w:eastAsia="宋体" w:cs="Times New Roman"/>
          <w:color w:val="auto"/>
          <w:highlight w:val="none"/>
        </w:rPr>
      </w:pPr>
      <w:r>
        <w:rPr>
          <w:rStyle w:val="39"/>
          <w:rFonts w:hint="eastAsia" w:ascii="Calibri" w:hAnsi="宋体" w:eastAsia="宋体" w:cs="宋体"/>
          <w:color w:val="auto"/>
          <w:highlight w:val="none"/>
        </w:rPr>
        <w:t>本合同自</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生效。</w:t>
      </w:r>
    </w:p>
    <w:p w14:paraId="7DBD27CF">
      <w:pPr>
        <w:pStyle w:val="90"/>
        <w:spacing w:line="360" w:lineRule="auto"/>
        <w:ind w:firstLine="422" w:firstLineChars="200"/>
        <w:outlineLvl w:val="9"/>
        <w:rPr>
          <w:rStyle w:val="39"/>
          <w:rFonts w:ascii="Calibri" w:hAnsi="Calibri" w:eastAsia="宋体" w:cs="Times New Roman"/>
          <w:b/>
          <w:bCs/>
          <w:color w:val="auto"/>
          <w:highlight w:val="none"/>
        </w:rPr>
      </w:pPr>
      <w:bookmarkStart w:id="64" w:name="_Toc351203493"/>
      <w:r>
        <w:rPr>
          <w:rStyle w:val="39"/>
          <w:rFonts w:hint="eastAsia" w:ascii="Calibri" w:hAnsi="宋体" w:eastAsia="宋体" w:cs="宋体"/>
          <w:b/>
          <w:bCs/>
          <w:color w:val="auto"/>
          <w:highlight w:val="none"/>
        </w:rPr>
        <w:t>十三、合同份数</w:t>
      </w:r>
      <w:bookmarkEnd w:id="64"/>
    </w:p>
    <w:p w14:paraId="49FE93D9">
      <w:pPr>
        <w:pStyle w:val="90"/>
        <w:spacing w:line="360" w:lineRule="auto"/>
        <w:ind w:firstLine="420" w:firstLineChars="200"/>
        <w:outlineLvl w:val="9"/>
        <w:rPr>
          <w:rStyle w:val="39"/>
          <w:rFonts w:ascii="Calibri" w:hAnsi="Calibri" w:eastAsia="宋体" w:cs="Times New Roman"/>
          <w:color w:val="auto"/>
          <w:highlight w:val="none"/>
        </w:rPr>
      </w:pPr>
      <w:r>
        <w:rPr>
          <w:rStyle w:val="39"/>
          <w:rFonts w:hint="eastAsia" w:ascii="Calibri" w:hAnsi="宋体" w:eastAsia="宋体" w:cs="宋体"/>
          <w:color w:val="auto"/>
          <w:highlight w:val="none"/>
        </w:rPr>
        <w:t>本合同一式</w:t>
      </w:r>
      <w:r>
        <w:rPr>
          <w:rStyle w:val="39"/>
          <w:rFonts w:ascii="Calibri" w:hAnsi="Calibri" w:eastAsia="宋体" w:cs="Times New Roman"/>
          <w:color w:val="auto"/>
          <w:highlight w:val="none"/>
          <w:u w:val="single"/>
        </w:rPr>
        <w:t xml:space="preserve">  </w:t>
      </w:r>
      <w:r>
        <w:rPr>
          <w:rStyle w:val="39"/>
          <w:rFonts w:hint="eastAsia" w:eastAsia="宋体" w:cs="Times New Roman"/>
          <w:color w:val="auto"/>
          <w:highlight w:val="none"/>
          <w:u w:val="single"/>
          <w:lang w:val="en-US" w:eastAsia="zh-CN"/>
        </w:rPr>
        <w:t>伍</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份，均具有同等法律效力，发包人执</w:t>
      </w:r>
      <w:r>
        <w:rPr>
          <w:rStyle w:val="39"/>
          <w:rFonts w:ascii="Calibri" w:hAnsi="Calibri" w:eastAsia="宋体" w:cs="Times New Roman"/>
          <w:color w:val="auto"/>
          <w:highlight w:val="none"/>
          <w:u w:val="single"/>
        </w:rPr>
        <w:t xml:space="preserve">  </w:t>
      </w:r>
      <w:r>
        <w:rPr>
          <w:rStyle w:val="39"/>
          <w:rFonts w:hint="eastAsia" w:eastAsia="宋体" w:cs="Times New Roman"/>
          <w:color w:val="auto"/>
          <w:highlight w:val="none"/>
          <w:u w:val="single"/>
          <w:lang w:val="en-US" w:eastAsia="zh-CN"/>
        </w:rPr>
        <w:t>贰</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份，承包人执</w:t>
      </w:r>
      <w:r>
        <w:rPr>
          <w:rStyle w:val="39"/>
          <w:rFonts w:ascii="Calibri" w:hAnsi="Calibri" w:eastAsia="宋体" w:cs="Times New Roman"/>
          <w:color w:val="auto"/>
          <w:highlight w:val="none"/>
          <w:u w:val="single"/>
        </w:rPr>
        <w:t xml:space="preserve">  </w:t>
      </w:r>
      <w:r>
        <w:rPr>
          <w:rStyle w:val="39"/>
          <w:rFonts w:hint="eastAsia" w:eastAsia="宋体" w:cs="Times New Roman"/>
          <w:color w:val="auto"/>
          <w:highlight w:val="none"/>
          <w:u w:val="single"/>
          <w:lang w:val="en-US" w:eastAsia="zh-CN"/>
        </w:rPr>
        <w:t>贰</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份</w:t>
      </w:r>
      <w:r>
        <w:rPr>
          <w:rStyle w:val="39"/>
          <w:rFonts w:hint="eastAsia" w:hAnsi="宋体" w:eastAsia="宋体" w:cs="宋体"/>
          <w:color w:val="auto"/>
          <w:highlight w:val="none"/>
          <w:lang w:eastAsia="zh-CN"/>
        </w:rPr>
        <w:t>，</w:t>
      </w:r>
      <w:r>
        <w:rPr>
          <w:rStyle w:val="39"/>
          <w:rFonts w:hint="eastAsia" w:hAnsi="宋体" w:eastAsia="宋体" w:cs="宋体"/>
          <w:color w:val="auto"/>
          <w:highlight w:val="none"/>
          <w:lang w:val="en-US" w:eastAsia="zh-CN"/>
        </w:rPr>
        <w:t>采购代理机构</w:t>
      </w:r>
      <w:r>
        <w:rPr>
          <w:rStyle w:val="39"/>
          <w:rFonts w:hint="eastAsia" w:ascii="Calibri" w:hAnsi="宋体" w:eastAsia="宋体" w:cs="宋体"/>
          <w:color w:val="auto"/>
          <w:highlight w:val="none"/>
        </w:rPr>
        <w:t>执</w:t>
      </w:r>
      <w:r>
        <w:rPr>
          <w:rStyle w:val="39"/>
          <w:rFonts w:ascii="Calibri" w:hAnsi="Calibri" w:eastAsia="宋体" w:cs="Times New Roman"/>
          <w:color w:val="auto"/>
          <w:highlight w:val="none"/>
          <w:u w:val="single"/>
        </w:rPr>
        <w:t xml:space="preserve">  </w:t>
      </w:r>
      <w:r>
        <w:rPr>
          <w:rStyle w:val="39"/>
          <w:rFonts w:hint="eastAsia" w:eastAsia="宋体" w:cs="Times New Roman"/>
          <w:color w:val="auto"/>
          <w:highlight w:val="none"/>
          <w:u w:val="single"/>
          <w:lang w:val="en-US" w:eastAsia="zh-CN"/>
        </w:rPr>
        <w:t>壹</w:t>
      </w:r>
      <w:r>
        <w:rPr>
          <w:rStyle w:val="39"/>
          <w:rFonts w:ascii="Calibri" w:hAnsi="Calibri" w:eastAsia="宋体" w:cs="Times New Roman"/>
          <w:color w:val="auto"/>
          <w:highlight w:val="none"/>
          <w:u w:val="single"/>
        </w:rPr>
        <w:t xml:space="preserve">  </w:t>
      </w:r>
      <w:r>
        <w:rPr>
          <w:rStyle w:val="39"/>
          <w:rFonts w:hint="eastAsia" w:ascii="Calibri" w:hAnsi="宋体" w:eastAsia="宋体" w:cs="宋体"/>
          <w:color w:val="auto"/>
          <w:highlight w:val="none"/>
        </w:rPr>
        <w:t>份。</w:t>
      </w:r>
    </w:p>
    <w:p w14:paraId="59C7054E">
      <w:pPr>
        <w:pStyle w:val="90"/>
        <w:spacing w:line="360" w:lineRule="auto"/>
        <w:rPr>
          <w:rStyle w:val="39"/>
          <w:rFonts w:ascii="Calibri" w:hAnsi="Calibri" w:eastAsia="宋体" w:cs="Times New Roman"/>
          <w:color w:val="auto"/>
          <w:highlight w:val="none"/>
        </w:rPr>
      </w:pPr>
    </w:p>
    <w:p w14:paraId="597C1696">
      <w:pPr>
        <w:pStyle w:val="106"/>
        <w:rPr>
          <w:rStyle w:val="39"/>
          <w:rFonts w:ascii="Calibri" w:hAnsi="Calibri" w:eastAsia="宋体" w:cs="Times New Roman"/>
          <w:color w:val="auto"/>
          <w:highlight w:val="none"/>
        </w:rPr>
      </w:pPr>
    </w:p>
    <w:p w14:paraId="3EFD268E">
      <w:pPr>
        <w:pStyle w:val="106"/>
        <w:rPr>
          <w:rStyle w:val="39"/>
          <w:rFonts w:ascii="Calibri" w:hAnsi="Calibri" w:eastAsia="宋体" w:cs="Times New Roman"/>
          <w:color w:val="auto"/>
          <w:highlight w:val="none"/>
        </w:rPr>
      </w:pPr>
    </w:p>
    <w:p w14:paraId="5C6DB06F">
      <w:pPr>
        <w:pStyle w:val="90"/>
        <w:spacing w:line="360" w:lineRule="auto"/>
        <w:rPr>
          <w:rStyle w:val="39"/>
          <w:rFonts w:ascii="Calibri" w:hAnsi="Calibri" w:eastAsia="宋体" w:cs="Times New Roman"/>
          <w:color w:val="auto"/>
          <w:highlight w:val="none"/>
        </w:rPr>
      </w:pPr>
      <w:r>
        <w:rPr>
          <w:rStyle w:val="39"/>
          <w:rFonts w:hint="eastAsia" w:ascii="Calibri" w:hAnsi="宋体" w:eastAsia="宋体" w:cs="宋体"/>
          <w:color w:val="auto"/>
          <w:highlight w:val="none"/>
        </w:rPr>
        <w:t>发包人：</w:t>
      </w:r>
      <w:r>
        <w:rPr>
          <w:rStyle w:val="39"/>
          <w:rFonts w:hint="eastAsia" w:hAnsi="宋体" w:cs="宋体"/>
          <w:color w:val="auto"/>
          <w:highlight w:val="none"/>
          <w:lang w:eastAsia="zh-CN"/>
        </w:rPr>
        <w:t>北海市银海区三合口民族学校</w:t>
      </w:r>
      <w:r>
        <w:rPr>
          <w:rStyle w:val="39"/>
          <w:rFonts w:ascii="Calibri" w:hAnsi="Calibri" w:eastAsia="宋体" w:cs="Times New Roman"/>
          <w:color w:val="auto"/>
          <w:highlight w:val="none"/>
        </w:rPr>
        <w:t xml:space="preserve">  </w:t>
      </w:r>
      <w:r>
        <w:rPr>
          <w:rStyle w:val="39"/>
          <w:rFonts w:hint="eastAsia" w:ascii="Calibri" w:hAnsi="Calibri" w:eastAsia="宋体" w:cs="宋体"/>
          <w:color w:val="auto"/>
          <w:highlight w:val="none"/>
        </w:rPr>
        <w:t>（</w:t>
      </w:r>
      <w:r>
        <w:rPr>
          <w:rStyle w:val="39"/>
          <w:rFonts w:hint="eastAsia" w:ascii="Calibri" w:hAnsi="宋体" w:eastAsia="宋体" w:cs="宋体"/>
          <w:color w:val="auto"/>
          <w:highlight w:val="none"/>
        </w:rPr>
        <w:t>公章</w:t>
      </w:r>
      <w:r>
        <w:rPr>
          <w:rStyle w:val="39"/>
          <w:rFonts w:hint="eastAsia" w:ascii="Calibri" w:hAnsi="Calibri" w:eastAsia="宋体" w:cs="宋体"/>
          <w:color w:val="auto"/>
          <w:highlight w:val="none"/>
        </w:rPr>
        <w:t>）</w:t>
      </w:r>
      <w:r>
        <w:rPr>
          <w:rStyle w:val="39"/>
          <w:rFonts w:ascii="Calibri" w:hAnsi="Calibri" w:eastAsia="宋体" w:cs="Times New Roman"/>
          <w:color w:val="auto"/>
          <w:highlight w:val="none"/>
        </w:rPr>
        <w:t xml:space="preserve">   </w:t>
      </w:r>
      <w:r>
        <w:rPr>
          <w:rStyle w:val="39"/>
          <w:rFonts w:hint="eastAsia" w:cs="Times New Roman"/>
          <w:color w:val="auto"/>
          <w:highlight w:val="none"/>
          <w:lang w:val="en-US" w:eastAsia="zh-CN"/>
        </w:rPr>
        <w:t xml:space="preserve">  </w:t>
      </w:r>
      <w:r>
        <w:rPr>
          <w:rStyle w:val="39"/>
          <w:rFonts w:hint="eastAsia" w:ascii="Calibri" w:hAnsi="宋体" w:eastAsia="宋体" w:cs="宋体"/>
          <w:color w:val="auto"/>
          <w:highlight w:val="none"/>
        </w:rPr>
        <w:t>承包人：</w:t>
      </w:r>
      <w:r>
        <w:rPr>
          <w:rStyle w:val="39"/>
          <w:rFonts w:ascii="Calibri" w:hAnsi="Calibri" w:eastAsia="宋体" w:cs="Times New Roman"/>
          <w:color w:val="auto"/>
          <w:highlight w:val="none"/>
        </w:rPr>
        <w:t xml:space="preserve">  </w:t>
      </w:r>
      <w:r>
        <w:rPr>
          <w:rStyle w:val="39"/>
          <w:rFonts w:hint="eastAsia" w:ascii="Calibri" w:hAnsi="Calibri" w:eastAsia="宋体" w:cs="宋体"/>
          <w:color w:val="auto"/>
          <w:highlight w:val="none"/>
        </w:rPr>
        <w:t>（</w:t>
      </w:r>
      <w:r>
        <w:rPr>
          <w:rStyle w:val="39"/>
          <w:rFonts w:hint="eastAsia" w:ascii="Calibri" w:hAnsi="宋体" w:eastAsia="宋体" w:cs="宋体"/>
          <w:color w:val="auto"/>
          <w:highlight w:val="none"/>
        </w:rPr>
        <w:t>公章</w:t>
      </w:r>
      <w:r>
        <w:rPr>
          <w:rStyle w:val="39"/>
          <w:rFonts w:hint="eastAsia" w:ascii="Calibri" w:hAnsi="Calibri" w:eastAsia="宋体" w:cs="宋体"/>
          <w:color w:val="auto"/>
          <w:highlight w:val="none"/>
        </w:rPr>
        <w:t>）</w:t>
      </w:r>
    </w:p>
    <w:p w14:paraId="4B9D22E3">
      <w:pPr>
        <w:pStyle w:val="90"/>
        <w:spacing w:line="360" w:lineRule="auto"/>
        <w:rPr>
          <w:rStyle w:val="39"/>
          <w:rFonts w:ascii="Calibri" w:hAnsi="Calibri" w:eastAsia="宋体" w:cs="Times New Roman"/>
          <w:color w:val="auto"/>
          <w:highlight w:val="none"/>
          <w:u w:val="single"/>
        </w:rPr>
      </w:pPr>
      <w:r>
        <w:rPr>
          <w:rStyle w:val="39"/>
          <w:rFonts w:ascii="Calibri" w:hAnsi="Calibri" w:eastAsia="宋体" w:cs="Times New Roman"/>
          <w:color w:val="auto"/>
          <w:highlight w:val="none"/>
        </w:rPr>
        <w:t xml:space="preserve">                                 </w:t>
      </w:r>
    </w:p>
    <w:p w14:paraId="252FFBC1">
      <w:pPr>
        <w:pStyle w:val="90"/>
        <w:spacing w:line="360" w:lineRule="auto"/>
        <w:rPr>
          <w:rStyle w:val="39"/>
          <w:rFonts w:ascii="Calibri" w:hAnsi="Calibri" w:eastAsia="宋体" w:cs="Times New Roman"/>
          <w:color w:val="auto"/>
          <w:highlight w:val="none"/>
        </w:rPr>
      </w:pPr>
      <w:r>
        <w:rPr>
          <w:rStyle w:val="39"/>
          <w:rFonts w:hint="eastAsia" w:ascii="Calibri" w:hAnsi="宋体" w:eastAsia="宋体" w:cs="宋体"/>
          <w:color w:val="auto"/>
          <w:highlight w:val="none"/>
        </w:rPr>
        <w:t>法定代表人或其委托代理人：</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法定代表人或其委托代理人：</w:t>
      </w:r>
    </w:p>
    <w:p w14:paraId="73F0C452">
      <w:pPr>
        <w:pStyle w:val="90"/>
        <w:spacing w:line="360" w:lineRule="auto"/>
        <w:rPr>
          <w:rStyle w:val="39"/>
          <w:rFonts w:ascii="Calibri" w:hAnsi="Calibri" w:eastAsia="宋体" w:cs="Times New Roman"/>
          <w:color w:val="auto"/>
          <w:highlight w:val="none"/>
        </w:rPr>
      </w:pPr>
      <w:r>
        <w:rPr>
          <w:rStyle w:val="39"/>
          <w:rFonts w:hint="eastAsia" w:ascii="Calibri" w:hAnsi="宋体" w:eastAsia="宋体" w:cs="宋体"/>
          <w:color w:val="auto"/>
          <w:highlight w:val="none"/>
        </w:rPr>
        <w:t>（签字）</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（签字）</w:t>
      </w:r>
    </w:p>
    <w:p w14:paraId="64F43DFC">
      <w:pPr>
        <w:pStyle w:val="90"/>
        <w:spacing w:line="360" w:lineRule="auto"/>
        <w:rPr>
          <w:rStyle w:val="39"/>
          <w:rFonts w:ascii="Calibri" w:hAnsi="Calibri" w:eastAsia="宋体" w:cs="Times New Roman"/>
          <w:color w:val="auto"/>
          <w:highlight w:val="none"/>
          <w:u w:val="single"/>
        </w:rPr>
      </w:pPr>
    </w:p>
    <w:p w14:paraId="4805F850">
      <w:pPr>
        <w:pStyle w:val="90"/>
        <w:tabs>
          <w:tab w:val="left" w:pos="4410"/>
        </w:tabs>
        <w:spacing w:line="360" w:lineRule="auto"/>
        <w:rPr>
          <w:rStyle w:val="39"/>
          <w:rFonts w:ascii="Calibri" w:hAnsi="Calibri" w:eastAsia="宋体" w:cs="Times New Roman"/>
          <w:color w:val="auto"/>
          <w:highlight w:val="none"/>
        </w:rPr>
      </w:pPr>
      <w:r>
        <w:rPr>
          <w:rStyle w:val="39"/>
          <w:rFonts w:hint="eastAsia" w:ascii="Calibri" w:hAnsi="宋体" w:eastAsia="宋体" w:cs="宋体"/>
          <w:color w:val="auto"/>
          <w:highlight w:val="none"/>
        </w:rPr>
        <w:t>统一社会信用代码：</w:t>
      </w:r>
      <w:r>
        <w:rPr>
          <w:rStyle w:val="39"/>
          <w:rFonts w:hint="eastAsia" w:hAnsi="宋体" w:eastAsia="宋体" w:cs="宋体"/>
          <w:color w:val="auto"/>
          <w:highlight w:val="none"/>
          <w:u w:val="single"/>
          <w:lang w:val="en-US" w:eastAsia="zh-CN"/>
        </w:rPr>
        <w:t xml:space="preserve"> </w:t>
      </w:r>
      <w:r>
        <w:rPr>
          <w:rStyle w:val="39"/>
          <w:rFonts w:hint="eastAsia" w:hAnsi="宋体" w:cs="宋体"/>
          <w:color w:val="auto"/>
          <w:highlight w:val="none"/>
          <w:u w:val="single"/>
          <w:lang w:val="en-US" w:eastAsia="zh-CN"/>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r>
        <w:rPr>
          <w:rStyle w:val="39"/>
          <w:rFonts w:hint="eastAsia" w:cs="Times New Roman"/>
          <w:color w:val="auto"/>
          <w:highlight w:val="none"/>
          <w:lang w:val="en-US" w:eastAsia="zh-CN"/>
        </w:rPr>
        <w:t xml:space="preserve">           </w:t>
      </w:r>
      <w:r>
        <w:rPr>
          <w:rStyle w:val="39"/>
          <w:rFonts w:hint="eastAsia" w:ascii="Calibri" w:hAnsi="Calibri" w:eastAsia="宋体" w:cs="宋体"/>
          <w:color w:val="auto"/>
          <w:highlight w:val="none"/>
        </w:rPr>
        <w:t>统一</w:t>
      </w:r>
      <w:r>
        <w:rPr>
          <w:rStyle w:val="39"/>
          <w:rFonts w:hint="eastAsia" w:ascii="Calibri" w:hAnsi="宋体" w:eastAsia="宋体" w:cs="宋体"/>
          <w:color w:val="auto"/>
          <w:highlight w:val="none"/>
        </w:rPr>
        <w:t>社会信用代码：</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p>
    <w:p w14:paraId="5938D36A">
      <w:pPr>
        <w:pStyle w:val="90"/>
        <w:spacing w:line="360" w:lineRule="auto"/>
        <w:rPr>
          <w:rStyle w:val="39"/>
          <w:rFonts w:ascii="Calibri" w:hAnsi="Calibri" w:eastAsia="宋体" w:cs="Times New Roman"/>
          <w:color w:val="auto"/>
          <w:highlight w:val="none"/>
        </w:rPr>
      </w:pPr>
      <w:r>
        <w:rPr>
          <w:rStyle w:val="39"/>
          <w:rFonts w:hint="eastAsia" w:ascii="Calibri" w:hAnsi="宋体" w:eastAsia="宋体" w:cs="宋体"/>
          <w:color w:val="auto"/>
          <w:highlight w:val="none"/>
        </w:rPr>
        <w:t>地</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址：</w:t>
      </w:r>
      <w:r>
        <w:rPr>
          <w:rStyle w:val="39"/>
          <w:rFonts w:hint="eastAsia" w:ascii="Calibri" w:hAnsi="Calibri" w:eastAsia="宋体" w:cs="Times New Roman"/>
          <w:color w:val="auto"/>
          <w:highlight w:val="none"/>
          <w:u w:val="single"/>
        </w:rPr>
        <w:t xml:space="preserve"> </w:t>
      </w:r>
      <w:r>
        <w:rPr>
          <w:rStyle w:val="39"/>
          <w:rFonts w:hint="eastAsia" w:cs="Times New Roman"/>
          <w:color w:val="auto"/>
          <w:highlight w:val="none"/>
          <w:u w:val="single"/>
          <w:lang w:val="en-US" w:eastAsia="zh-CN"/>
        </w:rPr>
        <w:t xml:space="preserve">                   </w:t>
      </w:r>
      <w:r>
        <w:rPr>
          <w:rStyle w:val="39"/>
          <w:rFonts w:ascii="Calibri" w:hAnsi="Calibri" w:eastAsia="宋体" w:cs="Times New Roman"/>
          <w:color w:val="auto"/>
          <w:highlight w:val="none"/>
        </w:rPr>
        <w:t xml:space="preserve"> </w:t>
      </w:r>
      <w:r>
        <w:rPr>
          <w:rStyle w:val="39"/>
          <w:rFonts w:hint="eastAsia" w:cs="Times New Roman"/>
          <w:color w:val="auto"/>
          <w:highlight w:val="none"/>
          <w:lang w:val="en-US" w:eastAsia="zh-CN"/>
        </w:rPr>
        <w:t xml:space="preserve"> </w:t>
      </w:r>
      <w:r>
        <w:rPr>
          <w:rStyle w:val="39"/>
          <w:rFonts w:ascii="Calibri" w:hAnsi="Calibri" w:eastAsia="宋体" w:cs="Times New Roman"/>
          <w:color w:val="auto"/>
          <w:highlight w:val="none"/>
        </w:rPr>
        <w:t xml:space="preserve"> </w:t>
      </w:r>
      <w:r>
        <w:rPr>
          <w:rStyle w:val="39"/>
          <w:rFonts w:hint="eastAsia" w:eastAsia="宋体" w:cs="Times New Roman"/>
          <w:color w:val="auto"/>
          <w:highlight w:val="none"/>
          <w:lang w:val="en-US" w:eastAsia="zh-CN"/>
        </w:rPr>
        <w:t xml:space="preserve">  </w:t>
      </w:r>
      <w:r>
        <w:rPr>
          <w:rStyle w:val="39"/>
          <w:rFonts w:hint="eastAsia" w:cs="Times New Roman"/>
          <w:color w:val="auto"/>
          <w:highlight w:val="none"/>
          <w:lang w:val="en-US" w:eastAsia="zh-CN"/>
        </w:rPr>
        <w:t xml:space="preserve">              </w:t>
      </w:r>
      <w:r>
        <w:rPr>
          <w:rStyle w:val="39"/>
          <w:rFonts w:hint="eastAsia" w:ascii="Calibri" w:hAnsi="宋体" w:eastAsia="宋体" w:cs="宋体"/>
          <w:color w:val="auto"/>
          <w:highlight w:val="none"/>
        </w:rPr>
        <w:t>地</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址：</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p>
    <w:p w14:paraId="1ED592E0">
      <w:pPr>
        <w:pStyle w:val="90"/>
        <w:spacing w:line="360" w:lineRule="auto"/>
        <w:rPr>
          <w:rStyle w:val="39"/>
          <w:rFonts w:ascii="Calibri" w:hAnsi="Calibri" w:eastAsia="宋体" w:cs="Times New Roman"/>
          <w:color w:val="auto"/>
          <w:highlight w:val="none"/>
        </w:rPr>
      </w:pPr>
      <w:r>
        <w:rPr>
          <w:rStyle w:val="39"/>
          <w:rFonts w:hint="eastAsia" w:ascii="Calibri" w:hAnsi="宋体" w:eastAsia="宋体" w:cs="宋体"/>
          <w:color w:val="auto"/>
          <w:highlight w:val="none"/>
        </w:rPr>
        <w:t>邮政编码：</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r>
        <w:rPr>
          <w:rStyle w:val="39"/>
          <w:rFonts w:hint="eastAsia" w:ascii="Calibri" w:hAnsi="Calibri" w:eastAsia="宋体" w:cs="Times New Roman"/>
          <w:color w:val="auto"/>
          <w:highlight w:val="none"/>
        </w:rPr>
        <w:t xml:space="preserve"> </w:t>
      </w:r>
      <w:r>
        <w:rPr>
          <w:rStyle w:val="39"/>
          <w:rFonts w:hint="eastAsia" w:ascii="Calibri" w:hAnsi="宋体" w:eastAsia="宋体" w:cs="宋体"/>
          <w:color w:val="auto"/>
          <w:highlight w:val="none"/>
        </w:rPr>
        <w:t>邮政编码：</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u w:val="single"/>
        </w:rPr>
        <w:t xml:space="preserve"> </w:t>
      </w:r>
    </w:p>
    <w:p w14:paraId="4D7E3CC7">
      <w:pPr>
        <w:pStyle w:val="90"/>
        <w:spacing w:line="360" w:lineRule="auto"/>
        <w:rPr>
          <w:rStyle w:val="39"/>
          <w:rFonts w:ascii="Calibri" w:hAnsi="Calibri" w:eastAsia="宋体" w:cs="Times New Roman"/>
          <w:color w:val="auto"/>
          <w:highlight w:val="none"/>
        </w:rPr>
      </w:pPr>
      <w:r>
        <w:rPr>
          <w:rStyle w:val="39"/>
          <w:rFonts w:hint="eastAsia" w:ascii="Calibri" w:hAnsi="宋体" w:eastAsia="宋体" w:cs="宋体"/>
          <w:color w:val="auto"/>
          <w:highlight w:val="none"/>
        </w:rPr>
        <w:t>法定代表人：</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法定代表人：</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u w:val="single"/>
        </w:rPr>
        <w:t xml:space="preserve"> </w:t>
      </w:r>
    </w:p>
    <w:p w14:paraId="46CA8BD5">
      <w:pPr>
        <w:pStyle w:val="90"/>
        <w:spacing w:line="360" w:lineRule="auto"/>
        <w:rPr>
          <w:rStyle w:val="39"/>
          <w:rFonts w:ascii="Calibri" w:hAnsi="Calibri" w:eastAsia="宋体" w:cs="Times New Roman"/>
          <w:color w:val="auto"/>
          <w:highlight w:val="none"/>
        </w:rPr>
      </w:pPr>
      <w:r>
        <w:rPr>
          <w:rStyle w:val="39"/>
          <w:rFonts w:hint="eastAsia" w:ascii="Calibri" w:hAnsi="宋体" w:eastAsia="宋体" w:cs="宋体"/>
          <w:color w:val="auto"/>
          <w:highlight w:val="none"/>
        </w:rPr>
        <w:t>委托代理人：</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委托代理人：</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u w:val="single"/>
        </w:rPr>
        <w:t xml:space="preserve">  </w:t>
      </w:r>
    </w:p>
    <w:p w14:paraId="0F3FD177">
      <w:pPr>
        <w:pStyle w:val="90"/>
        <w:spacing w:line="360" w:lineRule="auto"/>
        <w:rPr>
          <w:rStyle w:val="39"/>
          <w:rFonts w:ascii="Calibri" w:hAnsi="Calibri" w:eastAsia="宋体" w:cs="Times New Roman"/>
          <w:color w:val="auto"/>
          <w:highlight w:val="none"/>
        </w:rPr>
      </w:pPr>
      <w:r>
        <w:rPr>
          <w:rStyle w:val="39"/>
          <w:rFonts w:hint="eastAsia" w:ascii="Calibri" w:hAnsi="宋体" w:eastAsia="宋体" w:cs="宋体"/>
          <w:color w:val="auto"/>
          <w:highlight w:val="none"/>
        </w:rPr>
        <w:t>电</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话：</w:t>
      </w:r>
      <w:r>
        <w:rPr>
          <w:rStyle w:val="39"/>
          <w:rFonts w:ascii="Calibri" w:hAnsi="Calibri" w:eastAsia="宋体" w:cs="Times New Roman"/>
          <w:color w:val="auto"/>
          <w:highlight w:val="none"/>
          <w:u w:val="single"/>
        </w:rPr>
        <w:t xml:space="preserve"> </w:t>
      </w:r>
      <w:r>
        <w:rPr>
          <w:rStyle w:val="39"/>
          <w:rFonts w:hint="eastAsia" w:eastAsia="宋体" w:cs="Times New Roman"/>
          <w:color w:val="auto"/>
          <w:highlight w:val="none"/>
          <w:u w:val="single"/>
          <w:lang w:val="en-US" w:eastAsia="zh-CN"/>
        </w:rPr>
        <w:t xml:space="preserve">  </w:t>
      </w:r>
      <w:r>
        <w:rPr>
          <w:rStyle w:val="39"/>
          <w:rFonts w:ascii="Calibri" w:hAnsi="Calibri" w:eastAsia="宋体" w:cs="Times New Roman"/>
          <w:color w:val="auto"/>
          <w:highlight w:val="none"/>
          <w:u w:val="single"/>
        </w:rPr>
        <w:t xml:space="preserve"> </w:t>
      </w:r>
      <w:r>
        <w:rPr>
          <w:rStyle w:val="39"/>
          <w:rFonts w:hint="eastAsia" w:cs="Times New Roman"/>
          <w:color w:val="auto"/>
          <w:highlight w:val="none"/>
          <w:u w:val="single"/>
          <w:lang w:val="en-US" w:eastAsia="zh-CN"/>
        </w:rPr>
        <w:t xml:space="preserve">           </w:t>
      </w:r>
      <w:r>
        <w:rPr>
          <w:rStyle w:val="39"/>
          <w:rFonts w:hint="eastAsia" w:ascii="Calibri" w:hAnsi="Calibri" w:eastAsia="宋体" w:cs="Times New Roman"/>
          <w:color w:val="auto"/>
          <w:highlight w:val="none"/>
          <w:u w:val="single"/>
        </w:rPr>
        <w:t xml:space="preserve"> </w:t>
      </w:r>
      <w:r>
        <w:rPr>
          <w:rStyle w:val="39"/>
          <w:rFonts w:hint="eastAsia" w:eastAsia="宋体" w:cs="Times New Roman"/>
          <w:color w:val="auto"/>
          <w:highlight w:val="none"/>
          <w:u w:val="single"/>
          <w:lang w:val="en-US" w:eastAsia="zh-CN"/>
        </w:rPr>
        <w:t xml:space="preserve">    </w:t>
      </w:r>
      <w:r>
        <w:rPr>
          <w:rStyle w:val="39"/>
          <w:rFonts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r>
        <w:rPr>
          <w:rStyle w:val="39"/>
          <w:rFonts w:hint="eastAsia" w:eastAsia="宋体" w:cs="Times New Roman"/>
          <w:color w:val="auto"/>
          <w:highlight w:val="none"/>
          <w:lang w:val="en-US" w:eastAsia="zh-CN"/>
        </w:rPr>
        <w:t xml:space="preserve">  </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电</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话：</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u w:val="single"/>
        </w:rPr>
        <w:t xml:space="preserve"> </w:t>
      </w:r>
    </w:p>
    <w:p w14:paraId="6B8755BA">
      <w:pPr>
        <w:pStyle w:val="90"/>
        <w:spacing w:line="360" w:lineRule="auto"/>
        <w:rPr>
          <w:rStyle w:val="39"/>
          <w:rFonts w:ascii="Calibri" w:hAnsi="Calibri" w:eastAsia="宋体" w:cs="Times New Roman"/>
          <w:color w:val="auto"/>
          <w:highlight w:val="none"/>
        </w:rPr>
      </w:pPr>
      <w:r>
        <w:rPr>
          <w:rStyle w:val="39"/>
          <w:rFonts w:hint="eastAsia" w:ascii="Calibri" w:hAnsi="宋体" w:eastAsia="宋体" w:cs="宋体"/>
          <w:color w:val="auto"/>
          <w:highlight w:val="none"/>
        </w:rPr>
        <w:t>传</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真：</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传</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真：</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u w:val="single"/>
        </w:rPr>
        <w:t xml:space="preserve"> </w:t>
      </w:r>
    </w:p>
    <w:p w14:paraId="049F15D6">
      <w:pPr>
        <w:pStyle w:val="90"/>
        <w:spacing w:line="360" w:lineRule="auto"/>
        <w:rPr>
          <w:rStyle w:val="39"/>
          <w:rFonts w:ascii="Calibri" w:hAnsi="Calibri" w:eastAsia="宋体" w:cs="Times New Roman"/>
          <w:color w:val="auto"/>
          <w:highlight w:val="none"/>
        </w:rPr>
      </w:pPr>
      <w:r>
        <w:rPr>
          <w:rStyle w:val="39"/>
          <w:rFonts w:hint="eastAsia" w:ascii="Calibri" w:hAnsi="宋体" w:eastAsia="宋体" w:cs="宋体"/>
          <w:color w:val="auto"/>
          <w:highlight w:val="none"/>
        </w:rPr>
        <w:t>电子信箱：</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电子信箱：</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p>
    <w:p w14:paraId="7E5F4B93">
      <w:pPr>
        <w:pStyle w:val="90"/>
        <w:spacing w:line="360" w:lineRule="auto"/>
        <w:rPr>
          <w:rStyle w:val="39"/>
          <w:rFonts w:ascii="Calibri" w:hAnsi="Calibri" w:eastAsia="宋体" w:cs="Times New Roman"/>
          <w:color w:val="auto"/>
          <w:highlight w:val="none"/>
        </w:rPr>
      </w:pPr>
      <w:r>
        <w:rPr>
          <w:rStyle w:val="39"/>
          <w:rFonts w:hint="eastAsia" w:ascii="Calibri" w:hAnsi="宋体" w:eastAsia="宋体" w:cs="宋体"/>
          <w:color w:val="auto"/>
          <w:highlight w:val="none"/>
        </w:rPr>
        <w:t>开户银行：</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开户银行：</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u w:val="single"/>
        </w:rPr>
        <w:t xml:space="preserve"> </w:t>
      </w:r>
    </w:p>
    <w:p w14:paraId="008C7CE4">
      <w:pPr>
        <w:pStyle w:val="90"/>
        <w:widowControl/>
        <w:jc w:val="left"/>
        <w:rPr>
          <w:rStyle w:val="39"/>
          <w:rFonts w:ascii="Times New Roman" w:hAnsi="Times New Roman" w:eastAsia="宋体" w:cs="Times New Roman"/>
          <w:color w:val="auto"/>
          <w:szCs w:val="21"/>
          <w:highlight w:val="none"/>
          <w:u w:val="single"/>
        </w:rPr>
      </w:pPr>
      <w:r>
        <w:rPr>
          <w:rStyle w:val="39"/>
          <w:rFonts w:hint="eastAsia" w:ascii="Calibri" w:hAnsi="宋体" w:eastAsia="宋体" w:cs="宋体"/>
          <w:color w:val="auto"/>
          <w:highlight w:val="none"/>
        </w:rPr>
        <w:t>账</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号：</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账</w:t>
      </w:r>
      <w:r>
        <w:rPr>
          <w:rStyle w:val="39"/>
          <w:rFonts w:ascii="Calibri" w:hAnsi="Calibri" w:eastAsia="宋体" w:cs="Times New Roman"/>
          <w:color w:val="auto"/>
          <w:highlight w:val="none"/>
        </w:rPr>
        <w:t xml:space="preserve">  </w:t>
      </w:r>
      <w:r>
        <w:rPr>
          <w:rStyle w:val="39"/>
          <w:rFonts w:hint="eastAsia" w:ascii="Calibri" w:hAnsi="宋体" w:eastAsia="宋体" w:cs="宋体"/>
          <w:color w:val="auto"/>
          <w:highlight w:val="none"/>
        </w:rPr>
        <w:t>号：</w:t>
      </w:r>
      <w:r>
        <w:rPr>
          <w:rStyle w:val="39"/>
          <w:rFonts w:ascii="Calibri" w:hAnsi="Calibri" w:eastAsia="宋体" w:cs="Times New Roman"/>
          <w:color w:val="auto"/>
          <w:highlight w:val="none"/>
          <w:u w:val="single"/>
        </w:rPr>
        <w:t xml:space="preserve">    </w:t>
      </w:r>
      <w:r>
        <w:rPr>
          <w:rStyle w:val="39"/>
          <w:rFonts w:hint="eastAsia" w:ascii="Calibri" w:hAnsi="Calibri" w:eastAsia="宋体" w:cs="Times New Roman"/>
          <w:color w:val="auto"/>
          <w:highlight w:val="none"/>
          <w:u w:val="single"/>
        </w:rPr>
        <w:t xml:space="preserve">                      </w:t>
      </w:r>
      <w:r>
        <w:rPr>
          <w:rStyle w:val="39"/>
          <w:rFonts w:ascii="Calibri" w:hAnsi="Calibri" w:eastAsia="宋体" w:cs="Times New Roman"/>
          <w:color w:val="auto"/>
          <w:highlight w:val="none"/>
          <w:u w:val="single"/>
        </w:rPr>
        <w:t xml:space="preserve"> </w:t>
      </w:r>
    </w:p>
    <w:p w14:paraId="481CD175">
      <w:pPr>
        <w:rPr>
          <w:rFonts w:hint="eastAsia"/>
          <w:color w:val="auto"/>
          <w:sz w:val="20"/>
          <w:highlight w:val="none"/>
        </w:rPr>
      </w:pPr>
      <w:r>
        <w:rPr>
          <w:rFonts w:hint="eastAsia"/>
          <w:color w:val="auto"/>
          <w:sz w:val="20"/>
          <w:highlight w:val="none"/>
        </w:rPr>
        <w:t xml:space="preserve"> </w:t>
      </w:r>
      <w:bookmarkEnd w:id="51"/>
    </w:p>
    <w:p w14:paraId="131EAD7D">
      <w:pPr>
        <w:widowControl/>
        <w:jc w:val="left"/>
        <w:rPr>
          <w:color w:val="auto"/>
          <w:highlight w:val="none"/>
          <w:u w:val="single"/>
        </w:rPr>
      </w:pPr>
      <w:r>
        <w:rPr>
          <w:color w:val="auto"/>
          <w:highlight w:val="none"/>
        </w:rPr>
        <w:br w:type="page"/>
      </w:r>
    </w:p>
    <w:p w14:paraId="4E5F4683">
      <w:pPr>
        <w:pStyle w:val="3"/>
        <w:jc w:val="center"/>
        <w:outlineLvl w:val="1"/>
        <w:rPr>
          <w:rFonts w:hint="eastAsia" w:ascii="宋体" w:hAnsi="宋体" w:eastAsia="宋体" w:cs="宋体"/>
          <w:color w:val="auto"/>
          <w:highlight w:val="none"/>
        </w:rPr>
      </w:pPr>
      <w:bookmarkStart w:id="65" w:name="_Toc83895639"/>
      <w:bookmarkStart w:id="66" w:name="_Toc256000128"/>
      <w:bookmarkStart w:id="67" w:name="_Toc389065256"/>
      <w:bookmarkStart w:id="68" w:name="_Toc20267"/>
      <w:bookmarkStart w:id="69" w:name="_Toc407135192"/>
      <w:bookmarkStart w:id="70" w:name="_Toc373478338"/>
      <w:bookmarkStart w:id="71" w:name="_Toc373227691"/>
      <w:bookmarkStart w:id="72" w:name="_Toc351203632"/>
      <w:r>
        <w:rPr>
          <w:rFonts w:hint="eastAsia" w:ascii="宋体" w:hAnsi="宋体" w:eastAsia="宋体" w:cs="宋体"/>
          <w:color w:val="auto"/>
          <w:sz w:val="28"/>
          <w:szCs w:val="28"/>
          <w:highlight w:val="none"/>
        </w:rPr>
        <w:t>第二部分 通用合同条款</w:t>
      </w:r>
      <w:bookmarkEnd w:id="65"/>
      <w:bookmarkEnd w:id="66"/>
      <w:bookmarkEnd w:id="67"/>
      <w:bookmarkEnd w:id="68"/>
      <w:bookmarkEnd w:id="69"/>
    </w:p>
    <w:p w14:paraId="74CBB986">
      <w:pPr>
        <w:rPr>
          <w:rFonts w:hint="eastAsia"/>
          <w:color w:val="auto"/>
          <w:highlight w:val="none"/>
        </w:rPr>
      </w:pPr>
      <w:bookmarkStart w:id="73" w:name="_Toc407135193"/>
      <w:bookmarkStart w:id="74" w:name="_Toc256000129"/>
      <w:bookmarkStart w:id="75" w:name="_Toc389065257"/>
      <w:bookmarkStart w:id="76" w:name="_Toc83895640"/>
      <w:r>
        <w:rPr>
          <w:rFonts w:hint="eastAsia"/>
          <w:color w:val="auto"/>
          <w:highlight w:val="none"/>
        </w:rPr>
        <w:br w:type="page"/>
      </w:r>
    </w:p>
    <w:p w14:paraId="235AA19D">
      <w:pPr>
        <w:pStyle w:val="3"/>
        <w:keepNext w:val="0"/>
        <w:keepLines w:val="0"/>
        <w:jc w:val="center"/>
        <w:outlineLvl w:val="1"/>
        <w:rPr>
          <w:rFonts w:hAnsi="宋体"/>
          <w:color w:val="auto"/>
          <w:sz w:val="30"/>
          <w:szCs w:val="30"/>
          <w:highlight w:val="none"/>
        </w:rPr>
      </w:pPr>
      <w:bookmarkStart w:id="77" w:name="_Toc14322"/>
      <w:r>
        <w:rPr>
          <w:rFonts w:hint="eastAsia" w:ascii="宋体" w:hAnsi="宋体" w:eastAsia="宋体" w:cs="宋体"/>
          <w:color w:val="auto"/>
          <w:sz w:val="28"/>
          <w:szCs w:val="28"/>
          <w:highlight w:val="none"/>
        </w:rPr>
        <w:t>第三部分 专用合同条款</w:t>
      </w:r>
      <w:bookmarkEnd w:id="70"/>
      <w:bookmarkEnd w:id="71"/>
      <w:bookmarkEnd w:id="72"/>
      <w:bookmarkEnd w:id="73"/>
      <w:bookmarkEnd w:id="74"/>
      <w:bookmarkEnd w:id="75"/>
      <w:bookmarkEnd w:id="76"/>
      <w:bookmarkEnd w:id="77"/>
    </w:p>
    <w:p w14:paraId="22338440">
      <w:pPr>
        <w:spacing w:line="360" w:lineRule="auto"/>
        <w:jc w:val="center"/>
        <w:rPr>
          <w:rFonts w:hint="eastAsia" w:ascii="宋体" w:hAnsi="宋体" w:eastAsia="宋体" w:cs="宋体"/>
          <w:b/>
          <w:bCs/>
          <w:color w:val="auto"/>
          <w:kern w:val="0"/>
          <w:sz w:val="21"/>
          <w:szCs w:val="21"/>
          <w:highlight w:val="none"/>
        </w:rPr>
      </w:pPr>
    </w:p>
    <w:p w14:paraId="5D6C8ED9">
      <w:pPr>
        <w:outlineLvl w:val="9"/>
        <w:rPr>
          <w:rFonts w:hint="eastAsia" w:ascii="宋体" w:hAnsi="宋体" w:eastAsia="宋体" w:cs="宋体"/>
          <w:color w:val="auto"/>
          <w:sz w:val="21"/>
          <w:szCs w:val="21"/>
          <w:highlight w:val="none"/>
        </w:rPr>
      </w:pPr>
      <w:bookmarkStart w:id="78" w:name="_Toc389065258"/>
      <w:bookmarkStart w:id="79" w:name="_Toc6043"/>
      <w:bookmarkStart w:id="80" w:name="_Toc1516097295"/>
      <w:bookmarkStart w:id="81" w:name="_Toc373478339"/>
      <w:bookmarkStart w:id="82" w:name="_Toc373227692"/>
      <w:bookmarkStart w:id="83" w:name="_Toc1013968286"/>
      <w:bookmarkStart w:id="84" w:name="_Toc351203633"/>
      <w:bookmarkStart w:id="85" w:name="_Toc407135194"/>
      <w:bookmarkStart w:id="86" w:name="_Toc78449780"/>
      <w:r>
        <w:rPr>
          <w:rFonts w:hint="eastAsia" w:ascii="宋体" w:hAnsi="宋体" w:eastAsia="宋体" w:cs="宋体"/>
          <w:color w:val="auto"/>
          <w:sz w:val="21"/>
          <w:szCs w:val="21"/>
          <w:highlight w:val="none"/>
        </w:rPr>
        <w:t>1</w:t>
      </w:r>
      <w:bookmarkStart w:id="87" w:name="_Toc296347155"/>
      <w:bookmarkStart w:id="88" w:name="_Toc296503156"/>
      <w:bookmarkStart w:id="89" w:name="_Toc297120456"/>
      <w:bookmarkStart w:id="90" w:name="_Toc292559361"/>
      <w:bookmarkStart w:id="91" w:name="_Toc296944495"/>
      <w:bookmarkStart w:id="92" w:name="_Toc296891196"/>
      <w:bookmarkStart w:id="93" w:name="_Toc296890984"/>
      <w:bookmarkStart w:id="94" w:name="_Toc297048342"/>
      <w:bookmarkStart w:id="95" w:name="_Toc296346657"/>
      <w:bookmarkStart w:id="96" w:name="_Toc292559866"/>
      <w:r>
        <w:rPr>
          <w:rFonts w:hint="eastAsia" w:ascii="宋体" w:hAnsi="宋体" w:eastAsia="宋体" w:cs="宋体"/>
          <w:color w:val="auto"/>
          <w:sz w:val="21"/>
          <w:szCs w:val="21"/>
          <w:highlight w:val="none"/>
        </w:rPr>
        <w:t>. 一般约定</w:t>
      </w:r>
      <w:bookmarkEnd w:id="78"/>
      <w:bookmarkEnd w:id="79"/>
      <w:bookmarkEnd w:id="80"/>
      <w:bookmarkEnd w:id="81"/>
      <w:bookmarkEnd w:id="82"/>
      <w:bookmarkEnd w:id="83"/>
      <w:bookmarkEnd w:id="84"/>
      <w:bookmarkEnd w:id="85"/>
      <w:bookmarkEnd w:id="86"/>
    </w:p>
    <w:bookmarkEnd w:id="87"/>
    <w:bookmarkEnd w:id="88"/>
    <w:bookmarkEnd w:id="89"/>
    <w:bookmarkEnd w:id="90"/>
    <w:bookmarkEnd w:id="91"/>
    <w:bookmarkEnd w:id="92"/>
    <w:bookmarkEnd w:id="93"/>
    <w:bookmarkEnd w:id="94"/>
    <w:bookmarkEnd w:id="95"/>
    <w:bookmarkEnd w:id="96"/>
    <w:p w14:paraId="275444A0">
      <w:pPr>
        <w:outlineLvl w:val="9"/>
        <w:rPr>
          <w:rFonts w:hint="eastAsia" w:ascii="宋体" w:hAnsi="宋体" w:eastAsia="宋体" w:cs="宋体"/>
          <w:color w:val="auto"/>
          <w:sz w:val="21"/>
          <w:szCs w:val="21"/>
          <w:highlight w:val="none"/>
        </w:rPr>
      </w:pPr>
      <w:bookmarkStart w:id="97" w:name="_Toc1618220701"/>
      <w:bookmarkStart w:id="98" w:name="_Toc389065259"/>
      <w:bookmarkStart w:id="99" w:name="_Toc3303"/>
      <w:bookmarkStart w:id="100" w:name="_Toc407135195"/>
      <w:bookmarkStart w:id="101" w:name="_Toc155697041"/>
      <w:bookmarkStart w:id="102" w:name="_Toc78449781"/>
      <w:bookmarkStart w:id="103" w:name="_Toc373478340"/>
      <w:bookmarkStart w:id="104" w:name="_Toc373227693"/>
      <w:r>
        <w:rPr>
          <w:rFonts w:hint="eastAsia" w:ascii="宋体" w:hAnsi="宋体" w:eastAsia="宋体" w:cs="宋体"/>
          <w:color w:val="auto"/>
          <w:sz w:val="21"/>
          <w:szCs w:val="21"/>
          <w:highlight w:val="none"/>
        </w:rPr>
        <w:t>1.1 词语定义</w:t>
      </w:r>
      <w:bookmarkEnd w:id="97"/>
      <w:bookmarkEnd w:id="98"/>
      <w:bookmarkEnd w:id="99"/>
      <w:bookmarkEnd w:id="100"/>
      <w:bookmarkEnd w:id="101"/>
      <w:bookmarkEnd w:id="102"/>
      <w:bookmarkEnd w:id="103"/>
      <w:bookmarkEnd w:id="104"/>
    </w:p>
    <w:p w14:paraId="32F8CC06">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 合同</w:t>
      </w:r>
    </w:p>
    <w:p w14:paraId="5AAC9102">
      <w:pPr>
        <w:spacing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1.1.1.10 其他合同文件包括：</w:t>
      </w:r>
      <w:r>
        <w:rPr>
          <w:rFonts w:hint="eastAsia" w:ascii="宋体" w:hAnsi="宋体" w:eastAsia="宋体" w:cs="宋体"/>
          <w:color w:val="auto"/>
          <w:sz w:val="21"/>
          <w:szCs w:val="21"/>
          <w:highlight w:val="none"/>
          <w:u w:val="single"/>
        </w:rPr>
        <w:t xml:space="preserve"> 本合同协议书，成交通知书，采购文件及其附件，本合同专用条款，本合同通用条款，标准、规范及有关技术文件，图纸，工程报价单或预算书 </w:t>
      </w:r>
      <w:r>
        <w:rPr>
          <w:rFonts w:hint="eastAsia" w:ascii="宋体" w:hAnsi="宋体" w:eastAsia="宋体" w:cs="宋体"/>
          <w:color w:val="auto"/>
          <w:sz w:val="21"/>
          <w:szCs w:val="21"/>
          <w:highlight w:val="none"/>
        </w:rPr>
        <w:t>。</w:t>
      </w:r>
    </w:p>
    <w:p w14:paraId="533FE34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 合同当事人及其他相关方</w:t>
      </w:r>
    </w:p>
    <w:p w14:paraId="51B7C26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1.1.2.4 监理人：</w:t>
      </w:r>
    </w:p>
    <w:p w14:paraId="4D5E0E4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C3C9469">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C2143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16384B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B58B6C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6F415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1.1.2.5 设计人：</w:t>
      </w:r>
    </w:p>
    <w:p w14:paraId="6482EF5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1D935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资质类别和等级：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366EE9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039E19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79723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ABF7F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7C65B51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1.1.3.7 作为施工现场组成部分的其他场所包括：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F9C6E0C">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1.1.3.9 永久占地包括：</w:t>
      </w:r>
      <w:r>
        <w:rPr>
          <w:rFonts w:hint="eastAsia" w:ascii="宋体" w:hAnsi="宋体" w:eastAsia="宋体" w:cs="宋体"/>
          <w:color w:val="auto"/>
          <w:sz w:val="21"/>
          <w:szCs w:val="21"/>
          <w:highlight w:val="none"/>
          <w:u w:val="single"/>
        </w:rPr>
        <w:t xml:space="preserve">  施工红线范围内的所有用地   </w:t>
      </w:r>
      <w:r>
        <w:rPr>
          <w:rFonts w:hint="eastAsia" w:ascii="宋体" w:hAnsi="宋体" w:eastAsia="宋体" w:cs="宋体"/>
          <w:color w:val="auto"/>
          <w:kern w:val="0"/>
          <w:sz w:val="21"/>
          <w:szCs w:val="21"/>
          <w:highlight w:val="none"/>
        </w:rPr>
        <w:t>。</w:t>
      </w:r>
    </w:p>
    <w:p w14:paraId="04D19E5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1.1.3.10 临时占地包括：</w:t>
      </w:r>
      <w:r>
        <w:rPr>
          <w:rFonts w:hint="eastAsia" w:ascii="宋体" w:hAnsi="宋体" w:eastAsia="宋体" w:cs="宋体"/>
          <w:color w:val="auto"/>
          <w:sz w:val="21"/>
          <w:szCs w:val="21"/>
          <w:highlight w:val="none"/>
          <w:u w:val="single"/>
        </w:rPr>
        <w:t xml:space="preserve">  建设过程中的所有临时用地 </w:t>
      </w:r>
      <w:r>
        <w:rPr>
          <w:rFonts w:hint="eastAsia" w:ascii="宋体" w:hAnsi="宋体" w:eastAsia="宋体" w:cs="宋体"/>
          <w:color w:val="auto"/>
          <w:kern w:val="0"/>
          <w:sz w:val="21"/>
          <w:szCs w:val="21"/>
          <w:highlight w:val="none"/>
        </w:rPr>
        <w:t>。</w:t>
      </w:r>
    </w:p>
    <w:p w14:paraId="20B4AEE3">
      <w:pPr>
        <w:outlineLvl w:val="9"/>
        <w:rPr>
          <w:rFonts w:hint="eastAsia" w:ascii="宋体" w:hAnsi="宋体" w:eastAsia="宋体" w:cs="宋体"/>
          <w:color w:val="auto"/>
          <w:sz w:val="21"/>
          <w:szCs w:val="21"/>
          <w:highlight w:val="none"/>
        </w:rPr>
      </w:pPr>
      <w:bookmarkStart w:id="105" w:name="_Toc1162259329"/>
      <w:bookmarkStart w:id="106" w:name="_Toc407135196"/>
      <w:bookmarkStart w:id="107" w:name="_Toc373478341"/>
      <w:bookmarkStart w:id="108" w:name="_Toc373227694"/>
      <w:bookmarkStart w:id="109" w:name="_Toc78449782"/>
      <w:bookmarkStart w:id="110" w:name="_Toc11023"/>
      <w:bookmarkStart w:id="111" w:name="_Toc389065260"/>
      <w:bookmarkStart w:id="112" w:name="_Toc1182598796"/>
      <w:r>
        <w:rPr>
          <w:rFonts w:hint="eastAsia" w:ascii="宋体" w:hAnsi="宋体" w:eastAsia="宋体" w:cs="宋体"/>
          <w:color w:val="auto"/>
          <w:sz w:val="21"/>
          <w:szCs w:val="21"/>
          <w:highlight w:val="none"/>
        </w:rPr>
        <w:t>1.3 法律</w:t>
      </w:r>
      <w:bookmarkEnd w:id="105"/>
      <w:bookmarkEnd w:id="106"/>
      <w:bookmarkEnd w:id="107"/>
      <w:bookmarkEnd w:id="108"/>
      <w:bookmarkEnd w:id="109"/>
      <w:bookmarkEnd w:id="110"/>
      <w:bookmarkEnd w:id="111"/>
      <w:bookmarkEnd w:id="112"/>
    </w:p>
    <w:p w14:paraId="39434108">
      <w:pPr>
        <w:autoSpaceDE w:val="0"/>
        <w:autoSpaceDN w:val="0"/>
        <w:adjustRightInd w:val="0"/>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发包人对工程的相关管理规定和文件  </w:t>
      </w:r>
      <w:r>
        <w:rPr>
          <w:rFonts w:hint="eastAsia" w:ascii="宋体" w:hAnsi="宋体" w:eastAsia="宋体" w:cs="宋体"/>
          <w:color w:val="auto"/>
          <w:sz w:val="21"/>
          <w:szCs w:val="21"/>
          <w:highlight w:val="none"/>
        </w:rPr>
        <w:t>。</w:t>
      </w:r>
    </w:p>
    <w:p w14:paraId="52548CDC">
      <w:pPr>
        <w:outlineLvl w:val="9"/>
        <w:rPr>
          <w:rFonts w:hint="eastAsia" w:ascii="宋体" w:hAnsi="宋体" w:eastAsia="宋体" w:cs="宋体"/>
          <w:color w:val="auto"/>
          <w:sz w:val="21"/>
          <w:szCs w:val="21"/>
          <w:highlight w:val="none"/>
        </w:rPr>
      </w:pPr>
      <w:bookmarkStart w:id="113" w:name="_Toc1569433547"/>
      <w:bookmarkStart w:id="114" w:name="_Toc373227695"/>
      <w:bookmarkStart w:id="115" w:name="_Toc78449783"/>
      <w:bookmarkStart w:id="116" w:name="_Toc1694357896"/>
      <w:bookmarkStart w:id="117" w:name="_Toc389065261"/>
      <w:bookmarkStart w:id="118" w:name="_Toc407135197"/>
      <w:bookmarkStart w:id="119" w:name="_Toc373478342"/>
      <w:bookmarkStart w:id="120" w:name="_Toc2337"/>
      <w:r>
        <w:rPr>
          <w:rFonts w:hint="eastAsia" w:ascii="宋体" w:hAnsi="宋体" w:eastAsia="宋体" w:cs="宋体"/>
          <w:color w:val="auto"/>
          <w:sz w:val="21"/>
          <w:szCs w:val="21"/>
          <w:highlight w:val="none"/>
        </w:rPr>
        <w:t>1.4 标准和规范</w:t>
      </w:r>
      <w:bookmarkEnd w:id="113"/>
      <w:bookmarkEnd w:id="114"/>
      <w:bookmarkEnd w:id="115"/>
      <w:bookmarkEnd w:id="116"/>
      <w:bookmarkEnd w:id="117"/>
      <w:bookmarkEnd w:id="118"/>
      <w:bookmarkEnd w:id="119"/>
      <w:bookmarkEnd w:id="120"/>
    </w:p>
    <w:p w14:paraId="15AE86D7">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z w:val="21"/>
          <w:szCs w:val="21"/>
          <w:highlight w:val="none"/>
          <w:u w:val="single"/>
        </w:rPr>
        <w:t xml:space="preserve">  国家和广西区、北海市有关建设工程的相关规范、标准和要求  </w:t>
      </w:r>
      <w:r>
        <w:rPr>
          <w:rFonts w:hint="eastAsia" w:ascii="宋体" w:hAnsi="宋体" w:eastAsia="宋体" w:cs="宋体"/>
          <w:color w:val="auto"/>
          <w:sz w:val="21"/>
          <w:szCs w:val="21"/>
          <w:highlight w:val="none"/>
        </w:rPr>
        <w:t>。</w:t>
      </w:r>
    </w:p>
    <w:p w14:paraId="5F1E98BB">
      <w:pPr>
        <w:spacing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9ACBF5">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Style w:val="39"/>
          <w:rFonts w:hint="eastAsia" w:ascii="宋体" w:hAnsi="宋体" w:eastAsia="宋体" w:cs="宋体"/>
          <w:color w:val="auto"/>
          <w:sz w:val="21"/>
          <w:szCs w:val="21"/>
          <w:highlight w:val="none"/>
          <w:u w:val="single"/>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67CDE88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Style w:val="39"/>
          <w:rFonts w:hint="eastAsia" w:ascii="宋体" w:hAnsi="宋体" w:eastAsia="宋体" w:cs="宋体"/>
          <w:color w:val="auto"/>
          <w:sz w:val="21"/>
          <w:szCs w:val="21"/>
          <w:highlight w:val="none"/>
          <w:u w:val="single"/>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29E2FB0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满足本工程的安全生产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F810EED">
      <w:pPr>
        <w:outlineLvl w:val="9"/>
        <w:rPr>
          <w:rFonts w:hint="eastAsia" w:ascii="宋体" w:hAnsi="宋体" w:eastAsia="宋体" w:cs="宋体"/>
          <w:color w:val="auto"/>
          <w:sz w:val="21"/>
          <w:szCs w:val="21"/>
          <w:highlight w:val="none"/>
        </w:rPr>
      </w:pPr>
      <w:bookmarkStart w:id="121" w:name="_Toc24431861"/>
      <w:bookmarkStart w:id="122" w:name="_Toc389065262"/>
      <w:bookmarkStart w:id="123" w:name="_Toc407135198"/>
      <w:bookmarkStart w:id="124" w:name="_Toc188277238"/>
      <w:bookmarkStart w:id="125" w:name="_Toc27967"/>
      <w:bookmarkStart w:id="126" w:name="_Toc373227696"/>
      <w:bookmarkStart w:id="127" w:name="_Toc78449784"/>
      <w:bookmarkStart w:id="128" w:name="_Toc373478343"/>
      <w:r>
        <w:rPr>
          <w:rFonts w:hint="eastAsia" w:ascii="宋体" w:hAnsi="宋体" w:eastAsia="宋体" w:cs="宋体"/>
          <w:color w:val="auto"/>
          <w:sz w:val="21"/>
          <w:szCs w:val="21"/>
          <w:highlight w:val="none"/>
        </w:rPr>
        <w:t>1.5 合同文件的优先顺序</w:t>
      </w:r>
      <w:bookmarkEnd w:id="121"/>
      <w:bookmarkEnd w:id="122"/>
      <w:bookmarkEnd w:id="123"/>
      <w:bookmarkEnd w:id="124"/>
      <w:bookmarkEnd w:id="125"/>
      <w:bookmarkEnd w:id="126"/>
      <w:bookmarkEnd w:id="127"/>
      <w:bookmarkEnd w:id="128"/>
    </w:p>
    <w:p w14:paraId="360F7259">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合同文件组成及优先顺序为：</w:t>
      </w:r>
    </w:p>
    <w:p w14:paraId="09FA2D9D">
      <w:pPr>
        <w:pStyle w:val="90"/>
        <w:autoSpaceDE w:val="0"/>
        <w:autoSpaceDN w:val="0"/>
        <w:adjustRightInd w:val="0"/>
        <w:spacing w:line="360" w:lineRule="auto"/>
        <w:ind w:firstLine="420" w:firstLineChars="200"/>
        <w:jc w:val="left"/>
        <w:outlineLvl w:val="9"/>
        <w:rPr>
          <w:rStyle w:val="39"/>
          <w:rFonts w:hint="eastAsia" w:ascii="宋体" w:hAnsi="宋体" w:eastAsia="宋体" w:cs="宋体"/>
          <w:color w:val="auto"/>
          <w:sz w:val="21"/>
          <w:szCs w:val="21"/>
          <w:highlight w:val="none"/>
          <w:lang w:val="en-US" w:eastAsia="zh-CN"/>
        </w:rPr>
      </w:pPr>
      <w:r>
        <w:rPr>
          <w:rStyle w:val="39"/>
          <w:rFonts w:hint="eastAsia" w:ascii="宋体" w:hAnsi="宋体" w:eastAsia="宋体" w:cs="宋体"/>
          <w:color w:val="auto"/>
          <w:sz w:val="21"/>
          <w:szCs w:val="21"/>
          <w:highlight w:val="none"/>
          <w:lang w:eastAsia="zh-CN"/>
        </w:rPr>
        <w:t>（</w:t>
      </w:r>
      <w:r>
        <w:rPr>
          <w:rStyle w:val="39"/>
          <w:rFonts w:hint="eastAsia" w:ascii="宋体" w:hAnsi="宋体" w:eastAsia="宋体" w:cs="宋体"/>
          <w:color w:val="auto"/>
          <w:sz w:val="21"/>
          <w:szCs w:val="21"/>
          <w:highlight w:val="none"/>
          <w:lang w:val="en-US" w:eastAsia="zh-CN"/>
        </w:rPr>
        <w:t>1</w:t>
      </w:r>
      <w:r>
        <w:rPr>
          <w:rStyle w:val="39"/>
          <w:rFonts w:hint="eastAsia" w:ascii="宋体" w:hAnsi="宋体" w:eastAsia="宋体" w:cs="宋体"/>
          <w:color w:val="auto"/>
          <w:sz w:val="21"/>
          <w:szCs w:val="21"/>
          <w:highlight w:val="none"/>
          <w:lang w:eastAsia="zh-CN"/>
        </w:rPr>
        <w:t>）</w:t>
      </w:r>
      <w:r>
        <w:rPr>
          <w:rStyle w:val="39"/>
          <w:rFonts w:hint="eastAsia" w:ascii="宋体" w:hAnsi="宋体" w:eastAsia="宋体" w:cs="宋体"/>
          <w:color w:val="auto"/>
          <w:sz w:val="21"/>
          <w:szCs w:val="21"/>
          <w:highlight w:val="none"/>
          <w:lang w:val="en-US" w:eastAsia="zh-CN"/>
        </w:rPr>
        <w:t>合同协议书；</w:t>
      </w:r>
    </w:p>
    <w:p w14:paraId="4AE864AE">
      <w:pPr>
        <w:pStyle w:val="90"/>
        <w:autoSpaceDE w:val="0"/>
        <w:autoSpaceDN w:val="0"/>
        <w:adjustRightInd w:val="0"/>
        <w:spacing w:line="360" w:lineRule="auto"/>
        <w:ind w:firstLine="420" w:firstLineChars="200"/>
        <w:jc w:val="left"/>
        <w:outlineLvl w:val="9"/>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w:t>
      </w:r>
      <w:r>
        <w:rPr>
          <w:rStyle w:val="39"/>
          <w:rFonts w:hint="eastAsia" w:ascii="宋体" w:hAnsi="宋体" w:eastAsia="宋体" w:cs="宋体"/>
          <w:color w:val="auto"/>
          <w:sz w:val="21"/>
          <w:szCs w:val="21"/>
          <w:highlight w:val="none"/>
          <w:lang w:val="en-US" w:eastAsia="zh-CN"/>
        </w:rPr>
        <w:t>2</w:t>
      </w:r>
      <w:r>
        <w:rPr>
          <w:rStyle w:val="39"/>
          <w:rFonts w:hint="eastAsia" w:ascii="宋体" w:hAnsi="宋体" w:eastAsia="宋体" w:cs="宋体"/>
          <w:color w:val="auto"/>
          <w:sz w:val="21"/>
          <w:szCs w:val="21"/>
          <w:highlight w:val="none"/>
        </w:rPr>
        <w:t>）</w:t>
      </w:r>
      <w:r>
        <w:rPr>
          <w:rStyle w:val="39"/>
          <w:rFonts w:hint="eastAsia" w:ascii="宋体" w:hAnsi="宋体" w:eastAsia="宋体" w:cs="宋体"/>
          <w:color w:val="auto"/>
          <w:sz w:val="21"/>
          <w:szCs w:val="21"/>
          <w:highlight w:val="none"/>
          <w:lang w:val="en-US" w:eastAsia="zh-CN"/>
        </w:rPr>
        <w:t>成交通知书</w:t>
      </w:r>
      <w:r>
        <w:rPr>
          <w:rStyle w:val="39"/>
          <w:rFonts w:hint="eastAsia" w:ascii="宋体" w:hAnsi="宋体" w:eastAsia="宋体" w:cs="宋体"/>
          <w:color w:val="auto"/>
          <w:sz w:val="21"/>
          <w:szCs w:val="21"/>
          <w:highlight w:val="none"/>
        </w:rPr>
        <w:t>；</w:t>
      </w:r>
    </w:p>
    <w:p w14:paraId="7E619581">
      <w:pPr>
        <w:pStyle w:val="90"/>
        <w:autoSpaceDE w:val="0"/>
        <w:autoSpaceDN w:val="0"/>
        <w:adjustRightInd w:val="0"/>
        <w:spacing w:line="360" w:lineRule="auto"/>
        <w:ind w:firstLine="420" w:firstLineChars="200"/>
        <w:jc w:val="left"/>
        <w:outlineLvl w:val="9"/>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w:t>
      </w:r>
      <w:r>
        <w:rPr>
          <w:rStyle w:val="39"/>
          <w:rFonts w:hint="eastAsia" w:ascii="宋体" w:hAnsi="宋体" w:eastAsia="宋体" w:cs="宋体"/>
          <w:color w:val="auto"/>
          <w:sz w:val="21"/>
          <w:szCs w:val="21"/>
          <w:highlight w:val="none"/>
          <w:lang w:val="en-US" w:eastAsia="zh-CN"/>
        </w:rPr>
        <w:t>3</w:t>
      </w:r>
      <w:r>
        <w:rPr>
          <w:rStyle w:val="39"/>
          <w:rFonts w:hint="eastAsia" w:ascii="宋体" w:hAnsi="宋体" w:eastAsia="宋体" w:cs="宋体"/>
          <w:color w:val="auto"/>
          <w:sz w:val="21"/>
          <w:szCs w:val="21"/>
          <w:highlight w:val="none"/>
        </w:rPr>
        <w:t>）</w:t>
      </w:r>
      <w:r>
        <w:rPr>
          <w:rStyle w:val="39"/>
          <w:rFonts w:hint="eastAsia" w:ascii="宋体" w:hAnsi="宋体" w:cs="宋体"/>
          <w:color w:val="auto"/>
          <w:sz w:val="21"/>
          <w:szCs w:val="21"/>
          <w:highlight w:val="none"/>
          <w:lang w:val="en-US" w:eastAsia="zh-CN"/>
        </w:rPr>
        <w:t>竞标函及竞标函附录</w:t>
      </w:r>
      <w:r>
        <w:rPr>
          <w:rStyle w:val="39"/>
          <w:rFonts w:hint="eastAsia" w:ascii="宋体" w:hAnsi="宋体" w:eastAsia="宋体" w:cs="宋体"/>
          <w:color w:val="auto"/>
          <w:sz w:val="21"/>
          <w:szCs w:val="21"/>
          <w:highlight w:val="none"/>
        </w:rPr>
        <w:t xml:space="preserve">； </w:t>
      </w:r>
    </w:p>
    <w:p w14:paraId="76799004">
      <w:pPr>
        <w:pStyle w:val="90"/>
        <w:autoSpaceDE w:val="0"/>
        <w:autoSpaceDN w:val="0"/>
        <w:adjustRightInd w:val="0"/>
        <w:spacing w:line="360" w:lineRule="auto"/>
        <w:ind w:firstLine="420" w:firstLineChars="200"/>
        <w:jc w:val="left"/>
        <w:outlineLvl w:val="9"/>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w:t>
      </w:r>
      <w:r>
        <w:rPr>
          <w:rStyle w:val="39"/>
          <w:rFonts w:hint="eastAsia" w:ascii="宋体" w:hAnsi="宋体" w:eastAsia="宋体" w:cs="宋体"/>
          <w:color w:val="auto"/>
          <w:sz w:val="21"/>
          <w:szCs w:val="21"/>
          <w:highlight w:val="none"/>
          <w:lang w:val="en-US" w:eastAsia="zh-CN"/>
        </w:rPr>
        <w:t>4</w:t>
      </w:r>
      <w:r>
        <w:rPr>
          <w:rStyle w:val="39"/>
          <w:rFonts w:hint="eastAsia" w:ascii="宋体" w:hAnsi="宋体" w:eastAsia="宋体" w:cs="宋体"/>
          <w:color w:val="auto"/>
          <w:sz w:val="21"/>
          <w:szCs w:val="21"/>
          <w:highlight w:val="none"/>
        </w:rPr>
        <w:t>）专用合同条款及其附件；</w:t>
      </w:r>
    </w:p>
    <w:p w14:paraId="16DE49CC">
      <w:pPr>
        <w:pStyle w:val="90"/>
        <w:autoSpaceDE w:val="0"/>
        <w:autoSpaceDN w:val="0"/>
        <w:adjustRightInd w:val="0"/>
        <w:spacing w:line="360" w:lineRule="auto"/>
        <w:ind w:firstLine="420" w:firstLineChars="200"/>
        <w:jc w:val="left"/>
        <w:outlineLvl w:val="9"/>
        <w:rPr>
          <w:rStyle w:val="39"/>
          <w:rFonts w:hint="eastAsia" w:ascii="宋体" w:hAnsi="宋体" w:eastAsia="宋体" w:cs="宋体"/>
          <w:color w:val="auto"/>
          <w:sz w:val="21"/>
          <w:szCs w:val="21"/>
          <w:highlight w:val="none"/>
          <w:u w:val="none"/>
        </w:rPr>
      </w:pPr>
      <w:r>
        <w:rPr>
          <w:rStyle w:val="39"/>
          <w:rFonts w:hint="eastAsia" w:ascii="宋体" w:hAnsi="宋体" w:eastAsia="宋体" w:cs="宋体"/>
          <w:color w:val="auto"/>
          <w:sz w:val="21"/>
          <w:szCs w:val="21"/>
          <w:highlight w:val="none"/>
        </w:rPr>
        <w:t>（</w:t>
      </w:r>
      <w:r>
        <w:rPr>
          <w:rStyle w:val="39"/>
          <w:rFonts w:hint="eastAsia" w:ascii="宋体" w:hAnsi="宋体" w:eastAsia="宋体" w:cs="宋体"/>
          <w:color w:val="auto"/>
          <w:sz w:val="21"/>
          <w:szCs w:val="21"/>
          <w:highlight w:val="none"/>
          <w:u w:val="none"/>
          <w:lang w:val="en-US" w:eastAsia="zh-CN"/>
        </w:rPr>
        <w:t>5</w:t>
      </w:r>
      <w:r>
        <w:rPr>
          <w:rStyle w:val="39"/>
          <w:rFonts w:hint="eastAsia" w:ascii="宋体" w:hAnsi="宋体" w:eastAsia="宋体" w:cs="宋体"/>
          <w:color w:val="auto"/>
          <w:sz w:val="21"/>
          <w:szCs w:val="21"/>
          <w:highlight w:val="none"/>
          <w:u w:val="none"/>
        </w:rPr>
        <w:t>）通用合同条款；</w:t>
      </w:r>
    </w:p>
    <w:p w14:paraId="0A3262AF">
      <w:pPr>
        <w:pStyle w:val="90"/>
        <w:autoSpaceDE w:val="0"/>
        <w:autoSpaceDN w:val="0"/>
        <w:adjustRightInd w:val="0"/>
        <w:spacing w:line="360" w:lineRule="auto"/>
        <w:ind w:firstLine="420" w:firstLineChars="200"/>
        <w:jc w:val="left"/>
        <w:outlineLvl w:val="9"/>
        <w:rPr>
          <w:rStyle w:val="39"/>
          <w:rFonts w:hint="eastAsia" w:ascii="宋体" w:hAnsi="宋体" w:eastAsia="宋体" w:cs="宋体"/>
          <w:color w:val="auto"/>
          <w:sz w:val="21"/>
          <w:szCs w:val="21"/>
          <w:highlight w:val="none"/>
          <w:u w:val="none"/>
        </w:rPr>
      </w:pPr>
      <w:r>
        <w:rPr>
          <w:rStyle w:val="39"/>
          <w:rFonts w:hint="eastAsia" w:ascii="宋体" w:hAnsi="宋体" w:eastAsia="宋体" w:cs="宋体"/>
          <w:color w:val="auto"/>
          <w:sz w:val="21"/>
          <w:szCs w:val="21"/>
          <w:highlight w:val="none"/>
          <w:u w:val="none"/>
        </w:rPr>
        <w:t>（</w:t>
      </w:r>
      <w:r>
        <w:rPr>
          <w:rStyle w:val="39"/>
          <w:rFonts w:hint="eastAsia" w:ascii="宋体" w:hAnsi="宋体" w:eastAsia="宋体" w:cs="宋体"/>
          <w:color w:val="auto"/>
          <w:sz w:val="21"/>
          <w:szCs w:val="21"/>
          <w:highlight w:val="none"/>
          <w:u w:val="none"/>
          <w:lang w:val="en-US" w:eastAsia="zh-CN"/>
        </w:rPr>
        <w:t>6</w:t>
      </w:r>
      <w:r>
        <w:rPr>
          <w:rStyle w:val="39"/>
          <w:rFonts w:hint="eastAsia" w:ascii="宋体" w:hAnsi="宋体" w:eastAsia="宋体" w:cs="宋体"/>
          <w:color w:val="auto"/>
          <w:sz w:val="21"/>
          <w:szCs w:val="21"/>
          <w:highlight w:val="none"/>
          <w:u w:val="none"/>
        </w:rPr>
        <w:t>）标准、规范及有关技术文件；</w:t>
      </w:r>
    </w:p>
    <w:p w14:paraId="1179D5A0">
      <w:pPr>
        <w:pStyle w:val="90"/>
        <w:autoSpaceDE w:val="0"/>
        <w:autoSpaceDN w:val="0"/>
        <w:adjustRightInd w:val="0"/>
        <w:spacing w:line="360" w:lineRule="auto"/>
        <w:ind w:firstLine="420" w:firstLineChars="200"/>
        <w:jc w:val="left"/>
        <w:outlineLvl w:val="9"/>
        <w:rPr>
          <w:rStyle w:val="39"/>
          <w:rFonts w:hint="eastAsia" w:ascii="宋体" w:hAnsi="宋体" w:eastAsia="宋体" w:cs="宋体"/>
          <w:color w:val="auto"/>
          <w:sz w:val="21"/>
          <w:szCs w:val="21"/>
          <w:highlight w:val="none"/>
          <w:u w:val="none"/>
        </w:rPr>
      </w:pPr>
      <w:r>
        <w:rPr>
          <w:rStyle w:val="39"/>
          <w:rFonts w:hint="eastAsia" w:ascii="宋体" w:hAnsi="宋体" w:eastAsia="宋体" w:cs="宋体"/>
          <w:color w:val="auto"/>
          <w:sz w:val="21"/>
          <w:szCs w:val="21"/>
          <w:highlight w:val="none"/>
          <w:u w:val="none"/>
        </w:rPr>
        <w:t>（</w:t>
      </w:r>
      <w:r>
        <w:rPr>
          <w:rStyle w:val="39"/>
          <w:rFonts w:hint="eastAsia" w:ascii="宋体" w:hAnsi="宋体" w:eastAsia="宋体" w:cs="宋体"/>
          <w:color w:val="auto"/>
          <w:sz w:val="21"/>
          <w:szCs w:val="21"/>
          <w:highlight w:val="none"/>
          <w:u w:val="none"/>
          <w:lang w:val="en-US" w:eastAsia="zh-CN"/>
        </w:rPr>
        <w:t>7</w:t>
      </w:r>
      <w:r>
        <w:rPr>
          <w:rStyle w:val="39"/>
          <w:rFonts w:hint="eastAsia" w:ascii="宋体" w:hAnsi="宋体" w:eastAsia="宋体" w:cs="宋体"/>
          <w:color w:val="auto"/>
          <w:sz w:val="21"/>
          <w:szCs w:val="21"/>
          <w:highlight w:val="none"/>
          <w:u w:val="none"/>
        </w:rPr>
        <w:t>）图纸；</w:t>
      </w:r>
    </w:p>
    <w:p w14:paraId="43AF94DE">
      <w:pPr>
        <w:pStyle w:val="90"/>
        <w:autoSpaceDE w:val="0"/>
        <w:autoSpaceDN w:val="0"/>
        <w:adjustRightInd w:val="0"/>
        <w:spacing w:line="360" w:lineRule="auto"/>
        <w:ind w:firstLine="420" w:firstLineChars="200"/>
        <w:jc w:val="left"/>
        <w:outlineLvl w:val="9"/>
        <w:rPr>
          <w:rStyle w:val="39"/>
          <w:rFonts w:hint="eastAsia" w:ascii="宋体" w:hAnsi="宋体" w:eastAsia="宋体" w:cs="宋体"/>
          <w:color w:val="auto"/>
          <w:sz w:val="21"/>
          <w:szCs w:val="21"/>
          <w:highlight w:val="none"/>
          <w:u w:val="none"/>
          <w:lang w:eastAsia="zh-CN"/>
        </w:rPr>
      </w:pPr>
      <w:r>
        <w:rPr>
          <w:rStyle w:val="39"/>
          <w:rFonts w:hint="eastAsia" w:ascii="宋体" w:hAnsi="宋体" w:eastAsia="宋体" w:cs="宋体"/>
          <w:color w:val="auto"/>
          <w:sz w:val="21"/>
          <w:szCs w:val="21"/>
          <w:highlight w:val="none"/>
          <w:u w:val="none"/>
          <w:lang w:eastAsia="zh-CN"/>
        </w:rPr>
        <w:t>（</w:t>
      </w:r>
      <w:r>
        <w:rPr>
          <w:rStyle w:val="39"/>
          <w:rFonts w:hint="eastAsia" w:ascii="宋体" w:hAnsi="宋体" w:eastAsia="宋体" w:cs="宋体"/>
          <w:color w:val="auto"/>
          <w:sz w:val="21"/>
          <w:szCs w:val="21"/>
          <w:highlight w:val="none"/>
          <w:u w:val="none"/>
          <w:lang w:val="en-US" w:eastAsia="zh-CN"/>
        </w:rPr>
        <w:t>8</w:t>
      </w:r>
      <w:r>
        <w:rPr>
          <w:rStyle w:val="39"/>
          <w:rFonts w:hint="eastAsia" w:ascii="宋体" w:hAnsi="宋体" w:eastAsia="宋体" w:cs="宋体"/>
          <w:color w:val="auto"/>
          <w:sz w:val="21"/>
          <w:szCs w:val="21"/>
          <w:highlight w:val="none"/>
          <w:u w:val="none"/>
          <w:lang w:eastAsia="zh-CN"/>
        </w:rPr>
        <w:t>）</w:t>
      </w:r>
      <w:r>
        <w:rPr>
          <w:rStyle w:val="39"/>
          <w:rFonts w:hint="eastAsia" w:ascii="宋体" w:hAnsi="宋体" w:eastAsia="宋体" w:cs="宋体"/>
          <w:color w:val="auto"/>
          <w:sz w:val="21"/>
          <w:szCs w:val="21"/>
          <w:highlight w:val="none"/>
          <w:u w:val="none"/>
        </w:rPr>
        <w:t>已标价工程量清单</w:t>
      </w:r>
      <w:r>
        <w:rPr>
          <w:rStyle w:val="39"/>
          <w:rFonts w:hint="eastAsia" w:ascii="宋体" w:hAnsi="宋体" w:eastAsia="宋体" w:cs="宋体"/>
          <w:color w:val="auto"/>
          <w:sz w:val="21"/>
          <w:szCs w:val="21"/>
          <w:highlight w:val="none"/>
          <w:u w:val="none"/>
          <w:lang w:eastAsia="zh-CN"/>
        </w:rPr>
        <w:t>；</w:t>
      </w:r>
      <w:r>
        <w:rPr>
          <w:rStyle w:val="39"/>
          <w:rFonts w:hint="eastAsia" w:ascii="宋体" w:hAnsi="宋体" w:eastAsia="宋体" w:cs="宋体"/>
          <w:color w:val="auto"/>
          <w:sz w:val="21"/>
          <w:szCs w:val="21"/>
          <w:highlight w:val="none"/>
          <w:u w:val="none"/>
        </w:rPr>
        <w:t xml:space="preserve"> </w:t>
      </w:r>
    </w:p>
    <w:p w14:paraId="0E9AEC2C">
      <w:pPr>
        <w:pStyle w:val="90"/>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u w:val="none"/>
        </w:rPr>
      </w:pPr>
      <w:r>
        <w:rPr>
          <w:rStyle w:val="39"/>
          <w:rFonts w:hint="eastAsia" w:ascii="宋体" w:hAnsi="宋体" w:eastAsia="宋体" w:cs="宋体"/>
          <w:color w:val="auto"/>
          <w:sz w:val="21"/>
          <w:szCs w:val="21"/>
          <w:highlight w:val="none"/>
          <w:u w:val="none"/>
        </w:rPr>
        <w:t>（</w:t>
      </w:r>
      <w:r>
        <w:rPr>
          <w:rStyle w:val="39"/>
          <w:rFonts w:hint="eastAsia" w:ascii="宋体" w:hAnsi="宋体" w:eastAsia="宋体" w:cs="宋体"/>
          <w:color w:val="auto"/>
          <w:sz w:val="21"/>
          <w:szCs w:val="21"/>
          <w:highlight w:val="none"/>
          <w:u w:val="none"/>
          <w:lang w:val="en-US" w:eastAsia="zh-CN"/>
        </w:rPr>
        <w:t>9</w:t>
      </w:r>
      <w:r>
        <w:rPr>
          <w:rStyle w:val="39"/>
          <w:rFonts w:hint="eastAsia" w:ascii="宋体" w:hAnsi="宋体" w:eastAsia="宋体" w:cs="宋体"/>
          <w:color w:val="auto"/>
          <w:sz w:val="21"/>
          <w:szCs w:val="21"/>
          <w:highlight w:val="none"/>
          <w:u w:val="none"/>
        </w:rPr>
        <w:t>）其他合同文件</w:t>
      </w:r>
      <w:r>
        <w:rPr>
          <w:rFonts w:hint="eastAsia" w:ascii="宋体" w:hAnsi="宋体" w:eastAsia="宋体" w:cs="宋体"/>
          <w:color w:val="auto"/>
          <w:kern w:val="0"/>
          <w:sz w:val="21"/>
          <w:szCs w:val="21"/>
          <w:highlight w:val="none"/>
          <w:u w:val="none"/>
        </w:rPr>
        <w:t>：</w:t>
      </w:r>
    </w:p>
    <w:p w14:paraId="2CC2B481">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上述各项合同文件包括合同当事人就该项合同文件所作出的补充和修改，属于同一类内容的文件，应以最新签署的为准（违反</w:t>
      </w:r>
      <w:r>
        <w:rPr>
          <w:rStyle w:val="39"/>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kern w:val="0"/>
          <w:sz w:val="21"/>
          <w:szCs w:val="21"/>
          <w:highlight w:val="none"/>
        </w:rPr>
        <w:t>文件实质性内容的约定除外）。专用合同条款及其附件须经合同当事人签字或盖章。</w:t>
      </w:r>
    </w:p>
    <w:p w14:paraId="74CD1142">
      <w:pPr>
        <w:outlineLvl w:val="9"/>
        <w:rPr>
          <w:rFonts w:hint="eastAsia" w:ascii="宋体" w:hAnsi="宋体" w:eastAsia="宋体" w:cs="宋体"/>
          <w:color w:val="auto"/>
          <w:sz w:val="21"/>
          <w:szCs w:val="21"/>
          <w:highlight w:val="none"/>
        </w:rPr>
      </w:pPr>
      <w:bookmarkStart w:id="129" w:name="_Toc389065263"/>
      <w:bookmarkStart w:id="130" w:name="_Toc1537247101"/>
      <w:bookmarkStart w:id="131" w:name="_Toc407135199"/>
      <w:bookmarkStart w:id="132" w:name="_Toc373227697"/>
      <w:bookmarkStart w:id="133" w:name="_Toc3608"/>
      <w:bookmarkStart w:id="134" w:name="_Toc78449785"/>
      <w:bookmarkStart w:id="135" w:name="_Toc1531480704"/>
      <w:bookmarkStart w:id="136" w:name="_Toc373478344"/>
      <w:r>
        <w:rPr>
          <w:rFonts w:hint="eastAsia" w:ascii="宋体" w:hAnsi="宋体" w:eastAsia="宋体" w:cs="宋体"/>
          <w:color w:val="auto"/>
          <w:sz w:val="21"/>
          <w:szCs w:val="21"/>
          <w:highlight w:val="none"/>
        </w:rPr>
        <w:t>1.6 图纸和承包人文件</w:t>
      </w:r>
      <w:bookmarkEnd w:id="129"/>
      <w:bookmarkEnd w:id="130"/>
      <w:bookmarkEnd w:id="131"/>
      <w:bookmarkEnd w:id="132"/>
      <w:bookmarkEnd w:id="133"/>
      <w:bookmarkEnd w:id="134"/>
      <w:bookmarkEnd w:id="135"/>
      <w:bookmarkEnd w:id="136"/>
      <w:r>
        <w:rPr>
          <w:rFonts w:hint="eastAsia" w:ascii="宋体" w:hAnsi="宋体" w:eastAsia="宋体" w:cs="宋体"/>
          <w:color w:val="auto"/>
          <w:sz w:val="21"/>
          <w:szCs w:val="21"/>
          <w:highlight w:val="none"/>
        </w:rPr>
        <w:tab/>
      </w:r>
    </w:p>
    <w:p w14:paraId="2638FF5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 图纸的提供</w:t>
      </w:r>
    </w:p>
    <w:p w14:paraId="2118DC9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发包人向承包人提供图纸的期限：</w:t>
      </w:r>
      <w:r>
        <w:rPr>
          <w:rFonts w:hint="eastAsia" w:ascii="宋体" w:hAnsi="宋体" w:eastAsia="宋体" w:cs="宋体"/>
          <w:color w:val="auto"/>
          <w:sz w:val="21"/>
          <w:szCs w:val="21"/>
          <w:highlight w:val="none"/>
          <w:u w:val="single"/>
        </w:rPr>
        <w:t xml:space="preserve">  合同签订之日起7个工作日内  </w:t>
      </w:r>
      <w:r>
        <w:rPr>
          <w:rFonts w:hint="eastAsia" w:ascii="宋体" w:hAnsi="宋体" w:eastAsia="宋体" w:cs="宋体"/>
          <w:color w:val="auto"/>
          <w:sz w:val="21"/>
          <w:szCs w:val="21"/>
          <w:highlight w:val="none"/>
        </w:rPr>
        <w:t>；</w:t>
      </w:r>
    </w:p>
    <w:p w14:paraId="3FBD323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套（承包人需要增加图纸套数的，发包人应代为复制，复制费用由承包人承担）；</w:t>
      </w:r>
    </w:p>
    <w:p w14:paraId="38D37FF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rPr>
        <w:t xml:space="preserve">  招标范围内的全部图纸内容  </w:t>
      </w:r>
      <w:r>
        <w:rPr>
          <w:rFonts w:hint="eastAsia" w:ascii="宋体" w:hAnsi="宋体" w:eastAsia="宋体" w:cs="宋体"/>
          <w:color w:val="auto"/>
          <w:sz w:val="21"/>
          <w:szCs w:val="21"/>
          <w:highlight w:val="none"/>
        </w:rPr>
        <w:t>。</w:t>
      </w:r>
    </w:p>
    <w:p w14:paraId="43EC65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1.6.4 承包人文件</w:t>
      </w:r>
    </w:p>
    <w:p w14:paraId="7F911341">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需要由承包人提供的文件，包括：</w:t>
      </w:r>
      <w:r>
        <w:rPr>
          <w:rFonts w:hint="eastAsia" w:ascii="宋体" w:hAnsi="宋体" w:eastAsia="宋体" w:cs="宋体"/>
          <w:color w:val="auto"/>
          <w:sz w:val="21"/>
          <w:szCs w:val="21"/>
          <w:highlight w:val="none"/>
          <w:u w:val="single"/>
        </w:rPr>
        <w:t xml:space="preserve">  施工组织设计、专项施工方案、安全生产应急救援预案、读图纪要、开工报告、施工月报、工程洽商、当月进度报表、次月工程进度计划报表、竣工报告、竣工资料及法律、法规规定应提交的其他文件。其中施工组织设计和专项施工方案的重要节点工期必须细化到具体日历天  </w:t>
      </w:r>
      <w:r>
        <w:rPr>
          <w:rFonts w:hint="eastAsia" w:ascii="宋体" w:hAnsi="宋体" w:eastAsia="宋体" w:cs="宋体"/>
          <w:color w:val="auto"/>
          <w:sz w:val="21"/>
          <w:szCs w:val="21"/>
          <w:highlight w:val="none"/>
        </w:rPr>
        <w:t>；</w:t>
      </w:r>
    </w:p>
    <w:p w14:paraId="53E6B5E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rPr>
        <w:t xml:space="preserve">  构件开始施工前7天内  </w:t>
      </w:r>
      <w:r>
        <w:rPr>
          <w:rFonts w:hint="eastAsia" w:ascii="宋体" w:hAnsi="宋体" w:eastAsia="宋体" w:cs="宋体"/>
          <w:color w:val="auto"/>
          <w:sz w:val="21"/>
          <w:szCs w:val="21"/>
          <w:highlight w:val="none"/>
        </w:rPr>
        <w:t>；</w:t>
      </w:r>
    </w:p>
    <w:p w14:paraId="0447669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承包人提供的文件的数量为：</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按发包人的要求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0DB350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承包人提供的文件的形式为：</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书面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52A64C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发包人审批承包人文件的期限：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按发包人的要求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FDF47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1.6.5 现场图纸准备</w:t>
      </w:r>
    </w:p>
    <w:p w14:paraId="615B84E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按《通用合同条款》执行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CA28E7E">
      <w:pPr>
        <w:outlineLvl w:val="9"/>
        <w:rPr>
          <w:rFonts w:hint="eastAsia" w:ascii="宋体" w:hAnsi="宋体" w:eastAsia="宋体" w:cs="宋体"/>
          <w:color w:val="auto"/>
          <w:sz w:val="21"/>
          <w:szCs w:val="21"/>
          <w:highlight w:val="none"/>
        </w:rPr>
      </w:pPr>
      <w:bookmarkStart w:id="137" w:name="_Toc407135200"/>
      <w:bookmarkStart w:id="138" w:name="_Toc389065264"/>
      <w:bookmarkStart w:id="139" w:name="_Toc110523719"/>
      <w:bookmarkStart w:id="140" w:name="_Toc78449786"/>
      <w:bookmarkStart w:id="141" w:name="_Toc1944260835"/>
      <w:bookmarkStart w:id="142" w:name="_Toc373478345"/>
      <w:bookmarkStart w:id="143" w:name="_Toc373227698"/>
      <w:bookmarkStart w:id="144" w:name="_Toc11108"/>
      <w:r>
        <w:rPr>
          <w:rFonts w:hint="eastAsia" w:ascii="宋体" w:hAnsi="宋体" w:eastAsia="宋体" w:cs="宋体"/>
          <w:color w:val="auto"/>
          <w:sz w:val="21"/>
          <w:szCs w:val="21"/>
          <w:highlight w:val="none"/>
        </w:rPr>
        <w:t>1.7 联络</w:t>
      </w:r>
      <w:bookmarkEnd w:id="137"/>
      <w:bookmarkEnd w:id="138"/>
      <w:bookmarkEnd w:id="139"/>
      <w:bookmarkEnd w:id="140"/>
      <w:bookmarkEnd w:id="141"/>
      <w:bookmarkEnd w:id="142"/>
      <w:bookmarkEnd w:id="143"/>
      <w:bookmarkEnd w:id="144"/>
    </w:p>
    <w:p w14:paraId="5FD13077">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 xml:space="preserve">3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天内将与合同有关的通知、批准、证明、证书、指示、指令、要求、请求、同意、意见、确定和决定等书面函件送达对方当事人。</w:t>
      </w:r>
    </w:p>
    <w:p w14:paraId="628F5F00">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1.7.2 发包人接收文件的地点：</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kern w:val="0"/>
          <w:sz w:val="21"/>
          <w:szCs w:val="21"/>
          <w:highlight w:val="none"/>
          <w:u w:val="single"/>
        </w:rPr>
        <w:t>依据合同约定由承包人提供给发包人驻施工现场办公室</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744C02">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发包人指定的接收人为：</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6454029">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承包人接收文件的地点：</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025CA3D8">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承包人指定的接收人为：</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76149B73">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监理人接收文件的地点：</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79571FEB">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监理人指定的接收人为：</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252C81FC">
      <w:pPr>
        <w:outlineLvl w:val="9"/>
        <w:rPr>
          <w:rFonts w:hint="eastAsia" w:ascii="宋体" w:hAnsi="宋体" w:eastAsia="宋体" w:cs="宋体"/>
          <w:color w:val="auto"/>
          <w:sz w:val="21"/>
          <w:szCs w:val="21"/>
          <w:highlight w:val="none"/>
        </w:rPr>
      </w:pPr>
      <w:bookmarkStart w:id="145" w:name="_Toc373478346"/>
      <w:bookmarkStart w:id="146" w:name="_Toc1387231545"/>
      <w:bookmarkStart w:id="147" w:name="_Toc23979"/>
      <w:bookmarkStart w:id="148" w:name="_Toc373227699"/>
      <w:bookmarkStart w:id="149" w:name="_Toc407135201"/>
      <w:bookmarkStart w:id="150" w:name="_Toc389065265"/>
      <w:bookmarkStart w:id="151" w:name="_Toc224348539"/>
      <w:bookmarkStart w:id="152" w:name="_Toc78449787"/>
      <w:r>
        <w:rPr>
          <w:rFonts w:hint="eastAsia" w:ascii="宋体" w:hAnsi="宋体" w:eastAsia="宋体" w:cs="宋体"/>
          <w:color w:val="auto"/>
          <w:sz w:val="21"/>
          <w:szCs w:val="21"/>
          <w:highlight w:val="none"/>
        </w:rPr>
        <w:t>1.10 交通运输</w:t>
      </w:r>
      <w:bookmarkEnd w:id="145"/>
      <w:bookmarkEnd w:id="146"/>
      <w:bookmarkEnd w:id="147"/>
      <w:bookmarkEnd w:id="148"/>
      <w:bookmarkEnd w:id="149"/>
      <w:bookmarkEnd w:id="150"/>
      <w:bookmarkEnd w:id="151"/>
      <w:bookmarkEnd w:id="152"/>
    </w:p>
    <w:p w14:paraId="5B6BE4C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53" w:name="_Toc303539100"/>
      <w:bookmarkStart w:id="154" w:name="_Toc304295521"/>
      <w:bookmarkStart w:id="155" w:name="_Toc318581155"/>
      <w:bookmarkStart w:id="156" w:name="_Toc312677986"/>
      <w:bookmarkStart w:id="157" w:name="_Toc300934943"/>
      <w:r>
        <w:rPr>
          <w:rFonts w:hint="eastAsia" w:ascii="宋体" w:hAnsi="宋体" w:eastAsia="宋体" w:cs="宋体"/>
          <w:color w:val="auto"/>
          <w:sz w:val="21"/>
          <w:szCs w:val="21"/>
          <w:highlight w:val="none"/>
        </w:rPr>
        <w:t>.10.1 出入现场的权利</w:t>
      </w:r>
    </w:p>
    <w:p w14:paraId="3BF527A6">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见通用条款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53"/>
    <w:bookmarkEnd w:id="154"/>
    <w:bookmarkEnd w:id="155"/>
    <w:bookmarkEnd w:id="156"/>
    <w:bookmarkEnd w:id="157"/>
    <w:p w14:paraId="19FC991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58" w:name="_Toc303539101"/>
      <w:bookmarkStart w:id="159" w:name="_Toc300934944"/>
      <w:bookmarkStart w:id="160" w:name="_Toc318581156"/>
      <w:bookmarkStart w:id="161" w:name="_Toc304295522"/>
      <w:bookmarkStart w:id="162" w:name="_Toc312677987"/>
      <w:r>
        <w:rPr>
          <w:rFonts w:hint="eastAsia" w:ascii="宋体" w:hAnsi="宋体" w:eastAsia="宋体" w:cs="宋体"/>
          <w:color w:val="auto"/>
          <w:sz w:val="21"/>
          <w:szCs w:val="21"/>
          <w:highlight w:val="none"/>
        </w:rPr>
        <w:t>.10.3 场内交通</w:t>
      </w:r>
    </w:p>
    <w:p w14:paraId="326CB5FF">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以施工红线为准，红线范围内为场内交通，施工红线范围以外为场外交通  </w:t>
      </w:r>
      <w:r>
        <w:rPr>
          <w:rFonts w:hint="eastAsia" w:ascii="宋体" w:hAnsi="宋体" w:eastAsia="宋体" w:cs="宋体"/>
          <w:color w:val="auto"/>
          <w:sz w:val="21"/>
          <w:szCs w:val="21"/>
          <w:highlight w:val="none"/>
        </w:rPr>
        <w:t>。</w:t>
      </w:r>
    </w:p>
    <w:p w14:paraId="298B1C1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z w:val="21"/>
          <w:szCs w:val="21"/>
          <w:highlight w:val="none"/>
          <w:u w:val="single"/>
        </w:rPr>
        <w:t></w:t>
      </w:r>
      <w:r>
        <w:rPr>
          <w:rStyle w:val="39"/>
          <w:rFonts w:hint="eastAsia" w:ascii="宋体" w:hAnsi="宋体" w:eastAsia="宋体" w:cs="宋体"/>
          <w:color w:val="auto"/>
          <w:sz w:val="21"/>
          <w:szCs w:val="21"/>
          <w:highlight w:val="none"/>
          <w:u w:val="single"/>
        </w:rPr>
        <w:t>本工程场内道路交通条件满足工程需要，因承包人原因造成的道路或交通设施损坏的，由承包人负责修复并承担由此增加的费用。并应遵守北海市交通管理部门限制通行的有关规定以及北海市城管部门的有关规定和承担违反规定引起的罚款等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58"/>
      <w:bookmarkEnd w:id="159"/>
      <w:bookmarkEnd w:id="160"/>
      <w:bookmarkEnd w:id="161"/>
      <w:bookmarkEnd w:id="162"/>
      <w:bookmarkStart w:id="163" w:name="_Toc318581157"/>
    </w:p>
    <w:p w14:paraId="5783D287">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28A47589">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承担。</w:t>
      </w:r>
    </w:p>
    <w:bookmarkEnd w:id="163"/>
    <w:p w14:paraId="0E29ABCD">
      <w:pPr>
        <w:outlineLvl w:val="9"/>
        <w:rPr>
          <w:rFonts w:hint="eastAsia" w:ascii="宋体" w:hAnsi="宋体" w:eastAsia="宋体" w:cs="宋体"/>
          <w:color w:val="auto"/>
          <w:sz w:val="21"/>
          <w:szCs w:val="21"/>
          <w:highlight w:val="none"/>
        </w:rPr>
      </w:pPr>
      <w:bookmarkStart w:id="164" w:name="_Toc373478347"/>
      <w:bookmarkStart w:id="165" w:name="_Toc78449788"/>
      <w:bookmarkStart w:id="166" w:name="_Toc512841653"/>
      <w:bookmarkStart w:id="167" w:name="_Toc407135202"/>
      <w:bookmarkStart w:id="168" w:name="_Toc19266"/>
      <w:bookmarkStart w:id="169" w:name="_Toc373227700"/>
      <w:bookmarkStart w:id="170" w:name="_Toc1495098807"/>
      <w:bookmarkStart w:id="171" w:name="_Toc389065266"/>
      <w:r>
        <w:rPr>
          <w:rFonts w:hint="eastAsia" w:ascii="宋体" w:hAnsi="宋体" w:eastAsia="宋体" w:cs="宋体"/>
          <w:color w:val="auto"/>
          <w:sz w:val="21"/>
          <w:szCs w:val="21"/>
          <w:highlight w:val="none"/>
        </w:rPr>
        <w:t>1.11 知识产权</w:t>
      </w:r>
      <w:bookmarkEnd w:id="164"/>
      <w:bookmarkEnd w:id="165"/>
      <w:bookmarkEnd w:id="166"/>
      <w:bookmarkEnd w:id="167"/>
      <w:bookmarkEnd w:id="168"/>
      <w:bookmarkEnd w:id="169"/>
      <w:bookmarkEnd w:id="170"/>
      <w:bookmarkEnd w:id="171"/>
    </w:p>
    <w:p w14:paraId="5DC4B59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5B2314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关于发包人提供的上述文件的使用限制的要求：</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未经发包人同意，承包人不得提供给第三方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3277993">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1.11.2 关于承包人为实施工程所编制文件的著作权的归属：</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见通用条款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B0D714B">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关于承包人提供的上述文件的使用限制的要求：</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见通用条款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B8874CB">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1.11.4 承包人在施工过程中所采用的专利、专有技术、技术秘密的使用费的承担方式：</w:t>
      </w:r>
    </w:p>
    <w:p w14:paraId="6C850974">
      <w:pPr>
        <w:spacing w:line="360" w:lineRule="auto"/>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包含在竞标报价内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6C00BE33">
      <w:pPr>
        <w:outlineLvl w:val="9"/>
        <w:rPr>
          <w:rFonts w:hint="eastAsia" w:ascii="宋体" w:hAnsi="宋体" w:eastAsia="宋体" w:cs="宋体"/>
          <w:color w:val="auto"/>
          <w:sz w:val="21"/>
          <w:szCs w:val="21"/>
          <w:highlight w:val="none"/>
        </w:rPr>
      </w:pPr>
      <w:bookmarkStart w:id="172" w:name="_Toc1194977599"/>
      <w:bookmarkStart w:id="173" w:name="_Toc373227701"/>
      <w:bookmarkStart w:id="174" w:name="_Toc267680563"/>
      <w:bookmarkStart w:id="175" w:name="_Toc19562"/>
      <w:bookmarkStart w:id="176" w:name="_Toc78449789"/>
      <w:bookmarkStart w:id="177" w:name="_Toc373478348"/>
      <w:bookmarkStart w:id="178" w:name="_Toc407135203"/>
      <w:bookmarkStart w:id="179" w:name="_Toc389065267"/>
      <w:r>
        <w:rPr>
          <w:rFonts w:hint="eastAsia" w:ascii="宋体" w:hAnsi="宋体" w:eastAsia="宋体" w:cs="宋体"/>
          <w:color w:val="auto"/>
          <w:sz w:val="21"/>
          <w:szCs w:val="21"/>
          <w:highlight w:val="none"/>
        </w:rPr>
        <w:t>1.13工程量清单错误的修正</w:t>
      </w:r>
      <w:bookmarkEnd w:id="172"/>
      <w:bookmarkEnd w:id="173"/>
      <w:bookmarkEnd w:id="174"/>
      <w:bookmarkEnd w:id="175"/>
      <w:bookmarkEnd w:id="176"/>
      <w:bookmarkEnd w:id="177"/>
      <w:bookmarkEnd w:id="178"/>
      <w:bookmarkEnd w:id="179"/>
    </w:p>
    <w:p w14:paraId="58C993D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出现工程量清单工程量偏差时，是否调整合同价格：</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是  □否</w:t>
      </w:r>
      <w:r>
        <w:rPr>
          <w:rFonts w:hint="eastAsia" w:ascii="宋体" w:hAnsi="宋体" w:eastAsia="宋体" w:cs="宋体"/>
          <w:color w:val="auto"/>
          <w:kern w:val="0"/>
          <w:sz w:val="21"/>
          <w:szCs w:val="21"/>
          <w:highlight w:val="none"/>
        </w:rPr>
        <w:t>。</w:t>
      </w:r>
    </w:p>
    <w:p w14:paraId="591D00E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允许调整合同价格的工程量偏差范围及其调整办法：</w:t>
      </w:r>
    </w:p>
    <w:p w14:paraId="4D6C9BAB">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除严重不平衡报价外，无论分部分项工程量清单项目中的工程量变化多少均不调整   </w:t>
      </w:r>
      <w:r>
        <w:rPr>
          <w:rFonts w:hint="eastAsia" w:ascii="宋体" w:hAnsi="宋体" w:eastAsia="宋体" w:cs="宋体"/>
          <w:color w:val="auto"/>
          <w:kern w:val="0"/>
          <w:sz w:val="21"/>
          <w:szCs w:val="21"/>
          <w:highlight w:val="none"/>
        </w:rPr>
        <w:t>。</w:t>
      </w:r>
    </w:p>
    <w:p w14:paraId="5BB174F8">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承包人实际完成的某单项清单项目工程量与招标工程量清单工程量偏差超过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%且该单项清单造价超过合同总价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%以上的，超过后增加部分工程量或减少后剩余部分工程量的综合单价按以下方法调整：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p>
    <w:p w14:paraId="16D7D408">
      <w:pPr>
        <w:outlineLvl w:val="9"/>
        <w:rPr>
          <w:rFonts w:hint="eastAsia" w:ascii="宋体" w:hAnsi="宋体" w:eastAsia="宋体" w:cs="宋体"/>
          <w:color w:val="auto"/>
          <w:sz w:val="21"/>
          <w:szCs w:val="21"/>
          <w:highlight w:val="none"/>
        </w:rPr>
      </w:pPr>
      <w:bookmarkStart w:id="180" w:name="_Toc143780453"/>
      <w:bookmarkStart w:id="181" w:name="_Toc1415467590"/>
      <w:bookmarkStart w:id="182" w:name="_Toc9629"/>
      <w:bookmarkStart w:id="183" w:name="_Toc373227702"/>
      <w:bookmarkStart w:id="184" w:name="_Toc351203634"/>
      <w:bookmarkStart w:id="185" w:name="_Toc389065268"/>
      <w:bookmarkStart w:id="186" w:name="_Toc78449790"/>
      <w:bookmarkStart w:id="187" w:name="_Toc373478349"/>
      <w:bookmarkStart w:id="188" w:name="_Toc407135204"/>
      <w:r>
        <w:rPr>
          <w:rFonts w:hint="eastAsia" w:ascii="宋体" w:hAnsi="宋体" w:eastAsia="宋体" w:cs="宋体"/>
          <w:color w:val="auto"/>
          <w:sz w:val="21"/>
          <w:szCs w:val="21"/>
          <w:highlight w:val="none"/>
        </w:rPr>
        <w:t>2</w:t>
      </w:r>
      <w:bookmarkStart w:id="189" w:name="_Toc296346658"/>
      <w:bookmarkStart w:id="190" w:name="_Toc296891197"/>
      <w:bookmarkStart w:id="191" w:name="_Toc296503157"/>
      <w:bookmarkStart w:id="192" w:name="_Toc296347156"/>
      <w:bookmarkStart w:id="193" w:name="_Toc296890985"/>
      <w:bookmarkStart w:id="194" w:name="_Toc297048343"/>
      <w:bookmarkStart w:id="195" w:name="_Toc292559362"/>
      <w:bookmarkStart w:id="196" w:name="_Toc292559867"/>
      <w:bookmarkStart w:id="197" w:name="_Toc297120457"/>
      <w:bookmarkStart w:id="198" w:name="_Toc296944496"/>
      <w:r>
        <w:rPr>
          <w:rFonts w:hint="eastAsia" w:ascii="宋体" w:hAnsi="宋体" w:eastAsia="宋体" w:cs="宋体"/>
          <w:color w:val="auto"/>
          <w:sz w:val="21"/>
          <w:szCs w:val="21"/>
          <w:highlight w:val="none"/>
        </w:rPr>
        <w:t>. 发包人</w:t>
      </w:r>
      <w:bookmarkEnd w:id="180"/>
      <w:bookmarkEnd w:id="181"/>
      <w:bookmarkEnd w:id="182"/>
      <w:bookmarkEnd w:id="183"/>
      <w:bookmarkEnd w:id="184"/>
      <w:bookmarkEnd w:id="185"/>
      <w:bookmarkEnd w:id="186"/>
      <w:bookmarkEnd w:id="187"/>
      <w:bookmarkEnd w:id="188"/>
    </w:p>
    <w:bookmarkEnd w:id="189"/>
    <w:bookmarkEnd w:id="190"/>
    <w:bookmarkEnd w:id="191"/>
    <w:bookmarkEnd w:id="192"/>
    <w:bookmarkEnd w:id="193"/>
    <w:bookmarkEnd w:id="194"/>
    <w:bookmarkEnd w:id="195"/>
    <w:bookmarkEnd w:id="196"/>
    <w:bookmarkEnd w:id="197"/>
    <w:bookmarkEnd w:id="198"/>
    <w:p w14:paraId="6B80A9B3">
      <w:pPr>
        <w:outlineLvl w:val="9"/>
        <w:rPr>
          <w:rFonts w:hint="eastAsia" w:ascii="宋体" w:hAnsi="宋体" w:eastAsia="宋体" w:cs="宋体"/>
          <w:color w:val="auto"/>
          <w:sz w:val="21"/>
          <w:szCs w:val="21"/>
          <w:highlight w:val="none"/>
        </w:rPr>
      </w:pPr>
      <w:bookmarkStart w:id="199" w:name="_Toc971240048"/>
      <w:bookmarkStart w:id="200" w:name="_Toc389065269"/>
      <w:bookmarkStart w:id="201" w:name="_Toc78449791"/>
      <w:bookmarkStart w:id="202" w:name="_Toc373227703"/>
      <w:bookmarkStart w:id="203" w:name="_Toc373478350"/>
      <w:bookmarkStart w:id="204" w:name="_Toc547644210"/>
      <w:bookmarkStart w:id="205" w:name="_Toc407135205"/>
      <w:bookmarkStart w:id="206" w:name="_Toc5295"/>
      <w:r>
        <w:rPr>
          <w:rFonts w:hint="eastAsia" w:ascii="宋体" w:hAnsi="宋体" w:eastAsia="宋体" w:cs="宋体"/>
          <w:color w:val="auto"/>
          <w:sz w:val="21"/>
          <w:szCs w:val="21"/>
          <w:highlight w:val="none"/>
        </w:rPr>
        <w:t>2.2 发包人代表</w:t>
      </w:r>
      <w:bookmarkEnd w:id="199"/>
      <w:bookmarkEnd w:id="200"/>
      <w:bookmarkEnd w:id="201"/>
      <w:bookmarkEnd w:id="202"/>
      <w:bookmarkEnd w:id="203"/>
      <w:bookmarkEnd w:id="204"/>
      <w:bookmarkEnd w:id="205"/>
      <w:bookmarkEnd w:id="206"/>
    </w:p>
    <w:p w14:paraId="241C2207">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014C9A4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6DF3F186">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6E09CA1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314250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381B0B6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  </w:t>
      </w:r>
      <w:r>
        <w:rPr>
          <w:rFonts w:hint="eastAsia" w:ascii="宋体" w:hAnsi="宋体" w:eastAsia="宋体" w:cs="宋体"/>
          <w:color w:val="auto"/>
          <w:sz w:val="21"/>
          <w:szCs w:val="21"/>
          <w:highlight w:val="none"/>
        </w:rPr>
        <w:t>；</w:t>
      </w:r>
    </w:p>
    <w:p w14:paraId="3DEC371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2E0421">
      <w:pP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负责现场协调管理，质量、安全、投资和工期的控制，现场工程有关的资料签证，对经济签证资料及时提出建议意见并交发包方组织研究后签字认可  </w:t>
      </w:r>
      <w:r>
        <w:rPr>
          <w:rFonts w:hint="eastAsia" w:ascii="宋体" w:hAnsi="宋体" w:eastAsia="宋体" w:cs="宋体"/>
          <w:color w:val="auto"/>
          <w:sz w:val="21"/>
          <w:szCs w:val="21"/>
          <w:highlight w:val="none"/>
        </w:rPr>
        <w:t>。</w:t>
      </w:r>
    </w:p>
    <w:p w14:paraId="2557208E">
      <w:pPr>
        <w:outlineLvl w:val="9"/>
        <w:rPr>
          <w:rFonts w:hint="eastAsia" w:ascii="宋体" w:hAnsi="宋体" w:eastAsia="宋体" w:cs="宋体"/>
          <w:color w:val="auto"/>
          <w:sz w:val="21"/>
          <w:szCs w:val="21"/>
          <w:highlight w:val="none"/>
        </w:rPr>
      </w:pPr>
      <w:bookmarkStart w:id="207" w:name="_Toc373227704"/>
      <w:bookmarkStart w:id="208" w:name="_Toc2066513957"/>
      <w:bookmarkStart w:id="209" w:name="_Toc373478351"/>
      <w:bookmarkStart w:id="210" w:name="_Toc407135206"/>
      <w:bookmarkStart w:id="211" w:name="_Toc25960"/>
      <w:bookmarkStart w:id="212" w:name="_Toc2077499244"/>
      <w:bookmarkStart w:id="213" w:name="_Toc389065270"/>
      <w:bookmarkStart w:id="214" w:name="_Toc78449792"/>
      <w:r>
        <w:rPr>
          <w:rFonts w:hint="eastAsia" w:ascii="宋体" w:hAnsi="宋体" w:eastAsia="宋体" w:cs="宋体"/>
          <w:color w:val="auto"/>
          <w:sz w:val="21"/>
          <w:szCs w:val="21"/>
          <w:highlight w:val="none"/>
        </w:rPr>
        <w:t>2.4 施工现场、施工条件和基础资料的提供</w:t>
      </w:r>
      <w:bookmarkEnd w:id="207"/>
      <w:bookmarkEnd w:id="208"/>
      <w:bookmarkEnd w:id="209"/>
      <w:bookmarkEnd w:id="210"/>
      <w:bookmarkEnd w:id="211"/>
      <w:bookmarkEnd w:id="212"/>
      <w:bookmarkEnd w:id="213"/>
      <w:bookmarkEnd w:id="214"/>
    </w:p>
    <w:p w14:paraId="791CBAB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50942F0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按通用合同条款执行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58B71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2FAA5274">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关于发包人应负责提供施工所需要的条件，包括：</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发包人最迟应当在移交施工场地的同时向承包人提供施工场地内地下管线和地下设施等有关资料，并保证资料的真实、准确和完整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604554">
      <w:pPr>
        <w:outlineLvl w:val="9"/>
        <w:rPr>
          <w:rFonts w:hint="eastAsia" w:ascii="宋体" w:hAnsi="宋体" w:eastAsia="宋体" w:cs="宋体"/>
          <w:color w:val="auto"/>
          <w:sz w:val="21"/>
          <w:szCs w:val="21"/>
          <w:highlight w:val="none"/>
        </w:rPr>
      </w:pPr>
      <w:bookmarkStart w:id="215" w:name="_Toc373478352"/>
      <w:bookmarkStart w:id="216" w:name="_Toc373227705"/>
      <w:bookmarkStart w:id="217" w:name="_Toc12190"/>
      <w:bookmarkStart w:id="218" w:name="_Toc78449793"/>
      <w:bookmarkStart w:id="219" w:name="_Toc407135207"/>
      <w:bookmarkStart w:id="220" w:name="_Toc389065271"/>
      <w:bookmarkStart w:id="221" w:name="_Toc1238195908"/>
      <w:bookmarkStart w:id="222" w:name="_Toc672429943"/>
      <w:r>
        <w:rPr>
          <w:rFonts w:hint="eastAsia" w:ascii="宋体" w:hAnsi="宋体" w:eastAsia="宋体" w:cs="宋体"/>
          <w:color w:val="auto"/>
          <w:sz w:val="21"/>
          <w:szCs w:val="21"/>
          <w:highlight w:val="none"/>
        </w:rPr>
        <w:t>2.5 资金来源证明及支付担保</w:t>
      </w:r>
      <w:bookmarkEnd w:id="215"/>
      <w:bookmarkEnd w:id="216"/>
      <w:bookmarkEnd w:id="217"/>
      <w:bookmarkEnd w:id="218"/>
      <w:bookmarkEnd w:id="219"/>
      <w:bookmarkEnd w:id="220"/>
      <w:bookmarkEnd w:id="221"/>
      <w:bookmarkEnd w:id="222"/>
    </w:p>
    <w:p w14:paraId="4E610B3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012912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eastAsia="zh-CN"/>
        </w:rPr>
        <w:t>不提供</w:t>
      </w:r>
      <w:r>
        <w:rPr>
          <w:rStyle w:val="39"/>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i w:val="0"/>
          <w:caps w:val="0"/>
          <w:color w:val="auto"/>
          <w:spacing w:val="0"/>
          <w:sz w:val="21"/>
          <w:szCs w:val="21"/>
          <w:highlight w:val="none"/>
          <w:lang w:eastAsia="zh-CN"/>
        </w:rPr>
        <w:t>发包</w:t>
      </w:r>
      <w:r>
        <w:rPr>
          <w:rFonts w:hint="eastAsia" w:ascii="宋体" w:hAnsi="宋体" w:eastAsia="宋体" w:cs="宋体"/>
          <w:i w:val="0"/>
          <w:caps w:val="0"/>
          <w:color w:val="auto"/>
          <w:spacing w:val="0"/>
          <w:sz w:val="21"/>
          <w:szCs w:val="21"/>
          <w:highlight w:val="none"/>
        </w:rPr>
        <w:t>人要求</w:t>
      </w:r>
      <w:r>
        <w:rPr>
          <w:rFonts w:hint="eastAsia" w:ascii="宋体" w:hAnsi="宋体" w:eastAsia="宋体" w:cs="宋体"/>
          <w:i w:val="0"/>
          <w:caps w:val="0"/>
          <w:color w:val="auto"/>
          <w:spacing w:val="0"/>
          <w:sz w:val="21"/>
          <w:szCs w:val="21"/>
          <w:highlight w:val="none"/>
          <w:lang w:eastAsia="zh-CN"/>
        </w:rPr>
        <w:t>承包</w:t>
      </w:r>
      <w:r>
        <w:rPr>
          <w:rFonts w:hint="eastAsia" w:ascii="宋体" w:hAnsi="宋体" w:eastAsia="宋体" w:cs="宋体"/>
          <w:i w:val="0"/>
          <w:caps w:val="0"/>
          <w:color w:val="auto"/>
          <w:spacing w:val="0"/>
          <w:sz w:val="21"/>
          <w:szCs w:val="21"/>
          <w:highlight w:val="none"/>
        </w:rPr>
        <w:t>人提供履约担保的，应当同时向</w:t>
      </w:r>
      <w:r>
        <w:rPr>
          <w:rFonts w:hint="eastAsia" w:ascii="宋体" w:hAnsi="宋体" w:eastAsia="宋体" w:cs="宋体"/>
          <w:i w:val="0"/>
          <w:caps w:val="0"/>
          <w:color w:val="auto"/>
          <w:spacing w:val="0"/>
          <w:sz w:val="21"/>
          <w:szCs w:val="21"/>
          <w:highlight w:val="none"/>
          <w:lang w:eastAsia="zh-CN"/>
        </w:rPr>
        <w:t>承包</w:t>
      </w:r>
      <w:r>
        <w:rPr>
          <w:rFonts w:hint="eastAsia" w:ascii="宋体" w:hAnsi="宋体" w:eastAsia="宋体" w:cs="宋体"/>
          <w:i w:val="0"/>
          <w:caps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宋体" w:hAnsi="宋体" w:eastAsia="宋体" w:cs="宋体"/>
          <w:i w:val="0"/>
          <w:caps w:val="0"/>
          <w:color w:val="auto"/>
          <w:spacing w:val="0"/>
          <w:sz w:val="21"/>
          <w:szCs w:val="21"/>
          <w:highlight w:val="none"/>
          <w:lang w:eastAsia="zh-CN"/>
        </w:rPr>
        <w:t>发包</w:t>
      </w:r>
      <w:r>
        <w:rPr>
          <w:rFonts w:hint="eastAsia" w:ascii="宋体" w:hAnsi="宋体" w:eastAsia="宋体" w:cs="宋体"/>
          <w:i w:val="0"/>
          <w:caps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宋体" w:hAnsi="宋体" w:eastAsia="宋体" w:cs="宋体"/>
          <w:color w:val="auto"/>
          <w:sz w:val="21"/>
          <w:szCs w:val="21"/>
          <w:highlight w:val="none"/>
        </w:rPr>
        <w:t>】</w:t>
      </w:r>
    </w:p>
    <w:p w14:paraId="6938107F">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发包人提供支付担保的形式：</w:t>
      </w:r>
      <w:r>
        <w:rPr>
          <w:rFonts w:hint="eastAsia" w:ascii="宋体" w:hAnsi="宋体" w:eastAsia="宋体" w:cs="宋体"/>
          <w:color w:val="auto"/>
          <w:sz w:val="21"/>
          <w:szCs w:val="21"/>
          <w:highlight w:val="none"/>
          <w:u w:val="none"/>
          <w:lang w:eastAsia="zh-CN"/>
        </w:rPr>
        <w:t>可以是</w:t>
      </w:r>
      <w:r>
        <w:rPr>
          <w:rFonts w:hint="eastAsia" w:ascii="宋体" w:hAnsi="宋体" w:eastAsia="宋体" w:cs="宋体"/>
          <w:color w:val="auto"/>
          <w:sz w:val="21"/>
          <w:szCs w:val="21"/>
          <w:highlight w:val="none"/>
        </w:rPr>
        <w:t>银行转账、电汇或网上支付、保函（银行保函、电子保函、保证保险保函、工程担保保函）等形式。</w:t>
      </w:r>
      <w:r>
        <w:rPr>
          <w:rFonts w:hint="eastAsia" w:ascii="宋体" w:hAnsi="宋体" w:eastAsia="宋体" w:cs="宋体"/>
          <w:color w:val="auto"/>
          <w:sz w:val="21"/>
          <w:szCs w:val="21"/>
          <w:highlight w:val="none"/>
          <w:lang w:eastAsia="zh-CN"/>
        </w:rPr>
        <w:t>工程担保保证人应将出具的保函相关信息录入“广西建筑市场监管云”平台（http://gxjzsc.caihcloud.com），以实现保函查询及验真功能</w:t>
      </w:r>
      <w:r>
        <w:rPr>
          <w:rFonts w:hint="eastAsia" w:ascii="宋体" w:hAnsi="宋体" w:eastAsia="宋体" w:cs="宋体"/>
          <w:color w:val="auto"/>
          <w:sz w:val="21"/>
          <w:szCs w:val="21"/>
          <w:highlight w:val="none"/>
          <w:lang w:val="en" w:eastAsia="zh-CN"/>
        </w:rPr>
        <w:t>。</w:t>
      </w:r>
    </w:p>
    <w:p w14:paraId="2F098D0D">
      <w:pPr>
        <w:outlineLvl w:val="9"/>
        <w:rPr>
          <w:rFonts w:hint="eastAsia" w:ascii="宋体" w:hAnsi="宋体" w:eastAsia="宋体" w:cs="宋体"/>
          <w:color w:val="auto"/>
          <w:sz w:val="21"/>
          <w:szCs w:val="21"/>
          <w:highlight w:val="none"/>
        </w:rPr>
      </w:pPr>
      <w:bookmarkStart w:id="223" w:name="_Toc1181400362"/>
      <w:bookmarkStart w:id="224" w:name="_Toc373478353"/>
      <w:bookmarkStart w:id="225" w:name="_Toc373227706"/>
      <w:bookmarkStart w:id="226" w:name="_Toc389065272"/>
      <w:bookmarkStart w:id="227" w:name="_Toc407135208"/>
      <w:bookmarkStart w:id="228" w:name="_Toc6475"/>
      <w:bookmarkStart w:id="229" w:name="_Toc729657770"/>
      <w:bookmarkStart w:id="230" w:name="_Toc351203635"/>
      <w:bookmarkStart w:id="231" w:name="_Toc78449794"/>
      <w:r>
        <w:rPr>
          <w:rFonts w:hint="eastAsia" w:ascii="宋体" w:hAnsi="宋体" w:eastAsia="宋体" w:cs="宋体"/>
          <w:color w:val="auto"/>
          <w:sz w:val="21"/>
          <w:szCs w:val="21"/>
          <w:highlight w:val="none"/>
        </w:rPr>
        <w:t>3</w:t>
      </w:r>
      <w:bookmarkStart w:id="232" w:name="_Toc296891198"/>
      <w:bookmarkStart w:id="233" w:name="_Toc296346659"/>
      <w:bookmarkStart w:id="234" w:name="_Toc296944497"/>
      <w:bookmarkStart w:id="235" w:name="_Toc292559363"/>
      <w:bookmarkStart w:id="236" w:name="_Toc292559868"/>
      <w:bookmarkStart w:id="237" w:name="_Toc296503158"/>
      <w:bookmarkStart w:id="238" w:name="_Toc296347157"/>
      <w:bookmarkStart w:id="239" w:name="_Toc297048344"/>
      <w:bookmarkStart w:id="240" w:name="_Toc296890986"/>
      <w:bookmarkStart w:id="241" w:name="_Toc297120458"/>
      <w:r>
        <w:rPr>
          <w:rFonts w:hint="eastAsia" w:ascii="宋体" w:hAnsi="宋体" w:eastAsia="宋体" w:cs="宋体"/>
          <w:color w:val="auto"/>
          <w:sz w:val="21"/>
          <w:szCs w:val="21"/>
          <w:highlight w:val="none"/>
        </w:rPr>
        <w:t>. 承包人</w:t>
      </w:r>
      <w:bookmarkEnd w:id="223"/>
      <w:bookmarkEnd w:id="224"/>
      <w:bookmarkEnd w:id="225"/>
      <w:bookmarkEnd w:id="226"/>
      <w:bookmarkEnd w:id="227"/>
      <w:bookmarkEnd w:id="228"/>
      <w:bookmarkEnd w:id="229"/>
      <w:bookmarkEnd w:id="230"/>
      <w:bookmarkEnd w:id="231"/>
    </w:p>
    <w:bookmarkEnd w:id="232"/>
    <w:bookmarkEnd w:id="233"/>
    <w:bookmarkEnd w:id="234"/>
    <w:bookmarkEnd w:id="235"/>
    <w:bookmarkEnd w:id="236"/>
    <w:bookmarkEnd w:id="237"/>
    <w:bookmarkEnd w:id="238"/>
    <w:bookmarkEnd w:id="239"/>
    <w:bookmarkEnd w:id="240"/>
    <w:bookmarkEnd w:id="241"/>
    <w:p w14:paraId="012C3E7F">
      <w:pPr>
        <w:outlineLvl w:val="9"/>
        <w:rPr>
          <w:rFonts w:hint="eastAsia" w:ascii="宋体" w:hAnsi="宋体" w:eastAsia="宋体" w:cs="宋体"/>
          <w:color w:val="auto"/>
          <w:sz w:val="21"/>
          <w:szCs w:val="21"/>
          <w:highlight w:val="none"/>
        </w:rPr>
      </w:pPr>
      <w:bookmarkStart w:id="242" w:name="_Toc19208"/>
      <w:bookmarkStart w:id="243" w:name="_Toc373478354"/>
      <w:bookmarkStart w:id="244" w:name="_Toc1642190822"/>
      <w:bookmarkStart w:id="245" w:name="_Toc373227707"/>
      <w:bookmarkStart w:id="246" w:name="_Toc389065273"/>
      <w:bookmarkStart w:id="247" w:name="_Toc407135209"/>
      <w:bookmarkStart w:id="248" w:name="_Toc962678435"/>
      <w:bookmarkStart w:id="249" w:name="_Toc78449795"/>
      <w:r>
        <w:rPr>
          <w:rFonts w:hint="eastAsia" w:ascii="宋体" w:hAnsi="宋体" w:eastAsia="宋体" w:cs="宋体"/>
          <w:color w:val="auto"/>
          <w:sz w:val="21"/>
          <w:szCs w:val="21"/>
          <w:highlight w:val="none"/>
        </w:rPr>
        <w:t>3.1 承包人的一般义务</w:t>
      </w:r>
      <w:bookmarkEnd w:id="242"/>
      <w:bookmarkEnd w:id="243"/>
      <w:bookmarkEnd w:id="244"/>
      <w:bookmarkEnd w:id="245"/>
      <w:bookmarkEnd w:id="246"/>
      <w:bookmarkEnd w:id="247"/>
      <w:bookmarkEnd w:id="248"/>
      <w:bookmarkEnd w:id="249"/>
    </w:p>
    <w:p w14:paraId="46FF4A13">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05EC92FF">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承包人按国家及广西发改委、北海市有关工程竣工验收的相关规定，向发包人提供完整准确的竣工资料（包括但不限于含甲方直接签署合同的项目及各分包项目的竣工资料及竣工图）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FE00E2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kern w:val="2"/>
          <w:sz w:val="21"/>
          <w:szCs w:val="21"/>
          <w:highlight w:val="none"/>
          <w:u w:val="single"/>
          <w:lang w:val="en-US" w:eastAsia="zh-CN" w:bidi="ar-SA"/>
        </w:rPr>
        <w:t xml:space="preserve">一式6套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E738FB">
      <w:pPr>
        <w:spacing w:line="360" w:lineRule="auto"/>
        <w:ind w:left="424" w:leftChars="202"/>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承包人自行承担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A05F836">
      <w:pPr>
        <w:spacing w:line="360" w:lineRule="auto"/>
        <w:ind w:left="424" w:leftChars="202"/>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kern w:val="2"/>
          <w:sz w:val="21"/>
          <w:szCs w:val="21"/>
          <w:highlight w:val="none"/>
          <w:u w:val="single"/>
          <w:lang w:val="en-US" w:eastAsia="zh-CN" w:bidi="ar-SA"/>
        </w:rPr>
        <w:t>竣工资料及竣工验收报告提交的时间是：竣工验收 15 日前。竣工图提交的时间是：竣工验收合格之日起15日内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027C0A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按竣工资料整理归档的相关要求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A5E7A2">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r>
        <w:rPr>
          <w:rFonts w:hint="eastAsia" w:ascii="宋体" w:hAnsi="宋体" w:eastAsia="宋体" w:cs="宋体"/>
          <w:color w:val="auto"/>
          <w:kern w:val="0"/>
          <w:sz w:val="21"/>
          <w:szCs w:val="21"/>
          <w:highlight w:val="none"/>
          <w:u w:val="single"/>
        </w:rPr>
        <w:t xml:space="preserve">对开工的项目，须组建项目工会。 1）配合发包人做好安全文明宣传、领导检查等工作，相关费用由承包人承担。2）本工程施工场地范围内水、电的使用、维护、拆除、恢复等由承包人负责，相关费用由承包人承担。3）承包人的临时占地（含项目部驻地等）租用费（含拆迁补偿）、临时用地的环保、恢复及施工范围内临时性占地的青苗补偿及地面附着物发生的费用均由承包人负责。4）承包人应为监理单位、发包人现场代表对施工现场的检查监督提供必要的配合，并对这种配合对施工的影响应有充分的考虑。5）经过城市道路的施工车辆，必须按交警、城管、环卫等部门规定执行。施工车辆的营运手续办理、清洗等一切费用由承包人承担。由于车辆带泥或洒漏造成的道路、环境等污染，其责任和费用均由承包人承担。6）为本工程借取合格土料或弃运余土，承包人负责本工程的取土料场和弃土场的征（租）用、复耕、平整等工作，发包人不再负责指定取土或弃土地点，包括取土费在内的相关费用均由承包人自理。7）取土料场和废土场的征（租）用、复耕、平整等工作由承包人负责，并负责提供检测合格的土料。8）承包人应负责施工场内交通管制和协调通行工作。连接施工场内外道路出口处须设洗车场，对从施工场地进入市区道路的所有车辆进行清洗，并派专人在出口处负责看守，严禁与工程施工无关的人员及车辆进出施工场地。如承包人违反以上有关规定，由此所造成的一切后果由承包人负责。9）承包人负责其本合同段在合同实施期内临时交通道路（含场内外连接公共交通道路）和临时交通设施的修建、维修、养护和交通管理工作，并承担一切费用。10）承包人在实施本合同工程所使用公共道路、水源、公共设施等必须保障发包人及其他人的财产、利益和权利免受损害，造成损坏的由承包人负责维修或赔偿，并承担一切费用。11）承包人的施工管理区及施工场地应设有临时的污水处理设施和施工排水设施，生活施工垃圾等处置应妥当，施工材料如涂料、化学品等应妥善存放，并设有防雨、防风、防火等措施，并承担一切费用。12）移交证书签发后，承包人应立即从签发了移交证书的工地上将所有有关的承包人的设备、多余材料、垃圾及各种临时工程清除、移走，并使这一部分工程及工地保持清洁。13）承包人应全权自费负责其劳务及职员的雇佣、工资的支付、房屋、膳食及运输的安排。承包人在任何时候应采取一切合理的预防措施，以防止其职员发生任何违法的、防碍治安的行为，并维护治安和保护工程附近的单位、个人或财产免遭上述行为的破坏，否则，由此造成的后果和费用均由承包人承担。14）承包人应按安全施工管理有关规定，配备安全管理机构，配备合格的专职安全员，负责处理全体工作人员和劳务人员的安全保护和防止事故等问题，如因承包人原因造成人员伤亡、财产损失等一切事故，由承包人负全责并承担费用。15）承包人在施工期间应协调好与邻近相关单位（含居民、农民）的关系，应避免发生矛盾与冲突，否则，由此造成的一切后果由承包人承担。16）对上述工作，费用已包括在有关单价和总价中，发包人不再另行支付由此所发生的一切费用  </w:t>
      </w:r>
      <w:r>
        <w:rPr>
          <w:rFonts w:hint="eastAsia" w:ascii="宋体" w:hAnsi="宋体" w:eastAsia="宋体" w:cs="宋体"/>
          <w:color w:val="auto"/>
          <w:kern w:val="0"/>
          <w:sz w:val="21"/>
          <w:szCs w:val="21"/>
          <w:highlight w:val="none"/>
        </w:rPr>
        <w:t>。</w:t>
      </w:r>
    </w:p>
    <w:p w14:paraId="63E846F6">
      <w:pPr>
        <w:outlineLvl w:val="9"/>
        <w:rPr>
          <w:rFonts w:hint="eastAsia" w:ascii="宋体" w:hAnsi="宋体" w:eastAsia="宋体" w:cs="宋体"/>
          <w:color w:val="auto"/>
          <w:sz w:val="21"/>
          <w:szCs w:val="21"/>
          <w:highlight w:val="none"/>
        </w:rPr>
      </w:pPr>
      <w:bookmarkStart w:id="250" w:name="_Toc78449796"/>
      <w:bookmarkStart w:id="251" w:name="_Toc1659520837"/>
      <w:bookmarkStart w:id="252" w:name="_Toc373478355"/>
      <w:bookmarkStart w:id="253" w:name="_Toc407135210"/>
      <w:bookmarkStart w:id="254" w:name="_Toc389065274"/>
      <w:bookmarkStart w:id="255" w:name="_Toc21106"/>
      <w:bookmarkStart w:id="256" w:name="_Toc373227708"/>
      <w:bookmarkStart w:id="257" w:name="_Toc501741485"/>
      <w:r>
        <w:rPr>
          <w:rFonts w:hint="eastAsia" w:ascii="宋体" w:hAnsi="宋体" w:eastAsia="宋体" w:cs="宋体"/>
          <w:color w:val="auto"/>
          <w:sz w:val="21"/>
          <w:szCs w:val="21"/>
          <w:highlight w:val="none"/>
        </w:rPr>
        <w:t>3.2 项目经理</w:t>
      </w:r>
      <w:bookmarkEnd w:id="250"/>
      <w:bookmarkEnd w:id="251"/>
      <w:bookmarkEnd w:id="252"/>
      <w:bookmarkEnd w:id="253"/>
      <w:bookmarkEnd w:id="254"/>
      <w:bookmarkEnd w:id="255"/>
      <w:bookmarkEnd w:id="256"/>
      <w:bookmarkEnd w:id="257"/>
    </w:p>
    <w:p w14:paraId="2138D52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10B4D780">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7F0D238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7EE509F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908ACC5">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4810E9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9A5C86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4950C57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0D7FE54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7D260F7E">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项目经理仅限于工程现场施工管理，未经承包人盖章同意，不得以承包人名义向外采购材料设备、租用建筑周转材料、雇用劳动力、签订分包合同等从事一切为承包人设立义务或责任的行为   </w:t>
      </w:r>
      <w:r>
        <w:rPr>
          <w:rFonts w:hint="eastAsia" w:ascii="宋体" w:hAnsi="宋体" w:eastAsia="宋体" w:cs="宋体"/>
          <w:color w:val="auto"/>
          <w:sz w:val="21"/>
          <w:szCs w:val="21"/>
          <w:highlight w:val="none"/>
        </w:rPr>
        <w:t>。</w:t>
      </w:r>
    </w:p>
    <w:p w14:paraId="54D71C94">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项目经理须长驻施工现场（办公时间每周不少于6天，每天不少于8小时）   </w:t>
      </w:r>
      <w:r>
        <w:rPr>
          <w:rFonts w:hint="eastAsia" w:ascii="宋体" w:hAnsi="宋体" w:eastAsia="宋体" w:cs="宋体"/>
          <w:color w:val="auto"/>
          <w:sz w:val="21"/>
          <w:szCs w:val="21"/>
          <w:highlight w:val="none"/>
        </w:rPr>
        <w:t>。</w:t>
      </w:r>
    </w:p>
    <w:p w14:paraId="20D706ED">
      <w:pPr>
        <w:spacing w:line="360" w:lineRule="auto"/>
        <w:ind w:firstLine="420" w:firstLineChars="200"/>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承包人未提交劳动合同，以及没有为项目经理缴纳社会保险证明的违约责任：</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业主有权处罚5万元以内罚款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8C44C47">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1500</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608C6EC4">
      <w:pPr>
        <w:adjustRightInd w:val="0"/>
        <w:snapToGrid w:val="0"/>
        <w:spacing w:line="460" w:lineRule="exact"/>
        <w:ind w:firstLine="0" w:firstLineChars="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 xml:space="preserve">承包人项目经理必须与承包人竞标时所承诺的人员一致，并在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（开工日期）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前到</w:t>
      </w:r>
      <w:r>
        <w:rPr>
          <w:rFonts w:hint="eastAsia" w:ascii="宋体" w:hAnsi="宋体" w:eastAsia="宋体" w:cs="宋体"/>
          <w:color w:val="auto"/>
          <w:sz w:val="21"/>
          <w:szCs w:val="21"/>
          <w:highlight w:val="none"/>
          <w:u w:val="none"/>
        </w:rPr>
        <w:t>任。</w:t>
      </w:r>
      <w:r>
        <w:rPr>
          <w:rFonts w:hint="eastAsia" w:ascii="宋体" w:hAnsi="宋体" w:eastAsia="宋体" w:cs="宋体"/>
          <w:color w:val="auto"/>
          <w:sz w:val="21"/>
          <w:szCs w:val="21"/>
          <w:highlight w:val="none"/>
          <w:u w:val="single"/>
        </w:rPr>
        <w:t>在监理人向承包人颁发    （竣工证明材料名称）   前，项目经理不得同时兼任其他任何项目的项目经理</w:t>
      </w:r>
      <w:r>
        <w:rPr>
          <w:rFonts w:hint="eastAsia" w:ascii="宋体" w:hAnsi="宋体" w:eastAsia="宋体" w:cs="宋体"/>
          <w:color w:val="auto"/>
          <w:kern w:val="2"/>
          <w:sz w:val="21"/>
          <w:szCs w:val="21"/>
          <w:highlight w:val="none"/>
          <w:u w:val="single"/>
        </w:rPr>
        <w:t>（</w:t>
      </w:r>
      <w:r>
        <w:rPr>
          <w:rFonts w:hint="eastAsia" w:ascii="宋体" w:hAnsi="宋体" w:eastAsia="宋体" w:cs="宋体"/>
          <w:color w:val="auto"/>
          <w:kern w:val="2"/>
          <w:sz w:val="21"/>
          <w:szCs w:val="21"/>
          <w:highlight w:val="none"/>
          <w:u w:val="single"/>
          <w:lang w:eastAsia="zh-CN"/>
        </w:rPr>
        <w:t>符合</w:t>
      </w:r>
      <w:r>
        <w:rPr>
          <w:rFonts w:hint="eastAsia" w:ascii="宋体" w:hAnsi="宋体" w:eastAsia="宋体" w:cs="宋体"/>
          <w:color w:val="auto"/>
          <w:sz w:val="21"/>
          <w:szCs w:val="21"/>
          <w:highlight w:val="none"/>
          <w:u w:val="single"/>
        </w:rPr>
        <w:t>《广西壮族自治区建筑市场诚信卡管理暂行办法》第十六条第一款及桂建管﹝</w:t>
      </w:r>
      <w:r>
        <w:rPr>
          <w:rFonts w:hint="eastAsia" w:ascii="宋体" w:hAnsi="宋体" w:eastAsia="宋体" w:cs="宋体"/>
          <w:color w:val="auto"/>
          <w:kern w:val="2"/>
          <w:sz w:val="21"/>
          <w:szCs w:val="21"/>
          <w:highlight w:val="none"/>
          <w:u w:val="single"/>
        </w:rPr>
        <w:t>2016</w:t>
      </w:r>
      <w:r>
        <w:rPr>
          <w:rFonts w:hint="eastAsia" w:ascii="宋体" w:hAnsi="宋体" w:eastAsia="宋体" w:cs="宋体"/>
          <w:color w:val="auto"/>
          <w:sz w:val="21"/>
          <w:szCs w:val="21"/>
          <w:highlight w:val="none"/>
          <w:u w:val="single"/>
        </w:rPr>
        <w:t>﹞70号</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桂建管〔2020〕11号</w:t>
      </w:r>
      <w:r>
        <w:rPr>
          <w:rFonts w:hint="eastAsia" w:ascii="宋体" w:hAnsi="宋体" w:eastAsia="宋体" w:cs="宋体"/>
          <w:color w:val="auto"/>
          <w:kern w:val="2"/>
          <w:sz w:val="21"/>
          <w:szCs w:val="21"/>
          <w:highlight w:val="none"/>
          <w:u w:val="single"/>
        </w:rPr>
        <w:t>文除外）</w:t>
      </w:r>
      <w:r>
        <w:rPr>
          <w:rFonts w:hint="eastAsia" w:ascii="宋体" w:hAnsi="宋体" w:eastAsia="宋体" w:cs="宋体"/>
          <w:color w:val="auto"/>
          <w:sz w:val="21"/>
          <w:szCs w:val="21"/>
          <w:highlight w:val="none"/>
          <w:u w:val="single"/>
        </w:rPr>
        <w:t>。未经发包人书面同意，承包人擅自更换项目经理的视为违约，违约金处  50000  元/人•次（人民币）。</w:t>
      </w:r>
    </w:p>
    <w:p w14:paraId="2F00A52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因承包人项目经理不称职，发包人要求调换而未及时调换的，视为承包人违约，必须向发包人交纳处罚金  8000  元/人•次（人民币）</w:t>
      </w:r>
      <w:r>
        <w:rPr>
          <w:rFonts w:hint="eastAsia" w:ascii="宋体" w:hAnsi="宋体" w:eastAsia="宋体" w:cs="宋体"/>
          <w:color w:val="auto"/>
          <w:sz w:val="21"/>
          <w:szCs w:val="21"/>
          <w:highlight w:val="none"/>
        </w:rPr>
        <w:t>。</w:t>
      </w:r>
    </w:p>
    <w:p w14:paraId="6ABB60B1">
      <w:pPr>
        <w:outlineLvl w:val="9"/>
        <w:rPr>
          <w:rFonts w:hint="eastAsia" w:ascii="宋体" w:hAnsi="宋体" w:eastAsia="宋体" w:cs="宋体"/>
          <w:color w:val="auto"/>
          <w:sz w:val="21"/>
          <w:szCs w:val="21"/>
          <w:highlight w:val="none"/>
        </w:rPr>
      </w:pPr>
      <w:bookmarkStart w:id="258" w:name="_Toc373478356"/>
      <w:bookmarkStart w:id="259" w:name="_Toc78449797"/>
      <w:bookmarkStart w:id="260" w:name="_Toc747710271"/>
      <w:bookmarkStart w:id="261" w:name="_Toc27526"/>
      <w:bookmarkStart w:id="262" w:name="_Toc373227709"/>
      <w:bookmarkStart w:id="263" w:name="_Toc1443830486"/>
      <w:bookmarkStart w:id="264" w:name="_Toc407135211"/>
      <w:bookmarkStart w:id="265" w:name="_Toc389065275"/>
      <w:r>
        <w:rPr>
          <w:rFonts w:hint="eastAsia" w:ascii="宋体" w:hAnsi="宋体" w:eastAsia="宋体" w:cs="宋体"/>
          <w:color w:val="auto"/>
          <w:sz w:val="21"/>
          <w:szCs w:val="21"/>
          <w:highlight w:val="none"/>
        </w:rPr>
        <w:t>3.3 承包人人员</w:t>
      </w:r>
      <w:bookmarkEnd w:id="258"/>
      <w:bookmarkEnd w:id="259"/>
      <w:bookmarkEnd w:id="260"/>
      <w:bookmarkEnd w:id="261"/>
      <w:bookmarkEnd w:id="262"/>
      <w:bookmarkEnd w:id="263"/>
      <w:bookmarkEnd w:id="264"/>
      <w:bookmarkEnd w:id="265"/>
    </w:p>
    <w:p w14:paraId="0CB5BFBF">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）的期限：</w:t>
      </w:r>
    </w:p>
    <w:p w14:paraId="3AC0ABFB">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签订施工合同后5日内提供所有现场管理人员名单及相关资质证书、上岗证书  </w:t>
      </w:r>
      <w:r>
        <w:rPr>
          <w:rFonts w:hint="eastAsia" w:ascii="宋体" w:hAnsi="宋体" w:eastAsia="宋体" w:cs="宋体"/>
          <w:color w:val="auto"/>
          <w:sz w:val="21"/>
          <w:szCs w:val="21"/>
          <w:highlight w:val="none"/>
        </w:rPr>
        <w:t>。</w:t>
      </w:r>
    </w:p>
    <w:p w14:paraId="6A2BD87B">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5000</w:t>
      </w:r>
      <w:r>
        <w:rPr>
          <w:rFonts w:hint="eastAsia" w:ascii="宋体" w:hAnsi="宋体" w:eastAsia="宋体" w:cs="宋体"/>
          <w:color w:val="auto"/>
          <w:sz w:val="21"/>
          <w:szCs w:val="21"/>
          <w:highlight w:val="none"/>
          <w:u w:val="single"/>
        </w:rPr>
        <w:t xml:space="preserve">  元/人•次（人民币）；专业工程师  </w:t>
      </w:r>
      <w:r>
        <w:rPr>
          <w:rStyle w:val="39"/>
          <w:rFonts w:hint="eastAsia" w:ascii="宋体" w:hAnsi="宋体" w:eastAsia="宋体" w:cs="宋体"/>
          <w:color w:val="auto"/>
          <w:sz w:val="21"/>
          <w:szCs w:val="21"/>
          <w:highlight w:val="none"/>
          <w:u w:val="single"/>
          <w:lang w:val="en-US" w:eastAsia="zh-CN"/>
        </w:rPr>
        <w:t xml:space="preserve">2000 </w:t>
      </w:r>
      <w:r>
        <w:rPr>
          <w:rFonts w:hint="eastAsia" w:ascii="宋体" w:hAnsi="宋体" w:eastAsia="宋体" w:cs="宋体"/>
          <w:color w:val="auto"/>
          <w:sz w:val="21"/>
          <w:szCs w:val="21"/>
          <w:highlight w:val="none"/>
          <w:u w:val="single"/>
        </w:rPr>
        <w:t xml:space="preserve"> 元/人•次（人民币）</w:t>
      </w:r>
      <w:r>
        <w:rPr>
          <w:rFonts w:hint="eastAsia" w:ascii="宋体" w:hAnsi="宋体" w:eastAsia="宋体" w:cs="宋体"/>
          <w:color w:val="auto"/>
          <w:sz w:val="21"/>
          <w:szCs w:val="21"/>
          <w:highlight w:val="none"/>
        </w:rPr>
        <w:t>。</w:t>
      </w:r>
    </w:p>
    <w:p w14:paraId="2263BC12">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须向发包人书面申请并经发包人书面批准同意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947B4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 xml:space="preserve">项目技术负责人、专职安全生产管理人员及其承诺的其它在场管理人员未经发包人书面同意不准擅自更换，擅自更换项目技术负责人处  </w:t>
      </w:r>
      <w:r>
        <w:rPr>
          <w:rStyle w:val="39"/>
          <w:rFonts w:hint="eastAsia" w:ascii="宋体" w:hAnsi="宋体" w:eastAsia="宋体" w:cs="宋体"/>
          <w:color w:val="auto"/>
          <w:sz w:val="21"/>
          <w:szCs w:val="21"/>
          <w:highlight w:val="none"/>
          <w:u w:val="single"/>
        </w:rPr>
        <w:t>5000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元/人•次（人民币）违约金；擅自更换专职安全生产管理人员处  </w:t>
      </w:r>
      <w:r>
        <w:rPr>
          <w:rStyle w:val="39"/>
          <w:rFonts w:hint="eastAsia" w:ascii="宋体" w:hAnsi="宋体" w:eastAsia="宋体" w:cs="宋体"/>
          <w:color w:val="auto"/>
          <w:sz w:val="21"/>
          <w:szCs w:val="21"/>
          <w:highlight w:val="none"/>
          <w:u w:val="single"/>
          <w:lang w:val="en-US" w:eastAsia="zh-CN"/>
        </w:rPr>
        <w:t>2000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元/人•次（人民币）违约金；擅自更换其它在场管理人员处  </w:t>
      </w:r>
      <w:r>
        <w:rPr>
          <w:rStyle w:val="39"/>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u w:val="single"/>
        </w:rPr>
        <w:t xml:space="preserve">  元/人•次（人民币）违约金</w:t>
      </w:r>
      <w:r>
        <w:rPr>
          <w:rFonts w:hint="eastAsia" w:ascii="宋体" w:hAnsi="宋体" w:eastAsia="宋体" w:cs="宋体"/>
          <w:color w:val="auto"/>
          <w:sz w:val="21"/>
          <w:szCs w:val="21"/>
          <w:highlight w:val="none"/>
        </w:rPr>
        <w:t>。</w:t>
      </w:r>
    </w:p>
    <w:p w14:paraId="4F27ED5C">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 xml:space="preserve">未经发包人同意，项目技术负责人擅自离岗的，视为承包人违约，发包人有权处违约金  </w:t>
      </w:r>
      <w:r>
        <w:rPr>
          <w:rStyle w:val="39"/>
          <w:rFonts w:hint="eastAsia" w:ascii="宋体" w:hAnsi="宋体" w:eastAsia="宋体" w:cs="宋体"/>
          <w:color w:val="auto"/>
          <w:sz w:val="21"/>
          <w:szCs w:val="21"/>
          <w:highlight w:val="none"/>
          <w:u w:val="single"/>
          <w:lang w:val="en-US" w:eastAsia="zh-CN"/>
        </w:rPr>
        <w:t xml:space="preserve">5000 </w:t>
      </w:r>
      <w:r>
        <w:rPr>
          <w:rFonts w:hint="eastAsia" w:ascii="宋体" w:hAnsi="宋体" w:eastAsia="宋体" w:cs="宋体"/>
          <w:color w:val="auto"/>
          <w:sz w:val="21"/>
          <w:szCs w:val="21"/>
          <w:highlight w:val="none"/>
          <w:u w:val="single"/>
        </w:rPr>
        <w:t xml:space="preserve"> 元/人•次（人民币）；未经发包人同意，专职安全生产管理人员擅自离岗的，视为承包人违约，发包人有权处违约金  </w:t>
      </w:r>
      <w:r>
        <w:rPr>
          <w:rStyle w:val="39"/>
          <w:rFonts w:hint="eastAsia" w:ascii="宋体" w:hAnsi="宋体" w:eastAsia="宋体" w:cs="宋体"/>
          <w:color w:val="auto"/>
          <w:sz w:val="21"/>
          <w:szCs w:val="21"/>
          <w:highlight w:val="none"/>
          <w:u w:val="single"/>
          <w:lang w:val="en-US" w:eastAsia="zh-CN"/>
        </w:rPr>
        <w:t>2000</w:t>
      </w:r>
      <w:r>
        <w:rPr>
          <w:rFonts w:hint="eastAsia" w:ascii="宋体" w:hAnsi="宋体" w:eastAsia="宋体" w:cs="宋体"/>
          <w:color w:val="auto"/>
          <w:sz w:val="21"/>
          <w:szCs w:val="21"/>
          <w:highlight w:val="none"/>
          <w:u w:val="single"/>
        </w:rPr>
        <w:t xml:space="preserve">  元/人•次（人民币）；其它在场管理人员擅自离岗的，视为承包人违约，发包人有权处违约金  </w:t>
      </w:r>
      <w:r>
        <w:rPr>
          <w:rStyle w:val="39"/>
          <w:rFonts w:hint="eastAsia" w:ascii="宋体" w:hAnsi="宋体" w:eastAsia="宋体" w:cs="宋体"/>
          <w:color w:val="auto"/>
          <w:sz w:val="21"/>
          <w:szCs w:val="21"/>
          <w:highlight w:val="none"/>
          <w:u w:val="single"/>
          <w:lang w:val="en-US" w:eastAsia="zh-CN"/>
        </w:rPr>
        <w:t>1000</w:t>
      </w:r>
      <w:r>
        <w:rPr>
          <w:rFonts w:hint="eastAsia" w:ascii="宋体" w:hAnsi="宋体" w:eastAsia="宋体" w:cs="宋体"/>
          <w:color w:val="auto"/>
          <w:sz w:val="21"/>
          <w:szCs w:val="21"/>
          <w:highlight w:val="none"/>
          <w:u w:val="single"/>
        </w:rPr>
        <w:t xml:space="preserve">  元/人•次（人民币）</w:t>
      </w:r>
      <w:r>
        <w:rPr>
          <w:rFonts w:hint="eastAsia" w:ascii="宋体" w:hAnsi="宋体" w:eastAsia="宋体" w:cs="宋体"/>
          <w:color w:val="auto"/>
          <w:sz w:val="21"/>
          <w:szCs w:val="21"/>
          <w:highlight w:val="none"/>
        </w:rPr>
        <w:t>。</w:t>
      </w:r>
    </w:p>
    <w:p w14:paraId="7BA43454">
      <w:pPr>
        <w:outlineLvl w:val="9"/>
        <w:rPr>
          <w:rFonts w:hint="eastAsia" w:ascii="宋体" w:hAnsi="宋体" w:eastAsia="宋体" w:cs="宋体"/>
          <w:color w:val="auto"/>
          <w:sz w:val="21"/>
          <w:szCs w:val="21"/>
          <w:highlight w:val="none"/>
        </w:rPr>
      </w:pPr>
      <w:bookmarkStart w:id="266" w:name="_Toc373227710"/>
      <w:bookmarkStart w:id="267" w:name="_Toc78449798"/>
      <w:bookmarkStart w:id="268" w:name="_Toc373478357"/>
      <w:bookmarkStart w:id="269" w:name="_Toc407135212"/>
      <w:bookmarkStart w:id="270" w:name="_Toc2066279184"/>
      <w:bookmarkStart w:id="271" w:name="_Toc17092"/>
      <w:bookmarkStart w:id="272" w:name="_Toc2025600126"/>
      <w:bookmarkStart w:id="273" w:name="_Toc389065276"/>
      <w:r>
        <w:rPr>
          <w:rFonts w:hint="eastAsia" w:ascii="宋体" w:hAnsi="宋体" w:eastAsia="宋体" w:cs="宋体"/>
          <w:color w:val="auto"/>
          <w:sz w:val="21"/>
          <w:szCs w:val="21"/>
          <w:highlight w:val="none"/>
        </w:rPr>
        <w:t>3</w:t>
      </w:r>
      <w:bookmarkStart w:id="274" w:name="_Toc292559869"/>
      <w:bookmarkStart w:id="275" w:name="_Toc297216151"/>
      <w:bookmarkStart w:id="276" w:name="_Toc297120459"/>
      <w:bookmarkStart w:id="277" w:name="_Toc296890987"/>
      <w:bookmarkStart w:id="278" w:name="_Toc296346660"/>
      <w:bookmarkStart w:id="279" w:name="_Toc296891199"/>
      <w:bookmarkStart w:id="280" w:name="_Toc297048345"/>
      <w:bookmarkStart w:id="281" w:name="_Toc296944498"/>
      <w:bookmarkStart w:id="282" w:name="_Toc297123492"/>
      <w:bookmarkStart w:id="283" w:name="_Toc300934945"/>
      <w:bookmarkStart w:id="284" w:name="_Toc303539102"/>
      <w:bookmarkStart w:id="285" w:name="_Toc292559364"/>
      <w:bookmarkStart w:id="286" w:name="_Toc304295523"/>
      <w:bookmarkStart w:id="287" w:name="_Toc296347158"/>
      <w:bookmarkStart w:id="288" w:name="_Toc296503159"/>
      <w:bookmarkStart w:id="289" w:name="_Toc312677988"/>
      <w:r>
        <w:rPr>
          <w:rFonts w:hint="eastAsia" w:ascii="宋体" w:hAnsi="宋体" w:eastAsia="宋体" w:cs="宋体"/>
          <w:color w:val="auto"/>
          <w:sz w:val="21"/>
          <w:szCs w:val="21"/>
          <w:highlight w:val="none"/>
        </w:rPr>
        <w:t>.5 分包</w:t>
      </w:r>
      <w:bookmarkEnd w:id="266"/>
      <w:bookmarkEnd w:id="267"/>
      <w:bookmarkEnd w:id="268"/>
      <w:bookmarkEnd w:id="269"/>
      <w:bookmarkEnd w:id="270"/>
      <w:bookmarkEnd w:id="271"/>
      <w:bookmarkEnd w:id="272"/>
      <w:bookmarkEnd w:id="273"/>
    </w:p>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14:paraId="0FA616E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0" w:name="_Toc296346661"/>
      <w:bookmarkStart w:id="291" w:name="_Toc297120460"/>
      <w:bookmarkStart w:id="292" w:name="_Toc296890988"/>
      <w:bookmarkStart w:id="293" w:name="_Toc296891200"/>
      <w:bookmarkStart w:id="294" w:name="_Toc296944499"/>
      <w:bookmarkStart w:id="295" w:name="_Toc297048346"/>
      <w:bookmarkStart w:id="296" w:name="_Toc296347159"/>
      <w:bookmarkStart w:id="297" w:name="_Toc312677989"/>
      <w:bookmarkStart w:id="298" w:name="_Toc300934946"/>
      <w:bookmarkStart w:id="299" w:name="_Toc296503160"/>
      <w:bookmarkStart w:id="300" w:name="_Toc318581158"/>
      <w:bookmarkStart w:id="301" w:name="_Toc297216152"/>
      <w:bookmarkStart w:id="302" w:name="_Toc292559365"/>
      <w:bookmarkStart w:id="303" w:name="_Toc297123493"/>
      <w:bookmarkStart w:id="304" w:name="_Toc303539103"/>
      <w:bookmarkStart w:id="305" w:name="_Toc292559870"/>
      <w:bookmarkStart w:id="306" w:name="_Toc304295524"/>
      <w:r>
        <w:rPr>
          <w:rFonts w:hint="eastAsia" w:ascii="宋体" w:hAnsi="宋体" w:eastAsia="宋体" w:cs="宋体"/>
          <w:color w:val="auto"/>
          <w:sz w:val="21"/>
          <w:szCs w:val="21"/>
          <w:highlight w:val="none"/>
        </w:rPr>
        <w:t>.5.1 分包的一般约定</w:t>
      </w:r>
    </w:p>
    <w:p w14:paraId="35903ADD">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禁止工程分包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F13D35">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见施工图纸</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2F8DAF7">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307" w:name="_Toc312677990"/>
      <w:bookmarkStart w:id="308" w:name="_Toc318581159"/>
      <w:r>
        <w:rPr>
          <w:rFonts w:hint="eastAsia" w:ascii="宋体" w:hAnsi="宋体" w:eastAsia="宋体" w:cs="宋体"/>
          <w:color w:val="auto"/>
          <w:sz w:val="21"/>
          <w:szCs w:val="21"/>
          <w:highlight w:val="none"/>
        </w:rPr>
        <w:t>.5.2 分包的确定</w:t>
      </w:r>
    </w:p>
    <w:p w14:paraId="77818389">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075BBBD">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5CF6A455">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0275B270">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（2）在相关分包合同签订并报送有关建设行政主管部门备案后7天内，承包人应当将一份副本提交给监理人，承包人应保障分包工作不得再次分包。</w:t>
      </w:r>
    </w:p>
    <w:p w14:paraId="4CFB0FAA">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（3）未经承包人和监理人审批同意的分包工程和分包人，承包人有权拒绝验收分包工程和支付相应款项，由此引起的发包人费用增加和(或)延误的工期由发包人承担。</w:t>
      </w:r>
    </w:p>
    <w:p w14:paraId="46E4C49D">
      <w:pPr>
        <w:pStyle w:val="22"/>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（4）承包人有以下情况之一者，发包人有权解除合同，并视情况扣除其履约保证金：</w:t>
      </w:r>
    </w:p>
    <w:p w14:paraId="2D671ABD">
      <w:pPr>
        <w:pStyle w:val="22"/>
        <w:spacing w:line="360" w:lineRule="auto"/>
        <w:ind w:firstLine="441" w:firstLineChars="21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①个人承包工程，包括本人单位及外单位人员承包，发包人不承认其个人拥有任何资质等级及营业许可资格。没收全部履约保证金。</w:t>
      </w:r>
    </w:p>
    <w:p w14:paraId="4A14F170">
      <w:pPr>
        <w:pStyle w:val="22"/>
        <w:spacing w:line="360" w:lineRule="auto"/>
        <w:ind w:firstLine="441" w:firstLineChars="21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②几个人联合承包工程，就地组织暗分包队伍，不具备完成本工程的技术、机械能力，被发包人判定为没有能力履行的承包人。没收全部履约保证金。</w:t>
      </w:r>
    </w:p>
    <w:p w14:paraId="1A8E0786">
      <w:pPr>
        <w:pStyle w:val="22"/>
        <w:spacing w:line="360" w:lineRule="auto"/>
        <w:ind w:firstLine="441" w:firstLineChars="21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③就地转包全部的工程，以谋取高额转让费、管理费的承包人。没收全部履约保证金。</w:t>
      </w:r>
    </w:p>
    <w:p w14:paraId="2DA8385E">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④承包人有部分分包现象（其中包括冒充承包人下属单位的挂勾单位，凭口头协议参与施工的分包人及其他暗分包个体户），一经发现核实，发包人将采取驱逐该暗分包人措施。没收全部履约保证金。</w:t>
      </w:r>
    </w:p>
    <w:p w14:paraId="343FCE6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307"/>
    <w:bookmarkEnd w:id="308"/>
    <w:p w14:paraId="4E7BF6F6">
      <w:pPr>
        <w:spacing w:line="360" w:lineRule="auto"/>
        <w:ind w:firstLine="420" w:firstLineChars="200"/>
        <w:rPr>
          <w:rFonts w:hint="eastAsia" w:ascii="宋体" w:hAnsi="宋体" w:eastAsia="宋体" w:cs="宋体"/>
          <w:color w:val="auto"/>
          <w:sz w:val="21"/>
          <w:szCs w:val="21"/>
          <w:highlight w:val="none"/>
        </w:rPr>
      </w:pPr>
      <w:bookmarkStart w:id="309" w:name="_Toc389065277"/>
      <w:bookmarkStart w:id="310" w:name="_Toc373478358"/>
      <w:bookmarkStart w:id="311"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D07583E">
      <w:pPr>
        <w:outlineLvl w:val="9"/>
        <w:rPr>
          <w:rFonts w:hint="eastAsia" w:ascii="宋体" w:hAnsi="宋体" w:eastAsia="宋体" w:cs="宋体"/>
          <w:color w:val="auto"/>
          <w:sz w:val="21"/>
          <w:szCs w:val="21"/>
          <w:highlight w:val="none"/>
        </w:rPr>
      </w:pPr>
      <w:bookmarkStart w:id="312" w:name="_Toc101808609"/>
      <w:bookmarkStart w:id="313" w:name="_Toc407135213"/>
      <w:bookmarkStart w:id="314" w:name="_Toc57329529"/>
      <w:bookmarkStart w:id="315" w:name="_Toc1095"/>
      <w:bookmarkStart w:id="316" w:name="_Toc78449799"/>
      <w:r>
        <w:rPr>
          <w:rFonts w:hint="eastAsia" w:ascii="宋体" w:hAnsi="宋体" w:eastAsia="宋体" w:cs="宋体"/>
          <w:color w:val="auto"/>
          <w:sz w:val="21"/>
          <w:szCs w:val="21"/>
          <w:highlight w:val="none"/>
        </w:rPr>
        <w:t>3.6 工程照管与成品、半成品保护</w:t>
      </w:r>
      <w:bookmarkEnd w:id="309"/>
      <w:bookmarkEnd w:id="310"/>
      <w:bookmarkEnd w:id="311"/>
      <w:bookmarkEnd w:id="312"/>
      <w:bookmarkEnd w:id="313"/>
      <w:bookmarkEnd w:id="314"/>
      <w:bookmarkEnd w:id="315"/>
      <w:bookmarkEnd w:id="316"/>
    </w:p>
    <w:p w14:paraId="74338A5C">
      <w:pPr>
        <w:spacing w:line="360" w:lineRule="auto"/>
        <w:ind w:firstLine="420" w:firstLineChars="200"/>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 xml:space="preserve">  </w:t>
      </w:r>
      <w:r>
        <w:rPr>
          <w:rStyle w:val="39"/>
          <w:rFonts w:hint="eastAsia" w:ascii="宋体" w:hAnsi="宋体" w:eastAsia="宋体" w:cs="宋体"/>
          <w:color w:val="auto"/>
          <w:kern w:val="0"/>
          <w:sz w:val="21"/>
          <w:szCs w:val="21"/>
          <w:highlight w:val="none"/>
          <w:u w:val="single"/>
        </w:rPr>
        <w:t>工程开工之日起至质保期满之前的所有成品、半成品的保护工作均由承包人负责</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D61B14D">
      <w:pPr>
        <w:outlineLvl w:val="9"/>
        <w:rPr>
          <w:rFonts w:hint="eastAsia" w:ascii="宋体" w:hAnsi="宋体" w:eastAsia="宋体" w:cs="宋体"/>
          <w:color w:val="auto"/>
          <w:sz w:val="21"/>
          <w:szCs w:val="21"/>
          <w:highlight w:val="none"/>
        </w:rPr>
      </w:pPr>
      <w:bookmarkStart w:id="317" w:name="_Toc373227712"/>
      <w:bookmarkStart w:id="318" w:name="_Toc373478359"/>
      <w:bookmarkStart w:id="319" w:name="_Toc389065278"/>
      <w:bookmarkStart w:id="320" w:name="_Toc407135214"/>
      <w:bookmarkStart w:id="321" w:name="_Toc1649716734"/>
      <w:bookmarkStart w:id="322" w:name="_Toc78449800"/>
      <w:bookmarkStart w:id="323" w:name="_Toc1042049436"/>
      <w:bookmarkStart w:id="324" w:name="_Toc7674"/>
      <w:r>
        <w:rPr>
          <w:rFonts w:hint="eastAsia" w:ascii="宋体" w:hAnsi="宋体" w:eastAsia="宋体" w:cs="宋体"/>
          <w:color w:val="auto"/>
          <w:sz w:val="21"/>
          <w:szCs w:val="21"/>
          <w:highlight w:val="none"/>
        </w:rPr>
        <w:t>3.7 履约</w:t>
      </w:r>
      <w:bookmarkEnd w:id="317"/>
      <w:bookmarkEnd w:id="318"/>
      <w:bookmarkEnd w:id="319"/>
      <w:r>
        <w:rPr>
          <w:rFonts w:hint="eastAsia" w:ascii="宋体" w:hAnsi="宋体" w:eastAsia="宋体" w:cs="宋体"/>
          <w:color w:val="auto"/>
          <w:sz w:val="21"/>
          <w:szCs w:val="21"/>
          <w:highlight w:val="none"/>
        </w:rPr>
        <w:t>保证金</w:t>
      </w:r>
      <w:bookmarkEnd w:id="320"/>
      <w:bookmarkEnd w:id="321"/>
      <w:bookmarkEnd w:id="322"/>
      <w:bookmarkEnd w:id="323"/>
      <w:bookmarkEnd w:id="324"/>
    </w:p>
    <w:p w14:paraId="5047C02E">
      <w:pPr>
        <w:spacing w:line="360" w:lineRule="auto"/>
        <w:ind w:firstLine="420" w:firstLineChars="200"/>
        <w:jc w:val="left"/>
        <w:outlineLvl w:val="9"/>
        <w:rPr>
          <w:rFonts w:hint="eastAsia" w:ascii="宋体" w:hAnsi="宋体" w:eastAsia="宋体" w:cs="宋体"/>
          <w:color w:val="auto"/>
          <w:sz w:val="21"/>
          <w:szCs w:val="21"/>
          <w:highlight w:val="none"/>
          <w:u w:val="single"/>
        </w:rPr>
      </w:pPr>
      <w:bookmarkStart w:id="325" w:name="_Toc351203636"/>
      <w:bookmarkStart w:id="326" w:name="_Toc373227713"/>
      <w:bookmarkStart w:id="327" w:name="_Toc389065279"/>
      <w:bookmarkStart w:id="328" w:name="_Toc373478360"/>
      <w:r>
        <w:rPr>
          <w:rFonts w:hint="eastAsia" w:ascii="宋体" w:hAnsi="宋体" w:eastAsia="宋体" w:cs="宋体"/>
          <w:color w:val="auto"/>
          <w:sz w:val="21"/>
          <w:szCs w:val="21"/>
          <w:highlight w:val="none"/>
        </w:rPr>
        <w:t>承包人提供履约担保的形式、金额及期限的：</w:t>
      </w:r>
      <w:r>
        <w:rPr>
          <w:rFonts w:hint="eastAsia" w:ascii="宋体" w:hAnsi="宋体" w:eastAsia="宋体" w:cs="宋体"/>
          <w:color w:val="auto"/>
          <w:sz w:val="21"/>
          <w:szCs w:val="21"/>
          <w:highlight w:val="none"/>
          <w:u w:val="single"/>
        </w:rPr>
        <w:t>承包人在收到</w:t>
      </w:r>
      <w:r>
        <w:rPr>
          <w:rFonts w:hint="eastAsia" w:ascii="宋体" w:hAnsi="宋体" w:eastAsia="宋体" w:cs="宋体"/>
          <w:color w:val="auto"/>
          <w:sz w:val="21"/>
          <w:szCs w:val="21"/>
          <w:highlight w:val="none"/>
          <w:u w:val="single"/>
          <w:lang w:val="en-US" w:eastAsia="zh-CN"/>
        </w:rPr>
        <w:t>成交通知书</w:t>
      </w:r>
      <w:r>
        <w:rPr>
          <w:rFonts w:hint="eastAsia" w:ascii="宋体" w:hAnsi="宋体" w:eastAsia="宋体" w:cs="宋体"/>
          <w:color w:val="auto"/>
          <w:sz w:val="21"/>
          <w:szCs w:val="21"/>
          <w:highlight w:val="none"/>
          <w:u w:val="single"/>
        </w:rPr>
        <w:t xml:space="preserve">后，须在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日内向发包人提交合同价款扣除发包人材料设备价款、暂估专业工程、暂列金额后的 </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 xml:space="preserve"> %的履约担保。履约担保的有效期应当自本合同生效之日起至发包人签认并由监理人向承包人出具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（竣工证明材料名称）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之日止。如果承包人无法获得一份不带具体截止日期的担保，履约担保中应当有“变更工程竣工日期的，保证期间按照变更后的竣工日期做相应调整”或类似约定的条款。</w:t>
      </w:r>
    </w:p>
    <w:p w14:paraId="2F00291B">
      <w:pPr>
        <w:spacing w:line="360" w:lineRule="auto"/>
        <w:ind w:firstLine="420" w:firstLineChars="200"/>
        <w:jc w:val="left"/>
        <w:outlineLvl w:val="9"/>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承包人</w:t>
      </w: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lang w:eastAsia="zh-CN"/>
        </w:rPr>
        <w:t>履约</w:t>
      </w:r>
      <w:r>
        <w:rPr>
          <w:rFonts w:hint="eastAsia" w:ascii="宋体" w:hAnsi="宋体" w:eastAsia="宋体" w:cs="宋体"/>
          <w:color w:val="auto"/>
          <w:sz w:val="21"/>
          <w:szCs w:val="21"/>
          <w:highlight w:val="none"/>
        </w:rPr>
        <w:t>担保的形式：</w:t>
      </w:r>
      <w:r>
        <w:rPr>
          <w:rFonts w:hint="eastAsia" w:ascii="宋体" w:hAnsi="宋体" w:eastAsia="宋体" w:cs="宋体"/>
          <w:color w:val="auto"/>
          <w:sz w:val="21"/>
          <w:szCs w:val="21"/>
          <w:highlight w:val="none"/>
          <w:u w:val="none"/>
          <w:lang w:eastAsia="zh-CN"/>
        </w:rPr>
        <w:t>可以是</w:t>
      </w:r>
      <w:r>
        <w:rPr>
          <w:rFonts w:hint="eastAsia" w:ascii="宋体" w:hAnsi="宋体" w:eastAsia="宋体" w:cs="宋体"/>
          <w:color w:val="auto"/>
          <w:sz w:val="21"/>
          <w:szCs w:val="21"/>
          <w:highlight w:val="none"/>
          <w:u w:val="single"/>
        </w:rPr>
        <w:t>银行转账、电汇或网上支付、保函（银行保函、电子保函、保证保险保函、工程担保保函）</w:t>
      </w:r>
      <w:r>
        <w:rPr>
          <w:rFonts w:hint="eastAsia" w:ascii="宋体" w:hAnsi="宋体" w:eastAsia="宋体" w:cs="宋体"/>
          <w:color w:val="auto"/>
          <w:sz w:val="21"/>
          <w:szCs w:val="21"/>
          <w:highlight w:val="none"/>
        </w:rPr>
        <w:t>等形式。</w:t>
      </w:r>
      <w:r>
        <w:rPr>
          <w:rFonts w:hint="eastAsia" w:ascii="宋体" w:hAnsi="宋体" w:eastAsia="宋体" w:cs="宋体"/>
          <w:color w:val="auto"/>
          <w:sz w:val="21"/>
          <w:szCs w:val="21"/>
          <w:highlight w:val="none"/>
          <w:u w:val="single"/>
        </w:rPr>
        <w:t>工程担保保证人应将出具的保函相关信息录入“广西建筑市场监管云”平台（http://gxjzsc.caihcloud.com），以实现保函查询及验真功能</w:t>
      </w:r>
      <w:r>
        <w:rPr>
          <w:rFonts w:hint="eastAsia" w:ascii="宋体" w:hAnsi="宋体" w:eastAsia="宋体" w:cs="宋体"/>
          <w:color w:val="auto"/>
          <w:sz w:val="21"/>
          <w:szCs w:val="21"/>
          <w:highlight w:val="none"/>
          <w:u w:val="single"/>
          <w:lang w:eastAsia="zh-CN"/>
        </w:rPr>
        <w:t>。</w:t>
      </w:r>
    </w:p>
    <w:p w14:paraId="3175C3E2">
      <w:pPr>
        <w:spacing w:line="360" w:lineRule="auto"/>
        <w:ind w:firstLine="420" w:firstLineChars="20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工程竣工验收合格并对验收发现的问题完成整改后的7个日历天内，发包人支付履约保证金的 </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 xml:space="preserve"> %；承包人向发包人完成（施工）竣工资料移交手续后，可向发包人申请退还剩余履约保证金，发包人应在收到申请之日起28个日历天内扣减承包人赔偿金和其他应从承包人扣回的款项后，将履约保证金的余额退还给承包人。</w:t>
      </w:r>
    </w:p>
    <w:p w14:paraId="008F3771">
      <w:pPr>
        <w:outlineLvl w:val="9"/>
        <w:rPr>
          <w:rFonts w:hint="eastAsia" w:ascii="宋体" w:hAnsi="宋体" w:eastAsia="宋体" w:cs="宋体"/>
          <w:color w:val="auto"/>
          <w:sz w:val="21"/>
          <w:szCs w:val="21"/>
          <w:highlight w:val="none"/>
        </w:rPr>
      </w:pPr>
      <w:bookmarkStart w:id="329" w:name="_Toc78449801"/>
      <w:bookmarkStart w:id="330" w:name="_Toc23136"/>
      <w:bookmarkStart w:id="331" w:name="_Toc407135215"/>
      <w:bookmarkStart w:id="332" w:name="_Toc931514330"/>
      <w:bookmarkStart w:id="333" w:name="_Toc907912356"/>
      <w:r>
        <w:rPr>
          <w:rFonts w:hint="eastAsia" w:ascii="宋体" w:hAnsi="宋体" w:eastAsia="宋体" w:cs="宋体"/>
          <w:color w:val="auto"/>
          <w:sz w:val="21"/>
          <w:szCs w:val="21"/>
          <w:highlight w:val="none"/>
        </w:rPr>
        <w:t>4</w:t>
      </w:r>
      <w:bookmarkStart w:id="334" w:name="_Toc296944501"/>
      <w:bookmarkStart w:id="335" w:name="_Toc296503162"/>
      <w:bookmarkStart w:id="336" w:name="_Toc292559366"/>
      <w:bookmarkStart w:id="337" w:name="_Toc297048348"/>
      <w:bookmarkStart w:id="338" w:name="_Toc297120462"/>
      <w:bookmarkStart w:id="339" w:name="_Toc296891202"/>
      <w:bookmarkStart w:id="340" w:name="_Toc296347161"/>
      <w:bookmarkStart w:id="341" w:name="_Toc267251413"/>
      <w:bookmarkStart w:id="342" w:name="_Toc292559871"/>
      <w:bookmarkStart w:id="343" w:name="_Toc296890990"/>
      <w:bookmarkStart w:id="344" w:name="_Toc296346663"/>
      <w:r>
        <w:rPr>
          <w:rFonts w:hint="eastAsia" w:ascii="宋体" w:hAnsi="宋体" w:eastAsia="宋体" w:cs="宋体"/>
          <w:color w:val="auto"/>
          <w:sz w:val="21"/>
          <w:szCs w:val="21"/>
          <w:highlight w:val="none"/>
        </w:rPr>
        <w:t>. 监</w:t>
      </w:r>
      <w:bookmarkEnd w:id="334"/>
      <w:bookmarkEnd w:id="335"/>
      <w:bookmarkEnd w:id="336"/>
      <w:bookmarkEnd w:id="337"/>
      <w:bookmarkEnd w:id="338"/>
      <w:bookmarkEnd w:id="339"/>
      <w:bookmarkEnd w:id="340"/>
      <w:bookmarkEnd w:id="341"/>
      <w:bookmarkEnd w:id="342"/>
      <w:bookmarkEnd w:id="343"/>
      <w:bookmarkEnd w:id="344"/>
      <w:r>
        <w:rPr>
          <w:rFonts w:hint="eastAsia" w:ascii="宋体" w:hAnsi="宋体" w:eastAsia="宋体" w:cs="宋体"/>
          <w:color w:val="auto"/>
          <w:sz w:val="21"/>
          <w:szCs w:val="21"/>
          <w:highlight w:val="none"/>
        </w:rPr>
        <w:t>理人</w:t>
      </w:r>
      <w:bookmarkEnd w:id="325"/>
      <w:bookmarkEnd w:id="326"/>
      <w:bookmarkEnd w:id="327"/>
      <w:bookmarkEnd w:id="328"/>
      <w:bookmarkEnd w:id="329"/>
      <w:bookmarkEnd w:id="330"/>
      <w:bookmarkEnd w:id="331"/>
      <w:bookmarkEnd w:id="332"/>
      <w:bookmarkEnd w:id="333"/>
    </w:p>
    <w:p w14:paraId="1A2C658A">
      <w:pPr>
        <w:outlineLvl w:val="9"/>
        <w:rPr>
          <w:rFonts w:hint="eastAsia" w:ascii="宋体" w:hAnsi="宋体" w:eastAsia="宋体" w:cs="宋体"/>
          <w:color w:val="auto"/>
          <w:sz w:val="21"/>
          <w:szCs w:val="21"/>
          <w:highlight w:val="none"/>
        </w:rPr>
      </w:pPr>
      <w:bookmarkStart w:id="345" w:name="_Toc23587"/>
      <w:bookmarkStart w:id="346" w:name="_Toc1595043148"/>
      <w:bookmarkStart w:id="347" w:name="_Toc1008304989"/>
      <w:bookmarkStart w:id="348" w:name="_Toc389065280"/>
      <w:bookmarkStart w:id="349" w:name="_Toc407135216"/>
      <w:bookmarkStart w:id="350" w:name="_Toc78449802"/>
      <w:bookmarkStart w:id="351" w:name="_Toc373227714"/>
      <w:bookmarkStart w:id="352" w:name="_Toc373478361"/>
      <w:r>
        <w:rPr>
          <w:rFonts w:hint="eastAsia" w:ascii="宋体" w:hAnsi="宋体" w:eastAsia="宋体" w:cs="宋体"/>
          <w:color w:val="auto"/>
          <w:sz w:val="21"/>
          <w:szCs w:val="21"/>
          <w:highlight w:val="none"/>
        </w:rPr>
        <w:t>4.1 监理人的一般规定</w:t>
      </w:r>
      <w:bookmarkEnd w:id="345"/>
      <w:bookmarkEnd w:id="346"/>
      <w:bookmarkEnd w:id="347"/>
      <w:bookmarkEnd w:id="348"/>
      <w:bookmarkEnd w:id="349"/>
      <w:bookmarkEnd w:id="350"/>
      <w:bookmarkEnd w:id="351"/>
      <w:bookmarkEnd w:id="352"/>
    </w:p>
    <w:p w14:paraId="6ADBEB07">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以发包人书面通知为准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9AA0B4F">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负责整个工程质量、安全、投资和进度的监管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322768B">
      <w:pP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683A976">
      <w:pPr>
        <w:outlineLvl w:val="9"/>
        <w:rPr>
          <w:rFonts w:hint="eastAsia" w:ascii="宋体" w:hAnsi="宋体" w:eastAsia="宋体" w:cs="宋体"/>
          <w:color w:val="auto"/>
          <w:sz w:val="21"/>
          <w:szCs w:val="21"/>
          <w:highlight w:val="none"/>
        </w:rPr>
      </w:pPr>
      <w:bookmarkStart w:id="353" w:name="_Toc1350458461"/>
      <w:bookmarkStart w:id="354" w:name="_Toc407135217"/>
      <w:bookmarkStart w:id="355" w:name="_Toc389065281"/>
      <w:bookmarkStart w:id="356" w:name="_Toc78449803"/>
      <w:bookmarkStart w:id="357" w:name="_Toc30631"/>
      <w:bookmarkStart w:id="358" w:name="_Toc386397261"/>
      <w:bookmarkStart w:id="359" w:name="_Toc373227715"/>
      <w:bookmarkStart w:id="360" w:name="_Toc373478362"/>
      <w:r>
        <w:rPr>
          <w:rFonts w:hint="eastAsia" w:ascii="宋体" w:hAnsi="宋体" w:eastAsia="宋体" w:cs="宋体"/>
          <w:color w:val="auto"/>
          <w:sz w:val="21"/>
          <w:szCs w:val="21"/>
          <w:highlight w:val="none"/>
        </w:rPr>
        <w:t>4.2 监理人员</w:t>
      </w:r>
      <w:bookmarkEnd w:id="353"/>
      <w:bookmarkEnd w:id="354"/>
      <w:bookmarkEnd w:id="355"/>
      <w:bookmarkEnd w:id="356"/>
      <w:bookmarkEnd w:id="357"/>
      <w:bookmarkEnd w:id="358"/>
      <w:bookmarkEnd w:id="359"/>
      <w:bookmarkEnd w:id="360"/>
    </w:p>
    <w:p w14:paraId="6CBE960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279F339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850A228">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7EE041B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4218193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94613F4">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2D84A6A1">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103B84A">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71323869">
      <w:pPr>
        <w:outlineLvl w:val="9"/>
        <w:rPr>
          <w:rFonts w:hint="eastAsia" w:ascii="宋体" w:hAnsi="宋体" w:eastAsia="宋体" w:cs="宋体"/>
          <w:color w:val="auto"/>
          <w:sz w:val="21"/>
          <w:szCs w:val="21"/>
          <w:highlight w:val="none"/>
        </w:rPr>
      </w:pPr>
      <w:bookmarkStart w:id="361" w:name="_Toc373227716"/>
      <w:bookmarkStart w:id="362" w:name="_Toc407135218"/>
      <w:bookmarkStart w:id="363" w:name="_Toc12702"/>
      <w:bookmarkStart w:id="364" w:name="_Toc373478363"/>
      <w:bookmarkStart w:id="365" w:name="_Toc389065282"/>
      <w:bookmarkStart w:id="366" w:name="_Toc78449804"/>
      <w:bookmarkStart w:id="367" w:name="_Toc941562442"/>
      <w:bookmarkStart w:id="368" w:name="_Toc539923186"/>
      <w:r>
        <w:rPr>
          <w:rFonts w:hint="eastAsia" w:ascii="宋体" w:hAnsi="宋体" w:eastAsia="宋体" w:cs="宋体"/>
          <w:color w:val="auto"/>
          <w:sz w:val="21"/>
          <w:szCs w:val="21"/>
          <w:highlight w:val="none"/>
        </w:rPr>
        <w:t>4.4 商定或确定</w:t>
      </w:r>
      <w:bookmarkEnd w:id="361"/>
      <w:bookmarkEnd w:id="362"/>
      <w:bookmarkEnd w:id="363"/>
      <w:bookmarkEnd w:id="364"/>
      <w:bookmarkEnd w:id="365"/>
      <w:bookmarkEnd w:id="366"/>
      <w:bookmarkEnd w:id="367"/>
      <w:bookmarkEnd w:id="368"/>
    </w:p>
    <w:p w14:paraId="6CD3B720">
      <w:pPr>
        <w:spacing w:line="360" w:lineRule="auto"/>
        <w:ind w:firstLine="420" w:firstLineChars="200"/>
        <w:outlineLvl w:val="9"/>
        <w:rPr>
          <w:rFonts w:hint="eastAsia" w:ascii="宋体" w:hAnsi="宋体" w:eastAsia="宋体" w:cs="宋体"/>
          <w:color w:val="auto"/>
          <w:sz w:val="21"/>
          <w:szCs w:val="21"/>
          <w:highlight w:val="none"/>
        </w:rPr>
      </w:pPr>
      <w:bookmarkStart w:id="369"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154E281B">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7A3B5E4">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6457C5">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5F6C0E6">
      <w:pPr>
        <w:outlineLvl w:val="9"/>
        <w:rPr>
          <w:rFonts w:hint="eastAsia" w:ascii="宋体" w:hAnsi="宋体" w:eastAsia="宋体" w:cs="宋体"/>
          <w:color w:val="auto"/>
          <w:sz w:val="21"/>
          <w:szCs w:val="21"/>
          <w:highlight w:val="none"/>
        </w:rPr>
      </w:pPr>
      <w:bookmarkStart w:id="370" w:name="_Toc1603077308"/>
      <w:bookmarkStart w:id="371" w:name="_Toc407135219"/>
      <w:bookmarkStart w:id="372" w:name="_Toc78449805"/>
      <w:bookmarkStart w:id="373" w:name="_Toc373478364"/>
      <w:bookmarkStart w:id="374" w:name="_Toc389065283"/>
      <w:bookmarkStart w:id="375" w:name="_Toc351203637"/>
      <w:bookmarkStart w:id="376" w:name="_Toc373227717"/>
      <w:bookmarkStart w:id="377" w:name="_Toc1687297496"/>
      <w:bookmarkStart w:id="378" w:name="_Toc20834"/>
      <w:r>
        <w:rPr>
          <w:rFonts w:hint="eastAsia" w:ascii="宋体" w:hAnsi="宋体" w:eastAsia="宋体" w:cs="宋体"/>
          <w:color w:val="auto"/>
          <w:sz w:val="21"/>
          <w:szCs w:val="21"/>
          <w:highlight w:val="none"/>
        </w:rPr>
        <w:t>5</w:t>
      </w:r>
      <w:bookmarkEnd w:id="369"/>
      <w:bookmarkStart w:id="379" w:name="_Toc297120463"/>
      <w:bookmarkStart w:id="380" w:name="_Toc292559872"/>
      <w:bookmarkStart w:id="381" w:name="_Toc292559367"/>
      <w:bookmarkStart w:id="382" w:name="_Toc297048349"/>
      <w:bookmarkStart w:id="383" w:name="_Toc296346664"/>
      <w:bookmarkStart w:id="384" w:name="_Toc296890991"/>
      <w:bookmarkStart w:id="385" w:name="_Toc296891203"/>
      <w:bookmarkStart w:id="386" w:name="_Toc296944502"/>
      <w:bookmarkStart w:id="387" w:name="_Toc296347162"/>
      <w:bookmarkStart w:id="388" w:name="_Toc296503163"/>
      <w:r>
        <w:rPr>
          <w:rFonts w:hint="eastAsia" w:ascii="宋体" w:hAnsi="宋体" w:eastAsia="宋体" w:cs="宋体"/>
          <w:color w:val="auto"/>
          <w:sz w:val="21"/>
          <w:szCs w:val="21"/>
          <w:highlight w:val="none"/>
        </w:rPr>
        <w:t>. 工程质量</w:t>
      </w:r>
      <w:bookmarkEnd w:id="370"/>
      <w:bookmarkEnd w:id="371"/>
      <w:bookmarkEnd w:id="372"/>
      <w:bookmarkEnd w:id="373"/>
      <w:bookmarkEnd w:id="374"/>
      <w:bookmarkEnd w:id="375"/>
      <w:bookmarkEnd w:id="376"/>
      <w:bookmarkEnd w:id="377"/>
      <w:bookmarkEnd w:id="378"/>
    </w:p>
    <w:p w14:paraId="1AAFA0E0">
      <w:pPr>
        <w:outlineLvl w:val="9"/>
        <w:rPr>
          <w:rFonts w:hint="eastAsia" w:ascii="宋体" w:hAnsi="宋体" w:eastAsia="宋体" w:cs="宋体"/>
          <w:color w:val="auto"/>
          <w:sz w:val="21"/>
          <w:szCs w:val="21"/>
          <w:highlight w:val="none"/>
        </w:rPr>
      </w:pPr>
      <w:bookmarkStart w:id="389" w:name="_Toc28560"/>
      <w:bookmarkStart w:id="390" w:name="_Toc373227718"/>
      <w:bookmarkStart w:id="391" w:name="_Toc407135220"/>
      <w:bookmarkStart w:id="392" w:name="_Toc389065284"/>
      <w:bookmarkStart w:id="393" w:name="_Toc78449806"/>
      <w:bookmarkStart w:id="394" w:name="_Toc1952042622"/>
      <w:bookmarkStart w:id="395" w:name="_Toc373478365"/>
      <w:bookmarkStart w:id="396" w:name="_Toc1835421345"/>
      <w:r>
        <w:rPr>
          <w:rFonts w:hint="eastAsia" w:ascii="宋体" w:hAnsi="宋体" w:eastAsia="宋体" w:cs="宋体"/>
          <w:color w:val="auto"/>
          <w:sz w:val="21"/>
          <w:szCs w:val="21"/>
          <w:highlight w:val="none"/>
        </w:rPr>
        <w:t>5.1 质量要求</w:t>
      </w:r>
      <w:bookmarkEnd w:id="389"/>
      <w:bookmarkEnd w:id="390"/>
      <w:bookmarkEnd w:id="391"/>
      <w:bookmarkEnd w:id="392"/>
      <w:bookmarkEnd w:id="393"/>
      <w:bookmarkEnd w:id="394"/>
      <w:bookmarkEnd w:id="395"/>
      <w:bookmarkEnd w:id="396"/>
    </w:p>
    <w:p w14:paraId="317BC279">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97" w:name="_Toc312677997"/>
      <w:bookmarkStart w:id="398" w:name="_Toc297216155"/>
      <w:bookmarkStart w:id="399" w:name="_Toc303539106"/>
      <w:bookmarkStart w:id="400" w:name="_Toc304295527"/>
      <w:bookmarkStart w:id="401" w:name="_Toc297123496"/>
      <w:bookmarkStart w:id="402" w:name="_Toc300934949"/>
      <w:bookmarkStart w:id="403"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本工程必须达到国家现行有关施工质量规范和广西区、北海市建筑工程相关地方标准要求，并一次性验收合格，如不能达到一次性验收合格标准，承包人除必须返修达到合格标准外，还须承担合同总金额5%的违约金。返修后仍不能合格，发包方有权解除合同，承包人除无条件退场外，还应承担发包人相应的损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34F5B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关于工程奖项的约定：如果工程获得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（奖项名称）</w:t>
      </w:r>
      <w:r>
        <w:rPr>
          <w:rFonts w:hint="eastAsia" w:ascii="宋体" w:hAnsi="宋体" w:eastAsia="宋体" w:cs="宋体"/>
          <w:color w:val="auto"/>
          <w:sz w:val="21"/>
          <w:szCs w:val="21"/>
          <w:highlight w:val="none"/>
        </w:rPr>
        <w:t>，给予承包人合同价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%的奖励。（建设单位创建优质工程的，鼓励在招标控制价和预算中按我区工程建设定额规定计列工程优质费，并在</w:t>
      </w:r>
      <w:r>
        <w:rPr>
          <w:rStyle w:val="39"/>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文件中明确工程优质费不可竞争。）</w:t>
      </w:r>
    </w:p>
    <w:p w14:paraId="410937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241078E1">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w:t>
      </w:r>
      <w:r>
        <w:rPr>
          <w:rFonts w:hint="eastAsia" w:ascii="宋体" w:hAnsi="宋体" w:eastAsia="宋体" w:cs="宋体"/>
          <w:color w:val="auto"/>
          <w:sz w:val="21"/>
          <w:szCs w:val="21"/>
          <w:highlight w:val="none"/>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30D258B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01BAF2E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48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61D217E3">
      <w:pPr>
        <w:outlineLvl w:val="9"/>
        <w:rPr>
          <w:rFonts w:hint="eastAsia" w:ascii="宋体" w:hAnsi="宋体" w:eastAsia="宋体" w:cs="宋体"/>
          <w:color w:val="auto"/>
          <w:sz w:val="21"/>
          <w:szCs w:val="21"/>
          <w:highlight w:val="none"/>
        </w:rPr>
      </w:pPr>
      <w:bookmarkStart w:id="404" w:name="_Toc10564"/>
      <w:bookmarkStart w:id="405" w:name="_Toc407135221"/>
      <w:bookmarkStart w:id="406" w:name="_Toc1259019817"/>
      <w:bookmarkStart w:id="407" w:name="_Toc78449807"/>
      <w:bookmarkStart w:id="408" w:name="_Toc351203638"/>
      <w:bookmarkStart w:id="409" w:name="_Toc373227719"/>
      <w:bookmarkStart w:id="410" w:name="_Toc373478366"/>
      <w:bookmarkStart w:id="411" w:name="_Toc703841976"/>
      <w:bookmarkStart w:id="412" w:name="_Toc389065285"/>
      <w:r>
        <w:rPr>
          <w:rFonts w:hint="eastAsia" w:ascii="宋体" w:hAnsi="宋体" w:eastAsia="宋体" w:cs="宋体"/>
          <w:color w:val="auto"/>
          <w:sz w:val="21"/>
          <w:szCs w:val="21"/>
          <w:highlight w:val="none"/>
        </w:rPr>
        <w:t>6. 安全文明施工与环境保护</w:t>
      </w:r>
      <w:bookmarkEnd w:id="404"/>
      <w:bookmarkEnd w:id="405"/>
      <w:bookmarkEnd w:id="406"/>
      <w:bookmarkEnd w:id="407"/>
      <w:bookmarkEnd w:id="408"/>
      <w:bookmarkEnd w:id="409"/>
      <w:bookmarkEnd w:id="410"/>
      <w:bookmarkEnd w:id="411"/>
      <w:bookmarkEnd w:id="412"/>
    </w:p>
    <w:p w14:paraId="18981C53">
      <w:pPr>
        <w:outlineLvl w:val="9"/>
        <w:rPr>
          <w:rFonts w:hint="eastAsia" w:ascii="宋体" w:hAnsi="宋体" w:eastAsia="宋体" w:cs="宋体"/>
          <w:color w:val="auto"/>
          <w:sz w:val="21"/>
          <w:szCs w:val="21"/>
          <w:highlight w:val="none"/>
        </w:rPr>
      </w:pPr>
      <w:bookmarkStart w:id="413" w:name="_Toc180514231"/>
      <w:bookmarkStart w:id="414" w:name="_Toc1296292062"/>
      <w:bookmarkStart w:id="415" w:name="_Toc407135222"/>
      <w:bookmarkStart w:id="416" w:name="_Toc22880"/>
      <w:bookmarkStart w:id="417" w:name="_Toc373478367"/>
      <w:bookmarkStart w:id="418" w:name="_Toc373227720"/>
      <w:bookmarkStart w:id="419" w:name="_Toc78449808"/>
      <w:bookmarkStart w:id="420" w:name="_Toc389065286"/>
      <w:r>
        <w:rPr>
          <w:rFonts w:hint="eastAsia" w:ascii="宋体" w:hAnsi="宋体" w:eastAsia="宋体" w:cs="宋体"/>
          <w:color w:val="auto"/>
          <w:sz w:val="21"/>
          <w:szCs w:val="21"/>
          <w:highlight w:val="none"/>
        </w:rPr>
        <w:t>6.1 安全文明施工</w:t>
      </w:r>
      <w:bookmarkEnd w:id="413"/>
      <w:bookmarkEnd w:id="414"/>
      <w:bookmarkEnd w:id="415"/>
      <w:bookmarkEnd w:id="416"/>
      <w:bookmarkEnd w:id="417"/>
      <w:bookmarkEnd w:id="418"/>
      <w:bookmarkEnd w:id="419"/>
      <w:bookmarkEnd w:id="420"/>
    </w:p>
    <w:p w14:paraId="0E52E23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项目安全生产的达标目标及相应事项的约定：</w:t>
      </w:r>
      <w:r>
        <w:rPr>
          <w:rFonts w:hint="eastAsia" w:ascii="宋体" w:hAnsi="宋体" w:eastAsia="宋体" w:cs="宋体"/>
          <w:color w:val="auto"/>
          <w:sz w:val="21"/>
          <w:szCs w:val="21"/>
          <w:highlight w:val="none"/>
          <w:u w:val="single"/>
        </w:rPr>
        <w:t xml:space="preserve">  承包人应按照广西区和北海市等相关规定履行好承包人的施工安全责任</w:t>
      </w:r>
      <w:r>
        <w:rPr>
          <w:rFonts w:hint="eastAsia" w:ascii="宋体" w:hAnsi="宋体" w:eastAsia="宋体" w:cs="宋体"/>
          <w:color w:val="auto"/>
          <w:sz w:val="21"/>
          <w:szCs w:val="21"/>
          <w:highlight w:val="none"/>
          <w:u w:val="single"/>
          <w:lang w:eastAsia="zh-CN"/>
        </w:rPr>
        <w:t>，</w:t>
      </w:r>
      <w:r>
        <w:rPr>
          <w:rStyle w:val="39"/>
          <w:rFonts w:hint="eastAsia" w:ascii="宋体" w:hAnsi="宋体" w:eastAsia="宋体" w:cs="宋体"/>
          <w:color w:val="auto"/>
          <w:sz w:val="21"/>
          <w:szCs w:val="21"/>
          <w:highlight w:val="none"/>
          <w:u w:val="single"/>
        </w:rPr>
        <w:t>以无安全事故为目标，做好安全生产工作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01B31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关于安全文明施工奖项的约定：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88C60A">
      <w:pPr>
        <w:spacing w:line="360" w:lineRule="auto"/>
        <w:ind w:firstLine="420" w:firstLineChars="200"/>
        <w:jc w:val="left"/>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eastAsia="宋体" w:cs="宋体"/>
          <w:color w:val="auto"/>
          <w:sz w:val="21"/>
          <w:szCs w:val="21"/>
          <w:highlight w:val="none"/>
          <w:u w:val="single"/>
          <w:lang w:val="en-US" w:eastAsia="zh-CN"/>
        </w:rPr>
        <w:t xml:space="preserve"> </w:t>
      </w:r>
    </w:p>
    <w:p w14:paraId="0D57411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施工场地治安管理计划和突发治安事件紧急预案的编制：按《通用合同条款》执行，由发包人、承包人共同编制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1C8580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6.1.5 文明施工</w:t>
      </w:r>
    </w:p>
    <w:p w14:paraId="18CAD72F">
      <w:pPr>
        <w:spacing w:line="360" w:lineRule="auto"/>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承包人应按照北海市有关房屋建筑和市政基础设施工程施工扬尘控制工作、房屋建筑和市政基础设施工程现场文明施工标准等相关规定履行好施工扬尘控制、文明施工等责任。</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)承包人需自行办理的有关施工场地交通、环卫和施工噪音管理等手续，并应符合国家相关规定，并自行承担其费用。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对施工中的地上地下建筑物(构筑物)管线、电力设施等应按有关规定加强监控测量和保护，相应的费用或因保护不当造成的损失及法律责任由承包人承担。</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环境保护工作属承包方范围内的由承包方全权负责，执行国家和广西区、北海市的相关规定。施工现场内不得随地抛洒剩饭及生活垃圾等，更不能将其随意倒至施工区外，施工区内不得随处大小便。做到工完场地清。</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施工机械设备进场前，应做好清洁、保养和维护工作。出场车辆应有专人打扫、清洗。有密封要求的按规定必须达到。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施工期间必须保证周边单位的正常工作及居民的正常生活，尽量减少粉尘、噪声、振动等污染的扰民。必须按北海市有关部门的临时要求，调整作业方式，调整作业时间，停止高粉尘、高噪音作业或爆破作业等。</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保证周围建(构)筑物、地下及地上管线、地下人防等设施安全。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做到进入现场的施工和作业人员统一着装，配证上岗，文明施工。</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承包方施工现场临时加工区、库房等围墙(围挡)等维护设施应安全、美观、耐久，非施工相关人员不许入内  </w:t>
      </w:r>
      <w:r>
        <w:rPr>
          <w:rFonts w:hint="eastAsia" w:ascii="宋体" w:hAnsi="宋体" w:eastAsia="宋体" w:cs="宋体"/>
          <w:color w:val="auto"/>
          <w:sz w:val="21"/>
          <w:szCs w:val="21"/>
          <w:highlight w:val="none"/>
        </w:rPr>
        <w:t>。</w:t>
      </w:r>
    </w:p>
    <w:p w14:paraId="31DC37A9">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w:t>
      </w:r>
      <w:r>
        <w:rPr>
          <w:rFonts w:hint="eastAsia" w:ascii="宋体" w:hAnsi="宋体" w:eastAsia="宋体" w:cs="宋体"/>
          <w:color w:val="auto"/>
          <w:kern w:val="0"/>
          <w:sz w:val="21"/>
          <w:szCs w:val="21"/>
          <w:highlight w:val="none"/>
        </w:rPr>
        <w:t>关于安全生产费总额、支付比例、支付期限、转入和结余收回的约定：</w:t>
      </w:r>
    </w:p>
    <w:p w14:paraId="52BD1D66">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（1）本合同价款已包含安全文明施工费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w:t>
      </w:r>
    </w:p>
    <w:p w14:paraId="58C24278">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（2）使用要求：专款专用。具体按</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《广西壮族自治区建设工程安全文明施工费使用管理细则》（桂建质〔2015〕16号）</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和</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北海</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市相关规定执行。</w:t>
      </w:r>
    </w:p>
    <w:p w14:paraId="5D49D23A">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（3）支付约定：</w:t>
      </w:r>
      <w:r>
        <w:rPr>
          <w:rFonts w:hint="eastAsia" w:ascii="宋体" w:hAnsi="宋体" w:eastAsia="宋体" w:cs="宋体"/>
          <w:color w:val="auto"/>
          <w:kern w:val="0"/>
          <w:sz w:val="21"/>
          <w:szCs w:val="21"/>
          <w:highlight w:val="none"/>
          <w:u w:val="single"/>
          <w:lang w:val="en-US" w:eastAsia="zh-CN"/>
        </w:rPr>
        <w:t xml:space="preserve">  </w:t>
      </w:r>
      <w:r>
        <w:rPr>
          <w:rStyle w:val="39"/>
          <w:rFonts w:hint="eastAsia" w:ascii="宋体" w:hAnsi="宋体" w:eastAsia="宋体" w:cs="宋体"/>
          <w:color w:val="auto"/>
          <w:kern w:val="0"/>
          <w:sz w:val="21"/>
          <w:szCs w:val="21"/>
          <w:highlight w:val="none"/>
          <w:u w:val="single"/>
        </w:rPr>
        <w:t>在本合同签订后</w:t>
      </w:r>
      <w:r>
        <w:rPr>
          <w:rStyle w:val="39"/>
          <w:rFonts w:hint="eastAsia" w:ascii="宋体" w:hAnsi="宋体" w:eastAsia="宋体" w:cs="宋体"/>
          <w:color w:val="auto"/>
          <w:kern w:val="0"/>
          <w:sz w:val="21"/>
          <w:szCs w:val="21"/>
          <w:highlight w:val="none"/>
          <w:u w:val="single"/>
          <w:lang w:val="en-US" w:eastAsia="zh-CN"/>
        </w:rPr>
        <w:t>30</w:t>
      </w:r>
      <w:r>
        <w:rPr>
          <w:rStyle w:val="39"/>
          <w:rFonts w:hint="eastAsia" w:ascii="宋体" w:hAnsi="宋体" w:eastAsia="宋体" w:cs="宋体"/>
          <w:color w:val="auto"/>
          <w:kern w:val="0"/>
          <w:sz w:val="21"/>
          <w:szCs w:val="21"/>
          <w:highlight w:val="none"/>
          <w:u w:val="single"/>
        </w:rPr>
        <w:t>个工作日内，预付安全文明施工费总额的</w:t>
      </w:r>
      <w:r>
        <w:rPr>
          <w:rStyle w:val="39"/>
          <w:rFonts w:hint="eastAsia" w:ascii="宋体" w:hAnsi="宋体" w:eastAsia="宋体" w:cs="宋体"/>
          <w:color w:val="auto"/>
          <w:kern w:val="0"/>
          <w:sz w:val="21"/>
          <w:szCs w:val="21"/>
          <w:highlight w:val="none"/>
          <w:u w:val="single"/>
          <w:lang w:val="en-US" w:eastAsia="zh-CN"/>
        </w:rPr>
        <w:t>30</w:t>
      </w:r>
      <w:r>
        <w:rPr>
          <w:rStyle w:val="39"/>
          <w:rFonts w:hint="eastAsia" w:ascii="宋体" w:hAnsi="宋体" w:eastAsia="宋体" w:cs="宋体"/>
          <w:color w:val="auto"/>
          <w:kern w:val="0"/>
          <w:sz w:val="21"/>
          <w:szCs w:val="21"/>
          <w:highlight w:val="none"/>
          <w:u w:val="single"/>
        </w:rPr>
        <w:t>%，</w:t>
      </w:r>
      <w:r>
        <w:rPr>
          <w:rStyle w:val="39"/>
          <w:rFonts w:hint="eastAsia" w:ascii="宋体" w:hAnsi="宋体" w:eastAsia="宋体" w:cs="宋体"/>
          <w:color w:val="auto"/>
          <w:kern w:val="0"/>
          <w:sz w:val="21"/>
          <w:szCs w:val="21"/>
          <w:highlight w:val="none"/>
          <w:u w:val="single"/>
          <w:lang w:eastAsia="zh-CN"/>
        </w:rPr>
        <w:t>余下</w:t>
      </w:r>
      <w:r>
        <w:rPr>
          <w:rStyle w:val="39"/>
          <w:rFonts w:hint="eastAsia" w:ascii="宋体" w:hAnsi="宋体" w:eastAsia="宋体" w:cs="宋体"/>
          <w:color w:val="auto"/>
          <w:kern w:val="0"/>
          <w:sz w:val="21"/>
          <w:szCs w:val="21"/>
          <w:highlight w:val="none"/>
          <w:u w:val="single"/>
          <w:lang w:val="en-US" w:eastAsia="zh-CN"/>
        </w:rPr>
        <w:t>70%的安全文明施工费待</w:t>
      </w:r>
      <w:r>
        <w:rPr>
          <w:rStyle w:val="39"/>
          <w:rFonts w:hint="eastAsia" w:ascii="宋体" w:hAnsi="宋体" w:eastAsia="宋体" w:cs="宋体"/>
          <w:color w:val="auto"/>
          <w:kern w:val="0"/>
          <w:sz w:val="21"/>
          <w:szCs w:val="21"/>
          <w:highlight w:val="none"/>
          <w:u w:val="single"/>
          <w:lang w:eastAsia="zh-CN"/>
        </w:rPr>
        <w:t>完成合同工程量后一次性支付</w:t>
      </w:r>
      <w:r>
        <w:rPr>
          <w:rStyle w:val="39"/>
          <w:rFonts w:hint="eastAsia" w:ascii="宋体" w:hAnsi="宋体" w:eastAsia="宋体" w:cs="宋体"/>
          <w:color w:val="auto"/>
          <w:kern w:val="0"/>
          <w:sz w:val="21"/>
          <w:szCs w:val="21"/>
          <w:highlight w:val="none"/>
          <w:u w:val="single"/>
          <w:lang w:val="en-US" w:eastAsia="zh-CN"/>
        </w:rPr>
        <w:t>。</w:t>
      </w:r>
      <w:r>
        <w:rPr>
          <w:rStyle w:val="39"/>
          <w:rFonts w:hint="eastAsia" w:ascii="宋体" w:hAnsi="宋体" w:eastAsia="宋体" w:cs="宋体"/>
          <w:color w:val="auto"/>
          <w:kern w:val="0"/>
          <w:sz w:val="21"/>
          <w:szCs w:val="21"/>
          <w:highlight w:val="none"/>
          <w:u w:val="single"/>
          <w:lang w:eastAsia="zh-CN"/>
        </w:rPr>
        <w:t>以上支付方式需待财政资金拨付到位再执行</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none"/>
        </w:rPr>
        <w:t>。</w:t>
      </w:r>
    </w:p>
    <w:p w14:paraId="65049D79">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（4）建设单位按规定将安全生产费用转入施工单位设立的安全生产费用专户。</w:t>
      </w:r>
    </w:p>
    <w:p w14:paraId="339F3B80">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（5）工程施工完成后安全生产费用尚有结余的，结余部分由建设单位收回。</w:t>
      </w:r>
    </w:p>
    <w:p w14:paraId="043259F5">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（6）施工单位将安全生产费用使用情况定期报告建设单位和监理单位，并提供相应的材料接受建设行政主管部门对此事项监管。</w:t>
      </w:r>
    </w:p>
    <w:p w14:paraId="5D3218FB">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（7）安全生产费用专户：××××公司安全生产费用专户。账号：                 。</w:t>
      </w:r>
    </w:p>
    <w:p w14:paraId="122644B6">
      <w:pPr>
        <w:outlineLvl w:val="9"/>
        <w:rPr>
          <w:rFonts w:hint="eastAsia" w:ascii="宋体" w:hAnsi="宋体" w:eastAsia="宋体" w:cs="宋体"/>
          <w:color w:val="auto"/>
          <w:sz w:val="21"/>
          <w:szCs w:val="21"/>
          <w:highlight w:val="none"/>
        </w:rPr>
      </w:pPr>
      <w:bookmarkStart w:id="421" w:name="_Toc1519050792"/>
      <w:bookmarkStart w:id="422" w:name="_Toc9110"/>
      <w:bookmarkStart w:id="423" w:name="_Toc407135223"/>
      <w:bookmarkStart w:id="424" w:name="_Toc78449809"/>
      <w:bookmarkStart w:id="425" w:name="_Toc373478368"/>
      <w:bookmarkStart w:id="426" w:name="_Toc1922268668"/>
      <w:bookmarkStart w:id="427" w:name="_Toc373227721"/>
      <w:bookmarkStart w:id="428" w:name="_Toc389065287"/>
      <w:r>
        <w:rPr>
          <w:rFonts w:hint="eastAsia" w:ascii="宋体" w:hAnsi="宋体" w:eastAsia="宋体" w:cs="宋体"/>
          <w:color w:val="auto"/>
          <w:sz w:val="21"/>
          <w:szCs w:val="21"/>
          <w:highlight w:val="none"/>
        </w:rPr>
        <w:t>6.3 环境保护</w:t>
      </w:r>
      <w:bookmarkEnd w:id="421"/>
      <w:bookmarkEnd w:id="422"/>
      <w:bookmarkEnd w:id="423"/>
      <w:bookmarkEnd w:id="424"/>
      <w:bookmarkEnd w:id="425"/>
      <w:bookmarkEnd w:id="426"/>
      <w:bookmarkEnd w:id="427"/>
      <w:bookmarkEnd w:id="428"/>
    </w:p>
    <w:p w14:paraId="2710682E">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因施工需要，经发包人批准，由承包人办理有关施工场地交通、环卫和施工噪音管理等手续，费用由承包人负责。</w:t>
      </w:r>
    </w:p>
    <w:p w14:paraId="66023636">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经过城市道路的施工车辆，必须按交警、城管、运输等部门相关规定执行。由于施工车辆造成的道路、环境等污染，其责任和费用均由承包人承担。</w:t>
      </w:r>
    </w:p>
    <w:bookmarkEnd w:id="397"/>
    <w:bookmarkEnd w:id="398"/>
    <w:bookmarkEnd w:id="399"/>
    <w:bookmarkEnd w:id="400"/>
    <w:bookmarkEnd w:id="401"/>
    <w:bookmarkEnd w:id="402"/>
    <w:bookmarkEnd w:id="403"/>
    <w:p w14:paraId="1BD25D19">
      <w:pPr>
        <w:outlineLvl w:val="9"/>
        <w:rPr>
          <w:rFonts w:hint="eastAsia" w:ascii="宋体" w:hAnsi="宋体" w:eastAsia="宋体" w:cs="宋体"/>
          <w:color w:val="auto"/>
          <w:sz w:val="21"/>
          <w:szCs w:val="21"/>
          <w:highlight w:val="none"/>
        </w:rPr>
      </w:pPr>
      <w:bookmarkStart w:id="429" w:name="_Toc389065288"/>
      <w:bookmarkStart w:id="430" w:name="_Toc407135224"/>
      <w:bookmarkStart w:id="431" w:name="_Toc7874"/>
      <w:bookmarkStart w:id="432" w:name="_Toc315674767"/>
      <w:bookmarkStart w:id="433" w:name="_Toc351203639"/>
      <w:bookmarkStart w:id="434" w:name="_Toc78449810"/>
      <w:bookmarkStart w:id="435" w:name="_Toc373227722"/>
      <w:bookmarkStart w:id="436" w:name="_Toc373478369"/>
      <w:bookmarkStart w:id="437" w:name="_Toc1408286886"/>
      <w:r>
        <w:rPr>
          <w:rFonts w:hint="eastAsia" w:ascii="宋体" w:hAnsi="宋体" w:eastAsia="宋体" w:cs="宋体"/>
          <w:color w:val="auto"/>
          <w:sz w:val="21"/>
          <w:szCs w:val="21"/>
          <w:highlight w:val="none"/>
        </w:rPr>
        <w:t>7. 工期和进度</w:t>
      </w:r>
      <w:bookmarkEnd w:id="429"/>
      <w:bookmarkEnd w:id="430"/>
      <w:bookmarkEnd w:id="431"/>
      <w:bookmarkEnd w:id="432"/>
      <w:bookmarkEnd w:id="433"/>
      <w:bookmarkEnd w:id="434"/>
      <w:bookmarkEnd w:id="435"/>
      <w:bookmarkEnd w:id="436"/>
      <w:bookmarkEnd w:id="437"/>
    </w:p>
    <w:p w14:paraId="079FAFD2">
      <w:pPr>
        <w:outlineLvl w:val="9"/>
        <w:rPr>
          <w:rFonts w:hint="eastAsia" w:ascii="宋体" w:hAnsi="宋体" w:eastAsia="宋体" w:cs="宋体"/>
          <w:color w:val="auto"/>
          <w:sz w:val="21"/>
          <w:szCs w:val="21"/>
          <w:highlight w:val="none"/>
        </w:rPr>
      </w:pPr>
      <w:bookmarkStart w:id="438" w:name="_Toc373227723"/>
      <w:bookmarkStart w:id="439" w:name="_Toc9095"/>
      <w:bookmarkStart w:id="440" w:name="_Toc407135225"/>
      <w:bookmarkStart w:id="441" w:name="_Toc389065289"/>
      <w:bookmarkStart w:id="442" w:name="_Toc664905709"/>
      <w:bookmarkStart w:id="443" w:name="_Toc373478370"/>
      <w:bookmarkStart w:id="444" w:name="_Toc78449811"/>
      <w:bookmarkStart w:id="445" w:name="_Toc1194482517"/>
      <w:r>
        <w:rPr>
          <w:rFonts w:hint="eastAsia" w:ascii="宋体" w:hAnsi="宋体" w:eastAsia="宋体" w:cs="宋体"/>
          <w:color w:val="auto"/>
          <w:sz w:val="21"/>
          <w:szCs w:val="21"/>
          <w:highlight w:val="none"/>
        </w:rPr>
        <w:t>7.1 施工组织设计</w:t>
      </w:r>
      <w:bookmarkEnd w:id="438"/>
      <w:bookmarkEnd w:id="439"/>
      <w:bookmarkEnd w:id="440"/>
      <w:bookmarkEnd w:id="441"/>
      <w:bookmarkEnd w:id="442"/>
      <w:bookmarkEnd w:id="443"/>
      <w:bookmarkEnd w:id="444"/>
      <w:bookmarkEnd w:id="445"/>
    </w:p>
    <w:p w14:paraId="3421D951">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7.1.1 合</w:t>
      </w:r>
      <w:r>
        <w:rPr>
          <w:rFonts w:hint="eastAsia" w:ascii="宋体" w:hAnsi="宋体" w:eastAsia="宋体" w:cs="宋体"/>
          <w:color w:val="auto"/>
          <w:kern w:val="0"/>
          <w:sz w:val="21"/>
          <w:szCs w:val="21"/>
          <w:highlight w:val="none"/>
        </w:rPr>
        <w:t>同当事人约定的施工组织设计应包括的其他内容：</w:t>
      </w:r>
      <w:r>
        <w:rPr>
          <w:rFonts w:hint="eastAsia" w:ascii="宋体" w:hAnsi="宋体" w:eastAsia="宋体" w:cs="宋体"/>
          <w:color w:val="auto"/>
          <w:sz w:val="21"/>
          <w:szCs w:val="21"/>
          <w:highlight w:val="none"/>
          <w:u w:val="single"/>
        </w:rPr>
        <w:t xml:space="preserve">  按专业要求编制施工组织设计和专项施工方案。其中施工方案中的重要节点工期必须细化到具体日历天，发包人将以该节点工期为工程形象进度作为确定和拨付工程进度款和考核工期的重要依据  </w:t>
      </w:r>
      <w:r>
        <w:rPr>
          <w:rFonts w:hint="eastAsia" w:ascii="宋体" w:hAnsi="宋体" w:eastAsia="宋体" w:cs="宋体"/>
          <w:color w:val="auto"/>
          <w:sz w:val="21"/>
          <w:szCs w:val="21"/>
          <w:highlight w:val="none"/>
        </w:rPr>
        <w:t>。</w:t>
      </w:r>
    </w:p>
    <w:p w14:paraId="6492AC6E">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7.1.2 </w:t>
      </w:r>
      <w:r>
        <w:rPr>
          <w:rFonts w:hint="eastAsia" w:ascii="宋体" w:hAnsi="宋体" w:eastAsia="宋体" w:cs="宋体"/>
          <w:color w:val="auto"/>
          <w:kern w:val="0"/>
          <w:sz w:val="21"/>
          <w:szCs w:val="21"/>
          <w:highlight w:val="none"/>
        </w:rPr>
        <w:t>施工组织设计的提交和修改</w:t>
      </w:r>
    </w:p>
    <w:p w14:paraId="7D7E81EA">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承包人提交详细施工组织设计的期限的约定：</w:t>
      </w:r>
      <w:r>
        <w:rPr>
          <w:rFonts w:hint="eastAsia" w:ascii="宋体" w:hAnsi="宋体" w:eastAsia="宋体" w:cs="宋体"/>
          <w:color w:val="auto"/>
          <w:sz w:val="21"/>
          <w:szCs w:val="21"/>
          <w:highlight w:val="none"/>
          <w:u w:val="single"/>
        </w:rPr>
        <w:t xml:space="preserve">  在收到监理人发出的开工通知后7天内  </w:t>
      </w:r>
      <w:r>
        <w:rPr>
          <w:rFonts w:hint="eastAsia" w:ascii="宋体" w:hAnsi="宋体" w:eastAsia="宋体" w:cs="宋体"/>
          <w:color w:val="auto"/>
          <w:sz w:val="21"/>
          <w:szCs w:val="21"/>
          <w:highlight w:val="none"/>
        </w:rPr>
        <w:t>。</w:t>
      </w:r>
    </w:p>
    <w:p w14:paraId="166FD2C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发包人和监理人在收到详细的施工组织设计后确认或提出修改意见的期限：</w:t>
      </w:r>
      <w:r>
        <w:rPr>
          <w:rFonts w:hint="eastAsia" w:ascii="宋体" w:hAnsi="宋体" w:eastAsia="宋体" w:cs="宋体"/>
          <w:color w:val="auto"/>
          <w:sz w:val="21"/>
          <w:szCs w:val="21"/>
          <w:highlight w:val="none"/>
          <w:u w:val="single"/>
        </w:rPr>
        <w:t xml:space="preserve">  自监理人收到承包人报送的相关进度计划和施工方案说明后14天内</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AEAB5A4">
      <w:pPr>
        <w:outlineLvl w:val="9"/>
        <w:rPr>
          <w:rFonts w:hint="eastAsia" w:ascii="宋体" w:hAnsi="宋体" w:eastAsia="宋体" w:cs="宋体"/>
          <w:color w:val="auto"/>
          <w:sz w:val="21"/>
          <w:szCs w:val="21"/>
          <w:highlight w:val="none"/>
        </w:rPr>
      </w:pPr>
      <w:bookmarkStart w:id="446" w:name="_Toc1674747833"/>
      <w:bookmarkStart w:id="447" w:name="_Toc389065290"/>
      <w:bookmarkStart w:id="448" w:name="_Toc373227724"/>
      <w:bookmarkStart w:id="449" w:name="_Toc407135226"/>
      <w:bookmarkStart w:id="450" w:name="_Toc78449812"/>
      <w:bookmarkStart w:id="451" w:name="_Toc26445"/>
      <w:bookmarkStart w:id="452" w:name="_Toc1393005721"/>
      <w:bookmarkStart w:id="453" w:name="_Toc373478371"/>
      <w:r>
        <w:rPr>
          <w:rFonts w:hint="eastAsia" w:ascii="宋体" w:hAnsi="宋体" w:eastAsia="宋体" w:cs="宋体"/>
          <w:color w:val="auto"/>
          <w:sz w:val="21"/>
          <w:szCs w:val="21"/>
          <w:highlight w:val="none"/>
        </w:rPr>
        <w:t>7</w:t>
      </w:r>
      <w:bookmarkStart w:id="454" w:name="_Toc312678005"/>
      <w:bookmarkStart w:id="455" w:name="_Toc300934966"/>
      <w:bookmarkStart w:id="456" w:name="_Toc297123514"/>
      <w:bookmarkStart w:id="457" w:name="_Toc303539123"/>
      <w:bookmarkStart w:id="458" w:name="_Toc312677479"/>
      <w:bookmarkStart w:id="459" w:name="_Toc297216173"/>
      <w:bookmarkStart w:id="460" w:name="_Toc304295541"/>
      <w:r>
        <w:rPr>
          <w:rFonts w:hint="eastAsia" w:ascii="宋体" w:hAnsi="宋体" w:eastAsia="宋体" w:cs="宋体"/>
          <w:color w:val="auto"/>
          <w:sz w:val="21"/>
          <w:szCs w:val="21"/>
          <w:highlight w:val="none"/>
        </w:rPr>
        <w:t>.2 施工进度计划</w:t>
      </w:r>
      <w:bookmarkEnd w:id="446"/>
      <w:bookmarkEnd w:id="447"/>
      <w:bookmarkEnd w:id="448"/>
      <w:bookmarkEnd w:id="449"/>
      <w:bookmarkEnd w:id="450"/>
      <w:bookmarkEnd w:id="451"/>
      <w:bookmarkEnd w:id="452"/>
      <w:bookmarkEnd w:id="453"/>
    </w:p>
    <w:p w14:paraId="113A524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7.2.2 施工进度计划的修订</w:t>
      </w:r>
    </w:p>
    <w:p w14:paraId="0E495BF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发包人和监理人在收到修订的施工进度计划后确认或提出修改意见的期限：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按工程监理相关规定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0519F4D">
      <w:pPr>
        <w:outlineLvl w:val="9"/>
        <w:rPr>
          <w:rFonts w:hint="eastAsia" w:ascii="宋体" w:hAnsi="宋体" w:eastAsia="宋体" w:cs="宋体"/>
          <w:color w:val="auto"/>
          <w:sz w:val="21"/>
          <w:szCs w:val="21"/>
          <w:highlight w:val="none"/>
        </w:rPr>
      </w:pPr>
      <w:bookmarkStart w:id="461" w:name="_Toc373478372"/>
      <w:bookmarkStart w:id="462" w:name="_Toc423062567"/>
      <w:bookmarkStart w:id="463" w:name="_Toc389065291"/>
      <w:bookmarkStart w:id="464" w:name="_Toc1498273563"/>
      <w:bookmarkStart w:id="465" w:name="_Toc407135227"/>
      <w:bookmarkStart w:id="466" w:name="_Toc373227725"/>
      <w:bookmarkStart w:id="467" w:name="_Toc18152"/>
      <w:bookmarkStart w:id="468" w:name="_Toc78449813"/>
      <w:r>
        <w:rPr>
          <w:rFonts w:hint="eastAsia" w:ascii="宋体" w:hAnsi="宋体" w:eastAsia="宋体" w:cs="宋体"/>
          <w:color w:val="auto"/>
          <w:sz w:val="21"/>
          <w:szCs w:val="21"/>
          <w:highlight w:val="none"/>
        </w:rPr>
        <w:t>7.3 开工</w:t>
      </w:r>
      <w:bookmarkEnd w:id="461"/>
      <w:bookmarkEnd w:id="462"/>
      <w:bookmarkEnd w:id="463"/>
      <w:bookmarkEnd w:id="464"/>
      <w:bookmarkEnd w:id="465"/>
      <w:bookmarkEnd w:id="466"/>
      <w:bookmarkEnd w:id="467"/>
      <w:bookmarkEnd w:id="468"/>
    </w:p>
    <w:p w14:paraId="337ED80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7.3.1 开工准备</w:t>
      </w:r>
    </w:p>
    <w:p w14:paraId="07531EC8">
      <w:pPr>
        <w:spacing w:line="360" w:lineRule="auto"/>
        <w:ind w:firstLine="426"/>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关于承包人提交</w:t>
      </w:r>
      <w:r>
        <w:rPr>
          <w:rFonts w:hint="eastAsia" w:ascii="宋体" w:hAnsi="宋体" w:eastAsia="宋体" w:cs="宋体"/>
          <w:color w:val="auto"/>
          <w:kern w:val="0"/>
          <w:sz w:val="21"/>
          <w:szCs w:val="21"/>
          <w:highlight w:val="none"/>
        </w:rPr>
        <w:t>工程开工报审表的期限：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kern w:val="0"/>
          <w:sz w:val="21"/>
          <w:szCs w:val="21"/>
          <w:highlight w:val="none"/>
          <w:u w:val="single"/>
          <w:lang w:eastAsia="zh-CN"/>
        </w:rPr>
        <w:t>按通用合同条款7.3.1执行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43FB188">
      <w:pPr>
        <w:spacing w:line="360" w:lineRule="auto"/>
        <w:ind w:firstLine="426"/>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kern w:val="0"/>
          <w:sz w:val="21"/>
          <w:szCs w:val="21"/>
          <w:highlight w:val="none"/>
          <w:u w:val="single"/>
          <w:lang w:eastAsia="zh-CN"/>
        </w:rPr>
        <w:t>按通用合同条款7.3.1执行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5E2B5B4">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关于承包人应完成的其他开工准备工作及期限：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kern w:val="0"/>
          <w:sz w:val="21"/>
          <w:szCs w:val="21"/>
          <w:highlight w:val="none"/>
          <w:u w:val="single"/>
          <w:lang w:eastAsia="zh-CN"/>
        </w:rPr>
        <w:t>按通用合同条款7.3.1执行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4A0197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7.3.2 开工通知</w:t>
      </w:r>
    </w:p>
    <w:p w14:paraId="153E3E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因发包人原因造成监理人未能在计划开工日期之日起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天内发出开工通知的，承包人有权提出价格调整要求，或者解除合同。</w:t>
      </w:r>
    </w:p>
    <w:bookmarkEnd w:id="454"/>
    <w:bookmarkEnd w:id="455"/>
    <w:bookmarkEnd w:id="456"/>
    <w:bookmarkEnd w:id="457"/>
    <w:bookmarkEnd w:id="458"/>
    <w:bookmarkEnd w:id="459"/>
    <w:bookmarkEnd w:id="460"/>
    <w:p w14:paraId="3E527E34">
      <w:pPr>
        <w:outlineLvl w:val="9"/>
        <w:rPr>
          <w:rFonts w:hint="eastAsia" w:ascii="宋体" w:hAnsi="宋体" w:eastAsia="宋体" w:cs="宋体"/>
          <w:color w:val="auto"/>
          <w:sz w:val="21"/>
          <w:szCs w:val="21"/>
          <w:highlight w:val="none"/>
        </w:rPr>
      </w:pPr>
      <w:bookmarkStart w:id="469" w:name="_Toc961"/>
      <w:bookmarkStart w:id="470" w:name="_Toc741356765"/>
      <w:bookmarkStart w:id="471" w:name="_Toc86855608"/>
      <w:bookmarkStart w:id="472" w:name="_Toc78449814"/>
      <w:bookmarkStart w:id="473" w:name="_Toc373478373"/>
      <w:bookmarkStart w:id="474" w:name="_Toc373227726"/>
      <w:bookmarkStart w:id="475" w:name="_Toc389065292"/>
      <w:bookmarkStart w:id="476" w:name="_Toc407135228"/>
      <w:r>
        <w:rPr>
          <w:rFonts w:hint="eastAsia" w:ascii="宋体" w:hAnsi="宋体" w:eastAsia="宋体" w:cs="宋体"/>
          <w:color w:val="auto"/>
          <w:sz w:val="21"/>
          <w:szCs w:val="21"/>
          <w:highlight w:val="none"/>
        </w:rPr>
        <w:t>7.4 测量放线</w:t>
      </w:r>
      <w:bookmarkEnd w:id="469"/>
      <w:bookmarkEnd w:id="470"/>
      <w:bookmarkEnd w:id="471"/>
      <w:bookmarkEnd w:id="472"/>
      <w:bookmarkEnd w:id="473"/>
      <w:bookmarkEnd w:id="474"/>
      <w:bookmarkEnd w:id="475"/>
      <w:bookmarkEnd w:id="476"/>
    </w:p>
    <w:p w14:paraId="22AADC91">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7.4.1发包人通过监理人向承包人提供测量基准点、基准线和水准点及其书面资料的期限：</w:t>
      </w:r>
    </w:p>
    <w:p w14:paraId="0AA47E2F">
      <w:pPr>
        <w:spacing w:line="360" w:lineRule="auto"/>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kern w:val="2"/>
          <w:sz w:val="21"/>
          <w:szCs w:val="21"/>
          <w:highlight w:val="none"/>
          <w:u w:val="single"/>
          <w:lang w:val="en-US" w:eastAsia="zh-CN" w:bidi="ar-SA"/>
        </w:rPr>
        <w:t>承包人与发包人签订合同协议后的14天内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D2B1F27">
      <w:pPr>
        <w:outlineLvl w:val="9"/>
        <w:rPr>
          <w:rFonts w:hint="eastAsia" w:ascii="宋体" w:hAnsi="宋体" w:eastAsia="宋体" w:cs="宋体"/>
          <w:color w:val="auto"/>
          <w:sz w:val="21"/>
          <w:szCs w:val="21"/>
          <w:highlight w:val="none"/>
        </w:rPr>
      </w:pPr>
      <w:bookmarkStart w:id="477" w:name="_Toc1863025072"/>
      <w:bookmarkStart w:id="478" w:name="_Toc25829"/>
      <w:bookmarkStart w:id="479" w:name="_Toc373227727"/>
      <w:bookmarkStart w:id="480" w:name="_Toc1417437583"/>
      <w:bookmarkStart w:id="481" w:name="_Toc389065293"/>
      <w:bookmarkStart w:id="482" w:name="_Toc407135229"/>
      <w:bookmarkStart w:id="483" w:name="_Toc373478374"/>
      <w:bookmarkStart w:id="484" w:name="_Toc78449815"/>
      <w:r>
        <w:rPr>
          <w:rFonts w:hint="eastAsia" w:ascii="宋体" w:hAnsi="宋体" w:eastAsia="宋体" w:cs="宋体"/>
          <w:color w:val="auto"/>
          <w:sz w:val="21"/>
          <w:szCs w:val="21"/>
          <w:highlight w:val="none"/>
        </w:rPr>
        <w:t>7</w:t>
      </w:r>
      <w:bookmarkStart w:id="485" w:name="_Toc303539125"/>
      <w:bookmarkStart w:id="486" w:name="_Toc297216175"/>
      <w:bookmarkStart w:id="487" w:name="_Toc300934968"/>
      <w:bookmarkStart w:id="488" w:name="_Toc304295546"/>
      <w:bookmarkStart w:id="489" w:name="_Toc312677484"/>
      <w:bookmarkStart w:id="490" w:name="_Toc297123516"/>
      <w:bookmarkStart w:id="491" w:name="_Toc312678010"/>
      <w:r>
        <w:rPr>
          <w:rFonts w:hint="eastAsia" w:ascii="宋体" w:hAnsi="宋体" w:eastAsia="宋体" w:cs="宋体"/>
          <w:color w:val="auto"/>
          <w:sz w:val="21"/>
          <w:szCs w:val="21"/>
          <w:highlight w:val="none"/>
        </w:rPr>
        <w:t>.5 工期延误</w:t>
      </w:r>
      <w:bookmarkEnd w:id="477"/>
      <w:bookmarkEnd w:id="478"/>
      <w:bookmarkEnd w:id="479"/>
      <w:bookmarkEnd w:id="480"/>
      <w:bookmarkEnd w:id="481"/>
      <w:bookmarkEnd w:id="482"/>
      <w:bookmarkEnd w:id="483"/>
      <w:bookmarkEnd w:id="484"/>
    </w:p>
    <w:bookmarkEnd w:id="485"/>
    <w:bookmarkEnd w:id="486"/>
    <w:bookmarkEnd w:id="487"/>
    <w:bookmarkEnd w:id="488"/>
    <w:bookmarkEnd w:id="489"/>
    <w:bookmarkEnd w:id="490"/>
    <w:bookmarkEnd w:id="491"/>
    <w:p w14:paraId="1261B2A6">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7.5.1 因发包人原因导致工期延误</w:t>
      </w:r>
    </w:p>
    <w:p w14:paraId="196CED8A">
      <w:pPr>
        <w:spacing w:line="360" w:lineRule="auto"/>
        <w:ind w:firstLine="420" w:firstLineChars="200"/>
        <w:jc w:val="left"/>
        <w:outlineLvl w:val="9"/>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（7）因发包人原因导致工期延误的其他情形：</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eastAsia" w:ascii="宋体" w:hAnsi="宋体" w:eastAsia="宋体" w:cs="宋体"/>
          <w:color w:val="auto"/>
          <w:sz w:val="21"/>
          <w:szCs w:val="21"/>
          <w:highlight w:val="none"/>
          <w:u w:val="single"/>
          <w:lang w:val="en-US" w:eastAsia="zh-CN"/>
        </w:rPr>
        <w:t xml:space="preserve"> </w:t>
      </w:r>
    </w:p>
    <w:p w14:paraId="655EA31D">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bookmarkStart w:id="492" w:name="_Toc312677486"/>
      <w:bookmarkStart w:id="493" w:name="_Toc312678012"/>
      <w:bookmarkStart w:id="494" w:name="_Toc318581169"/>
      <w:bookmarkStart w:id="495" w:name="_Toc303539127"/>
      <w:bookmarkStart w:id="496" w:name="_Toc297216177"/>
      <w:bookmarkStart w:id="497" w:name="_Toc304295548"/>
      <w:bookmarkStart w:id="498" w:name="_Toc300934970"/>
      <w:bookmarkStart w:id="499" w:name="_Toc297123518"/>
      <w:r>
        <w:rPr>
          <w:rFonts w:hint="eastAsia" w:ascii="宋体" w:hAnsi="宋体" w:eastAsia="宋体" w:cs="宋体"/>
          <w:color w:val="auto"/>
          <w:sz w:val="21"/>
          <w:szCs w:val="21"/>
          <w:highlight w:val="none"/>
        </w:rPr>
        <w:t>.5.2 因承包人原因导致工期延误</w:t>
      </w:r>
    </w:p>
    <w:bookmarkEnd w:id="492"/>
    <w:bookmarkEnd w:id="493"/>
    <w:bookmarkEnd w:id="494"/>
    <w:p w14:paraId="04B6B1BF">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双方约定经监理工程师确认，工期相应顺延的情况：</w:t>
      </w:r>
      <w:r>
        <w:rPr>
          <w:rFonts w:hint="eastAsia" w:ascii="宋体" w:hAnsi="宋体" w:eastAsia="宋体" w:cs="宋体"/>
          <w:color w:val="auto"/>
          <w:sz w:val="21"/>
          <w:szCs w:val="21"/>
          <w:highlight w:val="none"/>
          <w:u w:val="single"/>
        </w:rPr>
        <w:t xml:space="preserve">  因异常恶劣的气候条件影响工期的  </w:t>
      </w:r>
      <w:r>
        <w:rPr>
          <w:rFonts w:hint="eastAsia" w:ascii="宋体" w:hAnsi="宋体" w:eastAsia="宋体" w:cs="宋体"/>
          <w:color w:val="auto"/>
          <w:sz w:val="21"/>
          <w:szCs w:val="21"/>
          <w:highlight w:val="none"/>
        </w:rPr>
        <w:t>。</w:t>
      </w:r>
    </w:p>
    <w:p w14:paraId="15D931E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w:t>
      </w:r>
      <w:bookmarkStart w:id="500" w:name="_Toc312677487"/>
      <w:bookmarkStart w:id="501" w:name="_Toc312678013"/>
      <w:bookmarkStart w:id="502" w:name="_Toc318581170"/>
      <w:r>
        <w:rPr>
          <w:rFonts w:hint="eastAsia" w:ascii="宋体" w:hAnsi="宋体" w:eastAsia="宋体" w:cs="宋体"/>
          <w:color w:val="auto"/>
          <w:sz w:val="21"/>
          <w:szCs w:val="21"/>
          <w:highlight w:val="none"/>
        </w:rPr>
        <w:t>承包人原因造成工期延误，逾期竣工违约金的计算方法为：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按逾期竣工的单项工程罚款，每延误一天,按单项工程应支付给承包人的结算造价的万分之</w:t>
      </w:r>
      <w:r>
        <w:rPr>
          <w:rStyle w:val="39"/>
          <w:rFonts w:hint="eastAsia" w:ascii="宋体" w:hAnsi="宋体" w:eastAsia="宋体" w:cs="宋体"/>
          <w:color w:val="auto"/>
          <w:sz w:val="21"/>
          <w:szCs w:val="21"/>
          <w:highlight w:val="none"/>
          <w:u w:val="single"/>
          <w:lang w:val="en-US" w:eastAsia="zh-CN"/>
        </w:rPr>
        <w:t>二</w:t>
      </w:r>
      <w:r>
        <w:rPr>
          <w:rFonts w:hint="eastAsia" w:ascii="宋体" w:hAnsi="宋体" w:eastAsia="宋体" w:cs="宋体"/>
          <w:color w:val="auto"/>
          <w:sz w:val="21"/>
          <w:szCs w:val="21"/>
          <w:highlight w:val="none"/>
          <w:u w:val="single"/>
        </w:rPr>
        <w:t>处罚,罚款直接从结算款中扣除。误期时间从规定竣工日期起直到实际竣工日期的天数（扣除发包人批准顺延的工期）。</w:t>
      </w:r>
      <w:bookmarkEnd w:id="495"/>
      <w:bookmarkEnd w:id="496"/>
      <w:bookmarkEnd w:id="497"/>
      <w:bookmarkEnd w:id="498"/>
      <w:bookmarkEnd w:id="499"/>
      <w:bookmarkEnd w:id="500"/>
      <w:bookmarkEnd w:id="501"/>
      <w:bookmarkEnd w:id="502"/>
      <w:r>
        <w:rPr>
          <w:rFonts w:hint="eastAsia" w:ascii="宋体" w:hAnsi="宋体" w:eastAsia="宋体" w:cs="宋体"/>
          <w:color w:val="auto"/>
          <w:sz w:val="21"/>
          <w:szCs w:val="21"/>
          <w:highlight w:val="none"/>
        </w:rPr>
        <w:t>因承包人原因造成工期延误，逾</w:t>
      </w:r>
      <w:bookmarkStart w:id="503" w:name="_Toc312678014"/>
      <w:bookmarkStart w:id="504" w:name="_Toc318581171"/>
      <w:r>
        <w:rPr>
          <w:rFonts w:hint="eastAsia" w:ascii="宋体" w:hAnsi="宋体" w:eastAsia="宋体" w:cs="宋体"/>
          <w:color w:val="auto"/>
          <w:sz w:val="21"/>
          <w:szCs w:val="21"/>
          <w:highlight w:val="none"/>
        </w:rPr>
        <w:t>期竣工违约金的上限：</w:t>
      </w:r>
      <w:r>
        <w:rPr>
          <w:rFonts w:hint="eastAsia" w:ascii="宋体" w:hAnsi="宋体" w:eastAsia="宋体" w:cs="宋体"/>
          <w:color w:val="auto"/>
          <w:sz w:val="21"/>
          <w:szCs w:val="21"/>
          <w:highlight w:val="none"/>
          <w:u w:val="single"/>
        </w:rPr>
        <w:t>逾期竣工的单项工程结算造价的</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 xml:space="preserve">2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bookmarkEnd w:id="503"/>
    <w:bookmarkEnd w:id="504"/>
    <w:p w14:paraId="3BD174F8">
      <w:pPr>
        <w:outlineLvl w:val="9"/>
        <w:rPr>
          <w:rFonts w:hint="eastAsia" w:ascii="宋体" w:hAnsi="宋体" w:eastAsia="宋体" w:cs="宋体"/>
          <w:color w:val="auto"/>
          <w:sz w:val="21"/>
          <w:szCs w:val="21"/>
          <w:highlight w:val="none"/>
        </w:rPr>
      </w:pPr>
      <w:bookmarkStart w:id="505" w:name="_Toc389065294"/>
      <w:bookmarkStart w:id="506" w:name="_Toc407135230"/>
      <w:bookmarkStart w:id="507" w:name="_Toc14941"/>
      <w:bookmarkStart w:id="508" w:name="_Toc373478375"/>
      <w:bookmarkStart w:id="509" w:name="_Toc1954543271"/>
      <w:bookmarkStart w:id="510" w:name="_Toc888037017"/>
      <w:bookmarkStart w:id="511" w:name="_Toc78449816"/>
      <w:bookmarkStart w:id="512" w:name="_Toc373227728"/>
      <w:r>
        <w:rPr>
          <w:rFonts w:hint="eastAsia" w:ascii="宋体" w:hAnsi="宋体" w:eastAsia="宋体" w:cs="宋体"/>
          <w:color w:val="auto"/>
          <w:sz w:val="21"/>
          <w:szCs w:val="21"/>
          <w:highlight w:val="none"/>
        </w:rPr>
        <w:t>7</w:t>
      </w:r>
      <w:bookmarkStart w:id="513" w:name="_Toc312678015"/>
      <w:bookmarkStart w:id="514" w:name="_Toc300934971"/>
      <w:bookmarkStart w:id="515" w:name="_Toc297123519"/>
      <w:bookmarkStart w:id="516" w:name="_Toc297216178"/>
      <w:bookmarkStart w:id="517" w:name="_Toc304295549"/>
      <w:bookmarkStart w:id="518" w:name="_Toc303539128"/>
      <w:r>
        <w:rPr>
          <w:rFonts w:hint="eastAsia" w:ascii="宋体" w:hAnsi="宋体" w:eastAsia="宋体" w:cs="宋体"/>
          <w:color w:val="auto"/>
          <w:sz w:val="21"/>
          <w:szCs w:val="21"/>
          <w:highlight w:val="none"/>
        </w:rPr>
        <w:t>.6 不</w:t>
      </w:r>
      <w:bookmarkEnd w:id="513"/>
      <w:bookmarkEnd w:id="514"/>
      <w:bookmarkEnd w:id="515"/>
      <w:bookmarkEnd w:id="516"/>
      <w:bookmarkEnd w:id="517"/>
      <w:bookmarkEnd w:id="518"/>
      <w:r>
        <w:rPr>
          <w:rFonts w:hint="eastAsia" w:ascii="宋体" w:hAnsi="宋体" w:eastAsia="宋体" w:cs="宋体"/>
          <w:color w:val="auto"/>
          <w:sz w:val="21"/>
          <w:szCs w:val="21"/>
          <w:highlight w:val="none"/>
        </w:rPr>
        <w:t>利物质条件</w:t>
      </w:r>
      <w:bookmarkEnd w:id="505"/>
      <w:bookmarkEnd w:id="506"/>
      <w:bookmarkEnd w:id="507"/>
      <w:bookmarkEnd w:id="508"/>
      <w:bookmarkEnd w:id="509"/>
      <w:bookmarkEnd w:id="510"/>
      <w:bookmarkEnd w:id="511"/>
      <w:bookmarkEnd w:id="512"/>
    </w:p>
    <w:p w14:paraId="5DC041DB">
      <w:pPr>
        <w:spacing w:line="360" w:lineRule="auto"/>
        <w:ind w:firstLine="420" w:firstLineChars="200"/>
        <w:jc w:val="left"/>
        <w:outlineLvl w:val="9"/>
        <w:rPr>
          <w:rFonts w:hint="eastAsia" w:ascii="宋体" w:hAnsi="宋体" w:eastAsia="宋体" w:cs="宋体"/>
          <w:color w:val="auto"/>
          <w:sz w:val="21"/>
          <w:szCs w:val="21"/>
          <w:highlight w:val="none"/>
          <w:u w:val="single"/>
        </w:rPr>
      </w:pPr>
      <w:bookmarkStart w:id="519" w:name="_Toc304295550"/>
      <w:bookmarkStart w:id="520" w:name="_Toc300934972"/>
      <w:bookmarkStart w:id="521" w:name="_Toc312678016"/>
      <w:bookmarkStart w:id="522" w:name="_Toc303539129"/>
      <w:bookmarkStart w:id="523" w:name="_Toc297216179"/>
      <w:bookmarkStart w:id="524" w:name="_Toc297123520"/>
      <w:bookmarkStart w:id="525" w:name="_Toc318581172"/>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按通用条款约定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19"/>
    <w:bookmarkEnd w:id="520"/>
    <w:bookmarkEnd w:id="521"/>
    <w:bookmarkEnd w:id="522"/>
    <w:bookmarkEnd w:id="523"/>
    <w:bookmarkEnd w:id="524"/>
    <w:bookmarkEnd w:id="525"/>
    <w:p w14:paraId="33A49A5C">
      <w:pPr>
        <w:outlineLvl w:val="9"/>
        <w:rPr>
          <w:rFonts w:hint="eastAsia" w:ascii="宋体" w:hAnsi="宋体" w:eastAsia="宋体" w:cs="宋体"/>
          <w:color w:val="auto"/>
          <w:sz w:val="21"/>
          <w:szCs w:val="21"/>
          <w:highlight w:val="none"/>
        </w:rPr>
      </w:pPr>
      <w:bookmarkStart w:id="526" w:name="_Toc2031116443"/>
      <w:bookmarkStart w:id="527" w:name="_Toc373478376"/>
      <w:bookmarkStart w:id="528" w:name="_Toc78449817"/>
      <w:bookmarkStart w:id="529" w:name="_Toc20350"/>
      <w:bookmarkStart w:id="530" w:name="_Toc389065295"/>
      <w:bookmarkStart w:id="531" w:name="_Toc407135231"/>
      <w:bookmarkStart w:id="532" w:name="_Toc373227729"/>
      <w:bookmarkStart w:id="533" w:name="_Toc851880484"/>
      <w:r>
        <w:rPr>
          <w:rFonts w:hint="eastAsia" w:ascii="宋体" w:hAnsi="宋体" w:eastAsia="宋体" w:cs="宋体"/>
          <w:color w:val="auto"/>
          <w:sz w:val="21"/>
          <w:szCs w:val="21"/>
          <w:highlight w:val="none"/>
        </w:rPr>
        <w:t>7</w:t>
      </w:r>
      <w:bookmarkStart w:id="534" w:name="_Toc297216180"/>
      <w:bookmarkStart w:id="535" w:name="_Toc312678017"/>
      <w:bookmarkStart w:id="536" w:name="_Toc304295551"/>
      <w:bookmarkStart w:id="537" w:name="_Toc303539130"/>
      <w:bookmarkStart w:id="538" w:name="_Toc300934973"/>
      <w:bookmarkStart w:id="539" w:name="_Toc297123521"/>
      <w:r>
        <w:rPr>
          <w:rFonts w:hint="eastAsia" w:ascii="宋体" w:hAnsi="宋体" w:eastAsia="宋体" w:cs="宋体"/>
          <w:color w:val="auto"/>
          <w:sz w:val="21"/>
          <w:szCs w:val="21"/>
          <w:highlight w:val="none"/>
        </w:rPr>
        <w:t>.7 异常恶劣的气候条件</w:t>
      </w:r>
      <w:bookmarkEnd w:id="526"/>
      <w:bookmarkEnd w:id="527"/>
      <w:bookmarkEnd w:id="528"/>
      <w:bookmarkEnd w:id="529"/>
      <w:bookmarkEnd w:id="530"/>
      <w:bookmarkEnd w:id="531"/>
      <w:bookmarkEnd w:id="532"/>
      <w:bookmarkEnd w:id="533"/>
    </w:p>
    <w:bookmarkEnd w:id="534"/>
    <w:bookmarkEnd w:id="535"/>
    <w:bookmarkEnd w:id="536"/>
    <w:bookmarkEnd w:id="537"/>
    <w:bookmarkEnd w:id="538"/>
    <w:bookmarkEnd w:id="539"/>
    <w:p w14:paraId="0DC765DD">
      <w:pPr>
        <w:spacing w:line="360" w:lineRule="auto"/>
        <w:ind w:firstLine="420" w:firstLineChars="200"/>
        <w:jc w:val="left"/>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发包人和承包人同意以下情形视为异常恶劣的气候条件：</w:t>
      </w:r>
    </w:p>
    <w:p w14:paraId="30F6A6B5">
      <w:pPr>
        <w:spacing w:line="360" w:lineRule="auto"/>
        <w:ind w:firstLine="420" w:firstLineChars="200"/>
        <w:jc w:val="left"/>
        <w:outlineLvl w:val="9"/>
        <w:rPr>
          <w:rStyle w:val="39"/>
          <w:rFonts w:hint="eastAsia" w:ascii="宋体" w:hAnsi="宋体" w:eastAsia="宋体" w:cs="宋体"/>
          <w:color w:val="auto"/>
          <w:sz w:val="21"/>
          <w:szCs w:val="21"/>
          <w:highlight w:val="none"/>
          <w:u w:val="single"/>
        </w:rPr>
      </w:pPr>
      <w:bookmarkStart w:id="540" w:name="_Toc12609387"/>
      <w:bookmarkStart w:id="541" w:name="_Toc2087373611"/>
      <w:bookmarkStart w:id="542" w:name="_Toc407135232"/>
      <w:bookmarkStart w:id="543" w:name="_Toc657185480"/>
      <w:bookmarkStart w:id="544" w:name="_Toc78449818"/>
      <w:bookmarkStart w:id="545" w:name="_Toc389065296"/>
      <w:bookmarkStart w:id="546" w:name="_Toc373227730"/>
      <w:bookmarkStart w:id="547" w:name="_Toc373478377"/>
      <w:r>
        <w:rPr>
          <w:rStyle w:val="39"/>
          <w:rFonts w:hint="eastAsia" w:ascii="宋体" w:hAnsi="宋体" w:eastAsia="宋体" w:cs="宋体"/>
          <w:color w:val="auto"/>
          <w:sz w:val="21"/>
          <w:szCs w:val="21"/>
          <w:highlight w:val="none"/>
          <w:u w:val="single"/>
        </w:rPr>
        <w:t>（1）6 级以上的地震；</w:t>
      </w:r>
    </w:p>
    <w:p w14:paraId="7B32511E">
      <w:pPr>
        <w:spacing w:line="360" w:lineRule="auto"/>
        <w:ind w:firstLine="420" w:firstLineChars="200"/>
        <w:jc w:val="left"/>
        <w:outlineLvl w:val="9"/>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u w:val="single"/>
        </w:rPr>
        <w:t>（2）10级以上持续1天的大风；</w:t>
      </w:r>
    </w:p>
    <w:p w14:paraId="47C3DC29">
      <w:pPr>
        <w:spacing w:line="360" w:lineRule="auto"/>
        <w:ind w:firstLine="420" w:firstLineChars="200"/>
        <w:jc w:val="left"/>
        <w:outlineLvl w:val="9"/>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u w:val="single"/>
        </w:rPr>
        <w:t>（3）50年以上未发生过，持续10天的高温天气；</w:t>
      </w:r>
    </w:p>
    <w:p w14:paraId="77DB23AA">
      <w:pPr>
        <w:spacing w:line="360" w:lineRule="auto"/>
        <w:ind w:firstLine="420" w:firstLineChars="200"/>
        <w:jc w:val="left"/>
        <w:outlineLvl w:val="9"/>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u w:val="single"/>
        </w:rPr>
        <w:t>（4）50年以上未发生过，持续10天的低温天气；</w:t>
      </w:r>
    </w:p>
    <w:p w14:paraId="379770C4">
      <w:pPr>
        <w:spacing w:line="360" w:lineRule="auto"/>
        <w:ind w:firstLine="420" w:firstLineChars="200"/>
        <w:jc w:val="left"/>
        <w:outlineLvl w:val="9"/>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u w:val="single"/>
        </w:rPr>
        <w:t>（5）50年以上未发生过的洪水；</w:t>
      </w:r>
    </w:p>
    <w:p w14:paraId="21103F5C">
      <w:pPr>
        <w:numPr>
          <w:ilvl w:val="0"/>
          <w:numId w:val="0"/>
        </w:numPr>
        <w:spacing w:line="360" w:lineRule="auto"/>
        <w:ind w:firstLine="420" w:firstLineChars="200"/>
        <w:jc w:val="left"/>
        <w:outlineLvl w:val="9"/>
        <w:rPr>
          <w:rStyle w:val="39"/>
          <w:rFonts w:hint="eastAsia" w:ascii="宋体" w:hAnsi="宋体" w:eastAsia="宋体" w:cs="宋体"/>
          <w:color w:val="auto"/>
          <w:sz w:val="21"/>
          <w:szCs w:val="21"/>
          <w:highlight w:val="none"/>
          <w:u w:val="single"/>
          <w:lang w:eastAsia="zh-CN"/>
        </w:rPr>
      </w:pPr>
      <w:r>
        <w:rPr>
          <w:rStyle w:val="39"/>
          <w:rFonts w:hint="eastAsia" w:ascii="宋体" w:hAnsi="宋体" w:eastAsia="宋体" w:cs="宋体"/>
          <w:color w:val="auto"/>
          <w:sz w:val="21"/>
          <w:szCs w:val="21"/>
          <w:highlight w:val="none"/>
          <w:u w:val="single"/>
          <w:lang w:eastAsia="zh-CN"/>
        </w:rPr>
        <w:t>（</w:t>
      </w:r>
      <w:r>
        <w:rPr>
          <w:rStyle w:val="39"/>
          <w:rFonts w:hint="eastAsia" w:ascii="宋体" w:hAnsi="宋体" w:eastAsia="宋体" w:cs="宋体"/>
          <w:color w:val="auto"/>
          <w:sz w:val="21"/>
          <w:szCs w:val="21"/>
          <w:highlight w:val="none"/>
          <w:u w:val="single"/>
          <w:lang w:val="en-US" w:eastAsia="zh-CN"/>
        </w:rPr>
        <w:t>6</w:t>
      </w:r>
      <w:r>
        <w:rPr>
          <w:rStyle w:val="39"/>
          <w:rFonts w:hint="eastAsia" w:ascii="宋体" w:hAnsi="宋体" w:eastAsia="宋体" w:cs="宋体"/>
          <w:color w:val="auto"/>
          <w:sz w:val="21"/>
          <w:szCs w:val="21"/>
          <w:highlight w:val="none"/>
          <w:u w:val="single"/>
          <w:lang w:eastAsia="zh-CN"/>
        </w:rPr>
        <w:t>）</w:t>
      </w:r>
      <w:r>
        <w:rPr>
          <w:rStyle w:val="39"/>
          <w:rFonts w:hint="eastAsia" w:ascii="宋体" w:hAnsi="宋体" w:eastAsia="宋体" w:cs="宋体"/>
          <w:color w:val="auto"/>
          <w:sz w:val="21"/>
          <w:szCs w:val="21"/>
          <w:highlight w:val="none"/>
          <w:u w:val="single"/>
        </w:rPr>
        <w:t>暴雨级以上持续2天的大雨（以北海市气象台公布的公告为准）</w:t>
      </w:r>
      <w:bookmarkEnd w:id="540"/>
      <w:r>
        <w:rPr>
          <w:rStyle w:val="39"/>
          <w:rFonts w:hint="eastAsia" w:ascii="宋体" w:hAnsi="宋体" w:eastAsia="宋体" w:cs="宋体"/>
          <w:color w:val="auto"/>
          <w:sz w:val="21"/>
          <w:szCs w:val="21"/>
          <w:highlight w:val="none"/>
          <w:u w:val="single"/>
          <w:lang w:eastAsia="zh-CN"/>
        </w:rPr>
        <w:t>；</w:t>
      </w:r>
    </w:p>
    <w:p w14:paraId="0254CCA2">
      <w:pPr>
        <w:numPr>
          <w:ilvl w:val="0"/>
          <w:numId w:val="0"/>
        </w:numPr>
        <w:spacing w:line="360" w:lineRule="auto"/>
        <w:ind w:firstLine="420" w:firstLineChars="200"/>
        <w:jc w:val="left"/>
        <w:outlineLvl w:val="9"/>
        <w:rPr>
          <w:rStyle w:val="39"/>
          <w:rFonts w:hint="eastAsia" w:ascii="宋体" w:hAnsi="宋体" w:eastAsia="宋体" w:cs="宋体"/>
          <w:color w:val="auto"/>
          <w:sz w:val="21"/>
          <w:szCs w:val="21"/>
          <w:highlight w:val="none"/>
          <w:u w:val="single"/>
          <w:lang w:eastAsia="zh-CN"/>
        </w:rPr>
      </w:pPr>
      <w:r>
        <w:rPr>
          <w:rStyle w:val="39"/>
          <w:rFonts w:hint="eastAsia" w:ascii="宋体" w:hAnsi="宋体" w:eastAsia="宋体" w:cs="宋体"/>
          <w:color w:val="auto"/>
          <w:sz w:val="21"/>
          <w:szCs w:val="21"/>
          <w:highlight w:val="none"/>
          <w:u w:val="single"/>
        </w:rPr>
        <w:t>（7）异常恶劣的气候条件引起的工程延误，由监理工程师根据承包人提交的证明予以评定，但在进行上述评定时，还将考虑按同等标准以同期或其它月份异常良好的气候予以抵补，异常气候在每月对工程进度影 响的评定，应在整个合同内予以累计</w:t>
      </w:r>
      <w:r>
        <w:rPr>
          <w:rStyle w:val="39"/>
          <w:rFonts w:hint="eastAsia" w:ascii="宋体" w:hAnsi="宋体" w:eastAsia="宋体" w:cs="宋体"/>
          <w:color w:val="auto"/>
          <w:sz w:val="21"/>
          <w:szCs w:val="21"/>
          <w:highlight w:val="none"/>
          <w:u w:val="single"/>
          <w:lang w:eastAsia="zh-CN"/>
        </w:rPr>
        <w:t>；</w:t>
      </w:r>
    </w:p>
    <w:p w14:paraId="3D3D4164">
      <w:pPr>
        <w:numPr>
          <w:ilvl w:val="0"/>
          <w:numId w:val="0"/>
        </w:numPr>
        <w:spacing w:line="360" w:lineRule="auto"/>
        <w:ind w:firstLine="420" w:firstLineChars="200"/>
        <w:jc w:val="left"/>
        <w:outlineLvl w:val="9"/>
        <w:rPr>
          <w:rFonts w:hint="eastAsia" w:ascii="宋体" w:hAnsi="宋体" w:eastAsia="宋体" w:cs="宋体"/>
          <w:color w:val="auto"/>
          <w:sz w:val="21"/>
          <w:szCs w:val="21"/>
          <w:highlight w:val="none"/>
          <w:u w:val="single"/>
          <w:lang w:val="en-US" w:eastAsia="zh-CN"/>
        </w:rPr>
      </w:pPr>
      <w:r>
        <w:rPr>
          <w:rStyle w:val="39"/>
          <w:rFonts w:hint="eastAsia" w:ascii="宋体" w:hAnsi="宋体" w:eastAsia="宋体" w:cs="宋体"/>
          <w:color w:val="auto"/>
          <w:sz w:val="21"/>
          <w:szCs w:val="21"/>
          <w:highlight w:val="none"/>
          <w:u w:val="single"/>
        </w:rPr>
        <w:t>（8）承包人应采取克服异常恶劣的气候条件的合理措施继续施工，并在发生后 48 小时内及时通知发包人和监理人。监理人应在接到通知后 48 小时内报发包人同意后应当及时发出指示，指示构成变更的，按专用合同条款第 10 条〔变更〕约定办理。承包人因采取合理措施而延误的工期由发包人承担，但发包人不承担增加的费用。</w:t>
      </w:r>
    </w:p>
    <w:p w14:paraId="33B3965F">
      <w:pPr>
        <w:outlineLvl w:val="9"/>
        <w:rPr>
          <w:rFonts w:hint="eastAsia" w:ascii="宋体" w:hAnsi="宋体" w:eastAsia="宋体" w:cs="宋体"/>
          <w:color w:val="auto"/>
          <w:sz w:val="21"/>
          <w:szCs w:val="21"/>
          <w:highlight w:val="none"/>
          <w:lang w:val="en-US"/>
        </w:rPr>
      </w:pPr>
      <w:bookmarkStart w:id="548" w:name="_Toc3825"/>
      <w:r>
        <w:rPr>
          <w:rFonts w:hint="eastAsia" w:ascii="宋体" w:hAnsi="宋体" w:eastAsia="宋体" w:cs="宋体"/>
          <w:color w:val="auto"/>
          <w:sz w:val="21"/>
          <w:szCs w:val="21"/>
          <w:highlight w:val="none"/>
          <w:lang w:val="en-US"/>
        </w:rPr>
        <w:t xml:space="preserve">7.9 </w:t>
      </w:r>
      <w:r>
        <w:rPr>
          <w:rFonts w:hint="eastAsia" w:ascii="宋体" w:hAnsi="宋体" w:eastAsia="宋体" w:cs="宋体"/>
          <w:color w:val="auto"/>
          <w:sz w:val="21"/>
          <w:szCs w:val="21"/>
          <w:highlight w:val="none"/>
        </w:rPr>
        <w:t>提前竣工</w:t>
      </w:r>
      <w:bookmarkEnd w:id="541"/>
      <w:bookmarkEnd w:id="542"/>
      <w:bookmarkEnd w:id="543"/>
      <w:bookmarkEnd w:id="544"/>
      <w:bookmarkEnd w:id="545"/>
      <w:bookmarkEnd w:id="546"/>
      <w:bookmarkEnd w:id="547"/>
      <w:bookmarkEnd w:id="548"/>
    </w:p>
    <w:p w14:paraId="03CB14A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7.9.2提前竣工（赶工）增加费的计算方法：</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3A3341">
      <w:pPr>
        <w:outlineLvl w:val="9"/>
        <w:rPr>
          <w:rFonts w:hint="eastAsia" w:ascii="宋体" w:hAnsi="宋体" w:eastAsia="宋体" w:cs="宋体"/>
          <w:color w:val="auto"/>
          <w:sz w:val="21"/>
          <w:szCs w:val="21"/>
          <w:highlight w:val="none"/>
        </w:rPr>
      </w:pPr>
      <w:bookmarkStart w:id="549" w:name="_Toc373478378"/>
      <w:bookmarkStart w:id="550" w:name="_Toc1302158431"/>
      <w:bookmarkStart w:id="551" w:name="_Toc351203640"/>
      <w:bookmarkStart w:id="552" w:name="_Toc1400878670"/>
      <w:bookmarkStart w:id="553" w:name="_Toc21961"/>
      <w:bookmarkStart w:id="554" w:name="_Toc389065297"/>
      <w:bookmarkStart w:id="555" w:name="_Toc373227731"/>
      <w:bookmarkStart w:id="556" w:name="_Toc407135233"/>
      <w:bookmarkStart w:id="557" w:name="_Toc78449819"/>
      <w:r>
        <w:rPr>
          <w:rFonts w:hint="eastAsia" w:ascii="宋体" w:hAnsi="宋体" w:eastAsia="宋体" w:cs="宋体"/>
          <w:color w:val="auto"/>
          <w:sz w:val="21"/>
          <w:szCs w:val="21"/>
          <w:highlight w:val="none"/>
        </w:rPr>
        <w:t>8. 材料与设备</w:t>
      </w:r>
      <w:bookmarkEnd w:id="549"/>
      <w:bookmarkEnd w:id="550"/>
      <w:bookmarkEnd w:id="551"/>
      <w:bookmarkEnd w:id="552"/>
      <w:bookmarkEnd w:id="553"/>
      <w:bookmarkEnd w:id="554"/>
      <w:bookmarkEnd w:id="555"/>
      <w:bookmarkEnd w:id="556"/>
      <w:bookmarkEnd w:id="557"/>
    </w:p>
    <w:bookmarkEnd w:id="379"/>
    <w:bookmarkEnd w:id="380"/>
    <w:bookmarkEnd w:id="381"/>
    <w:bookmarkEnd w:id="382"/>
    <w:bookmarkEnd w:id="383"/>
    <w:bookmarkEnd w:id="384"/>
    <w:bookmarkEnd w:id="385"/>
    <w:bookmarkEnd w:id="386"/>
    <w:bookmarkEnd w:id="387"/>
    <w:bookmarkEnd w:id="388"/>
    <w:p w14:paraId="15264372">
      <w:pPr>
        <w:outlineLvl w:val="9"/>
        <w:rPr>
          <w:rFonts w:hint="eastAsia" w:ascii="宋体" w:hAnsi="宋体" w:eastAsia="宋体" w:cs="宋体"/>
          <w:color w:val="auto"/>
          <w:sz w:val="21"/>
          <w:szCs w:val="21"/>
          <w:highlight w:val="none"/>
        </w:rPr>
      </w:pPr>
      <w:bookmarkStart w:id="558" w:name="_Toc11419"/>
      <w:bookmarkStart w:id="559" w:name="_Toc1119561048"/>
      <w:bookmarkStart w:id="560" w:name="_Toc1078610395"/>
      <w:bookmarkStart w:id="561" w:name="_Toc407135234"/>
      <w:bookmarkStart w:id="562" w:name="_Toc373478379"/>
      <w:bookmarkStart w:id="563" w:name="_Toc78449820"/>
      <w:bookmarkStart w:id="564" w:name="_Toc373227732"/>
      <w:bookmarkStart w:id="565" w:name="_Toc389065298"/>
      <w:r>
        <w:rPr>
          <w:rFonts w:hint="eastAsia" w:ascii="宋体" w:hAnsi="宋体" w:eastAsia="宋体" w:cs="宋体"/>
          <w:color w:val="auto"/>
          <w:sz w:val="21"/>
          <w:szCs w:val="21"/>
          <w:highlight w:val="none"/>
        </w:rPr>
        <w:t>8.2 承包人采购材料与工程设备</w:t>
      </w:r>
      <w:bookmarkEnd w:id="558"/>
      <w:bookmarkEnd w:id="559"/>
      <w:bookmarkEnd w:id="560"/>
      <w:bookmarkEnd w:id="561"/>
      <w:bookmarkEnd w:id="562"/>
      <w:bookmarkEnd w:id="563"/>
      <w:bookmarkEnd w:id="564"/>
      <w:bookmarkEnd w:id="565"/>
    </w:p>
    <w:p w14:paraId="65B5325F">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除已标价工程量清单《发包人提供主要材料和工程设备一览表》（表-21）中明确的材料、工程设备外，由承包人负责材料和工程设备的采购、运输和保管。</w:t>
      </w:r>
      <w:bookmarkStart w:id="566" w:name="_Toc389065299"/>
      <w:bookmarkStart w:id="567" w:name="_Toc373478380"/>
      <w:bookmarkStart w:id="568" w:name="_Toc373227733"/>
    </w:p>
    <w:p w14:paraId="47C83C10">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有“参照或相当于**品牌、级别”约定的材料或设备，承包人采购时必须按类似于或优于所约定品牌、等级进行采购，施工期间该部分材料或设备如未超过招标约定的风险幅度的，结算时按竞标单价支付，不得调整。</w:t>
      </w:r>
    </w:p>
    <w:p w14:paraId="2F922E42">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禁止使用松木、松木包装材料设备、种子、苗木、花卉及繁殖材料。</w:t>
      </w:r>
    </w:p>
    <w:p w14:paraId="4720E7C3">
      <w:pPr>
        <w:outlineLvl w:val="9"/>
        <w:rPr>
          <w:rFonts w:hint="eastAsia" w:ascii="宋体" w:hAnsi="宋体" w:eastAsia="宋体" w:cs="宋体"/>
          <w:color w:val="auto"/>
          <w:sz w:val="21"/>
          <w:szCs w:val="21"/>
          <w:highlight w:val="none"/>
        </w:rPr>
      </w:pPr>
      <w:bookmarkStart w:id="569" w:name="_Toc78449821"/>
      <w:bookmarkStart w:id="570" w:name="_Toc1355357553"/>
      <w:bookmarkStart w:id="571" w:name="_Toc800965933"/>
      <w:bookmarkStart w:id="572" w:name="_Toc13639"/>
      <w:bookmarkStart w:id="573" w:name="_Toc407135235"/>
      <w:r>
        <w:rPr>
          <w:rFonts w:hint="eastAsia" w:ascii="宋体" w:hAnsi="宋体" w:eastAsia="宋体" w:cs="宋体"/>
          <w:color w:val="auto"/>
          <w:sz w:val="21"/>
          <w:szCs w:val="21"/>
          <w:highlight w:val="none"/>
        </w:rPr>
        <w:t>8</w:t>
      </w:r>
      <w:bookmarkStart w:id="574" w:name="_Toc312677493"/>
      <w:bookmarkStart w:id="575" w:name="_Toc296347166"/>
      <w:bookmarkStart w:id="576" w:name="_Toc297048353"/>
      <w:bookmarkStart w:id="577" w:name="_Toc292559877"/>
      <w:bookmarkStart w:id="578" w:name="_Toc296890995"/>
      <w:bookmarkStart w:id="579" w:name="_Toc312678019"/>
      <w:bookmarkStart w:id="580" w:name="_Toc300934979"/>
      <w:bookmarkStart w:id="581" w:name="_Toc303539136"/>
      <w:bookmarkStart w:id="582" w:name="_Toc297120467"/>
      <w:bookmarkStart w:id="583" w:name="_Toc292559372"/>
      <w:bookmarkStart w:id="584" w:name="_Toc304295556"/>
      <w:bookmarkStart w:id="585" w:name="_Toc296891207"/>
      <w:bookmarkStart w:id="586" w:name="_Toc296503167"/>
      <w:bookmarkStart w:id="587" w:name="_Toc296346668"/>
      <w:bookmarkStart w:id="588" w:name="_Toc297123527"/>
      <w:bookmarkStart w:id="589" w:name="_Toc280868654"/>
      <w:bookmarkStart w:id="590" w:name="_Toc297216186"/>
      <w:bookmarkStart w:id="591" w:name="_Toc296944506"/>
      <w:bookmarkStart w:id="592" w:name="_Toc280868655"/>
      <w:bookmarkStart w:id="593" w:name="_Toc280868656"/>
      <w:bookmarkStart w:id="594" w:name="_Toc267251424"/>
      <w:r>
        <w:rPr>
          <w:rFonts w:hint="eastAsia" w:ascii="宋体" w:hAnsi="宋体" w:eastAsia="宋体" w:cs="宋体"/>
          <w:color w:val="auto"/>
          <w:sz w:val="21"/>
          <w:szCs w:val="21"/>
          <w:highlight w:val="none"/>
        </w:rPr>
        <w:t>.4 材料与工程设备的保管与使用</w:t>
      </w:r>
      <w:bookmarkEnd w:id="566"/>
      <w:bookmarkEnd w:id="567"/>
      <w:bookmarkEnd w:id="568"/>
      <w:bookmarkEnd w:id="569"/>
      <w:bookmarkEnd w:id="570"/>
      <w:bookmarkEnd w:id="571"/>
      <w:bookmarkEnd w:id="572"/>
      <w:bookmarkEnd w:id="573"/>
    </w:p>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14:paraId="5FD48405">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8</w:t>
      </w:r>
      <w:bookmarkStart w:id="595" w:name="_Toc292559878"/>
      <w:bookmarkStart w:id="596" w:name="_Toc292559373"/>
      <w:bookmarkStart w:id="597" w:name="_Toc296503168"/>
      <w:bookmarkStart w:id="598" w:name="_Toc300934980"/>
      <w:bookmarkStart w:id="599" w:name="_Toc304295557"/>
      <w:bookmarkStart w:id="600" w:name="_Toc296346669"/>
      <w:bookmarkStart w:id="601" w:name="_Toc296891208"/>
      <w:bookmarkStart w:id="602" w:name="_Toc297216187"/>
      <w:bookmarkStart w:id="603" w:name="_Toc303539137"/>
      <w:bookmarkStart w:id="604" w:name="_Toc297120468"/>
      <w:bookmarkStart w:id="605" w:name="_Toc318581173"/>
      <w:bookmarkStart w:id="606" w:name="_Toc297048354"/>
      <w:bookmarkStart w:id="607" w:name="_Toc296890996"/>
      <w:bookmarkStart w:id="608" w:name="_Toc297123528"/>
      <w:bookmarkStart w:id="609" w:name="_Toc296347167"/>
      <w:bookmarkStart w:id="610" w:name="_Toc296944507"/>
      <w:bookmarkStart w:id="611" w:name="_Toc312678020"/>
      <w:bookmarkStart w:id="612" w:name="_Toc312677494"/>
      <w:r>
        <w:rPr>
          <w:rFonts w:hint="eastAsia" w:ascii="宋体" w:hAnsi="宋体" w:eastAsia="宋体" w:cs="宋体"/>
          <w:color w:val="auto"/>
          <w:sz w:val="21"/>
          <w:szCs w:val="21"/>
          <w:highlight w:val="none"/>
        </w:rPr>
        <w:t>.4.1发包人供应的材料设备的保管费用的承担：</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由承包人负责保管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95"/>
    <w:bookmarkEnd w:id="596"/>
    <w:p w14:paraId="54BAC136">
      <w:pPr>
        <w:outlineLvl w:val="9"/>
        <w:rPr>
          <w:rFonts w:hint="eastAsia" w:ascii="宋体" w:hAnsi="宋体" w:eastAsia="宋体" w:cs="宋体"/>
          <w:color w:val="auto"/>
          <w:sz w:val="21"/>
          <w:szCs w:val="21"/>
          <w:highlight w:val="none"/>
        </w:rPr>
      </w:pPr>
      <w:bookmarkStart w:id="613" w:name="_Toc125914831"/>
      <w:bookmarkStart w:id="614" w:name="_Toc373478381"/>
      <w:bookmarkStart w:id="615" w:name="_Toc1948522881"/>
      <w:bookmarkStart w:id="616" w:name="_Toc407135236"/>
      <w:bookmarkStart w:id="617" w:name="_Toc78449822"/>
      <w:bookmarkStart w:id="618" w:name="_Toc1612"/>
      <w:bookmarkStart w:id="619" w:name="_Toc389065300"/>
      <w:bookmarkStart w:id="620" w:name="_Toc373227734"/>
      <w:r>
        <w:rPr>
          <w:rFonts w:hint="eastAsia" w:ascii="宋体" w:hAnsi="宋体" w:eastAsia="宋体" w:cs="宋体"/>
          <w:color w:val="auto"/>
          <w:sz w:val="21"/>
          <w:szCs w:val="21"/>
          <w:highlight w:val="none"/>
        </w:rPr>
        <w:t>8.6 样品</w:t>
      </w:r>
      <w:bookmarkEnd w:id="613"/>
      <w:bookmarkEnd w:id="614"/>
      <w:bookmarkEnd w:id="615"/>
      <w:bookmarkEnd w:id="616"/>
      <w:bookmarkEnd w:id="617"/>
      <w:bookmarkEnd w:id="618"/>
      <w:bookmarkEnd w:id="619"/>
      <w:bookmarkEnd w:id="620"/>
    </w:p>
    <w:p w14:paraId="0F33FD73">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8.6.1 样品的报送与封存</w:t>
      </w:r>
    </w:p>
    <w:p w14:paraId="58814093">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需要承包人报送样品的材料或工程设备，样品的种类、名称、规格、数量要求：</w:t>
      </w:r>
      <w:r>
        <w:rPr>
          <w:rFonts w:hint="eastAsia" w:ascii="宋体" w:hAnsi="宋体" w:eastAsia="宋体" w:cs="宋体"/>
          <w:color w:val="auto"/>
          <w:sz w:val="21"/>
          <w:szCs w:val="21"/>
          <w:highlight w:val="none"/>
          <w:u w:val="single"/>
        </w:rPr>
        <w:t>主要材料涉及品种、款式、颜色等方面内容的，承包人应提交准备合格的材料样品送发包人选定。</w:t>
      </w:r>
    </w:p>
    <w:p w14:paraId="3B9D11B4">
      <w:pPr>
        <w:outlineLvl w:val="9"/>
        <w:rPr>
          <w:rFonts w:hint="eastAsia" w:ascii="宋体" w:hAnsi="宋体" w:eastAsia="宋体" w:cs="宋体"/>
          <w:color w:val="auto"/>
          <w:sz w:val="21"/>
          <w:szCs w:val="21"/>
          <w:highlight w:val="none"/>
        </w:rPr>
      </w:pPr>
      <w:bookmarkStart w:id="621" w:name="_Toc78449823"/>
      <w:bookmarkStart w:id="622" w:name="_Toc23246"/>
      <w:bookmarkStart w:id="623" w:name="_Toc1049576644"/>
      <w:bookmarkStart w:id="624" w:name="_Toc997640704"/>
      <w:bookmarkStart w:id="625" w:name="_Toc389065301"/>
      <w:bookmarkStart w:id="626" w:name="_Toc373478382"/>
      <w:bookmarkStart w:id="627" w:name="_Toc407135237"/>
      <w:bookmarkStart w:id="628" w:name="_Toc373227735"/>
      <w:r>
        <w:rPr>
          <w:rFonts w:hint="eastAsia" w:ascii="宋体" w:hAnsi="宋体" w:eastAsia="宋体" w:cs="宋体"/>
          <w:color w:val="auto"/>
          <w:sz w:val="21"/>
          <w:szCs w:val="21"/>
          <w:highlight w:val="none"/>
        </w:rPr>
        <w:t>8.8 施工设备和临时设施</w:t>
      </w:r>
      <w:bookmarkEnd w:id="621"/>
      <w:bookmarkEnd w:id="622"/>
      <w:bookmarkEnd w:id="623"/>
      <w:bookmarkEnd w:id="624"/>
      <w:bookmarkEnd w:id="625"/>
      <w:bookmarkEnd w:id="626"/>
      <w:bookmarkEnd w:id="627"/>
      <w:bookmarkEnd w:id="628"/>
    </w:p>
    <w:p w14:paraId="716FFFD0">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8.8.1 承包人提供的施工设备和临时设施</w:t>
      </w:r>
    </w:p>
    <w:p w14:paraId="332DECCE">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p w14:paraId="25A5FB44">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关于修建临时设施费用承担的约定：</w:t>
      </w:r>
    </w:p>
    <w:p w14:paraId="49B14A28">
      <w:pPr>
        <w:pStyle w:val="98"/>
        <w:autoSpaceDE w:val="0"/>
        <w:autoSpaceDN w:val="0"/>
        <w:adjustRightInd w:val="0"/>
        <w:spacing w:line="360" w:lineRule="auto"/>
        <w:ind w:firstLine="420" w:firstLineChars="200"/>
        <w:jc w:val="left"/>
        <w:outlineLvl w:val="9"/>
        <w:rPr>
          <w:rStyle w:val="39"/>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①承包人的临时用地（含项目部驻地等）租用费（含拆迁补偿）、临时用地的环保、恢复、临时用地的青苗补偿及地面附着物拆除等费用均由承包人负责，以上费用在</w:t>
      </w:r>
      <w:r>
        <w:rPr>
          <w:rStyle w:val="39"/>
          <w:rFonts w:hint="eastAsia" w:ascii="宋体" w:hAnsi="宋体" w:eastAsia="宋体" w:cs="宋体"/>
          <w:color w:val="auto"/>
          <w:sz w:val="21"/>
          <w:szCs w:val="21"/>
          <w:highlight w:val="none"/>
          <w:u w:val="single"/>
          <w:lang w:val="en-US" w:eastAsia="zh-CN"/>
        </w:rPr>
        <w:t>竞标</w:t>
      </w:r>
      <w:r>
        <w:rPr>
          <w:rStyle w:val="39"/>
          <w:rFonts w:hint="eastAsia" w:ascii="宋体" w:hAnsi="宋体" w:eastAsia="宋体" w:cs="宋体"/>
          <w:color w:val="auto"/>
          <w:sz w:val="21"/>
          <w:szCs w:val="21"/>
          <w:highlight w:val="none"/>
          <w:u w:val="single"/>
        </w:rPr>
        <w:t>报价中综合考虑。</w:t>
      </w:r>
    </w:p>
    <w:p w14:paraId="4B953882">
      <w:pPr>
        <w:pStyle w:val="98"/>
        <w:autoSpaceDE w:val="0"/>
        <w:autoSpaceDN w:val="0"/>
        <w:adjustRightInd w:val="0"/>
        <w:spacing w:line="360" w:lineRule="auto"/>
        <w:ind w:firstLine="420" w:firstLineChars="200"/>
        <w:jc w:val="left"/>
        <w:outlineLvl w:val="9"/>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u w:val="single"/>
        </w:rPr>
        <w:t>②承包人负责合同实施期间其合同段内临时交通道路（含场内外连接公共交通道路）和交通设施的修建、维修、养护和交通管理工作，并承担一切费用。</w:t>
      </w:r>
    </w:p>
    <w:p w14:paraId="02259F2B">
      <w:pPr>
        <w:autoSpaceDE w:val="0"/>
        <w:autoSpaceDN w:val="0"/>
        <w:adjustRightInd w:val="0"/>
        <w:spacing w:line="360" w:lineRule="auto"/>
        <w:ind w:firstLine="420" w:firstLineChars="200"/>
        <w:jc w:val="left"/>
        <w:outlineLvl w:val="9"/>
        <w:rPr>
          <w:rStyle w:val="39"/>
          <w:rFonts w:hint="eastAsia" w:ascii="宋体" w:hAnsi="宋体" w:eastAsia="宋体" w:cs="宋体"/>
          <w:color w:val="auto"/>
          <w:sz w:val="21"/>
          <w:szCs w:val="21"/>
          <w:highlight w:val="none"/>
          <w:u w:val="none"/>
          <w:lang w:eastAsia="zh-CN"/>
        </w:rPr>
      </w:pPr>
      <w:r>
        <w:rPr>
          <w:rStyle w:val="39"/>
          <w:rFonts w:hint="eastAsia" w:ascii="宋体" w:hAnsi="宋体" w:eastAsia="宋体" w:cs="宋体"/>
          <w:color w:val="auto"/>
          <w:sz w:val="21"/>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r>
        <w:rPr>
          <w:rStyle w:val="39"/>
          <w:rFonts w:hint="eastAsia" w:ascii="宋体" w:hAnsi="宋体" w:eastAsia="宋体" w:cs="宋体"/>
          <w:color w:val="auto"/>
          <w:sz w:val="21"/>
          <w:szCs w:val="21"/>
          <w:highlight w:val="none"/>
          <w:u w:val="none"/>
          <w:lang w:eastAsia="zh-CN"/>
        </w:rPr>
        <w:t>。</w:t>
      </w:r>
    </w:p>
    <w:p w14:paraId="2B0AEB04">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8.8.2 发包人提供的施工设备和临时设施</w:t>
      </w:r>
    </w:p>
    <w:p w14:paraId="2EE10DBF">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FB726">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发包人提供的施工设备和临时设施的运行、维护、拆除、清运费用的承担人：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14:paraId="76996224">
      <w:pPr>
        <w:outlineLvl w:val="9"/>
        <w:rPr>
          <w:rFonts w:hint="eastAsia" w:ascii="宋体" w:hAnsi="宋体" w:eastAsia="宋体" w:cs="宋体"/>
          <w:color w:val="auto"/>
          <w:sz w:val="21"/>
          <w:szCs w:val="21"/>
          <w:highlight w:val="none"/>
        </w:rPr>
      </w:pPr>
      <w:bookmarkStart w:id="629" w:name="_Toc389065302"/>
      <w:bookmarkStart w:id="630" w:name="_Toc351203641"/>
      <w:bookmarkStart w:id="631" w:name="_Toc2039161841"/>
      <w:bookmarkStart w:id="632" w:name="_Toc78449824"/>
      <w:bookmarkStart w:id="633" w:name="_Toc407135238"/>
      <w:bookmarkStart w:id="634" w:name="_Toc11397"/>
      <w:bookmarkStart w:id="635" w:name="_Toc373478383"/>
      <w:bookmarkStart w:id="636" w:name="_Toc2027787496"/>
      <w:bookmarkStart w:id="637" w:name="_Toc373227736"/>
      <w:r>
        <w:rPr>
          <w:rFonts w:hint="eastAsia" w:ascii="宋体" w:hAnsi="宋体" w:eastAsia="宋体" w:cs="宋体"/>
          <w:color w:val="auto"/>
          <w:sz w:val="21"/>
          <w:szCs w:val="21"/>
          <w:highlight w:val="none"/>
        </w:rPr>
        <w:t>9</w:t>
      </w:r>
      <w:bookmarkEnd w:id="592"/>
      <w:bookmarkEnd w:id="593"/>
      <w:bookmarkEnd w:id="594"/>
      <w:bookmarkStart w:id="638" w:name="_Toc312677495"/>
      <w:bookmarkStart w:id="639" w:name="_Toc300934982"/>
      <w:bookmarkStart w:id="640" w:name="_Toc304295559"/>
      <w:bookmarkStart w:id="641" w:name="_Toc312678021"/>
      <w:bookmarkStart w:id="642" w:name="_Toc297123533"/>
      <w:bookmarkStart w:id="643" w:name="_Toc303539139"/>
      <w:bookmarkStart w:id="644" w:name="_Toc297216192"/>
      <w:bookmarkStart w:id="645" w:name="_Toc297048359"/>
      <w:bookmarkStart w:id="646" w:name="_Toc296346674"/>
      <w:bookmarkStart w:id="647" w:name="_Toc267251427"/>
      <w:bookmarkStart w:id="648" w:name="_Toc296891001"/>
      <w:bookmarkStart w:id="649" w:name="_Toc297120473"/>
      <w:bookmarkStart w:id="650" w:name="_Toc292559883"/>
      <w:bookmarkStart w:id="651" w:name="_Toc296944512"/>
      <w:bookmarkStart w:id="652" w:name="_Toc296347172"/>
      <w:bookmarkStart w:id="653" w:name="_Toc296503173"/>
      <w:bookmarkStart w:id="654" w:name="_Toc267251428"/>
      <w:bookmarkStart w:id="655" w:name="_Toc296891213"/>
      <w:bookmarkStart w:id="656" w:name="_Toc292559378"/>
      <w:r>
        <w:rPr>
          <w:rFonts w:hint="eastAsia" w:ascii="宋体" w:hAnsi="宋体" w:eastAsia="宋体" w:cs="宋体"/>
          <w:color w:val="auto"/>
          <w:sz w:val="21"/>
          <w:szCs w:val="21"/>
          <w:highlight w:val="none"/>
        </w:rPr>
        <w:t>. 试验与检验</w:t>
      </w:r>
      <w:bookmarkEnd w:id="629"/>
      <w:bookmarkEnd w:id="630"/>
      <w:bookmarkEnd w:id="631"/>
      <w:bookmarkEnd w:id="632"/>
      <w:bookmarkEnd w:id="633"/>
      <w:bookmarkEnd w:id="634"/>
      <w:bookmarkEnd w:id="635"/>
      <w:bookmarkEnd w:id="636"/>
      <w:bookmarkEnd w:id="637"/>
    </w:p>
    <w:bookmarkEnd w:id="638"/>
    <w:bookmarkEnd w:id="639"/>
    <w:bookmarkEnd w:id="640"/>
    <w:bookmarkEnd w:id="641"/>
    <w:bookmarkEnd w:id="642"/>
    <w:bookmarkEnd w:id="643"/>
    <w:bookmarkEnd w:id="644"/>
    <w:p w14:paraId="2CDC391B">
      <w:pPr>
        <w:outlineLvl w:val="9"/>
        <w:rPr>
          <w:rFonts w:hint="eastAsia" w:ascii="宋体" w:hAnsi="宋体" w:eastAsia="宋体" w:cs="宋体"/>
          <w:color w:val="auto"/>
          <w:sz w:val="21"/>
          <w:szCs w:val="21"/>
          <w:highlight w:val="none"/>
        </w:rPr>
      </w:pPr>
      <w:bookmarkStart w:id="657" w:name="_Toc1307315193"/>
      <w:bookmarkStart w:id="658" w:name="_Toc389065303"/>
      <w:bookmarkStart w:id="659" w:name="_Toc530697003"/>
      <w:bookmarkStart w:id="660" w:name="_Toc407135239"/>
      <w:bookmarkStart w:id="661" w:name="_Toc373227737"/>
      <w:bookmarkStart w:id="662" w:name="_Toc373478384"/>
      <w:bookmarkStart w:id="663" w:name="_Toc78449825"/>
      <w:bookmarkStart w:id="664" w:name="_Toc6103"/>
      <w:r>
        <w:rPr>
          <w:rFonts w:hint="eastAsia" w:ascii="宋体" w:hAnsi="宋体" w:eastAsia="宋体" w:cs="宋体"/>
          <w:color w:val="auto"/>
          <w:sz w:val="21"/>
          <w:szCs w:val="21"/>
          <w:highlight w:val="none"/>
        </w:rPr>
        <w:t>9</w:t>
      </w:r>
      <w:bookmarkStart w:id="665" w:name="_Toc312678022"/>
      <w:bookmarkStart w:id="666" w:name="_Toc304295560"/>
      <w:bookmarkStart w:id="667" w:name="_Toc297123534"/>
      <w:bookmarkStart w:id="668" w:name="_Toc300934983"/>
      <w:bookmarkStart w:id="669" w:name="_Toc297216193"/>
      <w:bookmarkStart w:id="670" w:name="_Toc312677496"/>
      <w:bookmarkStart w:id="671" w:name="_Toc303539140"/>
      <w:r>
        <w:rPr>
          <w:rFonts w:hint="eastAsia" w:ascii="宋体" w:hAnsi="宋体" w:eastAsia="宋体" w:cs="宋体"/>
          <w:color w:val="auto"/>
          <w:sz w:val="21"/>
          <w:szCs w:val="21"/>
          <w:highlight w:val="none"/>
        </w:rPr>
        <w:t>.1 试验设备与试验人员</w:t>
      </w:r>
      <w:bookmarkEnd w:id="657"/>
      <w:bookmarkEnd w:id="658"/>
      <w:bookmarkEnd w:id="659"/>
      <w:bookmarkEnd w:id="660"/>
      <w:bookmarkEnd w:id="661"/>
      <w:bookmarkEnd w:id="662"/>
      <w:bookmarkEnd w:id="663"/>
      <w:bookmarkEnd w:id="664"/>
    </w:p>
    <w:bookmarkEnd w:id="665"/>
    <w:bookmarkEnd w:id="666"/>
    <w:bookmarkEnd w:id="667"/>
    <w:bookmarkEnd w:id="668"/>
    <w:bookmarkEnd w:id="669"/>
    <w:bookmarkEnd w:id="670"/>
    <w:bookmarkEnd w:id="671"/>
    <w:p w14:paraId="2EC92C15">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bookmarkStart w:id="672" w:name="_Toc297216194"/>
      <w:bookmarkStart w:id="673" w:name="_Toc304295561"/>
      <w:bookmarkStart w:id="674" w:name="_Toc300934984"/>
      <w:bookmarkStart w:id="675" w:name="_Toc297123535"/>
      <w:bookmarkStart w:id="676" w:name="_Toc303539141"/>
      <w:bookmarkStart w:id="677" w:name="_Toc312677497"/>
      <w:bookmarkStart w:id="678" w:name="_Toc312678023"/>
      <w:bookmarkStart w:id="679" w:name="_Toc318581174"/>
      <w:r>
        <w:rPr>
          <w:rFonts w:hint="eastAsia" w:ascii="宋体" w:hAnsi="宋体" w:eastAsia="宋体" w:cs="宋体"/>
          <w:color w:val="auto"/>
          <w:sz w:val="21"/>
          <w:szCs w:val="21"/>
          <w:highlight w:val="none"/>
        </w:rPr>
        <w:t>.1.2 试验设备</w:t>
      </w:r>
    </w:p>
    <w:p w14:paraId="49A80724">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施工现场需要配置的试验场所：</w:t>
      </w:r>
      <w:bookmarkEnd w:id="672"/>
      <w:bookmarkEnd w:id="673"/>
      <w:bookmarkEnd w:id="674"/>
      <w:bookmarkEnd w:id="675"/>
      <w:bookmarkEnd w:id="676"/>
      <w:bookmarkEnd w:id="677"/>
      <w:bookmarkEnd w:id="678"/>
      <w:bookmarkStart w:id="680" w:name="_Toc300934985"/>
      <w:bookmarkStart w:id="681" w:name="_Toc303539142"/>
      <w:bookmarkStart w:id="682" w:name="_Toc297123536"/>
      <w:bookmarkStart w:id="683" w:name="_Toc297216195"/>
      <w:bookmarkStart w:id="684" w:name="_Toc304295562"/>
      <w:bookmarkStart w:id="685" w:name="_Toc312678024"/>
      <w:bookmarkStart w:id="686" w:name="_Toc312677498"/>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按照有关文件要求执行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3942B41">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按照有关文件要求执行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25AC25">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按照有关文件要求执行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60D7E8">
      <w:pPr>
        <w:outlineLvl w:val="9"/>
        <w:rPr>
          <w:rFonts w:hint="eastAsia" w:ascii="宋体" w:hAnsi="宋体" w:eastAsia="宋体" w:cs="宋体"/>
          <w:color w:val="auto"/>
          <w:sz w:val="21"/>
          <w:szCs w:val="21"/>
          <w:highlight w:val="none"/>
        </w:rPr>
      </w:pPr>
      <w:bookmarkStart w:id="687" w:name="_Toc373478385"/>
      <w:bookmarkStart w:id="688" w:name="_Toc389065304"/>
      <w:bookmarkStart w:id="689" w:name="_Toc78449826"/>
      <w:bookmarkStart w:id="690" w:name="_Toc492347879"/>
      <w:bookmarkStart w:id="691" w:name="_Toc2543"/>
      <w:bookmarkStart w:id="692" w:name="_Toc373227738"/>
      <w:bookmarkStart w:id="693" w:name="_Toc2012255079"/>
      <w:bookmarkStart w:id="694" w:name="_Toc407135240"/>
      <w:r>
        <w:rPr>
          <w:rFonts w:hint="eastAsia" w:ascii="宋体" w:hAnsi="宋体" w:eastAsia="宋体" w:cs="宋体"/>
          <w:color w:val="auto"/>
          <w:sz w:val="21"/>
          <w:szCs w:val="21"/>
          <w:highlight w:val="none"/>
        </w:rPr>
        <w:t>9.4 现场工艺试验</w:t>
      </w:r>
      <w:bookmarkEnd w:id="687"/>
      <w:bookmarkEnd w:id="688"/>
      <w:bookmarkEnd w:id="689"/>
      <w:bookmarkEnd w:id="690"/>
      <w:bookmarkEnd w:id="691"/>
      <w:bookmarkEnd w:id="692"/>
      <w:bookmarkEnd w:id="693"/>
      <w:bookmarkEnd w:id="694"/>
      <w:r>
        <w:rPr>
          <w:rFonts w:hint="eastAsia" w:ascii="宋体" w:hAnsi="宋体" w:eastAsia="宋体" w:cs="宋体"/>
          <w:color w:val="auto"/>
          <w:sz w:val="21"/>
          <w:szCs w:val="21"/>
          <w:highlight w:val="none"/>
        </w:rPr>
        <w:t xml:space="preserve"> </w:t>
      </w:r>
    </w:p>
    <w:p w14:paraId="73B8304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现场工艺试验的有关约定：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按照有关文件要求执行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C5C691A">
      <w:pPr>
        <w:outlineLvl w:val="9"/>
        <w:rPr>
          <w:rFonts w:hint="eastAsia" w:ascii="宋体" w:hAnsi="宋体" w:eastAsia="宋体" w:cs="宋体"/>
          <w:color w:val="auto"/>
          <w:sz w:val="21"/>
          <w:szCs w:val="21"/>
          <w:highlight w:val="none"/>
        </w:rPr>
      </w:pPr>
      <w:bookmarkStart w:id="695" w:name="_Toc1539824686"/>
      <w:bookmarkStart w:id="696" w:name="_Toc78449827"/>
      <w:bookmarkStart w:id="697" w:name="_Toc407135241"/>
      <w:bookmarkStart w:id="698" w:name="_Toc22322"/>
      <w:bookmarkStart w:id="699" w:name="_Toc393419678"/>
      <w:bookmarkStart w:id="700" w:name="OLE_LINK1"/>
      <w:r>
        <w:rPr>
          <w:rFonts w:hint="eastAsia" w:ascii="宋体" w:hAnsi="宋体" w:eastAsia="宋体" w:cs="宋体"/>
          <w:color w:val="auto"/>
          <w:sz w:val="21"/>
          <w:szCs w:val="21"/>
          <w:highlight w:val="none"/>
        </w:rPr>
        <w:t>9.5 检验费用</w:t>
      </w:r>
      <w:bookmarkEnd w:id="695"/>
      <w:bookmarkEnd w:id="696"/>
      <w:bookmarkEnd w:id="697"/>
      <w:bookmarkEnd w:id="698"/>
      <w:bookmarkEnd w:id="699"/>
    </w:p>
    <w:p w14:paraId="37D11C8C">
      <w:pPr>
        <w:spacing w:line="360" w:lineRule="auto"/>
        <w:ind w:firstLine="411" w:firstLineChars="196"/>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检测管理办法》（建设部令第141号）以及《广西壮族自治区建设工程质量检测管理规定》（桂建管〔2013〕11号）规定，工程质量检测业务由发包人委托有相应资质的检测机构检测。费用从发包人的项目建设经费中支出并直接支付给检测机构，不计入合同价款内。</w:t>
      </w:r>
    </w:p>
    <w:bookmarkEnd w:id="679"/>
    <w:bookmarkEnd w:id="680"/>
    <w:bookmarkEnd w:id="681"/>
    <w:bookmarkEnd w:id="682"/>
    <w:bookmarkEnd w:id="683"/>
    <w:bookmarkEnd w:id="684"/>
    <w:bookmarkEnd w:id="685"/>
    <w:bookmarkEnd w:id="686"/>
    <w:bookmarkEnd w:id="700"/>
    <w:p w14:paraId="26E0C0F5">
      <w:pPr>
        <w:outlineLvl w:val="9"/>
        <w:rPr>
          <w:rFonts w:hint="eastAsia" w:ascii="宋体" w:hAnsi="宋体" w:eastAsia="宋体" w:cs="宋体"/>
          <w:color w:val="auto"/>
          <w:sz w:val="21"/>
          <w:szCs w:val="21"/>
          <w:highlight w:val="none"/>
        </w:rPr>
      </w:pPr>
      <w:bookmarkStart w:id="701" w:name="_Toc1462"/>
      <w:bookmarkStart w:id="702" w:name="_Toc373227739"/>
      <w:bookmarkStart w:id="703" w:name="_Toc1278407274"/>
      <w:bookmarkStart w:id="704" w:name="_Toc351203642"/>
      <w:bookmarkStart w:id="705" w:name="_Toc603662032"/>
      <w:bookmarkStart w:id="706" w:name="_Toc389065305"/>
      <w:bookmarkStart w:id="707" w:name="_Toc407135242"/>
      <w:bookmarkStart w:id="708" w:name="_Toc78449828"/>
      <w:bookmarkStart w:id="709" w:name="_Toc373478386"/>
      <w:r>
        <w:rPr>
          <w:rFonts w:hint="eastAsia" w:ascii="宋体" w:hAnsi="宋体" w:eastAsia="宋体" w:cs="宋体"/>
          <w:color w:val="auto"/>
          <w:sz w:val="21"/>
          <w:szCs w:val="21"/>
          <w:highlight w:val="none"/>
        </w:rPr>
        <w:t>1</w:t>
      </w:r>
      <w:bookmarkEnd w:id="645"/>
      <w:bookmarkEnd w:id="646"/>
      <w:bookmarkEnd w:id="647"/>
      <w:bookmarkEnd w:id="648"/>
      <w:bookmarkEnd w:id="649"/>
      <w:bookmarkEnd w:id="650"/>
      <w:bookmarkEnd w:id="651"/>
      <w:bookmarkEnd w:id="652"/>
      <w:bookmarkEnd w:id="653"/>
      <w:bookmarkEnd w:id="654"/>
      <w:bookmarkEnd w:id="655"/>
      <w:bookmarkEnd w:id="656"/>
      <w:bookmarkStart w:id="710" w:name="_Toc296346694"/>
      <w:bookmarkStart w:id="711" w:name="_Toc297216199"/>
      <w:bookmarkStart w:id="712" w:name="_Toc296891021"/>
      <w:bookmarkStart w:id="713" w:name="_Toc297120493"/>
      <w:bookmarkStart w:id="714" w:name="_Toc292559398"/>
      <w:bookmarkStart w:id="715" w:name="_Toc297123540"/>
      <w:bookmarkStart w:id="716" w:name="_Toc304295566"/>
      <w:bookmarkStart w:id="717" w:name="_Toc300934989"/>
      <w:bookmarkStart w:id="718" w:name="_Toc303539146"/>
      <w:bookmarkStart w:id="719" w:name="_Toc296944532"/>
      <w:bookmarkStart w:id="720" w:name="_Toc292559903"/>
      <w:bookmarkStart w:id="721" w:name="_Toc296891233"/>
      <w:bookmarkStart w:id="722" w:name="_Toc296503193"/>
      <w:bookmarkStart w:id="723" w:name="_Toc297048379"/>
      <w:bookmarkStart w:id="724" w:name="_Toc296347192"/>
      <w:bookmarkStart w:id="725" w:name="_Toc312677499"/>
      <w:bookmarkStart w:id="726" w:name="_Toc312678025"/>
      <w:bookmarkStart w:id="727" w:name="_Toc267251440"/>
      <w:bookmarkStart w:id="728" w:name="_Toc267251439"/>
      <w:bookmarkStart w:id="729" w:name="_Toc267251441"/>
      <w:bookmarkStart w:id="730" w:name="_Toc267251433"/>
      <w:bookmarkStart w:id="731" w:name="_Toc267251437"/>
      <w:bookmarkStart w:id="732" w:name="_Toc267251435"/>
      <w:bookmarkStart w:id="733" w:name="_Toc267251442"/>
      <w:r>
        <w:rPr>
          <w:rFonts w:hint="eastAsia" w:ascii="宋体" w:hAnsi="宋体" w:eastAsia="宋体" w:cs="宋体"/>
          <w:color w:val="auto"/>
          <w:sz w:val="21"/>
          <w:szCs w:val="21"/>
          <w:highlight w:val="none"/>
        </w:rPr>
        <w:t>0. 变更</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bookmarkEnd w:id="725"/>
    <w:bookmarkEnd w:id="726"/>
    <w:p w14:paraId="6D3E44DE">
      <w:pPr>
        <w:outlineLvl w:val="9"/>
        <w:rPr>
          <w:rFonts w:hint="eastAsia" w:ascii="宋体" w:hAnsi="宋体" w:eastAsia="宋体" w:cs="宋体"/>
          <w:color w:val="auto"/>
          <w:sz w:val="21"/>
          <w:szCs w:val="21"/>
          <w:highlight w:val="none"/>
        </w:rPr>
      </w:pPr>
      <w:bookmarkStart w:id="734" w:name="_Toc389065306"/>
      <w:bookmarkStart w:id="735" w:name="_Toc373478387"/>
      <w:bookmarkStart w:id="736" w:name="_Toc407135243"/>
      <w:bookmarkStart w:id="737" w:name="_Toc373227740"/>
      <w:bookmarkStart w:id="738" w:name="_Toc411143415"/>
      <w:bookmarkStart w:id="739" w:name="_Toc78449829"/>
      <w:bookmarkStart w:id="740" w:name="_Toc29810"/>
      <w:bookmarkStart w:id="741" w:name="_Toc1890371558"/>
      <w:r>
        <w:rPr>
          <w:rFonts w:hint="eastAsia" w:ascii="宋体" w:hAnsi="宋体" w:eastAsia="宋体" w:cs="宋体"/>
          <w:color w:val="auto"/>
          <w:sz w:val="21"/>
          <w:szCs w:val="21"/>
          <w:highlight w:val="none"/>
        </w:rPr>
        <w:t>1</w:t>
      </w:r>
      <w:bookmarkStart w:id="742" w:name="_Toc292559399"/>
      <w:bookmarkStart w:id="743" w:name="_Toc297048380"/>
      <w:bookmarkStart w:id="744" w:name="_Toc296944533"/>
      <w:bookmarkStart w:id="745" w:name="_Toc303539147"/>
      <w:bookmarkStart w:id="746" w:name="_Toc296891234"/>
      <w:bookmarkStart w:id="747" w:name="_Toc297120494"/>
      <w:bookmarkStart w:id="748" w:name="_Toc296346695"/>
      <w:bookmarkStart w:id="749" w:name="_Toc292559904"/>
      <w:bookmarkStart w:id="750" w:name="_Toc304295567"/>
      <w:bookmarkStart w:id="751" w:name="_Toc297216200"/>
      <w:bookmarkStart w:id="752" w:name="_Toc296891022"/>
      <w:bookmarkStart w:id="753" w:name="_Toc297123541"/>
      <w:bookmarkStart w:id="754" w:name="_Toc296503194"/>
      <w:bookmarkStart w:id="755" w:name="_Toc300934990"/>
      <w:bookmarkStart w:id="756" w:name="_Toc312677500"/>
      <w:bookmarkStart w:id="757" w:name="_Toc312678026"/>
      <w:bookmarkStart w:id="758" w:name="_Toc296347193"/>
      <w:r>
        <w:rPr>
          <w:rFonts w:hint="eastAsia" w:ascii="宋体" w:hAnsi="宋体" w:eastAsia="宋体" w:cs="宋体"/>
          <w:color w:val="auto"/>
          <w:sz w:val="21"/>
          <w:szCs w:val="21"/>
          <w:highlight w:val="none"/>
        </w:rPr>
        <w:t>0.1 变更的范围</w:t>
      </w:r>
      <w:bookmarkEnd w:id="734"/>
      <w:bookmarkEnd w:id="735"/>
      <w:bookmarkEnd w:id="736"/>
      <w:bookmarkEnd w:id="737"/>
      <w:bookmarkEnd w:id="738"/>
      <w:bookmarkEnd w:id="739"/>
      <w:bookmarkEnd w:id="740"/>
      <w:bookmarkEnd w:id="741"/>
    </w:p>
    <w:p w14:paraId="76B0B1E2">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关于变更的范围的约定：</w:t>
      </w:r>
      <w:r>
        <w:rPr>
          <w:rFonts w:hint="eastAsia" w:ascii="宋体" w:hAnsi="宋体" w:eastAsia="宋体" w:cs="宋体"/>
          <w:color w:val="auto"/>
          <w:sz w:val="21"/>
          <w:szCs w:val="21"/>
          <w:highlight w:val="none"/>
          <w:u w:val="single"/>
        </w:rPr>
        <w:t xml:space="preserve">  除专用合同条款另有约定外，合同履行过程中发生以下情形的，应按照本条约定进行变更：</w:t>
      </w:r>
    </w:p>
    <w:p w14:paraId="12C4732D">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（1）增加或减少合同中任何工作，或追加额外的工作；</w:t>
      </w:r>
    </w:p>
    <w:p w14:paraId="0175B748">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（2）取消合同中任何工作，但转由他人实施的工作除外；</w:t>
      </w:r>
    </w:p>
    <w:p w14:paraId="6313E0DB">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（3）改变合同中任何工作的质量标准或其他特性；</w:t>
      </w:r>
    </w:p>
    <w:p w14:paraId="7FE7AEE0">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（4）改变工程的基线、标高、位置和尺寸；</w:t>
      </w:r>
    </w:p>
    <w:p w14:paraId="60E50129">
      <w:pPr>
        <w:autoSpaceDE w:val="0"/>
        <w:autoSpaceDN w:val="0"/>
        <w:adjustRightIn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（5）改变工程的时间安排或实施顺序。</w:t>
      </w:r>
    </w:p>
    <w:p w14:paraId="7D83B158">
      <w:pPr>
        <w:pStyle w:val="103"/>
        <w:spacing w:line="360" w:lineRule="auto"/>
        <w:ind w:firstLine="426"/>
        <w:jc w:val="left"/>
        <w:rPr>
          <w:rStyle w:val="39"/>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发包人和监理人均可以提出变更。变更指示均通过监理人发出，监理人发出变更指示前应征得发包人同意。承包人收到经发包人签认的变更指示后，方可实施变更。未经许可，承包人不得擅自对工程的任何部分进行变更。承包人收到监理人下达的变更指示后，认为不能执行，应立即提出不能执行该变更指示的理由。承包人认为可以执行变更的，应当书面说明实施该变更指示对合同价格和工期的影响，且合同当事人应当按照第 10.4 款〔变更估价〕约定确定变更估价。</w:t>
      </w:r>
    </w:p>
    <w:p w14:paraId="240A4582">
      <w:pPr>
        <w:outlineLvl w:val="9"/>
        <w:rPr>
          <w:rFonts w:hint="eastAsia" w:ascii="宋体" w:hAnsi="宋体" w:eastAsia="宋体" w:cs="宋体"/>
          <w:color w:val="auto"/>
          <w:sz w:val="21"/>
          <w:szCs w:val="21"/>
          <w:highlight w:val="none"/>
        </w:rPr>
      </w:pPr>
      <w:bookmarkStart w:id="759" w:name="_Toc1641633295"/>
      <w:bookmarkStart w:id="760" w:name="_Toc450749207"/>
      <w:bookmarkStart w:id="761" w:name="_Toc389065307"/>
      <w:bookmarkStart w:id="762" w:name="_Toc373478388"/>
      <w:bookmarkStart w:id="763" w:name="_Toc407135244"/>
      <w:bookmarkStart w:id="764" w:name="_Toc373227741"/>
      <w:bookmarkStart w:id="765" w:name="_Toc78449830"/>
      <w:bookmarkStart w:id="766" w:name="_Toc16856"/>
      <w:r>
        <w:rPr>
          <w:rFonts w:hint="eastAsia" w:ascii="宋体" w:hAnsi="宋体" w:eastAsia="宋体" w:cs="宋体"/>
          <w:color w:val="auto"/>
          <w:sz w:val="21"/>
          <w:szCs w:val="21"/>
          <w:highlight w:val="none"/>
        </w:rPr>
        <w:t>10.3 变更程序</w:t>
      </w:r>
      <w:bookmarkEnd w:id="759"/>
      <w:bookmarkEnd w:id="760"/>
      <w:bookmarkEnd w:id="761"/>
      <w:bookmarkEnd w:id="762"/>
      <w:bookmarkEnd w:id="763"/>
      <w:bookmarkEnd w:id="764"/>
      <w:bookmarkEnd w:id="765"/>
      <w:bookmarkEnd w:id="766"/>
    </w:p>
    <w:p w14:paraId="5B440068">
      <w:pPr>
        <w:pStyle w:val="22"/>
        <w:spacing w:line="360" w:lineRule="auto"/>
        <w:ind w:firstLine="441" w:firstLineChars="21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10.3.1国有投资项目：</w:t>
      </w:r>
    </w:p>
    <w:p w14:paraId="1BFF7ECC">
      <w:pPr>
        <w:pStyle w:val="22"/>
        <w:spacing w:line="360" w:lineRule="auto"/>
        <w:ind w:firstLine="441" w:firstLineChars="21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⑴设计变更和工程签证，按各市政府或相关部门的规定办理。属不可抗力（自然灾害、突发事件等）造成变更的，按特事特办原则予以办理。</w:t>
      </w:r>
    </w:p>
    <w:p w14:paraId="2E90BEE8">
      <w:pPr>
        <w:pStyle w:val="22"/>
        <w:spacing w:line="360" w:lineRule="auto"/>
        <w:ind w:firstLine="441" w:firstLineChars="21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⑵建设单位在实施项目过程中，若发生单价变动，由发包人、承包人、监理或造价咨询等单位共同商定并签字确认。</w:t>
      </w:r>
    </w:p>
    <w:p w14:paraId="0D7C5582">
      <w:pPr>
        <w:pStyle w:val="22"/>
        <w:spacing w:line="360" w:lineRule="auto"/>
        <w:ind w:firstLine="441" w:firstLineChars="210"/>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253A243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10.3.2 非国有投资项目：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无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AB42AFD">
      <w:pPr>
        <w:outlineLvl w:val="9"/>
        <w:rPr>
          <w:rFonts w:hint="eastAsia" w:ascii="宋体" w:hAnsi="宋体" w:eastAsia="宋体" w:cs="宋体"/>
          <w:color w:val="auto"/>
          <w:sz w:val="21"/>
          <w:szCs w:val="21"/>
          <w:highlight w:val="none"/>
        </w:rPr>
      </w:pPr>
      <w:bookmarkStart w:id="767" w:name="_Toc389065308"/>
      <w:bookmarkStart w:id="768" w:name="_Toc1645711468"/>
      <w:bookmarkStart w:id="769" w:name="_Toc13192"/>
      <w:bookmarkStart w:id="770" w:name="_Toc373478389"/>
      <w:bookmarkStart w:id="771" w:name="_Toc780640360"/>
      <w:bookmarkStart w:id="772" w:name="_Toc407135245"/>
      <w:bookmarkStart w:id="773" w:name="_Toc373227742"/>
      <w:bookmarkStart w:id="774" w:name="_Toc78449831"/>
      <w:r>
        <w:rPr>
          <w:rFonts w:hint="eastAsia" w:ascii="宋体" w:hAnsi="宋体" w:eastAsia="宋体" w:cs="宋体"/>
          <w:color w:val="auto"/>
          <w:sz w:val="21"/>
          <w:szCs w:val="21"/>
          <w:highlight w:val="none"/>
        </w:rPr>
        <w:t>10.4 变更估价</w:t>
      </w:r>
      <w:bookmarkEnd w:id="767"/>
      <w:bookmarkEnd w:id="768"/>
      <w:bookmarkEnd w:id="769"/>
      <w:bookmarkEnd w:id="770"/>
      <w:bookmarkEnd w:id="771"/>
      <w:bookmarkEnd w:id="772"/>
      <w:bookmarkEnd w:id="773"/>
      <w:bookmarkEnd w:id="774"/>
    </w:p>
    <w:p w14:paraId="475FBE12">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10.4.1 变更估价原则</w:t>
      </w:r>
    </w:p>
    <w:p w14:paraId="37A45BF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关于变更估价的约定: </w:t>
      </w:r>
      <w:bookmarkStart w:id="775" w:name="_Toc251051742"/>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w:t>
      </w:r>
      <w:r>
        <w:rPr>
          <w:rFonts w:hint="eastAsia" w:ascii="宋体" w:hAnsi="宋体" w:eastAsia="宋体" w:cs="宋体"/>
          <w:b/>
          <w:bCs/>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乘以下浮系数  </w:t>
      </w:r>
      <w:r>
        <w:rPr>
          <w:rStyle w:val="39"/>
          <w:rFonts w:hint="eastAsia" w:ascii="宋体" w:hAnsi="宋体" w:eastAsia="宋体" w:cs="宋体"/>
          <w:color w:val="auto"/>
          <w:sz w:val="21"/>
          <w:szCs w:val="21"/>
          <w:highlight w:val="none"/>
          <w:u w:val="single"/>
        </w:rPr>
        <w:t>（</w:t>
      </w:r>
      <w:r>
        <w:rPr>
          <w:rStyle w:val="39"/>
          <w:rFonts w:hint="eastAsia" w:ascii="宋体" w:hAnsi="宋体" w:eastAsia="宋体" w:cs="宋体"/>
          <w:color w:val="auto"/>
          <w:sz w:val="21"/>
          <w:szCs w:val="21"/>
          <w:highlight w:val="none"/>
          <w:u w:val="single"/>
          <w:lang w:val="en-US" w:eastAsia="zh-CN"/>
        </w:rPr>
        <w:t>成交</w:t>
      </w:r>
      <w:r>
        <w:rPr>
          <w:rStyle w:val="39"/>
          <w:rFonts w:hint="eastAsia" w:ascii="宋体" w:hAnsi="宋体" w:eastAsia="宋体" w:cs="宋体"/>
          <w:color w:val="auto"/>
          <w:sz w:val="21"/>
          <w:szCs w:val="21"/>
          <w:highlight w:val="none"/>
          <w:u w:val="single"/>
        </w:rPr>
        <w:t>价/公布的招标控制价）</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u w:val="single"/>
        </w:rPr>
        <w:t>不乘下浮系数）计算，其中：材料设备价格按施工期间的《</w:t>
      </w:r>
      <w:r>
        <w:rPr>
          <w:rFonts w:hint="eastAsia" w:ascii="宋体" w:hAnsi="宋体" w:eastAsia="宋体" w:cs="宋体"/>
          <w:color w:val="auto"/>
          <w:sz w:val="21"/>
          <w:szCs w:val="21"/>
          <w:highlight w:val="none"/>
          <w:u w:val="single"/>
          <w:lang w:val="en-US" w:eastAsia="zh-CN"/>
        </w:rPr>
        <w:t>北海</w:t>
      </w:r>
      <w:r>
        <w:rPr>
          <w:rFonts w:hint="eastAsia" w:ascii="宋体" w:hAnsi="宋体" w:eastAsia="宋体" w:cs="宋体"/>
          <w:color w:val="auto"/>
          <w:sz w:val="21"/>
          <w:szCs w:val="21"/>
          <w:highlight w:val="none"/>
          <w:u w:val="single"/>
        </w:rPr>
        <w:t>市建设工程造价信息》相应信息价的加权平均值计算，《</w:t>
      </w:r>
      <w:r>
        <w:rPr>
          <w:rFonts w:hint="eastAsia" w:ascii="宋体" w:hAnsi="宋体" w:eastAsia="宋体" w:cs="宋体"/>
          <w:color w:val="auto"/>
          <w:sz w:val="21"/>
          <w:szCs w:val="21"/>
          <w:highlight w:val="none"/>
          <w:u w:val="single"/>
          <w:lang w:val="en-US" w:eastAsia="zh-CN"/>
        </w:rPr>
        <w:t>北海</w:t>
      </w:r>
      <w:r>
        <w:rPr>
          <w:rFonts w:hint="eastAsia" w:ascii="宋体" w:hAnsi="宋体" w:eastAsia="宋体" w:cs="宋体"/>
          <w:color w:val="auto"/>
          <w:sz w:val="21"/>
          <w:szCs w:val="21"/>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775"/>
      <w:r>
        <w:rPr>
          <w:rFonts w:hint="eastAsia" w:ascii="宋体" w:hAnsi="宋体" w:eastAsia="宋体" w:cs="宋体"/>
          <w:color w:val="auto"/>
          <w:sz w:val="21"/>
          <w:szCs w:val="21"/>
          <w:highlight w:val="none"/>
          <w:u w:val="single"/>
          <w:lang w:eastAsia="zh-CN"/>
        </w:rPr>
        <w:t>，</w:t>
      </w:r>
      <w:r>
        <w:rPr>
          <w:rStyle w:val="39"/>
          <w:rFonts w:hint="eastAsia" w:ascii="宋体" w:hAnsi="宋体" w:eastAsia="宋体" w:cs="宋体"/>
          <w:color w:val="auto"/>
          <w:sz w:val="21"/>
          <w:szCs w:val="21"/>
          <w:highlight w:val="none"/>
          <w:u w:val="single"/>
          <w:lang w:eastAsia="zh-CN"/>
        </w:rPr>
        <w:t>对于政府及国有资金投资的项目，新增项目的单价必须经财政或第三方审计单位（如有）审定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。以上约定同时适用于招标工程量清单缺项以及工程量清单项目特征与图纸不符时的价款确定。</w:t>
      </w:r>
    </w:p>
    <w:p w14:paraId="2F003E45">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工程变更导致实际完成的变更工程量与已标价清单或预算书中列明的该项目工程量有偏差时，其综合单价的确定按专用条款“1.13工程量清单错误的修正”执行。</w:t>
      </w:r>
    </w:p>
    <w:p w14:paraId="54982651">
      <w:pPr>
        <w:outlineLvl w:val="9"/>
        <w:rPr>
          <w:rFonts w:hint="eastAsia" w:ascii="宋体" w:hAnsi="宋体" w:eastAsia="宋体" w:cs="宋体"/>
          <w:color w:val="auto"/>
          <w:sz w:val="21"/>
          <w:szCs w:val="21"/>
          <w:highlight w:val="none"/>
        </w:rPr>
      </w:pPr>
      <w:bookmarkStart w:id="776" w:name="_Toc7362"/>
      <w:bookmarkStart w:id="777" w:name="_Toc373478390"/>
      <w:bookmarkStart w:id="778" w:name="_Toc1342657745"/>
      <w:bookmarkStart w:id="779" w:name="_Toc389065309"/>
      <w:bookmarkStart w:id="780" w:name="_Toc373227743"/>
      <w:bookmarkStart w:id="781" w:name="_Toc650800266"/>
      <w:bookmarkStart w:id="782" w:name="_Toc78449832"/>
      <w:bookmarkStart w:id="783" w:name="_Toc407135246"/>
      <w:r>
        <w:rPr>
          <w:rFonts w:hint="eastAsia" w:ascii="宋体" w:hAnsi="宋体" w:eastAsia="宋体" w:cs="宋体"/>
          <w:color w:val="auto"/>
          <w:sz w:val="21"/>
          <w:szCs w:val="21"/>
          <w:highlight w:val="none"/>
        </w:rPr>
        <w:t>1</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Start w:id="784" w:name="_Toc296891237"/>
      <w:bookmarkStart w:id="785" w:name="_Toc296346698"/>
      <w:bookmarkStart w:id="786" w:name="_Toc297123544"/>
      <w:bookmarkStart w:id="787" w:name="_Toc296503197"/>
      <w:bookmarkStart w:id="788" w:name="_Toc292559402"/>
      <w:bookmarkStart w:id="789" w:name="_Toc300934993"/>
      <w:bookmarkStart w:id="790" w:name="_Toc303539150"/>
      <w:bookmarkStart w:id="791" w:name="_Toc297048383"/>
      <w:bookmarkStart w:id="792" w:name="_Toc292559907"/>
      <w:bookmarkStart w:id="793" w:name="_Toc296944536"/>
      <w:bookmarkStart w:id="794" w:name="_Toc296347196"/>
      <w:bookmarkStart w:id="795" w:name="_Toc297120497"/>
      <w:bookmarkStart w:id="796" w:name="_Toc297216203"/>
      <w:bookmarkStart w:id="797" w:name="_Toc296891025"/>
      <w:bookmarkStart w:id="798" w:name="_Toc304295570"/>
      <w:bookmarkStart w:id="799" w:name="_Toc312677503"/>
      <w:bookmarkStart w:id="800" w:name="_Toc312678029"/>
      <w:r>
        <w:rPr>
          <w:rFonts w:hint="eastAsia" w:ascii="宋体" w:hAnsi="宋体" w:eastAsia="宋体" w:cs="宋体"/>
          <w:color w:val="auto"/>
          <w:sz w:val="21"/>
          <w:szCs w:val="21"/>
          <w:highlight w:val="none"/>
        </w:rPr>
        <w:t>0.5 承</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Start w:id="801" w:name="_Toc300934994"/>
      <w:bookmarkStart w:id="802" w:name="_Toc296891243"/>
      <w:bookmarkStart w:id="803" w:name="_Toc297048389"/>
      <w:bookmarkStart w:id="804" w:name="_Toc303539151"/>
      <w:bookmarkStart w:id="805" w:name="_Toc296891031"/>
      <w:bookmarkStart w:id="806" w:name="_Toc296347202"/>
      <w:bookmarkStart w:id="807" w:name="_Toc297120503"/>
      <w:bookmarkStart w:id="808" w:name="_Toc296944542"/>
      <w:bookmarkStart w:id="809" w:name="_Toc296503203"/>
      <w:bookmarkStart w:id="810" w:name="_Toc292559408"/>
      <w:bookmarkStart w:id="811" w:name="_Toc296346704"/>
      <w:bookmarkStart w:id="812" w:name="_Toc297123545"/>
      <w:bookmarkStart w:id="813" w:name="_Toc292559913"/>
      <w:bookmarkStart w:id="814" w:name="_Toc297216204"/>
      <w:r>
        <w:rPr>
          <w:rFonts w:hint="eastAsia" w:ascii="宋体" w:hAnsi="宋体" w:eastAsia="宋体" w:cs="宋体"/>
          <w:color w:val="auto"/>
          <w:sz w:val="21"/>
          <w:szCs w:val="21"/>
          <w:highlight w:val="none"/>
        </w:rPr>
        <w:t>包人的合理化建议</w:t>
      </w:r>
      <w:bookmarkEnd w:id="776"/>
      <w:bookmarkEnd w:id="777"/>
      <w:bookmarkEnd w:id="778"/>
      <w:bookmarkEnd w:id="779"/>
      <w:bookmarkEnd w:id="780"/>
      <w:bookmarkEnd w:id="781"/>
      <w:bookmarkEnd w:id="782"/>
      <w:bookmarkEnd w:id="783"/>
    </w:p>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14:paraId="11D8C663">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按通用合同条款 10.5 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F0B68E7">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按通用合同条款 10.5 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5EA8959">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w:t>
      </w:r>
      <w:bookmarkStart w:id="815" w:name="_Toc292559409"/>
      <w:bookmarkStart w:id="816" w:name="_Toc297216205"/>
      <w:bookmarkStart w:id="817" w:name="_Toc296891244"/>
      <w:bookmarkStart w:id="818" w:name="_Toc292559914"/>
      <w:bookmarkStart w:id="819" w:name="_Toc300934995"/>
      <w:bookmarkStart w:id="820" w:name="_Toc296944543"/>
      <w:bookmarkStart w:id="821" w:name="_Toc304295571"/>
      <w:bookmarkStart w:id="822" w:name="_Toc296346705"/>
      <w:bookmarkStart w:id="823" w:name="_Toc297048390"/>
      <w:bookmarkStart w:id="824" w:name="_Toc318581175"/>
      <w:bookmarkStart w:id="825" w:name="_Toc312677504"/>
      <w:bookmarkStart w:id="826" w:name="_Toc312678030"/>
      <w:bookmarkStart w:id="827" w:name="_Toc297123546"/>
      <w:bookmarkStart w:id="828" w:name="_Toc297120504"/>
      <w:bookmarkStart w:id="829" w:name="_Toc296347203"/>
      <w:bookmarkStart w:id="830" w:name="_Toc296503204"/>
      <w:bookmarkStart w:id="831" w:name="_Toc296891032"/>
      <w:bookmarkStart w:id="832" w:name="_Toc303539152"/>
      <w:r>
        <w:rPr>
          <w:rFonts w:hint="eastAsia" w:ascii="宋体" w:hAnsi="宋体" w:eastAsia="宋体" w:cs="宋体"/>
          <w:color w:val="auto"/>
          <w:sz w:val="21"/>
          <w:szCs w:val="21"/>
          <w:highlight w:val="none"/>
        </w:rPr>
        <w:t>包人提出的合理化建议降低了合同价格或者提高了工程经济效益的奖励的方法和金额为：</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14:paraId="516B2AF2">
      <w:pPr>
        <w:outlineLvl w:val="9"/>
        <w:rPr>
          <w:rFonts w:hint="eastAsia" w:ascii="宋体" w:hAnsi="宋体" w:eastAsia="宋体" w:cs="宋体"/>
          <w:color w:val="auto"/>
          <w:sz w:val="21"/>
          <w:szCs w:val="21"/>
          <w:highlight w:val="none"/>
        </w:rPr>
      </w:pPr>
      <w:bookmarkStart w:id="833" w:name="_Toc78449833"/>
      <w:bookmarkStart w:id="834" w:name="_Toc389065310"/>
      <w:bookmarkStart w:id="835" w:name="_Toc2045792355"/>
      <w:bookmarkStart w:id="836" w:name="_Toc407135247"/>
      <w:bookmarkStart w:id="837" w:name="_Toc373227744"/>
      <w:bookmarkStart w:id="838" w:name="_Toc373478391"/>
      <w:bookmarkStart w:id="839" w:name="_Toc614"/>
      <w:bookmarkStart w:id="840" w:name="_Toc502454636"/>
      <w:r>
        <w:rPr>
          <w:rFonts w:hint="eastAsia" w:ascii="宋体" w:hAnsi="宋体" w:eastAsia="宋体" w:cs="宋体"/>
          <w:color w:val="auto"/>
          <w:sz w:val="21"/>
          <w:szCs w:val="21"/>
          <w:highlight w:val="none"/>
        </w:rPr>
        <w:t>1</w:t>
      </w:r>
      <w:bookmarkStart w:id="841" w:name="_Toc297048385"/>
      <w:bookmarkStart w:id="842" w:name="_Toc297123548"/>
      <w:bookmarkStart w:id="843" w:name="_Toc303539154"/>
      <w:bookmarkStart w:id="844" w:name="_Toc292559404"/>
      <w:bookmarkStart w:id="845" w:name="_Toc304295574"/>
      <w:bookmarkStart w:id="846" w:name="_Toc296944538"/>
      <w:bookmarkStart w:id="847" w:name="_Toc297216207"/>
      <w:bookmarkStart w:id="848" w:name="_Toc312677507"/>
      <w:bookmarkStart w:id="849" w:name="_Toc296891239"/>
      <w:bookmarkStart w:id="850" w:name="_Toc297120499"/>
      <w:bookmarkStart w:id="851" w:name="_Toc312678033"/>
      <w:bookmarkStart w:id="852" w:name="_Toc292559909"/>
      <w:bookmarkStart w:id="853" w:name="_Toc300934997"/>
      <w:bookmarkStart w:id="854" w:name="_Toc296503199"/>
      <w:bookmarkStart w:id="855" w:name="_Toc296346700"/>
      <w:bookmarkStart w:id="856" w:name="_Toc296347198"/>
      <w:bookmarkStart w:id="857" w:name="_Toc296891027"/>
      <w:r>
        <w:rPr>
          <w:rFonts w:hint="eastAsia" w:ascii="宋体" w:hAnsi="宋体" w:eastAsia="宋体" w:cs="宋体"/>
          <w:color w:val="auto"/>
          <w:sz w:val="21"/>
          <w:szCs w:val="21"/>
          <w:highlight w:val="none"/>
        </w:rPr>
        <w:t>0.7 暂估价</w:t>
      </w:r>
      <w:bookmarkEnd w:id="833"/>
      <w:bookmarkEnd w:id="834"/>
      <w:bookmarkEnd w:id="835"/>
      <w:bookmarkEnd w:id="836"/>
      <w:bookmarkEnd w:id="837"/>
      <w:bookmarkEnd w:id="838"/>
      <w:bookmarkEnd w:id="839"/>
      <w:bookmarkEnd w:id="840"/>
    </w:p>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14:paraId="312B6BB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暂</w:t>
      </w:r>
      <w:bookmarkStart w:id="858" w:name="_Toc312678034"/>
      <w:bookmarkStart w:id="859" w:name="_Toc312677508"/>
      <w:bookmarkStart w:id="860" w:name="_Toc318581176"/>
      <w:r>
        <w:rPr>
          <w:rFonts w:hint="eastAsia" w:ascii="宋体" w:hAnsi="宋体" w:eastAsia="宋体" w:cs="宋体"/>
          <w:color w:val="auto"/>
          <w:kern w:val="0"/>
          <w:sz w:val="21"/>
          <w:szCs w:val="21"/>
          <w:highlight w:val="none"/>
        </w:rPr>
        <w:t>估价材料和工程设备的明细详见已标价工程量清单《</w:t>
      </w:r>
      <w:r>
        <w:rPr>
          <w:rFonts w:hint="eastAsia" w:ascii="宋体" w:hAnsi="宋体" w:eastAsia="宋体" w:cs="宋体"/>
          <w:color w:val="auto"/>
          <w:sz w:val="21"/>
          <w:szCs w:val="21"/>
          <w:highlight w:val="none"/>
        </w:rPr>
        <w:t>材料（工程设备）暂估价格及调整表》</w:t>
      </w:r>
      <w:r>
        <w:rPr>
          <w:rFonts w:hint="eastAsia" w:ascii="宋体" w:hAnsi="宋体" w:eastAsia="宋体" w:cs="宋体"/>
          <w:color w:val="auto"/>
          <w:kern w:val="0"/>
          <w:sz w:val="21"/>
          <w:szCs w:val="21"/>
          <w:highlight w:val="none"/>
        </w:rPr>
        <w:t>（表12-2）和《</w:t>
      </w:r>
      <w:r>
        <w:rPr>
          <w:rFonts w:hint="eastAsia" w:ascii="宋体" w:hAnsi="宋体" w:eastAsia="宋体" w:cs="宋体"/>
          <w:color w:val="auto"/>
          <w:sz w:val="21"/>
          <w:szCs w:val="21"/>
          <w:highlight w:val="none"/>
        </w:rPr>
        <w:t>专业工程暂估价表》（</w:t>
      </w:r>
      <w:r>
        <w:rPr>
          <w:rFonts w:hint="eastAsia" w:ascii="宋体" w:hAnsi="宋体" w:eastAsia="宋体" w:cs="宋体"/>
          <w:color w:val="auto"/>
          <w:kern w:val="0"/>
          <w:sz w:val="21"/>
          <w:szCs w:val="21"/>
          <w:highlight w:val="none"/>
        </w:rPr>
        <w:t>表12-3）。</w:t>
      </w:r>
    </w:p>
    <w:bookmarkEnd w:id="858"/>
    <w:bookmarkEnd w:id="859"/>
    <w:bookmarkEnd w:id="860"/>
    <w:p w14:paraId="2F3CEE2E">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861" w:name="_Toc318581177"/>
      <w:bookmarkStart w:id="862" w:name="_Toc312678035"/>
      <w:bookmarkStart w:id="863" w:name="_Toc312677509"/>
      <w:r>
        <w:rPr>
          <w:rFonts w:hint="eastAsia" w:ascii="宋体" w:hAnsi="宋体" w:eastAsia="宋体" w:cs="宋体"/>
          <w:color w:val="auto"/>
          <w:sz w:val="21"/>
          <w:szCs w:val="21"/>
          <w:highlight w:val="none"/>
        </w:rPr>
        <w:t>0.7.1 依法必须招标的暂估价项目</w:t>
      </w:r>
    </w:p>
    <w:bookmarkEnd w:id="861"/>
    <w:bookmarkEnd w:id="862"/>
    <w:bookmarkEnd w:id="863"/>
    <w:p w14:paraId="418708DE">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种方式确定。</w:t>
      </w:r>
    </w:p>
    <w:p w14:paraId="4C160F5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10.7.2 不属于依法必须招标的暂估价项目</w:t>
      </w:r>
    </w:p>
    <w:p w14:paraId="6299CB56">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对于不属于依法必须招标的暂估价项目的确认和批准采取第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种方式确定。</w:t>
      </w:r>
    </w:p>
    <w:p w14:paraId="03A95D08">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第3种方式：</w:t>
      </w:r>
      <w:r>
        <w:rPr>
          <w:rFonts w:hint="eastAsia" w:ascii="宋体" w:hAnsi="宋体" w:eastAsia="宋体" w:cs="宋体"/>
          <w:color w:val="auto"/>
          <w:kern w:val="0"/>
          <w:sz w:val="21"/>
          <w:szCs w:val="21"/>
          <w:highlight w:val="none"/>
        </w:rPr>
        <w:t>承包人直接实施的暂估价项目</w:t>
      </w:r>
    </w:p>
    <w:p w14:paraId="3D348F01">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承包人直接实施的暂估价项目的约定：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①先由承包人把所需要定价的设备（或材料）的调查价格报给发包人（并报监理单位及相关部门）；②由发包人汇同相关部门核查相关的设备（或材料）的价格；③相关的设备（或材料）价格的签证（由发包人、承包人、监理单位会同相关部门共同签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B27106D">
      <w:pPr>
        <w:outlineLvl w:val="9"/>
        <w:rPr>
          <w:rFonts w:hint="eastAsia" w:ascii="宋体" w:hAnsi="宋体" w:eastAsia="宋体" w:cs="宋体"/>
          <w:color w:val="auto"/>
          <w:sz w:val="21"/>
          <w:szCs w:val="21"/>
          <w:highlight w:val="none"/>
        </w:rPr>
      </w:pPr>
      <w:bookmarkStart w:id="864" w:name="_Toc389065311"/>
      <w:bookmarkStart w:id="865" w:name="_Toc2131098822"/>
      <w:bookmarkStart w:id="866" w:name="_Toc6382"/>
      <w:bookmarkStart w:id="867" w:name="_Toc78449834"/>
      <w:bookmarkStart w:id="868" w:name="_Toc373478392"/>
      <w:bookmarkStart w:id="869" w:name="_Toc373227745"/>
      <w:bookmarkStart w:id="870" w:name="_Toc407135248"/>
      <w:bookmarkStart w:id="871" w:name="_Toc2032108729"/>
      <w:r>
        <w:rPr>
          <w:rFonts w:hint="eastAsia" w:ascii="宋体" w:hAnsi="宋体" w:eastAsia="宋体" w:cs="宋体"/>
          <w:color w:val="auto"/>
          <w:sz w:val="21"/>
          <w:szCs w:val="21"/>
          <w:highlight w:val="none"/>
        </w:rPr>
        <w:t>10.8 暂列金额</w:t>
      </w:r>
      <w:bookmarkEnd w:id="864"/>
      <w:bookmarkEnd w:id="865"/>
      <w:bookmarkEnd w:id="866"/>
      <w:bookmarkEnd w:id="867"/>
      <w:bookmarkEnd w:id="868"/>
      <w:bookmarkEnd w:id="869"/>
      <w:bookmarkEnd w:id="870"/>
      <w:bookmarkEnd w:id="871"/>
    </w:p>
    <w:p w14:paraId="6823EFC3">
      <w:pPr>
        <w:autoSpaceDE w:val="0"/>
        <w:autoSpaceDN w:val="0"/>
        <w:adjustRightInd w:val="0"/>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合同当事人关于暂列金额使用的约定：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（1）已签约合同价中的暂列金额由发包人掌握使用。（2）发包人按照规定所作支付后，暂列金额如有余额归发包人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BB3F929">
      <w:pPr>
        <w:numPr>
          <w:ilvl w:val="0"/>
          <w:numId w:val="4"/>
        </w:numPr>
        <w:outlineLvl w:val="9"/>
        <w:rPr>
          <w:rFonts w:hint="eastAsia" w:ascii="宋体" w:hAnsi="宋体" w:eastAsia="宋体" w:cs="宋体"/>
          <w:color w:val="auto"/>
          <w:sz w:val="21"/>
          <w:szCs w:val="21"/>
          <w:highlight w:val="none"/>
        </w:rPr>
      </w:pPr>
      <w:bookmarkStart w:id="872" w:name="_Toc351203643"/>
      <w:bookmarkStart w:id="873" w:name="_Toc136736539"/>
      <w:bookmarkStart w:id="874" w:name="_Toc373478393"/>
      <w:bookmarkStart w:id="875" w:name="_Toc407135249"/>
      <w:bookmarkStart w:id="876" w:name="_Toc373227746"/>
      <w:bookmarkStart w:id="877" w:name="_Toc78449835"/>
      <w:bookmarkStart w:id="878" w:name="_Toc15532"/>
      <w:bookmarkStart w:id="879" w:name="_Toc389065312"/>
      <w:bookmarkStart w:id="880" w:name="_Toc1190723452"/>
      <w:r>
        <w:rPr>
          <w:rFonts w:hint="eastAsia" w:ascii="宋体" w:hAnsi="宋体" w:eastAsia="宋体" w:cs="宋体"/>
          <w:color w:val="auto"/>
          <w:sz w:val="21"/>
          <w:szCs w:val="21"/>
          <w:highlight w:val="none"/>
        </w:rPr>
        <w:t>价格调整</w:t>
      </w:r>
      <w:bookmarkEnd w:id="872"/>
      <w:bookmarkEnd w:id="873"/>
      <w:bookmarkEnd w:id="874"/>
      <w:bookmarkEnd w:id="875"/>
      <w:bookmarkEnd w:id="876"/>
      <w:bookmarkEnd w:id="877"/>
      <w:bookmarkEnd w:id="878"/>
      <w:bookmarkEnd w:id="879"/>
      <w:bookmarkEnd w:id="880"/>
    </w:p>
    <w:p w14:paraId="68258EE1">
      <w:pPr>
        <w:outlineLvl w:val="9"/>
        <w:rPr>
          <w:rFonts w:hint="eastAsia" w:ascii="宋体" w:hAnsi="宋体" w:eastAsia="宋体" w:cs="宋体"/>
          <w:color w:val="auto"/>
          <w:sz w:val="21"/>
          <w:szCs w:val="21"/>
          <w:highlight w:val="none"/>
        </w:rPr>
      </w:pPr>
      <w:bookmarkStart w:id="881" w:name="_Toc373227747"/>
      <w:bookmarkStart w:id="882" w:name="_Toc78449836"/>
      <w:bookmarkStart w:id="883" w:name="_Toc389065313"/>
      <w:bookmarkStart w:id="884" w:name="_Toc1501386015"/>
      <w:bookmarkStart w:id="885" w:name="_Toc42268484"/>
      <w:bookmarkStart w:id="886" w:name="_Toc407135250"/>
      <w:bookmarkStart w:id="887" w:name="_Toc8802"/>
      <w:bookmarkStart w:id="888" w:name="_Toc373478394"/>
      <w:bookmarkStart w:id="889" w:name="_Toc296891241"/>
      <w:bookmarkStart w:id="890" w:name="_Toc296891029"/>
      <w:bookmarkStart w:id="891" w:name="_Toc300935000"/>
      <w:bookmarkStart w:id="892" w:name="_Toc296347200"/>
      <w:bookmarkStart w:id="893" w:name="_Toc304295577"/>
      <w:bookmarkStart w:id="894" w:name="_Toc292559406"/>
      <w:bookmarkStart w:id="895" w:name="_Toc296944540"/>
      <w:bookmarkStart w:id="896" w:name="_Toc297048387"/>
      <w:bookmarkStart w:id="897" w:name="_Toc296503201"/>
      <w:bookmarkStart w:id="898" w:name="_Toc297123550"/>
      <w:bookmarkStart w:id="899" w:name="_Toc303539157"/>
      <w:bookmarkStart w:id="900" w:name="_Toc296346702"/>
      <w:bookmarkStart w:id="901" w:name="_Toc297216209"/>
      <w:bookmarkStart w:id="902" w:name="_Toc297120501"/>
      <w:bookmarkStart w:id="903" w:name="_Toc292559911"/>
      <w:bookmarkStart w:id="904" w:name="_Toc312678039"/>
      <w:r>
        <w:rPr>
          <w:rFonts w:hint="eastAsia" w:ascii="宋体" w:hAnsi="宋体" w:eastAsia="宋体" w:cs="宋体"/>
          <w:color w:val="auto"/>
          <w:sz w:val="21"/>
          <w:szCs w:val="21"/>
          <w:highlight w:val="none"/>
        </w:rPr>
        <w:t>11.1 市场价格波动引起的调整</w:t>
      </w:r>
      <w:bookmarkEnd w:id="881"/>
      <w:bookmarkEnd w:id="882"/>
      <w:bookmarkEnd w:id="883"/>
      <w:bookmarkEnd w:id="884"/>
      <w:bookmarkEnd w:id="885"/>
      <w:bookmarkEnd w:id="886"/>
      <w:bookmarkEnd w:id="887"/>
      <w:bookmarkEnd w:id="888"/>
    </w:p>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p w14:paraId="7EE6B26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市场价格波动是否调整合同价格的约定：</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是</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ACD693">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因市场价格波动调整合同价格，采用以下第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种方式对合同价格进行调整：</w:t>
      </w:r>
    </w:p>
    <w:p w14:paraId="2ACB7FF3">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第1种方式：采用价格指数进行价格调整。</w:t>
      </w:r>
    </w:p>
    <w:p w14:paraId="6281DB2D">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关于各可调因子、定值和变值权重，以及基本价格指数及其来源的约定：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A3C442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第2种方式：采用造价信息进行价格调整。</w:t>
      </w:r>
    </w:p>
    <w:p w14:paraId="35836B01">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（1）允许调整主要材料和</w:t>
      </w:r>
      <w:r>
        <w:rPr>
          <w:rFonts w:hint="eastAsia" w:ascii="宋体" w:hAnsi="宋体" w:eastAsia="宋体" w:cs="宋体"/>
          <w:color w:val="auto"/>
          <w:sz w:val="21"/>
          <w:szCs w:val="21"/>
          <w:highlight w:val="none"/>
          <w:lang w:val="en"/>
        </w:rPr>
        <w:t>工程</w:t>
      </w:r>
      <w:r>
        <w:rPr>
          <w:rFonts w:hint="eastAsia" w:ascii="宋体" w:hAnsi="宋体" w:eastAsia="宋体" w:cs="宋体"/>
          <w:color w:val="auto"/>
          <w:sz w:val="21"/>
          <w:szCs w:val="21"/>
          <w:highlight w:val="none"/>
        </w:rPr>
        <w:t>设备、基期价格、风险系数、竞标报价详见《</w:t>
      </w:r>
      <w:r>
        <w:rPr>
          <w:rFonts w:hint="eastAsia" w:ascii="宋体" w:hAnsi="宋体" w:eastAsia="宋体" w:cs="宋体"/>
          <w:color w:val="auto"/>
          <w:sz w:val="21"/>
          <w:szCs w:val="21"/>
          <w:highlight w:val="none"/>
          <w:lang w:val="en" w:eastAsia="zh-CN"/>
        </w:rPr>
        <w:t>允许调整</w:t>
      </w:r>
      <w:r>
        <w:rPr>
          <w:rFonts w:hint="eastAsia" w:ascii="宋体" w:hAnsi="宋体" w:eastAsia="宋体" w:cs="宋体"/>
          <w:color w:val="auto"/>
          <w:sz w:val="21"/>
          <w:szCs w:val="21"/>
          <w:highlight w:val="none"/>
        </w:rPr>
        <w:t>主要材料和</w:t>
      </w:r>
      <w:r>
        <w:rPr>
          <w:rFonts w:hint="eastAsia" w:ascii="宋体" w:hAnsi="宋体" w:eastAsia="宋体" w:cs="宋体"/>
          <w:color w:val="auto"/>
          <w:sz w:val="21"/>
          <w:szCs w:val="21"/>
          <w:highlight w:val="none"/>
          <w:lang w:val="en"/>
        </w:rPr>
        <w:t>工程</w:t>
      </w:r>
      <w:r>
        <w:rPr>
          <w:rFonts w:hint="eastAsia" w:ascii="宋体" w:hAnsi="宋体" w:eastAsia="宋体" w:cs="宋体"/>
          <w:color w:val="auto"/>
          <w:sz w:val="21"/>
          <w:szCs w:val="21"/>
          <w:highlight w:val="none"/>
        </w:rPr>
        <w:t>设备一览表》</w:t>
      </w:r>
      <w:r>
        <w:rPr>
          <w:rFonts w:hint="eastAsia" w:ascii="宋体" w:hAnsi="宋体" w:eastAsia="宋体" w:cs="宋体"/>
          <w:color w:val="auto"/>
          <w:kern w:val="0"/>
          <w:sz w:val="21"/>
          <w:szCs w:val="21"/>
          <w:highlight w:val="none"/>
        </w:rPr>
        <w:t>（表-22）</w:t>
      </w:r>
      <w:r>
        <w:rPr>
          <w:rFonts w:hint="eastAsia" w:ascii="宋体" w:hAnsi="宋体" w:eastAsia="宋体" w:cs="宋体"/>
          <w:color w:val="auto"/>
          <w:sz w:val="21"/>
          <w:szCs w:val="21"/>
          <w:highlight w:val="none"/>
        </w:rPr>
        <w:t>,价差调整部分仅计算税金，除此表列明的材料、设备外，其余材料设备价差原则上不予调整。</w:t>
      </w:r>
    </w:p>
    <w:p w14:paraId="5F4CAEB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（2）主要材料和</w:t>
      </w:r>
      <w:r>
        <w:rPr>
          <w:rFonts w:hint="eastAsia" w:ascii="宋体" w:hAnsi="宋体" w:eastAsia="宋体" w:cs="宋体"/>
          <w:color w:val="auto"/>
          <w:sz w:val="21"/>
          <w:szCs w:val="21"/>
          <w:highlight w:val="none"/>
          <w:lang w:val="en"/>
        </w:rPr>
        <w:t>工程</w:t>
      </w:r>
      <w:r>
        <w:rPr>
          <w:rFonts w:hint="eastAsia" w:ascii="宋体" w:hAnsi="宋体" w:eastAsia="宋体" w:cs="宋体"/>
          <w:color w:val="auto"/>
          <w:sz w:val="21"/>
          <w:szCs w:val="21"/>
          <w:highlight w:val="none"/>
        </w:rPr>
        <w:t>设备确认价：</w:t>
      </w:r>
    </w:p>
    <w:p w14:paraId="39E4C68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北海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市建设工程造价信息》材料信息价的加权平均价计算，信息价没有的按通用条款规定确定。</w:t>
      </w:r>
    </w:p>
    <w:p w14:paraId="6B976CF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（3）价差计算方法：</w:t>
      </w:r>
    </w:p>
    <w:p w14:paraId="70C9D1B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 w:eastAsia="zh-CN"/>
        </w:rPr>
        <w:t>允许调整</w:t>
      </w:r>
      <w:r>
        <w:rPr>
          <w:rFonts w:hint="eastAsia" w:ascii="宋体" w:hAnsi="宋体" w:eastAsia="宋体" w:cs="宋体"/>
          <w:color w:val="auto"/>
          <w:sz w:val="21"/>
          <w:szCs w:val="21"/>
          <w:highlight w:val="none"/>
        </w:rPr>
        <w:t>主要材料和</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设备一览表》中载明的材料和设备竞标报价低于基准价格的：合同履行期间材料和设备单价涨幅以基准价格为基础超过约定的风险范围时，或材料和设备单价跌幅以竞标报价为基础超过约定的风险范围时，对其超过部分进行价差调整，价差计算公式：价格上涨价差=确认价-基准价*（1+风险系数），价格下跌价差=确认价-竞标报价*（1+风险系数）。</w:t>
      </w:r>
    </w:p>
    <w:p w14:paraId="61FA45B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w:t>
      </w:r>
      <w:r>
        <w:rPr>
          <w:rFonts w:hint="eastAsia" w:ascii="宋体" w:hAnsi="宋体" w:eastAsia="宋体" w:cs="宋体"/>
          <w:color w:val="auto"/>
          <w:sz w:val="21"/>
          <w:szCs w:val="21"/>
          <w:highlight w:val="none"/>
          <w:lang w:val="en" w:eastAsia="zh-CN"/>
        </w:rPr>
        <w:t>允许调整</w:t>
      </w:r>
      <w:r>
        <w:rPr>
          <w:rFonts w:hint="eastAsia" w:ascii="宋体" w:hAnsi="宋体" w:eastAsia="宋体" w:cs="宋体"/>
          <w:color w:val="auto"/>
          <w:sz w:val="21"/>
          <w:szCs w:val="21"/>
          <w:highlight w:val="none"/>
        </w:rPr>
        <w:t>主要材料和</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设备一览表》中载明的材料和设备竞标报价高于基准价格的：合同履行期间材料和设备单价跌幅以基准价格为基础超过约定的风险范围时，或材料和设备单价涨幅以竞标报价为基础超过约定的风险范围时，对其超过部分进行价差调整。价差计算公式：价格上涨价差=确认价-竞标报价*（1+风险系数），价格下跌价差=确认价-基准价*（1+风险系数。）</w:t>
      </w:r>
    </w:p>
    <w:p w14:paraId="3758F7E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w:t>
      </w:r>
      <w:r>
        <w:rPr>
          <w:rFonts w:hint="eastAsia" w:ascii="宋体" w:hAnsi="宋体" w:eastAsia="宋体" w:cs="宋体"/>
          <w:color w:val="auto"/>
          <w:sz w:val="21"/>
          <w:szCs w:val="21"/>
          <w:highlight w:val="none"/>
          <w:lang w:val="en" w:eastAsia="zh-CN"/>
        </w:rPr>
        <w:t>允许调整</w:t>
      </w:r>
      <w:r>
        <w:rPr>
          <w:rFonts w:hint="eastAsia" w:ascii="宋体" w:hAnsi="宋体" w:eastAsia="宋体" w:cs="宋体"/>
          <w:color w:val="auto"/>
          <w:sz w:val="21"/>
          <w:szCs w:val="21"/>
          <w:highlight w:val="none"/>
        </w:rPr>
        <w:t>主要材料和</w:t>
      </w:r>
      <w:r>
        <w:rPr>
          <w:rFonts w:hint="eastAsia" w:ascii="宋体" w:hAnsi="宋体" w:eastAsia="宋体" w:cs="宋体"/>
          <w:color w:val="auto"/>
          <w:sz w:val="21"/>
          <w:szCs w:val="21"/>
          <w:highlight w:val="none"/>
          <w:lang w:eastAsia="zh-CN"/>
        </w:rPr>
        <w:t>工程</w:t>
      </w:r>
      <w:r>
        <w:rPr>
          <w:rFonts w:hint="eastAsia" w:ascii="宋体" w:hAnsi="宋体" w:eastAsia="宋体" w:cs="宋体"/>
          <w:color w:val="auto"/>
          <w:sz w:val="21"/>
          <w:szCs w:val="21"/>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767FDAF5">
      <w:pPr>
        <w:spacing w:line="360" w:lineRule="auto"/>
        <w:ind w:firstLine="645"/>
        <w:jc w:val="left"/>
        <w:outlineLvl w:val="9"/>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第3种方式：</w:t>
      </w:r>
      <w:r>
        <w:rPr>
          <w:rFonts w:hint="eastAsia" w:ascii="宋体" w:hAnsi="宋体" w:eastAsia="宋体" w:cs="宋体"/>
          <w:color w:val="auto"/>
          <w:sz w:val="21"/>
          <w:szCs w:val="21"/>
          <w:highlight w:val="none"/>
          <w:u w:val="single"/>
        </w:rPr>
        <w:t xml:space="preserve">   施工期间主要材料价以涉及主要材料在施工使用期间《</w:t>
      </w:r>
      <w:r>
        <w:rPr>
          <w:rFonts w:hint="eastAsia" w:ascii="宋体" w:hAnsi="宋体" w:eastAsia="宋体" w:cs="宋体"/>
          <w:color w:val="auto"/>
          <w:sz w:val="21"/>
          <w:szCs w:val="21"/>
          <w:highlight w:val="none"/>
          <w:u w:val="single"/>
          <w:lang w:eastAsia="zh-CN"/>
        </w:rPr>
        <w:t>北海市建设工程造价信息</w:t>
      </w:r>
      <w:r>
        <w:rPr>
          <w:rFonts w:hint="eastAsia" w:ascii="宋体" w:hAnsi="宋体" w:eastAsia="宋体" w:cs="宋体"/>
          <w:color w:val="auto"/>
          <w:sz w:val="21"/>
          <w:szCs w:val="21"/>
          <w:highlight w:val="none"/>
          <w:u w:val="single"/>
        </w:rPr>
        <w:t>》公布的信息价平均值与中标</w:t>
      </w:r>
      <w:r>
        <w:rPr>
          <w:rFonts w:hint="eastAsia" w:ascii="宋体" w:hAnsi="宋体" w:eastAsia="宋体" w:cs="宋体"/>
          <w:color w:val="auto"/>
          <w:sz w:val="21"/>
          <w:szCs w:val="21"/>
          <w:highlight w:val="none"/>
          <w:u w:val="single"/>
          <w:lang w:val="en-US" w:eastAsia="zh-CN"/>
        </w:rPr>
        <w:t>/</w:t>
      </w:r>
      <w:r>
        <w:rPr>
          <w:rFonts w:hint="eastAsia" w:ascii="Times New Roman" w:hAnsi="宋体" w:eastAsia="宋体" w:cs="宋体"/>
          <w:color w:val="auto"/>
          <w:sz w:val="21"/>
          <w:szCs w:val="24"/>
          <w:highlight w:val="none"/>
          <w:u w:val="single"/>
          <w:lang w:val="en-US" w:eastAsia="zh-CN"/>
        </w:rPr>
        <w:t>成交</w:t>
      </w:r>
      <w:r>
        <w:rPr>
          <w:rFonts w:hint="eastAsia" w:ascii="宋体" w:hAnsi="宋体" w:eastAsia="宋体" w:cs="宋体"/>
          <w:color w:val="auto"/>
          <w:sz w:val="21"/>
          <w:szCs w:val="21"/>
          <w:highlight w:val="none"/>
          <w:u w:val="single"/>
        </w:rPr>
        <w:t>清单采用的材料价偏差在±5%内不调整</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调整超出部份仅计差额及相应的税金（分部分项工程量清单（单价清单）和图纸未含项目除外）</w:t>
      </w:r>
      <w:r>
        <w:rPr>
          <w:rFonts w:hint="eastAsia" w:ascii="宋体" w:hAnsi="宋体" w:eastAsia="宋体" w:cs="宋体"/>
          <w:color w:val="auto"/>
          <w:sz w:val="21"/>
          <w:szCs w:val="21"/>
          <w:highlight w:val="none"/>
          <w:u w:val="single"/>
          <w:lang w:eastAsia="zh-CN"/>
        </w:rPr>
        <w:t>；</w:t>
      </w:r>
    </w:p>
    <w:p w14:paraId="588D27C7">
      <w:pPr>
        <w:spacing w:line="360" w:lineRule="auto"/>
        <w:ind w:firstLine="645"/>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非施工单位原因造成的主要材料价差在 5%以内（含 5%）的，由施工单位承担；超过 5%部分的价差，由建设单位承担 </w:t>
      </w:r>
      <w:r>
        <w:rPr>
          <w:rFonts w:hint="eastAsia" w:ascii="宋体" w:hAnsi="宋体" w:eastAsia="宋体" w:cs="宋体"/>
          <w:color w:val="auto"/>
          <w:sz w:val="21"/>
          <w:szCs w:val="21"/>
          <w:highlight w:val="none"/>
        </w:rPr>
        <w:t>。</w:t>
      </w:r>
    </w:p>
    <w:bookmarkEnd w:id="727"/>
    <w:bookmarkEnd w:id="728"/>
    <w:bookmarkEnd w:id="729"/>
    <w:bookmarkEnd w:id="730"/>
    <w:bookmarkEnd w:id="731"/>
    <w:bookmarkEnd w:id="732"/>
    <w:p w14:paraId="4587FF3E">
      <w:pPr>
        <w:outlineLvl w:val="9"/>
        <w:rPr>
          <w:rFonts w:hint="eastAsia" w:ascii="宋体" w:hAnsi="宋体" w:eastAsia="宋体" w:cs="宋体"/>
          <w:color w:val="auto"/>
          <w:sz w:val="21"/>
          <w:szCs w:val="21"/>
          <w:highlight w:val="none"/>
        </w:rPr>
      </w:pPr>
      <w:bookmarkStart w:id="905" w:name="_Toc296346706"/>
      <w:bookmarkStart w:id="906" w:name="_Toc296503205"/>
      <w:bookmarkStart w:id="907" w:name="_Toc296891033"/>
      <w:bookmarkStart w:id="908" w:name="_Toc296891245"/>
      <w:bookmarkStart w:id="909" w:name="_Toc296944544"/>
      <w:bookmarkStart w:id="910" w:name="_Toc292559915"/>
      <w:bookmarkStart w:id="911" w:name="_Toc297048391"/>
      <w:bookmarkStart w:id="912" w:name="_Toc296347204"/>
      <w:bookmarkStart w:id="913" w:name="_Toc297120505"/>
      <w:bookmarkStart w:id="914" w:name="_Toc292559410"/>
      <w:bookmarkStart w:id="915" w:name="_Toc10654"/>
      <w:bookmarkStart w:id="916" w:name="_Toc373478395"/>
      <w:bookmarkStart w:id="917" w:name="_Toc373227748"/>
      <w:bookmarkStart w:id="918" w:name="_Toc1720046426"/>
      <w:bookmarkStart w:id="919" w:name="_Toc1935657796"/>
      <w:bookmarkStart w:id="920" w:name="_Toc78449837"/>
      <w:bookmarkStart w:id="921" w:name="_Toc407135251"/>
      <w:bookmarkStart w:id="922" w:name="_Toc351203644"/>
      <w:bookmarkStart w:id="923" w:name="_Toc304295579"/>
      <w:bookmarkStart w:id="924" w:name="_Toc297216211"/>
      <w:bookmarkStart w:id="925" w:name="_Toc312678040"/>
      <w:bookmarkStart w:id="926" w:name="_Toc297123552"/>
      <w:bookmarkStart w:id="927" w:name="_Toc300935002"/>
      <w:bookmarkStart w:id="928" w:name="_Toc303539159"/>
      <w:r>
        <w:rPr>
          <w:rFonts w:hint="eastAsia" w:ascii="宋体" w:hAnsi="宋体" w:eastAsia="宋体" w:cs="宋体"/>
          <w:color w:val="auto"/>
          <w:sz w:val="21"/>
          <w:szCs w:val="21"/>
          <w:highlight w:val="none"/>
        </w:rPr>
        <w:t xml:space="preserve">12. </w:t>
      </w:r>
      <w:bookmarkEnd w:id="905"/>
      <w:bookmarkEnd w:id="906"/>
      <w:bookmarkEnd w:id="907"/>
      <w:bookmarkEnd w:id="908"/>
      <w:bookmarkEnd w:id="909"/>
      <w:bookmarkEnd w:id="910"/>
      <w:bookmarkEnd w:id="911"/>
      <w:bookmarkEnd w:id="912"/>
      <w:bookmarkEnd w:id="913"/>
      <w:bookmarkEnd w:id="914"/>
      <w:r>
        <w:rPr>
          <w:rFonts w:hint="eastAsia" w:ascii="宋体" w:hAnsi="宋体" w:eastAsia="宋体" w:cs="宋体"/>
          <w:color w:val="auto"/>
          <w:sz w:val="21"/>
          <w:szCs w:val="21"/>
          <w:highlight w:val="none"/>
        </w:rPr>
        <w:t>合同价格、计量与支付</w:t>
      </w:r>
      <w:bookmarkEnd w:id="915"/>
      <w:bookmarkEnd w:id="916"/>
      <w:bookmarkEnd w:id="917"/>
      <w:bookmarkEnd w:id="918"/>
      <w:bookmarkEnd w:id="919"/>
      <w:bookmarkEnd w:id="920"/>
      <w:bookmarkEnd w:id="921"/>
      <w:bookmarkEnd w:id="922"/>
    </w:p>
    <w:bookmarkEnd w:id="923"/>
    <w:bookmarkEnd w:id="924"/>
    <w:bookmarkEnd w:id="925"/>
    <w:bookmarkEnd w:id="926"/>
    <w:bookmarkEnd w:id="927"/>
    <w:bookmarkEnd w:id="928"/>
    <w:p w14:paraId="3B22EDE9">
      <w:pPr>
        <w:outlineLvl w:val="9"/>
        <w:rPr>
          <w:rFonts w:hint="eastAsia" w:ascii="宋体" w:hAnsi="宋体" w:eastAsia="宋体" w:cs="宋体"/>
          <w:color w:val="auto"/>
          <w:sz w:val="21"/>
          <w:szCs w:val="21"/>
          <w:highlight w:val="none"/>
        </w:rPr>
      </w:pPr>
      <w:bookmarkStart w:id="929" w:name="_Toc292559411"/>
      <w:bookmarkStart w:id="930" w:name="_Toc267251461"/>
      <w:bookmarkStart w:id="931" w:name="_Toc292559916"/>
      <w:bookmarkStart w:id="932" w:name="_Toc296503206"/>
      <w:bookmarkStart w:id="933" w:name="_Toc296891246"/>
      <w:bookmarkStart w:id="934" w:name="_Toc296346707"/>
      <w:bookmarkStart w:id="935" w:name="_Toc296347205"/>
      <w:bookmarkStart w:id="936" w:name="_Toc296944545"/>
      <w:bookmarkStart w:id="937" w:name="_Toc297048392"/>
      <w:bookmarkStart w:id="938" w:name="_Toc297120506"/>
      <w:bookmarkStart w:id="939" w:name="_Toc296891034"/>
      <w:bookmarkStart w:id="940" w:name="_Toc389065314"/>
      <w:bookmarkStart w:id="941" w:name="_Toc373478396"/>
      <w:bookmarkStart w:id="942" w:name="_Toc1395756356"/>
      <w:bookmarkStart w:id="943" w:name="_Toc407135252"/>
      <w:bookmarkStart w:id="944" w:name="_Toc10561"/>
      <w:bookmarkStart w:id="945" w:name="_Toc78449838"/>
      <w:bookmarkStart w:id="946" w:name="_Toc1894565429"/>
      <w:bookmarkStart w:id="947" w:name="_Toc373227749"/>
      <w:bookmarkStart w:id="948" w:name="_Toc297123553"/>
      <w:bookmarkStart w:id="949" w:name="_Toc300935003"/>
      <w:bookmarkStart w:id="950" w:name="_Toc304295580"/>
      <w:bookmarkStart w:id="951" w:name="_Toc312678041"/>
      <w:bookmarkStart w:id="952" w:name="_Toc303539160"/>
      <w:bookmarkStart w:id="953" w:name="_Toc297216212"/>
      <w:r>
        <w:rPr>
          <w:rFonts w:hint="eastAsia" w:ascii="宋体" w:hAnsi="宋体" w:eastAsia="宋体" w:cs="宋体"/>
          <w:color w:val="auto"/>
          <w:sz w:val="21"/>
          <w:szCs w:val="21"/>
          <w:highlight w:val="none"/>
        </w:rPr>
        <w:t>12.1 合</w:t>
      </w:r>
      <w:bookmarkEnd w:id="929"/>
      <w:bookmarkEnd w:id="930"/>
      <w:bookmarkEnd w:id="931"/>
      <w:r>
        <w:rPr>
          <w:rFonts w:hint="eastAsia" w:ascii="宋体" w:hAnsi="宋体" w:eastAsia="宋体" w:cs="宋体"/>
          <w:color w:val="auto"/>
          <w:sz w:val="21"/>
          <w:szCs w:val="21"/>
          <w:highlight w:val="none"/>
        </w:rPr>
        <w:t>同价</w:t>
      </w:r>
      <w:bookmarkEnd w:id="932"/>
      <w:bookmarkEnd w:id="933"/>
      <w:bookmarkEnd w:id="934"/>
      <w:bookmarkEnd w:id="935"/>
      <w:bookmarkEnd w:id="936"/>
      <w:bookmarkEnd w:id="937"/>
      <w:bookmarkEnd w:id="938"/>
      <w:bookmarkEnd w:id="939"/>
      <w:r>
        <w:rPr>
          <w:rFonts w:hint="eastAsia" w:ascii="宋体" w:hAnsi="宋体" w:eastAsia="宋体" w:cs="宋体"/>
          <w:color w:val="auto"/>
          <w:sz w:val="21"/>
          <w:szCs w:val="21"/>
          <w:highlight w:val="none"/>
        </w:rPr>
        <w:t>格形式</w:t>
      </w:r>
      <w:bookmarkEnd w:id="940"/>
      <w:bookmarkEnd w:id="941"/>
      <w:bookmarkEnd w:id="942"/>
      <w:bookmarkEnd w:id="943"/>
      <w:bookmarkEnd w:id="944"/>
      <w:bookmarkEnd w:id="945"/>
      <w:bookmarkEnd w:id="946"/>
      <w:bookmarkEnd w:id="947"/>
    </w:p>
    <w:bookmarkEnd w:id="948"/>
    <w:bookmarkEnd w:id="949"/>
    <w:bookmarkEnd w:id="950"/>
    <w:bookmarkEnd w:id="951"/>
    <w:bookmarkEnd w:id="952"/>
    <w:bookmarkEnd w:id="953"/>
    <w:p w14:paraId="44208787">
      <w:pPr>
        <w:spacing w:line="360" w:lineRule="auto"/>
        <w:ind w:firstLine="420" w:firstLineChars="200"/>
        <w:jc w:val="left"/>
        <w:outlineLvl w:val="9"/>
        <w:rPr>
          <w:rFonts w:hint="eastAsia" w:ascii="宋体" w:hAnsi="宋体" w:eastAsia="宋体" w:cs="宋体"/>
          <w:color w:val="auto"/>
          <w:sz w:val="21"/>
          <w:szCs w:val="21"/>
          <w:highlight w:val="none"/>
        </w:rPr>
      </w:pPr>
      <w:bookmarkStart w:id="954" w:name="_Toc373227750"/>
      <w:bookmarkStart w:id="955" w:name="_Toc389065315"/>
      <w:bookmarkStart w:id="956" w:name="_Toc373478397"/>
      <w:bookmarkStart w:id="957" w:name="_Toc297123554"/>
      <w:bookmarkStart w:id="958" w:name="_Toc300935004"/>
      <w:bookmarkStart w:id="959" w:name="_Toc312678042"/>
      <w:bookmarkStart w:id="960" w:name="_Toc297216213"/>
      <w:bookmarkStart w:id="961" w:name="_Toc303539161"/>
      <w:bookmarkStart w:id="962" w:name="_Toc304295581"/>
      <w:bookmarkStart w:id="963" w:name="_Toc296503207"/>
      <w:bookmarkStart w:id="964" w:name="_Toc292559412"/>
      <w:bookmarkStart w:id="965" w:name="_Toc296346708"/>
      <w:bookmarkStart w:id="966" w:name="_Toc292559917"/>
      <w:bookmarkStart w:id="967" w:name="_Toc296891035"/>
      <w:bookmarkStart w:id="968" w:name="_Toc297048393"/>
      <w:bookmarkStart w:id="969" w:name="_Toc297120507"/>
      <w:bookmarkStart w:id="970" w:name="_Toc296891247"/>
      <w:bookmarkStart w:id="971" w:name="_Toc296347206"/>
      <w:bookmarkStart w:id="972" w:name="_Toc296944546"/>
      <w:r>
        <w:rPr>
          <w:rFonts w:hint="eastAsia" w:ascii="宋体" w:hAnsi="宋体" w:eastAsia="宋体" w:cs="宋体"/>
          <w:color w:val="auto"/>
          <w:sz w:val="21"/>
          <w:szCs w:val="21"/>
          <w:highlight w:val="none"/>
        </w:rPr>
        <w:t>本工程采用</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单价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合同价格形式，合同价格包含增值税，本工程计价时采用的增值税计税方法为：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一般计税法   □简易计税法。</w:t>
      </w:r>
    </w:p>
    <w:p w14:paraId="06C6119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w:t>
      </w:r>
    </w:p>
    <w:p w14:paraId="53587172">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采用综合单价合同方式时，工程量按建设单位、监理单位、施工单位三方确认的竣工图结算。</w:t>
      </w:r>
    </w:p>
    <w:p w14:paraId="4888D833">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除工程变更、项目特征不符、工程量清单缺项、工程量偏差、政策性调整、市场价格波动。</w:t>
      </w:r>
    </w:p>
    <w:p w14:paraId="36649A85">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p>
    <w:p w14:paraId="0D2BFEE5">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①工程变更、项目特征不符、工程量清单缺项：按10.4.1变更估价原则的约定调整。</w:t>
      </w:r>
    </w:p>
    <w:p w14:paraId="1BF1BEDA">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②工程量偏差：按1.13工程量清单错误修正的约定调整。</w:t>
      </w:r>
    </w:p>
    <w:p w14:paraId="55A06487">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③政策性调整：按国家、自治区住房城乡建设厅或工程所在地市级住房城乡建设主管部门颁布的文件执行。</w:t>
      </w:r>
    </w:p>
    <w:p w14:paraId="79C21A73">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④市场波动引起的调整：按11.1的约定调整。</w:t>
      </w:r>
    </w:p>
    <w:p w14:paraId="793380B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⑤其它：</w:t>
      </w:r>
      <w:r>
        <w:rPr>
          <w:rFonts w:hint="eastAsia" w:ascii="宋体" w:hAnsi="宋体" w:eastAsia="宋体" w:cs="宋体"/>
          <w:color w:val="auto"/>
          <w:sz w:val="21"/>
          <w:szCs w:val="21"/>
          <w:highlight w:val="none"/>
          <w:u w:val="single"/>
        </w:rPr>
        <w:t xml:space="preserve">  （1）实际施工或因设计变更引起工程项目和工程量变化的，工程量清单中有相同细目的按工程预算书进行结算；工程量清单中有类似细目的按类似细目工程预算书结算；新增项目的单价有定额的套定额计算，并乘以下浮系数(工程预算书)结算，其中材料价格有信息价的按信息价，无信息价的由发包人、承包人到市场询价确定（双方签定）；新增项目无定额可套的，由发包人、承包人根据市场价格协商确定。（2）国家和本自治区政策性调整有关费用标准的，按文件规定执行。（3）实际完成的工程量与发包人提供的分部分项工程量清单中给定的工程量差值在 10％以上，造成措施项目费用增加，按增加的比例调整措施费用  </w:t>
      </w:r>
      <w:r>
        <w:rPr>
          <w:rFonts w:hint="eastAsia" w:ascii="宋体" w:hAnsi="宋体" w:eastAsia="宋体" w:cs="宋体"/>
          <w:color w:val="auto"/>
          <w:sz w:val="21"/>
          <w:szCs w:val="21"/>
          <w:highlight w:val="none"/>
        </w:rPr>
        <w:t>。</w:t>
      </w:r>
    </w:p>
    <w:p w14:paraId="6B39C9D6">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w:t>
      </w:r>
    </w:p>
    <w:p w14:paraId="6C6908D5">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包含除工程变更、政策性调整、市场价格波动。除工程变更外，结算时不再对招标施工图对应的工程量重新计量    </w:t>
      </w:r>
      <w:r>
        <w:rPr>
          <w:rFonts w:hint="eastAsia" w:ascii="宋体" w:hAnsi="宋体" w:eastAsia="宋体" w:cs="宋体"/>
          <w:color w:val="auto"/>
          <w:sz w:val="21"/>
          <w:szCs w:val="21"/>
          <w:highlight w:val="none"/>
        </w:rPr>
        <w:t>。</w:t>
      </w:r>
    </w:p>
    <w:p w14:paraId="1D26D6B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风险范围以外合同价格的调整方法：</w:t>
      </w:r>
    </w:p>
    <w:p w14:paraId="3C2A2F88">
      <w:pPr>
        <w:numPr>
          <w:ilvl w:val="0"/>
          <w:numId w:val="0"/>
        </w:num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①工程变更：按10.4.1变更估价原则的约定调整。</w:t>
      </w:r>
    </w:p>
    <w:p w14:paraId="5CC1283F">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②政策性调整：按国家、自治区住房城乡建设厅或工程所在地市级住房城乡建设主管部门颁布的文件执行。</w:t>
      </w:r>
    </w:p>
    <w:p w14:paraId="64AD55B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③市场波动引起的调整：按11.1的约定调整。</w:t>
      </w:r>
    </w:p>
    <w:p w14:paraId="4673C0C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其它：</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5066ED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（3）其他价格方式：</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B829494">
      <w:pPr>
        <w:outlineLvl w:val="9"/>
        <w:rPr>
          <w:rFonts w:hint="eastAsia" w:ascii="宋体" w:hAnsi="宋体" w:eastAsia="宋体" w:cs="宋体"/>
          <w:color w:val="auto"/>
          <w:sz w:val="21"/>
          <w:szCs w:val="21"/>
          <w:highlight w:val="none"/>
        </w:rPr>
      </w:pPr>
      <w:bookmarkStart w:id="973" w:name="_Toc28412"/>
      <w:bookmarkStart w:id="974" w:name="_Toc1681900246"/>
      <w:bookmarkStart w:id="975" w:name="_Toc407135253"/>
      <w:bookmarkStart w:id="976" w:name="_Toc1338560546"/>
      <w:bookmarkStart w:id="977" w:name="_Toc78449839"/>
      <w:r>
        <w:rPr>
          <w:rFonts w:hint="eastAsia" w:ascii="宋体" w:hAnsi="宋体" w:eastAsia="宋体" w:cs="宋体"/>
          <w:color w:val="auto"/>
          <w:sz w:val="21"/>
          <w:szCs w:val="21"/>
          <w:highlight w:val="none"/>
        </w:rPr>
        <w:t>12.2 预付款</w:t>
      </w:r>
      <w:bookmarkEnd w:id="954"/>
      <w:bookmarkEnd w:id="955"/>
      <w:bookmarkEnd w:id="956"/>
      <w:bookmarkEnd w:id="973"/>
      <w:bookmarkEnd w:id="974"/>
      <w:bookmarkEnd w:id="975"/>
      <w:bookmarkEnd w:id="976"/>
      <w:bookmarkEnd w:id="977"/>
    </w:p>
    <w:bookmarkEnd w:id="957"/>
    <w:bookmarkEnd w:id="958"/>
    <w:bookmarkEnd w:id="959"/>
    <w:bookmarkEnd w:id="960"/>
    <w:bookmarkEnd w:id="961"/>
    <w:bookmarkEnd w:id="962"/>
    <w:p w14:paraId="2B8F3B6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12.2.1 预付款的支付</w:t>
      </w:r>
    </w:p>
    <w:p w14:paraId="7EBDAF1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预付款支付比例或金额：</w:t>
      </w:r>
      <w:r>
        <w:rPr>
          <w:rFonts w:hint="eastAsia" w:ascii="宋体" w:hAnsi="宋体" w:eastAsia="宋体" w:cs="宋体"/>
          <w:color w:val="auto"/>
          <w:sz w:val="21"/>
          <w:szCs w:val="21"/>
          <w:highlight w:val="none"/>
          <w:u w:val="single"/>
        </w:rPr>
        <w:t xml:space="preserve">  签订合同后5个工作日内由采购人支付合同金额的30%作为预付款 </w:t>
      </w:r>
      <w:r>
        <w:rPr>
          <w:rFonts w:hint="eastAsia" w:ascii="宋体" w:hAnsi="宋体" w:eastAsia="宋体" w:cs="宋体"/>
          <w:color w:val="auto"/>
          <w:sz w:val="21"/>
          <w:szCs w:val="21"/>
          <w:highlight w:val="none"/>
        </w:rPr>
        <w:t>。</w:t>
      </w:r>
    </w:p>
    <w:p w14:paraId="25E5940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预付款支付期限：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在承包人签订了合同协议书并提交预付款</w:t>
      </w:r>
      <w:r>
        <w:rPr>
          <w:rStyle w:val="39"/>
          <w:rFonts w:hint="eastAsia" w:ascii="宋体" w:hAnsi="宋体" w:eastAsia="宋体" w:cs="宋体"/>
          <w:color w:val="auto"/>
          <w:sz w:val="21"/>
          <w:szCs w:val="21"/>
          <w:highlight w:val="none"/>
          <w:u w:val="single"/>
          <w:lang w:eastAsia="zh-CN"/>
        </w:rPr>
        <w:t>申请</w:t>
      </w:r>
      <w:r>
        <w:rPr>
          <w:rStyle w:val="39"/>
          <w:rFonts w:hint="eastAsia" w:ascii="宋体" w:hAnsi="宋体" w:eastAsia="宋体" w:cs="宋体"/>
          <w:color w:val="auto"/>
          <w:sz w:val="21"/>
          <w:szCs w:val="21"/>
          <w:highlight w:val="none"/>
          <w:u w:val="single"/>
        </w:rPr>
        <w:t>后 14 个工作日内，监理工程师应签发开工预付款支付证书，并报业主审批。以上支付方式需待财政资金拨付到位再执行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B708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Style w:val="39"/>
          <w:rFonts w:hint="eastAsia" w:ascii="宋体" w:hAnsi="宋体" w:cs="宋体"/>
          <w:color w:val="auto"/>
          <w:sz w:val="21"/>
          <w:szCs w:val="21"/>
          <w:highlight w:val="none"/>
          <w:u w:val="single"/>
          <w:lang w:val="en-US" w:eastAsia="zh-CN"/>
        </w:rPr>
        <w:t xml:space="preserve">/  </w:t>
      </w:r>
      <w:r>
        <w:rPr>
          <w:rStyle w:val="39"/>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2B07F80">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12.2.2 预付款担保</w:t>
      </w:r>
    </w:p>
    <w:p w14:paraId="470F599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28AC222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w:t>
      </w:r>
      <w:r>
        <w:rPr>
          <w:rFonts w:hint="eastAsia" w:ascii="宋体" w:hAnsi="宋体" w:eastAsia="宋体" w:cs="宋体"/>
          <w:color w:val="auto"/>
          <w:sz w:val="21"/>
          <w:szCs w:val="21"/>
          <w:highlight w:val="none"/>
          <w:u w:val="none"/>
          <w:lang w:eastAsia="zh-CN"/>
        </w:rPr>
        <w:t>可以是</w:t>
      </w:r>
      <w:r>
        <w:rPr>
          <w:rFonts w:hint="eastAsia" w:ascii="宋体" w:hAnsi="宋体" w:eastAsia="宋体" w:cs="宋体"/>
          <w:color w:val="auto"/>
          <w:sz w:val="21"/>
          <w:szCs w:val="21"/>
          <w:highlight w:val="none"/>
        </w:rPr>
        <w:t>银行转账、电汇或网上支付、保函（银行保函、电子保函、保证保险保函、工程担保保函）等</w:t>
      </w:r>
      <w:r>
        <w:rPr>
          <w:rFonts w:hint="eastAsia" w:ascii="宋体" w:hAnsi="宋体" w:eastAsia="宋体" w:cs="宋体"/>
          <w:color w:val="auto"/>
          <w:sz w:val="21"/>
          <w:szCs w:val="21"/>
          <w:highlight w:val="none"/>
          <w:lang w:eastAsia="zh-CN"/>
        </w:rPr>
        <w:t>形</w:t>
      </w:r>
      <w:r>
        <w:rPr>
          <w:rFonts w:hint="eastAsia" w:ascii="宋体" w:hAnsi="宋体" w:eastAsia="宋体" w:cs="宋体"/>
          <w:color w:val="auto"/>
          <w:sz w:val="21"/>
          <w:szCs w:val="21"/>
          <w:highlight w:val="none"/>
        </w:rPr>
        <w:t>式。工程担保保证人应将出具的保函相关信息录入“广西建筑市场监管云”平台（http://gxjzsc.caihcloud.com），以实现保函查询及验真功能</w:t>
      </w:r>
      <w:r>
        <w:rPr>
          <w:rFonts w:hint="eastAsia" w:ascii="宋体" w:hAnsi="宋体" w:eastAsia="宋体" w:cs="宋体"/>
          <w:color w:val="auto"/>
          <w:sz w:val="21"/>
          <w:szCs w:val="21"/>
          <w:highlight w:val="none"/>
          <w:lang w:eastAsia="zh-CN"/>
        </w:rPr>
        <w:t>。</w:t>
      </w:r>
    </w:p>
    <w:bookmarkEnd w:id="963"/>
    <w:bookmarkEnd w:id="964"/>
    <w:bookmarkEnd w:id="965"/>
    <w:bookmarkEnd w:id="966"/>
    <w:bookmarkEnd w:id="967"/>
    <w:bookmarkEnd w:id="968"/>
    <w:bookmarkEnd w:id="969"/>
    <w:bookmarkEnd w:id="970"/>
    <w:bookmarkEnd w:id="971"/>
    <w:bookmarkEnd w:id="972"/>
    <w:p w14:paraId="22DF2392">
      <w:pPr>
        <w:outlineLvl w:val="9"/>
        <w:rPr>
          <w:rFonts w:hint="eastAsia" w:ascii="宋体" w:hAnsi="宋体" w:eastAsia="宋体" w:cs="宋体"/>
          <w:color w:val="auto"/>
          <w:sz w:val="21"/>
          <w:szCs w:val="21"/>
          <w:highlight w:val="none"/>
        </w:rPr>
      </w:pPr>
      <w:bookmarkStart w:id="978" w:name="_Toc373227751"/>
      <w:bookmarkStart w:id="979" w:name="_Toc1494831447"/>
      <w:bookmarkStart w:id="980" w:name="_Toc465"/>
      <w:bookmarkStart w:id="981" w:name="_Toc407135254"/>
      <w:bookmarkStart w:id="982" w:name="_Toc373478398"/>
      <w:bookmarkStart w:id="983" w:name="_Toc389065316"/>
      <w:bookmarkStart w:id="984" w:name="_Toc1307224940"/>
      <w:bookmarkStart w:id="985" w:name="_Toc78449840"/>
      <w:r>
        <w:rPr>
          <w:rFonts w:hint="eastAsia" w:ascii="宋体" w:hAnsi="宋体" w:eastAsia="宋体" w:cs="宋体"/>
          <w:color w:val="auto"/>
          <w:sz w:val="21"/>
          <w:szCs w:val="21"/>
          <w:highlight w:val="none"/>
        </w:rPr>
        <w:t>12.3 计量</w:t>
      </w:r>
      <w:bookmarkEnd w:id="978"/>
      <w:bookmarkEnd w:id="979"/>
      <w:bookmarkEnd w:id="980"/>
      <w:bookmarkEnd w:id="981"/>
      <w:bookmarkEnd w:id="982"/>
      <w:bookmarkEnd w:id="983"/>
      <w:bookmarkEnd w:id="984"/>
      <w:bookmarkEnd w:id="985"/>
    </w:p>
    <w:p w14:paraId="6C4D60E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12.3.1 计量原则</w:t>
      </w:r>
    </w:p>
    <w:p w14:paraId="641224A1">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工程量计算规则：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工程的计量均以《建设工程工程量清单计价规范》（GB50500－2013）及广西壮族自治区实施细则、《建设工程工程量清单计算规范》（GB50854~50862－2013）及广西实施细则、本工程补充项目清单为准。</w:t>
      </w:r>
      <w:r>
        <w:rPr>
          <w:rFonts w:hint="eastAsia" w:ascii="宋体" w:hAnsi="宋体" w:eastAsia="宋体" w:cs="宋体"/>
          <w:color w:val="auto"/>
          <w:sz w:val="21"/>
          <w:szCs w:val="21"/>
          <w:highlight w:val="none"/>
          <w:u w:val="single"/>
          <w:lang w:val="en-US" w:eastAsia="zh-CN"/>
        </w:rPr>
        <w:t xml:space="preserve"> </w:t>
      </w:r>
    </w:p>
    <w:p w14:paraId="0891F02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12.3.2 计量周期</w:t>
      </w:r>
    </w:p>
    <w:p w14:paraId="339A9E4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关于计量周期的约定：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每月25日前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3B4F8AEF">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12.3.3 单价合同的计量</w:t>
      </w:r>
    </w:p>
    <w:p w14:paraId="3AAD5229">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关于单价合同计量的约定：</w:t>
      </w:r>
    </w:p>
    <w:p w14:paraId="5F3A66F6">
      <w:pPr>
        <w:spacing w:line="360" w:lineRule="auto"/>
        <w:ind w:firstLine="441" w:firstLineChars="21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 工程量清单所列的工程量，不能作为承包人按合同履行其责任依据，实际施工中发生的工程量增加或减少并不影响承包人履行合同的责任，工程结算以完成的实际工程量为准。</w:t>
      </w:r>
    </w:p>
    <w:p w14:paraId="17F3B937">
      <w:pPr>
        <w:spacing w:line="360" w:lineRule="auto"/>
        <w:ind w:firstLine="441" w:firstLineChars="210"/>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 除另有规定外，工程师应按照合同通过计量来核实确定已完成的工程量和价款，承包人应得到该价款扣除保留金后的金额。当工程师要对已完工的工程量进行计量时，应适时地通知承包人参加。</w:t>
      </w:r>
    </w:p>
    <w:p w14:paraId="4FC0E99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12.3.4 总价合同的计量</w:t>
      </w:r>
    </w:p>
    <w:p w14:paraId="0F4A1AB0">
      <w:pPr>
        <w:spacing w:line="360" w:lineRule="auto"/>
        <w:ind w:firstLine="420" w:firstLineChars="200"/>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（1）总价合同计量约定：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进度款按支付分解表支付</w:t>
      </w: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sz w:val="21"/>
          <w:szCs w:val="21"/>
          <w:highlight w:val="none"/>
          <w:u w:val="single"/>
        </w:rPr>
        <w:t>支付分解表在招标完成后签合同之前制定，具体详见本专用合同条款12.4.6。</w:t>
      </w:r>
      <w:r>
        <w:rPr>
          <w:rFonts w:hint="eastAsia" w:ascii="宋体" w:hAnsi="宋体" w:eastAsia="宋体" w:cs="宋体"/>
          <w:color w:val="auto"/>
          <w:sz w:val="21"/>
          <w:szCs w:val="21"/>
          <w:highlight w:val="none"/>
          <w:u w:val="single"/>
          <w:lang w:val="en-US" w:eastAsia="zh-CN"/>
        </w:rPr>
        <w:t xml:space="preserve"> </w:t>
      </w:r>
    </w:p>
    <w:p w14:paraId="1BBE4CBC">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12.3.6 其他价格形式合同的计量</w:t>
      </w:r>
    </w:p>
    <w:p w14:paraId="4B831324">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其他价格形式的计量方式和程序：</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w:t>
      </w:r>
      <w:r>
        <w:rPr>
          <w:rStyle w:val="39"/>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8632C2E">
      <w:pPr>
        <w:outlineLvl w:val="9"/>
        <w:rPr>
          <w:rFonts w:hint="eastAsia" w:ascii="宋体" w:hAnsi="宋体" w:eastAsia="宋体" w:cs="宋体"/>
          <w:color w:val="auto"/>
          <w:sz w:val="21"/>
          <w:szCs w:val="21"/>
          <w:highlight w:val="none"/>
        </w:rPr>
      </w:pPr>
      <w:bookmarkStart w:id="986" w:name="_Toc389065317"/>
      <w:bookmarkStart w:id="987" w:name="_Toc1711431123"/>
      <w:bookmarkStart w:id="988" w:name="_Toc373227752"/>
      <w:bookmarkStart w:id="989" w:name="_Toc407135255"/>
      <w:bookmarkStart w:id="990" w:name="_Toc373478399"/>
      <w:bookmarkStart w:id="991" w:name="_Toc78449841"/>
      <w:bookmarkStart w:id="992" w:name="_Toc18293"/>
      <w:bookmarkStart w:id="993" w:name="_Toc1155368667"/>
      <w:r>
        <w:rPr>
          <w:rFonts w:hint="eastAsia" w:ascii="宋体" w:hAnsi="宋体" w:eastAsia="宋体" w:cs="宋体"/>
          <w:color w:val="auto"/>
          <w:sz w:val="21"/>
          <w:szCs w:val="21"/>
          <w:highlight w:val="none"/>
        </w:rPr>
        <w:t>12.4 工程进度款支付</w:t>
      </w:r>
      <w:bookmarkEnd w:id="986"/>
      <w:bookmarkEnd w:id="987"/>
      <w:bookmarkEnd w:id="988"/>
      <w:bookmarkEnd w:id="989"/>
      <w:bookmarkEnd w:id="990"/>
      <w:bookmarkEnd w:id="991"/>
      <w:bookmarkEnd w:id="992"/>
      <w:bookmarkEnd w:id="993"/>
    </w:p>
    <w:p w14:paraId="02B7981A">
      <w:pPr>
        <w:spacing w:line="400" w:lineRule="exact"/>
        <w:ind w:firstLine="420" w:firstLineChars="200"/>
        <w:jc w:val="left"/>
        <w:rPr>
          <w:rFonts w:hint="eastAsia" w:ascii="宋体" w:hAnsi="宋体" w:eastAsia="宋体" w:cs="宋体"/>
          <w:color w:val="auto"/>
          <w:sz w:val="21"/>
          <w:szCs w:val="21"/>
          <w:highlight w:val="none"/>
        </w:rPr>
      </w:pPr>
      <w:bookmarkStart w:id="994" w:name="_Toc296944550"/>
      <w:bookmarkStart w:id="995" w:name="_Toc297216215"/>
      <w:bookmarkStart w:id="996" w:name="_Toc296891251"/>
      <w:bookmarkStart w:id="997" w:name="_Toc292559921"/>
      <w:bookmarkStart w:id="998" w:name="_Toc297120511"/>
      <w:bookmarkStart w:id="999" w:name="_Toc297123556"/>
      <w:bookmarkStart w:id="1000" w:name="_Toc296503211"/>
      <w:bookmarkStart w:id="1001" w:name="_Toc296347210"/>
      <w:bookmarkStart w:id="1002" w:name="_Toc303539163"/>
      <w:bookmarkStart w:id="1003" w:name="_Toc300935006"/>
      <w:bookmarkStart w:id="1004" w:name="_Toc292559416"/>
      <w:bookmarkStart w:id="1005" w:name="_Toc297048397"/>
      <w:bookmarkStart w:id="1006" w:name="_Toc296346712"/>
      <w:bookmarkStart w:id="1007" w:name="_Toc296891039"/>
      <w:r>
        <w:rPr>
          <w:rFonts w:hint="eastAsia" w:ascii="宋体" w:hAnsi="宋体" w:eastAsia="宋体" w:cs="宋体"/>
          <w:color w:val="auto"/>
          <w:kern w:val="0"/>
          <w:sz w:val="21"/>
          <w:szCs w:val="21"/>
          <w:highlight w:val="none"/>
          <w:lang w:val="en-US" w:eastAsia="zh-CN" w:bidi="ar"/>
        </w:rPr>
        <w:t>政府机关、事业单位、国有企业建设工程进度款支付应不低于已完成工程价款的80%；同时，在确保不超出工程总概（预）算以及工程决（结）算工作顺利开展的前提下，除按合同约定保留不超过工程价款总额3%的质量保证金外，进度款支付比例可由发承包双方根据项目实际情况自行确定。在结算过程中，若发生进度款支付超出实际已完成工程价款的情况，承包单位应按规定在结算后30日内向发包单位返还多收到的工程进度款。</w:t>
      </w:r>
    </w:p>
    <w:p w14:paraId="527267B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12.4.1 付款周期</w:t>
      </w:r>
    </w:p>
    <w:p w14:paraId="72C3B4CA">
      <w:pPr>
        <w:spacing w:line="360" w:lineRule="auto"/>
        <w:ind w:left="630" w:leftChars="300"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u w:val="single"/>
        </w:rPr>
        <w:t>工程进度款支付限额为已完成工程量的</w:t>
      </w:r>
      <w:r>
        <w:rPr>
          <w:rFonts w:hint="eastAsia" w:ascii="宋体" w:hAnsi="宋体" w:eastAsia="宋体" w:cs="宋体"/>
          <w:color w:val="auto"/>
          <w:sz w:val="21"/>
          <w:szCs w:val="21"/>
          <w:highlight w:val="none"/>
          <w:u w:val="single"/>
          <w:lang w:val="en-US" w:eastAsia="zh-CN"/>
        </w:rPr>
        <w:t>8</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w:t>
      </w:r>
      <w:r>
        <w:rPr>
          <w:rFonts w:hint="eastAsia" w:ascii="宋体" w:hAnsi="宋体" w:eastAsia="宋体" w:cs="宋体"/>
          <w:color w:val="auto"/>
          <w:kern w:val="0"/>
          <w:sz w:val="21"/>
          <w:szCs w:val="21"/>
          <w:highlight w:val="none"/>
          <w:lang w:val="en-US" w:eastAsia="zh-CN" w:bidi="ar"/>
        </w:rPr>
        <w:t>政府机关、事业单位、国有企业建设工程进度款支付应不低于已完成工程价款</w:t>
      </w:r>
      <w:r>
        <w:rPr>
          <w:rFonts w:hint="eastAsia" w:ascii="宋体" w:hAnsi="宋体" w:eastAsia="宋体" w:cs="宋体"/>
          <w:color w:val="auto"/>
          <w:kern w:val="0"/>
          <w:sz w:val="21"/>
          <w:szCs w:val="21"/>
          <w:highlight w:val="none"/>
          <w:u w:val="none"/>
          <w:lang w:val="en-US" w:eastAsia="zh-CN" w:bidi="ar"/>
        </w:rPr>
        <w:t>的</w:t>
      </w:r>
      <w:r>
        <w:rPr>
          <w:rFonts w:hint="eastAsia" w:ascii="宋体" w:hAnsi="宋体" w:eastAsia="宋体" w:cs="宋体"/>
          <w:color w:val="auto"/>
          <w:sz w:val="21"/>
          <w:szCs w:val="21"/>
          <w:highlight w:val="none"/>
          <w:u w:val="none"/>
        </w:rPr>
        <w:t>80%）。</w:t>
      </w:r>
    </w:p>
    <w:p w14:paraId="319ECC60">
      <w:pPr>
        <w:spacing w:line="360" w:lineRule="auto"/>
        <w:ind w:left="630" w:leftChars="300" w:firstLine="0"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 2 \* GB3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②</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工程完工验收达到质量要求，结算经审定后，工程款支付至结算总价的97%（不得低于97%）。发包人按工程价款结算总额的</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%（最高不超过3%）预留工程质量保证金。</w:t>
      </w:r>
    </w:p>
    <w:p w14:paraId="26FCEF06">
      <w:pPr>
        <w:spacing w:line="360" w:lineRule="auto"/>
        <w:ind w:left="630" w:leftChars="3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 3 \* GB3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③</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合同约定的工程质量缺陷责任期（最长不超过2年）满后由承包人向发包人提出返还保证金的申请，发包人在接到承包人返还保证金申请后，于14天内会同承包人按照合同约定的内容进行核实。如无异议，发包人在核实后14天内将保证金返还承包人，逾期未返还的，依法承担违约责任。发包人在接到承包人返还保证金申请后14天内不予答复，经催告后14天内仍不予答复，视同认可承包人的返还保证金申请。</w:t>
      </w:r>
    </w:p>
    <w:p w14:paraId="3B3D478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12.4.2 进度付款申请单的编制</w:t>
      </w:r>
    </w:p>
    <w:p w14:paraId="1ED284A8">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进度付款申请单按月编制，并经监理及发包人确认</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19012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r>
        <w:rPr>
          <w:rFonts w:hint="eastAsia" w:ascii="宋体" w:hAnsi="宋体" w:eastAsia="宋体" w:cs="宋体"/>
          <w:color w:val="auto"/>
          <w:sz w:val="21"/>
          <w:szCs w:val="21"/>
          <w:highlight w:val="none"/>
        </w:rPr>
        <w:t>2.4.3 进度付款申请单的提交</w:t>
      </w:r>
    </w:p>
    <w:p w14:paraId="4285EF5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（1）单价合同进度付款申请单提交的约定：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申请工程进度款时，承包人应提供以下资料：①《工程</w:t>
      </w:r>
      <w:r>
        <w:rPr>
          <w:rStyle w:val="39"/>
          <w:rFonts w:hint="eastAsia" w:ascii="宋体" w:hAnsi="宋体" w:eastAsia="宋体" w:cs="宋体"/>
          <w:color w:val="auto"/>
          <w:sz w:val="21"/>
          <w:szCs w:val="21"/>
          <w:highlight w:val="none"/>
          <w:u w:val="single"/>
          <w:lang w:eastAsia="zh-CN"/>
        </w:rPr>
        <w:t>进度款</w:t>
      </w:r>
      <w:r>
        <w:rPr>
          <w:rStyle w:val="39"/>
          <w:rFonts w:hint="eastAsia" w:ascii="宋体" w:hAnsi="宋体" w:eastAsia="宋体" w:cs="宋体"/>
          <w:color w:val="auto"/>
          <w:sz w:val="21"/>
          <w:szCs w:val="21"/>
          <w:highlight w:val="none"/>
          <w:u w:val="single"/>
        </w:rPr>
        <w:t>支付证书</w:t>
      </w:r>
      <w:r>
        <w:rPr>
          <w:rStyle w:val="39"/>
          <w:rFonts w:hint="eastAsia" w:ascii="宋体" w:hAnsi="宋体" w:eastAsia="宋体" w:cs="宋体"/>
          <w:color w:val="auto"/>
          <w:sz w:val="21"/>
          <w:szCs w:val="21"/>
          <w:highlight w:val="none"/>
          <w:u w:val="single"/>
          <w:lang w:eastAsia="zh-CN"/>
        </w:rPr>
        <w:t>、支付申请表</w:t>
      </w:r>
      <w:r>
        <w:rPr>
          <w:rStyle w:val="39"/>
          <w:rFonts w:hint="eastAsia" w:ascii="宋体" w:hAnsi="宋体" w:eastAsia="宋体" w:cs="宋体"/>
          <w:color w:val="auto"/>
          <w:sz w:val="21"/>
          <w:szCs w:val="21"/>
          <w:highlight w:val="none"/>
          <w:u w:val="single"/>
        </w:rPr>
        <w:t>》；②工程量计量报表；③按照监理规范及其他规定需要的材料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77A96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（2）总价合同进度付款申请单提交的约定：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8AC4970">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（3）其他价格形式合同进度付款申请单提交的约定：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130AFE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12.4.4 进度款审核和支付</w:t>
      </w:r>
    </w:p>
    <w:p w14:paraId="0EE91FF6">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（1）监理人审查并报送发包人的期限：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kern w:val="2"/>
          <w:sz w:val="21"/>
          <w:szCs w:val="21"/>
          <w:highlight w:val="none"/>
          <w:u w:val="single"/>
          <w:lang w:val="en-US" w:eastAsia="zh-CN" w:bidi="ar-SA"/>
        </w:rPr>
        <w:t>监理人在收到承包人进度付款申请单以及相应的支持性证明文件后的 7 天内完成核查，提出发包人到期应支付给承包人的金额以及相应的支持性材料，经发包人审查同意后，由监理人向承包人出具经发包人签认的进度付款证书</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7EA3560">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发包人完成审批并签发进度款支付证书的期限：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收到经监理人审查合格的承包人进度款申报资料后7天内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8D19AF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（2）发包人支付进度款的期限：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kern w:val="2"/>
          <w:sz w:val="21"/>
          <w:szCs w:val="21"/>
          <w:highlight w:val="none"/>
          <w:u w:val="single"/>
          <w:lang w:val="en-US" w:eastAsia="zh-CN" w:bidi="ar-SA"/>
        </w:rPr>
        <w:t>28天，以上支付方式需待财政资金拨付到位再执行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AE29790">
      <w:pPr>
        <w:spacing w:line="360" w:lineRule="auto"/>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发包人逾期支付进度款的违约金的计算方式：</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kern w:val="2"/>
          <w:sz w:val="21"/>
          <w:szCs w:val="21"/>
          <w:highlight w:val="none"/>
          <w:u w:val="single"/>
          <w:lang w:val="en-US" w:eastAsia="zh-CN" w:bidi="ar-SA"/>
        </w:rPr>
        <w:t>按专用合同条款16.1.2执行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41440EF">
      <w:pPr>
        <w:spacing w:line="360" w:lineRule="auto"/>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进度款支付方式：</w:t>
      </w:r>
      <w:r>
        <w:rPr>
          <w:rFonts w:hint="eastAsia" w:ascii="宋体" w:hAnsi="宋体" w:eastAsia="宋体" w:cs="宋体"/>
          <w:color w:val="auto"/>
          <w:sz w:val="21"/>
          <w:szCs w:val="21"/>
          <w:highlight w:val="none"/>
          <w:u w:val="single"/>
        </w:rPr>
        <w:t>银行转账</w:t>
      </w:r>
      <w:r>
        <w:rPr>
          <w:rFonts w:hint="eastAsia" w:ascii="宋体" w:hAnsi="宋体" w:eastAsia="宋体" w:cs="宋体"/>
          <w:color w:val="auto"/>
          <w:sz w:val="21"/>
          <w:szCs w:val="21"/>
          <w:highlight w:val="none"/>
        </w:rPr>
        <w:t>。</w:t>
      </w:r>
    </w:p>
    <w:p w14:paraId="1EC3EFF7">
      <w:pPr>
        <w:spacing w:line="360" w:lineRule="auto"/>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（3）农民工工资支付</w:t>
      </w:r>
    </w:p>
    <w:p w14:paraId="280A01DF">
      <w:pPr>
        <w:spacing w:line="360" w:lineRule="auto"/>
        <w:ind w:firstLine="525" w:firstLineChars="2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590C6113">
      <w:pPr>
        <w:spacing w:line="360" w:lineRule="auto"/>
        <w:ind w:firstLine="525" w:firstLineChars="2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6609B816">
      <w:pPr>
        <w:spacing w:line="360" w:lineRule="auto"/>
        <w:ind w:firstLine="525" w:firstLineChars="2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3）发包人依据工程进度，审核承包人申报的工程进度款，按照与承包人约定的人工费支付比例 </w:t>
      </w: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eastAsia="zh-CN"/>
        </w:rPr>
        <w:t>（房建项目不少于</w:t>
      </w:r>
      <w:r>
        <w:rPr>
          <w:rFonts w:hint="eastAsia" w:ascii="宋体" w:hAnsi="宋体" w:eastAsia="宋体" w:cs="宋体"/>
          <w:color w:val="auto"/>
          <w:kern w:val="0"/>
          <w:sz w:val="21"/>
          <w:szCs w:val="21"/>
          <w:highlight w:val="none"/>
          <w:lang w:val="en-US" w:eastAsia="zh-CN"/>
        </w:rPr>
        <w:t>20%，市政项目不少于15%）</w:t>
      </w:r>
      <w:r>
        <w:rPr>
          <w:rFonts w:hint="eastAsia" w:ascii="宋体" w:hAnsi="宋体" w:eastAsia="宋体" w:cs="宋体"/>
          <w:color w:val="auto"/>
          <w:kern w:val="0"/>
          <w:sz w:val="21"/>
          <w:szCs w:val="21"/>
          <w:highlight w:val="none"/>
        </w:rPr>
        <w:t>，将人工费及时足额拨付至承包人的农民工工资专用账户，其余工程进度款项由发包人支付到承包人的单位基本户。</w:t>
      </w:r>
    </w:p>
    <w:p w14:paraId="0685EB95">
      <w:pPr>
        <w:spacing w:line="360" w:lineRule="auto"/>
        <w:ind w:firstLine="525" w:firstLineChars="2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12328D89">
      <w:pPr>
        <w:spacing w:line="360" w:lineRule="auto"/>
        <w:ind w:firstLine="525" w:firstLineChars="2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5）凡未向付款单位提供农民工工资专用账户的，或者请款单位在申请工程进度款时未将人工费单列的，付款单位有权拒绝支付工程进度款。</w:t>
      </w:r>
    </w:p>
    <w:p w14:paraId="5EF842DE">
      <w:pPr>
        <w:spacing w:line="360" w:lineRule="auto"/>
        <w:ind w:firstLine="525" w:firstLineChars="2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6）人工费使用要求：专款专用，除发放农民工工资外，不得用于其他用途。</w:t>
      </w:r>
    </w:p>
    <w:p w14:paraId="15CC829F">
      <w:pPr>
        <w:spacing w:line="360" w:lineRule="auto"/>
        <w:ind w:firstLine="525" w:firstLineChars="25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7）承包人将人工费支付情况定期报告发包人和监理单位，并提供相应的材料接受建设行政主管部门和劳动保障行政主管部门对此事项监管。</w:t>
      </w:r>
    </w:p>
    <w:p w14:paraId="0074D0A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8）人工费支付专用账户：××××公司农民工工资支付专用账户。账号：</w:t>
      </w:r>
      <w:r>
        <w:rPr>
          <w:rFonts w:hint="eastAsia" w:ascii="宋体" w:hAnsi="宋体" w:eastAsia="宋体" w:cs="宋体"/>
          <w:color w:val="auto"/>
          <w:kern w:val="0"/>
          <w:sz w:val="21"/>
          <w:szCs w:val="21"/>
          <w:highlight w:val="none"/>
          <w:u w:val="single"/>
        </w:rPr>
        <w:t xml:space="preserve">           </w:t>
      </w:r>
      <w:r>
        <w:rPr>
          <w:rFonts w:hint="eastAsia" w:ascii="宋体" w:hAnsi="宋体" w:eastAsia="宋体" w:cs="宋体"/>
          <w:color w:val="auto"/>
          <w:kern w:val="0"/>
          <w:sz w:val="21"/>
          <w:szCs w:val="21"/>
          <w:highlight w:val="none"/>
        </w:rPr>
        <w:t>。</w:t>
      </w:r>
    </w:p>
    <w:p w14:paraId="2F221F24">
      <w:pPr>
        <w:spacing w:line="360" w:lineRule="auto"/>
        <w:ind w:firstLine="525" w:firstLineChars="2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12.4.6 支付分解表的编制</w:t>
      </w:r>
    </w:p>
    <w:p w14:paraId="18C30E15">
      <w:pPr>
        <w:spacing w:line="360" w:lineRule="auto"/>
        <w:ind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 总价合同支付分解表的编制与审批：</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eastAsia="zh-CN"/>
        </w:rPr>
        <w:t>无</w:t>
      </w:r>
      <w:r>
        <w:rPr>
          <w:rStyle w:val="39"/>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111F8D7B">
      <w:pPr>
        <w:spacing w:line="360" w:lineRule="auto"/>
        <w:ind w:firstLine="525" w:firstLineChars="25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（2）单价合同的总价项目支付分解表的编制与审批：</w:t>
      </w:r>
      <w:r>
        <w:rPr>
          <w:rFonts w:hint="eastAsia" w:ascii="宋体" w:hAnsi="宋体" w:eastAsia="宋体" w:cs="宋体"/>
          <w:color w:val="auto"/>
          <w:sz w:val="21"/>
          <w:szCs w:val="21"/>
          <w:highlight w:val="none"/>
          <w:u w:val="single"/>
        </w:rPr>
        <w:t>总价项目不采用支付分解表的方式计算，而按《建设工程工程量清单计价规范（GB50500-2013）广西壮族自治区实施细则》的规定执行。</w:t>
      </w:r>
    </w:p>
    <w:bookmarkEnd w:id="733"/>
    <w:p w14:paraId="04A057E0">
      <w:pPr>
        <w:outlineLvl w:val="9"/>
        <w:rPr>
          <w:rFonts w:hint="eastAsia" w:ascii="宋体" w:hAnsi="宋体" w:eastAsia="宋体" w:cs="宋体"/>
          <w:color w:val="auto"/>
          <w:sz w:val="21"/>
          <w:szCs w:val="21"/>
          <w:highlight w:val="none"/>
        </w:rPr>
      </w:pPr>
      <w:bookmarkStart w:id="1008" w:name="_Toc2003466256"/>
      <w:bookmarkStart w:id="1009" w:name="_Toc389065318"/>
      <w:bookmarkStart w:id="1010" w:name="_Toc373478400"/>
      <w:bookmarkStart w:id="1011" w:name="_Toc373227753"/>
      <w:bookmarkStart w:id="1012" w:name="_Toc407135256"/>
      <w:bookmarkStart w:id="1013" w:name="_Toc351203645"/>
      <w:bookmarkStart w:id="1014" w:name="_Toc728899116"/>
      <w:bookmarkStart w:id="1015" w:name="_Toc78449842"/>
      <w:bookmarkStart w:id="1016" w:name="_Toc15764"/>
      <w:bookmarkStart w:id="1017" w:name="_Toc296891047"/>
      <w:bookmarkStart w:id="1018" w:name="_Toc296891259"/>
      <w:bookmarkStart w:id="1019" w:name="_Toc312678053"/>
      <w:bookmarkStart w:id="1020" w:name="_Toc296346720"/>
      <w:bookmarkStart w:id="1021" w:name="_Toc296503219"/>
      <w:bookmarkStart w:id="1022" w:name="_Toc292559424"/>
      <w:bookmarkStart w:id="1023" w:name="_Toc300935015"/>
      <w:bookmarkStart w:id="1024" w:name="_Toc304295593"/>
      <w:bookmarkStart w:id="1025" w:name="_Toc303539172"/>
      <w:bookmarkStart w:id="1026" w:name="_Toc296944558"/>
      <w:bookmarkStart w:id="1027" w:name="_Toc297048405"/>
      <w:bookmarkStart w:id="1028" w:name="_Toc297216223"/>
      <w:bookmarkStart w:id="1029" w:name="_Toc292559929"/>
      <w:bookmarkStart w:id="1030" w:name="_Toc297123564"/>
      <w:bookmarkStart w:id="1031" w:name="_Toc296347218"/>
      <w:bookmarkStart w:id="1032" w:name="_Toc297120519"/>
      <w:r>
        <w:rPr>
          <w:rFonts w:hint="eastAsia" w:ascii="宋体" w:hAnsi="宋体" w:eastAsia="宋体" w:cs="宋体"/>
          <w:color w:val="auto"/>
          <w:sz w:val="21"/>
          <w:szCs w:val="21"/>
          <w:highlight w:val="none"/>
        </w:rPr>
        <w:t>13. 验收和工程试车</w:t>
      </w:r>
      <w:bookmarkEnd w:id="1008"/>
      <w:bookmarkEnd w:id="1009"/>
      <w:bookmarkEnd w:id="1010"/>
      <w:bookmarkEnd w:id="1011"/>
      <w:bookmarkEnd w:id="1012"/>
      <w:bookmarkEnd w:id="1013"/>
      <w:bookmarkEnd w:id="1014"/>
      <w:bookmarkEnd w:id="1015"/>
      <w:bookmarkEnd w:id="1016"/>
    </w:p>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p w14:paraId="3A75C145">
      <w:pPr>
        <w:outlineLvl w:val="9"/>
        <w:rPr>
          <w:rFonts w:hint="eastAsia" w:ascii="宋体" w:hAnsi="宋体" w:eastAsia="宋体" w:cs="宋体"/>
          <w:color w:val="auto"/>
          <w:sz w:val="21"/>
          <w:szCs w:val="21"/>
          <w:highlight w:val="none"/>
        </w:rPr>
      </w:pPr>
      <w:bookmarkStart w:id="1033" w:name="_Toc740353520"/>
      <w:bookmarkStart w:id="1034" w:name="_Toc78449843"/>
      <w:bookmarkStart w:id="1035" w:name="_Toc834489126"/>
      <w:bookmarkStart w:id="1036" w:name="_Toc453"/>
      <w:bookmarkStart w:id="1037" w:name="_Toc373227754"/>
      <w:bookmarkStart w:id="1038" w:name="_Toc389065319"/>
      <w:bookmarkStart w:id="1039" w:name="_Toc373478401"/>
      <w:bookmarkStart w:id="1040" w:name="_Toc407135257"/>
      <w:r>
        <w:rPr>
          <w:rFonts w:hint="eastAsia" w:ascii="宋体" w:hAnsi="宋体" w:eastAsia="宋体" w:cs="宋体"/>
          <w:color w:val="auto"/>
          <w:sz w:val="21"/>
          <w:szCs w:val="21"/>
          <w:highlight w:val="none"/>
        </w:rPr>
        <w:t>13.1 分部分项工程验收</w:t>
      </w:r>
      <w:bookmarkEnd w:id="1033"/>
      <w:bookmarkEnd w:id="1034"/>
      <w:bookmarkEnd w:id="1035"/>
      <w:bookmarkEnd w:id="1036"/>
      <w:bookmarkEnd w:id="1037"/>
      <w:bookmarkEnd w:id="1038"/>
      <w:bookmarkEnd w:id="1039"/>
      <w:bookmarkEnd w:id="1040"/>
    </w:p>
    <w:p w14:paraId="48686F9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13.1.2监理人不能按时进行验收时，应提前</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小时提交书面延期要求。</w:t>
      </w:r>
    </w:p>
    <w:p w14:paraId="3D73FADE">
      <w:pPr>
        <w:spacing w:line="360" w:lineRule="auto"/>
        <w:ind w:firstLine="420" w:firstLineChars="200"/>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48</w:t>
      </w:r>
      <w:r>
        <w:rPr>
          <w:rStyle w:val="39"/>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小时。</w:t>
      </w:r>
    </w:p>
    <w:p w14:paraId="0289431E">
      <w:pPr>
        <w:outlineLvl w:val="9"/>
        <w:rPr>
          <w:rFonts w:hint="eastAsia" w:ascii="宋体" w:hAnsi="宋体" w:eastAsia="宋体" w:cs="宋体"/>
          <w:color w:val="auto"/>
          <w:sz w:val="21"/>
          <w:szCs w:val="21"/>
          <w:highlight w:val="none"/>
        </w:rPr>
      </w:pPr>
      <w:bookmarkStart w:id="1041" w:name="_Toc373227755"/>
      <w:bookmarkStart w:id="1042" w:name="_Toc3701"/>
      <w:bookmarkStart w:id="1043" w:name="_Toc1062221039"/>
      <w:bookmarkStart w:id="1044" w:name="_Toc389065320"/>
      <w:bookmarkStart w:id="1045" w:name="_Toc407135258"/>
      <w:bookmarkStart w:id="1046" w:name="_Toc78449844"/>
      <w:bookmarkStart w:id="1047" w:name="_Toc373478402"/>
      <w:bookmarkStart w:id="1048" w:name="_Toc1578431234"/>
      <w:bookmarkStart w:id="1049" w:name="_Toc297216224"/>
      <w:bookmarkStart w:id="1050" w:name="_Toc312678056"/>
      <w:bookmarkStart w:id="1051" w:name="_Toc292559428"/>
      <w:bookmarkStart w:id="1052" w:name="_Toc296891051"/>
      <w:bookmarkStart w:id="1053" w:name="_Toc297048409"/>
      <w:bookmarkStart w:id="1054" w:name="_Toc303539173"/>
      <w:bookmarkStart w:id="1055" w:name="_Toc297120523"/>
      <w:bookmarkStart w:id="1056" w:name="_Toc296347222"/>
      <w:bookmarkStart w:id="1057" w:name="_Toc300935016"/>
      <w:bookmarkStart w:id="1058" w:name="_Toc304295596"/>
      <w:bookmarkStart w:id="1059" w:name="_Toc296944562"/>
      <w:bookmarkStart w:id="1060" w:name="_Toc292559933"/>
      <w:bookmarkStart w:id="1061" w:name="_Toc297123565"/>
      <w:bookmarkStart w:id="1062" w:name="_Toc296503223"/>
      <w:bookmarkStart w:id="1063" w:name="_Toc296891263"/>
      <w:bookmarkStart w:id="1064" w:name="_Toc296346724"/>
      <w:bookmarkStart w:id="1065" w:name="_Toc267251472"/>
      <w:bookmarkStart w:id="1066" w:name="_Toc267251475"/>
      <w:bookmarkStart w:id="1067" w:name="_Toc267251476"/>
      <w:bookmarkStart w:id="1068" w:name="_Toc267251473"/>
      <w:bookmarkStart w:id="1069" w:name="_Toc267251474"/>
      <w:bookmarkStart w:id="1070" w:name="_Toc267251471"/>
      <w:bookmarkStart w:id="1071" w:name="_Toc267251470"/>
      <w:r>
        <w:rPr>
          <w:rFonts w:hint="eastAsia" w:ascii="宋体" w:hAnsi="宋体" w:eastAsia="宋体" w:cs="宋体"/>
          <w:color w:val="auto"/>
          <w:sz w:val="21"/>
          <w:szCs w:val="21"/>
          <w:highlight w:val="none"/>
        </w:rPr>
        <w:t>13.2 竣工验收</w:t>
      </w:r>
      <w:bookmarkEnd w:id="1041"/>
      <w:bookmarkEnd w:id="1042"/>
      <w:bookmarkEnd w:id="1043"/>
      <w:bookmarkEnd w:id="1044"/>
      <w:bookmarkEnd w:id="1045"/>
      <w:bookmarkEnd w:id="1046"/>
      <w:bookmarkEnd w:id="1047"/>
      <w:bookmarkEnd w:id="1048"/>
    </w:p>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14:paraId="3F01A8E2">
      <w:pPr>
        <w:spacing w:line="360" w:lineRule="auto"/>
        <w:ind w:firstLine="420" w:firstLineChars="200"/>
        <w:jc w:val="left"/>
        <w:rPr>
          <w:rFonts w:hint="eastAsia" w:ascii="宋体" w:hAnsi="宋体" w:eastAsia="宋体" w:cs="宋体"/>
          <w:color w:val="auto"/>
          <w:sz w:val="21"/>
          <w:szCs w:val="21"/>
          <w:highlight w:val="none"/>
        </w:rPr>
      </w:pPr>
      <w:bookmarkStart w:id="1072" w:name="_Toc280868704"/>
      <w:bookmarkStart w:id="1073" w:name="_Toc280868705"/>
      <w:bookmarkStart w:id="1074" w:name="_Toc280868706"/>
      <w:bookmarkStart w:id="1075" w:name="_Toc280868707"/>
      <w:bookmarkStart w:id="1076" w:name="_Toc280868708"/>
      <w:bookmarkStart w:id="1077" w:name="_Toc280868709"/>
      <w:r>
        <w:rPr>
          <w:rFonts w:hint="eastAsia" w:ascii="宋体" w:hAnsi="宋体" w:eastAsia="宋体" w:cs="宋体"/>
          <w:color w:val="auto"/>
          <w:sz w:val="21"/>
          <w:szCs w:val="21"/>
          <w:highlight w:val="none"/>
        </w:rPr>
        <w:t>13.2.1竣工验收条件</w:t>
      </w:r>
    </w:p>
    <w:p w14:paraId="256023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按相关规定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9A489F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竣工验收资料的份数：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D97D4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竣工验收正式通过后5天（工程造价在500万元以下含500万元）、10天（工程造价在500万元至1000万元之间含1000万元）、15天（工程造价在1000万元以上），提供竣工图的数量分别为2套、4套、6套。</w:t>
      </w:r>
    </w:p>
    <w:p w14:paraId="19CA5B4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13.2.2竣工验收程序</w:t>
      </w:r>
    </w:p>
    <w:bookmarkEnd w:id="1072"/>
    <w:p w14:paraId="643271A2">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关于竣工验收程序的约定：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按通用条款约定及国家现行法律法规执行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14A9E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发包人不按照本项约定组织竣工验收、颁发工程接收证书的违约金的计算方法：</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无</w:t>
      </w:r>
      <w:r>
        <w:rPr>
          <w:rStyle w:val="39"/>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073"/>
    <w:p w14:paraId="33A0C49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13.2.5移交、接收全部与部分工程</w:t>
      </w:r>
    </w:p>
    <w:bookmarkEnd w:id="1074"/>
    <w:p w14:paraId="041B5C15">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承包人向发包人移交工程的期限：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合同当事人应当在颁发工程接收证书后 7 天内完成工程的移交</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2C3DA83">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发包人未按本合同约定接收全部或部分工程的，违约金的计算方法为：</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无</w:t>
      </w:r>
      <w:r>
        <w:rPr>
          <w:rStyle w:val="39"/>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075"/>
    <w:p w14:paraId="33B32409">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Style w:val="39"/>
          <w:rFonts w:hint="eastAsia" w:ascii="宋体" w:hAnsi="宋体" w:eastAsia="宋体" w:cs="宋体"/>
          <w:color w:val="auto"/>
          <w:sz w:val="21"/>
          <w:szCs w:val="21"/>
          <w:highlight w:val="none"/>
          <w:u w:val="single"/>
        </w:rPr>
        <w:t>无</w:t>
      </w:r>
      <w:r>
        <w:rPr>
          <w:rStyle w:val="39"/>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34BB9">
      <w:pPr>
        <w:outlineLvl w:val="9"/>
        <w:rPr>
          <w:rFonts w:hint="eastAsia" w:ascii="宋体" w:hAnsi="宋体" w:eastAsia="宋体" w:cs="宋体"/>
          <w:color w:val="auto"/>
          <w:sz w:val="21"/>
          <w:szCs w:val="21"/>
          <w:highlight w:val="none"/>
        </w:rPr>
      </w:pPr>
      <w:bookmarkStart w:id="1078" w:name="_Toc13768"/>
      <w:bookmarkStart w:id="1079" w:name="_Toc373478403"/>
      <w:bookmarkStart w:id="1080" w:name="_Toc78449845"/>
      <w:bookmarkStart w:id="1081" w:name="_Toc1470255881"/>
      <w:bookmarkStart w:id="1082" w:name="_Toc2090321864"/>
      <w:bookmarkStart w:id="1083" w:name="_Toc373227756"/>
      <w:bookmarkStart w:id="1084" w:name="_Toc389065321"/>
      <w:bookmarkStart w:id="1085" w:name="_Toc407135259"/>
      <w:r>
        <w:rPr>
          <w:rFonts w:hint="eastAsia" w:ascii="宋体" w:hAnsi="宋体" w:eastAsia="宋体" w:cs="宋体"/>
          <w:color w:val="auto"/>
          <w:sz w:val="21"/>
          <w:szCs w:val="21"/>
          <w:highlight w:val="none"/>
        </w:rPr>
        <w:t>13.3 工程试车</w:t>
      </w:r>
      <w:bookmarkEnd w:id="1078"/>
      <w:bookmarkEnd w:id="1079"/>
      <w:bookmarkEnd w:id="1080"/>
      <w:bookmarkEnd w:id="1081"/>
      <w:bookmarkEnd w:id="1082"/>
      <w:bookmarkEnd w:id="1083"/>
      <w:bookmarkEnd w:id="1084"/>
      <w:bookmarkEnd w:id="1085"/>
    </w:p>
    <w:bookmarkEnd w:id="1076"/>
    <w:p w14:paraId="0D2BD80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13.3.1 试车程序</w:t>
      </w:r>
    </w:p>
    <w:p w14:paraId="481820EC">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工程试车内容：</w:t>
      </w:r>
      <w:r>
        <w:rPr>
          <w:rFonts w:hint="eastAsia" w:ascii="宋体" w:hAnsi="宋体" w:eastAsia="宋体" w:cs="宋体"/>
          <w:color w:val="auto"/>
          <w:sz w:val="21"/>
          <w:szCs w:val="21"/>
          <w:highlight w:val="none"/>
          <w:u w:val="single"/>
        </w:rPr>
        <w:t xml:space="preserve">  招标范围内的全部图纸施工工程内容  </w:t>
      </w:r>
      <w:r>
        <w:rPr>
          <w:rFonts w:hint="eastAsia" w:ascii="宋体" w:hAnsi="宋体" w:eastAsia="宋体" w:cs="宋体"/>
          <w:color w:val="auto"/>
          <w:sz w:val="21"/>
          <w:szCs w:val="21"/>
          <w:highlight w:val="none"/>
        </w:rPr>
        <w:t>。</w:t>
      </w:r>
    </w:p>
    <w:p w14:paraId="4F1B7C09">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（1）单机无负荷试车费用由</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14:paraId="6EB50A37">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（2）无负荷联动试车费用由</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承担。</w:t>
      </w:r>
    </w:p>
    <w:p w14:paraId="17BCC854">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13.3.3 投料试车</w:t>
      </w:r>
    </w:p>
    <w:p w14:paraId="372B0DD8">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关于投料试车相关事项的约定：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投料试车内容由双方商定，试车费用由承包人承担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69FB1D">
      <w:pPr>
        <w:outlineLvl w:val="9"/>
        <w:rPr>
          <w:rFonts w:hint="eastAsia" w:ascii="宋体" w:hAnsi="宋体" w:eastAsia="宋体" w:cs="宋体"/>
          <w:color w:val="auto"/>
          <w:sz w:val="21"/>
          <w:szCs w:val="21"/>
          <w:highlight w:val="none"/>
        </w:rPr>
      </w:pPr>
      <w:bookmarkStart w:id="1086" w:name="_Toc550030550"/>
      <w:bookmarkStart w:id="1087" w:name="_Toc373227757"/>
      <w:bookmarkStart w:id="1088" w:name="_Toc373478404"/>
      <w:bookmarkStart w:id="1089" w:name="_Toc389065322"/>
      <w:bookmarkStart w:id="1090" w:name="_Toc78449846"/>
      <w:bookmarkStart w:id="1091" w:name="_Toc3097"/>
      <w:bookmarkStart w:id="1092" w:name="_Toc407135260"/>
      <w:bookmarkStart w:id="1093" w:name="_Toc10307455"/>
      <w:r>
        <w:rPr>
          <w:rFonts w:hint="eastAsia" w:ascii="宋体" w:hAnsi="宋体" w:eastAsia="宋体" w:cs="宋体"/>
          <w:color w:val="auto"/>
          <w:sz w:val="21"/>
          <w:szCs w:val="21"/>
          <w:highlight w:val="none"/>
        </w:rPr>
        <w:t>13.6 竣工退场</w:t>
      </w:r>
      <w:bookmarkEnd w:id="1086"/>
      <w:bookmarkEnd w:id="1087"/>
      <w:bookmarkEnd w:id="1088"/>
      <w:bookmarkEnd w:id="1089"/>
      <w:bookmarkEnd w:id="1090"/>
      <w:bookmarkEnd w:id="1091"/>
      <w:bookmarkEnd w:id="1092"/>
      <w:bookmarkEnd w:id="1093"/>
    </w:p>
    <w:p w14:paraId="0EA2580A">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13.6.1 竣工退场</w:t>
      </w:r>
    </w:p>
    <w:p w14:paraId="200265F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承包人完成竣工退场的期限：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工程竣工验收合格后 15 天内清理现场并撤出所有设施、机具、材料及人员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25BA9A8">
      <w:pPr>
        <w:outlineLvl w:val="9"/>
        <w:rPr>
          <w:rFonts w:hint="eastAsia" w:ascii="宋体" w:hAnsi="宋体" w:eastAsia="宋体" w:cs="宋体"/>
          <w:color w:val="auto"/>
          <w:sz w:val="21"/>
          <w:szCs w:val="21"/>
          <w:highlight w:val="none"/>
        </w:rPr>
      </w:pPr>
      <w:bookmarkStart w:id="1094" w:name="_Toc1950258056"/>
      <w:bookmarkStart w:id="1095" w:name="_Toc373227758"/>
      <w:bookmarkStart w:id="1096" w:name="_Toc373478405"/>
      <w:bookmarkStart w:id="1097" w:name="_Toc351203646"/>
      <w:bookmarkStart w:id="1098" w:name="_Toc18172"/>
      <w:bookmarkStart w:id="1099" w:name="_Toc1385490858"/>
      <w:bookmarkStart w:id="1100" w:name="_Toc78449847"/>
      <w:bookmarkStart w:id="1101" w:name="_Toc389065323"/>
      <w:bookmarkStart w:id="1102" w:name="_Toc407135261"/>
      <w:r>
        <w:rPr>
          <w:rFonts w:hint="eastAsia" w:ascii="宋体" w:hAnsi="宋体" w:eastAsia="宋体" w:cs="宋体"/>
          <w:color w:val="auto"/>
          <w:sz w:val="21"/>
          <w:szCs w:val="21"/>
          <w:highlight w:val="none"/>
        </w:rPr>
        <w:t>14. 竣工结算</w:t>
      </w:r>
      <w:bookmarkEnd w:id="1094"/>
      <w:bookmarkEnd w:id="1095"/>
      <w:bookmarkEnd w:id="1096"/>
      <w:bookmarkEnd w:id="1097"/>
      <w:bookmarkEnd w:id="1098"/>
      <w:bookmarkEnd w:id="1099"/>
      <w:bookmarkEnd w:id="1100"/>
      <w:bookmarkEnd w:id="1101"/>
      <w:bookmarkEnd w:id="1102"/>
    </w:p>
    <w:p w14:paraId="464FCFD1">
      <w:pPr>
        <w:outlineLvl w:val="9"/>
        <w:rPr>
          <w:rFonts w:hint="eastAsia" w:ascii="宋体" w:hAnsi="宋体" w:eastAsia="宋体" w:cs="宋体"/>
          <w:color w:val="auto"/>
          <w:sz w:val="21"/>
          <w:szCs w:val="21"/>
          <w:highlight w:val="none"/>
        </w:rPr>
      </w:pPr>
      <w:bookmarkStart w:id="1103" w:name="_Toc373227759"/>
      <w:bookmarkStart w:id="1104" w:name="_Toc407135262"/>
      <w:bookmarkStart w:id="1105" w:name="_Toc389065324"/>
      <w:bookmarkStart w:id="1106" w:name="_Toc174652718"/>
      <w:bookmarkStart w:id="1107" w:name="_Toc373478406"/>
      <w:bookmarkStart w:id="1108" w:name="_Toc13506"/>
      <w:bookmarkStart w:id="1109" w:name="_Toc78449848"/>
      <w:bookmarkStart w:id="1110" w:name="_Toc1973954660"/>
      <w:r>
        <w:rPr>
          <w:rFonts w:hint="eastAsia" w:ascii="宋体" w:hAnsi="宋体" w:eastAsia="宋体" w:cs="宋体"/>
          <w:color w:val="auto"/>
          <w:sz w:val="21"/>
          <w:szCs w:val="21"/>
          <w:highlight w:val="none"/>
        </w:rPr>
        <w:t>14.1 竣工付款申请</w:t>
      </w:r>
      <w:bookmarkEnd w:id="1103"/>
      <w:bookmarkEnd w:id="1104"/>
      <w:bookmarkEnd w:id="1105"/>
      <w:bookmarkEnd w:id="1106"/>
      <w:bookmarkEnd w:id="1107"/>
      <w:bookmarkEnd w:id="1108"/>
      <w:bookmarkEnd w:id="1109"/>
      <w:bookmarkEnd w:id="1110"/>
    </w:p>
    <w:p w14:paraId="4588B5C2">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按通用条款约定及国家现行法律法规执行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49C6C2D">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竣工付款申请单应包括的内容：</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按通用条款约定及国家现行法律法规执行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。竣工结算款支付申请（核准）表见合同附件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p w14:paraId="16EC9CA6">
      <w:pPr>
        <w:outlineLvl w:val="9"/>
        <w:rPr>
          <w:rFonts w:hint="eastAsia" w:ascii="宋体" w:hAnsi="宋体" w:eastAsia="宋体" w:cs="宋体"/>
          <w:color w:val="auto"/>
          <w:sz w:val="21"/>
          <w:szCs w:val="21"/>
          <w:highlight w:val="none"/>
        </w:rPr>
      </w:pPr>
      <w:bookmarkStart w:id="1111" w:name="_Toc489920513"/>
      <w:bookmarkStart w:id="1112" w:name="_Toc18511"/>
      <w:bookmarkStart w:id="1113" w:name="_Toc667492935"/>
      <w:bookmarkStart w:id="1114" w:name="_Toc373478407"/>
      <w:bookmarkStart w:id="1115" w:name="_Toc373227760"/>
      <w:bookmarkStart w:id="1116" w:name="_Toc389065325"/>
      <w:bookmarkStart w:id="1117" w:name="_Toc78449849"/>
      <w:bookmarkStart w:id="1118" w:name="_Toc407135263"/>
      <w:r>
        <w:rPr>
          <w:rFonts w:hint="eastAsia" w:ascii="宋体" w:hAnsi="宋体" w:eastAsia="宋体" w:cs="宋体"/>
          <w:color w:val="auto"/>
          <w:sz w:val="21"/>
          <w:szCs w:val="21"/>
          <w:highlight w:val="none"/>
        </w:rPr>
        <w:t>14.2 竣工结算审核</w:t>
      </w:r>
      <w:bookmarkEnd w:id="1111"/>
      <w:bookmarkEnd w:id="1112"/>
      <w:bookmarkEnd w:id="1113"/>
      <w:bookmarkEnd w:id="1114"/>
      <w:bookmarkEnd w:id="1115"/>
      <w:bookmarkEnd w:id="1116"/>
      <w:bookmarkEnd w:id="1117"/>
      <w:bookmarkEnd w:id="1118"/>
    </w:p>
    <w:p w14:paraId="0AD5C7E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发包人审批竣工付款申请单的期限：</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2EBA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69C8431">
            <w:pPr>
              <w:spacing w:line="360" w:lineRule="auto"/>
              <w:rPr>
                <w:rFonts w:hint="eastAsia" w:ascii="宋体" w:hAnsi="宋体" w:eastAsia="宋体" w:cs="宋体"/>
                <w:color w:val="auto"/>
                <w:sz w:val="21"/>
                <w:szCs w:val="21"/>
                <w:highlight w:val="none"/>
              </w:rPr>
            </w:pPr>
          </w:p>
        </w:tc>
        <w:tc>
          <w:tcPr>
            <w:tcW w:w="2466" w:type="dxa"/>
            <w:noWrap w:val="0"/>
            <w:vAlign w:val="center"/>
          </w:tcPr>
          <w:p w14:paraId="7BD703DE">
            <w:pPr>
              <w:spacing w:line="360" w:lineRule="auto"/>
              <w:ind w:firstLine="27" w:firstLineChars="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工程竣工结算报告金额</w:t>
            </w:r>
          </w:p>
        </w:tc>
        <w:tc>
          <w:tcPr>
            <w:tcW w:w="5967" w:type="dxa"/>
            <w:noWrap w:val="0"/>
            <w:vAlign w:val="center"/>
          </w:tcPr>
          <w:p w14:paraId="1DA35B00">
            <w:pPr>
              <w:spacing w:line="360" w:lineRule="auto"/>
              <w:ind w:firstLine="441" w:firstLineChars="2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发包人审查时间</w:t>
            </w:r>
          </w:p>
        </w:tc>
      </w:tr>
      <w:tr w14:paraId="3F01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27BF60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466" w:type="dxa"/>
            <w:noWrap w:val="0"/>
            <w:vAlign w:val="center"/>
          </w:tcPr>
          <w:p w14:paraId="1FEFFD83">
            <w:pPr>
              <w:spacing w:line="360" w:lineRule="auto"/>
              <w:ind w:firstLine="27" w:firstLineChars="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500万元以下</w:t>
            </w:r>
          </w:p>
        </w:tc>
        <w:tc>
          <w:tcPr>
            <w:tcW w:w="5967" w:type="dxa"/>
            <w:noWrap w:val="0"/>
            <w:vAlign w:val="center"/>
          </w:tcPr>
          <w:p w14:paraId="4650D469">
            <w:pPr>
              <w:spacing w:line="360" w:lineRule="auto"/>
              <w:ind w:firstLine="441" w:firstLineChars="2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从接到竣工结算报告和完整的竣工结算资料之日起20天</w:t>
            </w:r>
          </w:p>
        </w:tc>
      </w:tr>
      <w:tr w14:paraId="3FDD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AB439B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466" w:type="dxa"/>
            <w:noWrap w:val="0"/>
            <w:vAlign w:val="center"/>
          </w:tcPr>
          <w:p w14:paraId="41D5F4C4">
            <w:pPr>
              <w:spacing w:line="360" w:lineRule="auto"/>
              <w:ind w:firstLine="27" w:firstLineChars="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500万元-2000万元</w:t>
            </w:r>
          </w:p>
        </w:tc>
        <w:tc>
          <w:tcPr>
            <w:tcW w:w="5967" w:type="dxa"/>
            <w:noWrap w:val="0"/>
            <w:vAlign w:val="center"/>
          </w:tcPr>
          <w:p w14:paraId="24BE3920">
            <w:pPr>
              <w:spacing w:line="360" w:lineRule="auto"/>
              <w:ind w:firstLine="441" w:firstLineChars="2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从接到竣工结算报告和完整的竣工结算资料之日起30天</w:t>
            </w:r>
          </w:p>
        </w:tc>
      </w:tr>
      <w:tr w14:paraId="1023D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F304BF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466" w:type="dxa"/>
            <w:noWrap w:val="0"/>
            <w:vAlign w:val="center"/>
          </w:tcPr>
          <w:p w14:paraId="5FE4BA65">
            <w:pPr>
              <w:spacing w:line="360" w:lineRule="auto"/>
              <w:ind w:firstLine="27" w:firstLineChars="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2000万元-5000万元</w:t>
            </w:r>
          </w:p>
        </w:tc>
        <w:tc>
          <w:tcPr>
            <w:tcW w:w="5967" w:type="dxa"/>
            <w:noWrap w:val="0"/>
            <w:vAlign w:val="center"/>
          </w:tcPr>
          <w:p w14:paraId="0A287352">
            <w:pPr>
              <w:spacing w:line="360" w:lineRule="auto"/>
              <w:ind w:firstLine="441" w:firstLineChars="2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从接到竣工结算报告和完整的竣工结算资料之日起45天</w:t>
            </w:r>
          </w:p>
        </w:tc>
      </w:tr>
      <w:tr w14:paraId="3477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F766AB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466" w:type="dxa"/>
            <w:noWrap w:val="0"/>
            <w:vAlign w:val="center"/>
          </w:tcPr>
          <w:p w14:paraId="67546D0C">
            <w:pPr>
              <w:spacing w:line="360" w:lineRule="auto"/>
              <w:ind w:firstLine="27" w:firstLineChars="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5000万元以上</w:t>
            </w:r>
          </w:p>
        </w:tc>
        <w:tc>
          <w:tcPr>
            <w:tcW w:w="5967" w:type="dxa"/>
            <w:noWrap w:val="0"/>
            <w:vAlign w:val="center"/>
          </w:tcPr>
          <w:p w14:paraId="629A1480">
            <w:pPr>
              <w:spacing w:line="360" w:lineRule="auto"/>
              <w:ind w:firstLine="441" w:firstLineChars="2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从接到竣工结算报告和完整的竣工结算资料之日起60天</w:t>
            </w:r>
          </w:p>
        </w:tc>
      </w:tr>
      <w:tr w14:paraId="156C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A958AE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466" w:type="dxa"/>
            <w:noWrap w:val="0"/>
            <w:vAlign w:val="center"/>
          </w:tcPr>
          <w:p w14:paraId="3183AF55">
            <w:pPr>
              <w:spacing w:line="360" w:lineRule="auto"/>
              <w:ind w:firstLine="27" w:firstLineChars="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5000万以上每增加0.5亿(不足0.5亿不增加)</w:t>
            </w:r>
          </w:p>
        </w:tc>
        <w:tc>
          <w:tcPr>
            <w:tcW w:w="5967" w:type="dxa"/>
            <w:noWrap w:val="0"/>
            <w:vAlign w:val="center"/>
          </w:tcPr>
          <w:p w14:paraId="15DFBF1E">
            <w:pPr>
              <w:spacing w:line="360" w:lineRule="auto"/>
              <w:ind w:firstLine="441" w:firstLineChars="21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增加10天</w:t>
            </w:r>
          </w:p>
        </w:tc>
      </w:tr>
    </w:tbl>
    <w:p w14:paraId="4F5D8882">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因承包人提供的结算资料不完整而需要补充或承包人不按时对账耽误时间时，审查时间应相应顺延。</w:t>
      </w:r>
    </w:p>
    <w:p w14:paraId="228451D0">
      <w:pPr>
        <w:spacing w:line="400" w:lineRule="exact"/>
        <w:ind w:firstLine="411" w:firstLineChars="196"/>
        <w:rPr>
          <w:rFonts w:hint="eastAsia" w:ascii="宋体" w:hAnsi="宋体" w:eastAsia="宋体" w:cs="宋体"/>
          <w:i w:val="0"/>
          <w:caps w:val="0"/>
          <w:color w:val="auto"/>
          <w:spacing w:val="0"/>
          <w:sz w:val="21"/>
          <w:szCs w:val="21"/>
          <w:highlight w:val="none"/>
        </w:rPr>
      </w:pPr>
      <w:r>
        <w:rPr>
          <w:rFonts w:hint="eastAsia" w:ascii="宋体" w:hAnsi="宋体" w:eastAsia="宋体" w:cs="宋体"/>
          <w:color w:val="auto"/>
          <w:sz w:val="21"/>
          <w:szCs w:val="21"/>
          <w:highlight w:val="none"/>
        </w:rPr>
        <w:t>竣工结算审核约定：</w:t>
      </w:r>
      <w:r>
        <w:rPr>
          <w:rFonts w:hint="eastAsia" w:ascii="宋体" w:hAnsi="宋体" w:eastAsia="宋体" w:cs="宋体"/>
          <w:i w:val="0"/>
          <w:caps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4C4E6EDE">
      <w:pPr>
        <w:spacing w:line="40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1CA0C5D7">
      <w:pPr>
        <w:spacing w:line="400" w:lineRule="exact"/>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1、工程竣工验收报告经发包人认可后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 xml:space="preserve"> 天内，承包人向发包人递交竣工验收合格资料及完整的结算资料和报告，双方按照本工程合同约定的价格形式及价款调整办法进行工程竣工结算。2、发包人收到承包人递交的竣工结算报告及结算资料之日起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 xml:space="preserve"> 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 xml:space="preserve"> 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 </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 xml:space="preserve"> 天内，发包人按审定后的竣工结算价款，通知经办银行向承包人支付结算价款。</w:t>
      </w:r>
    </w:p>
    <w:p w14:paraId="2B3154DE">
      <w:pPr>
        <w:spacing w:line="360" w:lineRule="auto"/>
        <w:ind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备注：对于国有投资项目结算审核约定，双方可结合各地政府或有关部门出台的管理规定进行局部调整</w:t>
      </w:r>
    </w:p>
    <w:p w14:paraId="3ED8DF21">
      <w:pPr>
        <w:outlineLvl w:val="9"/>
        <w:rPr>
          <w:rFonts w:hint="eastAsia" w:ascii="宋体" w:hAnsi="宋体" w:eastAsia="宋体" w:cs="宋体"/>
          <w:color w:val="auto"/>
          <w:sz w:val="21"/>
          <w:szCs w:val="21"/>
          <w:highlight w:val="none"/>
        </w:rPr>
      </w:pPr>
      <w:bookmarkStart w:id="1119" w:name="_Toc407135264"/>
      <w:bookmarkStart w:id="1120" w:name="_Toc373478408"/>
      <w:bookmarkStart w:id="1121" w:name="_Toc389065326"/>
      <w:bookmarkStart w:id="1122" w:name="_Toc78449850"/>
      <w:bookmarkStart w:id="1123" w:name="_Toc540165641"/>
      <w:bookmarkStart w:id="1124" w:name="_Toc3707"/>
      <w:bookmarkStart w:id="1125" w:name="_Toc373227761"/>
      <w:bookmarkStart w:id="1126" w:name="_Toc1203653078"/>
      <w:r>
        <w:rPr>
          <w:rFonts w:hint="eastAsia" w:ascii="宋体" w:hAnsi="宋体" w:eastAsia="宋体" w:cs="宋体"/>
          <w:color w:val="auto"/>
          <w:sz w:val="21"/>
          <w:szCs w:val="21"/>
          <w:highlight w:val="none"/>
        </w:rPr>
        <w:t>14.4 最终结清</w:t>
      </w:r>
      <w:bookmarkEnd w:id="1119"/>
      <w:bookmarkEnd w:id="1120"/>
      <w:bookmarkEnd w:id="1121"/>
      <w:bookmarkEnd w:id="1122"/>
      <w:bookmarkEnd w:id="1123"/>
      <w:bookmarkEnd w:id="1124"/>
      <w:bookmarkEnd w:id="1125"/>
      <w:bookmarkEnd w:id="1126"/>
    </w:p>
    <w:p w14:paraId="2F1C04F5">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14.4.1 最终结清申请单</w:t>
      </w:r>
    </w:p>
    <w:p w14:paraId="1F1675E8">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承包人提交最终结清申请单的份数：</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承包人向发包人提交最终结清申请书一式6份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FEBE90F">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承包人提交最终结算申请单的期限：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按通用条款及相关法律法规执行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A3B100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最终结算款支付申请（核准）表见合同附件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p w14:paraId="6644F40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14.4.2 最终结清证书和支付</w:t>
      </w:r>
    </w:p>
    <w:p w14:paraId="1B847FD2">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（1）发包人完成最终结清申请单的审批并颁发最终结清证书的期限：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收到申请单后20日内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C8B1514">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（2）发包人完成支付的期限：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发包人应在签发竣工付款证书后的 14 天内，完成对承包人的竣工付款 ，以上支付方式需待财政资金拨付到位再执行</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1065"/>
    <w:bookmarkEnd w:id="1066"/>
    <w:bookmarkEnd w:id="1067"/>
    <w:bookmarkEnd w:id="1068"/>
    <w:bookmarkEnd w:id="1069"/>
    <w:bookmarkEnd w:id="1070"/>
    <w:bookmarkEnd w:id="1071"/>
    <w:bookmarkEnd w:id="1077"/>
    <w:p w14:paraId="148A8322">
      <w:pPr>
        <w:outlineLvl w:val="9"/>
        <w:rPr>
          <w:rFonts w:hint="eastAsia" w:ascii="宋体" w:hAnsi="宋体" w:eastAsia="宋体" w:cs="宋体"/>
          <w:color w:val="auto"/>
          <w:sz w:val="21"/>
          <w:szCs w:val="21"/>
          <w:highlight w:val="none"/>
        </w:rPr>
      </w:pPr>
      <w:bookmarkStart w:id="1127" w:name="_Toc13103"/>
      <w:bookmarkStart w:id="1128" w:name="_Toc373478409"/>
      <w:bookmarkStart w:id="1129" w:name="_Toc407135265"/>
      <w:bookmarkStart w:id="1130" w:name="_Toc389065327"/>
      <w:bookmarkStart w:id="1131" w:name="_Toc905081407"/>
      <w:bookmarkStart w:id="1132" w:name="_Toc1294213766"/>
      <w:bookmarkStart w:id="1133" w:name="_Toc351203647"/>
      <w:bookmarkStart w:id="1134" w:name="_Toc373227762"/>
      <w:bookmarkStart w:id="1135" w:name="_Toc78449851"/>
      <w:bookmarkStart w:id="1136" w:name="_Toc267251483"/>
      <w:bookmarkStart w:id="1137" w:name="_Toc267251484"/>
      <w:bookmarkStart w:id="1138" w:name="_Toc267251482"/>
      <w:bookmarkStart w:id="1139" w:name="_Toc267251485"/>
      <w:bookmarkStart w:id="1140" w:name="_Toc267251489"/>
      <w:bookmarkStart w:id="1141" w:name="_Toc267251488"/>
      <w:bookmarkStart w:id="1142" w:name="_Toc267251490"/>
      <w:bookmarkStart w:id="1143" w:name="_Toc267251486"/>
      <w:bookmarkStart w:id="1144" w:name="_Toc267251491"/>
      <w:bookmarkStart w:id="1145" w:name="_Toc267251503"/>
      <w:bookmarkStart w:id="1146" w:name="_Toc267251494"/>
      <w:bookmarkStart w:id="1147" w:name="_Toc267251502"/>
      <w:bookmarkStart w:id="1148" w:name="_Toc267251492"/>
      <w:bookmarkStart w:id="1149" w:name="_Toc267251498"/>
      <w:bookmarkStart w:id="1150" w:name="_Toc267251497"/>
      <w:bookmarkStart w:id="1151" w:name="_Toc267251493"/>
      <w:bookmarkStart w:id="1152" w:name="_Toc267251499"/>
      <w:bookmarkStart w:id="1153" w:name="_Toc267251495"/>
      <w:bookmarkStart w:id="1154" w:name="_Toc267251501"/>
      <w:bookmarkStart w:id="1155" w:name="_Toc267251496"/>
      <w:bookmarkStart w:id="1156" w:name="_Toc267251504"/>
      <w:bookmarkStart w:id="1157" w:name="_Toc267251506"/>
      <w:bookmarkStart w:id="1158" w:name="_Toc267251507"/>
      <w:bookmarkStart w:id="1159" w:name="_Toc267251508"/>
      <w:bookmarkStart w:id="1160" w:name="_Toc267251509"/>
      <w:bookmarkStart w:id="1161" w:name="_Toc267251510"/>
      <w:bookmarkStart w:id="1162" w:name="_Toc267251515"/>
      <w:bookmarkStart w:id="1163" w:name="_Toc267251514"/>
      <w:bookmarkStart w:id="1164" w:name="_Toc267251511"/>
      <w:bookmarkStart w:id="1165" w:name="_Toc267251513"/>
      <w:r>
        <w:rPr>
          <w:rFonts w:hint="eastAsia" w:ascii="宋体" w:hAnsi="宋体" w:eastAsia="宋体" w:cs="宋体"/>
          <w:color w:val="auto"/>
          <w:sz w:val="21"/>
          <w:szCs w:val="21"/>
          <w:highlight w:val="none"/>
        </w:rPr>
        <w:t>15. 缺陷责任期与保修</w:t>
      </w:r>
      <w:bookmarkEnd w:id="1127"/>
      <w:bookmarkEnd w:id="1128"/>
      <w:bookmarkEnd w:id="1129"/>
      <w:bookmarkEnd w:id="1130"/>
      <w:bookmarkEnd w:id="1131"/>
      <w:bookmarkEnd w:id="1132"/>
      <w:bookmarkEnd w:id="1133"/>
      <w:bookmarkEnd w:id="1134"/>
      <w:bookmarkEnd w:id="1135"/>
    </w:p>
    <w:p w14:paraId="7351C082">
      <w:pPr>
        <w:outlineLvl w:val="9"/>
        <w:rPr>
          <w:rFonts w:hint="eastAsia" w:ascii="宋体" w:hAnsi="宋体" w:eastAsia="宋体" w:cs="宋体"/>
          <w:color w:val="auto"/>
          <w:sz w:val="21"/>
          <w:szCs w:val="21"/>
          <w:highlight w:val="none"/>
        </w:rPr>
      </w:pPr>
      <w:bookmarkStart w:id="1166" w:name="_Toc373478410"/>
      <w:bookmarkStart w:id="1167" w:name="_Toc407135266"/>
      <w:bookmarkStart w:id="1168" w:name="_Toc12892"/>
      <w:bookmarkStart w:id="1169" w:name="_Toc373227763"/>
      <w:bookmarkStart w:id="1170" w:name="_Toc78449852"/>
      <w:bookmarkStart w:id="1171" w:name="_Toc1468458868"/>
      <w:bookmarkStart w:id="1172" w:name="_Toc1845278067"/>
      <w:bookmarkStart w:id="1173" w:name="_Toc389065328"/>
      <w:r>
        <w:rPr>
          <w:rFonts w:hint="eastAsia" w:ascii="宋体" w:hAnsi="宋体" w:eastAsia="宋体" w:cs="宋体"/>
          <w:color w:val="auto"/>
          <w:sz w:val="21"/>
          <w:szCs w:val="21"/>
          <w:highlight w:val="none"/>
        </w:rPr>
        <w:t>15.2 缺陷责任期</w:t>
      </w:r>
      <w:bookmarkEnd w:id="1136"/>
      <w:bookmarkEnd w:id="1166"/>
      <w:bookmarkEnd w:id="1167"/>
      <w:bookmarkEnd w:id="1168"/>
      <w:bookmarkEnd w:id="1169"/>
      <w:bookmarkEnd w:id="1170"/>
      <w:bookmarkEnd w:id="1171"/>
      <w:bookmarkEnd w:id="1172"/>
      <w:bookmarkEnd w:id="1173"/>
    </w:p>
    <w:p w14:paraId="1CB5948C">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缺陷责任期的具体期限：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24个月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99B8E9B">
      <w:pPr>
        <w:outlineLvl w:val="9"/>
        <w:rPr>
          <w:rFonts w:hint="eastAsia" w:ascii="宋体" w:hAnsi="宋体" w:eastAsia="宋体" w:cs="宋体"/>
          <w:color w:val="auto"/>
          <w:sz w:val="21"/>
          <w:szCs w:val="21"/>
          <w:highlight w:val="none"/>
        </w:rPr>
      </w:pPr>
      <w:bookmarkStart w:id="1174" w:name="_Toc373478411"/>
      <w:bookmarkStart w:id="1175" w:name="_Toc13357"/>
      <w:bookmarkStart w:id="1176" w:name="_Toc1004692311"/>
      <w:bookmarkStart w:id="1177" w:name="_Toc407135267"/>
      <w:bookmarkStart w:id="1178" w:name="_Toc389065329"/>
      <w:bookmarkStart w:id="1179" w:name="_Toc373227764"/>
      <w:bookmarkStart w:id="1180" w:name="_Toc78449853"/>
      <w:bookmarkStart w:id="1181" w:name="_Toc666080472"/>
      <w:r>
        <w:rPr>
          <w:rFonts w:hint="eastAsia" w:ascii="宋体" w:hAnsi="宋体" w:eastAsia="宋体" w:cs="宋体"/>
          <w:color w:val="auto"/>
          <w:sz w:val="21"/>
          <w:szCs w:val="21"/>
          <w:highlight w:val="none"/>
        </w:rPr>
        <w:t>15.3 质量保证金</w:t>
      </w:r>
      <w:bookmarkEnd w:id="1174"/>
      <w:bookmarkEnd w:id="1175"/>
      <w:bookmarkEnd w:id="1176"/>
      <w:bookmarkEnd w:id="1177"/>
      <w:bookmarkEnd w:id="1178"/>
      <w:bookmarkEnd w:id="1179"/>
      <w:bookmarkEnd w:id="1180"/>
      <w:bookmarkEnd w:id="1181"/>
    </w:p>
    <w:p w14:paraId="0391E02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关于是否扣留质量保证金的约定：</w:t>
      </w:r>
      <w:r>
        <w:rPr>
          <w:rFonts w:hint="eastAsia" w:ascii="宋体" w:hAnsi="宋体" w:eastAsia="宋体" w:cs="宋体"/>
          <w:color w:val="auto"/>
          <w:sz w:val="21"/>
          <w:szCs w:val="21"/>
          <w:highlight w:val="none"/>
          <w:u w:val="single"/>
        </w:rPr>
        <w:t xml:space="preserve">  扣留质量保证金  </w:t>
      </w:r>
      <w:r>
        <w:rPr>
          <w:rFonts w:hint="eastAsia" w:ascii="宋体" w:hAnsi="宋体" w:eastAsia="宋体" w:cs="宋体"/>
          <w:color w:val="auto"/>
          <w:sz w:val="21"/>
          <w:szCs w:val="21"/>
          <w:highlight w:val="none"/>
        </w:rPr>
        <w:t>。</w:t>
      </w:r>
    </w:p>
    <w:p w14:paraId="4A826AC6">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在工程项目竣工前，承包人按专用合同条款第3.7条提供履约担保的，发包人不得同时预留工程质量保证金。</w:t>
      </w:r>
    </w:p>
    <w:p w14:paraId="67FB500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15.3.1 承包人提供质量保证金的方式</w:t>
      </w:r>
    </w:p>
    <w:p w14:paraId="0CB6AE9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质量保证金采用以下第</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w:t>
      </w:r>
      <w:r>
        <w:rPr>
          <w:rStyle w:val="39"/>
          <w:rFonts w:hint="eastAsia" w:ascii="宋体" w:hAnsi="宋体" w:eastAsia="宋体" w:cs="宋体"/>
          <w:color w:val="auto"/>
          <w:kern w:val="0"/>
          <w:sz w:val="21"/>
          <w:szCs w:val="21"/>
          <w:highlight w:val="none"/>
          <w:u w:val="single"/>
        </w:rPr>
        <w:t>2</w:t>
      </w:r>
      <w:r>
        <w:rPr>
          <w:rStyle w:val="39"/>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14:paraId="493EA048">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（1）质量保证金保函</w:t>
      </w:r>
      <w:r>
        <w:rPr>
          <w:rFonts w:hint="eastAsia" w:ascii="宋体" w:hAnsi="宋体" w:eastAsia="宋体" w:cs="宋体"/>
          <w:color w:val="auto"/>
          <w:sz w:val="21"/>
          <w:szCs w:val="21"/>
          <w:highlight w:val="none"/>
        </w:rPr>
        <w:t>（银行保函、电子保函、保证保险保函、工程担保保函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工程担保保证人应将出具的保函相关信息录入“广西建筑市场监管云”平台（http://gxjzsc.caihcloud.com），以实现保函查询及验真功能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，保证金额为：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5138A32">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rPr>
        <w:t>发包人按工程价款结算总额的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3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%（不得超过3%）预留工程质量保证金，待缺陷责任期满后返还，是否付息及利息计算方式为：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无息</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780AFB9C">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（3）其他方式：</w:t>
      </w:r>
      <w:r>
        <w:rPr>
          <w:rFonts w:hint="eastAsia" w:ascii="宋体" w:hAnsi="宋体" w:eastAsia="宋体" w:cs="宋体"/>
          <w:color w:val="auto"/>
          <w:sz w:val="21"/>
          <w:szCs w:val="21"/>
          <w:highlight w:val="none"/>
        </w:rPr>
        <w:t>银行转账、电汇或网上支付等</w:t>
      </w:r>
      <w:r>
        <w:rPr>
          <w:rFonts w:hint="eastAsia" w:ascii="宋体" w:hAnsi="宋体" w:eastAsia="宋体" w:cs="宋体"/>
          <w:color w:val="auto"/>
          <w:sz w:val="21"/>
          <w:szCs w:val="21"/>
          <w:highlight w:val="none"/>
          <w:lang w:eastAsia="zh-CN"/>
        </w:rPr>
        <w:t>形</w:t>
      </w:r>
      <w:r>
        <w:rPr>
          <w:rFonts w:hint="eastAsia" w:ascii="宋体" w:hAnsi="宋体" w:eastAsia="宋体" w:cs="宋体"/>
          <w:color w:val="auto"/>
          <w:sz w:val="21"/>
          <w:szCs w:val="21"/>
          <w:highlight w:val="none"/>
        </w:rPr>
        <w:t>式。</w:t>
      </w:r>
    </w:p>
    <w:p w14:paraId="2A1B0FD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15.3.2 质量保证金的扣留</w:t>
      </w:r>
    </w:p>
    <w:p w14:paraId="728CFC63">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质量保证金的扣留采取以下第</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w:t>
      </w:r>
    </w:p>
    <w:p w14:paraId="4498EA56">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（1）在不缴纳履保证金情况下，按支付工程进度款时逐次扣留，质量保证金的计算基数不包括预付款的支付、扣回以及价格调整的金额；</w:t>
      </w:r>
    </w:p>
    <w:p w14:paraId="1FD1DA99">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（2）工程竣工结算时，一次性扣留质量保证金，由承包人以银行保函、保证保险替代预留质量保证金，保函金额不得高于工程价款结算总额的3%；</w:t>
      </w:r>
    </w:p>
    <w:p w14:paraId="0968F44E">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（3）其他扣留方式:</w:t>
      </w:r>
      <w:r>
        <w:rPr>
          <w:rFonts w:hint="eastAsia" w:ascii="宋体" w:hAnsi="宋体" w:eastAsia="宋体" w:cs="宋体"/>
          <w:color w:val="auto"/>
          <w:kern w:val="0"/>
          <w:sz w:val="21"/>
          <w:szCs w:val="21"/>
          <w:highlight w:val="none"/>
          <w:u w:val="none"/>
        </w:rPr>
        <w:t xml:space="preserve"> </w:t>
      </w:r>
      <w:r>
        <w:rPr>
          <w:rFonts w:hint="eastAsia" w:ascii="宋体" w:hAnsi="宋体" w:eastAsia="宋体" w:cs="宋体"/>
          <w:color w:val="auto"/>
          <w:sz w:val="21"/>
          <w:szCs w:val="21"/>
          <w:highlight w:val="none"/>
        </w:rPr>
        <w:t>银行转账、电汇或网上支付、保函（银行保函、电子保函、保证保险保函、工程担保保函）等</w:t>
      </w:r>
      <w:r>
        <w:rPr>
          <w:rFonts w:hint="eastAsia" w:ascii="宋体" w:hAnsi="宋体" w:eastAsia="宋体" w:cs="宋体"/>
          <w:color w:val="auto"/>
          <w:sz w:val="21"/>
          <w:szCs w:val="21"/>
          <w:highlight w:val="none"/>
          <w:lang w:eastAsia="zh-CN"/>
        </w:rPr>
        <w:t>形</w:t>
      </w:r>
      <w:r>
        <w:rPr>
          <w:rFonts w:hint="eastAsia" w:ascii="宋体" w:hAnsi="宋体" w:eastAsia="宋体" w:cs="宋体"/>
          <w:color w:val="auto"/>
          <w:sz w:val="21"/>
          <w:szCs w:val="21"/>
          <w:highlight w:val="none"/>
        </w:rPr>
        <w:t>式</w:t>
      </w:r>
      <w:r>
        <w:rPr>
          <w:rFonts w:hint="eastAsia" w:ascii="宋体" w:hAnsi="宋体" w:eastAsia="宋体" w:cs="宋体"/>
          <w:color w:val="auto"/>
          <w:kern w:val="0"/>
          <w:sz w:val="21"/>
          <w:szCs w:val="21"/>
          <w:highlight w:val="none"/>
        </w:rPr>
        <w:t>。</w:t>
      </w:r>
    </w:p>
    <w:p w14:paraId="555B5043">
      <w:pPr>
        <w:spacing w:line="360" w:lineRule="auto"/>
        <w:ind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关于质量保证金的补充约定：</w:t>
      </w:r>
      <w:r>
        <w:rPr>
          <w:rFonts w:hint="eastAsia" w:ascii="宋体" w:hAnsi="宋体" w:eastAsia="宋体" w:cs="宋体"/>
          <w:color w:val="auto"/>
          <w:kern w:val="0"/>
          <w:sz w:val="21"/>
          <w:szCs w:val="21"/>
          <w:highlight w:val="none"/>
          <w:u w:val="single"/>
        </w:rPr>
        <w:t xml:space="preserve"> 质量保证金</w:t>
      </w:r>
      <w:r>
        <w:rPr>
          <w:rStyle w:val="39"/>
          <w:rFonts w:hint="eastAsia" w:ascii="宋体" w:hAnsi="宋体" w:eastAsia="宋体" w:cs="宋体"/>
          <w:color w:val="auto"/>
          <w:sz w:val="21"/>
          <w:szCs w:val="21"/>
          <w:highlight w:val="none"/>
          <w:u w:val="single"/>
        </w:rPr>
        <w:t>在缺陷责任期</w:t>
      </w:r>
      <w:r>
        <w:rPr>
          <w:rStyle w:val="39"/>
          <w:rFonts w:hint="eastAsia" w:ascii="宋体" w:hAnsi="宋体" w:eastAsia="宋体" w:cs="宋体"/>
          <w:color w:val="auto"/>
          <w:sz w:val="21"/>
          <w:szCs w:val="21"/>
          <w:highlight w:val="none"/>
          <w:u w:val="single"/>
          <w:lang w:val="en-US" w:eastAsia="zh-CN"/>
        </w:rPr>
        <w:t>满后</w:t>
      </w:r>
      <w:r>
        <w:rPr>
          <w:rStyle w:val="39"/>
          <w:rFonts w:hint="eastAsia" w:ascii="宋体" w:hAnsi="宋体" w:eastAsia="宋体" w:cs="宋体"/>
          <w:color w:val="auto"/>
          <w:sz w:val="21"/>
          <w:szCs w:val="21"/>
          <w:highlight w:val="none"/>
          <w:u w:val="single"/>
        </w:rPr>
        <w:t>14天内返还。质量保证金的返还，并不能免除承包人按照合同约定应承担的质量保修责任和应履行的质量保修义务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1137"/>
    <w:bookmarkEnd w:id="1138"/>
    <w:p w14:paraId="795A3EFD">
      <w:pPr>
        <w:outlineLvl w:val="9"/>
        <w:rPr>
          <w:rFonts w:hint="eastAsia" w:ascii="宋体" w:hAnsi="宋体" w:eastAsia="宋体" w:cs="宋体"/>
          <w:color w:val="auto"/>
          <w:sz w:val="21"/>
          <w:szCs w:val="21"/>
          <w:highlight w:val="none"/>
        </w:rPr>
      </w:pPr>
      <w:bookmarkStart w:id="1182" w:name="_Toc6945"/>
      <w:bookmarkStart w:id="1183" w:name="_Toc373478412"/>
      <w:bookmarkStart w:id="1184" w:name="_Toc407135268"/>
      <w:bookmarkStart w:id="1185" w:name="_Toc389065330"/>
      <w:bookmarkStart w:id="1186" w:name="_Toc78449854"/>
      <w:bookmarkStart w:id="1187" w:name="_Toc1902722111"/>
      <w:bookmarkStart w:id="1188" w:name="_Toc196306762"/>
      <w:bookmarkStart w:id="1189" w:name="_Toc373227765"/>
      <w:r>
        <w:rPr>
          <w:rFonts w:hint="eastAsia" w:ascii="宋体" w:hAnsi="宋体" w:eastAsia="宋体" w:cs="宋体"/>
          <w:color w:val="auto"/>
          <w:sz w:val="21"/>
          <w:szCs w:val="21"/>
          <w:highlight w:val="none"/>
        </w:rPr>
        <w:t>15.4 保修</w:t>
      </w:r>
      <w:bookmarkEnd w:id="1182"/>
      <w:bookmarkEnd w:id="1183"/>
      <w:bookmarkEnd w:id="1184"/>
      <w:bookmarkEnd w:id="1185"/>
      <w:bookmarkEnd w:id="1186"/>
      <w:bookmarkEnd w:id="1187"/>
      <w:bookmarkEnd w:id="1188"/>
      <w:bookmarkEnd w:id="1189"/>
    </w:p>
    <w:bookmarkEnd w:id="1139"/>
    <w:p w14:paraId="54D205CC">
      <w:pPr>
        <w:spacing w:line="360" w:lineRule="auto"/>
        <w:ind w:firstLine="409" w:firstLineChars="195"/>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 保修责任</w:t>
      </w:r>
    </w:p>
    <w:p w14:paraId="123F602F">
      <w:pPr>
        <w:spacing w:line="360" w:lineRule="auto"/>
        <w:ind w:firstLine="409" w:firstLineChars="195"/>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工程保修期为：</w:t>
      </w:r>
      <w:r>
        <w:rPr>
          <w:rFonts w:hint="eastAsia" w:ascii="宋体" w:hAnsi="宋体" w:eastAsia="宋体" w:cs="宋体"/>
          <w:color w:val="auto"/>
          <w:kern w:val="0"/>
          <w:sz w:val="21"/>
          <w:szCs w:val="21"/>
          <w:highlight w:val="none"/>
          <w:u w:val="single"/>
        </w:rPr>
        <w:t xml:space="preserve">  </w:t>
      </w:r>
      <w:r>
        <w:rPr>
          <w:rStyle w:val="39"/>
          <w:rFonts w:hint="eastAsia" w:ascii="宋体" w:hAnsi="宋体" w:eastAsia="宋体" w:cs="宋体"/>
          <w:color w:val="auto"/>
          <w:kern w:val="0"/>
          <w:sz w:val="21"/>
          <w:szCs w:val="21"/>
          <w:highlight w:val="none"/>
          <w:u w:val="single"/>
        </w:rPr>
        <w:t>2年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28EFCAD">
      <w:pPr>
        <w:spacing w:line="360" w:lineRule="auto"/>
        <w:ind w:firstLine="409" w:firstLineChars="195"/>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工程保修书具体内容见合同附件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p>
    <w:p w14:paraId="6F844977">
      <w:pPr>
        <w:spacing w:line="360" w:lineRule="auto"/>
        <w:ind w:firstLine="409" w:firstLineChars="195"/>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 修复通知</w:t>
      </w:r>
    </w:p>
    <w:p w14:paraId="1D319A0A">
      <w:pPr>
        <w:spacing w:line="360" w:lineRule="auto"/>
        <w:ind w:firstLine="409" w:firstLineChars="195"/>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承包人收到保修通知并到达工程现场的合理时间：</w:t>
      </w:r>
      <w:r>
        <w:rPr>
          <w:rFonts w:hint="eastAsia" w:ascii="宋体" w:hAnsi="宋体" w:eastAsia="宋体" w:cs="宋体"/>
          <w:color w:val="auto"/>
          <w:kern w:val="0"/>
          <w:sz w:val="21"/>
          <w:szCs w:val="21"/>
          <w:highlight w:val="none"/>
          <w:u w:val="single"/>
        </w:rPr>
        <w:t xml:space="preserve">  </w:t>
      </w:r>
      <w:r>
        <w:rPr>
          <w:rStyle w:val="39"/>
          <w:rFonts w:hint="eastAsia" w:ascii="宋体" w:hAnsi="宋体" w:eastAsia="宋体" w:cs="宋体"/>
          <w:color w:val="auto"/>
          <w:sz w:val="21"/>
          <w:szCs w:val="21"/>
          <w:highlight w:val="none"/>
          <w:u w:val="single"/>
        </w:rPr>
        <w:t>2天内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bookmarkEnd w:id="1140"/>
    <w:bookmarkEnd w:id="1141"/>
    <w:bookmarkEnd w:id="1142"/>
    <w:bookmarkEnd w:id="1143"/>
    <w:p w14:paraId="58DBBE57">
      <w:pPr>
        <w:outlineLvl w:val="9"/>
        <w:rPr>
          <w:rFonts w:hint="eastAsia" w:ascii="宋体" w:hAnsi="宋体" w:eastAsia="宋体" w:cs="宋体"/>
          <w:color w:val="auto"/>
          <w:sz w:val="21"/>
          <w:szCs w:val="21"/>
          <w:highlight w:val="none"/>
        </w:rPr>
      </w:pPr>
      <w:bookmarkStart w:id="1190" w:name="_Toc373478413"/>
      <w:bookmarkStart w:id="1191" w:name="_Toc407135269"/>
      <w:bookmarkStart w:id="1192" w:name="_Toc373227766"/>
      <w:bookmarkStart w:id="1193" w:name="_Toc8634"/>
      <w:bookmarkStart w:id="1194" w:name="_Toc1360137061"/>
      <w:bookmarkStart w:id="1195" w:name="_Toc78449855"/>
      <w:bookmarkStart w:id="1196" w:name="_Toc351203648"/>
      <w:bookmarkStart w:id="1197" w:name="_Toc389065331"/>
      <w:bookmarkStart w:id="1198" w:name="_Toc1725581915"/>
      <w:bookmarkStart w:id="1199" w:name="_Toc280868717"/>
      <w:bookmarkStart w:id="1200" w:name="_Toc280868718"/>
      <w:r>
        <w:rPr>
          <w:rFonts w:hint="eastAsia" w:ascii="宋体" w:hAnsi="宋体" w:eastAsia="宋体" w:cs="宋体"/>
          <w:color w:val="auto"/>
          <w:sz w:val="21"/>
          <w:szCs w:val="21"/>
          <w:highlight w:val="none"/>
        </w:rPr>
        <w:t>16. 违约</w:t>
      </w:r>
      <w:bookmarkEnd w:id="1190"/>
      <w:bookmarkEnd w:id="1191"/>
      <w:bookmarkEnd w:id="1192"/>
      <w:bookmarkEnd w:id="1193"/>
      <w:bookmarkEnd w:id="1194"/>
      <w:bookmarkEnd w:id="1195"/>
      <w:bookmarkEnd w:id="1196"/>
      <w:bookmarkEnd w:id="1197"/>
      <w:bookmarkEnd w:id="1198"/>
    </w:p>
    <w:p w14:paraId="1C2CFCC3">
      <w:pPr>
        <w:outlineLvl w:val="9"/>
        <w:rPr>
          <w:rFonts w:hint="eastAsia" w:ascii="宋体" w:hAnsi="宋体" w:eastAsia="宋体" w:cs="宋体"/>
          <w:color w:val="auto"/>
          <w:sz w:val="21"/>
          <w:szCs w:val="21"/>
          <w:highlight w:val="none"/>
        </w:rPr>
      </w:pPr>
      <w:bookmarkStart w:id="1201" w:name="_Toc407135270"/>
      <w:bookmarkStart w:id="1202" w:name="_Toc6523"/>
      <w:bookmarkStart w:id="1203" w:name="_Toc78449856"/>
      <w:bookmarkStart w:id="1204" w:name="_Toc373227767"/>
      <w:bookmarkStart w:id="1205" w:name="_Toc373478414"/>
      <w:bookmarkStart w:id="1206" w:name="_Toc389065332"/>
      <w:bookmarkStart w:id="1207" w:name="_Toc1535389315"/>
      <w:bookmarkStart w:id="1208" w:name="_Toc1973395665"/>
      <w:r>
        <w:rPr>
          <w:rFonts w:hint="eastAsia" w:ascii="宋体" w:hAnsi="宋体" w:eastAsia="宋体" w:cs="宋体"/>
          <w:color w:val="auto"/>
          <w:sz w:val="21"/>
          <w:szCs w:val="21"/>
          <w:highlight w:val="none"/>
        </w:rPr>
        <w:t>16.1 发包人违约</w:t>
      </w:r>
      <w:bookmarkEnd w:id="1201"/>
      <w:bookmarkEnd w:id="1202"/>
      <w:bookmarkEnd w:id="1203"/>
      <w:bookmarkEnd w:id="1204"/>
      <w:bookmarkEnd w:id="1205"/>
      <w:bookmarkEnd w:id="1206"/>
      <w:bookmarkEnd w:id="1207"/>
      <w:bookmarkEnd w:id="1208"/>
    </w:p>
    <w:p w14:paraId="35A22B4F">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16.1.1发包人违约的情形</w:t>
      </w:r>
    </w:p>
    <w:p w14:paraId="0C9BCE86">
      <w:pP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发包人违约的其他情形：</w:t>
      </w:r>
      <w:r>
        <w:rPr>
          <w:rFonts w:hint="eastAsia" w:ascii="宋体" w:hAnsi="宋体" w:eastAsia="宋体" w:cs="宋体"/>
          <w:color w:val="auto"/>
          <w:kern w:val="0"/>
          <w:sz w:val="21"/>
          <w:szCs w:val="21"/>
          <w:highlight w:val="none"/>
          <w:u w:val="single"/>
        </w:rPr>
        <w:t xml:space="preserve">  </w:t>
      </w:r>
      <w:r>
        <w:rPr>
          <w:rStyle w:val="39"/>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453F276">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16.1.2 发包人违约的责任</w:t>
      </w:r>
    </w:p>
    <w:p w14:paraId="4B50954D">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发包人违约责任的承担方式和计算方法：</w:t>
      </w:r>
    </w:p>
    <w:p w14:paraId="16F9F510">
      <w:pPr>
        <w:spacing w:line="360" w:lineRule="auto"/>
        <w:ind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（1）因发包人原因未能在计划开工日期前7天内下达开工通知的违约责任：</w:t>
      </w:r>
      <w:r>
        <w:rPr>
          <w:rFonts w:hint="eastAsia" w:ascii="宋体" w:hAnsi="宋体" w:eastAsia="宋体" w:cs="宋体"/>
          <w:color w:val="auto"/>
          <w:kern w:val="0"/>
          <w:sz w:val="21"/>
          <w:szCs w:val="21"/>
          <w:highlight w:val="none"/>
          <w:u w:val="single"/>
        </w:rPr>
        <w:t xml:space="preserve">  顺延延误的工期，发包人不承担由此造成的其他损失 </w:t>
      </w:r>
      <w:r>
        <w:rPr>
          <w:rFonts w:hint="eastAsia" w:ascii="宋体" w:hAnsi="宋体" w:eastAsia="宋体" w:cs="宋体"/>
          <w:color w:val="auto"/>
          <w:kern w:val="0"/>
          <w:sz w:val="21"/>
          <w:szCs w:val="21"/>
          <w:highlight w:val="none"/>
        </w:rPr>
        <w:t>。</w:t>
      </w:r>
    </w:p>
    <w:p w14:paraId="71131768">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（2）因发包人原因未能按合同约定支付合同价款的违约责任：</w:t>
      </w:r>
      <w:r>
        <w:rPr>
          <w:rFonts w:hint="eastAsia" w:ascii="宋体" w:hAnsi="宋体" w:eastAsia="宋体" w:cs="宋体"/>
          <w:color w:val="auto"/>
          <w:kern w:val="0"/>
          <w:sz w:val="21"/>
          <w:szCs w:val="21"/>
          <w:highlight w:val="none"/>
          <w:u w:val="single"/>
        </w:rPr>
        <w:t xml:space="preserve">  若财政拨款到位后，发包人未能按合同约定支付合同价款的，从违约之日起，发包人每天按延付金额的万分之五向承包人支付违约金，承包人损失按实际发生计算，工期按欠款天数相应顺延</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13A31B37">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（3）发包人违反第10.1款〔变更的范围〕第（2）项约定，自行实施被取消的工作或转由他人实施的违约责任：</w:t>
      </w:r>
      <w:r>
        <w:rPr>
          <w:rFonts w:hint="eastAsia" w:ascii="宋体" w:hAnsi="宋体" w:eastAsia="宋体" w:cs="宋体"/>
          <w:color w:val="auto"/>
          <w:kern w:val="0"/>
          <w:sz w:val="21"/>
          <w:szCs w:val="21"/>
          <w:highlight w:val="none"/>
          <w:u w:val="single"/>
        </w:rPr>
        <w:t xml:space="preserve">  如发生，发包人应补偿承包人利润损失及其他损失，具体损失及配合费等费用双方另行商定</w:t>
      </w:r>
      <w:r>
        <w:rPr>
          <w:rStyle w:val="39"/>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1411B4C">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 w:val="21"/>
          <w:szCs w:val="21"/>
          <w:highlight w:val="none"/>
          <w:u w:val="single"/>
        </w:rPr>
        <w:t xml:space="preserve">  </w:t>
      </w:r>
      <w:r>
        <w:rPr>
          <w:rStyle w:val="39"/>
          <w:rFonts w:hint="eastAsia" w:ascii="宋体" w:hAnsi="宋体" w:eastAsia="宋体" w:cs="宋体"/>
          <w:color w:val="auto"/>
          <w:kern w:val="0"/>
          <w:sz w:val="21"/>
          <w:szCs w:val="21"/>
          <w:highlight w:val="none"/>
          <w:u w:val="single"/>
          <w:lang w:val="en-US" w:eastAsia="zh-CN"/>
        </w:rPr>
        <w:t>发包人提供的材料、工程设备的规格、数量或质量不符合合同约定，如影响工期的，工期相应顺延由发包人负责；如造成承包人返工的，发包人应负责承担返工费用</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81F11C4">
      <w:pPr>
        <w:spacing w:line="360" w:lineRule="auto"/>
        <w:ind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（5）因发包人违反合同约定造成暂停施工的违约责任：</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如发生，承包人的损失按实际发生计，工期按延误天数相应顺延</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4E92A7DF">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（6）发包人无正当理由没有在约定期限内发出复工指示，导致承包人无法复工的违约责任：</w:t>
      </w:r>
      <w:r>
        <w:rPr>
          <w:rFonts w:hint="eastAsia" w:ascii="宋体" w:hAnsi="宋体" w:eastAsia="宋体" w:cs="宋体"/>
          <w:color w:val="auto"/>
          <w:kern w:val="0"/>
          <w:sz w:val="21"/>
          <w:szCs w:val="21"/>
          <w:highlight w:val="none"/>
          <w:u w:val="single"/>
        </w:rPr>
        <w:t xml:space="preserve"> 以承包人提供的事实依据给予确定违约责任、及商议工期是否顺延 </w:t>
      </w:r>
      <w:r>
        <w:rPr>
          <w:rFonts w:hint="eastAsia" w:ascii="宋体" w:hAnsi="宋体" w:eastAsia="宋体" w:cs="宋体"/>
          <w:color w:val="auto"/>
          <w:kern w:val="0"/>
          <w:sz w:val="21"/>
          <w:szCs w:val="21"/>
          <w:highlight w:val="none"/>
        </w:rPr>
        <w:t>。</w:t>
      </w:r>
    </w:p>
    <w:p w14:paraId="2B194197">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（7）其他：</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双方另行协商</w:t>
      </w:r>
      <w:r>
        <w:rPr>
          <w:rFonts w:hint="eastAsia" w:ascii="宋体" w:hAnsi="宋体" w:eastAsia="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w:t>
      </w:r>
    </w:p>
    <w:p w14:paraId="44186CEF">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16.1.3 因发包人违约解除合同</w:t>
      </w:r>
    </w:p>
    <w:p w14:paraId="74613542">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承包人按16.1.1项〔发包人违约的情形〕约定暂停施工满</w:t>
      </w:r>
      <w:r>
        <w:rPr>
          <w:rFonts w:hint="eastAsia" w:ascii="宋体" w:hAnsi="宋体" w:eastAsia="宋体" w:cs="宋体"/>
          <w:color w:val="auto"/>
          <w:kern w:val="0"/>
          <w:sz w:val="21"/>
          <w:szCs w:val="21"/>
          <w:highlight w:val="none"/>
          <w:u w:val="single"/>
        </w:rPr>
        <w:t xml:space="preserve">  </w:t>
      </w:r>
      <w:r>
        <w:rPr>
          <w:rStyle w:val="39"/>
          <w:rFonts w:hint="eastAsia" w:ascii="宋体" w:hAnsi="宋体" w:eastAsia="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天后发包人仍不纠正其违约行为并致使合同目的不能实现的，承包人有权解除合同。</w:t>
      </w:r>
    </w:p>
    <w:p w14:paraId="07D89819">
      <w:pPr>
        <w:outlineLvl w:val="9"/>
        <w:rPr>
          <w:rFonts w:hint="eastAsia" w:ascii="宋体" w:hAnsi="宋体" w:eastAsia="宋体" w:cs="宋体"/>
          <w:color w:val="auto"/>
          <w:sz w:val="21"/>
          <w:szCs w:val="21"/>
          <w:highlight w:val="none"/>
        </w:rPr>
      </w:pPr>
      <w:bookmarkStart w:id="1209" w:name="_Toc78449857"/>
      <w:bookmarkStart w:id="1210" w:name="_Toc373227768"/>
      <w:bookmarkStart w:id="1211" w:name="_Toc373478415"/>
      <w:bookmarkStart w:id="1212" w:name="_Toc389065333"/>
      <w:bookmarkStart w:id="1213" w:name="_Toc407135271"/>
      <w:bookmarkStart w:id="1214" w:name="_Toc5573"/>
      <w:bookmarkStart w:id="1215" w:name="_Toc247586342"/>
      <w:bookmarkStart w:id="1216" w:name="_Toc61078193"/>
      <w:r>
        <w:rPr>
          <w:rFonts w:hint="eastAsia" w:ascii="宋体" w:hAnsi="宋体" w:eastAsia="宋体" w:cs="宋体"/>
          <w:color w:val="auto"/>
          <w:sz w:val="21"/>
          <w:szCs w:val="21"/>
          <w:highlight w:val="none"/>
        </w:rPr>
        <w:t>16.2 承包人违约</w:t>
      </w:r>
      <w:bookmarkEnd w:id="1209"/>
      <w:bookmarkEnd w:id="1210"/>
      <w:bookmarkEnd w:id="1211"/>
      <w:bookmarkEnd w:id="1212"/>
      <w:bookmarkEnd w:id="1213"/>
      <w:bookmarkEnd w:id="1214"/>
      <w:bookmarkEnd w:id="1215"/>
      <w:bookmarkEnd w:id="1216"/>
    </w:p>
    <w:p w14:paraId="0D4ACE15">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16.2.1 承包人违约的情形</w:t>
      </w:r>
    </w:p>
    <w:p w14:paraId="2333B78C">
      <w:pPr>
        <w:spacing w:line="360" w:lineRule="auto"/>
        <w:ind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承包人违约的其他情形：</w:t>
      </w:r>
      <w:r>
        <w:rPr>
          <w:rFonts w:hint="eastAsia" w:ascii="宋体" w:hAnsi="宋体" w:eastAsia="宋体" w:cs="宋体"/>
          <w:color w:val="auto"/>
          <w:kern w:val="0"/>
          <w:sz w:val="21"/>
          <w:szCs w:val="21"/>
          <w:highlight w:val="none"/>
          <w:u w:val="single"/>
        </w:rPr>
        <w:t xml:space="preserve">  </w:t>
      </w:r>
      <w:r>
        <w:rPr>
          <w:rStyle w:val="39"/>
          <w:rFonts w:hint="eastAsia" w:ascii="宋体" w:hAnsi="宋体" w:eastAsia="宋体" w:cs="宋体"/>
          <w:color w:val="auto"/>
          <w:kern w:val="0"/>
          <w:sz w:val="21"/>
          <w:szCs w:val="21"/>
          <w:highlight w:val="none"/>
          <w:u w:val="single"/>
        </w:rPr>
        <w:t>无</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5AD19C4B">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16.2.2承包人违约的责任</w:t>
      </w:r>
    </w:p>
    <w:p w14:paraId="1CA68C59">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承包人违约责任的承担方式和计算方法：</w:t>
      </w:r>
    </w:p>
    <w:p w14:paraId="3F32E365">
      <w:pPr>
        <w:spacing w:line="360" w:lineRule="auto"/>
        <w:ind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141AF337">
      <w:pPr>
        <w:spacing w:line="360" w:lineRule="auto"/>
        <w:ind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（2）承包人有本合同通用条款第16.2.1（6）条情形的，或经监理人检验认为修复质量不合格而承包人拒绝再进行修补的，发包人将扣除承包人全部质量保证金。</w:t>
      </w:r>
    </w:p>
    <w:p w14:paraId="18D54945">
      <w:pPr>
        <w:spacing w:line="360" w:lineRule="auto"/>
        <w:ind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14AE69D2">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16.2.3 因承包人违约解除合同</w:t>
      </w:r>
    </w:p>
    <w:p w14:paraId="55ADD7B3">
      <w:pPr>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关于承包人违约解除合同的特别约定：</w:t>
      </w:r>
      <w:r>
        <w:rPr>
          <w:rFonts w:hint="eastAsia" w:ascii="宋体" w:hAnsi="宋体" w:eastAsia="宋体" w:cs="宋体"/>
          <w:color w:val="auto"/>
          <w:kern w:val="0"/>
          <w:sz w:val="21"/>
          <w:szCs w:val="21"/>
          <w:highlight w:val="none"/>
          <w:u w:val="single"/>
        </w:rPr>
        <w:t>承包人有违反以下情况之一的，发包人有权解除合同，并没收其全部履约保证金</w:t>
      </w:r>
      <w:r>
        <w:rPr>
          <w:rFonts w:hint="eastAsia" w:ascii="宋体" w:hAnsi="宋体" w:eastAsia="宋体" w:cs="宋体"/>
          <w:color w:val="auto"/>
          <w:kern w:val="0"/>
          <w:sz w:val="21"/>
          <w:szCs w:val="21"/>
          <w:highlight w:val="none"/>
        </w:rPr>
        <w:t>。</w:t>
      </w:r>
    </w:p>
    <w:p w14:paraId="10969C38">
      <w:pPr>
        <w:spacing w:line="360" w:lineRule="auto"/>
        <w:ind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(1)承包人无正当理由不按开工通知的要求及时进场组织施工和不按签订协议书时商定的进度计划有效地开展施工准备，造成工期延误的；</w:t>
      </w:r>
    </w:p>
    <w:p w14:paraId="57285966">
      <w:pPr>
        <w:spacing w:line="360" w:lineRule="auto"/>
        <w:ind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(2)承包人违反本合同通用条款第3.5条规定私自将合同或合同的任何部分或任何权利转让给其他人，或私自将工程或工程的一部分分包出去的；</w:t>
      </w:r>
    </w:p>
    <w:p w14:paraId="4BF69FD4">
      <w:pPr>
        <w:spacing w:line="360" w:lineRule="auto"/>
        <w:ind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(3)未经监理人批准，承包人私自将已按竞标文件承诺进入工地的工程设备、施工设备、临时工程或材料撤离工地的；</w:t>
      </w:r>
    </w:p>
    <w:p w14:paraId="692F0D32">
      <w:pPr>
        <w:spacing w:line="360" w:lineRule="auto"/>
        <w:ind w:firstLine="420" w:firstLineChars="200"/>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(4)由于承包人原因拒绝按合同进度计划及时完成合同规定的工程，而又未采取有效措施赶上进度，造成工期严重延误的；</w:t>
      </w:r>
    </w:p>
    <w:p w14:paraId="4E62EB7C">
      <w:pPr>
        <w:spacing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(5)承包人否认合同有效或拒绝履行合同规定的承包人义务，或由于法律、财务等原因导致承包人无法继续履行或实质上已停止履行合同的义务的；</w:t>
      </w:r>
    </w:p>
    <w:p w14:paraId="6718B6F9">
      <w:pPr>
        <w:spacing w:line="360" w:lineRule="auto"/>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(6)合同签订</w:t>
      </w:r>
      <w:r>
        <w:rPr>
          <w:rFonts w:hint="eastAsia" w:ascii="宋体" w:hAnsi="宋体" w:eastAsia="宋体" w:cs="宋体"/>
          <w:color w:val="auto"/>
          <w:sz w:val="21"/>
          <w:szCs w:val="21"/>
          <w:highlight w:val="none"/>
          <w:u w:val="single"/>
        </w:rPr>
        <w:t>且具备法定开工条件后</w:t>
      </w:r>
      <w:r>
        <w:rPr>
          <w:rFonts w:hint="eastAsia" w:ascii="宋体" w:hAnsi="宋体" w:eastAsia="宋体" w:cs="宋体"/>
          <w:color w:val="auto"/>
          <w:kern w:val="0"/>
          <w:sz w:val="21"/>
          <w:szCs w:val="21"/>
          <w:highlight w:val="none"/>
          <w:u w:val="single"/>
        </w:rPr>
        <w:t>之日起十五日内，承包人无法按合同规定及竞标文件的承诺进场经监理工程师认可的该施工阶段应有的全部人员和机械的。</w:t>
      </w:r>
    </w:p>
    <w:p w14:paraId="18CC4A0D">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 w:val="21"/>
          <w:szCs w:val="21"/>
          <w:highlight w:val="none"/>
          <w:u w:val="single"/>
        </w:rPr>
        <w:t xml:space="preserve">   </w:t>
      </w:r>
      <w:r>
        <w:rPr>
          <w:rStyle w:val="39"/>
          <w:rFonts w:hint="eastAsia" w:ascii="宋体" w:hAnsi="宋体" w:eastAsia="宋体" w:cs="宋体"/>
          <w:color w:val="auto"/>
          <w:kern w:val="0"/>
          <w:sz w:val="21"/>
          <w:szCs w:val="21"/>
          <w:highlight w:val="none"/>
          <w:u w:val="single"/>
        </w:rPr>
        <w:t>承包人承担</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79A126AB">
      <w:pPr>
        <w:outlineLvl w:val="9"/>
        <w:rPr>
          <w:rFonts w:hint="eastAsia" w:ascii="宋体" w:hAnsi="宋体" w:eastAsia="宋体" w:cs="宋体"/>
          <w:color w:val="auto"/>
          <w:sz w:val="21"/>
          <w:szCs w:val="21"/>
          <w:highlight w:val="none"/>
        </w:rPr>
      </w:pPr>
      <w:bookmarkStart w:id="1217" w:name="_Toc407135272"/>
      <w:bookmarkStart w:id="1218" w:name="_Toc351203649"/>
      <w:bookmarkStart w:id="1219" w:name="_Toc9138"/>
      <w:bookmarkStart w:id="1220" w:name="_Toc373478416"/>
      <w:bookmarkStart w:id="1221" w:name="_Toc389065334"/>
      <w:bookmarkStart w:id="1222" w:name="_Toc1117922953"/>
      <w:bookmarkStart w:id="1223" w:name="_Toc1753556740"/>
      <w:bookmarkStart w:id="1224" w:name="_Toc78449858"/>
      <w:bookmarkStart w:id="1225" w:name="_Toc373227769"/>
      <w:r>
        <w:rPr>
          <w:rFonts w:hint="eastAsia" w:ascii="宋体" w:hAnsi="宋体" w:eastAsia="宋体" w:cs="宋体"/>
          <w:color w:val="auto"/>
          <w:sz w:val="21"/>
          <w:szCs w:val="21"/>
          <w:highlight w:val="none"/>
        </w:rPr>
        <w:t>17. 不可抗力</w:t>
      </w:r>
      <w:bookmarkEnd w:id="1217"/>
      <w:bookmarkEnd w:id="1218"/>
      <w:bookmarkEnd w:id="1219"/>
      <w:bookmarkEnd w:id="1220"/>
      <w:bookmarkEnd w:id="1221"/>
      <w:bookmarkEnd w:id="1222"/>
      <w:bookmarkEnd w:id="1223"/>
      <w:bookmarkEnd w:id="1224"/>
      <w:bookmarkEnd w:id="1225"/>
      <w:r>
        <w:rPr>
          <w:rFonts w:hint="eastAsia" w:ascii="宋体" w:hAnsi="宋体" w:eastAsia="宋体" w:cs="宋体"/>
          <w:color w:val="auto"/>
          <w:sz w:val="21"/>
          <w:szCs w:val="21"/>
          <w:highlight w:val="none"/>
        </w:rPr>
        <w:t xml:space="preserve"> </w:t>
      </w:r>
      <w:bookmarkEnd w:id="1199"/>
    </w:p>
    <w:p w14:paraId="0131A230">
      <w:pPr>
        <w:outlineLvl w:val="9"/>
        <w:rPr>
          <w:rFonts w:hint="eastAsia" w:ascii="宋体" w:hAnsi="宋体" w:eastAsia="宋体" w:cs="宋体"/>
          <w:color w:val="auto"/>
          <w:sz w:val="21"/>
          <w:szCs w:val="21"/>
          <w:highlight w:val="none"/>
        </w:rPr>
      </w:pPr>
      <w:bookmarkStart w:id="1226" w:name="_Toc407135273"/>
      <w:bookmarkStart w:id="1227" w:name="_Toc666312941"/>
      <w:bookmarkStart w:id="1228" w:name="_Toc389065335"/>
      <w:bookmarkStart w:id="1229" w:name="_Toc373478417"/>
      <w:bookmarkStart w:id="1230" w:name="_Toc78449859"/>
      <w:bookmarkStart w:id="1231" w:name="_Toc429574049"/>
      <w:bookmarkStart w:id="1232" w:name="_Toc10558"/>
      <w:bookmarkStart w:id="1233" w:name="_Toc373227770"/>
      <w:r>
        <w:rPr>
          <w:rFonts w:hint="eastAsia" w:ascii="宋体" w:hAnsi="宋体" w:eastAsia="宋体" w:cs="宋体"/>
          <w:color w:val="auto"/>
          <w:sz w:val="21"/>
          <w:szCs w:val="21"/>
          <w:highlight w:val="none"/>
        </w:rPr>
        <w:t>17.1 不可抗力的确认</w:t>
      </w:r>
      <w:bookmarkEnd w:id="1226"/>
      <w:bookmarkEnd w:id="1227"/>
      <w:bookmarkEnd w:id="1228"/>
      <w:bookmarkEnd w:id="1229"/>
      <w:bookmarkEnd w:id="1230"/>
      <w:bookmarkEnd w:id="1231"/>
      <w:bookmarkEnd w:id="1232"/>
      <w:bookmarkEnd w:id="1233"/>
    </w:p>
    <w:p w14:paraId="5D937C28">
      <w:pPr>
        <w:spacing w:line="360" w:lineRule="auto"/>
        <w:ind w:firstLine="420" w:firstLineChars="200"/>
        <w:jc w:val="left"/>
        <w:outlineLvl w:val="9"/>
        <w:rPr>
          <w:rFonts w:hint="eastAsia" w:ascii="宋体" w:hAnsi="宋体" w:eastAsia="宋体" w:cs="宋体"/>
          <w:color w:val="auto"/>
          <w:kern w:val="0"/>
          <w:sz w:val="21"/>
          <w:szCs w:val="21"/>
          <w:highlight w:val="none"/>
          <w:u w:val="single"/>
        </w:rPr>
      </w:pPr>
      <w:r>
        <w:rPr>
          <w:rFonts w:hint="eastAsia" w:ascii="宋体" w:hAnsi="宋体" w:eastAsia="宋体" w:cs="宋体"/>
          <w:color w:val="auto"/>
          <w:sz w:val="21"/>
          <w:szCs w:val="21"/>
          <w:highlight w:val="none"/>
        </w:rPr>
        <w:t>除通用合同条款约定的不可抗力事件之外，视为不可抗力的其他情形：</w:t>
      </w:r>
      <w:r>
        <w:rPr>
          <w:rFonts w:hint="eastAsia" w:ascii="宋体" w:hAnsi="宋体" w:eastAsia="宋体" w:cs="宋体"/>
          <w:color w:val="auto"/>
          <w:kern w:val="0"/>
          <w:sz w:val="21"/>
          <w:szCs w:val="21"/>
          <w:highlight w:val="none"/>
          <w:u w:val="single"/>
        </w:rPr>
        <w:t xml:space="preserve"> </w:t>
      </w:r>
      <w:r>
        <w:rPr>
          <w:rStyle w:val="39"/>
          <w:rFonts w:hint="eastAsia" w:ascii="宋体" w:hAnsi="宋体" w:eastAsia="宋体" w:cs="宋体"/>
          <w:color w:val="auto"/>
          <w:kern w:val="0"/>
          <w:sz w:val="21"/>
          <w:szCs w:val="21"/>
          <w:highlight w:val="none"/>
          <w:u w:val="single"/>
        </w:rPr>
        <w:t>（1）12 级以上大风；（2）24小时降雨量超过 250mm；（3）50年一遇以上洪水；（4）6 级以上地震；（5）日最高气温40℃的天气连续持续一周以上的高温天气。 不可抗力的自然灾害认定标准，以政府有关部门的发布、规定为准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3FEB80C5">
      <w:pPr>
        <w:outlineLvl w:val="9"/>
        <w:rPr>
          <w:rFonts w:hint="eastAsia" w:ascii="宋体" w:hAnsi="宋体" w:eastAsia="宋体" w:cs="宋体"/>
          <w:color w:val="auto"/>
          <w:sz w:val="21"/>
          <w:szCs w:val="21"/>
          <w:highlight w:val="none"/>
        </w:rPr>
      </w:pPr>
      <w:bookmarkStart w:id="1234" w:name="_Toc78449860"/>
      <w:bookmarkStart w:id="1235" w:name="_Toc1951449751"/>
      <w:bookmarkStart w:id="1236" w:name="_Toc407135274"/>
      <w:bookmarkStart w:id="1237" w:name="_Toc658729758"/>
      <w:bookmarkStart w:id="1238" w:name="_Toc9108"/>
      <w:bookmarkStart w:id="1239" w:name="_Toc373478418"/>
      <w:bookmarkStart w:id="1240" w:name="_Toc389065336"/>
      <w:bookmarkStart w:id="1241" w:name="_Toc373227771"/>
      <w:r>
        <w:rPr>
          <w:rFonts w:hint="eastAsia" w:ascii="宋体" w:hAnsi="宋体" w:eastAsia="宋体" w:cs="宋体"/>
          <w:color w:val="auto"/>
          <w:sz w:val="21"/>
          <w:szCs w:val="21"/>
          <w:highlight w:val="none"/>
        </w:rPr>
        <w:t>17.4 因不可抗力解除合同</w:t>
      </w:r>
      <w:bookmarkEnd w:id="1234"/>
      <w:bookmarkEnd w:id="1235"/>
      <w:bookmarkEnd w:id="1236"/>
      <w:bookmarkEnd w:id="1237"/>
      <w:bookmarkEnd w:id="1238"/>
      <w:bookmarkEnd w:id="1239"/>
      <w:bookmarkEnd w:id="1240"/>
      <w:bookmarkEnd w:id="1241"/>
    </w:p>
    <w:p w14:paraId="3C7E7235">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合同解除后，发包人应在商定或确定发包人应支付款项后</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且财政资金拨付到位后30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天内完成款项的支付。</w:t>
      </w:r>
    </w:p>
    <w:p w14:paraId="30501B3A">
      <w:pPr>
        <w:outlineLvl w:val="9"/>
        <w:rPr>
          <w:rFonts w:hint="eastAsia" w:ascii="宋体" w:hAnsi="宋体" w:eastAsia="宋体" w:cs="宋体"/>
          <w:color w:val="auto"/>
          <w:sz w:val="21"/>
          <w:szCs w:val="21"/>
          <w:highlight w:val="none"/>
        </w:rPr>
      </w:pPr>
      <w:bookmarkStart w:id="1242" w:name="_Toc389065337"/>
      <w:bookmarkStart w:id="1243" w:name="_Toc56822299"/>
      <w:bookmarkStart w:id="1244" w:name="_Toc351203650"/>
      <w:bookmarkStart w:id="1245" w:name="_Toc612072600"/>
      <w:bookmarkStart w:id="1246" w:name="_Toc2256"/>
      <w:bookmarkStart w:id="1247" w:name="_Toc373227772"/>
      <w:bookmarkStart w:id="1248" w:name="_Toc407135275"/>
      <w:bookmarkStart w:id="1249" w:name="_Toc78449861"/>
      <w:bookmarkStart w:id="1250" w:name="_Toc373478419"/>
      <w:r>
        <w:rPr>
          <w:rFonts w:hint="eastAsia" w:ascii="宋体" w:hAnsi="宋体" w:eastAsia="宋体" w:cs="宋体"/>
          <w:color w:val="auto"/>
          <w:sz w:val="21"/>
          <w:szCs w:val="21"/>
          <w:highlight w:val="none"/>
        </w:rPr>
        <w:t>18. 保险</w:t>
      </w:r>
      <w:bookmarkEnd w:id="1242"/>
      <w:bookmarkEnd w:id="1243"/>
      <w:bookmarkEnd w:id="1244"/>
      <w:bookmarkEnd w:id="1245"/>
      <w:bookmarkEnd w:id="1246"/>
      <w:bookmarkEnd w:id="1247"/>
      <w:bookmarkEnd w:id="1248"/>
      <w:bookmarkEnd w:id="1249"/>
      <w:bookmarkEnd w:id="1250"/>
    </w:p>
    <w:bookmarkEnd w:id="1200"/>
    <w:p w14:paraId="730607F2">
      <w:pPr>
        <w:outlineLvl w:val="9"/>
        <w:rPr>
          <w:rFonts w:hint="eastAsia" w:ascii="宋体" w:hAnsi="宋体" w:eastAsia="宋体" w:cs="宋体"/>
          <w:color w:val="auto"/>
          <w:sz w:val="21"/>
          <w:szCs w:val="21"/>
          <w:highlight w:val="none"/>
        </w:rPr>
      </w:pPr>
      <w:bookmarkStart w:id="1251" w:name="_Toc2075285517"/>
      <w:bookmarkStart w:id="1252" w:name="_Toc373227773"/>
      <w:bookmarkStart w:id="1253" w:name="_Toc373478420"/>
      <w:bookmarkStart w:id="1254" w:name="_Toc389065338"/>
      <w:bookmarkStart w:id="1255" w:name="_Toc1446953302"/>
      <w:bookmarkStart w:id="1256" w:name="_Toc78449862"/>
      <w:bookmarkStart w:id="1257" w:name="_Toc407135276"/>
      <w:bookmarkStart w:id="1258" w:name="_Toc15572"/>
      <w:r>
        <w:rPr>
          <w:rFonts w:hint="eastAsia" w:ascii="宋体" w:hAnsi="宋体" w:eastAsia="宋体" w:cs="宋体"/>
          <w:color w:val="auto"/>
          <w:sz w:val="21"/>
          <w:szCs w:val="21"/>
          <w:highlight w:val="none"/>
        </w:rPr>
        <w:t>18.1 工程保险</w:t>
      </w:r>
      <w:bookmarkEnd w:id="1251"/>
      <w:bookmarkEnd w:id="1252"/>
      <w:bookmarkEnd w:id="1253"/>
      <w:bookmarkEnd w:id="1254"/>
      <w:bookmarkEnd w:id="1255"/>
      <w:bookmarkEnd w:id="1256"/>
      <w:bookmarkEnd w:id="1257"/>
      <w:bookmarkEnd w:id="1258"/>
    </w:p>
    <w:p w14:paraId="18DDED6E">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kern w:val="0"/>
          <w:sz w:val="21"/>
          <w:szCs w:val="21"/>
          <w:highlight w:val="none"/>
          <w:u w:val="single"/>
        </w:rPr>
        <w:t xml:space="preserve">  本工程的建筑工程一切险和第三者责任险，由承包人负责具体理赔事宜（必须经得发包人事先同意），投保费用由发包人负责。投保期限以本合同协议书部分开、竣工时间为准。从本合同协议书部分约定的竣工时间至本工程保修期满为止，本工程的建筑工程一切险和第三者责任险由承包人负责具体投保（续保）事宜，投保（续保）费用由承包人负责；若承包人拒不投保（续保），需承担相应损失，且发包人将不再支付剩余部分的合同款项  </w:t>
      </w:r>
      <w:r>
        <w:rPr>
          <w:rFonts w:hint="eastAsia" w:ascii="宋体" w:hAnsi="宋体" w:eastAsia="宋体" w:cs="宋体"/>
          <w:color w:val="auto"/>
          <w:kern w:val="0"/>
          <w:sz w:val="21"/>
          <w:szCs w:val="21"/>
          <w:highlight w:val="none"/>
        </w:rPr>
        <w:t>。</w:t>
      </w:r>
    </w:p>
    <w:p w14:paraId="7E325C88">
      <w:pPr>
        <w:outlineLvl w:val="9"/>
        <w:rPr>
          <w:rFonts w:hint="eastAsia" w:ascii="宋体" w:hAnsi="宋体" w:eastAsia="宋体" w:cs="宋体"/>
          <w:color w:val="auto"/>
          <w:sz w:val="21"/>
          <w:szCs w:val="21"/>
          <w:highlight w:val="none"/>
        </w:rPr>
      </w:pPr>
      <w:bookmarkStart w:id="1259" w:name="_Toc373227774"/>
      <w:bookmarkStart w:id="1260" w:name="_Toc2001387503"/>
      <w:bookmarkStart w:id="1261" w:name="_Toc407135277"/>
      <w:bookmarkStart w:id="1262" w:name="_Toc389065339"/>
      <w:bookmarkStart w:id="1263" w:name="_Toc78449863"/>
      <w:bookmarkStart w:id="1264" w:name="_Toc454766369"/>
      <w:bookmarkStart w:id="1265" w:name="_Toc373478421"/>
      <w:bookmarkStart w:id="1266" w:name="_Toc5199"/>
      <w:r>
        <w:rPr>
          <w:rFonts w:hint="eastAsia" w:ascii="宋体" w:hAnsi="宋体" w:eastAsia="宋体" w:cs="宋体"/>
          <w:color w:val="auto"/>
          <w:sz w:val="21"/>
          <w:szCs w:val="21"/>
          <w:highlight w:val="none"/>
        </w:rPr>
        <w:t>18.3 其他保险</w:t>
      </w:r>
      <w:bookmarkEnd w:id="1259"/>
      <w:bookmarkEnd w:id="1260"/>
      <w:bookmarkEnd w:id="1261"/>
      <w:bookmarkEnd w:id="1262"/>
      <w:bookmarkEnd w:id="1263"/>
      <w:bookmarkEnd w:id="1264"/>
      <w:bookmarkEnd w:id="1265"/>
      <w:bookmarkEnd w:id="1266"/>
    </w:p>
    <w:p w14:paraId="35030712">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关于其他保险的约定：</w:t>
      </w:r>
      <w:r>
        <w:rPr>
          <w:rFonts w:hint="eastAsia" w:ascii="宋体" w:hAnsi="宋体" w:eastAsia="宋体" w:cs="宋体"/>
          <w:color w:val="auto"/>
          <w:sz w:val="21"/>
          <w:szCs w:val="21"/>
          <w:highlight w:val="none"/>
          <w:u w:val="single"/>
        </w:rPr>
        <w:t xml:space="preserve"> 根据《自治区住房城乡建设厅关于印发广西壮族自治区房屋建筑和</w:t>
      </w:r>
    </w:p>
    <w:p w14:paraId="33B2C5CD">
      <w:pPr>
        <w:spacing w:line="360" w:lineRule="auto"/>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市政基础设施工程安全生产责任保险计价规定的通知》桂建发〔2023〕6 号规定：安全生产责任保险费按分部分项工程费及措施项目费（含单价及总价措施项目费）为计算基数乘以 0.2%计入暂估价，工程结算时，由发承包双方根据工程实际情况确认的安全生产责任保险费计入工程造价 </w:t>
      </w:r>
      <w:r>
        <w:rPr>
          <w:rFonts w:hint="eastAsia" w:ascii="宋体" w:hAnsi="宋体" w:eastAsia="宋体" w:cs="宋体"/>
          <w:color w:val="auto"/>
          <w:sz w:val="21"/>
          <w:szCs w:val="21"/>
          <w:highlight w:val="none"/>
        </w:rPr>
        <w:t>。</w:t>
      </w:r>
    </w:p>
    <w:p w14:paraId="4098B7DF">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承包人是否应为其施工设备等办理财产保险：</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kern w:val="0"/>
          <w:sz w:val="21"/>
          <w:szCs w:val="21"/>
          <w:highlight w:val="none"/>
          <w:u w:val="single"/>
        </w:rPr>
        <w:t>承包人自行办理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8A4C504">
      <w:pPr>
        <w:outlineLvl w:val="9"/>
        <w:rPr>
          <w:rFonts w:hint="eastAsia" w:ascii="宋体" w:hAnsi="宋体" w:eastAsia="宋体" w:cs="宋体"/>
          <w:color w:val="auto"/>
          <w:sz w:val="21"/>
          <w:szCs w:val="21"/>
          <w:highlight w:val="none"/>
        </w:rPr>
      </w:pPr>
      <w:bookmarkStart w:id="1267" w:name="_Toc5942"/>
      <w:bookmarkStart w:id="1268" w:name="_Toc78449864"/>
      <w:bookmarkStart w:id="1269" w:name="_Toc1114527236"/>
      <w:bookmarkStart w:id="1270" w:name="_Toc373478422"/>
      <w:bookmarkStart w:id="1271" w:name="_Toc389065340"/>
      <w:bookmarkStart w:id="1272" w:name="_Toc373227775"/>
      <w:bookmarkStart w:id="1273" w:name="_Toc407135278"/>
      <w:bookmarkStart w:id="1274" w:name="_Toc2102614655"/>
      <w:r>
        <w:rPr>
          <w:rFonts w:hint="eastAsia" w:ascii="宋体" w:hAnsi="宋体" w:eastAsia="宋体" w:cs="宋体"/>
          <w:color w:val="auto"/>
          <w:sz w:val="21"/>
          <w:szCs w:val="21"/>
          <w:highlight w:val="none"/>
        </w:rPr>
        <w:t>18.7 通知义务</w:t>
      </w:r>
      <w:bookmarkEnd w:id="1267"/>
      <w:bookmarkEnd w:id="1268"/>
      <w:bookmarkEnd w:id="1269"/>
      <w:bookmarkEnd w:id="1270"/>
      <w:bookmarkEnd w:id="1271"/>
      <w:bookmarkEnd w:id="1272"/>
      <w:bookmarkEnd w:id="1273"/>
      <w:bookmarkEnd w:id="1274"/>
    </w:p>
    <w:p w14:paraId="3E3F3341">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关于变更保险合同时的通知义务的约定：</w:t>
      </w:r>
      <w:r>
        <w:rPr>
          <w:rFonts w:hint="eastAsia" w:ascii="宋体" w:hAnsi="宋体" w:eastAsia="宋体" w:cs="宋体"/>
          <w:color w:val="auto"/>
          <w:sz w:val="21"/>
          <w:szCs w:val="21"/>
          <w:highlight w:val="none"/>
          <w:u w:val="single"/>
        </w:rPr>
        <w:t xml:space="preserve">  按通用条款执行  </w:t>
      </w:r>
      <w:r>
        <w:rPr>
          <w:rFonts w:hint="eastAsia" w:ascii="宋体" w:hAnsi="宋体" w:eastAsia="宋体" w:cs="宋体"/>
          <w:color w:val="auto"/>
          <w:sz w:val="21"/>
          <w:szCs w:val="21"/>
          <w:highlight w:val="none"/>
        </w:rPr>
        <w:t>。</w:t>
      </w:r>
    </w:p>
    <w:bookmarkEnd w:id="1144"/>
    <w:bookmarkEnd w:id="1145"/>
    <w:bookmarkEnd w:id="1146"/>
    <w:bookmarkEnd w:id="1147"/>
    <w:bookmarkEnd w:id="1148"/>
    <w:bookmarkEnd w:id="1149"/>
    <w:bookmarkEnd w:id="1150"/>
    <w:bookmarkEnd w:id="1151"/>
    <w:bookmarkEnd w:id="1152"/>
    <w:bookmarkEnd w:id="1153"/>
    <w:bookmarkEnd w:id="1154"/>
    <w:bookmarkEnd w:id="1155"/>
    <w:p w14:paraId="03934753">
      <w:pPr>
        <w:outlineLvl w:val="9"/>
        <w:rPr>
          <w:rFonts w:hint="eastAsia" w:ascii="宋体" w:hAnsi="宋体" w:eastAsia="宋体" w:cs="宋体"/>
          <w:color w:val="auto"/>
          <w:sz w:val="21"/>
          <w:szCs w:val="21"/>
          <w:highlight w:val="none"/>
        </w:rPr>
      </w:pPr>
      <w:bookmarkStart w:id="1275" w:name="_Toc1959910599"/>
      <w:bookmarkStart w:id="1276" w:name="_Toc351203651"/>
      <w:bookmarkStart w:id="1277" w:name="_Toc389065341"/>
      <w:bookmarkStart w:id="1278" w:name="_Toc373227776"/>
      <w:bookmarkStart w:id="1279" w:name="_Toc407135279"/>
      <w:bookmarkStart w:id="1280" w:name="_Toc1708"/>
      <w:bookmarkStart w:id="1281" w:name="_Toc78449865"/>
      <w:bookmarkStart w:id="1282" w:name="_Toc373478423"/>
      <w:bookmarkStart w:id="1283" w:name="_Toc1430568476"/>
      <w:r>
        <w:rPr>
          <w:rFonts w:hint="eastAsia" w:ascii="宋体" w:hAnsi="宋体" w:eastAsia="宋体" w:cs="宋体"/>
          <w:color w:val="auto"/>
          <w:sz w:val="21"/>
          <w:szCs w:val="21"/>
          <w:highlight w:val="none"/>
        </w:rPr>
        <w:t>20. 争议解决</w:t>
      </w:r>
      <w:bookmarkEnd w:id="1275"/>
      <w:bookmarkEnd w:id="1276"/>
      <w:bookmarkEnd w:id="1277"/>
      <w:bookmarkEnd w:id="1278"/>
      <w:bookmarkEnd w:id="1279"/>
      <w:bookmarkEnd w:id="1280"/>
      <w:bookmarkEnd w:id="1281"/>
      <w:bookmarkEnd w:id="1282"/>
      <w:bookmarkEnd w:id="1283"/>
    </w:p>
    <w:bookmarkEnd w:id="1156"/>
    <w:bookmarkEnd w:id="1157"/>
    <w:p w14:paraId="569AF1CF">
      <w:pPr>
        <w:outlineLvl w:val="9"/>
        <w:rPr>
          <w:rFonts w:hint="eastAsia" w:ascii="宋体" w:hAnsi="宋体" w:eastAsia="宋体" w:cs="宋体"/>
          <w:color w:val="auto"/>
          <w:sz w:val="21"/>
          <w:szCs w:val="21"/>
          <w:highlight w:val="none"/>
        </w:rPr>
      </w:pPr>
      <w:bookmarkStart w:id="1284" w:name="_Toc1645489822"/>
      <w:bookmarkStart w:id="1285" w:name="_Toc21306"/>
      <w:bookmarkStart w:id="1286" w:name="_Toc389065342"/>
      <w:bookmarkStart w:id="1287" w:name="_Toc373227777"/>
      <w:bookmarkStart w:id="1288" w:name="_Toc373478424"/>
      <w:bookmarkStart w:id="1289" w:name="_Toc2138124043"/>
      <w:bookmarkStart w:id="1290" w:name="_Toc407135280"/>
      <w:bookmarkStart w:id="1291" w:name="_Toc78449866"/>
      <w:r>
        <w:rPr>
          <w:rFonts w:hint="eastAsia" w:ascii="宋体" w:hAnsi="宋体" w:eastAsia="宋体" w:cs="宋体"/>
          <w:color w:val="auto"/>
          <w:sz w:val="21"/>
          <w:szCs w:val="21"/>
          <w:highlight w:val="none"/>
        </w:rPr>
        <w:t>20.3 争</w:t>
      </w:r>
      <w:bookmarkEnd w:id="1158"/>
      <w:r>
        <w:rPr>
          <w:rFonts w:hint="eastAsia" w:ascii="宋体" w:hAnsi="宋体" w:eastAsia="宋体" w:cs="宋体"/>
          <w:color w:val="auto"/>
          <w:sz w:val="21"/>
          <w:szCs w:val="21"/>
          <w:highlight w:val="none"/>
        </w:rPr>
        <w:t>议评审</w:t>
      </w:r>
      <w:bookmarkEnd w:id="1284"/>
      <w:bookmarkEnd w:id="1285"/>
      <w:bookmarkEnd w:id="1286"/>
      <w:bookmarkEnd w:id="1287"/>
      <w:bookmarkEnd w:id="1288"/>
      <w:bookmarkEnd w:id="1289"/>
      <w:bookmarkEnd w:id="1290"/>
      <w:bookmarkEnd w:id="1291"/>
    </w:p>
    <w:p w14:paraId="7B2AAD68">
      <w:pPr>
        <w:spacing w:line="360" w:lineRule="auto"/>
        <w:ind w:left="149" w:leftChars="71" w:firstLine="315" w:firstLineChars="15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合同当事人是否同意将工程争议提交争议评审小组决定：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不同意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01BDFCB">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20.3.1 争议评审小组的确定</w:t>
      </w:r>
    </w:p>
    <w:p w14:paraId="48922C35">
      <w:pPr>
        <w:spacing w:line="360" w:lineRule="auto"/>
        <w:ind w:firstLine="420" w:firstLineChars="200"/>
        <w:jc w:val="left"/>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争议评审小组成员的确定：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不采用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5B756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B1EBDC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争议评审小组成员的报酬承担方式：</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9D66B20">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其他事项的约定：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6CE23E5">
      <w:pPr>
        <w:autoSpaceDE w:val="0"/>
        <w:autoSpaceDN w:val="0"/>
        <w:adjustRightInd w:val="0"/>
        <w:spacing w:line="360" w:lineRule="auto"/>
        <w:ind w:firstLine="420" w:firstLineChars="200"/>
        <w:jc w:val="left"/>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20.3.2 争议评审小组的决定</w:t>
      </w:r>
    </w:p>
    <w:p w14:paraId="2CC44383">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合同当事人关于本项的约定：</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lang w:val="en-US" w:eastAsia="zh-CN"/>
        </w:rPr>
        <w:t>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651E21">
      <w:pPr>
        <w:outlineLvl w:val="9"/>
        <w:rPr>
          <w:rFonts w:hint="eastAsia" w:ascii="宋体" w:hAnsi="宋体" w:eastAsia="宋体" w:cs="宋体"/>
          <w:color w:val="auto"/>
          <w:sz w:val="21"/>
          <w:szCs w:val="21"/>
          <w:highlight w:val="none"/>
        </w:rPr>
      </w:pPr>
      <w:bookmarkStart w:id="1292" w:name="_Toc21101"/>
      <w:bookmarkStart w:id="1293" w:name="_Toc373227778"/>
      <w:bookmarkStart w:id="1294" w:name="_Toc78449867"/>
      <w:bookmarkStart w:id="1295" w:name="_Toc389065343"/>
      <w:bookmarkStart w:id="1296" w:name="_Toc373478425"/>
      <w:bookmarkStart w:id="1297" w:name="_Toc1156795721"/>
      <w:bookmarkStart w:id="1298" w:name="_Toc407135281"/>
      <w:bookmarkStart w:id="1299" w:name="_Toc1456517022"/>
      <w:r>
        <w:rPr>
          <w:rFonts w:hint="eastAsia" w:ascii="宋体" w:hAnsi="宋体" w:eastAsia="宋体" w:cs="宋体"/>
          <w:color w:val="auto"/>
          <w:sz w:val="21"/>
          <w:szCs w:val="21"/>
          <w:highlight w:val="none"/>
        </w:rPr>
        <w:t>20.4 仲裁或诉讼</w:t>
      </w:r>
      <w:bookmarkEnd w:id="1159"/>
      <w:bookmarkEnd w:id="1292"/>
      <w:bookmarkEnd w:id="1293"/>
      <w:bookmarkEnd w:id="1294"/>
      <w:bookmarkEnd w:id="1295"/>
      <w:bookmarkEnd w:id="1296"/>
      <w:bookmarkEnd w:id="1297"/>
      <w:bookmarkEnd w:id="1298"/>
      <w:bookmarkEnd w:id="1299"/>
    </w:p>
    <w:p w14:paraId="28BEE802">
      <w:pPr>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因合同及合同有关事项发生的争议，按下列第</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7676F38">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（1）提请</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北海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仲裁委员会按照该会仲裁规则进行仲裁，仲裁裁决是终局的，对合同双方均有约束力。</w:t>
      </w:r>
    </w:p>
    <w:p w14:paraId="77DD652A">
      <w:pPr>
        <w:spacing w:line="360" w:lineRule="auto"/>
        <w:ind w:firstLine="420" w:firstLineChars="200"/>
        <w:jc w:val="lef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u w:val="single"/>
        </w:rPr>
        <w:t>项目所在地有管辖权的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bookmarkEnd w:id="1160"/>
      <w:bookmarkEnd w:id="1161"/>
      <w:bookmarkEnd w:id="1162"/>
      <w:bookmarkEnd w:id="1163"/>
      <w:bookmarkEnd w:id="1164"/>
      <w:bookmarkEnd w:id="1165"/>
    </w:p>
    <w:p w14:paraId="5CA14B61">
      <w:pPr>
        <w:pStyle w:val="98"/>
        <w:spacing w:line="360" w:lineRule="auto"/>
        <w:ind w:firstLine="420" w:firstLineChars="200"/>
        <w:jc w:val="left"/>
        <w:outlineLvl w:val="9"/>
        <w:rPr>
          <w:rStyle w:val="39"/>
          <w:rFonts w:hint="eastAsia" w:ascii="宋体" w:hAnsi="宋体" w:eastAsia="宋体" w:cs="宋体"/>
          <w:color w:val="auto"/>
          <w:sz w:val="21"/>
          <w:szCs w:val="21"/>
          <w:highlight w:val="none"/>
        </w:rPr>
      </w:pPr>
    </w:p>
    <w:p w14:paraId="4A565B39">
      <w:pPr>
        <w:pStyle w:val="98"/>
        <w:spacing w:line="460" w:lineRule="exact"/>
        <w:ind w:firstLine="420" w:firstLineChars="200"/>
        <w:outlineLvl w:val="9"/>
        <w:rPr>
          <w:rStyle w:val="39"/>
          <w:rFonts w:hint="eastAsia" w:ascii="宋体" w:hAnsi="宋体" w:eastAsia="宋体" w:cs="宋体"/>
          <w:color w:val="auto"/>
          <w:sz w:val="21"/>
          <w:szCs w:val="21"/>
          <w:highlight w:val="none"/>
        </w:rPr>
      </w:pPr>
    </w:p>
    <w:p w14:paraId="2B596E66">
      <w:pPr>
        <w:pStyle w:val="98"/>
        <w:spacing w:line="460" w:lineRule="exact"/>
        <w:ind w:firstLine="420" w:firstLineChars="200"/>
        <w:outlineLvl w:val="9"/>
        <w:rPr>
          <w:rStyle w:val="39"/>
          <w:rFonts w:hint="eastAsia" w:ascii="宋体" w:hAnsi="宋体" w:eastAsia="宋体" w:cs="宋体"/>
          <w:color w:val="auto"/>
          <w:sz w:val="21"/>
          <w:szCs w:val="21"/>
          <w:highlight w:val="none"/>
        </w:rPr>
      </w:pPr>
    </w:p>
    <w:p w14:paraId="770E3435">
      <w:pPr>
        <w:pStyle w:val="98"/>
        <w:spacing w:line="360" w:lineRule="auto"/>
        <w:jc w:val="left"/>
        <w:outlineLvl w:val="9"/>
        <w:rPr>
          <w:rStyle w:val="39"/>
          <w:rFonts w:hint="eastAsia" w:ascii="宋体" w:hAnsi="宋体" w:eastAsia="宋体" w:cs="宋体"/>
          <w:b/>
          <w:bCs/>
          <w:color w:val="auto"/>
          <w:sz w:val="21"/>
          <w:szCs w:val="21"/>
          <w:highlight w:val="none"/>
        </w:rPr>
      </w:pPr>
      <w:bookmarkStart w:id="1300" w:name="_Toc351203652"/>
      <w:r>
        <w:rPr>
          <w:rStyle w:val="39"/>
          <w:rFonts w:hint="eastAsia" w:ascii="宋体" w:hAnsi="宋体" w:eastAsia="宋体" w:cs="宋体"/>
          <w:b/>
          <w:bCs/>
          <w:color w:val="auto"/>
          <w:sz w:val="21"/>
          <w:szCs w:val="21"/>
          <w:highlight w:val="none"/>
        </w:rPr>
        <w:br w:type="page"/>
      </w:r>
      <w:r>
        <w:rPr>
          <w:rStyle w:val="39"/>
          <w:rFonts w:hint="eastAsia" w:ascii="宋体" w:hAnsi="宋体" w:eastAsia="宋体" w:cs="宋体"/>
          <w:b/>
          <w:bCs/>
          <w:color w:val="auto"/>
          <w:sz w:val="21"/>
          <w:szCs w:val="21"/>
          <w:highlight w:val="none"/>
        </w:rPr>
        <w:t>附件</w:t>
      </w:r>
      <w:bookmarkEnd w:id="1300"/>
    </w:p>
    <w:p w14:paraId="6129DDDA">
      <w:pPr>
        <w:pStyle w:val="98"/>
        <w:spacing w:line="360" w:lineRule="auto"/>
        <w:jc w:val="lef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附件</w:t>
      </w:r>
      <w:r>
        <w:rPr>
          <w:rStyle w:val="39"/>
          <w:rFonts w:hint="eastAsia" w:ascii="宋体" w:hAnsi="宋体" w:eastAsia="宋体" w:cs="宋体"/>
          <w:color w:val="auto"/>
          <w:sz w:val="21"/>
          <w:szCs w:val="21"/>
          <w:highlight w:val="none"/>
          <w:lang w:val="en-US" w:eastAsia="zh-CN"/>
        </w:rPr>
        <w:t>1</w:t>
      </w:r>
      <w:r>
        <w:rPr>
          <w:rStyle w:val="39"/>
          <w:rFonts w:hint="eastAsia" w:ascii="宋体" w:hAnsi="宋体" w:eastAsia="宋体" w:cs="宋体"/>
          <w:color w:val="auto"/>
          <w:sz w:val="21"/>
          <w:szCs w:val="21"/>
          <w:highlight w:val="none"/>
        </w:rPr>
        <w:t>：工程质量保修书</w:t>
      </w:r>
    </w:p>
    <w:p w14:paraId="2CBC3AF7">
      <w:pPr>
        <w:pStyle w:val="98"/>
        <w:spacing w:line="360" w:lineRule="auto"/>
        <w:jc w:val="lef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附件</w:t>
      </w:r>
      <w:r>
        <w:rPr>
          <w:rStyle w:val="39"/>
          <w:rFonts w:hint="eastAsia" w:ascii="宋体" w:hAnsi="宋体" w:eastAsia="宋体" w:cs="宋体"/>
          <w:color w:val="auto"/>
          <w:sz w:val="21"/>
          <w:szCs w:val="21"/>
          <w:highlight w:val="none"/>
          <w:lang w:val="en-US" w:eastAsia="zh-CN"/>
        </w:rPr>
        <w:t>2</w:t>
      </w:r>
      <w:r>
        <w:rPr>
          <w:rStyle w:val="39"/>
          <w:rFonts w:hint="eastAsia" w:ascii="宋体" w:hAnsi="宋体" w:eastAsia="宋体" w:cs="宋体"/>
          <w:color w:val="auto"/>
          <w:sz w:val="21"/>
          <w:szCs w:val="21"/>
          <w:highlight w:val="none"/>
        </w:rPr>
        <w:t>：承包人用于本工程施工的机械设备表</w:t>
      </w:r>
    </w:p>
    <w:p w14:paraId="11AD1202">
      <w:pPr>
        <w:pStyle w:val="98"/>
        <w:spacing w:line="360" w:lineRule="auto"/>
        <w:jc w:val="lef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附件</w:t>
      </w:r>
      <w:r>
        <w:rPr>
          <w:rStyle w:val="39"/>
          <w:rFonts w:hint="eastAsia" w:ascii="宋体" w:hAnsi="宋体" w:eastAsia="宋体" w:cs="宋体"/>
          <w:color w:val="auto"/>
          <w:sz w:val="21"/>
          <w:szCs w:val="21"/>
          <w:highlight w:val="none"/>
          <w:lang w:val="en-US" w:eastAsia="zh-CN"/>
        </w:rPr>
        <w:t>3</w:t>
      </w:r>
      <w:r>
        <w:rPr>
          <w:rStyle w:val="39"/>
          <w:rFonts w:hint="eastAsia" w:ascii="宋体" w:hAnsi="宋体" w:eastAsia="宋体" w:cs="宋体"/>
          <w:color w:val="auto"/>
          <w:sz w:val="21"/>
          <w:szCs w:val="21"/>
          <w:highlight w:val="none"/>
        </w:rPr>
        <w:t>：承包人主要施工管理人员表</w:t>
      </w:r>
    </w:p>
    <w:p w14:paraId="1206366E">
      <w:pPr>
        <w:pStyle w:val="98"/>
        <w:spacing w:line="360" w:lineRule="auto"/>
        <w:jc w:val="lef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附件</w:t>
      </w:r>
      <w:r>
        <w:rPr>
          <w:rStyle w:val="39"/>
          <w:rFonts w:hint="eastAsia" w:ascii="宋体" w:hAnsi="宋体" w:eastAsia="宋体" w:cs="宋体"/>
          <w:color w:val="auto"/>
          <w:sz w:val="21"/>
          <w:szCs w:val="21"/>
          <w:highlight w:val="none"/>
          <w:lang w:val="en-US" w:eastAsia="zh-CN"/>
        </w:rPr>
        <w:t>4</w:t>
      </w:r>
      <w:r>
        <w:rPr>
          <w:rStyle w:val="39"/>
          <w:rFonts w:hint="eastAsia" w:ascii="宋体" w:hAnsi="宋体" w:eastAsia="宋体" w:cs="宋体"/>
          <w:color w:val="auto"/>
          <w:sz w:val="21"/>
          <w:szCs w:val="21"/>
          <w:highlight w:val="none"/>
        </w:rPr>
        <w:t>：竣工结算款支付申请（核准）表</w:t>
      </w:r>
    </w:p>
    <w:p w14:paraId="11CFA3E4">
      <w:pPr>
        <w:pStyle w:val="98"/>
        <w:spacing w:line="360" w:lineRule="auto"/>
        <w:jc w:val="lef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附件</w:t>
      </w:r>
      <w:r>
        <w:rPr>
          <w:rStyle w:val="39"/>
          <w:rFonts w:hint="eastAsia" w:ascii="宋体" w:hAnsi="宋体" w:eastAsia="宋体" w:cs="宋体"/>
          <w:color w:val="auto"/>
          <w:sz w:val="21"/>
          <w:szCs w:val="21"/>
          <w:highlight w:val="none"/>
          <w:lang w:val="en-US" w:eastAsia="zh-CN"/>
        </w:rPr>
        <w:t>5</w:t>
      </w:r>
      <w:r>
        <w:rPr>
          <w:rStyle w:val="39"/>
          <w:rFonts w:hint="eastAsia" w:ascii="宋体" w:hAnsi="宋体" w:eastAsia="宋体" w:cs="宋体"/>
          <w:color w:val="auto"/>
          <w:sz w:val="21"/>
          <w:szCs w:val="21"/>
          <w:highlight w:val="none"/>
        </w:rPr>
        <w:t>：最终结算款支付申请（核准）表</w:t>
      </w:r>
    </w:p>
    <w:p w14:paraId="409E9055">
      <w:pPr>
        <w:pStyle w:val="98"/>
        <w:spacing w:line="360" w:lineRule="auto"/>
        <w:jc w:val="left"/>
        <w:rPr>
          <w:rStyle w:val="39"/>
          <w:rFonts w:hint="eastAsia" w:ascii="宋体" w:hAnsi="宋体" w:eastAsia="宋体" w:cs="宋体"/>
          <w:color w:val="auto"/>
          <w:sz w:val="21"/>
          <w:szCs w:val="21"/>
          <w:highlight w:val="none"/>
          <w:lang w:val="en-US" w:eastAsia="zh-CN"/>
        </w:rPr>
      </w:pPr>
      <w:r>
        <w:rPr>
          <w:rStyle w:val="39"/>
          <w:rFonts w:hint="eastAsia" w:ascii="宋体" w:hAnsi="宋体" w:eastAsia="宋体" w:cs="宋体"/>
          <w:color w:val="auto"/>
          <w:sz w:val="21"/>
          <w:szCs w:val="21"/>
          <w:highlight w:val="none"/>
        </w:rPr>
        <w:t>附件</w:t>
      </w:r>
      <w:r>
        <w:rPr>
          <w:rStyle w:val="39"/>
          <w:rFonts w:hint="eastAsia" w:ascii="宋体" w:hAnsi="宋体" w:eastAsia="宋体" w:cs="宋体"/>
          <w:color w:val="auto"/>
          <w:sz w:val="21"/>
          <w:szCs w:val="21"/>
          <w:highlight w:val="none"/>
          <w:lang w:val="en-US" w:eastAsia="zh-CN"/>
        </w:rPr>
        <w:t>6</w:t>
      </w:r>
      <w:r>
        <w:rPr>
          <w:rStyle w:val="39"/>
          <w:rFonts w:hint="eastAsia" w:ascii="宋体" w:hAnsi="宋体" w:eastAsia="宋体" w:cs="宋体"/>
          <w:color w:val="auto"/>
          <w:sz w:val="21"/>
          <w:szCs w:val="21"/>
          <w:highlight w:val="none"/>
        </w:rPr>
        <w:t>：</w:t>
      </w:r>
      <w:r>
        <w:rPr>
          <w:rStyle w:val="39"/>
          <w:rFonts w:hint="eastAsia" w:ascii="宋体" w:hAnsi="宋体" w:cs="宋体"/>
          <w:color w:val="auto"/>
          <w:sz w:val="21"/>
          <w:szCs w:val="21"/>
          <w:highlight w:val="none"/>
          <w:lang w:val="en-US" w:eastAsia="zh-CN"/>
        </w:rPr>
        <w:t>竞标函及竞标函附录</w:t>
      </w:r>
    </w:p>
    <w:p w14:paraId="07E72370">
      <w:pPr>
        <w:pStyle w:val="98"/>
        <w:spacing w:line="360" w:lineRule="auto"/>
        <w:jc w:val="left"/>
        <w:rPr>
          <w:rStyle w:val="39"/>
          <w:rFonts w:hint="default" w:ascii="宋体" w:hAnsi="宋体" w:eastAsia="宋体" w:cs="宋体"/>
          <w:color w:val="auto"/>
          <w:sz w:val="21"/>
          <w:szCs w:val="21"/>
          <w:highlight w:val="none"/>
          <w:lang w:val="en-US" w:eastAsia="zh-CN"/>
        </w:rPr>
      </w:pPr>
      <w:r>
        <w:rPr>
          <w:rStyle w:val="39"/>
          <w:rFonts w:hint="eastAsia" w:ascii="宋体" w:hAnsi="宋体" w:eastAsia="宋体" w:cs="宋体"/>
          <w:color w:val="auto"/>
          <w:sz w:val="21"/>
          <w:szCs w:val="21"/>
          <w:highlight w:val="none"/>
          <w:lang w:val="en-US" w:eastAsia="zh-CN"/>
        </w:rPr>
        <w:t>附件7：</w:t>
      </w:r>
      <w:r>
        <w:rPr>
          <w:rStyle w:val="39"/>
          <w:rFonts w:hint="eastAsia" w:ascii="宋体" w:hAnsi="宋体" w:cs="宋体"/>
          <w:color w:val="auto"/>
          <w:sz w:val="21"/>
          <w:szCs w:val="21"/>
          <w:highlight w:val="none"/>
          <w:lang w:val="en-US" w:eastAsia="zh-CN"/>
        </w:rPr>
        <w:t>竞标报价表</w:t>
      </w:r>
    </w:p>
    <w:p w14:paraId="13994BF4">
      <w:pPr>
        <w:pStyle w:val="98"/>
        <w:spacing w:line="360" w:lineRule="auto"/>
        <w:jc w:val="left"/>
        <w:rPr>
          <w:rStyle w:val="39"/>
          <w:rFonts w:hint="eastAsia" w:ascii="宋体" w:hAnsi="宋体" w:eastAsia="宋体" w:cs="宋体"/>
          <w:color w:val="auto"/>
          <w:sz w:val="21"/>
          <w:szCs w:val="21"/>
          <w:highlight w:val="none"/>
          <w:lang w:val="en-US" w:eastAsia="zh-CN"/>
        </w:rPr>
      </w:pPr>
      <w:r>
        <w:rPr>
          <w:rStyle w:val="39"/>
          <w:rFonts w:hint="eastAsia" w:ascii="宋体" w:hAnsi="宋体" w:eastAsia="宋体" w:cs="宋体"/>
          <w:color w:val="auto"/>
          <w:sz w:val="21"/>
          <w:szCs w:val="21"/>
          <w:highlight w:val="none"/>
          <w:lang w:val="en-US" w:eastAsia="zh-CN"/>
        </w:rPr>
        <w:t>附件8：成交通知书</w:t>
      </w:r>
    </w:p>
    <w:p w14:paraId="780114EE">
      <w:pPr>
        <w:pStyle w:val="99"/>
        <w:ind w:left="0" w:leftChars="0" w:firstLine="0" w:firstLineChars="0"/>
        <w:rPr>
          <w:rStyle w:val="39"/>
          <w:rFonts w:hint="eastAsia" w:ascii="宋体" w:hAnsi="宋体" w:eastAsia="宋体" w:cs="宋体"/>
          <w:color w:val="auto"/>
          <w:sz w:val="21"/>
          <w:szCs w:val="21"/>
          <w:highlight w:val="none"/>
          <w:lang w:val="en-US" w:eastAsia="zh-CN"/>
        </w:rPr>
      </w:pPr>
    </w:p>
    <w:p w14:paraId="1280F414">
      <w:pPr>
        <w:pStyle w:val="98"/>
        <w:spacing w:line="460" w:lineRule="exact"/>
        <w:ind w:firstLine="420" w:firstLineChars="200"/>
        <w:rPr>
          <w:rStyle w:val="39"/>
          <w:rFonts w:ascii="Calibri" w:hAnsi="Calibri" w:eastAsia="宋体" w:cs="Times New Roman"/>
          <w:color w:val="auto"/>
          <w:highlight w:val="none"/>
        </w:rPr>
      </w:pPr>
    </w:p>
    <w:p w14:paraId="4C2759CA">
      <w:pPr>
        <w:pStyle w:val="98"/>
        <w:spacing w:line="460" w:lineRule="exact"/>
        <w:ind w:firstLine="420" w:firstLineChars="200"/>
        <w:rPr>
          <w:rStyle w:val="39"/>
          <w:rFonts w:ascii="Calibri" w:hAnsi="Calibri" w:eastAsia="宋体" w:cs="Times New Roman"/>
          <w:color w:val="auto"/>
          <w:highlight w:val="none"/>
        </w:rPr>
      </w:pPr>
    </w:p>
    <w:p w14:paraId="5DDBEF36">
      <w:pPr>
        <w:pStyle w:val="98"/>
        <w:spacing w:line="440" w:lineRule="exact"/>
        <w:rPr>
          <w:rStyle w:val="39"/>
          <w:rFonts w:hint="eastAsia" w:ascii="宋体" w:hAnsi="宋体" w:eastAsia="宋体" w:cs="宋体"/>
          <w:b/>
          <w:bCs/>
          <w:color w:val="auto"/>
          <w:sz w:val="21"/>
          <w:szCs w:val="21"/>
          <w:highlight w:val="none"/>
        </w:rPr>
      </w:pPr>
      <w:r>
        <w:rPr>
          <w:rStyle w:val="39"/>
          <w:rFonts w:hint="eastAsia" w:ascii="宋体" w:hAnsi="宋体" w:eastAsia="宋体" w:cs="宋体"/>
          <w:color w:val="auto"/>
          <w:sz w:val="30"/>
          <w:szCs w:val="30"/>
          <w:highlight w:val="none"/>
        </w:rPr>
        <w:br w:type="page"/>
      </w:r>
      <w:r>
        <w:rPr>
          <w:rStyle w:val="39"/>
          <w:rFonts w:hint="eastAsia" w:ascii="宋体" w:hAnsi="宋体" w:eastAsia="宋体" w:cs="宋体"/>
          <w:b/>
          <w:bCs/>
          <w:color w:val="auto"/>
          <w:sz w:val="21"/>
          <w:szCs w:val="21"/>
          <w:highlight w:val="none"/>
        </w:rPr>
        <w:t>附件</w:t>
      </w:r>
      <w:r>
        <w:rPr>
          <w:rStyle w:val="39"/>
          <w:rFonts w:hint="eastAsia" w:ascii="宋体" w:hAnsi="宋体" w:eastAsia="宋体" w:cs="宋体"/>
          <w:b/>
          <w:bCs/>
          <w:color w:val="auto"/>
          <w:sz w:val="21"/>
          <w:szCs w:val="21"/>
          <w:highlight w:val="none"/>
          <w:lang w:val="en-US" w:eastAsia="zh-CN"/>
        </w:rPr>
        <w:t>1</w:t>
      </w:r>
      <w:r>
        <w:rPr>
          <w:rStyle w:val="39"/>
          <w:rFonts w:hint="eastAsia" w:ascii="宋体" w:hAnsi="宋体" w:eastAsia="宋体" w:cs="宋体"/>
          <w:b/>
          <w:bCs/>
          <w:color w:val="auto"/>
          <w:sz w:val="21"/>
          <w:szCs w:val="21"/>
          <w:highlight w:val="none"/>
        </w:rPr>
        <w:t>：</w:t>
      </w:r>
    </w:p>
    <w:p w14:paraId="75FD7F41">
      <w:pPr>
        <w:pStyle w:val="98"/>
        <w:spacing w:before="120" w:beforeLines="50" w:after="120" w:afterLines="50" w:line="440" w:lineRule="exact"/>
        <w:jc w:val="center"/>
        <w:rPr>
          <w:rStyle w:val="39"/>
          <w:rFonts w:hint="eastAsia" w:ascii="宋体" w:hAnsi="宋体" w:eastAsia="宋体" w:cs="宋体"/>
          <w:b/>
          <w:bCs/>
          <w:color w:val="auto"/>
          <w:sz w:val="21"/>
          <w:szCs w:val="21"/>
          <w:highlight w:val="none"/>
        </w:rPr>
      </w:pPr>
      <w:r>
        <w:rPr>
          <w:rStyle w:val="39"/>
          <w:rFonts w:hint="eastAsia" w:ascii="宋体" w:hAnsi="宋体" w:eastAsia="宋体" w:cs="宋体"/>
          <w:b/>
          <w:bCs/>
          <w:color w:val="auto"/>
          <w:sz w:val="24"/>
          <w:szCs w:val="24"/>
          <w:highlight w:val="none"/>
        </w:rPr>
        <w:t>工程质量保修书（房屋建筑工程）</w:t>
      </w:r>
    </w:p>
    <w:p w14:paraId="6D1BAF7D">
      <w:pPr>
        <w:pStyle w:val="98"/>
        <w:spacing w:line="440" w:lineRule="exact"/>
        <w:ind w:firstLine="420" w:firstLineChars="20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发包人（全称）：</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 xml:space="preserve"> </w:t>
      </w:r>
    </w:p>
    <w:p w14:paraId="0AE348F8">
      <w:pPr>
        <w:pStyle w:val="98"/>
        <w:spacing w:line="440" w:lineRule="exact"/>
        <w:ind w:firstLine="420" w:firstLineChars="20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承包人（全称）：</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 xml:space="preserve"> </w:t>
      </w:r>
    </w:p>
    <w:p w14:paraId="254F2A45">
      <w:pPr>
        <w:pStyle w:val="98"/>
        <w:spacing w:line="440" w:lineRule="exact"/>
        <w:rPr>
          <w:rStyle w:val="39"/>
          <w:rFonts w:hint="eastAsia" w:ascii="宋体" w:hAnsi="宋体" w:eastAsia="宋体" w:cs="宋体"/>
          <w:color w:val="auto"/>
          <w:sz w:val="21"/>
          <w:szCs w:val="21"/>
          <w:highlight w:val="none"/>
        </w:rPr>
      </w:pPr>
    </w:p>
    <w:p w14:paraId="0765C879">
      <w:pPr>
        <w:pStyle w:val="98"/>
        <w:spacing w:line="360" w:lineRule="auto"/>
        <w:ind w:firstLine="420" w:firstLineChars="20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发包人和承包人根据《中华人民共和国建筑法》和《建设工程质量管理条例》，经协商一致就</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（工程全称）签订工程质量保修书。</w:t>
      </w:r>
    </w:p>
    <w:p w14:paraId="02B0B141">
      <w:pPr>
        <w:pStyle w:val="98"/>
        <w:spacing w:line="360" w:lineRule="auto"/>
        <w:ind w:firstLine="420" w:firstLineChars="20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一、工程质量保修范围和内容</w:t>
      </w:r>
    </w:p>
    <w:p w14:paraId="00933E31">
      <w:pPr>
        <w:pStyle w:val="98"/>
        <w:spacing w:line="360" w:lineRule="auto"/>
        <w:ind w:firstLine="420" w:firstLineChars="20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承包人在质量保修期内，按照有关法律规定和合同约定，承担工程质量保修责任。</w:t>
      </w:r>
    </w:p>
    <w:p w14:paraId="396EC568">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E1D9841">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w:t>
      </w:r>
    </w:p>
    <w:p w14:paraId="0FA6D904">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二、质量保修期</w:t>
      </w:r>
    </w:p>
    <w:p w14:paraId="2A29DD89">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根据《建设工程质量管理条例》及有关规定，工程的质量保修期如下：</w:t>
      </w:r>
    </w:p>
    <w:p w14:paraId="24D60767">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1．地基基础工程和主体结构工程为设计文件规定的工程合理使用年限；</w:t>
      </w:r>
    </w:p>
    <w:p w14:paraId="19F95DD8">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2．屋面防水工程、有防水要求的卫生间、房间和外墙面的防渗为</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年；</w:t>
      </w:r>
    </w:p>
    <w:p w14:paraId="6228E130">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3．装修工程为</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年；</w:t>
      </w:r>
    </w:p>
    <w:p w14:paraId="1A038700">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4．电气管线、给排水管道、设备安装工程为</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年；</w:t>
      </w:r>
    </w:p>
    <w:p w14:paraId="7ED1FF86">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5．供热与供冷系统为</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个采暖期、供冷期；</w:t>
      </w:r>
    </w:p>
    <w:p w14:paraId="48B63AC0">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6．住宅小区内的给排水设施、道路等配套工程为</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年；</w:t>
      </w:r>
    </w:p>
    <w:p w14:paraId="4C496ED2">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7．其他项目保修期限约定如下：</w:t>
      </w:r>
    </w:p>
    <w:p w14:paraId="18DD572F">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w:t>
      </w:r>
    </w:p>
    <w:p w14:paraId="30600EF3">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质量保修期自工程竣工验收合格之日起计算。</w:t>
      </w:r>
    </w:p>
    <w:p w14:paraId="0F48C680">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三、缺陷责任期</w:t>
      </w:r>
    </w:p>
    <w:p w14:paraId="6F1ECA97">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工程缺陷责任期为</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088A1617">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缺陷责任期</w:t>
      </w:r>
      <w:r>
        <w:rPr>
          <w:rStyle w:val="39"/>
          <w:rFonts w:hint="eastAsia" w:ascii="宋体" w:hAnsi="宋体" w:eastAsia="宋体" w:cs="宋体"/>
          <w:color w:val="auto"/>
          <w:sz w:val="21"/>
          <w:szCs w:val="21"/>
          <w:highlight w:val="none"/>
          <w:u w:val="single"/>
        </w:rPr>
        <w:t>满</w:t>
      </w:r>
      <w:r>
        <w:rPr>
          <w:rStyle w:val="39"/>
          <w:rFonts w:hint="eastAsia" w:ascii="宋体" w:hAnsi="宋体" w:eastAsia="宋体" w:cs="宋体"/>
          <w:color w:val="auto"/>
          <w:sz w:val="21"/>
          <w:szCs w:val="21"/>
          <w:highlight w:val="none"/>
        </w:rPr>
        <w:t>之日起</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天</w:t>
      </w:r>
      <w:r>
        <w:rPr>
          <w:rStyle w:val="39"/>
          <w:rFonts w:hint="eastAsia" w:ascii="宋体" w:hAnsi="宋体" w:eastAsia="宋体" w:cs="宋体"/>
          <w:color w:val="auto"/>
          <w:sz w:val="21"/>
          <w:szCs w:val="21"/>
          <w:highlight w:val="none"/>
          <w:u w:val="single"/>
        </w:rPr>
        <w:t>（按合同约定期限），</w:t>
      </w:r>
      <w:r>
        <w:rPr>
          <w:rStyle w:val="39"/>
          <w:rFonts w:hint="eastAsia" w:ascii="宋体" w:hAnsi="宋体" w:eastAsia="宋体" w:cs="宋体"/>
          <w:color w:val="auto"/>
          <w:sz w:val="21"/>
          <w:szCs w:val="21"/>
          <w:highlight w:val="none"/>
        </w:rPr>
        <w:t>发包人应退还剩余的质量保证金。</w:t>
      </w:r>
    </w:p>
    <w:p w14:paraId="46D2624D">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四、质量保修责任</w:t>
      </w:r>
    </w:p>
    <w:p w14:paraId="080FCB3F">
      <w:pPr>
        <w:pStyle w:val="98"/>
        <w:spacing w:line="360" w:lineRule="auto"/>
        <w:ind w:left="105" w:leftChars="50" w:firstLine="430" w:firstLineChars="205"/>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1．属于保修范围、内容的项目，承包人应当在接到保修通知之日起</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天内派人保修。承包人不在约定期限内派人保修的，发包人可以委托他人修理，修理费用从质量保证金内扣除。</w:t>
      </w:r>
    </w:p>
    <w:p w14:paraId="321C0283">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2．发生紧急事故需抢修的，承包人在接到事故通知后，应当立即到达事故现场抢修。</w:t>
      </w:r>
    </w:p>
    <w:p w14:paraId="7565F49E">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8FE2A02">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4．质量保修完成后，由发包人组织验收。</w:t>
      </w:r>
    </w:p>
    <w:p w14:paraId="31551054">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五、保修费用</w:t>
      </w:r>
    </w:p>
    <w:p w14:paraId="03E425F4">
      <w:pPr>
        <w:pStyle w:val="98"/>
        <w:tabs>
          <w:tab w:val="left" w:pos="7380"/>
        </w:tabs>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保修费用由造成质量缺陷的责任方承担。</w:t>
      </w:r>
    </w:p>
    <w:p w14:paraId="4060E975">
      <w:pPr>
        <w:pStyle w:val="98"/>
        <w:spacing w:line="360" w:lineRule="auto"/>
        <w:ind w:firstLine="42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 xml:space="preserve">六、双方约定的其他工程质量保修事项： </w:t>
      </w:r>
    </w:p>
    <w:p w14:paraId="5DDA6C0C">
      <w:pPr>
        <w:pStyle w:val="98"/>
        <w:spacing w:line="360" w:lineRule="auto"/>
        <w:ind w:firstLine="420" w:firstLineChars="200"/>
        <w:jc w:val="lef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w:t>
      </w:r>
    </w:p>
    <w:p w14:paraId="42F4916D">
      <w:pPr>
        <w:pStyle w:val="98"/>
        <w:spacing w:line="360" w:lineRule="auto"/>
        <w:ind w:firstLine="399" w:firstLineChars="19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CE38D4E">
      <w:pPr>
        <w:pStyle w:val="98"/>
        <w:spacing w:line="360" w:lineRule="auto"/>
        <w:ind w:firstLine="420"/>
        <w:rPr>
          <w:rStyle w:val="39"/>
          <w:rFonts w:hint="eastAsia" w:ascii="宋体" w:hAnsi="宋体" w:eastAsia="宋体" w:cs="宋体"/>
          <w:color w:val="auto"/>
          <w:sz w:val="21"/>
          <w:szCs w:val="21"/>
          <w:highlight w:val="none"/>
        </w:rPr>
      </w:pPr>
    </w:p>
    <w:p w14:paraId="5A53A237">
      <w:pPr>
        <w:pStyle w:val="98"/>
        <w:spacing w:line="360" w:lineRule="auto"/>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发包人（公章）：</w:t>
      </w:r>
      <w:r>
        <w:rPr>
          <w:rStyle w:val="39"/>
          <w:rFonts w:hint="eastAsia" w:ascii="宋体" w:hAnsi="宋体" w:eastAsia="宋体" w:cs="宋体"/>
          <w:color w:val="auto"/>
          <w:sz w:val="21"/>
          <w:szCs w:val="21"/>
          <w:highlight w:val="none"/>
          <w:u w:val="single"/>
        </w:rPr>
        <w:t xml:space="preserve">         </w:t>
      </w:r>
      <w:r>
        <w:rPr>
          <w:rStyle w:val="39"/>
          <w:rFonts w:hint="eastAsia" w:ascii="宋体" w:hAnsi="宋体" w:eastAsia="宋体" w:cs="宋体"/>
          <w:color w:val="auto"/>
          <w:sz w:val="21"/>
          <w:szCs w:val="21"/>
          <w:highlight w:val="none"/>
        </w:rPr>
        <w:t xml:space="preserve">             承包人（公章）：</w:t>
      </w:r>
      <w:r>
        <w:rPr>
          <w:rStyle w:val="39"/>
          <w:rFonts w:hint="eastAsia" w:ascii="宋体" w:hAnsi="宋体" w:eastAsia="宋体" w:cs="宋体"/>
          <w:color w:val="auto"/>
          <w:sz w:val="21"/>
          <w:szCs w:val="21"/>
          <w:highlight w:val="none"/>
          <w:u w:val="single"/>
        </w:rPr>
        <w:t>          </w:t>
      </w:r>
    </w:p>
    <w:p w14:paraId="0D686364">
      <w:pPr>
        <w:pStyle w:val="98"/>
        <w:spacing w:line="360" w:lineRule="auto"/>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地  址：</w:t>
      </w:r>
      <w:r>
        <w:rPr>
          <w:rStyle w:val="39"/>
          <w:rFonts w:hint="eastAsia" w:ascii="宋体" w:hAnsi="宋体" w:eastAsia="宋体" w:cs="宋体"/>
          <w:color w:val="auto"/>
          <w:sz w:val="21"/>
          <w:szCs w:val="21"/>
          <w:highlight w:val="none"/>
          <w:u w:val="single"/>
        </w:rPr>
        <w:t xml:space="preserve">       </w:t>
      </w:r>
      <w:r>
        <w:rPr>
          <w:rStyle w:val="39"/>
          <w:rFonts w:hint="eastAsia" w:ascii="宋体" w:hAnsi="宋体" w:eastAsia="宋体" w:cs="宋体"/>
          <w:color w:val="auto"/>
          <w:sz w:val="21"/>
          <w:szCs w:val="21"/>
          <w:highlight w:val="none"/>
        </w:rPr>
        <w:t xml:space="preserve">              地  址：</w:t>
      </w:r>
      <w:r>
        <w:rPr>
          <w:rStyle w:val="39"/>
          <w:rFonts w:hint="eastAsia" w:ascii="宋体" w:hAnsi="宋体" w:eastAsia="宋体" w:cs="宋体"/>
          <w:color w:val="auto"/>
          <w:sz w:val="21"/>
          <w:szCs w:val="21"/>
          <w:highlight w:val="none"/>
          <w:u w:val="single"/>
        </w:rPr>
        <w:t>      </w:t>
      </w:r>
    </w:p>
    <w:p w14:paraId="094DD1CB">
      <w:pPr>
        <w:pStyle w:val="98"/>
        <w:spacing w:line="360" w:lineRule="auto"/>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法定代表人（签字）：</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 xml:space="preserve">              法定代表人（签字）：</w:t>
      </w:r>
      <w:r>
        <w:rPr>
          <w:rStyle w:val="39"/>
          <w:rFonts w:hint="eastAsia" w:ascii="宋体" w:hAnsi="宋体" w:eastAsia="宋体" w:cs="宋体"/>
          <w:color w:val="auto"/>
          <w:sz w:val="21"/>
          <w:szCs w:val="21"/>
          <w:highlight w:val="none"/>
          <w:u w:val="single"/>
        </w:rPr>
        <w:t>     </w:t>
      </w:r>
    </w:p>
    <w:p w14:paraId="7368C2EC">
      <w:pPr>
        <w:pStyle w:val="98"/>
        <w:spacing w:line="360" w:lineRule="auto"/>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委托代理人（签字）：</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 xml:space="preserve">              委托代理人（签字）：</w:t>
      </w:r>
      <w:r>
        <w:rPr>
          <w:rStyle w:val="39"/>
          <w:rFonts w:hint="eastAsia" w:ascii="宋体" w:hAnsi="宋体" w:eastAsia="宋体" w:cs="宋体"/>
          <w:color w:val="auto"/>
          <w:sz w:val="21"/>
          <w:szCs w:val="21"/>
          <w:highlight w:val="none"/>
          <w:u w:val="single"/>
        </w:rPr>
        <w:t>     </w:t>
      </w:r>
    </w:p>
    <w:p w14:paraId="0FD92B9F">
      <w:pPr>
        <w:pStyle w:val="98"/>
        <w:spacing w:line="360" w:lineRule="auto"/>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电  话：</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 xml:space="preserve">              电  话：</w:t>
      </w:r>
      <w:r>
        <w:rPr>
          <w:rStyle w:val="39"/>
          <w:rFonts w:hint="eastAsia" w:ascii="宋体" w:hAnsi="宋体" w:eastAsia="宋体" w:cs="宋体"/>
          <w:color w:val="auto"/>
          <w:sz w:val="21"/>
          <w:szCs w:val="21"/>
          <w:highlight w:val="none"/>
          <w:u w:val="single"/>
        </w:rPr>
        <w:t>      </w:t>
      </w:r>
    </w:p>
    <w:p w14:paraId="75CD5709">
      <w:pPr>
        <w:pStyle w:val="98"/>
        <w:spacing w:line="360" w:lineRule="auto"/>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传  真：</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 xml:space="preserve">              传  真：</w:t>
      </w:r>
      <w:r>
        <w:rPr>
          <w:rStyle w:val="39"/>
          <w:rFonts w:hint="eastAsia" w:ascii="宋体" w:hAnsi="宋体" w:eastAsia="宋体" w:cs="宋体"/>
          <w:color w:val="auto"/>
          <w:sz w:val="21"/>
          <w:szCs w:val="21"/>
          <w:highlight w:val="none"/>
          <w:u w:val="single"/>
        </w:rPr>
        <w:t>    </w:t>
      </w:r>
    </w:p>
    <w:p w14:paraId="39448C6F">
      <w:pPr>
        <w:pStyle w:val="98"/>
        <w:spacing w:line="360" w:lineRule="auto"/>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开户银行：</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 xml:space="preserve">              开户银行：</w:t>
      </w:r>
      <w:r>
        <w:rPr>
          <w:rStyle w:val="39"/>
          <w:rFonts w:hint="eastAsia" w:ascii="宋体" w:hAnsi="宋体" w:eastAsia="宋体" w:cs="宋体"/>
          <w:color w:val="auto"/>
          <w:sz w:val="21"/>
          <w:szCs w:val="21"/>
          <w:highlight w:val="none"/>
          <w:u w:val="single"/>
        </w:rPr>
        <w:t>  </w:t>
      </w:r>
    </w:p>
    <w:p w14:paraId="62DE9D61">
      <w:pPr>
        <w:pStyle w:val="98"/>
        <w:tabs>
          <w:tab w:val="left" w:pos="2880"/>
          <w:tab w:val="left" w:pos="3060"/>
          <w:tab w:val="left" w:pos="4500"/>
        </w:tabs>
        <w:spacing w:line="360" w:lineRule="auto"/>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账  号：</w:t>
      </w:r>
      <w:r>
        <w:rPr>
          <w:rStyle w:val="39"/>
          <w:rFonts w:hint="eastAsia" w:ascii="宋体" w:hAnsi="宋体" w:eastAsia="宋体" w:cs="宋体"/>
          <w:color w:val="auto"/>
          <w:sz w:val="21"/>
          <w:szCs w:val="21"/>
          <w:highlight w:val="none"/>
          <w:u w:val="single"/>
        </w:rPr>
        <w:t xml:space="preserve">          </w:t>
      </w:r>
      <w:r>
        <w:rPr>
          <w:rStyle w:val="39"/>
          <w:rFonts w:hint="eastAsia" w:ascii="宋体" w:hAnsi="宋体" w:eastAsia="宋体" w:cs="宋体"/>
          <w:color w:val="auto"/>
          <w:sz w:val="21"/>
          <w:szCs w:val="21"/>
          <w:highlight w:val="none"/>
        </w:rPr>
        <w:t xml:space="preserve">              账  号：</w:t>
      </w:r>
      <w:r>
        <w:rPr>
          <w:rStyle w:val="39"/>
          <w:rFonts w:hint="eastAsia" w:ascii="宋体" w:hAnsi="宋体" w:eastAsia="宋体" w:cs="宋体"/>
          <w:color w:val="auto"/>
          <w:sz w:val="21"/>
          <w:szCs w:val="21"/>
          <w:highlight w:val="none"/>
          <w:u w:val="single"/>
        </w:rPr>
        <w:t>    </w:t>
      </w:r>
    </w:p>
    <w:p w14:paraId="44A7B8B2">
      <w:pPr>
        <w:pStyle w:val="98"/>
        <w:tabs>
          <w:tab w:val="left" w:pos="7200"/>
          <w:tab w:val="left" w:pos="7380"/>
          <w:tab w:val="left" w:pos="7560"/>
        </w:tabs>
        <w:spacing w:line="360" w:lineRule="auto"/>
        <w:rPr>
          <w:rStyle w:val="39"/>
          <w:rFonts w:ascii="Calibri" w:hAnsi="Calibri" w:eastAsia="宋体" w:cs="Times New Roman"/>
          <w:color w:val="auto"/>
          <w:highlight w:val="none"/>
        </w:rPr>
      </w:pPr>
      <w:r>
        <w:rPr>
          <w:rStyle w:val="39"/>
          <w:rFonts w:hint="eastAsia" w:ascii="宋体" w:hAnsi="宋体" w:eastAsia="宋体" w:cs="宋体"/>
          <w:color w:val="auto"/>
          <w:sz w:val="21"/>
          <w:szCs w:val="21"/>
          <w:highlight w:val="none"/>
        </w:rPr>
        <w:t>邮政编码：</w:t>
      </w:r>
      <w:r>
        <w:rPr>
          <w:rStyle w:val="39"/>
          <w:rFonts w:hint="eastAsia" w:ascii="宋体" w:hAnsi="宋体" w:eastAsia="宋体" w:cs="宋体"/>
          <w:color w:val="auto"/>
          <w:sz w:val="21"/>
          <w:szCs w:val="21"/>
          <w:highlight w:val="none"/>
          <w:u w:val="single"/>
        </w:rPr>
        <w:t xml:space="preserve">       </w:t>
      </w:r>
      <w:r>
        <w:rPr>
          <w:rStyle w:val="39"/>
          <w:rFonts w:hint="eastAsia" w:ascii="宋体" w:hAnsi="宋体" w:eastAsia="宋体" w:cs="宋体"/>
          <w:color w:val="auto"/>
          <w:sz w:val="21"/>
          <w:szCs w:val="21"/>
          <w:highlight w:val="none"/>
        </w:rPr>
        <w:t xml:space="preserve">              邮政编码：</w:t>
      </w:r>
      <w:r>
        <w:rPr>
          <w:rStyle w:val="39"/>
          <w:rFonts w:hint="eastAsia" w:ascii="宋体" w:hAnsi="宋体" w:eastAsia="宋体" w:cs="宋体"/>
          <w:color w:val="auto"/>
          <w:sz w:val="21"/>
          <w:szCs w:val="21"/>
          <w:highlight w:val="none"/>
          <w:u w:val="single"/>
        </w:rPr>
        <w:t>   </w:t>
      </w:r>
    </w:p>
    <w:p w14:paraId="2021666C">
      <w:pPr>
        <w:pStyle w:val="98"/>
        <w:spacing w:before="120" w:beforeLines="50" w:after="120" w:afterLines="50" w:line="440" w:lineRule="exact"/>
        <w:jc w:val="center"/>
        <w:rPr>
          <w:rStyle w:val="39"/>
          <w:rFonts w:ascii="黑体" w:hAnsi="宋体" w:eastAsia="黑体" w:cs="Times New Roman"/>
          <w:color w:val="auto"/>
          <w:sz w:val="32"/>
          <w:szCs w:val="32"/>
          <w:highlight w:val="none"/>
        </w:rPr>
      </w:pPr>
    </w:p>
    <w:p w14:paraId="240072D6">
      <w:pPr>
        <w:pStyle w:val="98"/>
        <w:spacing w:before="120" w:beforeLines="50" w:after="120" w:afterLines="50" w:line="440" w:lineRule="exact"/>
        <w:jc w:val="center"/>
        <w:rPr>
          <w:rStyle w:val="39"/>
          <w:rFonts w:ascii="黑体" w:hAnsi="宋体" w:eastAsia="黑体" w:cs="Times New Roman"/>
          <w:color w:val="auto"/>
          <w:sz w:val="32"/>
          <w:szCs w:val="32"/>
          <w:highlight w:val="none"/>
        </w:rPr>
      </w:pPr>
    </w:p>
    <w:p w14:paraId="72D14D5C">
      <w:pPr>
        <w:pStyle w:val="98"/>
        <w:spacing w:before="120" w:beforeLines="50" w:after="120" w:afterLines="50" w:line="440" w:lineRule="exact"/>
        <w:jc w:val="center"/>
        <w:rPr>
          <w:rStyle w:val="39"/>
          <w:rFonts w:ascii="黑体" w:hAnsi="宋体" w:eastAsia="黑体" w:cs="Times New Roman"/>
          <w:color w:val="auto"/>
          <w:sz w:val="32"/>
          <w:szCs w:val="32"/>
          <w:highlight w:val="none"/>
        </w:rPr>
      </w:pPr>
    </w:p>
    <w:p w14:paraId="47D733CD">
      <w:pPr>
        <w:pStyle w:val="98"/>
        <w:spacing w:before="120" w:beforeLines="50" w:after="120" w:afterLines="50" w:line="440" w:lineRule="exact"/>
        <w:jc w:val="center"/>
        <w:rPr>
          <w:rStyle w:val="39"/>
          <w:rFonts w:ascii="黑体" w:hAnsi="宋体" w:eastAsia="黑体" w:cs="Times New Roman"/>
          <w:color w:val="auto"/>
          <w:sz w:val="32"/>
          <w:szCs w:val="32"/>
          <w:highlight w:val="none"/>
        </w:rPr>
      </w:pPr>
    </w:p>
    <w:p w14:paraId="06C9B5AC">
      <w:pPr>
        <w:pStyle w:val="98"/>
        <w:spacing w:line="440" w:lineRule="exact"/>
        <w:rPr>
          <w:rStyle w:val="39"/>
          <w:rFonts w:hint="eastAsia" w:ascii="宋体" w:hAnsi="宋体" w:eastAsia="宋体" w:cs="宋体"/>
          <w:b/>
          <w:bCs/>
          <w:color w:val="auto"/>
          <w:sz w:val="21"/>
          <w:szCs w:val="21"/>
          <w:highlight w:val="none"/>
        </w:rPr>
      </w:pPr>
      <w:r>
        <w:rPr>
          <w:rStyle w:val="39"/>
          <w:rFonts w:hint="eastAsia" w:ascii="宋体" w:hAnsi="宋体" w:eastAsia="宋体" w:cs="宋体"/>
          <w:b/>
          <w:bCs/>
          <w:color w:val="auto"/>
          <w:sz w:val="21"/>
          <w:szCs w:val="21"/>
          <w:highlight w:val="none"/>
        </w:rPr>
        <w:t>附件</w:t>
      </w:r>
      <w:r>
        <w:rPr>
          <w:rStyle w:val="39"/>
          <w:rFonts w:hint="eastAsia" w:ascii="宋体" w:hAnsi="宋体" w:eastAsia="宋体" w:cs="宋体"/>
          <w:b/>
          <w:bCs/>
          <w:color w:val="auto"/>
          <w:sz w:val="21"/>
          <w:szCs w:val="21"/>
          <w:highlight w:val="none"/>
          <w:lang w:val="en-US" w:eastAsia="zh-CN"/>
        </w:rPr>
        <w:t>2</w:t>
      </w:r>
      <w:r>
        <w:rPr>
          <w:rStyle w:val="39"/>
          <w:rFonts w:hint="eastAsia" w:ascii="宋体" w:hAnsi="宋体" w:eastAsia="宋体" w:cs="宋体"/>
          <w:b/>
          <w:bCs/>
          <w:color w:val="auto"/>
          <w:sz w:val="21"/>
          <w:szCs w:val="21"/>
          <w:highlight w:val="none"/>
        </w:rPr>
        <w:t>：</w:t>
      </w:r>
    </w:p>
    <w:p w14:paraId="1811084A">
      <w:pPr>
        <w:pStyle w:val="98"/>
        <w:spacing w:before="120" w:beforeLines="50" w:after="120" w:afterLines="50" w:line="440" w:lineRule="exact"/>
        <w:jc w:val="center"/>
        <w:rPr>
          <w:rStyle w:val="39"/>
          <w:rFonts w:hint="eastAsia" w:ascii="宋体" w:hAnsi="宋体" w:eastAsia="宋体" w:cs="宋体"/>
          <w:b/>
          <w:bCs/>
          <w:color w:val="auto"/>
          <w:sz w:val="24"/>
          <w:szCs w:val="24"/>
          <w:highlight w:val="none"/>
        </w:rPr>
      </w:pPr>
      <w:r>
        <w:rPr>
          <w:rStyle w:val="39"/>
          <w:rFonts w:hint="eastAsia" w:ascii="宋体" w:hAnsi="宋体" w:eastAsia="宋体" w:cs="宋体"/>
          <w:b/>
          <w:bCs/>
          <w:color w:val="auto"/>
          <w:sz w:val="24"/>
          <w:szCs w:val="24"/>
          <w:highlight w:val="none"/>
        </w:rPr>
        <w:t>承包人用于本工程施工的机械设备表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1E1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60EF663A">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序号</w:t>
            </w:r>
          </w:p>
        </w:tc>
        <w:tc>
          <w:tcPr>
            <w:tcW w:w="1418" w:type="dxa"/>
            <w:noWrap w:val="0"/>
            <w:vAlign w:val="center"/>
          </w:tcPr>
          <w:p w14:paraId="759D3022">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机械或设备名称</w:t>
            </w:r>
          </w:p>
        </w:tc>
        <w:tc>
          <w:tcPr>
            <w:tcW w:w="850" w:type="dxa"/>
            <w:noWrap w:val="0"/>
            <w:vAlign w:val="center"/>
          </w:tcPr>
          <w:p w14:paraId="4A7BCE02">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规格型号</w:t>
            </w:r>
          </w:p>
        </w:tc>
        <w:tc>
          <w:tcPr>
            <w:tcW w:w="1058" w:type="dxa"/>
            <w:noWrap w:val="0"/>
            <w:vAlign w:val="center"/>
          </w:tcPr>
          <w:p w14:paraId="5A28B4C8">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数量</w:t>
            </w:r>
          </w:p>
        </w:tc>
        <w:tc>
          <w:tcPr>
            <w:tcW w:w="880" w:type="dxa"/>
            <w:noWrap w:val="0"/>
            <w:vAlign w:val="center"/>
          </w:tcPr>
          <w:p w14:paraId="0A463EFE">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产地</w:t>
            </w:r>
          </w:p>
        </w:tc>
        <w:tc>
          <w:tcPr>
            <w:tcW w:w="1020" w:type="dxa"/>
            <w:noWrap w:val="0"/>
            <w:vAlign w:val="center"/>
          </w:tcPr>
          <w:p w14:paraId="15FFAD80">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制造年份</w:t>
            </w:r>
          </w:p>
        </w:tc>
        <w:tc>
          <w:tcPr>
            <w:tcW w:w="1480" w:type="dxa"/>
            <w:noWrap w:val="0"/>
            <w:vAlign w:val="center"/>
          </w:tcPr>
          <w:p w14:paraId="29B3E76F">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额定功率（kW）</w:t>
            </w:r>
          </w:p>
        </w:tc>
        <w:tc>
          <w:tcPr>
            <w:tcW w:w="1020" w:type="dxa"/>
            <w:noWrap w:val="0"/>
            <w:vAlign w:val="center"/>
          </w:tcPr>
          <w:p w14:paraId="79B6A45E">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生产能力</w:t>
            </w:r>
          </w:p>
        </w:tc>
        <w:tc>
          <w:tcPr>
            <w:tcW w:w="921" w:type="dxa"/>
            <w:noWrap w:val="0"/>
            <w:vAlign w:val="center"/>
          </w:tcPr>
          <w:p w14:paraId="1B8DD308">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备注</w:t>
            </w:r>
          </w:p>
        </w:tc>
      </w:tr>
      <w:tr w14:paraId="3AA6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98C616A">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12C7124E">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50" w:type="dxa"/>
            <w:noWrap w:val="0"/>
            <w:vAlign w:val="center"/>
          </w:tcPr>
          <w:p w14:paraId="2270A40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58" w:type="dxa"/>
            <w:noWrap w:val="0"/>
            <w:vAlign w:val="center"/>
          </w:tcPr>
          <w:p w14:paraId="37900D29">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80" w:type="dxa"/>
            <w:noWrap w:val="0"/>
            <w:vAlign w:val="center"/>
          </w:tcPr>
          <w:p w14:paraId="7B86DDD0">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29B6D240">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80" w:type="dxa"/>
            <w:noWrap w:val="0"/>
            <w:vAlign w:val="center"/>
          </w:tcPr>
          <w:p w14:paraId="63FC44C5">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1602378D">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921" w:type="dxa"/>
            <w:noWrap w:val="0"/>
            <w:vAlign w:val="center"/>
          </w:tcPr>
          <w:p w14:paraId="6C883578">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6047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C90E28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101E1800">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50" w:type="dxa"/>
            <w:noWrap w:val="0"/>
            <w:vAlign w:val="center"/>
          </w:tcPr>
          <w:p w14:paraId="408845AC">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58" w:type="dxa"/>
            <w:noWrap w:val="0"/>
            <w:vAlign w:val="center"/>
          </w:tcPr>
          <w:p w14:paraId="1EF5DCE9">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80" w:type="dxa"/>
            <w:noWrap w:val="0"/>
            <w:vAlign w:val="center"/>
          </w:tcPr>
          <w:p w14:paraId="5437D070">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595A0634">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80" w:type="dxa"/>
            <w:noWrap w:val="0"/>
            <w:vAlign w:val="center"/>
          </w:tcPr>
          <w:p w14:paraId="0C360D4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72B9CBC8">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921" w:type="dxa"/>
            <w:noWrap w:val="0"/>
            <w:vAlign w:val="center"/>
          </w:tcPr>
          <w:p w14:paraId="55B1553B">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7891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993B1DF">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6D39740B">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50" w:type="dxa"/>
            <w:noWrap w:val="0"/>
            <w:vAlign w:val="center"/>
          </w:tcPr>
          <w:p w14:paraId="184C3C49">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58" w:type="dxa"/>
            <w:noWrap w:val="0"/>
            <w:vAlign w:val="center"/>
          </w:tcPr>
          <w:p w14:paraId="08F08A49">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80" w:type="dxa"/>
            <w:noWrap w:val="0"/>
            <w:vAlign w:val="center"/>
          </w:tcPr>
          <w:p w14:paraId="0CE9561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53D5F50A">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80" w:type="dxa"/>
            <w:noWrap w:val="0"/>
            <w:vAlign w:val="center"/>
          </w:tcPr>
          <w:p w14:paraId="482C184C">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35F66DEE">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921" w:type="dxa"/>
            <w:noWrap w:val="0"/>
            <w:vAlign w:val="center"/>
          </w:tcPr>
          <w:p w14:paraId="40CFEA45">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46B6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D4E1998">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592AECDC">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50" w:type="dxa"/>
            <w:noWrap w:val="0"/>
            <w:vAlign w:val="center"/>
          </w:tcPr>
          <w:p w14:paraId="233A6646">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58" w:type="dxa"/>
            <w:noWrap w:val="0"/>
            <w:vAlign w:val="center"/>
          </w:tcPr>
          <w:p w14:paraId="62D2557D">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80" w:type="dxa"/>
            <w:noWrap w:val="0"/>
            <w:vAlign w:val="center"/>
          </w:tcPr>
          <w:p w14:paraId="387347E8">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573F1F98">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80" w:type="dxa"/>
            <w:noWrap w:val="0"/>
            <w:vAlign w:val="center"/>
          </w:tcPr>
          <w:p w14:paraId="46F72457">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7BFB82E9">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921" w:type="dxa"/>
            <w:noWrap w:val="0"/>
            <w:vAlign w:val="center"/>
          </w:tcPr>
          <w:p w14:paraId="32D5CA6D">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414E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87D81FA">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007ED094">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50" w:type="dxa"/>
            <w:noWrap w:val="0"/>
            <w:vAlign w:val="center"/>
          </w:tcPr>
          <w:p w14:paraId="00116F1D">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58" w:type="dxa"/>
            <w:noWrap w:val="0"/>
            <w:vAlign w:val="center"/>
          </w:tcPr>
          <w:p w14:paraId="022597B6">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80" w:type="dxa"/>
            <w:noWrap w:val="0"/>
            <w:vAlign w:val="center"/>
          </w:tcPr>
          <w:p w14:paraId="2E1E7349">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7DCCA4FF">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80" w:type="dxa"/>
            <w:noWrap w:val="0"/>
            <w:vAlign w:val="center"/>
          </w:tcPr>
          <w:p w14:paraId="0B73DEA1">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281F3E9A">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921" w:type="dxa"/>
            <w:noWrap w:val="0"/>
            <w:vAlign w:val="center"/>
          </w:tcPr>
          <w:p w14:paraId="1B2E608B">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5994A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ED55C8A">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74D8B546">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50" w:type="dxa"/>
            <w:noWrap w:val="0"/>
            <w:vAlign w:val="center"/>
          </w:tcPr>
          <w:p w14:paraId="307DAEA1">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58" w:type="dxa"/>
            <w:noWrap w:val="0"/>
            <w:vAlign w:val="center"/>
          </w:tcPr>
          <w:p w14:paraId="1A4665E0">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80" w:type="dxa"/>
            <w:noWrap w:val="0"/>
            <w:vAlign w:val="center"/>
          </w:tcPr>
          <w:p w14:paraId="76B6D02D">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0FEA738F">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80" w:type="dxa"/>
            <w:noWrap w:val="0"/>
            <w:vAlign w:val="center"/>
          </w:tcPr>
          <w:p w14:paraId="5FD78736">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7F180468">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921" w:type="dxa"/>
            <w:noWrap w:val="0"/>
            <w:vAlign w:val="center"/>
          </w:tcPr>
          <w:p w14:paraId="6A6B2095">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5B578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BBDF1C6">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2CD8BFAF">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50" w:type="dxa"/>
            <w:noWrap w:val="0"/>
            <w:vAlign w:val="center"/>
          </w:tcPr>
          <w:p w14:paraId="642FEBC4">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58" w:type="dxa"/>
            <w:noWrap w:val="0"/>
            <w:vAlign w:val="center"/>
          </w:tcPr>
          <w:p w14:paraId="246C72FF">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80" w:type="dxa"/>
            <w:noWrap w:val="0"/>
            <w:vAlign w:val="center"/>
          </w:tcPr>
          <w:p w14:paraId="1127B88B">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4A9F48F7">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80" w:type="dxa"/>
            <w:noWrap w:val="0"/>
            <w:vAlign w:val="center"/>
          </w:tcPr>
          <w:p w14:paraId="212AF0CE">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3B7B60E7">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921" w:type="dxa"/>
            <w:noWrap w:val="0"/>
            <w:vAlign w:val="center"/>
          </w:tcPr>
          <w:p w14:paraId="4D690F48">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551A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F889F8E">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4BCB707C">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50" w:type="dxa"/>
            <w:noWrap w:val="0"/>
            <w:vAlign w:val="center"/>
          </w:tcPr>
          <w:p w14:paraId="649E4149">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58" w:type="dxa"/>
            <w:noWrap w:val="0"/>
            <w:vAlign w:val="center"/>
          </w:tcPr>
          <w:p w14:paraId="72C4681F">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80" w:type="dxa"/>
            <w:noWrap w:val="0"/>
            <w:vAlign w:val="center"/>
          </w:tcPr>
          <w:p w14:paraId="275B935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59DD5107">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80" w:type="dxa"/>
            <w:noWrap w:val="0"/>
            <w:vAlign w:val="center"/>
          </w:tcPr>
          <w:p w14:paraId="3D59D946">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57652F0C">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921" w:type="dxa"/>
            <w:noWrap w:val="0"/>
            <w:vAlign w:val="center"/>
          </w:tcPr>
          <w:p w14:paraId="53C9CFC0">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6F74F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6C4E806">
            <w:pPr>
              <w:pStyle w:val="98"/>
              <w:rPr>
                <w:rStyle w:val="39"/>
                <w:rFonts w:hint="eastAsia" w:ascii="宋体" w:hAnsi="宋体" w:eastAsia="宋体" w:cs="宋体"/>
                <w:color w:val="auto"/>
                <w:sz w:val="21"/>
                <w:szCs w:val="21"/>
                <w:highlight w:val="none"/>
              </w:rPr>
            </w:pPr>
          </w:p>
        </w:tc>
        <w:tc>
          <w:tcPr>
            <w:tcW w:w="1418" w:type="dxa"/>
            <w:noWrap w:val="0"/>
            <w:vAlign w:val="top"/>
          </w:tcPr>
          <w:p w14:paraId="3050E467">
            <w:pPr>
              <w:pStyle w:val="98"/>
              <w:rPr>
                <w:rStyle w:val="39"/>
                <w:rFonts w:hint="eastAsia" w:ascii="宋体" w:hAnsi="宋体" w:eastAsia="宋体" w:cs="宋体"/>
                <w:color w:val="auto"/>
                <w:sz w:val="21"/>
                <w:szCs w:val="21"/>
                <w:highlight w:val="none"/>
              </w:rPr>
            </w:pPr>
          </w:p>
        </w:tc>
        <w:tc>
          <w:tcPr>
            <w:tcW w:w="850" w:type="dxa"/>
            <w:noWrap w:val="0"/>
            <w:vAlign w:val="top"/>
          </w:tcPr>
          <w:p w14:paraId="1D198343">
            <w:pPr>
              <w:pStyle w:val="98"/>
              <w:rPr>
                <w:rStyle w:val="39"/>
                <w:rFonts w:hint="eastAsia" w:ascii="宋体" w:hAnsi="宋体" w:eastAsia="宋体" w:cs="宋体"/>
                <w:color w:val="auto"/>
                <w:sz w:val="21"/>
                <w:szCs w:val="21"/>
                <w:highlight w:val="none"/>
              </w:rPr>
            </w:pPr>
          </w:p>
        </w:tc>
        <w:tc>
          <w:tcPr>
            <w:tcW w:w="1058" w:type="dxa"/>
            <w:noWrap w:val="0"/>
            <w:vAlign w:val="top"/>
          </w:tcPr>
          <w:p w14:paraId="517C39E1">
            <w:pPr>
              <w:pStyle w:val="98"/>
              <w:rPr>
                <w:rStyle w:val="39"/>
                <w:rFonts w:hint="eastAsia" w:ascii="宋体" w:hAnsi="宋体" w:eastAsia="宋体" w:cs="宋体"/>
                <w:color w:val="auto"/>
                <w:sz w:val="21"/>
                <w:szCs w:val="21"/>
                <w:highlight w:val="none"/>
              </w:rPr>
            </w:pPr>
          </w:p>
        </w:tc>
        <w:tc>
          <w:tcPr>
            <w:tcW w:w="880" w:type="dxa"/>
            <w:noWrap w:val="0"/>
            <w:vAlign w:val="top"/>
          </w:tcPr>
          <w:p w14:paraId="1BAB6CCC">
            <w:pPr>
              <w:pStyle w:val="98"/>
              <w:rPr>
                <w:rStyle w:val="39"/>
                <w:rFonts w:hint="eastAsia" w:ascii="宋体" w:hAnsi="宋体" w:eastAsia="宋体" w:cs="宋体"/>
                <w:color w:val="auto"/>
                <w:sz w:val="21"/>
                <w:szCs w:val="21"/>
                <w:highlight w:val="none"/>
              </w:rPr>
            </w:pPr>
          </w:p>
        </w:tc>
        <w:tc>
          <w:tcPr>
            <w:tcW w:w="1020" w:type="dxa"/>
            <w:noWrap w:val="0"/>
            <w:vAlign w:val="top"/>
          </w:tcPr>
          <w:p w14:paraId="2C141D4F">
            <w:pPr>
              <w:pStyle w:val="98"/>
              <w:rPr>
                <w:rStyle w:val="39"/>
                <w:rFonts w:hint="eastAsia" w:ascii="宋体" w:hAnsi="宋体" w:eastAsia="宋体" w:cs="宋体"/>
                <w:color w:val="auto"/>
                <w:sz w:val="21"/>
                <w:szCs w:val="21"/>
                <w:highlight w:val="none"/>
              </w:rPr>
            </w:pPr>
          </w:p>
        </w:tc>
        <w:tc>
          <w:tcPr>
            <w:tcW w:w="1480" w:type="dxa"/>
            <w:noWrap w:val="0"/>
            <w:vAlign w:val="top"/>
          </w:tcPr>
          <w:p w14:paraId="10282160">
            <w:pPr>
              <w:pStyle w:val="98"/>
              <w:rPr>
                <w:rStyle w:val="39"/>
                <w:rFonts w:hint="eastAsia" w:ascii="宋体" w:hAnsi="宋体" w:eastAsia="宋体" w:cs="宋体"/>
                <w:color w:val="auto"/>
                <w:sz w:val="21"/>
                <w:szCs w:val="21"/>
                <w:highlight w:val="none"/>
              </w:rPr>
            </w:pPr>
          </w:p>
        </w:tc>
        <w:tc>
          <w:tcPr>
            <w:tcW w:w="1020" w:type="dxa"/>
            <w:noWrap w:val="0"/>
            <w:vAlign w:val="top"/>
          </w:tcPr>
          <w:p w14:paraId="7B568505">
            <w:pPr>
              <w:pStyle w:val="98"/>
              <w:rPr>
                <w:rStyle w:val="39"/>
                <w:rFonts w:hint="eastAsia" w:ascii="宋体" w:hAnsi="宋体" w:eastAsia="宋体" w:cs="宋体"/>
                <w:color w:val="auto"/>
                <w:sz w:val="21"/>
                <w:szCs w:val="21"/>
                <w:highlight w:val="none"/>
              </w:rPr>
            </w:pPr>
          </w:p>
        </w:tc>
        <w:tc>
          <w:tcPr>
            <w:tcW w:w="921" w:type="dxa"/>
            <w:noWrap w:val="0"/>
            <w:vAlign w:val="top"/>
          </w:tcPr>
          <w:p w14:paraId="5D2678AC">
            <w:pPr>
              <w:pStyle w:val="98"/>
              <w:rPr>
                <w:rStyle w:val="39"/>
                <w:rFonts w:hint="eastAsia" w:ascii="宋体" w:hAnsi="宋体" w:eastAsia="宋体" w:cs="宋体"/>
                <w:color w:val="auto"/>
                <w:sz w:val="21"/>
                <w:szCs w:val="21"/>
                <w:highlight w:val="none"/>
              </w:rPr>
            </w:pPr>
          </w:p>
        </w:tc>
      </w:tr>
      <w:tr w14:paraId="434E0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129D861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3D5FE687">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50" w:type="dxa"/>
            <w:noWrap w:val="0"/>
            <w:vAlign w:val="center"/>
          </w:tcPr>
          <w:p w14:paraId="39FA2CCB">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58" w:type="dxa"/>
            <w:noWrap w:val="0"/>
            <w:vAlign w:val="center"/>
          </w:tcPr>
          <w:p w14:paraId="4661474A">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880" w:type="dxa"/>
            <w:noWrap w:val="0"/>
            <w:vAlign w:val="center"/>
          </w:tcPr>
          <w:p w14:paraId="29806BBD">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1DEC1866">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80" w:type="dxa"/>
            <w:noWrap w:val="0"/>
            <w:vAlign w:val="center"/>
          </w:tcPr>
          <w:p w14:paraId="0227DD83">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020" w:type="dxa"/>
            <w:noWrap w:val="0"/>
            <w:vAlign w:val="center"/>
          </w:tcPr>
          <w:p w14:paraId="5130BACF">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921" w:type="dxa"/>
            <w:noWrap w:val="0"/>
            <w:vAlign w:val="center"/>
          </w:tcPr>
          <w:p w14:paraId="1728DE4C">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1269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05F921A">
            <w:pPr>
              <w:pStyle w:val="98"/>
              <w:rPr>
                <w:rStyle w:val="39"/>
                <w:rFonts w:hint="eastAsia" w:ascii="宋体" w:hAnsi="宋体" w:eastAsia="宋体" w:cs="宋体"/>
                <w:color w:val="auto"/>
                <w:sz w:val="21"/>
                <w:szCs w:val="21"/>
                <w:highlight w:val="none"/>
              </w:rPr>
            </w:pPr>
          </w:p>
        </w:tc>
        <w:tc>
          <w:tcPr>
            <w:tcW w:w="1418" w:type="dxa"/>
            <w:noWrap w:val="0"/>
            <w:vAlign w:val="top"/>
          </w:tcPr>
          <w:p w14:paraId="1051DBD0">
            <w:pPr>
              <w:pStyle w:val="98"/>
              <w:rPr>
                <w:rStyle w:val="39"/>
                <w:rFonts w:hint="eastAsia" w:ascii="宋体" w:hAnsi="宋体" w:eastAsia="宋体" w:cs="宋体"/>
                <w:color w:val="auto"/>
                <w:sz w:val="21"/>
                <w:szCs w:val="21"/>
                <w:highlight w:val="none"/>
              </w:rPr>
            </w:pPr>
          </w:p>
        </w:tc>
        <w:tc>
          <w:tcPr>
            <w:tcW w:w="850" w:type="dxa"/>
            <w:noWrap w:val="0"/>
            <w:vAlign w:val="top"/>
          </w:tcPr>
          <w:p w14:paraId="5DA4BBA1">
            <w:pPr>
              <w:pStyle w:val="98"/>
              <w:rPr>
                <w:rStyle w:val="39"/>
                <w:rFonts w:hint="eastAsia" w:ascii="宋体" w:hAnsi="宋体" w:eastAsia="宋体" w:cs="宋体"/>
                <w:color w:val="auto"/>
                <w:sz w:val="21"/>
                <w:szCs w:val="21"/>
                <w:highlight w:val="none"/>
              </w:rPr>
            </w:pPr>
          </w:p>
        </w:tc>
        <w:tc>
          <w:tcPr>
            <w:tcW w:w="1058" w:type="dxa"/>
            <w:noWrap w:val="0"/>
            <w:vAlign w:val="top"/>
          </w:tcPr>
          <w:p w14:paraId="6B979BBD">
            <w:pPr>
              <w:pStyle w:val="98"/>
              <w:rPr>
                <w:rStyle w:val="39"/>
                <w:rFonts w:hint="eastAsia" w:ascii="宋体" w:hAnsi="宋体" w:eastAsia="宋体" w:cs="宋体"/>
                <w:color w:val="auto"/>
                <w:sz w:val="21"/>
                <w:szCs w:val="21"/>
                <w:highlight w:val="none"/>
              </w:rPr>
            </w:pPr>
          </w:p>
        </w:tc>
        <w:tc>
          <w:tcPr>
            <w:tcW w:w="880" w:type="dxa"/>
            <w:noWrap w:val="0"/>
            <w:vAlign w:val="top"/>
          </w:tcPr>
          <w:p w14:paraId="33D3A4E9">
            <w:pPr>
              <w:pStyle w:val="98"/>
              <w:rPr>
                <w:rStyle w:val="39"/>
                <w:rFonts w:hint="eastAsia" w:ascii="宋体" w:hAnsi="宋体" w:eastAsia="宋体" w:cs="宋体"/>
                <w:color w:val="auto"/>
                <w:sz w:val="21"/>
                <w:szCs w:val="21"/>
                <w:highlight w:val="none"/>
              </w:rPr>
            </w:pPr>
          </w:p>
        </w:tc>
        <w:tc>
          <w:tcPr>
            <w:tcW w:w="1020" w:type="dxa"/>
            <w:noWrap w:val="0"/>
            <w:vAlign w:val="top"/>
          </w:tcPr>
          <w:p w14:paraId="3AF678A3">
            <w:pPr>
              <w:pStyle w:val="98"/>
              <w:rPr>
                <w:rStyle w:val="39"/>
                <w:rFonts w:hint="eastAsia" w:ascii="宋体" w:hAnsi="宋体" w:eastAsia="宋体" w:cs="宋体"/>
                <w:color w:val="auto"/>
                <w:sz w:val="21"/>
                <w:szCs w:val="21"/>
                <w:highlight w:val="none"/>
              </w:rPr>
            </w:pPr>
          </w:p>
        </w:tc>
        <w:tc>
          <w:tcPr>
            <w:tcW w:w="1480" w:type="dxa"/>
            <w:noWrap w:val="0"/>
            <w:vAlign w:val="top"/>
          </w:tcPr>
          <w:p w14:paraId="6909A597">
            <w:pPr>
              <w:pStyle w:val="98"/>
              <w:rPr>
                <w:rStyle w:val="39"/>
                <w:rFonts w:hint="eastAsia" w:ascii="宋体" w:hAnsi="宋体" w:eastAsia="宋体" w:cs="宋体"/>
                <w:color w:val="auto"/>
                <w:sz w:val="21"/>
                <w:szCs w:val="21"/>
                <w:highlight w:val="none"/>
              </w:rPr>
            </w:pPr>
          </w:p>
        </w:tc>
        <w:tc>
          <w:tcPr>
            <w:tcW w:w="1020" w:type="dxa"/>
            <w:noWrap w:val="0"/>
            <w:vAlign w:val="top"/>
          </w:tcPr>
          <w:p w14:paraId="7A714442">
            <w:pPr>
              <w:pStyle w:val="98"/>
              <w:rPr>
                <w:rStyle w:val="39"/>
                <w:rFonts w:hint="eastAsia" w:ascii="宋体" w:hAnsi="宋体" w:eastAsia="宋体" w:cs="宋体"/>
                <w:color w:val="auto"/>
                <w:sz w:val="21"/>
                <w:szCs w:val="21"/>
                <w:highlight w:val="none"/>
              </w:rPr>
            </w:pPr>
          </w:p>
        </w:tc>
        <w:tc>
          <w:tcPr>
            <w:tcW w:w="921" w:type="dxa"/>
            <w:noWrap w:val="0"/>
            <w:vAlign w:val="top"/>
          </w:tcPr>
          <w:p w14:paraId="65D2A994">
            <w:pPr>
              <w:pStyle w:val="98"/>
              <w:rPr>
                <w:rStyle w:val="39"/>
                <w:rFonts w:hint="eastAsia" w:ascii="宋体" w:hAnsi="宋体" w:eastAsia="宋体" w:cs="宋体"/>
                <w:color w:val="auto"/>
                <w:sz w:val="21"/>
                <w:szCs w:val="21"/>
                <w:highlight w:val="none"/>
              </w:rPr>
            </w:pPr>
          </w:p>
        </w:tc>
      </w:tr>
      <w:tr w14:paraId="410A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860AA27">
            <w:pPr>
              <w:pStyle w:val="98"/>
              <w:rPr>
                <w:rStyle w:val="39"/>
                <w:rFonts w:hint="eastAsia" w:ascii="宋体" w:hAnsi="宋体" w:eastAsia="宋体" w:cs="宋体"/>
                <w:color w:val="auto"/>
                <w:sz w:val="21"/>
                <w:szCs w:val="21"/>
                <w:highlight w:val="none"/>
              </w:rPr>
            </w:pPr>
          </w:p>
        </w:tc>
        <w:tc>
          <w:tcPr>
            <w:tcW w:w="1418" w:type="dxa"/>
            <w:noWrap w:val="0"/>
            <w:vAlign w:val="top"/>
          </w:tcPr>
          <w:p w14:paraId="656BADA0">
            <w:pPr>
              <w:pStyle w:val="98"/>
              <w:rPr>
                <w:rStyle w:val="39"/>
                <w:rFonts w:hint="eastAsia" w:ascii="宋体" w:hAnsi="宋体" w:eastAsia="宋体" w:cs="宋体"/>
                <w:color w:val="auto"/>
                <w:sz w:val="21"/>
                <w:szCs w:val="21"/>
                <w:highlight w:val="none"/>
              </w:rPr>
            </w:pPr>
          </w:p>
        </w:tc>
        <w:tc>
          <w:tcPr>
            <w:tcW w:w="850" w:type="dxa"/>
            <w:noWrap w:val="0"/>
            <w:vAlign w:val="top"/>
          </w:tcPr>
          <w:p w14:paraId="0D468C99">
            <w:pPr>
              <w:pStyle w:val="98"/>
              <w:rPr>
                <w:rStyle w:val="39"/>
                <w:rFonts w:hint="eastAsia" w:ascii="宋体" w:hAnsi="宋体" w:eastAsia="宋体" w:cs="宋体"/>
                <w:color w:val="auto"/>
                <w:sz w:val="21"/>
                <w:szCs w:val="21"/>
                <w:highlight w:val="none"/>
              </w:rPr>
            </w:pPr>
          </w:p>
        </w:tc>
        <w:tc>
          <w:tcPr>
            <w:tcW w:w="1058" w:type="dxa"/>
            <w:noWrap w:val="0"/>
            <w:vAlign w:val="top"/>
          </w:tcPr>
          <w:p w14:paraId="706F403B">
            <w:pPr>
              <w:pStyle w:val="98"/>
              <w:rPr>
                <w:rStyle w:val="39"/>
                <w:rFonts w:hint="eastAsia" w:ascii="宋体" w:hAnsi="宋体" w:eastAsia="宋体" w:cs="宋体"/>
                <w:color w:val="auto"/>
                <w:sz w:val="21"/>
                <w:szCs w:val="21"/>
                <w:highlight w:val="none"/>
              </w:rPr>
            </w:pPr>
          </w:p>
        </w:tc>
        <w:tc>
          <w:tcPr>
            <w:tcW w:w="880" w:type="dxa"/>
            <w:noWrap w:val="0"/>
            <w:vAlign w:val="top"/>
          </w:tcPr>
          <w:p w14:paraId="3E0FDA56">
            <w:pPr>
              <w:pStyle w:val="98"/>
              <w:rPr>
                <w:rStyle w:val="39"/>
                <w:rFonts w:hint="eastAsia" w:ascii="宋体" w:hAnsi="宋体" w:eastAsia="宋体" w:cs="宋体"/>
                <w:color w:val="auto"/>
                <w:sz w:val="21"/>
                <w:szCs w:val="21"/>
                <w:highlight w:val="none"/>
              </w:rPr>
            </w:pPr>
          </w:p>
        </w:tc>
        <w:tc>
          <w:tcPr>
            <w:tcW w:w="1020" w:type="dxa"/>
            <w:noWrap w:val="0"/>
            <w:vAlign w:val="top"/>
          </w:tcPr>
          <w:p w14:paraId="011DB200">
            <w:pPr>
              <w:pStyle w:val="98"/>
              <w:rPr>
                <w:rStyle w:val="39"/>
                <w:rFonts w:hint="eastAsia" w:ascii="宋体" w:hAnsi="宋体" w:eastAsia="宋体" w:cs="宋体"/>
                <w:color w:val="auto"/>
                <w:sz w:val="21"/>
                <w:szCs w:val="21"/>
                <w:highlight w:val="none"/>
              </w:rPr>
            </w:pPr>
          </w:p>
        </w:tc>
        <w:tc>
          <w:tcPr>
            <w:tcW w:w="1480" w:type="dxa"/>
            <w:noWrap w:val="0"/>
            <w:vAlign w:val="top"/>
          </w:tcPr>
          <w:p w14:paraId="50932367">
            <w:pPr>
              <w:pStyle w:val="98"/>
              <w:rPr>
                <w:rStyle w:val="39"/>
                <w:rFonts w:hint="eastAsia" w:ascii="宋体" w:hAnsi="宋体" w:eastAsia="宋体" w:cs="宋体"/>
                <w:color w:val="auto"/>
                <w:sz w:val="21"/>
                <w:szCs w:val="21"/>
                <w:highlight w:val="none"/>
              </w:rPr>
            </w:pPr>
          </w:p>
        </w:tc>
        <w:tc>
          <w:tcPr>
            <w:tcW w:w="1020" w:type="dxa"/>
            <w:noWrap w:val="0"/>
            <w:vAlign w:val="top"/>
          </w:tcPr>
          <w:p w14:paraId="16A7F2C8">
            <w:pPr>
              <w:pStyle w:val="98"/>
              <w:rPr>
                <w:rStyle w:val="39"/>
                <w:rFonts w:hint="eastAsia" w:ascii="宋体" w:hAnsi="宋体" w:eastAsia="宋体" w:cs="宋体"/>
                <w:color w:val="auto"/>
                <w:sz w:val="21"/>
                <w:szCs w:val="21"/>
                <w:highlight w:val="none"/>
              </w:rPr>
            </w:pPr>
          </w:p>
        </w:tc>
        <w:tc>
          <w:tcPr>
            <w:tcW w:w="921" w:type="dxa"/>
            <w:noWrap w:val="0"/>
            <w:vAlign w:val="top"/>
          </w:tcPr>
          <w:p w14:paraId="319805F2">
            <w:pPr>
              <w:pStyle w:val="98"/>
              <w:rPr>
                <w:rStyle w:val="39"/>
                <w:rFonts w:hint="eastAsia" w:ascii="宋体" w:hAnsi="宋体" w:eastAsia="宋体" w:cs="宋体"/>
                <w:color w:val="auto"/>
                <w:sz w:val="21"/>
                <w:szCs w:val="21"/>
                <w:highlight w:val="none"/>
              </w:rPr>
            </w:pPr>
          </w:p>
        </w:tc>
      </w:tr>
      <w:tr w14:paraId="0D6E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68A786B">
            <w:pPr>
              <w:pStyle w:val="98"/>
              <w:rPr>
                <w:rStyle w:val="39"/>
                <w:rFonts w:hint="eastAsia" w:ascii="宋体" w:hAnsi="宋体" w:eastAsia="宋体" w:cs="宋体"/>
                <w:color w:val="auto"/>
                <w:sz w:val="21"/>
                <w:szCs w:val="21"/>
                <w:highlight w:val="none"/>
              </w:rPr>
            </w:pPr>
          </w:p>
        </w:tc>
        <w:tc>
          <w:tcPr>
            <w:tcW w:w="1418" w:type="dxa"/>
            <w:noWrap w:val="0"/>
            <w:vAlign w:val="top"/>
          </w:tcPr>
          <w:p w14:paraId="660E9792">
            <w:pPr>
              <w:pStyle w:val="98"/>
              <w:rPr>
                <w:rStyle w:val="39"/>
                <w:rFonts w:hint="eastAsia" w:ascii="宋体" w:hAnsi="宋体" w:eastAsia="宋体" w:cs="宋体"/>
                <w:color w:val="auto"/>
                <w:sz w:val="21"/>
                <w:szCs w:val="21"/>
                <w:highlight w:val="none"/>
              </w:rPr>
            </w:pPr>
          </w:p>
        </w:tc>
        <w:tc>
          <w:tcPr>
            <w:tcW w:w="850" w:type="dxa"/>
            <w:noWrap w:val="0"/>
            <w:vAlign w:val="top"/>
          </w:tcPr>
          <w:p w14:paraId="6BD1627D">
            <w:pPr>
              <w:pStyle w:val="98"/>
              <w:rPr>
                <w:rStyle w:val="39"/>
                <w:rFonts w:hint="eastAsia" w:ascii="宋体" w:hAnsi="宋体" w:eastAsia="宋体" w:cs="宋体"/>
                <w:color w:val="auto"/>
                <w:sz w:val="21"/>
                <w:szCs w:val="21"/>
                <w:highlight w:val="none"/>
              </w:rPr>
            </w:pPr>
          </w:p>
        </w:tc>
        <w:tc>
          <w:tcPr>
            <w:tcW w:w="1058" w:type="dxa"/>
            <w:noWrap w:val="0"/>
            <w:vAlign w:val="top"/>
          </w:tcPr>
          <w:p w14:paraId="67526BD6">
            <w:pPr>
              <w:pStyle w:val="98"/>
              <w:rPr>
                <w:rStyle w:val="39"/>
                <w:rFonts w:hint="eastAsia" w:ascii="宋体" w:hAnsi="宋体" w:eastAsia="宋体" w:cs="宋体"/>
                <w:color w:val="auto"/>
                <w:sz w:val="21"/>
                <w:szCs w:val="21"/>
                <w:highlight w:val="none"/>
              </w:rPr>
            </w:pPr>
          </w:p>
        </w:tc>
        <w:tc>
          <w:tcPr>
            <w:tcW w:w="880" w:type="dxa"/>
            <w:noWrap w:val="0"/>
            <w:vAlign w:val="top"/>
          </w:tcPr>
          <w:p w14:paraId="10F5B171">
            <w:pPr>
              <w:pStyle w:val="98"/>
              <w:rPr>
                <w:rStyle w:val="39"/>
                <w:rFonts w:hint="eastAsia" w:ascii="宋体" w:hAnsi="宋体" w:eastAsia="宋体" w:cs="宋体"/>
                <w:color w:val="auto"/>
                <w:sz w:val="21"/>
                <w:szCs w:val="21"/>
                <w:highlight w:val="none"/>
              </w:rPr>
            </w:pPr>
          </w:p>
        </w:tc>
        <w:tc>
          <w:tcPr>
            <w:tcW w:w="1020" w:type="dxa"/>
            <w:noWrap w:val="0"/>
            <w:vAlign w:val="top"/>
          </w:tcPr>
          <w:p w14:paraId="50B1146F">
            <w:pPr>
              <w:pStyle w:val="98"/>
              <w:rPr>
                <w:rStyle w:val="39"/>
                <w:rFonts w:hint="eastAsia" w:ascii="宋体" w:hAnsi="宋体" w:eastAsia="宋体" w:cs="宋体"/>
                <w:color w:val="auto"/>
                <w:sz w:val="21"/>
                <w:szCs w:val="21"/>
                <w:highlight w:val="none"/>
              </w:rPr>
            </w:pPr>
          </w:p>
        </w:tc>
        <w:tc>
          <w:tcPr>
            <w:tcW w:w="1480" w:type="dxa"/>
            <w:noWrap w:val="0"/>
            <w:vAlign w:val="top"/>
          </w:tcPr>
          <w:p w14:paraId="4FAD0C2D">
            <w:pPr>
              <w:pStyle w:val="98"/>
              <w:rPr>
                <w:rStyle w:val="39"/>
                <w:rFonts w:hint="eastAsia" w:ascii="宋体" w:hAnsi="宋体" w:eastAsia="宋体" w:cs="宋体"/>
                <w:color w:val="auto"/>
                <w:sz w:val="21"/>
                <w:szCs w:val="21"/>
                <w:highlight w:val="none"/>
              </w:rPr>
            </w:pPr>
          </w:p>
        </w:tc>
        <w:tc>
          <w:tcPr>
            <w:tcW w:w="1020" w:type="dxa"/>
            <w:noWrap w:val="0"/>
            <w:vAlign w:val="top"/>
          </w:tcPr>
          <w:p w14:paraId="381A6C8A">
            <w:pPr>
              <w:pStyle w:val="98"/>
              <w:rPr>
                <w:rStyle w:val="39"/>
                <w:rFonts w:hint="eastAsia" w:ascii="宋体" w:hAnsi="宋体" w:eastAsia="宋体" w:cs="宋体"/>
                <w:color w:val="auto"/>
                <w:sz w:val="21"/>
                <w:szCs w:val="21"/>
                <w:highlight w:val="none"/>
              </w:rPr>
            </w:pPr>
          </w:p>
        </w:tc>
        <w:tc>
          <w:tcPr>
            <w:tcW w:w="921" w:type="dxa"/>
            <w:noWrap w:val="0"/>
            <w:vAlign w:val="top"/>
          </w:tcPr>
          <w:p w14:paraId="49E015A8">
            <w:pPr>
              <w:pStyle w:val="98"/>
              <w:rPr>
                <w:rStyle w:val="39"/>
                <w:rFonts w:hint="eastAsia" w:ascii="宋体" w:hAnsi="宋体" w:eastAsia="宋体" w:cs="宋体"/>
                <w:color w:val="auto"/>
                <w:sz w:val="21"/>
                <w:szCs w:val="21"/>
                <w:highlight w:val="none"/>
              </w:rPr>
            </w:pPr>
          </w:p>
        </w:tc>
      </w:tr>
      <w:tr w14:paraId="1880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73B679F">
            <w:pPr>
              <w:pStyle w:val="98"/>
              <w:rPr>
                <w:rStyle w:val="39"/>
                <w:rFonts w:hint="eastAsia" w:ascii="宋体" w:hAnsi="宋体" w:eastAsia="宋体" w:cs="宋体"/>
                <w:color w:val="auto"/>
                <w:sz w:val="21"/>
                <w:szCs w:val="21"/>
                <w:highlight w:val="none"/>
              </w:rPr>
            </w:pPr>
          </w:p>
        </w:tc>
        <w:tc>
          <w:tcPr>
            <w:tcW w:w="1418" w:type="dxa"/>
            <w:noWrap w:val="0"/>
            <w:vAlign w:val="top"/>
          </w:tcPr>
          <w:p w14:paraId="5FBF332D">
            <w:pPr>
              <w:pStyle w:val="98"/>
              <w:rPr>
                <w:rStyle w:val="39"/>
                <w:rFonts w:hint="eastAsia" w:ascii="宋体" w:hAnsi="宋体" w:eastAsia="宋体" w:cs="宋体"/>
                <w:color w:val="auto"/>
                <w:sz w:val="21"/>
                <w:szCs w:val="21"/>
                <w:highlight w:val="none"/>
              </w:rPr>
            </w:pPr>
          </w:p>
        </w:tc>
        <w:tc>
          <w:tcPr>
            <w:tcW w:w="850" w:type="dxa"/>
            <w:noWrap w:val="0"/>
            <w:vAlign w:val="top"/>
          </w:tcPr>
          <w:p w14:paraId="65A89168">
            <w:pPr>
              <w:pStyle w:val="98"/>
              <w:rPr>
                <w:rStyle w:val="39"/>
                <w:rFonts w:hint="eastAsia" w:ascii="宋体" w:hAnsi="宋体" w:eastAsia="宋体" w:cs="宋体"/>
                <w:color w:val="auto"/>
                <w:sz w:val="21"/>
                <w:szCs w:val="21"/>
                <w:highlight w:val="none"/>
              </w:rPr>
            </w:pPr>
          </w:p>
        </w:tc>
        <w:tc>
          <w:tcPr>
            <w:tcW w:w="1058" w:type="dxa"/>
            <w:noWrap w:val="0"/>
            <w:vAlign w:val="top"/>
          </w:tcPr>
          <w:p w14:paraId="1B257E42">
            <w:pPr>
              <w:pStyle w:val="98"/>
              <w:rPr>
                <w:rStyle w:val="39"/>
                <w:rFonts w:hint="eastAsia" w:ascii="宋体" w:hAnsi="宋体" w:eastAsia="宋体" w:cs="宋体"/>
                <w:color w:val="auto"/>
                <w:sz w:val="21"/>
                <w:szCs w:val="21"/>
                <w:highlight w:val="none"/>
              </w:rPr>
            </w:pPr>
          </w:p>
        </w:tc>
        <w:tc>
          <w:tcPr>
            <w:tcW w:w="880" w:type="dxa"/>
            <w:noWrap w:val="0"/>
            <w:vAlign w:val="top"/>
          </w:tcPr>
          <w:p w14:paraId="4CE7B90F">
            <w:pPr>
              <w:pStyle w:val="98"/>
              <w:rPr>
                <w:rStyle w:val="39"/>
                <w:rFonts w:hint="eastAsia" w:ascii="宋体" w:hAnsi="宋体" w:eastAsia="宋体" w:cs="宋体"/>
                <w:color w:val="auto"/>
                <w:sz w:val="21"/>
                <w:szCs w:val="21"/>
                <w:highlight w:val="none"/>
              </w:rPr>
            </w:pPr>
          </w:p>
        </w:tc>
        <w:tc>
          <w:tcPr>
            <w:tcW w:w="1020" w:type="dxa"/>
            <w:noWrap w:val="0"/>
            <w:vAlign w:val="top"/>
          </w:tcPr>
          <w:p w14:paraId="6D370FCE">
            <w:pPr>
              <w:pStyle w:val="98"/>
              <w:rPr>
                <w:rStyle w:val="39"/>
                <w:rFonts w:hint="eastAsia" w:ascii="宋体" w:hAnsi="宋体" w:eastAsia="宋体" w:cs="宋体"/>
                <w:color w:val="auto"/>
                <w:sz w:val="21"/>
                <w:szCs w:val="21"/>
                <w:highlight w:val="none"/>
              </w:rPr>
            </w:pPr>
          </w:p>
        </w:tc>
        <w:tc>
          <w:tcPr>
            <w:tcW w:w="1480" w:type="dxa"/>
            <w:noWrap w:val="0"/>
            <w:vAlign w:val="top"/>
          </w:tcPr>
          <w:p w14:paraId="312F9691">
            <w:pPr>
              <w:pStyle w:val="98"/>
              <w:rPr>
                <w:rStyle w:val="39"/>
                <w:rFonts w:hint="eastAsia" w:ascii="宋体" w:hAnsi="宋体" w:eastAsia="宋体" w:cs="宋体"/>
                <w:color w:val="auto"/>
                <w:sz w:val="21"/>
                <w:szCs w:val="21"/>
                <w:highlight w:val="none"/>
              </w:rPr>
            </w:pPr>
          </w:p>
        </w:tc>
        <w:tc>
          <w:tcPr>
            <w:tcW w:w="1020" w:type="dxa"/>
            <w:noWrap w:val="0"/>
            <w:vAlign w:val="top"/>
          </w:tcPr>
          <w:p w14:paraId="67D5E6D5">
            <w:pPr>
              <w:pStyle w:val="98"/>
              <w:rPr>
                <w:rStyle w:val="39"/>
                <w:rFonts w:hint="eastAsia" w:ascii="宋体" w:hAnsi="宋体" w:eastAsia="宋体" w:cs="宋体"/>
                <w:color w:val="auto"/>
                <w:sz w:val="21"/>
                <w:szCs w:val="21"/>
                <w:highlight w:val="none"/>
              </w:rPr>
            </w:pPr>
          </w:p>
        </w:tc>
        <w:tc>
          <w:tcPr>
            <w:tcW w:w="921" w:type="dxa"/>
            <w:noWrap w:val="0"/>
            <w:vAlign w:val="top"/>
          </w:tcPr>
          <w:p w14:paraId="6C9A77A4">
            <w:pPr>
              <w:pStyle w:val="98"/>
              <w:rPr>
                <w:rStyle w:val="39"/>
                <w:rFonts w:hint="eastAsia" w:ascii="宋体" w:hAnsi="宋体" w:eastAsia="宋体" w:cs="宋体"/>
                <w:color w:val="auto"/>
                <w:sz w:val="21"/>
                <w:szCs w:val="21"/>
                <w:highlight w:val="none"/>
              </w:rPr>
            </w:pPr>
          </w:p>
        </w:tc>
      </w:tr>
      <w:tr w14:paraId="69C4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13C82C5">
            <w:pPr>
              <w:pStyle w:val="98"/>
              <w:rPr>
                <w:rStyle w:val="39"/>
                <w:rFonts w:hint="eastAsia" w:ascii="宋体" w:hAnsi="宋体" w:eastAsia="宋体" w:cs="宋体"/>
                <w:color w:val="auto"/>
                <w:sz w:val="21"/>
                <w:szCs w:val="21"/>
                <w:highlight w:val="none"/>
              </w:rPr>
            </w:pPr>
          </w:p>
        </w:tc>
        <w:tc>
          <w:tcPr>
            <w:tcW w:w="1418" w:type="dxa"/>
            <w:noWrap w:val="0"/>
            <w:vAlign w:val="top"/>
          </w:tcPr>
          <w:p w14:paraId="1719CFDB">
            <w:pPr>
              <w:pStyle w:val="98"/>
              <w:rPr>
                <w:rStyle w:val="39"/>
                <w:rFonts w:hint="eastAsia" w:ascii="宋体" w:hAnsi="宋体" w:eastAsia="宋体" w:cs="宋体"/>
                <w:color w:val="auto"/>
                <w:sz w:val="21"/>
                <w:szCs w:val="21"/>
                <w:highlight w:val="none"/>
              </w:rPr>
            </w:pPr>
          </w:p>
        </w:tc>
        <w:tc>
          <w:tcPr>
            <w:tcW w:w="850" w:type="dxa"/>
            <w:noWrap w:val="0"/>
            <w:vAlign w:val="top"/>
          </w:tcPr>
          <w:p w14:paraId="35435AA9">
            <w:pPr>
              <w:pStyle w:val="98"/>
              <w:rPr>
                <w:rStyle w:val="39"/>
                <w:rFonts w:hint="eastAsia" w:ascii="宋体" w:hAnsi="宋体" w:eastAsia="宋体" w:cs="宋体"/>
                <w:color w:val="auto"/>
                <w:sz w:val="21"/>
                <w:szCs w:val="21"/>
                <w:highlight w:val="none"/>
              </w:rPr>
            </w:pPr>
          </w:p>
        </w:tc>
        <w:tc>
          <w:tcPr>
            <w:tcW w:w="1058" w:type="dxa"/>
            <w:noWrap w:val="0"/>
            <w:vAlign w:val="top"/>
          </w:tcPr>
          <w:p w14:paraId="1B671F8C">
            <w:pPr>
              <w:pStyle w:val="98"/>
              <w:rPr>
                <w:rStyle w:val="39"/>
                <w:rFonts w:hint="eastAsia" w:ascii="宋体" w:hAnsi="宋体" w:eastAsia="宋体" w:cs="宋体"/>
                <w:color w:val="auto"/>
                <w:sz w:val="21"/>
                <w:szCs w:val="21"/>
                <w:highlight w:val="none"/>
              </w:rPr>
            </w:pPr>
          </w:p>
        </w:tc>
        <w:tc>
          <w:tcPr>
            <w:tcW w:w="880" w:type="dxa"/>
            <w:noWrap w:val="0"/>
            <w:vAlign w:val="top"/>
          </w:tcPr>
          <w:p w14:paraId="601C734F">
            <w:pPr>
              <w:pStyle w:val="98"/>
              <w:rPr>
                <w:rStyle w:val="39"/>
                <w:rFonts w:hint="eastAsia" w:ascii="宋体" w:hAnsi="宋体" w:eastAsia="宋体" w:cs="宋体"/>
                <w:color w:val="auto"/>
                <w:sz w:val="21"/>
                <w:szCs w:val="21"/>
                <w:highlight w:val="none"/>
              </w:rPr>
            </w:pPr>
          </w:p>
        </w:tc>
        <w:tc>
          <w:tcPr>
            <w:tcW w:w="1020" w:type="dxa"/>
            <w:noWrap w:val="0"/>
            <w:vAlign w:val="top"/>
          </w:tcPr>
          <w:p w14:paraId="00DCA64A">
            <w:pPr>
              <w:pStyle w:val="98"/>
              <w:rPr>
                <w:rStyle w:val="39"/>
                <w:rFonts w:hint="eastAsia" w:ascii="宋体" w:hAnsi="宋体" w:eastAsia="宋体" w:cs="宋体"/>
                <w:color w:val="auto"/>
                <w:sz w:val="21"/>
                <w:szCs w:val="21"/>
                <w:highlight w:val="none"/>
              </w:rPr>
            </w:pPr>
          </w:p>
        </w:tc>
        <w:tc>
          <w:tcPr>
            <w:tcW w:w="1480" w:type="dxa"/>
            <w:noWrap w:val="0"/>
            <w:vAlign w:val="top"/>
          </w:tcPr>
          <w:p w14:paraId="289D01BE">
            <w:pPr>
              <w:pStyle w:val="98"/>
              <w:rPr>
                <w:rStyle w:val="39"/>
                <w:rFonts w:hint="eastAsia" w:ascii="宋体" w:hAnsi="宋体" w:eastAsia="宋体" w:cs="宋体"/>
                <w:color w:val="auto"/>
                <w:sz w:val="21"/>
                <w:szCs w:val="21"/>
                <w:highlight w:val="none"/>
              </w:rPr>
            </w:pPr>
          </w:p>
        </w:tc>
        <w:tc>
          <w:tcPr>
            <w:tcW w:w="1020" w:type="dxa"/>
            <w:noWrap w:val="0"/>
            <w:vAlign w:val="top"/>
          </w:tcPr>
          <w:p w14:paraId="53B8D717">
            <w:pPr>
              <w:pStyle w:val="98"/>
              <w:rPr>
                <w:rStyle w:val="39"/>
                <w:rFonts w:hint="eastAsia" w:ascii="宋体" w:hAnsi="宋体" w:eastAsia="宋体" w:cs="宋体"/>
                <w:color w:val="auto"/>
                <w:sz w:val="21"/>
                <w:szCs w:val="21"/>
                <w:highlight w:val="none"/>
              </w:rPr>
            </w:pPr>
          </w:p>
        </w:tc>
        <w:tc>
          <w:tcPr>
            <w:tcW w:w="921" w:type="dxa"/>
            <w:noWrap w:val="0"/>
            <w:vAlign w:val="top"/>
          </w:tcPr>
          <w:p w14:paraId="182E6640">
            <w:pPr>
              <w:pStyle w:val="98"/>
              <w:rPr>
                <w:rStyle w:val="39"/>
                <w:rFonts w:hint="eastAsia" w:ascii="宋体" w:hAnsi="宋体" w:eastAsia="宋体" w:cs="宋体"/>
                <w:color w:val="auto"/>
                <w:sz w:val="21"/>
                <w:szCs w:val="21"/>
                <w:highlight w:val="none"/>
              </w:rPr>
            </w:pPr>
          </w:p>
        </w:tc>
      </w:tr>
      <w:tr w14:paraId="5778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415DD58">
            <w:pPr>
              <w:pStyle w:val="98"/>
              <w:rPr>
                <w:rStyle w:val="39"/>
                <w:rFonts w:hint="eastAsia" w:ascii="宋体" w:hAnsi="宋体" w:eastAsia="宋体" w:cs="宋体"/>
                <w:color w:val="auto"/>
                <w:sz w:val="21"/>
                <w:szCs w:val="21"/>
                <w:highlight w:val="none"/>
              </w:rPr>
            </w:pPr>
          </w:p>
        </w:tc>
        <w:tc>
          <w:tcPr>
            <w:tcW w:w="1418" w:type="dxa"/>
            <w:noWrap w:val="0"/>
            <w:vAlign w:val="top"/>
          </w:tcPr>
          <w:p w14:paraId="7FAF7107">
            <w:pPr>
              <w:pStyle w:val="98"/>
              <w:rPr>
                <w:rStyle w:val="39"/>
                <w:rFonts w:hint="eastAsia" w:ascii="宋体" w:hAnsi="宋体" w:eastAsia="宋体" w:cs="宋体"/>
                <w:color w:val="auto"/>
                <w:sz w:val="21"/>
                <w:szCs w:val="21"/>
                <w:highlight w:val="none"/>
              </w:rPr>
            </w:pPr>
          </w:p>
        </w:tc>
        <w:tc>
          <w:tcPr>
            <w:tcW w:w="850" w:type="dxa"/>
            <w:noWrap w:val="0"/>
            <w:vAlign w:val="top"/>
          </w:tcPr>
          <w:p w14:paraId="54E8FFB9">
            <w:pPr>
              <w:pStyle w:val="98"/>
              <w:rPr>
                <w:rStyle w:val="39"/>
                <w:rFonts w:hint="eastAsia" w:ascii="宋体" w:hAnsi="宋体" w:eastAsia="宋体" w:cs="宋体"/>
                <w:color w:val="auto"/>
                <w:sz w:val="21"/>
                <w:szCs w:val="21"/>
                <w:highlight w:val="none"/>
              </w:rPr>
            </w:pPr>
          </w:p>
        </w:tc>
        <w:tc>
          <w:tcPr>
            <w:tcW w:w="1058" w:type="dxa"/>
            <w:noWrap w:val="0"/>
            <w:vAlign w:val="top"/>
          </w:tcPr>
          <w:p w14:paraId="2A63FDC8">
            <w:pPr>
              <w:pStyle w:val="98"/>
              <w:rPr>
                <w:rStyle w:val="39"/>
                <w:rFonts w:hint="eastAsia" w:ascii="宋体" w:hAnsi="宋体" w:eastAsia="宋体" w:cs="宋体"/>
                <w:color w:val="auto"/>
                <w:sz w:val="21"/>
                <w:szCs w:val="21"/>
                <w:highlight w:val="none"/>
              </w:rPr>
            </w:pPr>
          </w:p>
        </w:tc>
        <w:tc>
          <w:tcPr>
            <w:tcW w:w="880" w:type="dxa"/>
            <w:noWrap w:val="0"/>
            <w:vAlign w:val="top"/>
          </w:tcPr>
          <w:p w14:paraId="44D5E988">
            <w:pPr>
              <w:pStyle w:val="98"/>
              <w:rPr>
                <w:rStyle w:val="39"/>
                <w:rFonts w:hint="eastAsia" w:ascii="宋体" w:hAnsi="宋体" w:eastAsia="宋体" w:cs="宋体"/>
                <w:color w:val="auto"/>
                <w:sz w:val="21"/>
                <w:szCs w:val="21"/>
                <w:highlight w:val="none"/>
              </w:rPr>
            </w:pPr>
          </w:p>
        </w:tc>
        <w:tc>
          <w:tcPr>
            <w:tcW w:w="1020" w:type="dxa"/>
            <w:noWrap w:val="0"/>
            <w:vAlign w:val="top"/>
          </w:tcPr>
          <w:p w14:paraId="280BC51F">
            <w:pPr>
              <w:pStyle w:val="98"/>
              <w:rPr>
                <w:rStyle w:val="39"/>
                <w:rFonts w:hint="eastAsia" w:ascii="宋体" w:hAnsi="宋体" w:eastAsia="宋体" w:cs="宋体"/>
                <w:color w:val="auto"/>
                <w:sz w:val="21"/>
                <w:szCs w:val="21"/>
                <w:highlight w:val="none"/>
              </w:rPr>
            </w:pPr>
          </w:p>
        </w:tc>
        <w:tc>
          <w:tcPr>
            <w:tcW w:w="1480" w:type="dxa"/>
            <w:noWrap w:val="0"/>
            <w:vAlign w:val="top"/>
          </w:tcPr>
          <w:p w14:paraId="58FC9467">
            <w:pPr>
              <w:pStyle w:val="98"/>
              <w:rPr>
                <w:rStyle w:val="39"/>
                <w:rFonts w:hint="eastAsia" w:ascii="宋体" w:hAnsi="宋体" w:eastAsia="宋体" w:cs="宋体"/>
                <w:color w:val="auto"/>
                <w:sz w:val="21"/>
                <w:szCs w:val="21"/>
                <w:highlight w:val="none"/>
              </w:rPr>
            </w:pPr>
          </w:p>
        </w:tc>
        <w:tc>
          <w:tcPr>
            <w:tcW w:w="1020" w:type="dxa"/>
            <w:noWrap w:val="0"/>
            <w:vAlign w:val="top"/>
          </w:tcPr>
          <w:p w14:paraId="53708D93">
            <w:pPr>
              <w:pStyle w:val="98"/>
              <w:rPr>
                <w:rStyle w:val="39"/>
                <w:rFonts w:hint="eastAsia" w:ascii="宋体" w:hAnsi="宋体" w:eastAsia="宋体" w:cs="宋体"/>
                <w:color w:val="auto"/>
                <w:sz w:val="21"/>
                <w:szCs w:val="21"/>
                <w:highlight w:val="none"/>
              </w:rPr>
            </w:pPr>
          </w:p>
        </w:tc>
        <w:tc>
          <w:tcPr>
            <w:tcW w:w="921" w:type="dxa"/>
            <w:noWrap w:val="0"/>
            <w:vAlign w:val="top"/>
          </w:tcPr>
          <w:p w14:paraId="52942E68">
            <w:pPr>
              <w:pStyle w:val="98"/>
              <w:rPr>
                <w:rStyle w:val="39"/>
                <w:rFonts w:hint="eastAsia" w:ascii="宋体" w:hAnsi="宋体" w:eastAsia="宋体" w:cs="宋体"/>
                <w:color w:val="auto"/>
                <w:sz w:val="21"/>
                <w:szCs w:val="21"/>
                <w:highlight w:val="none"/>
              </w:rPr>
            </w:pPr>
          </w:p>
        </w:tc>
      </w:tr>
      <w:tr w14:paraId="42C6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4690ECAC">
            <w:pPr>
              <w:pStyle w:val="98"/>
              <w:rPr>
                <w:rStyle w:val="39"/>
                <w:rFonts w:hint="eastAsia" w:ascii="宋体" w:hAnsi="宋体" w:eastAsia="宋体" w:cs="宋体"/>
                <w:color w:val="auto"/>
                <w:sz w:val="21"/>
                <w:szCs w:val="21"/>
                <w:highlight w:val="none"/>
              </w:rPr>
            </w:pPr>
          </w:p>
        </w:tc>
        <w:tc>
          <w:tcPr>
            <w:tcW w:w="1418" w:type="dxa"/>
            <w:noWrap w:val="0"/>
            <w:vAlign w:val="top"/>
          </w:tcPr>
          <w:p w14:paraId="0ECC8D71">
            <w:pPr>
              <w:pStyle w:val="98"/>
              <w:rPr>
                <w:rStyle w:val="39"/>
                <w:rFonts w:hint="eastAsia" w:ascii="宋体" w:hAnsi="宋体" w:eastAsia="宋体" w:cs="宋体"/>
                <w:color w:val="auto"/>
                <w:sz w:val="21"/>
                <w:szCs w:val="21"/>
                <w:highlight w:val="none"/>
              </w:rPr>
            </w:pPr>
          </w:p>
        </w:tc>
        <w:tc>
          <w:tcPr>
            <w:tcW w:w="850" w:type="dxa"/>
            <w:noWrap w:val="0"/>
            <w:vAlign w:val="top"/>
          </w:tcPr>
          <w:p w14:paraId="4B161011">
            <w:pPr>
              <w:pStyle w:val="98"/>
              <w:rPr>
                <w:rStyle w:val="39"/>
                <w:rFonts w:hint="eastAsia" w:ascii="宋体" w:hAnsi="宋体" w:eastAsia="宋体" w:cs="宋体"/>
                <w:color w:val="auto"/>
                <w:sz w:val="21"/>
                <w:szCs w:val="21"/>
                <w:highlight w:val="none"/>
              </w:rPr>
            </w:pPr>
          </w:p>
        </w:tc>
        <w:tc>
          <w:tcPr>
            <w:tcW w:w="1058" w:type="dxa"/>
            <w:noWrap w:val="0"/>
            <w:vAlign w:val="top"/>
          </w:tcPr>
          <w:p w14:paraId="1CAA9C2A">
            <w:pPr>
              <w:pStyle w:val="98"/>
              <w:rPr>
                <w:rStyle w:val="39"/>
                <w:rFonts w:hint="eastAsia" w:ascii="宋体" w:hAnsi="宋体" w:eastAsia="宋体" w:cs="宋体"/>
                <w:color w:val="auto"/>
                <w:sz w:val="21"/>
                <w:szCs w:val="21"/>
                <w:highlight w:val="none"/>
              </w:rPr>
            </w:pPr>
          </w:p>
        </w:tc>
        <w:tc>
          <w:tcPr>
            <w:tcW w:w="880" w:type="dxa"/>
            <w:noWrap w:val="0"/>
            <w:vAlign w:val="top"/>
          </w:tcPr>
          <w:p w14:paraId="483923B9">
            <w:pPr>
              <w:pStyle w:val="98"/>
              <w:rPr>
                <w:rStyle w:val="39"/>
                <w:rFonts w:hint="eastAsia" w:ascii="宋体" w:hAnsi="宋体" w:eastAsia="宋体" w:cs="宋体"/>
                <w:color w:val="auto"/>
                <w:sz w:val="21"/>
                <w:szCs w:val="21"/>
                <w:highlight w:val="none"/>
              </w:rPr>
            </w:pPr>
          </w:p>
        </w:tc>
        <w:tc>
          <w:tcPr>
            <w:tcW w:w="1020" w:type="dxa"/>
            <w:noWrap w:val="0"/>
            <w:vAlign w:val="top"/>
          </w:tcPr>
          <w:p w14:paraId="007415C9">
            <w:pPr>
              <w:pStyle w:val="98"/>
              <w:rPr>
                <w:rStyle w:val="39"/>
                <w:rFonts w:hint="eastAsia" w:ascii="宋体" w:hAnsi="宋体" w:eastAsia="宋体" w:cs="宋体"/>
                <w:color w:val="auto"/>
                <w:sz w:val="21"/>
                <w:szCs w:val="21"/>
                <w:highlight w:val="none"/>
              </w:rPr>
            </w:pPr>
          </w:p>
        </w:tc>
        <w:tc>
          <w:tcPr>
            <w:tcW w:w="1480" w:type="dxa"/>
            <w:noWrap w:val="0"/>
            <w:vAlign w:val="top"/>
          </w:tcPr>
          <w:p w14:paraId="159F4519">
            <w:pPr>
              <w:pStyle w:val="98"/>
              <w:rPr>
                <w:rStyle w:val="39"/>
                <w:rFonts w:hint="eastAsia" w:ascii="宋体" w:hAnsi="宋体" w:eastAsia="宋体" w:cs="宋体"/>
                <w:color w:val="auto"/>
                <w:sz w:val="21"/>
                <w:szCs w:val="21"/>
                <w:highlight w:val="none"/>
              </w:rPr>
            </w:pPr>
          </w:p>
        </w:tc>
        <w:tc>
          <w:tcPr>
            <w:tcW w:w="1020" w:type="dxa"/>
            <w:noWrap w:val="0"/>
            <w:vAlign w:val="top"/>
          </w:tcPr>
          <w:p w14:paraId="114530FD">
            <w:pPr>
              <w:pStyle w:val="98"/>
              <w:rPr>
                <w:rStyle w:val="39"/>
                <w:rFonts w:hint="eastAsia" w:ascii="宋体" w:hAnsi="宋体" w:eastAsia="宋体" w:cs="宋体"/>
                <w:color w:val="auto"/>
                <w:sz w:val="21"/>
                <w:szCs w:val="21"/>
                <w:highlight w:val="none"/>
              </w:rPr>
            </w:pPr>
          </w:p>
        </w:tc>
        <w:tc>
          <w:tcPr>
            <w:tcW w:w="921" w:type="dxa"/>
            <w:noWrap w:val="0"/>
            <w:vAlign w:val="top"/>
          </w:tcPr>
          <w:p w14:paraId="7F8E5613">
            <w:pPr>
              <w:pStyle w:val="98"/>
              <w:rPr>
                <w:rStyle w:val="39"/>
                <w:rFonts w:hint="eastAsia" w:ascii="宋体" w:hAnsi="宋体" w:eastAsia="宋体" w:cs="宋体"/>
                <w:color w:val="auto"/>
                <w:sz w:val="21"/>
                <w:szCs w:val="21"/>
                <w:highlight w:val="none"/>
              </w:rPr>
            </w:pPr>
          </w:p>
        </w:tc>
      </w:tr>
      <w:tr w14:paraId="7284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B745AD4">
            <w:pPr>
              <w:pStyle w:val="98"/>
              <w:rPr>
                <w:rStyle w:val="39"/>
                <w:rFonts w:hint="eastAsia" w:ascii="宋体" w:hAnsi="宋体" w:eastAsia="宋体" w:cs="宋体"/>
                <w:color w:val="auto"/>
                <w:sz w:val="21"/>
                <w:szCs w:val="21"/>
                <w:highlight w:val="none"/>
              </w:rPr>
            </w:pPr>
          </w:p>
        </w:tc>
        <w:tc>
          <w:tcPr>
            <w:tcW w:w="1418" w:type="dxa"/>
            <w:noWrap w:val="0"/>
            <w:vAlign w:val="top"/>
          </w:tcPr>
          <w:p w14:paraId="450AD5EB">
            <w:pPr>
              <w:pStyle w:val="98"/>
              <w:rPr>
                <w:rStyle w:val="39"/>
                <w:rFonts w:hint="eastAsia" w:ascii="宋体" w:hAnsi="宋体" w:eastAsia="宋体" w:cs="宋体"/>
                <w:color w:val="auto"/>
                <w:sz w:val="21"/>
                <w:szCs w:val="21"/>
                <w:highlight w:val="none"/>
              </w:rPr>
            </w:pPr>
          </w:p>
        </w:tc>
        <w:tc>
          <w:tcPr>
            <w:tcW w:w="850" w:type="dxa"/>
            <w:noWrap w:val="0"/>
            <w:vAlign w:val="top"/>
          </w:tcPr>
          <w:p w14:paraId="609B84B8">
            <w:pPr>
              <w:pStyle w:val="98"/>
              <w:rPr>
                <w:rStyle w:val="39"/>
                <w:rFonts w:hint="eastAsia" w:ascii="宋体" w:hAnsi="宋体" w:eastAsia="宋体" w:cs="宋体"/>
                <w:color w:val="auto"/>
                <w:sz w:val="21"/>
                <w:szCs w:val="21"/>
                <w:highlight w:val="none"/>
              </w:rPr>
            </w:pPr>
          </w:p>
        </w:tc>
        <w:tc>
          <w:tcPr>
            <w:tcW w:w="1058" w:type="dxa"/>
            <w:noWrap w:val="0"/>
            <w:vAlign w:val="top"/>
          </w:tcPr>
          <w:p w14:paraId="10B005DB">
            <w:pPr>
              <w:pStyle w:val="98"/>
              <w:rPr>
                <w:rStyle w:val="39"/>
                <w:rFonts w:hint="eastAsia" w:ascii="宋体" w:hAnsi="宋体" w:eastAsia="宋体" w:cs="宋体"/>
                <w:color w:val="auto"/>
                <w:sz w:val="21"/>
                <w:szCs w:val="21"/>
                <w:highlight w:val="none"/>
              </w:rPr>
            </w:pPr>
          </w:p>
        </w:tc>
        <w:tc>
          <w:tcPr>
            <w:tcW w:w="880" w:type="dxa"/>
            <w:noWrap w:val="0"/>
            <w:vAlign w:val="top"/>
          </w:tcPr>
          <w:p w14:paraId="0F1A82B8">
            <w:pPr>
              <w:pStyle w:val="98"/>
              <w:rPr>
                <w:rStyle w:val="39"/>
                <w:rFonts w:hint="eastAsia" w:ascii="宋体" w:hAnsi="宋体" w:eastAsia="宋体" w:cs="宋体"/>
                <w:color w:val="auto"/>
                <w:sz w:val="21"/>
                <w:szCs w:val="21"/>
                <w:highlight w:val="none"/>
              </w:rPr>
            </w:pPr>
          </w:p>
        </w:tc>
        <w:tc>
          <w:tcPr>
            <w:tcW w:w="1020" w:type="dxa"/>
            <w:noWrap w:val="0"/>
            <w:vAlign w:val="top"/>
          </w:tcPr>
          <w:p w14:paraId="1FFED94E">
            <w:pPr>
              <w:pStyle w:val="98"/>
              <w:rPr>
                <w:rStyle w:val="39"/>
                <w:rFonts w:hint="eastAsia" w:ascii="宋体" w:hAnsi="宋体" w:eastAsia="宋体" w:cs="宋体"/>
                <w:color w:val="auto"/>
                <w:sz w:val="21"/>
                <w:szCs w:val="21"/>
                <w:highlight w:val="none"/>
              </w:rPr>
            </w:pPr>
          </w:p>
        </w:tc>
        <w:tc>
          <w:tcPr>
            <w:tcW w:w="1480" w:type="dxa"/>
            <w:noWrap w:val="0"/>
            <w:vAlign w:val="top"/>
          </w:tcPr>
          <w:p w14:paraId="4E05A490">
            <w:pPr>
              <w:pStyle w:val="98"/>
              <w:rPr>
                <w:rStyle w:val="39"/>
                <w:rFonts w:hint="eastAsia" w:ascii="宋体" w:hAnsi="宋体" w:eastAsia="宋体" w:cs="宋体"/>
                <w:color w:val="auto"/>
                <w:sz w:val="21"/>
                <w:szCs w:val="21"/>
                <w:highlight w:val="none"/>
              </w:rPr>
            </w:pPr>
          </w:p>
        </w:tc>
        <w:tc>
          <w:tcPr>
            <w:tcW w:w="1020" w:type="dxa"/>
            <w:noWrap w:val="0"/>
            <w:vAlign w:val="top"/>
          </w:tcPr>
          <w:p w14:paraId="7A2739B1">
            <w:pPr>
              <w:pStyle w:val="98"/>
              <w:rPr>
                <w:rStyle w:val="39"/>
                <w:rFonts w:hint="eastAsia" w:ascii="宋体" w:hAnsi="宋体" w:eastAsia="宋体" w:cs="宋体"/>
                <w:color w:val="auto"/>
                <w:sz w:val="21"/>
                <w:szCs w:val="21"/>
                <w:highlight w:val="none"/>
              </w:rPr>
            </w:pPr>
          </w:p>
        </w:tc>
        <w:tc>
          <w:tcPr>
            <w:tcW w:w="921" w:type="dxa"/>
            <w:noWrap w:val="0"/>
            <w:vAlign w:val="top"/>
          </w:tcPr>
          <w:p w14:paraId="68FA4886">
            <w:pPr>
              <w:pStyle w:val="98"/>
              <w:rPr>
                <w:rStyle w:val="39"/>
                <w:rFonts w:hint="eastAsia" w:ascii="宋体" w:hAnsi="宋体" w:eastAsia="宋体" w:cs="宋体"/>
                <w:color w:val="auto"/>
                <w:sz w:val="21"/>
                <w:szCs w:val="21"/>
                <w:highlight w:val="none"/>
              </w:rPr>
            </w:pPr>
          </w:p>
        </w:tc>
      </w:tr>
      <w:tr w14:paraId="0B20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B27DED7">
            <w:pPr>
              <w:pStyle w:val="98"/>
              <w:rPr>
                <w:rStyle w:val="39"/>
                <w:rFonts w:hint="eastAsia" w:ascii="宋体" w:hAnsi="宋体" w:eastAsia="宋体" w:cs="宋体"/>
                <w:color w:val="auto"/>
                <w:sz w:val="21"/>
                <w:szCs w:val="21"/>
                <w:highlight w:val="none"/>
              </w:rPr>
            </w:pPr>
          </w:p>
        </w:tc>
        <w:tc>
          <w:tcPr>
            <w:tcW w:w="1418" w:type="dxa"/>
            <w:noWrap w:val="0"/>
            <w:vAlign w:val="top"/>
          </w:tcPr>
          <w:p w14:paraId="39038074">
            <w:pPr>
              <w:pStyle w:val="98"/>
              <w:rPr>
                <w:rStyle w:val="39"/>
                <w:rFonts w:hint="eastAsia" w:ascii="宋体" w:hAnsi="宋体" w:eastAsia="宋体" w:cs="宋体"/>
                <w:color w:val="auto"/>
                <w:sz w:val="21"/>
                <w:szCs w:val="21"/>
                <w:highlight w:val="none"/>
              </w:rPr>
            </w:pPr>
          </w:p>
        </w:tc>
        <w:tc>
          <w:tcPr>
            <w:tcW w:w="850" w:type="dxa"/>
            <w:noWrap w:val="0"/>
            <w:vAlign w:val="top"/>
          </w:tcPr>
          <w:p w14:paraId="043A255A">
            <w:pPr>
              <w:pStyle w:val="98"/>
              <w:rPr>
                <w:rStyle w:val="39"/>
                <w:rFonts w:hint="eastAsia" w:ascii="宋体" w:hAnsi="宋体" w:eastAsia="宋体" w:cs="宋体"/>
                <w:color w:val="auto"/>
                <w:sz w:val="21"/>
                <w:szCs w:val="21"/>
                <w:highlight w:val="none"/>
              </w:rPr>
            </w:pPr>
          </w:p>
        </w:tc>
        <w:tc>
          <w:tcPr>
            <w:tcW w:w="1058" w:type="dxa"/>
            <w:noWrap w:val="0"/>
            <w:vAlign w:val="top"/>
          </w:tcPr>
          <w:p w14:paraId="5BF59B84">
            <w:pPr>
              <w:pStyle w:val="98"/>
              <w:rPr>
                <w:rStyle w:val="39"/>
                <w:rFonts w:hint="eastAsia" w:ascii="宋体" w:hAnsi="宋体" w:eastAsia="宋体" w:cs="宋体"/>
                <w:color w:val="auto"/>
                <w:sz w:val="21"/>
                <w:szCs w:val="21"/>
                <w:highlight w:val="none"/>
              </w:rPr>
            </w:pPr>
          </w:p>
        </w:tc>
        <w:tc>
          <w:tcPr>
            <w:tcW w:w="880" w:type="dxa"/>
            <w:noWrap w:val="0"/>
            <w:vAlign w:val="top"/>
          </w:tcPr>
          <w:p w14:paraId="04C21B70">
            <w:pPr>
              <w:pStyle w:val="98"/>
              <w:rPr>
                <w:rStyle w:val="39"/>
                <w:rFonts w:hint="eastAsia" w:ascii="宋体" w:hAnsi="宋体" w:eastAsia="宋体" w:cs="宋体"/>
                <w:color w:val="auto"/>
                <w:sz w:val="21"/>
                <w:szCs w:val="21"/>
                <w:highlight w:val="none"/>
              </w:rPr>
            </w:pPr>
          </w:p>
        </w:tc>
        <w:tc>
          <w:tcPr>
            <w:tcW w:w="1020" w:type="dxa"/>
            <w:noWrap w:val="0"/>
            <w:vAlign w:val="top"/>
          </w:tcPr>
          <w:p w14:paraId="502D5A26">
            <w:pPr>
              <w:pStyle w:val="98"/>
              <w:rPr>
                <w:rStyle w:val="39"/>
                <w:rFonts w:hint="eastAsia" w:ascii="宋体" w:hAnsi="宋体" w:eastAsia="宋体" w:cs="宋体"/>
                <w:color w:val="auto"/>
                <w:sz w:val="21"/>
                <w:szCs w:val="21"/>
                <w:highlight w:val="none"/>
              </w:rPr>
            </w:pPr>
          </w:p>
        </w:tc>
        <w:tc>
          <w:tcPr>
            <w:tcW w:w="1480" w:type="dxa"/>
            <w:noWrap w:val="0"/>
            <w:vAlign w:val="top"/>
          </w:tcPr>
          <w:p w14:paraId="4B479A81">
            <w:pPr>
              <w:pStyle w:val="98"/>
              <w:rPr>
                <w:rStyle w:val="39"/>
                <w:rFonts w:hint="eastAsia" w:ascii="宋体" w:hAnsi="宋体" w:eastAsia="宋体" w:cs="宋体"/>
                <w:color w:val="auto"/>
                <w:sz w:val="21"/>
                <w:szCs w:val="21"/>
                <w:highlight w:val="none"/>
              </w:rPr>
            </w:pPr>
          </w:p>
        </w:tc>
        <w:tc>
          <w:tcPr>
            <w:tcW w:w="1020" w:type="dxa"/>
            <w:noWrap w:val="0"/>
            <w:vAlign w:val="top"/>
          </w:tcPr>
          <w:p w14:paraId="3B7F8502">
            <w:pPr>
              <w:pStyle w:val="98"/>
              <w:rPr>
                <w:rStyle w:val="39"/>
                <w:rFonts w:hint="eastAsia" w:ascii="宋体" w:hAnsi="宋体" w:eastAsia="宋体" w:cs="宋体"/>
                <w:color w:val="auto"/>
                <w:sz w:val="21"/>
                <w:szCs w:val="21"/>
                <w:highlight w:val="none"/>
              </w:rPr>
            </w:pPr>
          </w:p>
        </w:tc>
        <w:tc>
          <w:tcPr>
            <w:tcW w:w="921" w:type="dxa"/>
            <w:noWrap w:val="0"/>
            <w:vAlign w:val="top"/>
          </w:tcPr>
          <w:p w14:paraId="3BA5731F">
            <w:pPr>
              <w:pStyle w:val="98"/>
              <w:rPr>
                <w:rStyle w:val="39"/>
                <w:rFonts w:hint="eastAsia" w:ascii="宋体" w:hAnsi="宋体" w:eastAsia="宋体" w:cs="宋体"/>
                <w:color w:val="auto"/>
                <w:sz w:val="21"/>
                <w:szCs w:val="21"/>
                <w:highlight w:val="none"/>
              </w:rPr>
            </w:pPr>
          </w:p>
        </w:tc>
      </w:tr>
    </w:tbl>
    <w:p w14:paraId="1CDCA12A">
      <w:pPr>
        <w:rPr>
          <w:rStyle w:val="39"/>
          <w:rFonts w:hint="eastAsia" w:ascii="Calibri" w:hAnsi="Calibri" w:eastAsia="仿宋_GB2312" w:cs="仿宋_GB2312"/>
          <w:color w:val="auto"/>
          <w:sz w:val="30"/>
          <w:szCs w:val="30"/>
          <w:highlight w:val="none"/>
        </w:rPr>
      </w:pPr>
      <w:r>
        <w:rPr>
          <w:rStyle w:val="39"/>
          <w:rFonts w:hint="eastAsia" w:ascii="Calibri" w:hAnsi="Calibri" w:eastAsia="仿宋_GB2312" w:cs="仿宋_GB2312"/>
          <w:color w:val="auto"/>
          <w:sz w:val="30"/>
          <w:szCs w:val="30"/>
          <w:highlight w:val="none"/>
        </w:rPr>
        <w:br w:type="page"/>
      </w:r>
    </w:p>
    <w:p w14:paraId="6E75FA2F">
      <w:pPr>
        <w:pStyle w:val="98"/>
        <w:spacing w:line="440" w:lineRule="exact"/>
        <w:jc w:val="left"/>
        <w:rPr>
          <w:rStyle w:val="39"/>
          <w:rFonts w:hint="eastAsia" w:ascii="宋体" w:hAnsi="宋体" w:eastAsia="宋体" w:cs="宋体"/>
          <w:b/>
          <w:bCs/>
          <w:color w:val="auto"/>
          <w:sz w:val="21"/>
          <w:szCs w:val="21"/>
          <w:highlight w:val="none"/>
        </w:rPr>
      </w:pPr>
      <w:r>
        <w:rPr>
          <w:rStyle w:val="39"/>
          <w:rFonts w:hint="eastAsia" w:ascii="宋体" w:hAnsi="宋体" w:eastAsia="宋体" w:cs="宋体"/>
          <w:b/>
          <w:bCs/>
          <w:color w:val="auto"/>
          <w:sz w:val="21"/>
          <w:szCs w:val="21"/>
          <w:highlight w:val="none"/>
        </w:rPr>
        <w:t>附</w:t>
      </w:r>
      <w:bookmarkStart w:id="1301" w:name="_Toc296891056"/>
      <w:bookmarkStart w:id="1302" w:name="_Toc296346729"/>
      <w:bookmarkStart w:id="1303" w:name="_Toc296891268"/>
      <w:bookmarkStart w:id="1304" w:name="_Toc296503228"/>
      <w:bookmarkStart w:id="1305" w:name="_Toc296944567"/>
      <w:bookmarkStart w:id="1306" w:name="_Toc267261699"/>
      <w:bookmarkStart w:id="1307" w:name="_Toc296347227"/>
      <w:r>
        <w:rPr>
          <w:rStyle w:val="39"/>
          <w:rFonts w:hint="eastAsia" w:ascii="宋体" w:hAnsi="宋体" w:eastAsia="宋体" w:cs="宋体"/>
          <w:b/>
          <w:bCs/>
          <w:color w:val="auto"/>
          <w:sz w:val="21"/>
          <w:szCs w:val="21"/>
          <w:highlight w:val="none"/>
        </w:rPr>
        <w:t>件</w:t>
      </w:r>
      <w:r>
        <w:rPr>
          <w:rStyle w:val="39"/>
          <w:rFonts w:hint="eastAsia" w:ascii="宋体" w:hAnsi="宋体" w:eastAsia="宋体" w:cs="宋体"/>
          <w:b/>
          <w:bCs/>
          <w:color w:val="auto"/>
          <w:sz w:val="21"/>
          <w:szCs w:val="21"/>
          <w:highlight w:val="none"/>
          <w:lang w:val="en-US" w:eastAsia="zh-CN"/>
        </w:rPr>
        <w:t>3</w:t>
      </w:r>
      <w:r>
        <w:rPr>
          <w:rStyle w:val="39"/>
          <w:rFonts w:hint="eastAsia" w:ascii="宋体" w:hAnsi="宋体" w:eastAsia="宋体" w:cs="宋体"/>
          <w:b/>
          <w:bCs/>
          <w:color w:val="auto"/>
          <w:sz w:val="21"/>
          <w:szCs w:val="21"/>
          <w:highlight w:val="none"/>
        </w:rPr>
        <w:t>：</w:t>
      </w:r>
    </w:p>
    <w:bookmarkEnd w:id="1301"/>
    <w:bookmarkEnd w:id="1302"/>
    <w:bookmarkEnd w:id="1303"/>
    <w:bookmarkEnd w:id="1304"/>
    <w:bookmarkEnd w:id="1305"/>
    <w:bookmarkEnd w:id="1306"/>
    <w:bookmarkEnd w:id="1307"/>
    <w:p w14:paraId="20FD6B39">
      <w:pPr>
        <w:pStyle w:val="98"/>
        <w:spacing w:before="120" w:beforeLines="50" w:after="120" w:afterLines="50" w:line="440" w:lineRule="exact"/>
        <w:jc w:val="center"/>
        <w:rPr>
          <w:rStyle w:val="39"/>
          <w:rFonts w:hint="eastAsia" w:ascii="宋体" w:hAnsi="宋体" w:eastAsia="宋体" w:cs="宋体"/>
          <w:b/>
          <w:bCs/>
          <w:color w:val="auto"/>
          <w:sz w:val="24"/>
          <w:szCs w:val="24"/>
          <w:highlight w:val="none"/>
        </w:rPr>
      </w:pPr>
      <w:r>
        <w:rPr>
          <w:rStyle w:val="39"/>
          <w:rFonts w:hint="eastAsia" w:ascii="宋体" w:hAnsi="宋体" w:eastAsia="宋体" w:cs="宋体"/>
          <w:b/>
          <w:bCs/>
          <w:color w:val="auto"/>
          <w:sz w:val="24"/>
          <w:szCs w:val="24"/>
          <w:highlight w:val="none"/>
        </w:rPr>
        <w:t>承包人主要施工管理人员表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846B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B8CA43F">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名    称</w:t>
            </w:r>
          </w:p>
        </w:tc>
        <w:tc>
          <w:tcPr>
            <w:tcW w:w="1418" w:type="dxa"/>
            <w:noWrap w:val="0"/>
            <w:vAlign w:val="center"/>
          </w:tcPr>
          <w:p w14:paraId="4E381171">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姓名</w:t>
            </w:r>
          </w:p>
        </w:tc>
        <w:tc>
          <w:tcPr>
            <w:tcW w:w="1134" w:type="dxa"/>
            <w:noWrap w:val="0"/>
            <w:vAlign w:val="center"/>
          </w:tcPr>
          <w:p w14:paraId="241B707E">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职务</w:t>
            </w:r>
          </w:p>
        </w:tc>
        <w:tc>
          <w:tcPr>
            <w:tcW w:w="1134" w:type="dxa"/>
            <w:noWrap w:val="0"/>
            <w:vAlign w:val="center"/>
          </w:tcPr>
          <w:p w14:paraId="69082CC3">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职称</w:t>
            </w:r>
          </w:p>
        </w:tc>
        <w:tc>
          <w:tcPr>
            <w:tcW w:w="4252" w:type="dxa"/>
            <w:noWrap w:val="0"/>
            <w:vAlign w:val="center"/>
          </w:tcPr>
          <w:p w14:paraId="44C42F5F">
            <w:pPr>
              <w:pStyle w:val="107"/>
              <w:keepNext/>
              <w:spacing w:after="0" w:line="440" w:lineRule="exact"/>
              <w:ind w:left="0" w:leftChars="0"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计划进场时间</w:t>
            </w:r>
          </w:p>
        </w:tc>
      </w:tr>
      <w:tr w14:paraId="5A8B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08D303A8">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一、总部人员</w:t>
            </w:r>
          </w:p>
        </w:tc>
      </w:tr>
      <w:tr w14:paraId="4A5C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878C9BC">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项目主管</w:t>
            </w:r>
          </w:p>
        </w:tc>
        <w:tc>
          <w:tcPr>
            <w:tcW w:w="1418" w:type="dxa"/>
            <w:noWrap w:val="0"/>
            <w:vAlign w:val="center"/>
          </w:tcPr>
          <w:p w14:paraId="77E5E230">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6196CBB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43273EED">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390F6A71">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158D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C43923E">
            <w:pPr>
              <w:pStyle w:val="107"/>
              <w:keepNext/>
              <w:spacing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其他人员</w:t>
            </w:r>
          </w:p>
        </w:tc>
        <w:tc>
          <w:tcPr>
            <w:tcW w:w="1418" w:type="dxa"/>
            <w:noWrap w:val="0"/>
            <w:vAlign w:val="center"/>
          </w:tcPr>
          <w:p w14:paraId="3357252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283325A8">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2F522CEB">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414D9F43">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5229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1F6088">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7BACAD2E">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733CBDB6">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4361F3ED">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16618871">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2FAD4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6E1B90B">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0F06BD60">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583CDF4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0818E93A">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4D8DA7AE">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55E2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A7216E3">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二、现场人员</w:t>
            </w:r>
          </w:p>
        </w:tc>
      </w:tr>
      <w:tr w14:paraId="6407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CA1C48B">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项目经理</w:t>
            </w:r>
          </w:p>
        </w:tc>
        <w:tc>
          <w:tcPr>
            <w:tcW w:w="1418" w:type="dxa"/>
            <w:noWrap w:val="0"/>
            <w:vAlign w:val="center"/>
          </w:tcPr>
          <w:p w14:paraId="71062C7C">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4118CA2B">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58A76AA1">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1E975621">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2DF0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F6EB309">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项目副经理</w:t>
            </w:r>
          </w:p>
        </w:tc>
        <w:tc>
          <w:tcPr>
            <w:tcW w:w="1418" w:type="dxa"/>
            <w:noWrap w:val="0"/>
            <w:vAlign w:val="center"/>
          </w:tcPr>
          <w:p w14:paraId="7B791E01">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4EE72770">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76C23C3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66D32D6D">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29B02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FD32999">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技术负责人</w:t>
            </w:r>
          </w:p>
        </w:tc>
        <w:tc>
          <w:tcPr>
            <w:tcW w:w="1418" w:type="dxa"/>
            <w:noWrap w:val="0"/>
            <w:vAlign w:val="center"/>
          </w:tcPr>
          <w:p w14:paraId="40438223">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0794FC4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4FDEB09A">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1ECB3A4B">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3C2E4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F119709">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造价管理</w:t>
            </w:r>
          </w:p>
        </w:tc>
        <w:tc>
          <w:tcPr>
            <w:tcW w:w="1418" w:type="dxa"/>
            <w:noWrap w:val="0"/>
            <w:vAlign w:val="center"/>
          </w:tcPr>
          <w:p w14:paraId="19782547">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31BB48F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0C91D7FE">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44A5C72D">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7FD2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C4F2826">
            <w:pPr>
              <w:pStyle w:val="107"/>
              <w:keepNext/>
              <w:spacing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质量管理</w:t>
            </w:r>
          </w:p>
        </w:tc>
        <w:tc>
          <w:tcPr>
            <w:tcW w:w="1418" w:type="dxa"/>
            <w:noWrap w:val="0"/>
            <w:vAlign w:val="center"/>
          </w:tcPr>
          <w:p w14:paraId="57F3EA7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570DCBE6">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1C8E7107">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6D4B8C95">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433C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4822C46">
            <w:pPr>
              <w:pStyle w:val="107"/>
              <w:keepNext/>
              <w:spacing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07CFF1B1">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20695F60">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70313E36">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72F54CDA">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56994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6E0A139">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4D67F525">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4936A2D3">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7C003CC7">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334E5034">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11B5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8E0EDC4">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材料管理</w:t>
            </w:r>
          </w:p>
        </w:tc>
        <w:tc>
          <w:tcPr>
            <w:tcW w:w="1418" w:type="dxa"/>
            <w:noWrap w:val="0"/>
            <w:vAlign w:val="center"/>
          </w:tcPr>
          <w:p w14:paraId="0A20D276">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2E4AB25D">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6603C3E1">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3A40236A">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6381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77F12C4">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计划管理</w:t>
            </w:r>
          </w:p>
        </w:tc>
        <w:tc>
          <w:tcPr>
            <w:tcW w:w="1418" w:type="dxa"/>
            <w:noWrap w:val="0"/>
            <w:vAlign w:val="center"/>
          </w:tcPr>
          <w:p w14:paraId="74E5F15B">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47EF0730">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71E55A0B">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286B942A">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40CE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2FD37292">
            <w:pPr>
              <w:pStyle w:val="107"/>
              <w:keepNext/>
              <w:spacing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安全管理</w:t>
            </w:r>
          </w:p>
        </w:tc>
        <w:tc>
          <w:tcPr>
            <w:tcW w:w="1418" w:type="dxa"/>
            <w:noWrap w:val="0"/>
            <w:vAlign w:val="center"/>
          </w:tcPr>
          <w:p w14:paraId="372375F1">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5B036079">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0D475AD5">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314D60D6">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6D7A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D360F30">
            <w:pPr>
              <w:pStyle w:val="107"/>
              <w:keepNext/>
              <w:spacing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3690BB97">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37691773">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492BEAE3">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3C460257">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1B88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C3049B9">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51D6686F">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3B0AD691">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5CB147DC">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4E97410C">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1A48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166D1D5">
            <w:pPr>
              <w:pStyle w:val="107"/>
              <w:keepNext/>
              <w:spacing w:after="0" w:line="440" w:lineRule="exact"/>
              <w:ind w:left="63" w:right="63"/>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其他人员</w:t>
            </w:r>
          </w:p>
        </w:tc>
        <w:tc>
          <w:tcPr>
            <w:tcW w:w="1418" w:type="dxa"/>
            <w:noWrap w:val="0"/>
            <w:vAlign w:val="center"/>
          </w:tcPr>
          <w:p w14:paraId="566521B7">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3BF75618">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6D196186">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1F02FFE9">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09FC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CEC5C13">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6F8569C0">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41CA227A">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27603F8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33527CAD">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7306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3630829">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56F68DAB">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1CC56094">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141609F1">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5ADAF7E2">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4379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F8EC4AB">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0E2F3741">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2F43C105">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76079874">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070674A8">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4ECD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E37620F">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03DB1098">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70D3FC68">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37AB5991">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54D6874A">
            <w:pPr>
              <w:pStyle w:val="107"/>
              <w:keepNext/>
              <w:spacing w:after="0" w:line="440" w:lineRule="exact"/>
              <w:ind w:left="63" w:right="63"/>
              <w:rPr>
                <w:rStyle w:val="39"/>
                <w:rFonts w:hint="eastAsia" w:ascii="宋体" w:hAnsi="宋体" w:eastAsia="宋体" w:cs="宋体"/>
                <w:color w:val="auto"/>
                <w:sz w:val="21"/>
                <w:szCs w:val="21"/>
                <w:highlight w:val="none"/>
              </w:rPr>
            </w:pPr>
          </w:p>
        </w:tc>
      </w:tr>
      <w:tr w14:paraId="37C8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B24CA2">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418" w:type="dxa"/>
            <w:noWrap w:val="0"/>
            <w:vAlign w:val="center"/>
          </w:tcPr>
          <w:p w14:paraId="612248C1">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7C4D2C36">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1134" w:type="dxa"/>
            <w:noWrap w:val="0"/>
            <w:vAlign w:val="center"/>
          </w:tcPr>
          <w:p w14:paraId="33044655">
            <w:pPr>
              <w:pStyle w:val="107"/>
              <w:keepNext/>
              <w:spacing w:after="0" w:line="440" w:lineRule="exact"/>
              <w:ind w:left="63" w:right="63"/>
              <w:rPr>
                <w:rStyle w:val="39"/>
                <w:rFonts w:hint="eastAsia" w:ascii="宋体" w:hAnsi="宋体" w:eastAsia="宋体" w:cs="宋体"/>
                <w:color w:val="auto"/>
                <w:sz w:val="21"/>
                <w:szCs w:val="21"/>
                <w:highlight w:val="none"/>
              </w:rPr>
            </w:pPr>
          </w:p>
        </w:tc>
        <w:tc>
          <w:tcPr>
            <w:tcW w:w="4252" w:type="dxa"/>
            <w:noWrap w:val="0"/>
            <w:vAlign w:val="center"/>
          </w:tcPr>
          <w:p w14:paraId="1D945806">
            <w:pPr>
              <w:pStyle w:val="107"/>
              <w:keepNext/>
              <w:spacing w:after="0" w:line="440" w:lineRule="exact"/>
              <w:ind w:left="63" w:right="63"/>
              <w:rPr>
                <w:rStyle w:val="39"/>
                <w:rFonts w:hint="eastAsia" w:ascii="宋体" w:hAnsi="宋体" w:eastAsia="宋体" w:cs="宋体"/>
                <w:color w:val="auto"/>
                <w:sz w:val="21"/>
                <w:szCs w:val="21"/>
                <w:highlight w:val="none"/>
              </w:rPr>
            </w:pPr>
          </w:p>
        </w:tc>
      </w:tr>
    </w:tbl>
    <w:p w14:paraId="0D7EE117">
      <w:pPr>
        <w:pStyle w:val="98"/>
        <w:spacing w:before="120" w:beforeLines="50"/>
        <w:ind w:left="720" w:hanging="1200" w:hangingChars="400"/>
        <w:rPr>
          <w:rStyle w:val="39"/>
          <w:rFonts w:hint="eastAsia" w:ascii="Calibri" w:hAnsi="Calibri" w:eastAsia="宋体" w:cs="Times New Roman"/>
          <w:color w:val="auto"/>
          <w:sz w:val="18"/>
          <w:szCs w:val="18"/>
          <w:highlight w:val="none"/>
        </w:rPr>
      </w:pPr>
      <w:r>
        <w:rPr>
          <w:rStyle w:val="39"/>
          <w:rFonts w:ascii="Calibri" w:hAnsi="Calibri" w:eastAsia="仿宋_GB2312" w:cs="Times New Roman"/>
          <w:color w:val="auto"/>
          <w:sz w:val="30"/>
          <w:szCs w:val="30"/>
          <w:highlight w:val="none"/>
        </w:rPr>
        <w:br w:type="page"/>
      </w:r>
    </w:p>
    <w:p w14:paraId="36F44686">
      <w:pPr>
        <w:pStyle w:val="98"/>
        <w:jc w:val="left"/>
        <w:rPr>
          <w:rStyle w:val="39"/>
          <w:rFonts w:hint="eastAsia" w:ascii="宋体" w:hAnsi="宋体" w:eastAsia="宋体" w:cs="宋体"/>
          <w:b/>
          <w:bCs/>
          <w:color w:val="auto"/>
          <w:sz w:val="21"/>
          <w:szCs w:val="21"/>
          <w:highlight w:val="none"/>
          <w:lang w:eastAsia="zh-CN"/>
        </w:rPr>
      </w:pPr>
      <w:r>
        <w:rPr>
          <w:rStyle w:val="39"/>
          <w:rFonts w:hint="eastAsia" w:ascii="宋体" w:hAnsi="宋体" w:eastAsia="宋体" w:cs="宋体"/>
          <w:b/>
          <w:bCs/>
          <w:color w:val="auto"/>
          <w:sz w:val="21"/>
          <w:szCs w:val="21"/>
          <w:highlight w:val="none"/>
        </w:rPr>
        <w:t>附件</w:t>
      </w:r>
      <w:r>
        <w:rPr>
          <w:rStyle w:val="39"/>
          <w:rFonts w:hint="eastAsia" w:ascii="宋体" w:hAnsi="宋体" w:eastAsia="宋体" w:cs="宋体"/>
          <w:b/>
          <w:bCs/>
          <w:color w:val="auto"/>
          <w:sz w:val="21"/>
          <w:szCs w:val="21"/>
          <w:highlight w:val="none"/>
          <w:lang w:val="en-US" w:eastAsia="zh-CN"/>
        </w:rPr>
        <w:t>4</w:t>
      </w:r>
    </w:p>
    <w:p w14:paraId="7565C473">
      <w:pPr>
        <w:pStyle w:val="98"/>
        <w:jc w:val="center"/>
        <w:rPr>
          <w:rStyle w:val="39"/>
          <w:rFonts w:hint="eastAsia" w:ascii="宋体" w:hAnsi="宋体" w:eastAsia="宋体" w:cs="宋体"/>
          <w:b/>
          <w:bCs/>
          <w:color w:val="auto"/>
          <w:sz w:val="21"/>
          <w:szCs w:val="21"/>
          <w:highlight w:val="none"/>
        </w:rPr>
      </w:pPr>
      <w:r>
        <w:rPr>
          <w:rStyle w:val="39"/>
          <w:rFonts w:hint="eastAsia" w:ascii="宋体" w:hAnsi="宋体" w:eastAsia="宋体" w:cs="宋体"/>
          <w:b/>
          <w:bCs/>
          <w:color w:val="auto"/>
          <w:sz w:val="24"/>
          <w:szCs w:val="24"/>
          <w:highlight w:val="none"/>
        </w:rPr>
        <w:t>竣工结算款支付申请（核准）表</w:t>
      </w:r>
    </w:p>
    <w:p w14:paraId="0AAC12F5">
      <w:pPr>
        <w:pStyle w:val="98"/>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工程名称：                                              编号：</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17249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9072" w:type="dxa"/>
            <w:gridSpan w:val="2"/>
            <w:noWrap w:val="0"/>
            <w:vAlign w:val="top"/>
          </w:tcPr>
          <w:p w14:paraId="6D4D2E4C">
            <w:pPr>
              <w:pStyle w:val="98"/>
              <w:spacing w:line="480" w:lineRule="exact"/>
              <w:ind w:left="525" w:leftChars="149" w:hanging="212" w:hangingChars="101"/>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致：</w:t>
            </w:r>
            <w:r>
              <w:rPr>
                <w:rStyle w:val="39"/>
                <w:rFonts w:hint="eastAsia" w:ascii="宋体" w:hAnsi="宋体" w:eastAsia="宋体" w:cs="宋体"/>
                <w:color w:val="auto"/>
                <w:sz w:val="21"/>
                <w:szCs w:val="21"/>
                <w:highlight w:val="none"/>
                <w:u w:val="single"/>
              </w:rPr>
              <w:t xml:space="preserve">                                   （发包人全称）</w:t>
            </w:r>
          </w:p>
          <w:p w14:paraId="5AD01EE4">
            <w:pPr>
              <w:pStyle w:val="98"/>
              <w:spacing w:line="400" w:lineRule="exact"/>
              <w:ind w:left="-4" w:leftChars="-2" w:firstLine="315" w:firstLineChars="15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我方于</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至</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期间已完成了合同约定的工作，根据施工合同的约定，现申请支付竣工结算的工程款额为(大写)</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元，(小写)</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元，请予核准。</w:t>
            </w:r>
          </w:p>
          <w:tbl>
            <w:tblPr>
              <w:tblStyle w:val="37"/>
              <w:tblpPr w:leftFromText="180" w:rightFromText="180" w:vertAnchor="page" w:horzAnchor="margin" w:tblpY="1309"/>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7B99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5E978F02">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序号</w:t>
                  </w:r>
                </w:p>
              </w:tc>
              <w:tc>
                <w:tcPr>
                  <w:tcW w:w="3420" w:type="dxa"/>
                  <w:noWrap w:val="0"/>
                  <w:vAlign w:val="center"/>
                </w:tcPr>
                <w:p w14:paraId="37994A6E">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名      称</w:t>
                  </w:r>
                </w:p>
              </w:tc>
              <w:tc>
                <w:tcPr>
                  <w:tcW w:w="1620" w:type="dxa"/>
                  <w:noWrap w:val="0"/>
                  <w:vAlign w:val="center"/>
                </w:tcPr>
                <w:p w14:paraId="2F98643B">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申请金额（元）</w:t>
                  </w:r>
                </w:p>
              </w:tc>
              <w:tc>
                <w:tcPr>
                  <w:tcW w:w="1620" w:type="dxa"/>
                  <w:noWrap w:val="0"/>
                  <w:vAlign w:val="center"/>
                </w:tcPr>
                <w:p w14:paraId="3790851E">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复核金额（元）</w:t>
                  </w:r>
                </w:p>
              </w:tc>
              <w:tc>
                <w:tcPr>
                  <w:tcW w:w="1651" w:type="dxa"/>
                  <w:noWrap w:val="0"/>
                  <w:vAlign w:val="center"/>
                </w:tcPr>
                <w:p w14:paraId="43A115C8">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备注</w:t>
                  </w:r>
                </w:p>
              </w:tc>
            </w:tr>
            <w:tr w14:paraId="2AB7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04A7D78">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1</w:t>
                  </w:r>
                </w:p>
              </w:tc>
              <w:tc>
                <w:tcPr>
                  <w:tcW w:w="3420" w:type="dxa"/>
                  <w:noWrap w:val="0"/>
                  <w:vAlign w:val="top"/>
                </w:tcPr>
                <w:p w14:paraId="27494527">
                  <w:pPr>
                    <w:pStyle w:val="98"/>
                    <w:spacing w:line="28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竣工结算合同价款总额</w:t>
                  </w:r>
                </w:p>
              </w:tc>
              <w:tc>
                <w:tcPr>
                  <w:tcW w:w="1620" w:type="dxa"/>
                  <w:noWrap w:val="0"/>
                  <w:vAlign w:val="top"/>
                </w:tcPr>
                <w:p w14:paraId="75E1DFA8">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226A51E3">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305E32BD">
                  <w:pPr>
                    <w:pStyle w:val="98"/>
                    <w:spacing w:line="280" w:lineRule="exact"/>
                    <w:rPr>
                      <w:rStyle w:val="39"/>
                      <w:rFonts w:hint="eastAsia" w:ascii="宋体" w:hAnsi="宋体" w:eastAsia="宋体" w:cs="宋体"/>
                      <w:color w:val="auto"/>
                      <w:sz w:val="21"/>
                      <w:szCs w:val="21"/>
                      <w:highlight w:val="none"/>
                    </w:rPr>
                  </w:pPr>
                </w:p>
              </w:tc>
            </w:tr>
            <w:tr w14:paraId="2A952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C7896D4">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2</w:t>
                  </w:r>
                </w:p>
              </w:tc>
              <w:tc>
                <w:tcPr>
                  <w:tcW w:w="3420" w:type="dxa"/>
                  <w:noWrap w:val="0"/>
                  <w:vAlign w:val="top"/>
                </w:tcPr>
                <w:p w14:paraId="060721F5">
                  <w:pPr>
                    <w:pStyle w:val="98"/>
                    <w:spacing w:line="28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累计已实际支付的合同价款</w:t>
                  </w:r>
                </w:p>
              </w:tc>
              <w:tc>
                <w:tcPr>
                  <w:tcW w:w="1620" w:type="dxa"/>
                  <w:noWrap w:val="0"/>
                  <w:vAlign w:val="top"/>
                </w:tcPr>
                <w:p w14:paraId="57AB10EA">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66A884A0">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32D0F826">
                  <w:pPr>
                    <w:pStyle w:val="98"/>
                    <w:spacing w:line="280" w:lineRule="exact"/>
                    <w:rPr>
                      <w:rStyle w:val="39"/>
                      <w:rFonts w:hint="eastAsia" w:ascii="宋体" w:hAnsi="宋体" w:eastAsia="宋体" w:cs="宋体"/>
                      <w:color w:val="auto"/>
                      <w:sz w:val="21"/>
                      <w:szCs w:val="21"/>
                      <w:highlight w:val="none"/>
                    </w:rPr>
                  </w:pPr>
                </w:p>
              </w:tc>
            </w:tr>
            <w:tr w14:paraId="2B1C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0E5075F">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3</w:t>
                  </w:r>
                </w:p>
              </w:tc>
              <w:tc>
                <w:tcPr>
                  <w:tcW w:w="3420" w:type="dxa"/>
                  <w:noWrap w:val="0"/>
                  <w:vAlign w:val="top"/>
                </w:tcPr>
                <w:p w14:paraId="251B519F">
                  <w:pPr>
                    <w:pStyle w:val="98"/>
                    <w:spacing w:line="28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应预留的质量保证金</w:t>
                  </w:r>
                </w:p>
              </w:tc>
              <w:tc>
                <w:tcPr>
                  <w:tcW w:w="1620" w:type="dxa"/>
                  <w:noWrap w:val="0"/>
                  <w:vAlign w:val="top"/>
                </w:tcPr>
                <w:p w14:paraId="4AA53082">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08E23B1F">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34D9D728">
                  <w:pPr>
                    <w:pStyle w:val="98"/>
                    <w:spacing w:line="280" w:lineRule="exact"/>
                    <w:rPr>
                      <w:rStyle w:val="39"/>
                      <w:rFonts w:hint="eastAsia" w:ascii="宋体" w:hAnsi="宋体" w:eastAsia="宋体" w:cs="宋体"/>
                      <w:color w:val="auto"/>
                      <w:sz w:val="21"/>
                      <w:szCs w:val="21"/>
                      <w:highlight w:val="none"/>
                    </w:rPr>
                  </w:pPr>
                </w:p>
              </w:tc>
            </w:tr>
            <w:tr w14:paraId="3985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C45B09E">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4</w:t>
                  </w:r>
                </w:p>
              </w:tc>
              <w:tc>
                <w:tcPr>
                  <w:tcW w:w="3420" w:type="dxa"/>
                  <w:noWrap w:val="0"/>
                  <w:vAlign w:val="top"/>
                </w:tcPr>
                <w:p w14:paraId="3F2687A3">
                  <w:pPr>
                    <w:pStyle w:val="98"/>
                    <w:spacing w:line="28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应支付的竣工结算款金额</w:t>
                  </w:r>
                </w:p>
              </w:tc>
              <w:tc>
                <w:tcPr>
                  <w:tcW w:w="1620" w:type="dxa"/>
                  <w:noWrap w:val="0"/>
                  <w:vAlign w:val="top"/>
                </w:tcPr>
                <w:p w14:paraId="486E4D3E">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0E2F2DBE">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44524B20">
                  <w:pPr>
                    <w:pStyle w:val="98"/>
                    <w:spacing w:line="280" w:lineRule="exact"/>
                    <w:rPr>
                      <w:rStyle w:val="39"/>
                      <w:rFonts w:hint="eastAsia" w:ascii="宋体" w:hAnsi="宋体" w:eastAsia="宋体" w:cs="宋体"/>
                      <w:color w:val="auto"/>
                      <w:sz w:val="21"/>
                      <w:szCs w:val="21"/>
                      <w:highlight w:val="none"/>
                    </w:rPr>
                  </w:pPr>
                </w:p>
              </w:tc>
            </w:tr>
            <w:tr w14:paraId="3793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CCC2E1D">
                  <w:pPr>
                    <w:pStyle w:val="98"/>
                    <w:spacing w:line="280" w:lineRule="exact"/>
                    <w:jc w:val="center"/>
                    <w:rPr>
                      <w:rStyle w:val="39"/>
                      <w:rFonts w:hint="eastAsia" w:ascii="宋体" w:hAnsi="宋体" w:eastAsia="宋体" w:cs="宋体"/>
                      <w:color w:val="auto"/>
                      <w:sz w:val="21"/>
                      <w:szCs w:val="21"/>
                      <w:highlight w:val="none"/>
                    </w:rPr>
                  </w:pPr>
                </w:p>
              </w:tc>
              <w:tc>
                <w:tcPr>
                  <w:tcW w:w="3420" w:type="dxa"/>
                  <w:noWrap w:val="0"/>
                  <w:vAlign w:val="top"/>
                </w:tcPr>
                <w:p w14:paraId="030AB062">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55C34A3B">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05B3D3A5">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1082E56A">
                  <w:pPr>
                    <w:pStyle w:val="98"/>
                    <w:spacing w:line="280" w:lineRule="exact"/>
                    <w:rPr>
                      <w:rStyle w:val="39"/>
                      <w:rFonts w:hint="eastAsia" w:ascii="宋体" w:hAnsi="宋体" w:eastAsia="宋体" w:cs="宋体"/>
                      <w:color w:val="auto"/>
                      <w:sz w:val="21"/>
                      <w:szCs w:val="21"/>
                      <w:highlight w:val="none"/>
                    </w:rPr>
                  </w:pPr>
                </w:p>
              </w:tc>
            </w:tr>
            <w:tr w14:paraId="4C6D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EC9ADC6">
                  <w:pPr>
                    <w:pStyle w:val="98"/>
                    <w:spacing w:line="280" w:lineRule="exact"/>
                    <w:jc w:val="center"/>
                    <w:rPr>
                      <w:rStyle w:val="39"/>
                      <w:rFonts w:hint="eastAsia" w:ascii="宋体" w:hAnsi="宋体" w:eastAsia="宋体" w:cs="宋体"/>
                      <w:color w:val="auto"/>
                      <w:sz w:val="21"/>
                      <w:szCs w:val="21"/>
                      <w:highlight w:val="none"/>
                    </w:rPr>
                  </w:pPr>
                </w:p>
              </w:tc>
              <w:tc>
                <w:tcPr>
                  <w:tcW w:w="3420" w:type="dxa"/>
                  <w:noWrap w:val="0"/>
                  <w:vAlign w:val="top"/>
                </w:tcPr>
                <w:p w14:paraId="56AE0340">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354B091A">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1A4E94F1">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244D2351">
                  <w:pPr>
                    <w:pStyle w:val="98"/>
                    <w:spacing w:line="280" w:lineRule="exact"/>
                    <w:rPr>
                      <w:rStyle w:val="39"/>
                      <w:rFonts w:hint="eastAsia" w:ascii="宋体" w:hAnsi="宋体" w:eastAsia="宋体" w:cs="宋体"/>
                      <w:color w:val="auto"/>
                      <w:sz w:val="21"/>
                      <w:szCs w:val="21"/>
                      <w:highlight w:val="none"/>
                    </w:rPr>
                  </w:pPr>
                </w:p>
              </w:tc>
            </w:tr>
            <w:tr w14:paraId="1CF5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372676E8">
                  <w:pPr>
                    <w:pStyle w:val="98"/>
                    <w:spacing w:line="280" w:lineRule="exact"/>
                    <w:jc w:val="center"/>
                    <w:rPr>
                      <w:rStyle w:val="39"/>
                      <w:rFonts w:hint="eastAsia" w:ascii="宋体" w:hAnsi="宋体" w:eastAsia="宋体" w:cs="宋体"/>
                      <w:color w:val="auto"/>
                      <w:sz w:val="21"/>
                      <w:szCs w:val="21"/>
                      <w:highlight w:val="none"/>
                    </w:rPr>
                  </w:pPr>
                </w:p>
              </w:tc>
              <w:tc>
                <w:tcPr>
                  <w:tcW w:w="3420" w:type="dxa"/>
                  <w:noWrap w:val="0"/>
                  <w:vAlign w:val="top"/>
                </w:tcPr>
                <w:p w14:paraId="3D6AC3CD">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0C051128">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16E760CF">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4CA4FF7D">
                  <w:pPr>
                    <w:pStyle w:val="98"/>
                    <w:spacing w:line="280" w:lineRule="exact"/>
                    <w:rPr>
                      <w:rStyle w:val="39"/>
                      <w:rFonts w:hint="eastAsia" w:ascii="宋体" w:hAnsi="宋体" w:eastAsia="宋体" w:cs="宋体"/>
                      <w:color w:val="auto"/>
                      <w:sz w:val="21"/>
                      <w:szCs w:val="21"/>
                      <w:highlight w:val="none"/>
                    </w:rPr>
                  </w:pPr>
                </w:p>
              </w:tc>
            </w:tr>
            <w:tr w14:paraId="7E96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0559BB14">
                  <w:pPr>
                    <w:pStyle w:val="98"/>
                    <w:spacing w:line="280" w:lineRule="exact"/>
                    <w:jc w:val="center"/>
                    <w:rPr>
                      <w:rStyle w:val="39"/>
                      <w:rFonts w:hint="eastAsia" w:ascii="宋体" w:hAnsi="宋体" w:eastAsia="宋体" w:cs="宋体"/>
                      <w:color w:val="auto"/>
                      <w:sz w:val="21"/>
                      <w:szCs w:val="21"/>
                      <w:highlight w:val="none"/>
                    </w:rPr>
                  </w:pPr>
                </w:p>
              </w:tc>
              <w:tc>
                <w:tcPr>
                  <w:tcW w:w="3420" w:type="dxa"/>
                  <w:noWrap w:val="0"/>
                  <w:vAlign w:val="top"/>
                </w:tcPr>
                <w:p w14:paraId="4389F407">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7B2ABC70">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04E9A07D">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3E503F4D">
                  <w:pPr>
                    <w:pStyle w:val="98"/>
                    <w:spacing w:line="280" w:lineRule="exact"/>
                    <w:rPr>
                      <w:rStyle w:val="39"/>
                      <w:rFonts w:hint="eastAsia" w:ascii="宋体" w:hAnsi="宋体" w:eastAsia="宋体" w:cs="宋体"/>
                      <w:color w:val="auto"/>
                      <w:sz w:val="21"/>
                      <w:szCs w:val="21"/>
                      <w:highlight w:val="none"/>
                    </w:rPr>
                  </w:pPr>
                </w:p>
              </w:tc>
            </w:tr>
            <w:tr w14:paraId="178E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0695CFF">
                  <w:pPr>
                    <w:pStyle w:val="98"/>
                    <w:spacing w:line="280" w:lineRule="exact"/>
                    <w:jc w:val="center"/>
                    <w:rPr>
                      <w:rStyle w:val="39"/>
                      <w:rFonts w:hint="eastAsia" w:ascii="宋体" w:hAnsi="宋体" w:eastAsia="宋体" w:cs="宋体"/>
                      <w:color w:val="auto"/>
                      <w:sz w:val="21"/>
                      <w:szCs w:val="21"/>
                      <w:highlight w:val="none"/>
                    </w:rPr>
                  </w:pPr>
                </w:p>
              </w:tc>
              <w:tc>
                <w:tcPr>
                  <w:tcW w:w="3420" w:type="dxa"/>
                  <w:noWrap w:val="0"/>
                  <w:vAlign w:val="top"/>
                </w:tcPr>
                <w:p w14:paraId="6975A1D3">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0B777EFF">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0219EDD9">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60F8D252">
                  <w:pPr>
                    <w:pStyle w:val="98"/>
                    <w:spacing w:line="280" w:lineRule="exact"/>
                    <w:rPr>
                      <w:rStyle w:val="39"/>
                      <w:rFonts w:hint="eastAsia" w:ascii="宋体" w:hAnsi="宋体" w:eastAsia="宋体" w:cs="宋体"/>
                      <w:color w:val="auto"/>
                      <w:sz w:val="21"/>
                      <w:szCs w:val="21"/>
                      <w:highlight w:val="none"/>
                    </w:rPr>
                  </w:pPr>
                </w:p>
              </w:tc>
            </w:tr>
          </w:tbl>
          <w:p w14:paraId="27267D5F">
            <w:pPr>
              <w:pStyle w:val="98"/>
              <w:spacing w:line="400" w:lineRule="exact"/>
              <w:ind w:right="420" w:firstLine="435"/>
              <w:jc w:val="center"/>
              <w:rPr>
                <w:rStyle w:val="39"/>
                <w:rFonts w:hint="eastAsia" w:ascii="宋体" w:hAnsi="宋体" w:eastAsia="宋体" w:cs="宋体"/>
                <w:color w:val="auto"/>
                <w:sz w:val="21"/>
                <w:szCs w:val="21"/>
                <w:highlight w:val="none"/>
              </w:rPr>
            </w:pPr>
          </w:p>
          <w:p w14:paraId="22FCBEA3">
            <w:pPr>
              <w:pStyle w:val="98"/>
              <w:spacing w:line="400" w:lineRule="exact"/>
              <w:ind w:right="420" w:firstLine="435"/>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 xml:space="preserve">                                            承包人（章）             </w:t>
            </w:r>
          </w:p>
          <w:p w14:paraId="7B86CDF2">
            <w:pPr>
              <w:pStyle w:val="98"/>
              <w:spacing w:line="400" w:lineRule="exact"/>
              <w:ind w:right="420" w:firstLine="435"/>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造价人员</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承包人代表</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日      期</w:t>
            </w:r>
            <w:r>
              <w:rPr>
                <w:rStyle w:val="39"/>
                <w:rFonts w:hint="eastAsia" w:ascii="宋体" w:hAnsi="宋体" w:eastAsia="宋体" w:cs="宋体"/>
                <w:color w:val="auto"/>
                <w:sz w:val="21"/>
                <w:szCs w:val="21"/>
                <w:highlight w:val="none"/>
                <w:u w:val="single"/>
              </w:rPr>
              <w:t xml:space="preserve">               </w:t>
            </w:r>
          </w:p>
        </w:tc>
      </w:tr>
      <w:tr w14:paraId="546A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5BF6956E">
            <w:pPr>
              <w:pStyle w:val="98"/>
              <w:spacing w:line="36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复核意见：</w:t>
            </w:r>
          </w:p>
          <w:p w14:paraId="5A4CC215">
            <w:pPr>
              <w:pStyle w:val="98"/>
              <w:spacing w:line="360" w:lineRule="exact"/>
              <w:ind w:firstLine="312"/>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□与实际施工情况不相符，修改意见见附件。</w:t>
            </w:r>
          </w:p>
          <w:p w14:paraId="0C3C0AA4">
            <w:pPr>
              <w:pStyle w:val="98"/>
              <w:spacing w:line="360" w:lineRule="exact"/>
              <w:ind w:firstLine="312"/>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□与实际施工情况相符，具体金额由造价工程师复核。</w:t>
            </w:r>
          </w:p>
          <w:p w14:paraId="5C1C0732">
            <w:pPr>
              <w:pStyle w:val="98"/>
              <w:spacing w:line="360" w:lineRule="exact"/>
              <w:ind w:firstLine="435"/>
              <w:jc w:val="right"/>
              <w:rPr>
                <w:rStyle w:val="39"/>
                <w:rFonts w:hint="eastAsia" w:ascii="宋体" w:hAnsi="宋体" w:eastAsia="宋体" w:cs="宋体"/>
                <w:color w:val="auto"/>
                <w:sz w:val="21"/>
                <w:szCs w:val="21"/>
                <w:highlight w:val="none"/>
              </w:rPr>
            </w:pPr>
          </w:p>
          <w:p w14:paraId="552CF002">
            <w:pPr>
              <w:pStyle w:val="98"/>
              <w:spacing w:line="360" w:lineRule="exact"/>
              <w:ind w:firstLine="435"/>
              <w:jc w:val="right"/>
              <w:rPr>
                <w:rStyle w:val="39"/>
                <w:rFonts w:hint="eastAsia" w:ascii="宋体" w:hAnsi="宋体" w:eastAsia="宋体" w:cs="宋体"/>
                <w:color w:val="auto"/>
                <w:sz w:val="21"/>
                <w:szCs w:val="21"/>
                <w:highlight w:val="none"/>
              </w:rPr>
            </w:pPr>
          </w:p>
          <w:p w14:paraId="3AC06DD7">
            <w:pPr>
              <w:pStyle w:val="98"/>
              <w:spacing w:line="360" w:lineRule="exact"/>
              <w:ind w:firstLine="435"/>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 xml:space="preserve">         </w:t>
            </w:r>
          </w:p>
          <w:p w14:paraId="6C9C5E3D">
            <w:pPr>
              <w:pStyle w:val="98"/>
              <w:spacing w:line="360" w:lineRule="exact"/>
              <w:ind w:firstLine="435"/>
              <w:jc w:val="center"/>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 xml:space="preserve">      监理工程师</w:t>
            </w:r>
            <w:r>
              <w:rPr>
                <w:rStyle w:val="39"/>
                <w:rFonts w:hint="eastAsia" w:ascii="宋体" w:hAnsi="宋体" w:eastAsia="宋体" w:cs="宋体"/>
                <w:color w:val="auto"/>
                <w:sz w:val="21"/>
                <w:szCs w:val="21"/>
                <w:highlight w:val="none"/>
                <w:u w:val="single"/>
              </w:rPr>
              <w:t xml:space="preserve">           </w:t>
            </w:r>
          </w:p>
          <w:p w14:paraId="74D5E67A">
            <w:pPr>
              <w:pStyle w:val="98"/>
              <w:spacing w:line="360" w:lineRule="exact"/>
              <w:ind w:firstLine="435"/>
              <w:jc w:val="center"/>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 xml:space="preserve">      日      期</w:t>
            </w:r>
            <w:r>
              <w:rPr>
                <w:rStyle w:val="39"/>
                <w:rFonts w:hint="eastAsia" w:ascii="宋体" w:hAnsi="宋体" w:eastAsia="宋体" w:cs="宋体"/>
                <w:color w:val="auto"/>
                <w:sz w:val="21"/>
                <w:szCs w:val="21"/>
                <w:highlight w:val="none"/>
                <w:u w:val="single"/>
              </w:rPr>
              <w:t xml:space="preserve">           </w:t>
            </w:r>
          </w:p>
        </w:tc>
        <w:tc>
          <w:tcPr>
            <w:tcW w:w="4533" w:type="dxa"/>
            <w:noWrap w:val="0"/>
            <w:vAlign w:val="top"/>
          </w:tcPr>
          <w:p w14:paraId="1FF15944">
            <w:pPr>
              <w:pStyle w:val="98"/>
              <w:spacing w:line="36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复核意见：</w:t>
            </w:r>
          </w:p>
          <w:p w14:paraId="43121E61">
            <w:pPr>
              <w:pStyle w:val="98"/>
              <w:spacing w:line="360" w:lineRule="exact"/>
              <w:ind w:firstLine="435"/>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你方提出的竣工结算支付申请经复核，竣工结算款总额为(大写)</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元，（小写）</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 xml:space="preserve"> 元，扣除前期支付以及质量保证金后应支付金额为（大写）</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元，（小写）</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元。</w:t>
            </w:r>
          </w:p>
          <w:p w14:paraId="19DD66A4">
            <w:pPr>
              <w:pStyle w:val="98"/>
              <w:spacing w:line="360" w:lineRule="exact"/>
              <w:ind w:firstLine="435"/>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 xml:space="preserve">    </w:t>
            </w:r>
          </w:p>
          <w:p w14:paraId="0A99B96E">
            <w:pPr>
              <w:pStyle w:val="98"/>
              <w:spacing w:line="360" w:lineRule="exact"/>
              <w:ind w:firstLine="435"/>
              <w:jc w:val="center"/>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 xml:space="preserve">    造价工程师</w:t>
            </w:r>
            <w:r>
              <w:rPr>
                <w:rStyle w:val="39"/>
                <w:rFonts w:hint="eastAsia" w:ascii="宋体" w:hAnsi="宋体" w:eastAsia="宋体" w:cs="宋体"/>
                <w:color w:val="auto"/>
                <w:sz w:val="21"/>
                <w:szCs w:val="21"/>
                <w:highlight w:val="none"/>
                <w:u w:val="single"/>
              </w:rPr>
              <w:t xml:space="preserve">           </w:t>
            </w:r>
          </w:p>
          <w:p w14:paraId="3B745E1C">
            <w:pPr>
              <w:pStyle w:val="98"/>
              <w:spacing w:line="360" w:lineRule="exact"/>
              <w:ind w:firstLine="435"/>
              <w:jc w:val="center"/>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 xml:space="preserve">    日      期</w:t>
            </w:r>
            <w:r>
              <w:rPr>
                <w:rStyle w:val="39"/>
                <w:rFonts w:hint="eastAsia" w:ascii="宋体" w:hAnsi="宋体" w:eastAsia="宋体" w:cs="宋体"/>
                <w:color w:val="auto"/>
                <w:sz w:val="21"/>
                <w:szCs w:val="21"/>
                <w:highlight w:val="none"/>
                <w:u w:val="single"/>
              </w:rPr>
              <w:t xml:space="preserve">           </w:t>
            </w:r>
          </w:p>
        </w:tc>
      </w:tr>
      <w:tr w14:paraId="5A54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6FFBEFE3">
            <w:pPr>
              <w:pStyle w:val="98"/>
              <w:spacing w:line="40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审核意见：</w:t>
            </w:r>
          </w:p>
          <w:p w14:paraId="19760EFC">
            <w:pPr>
              <w:pStyle w:val="98"/>
              <w:spacing w:line="400" w:lineRule="exact"/>
              <w:ind w:firstLine="435"/>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□不同意。</w:t>
            </w:r>
          </w:p>
          <w:p w14:paraId="3283C335">
            <w:pPr>
              <w:pStyle w:val="98"/>
              <w:spacing w:line="400" w:lineRule="exact"/>
              <w:ind w:firstLine="420" w:firstLineChars="20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□同意，支付时间为本表签发后的15天内。</w:t>
            </w:r>
          </w:p>
          <w:p w14:paraId="56DE9045">
            <w:pPr>
              <w:pStyle w:val="98"/>
              <w:wordWrap w:val="0"/>
              <w:spacing w:line="400" w:lineRule="exact"/>
              <w:ind w:firstLine="420" w:firstLineChars="200"/>
              <w:jc w:val="righ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 xml:space="preserve">发包人（章）           </w:t>
            </w:r>
          </w:p>
          <w:p w14:paraId="0892AA9B">
            <w:pPr>
              <w:pStyle w:val="98"/>
              <w:wordWrap w:val="0"/>
              <w:spacing w:line="400" w:lineRule="exact"/>
              <w:ind w:firstLine="420" w:firstLineChars="200"/>
              <w:jc w:val="right"/>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发包人代表</w:t>
            </w:r>
            <w:r>
              <w:rPr>
                <w:rStyle w:val="39"/>
                <w:rFonts w:hint="eastAsia" w:ascii="宋体" w:hAnsi="宋体" w:eastAsia="宋体" w:cs="宋体"/>
                <w:color w:val="auto"/>
                <w:sz w:val="21"/>
                <w:szCs w:val="21"/>
                <w:highlight w:val="none"/>
                <w:u w:val="single"/>
              </w:rPr>
              <w:t xml:space="preserve">             </w:t>
            </w:r>
          </w:p>
          <w:p w14:paraId="2D512E6C">
            <w:pPr>
              <w:pStyle w:val="98"/>
              <w:wordWrap w:val="0"/>
              <w:spacing w:line="400" w:lineRule="exact"/>
              <w:ind w:firstLine="420" w:firstLineChars="200"/>
              <w:jc w:val="right"/>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日      期</w:t>
            </w:r>
            <w:r>
              <w:rPr>
                <w:rStyle w:val="39"/>
                <w:rFonts w:hint="eastAsia" w:ascii="宋体" w:hAnsi="宋体" w:eastAsia="宋体" w:cs="宋体"/>
                <w:color w:val="auto"/>
                <w:sz w:val="21"/>
                <w:szCs w:val="21"/>
                <w:highlight w:val="none"/>
                <w:u w:val="single"/>
              </w:rPr>
              <w:t xml:space="preserve">             </w:t>
            </w:r>
          </w:p>
        </w:tc>
      </w:tr>
    </w:tbl>
    <w:p w14:paraId="5FC3A11A">
      <w:pPr>
        <w:pStyle w:val="98"/>
        <w:spacing w:before="120" w:beforeLines="50"/>
        <w:ind w:firstLine="420" w:firstLineChars="20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 xml:space="preserve">注：1.在选择栏中的“□”内作标识“√”。 </w:t>
      </w:r>
    </w:p>
    <w:p w14:paraId="7C29D6F3">
      <w:pPr>
        <w:pStyle w:val="98"/>
        <w:spacing w:before="120" w:beforeLines="50"/>
        <w:ind w:left="720" w:hanging="840" w:hangingChars="40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 xml:space="preserve">        2.本表一式四份，由承包人填报，发包人、监理人、造价咨询人、承包人各存一份。</w:t>
      </w:r>
    </w:p>
    <w:p w14:paraId="751EFC32">
      <w:pPr>
        <w:pStyle w:val="98"/>
        <w:ind w:right="360"/>
        <w:rPr>
          <w:rStyle w:val="39"/>
          <w:rFonts w:hint="eastAsia" w:ascii="Calibri" w:hAnsi="Calibri" w:eastAsia="宋体" w:cs="Times New Roman"/>
          <w:color w:val="auto"/>
          <w:sz w:val="18"/>
          <w:szCs w:val="18"/>
          <w:highlight w:val="none"/>
        </w:rPr>
      </w:pPr>
      <w:r>
        <w:rPr>
          <w:rStyle w:val="39"/>
          <w:rFonts w:hint="eastAsia" w:ascii="Calibri" w:hAnsi="Calibri" w:eastAsia="宋体" w:cs="Times New Roman"/>
          <w:color w:val="auto"/>
          <w:sz w:val="18"/>
          <w:szCs w:val="18"/>
          <w:highlight w:val="none"/>
        </w:rPr>
        <w:t xml:space="preserve">                                                                                            </w:t>
      </w:r>
    </w:p>
    <w:p w14:paraId="7A6934AA">
      <w:pPr>
        <w:pStyle w:val="98"/>
        <w:jc w:val="left"/>
        <w:rPr>
          <w:rStyle w:val="39"/>
          <w:rFonts w:hint="eastAsia" w:ascii="Calibri" w:hAnsi="宋体" w:eastAsia="宋体" w:cs="宋体"/>
          <w:color w:val="auto"/>
          <w:sz w:val="30"/>
          <w:szCs w:val="30"/>
          <w:highlight w:val="none"/>
        </w:rPr>
      </w:pPr>
    </w:p>
    <w:p w14:paraId="4BA38FEC">
      <w:pPr>
        <w:pStyle w:val="98"/>
        <w:jc w:val="left"/>
        <w:rPr>
          <w:rStyle w:val="39"/>
          <w:rFonts w:hint="eastAsia" w:ascii="宋体" w:hAnsi="宋体" w:eastAsia="宋体" w:cs="宋体"/>
          <w:b/>
          <w:bCs/>
          <w:color w:val="auto"/>
          <w:sz w:val="21"/>
          <w:szCs w:val="21"/>
          <w:highlight w:val="none"/>
        </w:rPr>
      </w:pPr>
      <w:r>
        <w:rPr>
          <w:rStyle w:val="39"/>
          <w:rFonts w:hint="eastAsia" w:ascii="宋体" w:hAnsi="宋体" w:eastAsia="宋体" w:cs="宋体"/>
          <w:b/>
          <w:bCs/>
          <w:color w:val="auto"/>
          <w:sz w:val="21"/>
          <w:szCs w:val="21"/>
          <w:highlight w:val="none"/>
        </w:rPr>
        <w:t>附件</w:t>
      </w:r>
      <w:r>
        <w:rPr>
          <w:rStyle w:val="39"/>
          <w:rFonts w:hint="eastAsia" w:ascii="宋体" w:hAnsi="宋体" w:eastAsia="宋体" w:cs="宋体"/>
          <w:b/>
          <w:bCs/>
          <w:color w:val="auto"/>
          <w:sz w:val="21"/>
          <w:szCs w:val="21"/>
          <w:highlight w:val="none"/>
          <w:lang w:val="en-US" w:eastAsia="zh-CN"/>
        </w:rPr>
        <w:t>5</w:t>
      </w:r>
      <w:r>
        <w:rPr>
          <w:rStyle w:val="39"/>
          <w:rFonts w:hint="eastAsia" w:ascii="宋体" w:hAnsi="宋体" w:eastAsia="宋体" w:cs="宋体"/>
          <w:b/>
          <w:bCs/>
          <w:color w:val="auto"/>
          <w:sz w:val="21"/>
          <w:szCs w:val="21"/>
          <w:highlight w:val="none"/>
        </w:rPr>
        <w:t>：</w:t>
      </w:r>
    </w:p>
    <w:p w14:paraId="19E139C9">
      <w:pPr>
        <w:pStyle w:val="98"/>
        <w:jc w:val="center"/>
        <w:rPr>
          <w:rStyle w:val="39"/>
          <w:rFonts w:hint="eastAsia" w:ascii="宋体" w:hAnsi="宋体" w:eastAsia="宋体" w:cs="宋体"/>
          <w:b/>
          <w:bCs/>
          <w:color w:val="auto"/>
          <w:sz w:val="24"/>
          <w:szCs w:val="24"/>
          <w:highlight w:val="none"/>
        </w:rPr>
      </w:pPr>
      <w:r>
        <w:rPr>
          <w:rStyle w:val="39"/>
          <w:rFonts w:hint="eastAsia" w:ascii="宋体" w:hAnsi="宋体" w:eastAsia="宋体" w:cs="宋体"/>
          <w:b/>
          <w:bCs/>
          <w:color w:val="auto"/>
          <w:sz w:val="24"/>
          <w:szCs w:val="24"/>
          <w:highlight w:val="none"/>
        </w:rPr>
        <w:t>最终结算款支付申请（核准）表</w:t>
      </w:r>
    </w:p>
    <w:p w14:paraId="7B10FC27">
      <w:pPr>
        <w:pStyle w:val="98"/>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工程名称：                                             编号：</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9"/>
        <w:gridCol w:w="4533"/>
      </w:tblGrid>
      <w:tr w14:paraId="4AA8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atLeast"/>
          <w:jc w:val="center"/>
        </w:trPr>
        <w:tc>
          <w:tcPr>
            <w:tcW w:w="9072" w:type="dxa"/>
            <w:gridSpan w:val="2"/>
            <w:noWrap w:val="0"/>
            <w:vAlign w:val="top"/>
          </w:tcPr>
          <w:p w14:paraId="43712C29">
            <w:pPr>
              <w:pStyle w:val="98"/>
              <w:spacing w:line="480" w:lineRule="exact"/>
              <w:ind w:left="525" w:leftChars="149" w:hanging="212" w:hangingChars="101"/>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致：</w:t>
            </w:r>
            <w:r>
              <w:rPr>
                <w:rStyle w:val="39"/>
                <w:rFonts w:hint="eastAsia" w:ascii="宋体" w:hAnsi="宋体" w:eastAsia="宋体" w:cs="宋体"/>
                <w:color w:val="auto"/>
                <w:sz w:val="21"/>
                <w:szCs w:val="21"/>
                <w:highlight w:val="none"/>
                <w:u w:val="single"/>
              </w:rPr>
              <w:t xml:space="preserve">                                   （发包人全称）</w:t>
            </w:r>
          </w:p>
          <w:p w14:paraId="2EC490B3">
            <w:pPr>
              <w:pStyle w:val="98"/>
              <w:spacing w:line="400" w:lineRule="exact"/>
              <w:ind w:left="-4" w:leftChars="-2" w:firstLine="315" w:firstLineChars="15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我方于</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至</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期间已完成了缺陷修复工作，根据施工合同的约定，现申请支付最终结清合同款额为(大写)</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元，(小写)</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元，请予核准。</w:t>
            </w:r>
          </w:p>
          <w:tbl>
            <w:tblPr>
              <w:tblStyle w:val="37"/>
              <w:tblpPr w:leftFromText="180" w:rightFromText="180" w:vertAnchor="page" w:horzAnchor="margin" w:tblpY="1309"/>
              <w:tblOverlap w:val="never"/>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3420"/>
              <w:gridCol w:w="1620"/>
              <w:gridCol w:w="1620"/>
              <w:gridCol w:w="1651"/>
            </w:tblGrid>
            <w:tr w14:paraId="4E0A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35" w:type="dxa"/>
                  <w:noWrap w:val="0"/>
                  <w:vAlign w:val="center"/>
                </w:tcPr>
                <w:p w14:paraId="763A199F">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序号</w:t>
                  </w:r>
                </w:p>
              </w:tc>
              <w:tc>
                <w:tcPr>
                  <w:tcW w:w="3420" w:type="dxa"/>
                  <w:noWrap w:val="0"/>
                  <w:vAlign w:val="center"/>
                </w:tcPr>
                <w:p w14:paraId="4D49A508">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名      称</w:t>
                  </w:r>
                </w:p>
              </w:tc>
              <w:tc>
                <w:tcPr>
                  <w:tcW w:w="1620" w:type="dxa"/>
                  <w:noWrap w:val="0"/>
                  <w:vAlign w:val="center"/>
                </w:tcPr>
                <w:p w14:paraId="1B23C1DC">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申请金额（元）</w:t>
                  </w:r>
                </w:p>
              </w:tc>
              <w:tc>
                <w:tcPr>
                  <w:tcW w:w="1620" w:type="dxa"/>
                  <w:noWrap w:val="0"/>
                  <w:vAlign w:val="center"/>
                </w:tcPr>
                <w:p w14:paraId="00AADAFA">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复核金额（元）</w:t>
                  </w:r>
                </w:p>
              </w:tc>
              <w:tc>
                <w:tcPr>
                  <w:tcW w:w="1651" w:type="dxa"/>
                  <w:noWrap w:val="0"/>
                  <w:vAlign w:val="center"/>
                </w:tcPr>
                <w:p w14:paraId="7A1A2F4D">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备注</w:t>
                  </w:r>
                </w:p>
              </w:tc>
            </w:tr>
            <w:tr w14:paraId="4675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60AFAAB8">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1</w:t>
                  </w:r>
                </w:p>
              </w:tc>
              <w:tc>
                <w:tcPr>
                  <w:tcW w:w="3420" w:type="dxa"/>
                  <w:noWrap w:val="0"/>
                  <w:vAlign w:val="top"/>
                </w:tcPr>
                <w:p w14:paraId="4E67506F">
                  <w:pPr>
                    <w:pStyle w:val="98"/>
                    <w:spacing w:line="28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已预留的质量保证金</w:t>
                  </w:r>
                </w:p>
              </w:tc>
              <w:tc>
                <w:tcPr>
                  <w:tcW w:w="1620" w:type="dxa"/>
                  <w:noWrap w:val="0"/>
                  <w:vAlign w:val="top"/>
                </w:tcPr>
                <w:p w14:paraId="5A984F21">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43C93617">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164238F1">
                  <w:pPr>
                    <w:pStyle w:val="98"/>
                    <w:spacing w:line="280" w:lineRule="exact"/>
                    <w:rPr>
                      <w:rStyle w:val="39"/>
                      <w:rFonts w:hint="eastAsia" w:ascii="宋体" w:hAnsi="宋体" w:eastAsia="宋体" w:cs="宋体"/>
                      <w:color w:val="auto"/>
                      <w:sz w:val="21"/>
                      <w:szCs w:val="21"/>
                      <w:highlight w:val="none"/>
                    </w:rPr>
                  </w:pPr>
                </w:p>
              </w:tc>
            </w:tr>
            <w:tr w14:paraId="4DBA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0B549DF">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2</w:t>
                  </w:r>
                </w:p>
              </w:tc>
              <w:tc>
                <w:tcPr>
                  <w:tcW w:w="3420" w:type="dxa"/>
                  <w:noWrap w:val="0"/>
                  <w:vAlign w:val="top"/>
                </w:tcPr>
                <w:p w14:paraId="70EB33BD">
                  <w:pPr>
                    <w:pStyle w:val="98"/>
                    <w:spacing w:line="28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应增加因发包人原因造成缺陷的修复金额</w:t>
                  </w:r>
                </w:p>
              </w:tc>
              <w:tc>
                <w:tcPr>
                  <w:tcW w:w="1620" w:type="dxa"/>
                  <w:noWrap w:val="0"/>
                  <w:vAlign w:val="top"/>
                </w:tcPr>
                <w:p w14:paraId="2DF5B494">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203914E0">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70926EBB">
                  <w:pPr>
                    <w:pStyle w:val="98"/>
                    <w:spacing w:line="280" w:lineRule="exact"/>
                    <w:rPr>
                      <w:rStyle w:val="39"/>
                      <w:rFonts w:hint="eastAsia" w:ascii="宋体" w:hAnsi="宋体" w:eastAsia="宋体" w:cs="宋体"/>
                      <w:color w:val="auto"/>
                      <w:sz w:val="21"/>
                      <w:szCs w:val="21"/>
                      <w:highlight w:val="none"/>
                    </w:rPr>
                  </w:pPr>
                </w:p>
              </w:tc>
            </w:tr>
            <w:tr w14:paraId="435D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E6FFBE7">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3</w:t>
                  </w:r>
                </w:p>
              </w:tc>
              <w:tc>
                <w:tcPr>
                  <w:tcW w:w="3420" w:type="dxa"/>
                  <w:noWrap w:val="0"/>
                  <w:vAlign w:val="top"/>
                </w:tcPr>
                <w:p w14:paraId="48C7E5B9">
                  <w:pPr>
                    <w:pStyle w:val="98"/>
                    <w:spacing w:line="28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应扣减承包人不修复缺陷、发包人组织修复的金额</w:t>
                  </w:r>
                </w:p>
              </w:tc>
              <w:tc>
                <w:tcPr>
                  <w:tcW w:w="1620" w:type="dxa"/>
                  <w:noWrap w:val="0"/>
                  <w:vAlign w:val="top"/>
                </w:tcPr>
                <w:p w14:paraId="381EA301">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04B87D3D">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582C9824">
                  <w:pPr>
                    <w:pStyle w:val="98"/>
                    <w:spacing w:line="280" w:lineRule="exact"/>
                    <w:rPr>
                      <w:rStyle w:val="39"/>
                      <w:rFonts w:hint="eastAsia" w:ascii="宋体" w:hAnsi="宋体" w:eastAsia="宋体" w:cs="宋体"/>
                      <w:color w:val="auto"/>
                      <w:sz w:val="21"/>
                      <w:szCs w:val="21"/>
                      <w:highlight w:val="none"/>
                    </w:rPr>
                  </w:pPr>
                </w:p>
              </w:tc>
            </w:tr>
            <w:tr w14:paraId="2D36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4AC6CEFD">
                  <w:pPr>
                    <w:pStyle w:val="98"/>
                    <w:spacing w:line="280" w:lineRule="exact"/>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4</w:t>
                  </w:r>
                </w:p>
              </w:tc>
              <w:tc>
                <w:tcPr>
                  <w:tcW w:w="3420" w:type="dxa"/>
                  <w:noWrap w:val="0"/>
                  <w:vAlign w:val="top"/>
                </w:tcPr>
                <w:p w14:paraId="78E84181">
                  <w:pPr>
                    <w:pStyle w:val="98"/>
                    <w:spacing w:line="28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最终应支付的合同价款</w:t>
                  </w:r>
                </w:p>
              </w:tc>
              <w:tc>
                <w:tcPr>
                  <w:tcW w:w="1620" w:type="dxa"/>
                  <w:noWrap w:val="0"/>
                  <w:vAlign w:val="top"/>
                </w:tcPr>
                <w:p w14:paraId="039F0E2F">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69702051">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6A9473D4">
                  <w:pPr>
                    <w:pStyle w:val="98"/>
                    <w:spacing w:line="280" w:lineRule="exact"/>
                    <w:rPr>
                      <w:rStyle w:val="39"/>
                      <w:rFonts w:hint="eastAsia" w:ascii="宋体" w:hAnsi="宋体" w:eastAsia="宋体" w:cs="宋体"/>
                      <w:color w:val="auto"/>
                      <w:sz w:val="21"/>
                      <w:szCs w:val="21"/>
                      <w:highlight w:val="none"/>
                    </w:rPr>
                  </w:pPr>
                </w:p>
              </w:tc>
            </w:tr>
            <w:tr w14:paraId="661F5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7385A864">
                  <w:pPr>
                    <w:pStyle w:val="98"/>
                    <w:spacing w:line="280" w:lineRule="exact"/>
                    <w:jc w:val="center"/>
                    <w:rPr>
                      <w:rStyle w:val="39"/>
                      <w:rFonts w:hint="eastAsia" w:ascii="宋体" w:hAnsi="宋体" w:eastAsia="宋体" w:cs="宋体"/>
                      <w:color w:val="auto"/>
                      <w:sz w:val="21"/>
                      <w:szCs w:val="21"/>
                      <w:highlight w:val="none"/>
                    </w:rPr>
                  </w:pPr>
                </w:p>
              </w:tc>
              <w:tc>
                <w:tcPr>
                  <w:tcW w:w="3420" w:type="dxa"/>
                  <w:noWrap w:val="0"/>
                  <w:vAlign w:val="top"/>
                </w:tcPr>
                <w:p w14:paraId="12F733DC">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0C6590FE">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14919767">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1FC30258">
                  <w:pPr>
                    <w:pStyle w:val="98"/>
                    <w:spacing w:line="280" w:lineRule="exact"/>
                    <w:rPr>
                      <w:rStyle w:val="39"/>
                      <w:rFonts w:hint="eastAsia" w:ascii="宋体" w:hAnsi="宋体" w:eastAsia="宋体" w:cs="宋体"/>
                      <w:color w:val="auto"/>
                      <w:sz w:val="21"/>
                      <w:szCs w:val="21"/>
                      <w:highlight w:val="none"/>
                    </w:rPr>
                  </w:pPr>
                </w:p>
              </w:tc>
            </w:tr>
            <w:tr w14:paraId="6D6F3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115D5039">
                  <w:pPr>
                    <w:pStyle w:val="98"/>
                    <w:spacing w:line="280" w:lineRule="exact"/>
                    <w:jc w:val="center"/>
                    <w:rPr>
                      <w:rStyle w:val="39"/>
                      <w:rFonts w:hint="eastAsia" w:ascii="宋体" w:hAnsi="宋体" w:eastAsia="宋体" w:cs="宋体"/>
                      <w:color w:val="auto"/>
                      <w:sz w:val="21"/>
                      <w:szCs w:val="21"/>
                      <w:highlight w:val="none"/>
                    </w:rPr>
                  </w:pPr>
                </w:p>
              </w:tc>
              <w:tc>
                <w:tcPr>
                  <w:tcW w:w="3420" w:type="dxa"/>
                  <w:noWrap w:val="0"/>
                  <w:vAlign w:val="top"/>
                </w:tcPr>
                <w:p w14:paraId="60DB06A4">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30367CB4">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2A87FEF6">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661AA90D">
                  <w:pPr>
                    <w:pStyle w:val="98"/>
                    <w:spacing w:line="280" w:lineRule="exact"/>
                    <w:rPr>
                      <w:rStyle w:val="39"/>
                      <w:rFonts w:hint="eastAsia" w:ascii="宋体" w:hAnsi="宋体" w:eastAsia="宋体" w:cs="宋体"/>
                      <w:color w:val="auto"/>
                      <w:sz w:val="21"/>
                      <w:szCs w:val="21"/>
                      <w:highlight w:val="none"/>
                    </w:rPr>
                  </w:pPr>
                </w:p>
              </w:tc>
            </w:tr>
            <w:tr w14:paraId="1592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DD8C2F5">
                  <w:pPr>
                    <w:pStyle w:val="98"/>
                    <w:spacing w:line="280" w:lineRule="exact"/>
                    <w:jc w:val="center"/>
                    <w:rPr>
                      <w:rStyle w:val="39"/>
                      <w:rFonts w:hint="eastAsia" w:ascii="宋体" w:hAnsi="宋体" w:eastAsia="宋体" w:cs="宋体"/>
                      <w:color w:val="auto"/>
                      <w:sz w:val="21"/>
                      <w:szCs w:val="21"/>
                      <w:highlight w:val="none"/>
                    </w:rPr>
                  </w:pPr>
                </w:p>
              </w:tc>
              <w:tc>
                <w:tcPr>
                  <w:tcW w:w="3420" w:type="dxa"/>
                  <w:noWrap w:val="0"/>
                  <w:vAlign w:val="top"/>
                </w:tcPr>
                <w:p w14:paraId="45A78D7F">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3EE0AD5D">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099D979A">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45180344">
                  <w:pPr>
                    <w:pStyle w:val="98"/>
                    <w:spacing w:line="280" w:lineRule="exact"/>
                    <w:rPr>
                      <w:rStyle w:val="39"/>
                      <w:rFonts w:hint="eastAsia" w:ascii="宋体" w:hAnsi="宋体" w:eastAsia="宋体" w:cs="宋体"/>
                      <w:color w:val="auto"/>
                      <w:sz w:val="21"/>
                      <w:szCs w:val="21"/>
                      <w:highlight w:val="none"/>
                    </w:rPr>
                  </w:pPr>
                </w:p>
              </w:tc>
            </w:tr>
            <w:tr w14:paraId="4F01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noWrap w:val="0"/>
                  <w:vAlign w:val="top"/>
                </w:tcPr>
                <w:p w14:paraId="5BE77E86">
                  <w:pPr>
                    <w:pStyle w:val="98"/>
                    <w:spacing w:line="280" w:lineRule="exact"/>
                    <w:jc w:val="center"/>
                    <w:rPr>
                      <w:rStyle w:val="39"/>
                      <w:rFonts w:hint="eastAsia" w:ascii="宋体" w:hAnsi="宋体" w:eastAsia="宋体" w:cs="宋体"/>
                      <w:color w:val="auto"/>
                      <w:sz w:val="21"/>
                      <w:szCs w:val="21"/>
                      <w:highlight w:val="none"/>
                    </w:rPr>
                  </w:pPr>
                </w:p>
              </w:tc>
              <w:tc>
                <w:tcPr>
                  <w:tcW w:w="3420" w:type="dxa"/>
                  <w:noWrap w:val="0"/>
                  <w:vAlign w:val="top"/>
                </w:tcPr>
                <w:p w14:paraId="367A8937">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022DDA1E">
                  <w:pPr>
                    <w:pStyle w:val="98"/>
                    <w:spacing w:line="280" w:lineRule="exact"/>
                    <w:rPr>
                      <w:rStyle w:val="39"/>
                      <w:rFonts w:hint="eastAsia" w:ascii="宋体" w:hAnsi="宋体" w:eastAsia="宋体" w:cs="宋体"/>
                      <w:color w:val="auto"/>
                      <w:sz w:val="21"/>
                      <w:szCs w:val="21"/>
                      <w:highlight w:val="none"/>
                    </w:rPr>
                  </w:pPr>
                </w:p>
              </w:tc>
              <w:tc>
                <w:tcPr>
                  <w:tcW w:w="1620" w:type="dxa"/>
                  <w:noWrap w:val="0"/>
                  <w:vAlign w:val="top"/>
                </w:tcPr>
                <w:p w14:paraId="4169601C">
                  <w:pPr>
                    <w:pStyle w:val="98"/>
                    <w:spacing w:line="280" w:lineRule="exact"/>
                    <w:rPr>
                      <w:rStyle w:val="39"/>
                      <w:rFonts w:hint="eastAsia" w:ascii="宋体" w:hAnsi="宋体" w:eastAsia="宋体" w:cs="宋体"/>
                      <w:color w:val="auto"/>
                      <w:sz w:val="21"/>
                      <w:szCs w:val="21"/>
                      <w:highlight w:val="none"/>
                    </w:rPr>
                  </w:pPr>
                </w:p>
              </w:tc>
              <w:tc>
                <w:tcPr>
                  <w:tcW w:w="1651" w:type="dxa"/>
                  <w:noWrap w:val="0"/>
                  <w:vAlign w:val="top"/>
                </w:tcPr>
                <w:p w14:paraId="40E49756">
                  <w:pPr>
                    <w:pStyle w:val="98"/>
                    <w:spacing w:line="280" w:lineRule="exact"/>
                    <w:rPr>
                      <w:rStyle w:val="39"/>
                      <w:rFonts w:hint="eastAsia" w:ascii="宋体" w:hAnsi="宋体" w:eastAsia="宋体" w:cs="宋体"/>
                      <w:color w:val="auto"/>
                      <w:sz w:val="21"/>
                      <w:szCs w:val="21"/>
                      <w:highlight w:val="none"/>
                    </w:rPr>
                  </w:pPr>
                </w:p>
              </w:tc>
            </w:tr>
          </w:tbl>
          <w:p w14:paraId="150F9E9C">
            <w:pPr>
              <w:pStyle w:val="98"/>
              <w:spacing w:line="400" w:lineRule="exact"/>
              <w:ind w:right="420" w:firstLine="435"/>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 xml:space="preserve">                                            承包人（章）             </w:t>
            </w:r>
          </w:p>
          <w:p w14:paraId="249F151E">
            <w:pPr>
              <w:pStyle w:val="98"/>
              <w:spacing w:line="400" w:lineRule="exact"/>
              <w:ind w:right="420" w:firstLine="435"/>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造价人员</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承包人代表</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日      期</w:t>
            </w:r>
            <w:r>
              <w:rPr>
                <w:rStyle w:val="39"/>
                <w:rFonts w:hint="eastAsia" w:ascii="宋体" w:hAnsi="宋体" w:eastAsia="宋体" w:cs="宋体"/>
                <w:color w:val="auto"/>
                <w:sz w:val="21"/>
                <w:szCs w:val="21"/>
                <w:highlight w:val="none"/>
                <w:u w:val="single"/>
              </w:rPr>
              <w:t xml:space="preserve">               </w:t>
            </w:r>
          </w:p>
        </w:tc>
      </w:tr>
      <w:tr w14:paraId="0373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539" w:type="dxa"/>
            <w:noWrap w:val="0"/>
            <w:vAlign w:val="top"/>
          </w:tcPr>
          <w:p w14:paraId="6DBBFFBB">
            <w:pPr>
              <w:pStyle w:val="98"/>
              <w:spacing w:line="36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复核意见：</w:t>
            </w:r>
          </w:p>
          <w:p w14:paraId="6465EC47">
            <w:pPr>
              <w:pStyle w:val="98"/>
              <w:spacing w:line="360" w:lineRule="exact"/>
              <w:ind w:firstLine="312"/>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□与实际施工情况不相符，修改意见见附件。</w:t>
            </w:r>
          </w:p>
          <w:p w14:paraId="47A95877">
            <w:pPr>
              <w:pStyle w:val="98"/>
              <w:spacing w:line="360" w:lineRule="exact"/>
              <w:ind w:firstLine="312"/>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□与实际施工情况相符，具体金额由造价工程师复核。</w:t>
            </w:r>
          </w:p>
          <w:p w14:paraId="4E937F51">
            <w:pPr>
              <w:pStyle w:val="98"/>
              <w:spacing w:line="360" w:lineRule="exact"/>
              <w:ind w:firstLine="435"/>
              <w:jc w:val="right"/>
              <w:rPr>
                <w:rStyle w:val="39"/>
                <w:rFonts w:hint="eastAsia" w:ascii="宋体" w:hAnsi="宋体" w:eastAsia="宋体" w:cs="宋体"/>
                <w:color w:val="auto"/>
                <w:sz w:val="21"/>
                <w:szCs w:val="21"/>
                <w:highlight w:val="none"/>
              </w:rPr>
            </w:pPr>
          </w:p>
          <w:p w14:paraId="3828BBA0">
            <w:pPr>
              <w:pStyle w:val="98"/>
              <w:spacing w:line="360" w:lineRule="exact"/>
              <w:ind w:firstLine="435"/>
              <w:jc w:val="right"/>
              <w:rPr>
                <w:rStyle w:val="39"/>
                <w:rFonts w:hint="eastAsia" w:ascii="宋体" w:hAnsi="宋体" w:eastAsia="宋体" w:cs="宋体"/>
                <w:color w:val="auto"/>
                <w:sz w:val="21"/>
                <w:szCs w:val="21"/>
                <w:highlight w:val="none"/>
              </w:rPr>
            </w:pPr>
          </w:p>
          <w:p w14:paraId="0993A633">
            <w:pPr>
              <w:pStyle w:val="98"/>
              <w:spacing w:line="360" w:lineRule="exact"/>
              <w:ind w:firstLine="435"/>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 xml:space="preserve">         </w:t>
            </w:r>
          </w:p>
          <w:p w14:paraId="0549B50A">
            <w:pPr>
              <w:pStyle w:val="98"/>
              <w:spacing w:line="360" w:lineRule="exact"/>
              <w:ind w:firstLine="435"/>
              <w:jc w:val="center"/>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 xml:space="preserve">        监理工程师</w:t>
            </w:r>
            <w:r>
              <w:rPr>
                <w:rStyle w:val="39"/>
                <w:rFonts w:hint="eastAsia" w:ascii="宋体" w:hAnsi="宋体" w:eastAsia="宋体" w:cs="宋体"/>
                <w:color w:val="auto"/>
                <w:sz w:val="21"/>
                <w:szCs w:val="21"/>
                <w:highlight w:val="none"/>
                <w:u w:val="single"/>
              </w:rPr>
              <w:t xml:space="preserve">           </w:t>
            </w:r>
          </w:p>
          <w:p w14:paraId="4315DC80">
            <w:pPr>
              <w:pStyle w:val="98"/>
              <w:spacing w:line="360" w:lineRule="exact"/>
              <w:ind w:firstLine="435"/>
              <w:jc w:val="center"/>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 xml:space="preserve">        日      期</w:t>
            </w:r>
            <w:r>
              <w:rPr>
                <w:rStyle w:val="39"/>
                <w:rFonts w:hint="eastAsia" w:ascii="宋体" w:hAnsi="宋体" w:eastAsia="宋体" w:cs="宋体"/>
                <w:color w:val="auto"/>
                <w:sz w:val="21"/>
                <w:szCs w:val="21"/>
                <w:highlight w:val="none"/>
                <w:u w:val="single"/>
              </w:rPr>
              <w:t xml:space="preserve">           </w:t>
            </w:r>
          </w:p>
        </w:tc>
        <w:tc>
          <w:tcPr>
            <w:tcW w:w="4533" w:type="dxa"/>
            <w:noWrap w:val="0"/>
            <w:vAlign w:val="top"/>
          </w:tcPr>
          <w:p w14:paraId="43A3B58D">
            <w:pPr>
              <w:pStyle w:val="98"/>
              <w:spacing w:line="36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复核意见：</w:t>
            </w:r>
          </w:p>
          <w:p w14:paraId="188BF812">
            <w:pPr>
              <w:pStyle w:val="98"/>
              <w:spacing w:line="360" w:lineRule="exact"/>
              <w:ind w:firstLine="435"/>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你方提出的支付申请经复核，最终应支付金额为（大写）</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 xml:space="preserve">元，（小写）  </w:t>
            </w:r>
            <w:r>
              <w:rPr>
                <w:rStyle w:val="39"/>
                <w:rFonts w:hint="eastAsia" w:ascii="宋体" w:hAnsi="宋体" w:eastAsia="宋体" w:cs="宋体"/>
                <w:color w:val="auto"/>
                <w:sz w:val="21"/>
                <w:szCs w:val="21"/>
                <w:highlight w:val="none"/>
                <w:u w:val="single"/>
              </w:rPr>
              <w:t xml:space="preserve">       </w:t>
            </w:r>
            <w:r>
              <w:rPr>
                <w:rStyle w:val="39"/>
                <w:rFonts w:hint="eastAsia" w:ascii="宋体" w:hAnsi="宋体" w:eastAsia="宋体" w:cs="宋体"/>
                <w:color w:val="auto"/>
                <w:sz w:val="21"/>
                <w:szCs w:val="21"/>
                <w:highlight w:val="none"/>
              </w:rPr>
              <w:t>元。</w:t>
            </w:r>
          </w:p>
          <w:p w14:paraId="64FF4070">
            <w:pPr>
              <w:pStyle w:val="98"/>
              <w:spacing w:line="360" w:lineRule="exact"/>
              <w:ind w:firstLine="435"/>
              <w:jc w:val="center"/>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 xml:space="preserve">    </w:t>
            </w:r>
          </w:p>
          <w:p w14:paraId="72B7E9FA">
            <w:pPr>
              <w:pStyle w:val="98"/>
              <w:spacing w:line="360" w:lineRule="exact"/>
              <w:ind w:firstLine="435"/>
              <w:jc w:val="center"/>
              <w:rPr>
                <w:rStyle w:val="39"/>
                <w:rFonts w:hint="eastAsia" w:ascii="宋体" w:hAnsi="宋体" w:eastAsia="宋体" w:cs="宋体"/>
                <w:color w:val="auto"/>
                <w:sz w:val="21"/>
                <w:szCs w:val="21"/>
                <w:highlight w:val="none"/>
              </w:rPr>
            </w:pPr>
          </w:p>
          <w:p w14:paraId="2BEC6DBB">
            <w:pPr>
              <w:pStyle w:val="98"/>
              <w:spacing w:line="360" w:lineRule="exact"/>
              <w:ind w:firstLine="435"/>
              <w:jc w:val="center"/>
              <w:rPr>
                <w:rStyle w:val="39"/>
                <w:rFonts w:hint="eastAsia" w:ascii="宋体" w:hAnsi="宋体" w:eastAsia="宋体" w:cs="宋体"/>
                <w:color w:val="auto"/>
                <w:sz w:val="21"/>
                <w:szCs w:val="21"/>
                <w:highlight w:val="none"/>
              </w:rPr>
            </w:pPr>
          </w:p>
          <w:p w14:paraId="0C15320D">
            <w:pPr>
              <w:pStyle w:val="98"/>
              <w:spacing w:line="360" w:lineRule="exact"/>
              <w:ind w:firstLine="435"/>
              <w:jc w:val="center"/>
              <w:rPr>
                <w:rStyle w:val="39"/>
                <w:rFonts w:hint="eastAsia" w:ascii="宋体" w:hAnsi="宋体" w:eastAsia="宋体" w:cs="宋体"/>
                <w:color w:val="auto"/>
                <w:sz w:val="21"/>
                <w:szCs w:val="21"/>
                <w:highlight w:val="none"/>
              </w:rPr>
            </w:pPr>
          </w:p>
          <w:p w14:paraId="653FA304">
            <w:pPr>
              <w:pStyle w:val="98"/>
              <w:spacing w:line="360" w:lineRule="exact"/>
              <w:ind w:firstLine="435"/>
              <w:jc w:val="center"/>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 xml:space="preserve">    造价工程师</w:t>
            </w:r>
            <w:r>
              <w:rPr>
                <w:rStyle w:val="39"/>
                <w:rFonts w:hint="eastAsia" w:ascii="宋体" w:hAnsi="宋体" w:eastAsia="宋体" w:cs="宋体"/>
                <w:color w:val="auto"/>
                <w:sz w:val="21"/>
                <w:szCs w:val="21"/>
                <w:highlight w:val="none"/>
                <w:u w:val="single"/>
              </w:rPr>
              <w:t xml:space="preserve">           </w:t>
            </w:r>
          </w:p>
          <w:p w14:paraId="1D9070C3">
            <w:pPr>
              <w:pStyle w:val="98"/>
              <w:spacing w:line="360" w:lineRule="exact"/>
              <w:ind w:firstLine="435"/>
              <w:jc w:val="center"/>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 xml:space="preserve">    日      期</w:t>
            </w:r>
            <w:r>
              <w:rPr>
                <w:rStyle w:val="39"/>
                <w:rFonts w:hint="eastAsia" w:ascii="宋体" w:hAnsi="宋体" w:eastAsia="宋体" w:cs="宋体"/>
                <w:color w:val="auto"/>
                <w:sz w:val="21"/>
                <w:szCs w:val="21"/>
                <w:highlight w:val="none"/>
                <w:u w:val="single"/>
              </w:rPr>
              <w:t xml:space="preserve">           </w:t>
            </w:r>
          </w:p>
        </w:tc>
      </w:tr>
      <w:tr w14:paraId="27D41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noWrap w:val="0"/>
            <w:vAlign w:val="top"/>
          </w:tcPr>
          <w:p w14:paraId="0DDD62DD">
            <w:pPr>
              <w:pStyle w:val="98"/>
              <w:spacing w:line="400" w:lineRule="exac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审核意见：</w:t>
            </w:r>
          </w:p>
          <w:p w14:paraId="2B86D563">
            <w:pPr>
              <w:pStyle w:val="98"/>
              <w:spacing w:line="400" w:lineRule="exact"/>
              <w:ind w:firstLine="435"/>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□不同意。</w:t>
            </w:r>
          </w:p>
          <w:p w14:paraId="029BBC8A">
            <w:pPr>
              <w:pStyle w:val="98"/>
              <w:spacing w:line="400" w:lineRule="exact"/>
              <w:ind w:firstLine="420" w:firstLineChars="20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□同意，支付时间为本表签发后的15天内。</w:t>
            </w:r>
          </w:p>
          <w:p w14:paraId="19D40F98">
            <w:pPr>
              <w:pStyle w:val="98"/>
              <w:wordWrap w:val="0"/>
              <w:spacing w:line="400" w:lineRule="exact"/>
              <w:ind w:firstLine="420" w:firstLineChars="200"/>
              <w:jc w:val="right"/>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 xml:space="preserve">发包人（章）           </w:t>
            </w:r>
          </w:p>
          <w:p w14:paraId="2B2E4ED9">
            <w:pPr>
              <w:pStyle w:val="98"/>
              <w:wordWrap w:val="0"/>
              <w:spacing w:line="400" w:lineRule="exact"/>
              <w:ind w:firstLine="420" w:firstLineChars="200"/>
              <w:jc w:val="right"/>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发包人代表</w:t>
            </w:r>
            <w:r>
              <w:rPr>
                <w:rStyle w:val="39"/>
                <w:rFonts w:hint="eastAsia" w:ascii="宋体" w:hAnsi="宋体" w:eastAsia="宋体" w:cs="宋体"/>
                <w:color w:val="auto"/>
                <w:sz w:val="21"/>
                <w:szCs w:val="21"/>
                <w:highlight w:val="none"/>
                <w:u w:val="single"/>
              </w:rPr>
              <w:t xml:space="preserve">             </w:t>
            </w:r>
          </w:p>
          <w:p w14:paraId="3356C1F1">
            <w:pPr>
              <w:pStyle w:val="98"/>
              <w:wordWrap w:val="0"/>
              <w:spacing w:line="400" w:lineRule="exact"/>
              <w:ind w:firstLine="420" w:firstLineChars="200"/>
              <w:jc w:val="right"/>
              <w:rPr>
                <w:rStyle w:val="39"/>
                <w:rFonts w:hint="eastAsia" w:ascii="宋体" w:hAnsi="宋体" w:eastAsia="宋体" w:cs="宋体"/>
                <w:color w:val="auto"/>
                <w:sz w:val="21"/>
                <w:szCs w:val="21"/>
                <w:highlight w:val="none"/>
                <w:u w:val="single"/>
              </w:rPr>
            </w:pPr>
            <w:r>
              <w:rPr>
                <w:rStyle w:val="39"/>
                <w:rFonts w:hint="eastAsia" w:ascii="宋体" w:hAnsi="宋体" w:eastAsia="宋体" w:cs="宋体"/>
                <w:color w:val="auto"/>
                <w:sz w:val="21"/>
                <w:szCs w:val="21"/>
                <w:highlight w:val="none"/>
              </w:rPr>
              <w:t>日      期</w:t>
            </w:r>
            <w:r>
              <w:rPr>
                <w:rStyle w:val="39"/>
                <w:rFonts w:hint="eastAsia" w:ascii="宋体" w:hAnsi="宋体" w:eastAsia="宋体" w:cs="宋体"/>
                <w:color w:val="auto"/>
                <w:sz w:val="21"/>
                <w:szCs w:val="21"/>
                <w:highlight w:val="none"/>
                <w:u w:val="single"/>
              </w:rPr>
              <w:t xml:space="preserve">             </w:t>
            </w:r>
          </w:p>
        </w:tc>
      </w:tr>
    </w:tbl>
    <w:p w14:paraId="15AC331E">
      <w:pPr>
        <w:pStyle w:val="98"/>
        <w:spacing w:before="120" w:beforeLines="50"/>
        <w:ind w:firstLine="420" w:firstLineChars="200"/>
        <w:rPr>
          <w:rStyle w:val="39"/>
          <w:rFonts w:hint="eastAsia" w:ascii="宋体" w:hAnsi="宋体" w:eastAsia="宋体" w:cs="宋体"/>
          <w:color w:val="auto"/>
          <w:sz w:val="21"/>
          <w:szCs w:val="21"/>
          <w:highlight w:val="none"/>
        </w:rPr>
      </w:pPr>
      <w:r>
        <w:rPr>
          <w:rStyle w:val="39"/>
          <w:rFonts w:hint="eastAsia" w:ascii="宋体" w:hAnsi="宋体" w:eastAsia="宋体" w:cs="宋体"/>
          <w:color w:val="auto"/>
          <w:sz w:val="21"/>
          <w:szCs w:val="21"/>
          <w:highlight w:val="none"/>
        </w:rPr>
        <w:t>注：1.在选择栏中的“□”内作标识“√”。 如监理人已退场，监理工程师栏可空缺。</w:t>
      </w:r>
    </w:p>
    <w:p w14:paraId="3755FBBE">
      <w:pPr>
        <w:pStyle w:val="98"/>
        <w:spacing w:before="120" w:beforeLines="50"/>
        <w:ind w:left="720" w:hanging="840" w:hangingChars="400"/>
        <w:rPr>
          <w:rStyle w:val="39"/>
          <w:rFonts w:hint="eastAsia" w:ascii="Calibri" w:hAnsi="Calibri" w:eastAsia="宋体" w:cs="Times New Roman"/>
          <w:color w:val="auto"/>
          <w:sz w:val="18"/>
          <w:szCs w:val="18"/>
          <w:highlight w:val="none"/>
        </w:rPr>
      </w:pPr>
      <w:r>
        <w:rPr>
          <w:rStyle w:val="39"/>
          <w:rFonts w:hint="eastAsia" w:ascii="宋体" w:hAnsi="宋体" w:eastAsia="宋体" w:cs="宋体"/>
          <w:color w:val="auto"/>
          <w:sz w:val="21"/>
          <w:szCs w:val="21"/>
          <w:highlight w:val="none"/>
        </w:rPr>
        <w:t xml:space="preserve">        2.本表一式四份，由承包人填报，发包人、监理人、造价咨询人、承包人各存一份。</w:t>
      </w:r>
    </w:p>
    <w:p w14:paraId="59857E9E">
      <w:pPr>
        <w:rPr>
          <w:rFonts w:hint="eastAsia"/>
          <w:color w:val="auto"/>
          <w:highlight w:val="none"/>
        </w:rPr>
      </w:pPr>
      <w:r>
        <w:rPr>
          <w:rFonts w:hint="eastAsia"/>
          <w:color w:val="auto"/>
          <w:highlight w:val="none"/>
        </w:rPr>
        <w:br w:type="page"/>
      </w:r>
    </w:p>
    <w:p w14:paraId="6F14C4EC">
      <w:pPr>
        <w:pStyle w:val="88"/>
        <w:rPr>
          <w:rFonts w:hint="eastAsia"/>
          <w:color w:val="auto"/>
          <w:highlight w:val="none"/>
        </w:rPr>
      </w:pPr>
    </w:p>
    <w:p w14:paraId="145EC3E6">
      <w:pPr>
        <w:bidi w:val="0"/>
        <w:rPr>
          <w:rFonts w:hint="eastAsia"/>
          <w:color w:val="auto"/>
          <w:highlight w:val="none"/>
        </w:rPr>
      </w:pPr>
    </w:p>
    <w:p w14:paraId="634C5E7B">
      <w:pPr>
        <w:bidi w:val="0"/>
        <w:rPr>
          <w:rFonts w:hint="eastAsia"/>
          <w:color w:val="auto"/>
          <w:highlight w:val="none"/>
        </w:rPr>
      </w:pPr>
    </w:p>
    <w:p w14:paraId="68E7A948">
      <w:pPr>
        <w:bidi w:val="0"/>
        <w:rPr>
          <w:rFonts w:hint="eastAsia"/>
          <w:color w:val="auto"/>
          <w:highlight w:val="none"/>
        </w:rPr>
      </w:pPr>
    </w:p>
    <w:p w14:paraId="4F800B93">
      <w:pPr>
        <w:bidi w:val="0"/>
        <w:rPr>
          <w:rFonts w:hint="eastAsia"/>
          <w:color w:val="auto"/>
          <w:highlight w:val="none"/>
        </w:rPr>
      </w:pPr>
    </w:p>
    <w:p w14:paraId="1F2E3E85">
      <w:pPr>
        <w:bidi w:val="0"/>
        <w:rPr>
          <w:rFonts w:hint="eastAsia"/>
          <w:color w:val="auto"/>
          <w:highlight w:val="none"/>
        </w:rPr>
      </w:pPr>
    </w:p>
    <w:p w14:paraId="315B38CA">
      <w:pPr>
        <w:bidi w:val="0"/>
        <w:rPr>
          <w:rFonts w:hint="eastAsia"/>
          <w:color w:val="auto"/>
          <w:highlight w:val="none"/>
        </w:rPr>
      </w:pPr>
    </w:p>
    <w:p w14:paraId="1D5B2FB8">
      <w:pPr>
        <w:bidi w:val="0"/>
        <w:rPr>
          <w:rFonts w:hint="eastAsia"/>
          <w:color w:val="auto"/>
          <w:highlight w:val="none"/>
        </w:rPr>
      </w:pPr>
    </w:p>
    <w:p w14:paraId="7EABD357">
      <w:pPr>
        <w:bidi w:val="0"/>
        <w:rPr>
          <w:rFonts w:hint="eastAsia"/>
          <w:color w:val="auto"/>
          <w:highlight w:val="none"/>
        </w:rPr>
      </w:pPr>
    </w:p>
    <w:p w14:paraId="6BC30AD8">
      <w:pPr>
        <w:bidi w:val="0"/>
        <w:rPr>
          <w:rFonts w:hint="eastAsia"/>
          <w:color w:val="auto"/>
          <w:highlight w:val="none"/>
        </w:rPr>
      </w:pPr>
    </w:p>
    <w:p w14:paraId="4F14FA57">
      <w:pPr>
        <w:bidi w:val="0"/>
        <w:rPr>
          <w:rFonts w:hint="eastAsia"/>
          <w:color w:val="auto"/>
          <w:highlight w:val="none"/>
        </w:rPr>
      </w:pPr>
    </w:p>
    <w:p w14:paraId="24A5EFCB">
      <w:pPr>
        <w:bidi w:val="0"/>
        <w:rPr>
          <w:rFonts w:hint="eastAsia"/>
          <w:color w:val="auto"/>
          <w:highlight w:val="none"/>
        </w:rPr>
      </w:pPr>
    </w:p>
    <w:p w14:paraId="2CB87C0F">
      <w:pPr>
        <w:bidi w:val="0"/>
        <w:rPr>
          <w:rFonts w:hint="eastAsia"/>
          <w:color w:val="auto"/>
          <w:highlight w:val="none"/>
        </w:rPr>
      </w:pPr>
    </w:p>
    <w:p w14:paraId="6FA9F96B">
      <w:pPr>
        <w:bidi w:val="0"/>
        <w:rPr>
          <w:rFonts w:hint="eastAsia"/>
          <w:color w:val="auto"/>
          <w:highlight w:val="none"/>
        </w:rPr>
      </w:pPr>
    </w:p>
    <w:p w14:paraId="576AD8A7">
      <w:pPr>
        <w:bidi w:val="0"/>
        <w:rPr>
          <w:rFonts w:hint="eastAsia"/>
          <w:color w:val="auto"/>
          <w:highlight w:val="none"/>
        </w:rPr>
      </w:pPr>
    </w:p>
    <w:p w14:paraId="3C7D6E33">
      <w:pPr>
        <w:bidi w:val="0"/>
        <w:rPr>
          <w:rFonts w:hint="eastAsia"/>
          <w:color w:val="auto"/>
          <w:highlight w:val="none"/>
        </w:rPr>
      </w:pPr>
    </w:p>
    <w:p w14:paraId="09F40040">
      <w:pPr>
        <w:autoSpaceDE w:val="0"/>
        <w:autoSpaceDN w:val="0"/>
        <w:adjustRightInd w:val="0"/>
        <w:snapToGrid w:val="0"/>
        <w:spacing w:line="300" w:lineRule="auto"/>
        <w:ind w:firstLine="3264" w:firstLineChars="739"/>
        <w:outlineLvl w:val="0"/>
        <w:rPr>
          <w:rFonts w:ascii="宋体" w:hAnsi="宋体"/>
          <w:b/>
          <w:color w:val="auto"/>
          <w:kern w:val="0"/>
          <w:sz w:val="44"/>
          <w:szCs w:val="44"/>
          <w:highlight w:val="none"/>
        </w:rPr>
      </w:pPr>
      <w:bookmarkStart w:id="1308" w:name="_Toc14089"/>
      <w:r>
        <w:rPr>
          <w:rFonts w:hint="eastAsia" w:ascii="宋体" w:hAnsi="宋体"/>
          <w:b/>
          <w:color w:val="auto"/>
          <w:kern w:val="0"/>
          <w:sz w:val="44"/>
          <w:szCs w:val="44"/>
          <w:highlight w:val="none"/>
        </w:rPr>
        <w:t>第七章  评定标准</w:t>
      </w:r>
      <w:bookmarkEnd w:id="49"/>
      <w:bookmarkEnd w:id="50"/>
      <w:bookmarkEnd w:id="1308"/>
    </w:p>
    <w:p w14:paraId="2C18029C">
      <w:pPr>
        <w:pStyle w:val="22"/>
        <w:spacing w:line="440" w:lineRule="exact"/>
        <w:rPr>
          <w:rFonts w:ascii="黑体" w:hAnsi="宋体" w:eastAsia="黑体"/>
          <w:b/>
          <w:color w:val="auto"/>
          <w:kern w:val="0"/>
          <w:sz w:val="32"/>
          <w:szCs w:val="32"/>
          <w:highlight w:val="none"/>
        </w:rPr>
      </w:pPr>
    </w:p>
    <w:p w14:paraId="31670CD3">
      <w:pPr>
        <w:pStyle w:val="22"/>
        <w:spacing w:line="440" w:lineRule="exact"/>
        <w:rPr>
          <w:rFonts w:ascii="黑体" w:hAnsi="宋体" w:eastAsia="黑体"/>
          <w:b/>
          <w:color w:val="auto"/>
          <w:kern w:val="0"/>
          <w:sz w:val="32"/>
          <w:szCs w:val="32"/>
          <w:highlight w:val="none"/>
        </w:rPr>
      </w:pPr>
    </w:p>
    <w:p w14:paraId="24508F41">
      <w:pPr>
        <w:pStyle w:val="22"/>
        <w:spacing w:line="440" w:lineRule="exact"/>
        <w:rPr>
          <w:rFonts w:ascii="黑体" w:hAnsi="宋体" w:eastAsia="黑体"/>
          <w:b/>
          <w:color w:val="auto"/>
          <w:kern w:val="0"/>
          <w:sz w:val="32"/>
          <w:szCs w:val="32"/>
          <w:highlight w:val="none"/>
        </w:rPr>
      </w:pPr>
    </w:p>
    <w:p w14:paraId="4AB00E72">
      <w:pPr>
        <w:pStyle w:val="22"/>
        <w:spacing w:line="440" w:lineRule="exact"/>
        <w:rPr>
          <w:rFonts w:ascii="黑体" w:hAnsi="宋体" w:eastAsia="黑体"/>
          <w:b/>
          <w:color w:val="auto"/>
          <w:kern w:val="0"/>
          <w:sz w:val="32"/>
          <w:szCs w:val="32"/>
          <w:highlight w:val="none"/>
        </w:rPr>
      </w:pPr>
    </w:p>
    <w:p w14:paraId="34B7A98E">
      <w:pPr>
        <w:pStyle w:val="22"/>
        <w:spacing w:line="440" w:lineRule="exact"/>
        <w:rPr>
          <w:rFonts w:ascii="黑体" w:hAnsi="宋体" w:eastAsia="黑体"/>
          <w:b/>
          <w:color w:val="auto"/>
          <w:kern w:val="0"/>
          <w:sz w:val="32"/>
          <w:szCs w:val="32"/>
          <w:highlight w:val="none"/>
        </w:rPr>
      </w:pPr>
    </w:p>
    <w:p w14:paraId="2A4F69C7">
      <w:pPr>
        <w:pStyle w:val="22"/>
        <w:spacing w:line="440" w:lineRule="exact"/>
        <w:rPr>
          <w:rFonts w:ascii="黑体" w:hAnsi="宋体" w:eastAsia="黑体"/>
          <w:b/>
          <w:color w:val="auto"/>
          <w:kern w:val="0"/>
          <w:sz w:val="32"/>
          <w:szCs w:val="32"/>
          <w:highlight w:val="none"/>
        </w:rPr>
      </w:pPr>
    </w:p>
    <w:p w14:paraId="2DD218EE">
      <w:pPr>
        <w:pStyle w:val="22"/>
        <w:spacing w:line="440" w:lineRule="exact"/>
        <w:rPr>
          <w:rFonts w:ascii="黑体" w:hAnsi="宋体" w:eastAsia="黑体"/>
          <w:b/>
          <w:color w:val="auto"/>
          <w:kern w:val="0"/>
          <w:sz w:val="32"/>
          <w:szCs w:val="32"/>
          <w:highlight w:val="none"/>
        </w:rPr>
      </w:pPr>
    </w:p>
    <w:p w14:paraId="710765FA">
      <w:pPr>
        <w:pStyle w:val="22"/>
        <w:spacing w:line="440" w:lineRule="exact"/>
        <w:rPr>
          <w:rFonts w:ascii="黑体" w:hAnsi="宋体" w:eastAsia="黑体"/>
          <w:b/>
          <w:color w:val="auto"/>
          <w:kern w:val="0"/>
          <w:sz w:val="32"/>
          <w:szCs w:val="32"/>
          <w:highlight w:val="none"/>
        </w:rPr>
      </w:pPr>
    </w:p>
    <w:p w14:paraId="6D3292C7">
      <w:pPr>
        <w:pStyle w:val="22"/>
        <w:spacing w:line="440" w:lineRule="exact"/>
        <w:rPr>
          <w:rFonts w:ascii="黑体" w:hAnsi="宋体" w:eastAsia="黑体"/>
          <w:b/>
          <w:color w:val="auto"/>
          <w:kern w:val="0"/>
          <w:sz w:val="32"/>
          <w:szCs w:val="32"/>
          <w:highlight w:val="none"/>
        </w:rPr>
      </w:pPr>
    </w:p>
    <w:p w14:paraId="7D83C69B">
      <w:pPr>
        <w:pStyle w:val="22"/>
        <w:spacing w:line="440" w:lineRule="exact"/>
        <w:rPr>
          <w:rFonts w:ascii="黑体" w:hAnsi="宋体" w:eastAsia="黑体"/>
          <w:b/>
          <w:color w:val="auto"/>
          <w:kern w:val="0"/>
          <w:sz w:val="32"/>
          <w:szCs w:val="32"/>
          <w:highlight w:val="none"/>
        </w:rPr>
      </w:pPr>
    </w:p>
    <w:p w14:paraId="1B0AF008">
      <w:pPr>
        <w:pStyle w:val="22"/>
        <w:spacing w:line="440" w:lineRule="exact"/>
        <w:rPr>
          <w:rFonts w:ascii="黑体" w:hAnsi="宋体" w:eastAsia="黑体"/>
          <w:b/>
          <w:color w:val="auto"/>
          <w:kern w:val="0"/>
          <w:sz w:val="32"/>
          <w:szCs w:val="32"/>
          <w:highlight w:val="none"/>
        </w:rPr>
      </w:pPr>
    </w:p>
    <w:p w14:paraId="3C2E2D76">
      <w:pPr>
        <w:pStyle w:val="22"/>
        <w:spacing w:line="440" w:lineRule="exact"/>
        <w:rPr>
          <w:rFonts w:ascii="黑体" w:hAnsi="宋体" w:eastAsia="黑体"/>
          <w:b/>
          <w:color w:val="auto"/>
          <w:kern w:val="0"/>
          <w:sz w:val="32"/>
          <w:szCs w:val="32"/>
          <w:highlight w:val="none"/>
        </w:rPr>
      </w:pPr>
    </w:p>
    <w:p w14:paraId="66B637BB">
      <w:pPr>
        <w:pStyle w:val="22"/>
        <w:spacing w:line="440" w:lineRule="exact"/>
        <w:rPr>
          <w:rFonts w:ascii="黑体" w:hAnsi="宋体" w:eastAsia="黑体"/>
          <w:b/>
          <w:color w:val="auto"/>
          <w:kern w:val="0"/>
          <w:sz w:val="32"/>
          <w:szCs w:val="32"/>
          <w:highlight w:val="none"/>
        </w:rPr>
      </w:pPr>
    </w:p>
    <w:p w14:paraId="231A1934">
      <w:pPr>
        <w:pStyle w:val="22"/>
        <w:spacing w:line="440" w:lineRule="exact"/>
        <w:jc w:val="center"/>
        <w:rPr>
          <w:rFonts w:hAnsi="宋体"/>
          <w:color w:val="auto"/>
          <w:sz w:val="30"/>
          <w:szCs w:val="30"/>
          <w:highlight w:val="none"/>
        </w:rPr>
      </w:pPr>
      <w:r>
        <w:rPr>
          <w:rFonts w:ascii="仿宋_GB2312" w:hAnsi="宋体" w:eastAsia="仿宋_GB2312"/>
          <w:b/>
          <w:color w:val="auto"/>
          <w:kern w:val="0"/>
          <w:sz w:val="32"/>
          <w:szCs w:val="32"/>
          <w:highlight w:val="none"/>
        </w:rPr>
        <w:br w:type="page"/>
      </w:r>
      <w:r>
        <w:rPr>
          <w:rFonts w:hint="eastAsia" w:hAnsi="宋体"/>
          <w:b/>
          <w:color w:val="auto"/>
          <w:kern w:val="0"/>
          <w:sz w:val="30"/>
          <w:szCs w:val="30"/>
          <w:highlight w:val="none"/>
        </w:rPr>
        <w:t>评定标准</w:t>
      </w:r>
    </w:p>
    <w:p w14:paraId="2EB72120">
      <w:pPr>
        <w:pStyle w:val="22"/>
        <w:keepNext w:val="0"/>
        <w:keepLines w:val="0"/>
        <w:pageBreakBefore w:val="0"/>
        <w:numPr>
          <w:ilvl w:val="0"/>
          <w:numId w:val="5"/>
        </w:numPr>
        <w:kinsoku/>
        <w:wordWrap/>
        <w:overflowPunct/>
        <w:topLinePunct w:val="0"/>
        <w:bidi w:val="0"/>
        <w:adjustRightInd w:val="0"/>
        <w:spacing w:line="400" w:lineRule="exact"/>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评标原则</w:t>
      </w:r>
    </w:p>
    <w:p w14:paraId="414ED768">
      <w:pPr>
        <w:pStyle w:val="22"/>
        <w:keepNext w:val="0"/>
        <w:keepLines w:val="0"/>
        <w:pageBreakBefore w:val="0"/>
        <w:kinsoku/>
        <w:wordWrap/>
        <w:overflowPunct/>
        <w:topLinePunct w:val="0"/>
        <w:bidi w:val="0"/>
        <w:adjustRightInd w:val="0"/>
        <w:spacing w:line="4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(一)磋商小组组成：本磋商采购项目的磋商小组由采购人代表、技术和经济等方面的专家共3人以上单数组成。其中，专家磋商小组成员不得少于成员总数的三分之二。</w:t>
      </w:r>
    </w:p>
    <w:p w14:paraId="2152865A">
      <w:pPr>
        <w:pStyle w:val="22"/>
        <w:keepNext w:val="0"/>
        <w:keepLines w:val="0"/>
        <w:pageBreakBefore w:val="0"/>
        <w:kinsoku/>
        <w:wordWrap/>
        <w:overflowPunct/>
        <w:topLinePunct w:val="0"/>
        <w:bidi w:val="0"/>
        <w:adjustRightInd w:val="0"/>
        <w:spacing w:line="4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(二)评审依据：磋商小组成员将以采购文件为评审依据，对供应商的最终报价、技术性能、实施方案、信誉业绩、售后服务、政策优惠等方面内容按百分制打分。</w:t>
      </w:r>
    </w:p>
    <w:p w14:paraId="3A26EA13">
      <w:pPr>
        <w:pStyle w:val="22"/>
        <w:keepNext w:val="0"/>
        <w:keepLines w:val="0"/>
        <w:pageBreakBefore w:val="0"/>
        <w:kinsoku/>
        <w:wordWrap/>
        <w:overflowPunct/>
        <w:topLinePunct w:val="0"/>
        <w:bidi w:val="0"/>
        <w:adjustRightInd w:val="0"/>
        <w:spacing w:line="40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(三)评审方式：以封闭方式进行。</w:t>
      </w:r>
    </w:p>
    <w:p w14:paraId="290F5E28">
      <w:pPr>
        <w:keepNext w:val="0"/>
        <w:keepLines w:val="0"/>
        <w:pageBreakBefore w:val="0"/>
        <w:kinsoku/>
        <w:wordWrap/>
        <w:overflowPunct/>
        <w:topLinePunct w:val="0"/>
        <w:autoSpaceDE w:val="0"/>
        <w:autoSpaceDN w:val="0"/>
        <w:bidi w:val="0"/>
        <w:adjustRightInd w:val="0"/>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(四)按《政府采购促进中小企业发展管理办法》(财库〔2020〕46号)的规定，</w:t>
      </w:r>
      <w:r>
        <w:rPr>
          <w:rFonts w:hint="eastAsia" w:ascii="宋体" w:hAnsi="宋体" w:eastAsia="宋体" w:cs="宋体"/>
          <w:color w:val="auto"/>
          <w:sz w:val="24"/>
          <w:szCs w:val="24"/>
          <w:highlight w:val="none"/>
        </w:rPr>
        <w:t>对于未预留份额专门面向中小企业采购的政府采购工程项目，以及预留份额政府采购工程项目中的非预留部分标项，对小型和微型企业的最后报价给予3%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的扣除，用扣除后的价格参加评审。中小企业参加政府采购活动，应当出具《中小企业声明函》，否则不得享受相关中小企业扶持政策。</w:t>
      </w:r>
    </w:p>
    <w:p w14:paraId="284EF48A">
      <w:pPr>
        <w:keepNext w:val="0"/>
        <w:keepLines w:val="0"/>
        <w:pageBreakBefore w:val="0"/>
        <w:kinsoku/>
        <w:wordWrap/>
        <w:overflowPunct/>
        <w:topLinePunct w:val="0"/>
        <w:autoSpaceDE w:val="0"/>
        <w:autoSpaceDN w:val="0"/>
        <w:bidi w:val="0"/>
        <w:adjustRightInd w:val="0"/>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1792BA05">
      <w:pPr>
        <w:keepNext w:val="0"/>
        <w:keepLines w:val="0"/>
        <w:pageBreakBefore w:val="0"/>
        <w:kinsoku/>
        <w:wordWrap/>
        <w:overflowPunct/>
        <w:topLinePunct w:val="0"/>
        <w:autoSpaceDE w:val="0"/>
        <w:autoSpaceDN w:val="0"/>
        <w:bidi w:val="0"/>
        <w:adjustRightInd w:val="0"/>
        <w:spacing w:line="40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85F8046">
      <w:pPr>
        <w:keepNext w:val="0"/>
        <w:keepLines w:val="0"/>
        <w:pageBreakBefore w:val="0"/>
        <w:kinsoku/>
        <w:wordWrap/>
        <w:overflowPunct/>
        <w:topLinePunct w:val="0"/>
        <w:bidi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(七)未享受优惠政策的供应商的磋商最终报价即为评审价。</w:t>
      </w:r>
    </w:p>
    <w:p w14:paraId="4DDDE08A">
      <w:pPr>
        <w:keepNext w:val="0"/>
        <w:keepLines w:val="0"/>
        <w:pageBreakBefore w:val="0"/>
        <w:kinsoku/>
        <w:wordWrap/>
        <w:overflowPunct/>
        <w:topLinePunct w:val="0"/>
        <w:bidi w:val="0"/>
        <w:spacing w:line="40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二、评标方法</w:t>
      </w:r>
    </w:p>
    <w:tbl>
      <w:tblPr>
        <w:tblStyle w:val="37"/>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885"/>
        <w:gridCol w:w="1224"/>
        <w:gridCol w:w="7033"/>
      </w:tblGrid>
      <w:tr w14:paraId="6C1E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noWrap w:val="0"/>
            <w:vAlign w:val="center"/>
          </w:tcPr>
          <w:p w14:paraId="16310E79">
            <w:pPr>
              <w:keepNext w:val="0"/>
              <w:keepLines w:val="0"/>
              <w:pageBreakBefore w:val="0"/>
              <w:widowControl/>
              <w:kinsoku/>
              <w:wordWrap/>
              <w:overflowPunct/>
              <w:topLinePunct w:val="0"/>
              <w:bidi w:val="0"/>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109" w:type="dxa"/>
            <w:gridSpan w:val="2"/>
            <w:noWrap w:val="0"/>
            <w:vAlign w:val="center"/>
          </w:tcPr>
          <w:p w14:paraId="7C205B1D">
            <w:pPr>
              <w:keepNext w:val="0"/>
              <w:keepLines w:val="0"/>
              <w:pageBreakBefore w:val="0"/>
              <w:widowControl/>
              <w:kinsoku/>
              <w:wordWrap/>
              <w:overflowPunct/>
              <w:topLinePunct w:val="0"/>
              <w:bidi w:val="0"/>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评审因素</w:t>
            </w:r>
          </w:p>
        </w:tc>
        <w:tc>
          <w:tcPr>
            <w:tcW w:w="7033" w:type="dxa"/>
            <w:noWrap w:val="0"/>
            <w:vAlign w:val="center"/>
          </w:tcPr>
          <w:p w14:paraId="4D485696">
            <w:pPr>
              <w:keepNext w:val="0"/>
              <w:keepLines w:val="0"/>
              <w:pageBreakBefore w:val="0"/>
              <w:widowControl/>
              <w:kinsoku/>
              <w:wordWrap/>
              <w:overflowPunct/>
              <w:topLinePunct w:val="0"/>
              <w:bidi w:val="0"/>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评审标准</w:t>
            </w:r>
          </w:p>
        </w:tc>
      </w:tr>
      <w:tr w14:paraId="2F23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noWrap w:val="0"/>
            <w:vAlign w:val="center"/>
          </w:tcPr>
          <w:p w14:paraId="1C8EBEA8">
            <w:pPr>
              <w:keepNext w:val="0"/>
              <w:keepLines w:val="0"/>
              <w:pageBreakBefore w:val="0"/>
              <w:widowControl/>
              <w:kinsoku/>
              <w:wordWrap/>
              <w:overflowPunct/>
              <w:topLinePunct w:val="0"/>
              <w:bidi w:val="0"/>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p>
        </w:tc>
        <w:tc>
          <w:tcPr>
            <w:tcW w:w="2109" w:type="dxa"/>
            <w:gridSpan w:val="2"/>
            <w:noWrap w:val="0"/>
            <w:vAlign w:val="center"/>
          </w:tcPr>
          <w:p w14:paraId="7BF53E80">
            <w:pPr>
              <w:keepNext w:val="0"/>
              <w:keepLines w:val="0"/>
              <w:pageBreakBefore w:val="0"/>
              <w:widowControl/>
              <w:kinsoku/>
              <w:wordWrap/>
              <w:overflowPunct/>
              <w:topLinePunct w:val="0"/>
              <w:bidi w:val="0"/>
              <w:spacing w:line="400" w:lineRule="exact"/>
              <w:jc w:val="center"/>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价格分</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满分15</w:t>
            </w:r>
            <w:r>
              <w:rPr>
                <w:rFonts w:hint="eastAsia" w:ascii="宋体" w:hAnsi="宋体" w:eastAsia="宋体" w:cs="宋体"/>
                <w:b/>
                <w:bCs/>
                <w:color w:val="auto"/>
                <w:kern w:val="0"/>
                <w:sz w:val="24"/>
                <w:szCs w:val="24"/>
                <w:highlight w:val="none"/>
              </w:rPr>
              <w:t>分</w:t>
            </w:r>
            <w:r>
              <w:rPr>
                <w:rFonts w:hint="eastAsia" w:ascii="宋体" w:hAnsi="宋体" w:eastAsia="宋体" w:cs="宋体"/>
                <w:b/>
                <w:bCs/>
                <w:color w:val="auto"/>
                <w:kern w:val="0"/>
                <w:sz w:val="24"/>
                <w:szCs w:val="24"/>
                <w:highlight w:val="none"/>
                <w:lang w:eastAsia="zh-CN"/>
              </w:rPr>
              <w:t>）</w:t>
            </w:r>
          </w:p>
        </w:tc>
        <w:tc>
          <w:tcPr>
            <w:tcW w:w="7033" w:type="dxa"/>
            <w:noWrap w:val="0"/>
            <w:vAlign w:val="top"/>
          </w:tcPr>
          <w:p w14:paraId="0BF78C15">
            <w:pPr>
              <w:keepNext w:val="0"/>
              <w:keepLines w:val="0"/>
              <w:pageBreakBefore w:val="0"/>
              <w:widowControl/>
              <w:kinsoku/>
              <w:wordWrap/>
              <w:overflowPunct/>
              <w:topLinePunct w:val="0"/>
              <w:bidi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（1）本项目为专门面向中小企业采购的项目，按照《政府采购促进中小企业发展管理办法》（财库〔2020〕46号）的规定，对</w:t>
            </w:r>
            <w:r>
              <w:rPr>
                <w:rFonts w:hint="eastAsia" w:ascii="宋体" w:hAnsi="宋体" w:eastAsia="宋体" w:cs="宋体"/>
                <w:color w:val="auto"/>
                <w:kern w:val="0"/>
                <w:sz w:val="24"/>
                <w:szCs w:val="24"/>
                <w:highlight w:val="none"/>
                <w:lang w:val="en-US" w:eastAsia="zh-CN"/>
              </w:rPr>
              <w:t>竞标</w:t>
            </w:r>
            <w:r>
              <w:rPr>
                <w:rFonts w:hint="eastAsia" w:ascii="宋体" w:hAnsi="宋体" w:eastAsia="宋体" w:cs="宋体"/>
                <w:color w:val="auto"/>
                <w:kern w:val="0"/>
                <w:sz w:val="24"/>
                <w:szCs w:val="24"/>
                <w:highlight w:val="none"/>
              </w:rPr>
              <w:t>人的报价不再执行价格评审优惠的扶持政策。</w:t>
            </w:r>
          </w:p>
          <w:p w14:paraId="527D8985">
            <w:pPr>
              <w:keepNext w:val="0"/>
              <w:keepLines w:val="0"/>
              <w:pageBreakBefore w:val="0"/>
              <w:widowControl/>
              <w:kinsoku/>
              <w:wordWrap/>
              <w:overflowPunct/>
              <w:topLinePunct w:val="0"/>
              <w:bidi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文件要求且</w:t>
            </w:r>
            <w:r>
              <w:rPr>
                <w:rFonts w:hint="eastAsia" w:ascii="宋体" w:hAnsi="宋体" w:eastAsia="宋体" w:cs="宋体"/>
                <w:color w:val="auto"/>
                <w:kern w:val="0"/>
                <w:sz w:val="24"/>
                <w:szCs w:val="24"/>
                <w:highlight w:val="none"/>
                <w:lang w:val="en-US" w:eastAsia="zh-CN"/>
              </w:rPr>
              <w:t>竞标</w:t>
            </w:r>
            <w:r>
              <w:rPr>
                <w:rFonts w:hint="eastAsia" w:ascii="宋体" w:hAnsi="宋体" w:eastAsia="宋体" w:cs="宋体"/>
                <w:color w:val="auto"/>
                <w:kern w:val="0"/>
                <w:sz w:val="24"/>
                <w:szCs w:val="24"/>
                <w:highlight w:val="none"/>
              </w:rPr>
              <w:t>价格最低的</w:t>
            </w:r>
            <w:r>
              <w:rPr>
                <w:rFonts w:hint="eastAsia" w:ascii="宋体" w:hAnsi="宋体" w:eastAsia="宋体" w:cs="宋体"/>
                <w:color w:val="auto"/>
                <w:kern w:val="0"/>
                <w:sz w:val="24"/>
                <w:szCs w:val="24"/>
                <w:highlight w:val="none"/>
                <w:lang w:val="en-US" w:eastAsia="zh-CN"/>
              </w:rPr>
              <w:t>竞标</w:t>
            </w:r>
            <w:r>
              <w:rPr>
                <w:rFonts w:hint="eastAsia" w:ascii="宋体" w:hAnsi="宋体" w:eastAsia="宋体" w:cs="宋体"/>
                <w:color w:val="auto"/>
                <w:kern w:val="0"/>
                <w:sz w:val="24"/>
                <w:szCs w:val="24"/>
                <w:highlight w:val="none"/>
              </w:rPr>
              <w:t>报价为评标基准价，其价格分为满分15分。</w:t>
            </w:r>
          </w:p>
          <w:p w14:paraId="578C1B82">
            <w:pPr>
              <w:keepNext w:val="0"/>
              <w:keepLines w:val="0"/>
              <w:pageBreakBefore w:val="0"/>
              <w:widowControl/>
              <w:kinsoku/>
              <w:wordWrap/>
              <w:overflowPunct/>
              <w:topLinePunct w:val="0"/>
              <w:bidi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（3）价格分计算公式：</w:t>
            </w:r>
          </w:p>
          <w:p w14:paraId="6A3346D5">
            <w:pPr>
              <w:keepNext w:val="0"/>
              <w:keepLines w:val="0"/>
              <w:pageBreakBefore w:val="0"/>
              <w:widowControl/>
              <w:kinsoku/>
              <w:wordWrap/>
              <w:overflowPunct/>
              <w:topLinePunct w:val="0"/>
              <w:bidi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某</w:t>
            </w:r>
            <w:r>
              <w:rPr>
                <w:rFonts w:hint="eastAsia" w:ascii="宋体" w:hAnsi="宋体" w:eastAsia="宋体" w:cs="宋体"/>
                <w:color w:val="auto"/>
                <w:kern w:val="0"/>
                <w:sz w:val="24"/>
                <w:szCs w:val="24"/>
                <w:highlight w:val="none"/>
                <w:lang w:val="en-US" w:eastAsia="zh-CN"/>
              </w:rPr>
              <w:t>竞标</w:t>
            </w:r>
            <w:r>
              <w:rPr>
                <w:rFonts w:hint="eastAsia" w:ascii="宋体" w:hAnsi="宋体" w:eastAsia="宋体" w:cs="宋体"/>
                <w:color w:val="auto"/>
                <w:kern w:val="0"/>
                <w:sz w:val="24"/>
                <w:szCs w:val="24"/>
                <w:highlight w:val="none"/>
              </w:rPr>
              <w:t>人价格分=评标基准价÷某</w:t>
            </w:r>
            <w:r>
              <w:rPr>
                <w:rFonts w:hint="eastAsia" w:ascii="宋体" w:hAnsi="宋体" w:eastAsia="宋体" w:cs="宋体"/>
                <w:color w:val="auto"/>
                <w:kern w:val="0"/>
                <w:sz w:val="24"/>
                <w:szCs w:val="24"/>
                <w:highlight w:val="none"/>
                <w:lang w:val="en-US" w:eastAsia="zh-CN"/>
              </w:rPr>
              <w:t>竞标</w:t>
            </w:r>
            <w:r>
              <w:rPr>
                <w:rFonts w:hint="eastAsia" w:ascii="宋体" w:hAnsi="宋体" w:eastAsia="宋体" w:cs="宋体"/>
                <w:color w:val="auto"/>
                <w:kern w:val="0"/>
                <w:sz w:val="24"/>
                <w:szCs w:val="24"/>
                <w:highlight w:val="none"/>
              </w:rPr>
              <w:t>人</w:t>
            </w:r>
            <w:r>
              <w:rPr>
                <w:rFonts w:hint="eastAsia" w:ascii="宋体" w:hAnsi="宋体" w:eastAsia="宋体" w:cs="宋体"/>
                <w:color w:val="auto"/>
                <w:kern w:val="0"/>
                <w:sz w:val="24"/>
                <w:szCs w:val="24"/>
                <w:highlight w:val="none"/>
                <w:lang w:val="en-US" w:eastAsia="zh-CN"/>
              </w:rPr>
              <w:t>竞标</w:t>
            </w:r>
            <w:r>
              <w:rPr>
                <w:rFonts w:hint="eastAsia" w:ascii="宋体" w:hAnsi="宋体" w:eastAsia="宋体" w:cs="宋体"/>
                <w:color w:val="auto"/>
                <w:kern w:val="0"/>
                <w:sz w:val="24"/>
                <w:szCs w:val="24"/>
                <w:highlight w:val="none"/>
              </w:rPr>
              <w:t>报价×15分。</w:t>
            </w:r>
          </w:p>
        </w:tc>
      </w:tr>
      <w:tr w14:paraId="1279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noWrap w:val="0"/>
            <w:vAlign w:val="center"/>
          </w:tcPr>
          <w:p w14:paraId="50AEDFE1">
            <w:pPr>
              <w:keepNext w:val="0"/>
              <w:keepLines w:val="0"/>
              <w:pageBreakBefore w:val="0"/>
              <w:widowControl/>
              <w:kinsoku/>
              <w:wordWrap/>
              <w:overflowPunct/>
              <w:topLinePunct w:val="0"/>
              <w:bidi w:val="0"/>
              <w:spacing w:line="400" w:lineRule="exact"/>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2</w:t>
            </w:r>
          </w:p>
        </w:tc>
        <w:tc>
          <w:tcPr>
            <w:tcW w:w="2109" w:type="dxa"/>
            <w:gridSpan w:val="2"/>
            <w:noWrap w:val="0"/>
            <w:vAlign w:val="center"/>
          </w:tcPr>
          <w:p w14:paraId="4CEDBF43">
            <w:pPr>
              <w:keepNext w:val="0"/>
              <w:keepLines w:val="0"/>
              <w:pageBreakBefore w:val="0"/>
              <w:widowControl/>
              <w:kinsoku/>
              <w:wordWrap/>
              <w:overflowPunct/>
              <w:topLinePunct w:val="0"/>
              <w:bidi w:val="0"/>
              <w:spacing w:line="400" w:lineRule="exact"/>
              <w:jc w:val="center"/>
              <w:rPr>
                <w:rFonts w:hint="eastAsia" w:ascii="宋体" w:hAnsi="宋体" w:eastAsia="宋体" w:cs="宋体"/>
                <w:b/>
                <w:bCs w:val="0"/>
                <w:color w:val="auto"/>
                <w:kern w:val="0"/>
                <w:sz w:val="24"/>
                <w:szCs w:val="24"/>
                <w:highlight w:val="none"/>
                <w:lang w:eastAsia="zh-CN"/>
              </w:rPr>
            </w:pPr>
            <w:r>
              <w:rPr>
                <w:rFonts w:hint="eastAsia" w:ascii="宋体" w:hAnsi="宋体" w:eastAsia="宋体" w:cs="宋体"/>
                <w:b/>
                <w:bCs w:val="0"/>
                <w:color w:val="auto"/>
                <w:kern w:val="0"/>
                <w:sz w:val="24"/>
                <w:szCs w:val="24"/>
                <w:highlight w:val="none"/>
              </w:rPr>
              <w:t>技术分</w:t>
            </w:r>
            <w:r>
              <w:rPr>
                <w:rFonts w:hint="eastAsia" w:ascii="宋体" w:hAnsi="宋体" w:eastAsia="宋体" w:cs="宋体"/>
                <w:b/>
                <w:bCs w:val="0"/>
                <w:color w:val="auto"/>
                <w:kern w:val="0"/>
                <w:sz w:val="24"/>
                <w:szCs w:val="24"/>
                <w:highlight w:val="none"/>
                <w:lang w:eastAsia="zh-CN"/>
              </w:rPr>
              <w:t>（</w:t>
            </w:r>
            <w:r>
              <w:rPr>
                <w:rFonts w:hint="eastAsia" w:ascii="宋体" w:hAnsi="宋体" w:eastAsia="宋体" w:cs="宋体"/>
                <w:b/>
                <w:bCs w:val="0"/>
                <w:color w:val="auto"/>
                <w:kern w:val="0"/>
                <w:sz w:val="24"/>
                <w:szCs w:val="24"/>
                <w:highlight w:val="none"/>
                <w:lang w:val="en-US" w:eastAsia="zh-CN"/>
              </w:rPr>
              <w:t>满分70分</w:t>
            </w:r>
            <w:r>
              <w:rPr>
                <w:rFonts w:hint="eastAsia" w:ascii="宋体" w:hAnsi="宋体" w:eastAsia="宋体" w:cs="宋体"/>
                <w:b/>
                <w:bCs w:val="0"/>
                <w:color w:val="auto"/>
                <w:kern w:val="0"/>
                <w:sz w:val="24"/>
                <w:szCs w:val="24"/>
                <w:highlight w:val="none"/>
                <w:lang w:eastAsia="zh-CN"/>
              </w:rPr>
              <w:t>）</w:t>
            </w:r>
          </w:p>
        </w:tc>
        <w:tc>
          <w:tcPr>
            <w:tcW w:w="7033" w:type="dxa"/>
            <w:noWrap w:val="0"/>
            <w:vAlign w:val="center"/>
          </w:tcPr>
          <w:p w14:paraId="3A82C98B">
            <w:pPr>
              <w:keepNext w:val="0"/>
              <w:keepLines w:val="0"/>
              <w:pageBreakBefore w:val="0"/>
              <w:kinsoku/>
              <w:wordWrap/>
              <w:overflowPunct/>
              <w:topLinePunct w:val="0"/>
              <w:bidi w:val="0"/>
              <w:spacing w:line="400" w:lineRule="exact"/>
              <w:jc w:val="center"/>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sz w:val="24"/>
                <w:szCs w:val="24"/>
                <w:highlight w:val="none"/>
              </w:rPr>
              <w:t>评审标准</w:t>
            </w:r>
          </w:p>
        </w:tc>
      </w:tr>
      <w:tr w14:paraId="6243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688" w:type="dxa"/>
            <w:vMerge w:val="restart"/>
            <w:noWrap w:val="0"/>
            <w:vAlign w:val="center"/>
          </w:tcPr>
          <w:p w14:paraId="752DC00D">
            <w:pPr>
              <w:keepNext w:val="0"/>
              <w:keepLines w:val="0"/>
              <w:pageBreakBefore w:val="0"/>
              <w:kinsoku/>
              <w:wordWrap/>
              <w:overflowPunct/>
              <w:topLinePunct w:val="0"/>
              <w:bidi w:val="0"/>
              <w:adjustRightInd w:val="0"/>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2.1</w:t>
            </w:r>
          </w:p>
        </w:tc>
        <w:tc>
          <w:tcPr>
            <w:tcW w:w="885" w:type="dxa"/>
            <w:vMerge w:val="restart"/>
            <w:noWrap w:val="0"/>
            <w:vAlign w:val="center"/>
          </w:tcPr>
          <w:p w14:paraId="7074B144">
            <w:pPr>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项目管理机构(</w:t>
            </w:r>
            <w:r>
              <w:rPr>
                <w:rFonts w:hint="eastAsia" w:ascii="宋体" w:hAnsi="宋体" w:eastAsia="宋体" w:cs="宋体"/>
                <w:color w:val="auto"/>
                <w:sz w:val="24"/>
                <w:szCs w:val="24"/>
                <w:highlight w:val="none"/>
                <w:lang w:val="en-US" w:eastAsia="zh-CN"/>
              </w:rPr>
              <w:t>满7</w:t>
            </w:r>
          </w:p>
          <w:p w14:paraId="564FF25E">
            <w:pPr>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w:t>
            </w:r>
          </w:p>
        </w:tc>
        <w:tc>
          <w:tcPr>
            <w:tcW w:w="1224" w:type="dxa"/>
            <w:noWrap w:val="0"/>
            <w:vAlign w:val="top"/>
          </w:tcPr>
          <w:p w14:paraId="5995D5B2">
            <w:pPr>
              <w:keepNext w:val="0"/>
              <w:keepLines w:val="0"/>
              <w:pageBreakBefore w:val="0"/>
              <w:kinsoku/>
              <w:wordWrap/>
              <w:overflowPunct/>
              <w:topLinePunct w:val="0"/>
              <w:bidi w:val="0"/>
              <w:spacing w:before="305" w:line="400" w:lineRule="exact"/>
              <w:jc w:val="both"/>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①</w:t>
            </w:r>
            <w:r>
              <w:rPr>
                <w:rFonts w:hint="eastAsia" w:ascii="宋体" w:hAnsi="宋体" w:eastAsia="宋体" w:cs="宋体"/>
                <w:color w:val="auto"/>
                <w:spacing w:val="-2"/>
                <w:sz w:val="24"/>
                <w:szCs w:val="24"/>
                <w:highlight w:val="none"/>
              </w:rPr>
              <w:t>项目经理情况(</w:t>
            </w:r>
            <w:r>
              <w:rPr>
                <w:rFonts w:hint="eastAsia" w:ascii="宋体" w:hAnsi="宋体" w:eastAsia="宋体" w:cs="宋体"/>
                <w:color w:val="auto"/>
                <w:spacing w:val="-2"/>
                <w:sz w:val="24"/>
                <w:szCs w:val="24"/>
                <w:highlight w:val="none"/>
                <w:lang w:val="en-US" w:eastAsia="zh-CN"/>
              </w:rPr>
              <w:t>满分3</w:t>
            </w:r>
            <w:r>
              <w:rPr>
                <w:rFonts w:hint="eastAsia" w:ascii="宋体" w:hAnsi="宋体" w:eastAsia="宋体" w:cs="宋体"/>
                <w:color w:val="auto"/>
                <w:spacing w:val="-2"/>
                <w:sz w:val="24"/>
                <w:szCs w:val="24"/>
                <w:highlight w:val="none"/>
              </w:rPr>
              <w:t>分)</w:t>
            </w:r>
          </w:p>
        </w:tc>
        <w:tc>
          <w:tcPr>
            <w:tcW w:w="7033" w:type="dxa"/>
            <w:noWrap w:val="0"/>
            <w:vAlign w:val="top"/>
          </w:tcPr>
          <w:p w14:paraId="3AEBB494">
            <w:pPr>
              <w:pStyle w:val="97"/>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lang w:val="en-US" w:eastAsia="zh-CN"/>
              </w:rPr>
              <w:t>1）</w:t>
            </w:r>
            <w:r>
              <w:rPr>
                <w:rStyle w:val="39"/>
                <w:rFonts w:hint="eastAsia" w:ascii="宋体" w:hAnsi="宋体" w:eastAsia="宋体" w:cs="宋体"/>
                <w:b w:val="0"/>
                <w:color w:val="auto"/>
                <w:sz w:val="24"/>
                <w:szCs w:val="24"/>
                <w:highlight w:val="none"/>
              </w:rPr>
              <w:t>拟派的项目经理，具备有效的</w:t>
            </w:r>
            <w:r>
              <w:rPr>
                <w:rStyle w:val="39"/>
                <w:rFonts w:hint="eastAsia" w:ascii="宋体" w:hAnsi="宋体" w:eastAsia="宋体" w:cs="宋体"/>
                <w:b w:val="0"/>
                <w:color w:val="auto"/>
                <w:sz w:val="24"/>
                <w:szCs w:val="24"/>
                <w:highlight w:val="none"/>
                <w:lang w:val="en-US" w:eastAsia="zh-CN"/>
              </w:rPr>
              <w:t>建筑</w:t>
            </w:r>
            <w:r>
              <w:rPr>
                <w:rStyle w:val="39"/>
                <w:rFonts w:hint="eastAsia" w:ascii="宋体" w:hAnsi="宋体" w:eastAsia="宋体" w:cs="宋体"/>
                <w:b w:val="0"/>
                <w:color w:val="auto"/>
                <w:sz w:val="24"/>
                <w:szCs w:val="24"/>
                <w:highlight w:val="none"/>
              </w:rPr>
              <w:t>工程专业二级（含）及以上注册建造师执业资格和安全生产考核合格证书（B类）的，得1分。</w:t>
            </w:r>
          </w:p>
          <w:p w14:paraId="56FF5D5A">
            <w:pPr>
              <w:pStyle w:val="97"/>
              <w:keepNext w:val="0"/>
              <w:keepLines w:val="0"/>
              <w:pageBreakBefore w:val="0"/>
              <w:kinsoku/>
              <w:wordWrap/>
              <w:overflowPunct/>
              <w:topLinePunct w:val="0"/>
              <w:bidi w:val="0"/>
              <w:spacing w:line="400" w:lineRule="exact"/>
              <w:jc w:val="left"/>
              <w:rPr>
                <w:rFonts w:hint="eastAsia" w:ascii="宋体" w:hAnsi="宋体" w:eastAsia="宋体" w:cs="宋体"/>
                <w:b/>
                <w:bCs/>
                <w:color w:val="auto"/>
                <w:sz w:val="24"/>
                <w:szCs w:val="24"/>
                <w:highlight w:val="none"/>
                <w:lang w:val="en-US" w:eastAsia="zh-CN"/>
              </w:rPr>
            </w:pPr>
            <w:r>
              <w:rPr>
                <w:rStyle w:val="39"/>
                <w:rFonts w:hint="eastAsia" w:ascii="宋体" w:hAnsi="宋体" w:eastAsia="宋体" w:cs="宋体"/>
                <w:b w:val="0"/>
                <w:color w:val="auto"/>
                <w:sz w:val="24"/>
                <w:szCs w:val="24"/>
                <w:highlight w:val="none"/>
                <w:lang w:val="en-US" w:eastAsia="zh-CN"/>
              </w:rPr>
              <w:t>2）</w:t>
            </w:r>
            <w:r>
              <w:rPr>
                <w:rStyle w:val="39"/>
                <w:rFonts w:hint="eastAsia" w:ascii="宋体" w:hAnsi="宋体" w:eastAsia="宋体" w:cs="宋体"/>
                <w:b w:val="0"/>
                <w:color w:val="auto"/>
                <w:sz w:val="24"/>
                <w:szCs w:val="24"/>
                <w:highlight w:val="none"/>
              </w:rPr>
              <w:t>拟派的项目经理，具有工程类专业初级工程师职称的，得1分；具有工程类专业中级（含）及以上工程师职称的，得</w:t>
            </w:r>
            <w:r>
              <w:rPr>
                <w:rStyle w:val="39"/>
                <w:rFonts w:hint="eastAsia" w:ascii="宋体" w:hAnsi="宋体" w:eastAsia="宋体" w:cs="宋体"/>
                <w:b w:val="0"/>
                <w:color w:val="auto"/>
                <w:sz w:val="24"/>
                <w:szCs w:val="24"/>
                <w:highlight w:val="none"/>
                <w:lang w:val="en-US" w:eastAsia="zh-CN"/>
              </w:rPr>
              <w:t>2</w:t>
            </w:r>
            <w:r>
              <w:rPr>
                <w:rStyle w:val="39"/>
                <w:rFonts w:hint="eastAsia" w:ascii="宋体" w:hAnsi="宋体" w:eastAsia="宋体" w:cs="宋体"/>
                <w:b w:val="0"/>
                <w:color w:val="auto"/>
                <w:sz w:val="24"/>
                <w:szCs w:val="24"/>
                <w:highlight w:val="none"/>
              </w:rPr>
              <w:t>分。</w:t>
            </w:r>
          </w:p>
          <w:p w14:paraId="6DB688DF">
            <w:pPr>
              <w:pStyle w:val="97"/>
              <w:keepNext w:val="0"/>
              <w:keepLines w:val="0"/>
              <w:pageBreakBefore w:val="0"/>
              <w:kinsoku/>
              <w:wordWrap/>
              <w:overflowPunct/>
              <w:topLinePunct w:val="0"/>
              <w:bidi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en-US" w:eastAsia="zh-CN"/>
              </w:rPr>
              <w:t>注：需提供拟投入本工程项目经理相关证书及竞标人为其缴纳近1个月（2025年08月至竞标截止时间止任意一个月社保）在现任职单位依法缴纳社会保险的证明材料（已退休人员应附退休证明文件及单位聘用合同），所有证件需加盖竞标单位公章或电子公章，否则不得分</w:t>
            </w:r>
            <w:r>
              <w:rPr>
                <w:rFonts w:hint="eastAsia" w:ascii="宋体" w:hAnsi="宋体" w:eastAsia="宋体" w:cs="宋体"/>
                <w:b/>
                <w:bCs/>
                <w:color w:val="auto"/>
                <w:sz w:val="24"/>
                <w:szCs w:val="24"/>
                <w:highlight w:val="none"/>
              </w:rPr>
              <w:t>。</w:t>
            </w:r>
          </w:p>
        </w:tc>
      </w:tr>
      <w:tr w14:paraId="4E8C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vMerge w:val="continue"/>
            <w:noWrap w:val="0"/>
            <w:vAlign w:val="center"/>
          </w:tcPr>
          <w:p w14:paraId="16253DCA">
            <w:pPr>
              <w:keepNext w:val="0"/>
              <w:keepLines w:val="0"/>
              <w:pageBreakBefore w:val="0"/>
              <w:kinsoku/>
              <w:wordWrap/>
              <w:overflowPunct/>
              <w:topLinePunct w:val="0"/>
              <w:bidi w:val="0"/>
              <w:adjustRightInd w:val="0"/>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885" w:type="dxa"/>
            <w:vMerge w:val="continue"/>
            <w:noWrap w:val="0"/>
            <w:vAlign w:val="center"/>
          </w:tcPr>
          <w:p w14:paraId="31E62247">
            <w:pPr>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p>
        </w:tc>
        <w:tc>
          <w:tcPr>
            <w:tcW w:w="1224" w:type="dxa"/>
            <w:noWrap w:val="0"/>
            <w:vAlign w:val="top"/>
          </w:tcPr>
          <w:p w14:paraId="6F8D5FA8">
            <w:pPr>
              <w:keepNext w:val="0"/>
              <w:keepLines w:val="0"/>
              <w:pageBreakBefore w:val="0"/>
              <w:kinsoku/>
              <w:wordWrap/>
              <w:overflowPunct/>
              <w:topLinePunct w:val="0"/>
              <w:bidi w:val="0"/>
              <w:spacing w:before="305" w:line="400" w:lineRule="exact"/>
              <w:ind w:left="0" w:firstLine="236" w:firstLineChars="100"/>
              <w:jc w:val="both"/>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lang w:val="en-US" w:eastAsia="zh-CN"/>
              </w:rPr>
              <w:t>②</w:t>
            </w:r>
            <w:r>
              <w:rPr>
                <w:rFonts w:hint="eastAsia" w:ascii="宋体" w:hAnsi="宋体" w:eastAsia="宋体" w:cs="宋体"/>
                <w:color w:val="auto"/>
                <w:spacing w:val="-2"/>
                <w:sz w:val="24"/>
                <w:szCs w:val="24"/>
                <w:highlight w:val="none"/>
              </w:rPr>
              <w:t>拟投</w:t>
            </w:r>
            <w:r>
              <w:rPr>
                <w:rFonts w:hint="eastAsia" w:ascii="宋体" w:hAnsi="宋体" w:eastAsia="宋体" w:cs="宋体"/>
                <w:color w:val="auto"/>
                <w:spacing w:val="-1"/>
                <w:sz w:val="24"/>
                <w:szCs w:val="24"/>
                <w:highlight w:val="none"/>
              </w:rPr>
              <w:t>入</w:t>
            </w:r>
            <w:r>
              <w:rPr>
                <w:rFonts w:hint="eastAsia" w:ascii="宋体" w:hAnsi="宋体" w:eastAsia="宋体" w:cs="宋体"/>
                <w:color w:val="auto"/>
                <w:spacing w:val="-2"/>
                <w:sz w:val="24"/>
                <w:szCs w:val="24"/>
                <w:highlight w:val="none"/>
              </w:rPr>
              <w:t>本工程</w:t>
            </w:r>
          </w:p>
          <w:p w14:paraId="03D398DC">
            <w:pPr>
              <w:keepNext w:val="0"/>
              <w:keepLines w:val="0"/>
              <w:pageBreakBefore w:val="0"/>
              <w:kinsoku/>
              <w:wordWrap/>
              <w:overflowPunct/>
              <w:topLinePunct w:val="0"/>
              <w:bidi w:val="0"/>
              <w:spacing w:before="35" w:line="400" w:lineRule="exact"/>
              <w:ind w:left="11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其他</w:t>
            </w:r>
            <w:r>
              <w:rPr>
                <w:rFonts w:hint="eastAsia" w:ascii="宋体" w:hAnsi="宋体" w:eastAsia="宋体" w:cs="宋体"/>
                <w:color w:val="auto"/>
                <w:spacing w:val="-2"/>
                <w:sz w:val="24"/>
                <w:szCs w:val="24"/>
                <w:highlight w:val="none"/>
              </w:rPr>
              <w:t>人</w:t>
            </w:r>
            <w:r>
              <w:rPr>
                <w:rFonts w:hint="eastAsia" w:ascii="宋体" w:hAnsi="宋体" w:eastAsia="宋体" w:cs="宋体"/>
                <w:color w:val="auto"/>
                <w:spacing w:val="-5"/>
                <w:sz w:val="24"/>
                <w:szCs w:val="24"/>
                <w:highlight w:val="none"/>
              </w:rPr>
              <w:t>员</w:t>
            </w:r>
            <w:r>
              <w:rPr>
                <w:rFonts w:hint="eastAsia" w:ascii="宋体" w:hAnsi="宋体" w:eastAsia="宋体" w:cs="宋体"/>
                <w:color w:val="auto"/>
                <w:spacing w:val="-5"/>
                <w:sz w:val="24"/>
                <w:szCs w:val="24"/>
                <w:highlight w:val="none"/>
                <w:lang w:eastAsia="zh-CN"/>
              </w:rPr>
              <w:t>情况</w:t>
            </w:r>
          </w:p>
          <w:p w14:paraId="51E993E3">
            <w:pPr>
              <w:keepNext w:val="0"/>
              <w:keepLines w:val="0"/>
              <w:pageBreakBefore w:val="0"/>
              <w:kinsoku/>
              <w:wordWrap/>
              <w:overflowPunct/>
              <w:topLinePunct w:val="0"/>
              <w:bidi w:val="0"/>
              <w:spacing w:before="20" w:line="400" w:lineRule="exact"/>
              <w:ind w:left="113"/>
              <w:jc w:val="both"/>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2"/>
                <w:sz w:val="24"/>
                <w:szCs w:val="24"/>
                <w:highlight w:val="none"/>
                <w:lang w:val="en-US" w:eastAsia="zh-CN"/>
              </w:rPr>
              <w:t>满分</w:t>
            </w:r>
            <w:r>
              <w:rPr>
                <w:rFonts w:hint="eastAsia" w:ascii="宋体" w:hAnsi="宋体" w:eastAsia="宋体" w:cs="宋体"/>
                <w:color w:val="auto"/>
                <w:spacing w:val="19"/>
                <w:sz w:val="24"/>
                <w:szCs w:val="24"/>
                <w:highlight w:val="none"/>
                <w:lang w:val="en-US" w:eastAsia="zh-CN"/>
              </w:rPr>
              <w:t>4</w:t>
            </w:r>
            <w:r>
              <w:rPr>
                <w:rFonts w:hint="eastAsia" w:ascii="宋体" w:hAnsi="宋体" w:eastAsia="宋体" w:cs="宋体"/>
                <w:color w:val="auto"/>
                <w:spacing w:val="-9"/>
                <w:sz w:val="24"/>
                <w:szCs w:val="24"/>
                <w:highlight w:val="none"/>
              </w:rPr>
              <w:t>分</w:t>
            </w:r>
            <w:r>
              <w:rPr>
                <w:rFonts w:hint="eastAsia" w:ascii="宋体" w:hAnsi="宋体" w:eastAsia="宋体" w:cs="宋体"/>
                <w:color w:val="auto"/>
                <w:spacing w:val="-8"/>
                <w:sz w:val="24"/>
                <w:szCs w:val="24"/>
                <w:highlight w:val="none"/>
              </w:rPr>
              <w:t>)</w:t>
            </w:r>
          </w:p>
        </w:tc>
        <w:tc>
          <w:tcPr>
            <w:tcW w:w="7033" w:type="dxa"/>
            <w:noWrap w:val="0"/>
            <w:vAlign w:val="top"/>
          </w:tcPr>
          <w:p w14:paraId="429D6328">
            <w:pPr>
              <w:pStyle w:val="97"/>
              <w:keepNext w:val="0"/>
              <w:keepLines w:val="0"/>
              <w:pageBreakBefore w:val="0"/>
              <w:kinsoku/>
              <w:wordWrap/>
              <w:overflowPunct/>
              <w:topLinePunct w:val="0"/>
              <w:bidi w:val="0"/>
              <w:spacing w:line="40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人员齐备、专业配套，安全员具备有效的安全生产考核合格证（C类），安全员、施工员、质检员（质量员）应具有相应职业培训合格证，拟派的技术负责人具有工程类专业中级（含）及以上工程师职称的，得4分。</w:t>
            </w:r>
          </w:p>
          <w:p w14:paraId="24C7CE28">
            <w:pPr>
              <w:pStyle w:val="97"/>
              <w:keepNext w:val="0"/>
              <w:keepLines w:val="0"/>
              <w:pageBreakBefore w:val="0"/>
              <w:kinsoku/>
              <w:wordWrap/>
              <w:overflowPunct/>
              <w:topLinePunct w:val="0"/>
              <w:bidi w:val="0"/>
              <w:spacing w:line="400" w:lineRule="exact"/>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en-US" w:eastAsia="zh-CN"/>
              </w:rPr>
              <w:t>注：需提供拟投入本工程管理人员相关证书及竞标人为其缴纳近1个月（2025年08月至竞标截止时间止任意一个月社保）在现任职单位依法缴纳社会保险的证明材料（已退休人员应附退休证明文件及单位聘用合同），所有证件需加盖竞标单位公章或电子公章，否则不得分</w:t>
            </w:r>
            <w:r>
              <w:rPr>
                <w:rFonts w:hint="eastAsia" w:ascii="宋体" w:hAnsi="宋体" w:eastAsia="宋体" w:cs="宋体"/>
                <w:b/>
                <w:bCs/>
                <w:color w:val="auto"/>
                <w:sz w:val="24"/>
                <w:szCs w:val="24"/>
                <w:highlight w:val="none"/>
              </w:rPr>
              <w:t>。</w:t>
            </w:r>
          </w:p>
        </w:tc>
      </w:tr>
      <w:tr w14:paraId="727F7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vMerge w:val="restart"/>
            <w:noWrap w:val="0"/>
            <w:vAlign w:val="center"/>
          </w:tcPr>
          <w:p w14:paraId="33542EA0">
            <w:pPr>
              <w:keepNext w:val="0"/>
              <w:keepLines w:val="0"/>
              <w:pageBreakBefore w:val="0"/>
              <w:kinsoku/>
              <w:wordWrap/>
              <w:overflowPunct/>
              <w:topLinePunct w:val="0"/>
              <w:bidi w:val="0"/>
              <w:adjustRightInd w:val="0"/>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2.2</w:t>
            </w:r>
          </w:p>
        </w:tc>
        <w:tc>
          <w:tcPr>
            <w:tcW w:w="885" w:type="dxa"/>
            <w:vMerge w:val="restart"/>
            <w:noWrap w:val="0"/>
            <w:vAlign w:val="center"/>
          </w:tcPr>
          <w:p w14:paraId="38E12C6C">
            <w:pPr>
              <w:keepNext w:val="0"/>
              <w:keepLines w:val="0"/>
              <w:pageBreakBefore w:val="0"/>
              <w:kinsoku/>
              <w:wordWrap/>
              <w:overflowPunct/>
              <w:topLinePunct w:val="0"/>
              <w:bidi w:val="0"/>
              <w:spacing w:before="20" w:line="400" w:lineRule="exact"/>
              <w:ind w:left="113"/>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施工组织设计</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2"/>
                <w:sz w:val="24"/>
                <w:szCs w:val="24"/>
                <w:highlight w:val="none"/>
                <w:lang w:val="en-US" w:eastAsia="zh-CN"/>
              </w:rPr>
              <w:t>满分</w:t>
            </w:r>
            <w:r>
              <w:rPr>
                <w:rFonts w:hint="eastAsia" w:ascii="宋体" w:hAnsi="宋体" w:eastAsia="宋体" w:cs="宋体"/>
                <w:color w:val="auto"/>
                <w:spacing w:val="19"/>
                <w:sz w:val="24"/>
                <w:szCs w:val="24"/>
                <w:highlight w:val="none"/>
                <w:lang w:val="en-US" w:eastAsia="zh-CN"/>
              </w:rPr>
              <w:t>63</w:t>
            </w:r>
            <w:r>
              <w:rPr>
                <w:rFonts w:hint="eastAsia" w:ascii="宋体" w:hAnsi="宋体" w:eastAsia="宋体" w:cs="宋体"/>
                <w:color w:val="auto"/>
                <w:spacing w:val="-9"/>
                <w:sz w:val="24"/>
                <w:szCs w:val="24"/>
                <w:highlight w:val="none"/>
              </w:rPr>
              <w:t>分</w:t>
            </w:r>
            <w:r>
              <w:rPr>
                <w:rFonts w:hint="eastAsia" w:ascii="宋体" w:hAnsi="宋体" w:eastAsia="宋体" w:cs="宋体"/>
                <w:color w:val="auto"/>
                <w:spacing w:val="-8"/>
                <w:sz w:val="24"/>
                <w:szCs w:val="24"/>
                <w:highlight w:val="none"/>
              </w:rPr>
              <w:t>)</w:t>
            </w:r>
          </w:p>
        </w:tc>
        <w:tc>
          <w:tcPr>
            <w:tcW w:w="1224" w:type="dxa"/>
            <w:noWrap w:val="0"/>
            <w:vAlign w:val="center"/>
          </w:tcPr>
          <w:p w14:paraId="2D4B3951">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lang w:val="en-US" w:eastAsia="zh-CN"/>
              </w:rPr>
              <w:t>①</w:t>
            </w:r>
            <w:r>
              <w:rPr>
                <w:rStyle w:val="39"/>
                <w:rFonts w:hint="eastAsia" w:ascii="宋体" w:hAnsi="宋体" w:eastAsia="宋体" w:cs="宋体"/>
                <w:b w:val="0"/>
                <w:color w:val="auto"/>
                <w:sz w:val="24"/>
                <w:szCs w:val="24"/>
                <w:highlight w:val="none"/>
              </w:rPr>
              <w:t>主要施工方法（</w:t>
            </w:r>
            <w:r>
              <w:rPr>
                <w:rStyle w:val="39"/>
                <w:rFonts w:hint="eastAsia" w:ascii="宋体" w:hAnsi="宋体" w:eastAsia="宋体" w:cs="宋体"/>
                <w:b w:val="0"/>
                <w:color w:val="auto"/>
                <w:sz w:val="24"/>
                <w:szCs w:val="24"/>
                <w:highlight w:val="none"/>
                <w:lang w:val="en-US" w:eastAsia="zh-CN"/>
              </w:rPr>
              <w:t>满分9分</w:t>
            </w:r>
            <w:r>
              <w:rPr>
                <w:rStyle w:val="39"/>
                <w:rFonts w:hint="eastAsia" w:ascii="宋体" w:hAnsi="宋体" w:eastAsia="宋体" w:cs="宋体"/>
                <w:b w:val="0"/>
                <w:color w:val="auto"/>
                <w:sz w:val="24"/>
                <w:szCs w:val="24"/>
                <w:highlight w:val="none"/>
              </w:rPr>
              <w:t>）</w:t>
            </w:r>
          </w:p>
        </w:tc>
        <w:tc>
          <w:tcPr>
            <w:tcW w:w="7033" w:type="dxa"/>
            <w:noWrap w:val="0"/>
            <w:vAlign w:val="center"/>
          </w:tcPr>
          <w:p w14:paraId="5029C02E">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各主要分部施工方法符合项目实际，须有详尽的施工技术方案，工艺先进、方法科学合理、可行，能指导具体施工并确保安全。</w:t>
            </w:r>
          </w:p>
          <w:p w14:paraId="3C45A41B">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优（</w:t>
            </w:r>
            <w:r>
              <w:rPr>
                <w:rStyle w:val="39"/>
                <w:rFonts w:hint="eastAsia" w:ascii="宋体" w:hAnsi="宋体" w:eastAsia="宋体" w:cs="宋体"/>
                <w:b w:val="0"/>
                <w:color w:val="auto"/>
                <w:sz w:val="24"/>
                <w:szCs w:val="24"/>
                <w:highlight w:val="none"/>
                <w:lang w:val="en-US" w:eastAsia="zh-CN"/>
              </w:rPr>
              <w:t>9</w:t>
            </w:r>
            <w:r>
              <w:rPr>
                <w:rStyle w:val="39"/>
                <w:rFonts w:hint="eastAsia" w:ascii="宋体" w:hAnsi="宋体" w:eastAsia="宋体" w:cs="宋体"/>
                <w:b w:val="0"/>
                <w:color w:val="auto"/>
                <w:sz w:val="24"/>
                <w:szCs w:val="24"/>
                <w:highlight w:val="none"/>
              </w:rPr>
              <w:t>分）：各主要分部施工方法符合项目实际，有详尽的施工技术方案，工艺先进、方法科学合理、可行，能指导具体施工并确保安全。具体表述清晰合理，符合规范要求。</w:t>
            </w:r>
          </w:p>
          <w:p w14:paraId="25FC6EEC">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良（</w:t>
            </w:r>
            <w:r>
              <w:rPr>
                <w:rStyle w:val="39"/>
                <w:rFonts w:hint="eastAsia" w:ascii="宋体" w:hAnsi="宋体" w:eastAsia="宋体" w:cs="宋体"/>
                <w:b w:val="0"/>
                <w:color w:val="auto"/>
                <w:sz w:val="24"/>
                <w:szCs w:val="24"/>
                <w:highlight w:val="none"/>
                <w:lang w:val="en-US" w:eastAsia="zh-CN"/>
              </w:rPr>
              <w:t>6</w:t>
            </w:r>
            <w:r>
              <w:rPr>
                <w:rStyle w:val="39"/>
                <w:rFonts w:hint="eastAsia" w:ascii="宋体" w:hAnsi="宋体" w:eastAsia="宋体" w:cs="宋体"/>
                <w:b w:val="0"/>
                <w:color w:val="auto"/>
                <w:sz w:val="24"/>
                <w:szCs w:val="24"/>
                <w:highlight w:val="none"/>
              </w:rPr>
              <w:t>分）：各主要分部施工方法符合项目实际，施工技术方案，工艺可行、方法科学合理，能指导具体施工并确保安全。具体表述清晰合理，基本符合规范要求。</w:t>
            </w:r>
          </w:p>
          <w:p w14:paraId="56D2FAD0">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中（</w:t>
            </w:r>
            <w:r>
              <w:rPr>
                <w:rStyle w:val="39"/>
                <w:rFonts w:hint="eastAsia" w:ascii="宋体" w:hAnsi="宋体" w:eastAsia="宋体" w:cs="宋体"/>
                <w:b w:val="0"/>
                <w:color w:val="auto"/>
                <w:sz w:val="24"/>
                <w:szCs w:val="24"/>
                <w:highlight w:val="none"/>
                <w:lang w:val="en-US" w:eastAsia="zh-CN"/>
              </w:rPr>
              <w:t>4</w:t>
            </w:r>
            <w:r>
              <w:rPr>
                <w:rStyle w:val="39"/>
                <w:rFonts w:hint="eastAsia" w:ascii="宋体" w:hAnsi="宋体" w:eastAsia="宋体" w:cs="宋体"/>
                <w:b w:val="0"/>
                <w:color w:val="auto"/>
                <w:sz w:val="24"/>
                <w:szCs w:val="24"/>
                <w:highlight w:val="none"/>
              </w:rPr>
              <w:t>分）：各主要分部施工方法符合项目实际，施工技术方案，工艺、方法合理、可行，能指导具体施工并确保安全。基本符合规范要求。</w:t>
            </w:r>
          </w:p>
          <w:p w14:paraId="0161C061">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rPr>
              <w:t>差（</w:t>
            </w:r>
            <w:r>
              <w:rPr>
                <w:rStyle w:val="39"/>
                <w:rFonts w:hint="eastAsia" w:ascii="宋体" w:hAnsi="宋体" w:eastAsia="宋体" w:cs="宋体"/>
                <w:b w:val="0"/>
                <w:color w:val="auto"/>
                <w:sz w:val="24"/>
                <w:szCs w:val="24"/>
                <w:highlight w:val="none"/>
                <w:lang w:val="en-US" w:eastAsia="zh-CN"/>
              </w:rPr>
              <w:t>2</w:t>
            </w:r>
            <w:r>
              <w:rPr>
                <w:rStyle w:val="39"/>
                <w:rFonts w:hint="eastAsia" w:ascii="宋体" w:hAnsi="宋体" w:eastAsia="宋体" w:cs="宋体"/>
                <w:b w:val="0"/>
                <w:color w:val="auto"/>
                <w:sz w:val="24"/>
                <w:szCs w:val="24"/>
                <w:highlight w:val="none"/>
              </w:rPr>
              <w:t>分）：各主要分部施工方法符合项目实际，施工技术方案，工艺方法可行，不能指导具体施工但可以确保安全。</w:t>
            </w:r>
          </w:p>
        </w:tc>
      </w:tr>
      <w:tr w14:paraId="2B5A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vMerge w:val="continue"/>
            <w:noWrap w:val="0"/>
            <w:vAlign w:val="center"/>
          </w:tcPr>
          <w:p w14:paraId="05395114">
            <w:pPr>
              <w:keepNext w:val="0"/>
              <w:keepLines w:val="0"/>
              <w:pageBreakBefore w:val="0"/>
              <w:kinsoku/>
              <w:wordWrap/>
              <w:overflowPunct/>
              <w:topLinePunct w:val="0"/>
              <w:bidi w:val="0"/>
              <w:adjustRightInd w:val="0"/>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885" w:type="dxa"/>
            <w:vMerge w:val="continue"/>
            <w:noWrap w:val="0"/>
            <w:vAlign w:val="center"/>
          </w:tcPr>
          <w:p w14:paraId="19732A71">
            <w:pPr>
              <w:keepNext w:val="0"/>
              <w:keepLines w:val="0"/>
              <w:pageBreakBefore w:val="0"/>
              <w:kinsoku/>
              <w:wordWrap/>
              <w:overflowPunct/>
              <w:topLinePunct w:val="0"/>
              <w:bidi w:val="0"/>
              <w:adjustRightInd w:val="0"/>
              <w:spacing w:line="400" w:lineRule="exact"/>
              <w:jc w:val="center"/>
              <w:textAlignment w:val="baseline"/>
              <w:rPr>
                <w:rFonts w:hint="eastAsia" w:ascii="宋体" w:hAnsi="宋体" w:eastAsia="宋体" w:cs="宋体"/>
                <w:bCs/>
                <w:color w:val="auto"/>
                <w:kern w:val="0"/>
                <w:sz w:val="24"/>
                <w:szCs w:val="24"/>
                <w:highlight w:val="none"/>
              </w:rPr>
            </w:pPr>
          </w:p>
        </w:tc>
        <w:tc>
          <w:tcPr>
            <w:tcW w:w="1224" w:type="dxa"/>
            <w:noWrap w:val="0"/>
            <w:vAlign w:val="center"/>
          </w:tcPr>
          <w:p w14:paraId="451D2C2A">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lang w:val="en-US" w:eastAsia="zh-CN"/>
              </w:rPr>
              <w:t>②</w:t>
            </w:r>
            <w:r>
              <w:rPr>
                <w:rStyle w:val="39"/>
                <w:rFonts w:hint="eastAsia" w:ascii="宋体" w:hAnsi="宋体" w:eastAsia="宋体" w:cs="宋体"/>
                <w:b w:val="0"/>
                <w:color w:val="auto"/>
                <w:sz w:val="24"/>
                <w:szCs w:val="24"/>
                <w:highlight w:val="none"/>
              </w:rPr>
              <w:t>拟投入的主要物资计划（</w:t>
            </w:r>
            <w:r>
              <w:rPr>
                <w:rStyle w:val="39"/>
                <w:rFonts w:hint="eastAsia" w:ascii="宋体" w:hAnsi="宋体" w:eastAsia="宋体" w:cs="宋体"/>
                <w:b w:val="0"/>
                <w:color w:val="auto"/>
                <w:sz w:val="24"/>
                <w:szCs w:val="24"/>
                <w:highlight w:val="none"/>
                <w:lang w:val="en-US" w:eastAsia="zh-CN"/>
              </w:rPr>
              <w:t>满分8分</w:t>
            </w:r>
            <w:r>
              <w:rPr>
                <w:rStyle w:val="39"/>
                <w:rFonts w:hint="eastAsia" w:ascii="宋体" w:hAnsi="宋体" w:eastAsia="宋体" w:cs="宋体"/>
                <w:b w:val="0"/>
                <w:color w:val="auto"/>
                <w:sz w:val="24"/>
                <w:szCs w:val="24"/>
                <w:highlight w:val="none"/>
              </w:rPr>
              <w:t>）</w:t>
            </w:r>
          </w:p>
        </w:tc>
        <w:tc>
          <w:tcPr>
            <w:tcW w:w="7033" w:type="dxa"/>
            <w:noWrap w:val="0"/>
            <w:vAlign w:val="center"/>
          </w:tcPr>
          <w:p w14:paraId="05D10F6A">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投入的施工材料有详细的组织计划且计划周密，数量、选型配置、进场时间安排合理，满足施工需要。</w:t>
            </w:r>
          </w:p>
          <w:p w14:paraId="4A4A7412">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优（</w:t>
            </w:r>
            <w:r>
              <w:rPr>
                <w:rStyle w:val="39"/>
                <w:rFonts w:hint="eastAsia" w:ascii="宋体" w:hAnsi="宋体" w:eastAsia="宋体" w:cs="宋体"/>
                <w:b w:val="0"/>
                <w:color w:val="auto"/>
                <w:sz w:val="24"/>
                <w:szCs w:val="24"/>
                <w:highlight w:val="none"/>
                <w:lang w:val="en-US" w:eastAsia="zh-CN"/>
              </w:rPr>
              <w:t>8</w:t>
            </w:r>
            <w:r>
              <w:rPr>
                <w:rStyle w:val="39"/>
                <w:rFonts w:hint="eastAsia" w:ascii="宋体" w:hAnsi="宋体" w:eastAsia="宋体" w:cs="宋体"/>
                <w:b w:val="0"/>
                <w:color w:val="auto"/>
                <w:sz w:val="24"/>
                <w:szCs w:val="24"/>
                <w:highlight w:val="none"/>
              </w:rPr>
              <w:t>分）：投入的施工材料有详细的组织计划且计划周密，数量、选型配置、进场时间安排合理，满足施工需要。</w:t>
            </w:r>
          </w:p>
          <w:p w14:paraId="38B13096">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良（</w:t>
            </w:r>
            <w:r>
              <w:rPr>
                <w:rStyle w:val="39"/>
                <w:rFonts w:hint="eastAsia" w:ascii="宋体" w:hAnsi="宋体" w:eastAsia="宋体" w:cs="宋体"/>
                <w:b w:val="0"/>
                <w:color w:val="auto"/>
                <w:sz w:val="24"/>
                <w:szCs w:val="24"/>
                <w:highlight w:val="none"/>
                <w:lang w:val="en-US" w:eastAsia="zh-CN"/>
              </w:rPr>
              <w:t>5</w:t>
            </w:r>
            <w:r>
              <w:rPr>
                <w:rStyle w:val="39"/>
                <w:rFonts w:hint="eastAsia" w:ascii="宋体" w:hAnsi="宋体" w:eastAsia="宋体" w:cs="宋体"/>
                <w:b w:val="0"/>
                <w:color w:val="auto"/>
                <w:sz w:val="24"/>
                <w:szCs w:val="24"/>
                <w:highlight w:val="none"/>
              </w:rPr>
              <w:t>分）：投入的施工材料有组织有计划，数量、选型配置、进场时间安排合理，基本满足施工需要。</w:t>
            </w:r>
          </w:p>
          <w:p w14:paraId="4784A4E9">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中（</w:t>
            </w:r>
            <w:r>
              <w:rPr>
                <w:rStyle w:val="39"/>
                <w:rFonts w:hint="eastAsia" w:ascii="宋体" w:hAnsi="宋体" w:eastAsia="宋体" w:cs="宋体"/>
                <w:b w:val="0"/>
                <w:color w:val="auto"/>
                <w:sz w:val="24"/>
                <w:szCs w:val="24"/>
                <w:highlight w:val="none"/>
                <w:lang w:val="en-US" w:eastAsia="zh-CN"/>
              </w:rPr>
              <w:t>3</w:t>
            </w:r>
            <w:r>
              <w:rPr>
                <w:rStyle w:val="39"/>
                <w:rFonts w:hint="eastAsia" w:ascii="宋体" w:hAnsi="宋体" w:eastAsia="宋体" w:cs="宋体"/>
                <w:b w:val="0"/>
                <w:color w:val="auto"/>
                <w:sz w:val="24"/>
                <w:szCs w:val="24"/>
                <w:highlight w:val="none"/>
              </w:rPr>
              <w:t>分）：投入的施工材料有组织有计划且计划一般，数量、选型配置、进场时间安排合理，基本满足施工需要。</w:t>
            </w:r>
          </w:p>
          <w:p w14:paraId="053A898F">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rPr>
              <w:t>差（</w:t>
            </w:r>
            <w:r>
              <w:rPr>
                <w:rStyle w:val="39"/>
                <w:rFonts w:hint="eastAsia" w:ascii="宋体" w:hAnsi="宋体" w:eastAsia="宋体" w:cs="宋体"/>
                <w:b w:val="0"/>
                <w:color w:val="auto"/>
                <w:sz w:val="24"/>
                <w:szCs w:val="24"/>
                <w:highlight w:val="none"/>
                <w:lang w:val="en-US" w:eastAsia="zh-CN"/>
              </w:rPr>
              <w:t>1</w:t>
            </w:r>
            <w:r>
              <w:rPr>
                <w:rStyle w:val="39"/>
                <w:rFonts w:hint="eastAsia" w:ascii="宋体" w:hAnsi="宋体" w:eastAsia="宋体" w:cs="宋体"/>
                <w:b w:val="0"/>
                <w:color w:val="auto"/>
                <w:sz w:val="24"/>
                <w:szCs w:val="24"/>
                <w:highlight w:val="none"/>
              </w:rPr>
              <w:t>分）：投入的施工材料有组织有计划，数量、选型配置、进场时间安排不合理，不能满足施工需要。</w:t>
            </w:r>
          </w:p>
        </w:tc>
      </w:tr>
      <w:tr w14:paraId="506F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vMerge w:val="continue"/>
            <w:noWrap w:val="0"/>
            <w:vAlign w:val="center"/>
          </w:tcPr>
          <w:p w14:paraId="3825FF96">
            <w:pPr>
              <w:keepNext w:val="0"/>
              <w:keepLines w:val="0"/>
              <w:pageBreakBefore w:val="0"/>
              <w:kinsoku/>
              <w:wordWrap/>
              <w:overflowPunct/>
              <w:topLinePunct w:val="0"/>
              <w:bidi w:val="0"/>
              <w:adjustRightInd w:val="0"/>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885" w:type="dxa"/>
            <w:vMerge w:val="continue"/>
            <w:noWrap w:val="0"/>
            <w:vAlign w:val="center"/>
          </w:tcPr>
          <w:p w14:paraId="270F8A83">
            <w:pPr>
              <w:keepNext w:val="0"/>
              <w:keepLines w:val="0"/>
              <w:pageBreakBefore w:val="0"/>
              <w:kinsoku/>
              <w:wordWrap/>
              <w:overflowPunct/>
              <w:topLinePunct w:val="0"/>
              <w:bidi w:val="0"/>
              <w:adjustRightInd w:val="0"/>
              <w:spacing w:line="400" w:lineRule="exact"/>
              <w:jc w:val="center"/>
              <w:textAlignment w:val="baseline"/>
              <w:rPr>
                <w:rFonts w:hint="eastAsia" w:ascii="宋体" w:hAnsi="宋体" w:eastAsia="宋体" w:cs="宋体"/>
                <w:bCs/>
                <w:color w:val="auto"/>
                <w:kern w:val="0"/>
                <w:sz w:val="24"/>
                <w:szCs w:val="24"/>
                <w:highlight w:val="none"/>
              </w:rPr>
            </w:pPr>
          </w:p>
        </w:tc>
        <w:tc>
          <w:tcPr>
            <w:tcW w:w="1224" w:type="dxa"/>
            <w:noWrap w:val="0"/>
            <w:vAlign w:val="center"/>
          </w:tcPr>
          <w:p w14:paraId="7120DE41">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lang w:val="en-US" w:eastAsia="zh-CN"/>
              </w:rPr>
              <w:t>③</w:t>
            </w:r>
            <w:r>
              <w:rPr>
                <w:rStyle w:val="39"/>
                <w:rFonts w:hint="eastAsia" w:ascii="宋体" w:hAnsi="宋体" w:eastAsia="宋体" w:cs="宋体"/>
                <w:b w:val="0"/>
                <w:color w:val="auto"/>
                <w:sz w:val="24"/>
                <w:szCs w:val="24"/>
                <w:highlight w:val="none"/>
              </w:rPr>
              <w:t>拟投入施工机械设备情</w:t>
            </w:r>
            <w:r>
              <w:rPr>
                <w:rStyle w:val="39"/>
                <w:rFonts w:hint="eastAsia" w:ascii="宋体" w:hAnsi="宋体" w:eastAsia="宋体" w:cs="宋体"/>
                <w:b w:val="0"/>
                <w:color w:val="auto"/>
                <w:sz w:val="24"/>
                <w:szCs w:val="24"/>
                <w:highlight w:val="none"/>
                <w:lang w:val="en-US" w:eastAsia="zh-CN"/>
              </w:rPr>
              <w:t>况</w:t>
            </w:r>
            <w:r>
              <w:rPr>
                <w:rStyle w:val="39"/>
                <w:rFonts w:hint="eastAsia" w:ascii="宋体" w:hAnsi="宋体" w:eastAsia="宋体" w:cs="宋体"/>
                <w:b w:val="0"/>
                <w:color w:val="auto"/>
                <w:sz w:val="24"/>
                <w:szCs w:val="24"/>
                <w:highlight w:val="none"/>
              </w:rPr>
              <w:t>（</w:t>
            </w:r>
            <w:r>
              <w:rPr>
                <w:rStyle w:val="39"/>
                <w:rFonts w:hint="eastAsia" w:ascii="宋体" w:hAnsi="宋体" w:eastAsia="宋体" w:cs="宋体"/>
                <w:b w:val="0"/>
                <w:color w:val="auto"/>
                <w:sz w:val="24"/>
                <w:szCs w:val="24"/>
                <w:highlight w:val="none"/>
                <w:lang w:val="en-US" w:eastAsia="zh-CN"/>
              </w:rPr>
              <w:t>满分8分</w:t>
            </w:r>
            <w:r>
              <w:rPr>
                <w:rStyle w:val="39"/>
                <w:rFonts w:hint="eastAsia" w:ascii="宋体" w:hAnsi="宋体" w:eastAsia="宋体" w:cs="宋体"/>
                <w:b w:val="0"/>
                <w:color w:val="auto"/>
                <w:sz w:val="24"/>
                <w:szCs w:val="24"/>
                <w:highlight w:val="none"/>
              </w:rPr>
              <w:t>）</w:t>
            </w:r>
          </w:p>
        </w:tc>
        <w:tc>
          <w:tcPr>
            <w:tcW w:w="7033" w:type="dxa"/>
            <w:noWrap w:val="0"/>
            <w:vAlign w:val="center"/>
          </w:tcPr>
          <w:p w14:paraId="13C73B1F">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投入的施工机械、设备、机具有详细的组织计划且计划周密，设备数量、选型配置、进场时间安排合理，满足施工需要。</w:t>
            </w:r>
          </w:p>
          <w:p w14:paraId="7498F185">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优（</w:t>
            </w:r>
            <w:r>
              <w:rPr>
                <w:rStyle w:val="39"/>
                <w:rFonts w:hint="eastAsia" w:ascii="宋体" w:hAnsi="宋体" w:eastAsia="宋体" w:cs="宋体"/>
                <w:b w:val="0"/>
                <w:color w:val="auto"/>
                <w:sz w:val="24"/>
                <w:szCs w:val="24"/>
                <w:highlight w:val="none"/>
                <w:lang w:val="en-US" w:eastAsia="zh-CN"/>
              </w:rPr>
              <w:t>8</w:t>
            </w:r>
            <w:r>
              <w:rPr>
                <w:rStyle w:val="39"/>
                <w:rFonts w:hint="eastAsia" w:ascii="宋体" w:hAnsi="宋体" w:eastAsia="宋体" w:cs="宋体"/>
                <w:b w:val="0"/>
                <w:color w:val="auto"/>
                <w:sz w:val="24"/>
                <w:szCs w:val="24"/>
                <w:highlight w:val="none"/>
              </w:rPr>
              <w:t>分）：投入的施工机械、设备、机具有详细的组织计划且计划周密，设备数量、选型配置、进场时间安排合理，满足施工需要。</w:t>
            </w:r>
          </w:p>
          <w:p w14:paraId="20091E0E">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良（</w:t>
            </w:r>
            <w:r>
              <w:rPr>
                <w:rStyle w:val="39"/>
                <w:rFonts w:hint="eastAsia" w:ascii="宋体" w:hAnsi="宋体" w:eastAsia="宋体" w:cs="宋体"/>
                <w:b w:val="0"/>
                <w:color w:val="auto"/>
                <w:sz w:val="24"/>
                <w:szCs w:val="24"/>
                <w:highlight w:val="none"/>
                <w:lang w:val="en-US" w:eastAsia="zh-CN"/>
              </w:rPr>
              <w:t>5</w:t>
            </w:r>
            <w:r>
              <w:rPr>
                <w:rStyle w:val="39"/>
                <w:rFonts w:hint="eastAsia" w:ascii="宋体" w:hAnsi="宋体" w:eastAsia="宋体" w:cs="宋体"/>
                <w:b w:val="0"/>
                <w:color w:val="auto"/>
                <w:sz w:val="24"/>
                <w:szCs w:val="24"/>
                <w:highlight w:val="none"/>
              </w:rPr>
              <w:t>分）：投入的施工机械、设备、机具有较详细的组织计划，设备数量、选型配置、进场时间安排合理，满足施工需要。</w:t>
            </w:r>
          </w:p>
          <w:p w14:paraId="3D5533BB">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中（</w:t>
            </w:r>
            <w:r>
              <w:rPr>
                <w:rStyle w:val="39"/>
                <w:rFonts w:hint="eastAsia" w:ascii="宋体" w:hAnsi="宋体" w:eastAsia="宋体" w:cs="宋体"/>
                <w:b w:val="0"/>
                <w:color w:val="auto"/>
                <w:sz w:val="24"/>
                <w:szCs w:val="24"/>
                <w:highlight w:val="none"/>
                <w:lang w:val="en-US" w:eastAsia="zh-CN"/>
              </w:rPr>
              <w:t>3</w:t>
            </w:r>
            <w:r>
              <w:rPr>
                <w:rStyle w:val="39"/>
                <w:rFonts w:hint="eastAsia" w:ascii="宋体" w:hAnsi="宋体" w:eastAsia="宋体" w:cs="宋体"/>
                <w:b w:val="0"/>
                <w:color w:val="auto"/>
                <w:sz w:val="24"/>
                <w:szCs w:val="24"/>
                <w:highlight w:val="none"/>
              </w:rPr>
              <w:t>分）：投入的施工机械、设备、机具有较详细的组织计划，设备数量、选型配置、进场时间安排合理，基本满足施工需要。</w:t>
            </w:r>
          </w:p>
          <w:p w14:paraId="4B256913">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kern w:val="0"/>
                <w:sz w:val="24"/>
                <w:szCs w:val="24"/>
                <w:highlight w:val="none"/>
              </w:rPr>
            </w:pPr>
            <w:r>
              <w:rPr>
                <w:rStyle w:val="39"/>
                <w:rFonts w:hint="eastAsia" w:ascii="宋体" w:hAnsi="宋体" w:eastAsia="宋体" w:cs="宋体"/>
                <w:b w:val="0"/>
                <w:color w:val="auto"/>
                <w:sz w:val="24"/>
                <w:szCs w:val="24"/>
                <w:highlight w:val="none"/>
              </w:rPr>
              <w:t>差（</w:t>
            </w:r>
            <w:r>
              <w:rPr>
                <w:rStyle w:val="39"/>
                <w:rFonts w:hint="eastAsia" w:ascii="宋体" w:hAnsi="宋体" w:eastAsia="宋体" w:cs="宋体"/>
                <w:b w:val="0"/>
                <w:color w:val="auto"/>
                <w:sz w:val="24"/>
                <w:szCs w:val="24"/>
                <w:highlight w:val="none"/>
                <w:lang w:val="en-US" w:eastAsia="zh-CN"/>
              </w:rPr>
              <w:t>1</w:t>
            </w:r>
            <w:r>
              <w:rPr>
                <w:rStyle w:val="39"/>
                <w:rFonts w:hint="eastAsia" w:ascii="宋体" w:hAnsi="宋体" w:eastAsia="宋体" w:cs="宋体"/>
                <w:b w:val="0"/>
                <w:color w:val="auto"/>
                <w:sz w:val="24"/>
                <w:szCs w:val="24"/>
                <w:highlight w:val="none"/>
              </w:rPr>
              <w:t>分）：投入的施工机械、设备、机具有组织计划，设备数量、选型配置、进场时间安排不合理，不能满足施工需要。</w:t>
            </w:r>
          </w:p>
        </w:tc>
      </w:tr>
      <w:tr w14:paraId="5B02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vMerge w:val="continue"/>
            <w:noWrap w:val="0"/>
            <w:vAlign w:val="center"/>
          </w:tcPr>
          <w:p w14:paraId="02B0A3FC">
            <w:pPr>
              <w:keepNext w:val="0"/>
              <w:keepLines w:val="0"/>
              <w:pageBreakBefore w:val="0"/>
              <w:kinsoku/>
              <w:wordWrap/>
              <w:overflowPunct/>
              <w:topLinePunct w:val="0"/>
              <w:bidi w:val="0"/>
              <w:adjustRightInd w:val="0"/>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885" w:type="dxa"/>
            <w:vMerge w:val="continue"/>
            <w:noWrap w:val="0"/>
            <w:vAlign w:val="center"/>
          </w:tcPr>
          <w:p w14:paraId="6BB04ACD">
            <w:pPr>
              <w:keepNext w:val="0"/>
              <w:keepLines w:val="0"/>
              <w:pageBreakBefore w:val="0"/>
              <w:kinsoku/>
              <w:wordWrap/>
              <w:overflowPunct/>
              <w:topLinePunct w:val="0"/>
              <w:bidi w:val="0"/>
              <w:adjustRightInd w:val="0"/>
              <w:spacing w:line="400" w:lineRule="exact"/>
              <w:jc w:val="center"/>
              <w:textAlignment w:val="baseline"/>
              <w:rPr>
                <w:rFonts w:hint="eastAsia" w:ascii="宋体" w:hAnsi="宋体" w:eastAsia="宋体" w:cs="宋体"/>
                <w:bCs/>
                <w:color w:val="auto"/>
                <w:kern w:val="0"/>
                <w:sz w:val="24"/>
                <w:szCs w:val="24"/>
                <w:highlight w:val="none"/>
              </w:rPr>
            </w:pPr>
          </w:p>
        </w:tc>
        <w:tc>
          <w:tcPr>
            <w:tcW w:w="1224" w:type="dxa"/>
            <w:noWrap w:val="0"/>
            <w:vAlign w:val="center"/>
          </w:tcPr>
          <w:p w14:paraId="0DDB5E74">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lang w:val="en-US" w:eastAsia="zh-CN"/>
              </w:rPr>
              <w:t>④</w:t>
            </w:r>
            <w:r>
              <w:rPr>
                <w:rStyle w:val="39"/>
                <w:rFonts w:hint="eastAsia" w:ascii="宋体" w:hAnsi="宋体" w:eastAsia="宋体" w:cs="宋体"/>
                <w:b w:val="0"/>
                <w:color w:val="auto"/>
                <w:sz w:val="24"/>
                <w:szCs w:val="24"/>
                <w:highlight w:val="none"/>
              </w:rPr>
              <w:t>劳动力安排计划（</w:t>
            </w:r>
            <w:r>
              <w:rPr>
                <w:rStyle w:val="39"/>
                <w:rFonts w:hint="eastAsia" w:ascii="宋体" w:hAnsi="宋体" w:eastAsia="宋体" w:cs="宋体"/>
                <w:b w:val="0"/>
                <w:color w:val="auto"/>
                <w:sz w:val="24"/>
                <w:szCs w:val="24"/>
                <w:highlight w:val="none"/>
                <w:lang w:val="en-US" w:eastAsia="zh-CN"/>
              </w:rPr>
              <w:t>满分7分</w:t>
            </w:r>
            <w:r>
              <w:rPr>
                <w:rStyle w:val="39"/>
                <w:rFonts w:hint="eastAsia" w:ascii="宋体" w:hAnsi="宋体" w:eastAsia="宋体" w:cs="宋体"/>
                <w:b w:val="0"/>
                <w:color w:val="auto"/>
                <w:sz w:val="24"/>
                <w:szCs w:val="24"/>
                <w:highlight w:val="none"/>
              </w:rPr>
              <w:t>）</w:t>
            </w:r>
          </w:p>
        </w:tc>
        <w:tc>
          <w:tcPr>
            <w:tcW w:w="7033" w:type="dxa"/>
            <w:noWrap w:val="0"/>
            <w:vAlign w:val="center"/>
          </w:tcPr>
          <w:p w14:paraId="2704F901">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各主要施工工序应有详细周密的劳动力安排计划，有各工种劳动力安排计划，劳动力投入合理，满足施工需要。</w:t>
            </w:r>
          </w:p>
          <w:p w14:paraId="32B242E5">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优（</w:t>
            </w:r>
            <w:r>
              <w:rPr>
                <w:rStyle w:val="39"/>
                <w:rFonts w:hint="eastAsia" w:ascii="宋体" w:hAnsi="宋体" w:eastAsia="宋体" w:cs="宋体"/>
                <w:b w:val="0"/>
                <w:color w:val="auto"/>
                <w:sz w:val="24"/>
                <w:szCs w:val="24"/>
                <w:highlight w:val="none"/>
                <w:lang w:val="en-US" w:eastAsia="zh-CN"/>
              </w:rPr>
              <w:t>7</w:t>
            </w:r>
            <w:r>
              <w:rPr>
                <w:rStyle w:val="39"/>
                <w:rFonts w:hint="eastAsia" w:ascii="宋体" w:hAnsi="宋体" w:eastAsia="宋体" w:cs="宋体"/>
                <w:b w:val="0"/>
                <w:color w:val="auto"/>
                <w:sz w:val="24"/>
                <w:szCs w:val="24"/>
                <w:highlight w:val="none"/>
              </w:rPr>
              <w:t>分）：拟投入计划与进度计划相呼应，主要施工工序有详细周密的劳动力安排计划，有各工种劳动力安排计划，劳动力投入合理，满足施工需要。</w:t>
            </w:r>
          </w:p>
          <w:p w14:paraId="46726693">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良（</w:t>
            </w:r>
            <w:r>
              <w:rPr>
                <w:rStyle w:val="39"/>
                <w:rFonts w:hint="eastAsia" w:ascii="宋体" w:hAnsi="宋体" w:eastAsia="宋体" w:cs="宋体"/>
                <w:b w:val="0"/>
                <w:color w:val="auto"/>
                <w:sz w:val="24"/>
                <w:szCs w:val="24"/>
                <w:highlight w:val="none"/>
                <w:lang w:val="en-US" w:eastAsia="zh-CN"/>
              </w:rPr>
              <w:t>4.5</w:t>
            </w:r>
            <w:r>
              <w:rPr>
                <w:rStyle w:val="39"/>
                <w:rFonts w:hint="eastAsia" w:ascii="宋体" w:hAnsi="宋体" w:eastAsia="宋体" w:cs="宋体"/>
                <w:b w:val="0"/>
                <w:color w:val="auto"/>
                <w:sz w:val="24"/>
                <w:szCs w:val="24"/>
                <w:highlight w:val="none"/>
              </w:rPr>
              <w:t>分）：拟投入计划与进度计划相呼应，有详细周密的劳动力安排计划，有各工种劳动力安排计划，基本满足施工需要。</w:t>
            </w:r>
          </w:p>
          <w:p w14:paraId="53F16854">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中（</w:t>
            </w:r>
            <w:r>
              <w:rPr>
                <w:rStyle w:val="39"/>
                <w:rFonts w:hint="eastAsia" w:ascii="宋体" w:hAnsi="宋体" w:eastAsia="宋体" w:cs="宋体"/>
                <w:b w:val="0"/>
                <w:color w:val="auto"/>
                <w:sz w:val="24"/>
                <w:szCs w:val="24"/>
                <w:highlight w:val="none"/>
                <w:lang w:val="en-US" w:eastAsia="zh-CN"/>
              </w:rPr>
              <w:t>2.5</w:t>
            </w:r>
            <w:r>
              <w:rPr>
                <w:rStyle w:val="39"/>
                <w:rFonts w:hint="eastAsia" w:ascii="宋体" w:hAnsi="宋体" w:eastAsia="宋体" w:cs="宋体"/>
                <w:b w:val="0"/>
                <w:color w:val="auto"/>
                <w:sz w:val="24"/>
                <w:szCs w:val="24"/>
                <w:highlight w:val="none"/>
              </w:rPr>
              <w:t>分）：拟投入计划与进度计划相呼应，基本满足施工需要。</w:t>
            </w:r>
          </w:p>
          <w:p w14:paraId="7BBA0E4C">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rPr>
              <w:t>差（</w:t>
            </w:r>
            <w:r>
              <w:rPr>
                <w:rStyle w:val="39"/>
                <w:rFonts w:hint="eastAsia" w:ascii="宋体" w:hAnsi="宋体" w:eastAsia="宋体" w:cs="宋体"/>
                <w:b w:val="0"/>
                <w:color w:val="auto"/>
                <w:sz w:val="24"/>
                <w:szCs w:val="24"/>
                <w:highlight w:val="none"/>
                <w:lang w:val="en-US" w:eastAsia="zh-CN"/>
              </w:rPr>
              <w:t>1</w:t>
            </w:r>
            <w:r>
              <w:rPr>
                <w:rStyle w:val="39"/>
                <w:rFonts w:hint="eastAsia" w:ascii="宋体" w:hAnsi="宋体" w:eastAsia="宋体" w:cs="宋体"/>
                <w:b w:val="0"/>
                <w:color w:val="auto"/>
                <w:sz w:val="24"/>
                <w:szCs w:val="24"/>
                <w:highlight w:val="none"/>
              </w:rPr>
              <w:t>分）：拟投入计划与进度计划不相呼应，不能基本满足施工需要。</w:t>
            </w:r>
          </w:p>
        </w:tc>
      </w:tr>
      <w:tr w14:paraId="6A64C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vMerge w:val="continue"/>
            <w:noWrap w:val="0"/>
            <w:vAlign w:val="center"/>
          </w:tcPr>
          <w:p w14:paraId="477D5229">
            <w:pPr>
              <w:keepNext w:val="0"/>
              <w:keepLines w:val="0"/>
              <w:pageBreakBefore w:val="0"/>
              <w:kinsoku/>
              <w:wordWrap/>
              <w:overflowPunct/>
              <w:topLinePunct w:val="0"/>
              <w:bidi w:val="0"/>
              <w:adjustRightInd w:val="0"/>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885" w:type="dxa"/>
            <w:vMerge w:val="continue"/>
            <w:noWrap w:val="0"/>
            <w:vAlign w:val="center"/>
          </w:tcPr>
          <w:p w14:paraId="24A549A7">
            <w:pPr>
              <w:keepNext w:val="0"/>
              <w:keepLines w:val="0"/>
              <w:pageBreakBefore w:val="0"/>
              <w:kinsoku/>
              <w:wordWrap/>
              <w:overflowPunct/>
              <w:topLinePunct w:val="0"/>
              <w:bidi w:val="0"/>
              <w:adjustRightInd w:val="0"/>
              <w:spacing w:line="400" w:lineRule="exact"/>
              <w:jc w:val="center"/>
              <w:textAlignment w:val="baseline"/>
              <w:rPr>
                <w:rFonts w:hint="eastAsia" w:ascii="宋体" w:hAnsi="宋体" w:eastAsia="宋体" w:cs="宋体"/>
                <w:bCs/>
                <w:color w:val="auto"/>
                <w:kern w:val="0"/>
                <w:sz w:val="24"/>
                <w:szCs w:val="24"/>
                <w:highlight w:val="none"/>
              </w:rPr>
            </w:pPr>
          </w:p>
        </w:tc>
        <w:tc>
          <w:tcPr>
            <w:tcW w:w="1224" w:type="dxa"/>
            <w:noWrap w:val="0"/>
            <w:vAlign w:val="center"/>
          </w:tcPr>
          <w:p w14:paraId="3A6A0C6F">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lang w:val="en-US" w:eastAsia="zh-CN"/>
              </w:rPr>
              <w:t>⑤</w:t>
            </w:r>
            <w:r>
              <w:rPr>
                <w:rStyle w:val="39"/>
                <w:rFonts w:hint="eastAsia" w:ascii="宋体" w:hAnsi="宋体" w:eastAsia="宋体" w:cs="宋体"/>
                <w:b w:val="0"/>
                <w:color w:val="auto"/>
                <w:sz w:val="24"/>
                <w:szCs w:val="24"/>
                <w:highlight w:val="none"/>
              </w:rPr>
              <w:t>确保工程质量的技术组织措施（</w:t>
            </w:r>
            <w:r>
              <w:rPr>
                <w:rStyle w:val="39"/>
                <w:rFonts w:hint="eastAsia" w:ascii="宋体" w:hAnsi="宋体" w:eastAsia="宋体" w:cs="宋体"/>
                <w:b w:val="0"/>
                <w:color w:val="auto"/>
                <w:sz w:val="24"/>
                <w:szCs w:val="24"/>
                <w:highlight w:val="none"/>
                <w:lang w:val="en-US" w:eastAsia="zh-CN"/>
              </w:rPr>
              <w:t>满分7分</w:t>
            </w:r>
            <w:r>
              <w:rPr>
                <w:rStyle w:val="39"/>
                <w:rFonts w:hint="eastAsia" w:ascii="宋体" w:hAnsi="宋体" w:eastAsia="宋体" w:cs="宋体"/>
                <w:b w:val="0"/>
                <w:color w:val="auto"/>
                <w:sz w:val="24"/>
                <w:szCs w:val="24"/>
                <w:highlight w:val="none"/>
              </w:rPr>
              <w:t>）</w:t>
            </w:r>
          </w:p>
        </w:tc>
        <w:tc>
          <w:tcPr>
            <w:tcW w:w="7033" w:type="dxa"/>
            <w:noWrap w:val="0"/>
            <w:vAlign w:val="center"/>
          </w:tcPr>
          <w:p w14:paraId="01534874">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应有专门的质量技术管理班子和制度，且人员配备合理，制度健全。主要工序应有质量技术保证措施和手段，自控体系完整，能有效保证技术质量，达到承诺的质量标准。</w:t>
            </w:r>
          </w:p>
          <w:p w14:paraId="231DC7C7">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优（</w:t>
            </w:r>
            <w:r>
              <w:rPr>
                <w:rStyle w:val="39"/>
                <w:rFonts w:hint="eastAsia" w:ascii="宋体" w:hAnsi="宋体" w:eastAsia="宋体" w:cs="宋体"/>
                <w:b w:val="0"/>
                <w:color w:val="auto"/>
                <w:sz w:val="24"/>
                <w:szCs w:val="24"/>
                <w:highlight w:val="none"/>
                <w:lang w:val="en-US" w:eastAsia="zh-CN"/>
              </w:rPr>
              <w:t>7</w:t>
            </w:r>
            <w:r>
              <w:rPr>
                <w:rStyle w:val="39"/>
                <w:rFonts w:hint="eastAsia" w:ascii="宋体" w:hAnsi="宋体" w:eastAsia="宋体" w:cs="宋体"/>
                <w:b w:val="0"/>
                <w:color w:val="auto"/>
                <w:sz w:val="24"/>
                <w:szCs w:val="24"/>
                <w:highlight w:val="none"/>
              </w:rPr>
              <w:t>分）：有专门的质量技术管理班子和制度，且人员配备合理，制度健全。主要工序有质量技术保证措施和手段，自控体系完整，能有效保证技术质量；有施工质量检验制度，施工质量培训制度，应用新技术、新工艺、新材料、新设备，针对项目实际提出先进、可行、具体的保证措施，达到承诺的质量标准及验收规范要求。</w:t>
            </w:r>
          </w:p>
          <w:p w14:paraId="05640FE7">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良（</w:t>
            </w:r>
            <w:r>
              <w:rPr>
                <w:rStyle w:val="39"/>
                <w:rFonts w:hint="eastAsia" w:ascii="宋体" w:hAnsi="宋体" w:eastAsia="宋体" w:cs="宋体"/>
                <w:b w:val="0"/>
                <w:color w:val="auto"/>
                <w:sz w:val="24"/>
                <w:szCs w:val="24"/>
                <w:highlight w:val="none"/>
                <w:lang w:val="en-US" w:eastAsia="zh-CN"/>
              </w:rPr>
              <w:t>4.5</w:t>
            </w:r>
            <w:r>
              <w:rPr>
                <w:rStyle w:val="39"/>
                <w:rFonts w:hint="eastAsia" w:ascii="宋体" w:hAnsi="宋体" w:eastAsia="宋体" w:cs="宋体"/>
                <w:b w:val="0"/>
                <w:color w:val="auto"/>
                <w:sz w:val="24"/>
                <w:szCs w:val="24"/>
                <w:highlight w:val="none"/>
              </w:rPr>
              <w:t>分）有专门的质量技术管理班子和制度，且人员配备合理，制度健全。主要工序有质量技术保证措施和手段，自控体系较为完整，能有效保证技术质量；有施工质量检验制度，施工质量培训制度，应用新材料、新设备，针对项目实际提出先进、可行、具体的保证措施，达到承诺的质量标准及验收规范要求。</w:t>
            </w:r>
          </w:p>
          <w:p w14:paraId="24DD3700">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中（</w:t>
            </w:r>
            <w:r>
              <w:rPr>
                <w:rStyle w:val="39"/>
                <w:rFonts w:hint="eastAsia" w:ascii="宋体" w:hAnsi="宋体" w:eastAsia="宋体" w:cs="宋体"/>
                <w:b w:val="0"/>
                <w:color w:val="auto"/>
                <w:sz w:val="24"/>
                <w:szCs w:val="24"/>
                <w:highlight w:val="none"/>
                <w:lang w:val="en-US" w:eastAsia="zh-CN"/>
              </w:rPr>
              <w:t>2.5</w:t>
            </w:r>
            <w:r>
              <w:rPr>
                <w:rStyle w:val="39"/>
                <w:rFonts w:hint="eastAsia" w:ascii="宋体" w:hAnsi="宋体" w:eastAsia="宋体" w:cs="宋体"/>
                <w:b w:val="0"/>
                <w:color w:val="auto"/>
                <w:sz w:val="24"/>
                <w:szCs w:val="24"/>
                <w:highlight w:val="none"/>
              </w:rPr>
              <w:t>分）；有专门的质量技术管理班子和制度，且人员配备合理，制度健全。主要工序有质量技术保证措施和手段，自控体系较为完整，能有效保证技术质量；有施工质量检验制度，施工质量培训制度，针对项目实际提出可行、具体的保证措施，达到承诺的质量标准及验收规范要求。</w:t>
            </w:r>
          </w:p>
          <w:p w14:paraId="0A243637">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rPr>
              <w:t>差（</w:t>
            </w:r>
            <w:r>
              <w:rPr>
                <w:rStyle w:val="39"/>
                <w:rFonts w:hint="eastAsia" w:ascii="宋体" w:hAnsi="宋体" w:eastAsia="宋体" w:cs="宋体"/>
                <w:b w:val="0"/>
                <w:color w:val="auto"/>
                <w:sz w:val="24"/>
                <w:szCs w:val="24"/>
                <w:highlight w:val="none"/>
                <w:lang w:val="en-US" w:eastAsia="zh-CN"/>
              </w:rPr>
              <w:t>1</w:t>
            </w:r>
            <w:r>
              <w:rPr>
                <w:rStyle w:val="39"/>
                <w:rFonts w:hint="eastAsia" w:ascii="宋体" w:hAnsi="宋体" w:eastAsia="宋体" w:cs="宋体"/>
                <w:b w:val="0"/>
                <w:color w:val="auto"/>
                <w:sz w:val="24"/>
                <w:szCs w:val="24"/>
                <w:highlight w:val="none"/>
              </w:rPr>
              <w:t>分）：有专门的质量技术管理班子和制度，且人员配备合理，制度健全。主要工序有质量技术保证措施和手段，自控体系完整，能有效保证技术质量；有施工质量检验制度，施工质量培训制度，针对项目实际提出可行的保证措施，基本达到承诺的质量标准及验收规范要求。</w:t>
            </w:r>
          </w:p>
        </w:tc>
      </w:tr>
      <w:tr w14:paraId="66F5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vMerge w:val="continue"/>
            <w:noWrap w:val="0"/>
            <w:vAlign w:val="center"/>
          </w:tcPr>
          <w:p w14:paraId="0717B806">
            <w:pPr>
              <w:keepNext w:val="0"/>
              <w:keepLines w:val="0"/>
              <w:pageBreakBefore w:val="0"/>
              <w:kinsoku/>
              <w:wordWrap/>
              <w:overflowPunct/>
              <w:topLinePunct w:val="0"/>
              <w:bidi w:val="0"/>
              <w:adjustRightInd w:val="0"/>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885" w:type="dxa"/>
            <w:vMerge w:val="continue"/>
            <w:noWrap w:val="0"/>
            <w:vAlign w:val="center"/>
          </w:tcPr>
          <w:p w14:paraId="2DD596B6">
            <w:pPr>
              <w:keepNext w:val="0"/>
              <w:keepLines w:val="0"/>
              <w:pageBreakBefore w:val="0"/>
              <w:kinsoku/>
              <w:wordWrap/>
              <w:overflowPunct/>
              <w:topLinePunct w:val="0"/>
              <w:bidi w:val="0"/>
              <w:adjustRightInd w:val="0"/>
              <w:spacing w:line="400" w:lineRule="exact"/>
              <w:jc w:val="center"/>
              <w:textAlignment w:val="baseline"/>
              <w:rPr>
                <w:rFonts w:hint="eastAsia" w:ascii="宋体" w:hAnsi="宋体" w:eastAsia="宋体" w:cs="宋体"/>
                <w:bCs/>
                <w:color w:val="auto"/>
                <w:kern w:val="0"/>
                <w:sz w:val="24"/>
                <w:szCs w:val="24"/>
                <w:highlight w:val="none"/>
              </w:rPr>
            </w:pPr>
          </w:p>
        </w:tc>
        <w:tc>
          <w:tcPr>
            <w:tcW w:w="1224" w:type="dxa"/>
            <w:noWrap w:val="0"/>
            <w:vAlign w:val="center"/>
          </w:tcPr>
          <w:p w14:paraId="6FFE8EC7">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lang w:val="en-US" w:eastAsia="zh-CN"/>
              </w:rPr>
              <w:t>⑥</w:t>
            </w:r>
            <w:r>
              <w:rPr>
                <w:rStyle w:val="39"/>
                <w:rFonts w:hint="eastAsia" w:ascii="宋体" w:hAnsi="宋体" w:eastAsia="宋体" w:cs="宋体"/>
                <w:b w:val="0"/>
                <w:color w:val="auto"/>
                <w:sz w:val="24"/>
                <w:szCs w:val="24"/>
                <w:highlight w:val="none"/>
              </w:rPr>
              <w:t>确保安全生产的技术组织措施（</w:t>
            </w:r>
            <w:r>
              <w:rPr>
                <w:rStyle w:val="39"/>
                <w:rFonts w:hint="eastAsia" w:ascii="宋体" w:hAnsi="宋体" w:eastAsia="宋体" w:cs="宋体"/>
                <w:b w:val="0"/>
                <w:color w:val="auto"/>
                <w:sz w:val="24"/>
                <w:szCs w:val="24"/>
                <w:highlight w:val="none"/>
                <w:lang w:val="en-US" w:eastAsia="zh-CN"/>
              </w:rPr>
              <w:t>满分6分</w:t>
            </w:r>
            <w:r>
              <w:rPr>
                <w:rStyle w:val="39"/>
                <w:rFonts w:hint="eastAsia" w:ascii="宋体" w:hAnsi="宋体" w:eastAsia="宋体" w:cs="宋体"/>
                <w:b w:val="0"/>
                <w:color w:val="auto"/>
                <w:sz w:val="24"/>
                <w:szCs w:val="24"/>
                <w:highlight w:val="none"/>
              </w:rPr>
              <w:t>）</w:t>
            </w:r>
          </w:p>
        </w:tc>
        <w:tc>
          <w:tcPr>
            <w:tcW w:w="7033" w:type="dxa"/>
            <w:noWrap w:val="0"/>
            <w:vAlign w:val="center"/>
          </w:tcPr>
          <w:p w14:paraId="6B756D76">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应有专门的安全管理人员和制度，且人员配备合理，制度健全，各道工序安全技术措施针对性强，符合实际且满足有关安全技术标准要求。现场防火、应急救援、社会治安安全措施得力。对危险性较大的分部分项工程有相应的安全管理措施及应急预案。</w:t>
            </w:r>
          </w:p>
          <w:p w14:paraId="5C8AA3E4">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优（</w:t>
            </w:r>
            <w:r>
              <w:rPr>
                <w:rStyle w:val="39"/>
                <w:rFonts w:hint="eastAsia" w:ascii="宋体" w:hAnsi="宋体" w:eastAsia="宋体" w:cs="宋体"/>
                <w:b w:val="0"/>
                <w:color w:val="auto"/>
                <w:sz w:val="24"/>
                <w:szCs w:val="24"/>
                <w:highlight w:val="none"/>
                <w:lang w:val="en-US" w:eastAsia="zh-CN"/>
              </w:rPr>
              <w:t>6</w:t>
            </w:r>
            <w:r>
              <w:rPr>
                <w:rStyle w:val="39"/>
                <w:rFonts w:hint="eastAsia" w:ascii="宋体" w:hAnsi="宋体" w:eastAsia="宋体" w:cs="宋体"/>
                <w:b w:val="0"/>
                <w:color w:val="auto"/>
                <w:sz w:val="24"/>
                <w:szCs w:val="24"/>
                <w:highlight w:val="none"/>
              </w:rPr>
              <w:t>分）：有专门的安全管理人员和制度，且人员配备合理，制度健全，各道工序安全技术措施针对性强，确保工程质量的技术组织措施符合实际且满足有关安全技术标准要求。有安全生产责任、安全生产教育培训制度，施工现场临时用电方案及安全用电措施。现场防火、应急救援、社会治安安全措施得力及应急措施。对危险性较大的分部分项工程有相应的安全管理措施及应急预案。</w:t>
            </w:r>
          </w:p>
          <w:p w14:paraId="25D6049C">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良（</w:t>
            </w:r>
            <w:r>
              <w:rPr>
                <w:rStyle w:val="39"/>
                <w:rFonts w:hint="eastAsia" w:ascii="宋体" w:hAnsi="宋体" w:eastAsia="宋体" w:cs="宋体"/>
                <w:b w:val="0"/>
                <w:color w:val="auto"/>
                <w:sz w:val="24"/>
                <w:szCs w:val="24"/>
                <w:highlight w:val="none"/>
                <w:lang w:val="en-US" w:eastAsia="zh-CN"/>
              </w:rPr>
              <w:t>4</w:t>
            </w:r>
            <w:r>
              <w:rPr>
                <w:rStyle w:val="39"/>
                <w:rFonts w:hint="eastAsia" w:ascii="宋体" w:hAnsi="宋体" w:eastAsia="宋体" w:cs="宋体"/>
                <w:b w:val="0"/>
                <w:color w:val="auto"/>
                <w:sz w:val="24"/>
                <w:szCs w:val="24"/>
                <w:highlight w:val="none"/>
              </w:rPr>
              <w:t>分）：有专门的安全管理人员和制度，且人员配备合理，制度健全，各道工序安全技术措施针对性强，确保工程质量的技术组织措施符合实际且较好的满足有关安全技术标准要求。有安全生产责任、安全生产教育培训制度。现场防火、应急救援、社会治安安全措施得力及应急措施较好。对危险性较大的分部分项工程有相应的安全管理措施及应急预案。</w:t>
            </w:r>
          </w:p>
          <w:p w14:paraId="296A8E30">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中（</w:t>
            </w:r>
            <w:r>
              <w:rPr>
                <w:rStyle w:val="39"/>
                <w:rFonts w:hint="eastAsia" w:ascii="宋体" w:hAnsi="宋体" w:eastAsia="宋体" w:cs="宋体"/>
                <w:b w:val="0"/>
                <w:color w:val="auto"/>
                <w:sz w:val="24"/>
                <w:szCs w:val="24"/>
                <w:highlight w:val="none"/>
                <w:lang w:val="en-US" w:eastAsia="zh-CN"/>
              </w:rPr>
              <w:t>2</w:t>
            </w:r>
            <w:r>
              <w:rPr>
                <w:rStyle w:val="39"/>
                <w:rFonts w:hint="eastAsia" w:ascii="宋体" w:hAnsi="宋体" w:eastAsia="宋体" w:cs="宋体"/>
                <w:b w:val="0"/>
                <w:color w:val="auto"/>
                <w:sz w:val="24"/>
                <w:szCs w:val="24"/>
                <w:highlight w:val="none"/>
              </w:rPr>
              <w:t>分）：有专门的安全管理人员和制度，且人员配备合理，制度健全，各道工序安全技术措施针对性强，确保工程质量的技术组织措施符合实际且基本满足有关安全技术标准要求。有相应的现场防火、应急救援、社会治安安全措施。对危险性较大的分部分项工程有相应的安全管理措施及应急预案。</w:t>
            </w:r>
          </w:p>
          <w:p w14:paraId="1704569F">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rPr>
              <w:t>差（</w:t>
            </w:r>
            <w:r>
              <w:rPr>
                <w:rStyle w:val="39"/>
                <w:rFonts w:hint="eastAsia" w:ascii="宋体" w:hAnsi="宋体" w:eastAsia="宋体" w:cs="宋体"/>
                <w:b w:val="0"/>
                <w:color w:val="auto"/>
                <w:sz w:val="24"/>
                <w:szCs w:val="24"/>
                <w:highlight w:val="none"/>
                <w:lang w:val="en-US" w:eastAsia="zh-CN"/>
              </w:rPr>
              <w:t>1</w:t>
            </w:r>
            <w:r>
              <w:rPr>
                <w:rStyle w:val="39"/>
                <w:rFonts w:hint="eastAsia" w:ascii="宋体" w:hAnsi="宋体" w:eastAsia="宋体" w:cs="宋体"/>
                <w:b w:val="0"/>
                <w:color w:val="auto"/>
                <w:sz w:val="24"/>
                <w:szCs w:val="24"/>
                <w:highlight w:val="none"/>
              </w:rPr>
              <w:t>分）：有专门的安全管理人员和制度，且人员配备合理，制度不健全，各道工序安全技术措施无针对性，工程质量的技术组织措施符合实际但不满足有关安全技术标准要求。现场防火、应急救援、社会治安安全措施不得当。无危险性较大的分部分项工程有相应的安全管理措施。</w:t>
            </w:r>
          </w:p>
        </w:tc>
      </w:tr>
      <w:tr w14:paraId="789E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88" w:type="dxa"/>
            <w:vMerge w:val="continue"/>
            <w:noWrap w:val="0"/>
            <w:vAlign w:val="center"/>
          </w:tcPr>
          <w:p w14:paraId="1DBBE6D8">
            <w:pPr>
              <w:keepNext w:val="0"/>
              <w:keepLines w:val="0"/>
              <w:pageBreakBefore w:val="0"/>
              <w:kinsoku/>
              <w:wordWrap/>
              <w:overflowPunct/>
              <w:topLinePunct w:val="0"/>
              <w:bidi w:val="0"/>
              <w:adjustRightInd w:val="0"/>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885" w:type="dxa"/>
            <w:vMerge w:val="continue"/>
            <w:noWrap w:val="0"/>
            <w:vAlign w:val="center"/>
          </w:tcPr>
          <w:p w14:paraId="730515D9">
            <w:pPr>
              <w:keepNext w:val="0"/>
              <w:keepLines w:val="0"/>
              <w:pageBreakBefore w:val="0"/>
              <w:kinsoku/>
              <w:wordWrap/>
              <w:overflowPunct/>
              <w:topLinePunct w:val="0"/>
              <w:bidi w:val="0"/>
              <w:adjustRightInd w:val="0"/>
              <w:spacing w:line="400" w:lineRule="exact"/>
              <w:jc w:val="center"/>
              <w:textAlignment w:val="baseline"/>
              <w:rPr>
                <w:rFonts w:hint="eastAsia" w:ascii="宋体" w:hAnsi="宋体" w:eastAsia="宋体" w:cs="宋体"/>
                <w:bCs/>
                <w:color w:val="auto"/>
                <w:kern w:val="0"/>
                <w:sz w:val="24"/>
                <w:szCs w:val="24"/>
                <w:highlight w:val="none"/>
              </w:rPr>
            </w:pPr>
          </w:p>
        </w:tc>
        <w:tc>
          <w:tcPr>
            <w:tcW w:w="1224" w:type="dxa"/>
            <w:noWrap w:val="0"/>
            <w:vAlign w:val="center"/>
          </w:tcPr>
          <w:p w14:paraId="021BB852">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lang w:val="en-US" w:eastAsia="zh-CN"/>
              </w:rPr>
              <w:t>⑦</w:t>
            </w:r>
            <w:r>
              <w:rPr>
                <w:rStyle w:val="39"/>
                <w:rFonts w:hint="eastAsia" w:ascii="宋体" w:hAnsi="宋体" w:eastAsia="宋体" w:cs="宋体"/>
                <w:b w:val="0"/>
                <w:color w:val="auto"/>
                <w:sz w:val="24"/>
                <w:szCs w:val="24"/>
                <w:highlight w:val="none"/>
              </w:rPr>
              <w:t>确保工期的技术组织措（</w:t>
            </w:r>
            <w:r>
              <w:rPr>
                <w:rStyle w:val="39"/>
                <w:rFonts w:hint="eastAsia" w:ascii="宋体" w:hAnsi="宋体" w:eastAsia="宋体" w:cs="宋体"/>
                <w:b w:val="0"/>
                <w:color w:val="auto"/>
                <w:sz w:val="24"/>
                <w:szCs w:val="24"/>
                <w:highlight w:val="none"/>
                <w:lang w:val="en-US" w:eastAsia="zh-CN"/>
              </w:rPr>
              <w:t>满分6分</w:t>
            </w:r>
            <w:r>
              <w:rPr>
                <w:rStyle w:val="39"/>
                <w:rFonts w:hint="eastAsia" w:ascii="宋体" w:hAnsi="宋体" w:eastAsia="宋体" w:cs="宋体"/>
                <w:b w:val="0"/>
                <w:color w:val="auto"/>
                <w:sz w:val="24"/>
                <w:szCs w:val="24"/>
                <w:highlight w:val="none"/>
              </w:rPr>
              <w:t>）</w:t>
            </w:r>
          </w:p>
        </w:tc>
        <w:tc>
          <w:tcPr>
            <w:tcW w:w="7033" w:type="dxa"/>
            <w:noWrap w:val="0"/>
            <w:vAlign w:val="center"/>
          </w:tcPr>
          <w:p w14:paraId="4F86D450">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03BAAA41">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优（</w:t>
            </w:r>
            <w:r>
              <w:rPr>
                <w:rStyle w:val="39"/>
                <w:rFonts w:hint="eastAsia" w:ascii="宋体" w:hAnsi="宋体" w:eastAsia="宋体" w:cs="宋体"/>
                <w:b w:val="0"/>
                <w:color w:val="auto"/>
                <w:sz w:val="24"/>
                <w:szCs w:val="24"/>
                <w:highlight w:val="none"/>
                <w:lang w:val="en-US" w:eastAsia="zh-CN"/>
              </w:rPr>
              <w:t>6</w:t>
            </w:r>
            <w:r>
              <w:rPr>
                <w:rStyle w:val="39"/>
                <w:rFonts w:hint="eastAsia" w:ascii="宋体" w:hAnsi="宋体" w:eastAsia="宋体" w:cs="宋体"/>
                <w:b w:val="0"/>
                <w:color w:val="auto"/>
                <w:sz w:val="24"/>
                <w:szCs w:val="24"/>
                <w:highlight w:val="none"/>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1F76E369">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良（</w:t>
            </w:r>
            <w:r>
              <w:rPr>
                <w:rStyle w:val="39"/>
                <w:rFonts w:hint="eastAsia" w:ascii="宋体" w:hAnsi="宋体" w:eastAsia="宋体" w:cs="宋体"/>
                <w:b w:val="0"/>
                <w:color w:val="auto"/>
                <w:sz w:val="24"/>
                <w:szCs w:val="24"/>
                <w:highlight w:val="none"/>
                <w:lang w:val="en-US" w:eastAsia="zh-CN"/>
              </w:rPr>
              <w:t>4</w:t>
            </w:r>
            <w:r>
              <w:rPr>
                <w:rStyle w:val="39"/>
                <w:rFonts w:hint="eastAsia" w:ascii="宋体" w:hAnsi="宋体" w:eastAsia="宋体" w:cs="宋体"/>
                <w:b w:val="0"/>
                <w:color w:val="auto"/>
                <w:sz w:val="24"/>
                <w:szCs w:val="24"/>
                <w:highlight w:val="none"/>
              </w:rPr>
              <w:t>分）：在施工工艺、施工方法、材料选用、劳动力安排、技术等方面有保证工期的具体措施且措施较合理。有控制工期的施工进度计划。有施工总进度表或施工网络图，各项计划图表编制完善，安排较合理，基本符合本项目施工实际要求。</w:t>
            </w:r>
          </w:p>
          <w:p w14:paraId="572C33FD">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中（</w:t>
            </w:r>
            <w:r>
              <w:rPr>
                <w:rStyle w:val="39"/>
                <w:rFonts w:hint="eastAsia" w:ascii="宋体" w:hAnsi="宋体" w:eastAsia="宋体" w:cs="宋体"/>
                <w:b w:val="0"/>
                <w:color w:val="auto"/>
                <w:sz w:val="24"/>
                <w:szCs w:val="24"/>
                <w:highlight w:val="none"/>
                <w:lang w:val="en-US" w:eastAsia="zh-CN"/>
              </w:rPr>
              <w:t>2</w:t>
            </w:r>
            <w:r>
              <w:rPr>
                <w:rStyle w:val="39"/>
                <w:rFonts w:hint="eastAsia" w:ascii="宋体" w:hAnsi="宋体" w:eastAsia="宋体" w:cs="宋体"/>
                <w:b w:val="0"/>
                <w:color w:val="auto"/>
                <w:sz w:val="24"/>
                <w:szCs w:val="24"/>
                <w:highlight w:val="none"/>
              </w:rPr>
              <w:t>分）在施工工艺、施工方法、材料选用、劳动力安排、技术等方面有保证工期的具体措施，但措施不合理。有控制工期的施工进度计划。有施工总进度表或施工网络图，各项计划图表编制完善，安排不合理。</w:t>
            </w:r>
          </w:p>
          <w:p w14:paraId="1250CD28">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rPr>
              <w:t>差（</w:t>
            </w:r>
            <w:r>
              <w:rPr>
                <w:rStyle w:val="39"/>
                <w:rFonts w:hint="eastAsia" w:ascii="宋体" w:hAnsi="宋体" w:eastAsia="宋体" w:cs="宋体"/>
                <w:b w:val="0"/>
                <w:color w:val="auto"/>
                <w:sz w:val="24"/>
                <w:szCs w:val="24"/>
                <w:highlight w:val="none"/>
                <w:lang w:val="en-US" w:eastAsia="zh-CN"/>
              </w:rPr>
              <w:t>1</w:t>
            </w:r>
            <w:r>
              <w:rPr>
                <w:rStyle w:val="39"/>
                <w:rFonts w:hint="eastAsia" w:ascii="宋体" w:hAnsi="宋体" w:eastAsia="宋体" w:cs="宋体"/>
                <w:b w:val="0"/>
                <w:color w:val="auto"/>
                <w:sz w:val="24"/>
                <w:szCs w:val="24"/>
                <w:highlight w:val="none"/>
              </w:rPr>
              <w:t>分）在施工工艺、施工方法、材料选用、劳动力安排、技术等方面有保证工期的具体措施，但措施不合理。有控制工期的施工进度计划。有施工总进度表或施工网络图，无各项计划图表，安排不合理，不符合项目施工实际要求。</w:t>
            </w:r>
          </w:p>
        </w:tc>
      </w:tr>
      <w:tr w14:paraId="6720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vMerge w:val="continue"/>
            <w:noWrap w:val="0"/>
            <w:vAlign w:val="center"/>
          </w:tcPr>
          <w:p w14:paraId="1949C2BB">
            <w:pPr>
              <w:keepNext w:val="0"/>
              <w:keepLines w:val="0"/>
              <w:pageBreakBefore w:val="0"/>
              <w:kinsoku/>
              <w:wordWrap/>
              <w:overflowPunct/>
              <w:topLinePunct w:val="0"/>
              <w:bidi w:val="0"/>
              <w:adjustRightInd w:val="0"/>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885" w:type="dxa"/>
            <w:vMerge w:val="continue"/>
            <w:noWrap w:val="0"/>
            <w:vAlign w:val="center"/>
          </w:tcPr>
          <w:p w14:paraId="205DAF18">
            <w:pPr>
              <w:keepNext w:val="0"/>
              <w:keepLines w:val="0"/>
              <w:pageBreakBefore w:val="0"/>
              <w:kinsoku/>
              <w:wordWrap/>
              <w:overflowPunct/>
              <w:topLinePunct w:val="0"/>
              <w:bidi w:val="0"/>
              <w:adjustRightInd w:val="0"/>
              <w:spacing w:line="400" w:lineRule="exact"/>
              <w:jc w:val="center"/>
              <w:textAlignment w:val="baseline"/>
              <w:rPr>
                <w:rFonts w:hint="eastAsia" w:ascii="宋体" w:hAnsi="宋体" w:eastAsia="宋体" w:cs="宋体"/>
                <w:bCs/>
                <w:color w:val="auto"/>
                <w:kern w:val="0"/>
                <w:sz w:val="24"/>
                <w:szCs w:val="24"/>
                <w:highlight w:val="none"/>
              </w:rPr>
            </w:pPr>
          </w:p>
        </w:tc>
        <w:tc>
          <w:tcPr>
            <w:tcW w:w="1224" w:type="dxa"/>
            <w:noWrap w:val="0"/>
            <w:vAlign w:val="center"/>
          </w:tcPr>
          <w:p w14:paraId="2D8DB128">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lang w:val="en-US" w:eastAsia="zh-CN"/>
              </w:rPr>
              <w:t>⑧</w:t>
            </w:r>
            <w:r>
              <w:rPr>
                <w:rStyle w:val="39"/>
                <w:rFonts w:hint="eastAsia" w:ascii="宋体" w:hAnsi="宋体" w:eastAsia="宋体" w:cs="宋体"/>
                <w:b w:val="0"/>
                <w:color w:val="auto"/>
                <w:sz w:val="24"/>
                <w:szCs w:val="24"/>
                <w:highlight w:val="none"/>
              </w:rPr>
              <w:t>确保文明施工的技术组织措施（</w:t>
            </w:r>
            <w:r>
              <w:rPr>
                <w:rStyle w:val="39"/>
                <w:rFonts w:hint="eastAsia" w:ascii="宋体" w:hAnsi="宋体" w:eastAsia="宋体" w:cs="宋体"/>
                <w:b w:val="0"/>
                <w:color w:val="auto"/>
                <w:sz w:val="24"/>
                <w:szCs w:val="24"/>
                <w:highlight w:val="none"/>
                <w:lang w:val="en-US" w:eastAsia="zh-CN"/>
              </w:rPr>
              <w:t>满分6分</w:t>
            </w:r>
            <w:r>
              <w:rPr>
                <w:rStyle w:val="39"/>
                <w:rFonts w:hint="eastAsia" w:ascii="宋体" w:hAnsi="宋体" w:eastAsia="宋体" w:cs="宋体"/>
                <w:b w:val="0"/>
                <w:color w:val="auto"/>
                <w:sz w:val="24"/>
                <w:szCs w:val="24"/>
                <w:highlight w:val="none"/>
              </w:rPr>
              <w:t>）</w:t>
            </w:r>
          </w:p>
        </w:tc>
        <w:tc>
          <w:tcPr>
            <w:tcW w:w="7033" w:type="dxa"/>
            <w:noWrap w:val="0"/>
            <w:vAlign w:val="center"/>
          </w:tcPr>
          <w:p w14:paraId="46FC8E0A">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71B63AA2">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优（</w:t>
            </w:r>
            <w:r>
              <w:rPr>
                <w:rStyle w:val="39"/>
                <w:rFonts w:hint="eastAsia" w:ascii="宋体" w:hAnsi="宋体" w:eastAsia="宋体" w:cs="宋体"/>
                <w:b w:val="0"/>
                <w:color w:val="auto"/>
                <w:sz w:val="24"/>
                <w:szCs w:val="24"/>
                <w:highlight w:val="none"/>
                <w:lang w:val="en-US" w:eastAsia="zh-CN"/>
              </w:rPr>
              <w:t>6</w:t>
            </w:r>
            <w:r>
              <w:rPr>
                <w:rStyle w:val="39"/>
                <w:rFonts w:hint="eastAsia" w:ascii="宋体" w:hAnsi="宋体" w:eastAsia="宋体" w:cs="宋体"/>
                <w:b w:val="0"/>
                <w:color w:val="auto"/>
                <w:sz w:val="24"/>
                <w:szCs w:val="24"/>
                <w:highlight w:val="none"/>
              </w:rPr>
              <w:t>分）：针对本工程项目特点，有现场文明施工、环境保护措施，施工防扰民措施，文明施工检查措施，且措施内容达到《建筑施工安全生产检查标准》（JGJ59-2011）合格标准并符合《广西壮族自治区建筑工程文明施工导则》要求。各项措施周全、具体、有效。有具体实现现场文明施工目标的承诺。</w:t>
            </w:r>
          </w:p>
          <w:p w14:paraId="12326E18">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良（</w:t>
            </w:r>
            <w:r>
              <w:rPr>
                <w:rStyle w:val="39"/>
                <w:rFonts w:hint="eastAsia" w:ascii="宋体" w:hAnsi="宋体" w:eastAsia="宋体" w:cs="宋体"/>
                <w:b w:val="0"/>
                <w:color w:val="auto"/>
                <w:sz w:val="24"/>
                <w:szCs w:val="24"/>
                <w:highlight w:val="none"/>
                <w:lang w:val="en-US" w:eastAsia="zh-CN"/>
              </w:rPr>
              <w:t>4</w:t>
            </w:r>
            <w:r>
              <w:rPr>
                <w:rStyle w:val="39"/>
                <w:rFonts w:hint="eastAsia" w:ascii="宋体" w:hAnsi="宋体" w:eastAsia="宋体" w:cs="宋体"/>
                <w:b w:val="0"/>
                <w:color w:val="auto"/>
                <w:sz w:val="24"/>
                <w:szCs w:val="24"/>
                <w:highlight w:val="none"/>
              </w:rPr>
              <w:t>分）：针对本工程项目特点，有现场文明施工、环境保护措施，施工防扰民措施，文明施工检查措施，且措施内容达到《建筑施工安全生产检查标准》（JGJ59-2011）合格标准并符合《广西壮族自治区建筑工程文明施工导则》要求。各项措施较周全、具体、有效。有具体实现现场文明施工目标的承诺。</w:t>
            </w:r>
          </w:p>
          <w:p w14:paraId="50885728">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中（</w:t>
            </w:r>
            <w:r>
              <w:rPr>
                <w:rStyle w:val="39"/>
                <w:rFonts w:hint="eastAsia" w:ascii="宋体" w:hAnsi="宋体" w:eastAsia="宋体" w:cs="宋体"/>
                <w:b w:val="0"/>
                <w:color w:val="auto"/>
                <w:sz w:val="24"/>
                <w:szCs w:val="24"/>
                <w:highlight w:val="none"/>
                <w:lang w:val="en-US" w:eastAsia="zh-CN"/>
              </w:rPr>
              <w:t>2</w:t>
            </w:r>
            <w:r>
              <w:rPr>
                <w:rStyle w:val="39"/>
                <w:rFonts w:hint="eastAsia" w:ascii="宋体" w:hAnsi="宋体" w:eastAsia="宋体" w:cs="宋体"/>
                <w:b w:val="0"/>
                <w:color w:val="auto"/>
                <w:sz w:val="24"/>
                <w:szCs w:val="24"/>
                <w:highlight w:val="none"/>
              </w:rPr>
              <w:t>分）：针对本工程项目特点，有现场文明施工、环境保护措施，且措施内容达到《建筑施工安全生产检查标准》（JGJ59-2011）合格标准并符合《广西壮族自治区建筑工程文明施工导则》要求。各项措施基本满足要求。</w:t>
            </w:r>
          </w:p>
          <w:p w14:paraId="6AC5F19C">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kern w:val="0"/>
                <w:sz w:val="24"/>
                <w:szCs w:val="24"/>
                <w:highlight w:val="none"/>
              </w:rPr>
            </w:pPr>
            <w:r>
              <w:rPr>
                <w:rStyle w:val="39"/>
                <w:rFonts w:hint="eastAsia" w:ascii="宋体" w:hAnsi="宋体" w:eastAsia="宋体" w:cs="宋体"/>
                <w:b w:val="0"/>
                <w:color w:val="auto"/>
                <w:sz w:val="24"/>
                <w:szCs w:val="24"/>
                <w:highlight w:val="none"/>
              </w:rPr>
              <w:t>差（</w:t>
            </w:r>
            <w:r>
              <w:rPr>
                <w:rStyle w:val="39"/>
                <w:rFonts w:hint="eastAsia" w:ascii="宋体" w:hAnsi="宋体" w:eastAsia="宋体" w:cs="宋体"/>
                <w:b w:val="0"/>
                <w:color w:val="auto"/>
                <w:sz w:val="24"/>
                <w:szCs w:val="24"/>
                <w:highlight w:val="none"/>
                <w:lang w:val="en-US" w:eastAsia="zh-CN"/>
              </w:rPr>
              <w:t>1</w:t>
            </w:r>
            <w:r>
              <w:rPr>
                <w:rStyle w:val="39"/>
                <w:rFonts w:hint="eastAsia" w:ascii="宋体" w:hAnsi="宋体" w:eastAsia="宋体" w:cs="宋体"/>
                <w:b w:val="0"/>
                <w:color w:val="auto"/>
                <w:sz w:val="24"/>
                <w:szCs w:val="24"/>
                <w:highlight w:val="none"/>
              </w:rPr>
              <w:t>分）：针对本工程项目特点，有现场文明施工、环境保护措施，且措施内容达到《建筑施工安全生产检查标准》（JGJ59-2011）合格标准并符合《广西壮族自治区建筑工程文明施工导则》要求。各项措施不合理。</w:t>
            </w:r>
          </w:p>
        </w:tc>
      </w:tr>
      <w:tr w14:paraId="30DA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vMerge w:val="continue"/>
            <w:noWrap w:val="0"/>
            <w:vAlign w:val="center"/>
          </w:tcPr>
          <w:p w14:paraId="7C2093A8">
            <w:pPr>
              <w:keepNext w:val="0"/>
              <w:keepLines w:val="0"/>
              <w:pageBreakBefore w:val="0"/>
              <w:kinsoku/>
              <w:wordWrap/>
              <w:overflowPunct/>
              <w:topLinePunct w:val="0"/>
              <w:bidi w:val="0"/>
              <w:adjustRightInd w:val="0"/>
              <w:spacing w:line="400" w:lineRule="exact"/>
              <w:ind w:left="-105" w:leftChars="-50" w:right="-105" w:rightChars="-50"/>
              <w:jc w:val="center"/>
              <w:textAlignment w:val="baseline"/>
              <w:rPr>
                <w:rFonts w:hint="eastAsia" w:ascii="宋体" w:hAnsi="宋体" w:eastAsia="宋体" w:cs="宋体"/>
                <w:bCs/>
                <w:color w:val="auto"/>
                <w:kern w:val="0"/>
                <w:sz w:val="24"/>
                <w:szCs w:val="24"/>
                <w:highlight w:val="none"/>
              </w:rPr>
            </w:pPr>
          </w:p>
        </w:tc>
        <w:tc>
          <w:tcPr>
            <w:tcW w:w="885" w:type="dxa"/>
            <w:vMerge w:val="continue"/>
            <w:noWrap w:val="0"/>
            <w:vAlign w:val="center"/>
          </w:tcPr>
          <w:p w14:paraId="653C72F7">
            <w:pPr>
              <w:keepNext w:val="0"/>
              <w:keepLines w:val="0"/>
              <w:pageBreakBefore w:val="0"/>
              <w:kinsoku/>
              <w:wordWrap/>
              <w:overflowPunct/>
              <w:topLinePunct w:val="0"/>
              <w:bidi w:val="0"/>
              <w:adjustRightInd w:val="0"/>
              <w:spacing w:line="400" w:lineRule="exact"/>
              <w:jc w:val="center"/>
              <w:textAlignment w:val="baseline"/>
              <w:rPr>
                <w:rFonts w:hint="eastAsia" w:ascii="宋体" w:hAnsi="宋体" w:eastAsia="宋体" w:cs="宋体"/>
                <w:bCs/>
                <w:color w:val="auto"/>
                <w:kern w:val="0"/>
                <w:sz w:val="24"/>
                <w:szCs w:val="24"/>
                <w:highlight w:val="none"/>
              </w:rPr>
            </w:pPr>
          </w:p>
        </w:tc>
        <w:tc>
          <w:tcPr>
            <w:tcW w:w="1224" w:type="dxa"/>
            <w:noWrap w:val="0"/>
            <w:vAlign w:val="center"/>
          </w:tcPr>
          <w:p w14:paraId="359862A7">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sz w:val="24"/>
                <w:szCs w:val="24"/>
                <w:highlight w:val="none"/>
              </w:rPr>
            </w:pPr>
            <w:r>
              <w:rPr>
                <w:rStyle w:val="39"/>
                <w:rFonts w:hint="eastAsia" w:ascii="宋体" w:hAnsi="宋体" w:eastAsia="宋体" w:cs="宋体"/>
                <w:b w:val="0"/>
                <w:color w:val="auto"/>
                <w:sz w:val="24"/>
                <w:szCs w:val="24"/>
                <w:highlight w:val="none"/>
                <w:lang w:val="en-US" w:eastAsia="zh-CN"/>
              </w:rPr>
              <w:t>⑨</w:t>
            </w:r>
            <w:r>
              <w:rPr>
                <w:rStyle w:val="39"/>
                <w:rFonts w:hint="eastAsia" w:ascii="宋体" w:hAnsi="宋体" w:eastAsia="宋体" w:cs="宋体"/>
                <w:b w:val="0"/>
                <w:color w:val="auto"/>
                <w:sz w:val="24"/>
                <w:szCs w:val="24"/>
                <w:highlight w:val="none"/>
              </w:rPr>
              <w:t>工程施工的重点和难点及保证措（</w:t>
            </w:r>
            <w:r>
              <w:rPr>
                <w:rStyle w:val="39"/>
                <w:rFonts w:hint="eastAsia" w:ascii="宋体" w:hAnsi="宋体" w:eastAsia="宋体" w:cs="宋体"/>
                <w:b w:val="0"/>
                <w:color w:val="auto"/>
                <w:sz w:val="24"/>
                <w:szCs w:val="24"/>
                <w:highlight w:val="none"/>
                <w:lang w:val="en-US" w:eastAsia="zh-CN"/>
              </w:rPr>
              <w:t>满分6分</w:t>
            </w:r>
            <w:r>
              <w:rPr>
                <w:rStyle w:val="39"/>
                <w:rFonts w:hint="eastAsia" w:ascii="宋体" w:hAnsi="宋体" w:eastAsia="宋体" w:cs="宋体"/>
                <w:b w:val="0"/>
                <w:color w:val="auto"/>
                <w:sz w:val="24"/>
                <w:szCs w:val="24"/>
                <w:highlight w:val="none"/>
              </w:rPr>
              <w:t>）</w:t>
            </w:r>
          </w:p>
        </w:tc>
        <w:tc>
          <w:tcPr>
            <w:tcW w:w="7033" w:type="dxa"/>
            <w:noWrap w:val="0"/>
            <w:vAlign w:val="center"/>
          </w:tcPr>
          <w:p w14:paraId="432CF35A">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针对本工程的特点，阐述本工程的重点和难点，解决重点和难点问题的方法是否合理。</w:t>
            </w:r>
          </w:p>
          <w:p w14:paraId="01CC2663">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优（</w:t>
            </w:r>
            <w:r>
              <w:rPr>
                <w:rStyle w:val="39"/>
                <w:rFonts w:hint="eastAsia" w:ascii="宋体" w:hAnsi="宋体" w:eastAsia="宋体" w:cs="宋体"/>
                <w:b w:val="0"/>
                <w:color w:val="auto"/>
                <w:sz w:val="24"/>
                <w:szCs w:val="24"/>
                <w:highlight w:val="none"/>
                <w:lang w:val="en-US" w:eastAsia="zh-CN"/>
              </w:rPr>
              <w:t>6</w:t>
            </w:r>
            <w:r>
              <w:rPr>
                <w:rStyle w:val="39"/>
                <w:rFonts w:hint="eastAsia" w:ascii="宋体" w:hAnsi="宋体" w:eastAsia="宋体" w:cs="宋体"/>
                <w:b w:val="0"/>
                <w:color w:val="auto"/>
                <w:sz w:val="24"/>
                <w:szCs w:val="24"/>
                <w:highlight w:val="none"/>
              </w:rPr>
              <w:t>分）：针对本工程的特点，对本工程的重点和难点相应阐述，提出解决重点和难点问题的方法科学合理。</w:t>
            </w:r>
          </w:p>
          <w:p w14:paraId="08F5EF55">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良（</w:t>
            </w:r>
            <w:r>
              <w:rPr>
                <w:rStyle w:val="39"/>
                <w:rFonts w:hint="eastAsia" w:ascii="宋体" w:hAnsi="宋体" w:eastAsia="宋体" w:cs="宋体"/>
                <w:b w:val="0"/>
                <w:color w:val="auto"/>
                <w:sz w:val="24"/>
                <w:szCs w:val="24"/>
                <w:highlight w:val="none"/>
                <w:lang w:val="en-US" w:eastAsia="zh-CN"/>
              </w:rPr>
              <w:t>4</w:t>
            </w:r>
            <w:r>
              <w:rPr>
                <w:rStyle w:val="39"/>
                <w:rFonts w:hint="eastAsia" w:ascii="宋体" w:hAnsi="宋体" w:eastAsia="宋体" w:cs="宋体"/>
                <w:b w:val="0"/>
                <w:color w:val="auto"/>
                <w:sz w:val="24"/>
                <w:szCs w:val="24"/>
                <w:highlight w:val="none"/>
              </w:rPr>
              <w:t>分）：针对本工程的特点，阐述本工程的重点和难点，解决重点和难点问题的方法较合理。</w:t>
            </w:r>
          </w:p>
          <w:p w14:paraId="5A75E5EB">
            <w:pPr>
              <w:pStyle w:val="104"/>
              <w:keepNext w:val="0"/>
              <w:keepLines w:val="0"/>
              <w:pageBreakBefore w:val="0"/>
              <w:kinsoku/>
              <w:wordWrap/>
              <w:overflowPunct/>
              <w:topLinePunct w:val="0"/>
              <w:bidi w:val="0"/>
              <w:spacing w:line="400" w:lineRule="exact"/>
              <w:jc w:val="left"/>
              <w:rPr>
                <w:rStyle w:val="39"/>
                <w:rFonts w:hint="eastAsia" w:ascii="宋体" w:hAnsi="宋体" w:eastAsia="宋体" w:cs="宋体"/>
                <w:b w:val="0"/>
                <w:color w:val="auto"/>
                <w:sz w:val="24"/>
                <w:szCs w:val="24"/>
                <w:highlight w:val="none"/>
              </w:rPr>
            </w:pPr>
            <w:r>
              <w:rPr>
                <w:rStyle w:val="39"/>
                <w:rFonts w:hint="eastAsia" w:ascii="宋体" w:hAnsi="宋体" w:eastAsia="宋体" w:cs="宋体"/>
                <w:b w:val="0"/>
                <w:color w:val="auto"/>
                <w:sz w:val="24"/>
                <w:szCs w:val="24"/>
                <w:highlight w:val="none"/>
              </w:rPr>
              <w:t>中（</w:t>
            </w:r>
            <w:r>
              <w:rPr>
                <w:rStyle w:val="39"/>
                <w:rFonts w:hint="eastAsia" w:ascii="宋体" w:hAnsi="宋体" w:eastAsia="宋体" w:cs="宋体"/>
                <w:b w:val="0"/>
                <w:color w:val="auto"/>
                <w:sz w:val="24"/>
                <w:szCs w:val="24"/>
                <w:highlight w:val="none"/>
                <w:lang w:val="en-US" w:eastAsia="zh-CN"/>
              </w:rPr>
              <w:t>2</w:t>
            </w:r>
            <w:r>
              <w:rPr>
                <w:rStyle w:val="39"/>
                <w:rFonts w:hint="eastAsia" w:ascii="宋体" w:hAnsi="宋体" w:eastAsia="宋体" w:cs="宋体"/>
                <w:b w:val="0"/>
                <w:color w:val="auto"/>
                <w:sz w:val="24"/>
                <w:szCs w:val="24"/>
                <w:highlight w:val="none"/>
              </w:rPr>
              <w:t>分）：针对本工程的特点，阐述本工程的重点和难点，解决重点和难点问题的方法基本合理。</w:t>
            </w:r>
          </w:p>
          <w:p w14:paraId="67DE27D8">
            <w:pPr>
              <w:pStyle w:val="104"/>
              <w:keepNext w:val="0"/>
              <w:keepLines w:val="0"/>
              <w:pageBreakBefore w:val="0"/>
              <w:kinsoku/>
              <w:wordWrap/>
              <w:overflowPunct/>
              <w:topLinePunct w:val="0"/>
              <w:bidi w:val="0"/>
              <w:spacing w:line="400" w:lineRule="exact"/>
              <w:jc w:val="left"/>
              <w:rPr>
                <w:rFonts w:hint="eastAsia" w:ascii="宋体" w:hAnsi="宋体" w:eastAsia="宋体" w:cs="宋体"/>
                <w:color w:val="auto"/>
                <w:kern w:val="0"/>
                <w:sz w:val="24"/>
                <w:szCs w:val="24"/>
                <w:highlight w:val="none"/>
                <w:lang w:val="en-US" w:eastAsia="zh-CN"/>
              </w:rPr>
            </w:pPr>
            <w:r>
              <w:rPr>
                <w:rStyle w:val="39"/>
                <w:rFonts w:hint="eastAsia" w:ascii="宋体" w:hAnsi="宋体" w:eastAsia="宋体" w:cs="宋体"/>
                <w:b w:val="0"/>
                <w:color w:val="auto"/>
                <w:sz w:val="24"/>
                <w:szCs w:val="24"/>
                <w:highlight w:val="none"/>
              </w:rPr>
              <w:t>差（</w:t>
            </w:r>
            <w:r>
              <w:rPr>
                <w:rStyle w:val="39"/>
                <w:rFonts w:hint="eastAsia" w:ascii="宋体" w:hAnsi="宋体" w:eastAsia="宋体" w:cs="宋体"/>
                <w:b w:val="0"/>
                <w:color w:val="auto"/>
                <w:sz w:val="24"/>
                <w:szCs w:val="24"/>
                <w:highlight w:val="none"/>
                <w:lang w:val="en-US" w:eastAsia="zh-CN"/>
              </w:rPr>
              <w:t>1</w:t>
            </w:r>
            <w:r>
              <w:rPr>
                <w:rStyle w:val="39"/>
                <w:rFonts w:hint="eastAsia" w:ascii="宋体" w:hAnsi="宋体" w:eastAsia="宋体" w:cs="宋体"/>
                <w:b w:val="0"/>
                <w:color w:val="auto"/>
                <w:sz w:val="24"/>
                <w:szCs w:val="24"/>
                <w:highlight w:val="none"/>
              </w:rPr>
              <w:t>分）：针对本工程的特点，阐述本工程的重点和难点，无重点和难点问题的方法。</w:t>
            </w:r>
          </w:p>
        </w:tc>
      </w:tr>
      <w:tr w14:paraId="47D1F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noWrap w:val="0"/>
            <w:vAlign w:val="center"/>
          </w:tcPr>
          <w:p w14:paraId="510B6C93">
            <w:pPr>
              <w:keepNext w:val="0"/>
              <w:keepLines w:val="0"/>
              <w:pageBreakBefore w:val="0"/>
              <w:widowControl/>
              <w:kinsoku/>
              <w:wordWrap/>
              <w:overflowPunct/>
              <w:topLinePunct w:val="0"/>
              <w:bidi w:val="0"/>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p>
        </w:tc>
        <w:tc>
          <w:tcPr>
            <w:tcW w:w="2109" w:type="dxa"/>
            <w:gridSpan w:val="2"/>
            <w:noWrap w:val="0"/>
            <w:vAlign w:val="center"/>
          </w:tcPr>
          <w:p w14:paraId="533F2F03">
            <w:pPr>
              <w:keepNext w:val="0"/>
              <w:keepLines w:val="0"/>
              <w:pageBreakBefore w:val="0"/>
              <w:widowControl/>
              <w:kinsoku/>
              <w:wordWrap/>
              <w:overflowPunct/>
              <w:topLinePunct w:val="0"/>
              <w:bidi w:val="0"/>
              <w:spacing w:line="40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商务分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满分15分</w:t>
            </w:r>
            <w:r>
              <w:rPr>
                <w:rFonts w:hint="eastAsia" w:ascii="宋体" w:hAnsi="宋体" w:eastAsia="宋体" w:cs="宋体"/>
                <w:b/>
                <w:bCs/>
                <w:color w:val="auto"/>
                <w:sz w:val="24"/>
                <w:szCs w:val="24"/>
                <w:highlight w:val="none"/>
                <w:lang w:eastAsia="zh-CN"/>
              </w:rPr>
              <w:t>）</w:t>
            </w:r>
          </w:p>
        </w:tc>
        <w:tc>
          <w:tcPr>
            <w:tcW w:w="7033" w:type="dxa"/>
            <w:noWrap w:val="0"/>
            <w:vAlign w:val="center"/>
          </w:tcPr>
          <w:p w14:paraId="2B430962">
            <w:pPr>
              <w:keepNext w:val="0"/>
              <w:keepLines w:val="0"/>
              <w:pageBreakBefore w:val="0"/>
              <w:widowControl/>
              <w:kinsoku/>
              <w:wordWrap/>
              <w:overflowPunct/>
              <w:topLinePunct w:val="0"/>
              <w:bidi w:val="0"/>
              <w:spacing w:line="400" w:lineRule="exact"/>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评审标准</w:t>
            </w:r>
          </w:p>
        </w:tc>
      </w:tr>
      <w:tr w14:paraId="0539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8" w:type="dxa"/>
            <w:noWrap w:val="0"/>
            <w:vAlign w:val="center"/>
          </w:tcPr>
          <w:p w14:paraId="7AFF7211">
            <w:pPr>
              <w:keepNext w:val="0"/>
              <w:keepLines w:val="0"/>
              <w:pageBreakBefore w:val="0"/>
              <w:widowControl/>
              <w:kinsoku/>
              <w:wordWrap/>
              <w:overflowPunct/>
              <w:topLinePunct w:val="0"/>
              <w:bidi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w:t>
            </w:r>
          </w:p>
        </w:tc>
        <w:tc>
          <w:tcPr>
            <w:tcW w:w="2109" w:type="dxa"/>
            <w:gridSpan w:val="2"/>
            <w:noWrap w:val="0"/>
            <w:vAlign w:val="center"/>
          </w:tcPr>
          <w:p w14:paraId="74B49FD9">
            <w:pPr>
              <w:keepNext w:val="0"/>
              <w:keepLines w:val="0"/>
              <w:pageBreakBefore w:val="0"/>
              <w:kinsoku/>
              <w:wordWrap/>
              <w:overflowPunct/>
              <w:topLinePunct w:val="0"/>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业绩分（</w:t>
            </w:r>
            <w:r>
              <w:rPr>
                <w:rFonts w:hint="eastAsia" w:ascii="宋体" w:hAnsi="宋体" w:eastAsia="宋体" w:cs="宋体"/>
                <w:color w:val="auto"/>
                <w:sz w:val="24"/>
                <w:szCs w:val="24"/>
                <w:highlight w:val="none"/>
                <w:lang w:val="en-US" w:eastAsia="zh-CN"/>
              </w:rPr>
              <w:t>满分15</w:t>
            </w:r>
            <w:r>
              <w:rPr>
                <w:rFonts w:hint="eastAsia" w:ascii="宋体" w:hAnsi="宋体" w:eastAsia="宋体" w:cs="宋体"/>
                <w:color w:val="auto"/>
                <w:sz w:val="24"/>
                <w:szCs w:val="24"/>
                <w:highlight w:val="none"/>
              </w:rPr>
              <w:t>分）</w:t>
            </w:r>
          </w:p>
        </w:tc>
        <w:tc>
          <w:tcPr>
            <w:tcW w:w="7033" w:type="dxa"/>
            <w:noWrap w:val="0"/>
            <w:vAlign w:val="center"/>
          </w:tcPr>
          <w:p w14:paraId="4C05F68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baseline"/>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供应商自2022年1月1日至响应文件提交截止时间止完成过的建筑工程项目业绩的，每有一个得3分；本项满分15分。</w:t>
            </w:r>
          </w:p>
          <w:p w14:paraId="4403B59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400" w:lineRule="exact"/>
              <w:jc w:val="both"/>
              <w:textAlignment w:val="baseline"/>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lang w:val="en-US" w:eastAsia="zh-CN"/>
              </w:rPr>
              <w:t>注：项目业绩须提供中标(成交)通知书或合同等证明材料，日期以中标(成交)通知书或合同签订时间为准，复印件加盖供应商公章或电子公章，否则不得分。</w:t>
            </w:r>
          </w:p>
        </w:tc>
      </w:tr>
      <w:tr w14:paraId="5819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30" w:type="dxa"/>
            <w:gridSpan w:val="4"/>
            <w:noWrap w:val="0"/>
            <w:vAlign w:val="top"/>
          </w:tcPr>
          <w:p w14:paraId="71362513">
            <w:pPr>
              <w:pStyle w:val="22"/>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bCs/>
                <w:color w:val="auto"/>
                <w:kern w:val="2"/>
                <w:sz w:val="24"/>
                <w:szCs w:val="24"/>
                <w:highlight w:val="none"/>
                <w:lang w:val="en-US" w:eastAsia="zh-CN"/>
              </w:rPr>
              <w:t>总得分＝</w:t>
            </w:r>
            <w:r>
              <w:rPr>
                <w:rFonts w:hint="eastAsia" w:ascii="宋体" w:hAnsi="宋体" w:eastAsia="宋体" w:cs="宋体"/>
                <w:b/>
                <w:bCs w:val="0"/>
                <w:color w:val="auto"/>
                <w:kern w:val="2"/>
                <w:sz w:val="24"/>
                <w:szCs w:val="24"/>
                <w:highlight w:val="none"/>
                <w:lang w:val="en-US" w:eastAsia="zh-CN"/>
              </w:rPr>
              <w:t>1＋2＋3</w:t>
            </w:r>
          </w:p>
        </w:tc>
      </w:tr>
    </w:tbl>
    <w:p w14:paraId="3EEEABC6">
      <w:pPr>
        <w:keepNext w:val="0"/>
        <w:keepLines w:val="0"/>
        <w:pageBreakBefore w:val="0"/>
        <w:kinsoku/>
        <w:wordWrap/>
        <w:overflowPunct/>
        <w:topLinePunct w:val="0"/>
        <w:bidi w:val="0"/>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三、推荐成交候选供应商原则</w:t>
      </w:r>
    </w:p>
    <w:p w14:paraId="7BB6D0CD">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1932B6C8">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p w14:paraId="23FB67C4">
      <w:pPr>
        <w:pStyle w:val="22"/>
        <w:keepNext w:val="0"/>
        <w:keepLines w:val="0"/>
        <w:pageBreakBefore w:val="0"/>
        <w:kinsoku/>
        <w:wordWrap/>
        <w:overflowPunct/>
        <w:topLinePunct w:val="0"/>
        <w:bidi w:val="0"/>
        <w:adjustRightInd w:val="0"/>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四、成交标准：</w:t>
      </w:r>
    </w:p>
    <w:p w14:paraId="3B9FE3B0">
      <w:pPr>
        <w:keepNext w:val="0"/>
        <w:keepLines w:val="0"/>
        <w:pageBreakBefore w:val="0"/>
        <w:kinsoku/>
        <w:wordWrap/>
        <w:overflowPunct/>
        <w:topLinePunct w:val="0"/>
        <w:bidi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根据《财政部关于政府采购竞争性磋商采购方式管理暂行办法有关问题的补充通知》财库〔2015〕124号文件的规定，采购过程中符合要求的供应商只有2家的，竞争性磋商采购活动可以继续进行。</w:t>
      </w:r>
    </w:p>
    <w:p w14:paraId="34AEB914">
      <w:pPr>
        <w:pStyle w:val="77"/>
        <w:keepNext w:val="0"/>
        <w:keepLines w:val="0"/>
        <w:pageBreakBefore w:val="0"/>
        <w:widowControl/>
        <w:kinsoku/>
        <w:wordWrap/>
        <w:overflowPunct/>
        <w:topLinePunct w:val="0"/>
        <w:bidi w:val="0"/>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p>
    <w:sectPr>
      <w:footerReference r:id="rId7" w:type="default"/>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华文楷体">
    <w:panose1 w:val="02010600040101010101"/>
    <w:charset w:val="86"/>
    <w:family w:val="auto"/>
    <w:pitch w:val="default"/>
    <w:sig w:usb0="A00002BF" w:usb1="78CF7CFB" w:usb2="00000016" w:usb3="00000000" w:csb0="6006009F" w:csb1="DFD7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宋黑简体">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C81E1">
    <w:pPr>
      <w:pStyle w:val="26"/>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98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p w14:paraId="7EFFA307">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9B60E">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7D6DB8">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7D6DB8">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FF6C2">
    <w:pPr>
      <w:pStyle w:val="2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73011">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873011">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AABB0">
    <w:pPr>
      <w:pStyle w:val="27"/>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8CD34">
    <w:pPr>
      <w:pStyle w:val="27"/>
      <w:jc w:val="right"/>
    </w:pPr>
    <w:r>
      <w:rPr>
        <w:rFonts w:hint="eastAsia"/>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1">
    <w:nsid w:val="4D844C20"/>
    <w:multiLevelType w:val="singleLevel"/>
    <w:tmpl w:val="4D844C20"/>
    <w:lvl w:ilvl="0" w:tentative="0">
      <w:start w:val="10"/>
      <w:numFmt w:val="chineseCounting"/>
      <w:suff w:val="nothing"/>
      <w:lvlText w:val="%1、"/>
      <w:lvlJc w:val="left"/>
      <w:rPr>
        <w:rFonts w:hint="eastAsia"/>
      </w:rPr>
    </w:lvl>
  </w:abstractNum>
  <w:abstractNum w:abstractNumId="2">
    <w:nsid w:val="5498E193"/>
    <w:multiLevelType w:val="singleLevel"/>
    <w:tmpl w:val="5498E193"/>
    <w:lvl w:ilvl="0" w:tentative="0">
      <w:start w:val="11"/>
      <w:numFmt w:val="decimal"/>
      <w:suff w:val="space"/>
      <w:lvlText w:val="%1."/>
      <w:lvlJc w:val="left"/>
    </w:lvl>
  </w:abstractNum>
  <w:abstractNum w:abstractNumId="3">
    <w:nsid w:val="5DF9E985"/>
    <w:multiLevelType w:val="singleLevel"/>
    <w:tmpl w:val="5DF9E985"/>
    <w:lvl w:ilvl="0" w:tentative="0">
      <w:start w:val="1"/>
      <w:numFmt w:val="chineseCounting"/>
      <w:suff w:val="nothing"/>
      <w:lvlText w:val="%1、"/>
      <w:lvlJc w:val="left"/>
      <w:rPr>
        <w:rFonts w:hint="eastAsia"/>
      </w:rPr>
    </w:lvl>
  </w:abstractNum>
  <w:abstractNum w:abstractNumId="4">
    <w:nsid w:val="7D335EF9"/>
    <w:multiLevelType w:val="singleLevel"/>
    <w:tmpl w:val="7D335EF9"/>
    <w:lvl w:ilvl="0" w:tentative="0">
      <w:start w:val="1"/>
      <w:numFmt w:val="decimal"/>
      <w:suff w:val="space"/>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50"/>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BBD"/>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4F7"/>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1"/>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A7BBA"/>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303"/>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6E83"/>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37FCB"/>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1513954"/>
    <w:rsid w:val="01A7240F"/>
    <w:rsid w:val="01B076BF"/>
    <w:rsid w:val="02BB2E31"/>
    <w:rsid w:val="02C67B7D"/>
    <w:rsid w:val="03FC1C3B"/>
    <w:rsid w:val="04110AF5"/>
    <w:rsid w:val="04DF5F2E"/>
    <w:rsid w:val="04F749ED"/>
    <w:rsid w:val="05720B50"/>
    <w:rsid w:val="05CA3DCA"/>
    <w:rsid w:val="070103DE"/>
    <w:rsid w:val="07D77390"/>
    <w:rsid w:val="07DF0806"/>
    <w:rsid w:val="082A3964"/>
    <w:rsid w:val="08345FF5"/>
    <w:rsid w:val="083A51B0"/>
    <w:rsid w:val="08A77585"/>
    <w:rsid w:val="09265ED9"/>
    <w:rsid w:val="09806034"/>
    <w:rsid w:val="09A1314D"/>
    <w:rsid w:val="09DD488E"/>
    <w:rsid w:val="0A14066F"/>
    <w:rsid w:val="0A3A3F77"/>
    <w:rsid w:val="0A560D2F"/>
    <w:rsid w:val="0A571E72"/>
    <w:rsid w:val="0B303CFC"/>
    <w:rsid w:val="0B6C7DF0"/>
    <w:rsid w:val="0B8415DD"/>
    <w:rsid w:val="0B875353"/>
    <w:rsid w:val="0BB7042D"/>
    <w:rsid w:val="0C7C6A9B"/>
    <w:rsid w:val="0CED2938"/>
    <w:rsid w:val="0CFA7F32"/>
    <w:rsid w:val="0D0371D9"/>
    <w:rsid w:val="0D132C19"/>
    <w:rsid w:val="0D6D128A"/>
    <w:rsid w:val="0D991370"/>
    <w:rsid w:val="0DD82729"/>
    <w:rsid w:val="0F824086"/>
    <w:rsid w:val="0FB372EA"/>
    <w:rsid w:val="0FBD6FC9"/>
    <w:rsid w:val="100729BD"/>
    <w:rsid w:val="10192EC5"/>
    <w:rsid w:val="1090632E"/>
    <w:rsid w:val="10CD432E"/>
    <w:rsid w:val="111E393A"/>
    <w:rsid w:val="112E0AC8"/>
    <w:rsid w:val="113705B1"/>
    <w:rsid w:val="11C826A1"/>
    <w:rsid w:val="11EC4863"/>
    <w:rsid w:val="11FB171E"/>
    <w:rsid w:val="122F3FAA"/>
    <w:rsid w:val="12777691"/>
    <w:rsid w:val="12AE007A"/>
    <w:rsid w:val="12AF79A6"/>
    <w:rsid w:val="13681570"/>
    <w:rsid w:val="13781651"/>
    <w:rsid w:val="1408059B"/>
    <w:rsid w:val="140E0A4B"/>
    <w:rsid w:val="14237BE5"/>
    <w:rsid w:val="1430738A"/>
    <w:rsid w:val="145F20C7"/>
    <w:rsid w:val="14BB7538"/>
    <w:rsid w:val="151C5656"/>
    <w:rsid w:val="15554F84"/>
    <w:rsid w:val="156A3948"/>
    <w:rsid w:val="15AD7FB9"/>
    <w:rsid w:val="16440C4D"/>
    <w:rsid w:val="165322D8"/>
    <w:rsid w:val="16545A4F"/>
    <w:rsid w:val="179512E1"/>
    <w:rsid w:val="1809728C"/>
    <w:rsid w:val="1859745A"/>
    <w:rsid w:val="18E359FB"/>
    <w:rsid w:val="1A5F124B"/>
    <w:rsid w:val="1AE968D2"/>
    <w:rsid w:val="1C331BE5"/>
    <w:rsid w:val="1C811B0F"/>
    <w:rsid w:val="1CA522C0"/>
    <w:rsid w:val="1CDB1E2E"/>
    <w:rsid w:val="1D700928"/>
    <w:rsid w:val="1D8D218F"/>
    <w:rsid w:val="1DCC21A0"/>
    <w:rsid w:val="1DCC5F20"/>
    <w:rsid w:val="1DCE6CFE"/>
    <w:rsid w:val="1EB53B30"/>
    <w:rsid w:val="1EEC17D9"/>
    <w:rsid w:val="1F8B2AE2"/>
    <w:rsid w:val="1FF20D7F"/>
    <w:rsid w:val="20244E58"/>
    <w:rsid w:val="206F3771"/>
    <w:rsid w:val="20A0436C"/>
    <w:rsid w:val="20A84AB2"/>
    <w:rsid w:val="20DB35F6"/>
    <w:rsid w:val="21C1562A"/>
    <w:rsid w:val="2268661C"/>
    <w:rsid w:val="22844828"/>
    <w:rsid w:val="22B831B5"/>
    <w:rsid w:val="2351194D"/>
    <w:rsid w:val="237920D6"/>
    <w:rsid w:val="23A414B2"/>
    <w:rsid w:val="23CF725C"/>
    <w:rsid w:val="241E5CD3"/>
    <w:rsid w:val="24730DB4"/>
    <w:rsid w:val="24786F1A"/>
    <w:rsid w:val="24D22E3B"/>
    <w:rsid w:val="24E11BC0"/>
    <w:rsid w:val="25042DA2"/>
    <w:rsid w:val="2506638B"/>
    <w:rsid w:val="2547125A"/>
    <w:rsid w:val="263F63D5"/>
    <w:rsid w:val="26CB7B8B"/>
    <w:rsid w:val="273936FC"/>
    <w:rsid w:val="27817A89"/>
    <w:rsid w:val="2790513A"/>
    <w:rsid w:val="27B02BD2"/>
    <w:rsid w:val="27CF5754"/>
    <w:rsid w:val="28DF3331"/>
    <w:rsid w:val="28FF3189"/>
    <w:rsid w:val="290B77F3"/>
    <w:rsid w:val="291A4434"/>
    <w:rsid w:val="291A7D1A"/>
    <w:rsid w:val="29675EC6"/>
    <w:rsid w:val="29AB4995"/>
    <w:rsid w:val="29C60BFC"/>
    <w:rsid w:val="29DD3F3B"/>
    <w:rsid w:val="2A0D657B"/>
    <w:rsid w:val="2A152059"/>
    <w:rsid w:val="2A810D6A"/>
    <w:rsid w:val="2B276439"/>
    <w:rsid w:val="2B6C37C8"/>
    <w:rsid w:val="2B6F18D5"/>
    <w:rsid w:val="2B826841"/>
    <w:rsid w:val="2BB62C95"/>
    <w:rsid w:val="2BD15D21"/>
    <w:rsid w:val="2BF51305"/>
    <w:rsid w:val="2C583D4C"/>
    <w:rsid w:val="2CC55886"/>
    <w:rsid w:val="2D7D3FBE"/>
    <w:rsid w:val="2DB33930"/>
    <w:rsid w:val="2DC50190"/>
    <w:rsid w:val="2E3436CC"/>
    <w:rsid w:val="2E532A1D"/>
    <w:rsid w:val="2ECD4F05"/>
    <w:rsid w:val="2EE97857"/>
    <w:rsid w:val="2F2A6C72"/>
    <w:rsid w:val="2F9704F5"/>
    <w:rsid w:val="2FAA48BF"/>
    <w:rsid w:val="2FC14779"/>
    <w:rsid w:val="302A5A00"/>
    <w:rsid w:val="309914D5"/>
    <w:rsid w:val="30CF0188"/>
    <w:rsid w:val="30D77936"/>
    <w:rsid w:val="314677AA"/>
    <w:rsid w:val="315A7D9A"/>
    <w:rsid w:val="31692CF6"/>
    <w:rsid w:val="31703350"/>
    <w:rsid w:val="31D976DD"/>
    <w:rsid w:val="31EA3699"/>
    <w:rsid w:val="326B3C2C"/>
    <w:rsid w:val="3282337A"/>
    <w:rsid w:val="32BC2C30"/>
    <w:rsid w:val="342F4970"/>
    <w:rsid w:val="34525300"/>
    <w:rsid w:val="349C48BF"/>
    <w:rsid w:val="34AC2E87"/>
    <w:rsid w:val="34CA155F"/>
    <w:rsid w:val="350A761F"/>
    <w:rsid w:val="35B115EA"/>
    <w:rsid w:val="35F60AC0"/>
    <w:rsid w:val="36753638"/>
    <w:rsid w:val="36F23DEC"/>
    <w:rsid w:val="37215DAE"/>
    <w:rsid w:val="376E08C8"/>
    <w:rsid w:val="37994E56"/>
    <w:rsid w:val="379E46E5"/>
    <w:rsid w:val="38563836"/>
    <w:rsid w:val="392C4AB5"/>
    <w:rsid w:val="39545290"/>
    <w:rsid w:val="397228F1"/>
    <w:rsid w:val="39822409"/>
    <w:rsid w:val="39CC42E8"/>
    <w:rsid w:val="3A337E96"/>
    <w:rsid w:val="3ADD0C66"/>
    <w:rsid w:val="3AF75099"/>
    <w:rsid w:val="3B042080"/>
    <w:rsid w:val="3B6A39B8"/>
    <w:rsid w:val="3BEB698B"/>
    <w:rsid w:val="3BF52EC4"/>
    <w:rsid w:val="3C0E6BAC"/>
    <w:rsid w:val="3C1119F8"/>
    <w:rsid w:val="3C333E8E"/>
    <w:rsid w:val="3CB46D7D"/>
    <w:rsid w:val="3D1D626B"/>
    <w:rsid w:val="3D2D7451"/>
    <w:rsid w:val="3DCB1735"/>
    <w:rsid w:val="3E243E43"/>
    <w:rsid w:val="3E9450B8"/>
    <w:rsid w:val="3E9E7CE5"/>
    <w:rsid w:val="401B184F"/>
    <w:rsid w:val="406B21FF"/>
    <w:rsid w:val="40A6476D"/>
    <w:rsid w:val="41200C5E"/>
    <w:rsid w:val="412E232B"/>
    <w:rsid w:val="41840737"/>
    <w:rsid w:val="41D851A2"/>
    <w:rsid w:val="424879BD"/>
    <w:rsid w:val="427261A5"/>
    <w:rsid w:val="428471F1"/>
    <w:rsid w:val="42B43694"/>
    <w:rsid w:val="43336BD6"/>
    <w:rsid w:val="43577EAC"/>
    <w:rsid w:val="43AF4742"/>
    <w:rsid w:val="43B078BD"/>
    <w:rsid w:val="43E91A02"/>
    <w:rsid w:val="43EF4B3E"/>
    <w:rsid w:val="44015397"/>
    <w:rsid w:val="445F5EC9"/>
    <w:rsid w:val="44DD00FD"/>
    <w:rsid w:val="454315E6"/>
    <w:rsid w:val="45BE3B58"/>
    <w:rsid w:val="463D7DE3"/>
    <w:rsid w:val="465143D8"/>
    <w:rsid w:val="466B085C"/>
    <w:rsid w:val="46BE5CC6"/>
    <w:rsid w:val="46D1677D"/>
    <w:rsid w:val="46D85D5E"/>
    <w:rsid w:val="46F52E39"/>
    <w:rsid w:val="477C6DAB"/>
    <w:rsid w:val="47846478"/>
    <w:rsid w:val="47BE388F"/>
    <w:rsid w:val="482F688A"/>
    <w:rsid w:val="491232D6"/>
    <w:rsid w:val="49E705D6"/>
    <w:rsid w:val="4AF54CB9"/>
    <w:rsid w:val="4B4D041A"/>
    <w:rsid w:val="4B4E06F9"/>
    <w:rsid w:val="4BC83ABB"/>
    <w:rsid w:val="4C0D4086"/>
    <w:rsid w:val="4C27217F"/>
    <w:rsid w:val="4D23359C"/>
    <w:rsid w:val="4D8E03AE"/>
    <w:rsid w:val="4DB03122"/>
    <w:rsid w:val="4E8938D8"/>
    <w:rsid w:val="4F022BC1"/>
    <w:rsid w:val="4F053468"/>
    <w:rsid w:val="4FF42377"/>
    <w:rsid w:val="50311835"/>
    <w:rsid w:val="50785C44"/>
    <w:rsid w:val="50942CC3"/>
    <w:rsid w:val="50C25AB5"/>
    <w:rsid w:val="516D6DB6"/>
    <w:rsid w:val="51C85281"/>
    <w:rsid w:val="521560B8"/>
    <w:rsid w:val="528E426D"/>
    <w:rsid w:val="52CF270B"/>
    <w:rsid w:val="52D970E6"/>
    <w:rsid w:val="52F00207"/>
    <w:rsid w:val="531401FE"/>
    <w:rsid w:val="538215EC"/>
    <w:rsid w:val="53DA4EC3"/>
    <w:rsid w:val="53F374CD"/>
    <w:rsid w:val="54112C0C"/>
    <w:rsid w:val="54C76671"/>
    <w:rsid w:val="550270C7"/>
    <w:rsid w:val="551408A9"/>
    <w:rsid w:val="55DB024F"/>
    <w:rsid w:val="55E32B88"/>
    <w:rsid w:val="560E03C2"/>
    <w:rsid w:val="563057F2"/>
    <w:rsid w:val="56E7312E"/>
    <w:rsid w:val="570003CC"/>
    <w:rsid w:val="5714076C"/>
    <w:rsid w:val="58615BB3"/>
    <w:rsid w:val="58680314"/>
    <w:rsid w:val="58BD5BDC"/>
    <w:rsid w:val="58C34A62"/>
    <w:rsid w:val="59242901"/>
    <w:rsid w:val="5A0203D8"/>
    <w:rsid w:val="5A4D4424"/>
    <w:rsid w:val="5A9F7836"/>
    <w:rsid w:val="5B1C7E9E"/>
    <w:rsid w:val="5B351579"/>
    <w:rsid w:val="5CEE7E81"/>
    <w:rsid w:val="5D121B72"/>
    <w:rsid w:val="5D176392"/>
    <w:rsid w:val="5D4D55B1"/>
    <w:rsid w:val="5D535CE6"/>
    <w:rsid w:val="5D830B7C"/>
    <w:rsid w:val="5DCA6C4D"/>
    <w:rsid w:val="5DDD54D0"/>
    <w:rsid w:val="5E3C1C92"/>
    <w:rsid w:val="5EA507C4"/>
    <w:rsid w:val="5EB35081"/>
    <w:rsid w:val="5EE2207B"/>
    <w:rsid w:val="5F0C558A"/>
    <w:rsid w:val="5F7C7776"/>
    <w:rsid w:val="5FE20368"/>
    <w:rsid w:val="5FED41D0"/>
    <w:rsid w:val="60156139"/>
    <w:rsid w:val="60200102"/>
    <w:rsid w:val="606E6D7F"/>
    <w:rsid w:val="60E60B56"/>
    <w:rsid w:val="61277422"/>
    <w:rsid w:val="612D1C31"/>
    <w:rsid w:val="616B7AA3"/>
    <w:rsid w:val="621E1B16"/>
    <w:rsid w:val="624B244C"/>
    <w:rsid w:val="628D6711"/>
    <w:rsid w:val="62B402B9"/>
    <w:rsid w:val="63624ED5"/>
    <w:rsid w:val="636D06F5"/>
    <w:rsid w:val="63790315"/>
    <w:rsid w:val="63A848C4"/>
    <w:rsid w:val="63CE5EE9"/>
    <w:rsid w:val="64040807"/>
    <w:rsid w:val="641F4158"/>
    <w:rsid w:val="646B26B9"/>
    <w:rsid w:val="64A60B9F"/>
    <w:rsid w:val="64A97E58"/>
    <w:rsid w:val="64F41FFB"/>
    <w:rsid w:val="64F531C7"/>
    <w:rsid w:val="6511055D"/>
    <w:rsid w:val="65470D3C"/>
    <w:rsid w:val="658832E0"/>
    <w:rsid w:val="65D969F1"/>
    <w:rsid w:val="66126191"/>
    <w:rsid w:val="66213C5D"/>
    <w:rsid w:val="66E71979"/>
    <w:rsid w:val="673426E5"/>
    <w:rsid w:val="6746022E"/>
    <w:rsid w:val="674A63AC"/>
    <w:rsid w:val="67944AE4"/>
    <w:rsid w:val="67A11B51"/>
    <w:rsid w:val="682A79D5"/>
    <w:rsid w:val="683D1CDF"/>
    <w:rsid w:val="685C6B66"/>
    <w:rsid w:val="68F0782C"/>
    <w:rsid w:val="68F27973"/>
    <w:rsid w:val="692C3B2F"/>
    <w:rsid w:val="69417DFF"/>
    <w:rsid w:val="69484A8D"/>
    <w:rsid w:val="696F474E"/>
    <w:rsid w:val="6A0D45D1"/>
    <w:rsid w:val="6A1B06CD"/>
    <w:rsid w:val="6A8E62F4"/>
    <w:rsid w:val="6AD820D3"/>
    <w:rsid w:val="6AE723D6"/>
    <w:rsid w:val="6AF458A9"/>
    <w:rsid w:val="6AFB0FE0"/>
    <w:rsid w:val="6B1031B7"/>
    <w:rsid w:val="6B7C582F"/>
    <w:rsid w:val="6BA93456"/>
    <w:rsid w:val="6BAE7BA3"/>
    <w:rsid w:val="6C35541B"/>
    <w:rsid w:val="6C676C46"/>
    <w:rsid w:val="6C991968"/>
    <w:rsid w:val="6CE46DB3"/>
    <w:rsid w:val="6D0922A9"/>
    <w:rsid w:val="6D4B7FB3"/>
    <w:rsid w:val="6D6A5AEC"/>
    <w:rsid w:val="6DB93562"/>
    <w:rsid w:val="6DE055E4"/>
    <w:rsid w:val="6E213A2A"/>
    <w:rsid w:val="6E7A629E"/>
    <w:rsid w:val="6E8A6AA6"/>
    <w:rsid w:val="6E9F158A"/>
    <w:rsid w:val="6EB32A89"/>
    <w:rsid w:val="6EEC6AC2"/>
    <w:rsid w:val="6F1D062A"/>
    <w:rsid w:val="6F241583"/>
    <w:rsid w:val="6F2E0C30"/>
    <w:rsid w:val="6F97125C"/>
    <w:rsid w:val="70825BF9"/>
    <w:rsid w:val="70BD4124"/>
    <w:rsid w:val="70E433CD"/>
    <w:rsid w:val="70EB650A"/>
    <w:rsid w:val="70F745F5"/>
    <w:rsid w:val="721C4A9F"/>
    <w:rsid w:val="72A963D1"/>
    <w:rsid w:val="732356DE"/>
    <w:rsid w:val="73595954"/>
    <w:rsid w:val="739F775E"/>
    <w:rsid w:val="73B21E20"/>
    <w:rsid w:val="740551C4"/>
    <w:rsid w:val="740F250F"/>
    <w:rsid w:val="74364B9E"/>
    <w:rsid w:val="744C3F3F"/>
    <w:rsid w:val="74F3461E"/>
    <w:rsid w:val="7515728F"/>
    <w:rsid w:val="75AC464F"/>
    <w:rsid w:val="75B3654D"/>
    <w:rsid w:val="75F20A95"/>
    <w:rsid w:val="7681466E"/>
    <w:rsid w:val="769325BF"/>
    <w:rsid w:val="76BD3590"/>
    <w:rsid w:val="782E5010"/>
    <w:rsid w:val="783830F2"/>
    <w:rsid w:val="783863C0"/>
    <w:rsid w:val="78C30E55"/>
    <w:rsid w:val="78D45AD6"/>
    <w:rsid w:val="79224DC2"/>
    <w:rsid w:val="79843D42"/>
    <w:rsid w:val="79CB1296"/>
    <w:rsid w:val="7A00361B"/>
    <w:rsid w:val="7A0667FB"/>
    <w:rsid w:val="7A68724D"/>
    <w:rsid w:val="7A79401E"/>
    <w:rsid w:val="7AAA11E4"/>
    <w:rsid w:val="7B120996"/>
    <w:rsid w:val="7B1D1075"/>
    <w:rsid w:val="7B3D5BB4"/>
    <w:rsid w:val="7B5F310E"/>
    <w:rsid w:val="7B8D2FE1"/>
    <w:rsid w:val="7BB87930"/>
    <w:rsid w:val="7C0B4694"/>
    <w:rsid w:val="7C921B3C"/>
    <w:rsid w:val="7C941C83"/>
    <w:rsid w:val="7D1A11B5"/>
    <w:rsid w:val="7D1E66C8"/>
    <w:rsid w:val="7DE525EE"/>
    <w:rsid w:val="7E0201F2"/>
    <w:rsid w:val="7E1F5A45"/>
    <w:rsid w:val="7E3F7E95"/>
    <w:rsid w:val="7E543940"/>
    <w:rsid w:val="7E6566E6"/>
    <w:rsid w:val="7E682F48"/>
    <w:rsid w:val="7E706900"/>
    <w:rsid w:val="7E7459A5"/>
    <w:rsid w:val="7E9A752A"/>
    <w:rsid w:val="7F0030C0"/>
    <w:rsid w:val="7F43222E"/>
    <w:rsid w:val="7F686F78"/>
    <w:rsid w:val="7F9D4566"/>
    <w:rsid w:val="7FFA0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4"/>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5"/>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6"/>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7"/>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link w:val="48"/>
    <w:qFormat/>
    <w:uiPriority w:val="0"/>
    <w:pPr>
      <w:spacing w:line="380" w:lineRule="exact"/>
    </w:pPr>
    <w:rPr>
      <w:sz w:val="24"/>
    </w:rPr>
  </w:style>
  <w:style w:type="paragraph" w:styleId="19">
    <w:name w:val="Body Text Indent"/>
    <w:basedOn w:val="1"/>
    <w:next w:val="1"/>
    <w:link w:val="49"/>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link w:val="50"/>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51"/>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link w:val="52"/>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8"/>
    <w:link w:val="53"/>
    <w:qFormat/>
    <w:uiPriority w:val="0"/>
    <w:pPr>
      <w:spacing w:after="120" w:line="240" w:lineRule="auto"/>
      <w:ind w:firstLine="420" w:firstLineChars="100"/>
    </w:pPr>
    <w:rPr>
      <w:sz w:val="21"/>
    </w:rPr>
  </w:style>
  <w:style w:type="paragraph" w:styleId="36">
    <w:name w:val="Body Text First Indent 2"/>
    <w:basedOn w:val="19"/>
    <w:link w:val="54"/>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character" w:customStyle="1" w:styleId="43">
    <w:name w:val="标题 1 Char"/>
    <w:link w:val="2"/>
    <w:qFormat/>
    <w:uiPriority w:val="0"/>
    <w:rPr>
      <w:rFonts w:eastAsia="宋体"/>
      <w:b/>
      <w:bCs/>
      <w:kern w:val="44"/>
      <w:sz w:val="44"/>
      <w:szCs w:val="44"/>
      <w:lang w:val="en-US" w:eastAsia="zh-CN" w:bidi="ar-SA"/>
    </w:rPr>
  </w:style>
  <w:style w:type="character" w:customStyle="1" w:styleId="44">
    <w:name w:val="标题 2 Char"/>
    <w:link w:val="3"/>
    <w:qFormat/>
    <w:uiPriority w:val="9"/>
    <w:rPr>
      <w:rFonts w:ascii="Arial" w:hAnsi="Arial" w:eastAsia="黑体"/>
      <w:b/>
      <w:bCs/>
      <w:kern w:val="2"/>
      <w:sz w:val="32"/>
      <w:szCs w:val="32"/>
    </w:rPr>
  </w:style>
  <w:style w:type="character" w:customStyle="1" w:styleId="45">
    <w:name w:val="标题 3 Char"/>
    <w:link w:val="4"/>
    <w:qFormat/>
    <w:uiPriority w:val="0"/>
    <w:rPr>
      <w:rFonts w:ascii="Calibri" w:hAnsi="Calibri" w:eastAsia="宋体"/>
      <w:b/>
      <w:bCs/>
      <w:kern w:val="2"/>
      <w:sz w:val="32"/>
      <w:szCs w:val="32"/>
      <w:lang w:val="en-US" w:eastAsia="zh-CN" w:bidi="ar-SA"/>
    </w:rPr>
  </w:style>
  <w:style w:type="character" w:customStyle="1" w:styleId="46">
    <w:name w:val="标题 4 Char"/>
    <w:link w:val="5"/>
    <w:qFormat/>
    <w:uiPriority w:val="0"/>
    <w:rPr>
      <w:rFonts w:ascii="黑体" w:hAnsi="黑体" w:eastAsia="黑体"/>
      <w:b/>
      <w:bCs/>
      <w:kern w:val="2"/>
      <w:sz w:val="24"/>
      <w:szCs w:val="24"/>
    </w:rPr>
  </w:style>
  <w:style w:type="character" w:customStyle="1" w:styleId="47">
    <w:name w:val="正文缩进 Char"/>
    <w:link w:val="7"/>
    <w:qFormat/>
    <w:locked/>
    <w:uiPriority w:val="0"/>
    <w:rPr>
      <w:kern w:val="2"/>
      <w:sz w:val="21"/>
    </w:rPr>
  </w:style>
  <w:style w:type="character" w:customStyle="1" w:styleId="48">
    <w:name w:val="正文文本 Char"/>
    <w:link w:val="18"/>
    <w:qFormat/>
    <w:uiPriority w:val="0"/>
    <w:rPr>
      <w:kern w:val="2"/>
      <w:sz w:val="24"/>
      <w:szCs w:val="24"/>
    </w:rPr>
  </w:style>
  <w:style w:type="character" w:customStyle="1" w:styleId="49">
    <w:name w:val="正文文本缩进 Char"/>
    <w:link w:val="19"/>
    <w:qFormat/>
    <w:uiPriority w:val="0"/>
    <w:rPr>
      <w:rFonts w:ascii="仿宋_GB2312" w:eastAsia="仿宋_GB2312"/>
      <w:kern w:val="2"/>
      <w:sz w:val="32"/>
    </w:rPr>
  </w:style>
  <w:style w:type="character" w:customStyle="1" w:styleId="50">
    <w:name w:val="纯文本 Char"/>
    <w:link w:val="22"/>
    <w:qFormat/>
    <w:uiPriority w:val="0"/>
    <w:rPr>
      <w:rFonts w:ascii="宋体" w:hAnsi="Courier New" w:eastAsia="宋体" w:cs="Courier New"/>
      <w:kern w:val="2"/>
      <w:sz w:val="21"/>
      <w:szCs w:val="21"/>
      <w:lang w:val="en-US" w:eastAsia="zh-CN" w:bidi="ar-SA"/>
    </w:rPr>
  </w:style>
  <w:style w:type="character" w:customStyle="1" w:styleId="51">
    <w:name w:val="正文文本缩进 2 Char"/>
    <w:link w:val="24"/>
    <w:qFormat/>
    <w:uiPriority w:val="0"/>
    <w:rPr>
      <w:kern w:val="2"/>
      <w:sz w:val="32"/>
    </w:rPr>
  </w:style>
  <w:style w:type="character" w:customStyle="1" w:styleId="52">
    <w:name w:val="页脚 Char"/>
    <w:link w:val="26"/>
    <w:qFormat/>
    <w:uiPriority w:val="0"/>
    <w:rPr>
      <w:kern w:val="2"/>
      <w:sz w:val="18"/>
      <w:szCs w:val="18"/>
    </w:rPr>
  </w:style>
  <w:style w:type="character" w:customStyle="1" w:styleId="53">
    <w:name w:val="正文首行缩进 Char"/>
    <w:link w:val="35"/>
    <w:qFormat/>
    <w:uiPriority w:val="0"/>
    <w:rPr>
      <w:kern w:val="2"/>
      <w:sz w:val="21"/>
      <w:szCs w:val="24"/>
    </w:rPr>
  </w:style>
  <w:style w:type="character" w:customStyle="1" w:styleId="54">
    <w:name w:val="正文首行缩进 2 Char"/>
    <w:link w:val="36"/>
    <w:qFormat/>
    <w:uiPriority w:val="0"/>
    <w:rPr>
      <w:rFonts w:ascii="仿宋_GB2312" w:eastAsia="仿宋_GB2312"/>
      <w:kern w:val="2"/>
      <w:sz w:val="21"/>
      <w:szCs w:val="24"/>
    </w:rPr>
  </w:style>
  <w:style w:type="character" w:customStyle="1" w:styleId="55">
    <w:name w:val="font21"/>
    <w:qFormat/>
    <w:uiPriority w:val="0"/>
    <w:rPr>
      <w:rFonts w:hint="default" w:ascii="仿宋_GB2312" w:eastAsia="仿宋_GB2312" w:cs="仿宋_GB2312"/>
      <w:b/>
      <w:color w:val="000000"/>
      <w:sz w:val="24"/>
      <w:szCs w:val="24"/>
      <w:u w:val="none"/>
    </w:rPr>
  </w:style>
  <w:style w:type="character" w:customStyle="1" w:styleId="56">
    <w:name w:val="纯文本 Char1"/>
    <w:qFormat/>
    <w:uiPriority w:val="0"/>
    <w:rPr>
      <w:rFonts w:ascii="宋体" w:hAnsi="Courier New" w:eastAsia="宋体" w:cs="Courier New"/>
      <w:szCs w:val="21"/>
    </w:rPr>
  </w:style>
  <w:style w:type="character" w:customStyle="1" w:styleId="57">
    <w:name w:val="param-name param-explain"/>
    <w:qFormat/>
    <w:uiPriority w:val="0"/>
  </w:style>
  <w:style w:type="character" w:customStyle="1" w:styleId="58">
    <w:name w:val="1ji Char"/>
    <w:link w:val="59"/>
    <w:qFormat/>
    <w:uiPriority w:val="0"/>
    <w:rPr>
      <w:rFonts w:ascii="宋体" w:hAnsi="宋体" w:eastAsia="宋体"/>
      <w:b/>
      <w:bCs/>
      <w:kern w:val="44"/>
      <w:sz w:val="36"/>
      <w:szCs w:val="44"/>
      <w:lang w:val="en-US" w:eastAsia="zh-CN" w:bidi="ar-SA"/>
    </w:rPr>
  </w:style>
  <w:style w:type="paragraph" w:customStyle="1" w:styleId="59">
    <w:name w:val="1ji"/>
    <w:basedOn w:val="2"/>
    <w:link w:val="58"/>
    <w:qFormat/>
    <w:uiPriority w:val="0"/>
    <w:pPr>
      <w:keepLines w:val="0"/>
      <w:widowControl/>
      <w:spacing w:before="0" w:after="0" w:line="240" w:lineRule="auto"/>
      <w:jc w:val="center"/>
    </w:pPr>
    <w:rPr>
      <w:rFonts w:ascii="宋体" w:hAnsi="宋体"/>
      <w:sz w:val="36"/>
    </w:rPr>
  </w:style>
  <w:style w:type="character" w:customStyle="1" w:styleId="60">
    <w:name w:val="普通文字 Char Char2"/>
    <w:qFormat/>
    <w:uiPriority w:val="0"/>
    <w:rPr>
      <w:rFonts w:ascii="宋体" w:hAnsi="Courier New" w:eastAsia="宋体"/>
      <w:kern w:val="2"/>
      <w:sz w:val="21"/>
      <w:lang w:val="en-US" w:eastAsia="zh-CN" w:bidi="ar-SA"/>
    </w:rPr>
  </w:style>
  <w:style w:type="character" w:customStyle="1" w:styleId="61">
    <w:name w:val="10"/>
    <w:qFormat/>
    <w:uiPriority w:val="0"/>
    <w:rPr>
      <w:rFonts w:hint="default" w:ascii="Times New Roman" w:hAnsi="Times New Roman" w:cs="Times New Roman"/>
    </w:rPr>
  </w:style>
  <w:style w:type="character" w:customStyle="1" w:styleId="62">
    <w:name w:val="font11"/>
    <w:qFormat/>
    <w:uiPriority w:val="0"/>
    <w:rPr>
      <w:rFonts w:hint="eastAsia" w:ascii="宋体" w:hAnsi="宋体" w:eastAsia="宋体" w:cs="宋体"/>
      <w:color w:val="000000"/>
      <w:sz w:val="20"/>
      <w:szCs w:val="20"/>
      <w:u w:val="none"/>
    </w:rPr>
  </w:style>
  <w:style w:type="character" w:customStyle="1" w:styleId="63">
    <w:name w:val="apple-converted-space"/>
    <w:qFormat/>
    <w:uiPriority w:val="0"/>
  </w:style>
  <w:style w:type="character" w:customStyle="1" w:styleId="64">
    <w:name w:val="mark"/>
    <w:qFormat/>
    <w:uiPriority w:val="0"/>
  </w:style>
  <w:style w:type="character" w:customStyle="1" w:styleId="65">
    <w:name w:val="15"/>
    <w:qFormat/>
    <w:uiPriority w:val="0"/>
    <w:rPr>
      <w:rFonts w:hint="default" w:ascii="Times New Roman" w:hAnsi="Times New Roman" w:cs="Times New Roman"/>
    </w:rPr>
  </w:style>
  <w:style w:type="paragraph" w:customStyle="1" w:styleId="66">
    <w:name w:val="默认段落字体 Para Char Char Char Char Char Char Char Char Char1 Char Char Char Char"/>
    <w:basedOn w:val="1"/>
    <w:qFormat/>
    <w:uiPriority w:val="0"/>
    <w:rPr>
      <w:rFonts w:ascii="Tahoma" w:hAnsi="Tahoma"/>
      <w:sz w:val="24"/>
      <w:szCs w:val="20"/>
    </w:rPr>
  </w:style>
  <w:style w:type="paragraph" w:customStyle="1" w:styleId="67">
    <w:name w:val="列出段落1"/>
    <w:basedOn w:val="1"/>
    <w:qFormat/>
    <w:uiPriority w:val="0"/>
    <w:pPr>
      <w:ind w:firstLine="420" w:firstLineChars="200"/>
    </w:pPr>
    <w:rPr>
      <w:szCs w:val="20"/>
    </w:rPr>
  </w:style>
  <w:style w:type="paragraph" w:customStyle="1" w:styleId="68">
    <w:name w:val="1"/>
    <w:basedOn w:val="1"/>
    <w:next w:val="22"/>
    <w:qFormat/>
    <w:uiPriority w:val="0"/>
    <w:rPr>
      <w:rFonts w:ascii="宋体" w:hAnsi="Courier New"/>
      <w:szCs w:val="20"/>
    </w:rPr>
  </w:style>
  <w:style w:type="paragraph" w:customStyle="1" w:styleId="69">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0">
    <w:name w:val="正文段"/>
    <w:basedOn w:val="1"/>
    <w:qFormat/>
    <w:uiPriority w:val="0"/>
    <w:pPr>
      <w:widowControl/>
      <w:snapToGrid w:val="0"/>
      <w:spacing w:after="50" w:afterLines="50"/>
      <w:ind w:firstLine="200" w:firstLineChars="200"/>
    </w:pPr>
    <w:rPr>
      <w:kern w:val="0"/>
      <w:sz w:val="24"/>
      <w:szCs w:val="20"/>
    </w:rPr>
  </w:style>
  <w:style w:type="paragraph" w:customStyle="1" w:styleId="7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2">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3">
    <w:name w:val="_Style 34"/>
    <w:basedOn w:val="15"/>
    <w:qFormat/>
    <w:uiPriority w:val="0"/>
    <w:pPr>
      <w:widowControl/>
      <w:ind w:firstLine="454"/>
      <w:jc w:val="left"/>
    </w:pPr>
  </w:style>
  <w:style w:type="paragraph" w:customStyle="1" w:styleId="74">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5">
    <w:name w:val="_Style 5"/>
    <w:basedOn w:val="1"/>
    <w:qFormat/>
    <w:uiPriority w:val="0"/>
    <w:pPr>
      <w:spacing w:after="78" w:afterLines="25"/>
    </w:pPr>
    <w:rPr>
      <w:rFonts w:ascii="Arial" w:hAnsi="Arial"/>
    </w:rPr>
  </w:style>
  <w:style w:type="paragraph" w:customStyle="1" w:styleId="76">
    <w:name w:val="Char"/>
    <w:basedOn w:val="15"/>
    <w:qFormat/>
    <w:uiPriority w:val="0"/>
    <w:pPr>
      <w:widowControl/>
      <w:ind w:firstLine="454"/>
      <w:jc w:val="left"/>
    </w:pPr>
    <w:rPr>
      <w:rFonts w:ascii="Tahoma" w:hAnsi="Tahoma" w:cs="宋体"/>
      <w:kern w:val="0"/>
      <w:sz w:val="24"/>
      <w:szCs w:val="20"/>
    </w:rPr>
  </w:style>
  <w:style w:type="paragraph" w:customStyle="1" w:styleId="77">
    <w:name w:val="msolistparagraph"/>
    <w:basedOn w:val="1"/>
    <w:qFormat/>
    <w:uiPriority w:val="0"/>
    <w:pPr>
      <w:spacing w:line="360" w:lineRule="auto"/>
      <w:ind w:firstLine="420" w:firstLineChars="200"/>
    </w:pPr>
    <w:rPr>
      <w:sz w:val="28"/>
    </w:rPr>
  </w:style>
  <w:style w:type="paragraph" w:customStyle="1" w:styleId="7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79">
    <w:name w:val="Char Char Char"/>
    <w:basedOn w:val="15"/>
    <w:qFormat/>
    <w:uiPriority w:val="0"/>
    <w:pPr>
      <w:snapToGrid w:val="0"/>
    </w:pPr>
    <w:rPr>
      <w:rFonts w:ascii="Calibri" w:hAnsi="Calibri"/>
      <w:sz w:val="28"/>
      <w:szCs w:val="20"/>
    </w:rPr>
  </w:style>
  <w:style w:type="paragraph" w:customStyle="1" w:styleId="80">
    <w:name w:val="_Style 341"/>
    <w:basedOn w:val="15"/>
    <w:qFormat/>
    <w:uiPriority w:val="0"/>
    <w:pPr>
      <w:widowControl/>
      <w:ind w:firstLine="454"/>
      <w:jc w:val="left"/>
    </w:pPr>
  </w:style>
  <w:style w:type="paragraph" w:customStyle="1" w:styleId="81">
    <w:name w:val="Char1"/>
    <w:basedOn w:val="15"/>
    <w:qFormat/>
    <w:uiPriority w:val="0"/>
    <w:pPr>
      <w:widowControl/>
      <w:ind w:firstLine="454"/>
      <w:jc w:val="left"/>
    </w:pPr>
    <w:rPr>
      <w:rFonts w:ascii="Tahoma" w:hAnsi="Tahoma" w:cs="宋体"/>
      <w:kern w:val="0"/>
      <w:sz w:val="24"/>
      <w:szCs w:val="20"/>
    </w:rPr>
  </w:style>
  <w:style w:type="paragraph" w:styleId="82">
    <w:name w:val="List Paragraph"/>
    <w:basedOn w:val="1"/>
    <w:qFormat/>
    <w:uiPriority w:val="34"/>
    <w:pPr>
      <w:ind w:firstLine="420" w:firstLineChars="200"/>
    </w:pPr>
    <w:rPr>
      <w:rFonts w:ascii="Book Antiqua" w:hAnsi="Book Antiqua" w:cs="Book Antiqua"/>
    </w:rPr>
  </w:style>
  <w:style w:type="paragraph" w:styleId="8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样式 标题 2 + 宋体"/>
    <w:basedOn w:val="3"/>
    <w:qFormat/>
    <w:uiPriority w:val="0"/>
    <w:pPr>
      <w:tabs>
        <w:tab w:val="left" w:pos="360"/>
      </w:tabs>
    </w:pPr>
    <w:rPr>
      <w:rFonts w:ascii="宋体" w:hAnsi="宋体" w:eastAsia="宋体"/>
      <w:sz w:val="30"/>
    </w:rPr>
  </w:style>
  <w:style w:type="paragraph" w:customStyle="1" w:styleId="85">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87">
    <w:name w:val="Table Normal"/>
    <w:unhideWhenUsed/>
    <w:qFormat/>
    <w:uiPriority w:val="0"/>
    <w:tblPr>
      <w:tblCellMar>
        <w:top w:w="0" w:type="dxa"/>
        <w:left w:w="0" w:type="dxa"/>
        <w:bottom w:w="0" w:type="dxa"/>
        <w:right w:w="0" w:type="dxa"/>
      </w:tblCellMar>
    </w:tblPr>
  </w:style>
  <w:style w:type="paragraph" w:customStyle="1" w:styleId="88">
    <w:name w:val="表格文字"/>
    <w:basedOn w:val="89"/>
    <w:next w:val="18"/>
    <w:qFormat/>
    <w:uiPriority w:val="99"/>
    <w:pPr>
      <w:spacing w:before="25" w:after="25"/>
    </w:pPr>
    <w:rPr>
      <w:rFonts w:ascii="Calibri" w:hAnsi="Calibri" w:eastAsia="Calibri"/>
      <w:bCs/>
      <w:spacing w:val="10"/>
      <w:kern w:val="0"/>
    </w:rPr>
  </w:style>
  <w:style w:type="paragraph" w:customStyle="1" w:styleId="89">
    <w:name w:val="正文文本缩进_0"/>
    <w:basedOn w:val="90"/>
    <w:qFormat/>
    <w:uiPriority w:val="99"/>
    <w:pPr>
      <w:spacing w:before="240" w:line="360" w:lineRule="auto"/>
      <w:ind w:firstLine="552" w:firstLineChars="263"/>
    </w:pPr>
    <w:rPr>
      <w:rFonts w:ascii="宋体"/>
    </w:rPr>
  </w:style>
  <w:style w:type="paragraph" w:customStyle="1" w:styleId="90">
    <w:name w:val="正文_0"/>
    <w:next w:val="8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正文2"/>
    <w:basedOn w:val="1"/>
    <w:link w:val="92"/>
    <w:qFormat/>
    <w:uiPriority w:val="0"/>
    <w:pPr>
      <w:adjustRightInd w:val="0"/>
      <w:spacing w:before="156" w:line="360" w:lineRule="auto"/>
      <w:ind w:firstLine="510" w:firstLineChars="200"/>
    </w:pPr>
    <w:rPr>
      <w:sz w:val="24"/>
      <w:szCs w:val="20"/>
    </w:rPr>
  </w:style>
  <w:style w:type="character" w:customStyle="1" w:styleId="92">
    <w:name w:val="正文2 Char Char"/>
    <w:link w:val="91"/>
    <w:qFormat/>
    <w:uiPriority w:val="0"/>
    <w:rPr>
      <w:kern w:val="2"/>
      <w:sz w:val="24"/>
    </w:rPr>
  </w:style>
  <w:style w:type="table" w:customStyle="1" w:styleId="93">
    <w:name w:val="网格型1"/>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网格型2"/>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5">
    <w:name w:val="*正文 Char"/>
    <w:link w:val="96"/>
    <w:qFormat/>
    <w:locked/>
    <w:uiPriority w:val="0"/>
    <w:rPr>
      <w:rFonts w:ascii="宋体" w:hAnsi="宋体"/>
      <w:sz w:val="24"/>
    </w:rPr>
  </w:style>
  <w:style w:type="paragraph" w:customStyle="1" w:styleId="96">
    <w:name w:val="*正文"/>
    <w:basedOn w:val="1"/>
    <w:link w:val="95"/>
    <w:qFormat/>
    <w:uiPriority w:val="0"/>
    <w:pPr>
      <w:adjustRightInd w:val="0"/>
      <w:snapToGrid w:val="0"/>
      <w:spacing w:line="360" w:lineRule="auto"/>
      <w:ind w:firstLine="482"/>
      <w:jc w:val="left"/>
    </w:pPr>
    <w:rPr>
      <w:rFonts w:ascii="宋体" w:hAnsi="宋体"/>
      <w:kern w:val="0"/>
      <w:sz w:val="24"/>
      <w:szCs w:val="20"/>
    </w:rPr>
  </w:style>
  <w:style w:type="paragraph" w:customStyle="1" w:styleId="97">
    <w:name w:val="Normal_0"/>
    <w:basedOn w:val="98"/>
    <w:qFormat/>
    <w:uiPriority w:val="0"/>
    <w:rPr>
      <w:rFonts w:ascii="Times New Roman" w:hAnsi="Times New Roman" w:eastAsia="Times New Roman" w:cs="Times New Roman"/>
      <w:sz w:val="24"/>
      <w:szCs w:val="24"/>
    </w:rPr>
  </w:style>
  <w:style w:type="paragraph" w:customStyle="1" w:styleId="98">
    <w:name w:val="正文_2"/>
    <w:next w:val="99"/>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正文缩进_1"/>
    <w:basedOn w:val="98"/>
    <w:qFormat/>
    <w:uiPriority w:val="99"/>
    <w:pPr>
      <w:ind w:firstLine="420"/>
    </w:pPr>
    <w:rPr>
      <w:rFonts w:ascii="Times New Roman" w:hAnsi="Times New Roman"/>
      <w:szCs w:val="20"/>
    </w:rPr>
  </w:style>
  <w:style w:type="paragraph" w:customStyle="1" w:styleId="100">
    <w:name w:val="表格文字_0"/>
    <w:basedOn w:val="101"/>
    <w:next w:val="102"/>
    <w:qFormat/>
    <w:uiPriority w:val="99"/>
    <w:pPr>
      <w:spacing w:before="25" w:after="25"/>
      <w:jc w:val="left"/>
    </w:pPr>
    <w:rPr>
      <w:bCs/>
      <w:spacing w:val="10"/>
      <w:kern w:val="0"/>
      <w:sz w:val="24"/>
    </w:rPr>
  </w:style>
  <w:style w:type="paragraph" w:customStyle="1" w:styleId="101">
    <w:name w:val="正文文本缩进_1"/>
    <w:basedOn w:val="98"/>
    <w:qFormat/>
    <w:uiPriority w:val="99"/>
    <w:pPr>
      <w:spacing w:before="240" w:line="360" w:lineRule="auto"/>
      <w:ind w:firstLine="552" w:firstLineChars="263"/>
    </w:pPr>
    <w:rPr>
      <w:rFonts w:ascii="宋体" w:cs="宋体"/>
      <w:szCs w:val="21"/>
    </w:rPr>
  </w:style>
  <w:style w:type="paragraph" w:customStyle="1" w:styleId="102">
    <w:name w:val="正文文本_1"/>
    <w:basedOn w:val="98"/>
    <w:next w:val="103"/>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103">
    <w:name w:val="正文_2_0"/>
    <w:autoRedefine/>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Normal_1"/>
    <w:qFormat/>
    <w:uiPriority w:val="0"/>
    <w:rPr>
      <w:rFonts w:ascii="Times New Roman" w:hAnsi="Times New Roman" w:eastAsia="Times New Roman" w:cs="Times New Roman"/>
      <w:sz w:val="24"/>
      <w:szCs w:val="24"/>
    </w:rPr>
  </w:style>
  <w:style w:type="paragraph" w:customStyle="1" w:styleId="10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缩进_0"/>
    <w:basedOn w:val="90"/>
    <w:qFormat/>
    <w:uiPriority w:val="99"/>
    <w:pPr>
      <w:widowControl/>
      <w:ind w:firstLine="420"/>
      <w:jc w:val="left"/>
    </w:pPr>
    <w:rPr>
      <w:sz w:val="20"/>
      <w:szCs w:val="20"/>
    </w:rPr>
  </w:style>
  <w:style w:type="paragraph" w:customStyle="1" w:styleId="107">
    <w:name w:val="正文文本_0"/>
    <w:basedOn w:val="108"/>
    <w:autoRedefine/>
    <w:unhideWhenUsed/>
    <w:qFormat/>
    <w:locked/>
    <w:uiPriority w:val="0"/>
    <w:pPr>
      <w:adjustRightInd w:val="0"/>
      <w:spacing w:after="60" w:line="360" w:lineRule="atLeast"/>
      <w:ind w:left="72" w:leftChars="30" w:right="30" w:rightChars="30"/>
      <w:jc w:val="center"/>
    </w:pPr>
    <w:rPr>
      <w:rFonts w:ascii="Times New Roman" w:hAnsi="Times New Roman"/>
    </w:rPr>
  </w:style>
  <w:style w:type="paragraph" w:customStyle="1" w:styleId="108">
    <w:name w:val="正文_3"/>
    <w:next w:val="100"/>
    <w:autoRedefine/>
    <w:qFormat/>
    <w:locked/>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FE1FB-4655-4B35-BD7E-6AAB8BF4B5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123</Pages>
  <Words>22318</Words>
  <Characters>24444</Characters>
  <Lines>163</Lines>
  <Paragraphs>142</Paragraphs>
  <TotalTime>13</TotalTime>
  <ScaleCrop>false</ScaleCrop>
  <LinksUpToDate>false</LinksUpToDate>
  <CharactersWithSpaces>24653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洁儿</cp:lastModifiedBy>
  <cp:lastPrinted>2021-08-15T09:50:00Z</cp:lastPrinted>
  <dcterms:modified xsi:type="dcterms:W3CDTF">2025-11-05T09:19:00Z</dcterms:modified>
  <dc:title>北海市政府采购中心;</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0C7F5C32B0194A13A7CB8C845D5A133D</vt:lpwstr>
  </property>
  <property fmtid="{D5CDD505-2E9C-101B-9397-08002B2CF9AE}" pid="4" name="KSOTemplateDocerSaveRecord">
    <vt:lpwstr>eyJoZGlkIjoiN2U3ZmY4ZTgzYjcxYjQzOThkNmQ2ZmE2NDcxNGFhZTgiLCJ1c2VySWQiOiI0NDE5MDk2MDkifQ==</vt:lpwstr>
  </property>
</Properties>
</file>