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4649A">
      <w:pPr>
        <w:spacing w:line="360" w:lineRule="auto"/>
        <w:jc w:val="center"/>
        <w:rPr>
          <w:rFonts w:hint="eastAsia" w:cs="仿宋_GB2312" w:asciiTheme="minorEastAsia" w:hAnsiTheme="minorEastAsia" w:eastAsiaTheme="minorEastAsia"/>
          <w:b/>
          <w:color w:val="000000" w:themeColor="text1"/>
          <w:sz w:val="24"/>
          <w14:textFill>
            <w14:solidFill>
              <w14:schemeClr w14:val="tx1"/>
            </w14:solidFill>
          </w14:textFill>
        </w:rPr>
      </w:pPr>
    </w:p>
    <w:p w14:paraId="6652AFF5">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10C53881">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p>
    <w:p w14:paraId="293D9ACB">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p>
    <w:p w14:paraId="533EE02D">
      <w:pPr>
        <w:adjustRightInd/>
        <w:spacing w:line="360" w:lineRule="auto"/>
        <w:jc w:val="center"/>
        <w:rPr>
          <w:rFonts w:hint="eastAsia" w:cs="仿宋_GB2312" w:asciiTheme="minorEastAsia" w:hAnsiTheme="minorEastAsia" w:eastAsiaTheme="minorEastAsia"/>
          <w:b/>
          <w:bCs/>
          <w:color w:val="000000" w:themeColor="text1"/>
          <w:w w:val="95"/>
          <w:sz w:val="72"/>
          <w:szCs w:val="72"/>
          <w:lang w:val="zh-CN" w:eastAsia="zh-CN"/>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lang w:val="zh-CN" w:eastAsia="zh-CN"/>
          <w14:textFill>
            <w14:solidFill>
              <w14:schemeClr w14:val="tx1"/>
            </w14:solidFill>
          </w14:textFill>
        </w:rPr>
        <w:t>2025年专用设备购置</w:t>
      </w:r>
    </w:p>
    <w:p w14:paraId="6FD8D0D5">
      <w:pPr>
        <w:adjustRightInd/>
        <w:spacing w:line="360" w:lineRule="auto"/>
        <w:jc w:val="center"/>
        <w:rPr>
          <w:rFonts w:cs="仿宋_GB2312" w:asciiTheme="minorEastAsia" w:hAnsiTheme="minorEastAsia" w:eastAsiaTheme="minorEastAsia"/>
          <w:b/>
          <w:color w:val="000000" w:themeColor="text1"/>
          <w:sz w:val="72"/>
          <w:szCs w:val="72"/>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lang w:val="zh-CN"/>
          <w14:textFill>
            <w14:solidFill>
              <w14:schemeClr w14:val="tx1"/>
            </w14:solidFill>
          </w14:textFill>
        </w:rPr>
        <w:t>竞争性谈判</w:t>
      </w:r>
      <w:r>
        <w:rPr>
          <w:rFonts w:hint="eastAsia" w:cs="仿宋_GB2312" w:asciiTheme="minorEastAsia" w:hAnsiTheme="minorEastAsia" w:eastAsiaTheme="minorEastAsia"/>
          <w:b/>
          <w:color w:val="000000" w:themeColor="text1"/>
          <w:sz w:val="72"/>
          <w:szCs w:val="72"/>
          <w14:textFill>
            <w14:solidFill>
              <w14:schemeClr w14:val="tx1"/>
            </w14:solidFill>
          </w14:textFill>
        </w:rPr>
        <w:t>文件</w:t>
      </w:r>
    </w:p>
    <w:p w14:paraId="39737B84">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44"/>
          <w:szCs w:val="44"/>
          <w14:textFill>
            <w14:solidFill>
              <w14:schemeClr w14:val="tx1"/>
            </w14:solidFill>
          </w14:textFill>
        </w:rPr>
        <w:t>（电子交易）</w:t>
      </w:r>
    </w:p>
    <w:p w14:paraId="70217419">
      <w:pPr>
        <w:snapToGrid w:val="0"/>
        <w:spacing w:line="360" w:lineRule="auto"/>
        <w:jc w:val="center"/>
        <w:rPr>
          <w:rFonts w:cs="仿宋_GB2312" w:asciiTheme="minorEastAsia" w:hAnsiTheme="minorEastAsia" w:eastAsiaTheme="minorEastAsia"/>
          <w:color w:val="000000" w:themeColor="text1"/>
          <w:sz w:val="30"/>
          <w:szCs w:val="30"/>
          <w14:textFill>
            <w14:solidFill>
              <w14:schemeClr w14:val="tx1"/>
            </w14:solidFill>
          </w14:textFill>
        </w:rPr>
      </w:pPr>
    </w:p>
    <w:p w14:paraId="65A719DA">
      <w:pPr>
        <w:snapToGrid w:val="0"/>
        <w:spacing w:line="360" w:lineRule="auto"/>
        <w:ind w:firstLine="1500" w:firstLineChars="500"/>
        <w:jc w:val="both"/>
        <w:rPr>
          <w:rFonts w:hint="default" w:cs="仿宋_GB2312" w:asciiTheme="minorEastAsia" w:hAnsiTheme="minorEastAsia" w:eastAsiaTheme="minorEastAsia"/>
          <w:color w:val="000000" w:themeColor="text1"/>
          <w:sz w:val="30"/>
          <w:szCs w:val="30"/>
          <w:u w:val="singl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30"/>
          <w:szCs w:val="30"/>
          <w14:textFill>
            <w14:solidFill>
              <w14:schemeClr w14:val="tx1"/>
            </w14:solidFill>
          </w14:textFill>
        </w:rPr>
        <w:t>项目编号:</w:t>
      </w:r>
      <w:r>
        <w:rPr>
          <w:rFonts w:hint="eastAsia" w:cs="仿宋_GB2312" w:asciiTheme="minorEastAsia" w:hAnsiTheme="minorEastAsia" w:eastAsiaTheme="minorEastAsia"/>
          <w:color w:val="000000" w:themeColor="text1"/>
          <w:sz w:val="30"/>
          <w:szCs w:val="30"/>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z w:val="30"/>
          <w:szCs w:val="30"/>
          <w:u w:val="single"/>
          <w:lang w:val="en-US" w:eastAsia="zh-CN"/>
          <w14:textFill>
            <w14:solidFill>
              <w14:schemeClr w14:val="tx1"/>
            </w14:solidFill>
          </w14:textFill>
        </w:rPr>
        <w:t xml:space="preserve"> GXZC2025-J1-001232-GXTQ </w:t>
      </w:r>
    </w:p>
    <w:p w14:paraId="04F86EE6">
      <w:pPr>
        <w:adjustRightInd/>
        <w:spacing w:line="360" w:lineRule="auto"/>
        <w:rPr>
          <w:rFonts w:cs="仿宋_GB2312" w:asciiTheme="minorEastAsia" w:hAnsiTheme="minorEastAsia" w:eastAsiaTheme="minorEastAsia"/>
          <w:color w:val="000000" w:themeColor="text1"/>
          <w:sz w:val="28"/>
          <w:szCs w:val="20"/>
          <w14:textFill>
            <w14:solidFill>
              <w14:schemeClr w14:val="tx1"/>
            </w14:solidFill>
          </w14:textFill>
        </w:rPr>
      </w:pPr>
    </w:p>
    <w:p w14:paraId="13DCDF39">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3DB2C0C3">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5B2BFE9B">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000000" w:themeColor="text1"/>
          <w:kern w:val="2"/>
          <w14:textFill>
            <w14:solidFill>
              <w14:schemeClr w14:val="tx1"/>
            </w14:solidFill>
          </w14:textFill>
        </w:rPr>
      </w:pPr>
    </w:p>
    <w:p w14:paraId="0B1EF731">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000000" w:themeColor="text1"/>
          <w:kern w:val="2"/>
          <w14:textFill>
            <w14:solidFill>
              <w14:schemeClr w14:val="tx1"/>
            </w14:solidFill>
          </w14:textFill>
        </w:rPr>
      </w:pPr>
    </w:p>
    <w:p w14:paraId="44A645AC">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64D7F98A">
      <w:pPr>
        <w:snapToGrid w:val="0"/>
        <w:spacing w:line="360" w:lineRule="auto"/>
        <w:jc w:val="center"/>
        <w:rPr>
          <w:rFonts w:cs="仿宋_GB2312" w:asciiTheme="minorEastAsia" w:hAnsiTheme="minorEastAsia" w:eastAsiaTheme="minorEastAsia"/>
          <w:color w:val="000000" w:themeColor="text1"/>
          <w:sz w:val="32"/>
          <w:szCs w:val="32"/>
          <w14:textFill>
            <w14:solidFill>
              <w14:schemeClr w14:val="tx1"/>
            </w14:solidFill>
          </w14:textFill>
        </w:rPr>
      </w:pPr>
    </w:p>
    <w:p w14:paraId="2762D897">
      <w:pPr>
        <w:snapToGrid w:val="0"/>
        <w:spacing w:line="360" w:lineRule="auto"/>
        <w:jc w:val="center"/>
        <w:rPr>
          <w:rFonts w:hint="eastAsia" w:eastAsia="宋体" w:cs="仿宋_GB2312" w:asciiTheme="minorEastAsia" w:hAnsiTheme="minorEastAsia"/>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w:t>
      </w:r>
      <w:r>
        <w:rPr>
          <w:rFonts w:hint="eastAsia" w:ascii="宋体" w:hAnsi="宋体" w:cs="宋体"/>
          <w:color w:val="000000" w:themeColor="text1"/>
          <w:sz w:val="32"/>
          <w:szCs w:val="32"/>
          <w:lang w:eastAsia="zh-CN"/>
          <w14:textFill>
            <w14:solidFill>
              <w14:schemeClr w14:val="tx1"/>
            </w14:solidFill>
          </w14:textFill>
        </w:rPr>
        <w:t>：广西壮族自治区海洋环境监测中心站</w:t>
      </w:r>
    </w:p>
    <w:p w14:paraId="10DF4F60">
      <w:pPr>
        <w:snapToGrid w:val="0"/>
        <w:spacing w:line="360" w:lineRule="auto"/>
        <w:ind w:firstLine="1280" w:firstLineChars="400"/>
        <w:jc w:val="both"/>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 xml:space="preserve">采购代理机构：广西天麒工程管理有限公司  </w:t>
      </w:r>
    </w:p>
    <w:p w14:paraId="0CC4347B">
      <w:pPr>
        <w:snapToGrid w:val="0"/>
        <w:spacing w:line="360" w:lineRule="auto"/>
        <w:jc w:val="center"/>
        <w:rPr>
          <w:rFonts w:hint="eastAsia" w:cs="仿宋_GB2312" w:asciiTheme="minorEastAsia" w:hAnsiTheme="minorEastAsia" w:eastAsiaTheme="minorEastAsia"/>
          <w:bCs/>
          <w:color w:val="000000" w:themeColor="text1"/>
          <w:sz w:val="32"/>
          <w:szCs w:val="32"/>
          <w:lang w:val="en-US" w:eastAsia="zh-CN"/>
          <w14:textFill>
            <w14:solidFill>
              <w14:schemeClr w14:val="tx1"/>
            </w14:solidFill>
          </w14:textFill>
        </w:rPr>
      </w:pPr>
      <w:r>
        <w:rPr>
          <w:rFonts w:hint="eastAsia" w:cs="仿宋_GB2312" w:asciiTheme="minorEastAsia" w:hAnsiTheme="minorEastAsia" w:eastAsiaTheme="minorEastAsia"/>
          <w:bCs/>
          <w:color w:val="000000" w:themeColor="text1"/>
          <w:sz w:val="32"/>
          <w:szCs w:val="32"/>
          <w14:textFill>
            <w14:solidFill>
              <w14:schemeClr w14:val="tx1"/>
            </w14:solidFill>
          </w14:textFill>
        </w:rPr>
        <w:t>二</w:t>
      </w:r>
      <w:r>
        <w:rPr>
          <w:rFonts w:hint="eastAsia" w:cs="宋体" w:asciiTheme="minorEastAsia" w:hAnsiTheme="minorEastAsia" w:eastAsiaTheme="minorEastAsia"/>
          <w:bCs/>
          <w:color w:val="000000" w:themeColor="text1"/>
          <w:sz w:val="32"/>
          <w:szCs w:val="32"/>
          <w14:textFill>
            <w14:solidFill>
              <w14:schemeClr w14:val="tx1"/>
            </w14:solidFill>
          </w14:textFill>
        </w:rPr>
        <w:t>〇</w:t>
      </w:r>
      <w:r>
        <w:rPr>
          <w:rFonts w:hint="eastAsia" w:cs="仿宋_GB2312" w:asciiTheme="minorEastAsia" w:hAnsiTheme="minorEastAsia" w:eastAsiaTheme="minorEastAsia"/>
          <w:bCs/>
          <w:color w:val="000000" w:themeColor="text1"/>
          <w:sz w:val="32"/>
          <w:szCs w:val="32"/>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t>五</w:t>
      </w:r>
      <w:r>
        <w:rPr>
          <w:rFonts w:hint="eastAsia" w:cs="仿宋_GB2312" w:asciiTheme="minorEastAsia" w:hAnsiTheme="minorEastAsia" w:eastAsiaTheme="minorEastAsia"/>
          <w:bCs/>
          <w:color w:val="000000" w:themeColor="text1"/>
          <w:sz w:val="32"/>
          <w:szCs w:val="32"/>
          <w14:textFill>
            <w14:solidFill>
              <w14:schemeClr w14:val="tx1"/>
            </w14:solidFill>
          </w14:textFill>
        </w:rPr>
        <w:t>年</w:t>
      </w:r>
      <w:r>
        <w:rPr>
          <w:rFonts w:hint="eastAsia" w:cs="仿宋_GB2312" w:asciiTheme="minorEastAsia" w:hAnsiTheme="minorEastAsia" w:eastAsiaTheme="minorEastAsia"/>
          <w:bCs/>
          <w:color w:val="000000" w:themeColor="text1"/>
          <w:sz w:val="32"/>
          <w:szCs w:val="32"/>
          <w:lang w:val="en-US" w:eastAsia="zh-CN"/>
          <w14:textFill>
            <w14:solidFill>
              <w14:schemeClr w14:val="tx1"/>
            </w14:solidFill>
          </w14:textFill>
        </w:rPr>
        <w:t>五</w:t>
      </w:r>
      <w:r>
        <w:rPr>
          <w:rFonts w:hint="eastAsia" w:cs="仿宋_GB2312" w:asciiTheme="minorEastAsia" w:hAnsiTheme="minorEastAsia" w:eastAsiaTheme="minorEastAsia"/>
          <w:bCs/>
          <w:color w:val="000000" w:themeColor="text1"/>
          <w:sz w:val="32"/>
          <w:szCs w:val="32"/>
          <w14:textFill>
            <w14:solidFill>
              <w14:schemeClr w14:val="tx1"/>
            </w14:solidFill>
          </w14:textFill>
        </w:rPr>
        <w:t>月</w:t>
      </w:r>
      <w:r>
        <w:rPr>
          <w:rFonts w:hint="eastAsia" w:cs="仿宋_GB2312" w:asciiTheme="minorEastAsia" w:hAnsiTheme="minorEastAsia" w:eastAsiaTheme="minorEastAsia"/>
          <w:bCs/>
          <w:color w:val="000000" w:themeColor="text1"/>
          <w:sz w:val="32"/>
          <w:szCs w:val="32"/>
          <w:lang w:val="en-US" w:eastAsia="zh-CN"/>
          <w14:textFill>
            <w14:solidFill>
              <w14:schemeClr w14:val="tx1"/>
            </w14:solidFill>
          </w14:textFill>
        </w:rPr>
        <w:t xml:space="preserve">  </w:t>
      </w:r>
    </w:p>
    <w:p w14:paraId="6EEF0A13">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br w:type="page"/>
      </w:r>
      <w:bookmarkStart w:id="0" w:name="_Hlt67893495"/>
      <w:bookmarkEnd w:id="0"/>
    </w:p>
    <w:p w14:paraId="6F1D66BD">
      <w:pPr>
        <w:tabs>
          <w:tab w:val="left" w:pos="2268"/>
        </w:tabs>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410D6DFD">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14:paraId="376EB8D6">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20911E5C">
      <w:pPr>
        <w:pStyle w:val="42"/>
        <w:keepNext w:val="0"/>
        <w:keepLines w:val="0"/>
        <w:pageBreakBefore w:val="0"/>
        <w:widowControl w:val="0"/>
        <w:tabs>
          <w:tab w:val="right" w:leader="dot" w:pos="9972"/>
        </w:tabs>
        <w:kinsoku/>
        <w:wordWrap/>
        <w:overflowPunct/>
        <w:topLinePunct w:val="0"/>
        <w:autoSpaceDE/>
        <w:autoSpaceDN/>
        <w:bidi w:val="0"/>
        <w:adjustRightInd w:val="0"/>
        <w:snapToGrid/>
        <w:spacing w:line="240" w:lineRule="auto"/>
        <w:ind w:firstLine="0" w:firstLineChars="0"/>
        <w:jc w:val="center"/>
        <w:textAlignment w:val="auto"/>
        <w:rPr>
          <w:sz w:val="28"/>
          <w:szCs w:val="28"/>
        </w:rPr>
      </w:pPr>
      <w:bookmarkStart w:id="1" w:name="_Hlt91233176"/>
      <w:bookmarkEnd w:id="1"/>
      <w:bookmarkStart w:id="2" w:name="_Toc91899869"/>
      <w:r>
        <w:rPr>
          <w:rFonts w:cs="仿宋_GB2312" w:asciiTheme="minorEastAsia" w:hAnsiTheme="minorEastAsia" w:eastAsiaTheme="minorEastAsia"/>
          <w:color w:val="000000" w:themeColor="text1"/>
          <w:sz w:val="32"/>
          <w:szCs w:val="32"/>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TOC \o "1-1" \h \z \u </w:instrText>
      </w:r>
      <w:r>
        <w:rPr>
          <w:rFonts w:cs="仿宋_GB2312" w:asciiTheme="minorEastAsia" w:hAnsiTheme="minorEastAsia" w:eastAsiaTheme="minorEastAsia"/>
          <w:color w:val="000000" w:themeColor="text1"/>
          <w:sz w:val="32"/>
          <w:szCs w:val="32"/>
          <w14:textFill>
            <w14:solidFill>
              <w14:schemeClr w14:val="tx1"/>
            </w14:solidFill>
          </w14:textFill>
        </w:rPr>
        <w:fldChar w:fldCharType="separate"/>
      </w:r>
      <w:r>
        <w:rPr>
          <w:rFonts w:cs="仿宋_GB2312" w:asciiTheme="minorEastAsia" w:hAnsiTheme="minorEastAsia" w:eastAsiaTheme="minorEastAsia"/>
          <w:color w:val="000000" w:themeColor="text1"/>
          <w:sz w:val="28"/>
          <w:szCs w:val="28"/>
          <w14:textFill>
            <w14:solidFill>
              <w14:schemeClr w14:val="tx1"/>
            </w14:solidFill>
          </w14:textFill>
        </w:rPr>
        <w:fldChar w:fldCharType="begin"/>
      </w:r>
      <w:r>
        <w:rPr>
          <w:rFonts w:cs="仿宋_GB2312" w:asciiTheme="minorEastAsia" w:hAnsiTheme="minorEastAsia" w:eastAsiaTheme="minorEastAsia"/>
          <w:sz w:val="28"/>
          <w:szCs w:val="28"/>
        </w:rPr>
        <w:instrText xml:space="preserve"> HYPERLINK \l _Toc21133 </w:instrText>
      </w:r>
      <w:r>
        <w:rPr>
          <w:rFonts w:cs="仿宋_GB2312" w:asciiTheme="minorEastAsia" w:hAnsiTheme="minorEastAsia" w:eastAsiaTheme="minorEastAsia"/>
          <w:sz w:val="28"/>
          <w:szCs w:val="28"/>
        </w:rPr>
        <w:fldChar w:fldCharType="separate"/>
      </w:r>
      <w:r>
        <w:rPr>
          <w:rFonts w:hint="eastAsia" w:cs="仿宋_GB2312" w:asciiTheme="minorEastAsia" w:hAnsiTheme="minorEastAsia" w:eastAsiaTheme="minorEastAsia"/>
          <w:sz w:val="28"/>
          <w:szCs w:val="28"/>
        </w:rPr>
        <w:t>第一部分  竞争性谈判公告</w:t>
      </w:r>
      <w:r>
        <w:rPr>
          <w:sz w:val="28"/>
          <w:szCs w:val="28"/>
        </w:rPr>
        <w:tab/>
      </w:r>
      <w:r>
        <w:rPr>
          <w:sz w:val="28"/>
          <w:szCs w:val="28"/>
        </w:rPr>
        <w:fldChar w:fldCharType="begin"/>
      </w:r>
      <w:r>
        <w:rPr>
          <w:sz w:val="28"/>
          <w:szCs w:val="28"/>
        </w:rPr>
        <w:instrText xml:space="preserve"> PAGEREF _Toc21133 \h </w:instrText>
      </w:r>
      <w:r>
        <w:rPr>
          <w:sz w:val="28"/>
          <w:szCs w:val="28"/>
        </w:rPr>
        <w:fldChar w:fldCharType="separate"/>
      </w:r>
      <w:r>
        <w:rPr>
          <w:sz w:val="28"/>
          <w:szCs w:val="28"/>
        </w:rPr>
        <w:t>3</w:t>
      </w:r>
      <w:r>
        <w:rPr>
          <w:sz w:val="28"/>
          <w:szCs w:val="28"/>
        </w:rPr>
        <w:fldChar w:fldCharType="end"/>
      </w:r>
      <w:r>
        <w:rPr>
          <w:rFonts w:cs="仿宋_GB2312" w:asciiTheme="minorEastAsia" w:hAnsiTheme="minorEastAsia" w:eastAsiaTheme="minorEastAsia"/>
          <w:color w:val="000000" w:themeColor="text1"/>
          <w:sz w:val="28"/>
          <w:szCs w:val="28"/>
          <w14:textFill>
            <w14:solidFill>
              <w14:schemeClr w14:val="tx1"/>
            </w14:solidFill>
          </w14:textFill>
        </w:rPr>
        <w:fldChar w:fldCharType="end"/>
      </w:r>
    </w:p>
    <w:p w14:paraId="28EC22E8">
      <w:pPr>
        <w:pStyle w:val="42"/>
        <w:keepNext w:val="0"/>
        <w:keepLines w:val="0"/>
        <w:pageBreakBefore w:val="0"/>
        <w:widowControl w:val="0"/>
        <w:tabs>
          <w:tab w:val="right" w:leader="dot" w:pos="9972"/>
        </w:tabs>
        <w:kinsoku/>
        <w:wordWrap/>
        <w:overflowPunct/>
        <w:topLinePunct w:val="0"/>
        <w:autoSpaceDE/>
        <w:autoSpaceDN/>
        <w:bidi w:val="0"/>
        <w:adjustRightInd w:val="0"/>
        <w:snapToGrid/>
        <w:spacing w:line="360" w:lineRule="auto"/>
        <w:ind w:firstLine="0" w:firstLineChars="0"/>
        <w:jc w:val="center"/>
        <w:textAlignment w:val="auto"/>
        <w:rPr>
          <w:sz w:val="28"/>
          <w:szCs w:val="28"/>
        </w:rPr>
      </w:pPr>
      <w:r>
        <w:rPr>
          <w:rFonts w:cs="仿宋_GB2312" w:asciiTheme="minorEastAsia" w:hAnsiTheme="minorEastAsia" w:eastAsiaTheme="minorEastAsia"/>
          <w:color w:val="000000" w:themeColor="text1"/>
          <w:sz w:val="28"/>
          <w:szCs w:val="28"/>
          <w14:textFill>
            <w14:solidFill>
              <w14:schemeClr w14:val="tx1"/>
            </w14:solidFill>
          </w14:textFill>
        </w:rPr>
        <w:fldChar w:fldCharType="begin"/>
      </w:r>
      <w:r>
        <w:rPr>
          <w:rFonts w:cs="仿宋_GB2312" w:asciiTheme="minorEastAsia" w:hAnsiTheme="minorEastAsia" w:eastAsiaTheme="minorEastAsia"/>
          <w:sz w:val="28"/>
          <w:szCs w:val="28"/>
        </w:rPr>
        <w:instrText xml:space="preserve"> HYPERLINK \l _Toc7875 </w:instrText>
      </w:r>
      <w:r>
        <w:rPr>
          <w:rFonts w:cs="仿宋_GB2312" w:asciiTheme="minorEastAsia" w:hAnsiTheme="minorEastAsia" w:eastAsiaTheme="minorEastAsia"/>
          <w:sz w:val="28"/>
          <w:szCs w:val="28"/>
        </w:rPr>
        <w:fldChar w:fldCharType="separate"/>
      </w:r>
      <w:r>
        <w:rPr>
          <w:rFonts w:hint="eastAsia" w:cs="仿宋_GB2312" w:asciiTheme="minorEastAsia" w:hAnsiTheme="minorEastAsia" w:eastAsiaTheme="minorEastAsia"/>
          <w:sz w:val="28"/>
          <w:szCs w:val="28"/>
        </w:rPr>
        <w:t>第二部分  竞争性谈判流程</w:t>
      </w:r>
      <w:r>
        <w:rPr>
          <w:sz w:val="28"/>
          <w:szCs w:val="28"/>
        </w:rPr>
        <w:tab/>
      </w:r>
      <w:r>
        <w:rPr>
          <w:sz w:val="28"/>
          <w:szCs w:val="28"/>
        </w:rPr>
        <w:fldChar w:fldCharType="begin"/>
      </w:r>
      <w:r>
        <w:rPr>
          <w:sz w:val="28"/>
          <w:szCs w:val="28"/>
        </w:rPr>
        <w:instrText xml:space="preserve"> PAGEREF _Toc7875 \h </w:instrText>
      </w:r>
      <w:r>
        <w:rPr>
          <w:sz w:val="28"/>
          <w:szCs w:val="28"/>
        </w:rPr>
        <w:fldChar w:fldCharType="separate"/>
      </w:r>
      <w:r>
        <w:rPr>
          <w:sz w:val="28"/>
          <w:szCs w:val="28"/>
        </w:rPr>
        <w:t>6</w:t>
      </w:r>
      <w:r>
        <w:rPr>
          <w:sz w:val="28"/>
          <w:szCs w:val="28"/>
        </w:rPr>
        <w:fldChar w:fldCharType="end"/>
      </w:r>
      <w:r>
        <w:rPr>
          <w:rFonts w:cs="仿宋_GB2312" w:asciiTheme="minorEastAsia" w:hAnsiTheme="minorEastAsia" w:eastAsiaTheme="minorEastAsia"/>
          <w:color w:val="000000" w:themeColor="text1"/>
          <w:sz w:val="28"/>
          <w:szCs w:val="28"/>
          <w14:textFill>
            <w14:solidFill>
              <w14:schemeClr w14:val="tx1"/>
            </w14:solidFill>
          </w14:textFill>
        </w:rPr>
        <w:fldChar w:fldCharType="end"/>
      </w:r>
    </w:p>
    <w:p w14:paraId="54B4E4FF">
      <w:pPr>
        <w:pStyle w:val="42"/>
        <w:keepNext w:val="0"/>
        <w:keepLines w:val="0"/>
        <w:pageBreakBefore w:val="0"/>
        <w:widowControl w:val="0"/>
        <w:tabs>
          <w:tab w:val="right" w:leader="dot" w:pos="9972"/>
        </w:tabs>
        <w:kinsoku/>
        <w:wordWrap/>
        <w:overflowPunct/>
        <w:topLinePunct w:val="0"/>
        <w:autoSpaceDE/>
        <w:autoSpaceDN/>
        <w:bidi w:val="0"/>
        <w:adjustRightInd w:val="0"/>
        <w:snapToGrid/>
        <w:spacing w:line="360" w:lineRule="auto"/>
        <w:ind w:firstLine="0" w:firstLineChars="0"/>
        <w:jc w:val="center"/>
        <w:textAlignment w:val="auto"/>
        <w:rPr>
          <w:sz w:val="28"/>
          <w:szCs w:val="28"/>
        </w:rPr>
      </w:pPr>
      <w:r>
        <w:rPr>
          <w:rFonts w:cs="仿宋_GB2312" w:asciiTheme="minorEastAsia" w:hAnsiTheme="minorEastAsia" w:eastAsiaTheme="minorEastAsia"/>
          <w:color w:val="000000" w:themeColor="text1"/>
          <w:sz w:val="28"/>
          <w:szCs w:val="28"/>
          <w14:textFill>
            <w14:solidFill>
              <w14:schemeClr w14:val="tx1"/>
            </w14:solidFill>
          </w14:textFill>
        </w:rPr>
        <w:fldChar w:fldCharType="begin"/>
      </w:r>
      <w:r>
        <w:rPr>
          <w:rFonts w:cs="仿宋_GB2312" w:asciiTheme="minorEastAsia" w:hAnsiTheme="minorEastAsia" w:eastAsiaTheme="minorEastAsia"/>
          <w:sz w:val="28"/>
          <w:szCs w:val="28"/>
        </w:rPr>
        <w:instrText xml:space="preserve"> HYPERLINK \l _Toc27421 </w:instrText>
      </w:r>
      <w:r>
        <w:rPr>
          <w:rFonts w:cs="仿宋_GB2312" w:asciiTheme="minorEastAsia" w:hAnsiTheme="minorEastAsia" w:eastAsiaTheme="minorEastAsia"/>
          <w:sz w:val="28"/>
          <w:szCs w:val="28"/>
        </w:rPr>
        <w:fldChar w:fldCharType="separate"/>
      </w:r>
      <w:r>
        <w:rPr>
          <w:rFonts w:hint="eastAsia" w:cs="仿宋_GB2312" w:asciiTheme="minorEastAsia" w:hAnsiTheme="minorEastAsia" w:eastAsiaTheme="minorEastAsia"/>
          <w:sz w:val="28"/>
          <w:szCs w:val="28"/>
        </w:rPr>
        <w:t>第三部分  供应商须知</w:t>
      </w:r>
      <w:r>
        <w:rPr>
          <w:sz w:val="28"/>
          <w:szCs w:val="28"/>
        </w:rPr>
        <w:tab/>
      </w:r>
      <w:r>
        <w:rPr>
          <w:sz w:val="28"/>
          <w:szCs w:val="28"/>
        </w:rPr>
        <w:fldChar w:fldCharType="begin"/>
      </w:r>
      <w:r>
        <w:rPr>
          <w:sz w:val="28"/>
          <w:szCs w:val="28"/>
        </w:rPr>
        <w:instrText xml:space="preserve"> PAGEREF _Toc27421 \h </w:instrText>
      </w:r>
      <w:r>
        <w:rPr>
          <w:sz w:val="28"/>
          <w:szCs w:val="28"/>
        </w:rPr>
        <w:fldChar w:fldCharType="separate"/>
      </w:r>
      <w:r>
        <w:rPr>
          <w:sz w:val="28"/>
          <w:szCs w:val="28"/>
        </w:rPr>
        <w:t>9</w:t>
      </w:r>
      <w:r>
        <w:rPr>
          <w:sz w:val="28"/>
          <w:szCs w:val="28"/>
        </w:rPr>
        <w:fldChar w:fldCharType="end"/>
      </w:r>
      <w:r>
        <w:rPr>
          <w:rFonts w:cs="仿宋_GB2312" w:asciiTheme="minorEastAsia" w:hAnsiTheme="minorEastAsia" w:eastAsiaTheme="minorEastAsia"/>
          <w:color w:val="000000" w:themeColor="text1"/>
          <w:sz w:val="28"/>
          <w:szCs w:val="28"/>
          <w14:textFill>
            <w14:solidFill>
              <w14:schemeClr w14:val="tx1"/>
            </w14:solidFill>
          </w14:textFill>
        </w:rPr>
        <w:fldChar w:fldCharType="end"/>
      </w:r>
    </w:p>
    <w:p w14:paraId="00ED893B">
      <w:pPr>
        <w:pStyle w:val="42"/>
        <w:keepNext w:val="0"/>
        <w:keepLines w:val="0"/>
        <w:pageBreakBefore w:val="0"/>
        <w:widowControl w:val="0"/>
        <w:tabs>
          <w:tab w:val="right" w:leader="dot" w:pos="9972"/>
        </w:tabs>
        <w:kinsoku/>
        <w:wordWrap/>
        <w:overflowPunct/>
        <w:topLinePunct w:val="0"/>
        <w:autoSpaceDE/>
        <w:autoSpaceDN/>
        <w:bidi w:val="0"/>
        <w:adjustRightInd w:val="0"/>
        <w:snapToGrid/>
        <w:spacing w:line="360" w:lineRule="auto"/>
        <w:ind w:firstLine="0" w:firstLineChars="0"/>
        <w:jc w:val="center"/>
        <w:textAlignment w:val="auto"/>
        <w:rPr>
          <w:sz w:val="28"/>
          <w:szCs w:val="28"/>
        </w:rPr>
      </w:pPr>
      <w:r>
        <w:rPr>
          <w:rFonts w:cs="仿宋_GB2312" w:asciiTheme="minorEastAsia" w:hAnsiTheme="minorEastAsia" w:eastAsiaTheme="minorEastAsia"/>
          <w:color w:val="000000" w:themeColor="text1"/>
          <w:sz w:val="28"/>
          <w:szCs w:val="28"/>
          <w14:textFill>
            <w14:solidFill>
              <w14:schemeClr w14:val="tx1"/>
            </w14:solidFill>
          </w14:textFill>
        </w:rPr>
        <w:fldChar w:fldCharType="begin"/>
      </w:r>
      <w:r>
        <w:rPr>
          <w:rFonts w:cs="仿宋_GB2312" w:asciiTheme="minorEastAsia" w:hAnsiTheme="minorEastAsia" w:eastAsiaTheme="minorEastAsia"/>
          <w:sz w:val="28"/>
          <w:szCs w:val="28"/>
        </w:rPr>
        <w:instrText xml:space="preserve"> HYPERLINK \l _Toc11982 </w:instrText>
      </w:r>
      <w:r>
        <w:rPr>
          <w:rFonts w:cs="仿宋_GB2312" w:asciiTheme="minorEastAsia" w:hAnsiTheme="minorEastAsia" w:eastAsiaTheme="minorEastAsia"/>
          <w:sz w:val="28"/>
          <w:szCs w:val="28"/>
        </w:rPr>
        <w:fldChar w:fldCharType="separate"/>
      </w:r>
      <w:r>
        <w:rPr>
          <w:rFonts w:hint="eastAsia" w:cs="仿宋_GB2312" w:asciiTheme="minorEastAsia" w:hAnsiTheme="minorEastAsia" w:eastAsiaTheme="minorEastAsia"/>
          <w:sz w:val="28"/>
          <w:szCs w:val="28"/>
        </w:rPr>
        <w:t>第四部分  采购需求</w:t>
      </w:r>
      <w:r>
        <w:rPr>
          <w:sz w:val="28"/>
          <w:szCs w:val="28"/>
        </w:rPr>
        <w:tab/>
      </w:r>
      <w:r>
        <w:rPr>
          <w:sz w:val="28"/>
          <w:szCs w:val="28"/>
        </w:rPr>
        <w:fldChar w:fldCharType="begin"/>
      </w:r>
      <w:r>
        <w:rPr>
          <w:sz w:val="28"/>
          <w:szCs w:val="28"/>
        </w:rPr>
        <w:instrText xml:space="preserve"> PAGEREF _Toc11982 \h </w:instrText>
      </w:r>
      <w:r>
        <w:rPr>
          <w:sz w:val="28"/>
          <w:szCs w:val="28"/>
        </w:rPr>
        <w:fldChar w:fldCharType="separate"/>
      </w:r>
      <w:r>
        <w:rPr>
          <w:sz w:val="28"/>
          <w:szCs w:val="28"/>
        </w:rPr>
        <w:t>26</w:t>
      </w:r>
      <w:r>
        <w:rPr>
          <w:sz w:val="28"/>
          <w:szCs w:val="28"/>
        </w:rPr>
        <w:fldChar w:fldCharType="end"/>
      </w:r>
      <w:r>
        <w:rPr>
          <w:rFonts w:cs="仿宋_GB2312" w:asciiTheme="minorEastAsia" w:hAnsiTheme="minorEastAsia" w:eastAsiaTheme="minorEastAsia"/>
          <w:color w:val="000000" w:themeColor="text1"/>
          <w:sz w:val="28"/>
          <w:szCs w:val="28"/>
          <w14:textFill>
            <w14:solidFill>
              <w14:schemeClr w14:val="tx1"/>
            </w14:solidFill>
          </w14:textFill>
        </w:rPr>
        <w:fldChar w:fldCharType="end"/>
      </w:r>
    </w:p>
    <w:p w14:paraId="34318BD1">
      <w:pPr>
        <w:pStyle w:val="42"/>
        <w:keepNext w:val="0"/>
        <w:keepLines w:val="0"/>
        <w:pageBreakBefore w:val="0"/>
        <w:widowControl w:val="0"/>
        <w:tabs>
          <w:tab w:val="right" w:leader="dot" w:pos="9972"/>
        </w:tabs>
        <w:kinsoku/>
        <w:wordWrap/>
        <w:overflowPunct/>
        <w:topLinePunct w:val="0"/>
        <w:autoSpaceDE/>
        <w:autoSpaceDN/>
        <w:bidi w:val="0"/>
        <w:adjustRightInd w:val="0"/>
        <w:snapToGrid/>
        <w:spacing w:line="360" w:lineRule="auto"/>
        <w:ind w:firstLine="0" w:firstLineChars="0"/>
        <w:jc w:val="center"/>
        <w:textAlignment w:val="auto"/>
        <w:rPr>
          <w:sz w:val="28"/>
          <w:szCs w:val="28"/>
        </w:rPr>
      </w:pPr>
      <w:r>
        <w:rPr>
          <w:rFonts w:cs="仿宋_GB2312" w:asciiTheme="minorEastAsia" w:hAnsiTheme="minorEastAsia" w:eastAsiaTheme="minorEastAsia"/>
          <w:color w:val="000000" w:themeColor="text1"/>
          <w:sz w:val="28"/>
          <w:szCs w:val="28"/>
          <w14:textFill>
            <w14:solidFill>
              <w14:schemeClr w14:val="tx1"/>
            </w14:solidFill>
          </w14:textFill>
        </w:rPr>
        <w:fldChar w:fldCharType="begin"/>
      </w:r>
      <w:r>
        <w:rPr>
          <w:rFonts w:cs="仿宋_GB2312" w:asciiTheme="minorEastAsia" w:hAnsiTheme="minorEastAsia" w:eastAsiaTheme="minorEastAsia"/>
          <w:sz w:val="28"/>
          <w:szCs w:val="28"/>
        </w:rPr>
        <w:instrText xml:space="preserve"> HYPERLINK \l _Toc30319 </w:instrText>
      </w:r>
      <w:r>
        <w:rPr>
          <w:rFonts w:cs="仿宋_GB2312" w:asciiTheme="minorEastAsia" w:hAnsiTheme="minorEastAsia" w:eastAsiaTheme="minorEastAsia"/>
          <w:sz w:val="28"/>
          <w:szCs w:val="28"/>
        </w:rPr>
        <w:fldChar w:fldCharType="separate"/>
      </w:r>
      <w:r>
        <w:rPr>
          <w:rFonts w:hint="eastAsia" w:cs="仿宋_GB2312" w:asciiTheme="minorEastAsia" w:hAnsiTheme="minorEastAsia" w:eastAsiaTheme="minorEastAsia"/>
          <w:sz w:val="28"/>
          <w:szCs w:val="28"/>
        </w:rPr>
        <w:t>第五部分  评定标准</w:t>
      </w:r>
      <w:r>
        <w:rPr>
          <w:sz w:val="28"/>
          <w:szCs w:val="28"/>
        </w:rPr>
        <w:tab/>
      </w:r>
      <w:r>
        <w:rPr>
          <w:sz w:val="28"/>
          <w:szCs w:val="28"/>
        </w:rPr>
        <w:fldChar w:fldCharType="begin"/>
      </w:r>
      <w:r>
        <w:rPr>
          <w:sz w:val="28"/>
          <w:szCs w:val="28"/>
        </w:rPr>
        <w:instrText xml:space="preserve"> PAGEREF _Toc30319 \h </w:instrText>
      </w:r>
      <w:r>
        <w:rPr>
          <w:sz w:val="28"/>
          <w:szCs w:val="28"/>
        </w:rPr>
        <w:fldChar w:fldCharType="separate"/>
      </w:r>
      <w:r>
        <w:rPr>
          <w:sz w:val="28"/>
          <w:szCs w:val="28"/>
        </w:rPr>
        <w:t>26</w:t>
      </w:r>
      <w:r>
        <w:rPr>
          <w:sz w:val="28"/>
          <w:szCs w:val="28"/>
        </w:rPr>
        <w:fldChar w:fldCharType="end"/>
      </w:r>
      <w:r>
        <w:rPr>
          <w:rFonts w:cs="仿宋_GB2312" w:asciiTheme="minorEastAsia" w:hAnsiTheme="minorEastAsia" w:eastAsiaTheme="minorEastAsia"/>
          <w:color w:val="000000" w:themeColor="text1"/>
          <w:sz w:val="28"/>
          <w:szCs w:val="28"/>
          <w14:textFill>
            <w14:solidFill>
              <w14:schemeClr w14:val="tx1"/>
            </w14:solidFill>
          </w14:textFill>
        </w:rPr>
        <w:fldChar w:fldCharType="end"/>
      </w:r>
    </w:p>
    <w:p w14:paraId="1A626086">
      <w:pPr>
        <w:pStyle w:val="42"/>
        <w:keepNext w:val="0"/>
        <w:keepLines w:val="0"/>
        <w:pageBreakBefore w:val="0"/>
        <w:widowControl w:val="0"/>
        <w:tabs>
          <w:tab w:val="right" w:leader="dot" w:pos="9972"/>
        </w:tabs>
        <w:kinsoku/>
        <w:wordWrap/>
        <w:overflowPunct/>
        <w:topLinePunct w:val="0"/>
        <w:autoSpaceDE/>
        <w:autoSpaceDN/>
        <w:bidi w:val="0"/>
        <w:adjustRightInd w:val="0"/>
        <w:snapToGrid/>
        <w:spacing w:line="360" w:lineRule="auto"/>
        <w:ind w:firstLine="0" w:firstLineChars="0"/>
        <w:jc w:val="center"/>
        <w:textAlignment w:val="auto"/>
        <w:rPr>
          <w:sz w:val="28"/>
          <w:szCs w:val="28"/>
        </w:rPr>
      </w:pPr>
      <w:r>
        <w:rPr>
          <w:rFonts w:cs="仿宋_GB2312" w:asciiTheme="minorEastAsia" w:hAnsiTheme="minorEastAsia" w:eastAsiaTheme="minorEastAsia"/>
          <w:color w:val="000000" w:themeColor="text1"/>
          <w:sz w:val="28"/>
          <w:szCs w:val="28"/>
          <w14:textFill>
            <w14:solidFill>
              <w14:schemeClr w14:val="tx1"/>
            </w14:solidFill>
          </w14:textFill>
        </w:rPr>
        <w:fldChar w:fldCharType="begin"/>
      </w:r>
      <w:r>
        <w:rPr>
          <w:rFonts w:cs="仿宋_GB2312" w:asciiTheme="minorEastAsia" w:hAnsiTheme="minorEastAsia" w:eastAsiaTheme="minorEastAsia"/>
          <w:sz w:val="28"/>
          <w:szCs w:val="28"/>
        </w:rPr>
        <w:instrText xml:space="preserve"> HYPERLINK \l _Toc158 </w:instrText>
      </w:r>
      <w:r>
        <w:rPr>
          <w:rFonts w:cs="仿宋_GB2312" w:asciiTheme="minorEastAsia" w:hAnsiTheme="minorEastAsia" w:eastAsiaTheme="minorEastAsia"/>
          <w:sz w:val="28"/>
          <w:szCs w:val="28"/>
        </w:rPr>
        <w:fldChar w:fldCharType="separate"/>
      </w:r>
      <w:r>
        <w:rPr>
          <w:rFonts w:hint="eastAsia" w:cs="仿宋_GB2312" w:asciiTheme="minorEastAsia" w:hAnsiTheme="minorEastAsia" w:eastAsiaTheme="minorEastAsia"/>
          <w:sz w:val="28"/>
          <w:szCs w:val="28"/>
        </w:rPr>
        <w:t>第六部分  拟签订的合同文本</w:t>
      </w:r>
      <w:r>
        <w:rPr>
          <w:sz w:val="28"/>
          <w:szCs w:val="28"/>
        </w:rPr>
        <w:tab/>
      </w:r>
      <w:r>
        <w:rPr>
          <w:sz w:val="28"/>
          <w:szCs w:val="28"/>
        </w:rPr>
        <w:fldChar w:fldCharType="begin"/>
      </w:r>
      <w:r>
        <w:rPr>
          <w:sz w:val="28"/>
          <w:szCs w:val="28"/>
        </w:rPr>
        <w:instrText xml:space="preserve"> PAGEREF _Toc158 \h </w:instrText>
      </w:r>
      <w:r>
        <w:rPr>
          <w:sz w:val="28"/>
          <w:szCs w:val="28"/>
        </w:rPr>
        <w:fldChar w:fldCharType="separate"/>
      </w:r>
      <w:r>
        <w:rPr>
          <w:sz w:val="28"/>
          <w:szCs w:val="28"/>
        </w:rPr>
        <w:t>47</w:t>
      </w:r>
      <w:r>
        <w:rPr>
          <w:sz w:val="28"/>
          <w:szCs w:val="28"/>
        </w:rPr>
        <w:fldChar w:fldCharType="end"/>
      </w:r>
      <w:r>
        <w:rPr>
          <w:rFonts w:cs="仿宋_GB2312" w:asciiTheme="minorEastAsia" w:hAnsiTheme="minorEastAsia" w:eastAsiaTheme="minorEastAsia"/>
          <w:color w:val="000000" w:themeColor="text1"/>
          <w:sz w:val="28"/>
          <w:szCs w:val="28"/>
          <w14:textFill>
            <w14:solidFill>
              <w14:schemeClr w14:val="tx1"/>
            </w14:solidFill>
          </w14:textFill>
        </w:rPr>
        <w:fldChar w:fldCharType="end"/>
      </w:r>
    </w:p>
    <w:p w14:paraId="643CBA84">
      <w:pPr>
        <w:pStyle w:val="42"/>
        <w:keepNext w:val="0"/>
        <w:keepLines w:val="0"/>
        <w:pageBreakBefore w:val="0"/>
        <w:widowControl w:val="0"/>
        <w:tabs>
          <w:tab w:val="right" w:leader="dot" w:pos="9972"/>
        </w:tabs>
        <w:kinsoku/>
        <w:wordWrap/>
        <w:overflowPunct/>
        <w:topLinePunct w:val="0"/>
        <w:autoSpaceDE/>
        <w:autoSpaceDN/>
        <w:bidi w:val="0"/>
        <w:adjustRightInd w:val="0"/>
        <w:snapToGrid/>
        <w:spacing w:line="360" w:lineRule="auto"/>
        <w:ind w:firstLine="0" w:firstLineChars="0"/>
        <w:jc w:val="center"/>
        <w:textAlignment w:val="auto"/>
        <w:rPr>
          <w:sz w:val="28"/>
          <w:szCs w:val="28"/>
        </w:rPr>
      </w:pPr>
      <w:r>
        <w:rPr>
          <w:rFonts w:cs="仿宋_GB2312" w:asciiTheme="minorEastAsia" w:hAnsiTheme="minorEastAsia" w:eastAsiaTheme="minorEastAsia"/>
          <w:color w:val="000000" w:themeColor="text1"/>
          <w:sz w:val="28"/>
          <w:szCs w:val="28"/>
          <w14:textFill>
            <w14:solidFill>
              <w14:schemeClr w14:val="tx1"/>
            </w14:solidFill>
          </w14:textFill>
        </w:rPr>
        <w:fldChar w:fldCharType="begin"/>
      </w:r>
      <w:r>
        <w:rPr>
          <w:rFonts w:cs="仿宋_GB2312" w:asciiTheme="minorEastAsia" w:hAnsiTheme="minorEastAsia" w:eastAsiaTheme="minorEastAsia"/>
          <w:sz w:val="28"/>
          <w:szCs w:val="28"/>
        </w:rPr>
        <w:instrText xml:space="preserve"> HYPERLINK \l _Toc13129 </w:instrText>
      </w:r>
      <w:r>
        <w:rPr>
          <w:rFonts w:cs="仿宋_GB2312" w:asciiTheme="minorEastAsia" w:hAnsiTheme="minorEastAsia" w:eastAsiaTheme="minorEastAsia"/>
          <w:sz w:val="28"/>
          <w:szCs w:val="28"/>
        </w:rPr>
        <w:fldChar w:fldCharType="separate"/>
      </w:r>
      <w:r>
        <w:rPr>
          <w:rFonts w:hint="eastAsia" w:cs="仿宋_GB2312" w:asciiTheme="minorEastAsia" w:hAnsiTheme="minorEastAsia" w:eastAsiaTheme="minorEastAsia"/>
          <w:sz w:val="28"/>
          <w:szCs w:val="28"/>
        </w:rPr>
        <w:t>第七部分  应提交的有关格式范例</w:t>
      </w:r>
      <w:r>
        <w:rPr>
          <w:sz w:val="28"/>
          <w:szCs w:val="28"/>
        </w:rPr>
        <w:tab/>
      </w:r>
      <w:r>
        <w:rPr>
          <w:sz w:val="28"/>
          <w:szCs w:val="28"/>
        </w:rPr>
        <w:fldChar w:fldCharType="begin"/>
      </w:r>
      <w:r>
        <w:rPr>
          <w:sz w:val="28"/>
          <w:szCs w:val="28"/>
        </w:rPr>
        <w:instrText xml:space="preserve"> PAGEREF _Toc13129 \h </w:instrText>
      </w:r>
      <w:r>
        <w:rPr>
          <w:sz w:val="28"/>
          <w:szCs w:val="28"/>
        </w:rPr>
        <w:fldChar w:fldCharType="separate"/>
      </w:r>
      <w:r>
        <w:rPr>
          <w:sz w:val="28"/>
          <w:szCs w:val="28"/>
        </w:rPr>
        <w:t>55</w:t>
      </w:r>
      <w:r>
        <w:rPr>
          <w:sz w:val="28"/>
          <w:szCs w:val="28"/>
        </w:rPr>
        <w:fldChar w:fldCharType="end"/>
      </w:r>
      <w:r>
        <w:rPr>
          <w:rFonts w:cs="仿宋_GB2312" w:asciiTheme="minorEastAsia" w:hAnsiTheme="minorEastAsia" w:eastAsiaTheme="minorEastAsia"/>
          <w:color w:val="000000" w:themeColor="text1"/>
          <w:sz w:val="28"/>
          <w:szCs w:val="28"/>
          <w14:textFill>
            <w14:solidFill>
              <w14:schemeClr w14:val="tx1"/>
            </w14:solidFill>
          </w14:textFill>
        </w:rPr>
        <w:fldChar w:fldCharType="end"/>
      </w:r>
    </w:p>
    <w:p w14:paraId="0A788C7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Cs w:val="32"/>
          <w14:textFill>
            <w14:solidFill>
              <w14:schemeClr w14:val="tx1"/>
            </w14:solidFill>
          </w14:textFill>
        </w:rPr>
        <w:fldChar w:fldCharType="end"/>
      </w:r>
    </w:p>
    <w:p w14:paraId="2809923D">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1ABD2506">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BE1E2BE">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FB94F60">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01B6C19B">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25FACC51">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7BEF9591">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75292E6E">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AB4624B">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0AED4DE0">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6C97C44">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2893064">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2214944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68239465">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3" w:name="第一部分"/>
      <w:r>
        <w:rPr>
          <w:rFonts w:hint="eastAsia" w:cs="仿宋_GB2312" w:asciiTheme="minorEastAsia" w:hAnsiTheme="minorEastAsia" w:eastAsiaTheme="minorEastAsia"/>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_Toc21133"/>
      <w:bookmarkStart w:id="9" w:name="第二部分"/>
      <w:bookmarkStart w:id="10" w:name="_Toc91899870"/>
      <w:bookmarkStart w:id="11" w:name="_Toc91899871"/>
      <w:r>
        <w:rPr>
          <w:rFonts w:hint="eastAsia" w:cs="仿宋_GB2312" w:asciiTheme="minorEastAsia" w:hAnsiTheme="minorEastAsia" w:eastAsiaTheme="minorEastAsia"/>
          <w:b/>
          <w:color w:val="000000" w:themeColor="text1"/>
          <w:sz w:val="36"/>
          <w:szCs w:val="20"/>
          <w14:textFill>
            <w14:solidFill>
              <w14:schemeClr w14:val="tx1"/>
            </w14:solidFill>
          </w14:textFill>
        </w:rPr>
        <w:t>第一部分  竞争性谈判公告</w:t>
      </w:r>
      <w:bookmarkEnd w:id="8"/>
    </w:p>
    <w:p w14:paraId="094A1DDE">
      <w:pPr>
        <w:spacing w:line="360" w:lineRule="auto"/>
        <w:jc w:val="center"/>
        <w:rPr>
          <w:rFonts w:hint="eastAsia" w:asciiTheme="minorEastAsia" w:hAnsiTheme="minorEastAsia" w:eastAsia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lang w:val="en-US" w:eastAsia="zh-CN"/>
          <w14:textFill>
            <w14:solidFill>
              <w14:schemeClr w14:val="tx1"/>
            </w14:solidFill>
          </w14:textFill>
        </w:rPr>
        <w:t>广西天麒工程管理有限公司关于</w:t>
      </w:r>
      <w:r>
        <w:rPr>
          <w:rFonts w:hint="eastAsia" w:asciiTheme="minorEastAsia" w:hAnsiTheme="minorEastAsia" w:eastAsiaTheme="minorEastAsia"/>
          <w:b/>
          <w:bCs/>
          <w:color w:val="000000" w:themeColor="text1"/>
          <w:sz w:val="30"/>
          <w:szCs w:val="30"/>
          <w:lang w:eastAsia="zh-CN"/>
          <w14:textFill>
            <w14:solidFill>
              <w14:schemeClr w14:val="tx1"/>
            </w14:solidFill>
          </w14:textFill>
        </w:rPr>
        <w:t>2025年专用设备购置</w:t>
      </w:r>
    </w:p>
    <w:p w14:paraId="716D039C">
      <w:pPr>
        <w:spacing w:line="360" w:lineRule="auto"/>
        <w:jc w:val="center"/>
        <w:rPr>
          <w:rFonts w:hint="eastAsia" w:asciiTheme="minorEastAsia" w:hAnsiTheme="minorEastAsia" w:eastAsia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b/>
          <w:bCs/>
          <w:color w:val="000000" w:themeColor="text1"/>
          <w:sz w:val="30"/>
          <w:szCs w:val="30"/>
          <w:lang w:val="en-US" w:eastAsia="zh-CN"/>
          <w14:textFill>
            <w14:solidFill>
              <w14:schemeClr w14:val="tx1"/>
            </w14:solidFill>
          </w14:textFill>
        </w:rPr>
        <w:t>项目编号：GXZC2025-J1-001232-GXTQ</w:t>
      </w:r>
      <w:r>
        <w:rPr>
          <w:rFonts w:hint="eastAsia" w:asciiTheme="minorEastAsia" w:hAnsiTheme="minorEastAsia" w:eastAsiaTheme="minorEastAsia"/>
          <w:b/>
          <w:bCs/>
          <w:color w:val="000000" w:themeColor="text1"/>
          <w:sz w:val="30"/>
          <w:szCs w:val="30"/>
          <w14:textFill>
            <w14:solidFill>
              <w14:schemeClr w14:val="tx1"/>
            </w14:solidFill>
          </w14:textFill>
        </w:rPr>
        <w:t>)竞争性谈判采购公告</w:t>
      </w:r>
    </w:p>
    <w:p w14:paraId="27B3CCF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0183147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lang w:eastAsia="zh-CN"/>
          <w14:textFill>
            <w14:solidFill>
              <w14:schemeClr w14:val="tx1"/>
            </w14:solidFill>
          </w14:textFill>
        </w:rPr>
        <w:t>2025年专用设备购置</w:t>
      </w:r>
      <w:r>
        <w:rPr>
          <w:rFonts w:hint="eastAsia" w:asciiTheme="minorEastAsia" w:hAnsiTheme="minorEastAsia" w:eastAsiaTheme="minorEastAsia"/>
          <w:color w:val="000000" w:themeColor="text1"/>
          <w:sz w:val="24"/>
          <w14:textFill>
            <w14:solidFill>
              <w14:schemeClr w14:val="tx1"/>
            </w14:solidFill>
          </w14:textFill>
        </w:rPr>
        <w:t>采购项目的潜在供应商应在</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获取采购文件，并于</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26</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9</w:t>
      </w:r>
      <w:r>
        <w:rPr>
          <w:rFonts w:hint="eastAsia" w:asciiTheme="minorEastAsia" w:hAnsiTheme="minorEastAsia" w:eastAsiaTheme="minorEastAsia"/>
          <w:bCs/>
          <w:color w:val="000000" w:themeColor="text1"/>
          <w:sz w:val="24"/>
          <w:u w:val="single"/>
          <w14:textFill>
            <w14:solidFill>
              <w14:schemeClr w14:val="tx1"/>
            </w14:solidFill>
          </w14:textFill>
        </w:rPr>
        <w:t xml:space="preserve">点     </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（北京时间）前提交响应文件</w:t>
      </w:r>
      <w:r>
        <w:rPr>
          <w:rFonts w:hint="eastAsia" w:asciiTheme="minorEastAsia" w:hAnsiTheme="minorEastAsia" w:eastAsiaTheme="minorEastAsia"/>
          <w:color w:val="000000" w:themeColor="text1"/>
          <w:sz w:val="24"/>
          <w14:textFill>
            <w14:solidFill>
              <w14:schemeClr w14:val="tx1"/>
            </w14:solidFill>
          </w14:textFill>
        </w:rPr>
        <w:t>。</w:t>
      </w:r>
    </w:p>
    <w:p w14:paraId="2F65A3C9">
      <w:pPr>
        <w:keepNext w:val="0"/>
        <w:keepLines w:val="0"/>
        <w:pageBreakBefore w:val="0"/>
        <w:widowControl w:val="0"/>
        <w:kinsoku/>
        <w:wordWrap/>
        <w:overflowPunct/>
        <w:topLinePunct w:val="0"/>
        <w:autoSpaceDE/>
        <w:autoSpaceDN/>
        <w:bidi w:val="0"/>
        <w:adjustRightInd w:val="0"/>
        <w:spacing w:line="336" w:lineRule="auto"/>
        <w:textAlignment w:val="auto"/>
        <w:rPr>
          <w:rFonts w:asciiTheme="minorEastAsia" w:hAnsiTheme="minorEastAsia" w:eastAsiaTheme="minorEastAsia"/>
          <w:color w:val="000000" w:themeColor="text1"/>
          <w:sz w:val="24"/>
          <w14:textFill>
            <w14:solidFill>
              <w14:schemeClr w14:val="tx1"/>
            </w14:solidFill>
          </w14:textFill>
        </w:rPr>
      </w:pPr>
    </w:p>
    <w:p w14:paraId="2F4B6492">
      <w:pPr>
        <w:pStyle w:val="633"/>
        <w:keepNext w:val="0"/>
        <w:keepLines w:val="0"/>
        <w:pageBreakBefore w:val="0"/>
        <w:widowControl w:val="0"/>
        <w:kinsoku/>
        <w:wordWrap/>
        <w:overflowPunct/>
        <w:topLinePunct w:val="0"/>
        <w:autoSpaceDE/>
        <w:autoSpaceDN/>
        <w:bidi w:val="0"/>
        <w:adjustRightInd w:val="0"/>
        <w:spacing w:line="336" w:lineRule="auto"/>
        <w:ind w:firstLine="0"/>
        <w:textAlignment w:val="auto"/>
        <w:rPr>
          <w:b/>
          <w:color w:val="000000" w:themeColor="text1"/>
          <w14:textFill>
            <w14:solidFill>
              <w14:schemeClr w14:val="tx1"/>
            </w14:solidFill>
          </w14:textFill>
        </w:rPr>
      </w:pPr>
      <w:bookmarkStart w:id="12" w:name="_Toc28359012"/>
      <w:bookmarkStart w:id="13" w:name="_Toc35393798"/>
      <w:bookmarkStart w:id="14" w:name="_Toc28359089"/>
      <w:bookmarkStart w:id="15" w:name="_Toc35393629"/>
      <w:r>
        <w:rPr>
          <w:rFonts w:hint="eastAsia"/>
          <w:b/>
          <w:color w:val="000000" w:themeColor="text1"/>
          <w14:textFill>
            <w14:solidFill>
              <w14:schemeClr w14:val="tx1"/>
            </w14:solidFill>
          </w14:textFill>
        </w:rPr>
        <w:t>一、项目基本情况</w:t>
      </w:r>
      <w:bookmarkEnd w:id="12"/>
      <w:bookmarkEnd w:id="13"/>
      <w:bookmarkEnd w:id="14"/>
      <w:bookmarkEnd w:id="15"/>
    </w:p>
    <w:p w14:paraId="2B4E5DB9">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项目编号：GXZC2025-J1-001232-GXTQ</w:t>
      </w:r>
    </w:p>
    <w:p w14:paraId="43C2D843">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项目名称：</w:t>
      </w:r>
      <w:r>
        <w:rPr>
          <w:rFonts w:hint="eastAsia" w:asciiTheme="minorEastAsia" w:hAnsiTheme="minorEastAsia" w:eastAsiaTheme="minorEastAsia"/>
          <w:color w:val="000000" w:themeColor="text1"/>
          <w:sz w:val="24"/>
          <w:lang w:val="en-US" w:eastAsia="zh-CN"/>
          <w14:textFill>
            <w14:solidFill>
              <w14:schemeClr w14:val="tx1"/>
            </w14:solidFill>
          </w14:textFill>
        </w:rPr>
        <w:t>2025年专用设备购置</w:t>
      </w:r>
    </w:p>
    <w:p w14:paraId="12F98FA7">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采购方式：竞争性谈判</w:t>
      </w:r>
    </w:p>
    <w:p w14:paraId="680E37B0">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eastAsia" w:asciiTheme="minorEastAsia" w:hAnsiTheme="minorEastAsia" w:eastAsiaTheme="minorEastAsia"/>
          <w:color w:val="000000" w:themeColor="text1"/>
          <w:sz w:val="24"/>
          <w:lang w:val="en-US" w:eastAsia="zh-CN"/>
          <w14:textFill>
            <w14:solidFill>
              <w14:schemeClr w14:val="tx1"/>
            </w14:solidFill>
          </w14:textFill>
        </w:rPr>
        <w:t>1365000.00</w:t>
      </w:r>
    </w:p>
    <w:p w14:paraId="6EE7F0A3">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最高限价（元）：</w:t>
      </w:r>
      <w:r>
        <w:rPr>
          <w:rFonts w:hint="eastAsia" w:asciiTheme="minorEastAsia" w:hAnsiTheme="minorEastAsia" w:eastAsiaTheme="minorEastAsia"/>
          <w:color w:val="000000" w:themeColor="text1"/>
          <w:sz w:val="24"/>
          <w:lang w:val="en-US" w:eastAsia="zh-CN"/>
          <w14:textFill>
            <w14:solidFill>
              <w14:schemeClr w14:val="tx1"/>
            </w14:solidFill>
          </w14:textFill>
        </w:rPr>
        <w:t>1365000.00</w:t>
      </w:r>
    </w:p>
    <w:p w14:paraId="028A8D8B">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r>
        <w:rPr>
          <w:rFonts w:hint="eastAsia" w:asciiTheme="minorEastAsia" w:hAnsiTheme="minorEastAsia" w:eastAsiaTheme="minorEastAsia"/>
          <w:color w:val="000000" w:themeColor="text1"/>
          <w:sz w:val="24"/>
          <w:lang w:val="en-US" w:eastAsia="zh-CN"/>
          <w14:textFill>
            <w14:solidFill>
              <w14:schemeClr w14:val="tx1"/>
            </w14:solidFill>
          </w14:textFill>
        </w:rPr>
        <w:t>采购2025年专用设备一批，详见竞争性谈判文件</w:t>
      </w:r>
      <w:r>
        <w:rPr>
          <w:rFonts w:hint="eastAsia" w:cs="仿宋_GB2312" w:asciiTheme="minorEastAsia" w:hAnsiTheme="minorEastAsia" w:eastAsiaTheme="minorEastAsia"/>
          <w:color w:val="000000" w:themeColor="text1"/>
          <w:sz w:val="24"/>
          <w14:textFill>
            <w14:solidFill>
              <w14:schemeClr w14:val="tx1"/>
            </w14:solidFill>
          </w14:textFill>
        </w:rPr>
        <w:t>。</w:t>
      </w:r>
    </w:p>
    <w:p w14:paraId="6C762B44">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合同履行期限：营养盐在线分析仪自签订合同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之日起95个日历日</w:t>
      </w:r>
      <w:r>
        <w:rPr>
          <w:rFonts w:hint="eastAsia" w:asciiTheme="minorEastAsia" w:hAnsiTheme="minorEastAsia" w:eastAsiaTheme="minorEastAsia"/>
          <w:color w:val="000000" w:themeColor="text1"/>
          <w:sz w:val="24"/>
          <w:highlight w:val="none"/>
          <w14:textFill>
            <w14:solidFill>
              <w14:schemeClr w14:val="tx1"/>
            </w14:solidFill>
          </w14:textFill>
        </w:rPr>
        <w:t>内完成安装、调试，通过验收并交付使用，微波消解仪、碳元素分析仪、温盐深仪、监测采样手持终端自签订合同之日起30个日历日内完成安装、调试，通过验收并交付使用。</w:t>
      </w:r>
    </w:p>
    <w:p w14:paraId="7BF3D0B3">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w:t>
      </w:r>
      <w:r>
        <w:rPr>
          <w:rFonts w:hint="eastAsia" w:asciiTheme="minorEastAsia" w:hAnsiTheme="minorEastAsia" w:eastAsiaTheme="minorEastAsia"/>
          <w:color w:val="000000" w:themeColor="text1"/>
          <w:sz w:val="24"/>
          <w:lang w:eastAsia="zh-CN"/>
          <w14:textFill>
            <w14:solidFill>
              <w14:schemeClr w14:val="tx1"/>
            </w14:solidFill>
          </w14:textFill>
        </w:rPr>
        <w:t>不</w:t>
      </w:r>
      <w:r>
        <w:rPr>
          <w:rFonts w:hint="eastAsia" w:asciiTheme="minorEastAsia" w:hAnsiTheme="minorEastAsia" w:eastAsiaTheme="minorEastAsia"/>
          <w:color w:val="000000" w:themeColor="text1"/>
          <w:sz w:val="24"/>
          <w14:textFill>
            <w14:solidFill>
              <w14:schemeClr w14:val="tx1"/>
            </w14:solidFill>
          </w14:textFill>
        </w:rPr>
        <w:t>接受联合体投标。</w:t>
      </w:r>
    </w:p>
    <w:p w14:paraId="11F5E8EB">
      <w:pPr>
        <w:pStyle w:val="633"/>
        <w:keepNext w:val="0"/>
        <w:keepLines w:val="0"/>
        <w:pageBreakBefore w:val="0"/>
        <w:widowControl w:val="0"/>
        <w:kinsoku/>
        <w:wordWrap/>
        <w:overflowPunct/>
        <w:topLinePunct w:val="0"/>
        <w:autoSpaceDE/>
        <w:autoSpaceDN/>
        <w:bidi w:val="0"/>
        <w:adjustRightInd w:val="0"/>
        <w:spacing w:line="336" w:lineRule="auto"/>
        <w:ind w:firstLine="0"/>
        <w:textAlignment w:val="auto"/>
        <w:rPr>
          <w:b/>
          <w:color w:val="000000" w:themeColor="text1"/>
          <w14:textFill>
            <w14:solidFill>
              <w14:schemeClr w14:val="tx1"/>
            </w14:solidFill>
          </w14:textFill>
        </w:rPr>
      </w:pPr>
      <w:bookmarkStart w:id="16" w:name="_Toc35393799"/>
      <w:bookmarkStart w:id="17" w:name="_Toc28359013"/>
      <w:bookmarkStart w:id="18" w:name="_Toc35393630"/>
      <w:bookmarkStart w:id="19" w:name="_Toc28359090"/>
      <w:r>
        <w:rPr>
          <w:rFonts w:hint="eastAsia"/>
          <w:b/>
          <w:color w:val="000000" w:themeColor="text1"/>
          <w14:textFill>
            <w14:solidFill>
              <w14:schemeClr w14:val="tx1"/>
            </w14:solidFill>
          </w14:textFill>
        </w:rPr>
        <w:t>二、申请人的资格要求：</w:t>
      </w:r>
      <w:bookmarkEnd w:id="16"/>
      <w:bookmarkEnd w:id="17"/>
      <w:bookmarkEnd w:id="18"/>
      <w:bookmarkEnd w:id="19"/>
    </w:p>
    <w:p w14:paraId="315A1D4B">
      <w:pPr>
        <w:keepNext w:val="0"/>
        <w:keepLines w:val="0"/>
        <w:pageBreakBefore w:val="0"/>
        <w:widowControl w:val="0"/>
        <w:kinsoku/>
        <w:wordWrap/>
        <w:overflowPunct/>
        <w:topLinePunct w:val="0"/>
        <w:autoSpaceDE/>
        <w:autoSpaceDN/>
        <w:bidi w:val="0"/>
        <w:adjustRightInd w:val="0"/>
        <w:spacing w:line="336" w:lineRule="auto"/>
        <w:ind w:firstLine="480"/>
        <w:textAlignment w:val="auto"/>
        <w:rPr>
          <w:rFonts w:cs="宋体" w:asciiTheme="minorEastAsia" w:hAnsiTheme="minorEastAsia" w:eastAsiaTheme="minorEastAsia"/>
          <w:snapToGrid w:val="0"/>
          <w:color w:val="000000" w:themeColor="text1"/>
          <w:kern w:val="28"/>
          <w:sz w:val="24"/>
          <w:szCs w:val="20"/>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E180A81">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eastAsia="宋体" w:cs="宋体" w:asciiTheme="minorEastAsia" w:hAnsiTheme="minorEastAsia"/>
          <w:color w:val="000000" w:themeColor="text1"/>
          <w:sz w:val="24"/>
          <w:lang w:eastAsia="zh-CN"/>
          <w14:textFill>
            <w14:solidFill>
              <w14:schemeClr w14:val="tx1"/>
            </w14:solidFill>
          </w14:textFill>
        </w:rPr>
      </w:pPr>
      <w:bookmarkStart w:id="126" w:name="_GoBack"/>
      <w:bookmarkEnd w:id="126"/>
      <w:r>
        <w:rPr>
          <w:rFonts w:hint="eastAsia" w:cs="宋体" w:asciiTheme="minorEastAsia" w:hAnsiTheme="minorEastAsia" w:eastAsiaTheme="minorEastAsia"/>
          <w:snapToGrid w:val="0"/>
          <w:color w:val="000000" w:themeColor="text1"/>
          <w:kern w:val="28"/>
          <w:sz w:val="24"/>
          <w:szCs w:val="20"/>
          <w:lang w:val="en-US" w:eastAsia="zh-CN"/>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.落实政府采购政策需满足的资格要求：</w:t>
      </w:r>
      <w:r>
        <w:rPr>
          <w:rFonts w:hint="eastAsia" w:ascii="宋体" w:hAnsi="宋体" w:eastAsia="宋体" w:cs="宋体"/>
          <w:color w:val="auto"/>
          <w:spacing w:val="8"/>
          <w:sz w:val="24"/>
          <w:szCs w:val="24"/>
          <w:highlight w:val="none"/>
        </w:rPr>
        <w:t>本项目</w:t>
      </w:r>
      <w:r>
        <w:rPr>
          <w:rFonts w:hint="eastAsia" w:ascii="宋体" w:hAnsi="宋体" w:eastAsia="宋体" w:cs="宋体"/>
          <w:color w:val="auto"/>
          <w:spacing w:val="8"/>
          <w:sz w:val="24"/>
          <w:szCs w:val="24"/>
          <w:highlight w:val="none"/>
          <w:lang w:eastAsia="zh-CN"/>
        </w:rPr>
        <w:t>不</w:t>
      </w:r>
      <w:r>
        <w:rPr>
          <w:rFonts w:hint="eastAsia" w:ascii="宋体" w:hAnsi="宋体" w:eastAsia="宋体" w:cs="宋体"/>
          <w:color w:val="auto"/>
          <w:spacing w:val="8"/>
          <w:sz w:val="24"/>
          <w:szCs w:val="24"/>
          <w:highlight w:val="none"/>
        </w:rPr>
        <w:t>属于专门面向中小企业采购的项目</w:t>
      </w:r>
      <w:r>
        <w:rPr>
          <w:rFonts w:hint="eastAsia" w:ascii="宋体" w:hAnsi="宋体" w:eastAsia="宋体" w:cs="宋体"/>
          <w:color w:val="auto"/>
          <w:spacing w:val="8"/>
          <w:sz w:val="24"/>
          <w:szCs w:val="24"/>
          <w:highlight w:val="none"/>
          <w:lang w:eastAsia="zh-CN"/>
        </w:rPr>
        <w:t>；</w:t>
      </w:r>
    </w:p>
    <w:p w14:paraId="2AC301A3">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.本项目的特定资格要求：无；</w:t>
      </w:r>
    </w:p>
    <w:p w14:paraId="6077B120">
      <w:pPr>
        <w:pStyle w:val="633"/>
        <w:keepNext w:val="0"/>
        <w:keepLines w:val="0"/>
        <w:pageBreakBefore w:val="0"/>
        <w:widowControl w:val="0"/>
        <w:kinsoku/>
        <w:wordWrap/>
        <w:overflowPunct/>
        <w:topLinePunct w:val="0"/>
        <w:autoSpaceDE/>
        <w:autoSpaceDN/>
        <w:bidi w:val="0"/>
        <w:adjustRightInd w:val="0"/>
        <w:spacing w:line="336" w:lineRule="auto"/>
        <w:ind w:firstLine="0"/>
        <w:textAlignment w:val="auto"/>
        <w:rPr>
          <w:b/>
          <w:color w:val="000000" w:themeColor="text1"/>
          <w14:textFill>
            <w14:solidFill>
              <w14:schemeClr w14:val="tx1"/>
            </w14:solidFill>
          </w14:textFill>
        </w:rPr>
      </w:pPr>
      <w:bookmarkStart w:id="20" w:name="_Toc28359091"/>
      <w:bookmarkStart w:id="21" w:name="_Toc35393631"/>
      <w:bookmarkStart w:id="22" w:name="_Toc35393800"/>
      <w:bookmarkStart w:id="23" w:name="_Toc28359014"/>
      <w:r>
        <w:rPr>
          <w:rFonts w:hint="eastAsia"/>
          <w:b w:val="0"/>
          <w:bCs/>
          <w:color w:val="000000" w:themeColor="text1"/>
          <w14:textFill>
            <w14:solidFill>
              <w14:schemeClr w14:val="tx1"/>
            </w14:solidFill>
          </w14:textFill>
        </w:rPr>
        <w:t>三</w:t>
      </w:r>
      <w:r>
        <w:rPr>
          <w:rFonts w:hint="eastAsia"/>
          <w:b/>
          <w:color w:val="000000" w:themeColor="text1"/>
          <w14:textFill>
            <w14:solidFill>
              <w14:schemeClr w14:val="tx1"/>
            </w14:solidFill>
          </w14:textFill>
        </w:rPr>
        <w:t>、获取（下载）采购文件</w:t>
      </w:r>
      <w:bookmarkEnd w:id="20"/>
      <w:bookmarkEnd w:id="21"/>
      <w:bookmarkEnd w:id="22"/>
      <w:bookmarkEnd w:id="23"/>
    </w:p>
    <w:p w14:paraId="3AA73AD4">
      <w:pPr>
        <w:keepNext w:val="0"/>
        <w:keepLines w:val="0"/>
        <w:pageBreakBefore w:val="0"/>
        <w:widowControl w:val="0"/>
        <w:kinsoku/>
        <w:wordWrap/>
        <w:overflowPunct/>
        <w:topLinePunct w:val="0"/>
        <w:autoSpaceDE/>
        <w:autoSpaceDN/>
        <w:bidi w:val="0"/>
        <w:adjustRightInd w:val="0"/>
        <w:spacing w:line="336" w:lineRule="auto"/>
        <w:ind w:firstLine="54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时间：</w:t>
      </w:r>
      <w:r>
        <w:rPr>
          <w:rFonts w:hint="eastAsia" w:cs="宋体" w:asciiTheme="minorEastAsia" w:hAnsiTheme="minorEastAsia" w:eastAsiaTheme="minorEastAsia"/>
          <w:color w:val="000000" w:themeColor="text1"/>
          <w:sz w:val="24"/>
          <w14:textFill>
            <w14:solidFill>
              <w14:schemeClr w14:val="tx1"/>
            </w14:solidFill>
          </w14:textFill>
        </w:rPr>
        <w:t>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20</w:t>
      </w:r>
      <w:r>
        <w:rPr>
          <w:rFonts w:hint="eastAsia" w:cs="宋体" w:asciiTheme="minorEastAsia" w:hAnsiTheme="minorEastAsia" w:eastAsiaTheme="minorEastAsia"/>
          <w:color w:val="000000" w:themeColor="text1"/>
          <w:sz w:val="24"/>
          <w14:textFill>
            <w14:solidFill>
              <w14:schemeClr w14:val="tx1"/>
            </w14:solidFill>
          </w14:textFill>
        </w:rPr>
        <w:t>日至202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23</w:t>
      </w:r>
      <w:r>
        <w:rPr>
          <w:rFonts w:hint="eastAsia" w:cs="宋体" w:asciiTheme="minorEastAsia" w:hAnsiTheme="minorEastAsia" w:eastAsiaTheme="minorEastAsia"/>
          <w:color w:val="000000" w:themeColor="text1"/>
          <w:sz w:val="24"/>
          <w14:textFill>
            <w14:solidFill>
              <w14:schemeClr w14:val="tx1"/>
            </w14:solidFill>
          </w14:textFill>
        </w:rPr>
        <w:t>日，每天上午</w:t>
      </w:r>
      <w:r>
        <w:rPr>
          <w:rFonts w:hint="eastAsia" w:asciiTheme="minorEastAsia" w:hAnsiTheme="minorEastAsia" w:eastAsiaTheme="minorEastAsia"/>
          <w:color w:val="000000" w:themeColor="text1"/>
          <w:sz w:val="24"/>
          <w14:textFill>
            <w14:solidFill>
              <w14:schemeClr w14:val="tx1"/>
            </w14:solidFill>
          </w14:textFill>
        </w:rPr>
        <w:t>00:00至12:00，下午12:00至23:59</w:t>
      </w:r>
      <w:r>
        <w:rPr>
          <w:rFonts w:hint="eastAsia" w:cs="宋体" w:asciiTheme="minorEastAsia" w:hAnsiTheme="minorEastAsia" w:eastAsiaTheme="minorEastAsia"/>
          <w:color w:val="000000" w:themeColor="text1"/>
          <w:sz w:val="24"/>
          <w14:textFill>
            <w14:solidFill>
              <w14:schemeClr w14:val="tx1"/>
            </w14:solidFill>
          </w14:textFill>
        </w:rPr>
        <w:t>（北京时间，法定节假日除外）；</w:t>
      </w:r>
    </w:p>
    <w:p w14:paraId="1553348C">
      <w:pPr>
        <w:keepNext w:val="0"/>
        <w:keepLines w:val="0"/>
        <w:pageBreakBefore w:val="0"/>
        <w:widowControl w:val="0"/>
        <w:kinsoku/>
        <w:wordWrap/>
        <w:overflowPunct/>
        <w:topLinePunct w:val="0"/>
        <w:autoSpaceDE/>
        <w:autoSpaceDN/>
        <w:bidi w:val="0"/>
        <w:adjustRightInd w:val="0"/>
        <w:spacing w:line="336" w:lineRule="auto"/>
        <w:ind w:firstLine="540"/>
        <w:textAlignment w:val="auto"/>
        <w:rPr>
          <w:rFonts w:cs="宋体" w:asciiTheme="minorEastAsia" w:hAnsiTheme="minorEastAsia" w:eastAsiaTheme="minorEastAsia"/>
          <w:color w:val="000000" w:themeColor="text1"/>
          <w:sz w:val="28"/>
          <w:szCs w:val="28"/>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广西政府采购云平台（https://www.gcy.zfcg.gxzf.gov.cn/）</w:t>
      </w:r>
    </w:p>
    <w:p w14:paraId="0C3663AF">
      <w:pPr>
        <w:keepNext w:val="0"/>
        <w:keepLines w:val="0"/>
        <w:pageBreakBefore w:val="0"/>
        <w:widowControl w:val="0"/>
        <w:kinsoku/>
        <w:wordWrap/>
        <w:overflowPunct/>
        <w:topLinePunct w:val="0"/>
        <w:autoSpaceDE/>
        <w:autoSpaceDN/>
        <w:bidi w:val="0"/>
        <w:adjustRightInd w:val="0"/>
        <w:spacing w:line="336" w:lineRule="auto"/>
        <w:ind w:firstLine="540"/>
        <w:textAlignment w:val="auto"/>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方式：</w:t>
      </w:r>
      <w:r>
        <w:rPr>
          <w:rFonts w:hint="eastAsia" w:cs="宋体" w:asciiTheme="minorEastAsia" w:hAnsiTheme="minorEastAsia" w:eastAsiaTheme="minorEastAsia"/>
          <w:color w:val="000000" w:themeColor="text1"/>
          <w:sz w:val="24"/>
          <w14:textFill>
            <w14:solidFill>
              <w14:schemeClr w14:val="tx1"/>
            </w14:solidFill>
          </w14:textFill>
        </w:rPr>
        <w:t>供应商登录</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14:textFill>
            <w14:solidFill>
              <w14:schemeClr w14:val="tx1"/>
            </w14:solidFill>
          </w14:textFill>
        </w:rPr>
        <w:t>在线申请获取采购文件（进入“项目采购”应用，在获取采购文件菜单中选择项目，申请获取采购文件）。</w:t>
      </w:r>
    </w:p>
    <w:p w14:paraId="5087638E">
      <w:pPr>
        <w:keepNext w:val="0"/>
        <w:keepLines w:val="0"/>
        <w:pageBreakBefore w:val="0"/>
        <w:widowControl w:val="0"/>
        <w:kinsoku/>
        <w:wordWrap/>
        <w:overflowPunct/>
        <w:topLinePunct w:val="0"/>
        <w:autoSpaceDE/>
        <w:autoSpaceDN/>
        <w:bidi w:val="0"/>
        <w:adjustRightInd w:val="0"/>
        <w:spacing w:line="336" w:lineRule="auto"/>
        <w:ind w:firstLine="540"/>
        <w:textAlignment w:val="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售价：</w:t>
      </w:r>
      <w:r>
        <w:rPr>
          <w:rFonts w:hint="eastAsia" w:cs="仿宋_GB2312" w:asciiTheme="minorEastAsia" w:hAnsiTheme="minorEastAsia" w:eastAsiaTheme="minorEastAsia"/>
          <w:color w:val="000000" w:themeColor="text1"/>
          <w:sz w:val="24"/>
          <w14:textFill>
            <w14:solidFill>
              <w14:schemeClr w14:val="tx1"/>
            </w14:solidFill>
          </w14:textFill>
        </w:rPr>
        <w:t>0。</w:t>
      </w:r>
    </w:p>
    <w:p w14:paraId="403C9BA7">
      <w:pPr>
        <w:pStyle w:val="633"/>
        <w:keepNext w:val="0"/>
        <w:keepLines w:val="0"/>
        <w:pageBreakBefore w:val="0"/>
        <w:widowControl w:val="0"/>
        <w:kinsoku/>
        <w:wordWrap/>
        <w:overflowPunct/>
        <w:topLinePunct w:val="0"/>
        <w:autoSpaceDE/>
        <w:autoSpaceDN/>
        <w:bidi w:val="0"/>
        <w:adjustRightInd w:val="0"/>
        <w:spacing w:line="336" w:lineRule="auto"/>
        <w:ind w:firstLine="0"/>
        <w:textAlignment w:val="auto"/>
        <w:rPr>
          <w:b/>
          <w:color w:val="000000" w:themeColor="text1"/>
          <w14:textFill>
            <w14:solidFill>
              <w14:schemeClr w14:val="tx1"/>
            </w14:solidFill>
          </w14:textFill>
        </w:rPr>
      </w:pPr>
      <w:bookmarkStart w:id="24" w:name="_Toc35393801"/>
      <w:bookmarkStart w:id="25" w:name="_Toc28359092"/>
      <w:bookmarkStart w:id="26" w:name="_Toc28359015"/>
      <w:bookmarkStart w:id="27" w:name="_Toc35393632"/>
      <w:r>
        <w:rPr>
          <w:rFonts w:hint="eastAsia"/>
          <w:b/>
          <w:color w:val="000000" w:themeColor="text1"/>
          <w14:textFill>
            <w14:solidFill>
              <w14:schemeClr w14:val="tx1"/>
            </w14:solidFill>
          </w14:textFill>
        </w:rPr>
        <w:t>四、响应文件提交</w:t>
      </w:r>
      <w:bookmarkEnd w:id="24"/>
      <w:bookmarkEnd w:id="25"/>
      <w:bookmarkEnd w:id="26"/>
      <w:bookmarkEnd w:id="27"/>
      <w:r>
        <w:rPr>
          <w:rFonts w:hint="eastAsia"/>
          <w:b/>
          <w:color w:val="000000" w:themeColor="text1"/>
          <w14:textFill>
            <w14:solidFill>
              <w14:schemeClr w14:val="tx1"/>
            </w14:solidFill>
          </w14:textFill>
        </w:rPr>
        <w:t>（上传）</w:t>
      </w:r>
    </w:p>
    <w:p w14:paraId="32F7F9E2">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截止时间：202</w:t>
      </w:r>
      <w:r>
        <w:rPr>
          <w:rFonts w:hint="eastAsia" w:asciiTheme="minorEastAsia" w:hAnsiTheme="minorEastAsia" w:eastAsia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lang w:val="en-US" w:eastAsia="zh-CN"/>
          <w14:textFill>
            <w14:solidFill>
              <w14:schemeClr w14:val="tx1"/>
            </w14:solidFill>
          </w14:textFill>
        </w:rPr>
        <w:t>26</w:t>
      </w:r>
      <w:r>
        <w:rPr>
          <w:rFonts w:hint="eastAsia" w:asciiTheme="minorEastAsia" w:hAnsiTheme="minorEastAsia" w:eastAsiaTheme="minorEastAsia"/>
          <w:color w:val="000000" w:themeColor="text1"/>
          <w:sz w:val="24"/>
          <w14:textFill>
            <w14:solidFill>
              <w14:schemeClr w14:val="tx1"/>
            </w14:solidFill>
          </w14:textFill>
        </w:rPr>
        <w:t>日</w:t>
      </w:r>
      <w:r>
        <w:rPr>
          <w:rFonts w:hint="eastAsia" w:asciiTheme="minorEastAsia" w:hAnsiTheme="minorEastAsia" w:eastAsiaTheme="minorEastAsia"/>
          <w:color w:val="000000" w:themeColor="text1"/>
          <w:sz w:val="24"/>
          <w:lang w:val="en-US" w:eastAsia="zh-CN"/>
          <w14:textFill>
            <w14:solidFill>
              <w14:schemeClr w14:val="tx1"/>
            </w14:solidFill>
          </w14:textFill>
        </w:rPr>
        <w:t>9</w:t>
      </w:r>
      <w:r>
        <w:rPr>
          <w:rFonts w:hint="eastAsia" w:asciiTheme="minorEastAsia" w:hAnsiTheme="minorEastAsia" w:eastAsiaTheme="minorEastAsia"/>
          <w:color w:val="000000" w:themeColor="text1"/>
          <w:sz w:val="24"/>
          <w14:textFill>
            <w14:solidFill>
              <w14:schemeClr w14:val="tx1"/>
            </w14:solidFill>
          </w14:textFill>
        </w:rPr>
        <w:t>点</w:t>
      </w:r>
      <w:r>
        <w:rPr>
          <w:rFonts w:hint="eastAsia" w:asciiTheme="minorEastAsia" w:hAnsiTheme="minorEastAsia" w:eastAsiaTheme="minorEastAsia"/>
          <w:color w:val="000000" w:themeColor="text1"/>
          <w:sz w:val="24"/>
          <w:lang w:val="en-US" w:eastAsia="zh-CN"/>
          <w14:textFill>
            <w14:solidFill>
              <w14:schemeClr w14:val="tx1"/>
            </w14:solidFill>
          </w14:textFill>
        </w:rPr>
        <w:t>00</w:t>
      </w:r>
      <w:r>
        <w:rPr>
          <w:rFonts w:hint="eastAsia" w:asciiTheme="minorEastAsia" w:hAnsiTheme="minorEastAsia" w:eastAsiaTheme="minorEastAsia"/>
          <w:color w:val="000000" w:themeColor="text1"/>
          <w:sz w:val="24"/>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w:t>
      </w:r>
    </w:p>
    <w:p w14:paraId="6BCD8FFC">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eastAsia="宋体" w:asciiTheme="minorEastAsia" w:hAnsiTheme="minorEastAsia"/>
          <w:bCs/>
          <w:color w:val="000000" w:themeColor="text1"/>
          <w:sz w:val="24"/>
          <w:u w:val="single"/>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仿宋_GB2312" w:asciiTheme="minorEastAsia" w:hAnsiTheme="minorEastAsia" w:eastAsiaTheme="minorEastAsia"/>
          <w:b/>
          <w:color w:val="000000" w:themeColor="text1"/>
          <w:sz w:val="24"/>
          <w:lang w:val="en-US" w:eastAsia="zh-CN"/>
          <w14:textFill>
            <w14:solidFill>
              <w14:schemeClr w14:val="tx1"/>
            </w14:solidFill>
          </w14:textFill>
        </w:rPr>
        <w:t xml:space="preserve"> </w:t>
      </w:r>
    </w:p>
    <w:p w14:paraId="23A3A316">
      <w:pPr>
        <w:pStyle w:val="633"/>
        <w:keepNext w:val="0"/>
        <w:keepLines w:val="0"/>
        <w:pageBreakBefore w:val="0"/>
        <w:widowControl w:val="0"/>
        <w:kinsoku/>
        <w:wordWrap/>
        <w:overflowPunct/>
        <w:topLinePunct w:val="0"/>
        <w:autoSpaceDE/>
        <w:autoSpaceDN/>
        <w:bidi w:val="0"/>
        <w:adjustRightInd w:val="0"/>
        <w:spacing w:line="336" w:lineRule="auto"/>
        <w:ind w:firstLine="0"/>
        <w:textAlignment w:val="auto"/>
        <w:rPr>
          <w:b/>
          <w:color w:val="000000" w:themeColor="text1"/>
          <w14:textFill>
            <w14:solidFill>
              <w14:schemeClr w14:val="tx1"/>
            </w14:solidFill>
          </w14:textFill>
        </w:rPr>
      </w:pPr>
      <w:bookmarkStart w:id="28" w:name="_Toc28359093"/>
      <w:bookmarkStart w:id="29" w:name="_Toc28359016"/>
      <w:bookmarkStart w:id="30" w:name="_Toc35393802"/>
      <w:bookmarkStart w:id="31" w:name="_Toc35393633"/>
      <w:r>
        <w:rPr>
          <w:rFonts w:hint="eastAsia"/>
          <w:b/>
          <w:color w:val="000000" w:themeColor="text1"/>
          <w14:textFill>
            <w14:solidFill>
              <w14:schemeClr w14:val="tx1"/>
            </w14:solidFill>
          </w14:textFill>
        </w:rPr>
        <w:t>五、响应文件开启</w:t>
      </w:r>
      <w:bookmarkEnd w:id="28"/>
      <w:bookmarkEnd w:id="29"/>
      <w:bookmarkEnd w:id="30"/>
      <w:bookmarkEnd w:id="31"/>
    </w:p>
    <w:p w14:paraId="6A371E7F">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时间：202</w:t>
      </w:r>
      <w:r>
        <w:rPr>
          <w:rFonts w:hint="eastAsia" w:asciiTheme="minorEastAsia" w:hAnsiTheme="minorEastAsia" w:eastAsia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lang w:val="en-US" w:eastAsia="zh-CN"/>
          <w14:textFill>
            <w14:solidFill>
              <w14:schemeClr w14:val="tx1"/>
            </w14:solidFill>
          </w14:textFill>
        </w:rPr>
        <w:t>26</w:t>
      </w:r>
      <w:r>
        <w:rPr>
          <w:rFonts w:hint="eastAsia" w:asciiTheme="minorEastAsia" w:hAnsiTheme="minorEastAsia" w:eastAsiaTheme="minorEastAsia"/>
          <w:color w:val="000000" w:themeColor="text1"/>
          <w:sz w:val="24"/>
          <w14:textFill>
            <w14:solidFill>
              <w14:schemeClr w14:val="tx1"/>
            </w14:solidFill>
          </w14:textFill>
        </w:rPr>
        <w:t>日</w:t>
      </w:r>
      <w:r>
        <w:rPr>
          <w:rFonts w:hint="eastAsia" w:asciiTheme="minorEastAsia" w:hAnsiTheme="minorEastAsia" w:eastAsiaTheme="minorEastAsia"/>
          <w:color w:val="000000" w:themeColor="text1"/>
          <w:sz w:val="24"/>
          <w:lang w:val="en-US" w:eastAsia="zh-CN"/>
          <w14:textFill>
            <w14:solidFill>
              <w14:schemeClr w14:val="tx1"/>
            </w14:solidFill>
          </w14:textFill>
        </w:rPr>
        <w:t>9</w:t>
      </w:r>
      <w:r>
        <w:rPr>
          <w:rFonts w:hint="eastAsia" w:asciiTheme="minorEastAsia" w:hAnsiTheme="minorEastAsia" w:eastAsiaTheme="minorEastAsia"/>
          <w:color w:val="000000" w:themeColor="text1"/>
          <w:sz w:val="24"/>
          <w14:textFill>
            <w14:solidFill>
              <w14:schemeClr w14:val="tx1"/>
            </w14:solidFill>
          </w14:textFill>
        </w:rPr>
        <w:t>点</w:t>
      </w:r>
      <w:r>
        <w:rPr>
          <w:rFonts w:hint="eastAsia" w:asciiTheme="minorEastAsia" w:hAnsiTheme="minorEastAsia" w:eastAsiaTheme="minorEastAsia"/>
          <w:color w:val="000000" w:themeColor="text1"/>
          <w:sz w:val="24"/>
          <w:lang w:val="en-US" w:eastAsia="zh-CN"/>
          <w14:textFill>
            <w14:solidFill>
              <w14:schemeClr w14:val="tx1"/>
            </w14:solidFill>
          </w14:textFill>
        </w:rPr>
        <w:t>00</w:t>
      </w:r>
      <w:r>
        <w:rPr>
          <w:rFonts w:hint="eastAsia" w:asciiTheme="minorEastAsia" w:hAnsiTheme="minorEastAsia" w:eastAsiaTheme="minorEastAsia"/>
          <w:color w:val="000000" w:themeColor="text1"/>
          <w:sz w:val="24"/>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w:t>
      </w:r>
    </w:p>
    <w:p w14:paraId="2EAD9B5F">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eastAsia="宋体" w:asciiTheme="minorEastAsia" w:hAnsiTheme="minorEastAsia"/>
          <w:bCs/>
          <w:color w:val="000000" w:themeColor="text1"/>
          <w:sz w:val="24"/>
          <w:u w:val="single"/>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lang w:val="en-US" w:eastAsia="zh-CN"/>
          <w14:textFill>
            <w14:solidFill>
              <w14:schemeClr w14:val="tx1"/>
            </w14:solidFill>
          </w14:textFill>
        </w:rPr>
        <w:t xml:space="preserve"> </w:t>
      </w:r>
    </w:p>
    <w:p w14:paraId="58E68D95">
      <w:pPr>
        <w:pStyle w:val="633"/>
        <w:keepNext w:val="0"/>
        <w:keepLines w:val="0"/>
        <w:pageBreakBefore w:val="0"/>
        <w:widowControl w:val="0"/>
        <w:kinsoku/>
        <w:wordWrap/>
        <w:overflowPunct/>
        <w:topLinePunct w:val="0"/>
        <w:autoSpaceDE/>
        <w:autoSpaceDN/>
        <w:bidi w:val="0"/>
        <w:adjustRightInd w:val="0"/>
        <w:spacing w:line="336" w:lineRule="auto"/>
        <w:ind w:firstLine="0"/>
        <w:textAlignment w:val="auto"/>
        <w:rPr>
          <w:b/>
          <w:color w:val="000000" w:themeColor="text1"/>
          <w14:textFill>
            <w14:solidFill>
              <w14:schemeClr w14:val="tx1"/>
            </w14:solidFill>
          </w14:textFill>
        </w:rPr>
      </w:pPr>
      <w:bookmarkStart w:id="32" w:name="_Toc35393803"/>
      <w:bookmarkStart w:id="33" w:name="_Toc28359094"/>
      <w:bookmarkStart w:id="34" w:name="_Toc28359017"/>
      <w:bookmarkStart w:id="35" w:name="_Toc35393634"/>
      <w:r>
        <w:rPr>
          <w:rFonts w:hint="eastAsia"/>
          <w:b/>
          <w:color w:val="000000" w:themeColor="text1"/>
          <w14:textFill>
            <w14:solidFill>
              <w14:schemeClr w14:val="tx1"/>
            </w14:solidFill>
          </w14:textFill>
        </w:rPr>
        <w:t>六、公告期限</w:t>
      </w:r>
      <w:bookmarkEnd w:id="32"/>
      <w:bookmarkEnd w:id="33"/>
      <w:bookmarkEnd w:id="34"/>
      <w:bookmarkEnd w:id="35"/>
    </w:p>
    <w:p w14:paraId="5C6C53E2">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自本公告发布之日起3个工作日。</w:t>
      </w:r>
    </w:p>
    <w:p w14:paraId="071F189B">
      <w:pPr>
        <w:pStyle w:val="633"/>
        <w:keepNext w:val="0"/>
        <w:keepLines w:val="0"/>
        <w:pageBreakBefore w:val="0"/>
        <w:widowControl w:val="0"/>
        <w:kinsoku/>
        <w:wordWrap/>
        <w:overflowPunct/>
        <w:topLinePunct w:val="0"/>
        <w:autoSpaceDE/>
        <w:autoSpaceDN/>
        <w:bidi w:val="0"/>
        <w:adjustRightInd w:val="0"/>
        <w:spacing w:line="336" w:lineRule="auto"/>
        <w:ind w:firstLine="0"/>
        <w:textAlignment w:val="auto"/>
        <w:rPr>
          <w:b/>
          <w:color w:val="000000" w:themeColor="text1"/>
          <w14:textFill>
            <w14:solidFill>
              <w14:schemeClr w14:val="tx1"/>
            </w14:solidFill>
          </w14:textFill>
        </w:rPr>
      </w:pPr>
      <w:bookmarkStart w:id="36" w:name="_Toc35393635"/>
      <w:bookmarkStart w:id="37" w:name="_Toc35393804"/>
      <w:r>
        <w:rPr>
          <w:rFonts w:hint="eastAsia"/>
          <w:b/>
          <w:color w:val="000000" w:themeColor="text1"/>
          <w14:textFill>
            <w14:solidFill>
              <w14:schemeClr w14:val="tx1"/>
            </w14:solidFill>
          </w14:textFill>
        </w:rPr>
        <w:t>七、其他补充事宜</w:t>
      </w:r>
      <w:bookmarkEnd w:id="36"/>
      <w:bookmarkEnd w:id="37"/>
    </w:p>
    <w:p w14:paraId="2EDC49AA">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val="en-US" w:eastAsia="zh-CN"/>
          <w14:textFill>
            <w14:solidFill>
              <w14:schemeClr w14:val="tx1"/>
            </w14:solidFill>
          </w14:textFill>
        </w:rPr>
        <w:t>10000.00元</w:t>
      </w:r>
      <w:r>
        <w:rPr>
          <w:rFonts w:hint="eastAsia" w:ascii="宋体" w:hAnsi="宋体" w:cs="宋体"/>
          <w:color w:val="000000" w:themeColor="text1"/>
          <w:sz w:val="24"/>
          <w:highlight w:val="none"/>
          <w14:textFill>
            <w14:solidFill>
              <w14:schemeClr w14:val="tx1"/>
            </w14:solidFill>
          </w14:textFill>
        </w:rPr>
        <w:t>。</w:t>
      </w:r>
    </w:p>
    <w:p w14:paraId="36D3E4CE">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2.本项目需要落实的政府采购政策：</w:t>
      </w:r>
    </w:p>
    <w:p w14:paraId="2F02E881">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（1）政府采购促进中小企业发展。</w:t>
      </w:r>
    </w:p>
    <w:p w14:paraId="7AFA228D">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（2）政府采购支持采用本国产品的政策。</w:t>
      </w:r>
    </w:p>
    <w:p w14:paraId="5A0E4051">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（3）强制采购节能产品；优先采购节能产品、环境标志产品。</w:t>
      </w:r>
    </w:p>
    <w:p w14:paraId="772A7226">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（4）政府采购促进残疾人就业政策。</w:t>
      </w:r>
    </w:p>
    <w:p w14:paraId="3FC77DF4">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（5）政府采购支持监狱企业发展。</w:t>
      </w:r>
    </w:p>
    <w:p w14:paraId="1397AB61">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.网上公告媒体查询：</w:t>
      </w:r>
      <w:r>
        <w:rPr>
          <w:rFonts w:hint="eastAsia" w:ascii="宋体" w:hAnsi="宋体" w:cs="宋体"/>
          <w:color w:val="000000" w:themeColor="text1"/>
          <w:sz w:val="24"/>
          <w:lang w:eastAsia="zh-CN"/>
          <w14:textFill>
            <w14:solidFill>
              <w14:schemeClr w14:val="tx1"/>
            </w14:solidFill>
          </w14:textFill>
        </w:rPr>
        <w:t>广西壮族自治区政府采购网（http：//www.ccgp-guangxi.gov.cn/）、中国政府采购网（http：//www.ccgp.gov.cn//）、全国公共资源交易平台（广西.北海）（http://ggzy.jgswj.gxzf.gov.cn/bhggzy/）</w:t>
      </w:r>
      <w:r>
        <w:rPr>
          <w:rFonts w:hint="eastAsia" w:ascii="宋体" w:hAnsi="宋体" w:cs="宋体"/>
          <w:color w:val="000000" w:themeColor="text1"/>
          <w:sz w:val="24"/>
          <w14:textFill>
            <w14:solidFill>
              <w14:schemeClr w14:val="tx1"/>
            </w14:solidFill>
          </w14:textFill>
        </w:rPr>
        <w:t>。</w:t>
      </w:r>
    </w:p>
    <w:p w14:paraId="298EFB17">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46E41965">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w:t>
      </w:r>
      <w:r>
        <w:rPr>
          <w:rFonts w:hint="eastAsia" w:ascii="宋体" w:hAnsi="宋体" w:cs="宋体"/>
          <w:color w:val="000000" w:themeColor="text1"/>
          <w:sz w:val="24"/>
          <w:highlight w:val="none"/>
          <w14:textFill>
            <w14:solidFill>
              <w14:schemeClr w14:val="tx1"/>
            </w14:solidFill>
          </w14:textFill>
        </w:rPr>
        <w:t>西政府采购云平台“服务中心-帮助文档-项目采购-操作流程-电子招投标-政府采购项目电子交易管理操作指南-供应商”。</w:t>
      </w:r>
    </w:p>
    <w:p w14:paraId="762E3F58">
      <w:pPr>
        <w:pStyle w:val="633"/>
        <w:keepNext w:val="0"/>
        <w:keepLines w:val="0"/>
        <w:pageBreakBefore w:val="0"/>
        <w:widowControl w:val="0"/>
        <w:kinsoku/>
        <w:wordWrap/>
        <w:overflowPunct/>
        <w:topLinePunct w:val="0"/>
        <w:autoSpaceDE/>
        <w:autoSpaceDN/>
        <w:bidi w:val="0"/>
        <w:adjustRightInd w:val="0"/>
        <w:spacing w:line="336" w:lineRule="auto"/>
        <w:ind w:firstLine="0"/>
        <w:textAlignment w:val="auto"/>
        <w:rPr>
          <w:b/>
          <w:color w:val="000000" w:themeColor="text1"/>
          <w14:textFill>
            <w14:solidFill>
              <w14:schemeClr w14:val="tx1"/>
            </w14:solidFill>
          </w14:textFill>
        </w:rPr>
      </w:pPr>
      <w:bookmarkStart w:id="38" w:name="_Toc35393636"/>
      <w:bookmarkStart w:id="39" w:name="_Toc28359095"/>
      <w:bookmarkStart w:id="40" w:name="_Toc35393805"/>
      <w:bookmarkStart w:id="41" w:name="_Toc28359018"/>
      <w:r>
        <w:rPr>
          <w:rFonts w:hint="eastAsia"/>
          <w:b/>
          <w:color w:val="000000" w:themeColor="text1"/>
          <w14:textFill>
            <w14:solidFill>
              <w14:schemeClr w14:val="tx1"/>
            </w14:solidFill>
          </w14:textFill>
        </w:rPr>
        <w:t>八、凡对本次采购提出询问、质疑、投诉，请按以下方式联系</w:t>
      </w:r>
      <w:bookmarkEnd w:id="38"/>
      <w:bookmarkEnd w:id="39"/>
      <w:bookmarkEnd w:id="40"/>
      <w:bookmarkEnd w:id="41"/>
    </w:p>
    <w:p w14:paraId="61C30C51">
      <w:pPr>
        <w:pStyle w:val="633"/>
        <w:keepNext w:val="0"/>
        <w:keepLines w:val="0"/>
        <w:pageBreakBefore w:val="0"/>
        <w:widowControl w:val="0"/>
        <w:kinsoku/>
        <w:wordWrap/>
        <w:overflowPunct/>
        <w:topLinePunct w:val="0"/>
        <w:autoSpaceDE/>
        <w:autoSpaceDN/>
        <w:bidi w:val="0"/>
        <w:adjustRightInd w:val="0"/>
        <w:spacing w:line="336" w:lineRule="auto"/>
        <w:ind w:firstLine="0"/>
        <w:textAlignment w:val="auto"/>
        <w:rPr>
          <w:b/>
          <w:color w:val="000000" w:themeColor="text1"/>
          <w14:textFill>
            <w14:solidFill>
              <w14:schemeClr w14:val="tx1"/>
            </w14:solidFill>
          </w14:textFill>
        </w:rPr>
      </w:pPr>
      <w:bookmarkStart w:id="42" w:name="_Toc28359019"/>
      <w:bookmarkStart w:id="43" w:name="_Toc35393806"/>
      <w:bookmarkStart w:id="44" w:name="_Toc35393637"/>
      <w:bookmarkStart w:id="45" w:name="_Toc28359096"/>
      <w:r>
        <w:rPr>
          <w:rFonts w:hint="eastAsia"/>
          <w:b/>
          <w:color w:val="000000" w:themeColor="text1"/>
          <w14:textFill>
            <w14:solidFill>
              <w14:schemeClr w14:val="tx1"/>
            </w14:solidFill>
          </w14:textFill>
        </w:rPr>
        <w:t>1.采购人信息</w:t>
      </w:r>
      <w:bookmarkEnd w:id="42"/>
      <w:bookmarkEnd w:id="43"/>
      <w:bookmarkEnd w:id="44"/>
      <w:bookmarkEnd w:id="45"/>
    </w:p>
    <w:p w14:paraId="58DEFF27">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名</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称：</w:t>
      </w:r>
      <w:r>
        <w:rPr>
          <w:rFonts w:hint="eastAsia" w:asciiTheme="minorEastAsia" w:hAnsiTheme="minorEastAsia" w:eastAsiaTheme="minorEastAsia"/>
          <w:color w:val="000000" w:themeColor="text1"/>
          <w:sz w:val="24"/>
          <w:lang w:val="en-US" w:eastAsia="zh-CN"/>
          <w14:textFill>
            <w14:solidFill>
              <w14:schemeClr w14:val="tx1"/>
            </w14:solidFill>
          </w14:textFill>
        </w:rPr>
        <w:t>广西壮族自治区海洋环境监测中心站</w:t>
      </w:r>
    </w:p>
    <w:p w14:paraId="1A8A7E61">
      <w:pPr>
        <w:keepNext w:val="0"/>
        <w:keepLines w:val="0"/>
        <w:pageBreakBefore w:val="0"/>
        <w:widowControl w:val="0"/>
        <w:kinsoku/>
        <w:wordWrap/>
        <w:overflowPunct/>
        <w:topLinePunct w:val="0"/>
        <w:autoSpaceDE/>
        <w:autoSpaceDN/>
        <w:bidi w:val="0"/>
        <w:adjustRightInd w:val="0"/>
        <w:spacing w:line="336" w:lineRule="auto"/>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地    址：</w:t>
      </w:r>
      <w:r>
        <w:rPr>
          <w:rFonts w:hint="eastAsia" w:asciiTheme="minorEastAsia" w:hAnsiTheme="minorEastAsia" w:eastAsiaTheme="minorEastAsia"/>
          <w:color w:val="000000" w:themeColor="text1"/>
          <w:sz w:val="24"/>
          <w:lang w:val="en-US" w:eastAsia="zh-CN"/>
          <w14:textFill>
            <w14:solidFill>
              <w14:schemeClr w14:val="tx1"/>
            </w14:solidFill>
          </w14:textFill>
        </w:rPr>
        <w:t>广西北海市公园路49号</w:t>
      </w:r>
      <w:r>
        <w:rPr>
          <w:rFonts w:asciiTheme="minorEastAsia" w:hAnsiTheme="minorEastAsia" w:eastAsiaTheme="minorEastAsia"/>
          <w:color w:val="000000" w:themeColor="text1"/>
          <w:sz w:val="24"/>
          <w14:textFill>
            <w14:solidFill>
              <w14:schemeClr w14:val="tx1"/>
            </w14:solidFill>
          </w14:textFill>
        </w:rPr>
        <w:t xml:space="preserve"> </w:t>
      </w:r>
    </w:p>
    <w:p w14:paraId="742640D4">
      <w:pPr>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w:t>
      </w:r>
      <w:r>
        <w:rPr>
          <w:rFonts w:hint="eastAsia" w:asciiTheme="minorEastAsia" w:hAnsiTheme="minorEastAsia" w:eastAsiaTheme="minorEastAsia"/>
          <w:color w:val="000000" w:themeColor="text1"/>
          <w:sz w:val="24"/>
          <w:lang w:val="en-US" w:eastAsia="zh-CN"/>
          <w14:textFill>
            <w14:solidFill>
              <w14:schemeClr w14:val="tx1"/>
            </w14:solidFill>
          </w14:textFill>
        </w:rPr>
        <w:t>韦工</w:t>
      </w:r>
    </w:p>
    <w:p w14:paraId="068223B0">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项目联系方式：0779-6810330</w:t>
      </w:r>
      <w:r>
        <w:rPr>
          <w:rFonts w:hint="eastAsia" w:asciiTheme="minorEastAsia" w:hAnsiTheme="minorEastAsia" w:eastAsiaTheme="minorEastAsia"/>
          <w:color w:val="000000" w:themeColor="text1"/>
          <w:sz w:val="24"/>
          <w14:textFill>
            <w14:solidFill>
              <w14:schemeClr w14:val="tx1"/>
            </w14:solidFill>
          </w14:textFill>
        </w:rPr>
        <w:t xml:space="preserve">  </w:t>
      </w:r>
    </w:p>
    <w:p w14:paraId="3708E2CB">
      <w:pPr>
        <w:pStyle w:val="633"/>
        <w:keepNext w:val="0"/>
        <w:keepLines w:val="0"/>
        <w:pageBreakBefore w:val="0"/>
        <w:widowControl w:val="0"/>
        <w:kinsoku/>
        <w:wordWrap/>
        <w:overflowPunct/>
        <w:topLinePunct w:val="0"/>
        <w:autoSpaceDE/>
        <w:autoSpaceDN/>
        <w:bidi w:val="0"/>
        <w:adjustRightInd w:val="0"/>
        <w:spacing w:line="336" w:lineRule="auto"/>
        <w:ind w:firstLine="0"/>
        <w:textAlignment w:val="auto"/>
        <w:rPr>
          <w:b/>
          <w:color w:val="000000" w:themeColor="text1"/>
          <w14:textFill>
            <w14:solidFill>
              <w14:schemeClr w14:val="tx1"/>
            </w14:solidFill>
          </w14:textFill>
        </w:rPr>
      </w:pPr>
      <w:bookmarkStart w:id="46" w:name="_Toc35393807"/>
      <w:bookmarkStart w:id="47" w:name="_Toc28359097"/>
      <w:bookmarkStart w:id="48" w:name="_Toc28359020"/>
      <w:bookmarkStart w:id="49" w:name="_Toc35393638"/>
      <w:r>
        <w:rPr>
          <w:rFonts w:hint="eastAsia"/>
          <w:b/>
          <w:color w:val="000000" w:themeColor="text1"/>
          <w14:textFill>
            <w14:solidFill>
              <w14:schemeClr w14:val="tx1"/>
            </w14:solidFill>
          </w14:textFill>
        </w:rPr>
        <w:t>2.采购代理机构信息</w:t>
      </w:r>
      <w:bookmarkEnd w:id="46"/>
      <w:bookmarkEnd w:id="47"/>
      <w:bookmarkEnd w:id="48"/>
      <w:bookmarkEnd w:id="49"/>
    </w:p>
    <w:p w14:paraId="2D6A75E0">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名    称：</w:t>
      </w:r>
      <w:r>
        <w:rPr>
          <w:rFonts w:hint="eastAsia" w:asciiTheme="minorEastAsia" w:hAnsiTheme="minorEastAsia" w:eastAsiaTheme="minorEastAsia"/>
          <w:color w:val="000000" w:themeColor="text1"/>
          <w:sz w:val="24"/>
          <w:lang w:val="en-US" w:eastAsia="zh-CN"/>
          <w14:textFill>
            <w14:solidFill>
              <w14:schemeClr w14:val="tx1"/>
            </w14:solidFill>
          </w14:textFill>
        </w:rPr>
        <w:t>广西天麒工程管理有限公司</w:t>
      </w:r>
      <w:r>
        <w:rPr>
          <w:rFonts w:hint="eastAsia" w:asciiTheme="minorEastAsia" w:hAnsiTheme="minorEastAsia" w:eastAsiaTheme="minorEastAsia"/>
          <w:color w:val="000000" w:themeColor="text1"/>
          <w:sz w:val="24"/>
          <w14:textFill>
            <w14:solidFill>
              <w14:schemeClr w14:val="tx1"/>
            </w14:solidFill>
          </w14:textFill>
        </w:rPr>
        <w:t xml:space="preserve">            </w:t>
      </w:r>
    </w:p>
    <w:p w14:paraId="19A7D01D">
      <w:pPr>
        <w:keepNext w:val="0"/>
        <w:keepLines w:val="0"/>
        <w:pageBreakBefore w:val="0"/>
        <w:widowControl w:val="0"/>
        <w:kinsoku/>
        <w:wordWrap/>
        <w:overflowPunct/>
        <w:topLinePunct w:val="0"/>
        <w:autoSpaceDE/>
        <w:autoSpaceDN/>
        <w:bidi w:val="0"/>
        <w:adjustRightInd w:val="0"/>
        <w:spacing w:line="336" w:lineRule="auto"/>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地    址：</w:t>
      </w:r>
      <w:r>
        <w:rPr>
          <w:rFonts w:hint="eastAsia" w:asciiTheme="minorEastAsia" w:hAnsiTheme="minorEastAsia" w:eastAsiaTheme="minorEastAsia"/>
          <w:color w:val="000000" w:themeColor="text1"/>
          <w:sz w:val="24"/>
          <w:lang w:val="en-US" w:eastAsia="zh-CN"/>
          <w14:textFill>
            <w14:solidFill>
              <w14:schemeClr w14:val="tx1"/>
            </w14:solidFill>
          </w14:textFill>
        </w:rPr>
        <w:t>北海市广东路109号瀚宇国际大厦1幢606号</w:t>
      </w:r>
      <w:r>
        <w:rPr>
          <w:rFonts w:asciiTheme="minorEastAsia" w:hAnsiTheme="minorEastAsia" w:eastAsiaTheme="minorEastAsia"/>
          <w:color w:val="000000" w:themeColor="text1"/>
          <w:sz w:val="24"/>
          <w14:textFill>
            <w14:solidFill>
              <w14:schemeClr w14:val="tx1"/>
            </w14:solidFill>
          </w14:textFill>
        </w:rPr>
        <w:t xml:space="preserve"> </w:t>
      </w:r>
    </w:p>
    <w:p w14:paraId="00C5B6E4">
      <w:pPr>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w:t>
      </w:r>
      <w:r>
        <w:rPr>
          <w:rFonts w:hint="eastAsia" w:asciiTheme="minorEastAsia" w:hAnsiTheme="minorEastAsia" w:eastAsiaTheme="minorEastAsia"/>
          <w:color w:val="000000" w:themeColor="text1"/>
          <w:sz w:val="24"/>
          <w:lang w:val="en-US" w:eastAsia="zh-CN"/>
          <w14:textFill>
            <w14:solidFill>
              <w14:schemeClr w14:val="tx1"/>
            </w14:solidFill>
          </w14:textFill>
        </w:rPr>
        <w:t>黄工</w:t>
      </w:r>
    </w:p>
    <w:p w14:paraId="7229694F">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项目联系方式：0779-3838634</w:t>
      </w:r>
      <w:r>
        <w:rPr>
          <w:rFonts w:hint="eastAsia" w:asciiTheme="minorEastAsia" w:hAnsiTheme="minorEastAsia" w:eastAsiaTheme="minorEastAsia"/>
          <w:color w:val="000000" w:themeColor="text1"/>
          <w:sz w:val="24"/>
          <w14:textFill>
            <w14:solidFill>
              <w14:schemeClr w14:val="tx1"/>
            </w14:solidFill>
          </w14:textFill>
        </w:rPr>
        <w:t xml:space="preserve"> </w:t>
      </w:r>
    </w:p>
    <w:p w14:paraId="34539D44">
      <w:pPr>
        <w:pStyle w:val="633"/>
        <w:keepNext w:val="0"/>
        <w:keepLines w:val="0"/>
        <w:pageBreakBefore w:val="0"/>
        <w:widowControl w:val="0"/>
        <w:kinsoku/>
        <w:wordWrap/>
        <w:overflowPunct/>
        <w:topLinePunct w:val="0"/>
        <w:autoSpaceDE/>
        <w:autoSpaceDN/>
        <w:bidi w:val="0"/>
        <w:adjustRightInd w:val="0"/>
        <w:spacing w:line="336" w:lineRule="auto"/>
        <w:textAlignment w:val="auto"/>
        <w:rPr>
          <w:color w:val="000000" w:themeColor="text1"/>
          <w14:textFill>
            <w14:solidFill>
              <w14:schemeClr w14:val="tx1"/>
            </w14:solidFill>
          </w14:textFill>
        </w:rPr>
      </w:pPr>
    </w:p>
    <w:p w14:paraId="1EBE01E0">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p>
    <w:p w14:paraId="6C01D0B4">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cs="仿宋_GB2312" w:asciiTheme="minorEastAsia" w:hAnsiTheme="minorEastAsia" w:eastAsiaTheme="minorEastAsia"/>
          <w:color w:val="000000" w:themeColor="text1"/>
          <w:sz w:val="24"/>
          <w:szCs w:val="24"/>
          <w14:textFill>
            <w14:solidFill>
              <w14:schemeClr w14:val="tx1"/>
            </w14:solidFill>
          </w14:textFill>
        </w:rPr>
      </w:pPr>
    </w:p>
    <w:p w14:paraId="3ECEF34C">
      <w:pPr>
        <w:adjustRightInd/>
        <w:spacing w:line="360" w:lineRule="auto"/>
        <w:jc w:val="center"/>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046667CD">
      <w:pPr>
        <w:adjustRightInd/>
        <w:spacing w:line="360" w:lineRule="auto"/>
        <w:jc w:val="center"/>
        <w:outlineLvl w:val="0"/>
        <w:rPr>
          <w:rFonts w:cs="仿宋_GB2312" w:asciiTheme="minorEastAsia" w:hAnsiTheme="minorEastAsia" w:eastAsiaTheme="minorEastAsia"/>
          <w:b/>
          <w:color w:val="000000" w:themeColor="text1"/>
          <w:sz w:val="32"/>
          <w:szCs w:val="20"/>
          <w14:textFill>
            <w14:solidFill>
              <w14:schemeClr w14:val="tx1"/>
            </w14:solidFill>
          </w14:textFill>
        </w:rPr>
      </w:pPr>
      <w:bookmarkStart w:id="50" w:name="_Toc7875"/>
      <w:r>
        <w:rPr>
          <w:rFonts w:hint="eastAsia" w:cs="仿宋_GB2312" w:asciiTheme="minorEastAsia" w:hAnsiTheme="minorEastAsia" w:eastAsiaTheme="minorEastAsia"/>
          <w:b/>
          <w:color w:val="000000" w:themeColor="text1"/>
          <w:sz w:val="36"/>
          <w:szCs w:val="20"/>
          <w14:textFill>
            <w14:solidFill>
              <w14:schemeClr w14:val="tx1"/>
            </w14:solidFill>
          </w14:textFill>
        </w:rPr>
        <w:t>第二部分  竞争性谈判流程</w:t>
      </w:r>
      <w:bookmarkEnd w:id="50"/>
    </w:p>
    <w:p w14:paraId="78AAA7CB">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1.征集供应商</w:t>
      </w:r>
    </w:p>
    <w:p w14:paraId="43E1BF61">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1.1邀请供应商。</w:t>
      </w:r>
    </w:p>
    <w:p w14:paraId="0D69F83A">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14:textFill>
            <w14:solidFill>
              <w14:schemeClr w14:val="tx1"/>
            </w14:solidFill>
          </w14:textFill>
        </w:rPr>
        <w:t>由采购人、采购代理机构在省级以上人民政府财政部门指定的政府采购信息发布媒体上发布谈判公告，邀请符合相应资格条件的供应商参与竞争性谈判采购活动。</w:t>
      </w:r>
    </w:p>
    <w:p w14:paraId="73CF73FF">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1.2供应商获取谈判文件。</w:t>
      </w:r>
    </w:p>
    <w:p w14:paraId="195D0BDD">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1.3组织现场考察或召开答疑会（如果有）。</w:t>
      </w:r>
    </w:p>
    <w:p w14:paraId="38ABA8EF">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1.4发布更正（延期）公告，澄清或修改谈判文件（如果有）。</w:t>
      </w:r>
    </w:p>
    <w:p w14:paraId="43138485">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1.5供应商按谈判文件要求编制响应文件。</w:t>
      </w:r>
    </w:p>
    <w:p w14:paraId="40D06C00">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2.响应文件开启与信用信息查询</w:t>
      </w:r>
    </w:p>
    <w:p w14:paraId="26EAC6BC">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14:paraId="168D8F89">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2.2</w:t>
      </w:r>
      <w:r>
        <w:rPr>
          <w:rFonts w:hint="eastAsia" w:cs="Arial" w:asciiTheme="minorEastAsia" w:hAnsiTheme="minorEastAsia" w:eastAsiaTheme="minorEastAsia"/>
          <w:color w:val="000000" w:themeColor="text1"/>
          <w:kern w:val="0"/>
          <w:szCs w:val="24"/>
          <w14:textFill>
            <w14:solidFill>
              <w14:schemeClr w14:val="tx1"/>
            </w14:solidFill>
          </w14:textFill>
        </w:rPr>
        <w:t>采购人或者采购代理机构将通过“信用中国”网站(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)和中国政府采购网(www.ccgp.gov.cn)渠道查询供应商响应截止时间当日的信用记录。</w:t>
      </w:r>
    </w:p>
    <w:p w14:paraId="58057C33">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3.谈判与评审</w:t>
      </w:r>
    </w:p>
    <w:p w14:paraId="36F89954">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3.1谈判小组签到。</w:t>
      </w:r>
    </w:p>
    <w:p w14:paraId="57BF65F7">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3.2采购代理机构宣布有关纪律以及谈判、评审工作程序。</w:t>
      </w:r>
    </w:p>
    <w:p w14:paraId="4AA57766">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3.3谈判小组审查确认谈判文件。谈判文件内容违反国家有关强制性规定的，谈判小组应当停止评审并向采购代理机构说明情况。</w:t>
      </w:r>
    </w:p>
    <w:p w14:paraId="2AB8E4A2">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3.4谈判小组对供应商的资格进行审查。</w:t>
      </w:r>
    </w:p>
    <w:p w14:paraId="3AF65A26">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3.5谈判小组审查响应文件。</w:t>
      </w:r>
    </w:p>
    <w:p w14:paraId="2BC34B93">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3.6对于未实质性响应谈判文件的响应文件由谈判小组认定响应无效，并告知该供应商。</w:t>
      </w:r>
    </w:p>
    <w:p w14:paraId="07A9DF53">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6572DC3">
      <w:pPr>
        <w:pStyle w:val="394"/>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谈判时由采购代理机构或谈判小组利用广西政府采购云平台发起谈判邀请，供应商通过广西政府采购云平台“在线评审室”进行远程视频谈判。供应商使用CA数字证书登录广西政府采购云平台——收到视频评审邀请——点击“视频评审”进入“视频评审系统”——开始远程谈判活动。</w:t>
      </w:r>
    </w:p>
    <w:p w14:paraId="16194E74">
      <w:pPr>
        <w:pStyle w:val="394"/>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AF43AAA">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1CAB567A">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3.11谈判小组按照下列方式确定提交最后报价的供应商，有特殊规定的从其规定：</w:t>
      </w:r>
    </w:p>
    <w:p w14:paraId="120EC74D">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5FB67102">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0EE6E8B">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3.12确定进入最后报价的供应商在规定时间内提交最后报价。</w:t>
      </w:r>
    </w:p>
    <w:p w14:paraId="1C3184C3">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3.13谈判小组应当从质量和服务均能满足采购文件实质性响应要求的供应商中，按照最后报价由低到高的顺序提出3名以上成交候选人，并编写评审报告。</w:t>
      </w:r>
    </w:p>
    <w:p w14:paraId="1AE46041">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 成交</w:t>
      </w:r>
    </w:p>
    <w:p w14:paraId="418461A0">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4.1</w:t>
      </w: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14:textFill>
            <w14:solidFill>
              <w14:schemeClr w14:val="tx1"/>
            </w14:solidFill>
          </w14:textFill>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23C142A4">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14:paraId="72064E80">
      <w:pPr>
        <w:pStyle w:val="394"/>
        <w:spacing w:before="0"/>
        <w:ind w:firstLine="0" w:firstLineChars="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5.合同</w:t>
      </w:r>
      <w:r>
        <w:rPr>
          <w:rFonts w:hint="eastAsia" w:asciiTheme="minorEastAsia" w:hAnsiTheme="minorEastAsia" w:eastAsiaTheme="minorEastAsia"/>
          <w:b/>
          <w:color w:val="000000" w:themeColor="text1"/>
          <w:highlight w:val="none"/>
          <w14:textFill>
            <w14:solidFill>
              <w14:schemeClr w14:val="tx1"/>
            </w14:solidFill>
          </w14:textFill>
        </w:rPr>
        <w:t>及履约验收</w:t>
      </w:r>
    </w:p>
    <w:p w14:paraId="7AEC0FF7">
      <w:pPr>
        <w:pStyle w:val="394"/>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5.1采购人与成交供应商应当自成交通知书发出之日起</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Cs w:val="24"/>
          <w:highlight w:val="none"/>
          <w14:textFill>
            <w14:solidFill>
              <w14:schemeClr w14:val="tx1"/>
            </w14:solidFill>
          </w14:textFill>
        </w:rPr>
        <w:t>日内，按照采购文件确定的事项签订政府采购电子合同。采购人因不可抗力原因延迟签订电子合同的，应当自不可抗力事由消除之日起5个工作日内完成合同签订事宜。鼓励采购人通过完善内部流程进一步缩短电子合同签订期限。</w:t>
      </w:r>
    </w:p>
    <w:p w14:paraId="66FDB09C">
      <w:pPr>
        <w:tabs>
          <w:tab w:val="left" w:pos="0"/>
        </w:tabs>
        <w:spacing w:line="360" w:lineRule="auto"/>
        <w:ind w:firstLine="48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5.2成交供应商按照政策要求及合同约定缴纳履约保证金</w:t>
      </w:r>
      <w:r>
        <w:rPr>
          <w:rFonts w:hint="eastAsia" w:asciiTheme="minorEastAsia" w:hAnsiTheme="minorEastAsia" w:eastAsiaTheme="minorEastAsia"/>
          <w:color w:val="000000" w:themeColor="text1"/>
          <w:sz w:val="24"/>
          <w14:textFill>
            <w14:solidFill>
              <w14:schemeClr w14:val="tx1"/>
            </w14:solidFill>
          </w14:textFill>
        </w:rPr>
        <w:t>（如有）。</w:t>
      </w:r>
    </w:p>
    <w:p w14:paraId="0D343845">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5.3合同履约。</w:t>
      </w:r>
    </w:p>
    <w:p w14:paraId="5946AB17">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5.4采购人组织验收。</w:t>
      </w:r>
    </w:p>
    <w:p w14:paraId="7A70583E">
      <w:pPr>
        <w:widowControl/>
        <w:adjustRightInd/>
        <w:jc w:val="left"/>
        <w:rPr>
          <w:rFonts w:asciiTheme="minorEastAsia" w:hAnsiTheme="minorEastAsia" w:eastAsiaTheme="minorEastAsia"/>
          <w:b/>
          <w:color w:val="000000" w:themeColor="text1"/>
          <w:sz w:val="24"/>
          <w:szCs w:val="2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br w:type="page"/>
      </w:r>
    </w:p>
    <w:p w14:paraId="367734EE">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51" w:name="_Toc27421"/>
      <w:r>
        <w:rPr>
          <w:rFonts w:hint="eastAsia" w:cs="仿宋_GB2312" w:asciiTheme="minorEastAsia" w:hAnsiTheme="minorEastAsia" w:eastAsiaTheme="minorEastAsia"/>
          <w:b/>
          <w:color w:val="000000" w:themeColor="text1"/>
          <w:sz w:val="36"/>
          <w:szCs w:val="20"/>
          <w14:textFill>
            <w14:solidFill>
              <w14:schemeClr w14:val="tx1"/>
            </w14:solidFill>
          </w14:textFill>
        </w:rPr>
        <w:t>第三部分</w:t>
      </w:r>
      <w:bookmarkEnd w:id="9"/>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供应商须知</w:t>
      </w:r>
      <w:bookmarkEnd w:id="10"/>
      <w:bookmarkEnd w:id="51"/>
    </w:p>
    <w:p w14:paraId="691DCC1E">
      <w:pPr>
        <w:adjustRightInd/>
        <w:spacing w:line="360" w:lineRule="auto"/>
        <w:jc w:val="center"/>
        <w:outlineLvl w:val="1"/>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t>一、前附表</w:t>
      </w:r>
    </w:p>
    <w:tbl>
      <w:tblPr>
        <w:tblStyle w:val="61"/>
        <w:tblW w:w="910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570"/>
        <w:gridCol w:w="5903"/>
      </w:tblGrid>
      <w:tr w14:paraId="6C296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692F27">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2570" w:type="dxa"/>
            <w:tcBorders>
              <w:top w:val="single" w:color="000000" w:sz="8" w:space="0"/>
              <w:left w:val="single" w:color="auto" w:sz="4" w:space="0"/>
              <w:bottom w:val="single" w:color="000000" w:sz="8" w:space="0"/>
              <w:right w:val="single" w:color="000000" w:sz="8" w:space="0"/>
            </w:tcBorders>
            <w:vAlign w:val="center"/>
          </w:tcPr>
          <w:p w14:paraId="3BD997F7">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事项</w:t>
            </w:r>
          </w:p>
        </w:tc>
        <w:tc>
          <w:tcPr>
            <w:tcW w:w="5903" w:type="dxa"/>
            <w:tcBorders>
              <w:top w:val="single" w:color="000000" w:sz="8" w:space="0"/>
              <w:left w:val="single" w:color="000000" w:sz="2" w:space="0"/>
              <w:bottom w:val="single" w:color="000000" w:sz="8" w:space="0"/>
              <w:right w:val="single" w:color="000000" w:sz="8" w:space="0"/>
            </w:tcBorders>
            <w:vAlign w:val="center"/>
          </w:tcPr>
          <w:p w14:paraId="03F010EA">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本项目的特别规定</w:t>
            </w:r>
          </w:p>
        </w:tc>
      </w:tr>
      <w:tr w14:paraId="2B58E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C17DEF">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2570" w:type="dxa"/>
            <w:tcBorders>
              <w:top w:val="single" w:color="000000" w:sz="8" w:space="0"/>
              <w:left w:val="single" w:color="auto" w:sz="4" w:space="0"/>
              <w:bottom w:val="single" w:color="000000" w:sz="8" w:space="0"/>
              <w:right w:val="single" w:color="000000" w:sz="8" w:space="0"/>
            </w:tcBorders>
            <w:vAlign w:val="center"/>
          </w:tcPr>
          <w:p w14:paraId="27FAE7DB">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项目属性</w:t>
            </w:r>
          </w:p>
        </w:tc>
        <w:tc>
          <w:tcPr>
            <w:tcW w:w="5903" w:type="dxa"/>
            <w:tcBorders>
              <w:top w:val="single" w:color="000000" w:sz="8" w:space="0"/>
              <w:left w:val="single" w:color="000000" w:sz="2" w:space="0"/>
              <w:bottom w:val="single" w:color="000000" w:sz="8" w:space="0"/>
              <w:right w:val="single" w:color="000000" w:sz="8" w:space="0"/>
            </w:tcBorders>
            <w:vAlign w:val="center"/>
          </w:tcPr>
          <w:p w14:paraId="47BA8ED6">
            <w:pPr>
              <w:pageBreakBefore w:val="0"/>
              <w:widowControl w:val="0"/>
              <w:kinsoku/>
              <w:wordWrap/>
              <w:overflowPunct/>
              <w:topLinePunct w:val="0"/>
              <w:autoSpaceDE/>
              <w:autoSpaceDN/>
              <w:bidi w:val="0"/>
              <w:spacing w:line="240" w:lineRule="auto"/>
              <w:ind w:left="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货物类</w:t>
            </w:r>
          </w:p>
        </w:tc>
      </w:tr>
      <w:tr w14:paraId="1CFD9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8C6299">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2570" w:type="dxa"/>
            <w:tcBorders>
              <w:top w:val="single" w:color="000000" w:sz="8" w:space="0"/>
              <w:left w:val="single" w:color="auto" w:sz="4" w:space="0"/>
              <w:bottom w:val="single" w:color="000000" w:sz="8" w:space="0"/>
              <w:right w:val="single" w:color="000000" w:sz="8" w:space="0"/>
            </w:tcBorders>
            <w:vAlign w:val="center"/>
          </w:tcPr>
          <w:p w14:paraId="577FAEE8">
            <w:pPr>
              <w:pageBreakBefore w:val="0"/>
              <w:widowControl w:val="0"/>
              <w:kinsoku/>
              <w:wordWrap/>
              <w:overflowPunct/>
              <w:topLinePunct w:val="0"/>
              <w:autoSpaceDE/>
              <w:autoSpaceDN/>
              <w:bidi w:val="0"/>
              <w:snapToGrid w:val="0"/>
              <w:spacing w:line="240" w:lineRule="auto"/>
              <w:ind w:left="0"/>
              <w:textAlignment w:val="auto"/>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采购标的及其对应的中小企业划分标准所属行业</w:t>
            </w:r>
          </w:p>
        </w:tc>
        <w:tc>
          <w:tcPr>
            <w:tcW w:w="5903" w:type="dxa"/>
            <w:tcBorders>
              <w:top w:val="single" w:color="000000" w:sz="8" w:space="0"/>
              <w:left w:val="single" w:color="000000" w:sz="2" w:space="0"/>
              <w:bottom w:val="single" w:color="000000" w:sz="8" w:space="0"/>
              <w:right w:val="single" w:color="000000" w:sz="8" w:space="0"/>
            </w:tcBorders>
            <w:vAlign w:val="center"/>
          </w:tcPr>
          <w:p w14:paraId="67D72DA8">
            <w:pPr>
              <w:pageBreakBefore w:val="0"/>
              <w:widowControl w:val="0"/>
              <w:kinsoku/>
              <w:wordWrap/>
              <w:overflowPunct/>
              <w:topLinePunct w:val="0"/>
              <w:autoSpaceDE/>
              <w:autoSpaceDN/>
              <w:bidi w:val="0"/>
              <w:snapToGrid w:val="0"/>
              <w:spacing w:line="240" w:lineRule="auto"/>
              <w:ind w:left="0"/>
              <w:textAlignment w:val="auto"/>
              <w:rPr>
                <w:rFonts w:hint="eastAsia" w:cs="宋体" w:asciiTheme="minorEastAsia" w:hAnsiTheme="minorEastAsia" w:eastAsiaTheme="minorEastAsia"/>
                <w:b w:val="0"/>
                <w:bCs w:val="0"/>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（1）标的：</w:t>
            </w:r>
            <w:r>
              <w:rPr>
                <w:rFonts w:hint="eastAsia" w:cs="宋体" w:asciiTheme="minorEastAsia" w:hAnsiTheme="minorEastAsia" w:eastAsiaTheme="minorEastAsia"/>
                <w:color w:val="000000" w:themeColor="text1"/>
                <w:kern w:val="0"/>
                <w:sz w:val="24"/>
                <w:u w:val="single"/>
                <w:lang w:val="en-US" w:eastAsia="zh-CN"/>
                <w14:textFill>
                  <w14:solidFill>
                    <w14:schemeClr w14:val="tx1"/>
                  </w14:solidFill>
                </w14:textFill>
              </w:rPr>
              <w:t>2025年专用设备购置</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，属于</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工业 </w:t>
            </w:r>
            <w:r>
              <w:rPr>
                <w:rFonts w:hint="eastAsia" w:cs="宋体" w:asciiTheme="minorEastAsia" w:hAnsiTheme="minorEastAsia" w:eastAsiaTheme="minorEastAsia"/>
                <w:color w:val="000000" w:themeColor="text1"/>
                <w:kern w:val="0"/>
                <w:sz w:val="24"/>
                <w14:textFill>
                  <w14:solidFill>
                    <w14:schemeClr w14:val="tx1"/>
                  </w14:solidFill>
                </w14:textFill>
              </w:rPr>
              <w:t>行业</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w:t>
            </w:r>
          </w:p>
        </w:tc>
      </w:tr>
      <w:tr w14:paraId="6B766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CE2647">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p>
        </w:tc>
        <w:tc>
          <w:tcPr>
            <w:tcW w:w="2570" w:type="dxa"/>
            <w:tcBorders>
              <w:top w:val="single" w:color="000000" w:sz="8" w:space="0"/>
              <w:left w:val="single" w:color="auto" w:sz="4" w:space="0"/>
              <w:bottom w:val="single" w:color="000000" w:sz="8" w:space="0"/>
              <w:right w:val="single" w:color="000000" w:sz="8" w:space="0"/>
            </w:tcBorders>
            <w:vAlign w:val="center"/>
          </w:tcPr>
          <w:p w14:paraId="13CEB5CA">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是否允许采购进口产品</w:t>
            </w:r>
          </w:p>
        </w:tc>
        <w:tc>
          <w:tcPr>
            <w:tcW w:w="5903" w:type="dxa"/>
            <w:tcBorders>
              <w:top w:val="single" w:color="000000" w:sz="8" w:space="0"/>
              <w:left w:val="single" w:color="000000" w:sz="2" w:space="0"/>
              <w:bottom w:val="single" w:color="000000" w:sz="8" w:space="0"/>
              <w:right w:val="single" w:color="000000" w:sz="8" w:space="0"/>
            </w:tcBorders>
            <w:vAlign w:val="center"/>
          </w:tcPr>
          <w:p w14:paraId="2D3CBF56">
            <w:pPr>
              <w:pageBreakBefore w:val="0"/>
              <w:widowControl w:val="0"/>
              <w:kinsoku/>
              <w:wordWrap/>
              <w:overflowPunct/>
              <w:topLinePunct w:val="0"/>
              <w:autoSpaceDE/>
              <w:autoSpaceDN/>
              <w:bidi w:val="0"/>
              <w:spacing w:line="240" w:lineRule="auto"/>
              <w:ind w:left="0"/>
              <w:textAlignment w:val="auto"/>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本项目不允许采购进口产品。</w:t>
            </w:r>
          </w:p>
        </w:tc>
      </w:tr>
      <w:tr w14:paraId="64220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7985EB">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w:t>
            </w:r>
          </w:p>
        </w:tc>
        <w:tc>
          <w:tcPr>
            <w:tcW w:w="2570" w:type="dxa"/>
            <w:tcBorders>
              <w:top w:val="single" w:color="000000" w:sz="8" w:space="0"/>
              <w:left w:val="single" w:color="auto" w:sz="4" w:space="0"/>
              <w:bottom w:val="single" w:color="000000" w:sz="8" w:space="0"/>
              <w:right w:val="single" w:color="000000" w:sz="8" w:space="0"/>
            </w:tcBorders>
            <w:vAlign w:val="center"/>
          </w:tcPr>
          <w:p w14:paraId="3C6EE0D6">
            <w:pPr>
              <w:pageBreakBefore w:val="0"/>
              <w:widowControl w:val="0"/>
              <w:kinsoku/>
              <w:wordWrap/>
              <w:overflowPunct/>
              <w:topLinePunct w:val="0"/>
              <w:autoSpaceDE/>
              <w:autoSpaceDN/>
              <w:bidi w:val="0"/>
              <w:snapToGrid w:val="0"/>
              <w:spacing w:line="240" w:lineRule="auto"/>
              <w:ind w:left="0" w:firstLine="482" w:firstLineChars="200"/>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分包</w:t>
            </w:r>
          </w:p>
        </w:tc>
        <w:tc>
          <w:tcPr>
            <w:tcW w:w="5903" w:type="dxa"/>
            <w:tcBorders>
              <w:top w:val="single" w:color="000000" w:sz="8" w:space="0"/>
              <w:left w:val="single" w:color="000000" w:sz="2" w:space="0"/>
              <w:bottom w:val="single" w:color="000000" w:sz="8" w:space="0"/>
              <w:right w:val="single" w:color="000000" w:sz="8" w:space="0"/>
            </w:tcBorders>
            <w:vAlign w:val="center"/>
          </w:tcPr>
          <w:p w14:paraId="1E096CCB">
            <w:pPr>
              <w:pageBreakBefore w:val="0"/>
              <w:widowControl w:val="0"/>
              <w:kinsoku/>
              <w:wordWrap/>
              <w:overflowPunct/>
              <w:topLinePunct w:val="0"/>
              <w:autoSpaceDE/>
              <w:autoSpaceDN/>
              <w:bidi w:val="0"/>
              <w:spacing w:line="240" w:lineRule="auto"/>
              <w:ind w:left="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不同意分包。</w:t>
            </w:r>
          </w:p>
        </w:tc>
      </w:tr>
      <w:tr w14:paraId="4AA08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C00D1F">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2570" w:type="dxa"/>
            <w:tcBorders>
              <w:top w:val="single" w:color="000000" w:sz="8" w:space="0"/>
              <w:left w:val="single" w:color="auto" w:sz="4" w:space="0"/>
              <w:bottom w:val="single" w:color="000000" w:sz="8" w:space="0"/>
              <w:right w:val="single" w:color="000000" w:sz="8" w:space="0"/>
            </w:tcBorders>
            <w:vAlign w:val="center"/>
          </w:tcPr>
          <w:p w14:paraId="2D326085">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开标前答疑会或现场考察</w:t>
            </w:r>
          </w:p>
        </w:tc>
        <w:tc>
          <w:tcPr>
            <w:tcW w:w="5903" w:type="dxa"/>
            <w:tcBorders>
              <w:top w:val="single" w:color="000000" w:sz="8" w:space="0"/>
              <w:left w:val="single" w:color="000000" w:sz="2" w:space="0"/>
              <w:bottom w:val="single" w:color="000000" w:sz="8" w:space="0"/>
              <w:right w:val="single" w:color="000000" w:sz="8" w:space="0"/>
            </w:tcBorders>
            <w:vAlign w:val="center"/>
          </w:tcPr>
          <w:p w14:paraId="4D5D7A72">
            <w:pPr>
              <w:pageBreakBefore w:val="0"/>
              <w:widowControl w:val="0"/>
              <w:kinsoku/>
              <w:wordWrap/>
              <w:overflowPunct/>
              <w:topLinePunct w:val="0"/>
              <w:autoSpaceDE/>
              <w:autoSpaceDN/>
              <w:bidi w:val="0"/>
              <w:spacing w:line="240" w:lineRule="auto"/>
              <w:ind w:left="0"/>
              <w:textAlignment w:val="auto"/>
              <w:rPr>
                <w:rFonts w:cs="宋体" w:asciiTheme="minorEastAsia" w:hAnsiTheme="minorEastAsia" w:eastAsiaTheme="minorEastAsia"/>
                <w:color w:val="000000" w:themeColor="text1"/>
                <w:sz w:val="24"/>
                <w:szCs w:val="20"/>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不组织。</w:t>
            </w:r>
          </w:p>
        </w:tc>
      </w:tr>
      <w:tr w14:paraId="5E99A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5BF077">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w:t>
            </w:r>
          </w:p>
        </w:tc>
        <w:tc>
          <w:tcPr>
            <w:tcW w:w="2570" w:type="dxa"/>
            <w:tcBorders>
              <w:top w:val="single" w:color="000000" w:sz="8" w:space="0"/>
              <w:left w:val="single" w:color="auto" w:sz="4" w:space="0"/>
              <w:bottom w:val="single" w:color="000000" w:sz="8" w:space="0"/>
              <w:right w:val="single" w:color="000000" w:sz="8" w:space="0"/>
            </w:tcBorders>
            <w:vAlign w:val="center"/>
          </w:tcPr>
          <w:p w14:paraId="56877681">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样品提供</w:t>
            </w:r>
          </w:p>
        </w:tc>
        <w:tc>
          <w:tcPr>
            <w:tcW w:w="5903" w:type="dxa"/>
            <w:tcBorders>
              <w:top w:val="single" w:color="000000" w:sz="8" w:space="0"/>
              <w:left w:val="single" w:color="000000" w:sz="2" w:space="0"/>
              <w:bottom w:val="single" w:color="000000" w:sz="8" w:space="0"/>
              <w:right w:val="single" w:color="000000" w:sz="8" w:space="0"/>
            </w:tcBorders>
            <w:vAlign w:val="center"/>
          </w:tcPr>
          <w:p w14:paraId="72DA03BE">
            <w:pPr>
              <w:pageBreakBefore w:val="0"/>
              <w:widowControl w:val="0"/>
              <w:kinsoku/>
              <w:wordWrap/>
              <w:overflowPunct/>
              <w:topLinePunct w:val="0"/>
              <w:autoSpaceDE/>
              <w:autoSpaceDN/>
              <w:bidi w:val="0"/>
              <w:spacing w:line="240" w:lineRule="auto"/>
              <w:ind w:left="0"/>
              <w:textAlignment w:val="auto"/>
              <w:rPr>
                <w:rFonts w:hint="eastAsia" w:cs="宋体" w:asciiTheme="minorEastAsia" w:hAnsiTheme="minorEastAsia" w:eastAsiaTheme="minorEastAsia"/>
                <w:b/>
                <w:color w:val="000000" w:themeColor="text1"/>
                <w:lang w:eastAsia="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不要求提供。</w:t>
            </w:r>
          </w:p>
        </w:tc>
      </w:tr>
      <w:tr w14:paraId="39AC8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0878C3">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w:t>
            </w:r>
          </w:p>
        </w:tc>
        <w:tc>
          <w:tcPr>
            <w:tcW w:w="2570" w:type="dxa"/>
            <w:tcBorders>
              <w:top w:val="single" w:color="000000" w:sz="8" w:space="0"/>
              <w:left w:val="single" w:color="auto" w:sz="4" w:space="0"/>
              <w:bottom w:val="single" w:color="000000" w:sz="8" w:space="0"/>
              <w:right w:val="single" w:color="000000" w:sz="8" w:space="0"/>
            </w:tcBorders>
            <w:vAlign w:val="center"/>
          </w:tcPr>
          <w:p w14:paraId="786DA751">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方案讲解演示</w:t>
            </w:r>
          </w:p>
        </w:tc>
        <w:tc>
          <w:tcPr>
            <w:tcW w:w="5903" w:type="dxa"/>
            <w:tcBorders>
              <w:top w:val="single" w:color="000000" w:sz="8" w:space="0"/>
              <w:left w:val="single" w:color="000000" w:sz="2" w:space="0"/>
              <w:bottom w:val="single" w:color="000000" w:sz="8" w:space="0"/>
              <w:right w:val="single" w:color="000000" w:sz="8" w:space="0"/>
            </w:tcBorders>
            <w:vAlign w:val="center"/>
          </w:tcPr>
          <w:p w14:paraId="245BF431">
            <w:pPr>
              <w:pageBreakBefore w:val="0"/>
              <w:widowControl w:val="0"/>
              <w:kinsoku/>
              <w:wordWrap/>
              <w:overflowPunct/>
              <w:topLinePunct w:val="0"/>
              <w:autoSpaceDE/>
              <w:autoSpaceDN/>
              <w:bidi w:val="0"/>
              <w:spacing w:line="240" w:lineRule="auto"/>
              <w:ind w:left="0"/>
              <w:textAlignment w:val="auto"/>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不组织。</w:t>
            </w:r>
          </w:p>
        </w:tc>
      </w:tr>
      <w:tr w14:paraId="1BBB2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2" w:hRule="atLeast"/>
          <w:tblHeader/>
        </w:trPr>
        <w:tc>
          <w:tcPr>
            <w:tcW w:w="629" w:type="dxa"/>
            <w:tcBorders>
              <w:top w:val="single" w:color="auto" w:sz="4" w:space="0"/>
              <w:left w:val="single" w:color="auto" w:sz="4" w:space="0"/>
              <w:right w:val="single" w:color="auto" w:sz="4" w:space="0"/>
            </w:tcBorders>
            <w:vAlign w:val="center"/>
          </w:tcPr>
          <w:p w14:paraId="7427730B">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w:t>
            </w:r>
          </w:p>
        </w:tc>
        <w:tc>
          <w:tcPr>
            <w:tcW w:w="2570" w:type="dxa"/>
            <w:tcBorders>
              <w:top w:val="single" w:color="000000" w:sz="8" w:space="0"/>
              <w:left w:val="single" w:color="auto" w:sz="4" w:space="0"/>
              <w:right w:val="single" w:color="000000" w:sz="8" w:space="0"/>
            </w:tcBorders>
            <w:vAlign w:val="center"/>
          </w:tcPr>
          <w:p w14:paraId="25AE4BF9">
            <w:pPr>
              <w:pageBreakBefore w:val="0"/>
              <w:widowControl w:val="0"/>
              <w:kinsoku/>
              <w:wordWrap/>
              <w:overflowPunct/>
              <w:topLinePunct w:val="0"/>
              <w:autoSpaceDE/>
              <w:autoSpaceDN/>
              <w:bidi w:val="0"/>
              <w:snapToGrid w:val="0"/>
              <w:spacing w:line="240" w:lineRule="auto"/>
              <w:ind w:left="0"/>
              <w:jc w:val="center"/>
              <w:textAlignment w:val="auto"/>
              <w:rPr>
                <w:rFonts w:hint="eastAsia" w:cs="宋体" w:asciiTheme="minorEastAsia" w:hAnsiTheme="minorEastAsia" w:eastAsiaTheme="minorEastAsia"/>
                <w:b/>
                <w:color w:val="000000" w:themeColor="text1"/>
                <w:sz w:val="24"/>
                <w:lang w:eastAsia="zh-CN"/>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供应商应当提供的</w:t>
            </w:r>
            <w:r>
              <w:rPr>
                <w:rFonts w:hint="eastAsia" w:cs="宋体" w:asciiTheme="minorEastAsia" w:hAnsiTheme="minorEastAsia" w:eastAsiaTheme="minorEastAsia"/>
                <w:b/>
                <w:color w:val="000000" w:themeColor="text1"/>
                <w:sz w:val="24"/>
                <w:lang w:eastAsia="zh-CN"/>
                <w14:textFill>
                  <w14:solidFill>
                    <w14:schemeClr w14:val="tx1"/>
                  </w14:solidFill>
                </w14:textFill>
              </w:rPr>
              <w:t>响应文件</w:t>
            </w:r>
          </w:p>
        </w:tc>
        <w:tc>
          <w:tcPr>
            <w:tcW w:w="5903" w:type="dxa"/>
            <w:tcBorders>
              <w:top w:val="single" w:color="000000" w:sz="8" w:space="0"/>
              <w:left w:val="single" w:color="000000" w:sz="2" w:space="0"/>
              <w:bottom w:val="single" w:color="000000" w:sz="8" w:space="0"/>
              <w:right w:val="single" w:color="000000" w:sz="8" w:space="0"/>
            </w:tcBorders>
            <w:vAlign w:val="center"/>
          </w:tcPr>
          <w:p w14:paraId="13FEF495">
            <w:pPr>
              <w:pageBreakBefore w:val="0"/>
              <w:widowControl w:val="0"/>
              <w:kinsoku/>
              <w:wordWrap/>
              <w:overflowPunct/>
              <w:topLinePunct w:val="0"/>
              <w:autoSpaceDE/>
              <w:autoSpaceDN/>
              <w:bidi w:val="0"/>
              <w:spacing w:line="240" w:lineRule="auto"/>
              <w:ind w:left="0"/>
              <w:textAlignment w:val="auto"/>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报价文件、资格商务技术文件</w:t>
            </w:r>
          </w:p>
        </w:tc>
      </w:tr>
      <w:tr w14:paraId="0B047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0A08C8">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w:t>
            </w:r>
          </w:p>
        </w:tc>
        <w:tc>
          <w:tcPr>
            <w:tcW w:w="2570" w:type="dxa"/>
            <w:tcBorders>
              <w:top w:val="single" w:color="000000" w:sz="8" w:space="0"/>
              <w:left w:val="single" w:color="000000" w:sz="2" w:space="0"/>
              <w:bottom w:val="single" w:color="000000" w:sz="8" w:space="0"/>
              <w:right w:val="single" w:color="000000" w:sz="8" w:space="0"/>
            </w:tcBorders>
            <w:vAlign w:val="center"/>
          </w:tcPr>
          <w:p w14:paraId="6C000934">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节能产品、环境标志产品</w:t>
            </w:r>
          </w:p>
        </w:tc>
        <w:tc>
          <w:tcPr>
            <w:tcW w:w="5903" w:type="dxa"/>
            <w:tcBorders>
              <w:top w:val="single" w:color="000000" w:sz="8" w:space="0"/>
              <w:left w:val="single" w:color="000000" w:sz="2" w:space="0"/>
              <w:bottom w:val="single" w:color="000000" w:sz="8" w:space="0"/>
              <w:right w:val="single" w:color="000000" w:sz="8" w:space="0"/>
            </w:tcBorders>
            <w:vAlign w:val="center"/>
          </w:tcPr>
          <w:p w14:paraId="00B6223F">
            <w:pPr>
              <w:pageBreakBefore w:val="0"/>
              <w:widowControl w:val="0"/>
              <w:kinsoku/>
              <w:wordWrap/>
              <w:overflowPunct/>
              <w:topLinePunct w:val="0"/>
              <w:autoSpaceDE/>
              <w:autoSpaceDN/>
              <w:bidi w:val="0"/>
              <w:snapToGrid w:val="0"/>
              <w:spacing w:line="240" w:lineRule="auto"/>
              <w:ind w:left="0"/>
              <w:textAlignment w:val="auto"/>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27E6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65AAE0">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w:t>
            </w:r>
          </w:p>
        </w:tc>
        <w:tc>
          <w:tcPr>
            <w:tcW w:w="2570" w:type="dxa"/>
            <w:tcBorders>
              <w:top w:val="single" w:color="000000" w:sz="8" w:space="0"/>
              <w:left w:val="single" w:color="000000" w:sz="2" w:space="0"/>
              <w:bottom w:val="single" w:color="000000" w:sz="8" w:space="0"/>
              <w:right w:val="single" w:color="000000" w:sz="8" w:space="0"/>
            </w:tcBorders>
            <w:vAlign w:val="center"/>
          </w:tcPr>
          <w:p w14:paraId="425C19F0">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最后报价要求</w:t>
            </w:r>
          </w:p>
        </w:tc>
        <w:tc>
          <w:tcPr>
            <w:tcW w:w="5903" w:type="dxa"/>
            <w:tcBorders>
              <w:top w:val="single" w:color="000000" w:sz="8" w:space="0"/>
              <w:left w:val="single" w:color="000000" w:sz="2" w:space="0"/>
              <w:bottom w:val="single" w:color="000000" w:sz="8" w:space="0"/>
              <w:right w:val="single" w:color="000000" w:sz="8" w:space="0"/>
            </w:tcBorders>
            <w:vAlign w:val="center"/>
          </w:tcPr>
          <w:p w14:paraId="37FAD4FB">
            <w:pPr>
              <w:keepNext w:val="0"/>
              <w:keepLines w:val="0"/>
              <w:pageBreakBefore w:val="0"/>
              <w:widowControl w:val="0"/>
              <w:kinsoku/>
              <w:wordWrap/>
              <w:overflowPunct/>
              <w:topLinePunct w:val="0"/>
              <w:autoSpaceDE/>
              <w:autoSpaceDN/>
              <w:bidi w:val="0"/>
              <w:adjustRightInd w:val="0"/>
              <w:snapToGrid/>
              <w:spacing w:line="240" w:lineRule="auto"/>
              <w:ind w:left="0" w:firstLine="240" w:firstLineChars="100"/>
              <w:textAlignment w:val="auto"/>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lang w:eastAsia="zh-CN"/>
                <w14:textFill>
                  <w14:solidFill>
                    <w14:schemeClr w14:val="tx1"/>
                  </w14:solidFill>
                </w14:textFill>
              </w:rPr>
              <w:t>）谈判供应商可就《采购需求》中所有的货物和服务内容作完整唯一报价。</w:t>
            </w:r>
            <w:r>
              <w:rPr>
                <w:rFonts w:hint="eastAsia" w:cs="宋体" w:asciiTheme="minorEastAsia" w:hAnsiTheme="minorEastAsia" w:eastAsiaTheme="minorEastAsia"/>
                <w:color w:val="000000" w:themeColor="text1"/>
                <w:sz w:val="24"/>
                <w14:textFill>
                  <w14:solidFill>
                    <w14:schemeClr w14:val="tx1"/>
                  </w14:solidFill>
                </w14:textFill>
              </w:rPr>
              <w:t>本项目报价须逐项列明单价，谈判最终总报价超过采购预算控制价的，按无效谈判处理。</w:t>
            </w:r>
          </w:p>
          <w:p w14:paraId="4780357E">
            <w:pPr>
              <w:keepNext w:val="0"/>
              <w:keepLines w:val="0"/>
              <w:pageBreakBefore w:val="0"/>
              <w:widowControl w:val="0"/>
              <w:kinsoku/>
              <w:wordWrap/>
              <w:overflowPunct/>
              <w:topLinePunct w:val="0"/>
              <w:autoSpaceDE/>
              <w:autoSpaceDN/>
              <w:bidi w:val="0"/>
              <w:adjustRightInd w:val="0"/>
              <w:snapToGrid/>
              <w:spacing w:line="240" w:lineRule="auto"/>
              <w:ind w:left="0"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lang w:eastAsia="zh-CN"/>
                <w14:textFill>
                  <w14:solidFill>
                    <w14:schemeClr w14:val="tx1"/>
                  </w14:solidFill>
                </w14:textFill>
              </w:rPr>
              <w:t>）报价</w:t>
            </w:r>
            <w:r>
              <w:rPr>
                <w:rFonts w:hint="eastAsia" w:cs="宋体" w:asciiTheme="minorEastAsia" w:hAnsiTheme="minorEastAsia" w:eastAsiaTheme="minorEastAsia"/>
                <w:color w:val="000000" w:themeColor="text1"/>
                <w:sz w:val="24"/>
                <w14:textFill>
                  <w14:solidFill>
                    <w14:schemeClr w14:val="tx1"/>
                  </w14:solidFill>
                </w14:textFill>
              </w:rPr>
              <w:t>包括货款、备品备件、专用工具、包装、运输、装卸、保险、税金、安装、调试、试验、保修等成本、税金及利润。</w:t>
            </w:r>
          </w:p>
        </w:tc>
      </w:tr>
      <w:tr w14:paraId="66625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1CD9D3">
            <w:pPr>
              <w:pageBreakBefore w:val="0"/>
              <w:widowControl w:val="0"/>
              <w:kinsoku/>
              <w:wordWrap/>
              <w:overflowPunct/>
              <w:topLinePunct w:val="0"/>
              <w:autoSpaceDE/>
              <w:autoSpaceDN/>
              <w:bidi w:val="0"/>
              <w:snapToGrid w:val="0"/>
              <w:spacing w:line="240" w:lineRule="auto"/>
              <w:ind w:left="0"/>
              <w:jc w:val="center"/>
              <w:textAlignment w:val="auto"/>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p>
        </w:tc>
        <w:tc>
          <w:tcPr>
            <w:tcW w:w="2570" w:type="dxa"/>
            <w:tcBorders>
              <w:top w:val="single" w:color="000000" w:sz="8" w:space="0"/>
              <w:left w:val="single" w:color="000000" w:sz="2" w:space="0"/>
              <w:bottom w:val="single" w:color="000000" w:sz="8" w:space="0"/>
              <w:right w:val="single" w:color="000000" w:sz="8" w:space="0"/>
            </w:tcBorders>
            <w:vAlign w:val="center"/>
          </w:tcPr>
          <w:p w14:paraId="501932EE">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备份响应文件送达地点和签收人员 </w:t>
            </w:r>
          </w:p>
        </w:tc>
        <w:tc>
          <w:tcPr>
            <w:tcW w:w="5903" w:type="dxa"/>
            <w:tcBorders>
              <w:top w:val="single" w:color="000000" w:sz="8" w:space="0"/>
              <w:left w:val="single" w:color="000000" w:sz="2" w:space="0"/>
              <w:bottom w:val="single" w:color="000000" w:sz="8" w:space="0"/>
              <w:right w:val="single" w:color="000000" w:sz="8" w:space="0"/>
            </w:tcBorders>
            <w:vAlign w:val="center"/>
          </w:tcPr>
          <w:p w14:paraId="30420F9C">
            <w:pPr>
              <w:pStyle w:val="33"/>
              <w:pageBreakBefore w:val="0"/>
              <w:widowControl w:val="0"/>
              <w:kinsoku/>
              <w:wordWrap/>
              <w:overflowPunct/>
              <w:topLinePunct w:val="0"/>
              <w:autoSpaceDE/>
              <w:autoSpaceDN/>
              <w:bidi w:val="0"/>
              <w:spacing w:line="240" w:lineRule="auto"/>
              <w:ind w:left="0"/>
              <w:textAlignment w:val="auto"/>
              <w:rPr>
                <w:rFonts w:hAnsi="宋体" w:cs="宋体"/>
                <w:color w:val="000000" w:themeColor="text1"/>
                <w:kern w:val="28"/>
                <w:sz w:val="24"/>
                <w14:textFill>
                  <w14:solidFill>
                    <w14:schemeClr w14:val="tx1"/>
                  </w14:solidFill>
                </w14:textFill>
              </w:rPr>
            </w:pPr>
            <w:r>
              <w:rPr>
                <w:rFonts w:hint="eastAsia" w:hAnsi="宋体" w:cs="宋体"/>
                <w:color w:val="000000" w:themeColor="text1"/>
                <w:sz w:val="24"/>
                <w14:textFill>
                  <w14:solidFill>
                    <w14:schemeClr w14:val="tx1"/>
                  </w14:solidFill>
                </w14:textFill>
              </w:rPr>
              <w:t>接受</w:t>
            </w:r>
            <w:r>
              <w:rPr>
                <w:rFonts w:hint="eastAsia" w:hAnsi="宋体" w:cs="宋体"/>
                <w:color w:val="000000" w:themeColor="text1"/>
                <w:kern w:val="0"/>
                <w:sz w:val="24"/>
                <w14:textFill>
                  <w14:solidFill>
                    <w14:schemeClr w14:val="tx1"/>
                  </w14:solidFill>
                </w14:textFill>
              </w:rPr>
              <w:t>：</w:t>
            </w:r>
            <w:r>
              <w:rPr>
                <w:rFonts w:hint="eastAsia" w:hAnsi="宋体" w:cs="宋体"/>
                <w:color w:val="000000" w:themeColor="text1"/>
                <w:kern w:val="28"/>
                <w:sz w:val="24"/>
                <w14:textFill>
                  <w14:solidFill>
                    <w14:schemeClr w14:val="tx1"/>
                  </w14:solidFill>
                </w14:textFill>
              </w:rPr>
              <w:t>备份响应文件送达地点：</w:t>
            </w:r>
            <w:r>
              <w:rPr>
                <w:rFonts w:hint="eastAsia" w:hAnsi="宋体" w:cs="宋体"/>
                <w:color w:val="000000" w:themeColor="text1"/>
                <w:sz w:val="24"/>
                <w:u w:val="single"/>
                <w:lang w:eastAsia="zh-CN"/>
                <w14:textFill>
                  <w14:solidFill>
                    <w14:schemeClr w14:val="tx1"/>
                  </w14:solidFill>
                </w14:textFill>
              </w:rPr>
              <w:t>广西天麒工程管理有限公司（北海市广东路109号瀚宇国际大厦1幢606号）</w:t>
            </w:r>
            <w:r>
              <w:rPr>
                <w:rFonts w:hint="eastAsia" w:hAnsi="宋体" w:cs="宋体"/>
                <w:color w:val="000000" w:themeColor="text1"/>
                <w:kern w:val="28"/>
                <w:sz w:val="24"/>
                <w14:textFill>
                  <w14:solidFill>
                    <w14:schemeClr w14:val="tx1"/>
                  </w14:solidFill>
                </w14:textFill>
              </w:rPr>
              <w:t>；备份响应文件签收人员联系电话</w:t>
            </w:r>
            <w:r>
              <w:rPr>
                <w:rFonts w:hint="eastAsia" w:hAnsi="宋体" w:cs="宋体"/>
                <w:color w:val="000000" w:themeColor="text1"/>
                <w:kern w:val="28"/>
                <w:sz w:val="24"/>
                <w:u w:val="none"/>
                <w14:textFill>
                  <w14:solidFill>
                    <w14:schemeClr w14:val="tx1"/>
                  </w14:solidFill>
                </w14:textFill>
              </w:rPr>
              <w:t>：</w:t>
            </w:r>
            <w:r>
              <w:rPr>
                <w:rFonts w:hint="eastAsia" w:hAnsi="宋体" w:cs="宋体"/>
                <w:color w:val="000000" w:themeColor="text1"/>
                <w:kern w:val="28"/>
                <w:sz w:val="24"/>
                <w:u w:val="single"/>
                <w:lang w:eastAsia="zh-CN"/>
                <w14:textFill>
                  <w14:solidFill>
                    <w14:schemeClr w14:val="tx1"/>
                  </w14:solidFill>
                </w14:textFill>
              </w:rPr>
              <w:t>黄工</w:t>
            </w:r>
            <w:r>
              <w:rPr>
                <w:rFonts w:hint="eastAsia" w:hAnsi="宋体" w:cs="宋体"/>
                <w:color w:val="000000" w:themeColor="text1"/>
                <w:kern w:val="28"/>
                <w:sz w:val="24"/>
                <w:u w:val="single"/>
                <w:lang w:val="en-US" w:eastAsia="zh-CN"/>
                <w14:textFill>
                  <w14:solidFill>
                    <w14:schemeClr w14:val="tx1"/>
                  </w14:solidFill>
                </w14:textFill>
              </w:rPr>
              <w:t>0779-3838634</w:t>
            </w:r>
            <w:r>
              <w:rPr>
                <w:rFonts w:hint="eastAsia" w:hAnsi="宋体" w:cs="宋体"/>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采购人、采购代理机构不强制或变相强制供应商提交备份响应文件。</w:t>
            </w:r>
          </w:p>
        </w:tc>
      </w:tr>
      <w:tr w14:paraId="56C35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vAlign w:val="center"/>
          </w:tcPr>
          <w:p w14:paraId="684C3938">
            <w:pPr>
              <w:pageBreakBefore w:val="0"/>
              <w:widowControl w:val="0"/>
              <w:kinsoku/>
              <w:wordWrap/>
              <w:overflowPunct/>
              <w:topLinePunct w:val="0"/>
              <w:autoSpaceDE/>
              <w:autoSpaceDN/>
              <w:bidi w:val="0"/>
              <w:snapToGrid w:val="0"/>
              <w:spacing w:line="240" w:lineRule="auto"/>
              <w:ind w:left="0"/>
              <w:jc w:val="center"/>
              <w:textAlignment w:val="auto"/>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p>
        </w:tc>
        <w:tc>
          <w:tcPr>
            <w:tcW w:w="2570" w:type="dxa"/>
            <w:tcBorders>
              <w:top w:val="single" w:color="000000" w:sz="8" w:space="0"/>
              <w:left w:val="single" w:color="000000" w:sz="2" w:space="0"/>
              <w:right w:val="single" w:color="000000" w:sz="8" w:space="0"/>
            </w:tcBorders>
            <w:vAlign w:val="center"/>
          </w:tcPr>
          <w:p w14:paraId="47742B56">
            <w:pPr>
              <w:pageBreakBefore w:val="0"/>
              <w:widowControl w:val="0"/>
              <w:kinsoku/>
              <w:wordWrap/>
              <w:overflowPunct/>
              <w:topLinePunct w:val="0"/>
              <w:autoSpaceDE/>
              <w:autoSpaceDN/>
              <w:bidi w:val="0"/>
              <w:snapToGrid w:val="0"/>
              <w:spacing w:line="240" w:lineRule="auto"/>
              <w:ind w:left="0"/>
              <w:jc w:val="center"/>
              <w:textAlignment w:val="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特别说明</w:t>
            </w:r>
          </w:p>
        </w:tc>
        <w:tc>
          <w:tcPr>
            <w:tcW w:w="5903" w:type="dxa"/>
            <w:tcBorders>
              <w:top w:val="single" w:color="000000" w:sz="8" w:space="0"/>
              <w:left w:val="single" w:color="000000" w:sz="2" w:space="0"/>
              <w:bottom w:val="single" w:color="auto" w:sz="4" w:space="0"/>
              <w:right w:val="single" w:color="000000" w:sz="8" w:space="0"/>
            </w:tcBorders>
            <w:vAlign w:val="center"/>
          </w:tcPr>
          <w:p w14:paraId="6F9728FD">
            <w:pPr>
              <w:pageBreakBefore w:val="0"/>
              <w:widowControl w:val="0"/>
              <w:kinsoku/>
              <w:wordWrap/>
              <w:overflowPunct/>
              <w:topLinePunct w:val="0"/>
              <w:autoSpaceDE/>
              <w:autoSpaceDN/>
              <w:bidi w:val="0"/>
              <w:spacing w:line="240" w:lineRule="auto"/>
              <w:ind w:left="0"/>
              <w:textAlignment w:val="auto"/>
              <w:rPr>
                <w:rFonts w:hint="eastAsia" w:ascii="宋体" w:hAnsi="宋体" w:eastAsia="宋体" w:cs="宋体"/>
                <w:snapToGrid w:val="0"/>
                <w:color w:val="000000" w:themeColor="text1"/>
                <w:kern w:val="28"/>
                <w:sz w:val="24"/>
                <w:lang w:eastAsia="zh-CN"/>
                <w14:textFill>
                  <w14:solidFill>
                    <w14:schemeClr w14:val="tx1"/>
                  </w14:solidFill>
                </w14:textFill>
              </w:rPr>
            </w:pPr>
            <w:r>
              <w:rPr>
                <w:rFonts w:hint="eastAsia" w:ascii="宋体" w:hAnsi="宋体" w:cs="宋体"/>
                <w:snapToGrid w:val="0"/>
                <w:color w:val="000000" w:themeColor="text1"/>
                <w:kern w:val="28"/>
                <w:sz w:val="24"/>
                <w:lang w:eastAsia="zh-CN"/>
                <w14:textFill>
                  <w14:solidFill>
                    <w14:schemeClr w14:val="tx1"/>
                  </w14:solidFill>
                </w14:textFill>
              </w:rPr>
              <w:t>无</w:t>
            </w:r>
          </w:p>
        </w:tc>
      </w:tr>
      <w:tr w14:paraId="246B9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9A46C7">
            <w:pPr>
              <w:pageBreakBefore w:val="0"/>
              <w:widowControl w:val="0"/>
              <w:kinsoku/>
              <w:wordWrap/>
              <w:overflowPunct/>
              <w:topLinePunct w:val="0"/>
              <w:autoSpaceDE/>
              <w:autoSpaceDN/>
              <w:bidi w:val="0"/>
              <w:snapToGrid w:val="0"/>
              <w:spacing w:line="240" w:lineRule="auto"/>
              <w:ind w:left="0"/>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3</w:t>
            </w:r>
          </w:p>
        </w:tc>
        <w:tc>
          <w:tcPr>
            <w:tcW w:w="2570" w:type="dxa"/>
            <w:tcBorders>
              <w:top w:val="single" w:color="auto" w:sz="4" w:space="0"/>
              <w:left w:val="single" w:color="auto" w:sz="4" w:space="0"/>
              <w:bottom w:val="single" w:color="auto" w:sz="4" w:space="0"/>
              <w:right w:val="single" w:color="auto" w:sz="4" w:space="0"/>
            </w:tcBorders>
            <w:vAlign w:val="center"/>
          </w:tcPr>
          <w:p w14:paraId="19AFC51D">
            <w:pPr>
              <w:pageBreakBefore w:val="0"/>
              <w:widowControl w:val="0"/>
              <w:kinsoku/>
              <w:wordWrap/>
              <w:overflowPunct/>
              <w:topLinePunct w:val="0"/>
              <w:autoSpaceDE/>
              <w:autoSpaceDN/>
              <w:bidi w:val="0"/>
              <w:snapToGrid w:val="0"/>
              <w:spacing w:line="240" w:lineRule="auto"/>
              <w:ind w:left="0"/>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tc>
        <w:tc>
          <w:tcPr>
            <w:tcW w:w="5903" w:type="dxa"/>
            <w:tcBorders>
              <w:top w:val="single" w:color="auto" w:sz="4" w:space="0"/>
              <w:left w:val="single" w:color="auto" w:sz="4" w:space="0"/>
              <w:bottom w:val="single" w:color="auto" w:sz="4" w:space="0"/>
              <w:right w:val="single" w:color="auto" w:sz="4" w:space="0"/>
            </w:tcBorders>
            <w:vAlign w:val="center"/>
          </w:tcPr>
          <w:p w14:paraId="499269ED">
            <w:pPr>
              <w:pageBreakBefore w:val="0"/>
              <w:widowControl w:val="0"/>
              <w:kinsoku/>
              <w:wordWrap/>
              <w:overflowPunct/>
              <w:topLinePunct w:val="0"/>
              <w:autoSpaceDE/>
              <w:autoSpaceDN/>
              <w:bidi w:val="0"/>
              <w:spacing w:line="240" w:lineRule="auto"/>
              <w:ind w:left="0"/>
              <w:textAlignment w:val="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本谈判文件解释权属采购人及代理机构。</w:t>
            </w:r>
          </w:p>
        </w:tc>
      </w:tr>
    </w:tbl>
    <w:p w14:paraId="7AF2859E">
      <w:pPr>
        <w:snapToGrid w:val="0"/>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7A985403">
      <w:pPr>
        <w:rPr>
          <w:rFonts w:hint="eastAsia"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br w:type="page"/>
      </w:r>
    </w:p>
    <w:p w14:paraId="3EEB5658">
      <w:pPr>
        <w:adjustRightInd/>
        <w:spacing w:line="360" w:lineRule="auto"/>
        <w:ind w:firstLine="3845" w:firstLineChars="1197"/>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二、总则</w:t>
      </w:r>
    </w:p>
    <w:p w14:paraId="081E6B30">
      <w:pPr>
        <w:snapToGrid w:val="0"/>
        <w:spacing w:line="360" w:lineRule="auto"/>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适用范围</w:t>
      </w:r>
    </w:p>
    <w:p w14:paraId="17A465BA">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本谈判文件适用于该项目的邀请、响应、开启响应文件、信用信息查询、资格性审查、评审、成交、合同、验收等行为（法律、法规另有规定的，从其规定）。</w:t>
      </w:r>
    </w:p>
    <w:p w14:paraId="51ECD4F9">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2.定义</w:t>
      </w:r>
    </w:p>
    <w:p w14:paraId="6C816FF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 “采购人”系指谈判公告中载明的本项目的采购人。</w:t>
      </w:r>
    </w:p>
    <w:p w14:paraId="0F94DF0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 “采购代理机构”系指谈判公告中载明的本项目的采购代理机构。</w:t>
      </w:r>
    </w:p>
    <w:p w14:paraId="7BE6EA0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 “供应商”系指响应谈判、参加本次竞争的法人、其他组织或自然人。</w:t>
      </w:r>
    </w:p>
    <w:p w14:paraId="3B9C0F0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 “</w:t>
      </w:r>
      <w:r>
        <w:rPr>
          <w:rFonts w:hint="eastAsia" w:ascii="宋体" w:hAnsi="宋体" w:cs="宋体"/>
          <w:color w:val="000000" w:themeColor="text1"/>
          <w:sz w:val="24"/>
          <w14:textFill>
            <w14:solidFill>
              <w14:schemeClr w14:val="tx1"/>
            </w14:solidFill>
          </w14:textFill>
        </w:rPr>
        <w:t>法定代表人（负责人）</w:t>
      </w:r>
      <w:r>
        <w:rPr>
          <w:rFonts w:hint="eastAsia" w:asciiTheme="minorEastAsia" w:hAnsiTheme="minorEastAsia" w:eastAsiaTheme="minorEastAsia"/>
          <w:color w:val="000000" w:themeColor="text1"/>
          <w:sz w:val="24"/>
          <w14:textFill>
            <w14:solidFill>
              <w14:schemeClr w14:val="tx1"/>
            </w14:solidFill>
          </w14:textFill>
        </w:rPr>
        <w:t>”系指法人企业的法定负责人，或其他组织为法律、行政法规规定代表单位行使职权的主要负责人，或自然人本人。</w:t>
      </w:r>
    </w:p>
    <w:p w14:paraId="11A5DB3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 “成交人”系指经评审确定的成交供应商。</w:t>
      </w:r>
    </w:p>
    <w:p w14:paraId="0CF49CC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2.6“响应文件”系指供应商提交的商务技术文件。供应商提交最后报价后，最后报价是供应商响应文件的有效组成部分。</w:t>
      </w:r>
    </w:p>
    <w:p w14:paraId="5A4BDCB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2.7“电子交易平台”系指本项目政府采购活动所依托的</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w:t>
      </w:r>
    </w:p>
    <w:p w14:paraId="12815B9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p>
    <w:p w14:paraId="4EBD5722">
      <w:pPr>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1FCD4F4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 “书面形式”包括数据电文形式与纸质形式。数据电文形式与纸质形式的采购活动具有同等法律效力。</w:t>
      </w:r>
    </w:p>
    <w:p w14:paraId="58160892">
      <w:pPr>
        <w:snapToGrid w:val="0"/>
        <w:spacing w:line="360" w:lineRule="auto"/>
        <w:ind w:firstLine="480" w:firstLineChars="200"/>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2.10 “▲” 系指实质性要求条款，“※”系指谈判过程中可能实质性变动的内</w:t>
      </w:r>
      <w:r>
        <w:rPr>
          <w:rFonts w:hint="eastAsia" w:asciiTheme="minorEastAsia" w:hAnsiTheme="minorEastAsia" w:eastAsiaTheme="minorEastAsia"/>
          <w:color w:val="000000" w:themeColor="text1"/>
          <w:sz w:val="24"/>
          <w:highlight w:val="none"/>
          <w14:textFill>
            <w14:solidFill>
              <w14:schemeClr w14:val="tx1"/>
            </w14:solidFill>
          </w14:textFill>
        </w:rPr>
        <w:t>容，</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系指适用本项目的要求，“□”系指不适用本项目的要求。</w:t>
      </w:r>
    </w:p>
    <w:p w14:paraId="5B94F064">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 响应有效期</w:t>
      </w:r>
    </w:p>
    <w:p w14:paraId="4C8F2482">
      <w:pPr>
        <w:spacing w:line="360" w:lineRule="auto"/>
        <w:ind w:firstLine="480" w:firstLineChars="200"/>
        <w:rPr>
          <w:rFonts w:cs="仿宋_GB2312" w:asciiTheme="minorEastAsia" w:hAnsiTheme="minorEastAsia" w:eastAsiaTheme="minorEastAsia"/>
          <w:b/>
          <w:color w:val="000000" w:themeColor="text1"/>
          <w:sz w:val="24"/>
          <w:szCs w:val="21"/>
          <w14:textFill>
            <w14:solidFill>
              <w14:schemeClr w14:val="tx1"/>
            </w14:solidFill>
          </w14:textFill>
        </w:rPr>
      </w:pPr>
      <w:r>
        <w:rPr>
          <w:rFonts w:hint="eastAsia" w:cs="仿宋_GB2312" w:asciiTheme="minorEastAsia" w:hAnsiTheme="minorEastAsia" w:eastAsiaTheme="minorEastAsia"/>
          <w:color w:val="000000" w:themeColor="text1"/>
          <w:sz w:val="24"/>
          <w:szCs w:val="20"/>
          <w14:textFill>
            <w14:solidFill>
              <w14:schemeClr w14:val="tx1"/>
            </w14:solidFill>
          </w14:textFill>
        </w:rPr>
        <w:t>▲3.1</w:t>
      </w:r>
      <w:r>
        <w:rPr>
          <w:rFonts w:hint="eastAsia" w:cs="仿宋_GB2312" w:asciiTheme="minorEastAsia" w:hAnsiTheme="minorEastAsia" w:eastAsiaTheme="minorEastAsia"/>
          <w:b/>
          <w:color w:val="000000" w:themeColor="text1"/>
          <w:sz w:val="24"/>
          <w:szCs w:val="20"/>
          <w14:textFill>
            <w14:solidFill>
              <w14:schemeClr w14:val="tx1"/>
            </w14:solidFill>
          </w14:textFill>
        </w:rPr>
        <w:t>响应有效期为从提交响应文件的截止之日起60天。供应商的响应文件中承</w:t>
      </w:r>
      <w:r>
        <w:rPr>
          <w:rFonts w:hint="eastAsia" w:cs="仿宋_GB2312" w:asciiTheme="minorEastAsia" w:hAnsiTheme="minorEastAsia" w:eastAsiaTheme="minorEastAsia"/>
          <w:b/>
          <w:color w:val="000000" w:themeColor="text1"/>
          <w:sz w:val="24"/>
          <w:szCs w:val="21"/>
          <w14:textFill>
            <w14:solidFill>
              <w14:schemeClr w14:val="tx1"/>
            </w14:solidFill>
          </w14:textFill>
        </w:rPr>
        <w:t>诺的响应有效期少于谈判文件中载明的谈判有效期的，响应无效。</w:t>
      </w:r>
    </w:p>
    <w:p w14:paraId="3BB7E6EA">
      <w:pPr>
        <w:pStyle w:val="394"/>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3.2响应文件合格提交后，自响应截止日期起，在响应有效期内有效。</w:t>
      </w:r>
    </w:p>
    <w:p w14:paraId="1B0D1C66">
      <w:pPr>
        <w:pStyle w:val="394"/>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000000" w:themeColor="text1"/>
          <w:lang w:eastAsia="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供应商拒绝延长的，其响应无效。</w:t>
      </w:r>
      <w:r>
        <w:rPr>
          <w:rFonts w:hint="eastAsia" w:asciiTheme="minorEastAsia" w:hAnsiTheme="minorEastAsia" w:eastAsiaTheme="minorEastAsia"/>
          <w:color w:val="000000" w:themeColor="text1"/>
          <w:szCs w:val="24"/>
          <w14:textFill>
            <w14:solidFill>
              <w14:schemeClr w14:val="tx1"/>
            </w14:solidFill>
          </w14:textFill>
        </w:rPr>
        <w:t>拒绝延长谈判有效期的供应商不得再参与该项目后续采购活动。</w:t>
      </w:r>
    </w:p>
    <w:p w14:paraId="3D07A1B9">
      <w:pPr>
        <w:tabs>
          <w:tab w:val="left" w:pos="378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4．响应费用</w:t>
      </w:r>
    </w:p>
    <w:p w14:paraId="258479F9">
      <w:pPr>
        <w:pStyle w:val="33"/>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lang w:val="zh-CN"/>
          <w14:textFill>
            <w14:solidFill>
              <w14:schemeClr w14:val="tx1"/>
            </w14:solidFill>
          </w14:textFill>
        </w:rPr>
        <w:t>。</w:t>
      </w:r>
    </w:p>
    <w:p w14:paraId="0CBA7BBB">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0ECD90BE">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三、需要落实的政府采购政策</w:t>
      </w:r>
    </w:p>
    <w:p w14:paraId="4EF9C915">
      <w:pPr>
        <w:pStyle w:val="394"/>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1.是否允许采购进口产品要求</w:t>
      </w:r>
    </w:p>
    <w:p w14:paraId="21F99149">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本项目不允许采购进口产品。</w:t>
      </w:r>
    </w:p>
    <w:p w14:paraId="3456872D">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2.支持绿色发展</w:t>
      </w:r>
    </w:p>
    <w:p w14:paraId="7E0EF84B">
      <w:pPr>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2264D8A7">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000000" w:themeColor="text1"/>
          <w:sz w:val="24"/>
          <w14:textFill>
            <w14:solidFill>
              <w14:schemeClr w14:val="tx1"/>
            </w14:solidFill>
          </w14:textFill>
        </w:rPr>
        <w:t>。</w:t>
      </w:r>
    </w:p>
    <w:p w14:paraId="611349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7462ADB">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0CB286F">
      <w:pPr>
        <w:pStyle w:val="33"/>
        <w:spacing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3.支持中小企业发展。</w:t>
      </w:r>
    </w:p>
    <w:p w14:paraId="1396456A">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3B5CE48">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符合中小企业划分标准的个体工商户，在政府采购活动中视同中小企业。</w:t>
      </w:r>
    </w:p>
    <w:p w14:paraId="5E7D1563">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3.2</w:t>
      </w:r>
      <w:r>
        <w:rPr>
          <w:rFonts w:hint="eastAsia" w:cs="宋体" w:asciiTheme="minorEastAsia" w:hAnsiTheme="minorEastAsia" w:eastAsiaTheme="minorEastAsia"/>
          <w:color w:val="000000" w:themeColor="text1"/>
          <w:kern w:val="0"/>
          <w:sz w:val="24"/>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14:textFill>
            <w14:solidFill>
              <w14:schemeClr w14:val="tx1"/>
            </w14:solidFill>
          </w14:textFill>
        </w:rPr>
        <w:t>享受中小企业扶持政策。</w:t>
      </w:r>
    </w:p>
    <w:p w14:paraId="046465EB">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5B94DB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45A997D6">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）的残疾人福利性单位视同小型、微型企业；</w:t>
      </w:r>
    </w:p>
    <w:p w14:paraId="25810818">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F54C2F">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166DFF74">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3.7中小企业享受扶持政策获得政府采购合同的，小微企业不得将合同分包给大中型企业，中型企业不得将合同分包给大型企业。</w:t>
      </w:r>
    </w:p>
    <w:p w14:paraId="63C5D27A">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4.</w:t>
      </w:r>
      <w:r>
        <w:rPr>
          <w:rFonts w:hint="eastAsia" w:cs="宋体" w:asciiTheme="minorEastAsia" w:hAnsiTheme="minorEastAsia" w:eastAsiaTheme="minorEastAsia"/>
          <w:b/>
          <w:bCs/>
          <w:color w:val="000000" w:themeColor="text1"/>
          <w:sz w:val="24"/>
          <w14:textFill>
            <w14:solidFill>
              <w14:schemeClr w14:val="tx1"/>
            </w14:solidFill>
          </w14:textFill>
        </w:rPr>
        <w:t>支持创新发展</w:t>
      </w:r>
    </w:p>
    <w:p w14:paraId="0A87AE69">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 采购人优先采购被认定为首台套产品和“制造精品”的自主创新产品。</w:t>
      </w:r>
    </w:p>
    <w:p w14:paraId="787E390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447A8947">
      <w:pPr>
        <w:spacing w:line="360" w:lineRule="auto"/>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平等对待内外资企业</w:t>
      </w:r>
    </w:p>
    <w:p w14:paraId="004F6EC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348211D2">
      <w:pPr>
        <w:pStyle w:val="633"/>
        <w:ind w:firstLine="0"/>
        <w:rPr>
          <w:b/>
          <w:bCs/>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6.</w:t>
      </w:r>
      <w:r>
        <w:rPr>
          <w:rFonts w:hint="eastAsia"/>
          <w:b/>
          <w:color w:val="000000" w:themeColor="text1"/>
          <w14:textFill>
            <w14:solidFill>
              <w14:schemeClr w14:val="tx1"/>
            </w14:solidFill>
          </w14:textFill>
        </w:rPr>
        <w:t>平等对待符合条件的破产重整企业</w:t>
      </w:r>
    </w:p>
    <w:p w14:paraId="432E01A8">
      <w:pPr>
        <w:pStyle w:val="63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平等对待符合条件的破产重整企业，切实保障企业公平竞争，平等维护企业的合法利益。</w:t>
      </w:r>
    </w:p>
    <w:p w14:paraId="1CF80EA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7BDD9B4B">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四、询问、质疑与投诉</w:t>
      </w:r>
    </w:p>
    <w:p w14:paraId="3A418BA9">
      <w:pPr>
        <w:pStyle w:val="33"/>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1.在线询问、质疑、投诉</w:t>
      </w:r>
    </w:p>
    <w:p w14:paraId="5A42C062">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根据相关文件要求，鼓励供应商在线提起询问、质疑、投诉，路径为：供应商可通过“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6E6566AE">
      <w:pPr>
        <w:pStyle w:val="633"/>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ascii="宋体" w:hAnsi="宋体"/>
          <w:szCs w:val="21"/>
          <w:highlight w:val="none"/>
          <w:lang w:eastAsia="zh-CN"/>
        </w:rPr>
        <w:t>广西天麒工程管理有限公司</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eastAsia="zh-CN"/>
          <w14:textFill>
            <w14:solidFill>
              <w14:schemeClr w14:val="tx1"/>
            </w14:solidFill>
          </w14:textFill>
        </w:rPr>
        <w:t>0779-3838634</w:t>
      </w:r>
      <w:r>
        <w:rPr>
          <w:rFonts w:hint="eastAsia"/>
          <w:color w:val="000000" w:themeColor="text1"/>
          <w:highlight w:val="none"/>
          <w14:textFill>
            <w14:solidFill>
              <w14:schemeClr w14:val="tx1"/>
            </w14:solidFill>
          </w14:textFill>
        </w:rPr>
        <w:t xml:space="preserve"> 联系人：</w:t>
      </w:r>
      <w:r>
        <w:rPr>
          <w:rFonts w:hint="eastAsia"/>
          <w:color w:val="000000" w:themeColor="text1"/>
          <w:highlight w:val="none"/>
          <w:lang w:eastAsia="zh-CN"/>
          <w14:textFill>
            <w14:solidFill>
              <w14:schemeClr w14:val="tx1"/>
            </w14:solidFill>
          </w14:textFill>
        </w:rPr>
        <w:t>黄建富</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p>
    <w:p w14:paraId="36D7304A">
      <w:pPr>
        <w:pStyle w:val="633"/>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color w:val="000000" w:themeColor="text1"/>
          <w:highlight w:val="none"/>
          <w:lang w:eastAsia="zh-CN"/>
          <w14:textFill>
            <w14:solidFill>
              <w14:schemeClr w14:val="tx1"/>
            </w14:solidFill>
          </w14:textFill>
        </w:rPr>
        <w:t>广西区财政厅政府采购监督管理处</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0771-5331544</w:t>
      </w:r>
    </w:p>
    <w:p w14:paraId="4B7F7DDA">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供应商询问</w:t>
      </w:r>
    </w:p>
    <w:p w14:paraId="3213D59E">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8C49C0">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 供应商质疑</w:t>
      </w:r>
    </w:p>
    <w:p w14:paraId="6D644679">
      <w:pPr>
        <w:pStyle w:val="33"/>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w:t>
      </w:r>
      <w:r>
        <w:rPr>
          <w:rFonts w:hint="eastAsia" w:asciiTheme="minorEastAsia" w:hAnsiTheme="minorEastAsia" w:eastAsiaTheme="minorEastAsia"/>
          <w:b/>
          <w:color w:val="000000" w:themeColor="text1"/>
          <w:sz w:val="24"/>
          <w14:textFill>
            <w14:solidFill>
              <w14:schemeClr w14:val="tx1"/>
            </w14:solidFill>
          </w14:textFill>
        </w:rPr>
        <w:t>.1质疑提出时效</w:t>
      </w:r>
    </w:p>
    <w:p w14:paraId="30FDA525">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3.1.1提出质疑的供应商应当是参与所质疑项目采购活动的供应商。潜在供应商已依法获取其可质疑的采购文件的，可以对该文件提出质疑。</w:t>
      </w:r>
    </w:p>
    <w:p w14:paraId="05484C42">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color w:val="000000" w:themeColor="text1"/>
          <w:kern w:val="0"/>
          <w:sz w:val="24"/>
          <w:lang w:val="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C547B77">
      <w:pPr>
        <w:pStyle w:val="2"/>
        <w:spacing w:line="360" w:lineRule="auto"/>
        <w:ind w:firstLine="434" w:firstLineChars="181"/>
        <w:rPr>
          <w:rFonts w:asciiTheme="minorEastAsia" w:hAnsiTheme="minorEastAsia" w:eastAsiaTheme="minorEastAsia"/>
          <w:snapToGrid/>
          <w:color w:val="000000" w:themeColor="text1"/>
          <w:kern w:val="2"/>
          <w:sz w:val="24"/>
          <w14:textFill>
            <w14:solidFill>
              <w14:schemeClr w14:val="tx1"/>
            </w14:solidFill>
          </w14:textFill>
        </w:rPr>
      </w:pPr>
      <w:r>
        <w:rPr>
          <w:rFonts w:hint="eastAsia" w:asciiTheme="minorEastAsia" w:hAnsiTheme="minorEastAsia" w:eastAsiaTheme="minorEastAsia"/>
          <w:snapToGrid/>
          <w:color w:val="000000" w:themeColor="text1"/>
          <w:kern w:val="2"/>
          <w:sz w:val="24"/>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67CA46E7">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3.1.2.2对采购过程提出质疑的，质疑期限为各采购程序环节结束之日起计算。</w:t>
      </w:r>
    </w:p>
    <w:p w14:paraId="31A59D0D">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3.1.2.3对采购结果提出质疑的，质疑期限自采购结果公告期限届满之日起计算。</w:t>
      </w:r>
    </w:p>
    <w:p w14:paraId="3C0A8D94">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3.1.2.4对同一采购程序环节的质疑，供应商须一次性提出。</w:t>
      </w:r>
    </w:p>
    <w:p w14:paraId="047D1018">
      <w:pPr>
        <w:pStyle w:val="33"/>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3.2质疑答复</w:t>
      </w:r>
    </w:p>
    <w:p w14:paraId="198344EE">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3.2.1根据采购人与采购代理机构签订的采购委托协议，质疑答复责任主体如下：</w:t>
      </w:r>
    </w:p>
    <w:p w14:paraId="011A8BEB">
      <w:pPr>
        <w:widowControl/>
        <w:adjustRightInd/>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质疑答复责任主体一览表</w:t>
      </w:r>
    </w:p>
    <w:tbl>
      <w:tblPr>
        <w:tblStyle w:val="62"/>
        <w:tblW w:w="8926"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4308"/>
        <w:gridCol w:w="2232"/>
      </w:tblGrid>
      <w:tr w14:paraId="3E03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4" w:type="dxa"/>
            <w:gridSpan w:val="2"/>
            <w:vAlign w:val="center"/>
          </w:tcPr>
          <w:p w14:paraId="007FE4C2">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质疑内容</w:t>
            </w:r>
          </w:p>
        </w:tc>
        <w:tc>
          <w:tcPr>
            <w:tcW w:w="2232" w:type="dxa"/>
            <w:vAlign w:val="center"/>
          </w:tcPr>
          <w:p w14:paraId="2E5777C3">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质疑答复责任主体</w:t>
            </w:r>
          </w:p>
        </w:tc>
      </w:tr>
      <w:tr w14:paraId="2E9D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vMerge w:val="restart"/>
            <w:vAlign w:val="center"/>
          </w:tcPr>
          <w:p w14:paraId="2319E0FE">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对采购文件提出质疑</w:t>
            </w:r>
          </w:p>
        </w:tc>
        <w:tc>
          <w:tcPr>
            <w:tcW w:w="4308" w:type="dxa"/>
            <w:vAlign w:val="center"/>
          </w:tcPr>
          <w:p w14:paraId="0C82CDE3">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对采购文件中特定资格条件、采购需求提出的质疑</w:t>
            </w:r>
          </w:p>
        </w:tc>
        <w:tc>
          <w:tcPr>
            <w:tcW w:w="2232" w:type="dxa"/>
            <w:vAlign w:val="center"/>
          </w:tcPr>
          <w:p w14:paraId="682C221D">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44FC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vMerge w:val="continue"/>
            <w:vAlign w:val="center"/>
          </w:tcPr>
          <w:p w14:paraId="1CAD8422">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308" w:type="dxa"/>
            <w:vAlign w:val="center"/>
          </w:tcPr>
          <w:p w14:paraId="3FA09E3D">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对采购文件中其他内容提出的质疑</w:t>
            </w:r>
          </w:p>
        </w:tc>
        <w:tc>
          <w:tcPr>
            <w:tcW w:w="2232" w:type="dxa"/>
            <w:vAlign w:val="center"/>
          </w:tcPr>
          <w:p w14:paraId="5650A1E7">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4C64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vMerge w:val="restart"/>
            <w:vAlign w:val="center"/>
          </w:tcPr>
          <w:p w14:paraId="6252DC03">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对采购过程提出质疑</w:t>
            </w:r>
          </w:p>
        </w:tc>
        <w:tc>
          <w:tcPr>
            <w:tcW w:w="4308" w:type="dxa"/>
            <w:vAlign w:val="center"/>
          </w:tcPr>
          <w:p w14:paraId="068E0797">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有关现场考察或开启响应文件前答疑会事项提出的质疑</w:t>
            </w:r>
          </w:p>
        </w:tc>
        <w:tc>
          <w:tcPr>
            <w:tcW w:w="2232" w:type="dxa"/>
            <w:vAlign w:val="center"/>
          </w:tcPr>
          <w:p w14:paraId="44AB8236">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6798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vMerge w:val="continue"/>
            <w:vAlign w:val="center"/>
          </w:tcPr>
          <w:p w14:paraId="4F47236B">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308" w:type="dxa"/>
            <w:vAlign w:val="center"/>
          </w:tcPr>
          <w:p w14:paraId="160069C8">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对采购过程中其它事项提出的质疑</w:t>
            </w:r>
          </w:p>
        </w:tc>
        <w:tc>
          <w:tcPr>
            <w:tcW w:w="2232" w:type="dxa"/>
            <w:vAlign w:val="center"/>
          </w:tcPr>
          <w:p w14:paraId="07A69F29">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69D0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vAlign w:val="center"/>
          </w:tcPr>
          <w:p w14:paraId="22AC1862">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对采购结果提出质疑</w:t>
            </w:r>
          </w:p>
        </w:tc>
        <w:tc>
          <w:tcPr>
            <w:tcW w:w="4308" w:type="dxa"/>
            <w:vAlign w:val="center"/>
          </w:tcPr>
          <w:p w14:paraId="4ABF1CBA">
            <w:pPr>
              <w:pStyle w:val="33"/>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对采购结果提出的质疑</w:t>
            </w:r>
          </w:p>
        </w:tc>
        <w:tc>
          <w:tcPr>
            <w:tcW w:w="2232" w:type="dxa"/>
            <w:vAlign w:val="center"/>
          </w:tcPr>
          <w:p w14:paraId="57CE638C">
            <w:pPr>
              <w:pStyle w:val="33"/>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bl>
    <w:p w14:paraId="125C6B85">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注：采购人或代理机构应当协助质疑答复责任主体及时答复供应商的书面质疑。</w:t>
      </w:r>
    </w:p>
    <w:p w14:paraId="4D7FEF61">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10410B05">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2.3询问或者质疑事项可能影响采购结果的，采购人应当暂停签订合同，已经签订合同的，应当中止履行合同。</w:t>
      </w:r>
    </w:p>
    <w:p w14:paraId="049C3A6E">
      <w:pPr>
        <w:pStyle w:val="33"/>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3.3质疑函</w:t>
      </w:r>
    </w:p>
    <w:p w14:paraId="08D79315">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3.3.1供应商提出质疑应当提交质疑函和必要的证明材料。质疑函应当包括下列内容：</w:t>
      </w:r>
    </w:p>
    <w:p w14:paraId="2BF2A85B">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3.3.1.1</w:t>
      </w:r>
      <w:r>
        <w:rPr>
          <w:rFonts w:hint="eastAsia" w:asciiTheme="minorEastAsia" w:hAnsiTheme="minorEastAsia" w:eastAsiaTheme="minorEastAsia"/>
          <w:color w:val="000000" w:themeColor="text1"/>
          <w:sz w:val="24"/>
          <w:szCs w:val="24"/>
          <w14:textFill>
            <w14:solidFill>
              <w14:schemeClr w14:val="tx1"/>
            </w14:solidFill>
          </w14:textFill>
        </w:rPr>
        <w:t>供应商的姓名或者名称、地址、邮编、联系人及联系电话；</w:t>
      </w:r>
    </w:p>
    <w:p w14:paraId="767C6C54">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3.3.1.2</w:t>
      </w:r>
      <w:r>
        <w:rPr>
          <w:rFonts w:hint="eastAsia" w:asciiTheme="minorEastAsia" w:hAnsiTheme="minorEastAsia" w:eastAsiaTheme="minorEastAsia"/>
          <w:color w:val="000000" w:themeColor="text1"/>
          <w:sz w:val="24"/>
          <w:szCs w:val="24"/>
          <w14:textFill>
            <w14:solidFill>
              <w14:schemeClr w14:val="tx1"/>
            </w14:solidFill>
          </w14:textFill>
        </w:rPr>
        <w:t>质疑项目的名称、编号；</w:t>
      </w:r>
    </w:p>
    <w:p w14:paraId="3407EEB5">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3.3.1.3</w:t>
      </w:r>
      <w:r>
        <w:rPr>
          <w:rFonts w:hint="eastAsia" w:asciiTheme="minorEastAsia" w:hAnsiTheme="minorEastAsia" w:eastAsiaTheme="minorEastAsia"/>
          <w:color w:val="000000" w:themeColor="text1"/>
          <w:sz w:val="24"/>
          <w:szCs w:val="24"/>
          <w14:textFill>
            <w14:solidFill>
              <w14:schemeClr w14:val="tx1"/>
            </w14:solidFill>
          </w14:textFill>
        </w:rPr>
        <w:t>具体、明确的质疑事项和与质疑事项相关的请求；</w:t>
      </w:r>
    </w:p>
    <w:p w14:paraId="63B17C6B">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3.3.1.4</w:t>
      </w:r>
      <w:r>
        <w:rPr>
          <w:rFonts w:hint="eastAsia" w:asciiTheme="minorEastAsia" w:hAnsiTheme="minorEastAsia" w:eastAsiaTheme="minorEastAsia"/>
          <w:color w:val="000000" w:themeColor="text1"/>
          <w:sz w:val="24"/>
          <w:szCs w:val="24"/>
          <w14:textFill>
            <w14:solidFill>
              <w14:schemeClr w14:val="tx1"/>
            </w14:solidFill>
          </w14:textFill>
        </w:rPr>
        <w:t>事实依据；</w:t>
      </w:r>
    </w:p>
    <w:p w14:paraId="2DBE2251">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3.3.1.5</w:t>
      </w:r>
      <w:r>
        <w:rPr>
          <w:rFonts w:hint="eastAsia" w:asciiTheme="minorEastAsia" w:hAnsiTheme="minorEastAsia" w:eastAsiaTheme="minorEastAsia"/>
          <w:color w:val="000000" w:themeColor="text1"/>
          <w:sz w:val="24"/>
          <w:szCs w:val="24"/>
          <w14:textFill>
            <w14:solidFill>
              <w14:schemeClr w14:val="tx1"/>
            </w14:solidFill>
          </w14:textFill>
        </w:rPr>
        <w:t>必要的法律依据；</w:t>
      </w:r>
    </w:p>
    <w:p w14:paraId="25BA4BDB">
      <w:pPr>
        <w:pStyle w:val="33"/>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3.3.1.6</w:t>
      </w:r>
      <w:r>
        <w:rPr>
          <w:rFonts w:hint="eastAsia" w:asciiTheme="minorEastAsia" w:hAnsiTheme="minorEastAsia" w:eastAsiaTheme="minorEastAsia"/>
          <w:color w:val="000000" w:themeColor="text1"/>
          <w:sz w:val="24"/>
          <w:szCs w:val="24"/>
          <w14:textFill>
            <w14:solidFill>
              <w14:schemeClr w14:val="tx1"/>
            </w14:solidFill>
          </w14:textFill>
        </w:rPr>
        <w:t>提出质疑的日期。</w:t>
      </w:r>
    </w:p>
    <w:p w14:paraId="348D8E6E">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3.3.2供应商提交的质疑函需一式三份。供应商为自然人的，应当由本人签字；供应商为法人或者其他组织的，应当由法定代表人、主要负责人，或者其授权代表签字或者盖章，并加盖公章。</w:t>
      </w:r>
    </w:p>
    <w:p w14:paraId="69EDA66D">
      <w:pPr>
        <w:pStyle w:val="33"/>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质疑函范本及制作说明详见附件。</w:t>
      </w:r>
    </w:p>
    <w:p w14:paraId="4F6BB22B">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w:t>
      </w:r>
      <w:r>
        <w:rPr>
          <w:rFonts w:asciiTheme="minorEastAsia" w:hAnsiTheme="minorEastAsia" w:eastAsiaTheme="minorEastAsia"/>
          <w:b/>
          <w:color w:val="000000" w:themeColor="text1"/>
          <w:sz w:val="24"/>
          <w14:textFill>
            <w14:solidFill>
              <w14:schemeClr w14:val="tx1"/>
            </w14:solidFill>
          </w14:textFill>
        </w:rPr>
        <w:t>.供应商投诉</w:t>
      </w:r>
    </w:p>
    <w:p w14:paraId="2BE35A94">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.1质疑供应商对采购人、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的答复不满意或者采购人、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未在规定的时间内</w:t>
      </w:r>
      <w:r>
        <w:rPr>
          <w:rFonts w:hint="eastAsia" w:asciiTheme="minorEastAsia" w:hAnsiTheme="minorEastAsia" w:eastAsiaTheme="minorEastAsia"/>
          <w:color w:val="000000" w:themeColor="text1"/>
          <w:sz w:val="24"/>
          <w14:textFill>
            <w14:solidFill>
              <w14:schemeClr w14:val="tx1"/>
            </w14:solidFill>
          </w14:textFill>
        </w:rPr>
        <w:t>作出答复的，可以在答复期满后十五个工作日内向同级政府采购监督管理部门提出投诉。</w:t>
      </w:r>
    </w:p>
    <w:p w14:paraId="0FD235C5">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.2供应</w:t>
      </w:r>
      <w:r>
        <w:rPr>
          <w:rFonts w:hint="eastAsia" w:asciiTheme="minorEastAsia" w:hAnsiTheme="minorEastAsia" w:eastAsiaTheme="minorEastAsia"/>
          <w:color w:val="000000" w:themeColor="text1"/>
          <w:sz w:val="24"/>
          <w14:textFill>
            <w14:solidFill>
              <w14:schemeClr w14:val="tx1"/>
            </w14:solidFill>
          </w14:textFill>
        </w:rPr>
        <w:t>商投诉的事项不得超出已质疑事项的范围，基于质疑答复内容提出的投诉事项除外。</w:t>
      </w:r>
    </w:p>
    <w:p w14:paraId="3319678C">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.3供应</w:t>
      </w:r>
      <w:r>
        <w:rPr>
          <w:rFonts w:hint="eastAsia" w:asciiTheme="minorEastAsia" w:hAnsiTheme="minorEastAsia" w:eastAsiaTheme="minorEastAsia"/>
          <w:color w:val="000000" w:themeColor="text1"/>
          <w:sz w:val="24"/>
          <w14:textFill>
            <w14:solidFill>
              <w14:schemeClr w14:val="tx1"/>
            </w14:solidFill>
          </w14:textFill>
        </w:rPr>
        <w:t>商投诉应当有明确的请求和必要的证明材料。</w:t>
      </w:r>
    </w:p>
    <w:p w14:paraId="421A10FA">
      <w:pPr>
        <w:pStyle w:val="33"/>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.4以联合体形</w:t>
      </w:r>
      <w:r>
        <w:rPr>
          <w:rFonts w:hint="eastAsia" w:asciiTheme="minorEastAsia" w:hAnsiTheme="minorEastAsia" w:eastAsiaTheme="minorEastAsia"/>
          <w:color w:val="000000" w:themeColor="text1"/>
          <w:sz w:val="24"/>
          <w14:textFill>
            <w14:solidFill>
              <w14:schemeClr w14:val="tx1"/>
            </w14:solidFill>
          </w14:textFill>
        </w:rPr>
        <w:t>式参加政府采购活动的，其投诉应当由组成联合体的所有供应商共同提出。</w:t>
      </w:r>
    </w:p>
    <w:p w14:paraId="26A165CC">
      <w:pPr>
        <w:pStyle w:val="33"/>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14:paraId="472CD9B5">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59AFB120">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五、谈判文件构成、修改、解释</w:t>
      </w:r>
    </w:p>
    <w:p w14:paraId="1C4DAECD">
      <w:pPr>
        <w:autoSpaceDE w:val="0"/>
        <w:autoSpaceDN w:val="0"/>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1．谈判文件的构成</w:t>
      </w:r>
    </w:p>
    <w:p w14:paraId="469FE086">
      <w:pPr>
        <w:pStyle w:val="33"/>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 谈判文件包括下列文件及附件</w:t>
      </w:r>
    </w:p>
    <w:p w14:paraId="059CBC55">
      <w:pPr>
        <w:pStyle w:val="33"/>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第一部分  竞争性谈判公告</w:t>
      </w:r>
    </w:p>
    <w:p w14:paraId="22017CB1">
      <w:pPr>
        <w:pStyle w:val="33"/>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第二部分  竞争性谈判流程</w:t>
      </w:r>
    </w:p>
    <w:p w14:paraId="6E8B684D">
      <w:pPr>
        <w:pStyle w:val="33"/>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第三部分  供应商须知</w:t>
      </w:r>
    </w:p>
    <w:p w14:paraId="6D42E164">
      <w:pPr>
        <w:pStyle w:val="33"/>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第四部分  采购需求</w:t>
      </w:r>
    </w:p>
    <w:p w14:paraId="68B834EE">
      <w:pPr>
        <w:pStyle w:val="33"/>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第五部分  评定标准</w:t>
      </w:r>
    </w:p>
    <w:p w14:paraId="06FA825B">
      <w:pPr>
        <w:pStyle w:val="33"/>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第六部分  拟签订的合同文本</w:t>
      </w:r>
    </w:p>
    <w:p w14:paraId="41164F5E">
      <w:pPr>
        <w:pStyle w:val="33"/>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第七部分  应提交的有关格式范例</w:t>
      </w:r>
    </w:p>
    <w:p w14:paraId="0DBACCC5">
      <w:pPr>
        <w:pStyle w:val="33"/>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1.2 </w:t>
      </w:r>
      <w:r>
        <w:rPr>
          <w:rFonts w:hint="eastAsia" w:asciiTheme="minorEastAsia" w:hAnsiTheme="minorEastAsia" w:eastAsiaTheme="minorEastAsia"/>
          <w:color w:val="000000" w:themeColor="text1"/>
          <w:sz w:val="24"/>
          <w14:textFill>
            <w14:solidFill>
              <w14:schemeClr w14:val="tx1"/>
            </w14:solidFill>
          </w14:textFill>
        </w:rPr>
        <w:t>与本项目有关的</w:t>
      </w:r>
      <w:r>
        <w:rPr>
          <w:rFonts w:hint="eastAsia" w:asciiTheme="minorEastAsia" w:hAnsiTheme="minorEastAsia" w:eastAsiaTheme="minorEastAsia"/>
          <w:bCs/>
          <w:color w:val="000000" w:themeColor="text1"/>
          <w:sz w:val="24"/>
          <w14:textFill>
            <w14:solidFill>
              <w14:schemeClr w14:val="tx1"/>
            </w14:solidFill>
          </w14:textFill>
        </w:rPr>
        <w:t>澄清或者修改的内容为谈判文件的组成部分</w:t>
      </w:r>
      <w:r>
        <w:rPr>
          <w:rFonts w:hint="eastAsia" w:cs="仿宋_GB2312" w:asciiTheme="minorEastAsia" w:hAnsiTheme="minorEastAsia" w:eastAsiaTheme="minorEastAsia"/>
          <w:color w:val="000000" w:themeColor="text1"/>
          <w:sz w:val="24"/>
          <w14:textFill>
            <w14:solidFill>
              <w14:schemeClr w14:val="tx1"/>
            </w14:solidFill>
          </w14:textFill>
        </w:rPr>
        <w:t>。</w:t>
      </w:r>
    </w:p>
    <w:p w14:paraId="55E9A4BA">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 谈判文件的</w:t>
      </w:r>
      <w:r>
        <w:rPr>
          <w:rFonts w:hint="eastAsia" w:cs="仿宋_GB2312" w:asciiTheme="minorEastAsia" w:hAnsiTheme="minorEastAsia" w:eastAsiaTheme="minorEastAsia"/>
          <w:b/>
          <w:color w:val="000000" w:themeColor="text1"/>
          <w:sz w:val="24"/>
          <w:szCs w:val="24"/>
          <w14:textFill>
            <w14:solidFill>
              <w14:schemeClr w14:val="tx1"/>
            </w14:solidFill>
          </w14:textFill>
        </w:rPr>
        <w:t>澄清、修改</w:t>
      </w:r>
    </w:p>
    <w:p w14:paraId="7E9FD901">
      <w:pPr>
        <w:pStyle w:val="394"/>
        <w:snapToGrid w:val="0"/>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2.1已获取谈判文件的潜在供应商，若有问题需要澄清，应于提交首次响应文件截止时间前，以书面形式向采购代理机构提出。</w:t>
      </w:r>
    </w:p>
    <w:p w14:paraId="42EF4053">
      <w:pPr>
        <w:pStyle w:val="394"/>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w:t>
      </w:r>
      <w:r>
        <w:rPr>
          <w:rFonts w:hint="eastAsia" w:cs="宋体" w:asciiTheme="minorEastAsia" w:hAnsiTheme="minorEastAsia" w:eastAsiaTheme="minorEastAsia"/>
          <w:color w:val="000000" w:themeColor="text1"/>
          <w14:textFill>
            <w14:solidFill>
              <w14:schemeClr w14:val="tx1"/>
            </w14:solidFill>
          </w14:textFill>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color w:val="000000" w:themeColor="text1"/>
          <w14:textFill>
            <w14:solidFill>
              <w14:schemeClr w14:val="tx1"/>
            </w14:solidFill>
          </w14:textFill>
        </w:rPr>
        <w:t>提交首次</w:t>
      </w:r>
      <w:r>
        <w:rPr>
          <w:rFonts w:hint="eastAsia" w:cs="宋体" w:asciiTheme="minorEastAsia" w:hAnsiTheme="minorEastAsia" w:eastAsiaTheme="minorEastAsia"/>
          <w:color w:val="000000" w:themeColor="text1"/>
          <w14:textFill>
            <w14:solidFill>
              <w14:schemeClr w14:val="tx1"/>
            </w14:solidFill>
          </w14:textFill>
        </w:rPr>
        <w:t>响应文件截止时间和响应文件开启时间。该澄清或者修改的内容为谈判文件的组成部分。</w:t>
      </w:r>
    </w:p>
    <w:p w14:paraId="1CCC9AC8">
      <w:pPr>
        <w:pStyle w:val="394"/>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color w:val="000000" w:themeColor="text1"/>
          <w14:textFill>
            <w14:solidFill>
              <w14:schemeClr w14:val="tx1"/>
            </w14:solidFill>
          </w14:textFill>
        </w:rPr>
        <w:t>通过电子交易平台</w:t>
      </w:r>
      <w:r>
        <w:rPr>
          <w:rFonts w:hint="eastAsia" w:asciiTheme="minorEastAsia" w:hAnsiTheme="minorEastAsia" w:eastAsiaTheme="minorEastAsia"/>
          <w:color w:val="000000" w:themeColor="text1"/>
          <w14:textFill>
            <w14:solidFill>
              <w14:schemeClr w14:val="tx1"/>
            </w14:solidFill>
          </w14:textFill>
        </w:rPr>
        <w:t>通知所有获取谈判文件的供应商；不足3个工作日的，采购人、采购代理机构应当顺延提交首次响应文件截止时间。</w:t>
      </w:r>
    </w:p>
    <w:p w14:paraId="096173F7">
      <w:pPr>
        <w:pStyle w:val="394"/>
        <w:snapToGrid w:val="0"/>
        <w:spacing w:before="0"/>
        <w:ind w:firstLine="48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szCs w:val="21"/>
          <w14:textFill>
            <w14:solidFill>
              <w14:schemeClr w14:val="tx1"/>
            </w14:solidFill>
          </w14:textFill>
        </w:rPr>
        <w:t>响应文件未按谈判文件的澄清、修改的内容编制，又不符合实质性要求的，响应无效。</w:t>
      </w:r>
    </w:p>
    <w:p w14:paraId="01B1D7DA">
      <w:pPr>
        <w:pStyle w:val="23"/>
        <w:rPr>
          <w:rFonts w:cs="仿宋_GB2312" w:asciiTheme="minorEastAsia" w:hAnsiTheme="minorEastAsia" w:eastAsiaTheme="minorEastAsia"/>
          <w:color w:val="000000" w:themeColor="text1"/>
          <w:sz w:val="18"/>
          <w:szCs w:val="18"/>
          <w:lang w:val="en-US"/>
          <w14:textFill>
            <w14:solidFill>
              <w14:schemeClr w14:val="tx1"/>
            </w14:solidFill>
          </w14:textFill>
        </w:rPr>
      </w:pPr>
      <w:r>
        <w:rPr>
          <w:rFonts w:hint="eastAsia" w:cs="仿宋_GB2312" w:asciiTheme="minorEastAsia" w:hAnsiTheme="minorEastAsia" w:eastAsiaTheme="minorEastAsia"/>
          <w:color w:val="000000" w:themeColor="text1"/>
          <w:szCs w:val="24"/>
          <w:lang w:val="en-US"/>
          <w14:textFill>
            <w14:solidFill>
              <w14:schemeClr w14:val="tx1"/>
            </w14:solidFill>
          </w14:textFill>
        </w:rPr>
        <w:t xml:space="preserve">    </w:t>
      </w:r>
    </w:p>
    <w:p w14:paraId="29E5313A">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六、响应文件的编制</w:t>
      </w:r>
    </w:p>
    <w:p w14:paraId="47E30A6D">
      <w:pPr>
        <w:pStyle w:val="33"/>
        <w:spacing w:line="360" w:lineRule="auto"/>
        <w:ind w:firstLine="241" w:firstLineChars="1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1.响应文件的语言</w:t>
      </w:r>
    </w:p>
    <w:p w14:paraId="4ED0C74A">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响应文件及供应商与采购有关的来往通知、函件和文件均应使用中文。</w:t>
      </w:r>
    </w:p>
    <w:p w14:paraId="55248A81">
      <w:pPr>
        <w:pStyle w:val="33"/>
        <w:spacing w:line="360" w:lineRule="auto"/>
        <w:ind w:firstLine="241" w:firstLineChars="1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2.响应文件的组成</w:t>
      </w:r>
    </w:p>
    <w:p w14:paraId="3A8C1DD5">
      <w:pPr>
        <w:pStyle w:val="33"/>
        <w:keepNext w:val="0"/>
        <w:keepLines w:val="0"/>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Times New Roman" w:hAnsi="Times New Roman"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2.1报价文件</w:t>
      </w:r>
    </w:p>
    <w:p w14:paraId="54BF6B29">
      <w:pPr>
        <w:pStyle w:val="33"/>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imes New Roman" w:hAnsi="Times New Roman" w:cs="Times New Roman"/>
          <w:b/>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rPr>
        <w:t>1）报价表（格式见</w:t>
      </w:r>
      <w:r>
        <w:rPr>
          <w:rFonts w:hint="eastAsia" w:ascii="Times New Roman" w:hAnsi="Times New Roman" w:cs="Times New Roman"/>
          <w:sz w:val="24"/>
          <w:szCs w:val="24"/>
          <w:lang w:eastAsia="zh-CN"/>
        </w:rPr>
        <w:t>附件</w:t>
      </w:r>
      <w:r>
        <w:rPr>
          <w:rFonts w:ascii="Times New Roman" w:hAnsi="Times New Roman" w:cs="Times New Roman"/>
          <w:sz w:val="24"/>
          <w:szCs w:val="24"/>
        </w:rPr>
        <w:t>）（</w:t>
      </w:r>
      <w:r>
        <w:rPr>
          <w:rFonts w:ascii="Times New Roman" w:hAnsi="Times New Roman" w:cs="Times New Roman"/>
          <w:b/>
          <w:sz w:val="24"/>
          <w:szCs w:val="24"/>
        </w:rPr>
        <w:t>必须提供）</w:t>
      </w:r>
      <w:r>
        <w:rPr>
          <w:rFonts w:ascii="Times New Roman" w:hAnsi="Times New Roman" w:cs="Times New Roman"/>
          <w:sz w:val="24"/>
          <w:szCs w:val="24"/>
        </w:rPr>
        <w:t>；</w:t>
      </w:r>
    </w:p>
    <w:p w14:paraId="145D2DCA">
      <w:pPr>
        <w:keepNext w:val="0"/>
        <w:keepLines w:val="0"/>
        <w:pageBreakBefore w:val="0"/>
        <w:kinsoku/>
        <w:wordWrap/>
        <w:overflowPunct/>
        <w:topLinePunct w:val="0"/>
        <w:autoSpaceDE/>
        <w:autoSpaceDN/>
        <w:bidi w:val="0"/>
        <w:spacing w:line="460" w:lineRule="exact"/>
        <w:ind w:firstLine="482" w:firstLineChars="200"/>
        <w:textAlignment w:val="auto"/>
        <w:rPr>
          <w:color w:val="000000"/>
          <w:sz w:val="24"/>
          <w:szCs w:val="24"/>
        </w:rPr>
      </w:pPr>
      <w:r>
        <w:rPr>
          <w:rFonts w:hint="eastAsia"/>
          <w:b/>
          <w:color w:val="000000"/>
          <w:sz w:val="24"/>
          <w:szCs w:val="24"/>
          <w:lang w:val="en-US" w:eastAsia="zh-CN"/>
        </w:rPr>
        <w:t>2.2</w:t>
      </w:r>
      <w:r>
        <w:rPr>
          <w:b/>
          <w:color w:val="000000"/>
          <w:sz w:val="24"/>
          <w:szCs w:val="24"/>
        </w:rPr>
        <w:t>资格商务技术文件</w:t>
      </w:r>
      <w:r>
        <w:rPr>
          <w:color w:val="000000"/>
          <w:sz w:val="24"/>
          <w:szCs w:val="24"/>
        </w:rPr>
        <w:t xml:space="preserve">（应该有的必须提供,如未提供,谈判小组有权拒绝其竞争性谈判响应文件） </w:t>
      </w:r>
    </w:p>
    <w:p w14:paraId="7A44152E">
      <w:pPr>
        <w:keepNext w:val="0"/>
        <w:keepLines w:val="0"/>
        <w:pageBreakBefore w:val="0"/>
        <w:kinsoku/>
        <w:wordWrap/>
        <w:overflowPunct/>
        <w:topLinePunct w:val="0"/>
        <w:autoSpaceDE/>
        <w:autoSpaceDN/>
        <w:bidi w:val="0"/>
        <w:spacing w:line="460" w:lineRule="exact"/>
        <w:ind w:firstLine="480" w:firstLineChars="200"/>
        <w:textAlignment w:val="auto"/>
        <w:rPr>
          <w:color w:val="000000"/>
          <w:sz w:val="24"/>
          <w:szCs w:val="24"/>
        </w:rPr>
      </w:pPr>
      <w:r>
        <w:rPr>
          <w:color w:val="000000"/>
          <w:sz w:val="24"/>
          <w:szCs w:val="24"/>
        </w:rPr>
        <w:t>▲（1）谈判书（</w:t>
      </w:r>
      <w:r>
        <w:rPr>
          <w:sz w:val="24"/>
          <w:szCs w:val="24"/>
        </w:rPr>
        <w:t>格式见</w:t>
      </w:r>
      <w:r>
        <w:rPr>
          <w:rFonts w:hint="eastAsia"/>
          <w:sz w:val="24"/>
          <w:szCs w:val="24"/>
          <w:lang w:eastAsia="zh-CN"/>
        </w:rPr>
        <w:t>附件</w:t>
      </w:r>
      <w:r>
        <w:rPr>
          <w:color w:val="000000"/>
          <w:sz w:val="24"/>
          <w:szCs w:val="24"/>
        </w:rPr>
        <w:t>）</w:t>
      </w:r>
      <w:r>
        <w:rPr>
          <w:b/>
          <w:color w:val="000000"/>
          <w:sz w:val="24"/>
          <w:szCs w:val="24"/>
        </w:rPr>
        <w:t>（必须提供）</w:t>
      </w:r>
      <w:r>
        <w:rPr>
          <w:color w:val="000000"/>
          <w:sz w:val="24"/>
          <w:szCs w:val="24"/>
        </w:rPr>
        <w:t>；</w:t>
      </w:r>
    </w:p>
    <w:p w14:paraId="16DDAE7B">
      <w:pPr>
        <w:keepNext w:val="0"/>
        <w:keepLines w:val="0"/>
        <w:pageBreakBefore w:val="0"/>
        <w:kinsoku/>
        <w:wordWrap/>
        <w:overflowPunct/>
        <w:topLinePunct w:val="0"/>
        <w:autoSpaceDE/>
        <w:autoSpaceDN/>
        <w:bidi w:val="0"/>
        <w:spacing w:line="460" w:lineRule="exact"/>
        <w:ind w:firstLine="480" w:firstLineChars="200"/>
        <w:textAlignment w:val="auto"/>
        <w:rPr>
          <w:color w:val="000000"/>
          <w:sz w:val="24"/>
          <w:szCs w:val="24"/>
        </w:rPr>
      </w:pPr>
      <w:r>
        <w:rPr>
          <w:color w:val="000000"/>
          <w:sz w:val="24"/>
          <w:szCs w:val="24"/>
        </w:rPr>
        <w:t>▲（2）商务、技术响应、偏离情况说明表（</w:t>
      </w:r>
      <w:r>
        <w:rPr>
          <w:sz w:val="24"/>
          <w:szCs w:val="24"/>
        </w:rPr>
        <w:t>格式见</w:t>
      </w:r>
      <w:r>
        <w:rPr>
          <w:rFonts w:hint="eastAsia"/>
          <w:sz w:val="24"/>
          <w:szCs w:val="24"/>
          <w:lang w:eastAsia="zh-CN"/>
        </w:rPr>
        <w:t>附件</w:t>
      </w:r>
      <w:r>
        <w:rPr>
          <w:color w:val="000000"/>
          <w:sz w:val="24"/>
          <w:szCs w:val="24"/>
        </w:rPr>
        <w:t>）</w:t>
      </w:r>
      <w:r>
        <w:rPr>
          <w:b/>
          <w:color w:val="000000"/>
          <w:sz w:val="24"/>
          <w:szCs w:val="24"/>
        </w:rPr>
        <w:t>（必须提供）</w:t>
      </w:r>
      <w:r>
        <w:rPr>
          <w:color w:val="000000"/>
          <w:sz w:val="24"/>
          <w:szCs w:val="24"/>
        </w:rPr>
        <w:t>；</w:t>
      </w:r>
    </w:p>
    <w:p w14:paraId="13289BC8">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color w:val="auto"/>
          <w:sz w:val="24"/>
          <w:szCs w:val="24"/>
        </w:rPr>
      </w:pPr>
      <w:r>
        <w:rPr>
          <w:color w:val="000000"/>
          <w:sz w:val="24"/>
          <w:szCs w:val="24"/>
        </w:rPr>
        <w:t>▲（3）</w:t>
      </w:r>
      <w:r>
        <w:rPr>
          <w:sz w:val="24"/>
          <w:szCs w:val="24"/>
        </w:rPr>
        <w:t>法定代表人（负责人）授权委托书和委托代理人身份证复印件</w:t>
      </w:r>
      <w:r>
        <w:rPr>
          <w:b/>
          <w:sz w:val="24"/>
          <w:szCs w:val="24"/>
        </w:rPr>
        <w:t>（委托</w:t>
      </w:r>
      <w:r>
        <w:rPr>
          <w:b/>
          <w:color w:val="auto"/>
          <w:sz w:val="24"/>
          <w:szCs w:val="24"/>
        </w:rPr>
        <w:t>代理时必须提供，格式见</w:t>
      </w:r>
      <w:r>
        <w:rPr>
          <w:rFonts w:hint="eastAsia"/>
          <w:b/>
          <w:color w:val="auto"/>
          <w:sz w:val="24"/>
          <w:szCs w:val="24"/>
          <w:lang w:eastAsia="zh-CN"/>
        </w:rPr>
        <w:t>附件</w:t>
      </w:r>
      <w:r>
        <w:rPr>
          <w:b/>
          <w:color w:val="auto"/>
          <w:sz w:val="24"/>
          <w:szCs w:val="24"/>
        </w:rPr>
        <w:t>）</w:t>
      </w:r>
      <w:r>
        <w:rPr>
          <w:color w:val="auto"/>
          <w:sz w:val="24"/>
          <w:szCs w:val="24"/>
        </w:rPr>
        <w:t>，法定代表人（负责人）参加谈判时，提供法定代表人（负责人）身份证明书和身份证复印件</w:t>
      </w:r>
      <w:r>
        <w:rPr>
          <w:b/>
          <w:color w:val="auto"/>
          <w:sz w:val="24"/>
          <w:szCs w:val="24"/>
        </w:rPr>
        <w:t>（必须提供，格式见第四章）；</w:t>
      </w:r>
    </w:p>
    <w:p w14:paraId="0EFB8B96">
      <w:pPr>
        <w:keepNext w:val="0"/>
        <w:keepLines w:val="0"/>
        <w:pageBreakBefore w:val="0"/>
        <w:kinsoku/>
        <w:wordWrap/>
        <w:overflowPunct/>
        <w:topLinePunct w:val="0"/>
        <w:autoSpaceDE/>
        <w:autoSpaceDN/>
        <w:bidi w:val="0"/>
        <w:spacing w:line="460" w:lineRule="exact"/>
        <w:ind w:firstLine="480" w:firstLineChars="200"/>
        <w:textAlignment w:val="auto"/>
        <w:rPr>
          <w:color w:val="auto"/>
          <w:sz w:val="24"/>
          <w:szCs w:val="24"/>
        </w:rPr>
      </w:pPr>
      <w:r>
        <w:rPr>
          <w:color w:val="auto"/>
          <w:sz w:val="24"/>
          <w:szCs w:val="24"/>
        </w:rPr>
        <w:t>▲（4）谈判供应商有效的营业执照复印件</w:t>
      </w:r>
      <w:r>
        <w:rPr>
          <w:b/>
          <w:bCs/>
          <w:color w:val="auto"/>
          <w:sz w:val="24"/>
          <w:szCs w:val="24"/>
        </w:rPr>
        <w:t>（必须提供）</w:t>
      </w:r>
      <w:r>
        <w:rPr>
          <w:color w:val="auto"/>
          <w:sz w:val="24"/>
          <w:szCs w:val="24"/>
        </w:rPr>
        <w:t>；</w:t>
      </w:r>
    </w:p>
    <w:p w14:paraId="74196EFD">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5</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政府采购供应商信用承诺函</w:t>
      </w:r>
      <w:r>
        <w:rPr>
          <w:color w:val="000000"/>
          <w:sz w:val="24"/>
          <w:szCs w:val="24"/>
        </w:rPr>
        <w:t>（</w:t>
      </w:r>
      <w:r>
        <w:rPr>
          <w:sz w:val="24"/>
          <w:szCs w:val="24"/>
        </w:rPr>
        <w:t>格式见</w:t>
      </w:r>
      <w:r>
        <w:rPr>
          <w:rFonts w:hint="eastAsia"/>
          <w:sz w:val="24"/>
          <w:szCs w:val="24"/>
          <w:lang w:eastAsia="zh-CN"/>
        </w:rPr>
        <w:t>附件</w:t>
      </w:r>
      <w:r>
        <w:rPr>
          <w:color w:val="000000"/>
          <w:sz w:val="24"/>
          <w:szCs w:val="24"/>
        </w:rPr>
        <w:t>）</w:t>
      </w:r>
      <w:r>
        <w:rPr>
          <w:rFonts w:hint="eastAsia" w:ascii="Times New Roman" w:hAnsi="Times New Roman" w:eastAsia="宋体" w:cs="Times New Roman"/>
          <w:b/>
          <w:bCs/>
          <w:color w:val="auto"/>
          <w:sz w:val="24"/>
          <w:szCs w:val="24"/>
        </w:rPr>
        <w:t>（必须提供）</w:t>
      </w:r>
      <w:r>
        <w:rPr>
          <w:rFonts w:hint="eastAsia" w:ascii="Times New Roman" w:hAnsi="Times New Roman" w:cs="Times New Roman"/>
          <w:b/>
          <w:bCs/>
          <w:color w:val="auto"/>
          <w:sz w:val="24"/>
          <w:szCs w:val="24"/>
          <w:lang w:eastAsia="zh-CN"/>
        </w:rPr>
        <w:t>；</w:t>
      </w:r>
    </w:p>
    <w:p w14:paraId="7D4FA6B6">
      <w:pPr>
        <w:keepNext w:val="0"/>
        <w:keepLines w:val="0"/>
        <w:pageBreakBefore w:val="0"/>
        <w:kinsoku/>
        <w:wordWrap/>
        <w:overflowPunct/>
        <w:topLinePunct w:val="0"/>
        <w:autoSpaceDE/>
        <w:autoSpaceDN/>
        <w:bidi w:val="0"/>
        <w:spacing w:line="460" w:lineRule="exact"/>
        <w:ind w:firstLine="480" w:firstLineChars="200"/>
        <w:textAlignment w:val="auto"/>
        <w:rPr>
          <w:color w:val="000000"/>
          <w:sz w:val="24"/>
          <w:szCs w:val="24"/>
        </w:rPr>
      </w:pPr>
      <w:r>
        <w:rPr>
          <w:rFonts w:hint="eastAsia"/>
          <w:color w:val="000000"/>
          <w:sz w:val="24"/>
          <w:szCs w:val="24"/>
        </w:rPr>
        <w:t>▲</w:t>
      </w:r>
      <w:r>
        <w:rPr>
          <w:color w:val="000000"/>
          <w:sz w:val="24"/>
          <w:szCs w:val="24"/>
        </w:rPr>
        <w:t>（</w:t>
      </w:r>
      <w:r>
        <w:rPr>
          <w:rFonts w:hint="eastAsia"/>
          <w:color w:val="000000"/>
          <w:sz w:val="24"/>
          <w:szCs w:val="24"/>
          <w:lang w:val="en-US" w:eastAsia="zh-CN"/>
        </w:rPr>
        <w:t>6</w:t>
      </w:r>
      <w:r>
        <w:rPr>
          <w:color w:val="000000"/>
          <w:sz w:val="24"/>
          <w:szCs w:val="24"/>
        </w:rPr>
        <w:t>）产品质量保证书（</w:t>
      </w:r>
      <w:r>
        <w:rPr>
          <w:sz w:val="24"/>
          <w:szCs w:val="24"/>
        </w:rPr>
        <w:t>格式见</w:t>
      </w:r>
      <w:r>
        <w:rPr>
          <w:rFonts w:hint="eastAsia"/>
          <w:sz w:val="24"/>
          <w:szCs w:val="24"/>
          <w:lang w:eastAsia="zh-CN"/>
        </w:rPr>
        <w:t>附件</w:t>
      </w:r>
      <w:r>
        <w:rPr>
          <w:color w:val="000000"/>
          <w:sz w:val="24"/>
          <w:szCs w:val="24"/>
        </w:rPr>
        <w:t>）</w:t>
      </w:r>
      <w:bookmarkStart w:id="52" w:name="OLE_LINK6"/>
      <w:r>
        <w:rPr>
          <w:b/>
          <w:color w:val="000000"/>
          <w:sz w:val="24"/>
          <w:szCs w:val="24"/>
        </w:rPr>
        <w:t>（必须提供）</w:t>
      </w:r>
      <w:bookmarkEnd w:id="52"/>
      <w:r>
        <w:rPr>
          <w:color w:val="000000"/>
          <w:sz w:val="24"/>
          <w:szCs w:val="24"/>
        </w:rPr>
        <w:t>；</w:t>
      </w:r>
    </w:p>
    <w:p w14:paraId="3CDC3EAE">
      <w:pPr>
        <w:keepNext w:val="0"/>
        <w:keepLines w:val="0"/>
        <w:pageBreakBefore w:val="0"/>
        <w:kinsoku/>
        <w:wordWrap/>
        <w:overflowPunct/>
        <w:topLinePunct w:val="0"/>
        <w:autoSpaceDE/>
        <w:autoSpaceDN/>
        <w:bidi w:val="0"/>
        <w:spacing w:line="460" w:lineRule="exact"/>
        <w:ind w:firstLine="480" w:firstLineChars="200"/>
        <w:textAlignment w:val="auto"/>
        <w:rPr>
          <w:color w:val="000000"/>
          <w:sz w:val="24"/>
          <w:szCs w:val="24"/>
        </w:rPr>
      </w:pPr>
      <w:r>
        <w:rPr>
          <w:color w:val="000000"/>
          <w:sz w:val="24"/>
          <w:szCs w:val="24"/>
        </w:rPr>
        <w:t>▲（</w:t>
      </w:r>
      <w:r>
        <w:rPr>
          <w:rFonts w:hint="eastAsia"/>
          <w:color w:val="000000"/>
          <w:sz w:val="24"/>
          <w:szCs w:val="24"/>
          <w:lang w:val="en-US" w:eastAsia="zh-CN"/>
        </w:rPr>
        <w:t>7</w:t>
      </w:r>
      <w:r>
        <w:rPr>
          <w:color w:val="000000"/>
          <w:sz w:val="24"/>
          <w:szCs w:val="24"/>
        </w:rPr>
        <w:t>）</w:t>
      </w:r>
      <w:r>
        <w:rPr>
          <w:sz w:val="24"/>
          <w:szCs w:val="24"/>
        </w:rPr>
        <w:t>参加政府采购活动前三年内在经营活动中没有重大违法记录的书面声明（格式见</w:t>
      </w:r>
      <w:r>
        <w:rPr>
          <w:rFonts w:hint="eastAsia"/>
          <w:sz w:val="24"/>
          <w:szCs w:val="24"/>
          <w:lang w:eastAsia="zh-CN"/>
        </w:rPr>
        <w:t>附件</w:t>
      </w:r>
      <w:r>
        <w:rPr>
          <w:sz w:val="24"/>
          <w:szCs w:val="24"/>
        </w:rPr>
        <w:t>）（</w:t>
      </w:r>
      <w:r>
        <w:rPr>
          <w:b/>
          <w:sz w:val="24"/>
          <w:szCs w:val="24"/>
        </w:rPr>
        <w:t>必须提供）</w:t>
      </w:r>
      <w:r>
        <w:rPr>
          <w:color w:val="000000"/>
          <w:sz w:val="24"/>
          <w:szCs w:val="24"/>
        </w:rPr>
        <w:t>；</w:t>
      </w:r>
    </w:p>
    <w:p w14:paraId="2F27A892">
      <w:pPr>
        <w:keepNext w:val="0"/>
        <w:keepLines w:val="0"/>
        <w:pageBreakBefore w:val="0"/>
        <w:kinsoku/>
        <w:wordWrap/>
        <w:overflowPunct/>
        <w:topLinePunct w:val="0"/>
        <w:autoSpaceDE/>
        <w:autoSpaceDN/>
        <w:bidi w:val="0"/>
        <w:spacing w:line="460" w:lineRule="exact"/>
        <w:ind w:firstLine="480" w:firstLineChars="200"/>
        <w:textAlignment w:val="auto"/>
        <w:rPr>
          <w:color w:val="000000"/>
          <w:sz w:val="24"/>
          <w:szCs w:val="24"/>
        </w:rPr>
      </w:pPr>
      <w:bookmarkStart w:id="53" w:name="OLE_LINK4"/>
      <w:r>
        <w:rPr>
          <w:color w:val="000000"/>
          <w:sz w:val="24"/>
          <w:szCs w:val="24"/>
        </w:rPr>
        <w:t>▲（</w:t>
      </w:r>
      <w:r>
        <w:rPr>
          <w:rFonts w:hint="eastAsia"/>
          <w:color w:val="000000"/>
          <w:sz w:val="24"/>
          <w:szCs w:val="24"/>
          <w:lang w:val="en-US" w:eastAsia="zh-CN"/>
        </w:rPr>
        <w:t>8</w:t>
      </w:r>
      <w:r>
        <w:rPr>
          <w:color w:val="000000"/>
          <w:sz w:val="24"/>
          <w:szCs w:val="24"/>
        </w:rPr>
        <w:t>）</w:t>
      </w:r>
      <w:bookmarkEnd w:id="53"/>
      <w:r>
        <w:rPr>
          <w:rFonts w:hint="eastAsia"/>
          <w:color w:val="000000"/>
          <w:sz w:val="24"/>
          <w:szCs w:val="24"/>
          <w:lang w:val="zh-CN"/>
        </w:rPr>
        <w:t>政府采购供应商廉洁自律承诺书</w:t>
      </w:r>
      <w:r>
        <w:rPr>
          <w:sz w:val="24"/>
          <w:szCs w:val="24"/>
        </w:rPr>
        <w:t>（格式见</w:t>
      </w:r>
      <w:r>
        <w:rPr>
          <w:rFonts w:hint="eastAsia"/>
          <w:sz w:val="24"/>
          <w:szCs w:val="24"/>
          <w:lang w:eastAsia="zh-CN"/>
        </w:rPr>
        <w:t>附件</w:t>
      </w:r>
      <w:r>
        <w:rPr>
          <w:sz w:val="24"/>
          <w:szCs w:val="24"/>
        </w:rPr>
        <w:t>）（</w:t>
      </w:r>
      <w:r>
        <w:rPr>
          <w:b/>
          <w:sz w:val="24"/>
          <w:szCs w:val="24"/>
        </w:rPr>
        <w:t>必须提供）</w:t>
      </w:r>
      <w:r>
        <w:rPr>
          <w:color w:val="000000"/>
          <w:sz w:val="24"/>
          <w:szCs w:val="24"/>
        </w:rPr>
        <w:t>；</w:t>
      </w:r>
    </w:p>
    <w:p w14:paraId="0C5CE658">
      <w:pPr>
        <w:keepNext w:val="0"/>
        <w:keepLines w:val="0"/>
        <w:pageBreakBefore w:val="0"/>
        <w:kinsoku/>
        <w:wordWrap/>
        <w:overflowPunct/>
        <w:topLinePunct w:val="0"/>
        <w:autoSpaceDE/>
        <w:autoSpaceDN/>
        <w:bidi w:val="0"/>
        <w:spacing w:line="460" w:lineRule="exact"/>
        <w:ind w:firstLine="480" w:firstLineChars="200"/>
        <w:textAlignment w:val="auto"/>
        <w:rPr>
          <w:color w:val="000000"/>
          <w:sz w:val="24"/>
          <w:szCs w:val="24"/>
        </w:rPr>
      </w:pPr>
      <w:r>
        <w:rPr>
          <w:color w:val="000000"/>
          <w:sz w:val="24"/>
          <w:szCs w:val="24"/>
        </w:rPr>
        <w:t>▲（</w:t>
      </w:r>
      <w:r>
        <w:rPr>
          <w:rFonts w:hint="eastAsia"/>
          <w:color w:val="000000"/>
          <w:sz w:val="24"/>
          <w:szCs w:val="24"/>
          <w:lang w:val="en-US" w:eastAsia="zh-CN"/>
        </w:rPr>
        <w:t>9</w:t>
      </w:r>
      <w:r>
        <w:rPr>
          <w:color w:val="000000"/>
          <w:sz w:val="24"/>
          <w:szCs w:val="24"/>
        </w:rPr>
        <w:t>）</w:t>
      </w:r>
      <w:r>
        <w:rPr>
          <w:rFonts w:hint="eastAsia"/>
          <w:color w:val="000000"/>
          <w:sz w:val="24"/>
          <w:szCs w:val="24"/>
        </w:rPr>
        <w:t>承诺函</w:t>
      </w:r>
      <w:r>
        <w:rPr>
          <w:sz w:val="24"/>
          <w:szCs w:val="24"/>
        </w:rPr>
        <w:t>（格式见</w:t>
      </w:r>
      <w:r>
        <w:rPr>
          <w:rFonts w:hint="eastAsia"/>
          <w:sz w:val="24"/>
          <w:szCs w:val="24"/>
          <w:lang w:eastAsia="zh-CN"/>
        </w:rPr>
        <w:t>附件</w:t>
      </w:r>
      <w:r>
        <w:rPr>
          <w:sz w:val="24"/>
          <w:szCs w:val="24"/>
        </w:rPr>
        <w:t>）（</w:t>
      </w:r>
      <w:r>
        <w:rPr>
          <w:b/>
          <w:sz w:val="24"/>
          <w:szCs w:val="24"/>
        </w:rPr>
        <w:t>必须提供）</w:t>
      </w:r>
      <w:r>
        <w:rPr>
          <w:color w:val="000000"/>
          <w:sz w:val="24"/>
          <w:szCs w:val="24"/>
        </w:rPr>
        <w:t>；</w:t>
      </w:r>
    </w:p>
    <w:p w14:paraId="6FA2F347">
      <w:pPr>
        <w:keepNext w:val="0"/>
        <w:keepLines w:val="0"/>
        <w:pageBreakBefore w:val="0"/>
        <w:kinsoku/>
        <w:wordWrap/>
        <w:overflowPunct/>
        <w:topLinePunct w:val="0"/>
        <w:autoSpaceDE/>
        <w:autoSpaceDN/>
        <w:bidi w:val="0"/>
        <w:spacing w:line="460" w:lineRule="exact"/>
        <w:ind w:firstLine="480" w:firstLineChars="200"/>
        <w:textAlignment w:val="auto"/>
        <w:rPr>
          <w:color w:val="000000"/>
          <w:sz w:val="24"/>
          <w:szCs w:val="24"/>
        </w:rPr>
      </w:pPr>
      <w:r>
        <w:rPr>
          <w:color w:val="000000"/>
          <w:sz w:val="24"/>
          <w:szCs w:val="24"/>
        </w:rPr>
        <w:t>▲（1</w:t>
      </w:r>
      <w:r>
        <w:rPr>
          <w:rFonts w:hint="eastAsia"/>
          <w:color w:val="000000"/>
          <w:sz w:val="24"/>
          <w:szCs w:val="24"/>
          <w:lang w:val="en-US" w:eastAsia="zh-CN"/>
        </w:rPr>
        <w:t>0</w:t>
      </w:r>
      <w:r>
        <w:rPr>
          <w:color w:val="000000"/>
          <w:sz w:val="24"/>
          <w:szCs w:val="24"/>
        </w:rPr>
        <w:t>）售后服务承诺书（</w:t>
      </w:r>
      <w:r>
        <w:rPr>
          <w:rFonts w:hint="eastAsia"/>
          <w:color w:val="000000"/>
          <w:sz w:val="24"/>
          <w:szCs w:val="24"/>
        </w:rPr>
        <w:t>应根据项目实际要求描述如：投标人建议的安装、调试、验收方法或方案；质量保证措施；技术服务、技术培训、售后服务的内容和措施等</w:t>
      </w:r>
      <w:r>
        <w:rPr>
          <w:color w:val="000000"/>
          <w:sz w:val="24"/>
          <w:szCs w:val="24"/>
        </w:rPr>
        <w:t>）</w:t>
      </w:r>
      <w:r>
        <w:rPr>
          <w:b/>
          <w:color w:val="000000"/>
          <w:sz w:val="24"/>
          <w:szCs w:val="24"/>
        </w:rPr>
        <w:t>（格式自拟，必须提供）</w:t>
      </w:r>
      <w:r>
        <w:rPr>
          <w:color w:val="000000"/>
          <w:sz w:val="24"/>
          <w:szCs w:val="24"/>
        </w:rPr>
        <w:t>；</w:t>
      </w:r>
    </w:p>
    <w:p w14:paraId="02E36867">
      <w:pPr>
        <w:keepNext w:val="0"/>
        <w:keepLines w:val="0"/>
        <w:pageBreakBefore w:val="0"/>
        <w:kinsoku/>
        <w:wordWrap/>
        <w:overflowPunct/>
        <w:topLinePunct w:val="0"/>
        <w:autoSpaceDE/>
        <w:autoSpaceDN/>
        <w:bidi w:val="0"/>
        <w:spacing w:line="460" w:lineRule="exact"/>
        <w:ind w:firstLine="480" w:firstLineChars="200"/>
        <w:textAlignment w:val="auto"/>
        <w:rPr>
          <w:rFonts w:hint="eastAsia" w:eastAsia="宋体"/>
          <w:color w:val="000000"/>
          <w:sz w:val="24"/>
          <w:szCs w:val="24"/>
          <w:lang w:eastAsia="zh-CN"/>
        </w:rPr>
      </w:pPr>
      <w:r>
        <w:rPr>
          <w:color w:val="000000"/>
          <w:sz w:val="24"/>
          <w:szCs w:val="24"/>
        </w:rPr>
        <w:t>▲（</w:t>
      </w:r>
      <w:r>
        <w:rPr>
          <w:rFonts w:hint="eastAsia"/>
          <w:color w:val="000000"/>
          <w:sz w:val="24"/>
          <w:szCs w:val="24"/>
          <w:lang w:val="en-US" w:eastAsia="zh-CN"/>
        </w:rPr>
        <w:t>11</w:t>
      </w:r>
      <w:r>
        <w:rPr>
          <w:color w:val="000000"/>
          <w:sz w:val="24"/>
          <w:szCs w:val="24"/>
        </w:rPr>
        <w:t>）</w:t>
      </w:r>
      <w:r>
        <w:rPr>
          <w:rFonts w:hint="eastAsia"/>
          <w:color w:val="000000"/>
          <w:sz w:val="24"/>
          <w:szCs w:val="24"/>
          <w:lang w:eastAsia="zh-CN"/>
        </w:rPr>
        <w:t>竞标保证金凭证</w:t>
      </w:r>
      <w:r>
        <w:rPr>
          <w:sz w:val="24"/>
          <w:szCs w:val="24"/>
        </w:rPr>
        <w:t>（</w:t>
      </w:r>
      <w:r>
        <w:rPr>
          <w:b/>
          <w:sz w:val="24"/>
          <w:szCs w:val="24"/>
        </w:rPr>
        <w:t>必须提供）</w:t>
      </w:r>
      <w:r>
        <w:rPr>
          <w:color w:val="000000"/>
          <w:sz w:val="24"/>
          <w:szCs w:val="24"/>
        </w:rPr>
        <w:t>；</w:t>
      </w:r>
    </w:p>
    <w:p w14:paraId="466A0B96">
      <w:pPr>
        <w:keepNext w:val="0"/>
        <w:keepLines w:val="0"/>
        <w:pageBreakBefore w:val="0"/>
        <w:kinsoku/>
        <w:wordWrap/>
        <w:overflowPunct/>
        <w:topLinePunct w:val="0"/>
        <w:autoSpaceDE/>
        <w:autoSpaceDN/>
        <w:bidi w:val="0"/>
        <w:spacing w:line="460" w:lineRule="exact"/>
        <w:ind w:firstLine="720" w:firstLineChars="300"/>
        <w:textAlignment w:val="auto"/>
        <w:rPr>
          <w:color w:val="000000"/>
          <w:sz w:val="24"/>
          <w:szCs w:val="24"/>
        </w:rPr>
      </w:pPr>
      <w:r>
        <w:rPr>
          <w:rFonts w:hint="eastAsia"/>
          <w:color w:val="000000"/>
          <w:sz w:val="24"/>
          <w:szCs w:val="24"/>
          <w:lang w:eastAsia="zh-CN"/>
        </w:rPr>
        <w:t>（</w:t>
      </w:r>
      <w:r>
        <w:rPr>
          <w:rFonts w:hint="eastAsia"/>
          <w:color w:val="000000"/>
          <w:sz w:val="24"/>
          <w:szCs w:val="24"/>
          <w:lang w:val="en-US" w:eastAsia="zh-CN"/>
        </w:rPr>
        <w:t>12</w:t>
      </w:r>
      <w:r>
        <w:rPr>
          <w:rFonts w:hint="eastAsia"/>
          <w:color w:val="000000"/>
          <w:sz w:val="24"/>
          <w:szCs w:val="24"/>
          <w:lang w:eastAsia="zh-CN"/>
        </w:rPr>
        <w:t>）</w:t>
      </w:r>
      <w:r>
        <w:rPr>
          <w:color w:val="000000"/>
          <w:sz w:val="24"/>
          <w:szCs w:val="24"/>
        </w:rPr>
        <w:t>具备法律、行政法规规定的其他条件的证明材料</w:t>
      </w:r>
      <w:r>
        <w:rPr>
          <w:b/>
          <w:color w:val="000000"/>
          <w:sz w:val="24"/>
          <w:szCs w:val="24"/>
        </w:rPr>
        <w:t>（如有规定</w:t>
      </w:r>
      <w:r>
        <w:rPr>
          <w:rFonts w:hint="eastAsia"/>
          <w:b/>
          <w:color w:val="000000"/>
          <w:sz w:val="24"/>
          <w:szCs w:val="24"/>
          <w:lang w:eastAsia="zh-CN"/>
        </w:rPr>
        <w:t>，</w:t>
      </w:r>
      <w:r>
        <w:rPr>
          <w:b/>
          <w:color w:val="000000"/>
          <w:sz w:val="24"/>
          <w:szCs w:val="24"/>
        </w:rPr>
        <w:t>则必须提供）；</w:t>
      </w:r>
    </w:p>
    <w:p w14:paraId="5B0D262E">
      <w:pPr>
        <w:keepNext w:val="0"/>
        <w:keepLines w:val="0"/>
        <w:pageBreakBefore w:val="0"/>
        <w:kinsoku/>
        <w:wordWrap/>
        <w:overflowPunct/>
        <w:topLinePunct w:val="0"/>
        <w:autoSpaceDE/>
        <w:autoSpaceDN/>
        <w:bidi w:val="0"/>
        <w:adjustRightInd w:val="0"/>
        <w:snapToGrid w:val="0"/>
        <w:spacing w:line="460" w:lineRule="exact"/>
        <w:ind w:firstLine="720" w:firstLineChars="300"/>
        <w:jc w:val="left"/>
        <w:textAlignment w:val="auto"/>
        <w:rPr>
          <w:b/>
          <w:sz w:val="24"/>
          <w:szCs w:val="24"/>
        </w:rPr>
      </w:pPr>
      <w:r>
        <w:rPr>
          <w:color w:val="000000"/>
          <w:sz w:val="24"/>
          <w:szCs w:val="24"/>
        </w:rPr>
        <w:t>（1</w:t>
      </w:r>
      <w:r>
        <w:rPr>
          <w:rFonts w:hint="eastAsia"/>
          <w:color w:val="000000"/>
          <w:sz w:val="24"/>
          <w:szCs w:val="24"/>
          <w:lang w:val="en-US" w:eastAsia="zh-CN"/>
        </w:rPr>
        <w:t>3</w:t>
      </w:r>
      <w:r>
        <w:rPr>
          <w:color w:val="000000"/>
          <w:sz w:val="24"/>
          <w:szCs w:val="24"/>
        </w:rPr>
        <w:t>）</w:t>
      </w:r>
      <w:r>
        <w:rPr>
          <w:sz w:val="24"/>
          <w:szCs w:val="24"/>
        </w:rPr>
        <w:t>采购需求中要求必须提供的材料等</w:t>
      </w:r>
      <w:r>
        <w:rPr>
          <w:b/>
          <w:sz w:val="24"/>
          <w:szCs w:val="24"/>
        </w:rPr>
        <w:t>（如有规定,则必须提供）</w:t>
      </w:r>
      <w:r>
        <w:rPr>
          <w:sz w:val="24"/>
          <w:szCs w:val="24"/>
        </w:rPr>
        <w:t>；</w:t>
      </w:r>
    </w:p>
    <w:p w14:paraId="0FB2BE21">
      <w:pPr>
        <w:keepNext w:val="0"/>
        <w:keepLines w:val="0"/>
        <w:pageBreakBefore w:val="0"/>
        <w:kinsoku/>
        <w:wordWrap/>
        <w:overflowPunct/>
        <w:topLinePunct w:val="0"/>
        <w:autoSpaceDE/>
        <w:autoSpaceDN/>
        <w:bidi w:val="0"/>
        <w:adjustRightInd w:val="0"/>
        <w:snapToGrid w:val="0"/>
        <w:spacing w:line="460" w:lineRule="exact"/>
        <w:ind w:firstLine="720" w:firstLineChars="300"/>
        <w:jc w:val="left"/>
        <w:textAlignment w:val="auto"/>
        <w:rPr>
          <w:rFonts w:hint="eastAsia"/>
          <w:color w:val="000000"/>
          <w:sz w:val="24"/>
          <w:szCs w:val="24"/>
          <w:lang w:eastAsia="zh-CN"/>
        </w:rPr>
      </w:pPr>
      <w:r>
        <w:rPr>
          <w:color w:val="000000"/>
          <w:sz w:val="24"/>
          <w:szCs w:val="24"/>
        </w:rPr>
        <w:t>（1</w:t>
      </w:r>
      <w:r>
        <w:rPr>
          <w:rFonts w:hint="eastAsia"/>
          <w:color w:val="000000"/>
          <w:sz w:val="24"/>
          <w:szCs w:val="24"/>
          <w:lang w:val="en-US" w:eastAsia="zh-CN"/>
        </w:rPr>
        <w:t>4</w:t>
      </w:r>
      <w:r>
        <w:rPr>
          <w:color w:val="000000"/>
          <w:sz w:val="24"/>
          <w:szCs w:val="24"/>
        </w:rPr>
        <w:t>）</w:t>
      </w:r>
      <w:r>
        <w:rPr>
          <w:rFonts w:hint="eastAsia"/>
          <w:color w:val="000000"/>
          <w:sz w:val="24"/>
          <w:szCs w:val="24"/>
          <w:lang w:eastAsia="zh-CN"/>
        </w:rPr>
        <w:t>产品销售许可证；</w:t>
      </w:r>
    </w:p>
    <w:p w14:paraId="3EE0C95C">
      <w:pPr>
        <w:keepNext w:val="0"/>
        <w:keepLines w:val="0"/>
        <w:pageBreakBefore w:val="0"/>
        <w:kinsoku/>
        <w:wordWrap/>
        <w:overflowPunct/>
        <w:topLinePunct w:val="0"/>
        <w:autoSpaceDE/>
        <w:autoSpaceDN/>
        <w:bidi w:val="0"/>
        <w:spacing w:line="460" w:lineRule="exact"/>
        <w:ind w:firstLine="720" w:firstLineChars="300"/>
        <w:textAlignment w:val="auto"/>
        <w:rPr>
          <w:color w:val="000000"/>
          <w:sz w:val="24"/>
          <w:szCs w:val="24"/>
        </w:rPr>
      </w:pPr>
      <w:r>
        <w:rPr>
          <w:color w:val="000000"/>
          <w:sz w:val="24"/>
          <w:szCs w:val="24"/>
        </w:rPr>
        <w:t>（1</w:t>
      </w:r>
      <w:r>
        <w:rPr>
          <w:rFonts w:hint="eastAsia"/>
          <w:color w:val="000000"/>
          <w:sz w:val="24"/>
          <w:szCs w:val="24"/>
          <w:lang w:val="en-US" w:eastAsia="zh-CN"/>
        </w:rPr>
        <w:t>5</w:t>
      </w:r>
      <w:r>
        <w:rPr>
          <w:color w:val="000000"/>
          <w:sz w:val="24"/>
          <w:szCs w:val="24"/>
        </w:rPr>
        <w:t>）</w:t>
      </w:r>
      <w:r>
        <w:rPr>
          <w:rFonts w:hint="eastAsia"/>
          <w:color w:val="000000"/>
          <w:sz w:val="24"/>
          <w:szCs w:val="24"/>
          <w:lang w:eastAsia="zh-CN"/>
        </w:rPr>
        <w:t>安全生产许可证复印件、产品代理资格证明文件复印件；</w:t>
      </w:r>
    </w:p>
    <w:p w14:paraId="3C8E6F20">
      <w:pPr>
        <w:keepNext w:val="0"/>
        <w:keepLines w:val="0"/>
        <w:pageBreakBefore w:val="0"/>
        <w:kinsoku/>
        <w:wordWrap/>
        <w:overflowPunct/>
        <w:topLinePunct w:val="0"/>
        <w:autoSpaceDE/>
        <w:autoSpaceDN/>
        <w:bidi w:val="0"/>
        <w:spacing w:line="460" w:lineRule="exact"/>
        <w:ind w:firstLine="720" w:firstLineChars="300"/>
        <w:textAlignment w:val="auto"/>
        <w:rPr>
          <w:sz w:val="24"/>
          <w:szCs w:val="24"/>
        </w:rPr>
      </w:pPr>
      <w:r>
        <w:rPr>
          <w:color w:val="000000"/>
          <w:sz w:val="24"/>
          <w:szCs w:val="24"/>
        </w:rPr>
        <w:t>（</w:t>
      </w:r>
      <w:r>
        <w:rPr>
          <w:sz w:val="24"/>
          <w:szCs w:val="24"/>
        </w:rPr>
        <w:t>1</w:t>
      </w:r>
      <w:r>
        <w:rPr>
          <w:rFonts w:hint="eastAsia"/>
          <w:sz w:val="24"/>
          <w:szCs w:val="24"/>
          <w:lang w:val="en-US" w:eastAsia="zh-CN"/>
        </w:rPr>
        <w:t>6</w:t>
      </w:r>
      <w:r>
        <w:rPr>
          <w:sz w:val="24"/>
          <w:szCs w:val="24"/>
        </w:rPr>
        <w:t>）中小企业声明函（格式见</w:t>
      </w:r>
      <w:r>
        <w:rPr>
          <w:rFonts w:hint="eastAsia"/>
          <w:sz w:val="24"/>
          <w:szCs w:val="24"/>
          <w:lang w:eastAsia="zh-CN"/>
        </w:rPr>
        <w:t>附件，</w:t>
      </w:r>
      <w:r>
        <w:rPr>
          <w:b/>
          <w:color w:val="000000"/>
          <w:sz w:val="24"/>
          <w:szCs w:val="24"/>
        </w:rPr>
        <w:t>如有</w:t>
      </w:r>
      <w:r>
        <w:rPr>
          <w:rFonts w:hint="eastAsia"/>
          <w:b/>
          <w:color w:val="000000"/>
          <w:sz w:val="24"/>
          <w:szCs w:val="24"/>
          <w:lang w:eastAsia="zh-CN"/>
        </w:rPr>
        <w:t>提供</w:t>
      </w:r>
      <w:r>
        <w:rPr>
          <w:sz w:val="24"/>
          <w:szCs w:val="24"/>
        </w:rPr>
        <w:t>）；</w:t>
      </w:r>
    </w:p>
    <w:p w14:paraId="48F1B09B">
      <w:pPr>
        <w:keepNext w:val="0"/>
        <w:keepLines w:val="0"/>
        <w:pageBreakBefore w:val="0"/>
        <w:kinsoku/>
        <w:wordWrap/>
        <w:overflowPunct/>
        <w:topLinePunct w:val="0"/>
        <w:autoSpaceDE/>
        <w:autoSpaceDN/>
        <w:bidi w:val="0"/>
        <w:spacing w:line="460" w:lineRule="exact"/>
        <w:ind w:firstLine="720" w:firstLineChars="300"/>
        <w:textAlignment w:val="auto"/>
        <w:rPr>
          <w:sz w:val="24"/>
          <w:szCs w:val="24"/>
        </w:rPr>
      </w:pPr>
      <w:r>
        <w:rPr>
          <w:color w:val="000000"/>
          <w:sz w:val="24"/>
          <w:szCs w:val="24"/>
        </w:rPr>
        <w:t>（</w:t>
      </w:r>
      <w:r>
        <w:rPr>
          <w:rFonts w:hint="eastAsia"/>
          <w:sz w:val="24"/>
          <w:szCs w:val="24"/>
          <w:lang w:val="en-US" w:eastAsia="zh-CN"/>
        </w:rPr>
        <w:t>17</w:t>
      </w:r>
      <w:r>
        <w:rPr>
          <w:sz w:val="24"/>
          <w:szCs w:val="24"/>
        </w:rPr>
        <w:t>）</w:t>
      </w:r>
      <w:r>
        <w:rPr>
          <w:rFonts w:hint="eastAsia" w:ascii="Times New Roman" w:hAnsi="Times New Roman" w:eastAsia="宋体" w:cs="Times New Roman"/>
          <w:color w:val="000000"/>
          <w:sz w:val="24"/>
          <w:szCs w:val="24"/>
          <w:lang w:eastAsia="zh-CN"/>
        </w:rPr>
        <w:t>谈判供应商</w:t>
      </w:r>
      <w:r>
        <w:rPr>
          <w:rFonts w:hint="eastAsia" w:ascii="Times New Roman" w:hAnsi="Times New Roman" w:eastAsia="宋体" w:cs="Times New Roman"/>
          <w:color w:val="000000"/>
          <w:sz w:val="24"/>
          <w:szCs w:val="24"/>
        </w:rPr>
        <w:t>情况介绍；</w:t>
      </w:r>
    </w:p>
    <w:p w14:paraId="0AECBB6C">
      <w:pPr>
        <w:keepNext w:val="0"/>
        <w:keepLines w:val="0"/>
        <w:pageBreakBefore w:val="0"/>
        <w:kinsoku/>
        <w:wordWrap/>
        <w:overflowPunct/>
        <w:topLinePunct w:val="0"/>
        <w:autoSpaceDE/>
        <w:autoSpaceDN/>
        <w:bidi w:val="0"/>
        <w:spacing w:line="460" w:lineRule="exact"/>
        <w:ind w:firstLine="720" w:firstLineChars="300"/>
        <w:textAlignment w:val="auto"/>
        <w:rPr>
          <w:sz w:val="28"/>
          <w:szCs w:val="28"/>
        </w:rPr>
      </w:pPr>
      <w:r>
        <w:rPr>
          <w:color w:val="000000"/>
          <w:sz w:val="24"/>
          <w:szCs w:val="24"/>
        </w:rPr>
        <w:t>（</w:t>
      </w:r>
      <w:r>
        <w:rPr>
          <w:rFonts w:hint="eastAsia"/>
          <w:sz w:val="24"/>
          <w:szCs w:val="24"/>
          <w:lang w:val="en-US" w:eastAsia="zh-CN"/>
        </w:rPr>
        <w:t>18</w:t>
      </w:r>
      <w:r>
        <w:rPr>
          <w:sz w:val="24"/>
          <w:szCs w:val="24"/>
        </w:rPr>
        <w:t>）谈判供应商认为需要提供的有关资料</w:t>
      </w:r>
      <w:r>
        <w:rPr>
          <w:sz w:val="28"/>
          <w:szCs w:val="28"/>
        </w:rPr>
        <w:t>。</w:t>
      </w:r>
    </w:p>
    <w:p w14:paraId="4093C6AE">
      <w:pPr>
        <w:pStyle w:val="33"/>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 响应文件的编制和签署</w:t>
      </w:r>
    </w:p>
    <w:p w14:paraId="10BA1313">
      <w:pPr>
        <w:spacing w:line="360" w:lineRule="auto"/>
        <w:ind w:firstLine="480" w:firstLineChars="20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3.1各供应商在编制响应文件时请按照谈判文件第七部分规定的格式进行，混乱的编排导致响应文件被误读或谈判小组查找不到有效文件是供应商的风险。</w:t>
      </w:r>
    </w:p>
    <w:p w14:paraId="0EFB717D">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005F16D0">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3.3使用“广西政府采购云平台电子交易客户端”需要提前申领CA数字证书，申领流程请自行前往“</w:t>
      </w:r>
      <w:r>
        <w:rPr>
          <w:rFonts w:hint="eastAsia" w:ascii="宋体" w:hAnsi="宋体" w:cs="宋体"/>
          <w:color w:val="000000" w:themeColor="text1"/>
          <w:sz w:val="24"/>
          <w14:textFill>
            <w14:solidFill>
              <w14:schemeClr w14:val="tx1"/>
            </w14:solidFill>
          </w14:textFill>
        </w:rPr>
        <w:t>广西政府采购网（http://zfcg.gxzf.gov.cn/）—办事服务—下载专区</w:t>
      </w:r>
      <w:r>
        <w:rPr>
          <w:rFonts w:hint="eastAsia" w:ascii="宋体" w:hAnsi="宋体" w:cs="宋体"/>
          <w:color w:val="000000" w:themeColor="text1"/>
          <w:kern w:val="0"/>
          <w:sz w:val="24"/>
          <w:lang w:val="zh-CN"/>
          <w14:textFill>
            <w14:solidFill>
              <w14:schemeClr w14:val="tx1"/>
            </w14:solidFill>
          </w14:textFill>
        </w:rPr>
        <w:t>”进行查阅</w:t>
      </w:r>
    </w:p>
    <w:p w14:paraId="34A9B9E0">
      <w:pPr>
        <w:pStyle w:val="394"/>
        <w:snapToGrid w:val="0"/>
        <w:spacing w:before="0"/>
        <w:ind w:firstLine="48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3.4响应文件按照谈判文件第七部分格式要</w:t>
      </w:r>
      <w:r>
        <w:rPr>
          <w:rFonts w:hint="eastAsia" w:cs="仿宋_GB2312" w:asciiTheme="minorEastAsia" w:hAnsiTheme="minorEastAsia" w:eastAsiaTheme="minorEastAsia"/>
          <w:color w:val="000000" w:themeColor="text1"/>
          <w14:textFill>
            <w14:solidFill>
              <w14:schemeClr w14:val="tx1"/>
            </w14:solidFill>
          </w14:textFill>
        </w:rPr>
        <w:t>求进行签署、盖章。</w:t>
      </w: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14:textFill>
            <w14:solidFill>
              <w14:schemeClr w14:val="tx1"/>
            </w14:solidFill>
          </w14:textFill>
        </w:rPr>
        <w:t>供应商的响应文件未按照谈判文件要求签署、盖章的，其响应无效</w:t>
      </w:r>
      <w:r>
        <w:rPr>
          <w:rFonts w:hint="eastAsia" w:cs="仿宋_GB2312" w:asciiTheme="minorEastAsia" w:hAnsiTheme="minorEastAsia" w:eastAsiaTheme="minorEastAsia"/>
          <w:color w:val="000000" w:themeColor="text1"/>
          <w:szCs w:val="24"/>
          <w14:textFill>
            <w14:solidFill>
              <w14:schemeClr w14:val="tx1"/>
            </w14:solidFill>
          </w14:textFill>
        </w:rPr>
        <w:t>。</w:t>
      </w:r>
    </w:p>
    <w:p w14:paraId="1C4CB99F">
      <w:pPr>
        <w:pStyle w:val="394"/>
        <w:snapToGrid w:val="0"/>
        <w:spacing w:before="0"/>
        <w:ind w:firstLine="480"/>
        <w:rPr>
          <w:rFonts w:cs="宋体"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14:paraId="07C6606A">
      <w:pPr>
        <w:pStyle w:val="394"/>
        <w:snapToGrid w:val="0"/>
        <w:spacing w:before="0"/>
        <w:ind w:firstLine="480"/>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3.6谈判文件对响应文件签署、盖章的要求适用于电子签名、CA签章以及谈判文件明确允许的其他方式。</w:t>
      </w:r>
    </w:p>
    <w:p w14:paraId="26B6847A">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0ADDDF0A">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06072F67">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七、</w:t>
      </w:r>
      <w:r>
        <w:rPr>
          <w:rFonts w:hint="eastAsia" w:asciiTheme="minorEastAsia" w:hAnsiTheme="minorEastAsia" w:eastAsiaTheme="minorEastAsia"/>
          <w:b/>
          <w:color w:val="000000" w:themeColor="text1"/>
          <w:sz w:val="32"/>
          <w:szCs w:val="32"/>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14:textFill>
            <w14:solidFill>
              <w14:schemeClr w14:val="tx1"/>
            </w14:solidFill>
          </w14:textFill>
        </w:rPr>
        <w:t>文件的提交和备份</w:t>
      </w:r>
    </w:p>
    <w:p w14:paraId="10C22B27">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p>
    <w:p w14:paraId="1C08EF0D">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1.响应文件的提交、补充、修改、撤回</w:t>
      </w:r>
    </w:p>
    <w:p w14:paraId="0897D257">
      <w:pPr>
        <w:pStyle w:val="394"/>
        <w:ind w:firstLine="480"/>
        <w:rPr>
          <w:rFonts w:cs="仿宋_GB2312"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3E4E41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 在响应截止时间以后，不能补充、修改响应文件。</w:t>
      </w:r>
    </w:p>
    <w:p w14:paraId="3D834C6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 在提交“最后报价”后，供应商不能退出谈判。</w:t>
      </w:r>
    </w:p>
    <w:p w14:paraId="7A369A4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24A2144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7331D8CC">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2.备份响应文件</w:t>
      </w:r>
    </w:p>
    <w:p w14:paraId="292D4C31">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14:textFill>
            <w14:solidFill>
              <w14:schemeClr w14:val="tx1"/>
            </w14:solidFill>
          </w14:textFill>
        </w:rPr>
        <w:t>但采购人、采购代理机构不强制或变相强制供应商提交备份响应文件。</w:t>
      </w:r>
    </w:p>
    <w:p w14:paraId="407358ED">
      <w:pPr>
        <w:pStyle w:val="33"/>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2.2 备份响应文件须在“广西政府采购云平台投标客户端”制作生成，并储存在不可修改的</w:t>
      </w:r>
      <w:r>
        <w:rPr>
          <w:rFonts w:hint="eastAsia" w:asciiTheme="minorEastAsia" w:hAnsiTheme="minorEastAsia" w:eastAsiaTheme="minorEastAsia"/>
          <w:b/>
          <w:color w:val="000000" w:themeColor="text1"/>
          <w:sz w:val="24"/>
          <w14:textFill>
            <w14:solidFill>
              <w14:schemeClr w14:val="tx1"/>
            </w14:solidFill>
          </w14:textFill>
        </w:rPr>
        <w:t>电子光盘等存储介质</w:t>
      </w:r>
      <w:r>
        <w:rPr>
          <w:rFonts w:hint="eastAsia" w:cs="仿宋_GB2312" w:asciiTheme="minorEastAsia" w:hAnsiTheme="minorEastAsia" w:eastAsiaTheme="minorEastAsia"/>
          <w:color w:val="000000" w:themeColor="text1"/>
          <w:sz w:val="24"/>
          <w:szCs w:val="24"/>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14:textFill>
            <w14:solidFill>
              <w14:schemeClr w14:val="tx1"/>
            </w14:solidFill>
          </w14:textFill>
        </w:rPr>
        <w:t>存储、密封规定的备份响应文件将被视为无效或者被拒绝接收。</w:t>
      </w:r>
    </w:p>
    <w:p w14:paraId="59D112CE">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2.3 直接提交备份响应文件的，供应商应于响应截止时间前在谈判公告中载明的开启响应文件的地点将备份响应文件提交给采购代理机构，采购代理机构将拒绝接受逾期送达的备份响应文件。</w:t>
      </w:r>
    </w:p>
    <w:p w14:paraId="1E682285">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14:textFill>
            <w14:solidFill>
              <w14:schemeClr w14:val="tx1"/>
            </w14:solidFill>
          </w14:textFill>
        </w:rPr>
        <w:t>谈判文件第三部分供应商须知前附表规定的备份响应文件送达地点</w:t>
      </w:r>
      <w:r>
        <w:rPr>
          <w:rFonts w:hint="eastAsia" w:cs="仿宋_GB2312" w:asciiTheme="minorEastAsia" w:hAnsiTheme="minorEastAsia" w:eastAsiaTheme="minorEastAsia"/>
          <w:color w:val="000000" w:themeColor="text1"/>
          <w:sz w:val="24"/>
          <w:szCs w:val="24"/>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77DFD6E2">
      <w:pPr>
        <w:pStyle w:val="33"/>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 xml:space="preserve">2.5 </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供应商仅提交备份响应文件，未在电子交易平台传输提交响应文件的，响应无效。</w:t>
      </w:r>
    </w:p>
    <w:p w14:paraId="794D532B">
      <w:pPr>
        <w:spacing w:line="360" w:lineRule="auto"/>
        <w:rPr>
          <w:rFonts w:ascii="宋体" w:hAnsi="宋体" w:cs="宋体"/>
          <w:b/>
          <w:snapToGrid w:val="0"/>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w:t>
      </w:r>
      <w:r>
        <w:rPr>
          <w:rFonts w:hint="eastAsia" w:ascii="宋体" w:hAnsi="宋体" w:cs="宋体"/>
          <w:b/>
          <w:snapToGrid w:val="0"/>
          <w:color w:val="000000" w:themeColor="text1"/>
          <w:kern w:val="28"/>
          <w:sz w:val="24"/>
          <w14:textFill>
            <w14:solidFill>
              <w14:schemeClr w14:val="tx1"/>
            </w14:solidFill>
          </w14:textFill>
        </w:rPr>
        <w:t>谈判保证金</w:t>
      </w:r>
    </w:p>
    <w:p w14:paraId="2CC9A7B0">
      <w:pPr>
        <w:widowControl/>
        <w:snapToGrid w:val="0"/>
        <w:spacing w:line="360" w:lineRule="auto"/>
        <w:ind w:firstLine="470" w:firstLineChars="196"/>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3.1本项目收取</w:t>
      </w:r>
      <w:r>
        <w:rPr>
          <w:rFonts w:hint="eastAsia" w:ascii="宋体" w:hAnsi="宋体" w:cs="宋体"/>
          <w:snapToGrid w:val="0"/>
          <w:color w:val="000000" w:themeColor="text1"/>
          <w:kern w:val="28"/>
          <w:sz w:val="24"/>
          <w:szCs w:val="20"/>
          <w:lang w:eastAsia="zh-CN"/>
          <w14:textFill>
            <w14:solidFill>
              <w14:schemeClr w14:val="tx1"/>
            </w14:solidFill>
          </w14:textFill>
        </w:rPr>
        <w:t>谈判</w:t>
      </w:r>
      <w:r>
        <w:rPr>
          <w:rFonts w:hint="eastAsia" w:ascii="宋体" w:hAnsi="宋体" w:cs="宋体"/>
          <w:snapToGrid w:val="0"/>
          <w:color w:val="000000" w:themeColor="text1"/>
          <w:kern w:val="28"/>
          <w:sz w:val="24"/>
          <w:szCs w:val="20"/>
          <w14:textFill>
            <w14:solidFill>
              <w14:schemeClr w14:val="tx1"/>
            </w14:solidFill>
          </w14:textFill>
        </w:rPr>
        <w:t>保证金，具体规定如下：</w:t>
      </w:r>
    </w:p>
    <w:p w14:paraId="714C87F0">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lang w:eastAsia="zh-CN"/>
          <w14:textFill>
            <w14:solidFill>
              <w14:schemeClr w14:val="tx1"/>
            </w14:solidFill>
          </w14:textFill>
        </w:rPr>
        <w:t>谈判</w:t>
      </w:r>
      <w:r>
        <w:rPr>
          <w:rFonts w:hint="eastAsia" w:ascii="宋体" w:hAnsi="宋体" w:cs="宋体"/>
          <w:snapToGrid w:val="0"/>
          <w:color w:val="000000" w:themeColor="text1"/>
          <w:kern w:val="28"/>
          <w:sz w:val="24"/>
          <w:szCs w:val="20"/>
          <w14:textFill>
            <w14:solidFill>
              <w14:schemeClr w14:val="tx1"/>
            </w14:solidFill>
          </w14:textFill>
        </w:rPr>
        <w:t>保证金为</w:t>
      </w:r>
      <w:r>
        <w:rPr>
          <w:rFonts w:hint="eastAsia" w:ascii="宋体" w:hAnsi="宋体" w:cs="宋体"/>
          <w:snapToGrid w:val="0"/>
          <w:color w:val="000000" w:themeColor="text1"/>
          <w:kern w:val="28"/>
          <w:sz w:val="24"/>
          <w:szCs w:val="20"/>
          <w:lang w:eastAsia="zh-CN"/>
          <w14:textFill>
            <w14:solidFill>
              <w14:schemeClr w14:val="tx1"/>
            </w14:solidFill>
          </w14:textFill>
        </w:rPr>
        <w:t>：</w:t>
      </w:r>
      <w:r>
        <w:rPr>
          <w:rFonts w:hint="eastAsia" w:ascii="宋体" w:hAnsi="宋体" w:cs="宋体"/>
          <w:snapToGrid w:val="0"/>
          <w:color w:val="000000" w:themeColor="text1"/>
          <w:kern w:val="28"/>
          <w:sz w:val="24"/>
          <w:szCs w:val="20"/>
          <w:lang w:val="en-US" w:eastAsia="zh-CN"/>
          <w14:textFill>
            <w14:solidFill>
              <w14:schemeClr w14:val="tx1"/>
            </w14:solidFill>
          </w14:textFill>
        </w:rPr>
        <w:t>10000.00元</w:t>
      </w:r>
      <w:r>
        <w:rPr>
          <w:rFonts w:hint="eastAsia" w:ascii="宋体" w:hAnsi="宋体" w:cs="宋体"/>
          <w:snapToGrid w:val="0"/>
          <w:color w:val="000000" w:themeColor="text1"/>
          <w:kern w:val="28"/>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谈判</w:t>
      </w:r>
      <w:r>
        <w:rPr>
          <w:rFonts w:hint="eastAsia" w:ascii="宋体" w:hAnsi="宋体" w:cs="宋体"/>
          <w:snapToGrid w:val="0"/>
          <w:color w:val="000000" w:themeColor="text1"/>
          <w:kern w:val="28"/>
          <w:sz w:val="24"/>
          <w:szCs w:val="20"/>
          <w14:textFill>
            <w14:solidFill>
              <w14:schemeClr w14:val="tx1"/>
            </w14:solidFill>
          </w14:textFill>
        </w:rPr>
        <w:t>保证金应当以支票、汇票、本票或者金融机构、担保机构出具的保函等非现金形式提交。</w:t>
      </w:r>
    </w:p>
    <w:p w14:paraId="0B130FC3">
      <w:pPr>
        <w:widowControl/>
        <w:snapToGrid w:val="0"/>
        <w:spacing w:line="360" w:lineRule="auto"/>
        <w:ind w:firstLine="470" w:firstLineChars="196"/>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银行转账、支票、汇票、本票或者金融、担保机构出具的保函，禁止采用现钞方式。采用银行转账方式的，在投标截止时间前交至指定账户并且到账（开户名称：</w:t>
      </w:r>
      <w:r>
        <w:rPr>
          <w:rFonts w:hint="eastAsia" w:ascii="宋体" w:hAnsi="宋体" w:cs="宋体"/>
          <w:snapToGrid w:val="0"/>
          <w:color w:val="000000" w:themeColor="text1"/>
          <w:kern w:val="28"/>
          <w:sz w:val="24"/>
          <w:szCs w:val="20"/>
          <w:lang w:eastAsia="zh-CN"/>
          <w14:textFill>
            <w14:solidFill>
              <w14:schemeClr w14:val="tx1"/>
            </w14:solidFill>
          </w14:textFill>
        </w:rPr>
        <w:t>广西天麒工程管理有限公司</w:t>
      </w:r>
      <w:r>
        <w:rPr>
          <w:rFonts w:hint="eastAsia" w:ascii="宋体" w:hAnsi="宋体" w:cs="宋体"/>
          <w:snapToGrid w:val="0"/>
          <w:color w:val="000000" w:themeColor="text1"/>
          <w:kern w:val="28"/>
          <w:sz w:val="24"/>
          <w:szCs w:val="20"/>
          <w14:textFill>
            <w14:solidFill>
              <w14:schemeClr w14:val="tx1"/>
            </w14:solidFill>
          </w14:textFill>
        </w:rPr>
        <w:t>，开户银行：中国建设银行股份有限公司北海广东路支行，银行账号：</w:t>
      </w:r>
      <w:r>
        <w:rPr>
          <w:rFonts w:hint="eastAsia" w:ascii="宋体" w:hAnsi="宋体" w:cs="宋体"/>
          <w:snapToGrid w:val="0"/>
          <w:color w:val="000000" w:themeColor="text1"/>
          <w:kern w:val="28"/>
          <w:sz w:val="24"/>
          <w:szCs w:val="20"/>
          <w:lang w:val="en-US" w:eastAsia="zh-CN"/>
          <w14:textFill>
            <w14:solidFill>
              <w14:schemeClr w14:val="tx1"/>
            </w14:solidFill>
          </w14:textFill>
        </w:rPr>
        <w:t>45050 16551 09000 00945</w:t>
      </w:r>
      <w:r>
        <w:rPr>
          <w:rFonts w:hint="eastAsia" w:ascii="宋体" w:hAnsi="宋体" w:cs="宋体"/>
          <w:snapToGrid w:val="0"/>
          <w:color w:val="000000" w:themeColor="text1"/>
          <w:kern w:val="28"/>
          <w:sz w:val="24"/>
          <w:szCs w:val="20"/>
          <w14:textFill>
            <w14:solidFill>
              <w14:schemeClr w14:val="tx1"/>
            </w14:solidFill>
          </w14:textFill>
        </w:rPr>
        <w:t>）；采用支票、汇票、本票或者保函等方式的，在投标截止时间前，投标人必须递交支票、汇票、本票或者保函原件（采用电子保函</w:t>
      </w:r>
      <w:r>
        <w:rPr>
          <w:rFonts w:hint="eastAsia" w:ascii="宋体" w:hAnsi="宋体" w:cs="宋体"/>
          <w:snapToGrid w:val="0"/>
          <w:color w:val="000000" w:themeColor="text1"/>
          <w:kern w:val="28"/>
          <w:sz w:val="24"/>
          <w:szCs w:val="20"/>
          <w:lang w:val="en-US" w:eastAsia="zh-CN"/>
          <w14:textFill>
            <w14:solidFill>
              <w14:schemeClr w14:val="tx1"/>
            </w14:solidFill>
          </w14:textFill>
        </w:rPr>
        <w:t>方式</w:t>
      </w:r>
      <w:r>
        <w:rPr>
          <w:rFonts w:hint="eastAsia" w:ascii="宋体" w:hAnsi="宋体" w:cs="宋体"/>
          <w:snapToGrid w:val="0"/>
          <w:color w:val="000000" w:themeColor="text1"/>
          <w:kern w:val="28"/>
          <w:sz w:val="24"/>
          <w:szCs w:val="20"/>
          <w14:textFill>
            <w14:solidFill>
              <w14:schemeClr w14:val="tx1"/>
            </w14:solidFill>
          </w14:textFill>
        </w:rPr>
        <w:t>交纳</w:t>
      </w:r>
      <w:r>
        <w:rPr>
          <w:rFonts w:hint="eastAsia" w:ascii="宋体" w:hAnsi="宋体" w:cs="宋体"/>
          <w:snapToGrid w:val="0"/>
          <w:color w:val="000000" w:themeColor="text1"/>
          <w:kern w:val="28"/>
          <w:sz w:val="24"/>
          <w:szCs w:val="20"/>
          <w:lang w:eastAsia="zh-CN"/>
          <w14:textFill>
            <w14:solidFill>
              <w14:schemeClr w14:val="tx1"/>
            </w14:solidFill>
          </w14:textFill>
        </w:rPr>
        <w:t>谈判保证金</w:t>
      </w:r>
      <w:r>
        <w:rPr>
          <w:rFonts w:hint="eastAsia" w:ascii="宋体" w:hAnsi="宋体" w:cs="宋体"/>
          <w:snapToGrid w:val="0"/>
          <w:color w:val="000000" w:themeColor="text1"/>
          <w:kern w:val="28"/>
          <w:sz w:val="24"/>
          <w:szCs w:val="20"/>
          <w14:textFill>
            <w14:solidFill>
              <w14:schemeClr w14:val="tx1"/>
            </w14:solidFill>
          </w14:textFill>
        </w:rPr>
        <w:t>的，无需递交原件）。否则视为无效</w:t>
      </w:r>
      <w:r>
        <w:rPr>
          <w:rFonts w:hint="eastAsia" w:ascii="宋体" w:hAnsi="宋体" w:cs="宋体"/>
          <w:snapToGrid w:val="0"/>
          <w:color w:val="000000" w:themeColor="text1"/>
          <w:kern w:val="28"/>
          <w:sz w:val="24"/>
          <w:szCs w:val="20"/>
          <w:lang w:eastAsia="zh-CN"/>
          <w14:textFill>
            <w14:solidFill>
              <w14:schemeClr w14:val="tx1"/>
            </w14:solidFill>
          </w14:textFill>
        </w:rPr>
        <w:t>谈判</w:t>
      </w:r>
      <w:r>
        <w:rPr>
          <w:rFonts w:hint="eastAsia" w:ascii="宋体" w:hAnsi="宋体" w:cs="宋体"/>
          <w:snapToGrid w:val="0"/>
          <w:color w:val="000000" w:themeColor="text1"/>
          <w:kern w:val="28"/>
          <w:sz w:val="24"/>
          <w:szCs w:val="20"/>
          <w14:textFill>
            <w14:solidFill>
              <w14:schemeClr w14:val="tx1"/>
            </w14:solidFill>
          </w14:textFill>
        </w:rPr>
        <w:t>保证金。</w:t>
      </w:r>
    </w:p>
    <w:p w14:paraId="4982ED5A">
      <w:pPr>
        <w:widowControl/>
        <w:snapToGrid w:val="0"/>
        <w:spacing w:line="360" w:lineRule="auto"/>
        <w:ind w:firstLine="470" w:firstLineChars="196"/>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相关要求：</w:t>
      </w:r>
    </w:p>
    <w:p w14:paraId="4F896A3E">
      <w:pPr>
        <w:widowControl/>
        <w:snapToGrid w:val="0"/>
        <w:spacing w:line="360" w:lineRule="auto"/>
        <w:ind w:firstLine="470" w:firstLineChars="196"/>
        <w:rPr>
          <w:rFonts w:hint="eastAsia" w:ascii="宋体" w:hAnsi="宋体" w:cs="宋体"/>
          <w:snapToGrid w:val="0"/>
          <w:color w:val="000000" w:themeColor="text1"/>
          <w:kern w:val="28"/>
          <w:sz w:val="24"/>
          <w:szCs w:val="20"/>
          <w:lang w:val="en-US" w:eastAsia="zh-CN"/>
          <w14:textFill>
            <w14:solidFill>
              <w14:schemeClr w14:val="tx1"/>
            </w14:solidFill>
          </w14:textFill>
        </w:rPr>
      </w:pPr>
      <w:r>
        <w:rPr>
          <w:rFonts w:hint="eastAsia" w:ascii="宋体" w:hAnsi="宋体" w:cs="宋体"/>
          <w:snapToGrid w:val="0"/>
          <w:color w:val="000000" w:themeColor="text1"/>
          <w:kern w:val="28"/>
          <w:sz w:val="24"/>
          <w:szCs w:val="20"/>
          <w:lang w:val="en-US" w:eastAsia="zh-CN"/>
          <w14:textFill>
            <w14:solidFill>
              <w14:schemeClr w14:val="tx1"/>
            </w14:solidFill>
          </w14:textFill>
        </w:rPr>
        <w:t>1、谈判保证金采用银行转账交纳方式的，在投标截止时间前交至指定账户并且到账，投标人应将银行转账底单的复印件作为谈判保证金提交凭证，放置于商务文件中，否则投标无效。</w:t>
      </w:r>
    </w:p>
    <w:p w14:paraId="65E31193">
      <w:pPr>
        <w:widowControl/>
        <w:snapToGrid w:val="0"/>
        <w:spacing w:line="360" w:lineRule="auto"/>
        <w:ind w:firstLine="470" w:firstLineChars="196"/>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lang w:eastAsia="zh-CN"/>
          <w14:textFill>
            <w14:solidFill>
              <w14:schemeClr w14:val="tx1"/>
            </w14:solidFill>
          </w14:textFill>
        </w:rPr>
        <w:t>谈判保证金</w:t>
      </w:r>
      <w:r>
        <w:rPr>
          <w:rFonts w:hint="eastAsia" w:ascii="宋体" w:hAnsi="宋体" w:cs="宋体"/>
          <w:snapToGrid w:val="0"/>
          <w:color w:val="000000" w:themeColor="text1"/>
          <w:kern w:val="28"/>
          <w:sz w:val="24"/>
          <w:szCs w:val="20"/>
          <w14:textFill>
            <w14:solidFill>
              <w14:schemeClr w14:val="tx1"/>
            </w14:solidFill>
          </w14:textFill>
        </w:rPr>
        <w:t>采用支票、汇票、本票或者金融、担保机构出具的保函交纳方式的，投标人应将支票、汇票、本票或者金融、担保机构出具的保函的复印件作为</w:t>
      </w:r>
      <w:r>
        <w:rPr>
          <w:rFonts w:hint="eastAsia" w:ascii="宋体" w:hAnsi="宋体" w:cs="宋体"/>
          <w:snapToGrid w:val="0"/>
          <w:color w:val="000000" w:themeColor="text1"/>
          <w:kern w:val="28"/>
          <w:sz w:val="24"/>
          <w:szCs w:val="20"/>
          <w:lang w:eastAsia="zh-CN"/>
          <w14:textFill>
            <w14:solidFill>
              <w14:schemeClr w14:val="tx1"/>
            </w14:solidFill>
          </w14:textFill>
        </w:rPr>
        <w:t>谈判保证金</w:t>
      </w:r>
      <w:r>
        <w:rPr>
          <w:rFonts w:hint="eastAsia" w:ascii="宋体" w:hAnsi="宋体" w:cs="宋体"/>
          <w:snapToGrid w:val="0"/>
          <w:color w:val="000000" w:themeColor="text1"/>
          <w:kern w:val="28"/>
          <w:sz w:val="24"/>
          <w:szCs w:val="20"/>
          <w14:textFill>
            <w14:solidFill>
              <w14:schemeClr w14:val="tx1"/>
            </w14:solidFill>
          </w14:textFill>
        </w:rPr>
        <w:t>提交凭证，放置于商务文件中，否则投标无效。投标人必须在投标截止时间前将支票、汇票、本票或者金融、担保机构出具的保函原件提交给采购代理机构，由采购代理机构向投标人出具回执，并妥善保管。</w:t>
      </w:r>
    </w:p>
    <w:p w14:paraId="0D400A84">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3.2</w:t>
      </w:r>
      <w:r>
        <w:rPr>
          <w:rFonts w:hint="eastAsia" w:ascii="宋体" w:hAnsi="宋体" w:cs="宋体"/>
          <w:color w:val="000000" w:themeColor="text1"/>
          <w:sz w:val="24"/>
          <w14:textFill>
            <w14:solidFill>
              <w14:schemeClr w14:val="tx1"/>
            </w14:solidFill>
          </w14:textFill>
        </w:rPr>
        <w:t>谈判供应商</w:t>
      </w:r>
      <w:r>
        <w:rPr>
          <w:rFonts w:hint="eastAsia" w:ascii="宋体" w:hAnsi="宋体" w:cs="宋体"/>
          <w:snapToGrid w:val="0"/>
          <w:color w:val="000000" w:themeColor="text1"/>
          <w:kern w:val="28"/>
          <w:sz w:val="24"/>
          <w:szCs w:val="20"/>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14:textFill>
            <w14:solidFill>
              <w14:schemeClr w14:val="tx1"/>
            </w14:solidFill>
          </w14:textFill>
        </w:rPr>
        <w:t>谈判供应商</w:t>
      </w:r>
      <w:r>
        <w:rPr>
          <w:rFonts w:hint="eastAsia" w:ascii="宋体" w:hAnsi="宋体" w:cs="宋体"/>
          <w:snapToGrid w:val="0"/>
          <w:color w:val="000000" w:themeColor="text1"/>
          <w:kern w:val="28"/>
          <w:sz w:val="24"/>
          <w:szCs w:val="20"/>
          <w14:textFill>
            <w14:solidFill>
              <w14:schemeClr w14:val="tx1"/>
            </w14:solidFill>
          </w14:textFill>
        </w:rPr>
        <w:t>书面撤回通知之日起5个工作日内，退还已收取的</w:t>
      </w:r>
      <w:r>
        <w:rPr>
          <w:rFonts w:hint="eastAsia" w:ascii="宋体" w:hAnsi="宋体" w:cs="宋体"/>
          <w:color w:val="000000" w:themeColor="text1"/>
          <w:sz w:val="24"/>
          <w14:textFill>
            <w14:solidFill>
              <w14:schemeClr w14:val="tx1"/>
            </w14:solidFill>
          </w14:textFill>
        </w:rPr>
        <w:t>谈判</w:t>
      </w:r>
      <w:r>
        <w:rPr>
          <w:rFonts w:hint="eastAsia" w:ascii="宋体" w:hAnsi="宋体" w:cs="宋体"/>
          <w:snapToGrid w:val="0"/>
          <w:color w:val="000000" w:themeColor="text1"/>
          <w:kern w:val="28"/>
          <w:sz w:val="24"/>
          <w:szCs w:val="20"/>
          <w14:textFill>
            <w14:solidFill>
              <w14:schemeClr w14:val="tx1"/>
            </w14:solidFill>
          </w14:textFill>
        </w:rPr>
        <w:t>保证金，但因</w:t>
      </w:r>
      <w:r>
        <w:rPr>
          <w:rFonts w:hint="eastAsia" w:ascii="宋体" w:hAnsi="宋体" w:cs="宋体"/>
          <w:color w:val="000000" w:themeColor="text1"/>
          <w:sz w:val="24"/>
          <w14:textFill>
            <w14:solidFill>
              <w14:schemeClr w14:val="tx1"/>
            </w14:solidFill>
          </w14:textFill>
        </w:rPr>
        <w:t>谈判供应商</w:t>
      </w:r>
      <w:r>
        <w:rPr>
          <w:rFonts w:hint="eastAsia" w:ascii="宋体" w:hAnsi="宋体" w:cs="宋体"/>
          <w:snapToGrid w:val="0"/>
          <w:color w:val="000000" w:themeColor="text1"/>
          <w:kern w:val="28"/>
          <w:sz w:val="24"/>
          <w:szCs w:val="20"/>
          <w14:textFill>
            <w14:solidFill>
              <w14:schemeClr w14:val="tx1"/>
            </w14:solidFill>
          </w14:textFill>
        </w:rPr>
        <w:t>自身原因导致无法及时退还的除外。</w:t>
      </w:r>
    </w:p>
    <w:p w14:paraId="01FA7B55">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w:t>
      </w:r>
    </w:p>
    <w:p w14:paraId="7455BA91">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56E88A00">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63E58E4A">
      <w:pPr>
        <w:pStyle w:val="33"/>
        <w:spacing w:line="360" w:lineRule="auto"/>
        <w:ind w:firstLine="360" w:firstLineChars="150"/>
        <w:rPr>
          <w:rFonts w:cs="仿宋_GB2312" w:asciiTheme="minorEastAsia" w:hAnsiTheme="minorEastAsia" w:eastAsiaTheme="minorEastAsia"/>
          <w:color w:val="000000" w:themeColor="text1"/>
          <w:sz w:val="24"/>
          <w:szCs w:val="24"/>
          <w14:textFill>
            <w14:solidFill>
              <w14:schemeClr w14:val="tx1"/>
            </w14:solidFill>
          </w14:textFill>
        </w:rPr>
      </w:pPr>
    </w:p>
    <w:p w14:paraId="465D671B">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783A7009">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八、</w:t>
      </w:r>
      <w:r>
        <w:rPr>
          <w:rFonts w:hint="eastAsia" w:asciiTheme="minorEastAsia" w:hAnsiTheme="minorEastAsia" w:eastAsiaTheme="minorEastAsia"/>
          <w:b/>
          <w:color w:val="000000" w:themeColor="text1"/>
          <w:sz w:val="32"/>
          <w:szCs w:val="32"/>
          <w14:textFill>
            <w14:solidFill>
              <w14:schemeClr w14:val="tx1"/>
            </w14:solidFill>
          </w14:textFill>
        </w:rPr>
        <w:t>开启响应文件与信用信息查询</w:t>
      </w:r>
    </w:p>
    <w:p w14:paraId="0602F904">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 开启响应文件</w:t>
      </w:r>
    </w:p>
    <w:p w14:paraId="2B8E054D">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供应商数量不符合规定的，不得开启响应文件。</w:t>
      </w:r>
    </w:p>
    <w:p w14:paraId="40F7B116">
      <w:pPr>
        <w:pStyle w:val="33"/>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1.2开启响应文件时，电子交易平台按开启响应文件时间自动提取所有响应文件。采购代理机构依托电子交易平台发起开始解密指令，供应商按照平台提示和谈判文件的规定在半小时内完成在线解密。</w:t>
      </w:r>
    </w:p>
    <w:p w14:paraId="5472B4DC">
      <w:pPr>
        <w:pStyle w:val="33"/>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6F4F6026">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2.信用信息查询</w:t>
      </w:r>
    </w:p>
    <w:p w14:paraId="39BF643E">
      <w:pPr>
        <w:pStyle w:val="394"/>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2.1信用信息查询渠道及截止时间：采购人或采购代理机构将通过“信用中国”网站(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)、中国政府采购网(www.ccgp.gov.cn)渠道查询供应商响应截止时间前的信用记录。</w:t>
      </w:r>
    </w:p>
    <w:p w14:paraId="4EE22026">
      <w:pPr>
        <w:pStyle w:val="394"/>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2.2信用信息查询记录和证据留存的具体方式：现场查询的供应商的信用记录、查询结果经确认后存档。</w:t>
      </w:r>
    </w:p>
    <w:p w14:paraId="514DE767">
      <w:pPr>
        <w:pStyle w:val="394"/>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05EB9E64">
      <w:pPr>
        <w:pStyle w:val="394"/>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2C3D495">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p>
    <w:p w14:paraId="55CD6065">
      <w:pPr>
        <w:adjustRightInd/>
        <w:spacing w:line="360" w:lineRule="auto"/>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九</w:t>
      </w:r>
      <w:r>
        <w:rPr>
          <w:rFonts w:hint="eastAsia" w:cs="仿宋_GB2312" w:asciiTheme="minorEastAsia" w:hAnsiTheme="minorEastAsia" w:eastAsiaTheme="minorEastAsia"/>
          <w:b/>
          <w:color w:val="000000" w:themeColor="text1"/>
          <w:sz w:val="32"/>
          <w:szCs w:val="20"/>
          <w14:textFill>
            <w14:solidFill>
              <w14:schemeClr w14:val="tx1"/>
            </w14:solidFill>
          </w14:textFill>
        </w:rPr>
        <w:t>、提交</w:t>
      </w:r>
      <w:r>
        <w:rPr>
          <w:rFonts w:hint="eastAsia" w:asciiTheme="minorEastAsia" w:hAnsiTheme="minorEastAsia" w:eastAsiaTheme="minorEastAsia"/>
          <w:b/>
          <w:color w:val="000000" w:themeColor="text1"/>
          <w:sz w:val="32"/>
          <w:szCs w:val="32"/>
          <w14:textFill>
            <w14:solidFill>
              <w14:schemeClr w14:val="tx1"/>
            </w14:solidFill>
          </w14:textFill>
        </w:rPr>
        <w:t>最后报价</w:t>
      </w:r>
    </w:p>
    <w:p w14:paraId="3AD87165">
      <w:pPr>
        <w:snapToGrid w:val="0"/>
        <w:spacing w:line="360" w:lineRule="auto"/>
        <w:rPr>
          <w:rFonts w:cs="仿宋_GB2312" w:asciiTheme="minorEastAsia" w:hAnsiTheme="minorEastAsia" w:eastAsiaTheme="minorEastAsia"/>
          <w:color w:val="000000" w:themeColor="text1"/>
          <w:sz w:val="24"/>
          <w:u w:val="single"/>
          <w:lang w:val="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供应商的</w:t>
      </w:r>
      <w:r>
        <w:rPr>
          <w:rFonts w:hint="eastAsia" w:cs="仿宋_GB2312" w:asciiTheme="minorEastAsia" w:hAnsiTheme="minorEastAsia" w:eastAsiaTheme="minorEastAsia"/>
          <w:b/>
          <w:color w:val="000000" w:themeColor="text1"/>
          <w:sz w:val="24"/>
          <w14:textFill>
            <w14:solidFill>
              <w14:schemeClr w14:val="tx1"/>
            </w14:solidFill>
          </w14:textFill>
        </w:rPr>
        <w:t>最后报价文件</w:t>
      </w:r>
      <w:r>
        <w:rPr>
          <w:rFonts w:hint="eastAsia" w:cs="仿宋_GB2312" w:asciiTheme="minorEastAsia" w:hAnsiTheme="minorEastAsia" w:eastAsiaTheme="minorEastAsia"/>
          <w:color w:val="000000" w:themeColor="text1"/>
          <w:sz w:val="24"/>
          <w14:textFill>
            <w14:solidFill>
              <w14:schemeClr w14:val="tx1"/>
            </w14:solidFill>
          </w14:textFill>
        </w:rPr>
        <w:t>应包括以下内容：</w:t>
      </w:r>
    </w:p>
    <w:p w14:paraId="48945B91">
      <w:pPr>
        <w:pStyle w:val="33"/>
        <w:snapToGrid w:val="0"/>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1.1最后报价一览表；</w:t>
      </w:r>
    </w:p>
    <w:p w14:paraId="0714115F">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187DBABE">
      <w:pPr>
        <w:adjustRightInd/>
        <w:spacing w:line="360" w:lineRule="auto"/>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w:t>
      </w:r>
      <w:r>
        <w:rPr>
          <w:rFonts w:hint="eastAsia" w:asciiTheme="minorEastAsia" w:hAnsiTheme="minorEastAsia" w:eastAsiaTheme="minorEastAsia"/>
          <w:b/>
          <w:color w:val="000000" w:themeColor="text1"/>
          <w:sz w:val="32"/>
          <w:szCs w:val="32"/>
          <w14:textFill>
            <w14:solidFill>
              <w14:schemeClr w14:val="tx1"/>
            </w14:solidFill>
          </w14:textFill>
        </w:rPr>
        <w:t>评审</w:t>
      </w:r>
    </w:p>
    <w:p w14:paraId="2A09528D">
      <w:pPr>
        <w:pStyle w:val="394"/>
        <w:spacing w:before="0"/>
        <w:ind w:firstLine="0" w:firstLineChars="0"/>
        <w:rPr>
          <w:rFonts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1. 评审要求：</w:t>
      </w:r>
      <w:r>
        <w:rPr>
          <w:rFonts w:hint="eastAsia" w:cs="仿宋_GB2312" w:asciiTheme="minorEastAsia" w:hAnsiTheme="minorEastAsia" w:eastAsiaTheme="minorEastAsia"/>
          <w:color w:val="000000" w:themeColor="text1"/>
          <w14:textFill>
            <w14:solidFill>
              <w14:schemeClr w14:val="tx1"/>
            </w14:solidFill>
          </w14:textFill>
        </w:rPr>
        <w:t>详见谈判文件第五部分“评定标准”。</w:t>
      </w:r>
    </w:p>
    <w:p w14:paraId="55BDF874">
      <w:pPr>
        <w:adjustRightInd/>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4341B341">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十一、</w:t>
      </w:r>
      <w:r>
        <w:rPr>
          <w:rFonts w:hint="eastAsia" w:asciiTheme="minorEastAsia" w:hAnsiTheme="minorEastAsia" w:eastAsiaTheme="minorEastAsia"/>
          <w:b/>
          <w:color w:val="000000" w:themeColor="text1"/>
          <w:sz w:val="32"/>
          <w:szCs w:val="32"/>
          <w14:textFill>
            <w14:solidFill>
              <w14:schemeClr w14:val="tx1"/>
            </w14:solidFill>
          </w14:textFill>
        </w:rPr>
        <w:t>成交</w:t>
      </w:r>
    </w:p>
    <w:p w14:paraId="601E4771">
      <w:pPr>
        <w:pStyle w:val="33"/>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推荐成交候选供应商</w:t>
      </w:r>
    </w:p>
    <w:p w14:paraId="2026B6D2">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39CB79C5">
      <w:pPr>
        <w:pStyle w:val="33"/>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确定成交供应商</w:t>
      </w:r>
    </w:p>
    <w:p w14:paraId="2BF680A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06CC013">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3．成交通知及成交结果公告</w:t>
      </w:r>
    </w:p>
    <w:p w14:paraId="414D49E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3.1自成交人确定之日起2个工作日内，采购代理机构通过电子交易平台向成交人发出成交通知书，</w:t>
      </w:r>
      <w:r>
        <w:rPr>
          <w:rFonts w:hint="eastAsia" w:cs="宋体" w:asciiTheme="minorEastAsia" w:hAnsiTheme="minorEastAsia" w:eastAsiaTheme="minorEastAsia"/>
          <w:color w:val="000000" w:themeColor="text1"/>
          <w:sz w:val="24"/>
          <w14:textFill>
            <w14:solidFill>
              <w14:schemeClr w14:val="tx1"/>
            </w14:solidFill>
          </w14:textFill>
        </w:rPr>
        <w:t>同时编制发布采购</w:t>
      </w:r>
      <w:r>
        <w:rPr>
          <w:rFonts w:hint="eastAsia" w:asciiTheme="minorEastAsia" w:hAnsiTheme="minorEastAsia" w:eastAsiaTheme="minorEastAsia"/>
          <w:color w:val="000000" w:themeColor="text1"/>
          <w:sz w:val="24"/>
          <w:szCs w:val="21"/>
          <w14:textFill>
            <w14:solidFill>
              <w14:schemeClr w14:val="tx1"/>
            </w14:solidFill>
          </w14:textFill>
        </w:rPr>
        <w:t>成交结果公告。</w:t>
      </w:r>
    </w:p>
    <w:p w14:paraId="040D207E">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Theme="minorEastAsia" w:hAnsiTheme="minorEastAsia" w:eastAsiaTheme="minorEastAsia"/>
          <w:color w:val="000000" w:themeColor="text1"/>
          <w:sz w:val="24"/>
          <w:szCs w:val="21"/>
          <w14:textFill>
            <w14:solidFill>
              <w14:schemeClr w14:val="tx1"/>
            </w14:solidFill>
          </w14:textFill>
        </w:rPr>
        <w:t>成交</w:t>
      </w:r>
      <w:r>
        <w:rPr>
          <w:rFonts w:hint="eastAsia" w:cs="仿宋_GB2312" w:asciiTheme="minorEastAsia" w:hAnsiTheme="minorEastAsia" w:eastAsiaTheme="minorEastAsia"/>
          <w:color w:val="000000" w:themeColor="text1"/>
          <w:sz w:val="24"/>
          <w14:textFill>
            <w14:solidFill>
              <w14:schemeClr w14:val="tx1"/>
            </w14:solidFill>
          </w14:textFill>
        </w:rPr>
        <w:t>结果公告内容包括</w:t>
      </w:r>
      <w:r>
        <w:rPr>
          <w:rFonts w:hint="eastAsia" w:cs="宋体" w:asciiTheme="minorEastAsia" w:hAnsiTheme="minorEastAsia" w:eastAsiaTheme="minorEastAsia"/>
          <w:color w:val="000000" w:themeColor="text1"/>
          <w:sz w:val="24"/>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54" w:name="_Hlk101184471"/>
      <w:r>
        <w:rPr>
          <w:rFonts w:hint="eastAsia" w:cs="宋体" w:asciiTheme="minorEastAsia" w:hAnsiTheme="minorEastAsia" w:eastAsiaTheme="minorEastAsia"/>
          <w:color w:val="000000" w:themeColor="text1"/>
          <w:sz w:val="24"/>
          <w14:textFill>
            <w14:solidFill>
              <w14:schemeClr w14:val="tx1"/>
            </w14:solidFill>
          </w14:textFill>
        </w:rPr>
        <w:t>评审专家抽取规则、</w:t>
      </w:r>
      <w:bookmarkEnd w:id="54"/>
      <w:r>
        <w:rPr>
          <w:rFonts w:hint="eastAsia" w:cs="宋体" w:asciiTheme="minorEastAsia" w:hAnsiTheme="minorEastAsia" w:eastAsiaTheme="minorEastAsia"/>
          <w:color w:val="000000" w:themeColor="text1"/>
          <w:sz w:val="24"/>
          <w14:textFill>
            <w14:solidFill>
              <w14:schemeClr w14:val="tx1"/>
            </w14:solidFill>
          </w14:textFill>
        </w:rPr>
        <w:t>未成交情况说明、成交公告期限以及评审专家名单、成交供应商和未成交供应商的</w:t>
      </w:r>
      <w:r>
        <w:rPr>
          <w:rFonts w:hint="eastAsia" w:ascii="宋体" w:hAnsi="宋体" w:cs="宋体"/>
          <w:color w:val="000000" w:themeColor="text1"/>
          <w:sz w:val="24"/>
          <w14:textFill>
            <w14:solidFill>
              <w14:schemeClr w14:val="tx1"/>
            </w14:solidFill>
          </w14:textFill>
        </w:rPr>
        <w:t>评审报价</w:t>
      </w:r>
      <w:r>
        <w:rPr>
          <w:rFonts w:hint="eastAsia" w:cs="宋体" w:asciiTheme="minorEastAsia" w:hAnsiTheme="minorEastAsia" w:eastAsiaTheme="minorEastAsia"/>
          <w:color w:val="000000" w:themeColor="text1"/>
          <w:sz w:val="24"/>
          <w14:textFill>
            <w14:solidFill>
              <w14:schemeClr w14:val="tx1"/>
            </w14:solidFill>
          </w14:textFill>
        </w:rPr>
        <w:t>及排名。</w:t>
      </w:r>
    </w:p>
    <w:p w14:paraId="384F4479">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3.3公告期限为1个工作日。</w:t>
      </w:r>
    </w:p>
    <w:p w14:paraId="270BC441">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25187B22">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十二、合同</w:t>
      </w:r>
    </w:p>
    <w:p w14:paraId="067964B9">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1.合同主要条款：</w:t>
      </w:r>
      <w:r>
        <w:rPr>
          <w:rFonts w:hint="eastAsia" w:asciiTheme="minorEastAsia" w:hAnsiTheme="minorEastAsia" w:eastAsiaTheme="minorEastAsia"/>
          <w:color w:val="000000" w:themeColor="text1"/>
          <w:sz w:val="24"/>
          <w14:textFill>
            <w14:solidFill>
              <w14:schemeClr w14:val="tx1"/>
            </w14:solidFill>
          </w14:textFill>
        </w:rPr>
        <w:t>详见“第六部分拟签订的合同文本”。</w:t>
      </w:r>
    </w:p>
    <w:p w14:paraId="78B659C7">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2.合同的签订</w:t>
      </w:r>
    </w:p>
    <w:p w14:paraId="3B4887A0">
      <w:pPr>
        <w:widowControl/>
        <w:shd w:val="clear" w:color="auto" w:fill="FFFFFF"/>
        <w:spacing w:line="360" w:lineRule="auto"/>
        <w:ind w:firstLine="48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hint="eastAsia" w:ascii="宋体" w:hAnsi="宋体" w:cs="宋体"/>
          <w:color w:val="000000" w:themeColor="text1"/>
          <w:kern w:val="0"/>
          <w:sz w:val="24"/>
          <w14:textFill>
            <w14:solidFill>
              <w14:schemeClr w14:val="tx1"/>
            </w14:solidFill>
          </w14:textFill>
        </w:rPr>
        <w:t>采购人与成交供应商应当自成交通知书</w:t>
      </w:r>
      <w:r>
        <w:rPr>
          <w:rFonts w:hint="eastAsia" w:ascii="宋体" w:hAnsi="宋体" w:cs="宋体"/>
          <w:color w:val="000000" w:themeColor="text1"/>
          <w:kern w:val="0"/>
          <w:sz w:val="24"/>
          <w:highlight w:val="none"/>
          <w14:textFill>
            <w14:solidFill>
              <w14:schemeClr w14:val="tx1"/>
            </w14:solidFill>
          </w14:textFill>
        </w:rPr>
        <w:t>发出之日起</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日内，按照采购文件确定的事项签订政府采购合同。采购人因不可抗力原因延迟签订合同的，应当自不可抗力事由消除之日起5个工作日内完成合同签订事宜。</w:t>
      </w:r>
    </w:p>
    <w:p w14:paraId="5FA58FDF">
      <w:pPr>
        <w:pStyle w:val="394"/>
        <w:snapToGrid w:val="0"/>
        <w:spacing w:before="0"/>
        <w:ind w:firstLine="480"/>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0888388E">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3009FE10">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78F8D3AE">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2.5如签订合同并生效后，供应商无故拒绝或延期，除按照合同条款处理外，列入不良行为记录一次，并给予通报。</w:t>
      </w:r>
    </w:p>
    <w:p w14:paraId="7EE5177A">
      <w:pPr>
        <w:pStyle w:val="394"/>
        <w:snapToGrid w:val="0"/>
        <w:spacing w:before="0" w:after="120"/>
        <w:ind w:firstLine="480"/>
        <w:rPr>
          <w:rFonts w:cs="仿宋_GB2312" w:asciiTheme="minorEastAsia" w:hAnsiTheme="minorEastAsia" w:eastAsiaTheme="minorEastAsia"/>
          <w:color w:val="000000" w:themeColor="text1"/>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6</w:t>
      </w:r>
      <w:r>
        <w:rPr>
          <w:rFonts w:cs="仿宋_GB2312" w:asciiTheme="minorEastAsia" w:hAnsiTheme="minorEastAsia" w:eastAsiaTheme="minorEastAsia"/>
          <w:color w:val="000000" w:themeColor="text1"/>
          <w14:textFill>
            <w14:solidFill>
              <w14:schemeClr w14:val="tx1"/>
            </w14:solidFill>
          </w14:textFill>
        </w:rPr>
        <w:t>采购合同由采购人与</w:t>
      </w:r>
      <w:r>
        <w:rPr>
          <w:rFonts w:hint="eastAsia" w:cs="仿宋_GB2312" w:asciiTheme="minorEastAsia" w:hAnsiTheme="minorEastAsia" w:eastAsiaTheme="minorEastAsia"/>
          <w:color w:val="000000" w:themeColor="text1"/>
          <w14:textFill>
            <w14:solidFill>
              <w14:schemeClr w14:val="tx1"/>
            </w14:solidFill>
          </w14:textFill>
        </w:rPr>
        <w:t>成交</w:t>
      </w:r>
      <w:r>
        <w:rPr>
          <w:rFonts w:cs="仿宋_GB2312" w:asciiTheme="minorEastAsia" w:hAnsiTheme="minorEastAsia" w:eastAsiaTheme="minorEastAsia"/>
          <w:color w:val="000000" w:themeColor="text1"/>
          <w14:textFill>
            <w14:solidFill>
              <w14:schemeClr w14:val="tx1"/>
            </w14:solidFill>
          </w14:textFill>
        </w:rPr>
        <w:t>供应商根据</w:t>
      </w:r>
      <w:r>
        <w:rPr>
          <w:rFonts w:hint="eastAsia" w:cs="仿宋_GB2312" w:asciiTheme="minorEastAsia" w:hAnsiTheme="minorEastAsia" w:eastAsiaTheme="minorEastAsia"/>
          <w:color w:val="000000" w:themeColor="text1"/>
          <w14:textFill>
            <w14:solidFill>
              <w14:schemeClr w14:val="tx1"/>
            </w14:solidFill>
          </w14:textFill>
        </w:rPr>
        <w:t>谈判文件、响应文件等内容通过政府采购电子交易平台在线签订，自动备案。</w:t>
      </w:r>
    </w:p>
    <w:p w14:paraId="27880391">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3．履约保证金</w:t>
      </w:r>
    </w:p>
    <w:p w14:paraId="3A9B5090">
      <w:pPr>
        <w:pStyle w:val="63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3.1</w:t>
      </w:r>
      <w:r>
        <w:rPr>
          <w:rFonts w:hint="eastAsia" w:ascii="宋体" w:hAnsi="宋体" w:cs="宋体"/>
          <w:color w:val="000000" w:themeColor="text1"/>
          <w:kern w:val="0"/>
          <w:sz w:val="24"/>
          <w:highlight w:val="none"/>
          <w14:textFill>
            <w14:solidFill>
              <w14:schemeClr w14:val="tx1"/>
            </w14:solidFill>
          </w14:textFill>
        </w:rPr>
        <w:t>乙方提供的履约保证金金额为：</w:t>
      </w:r>
      <w:r>
        <w:rPr>
          <w:rFonts w:hint="eastAsia" w:ascii="宋体" w:hAnsi="宋体" w:cs="宋体"/>
          <w:color w:val="000000" w:themeColor="text1"/>
          <w:kern w:val="0"/>
          <w:sz w:val="24"/>
          <w:highlight w:val="none"/>
          <w:lang w:val="en-US" w:eastAsia="zh-CN"/>
          <w14:textFill>
            <w14:solidFill>
              <w14:schemeClr w14:val="tx1"/>
            </w14:solidFill>
          </w14:textFill>
        </w:rPr>
        <w:t>按成交金额的2%，应由乙方在成交通知书发出之日起</w:t>
      </w:r>
      <w:r>
        <w:rPr>
          <w:rFonts w:hint="eastAsia"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lang w:val="en-US" w:eastAsia="zh-CN"/>
          <w14:textFill>
            <w14:solidFill>
              <w14:schemeClr w14:val="tx1"/>
            </w14:solidFill>
          </w14:textFill>
        </w:rPr>
        <w:t>个工作日内按规定的金额直接缴入采购单位账户。</w:t>
      </w:r>
    </w:p>
    <w:p w14:paraId="757B75B8">
      <w:pPr>
        <w:pStyle w:val="63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履约保证金递交方式：支票、汇票、本票或者金融、担保机构出具的保函等非现金方式。</w:t>
      </w:r>
    </w:p>
    <w:p w14:paraId="7B863046">
      <w:pPr>
        <w:pStyle w:val="63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履约保证金退付方式、时间及条件：由乙方向甲方提供《广西壮族自治区政府采购项目合同验收书》及《政府采购项目履约保证金退付意见书》，甲方在收到合格材料后五个工作日内办理退还手续（不计利息）。</w:t>
      </w:r>
    </w:p>
    <w:p w14:paraId="1740B44E">
      <w:pPr>
        <w:pStyle w:val="63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 xml:space="preserve">.4 </w:t>
      </w:r>
      <w:r>
        <w:rPr>
          <w:rFonts w:hint="eastAsia" w:ascii="宋体" w:hAnsi="宋体" w:cs="宋体"/>
          <w:color w:val="000000" w:themeColor="text1"/>
          <w:kern w:val="0"/>
          <w:sz w:val="24"/>
          <w:highlight w:val="none"/>
          <w14:textFill>
            <w14:solidFill>
              <w14:schemeClr w14:val="tx1"/>
            </w14:solidFill>
          </w14:textFill>
        </w:rPr>
        <w:t>履约保证金指定账户：</w:t>
      </w:r>
    </w:p>
    <w:p w14:paraId="738ADE50">
      <w:pPr>
        <w:pStyle w:val="63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开户名称：广西壮族自治区海洋环境监测中心站</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p>
    <w:p w14:paraId="1236C6C9">
      <w:pPr>
        <w:pStyle w:val="63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开户银行：中国工商银行股份有限公司北海市南珠支行</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p>
    <w:p w14:paraId="6E46707C">
      <w:pPr>
        <w:pStyle w:val="63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银行账号：2107510009264008273</w:t>
      </w:r>
    </w:p>
    <w:p w14:paraId="715241CD">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63F24F3C">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十三、验收</w:t>
      </w:r>
    </w:p>
    <w:p w14:paraId="6897A185">
      <w:pPr>
        <w:pStyle w:val="25"/>
        <w:spacing w:line="360" w:lineRule="auto"/>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1.验收</w:t>
      </w:r>
    </w:p>
    <w:p w14:paraId="50CEC8B0">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741712">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47BD9BB6">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5074A1">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FDAF14">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3577C1DC">
      <w:pPr>
        <w:snapToGrid w:val="0"/>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十四、电子交易活动的中止</w:t>
      </w:r>
    </w:p>
    <w:p w14:paraId="3EF7BA55">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电子交易活动的中止</w:t>
      </w:r>
    </w:p>
    <w:p w14:paraId="10DD4DFB">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AEAC333">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1.1电子交易平台发生故障而无法登录访问的； </w:t>
      </w:r>
    </w:p>
    <w:p w14:paraId="03655130">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1.2电子交易平台应用或数据库出现错误，不能进行正常操作的；</w:t>
      </w:r>
    </w:p>
    <w:p w14:paraId="58777FEF">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1.3电子交易平台发现严重安全漏洞，有潜在泄密危险的；</w:t>
      </w:r>
    </w:p>
    <w:p w14:paraId="2E026109">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1.4病毒发作导致不能进行正常操作的； </w:t>
      </w:r>
    </w:p>
    <w:p w14:paraId="62C7B37E">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1.5其他无法保证电子交易的公平、公正和安全的情况。</w:t>
      </w:r>
    </w:p>
    <w:p w14:paraId="52724D94">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b/>
          <w:color w:val="000000" w:themeColor="text1"/>
          <w:kern w:val="0"/>
          <w:sz w:val="24"/>
          <w14:textFill>
            <w14:solidFill>
              <w14:schemeClr w14:val="tx1"/>
            </w14:solidFill>
          </w14:textFill>
        </w:rPr>
        <w:t>2.</w:t>
      </w:r>
      <w:r>
        <w:rPr>
          <w:rFonts w:hint="eastAsia" w:cs="Helvetica" w:asciiTheme="minorEastAsia" w:hAnsiTheme="minorEastAsia" w:eastAsiaTheme="minorEastAsia"/>
          <w:color w:val="000000" w:themeColor="text1"/>
          <w:kern w:val="0"/>
          <w:sz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55" w:name="_Hlt75236101"/>
      <w:bookmarkEnd w:id="55"/>
      <w:bookmarkStart w:id="56" w:name="_Hlt75236011"/>
      <w:bookmarkEnd w:id="56"/>
      <w:bookmarkStart w:id="57" w:name="_Hlt68057669"/>
      <w:bookmarkEnd w:id="57"/>
      <w:bookmarkStart w:id="58" w:name="_Hlt68072990"/>
      <w:bookmarkEnd w:id="58"/>
      <w:bookmarkStart w:id="59" w:name="_Hlt74730295"/>
      <w:bookmarkEnd w:id="59"/>
      <w:bookmarkStart w:id="60" w:name="_Hlt74714665"/>
      <w:bookmarkEnd w:id="60"/>
      <w:bookmarkStart w:id="61" w:name="_Hlt74729768"/>
      <w:bookmarkEnd w:id="61"/>
      <w:bookmarkStart w:id="62" w:name="_Hlt74707468"/>
      <w:bookmarkEnd w:id="62"/>
      <w:bookmarkStart w:id="63" w:name="_Hlt75236290"/>
      <w:bookmarkEnd w:id="63"/>
      <w:bookmarkStart w:id="64" w:name="_Toc164416483"/>
      <w:bookmarkStart w:id="65" w:name="第三部分"/>
    </w:p>
    <w:p w14:paraId="016133E1">
      <w:pPr>
        <w:snapToGrid w:val="0"/>
        <w:spacing w:line="360" w:lineRule="auto"/>
        <w:ind w:left="120" w:leftChars="57" w:firstLine="482" w:firstLineChars="150"/>
        <w:jc w:val="center"/>
        <w:outlineLvl w:val="1"/>
        <w:rPr>
          <w:rFonts w:hint="eastAsia" w:ascii="宋体" w:hAnsi="宋体" w:cs="宋体"/>
          <w:b/>
          <w:color w:val="000000" w:themeColor="text1"/>
          <w:sz w:val="32"/>
          <w14:textFill>
            <w14:solidFill>
              <w14:schemeClr w14:val="tx1"/>
            </w14:solidFill>
          </w14:textFill>
        </w:rPr>
      </w:pPr>
    </w:p>
    <w:p w14:paraId="658582ED">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十五、代理费用的收取标准和方式</w:t>
      </w:r>
    </w:p>
    <w:p w14:paraId="4FE4DBAA">
      <w:pPr>
        <w:pStyle w:val="25"/>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1.代理费用的收取标准和方式（适用于有权收取代理费用的采购代理机构）</w:t>
      </w:r>
    </w:p>
    <w:p w14:paraId="6CD6F6ED">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1.1采购代理费支付方式：</w:t>
      </w:r>
    </w:p>
    <w:p w14:paraId="56CEAEEC">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本项目代理服务费由成交供应商一次性向采购代理机构支付。</w:t>
      </w:r>
    </w:p>
    <w:p w14:paraId="1219EB38">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1.2采购代理费收取标准：</w:t>
      </w:r>
    </w:p>
    <w:p w14:paraId="4CFC2461">
      <w:pPr>
        <w:pStyle w:val="633"/>
        <w:ind w:firstLine="480" w:firstLineChars="200"/>
        <w:rPr>
          <w:rFonts w:cs="宋体"/>
          <w:color w:val="000000" w:themeColor="text1"/>
          <w:kern w:val="2"/>
          <w:szCs w:val="24"/>
          <w14:textFill>
            <w14:solidFill>
              <w14:schemeClr w14:val="tx1"/>
            </w14:solidFill>
          </w14:textFill>
        </w:rPr>
      </w:pPr>
      <w:r>
        <w:rPr>
          <w:rFonts w:hint="eastAsia" w:ascii="MS Mincho" w:hAnsi="MS Mincho" w:eastAsia="宋体" w:cs="宋体"/>
          <w:color w:val="000000" w:themeColor="text1"/>
          <w:kern w:val="2"/>
          <w:szCs w:val="24"/>
          <w:lang w:eastAsia="zh-CN"/>
          <w14:textFill>
            <w14:solidFill>
              <w14:schemeClr w14:val="tx1"/>
            </w14:solidFill>
          </w14:textFill>
        </w:rPr>
        <w:t>以</w:t>
      </w:r>
      <w:r>
        <w:rPr>
          <w:rFonts w:hint="eastAsia" w:cs="宋体"/>
          <w:color w:val="000000" w:themeColor="text1"/>
          <w:kern w:val="2"/>
          <w:szCs w:val="24"/>
          <w14:textFill>
            <w14:solidFill>
              <w14:schemeClr w14:val="tx1"/>
            </w14:solidFill>
          </w14:textFill>
        </w:rPr>
        <w:t>成交金额为计费额，按代理服务收费标准</w:t>
      </w:r>
      <w:r>
        <w:rPr>
          <w:rFonts w:hint="eastAsia" w:cs="宋体"/>
          <w:color w:val="000000" w:themeColor="text1"/>
          <w:kern w:val="2"/>
          <w:szCs w:val="24"/>
          <w:lang w:eastAsia="zh-CN"/>
          <w14:textFill>
            <w14:solidFill>
              <w14:schemeClr w14:val="tx1"/>
            </w14:solidFill>
          </w14:textFill>
        </w:rPr>
        <w:t>（</w:t>
      </w:r>
      <w:r>
        <w:rPr>
          <w:rFonts w:hint="eastAsia" w:cs="宋体"/>
          <w:color w:val="000000" w:themeColor="text1"/>
          <w:kern w:val="2"/>
          <w:szCs w:val="24"/>
          <w14:textFill>
            <w14:solidFill>
              <w14:schemeClr w14:val="tx1"/>
            </w14:solidFill>
          </w14:textFill>
        </w:rPr>
        <w:t>货物类）采用差额定率累进法计算出收费基准价格收取。</w:t>
      </w:r>
    </w:p>
    <w:p w14:paraId="368FD703">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1.3采购代理费收取银行账户</w:t>
      </w:r>
    </w:p>
    <w:p w14:paraId="713391E5">
      <w:pPr>
        <w:pStyle w:val="633"/>
        <w:ind w:firstLine="480" w:firstLineChars="200"/>
        <w:rPr>
          <w:rFonts w:hint="eastAsia" w:ascii="宋体" w:hAnsi="宋体" w:cs="宋体"/>
          <w:snapToGrid w:val="0"/>
          <w:color w:val="000000" w:themeColor="text1"/>
          <w:kern w:val="28"/>
          <w:sz w:val="24"/>
          <w:szCs w:val="20"/>
          <w14:textFill>
            <w14:solidFill>
              <w14:schemeClr w14:val="tx1"/>
            </w14:solidFill>
          </w14:textFill>
        </w:rPr>
      </w:pPr>
      <w:r>
        <w:rPr>
          <w:rFonts w:hint="eastAsia" w:cs="宋体"/>
          <w:color w:val="000000" w:themeColor="text1"/>
          <w:kern w:val="2"/>
          <w:szCs w:val="24"/>
          <w14:textFill>
            <w14:solidFill>
              <w14:schemeClr w14:val="tx1"/>
            </w14:solidFill>
          </w14:textFill>
        </w:rPr>
        <w:t>开户名称：</w:t>
      </w:r>
      <w:r>
        <w:rPr>
          <w:rFonts w:hint="eastAsia" w:ascii="宋体" w:hAnsi="宋体" w:cs="宋体"/>
          <w:snapToGrid w:val="0"/>
          <w:color w:val="000000" w:themeColor="text1"/>
          <w:kern w:val="28"/>
          <w:sz w:val="24"/>
          <w:szCs w:val="20"/>
          <w:lang w:eastAsia="zh-CN"/>
          <w14:textFill>
            <w14:solidFill>
              <w14:schemeClr w14:val="tx1"/>
            </w14:solidFill>
          </w14:textFill>
        </w:rPr>
        <w:t>广西天麒工程管理有限公司</w:t>
      </w:r>
    </w:p>
    <w:p w14:paraId="4861F716">
      <w:pPr>
        <w:pStyle w:val="633"/>
        <w:ind w:firstLine="480" w:firstLineChars="200"/>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开户银行：中国建设银行股份有限公司北海广东路支行</w:t>
      </w:r>
    </w:p>
    <w:p w14:paraId="595D6F54">
      <w:pPr>
        <w:pStyle w:val="633"/>
        <w:ind w:firstLine="480" w:firstLineChars="200"/>
        <w:rPr>
          <w:rFonts w:cs="宋体"/>
          <w:color w:val="000000" w:themeColor="text1"/>
          <w:kern w:val="2"/>
          <w:szCs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银行账号：</w:t>
      </w:r>
      <w:r>
        <w:rPr>
          <w:rFonts w:hint="eastAsia" w:ascii="宋体" w:hAnsi="宋体" w:cs="宋体"/>
          <w:snapToGrid w:val="0"/>
          <w:color w:val="000000" w:themeColor="text1"/>
          <w:kern w:val="28"/>
          <w:sz w:val="24"/>
          <w:szCs w:val="20"/>
          <w:lang w:val="en-US" w:eastAsia="zh-CN"/>
          <w14:textFill>
            <w14:solidFill>
              <w14:schemeClr w14:val="tx1"/>
            </w14:solidFill>
          </w14:textFill>
        </w:rPr>
        <w:t>45050 16551 09000 00945</w:t>
      </w:r>
    </w:p>
    <w:p w14:paraId="5F5F6DD4">
      <w:pPr>
        <w:snapToGrid w:val="0"/>
        <w:spacing w:line="360" w:lineRule="auto"/>
        <w:ind w:firstLine="723" w:firstLineChars="200"/>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0AEDC5F9">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66" w:name="_Toc11982"/>
      <w:r>
        <w:rPr>
          <w:rFonts w:hint="eastAsia" w:cs="仿宋_GB2312" w:asciiTheme="minorEastAsia" w:hAnsiTheme="minorEastAsia" w:eastAsiaTheme="minorEastAsia"/>
          <w:b/>
          <w:color w:val="000000" w:themeColor="text1"/>
          <w:sz w:val="36"/>
          <w:szCs w:val="36"/>
          <w14:textFill>
            <w14:solidFill>
              <w14:schemeClr w14:val="tx1"/>
            </w14:solidFill>
          </w14:textFill>
        </w:rPr>
        <w:t>第四部分  采购需求</w:t>
      </w:r>
      <w:bookmarkEnd w:id="66"/>
    </w:p>
    <w:p w14:paraId="3C05CD1B">
      <w:pPr>
        <w:tabs>
          <w:tab w:val="left" w:pos="180"/>
          <w:tab w:val="left" w:pos="1620"/>
        </w:tabs>
        <w:adjustRightInd w:val="0"/>
        <w:snapToGrid w:val="0"/>
        <w:spacing w:line="360" w:lineRule="exact"/>
        <w:ind w:firstLine="420"/>
        <w:rPr>
          <w:rFonts w:hint="eastAsia" w:ascii="宋体" w:hAnsi="宋体" w:eastAsia="宋体" w:cs="宋体"/>
          <w:color w:val="000000"/>
          <w:sz w:val="24"/>
          <w:szCs w:val="24"/>
          <w:u w:val="single"/>
        </w:rPr>
      </w:pPr>
      <w:bookmarkStart w:id="67" w:name="_Toc30319"/>
      <w:r>
        <w:rPr>
          <w:rFonts w:hint="eastAsia" w:ascii="宋体" w:hAnsi="宋体" w:eastAsia="宋体" w:cs="宋体"/>
          <w:color w:val="000000"/>
          <w:sz w:val="24"/>
          <w:szCs w:val="24"/>
        </w:rPr>
        <w:t>一、项目</w:t>
      </w:r>
      <w:r>
        <w:rPr>
          <w:rFonts w:hint="eastAsia" w:ascii="宋体" w:hAnsi="宋体" w:eastAsia="宋体" w:cs="宋体"/>
          <w:color w:val="000000"/>
          <w:sz w:val="24"/>
          <w:szCs w:val="24"/>
          <w:lang w:eastAsia="zh-CN"/>
        </w:rPr>
        <w:t>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2025年专用设备购置</w:t>
      </w:r>
    </w:p>
    <w:p w14:paraId="20D7D5B3">
      <w:pPr>
        <w:tabs>
          <w:tab w:val="left" w:pos="180"/>
          <w:tab w:val="left" w:pos="1620"/>
        </w:tabs>
        <w:adjustRightInd w:val="0"/>
        <w:snapToGrid w:val="0"/>
        <w:spacing w:line="360" w:lineRule="exact"/>
        <w:ind w:firstLine="420"/>
        <w:rPr>
          <w:rFonts w:hint="eastAsia" w:ascii="宋体" w:hAnsi="宋体" w:eastAsia="宋体" w:cs="宋体"/>
          <w:color w:val="000000"/>
          <w:sz w:val="24"/>
          <w:szCs w:val="24"/>
          <w:u w:val="single"/>
        </w:rPr>
      </w:pPr>
      <w:r>
        <w:rPr>
          <w:rFonts w:hint="eastAsia" w:ascii="宋体" w:hAnsi="宋体" w:eastAsia="宋体" w:cs="宋体"/>
          <w:color w:val="000000"/>
          <w:sz w:val="24"/>
          <w:szCs w:val="24"/>
        </w:rPr>
        <w:t>二、项目</w:t>
      </w:r>
      <w:r>
        <w:rPr>
          <w:rFonts w:hint="eastAsia" w:ascii="宋体" w:hAnsi="宋体" w:eastAsia="宋体" w:cs="宋体"/>
          <w:color w:val="000000"/>
          <w:sz w:val="24"/>
          <w:szCs w:val="24"/>
          <w:lang w:eastAsia="zh-CN"/>
        </w:rPr>
        <w:t>类别</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货物类</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140B763D">
      <w:pPr>
        <w:tabs>
          <w:tab w:val="left" w:pos="180"/>
          <w:tab w:val="left" w:pos="1620"/>
        </w:tabs>
        <w:adjustRightInd w:val="0"/>
        <w:snapToGrid w:val="0"/>
        <w:spacing w:line="36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三、采购预算：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1365000.00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元，谈判供应商的最终报价超过项目总预算的，将导致其谈判被拒绝。</w:t>
      </w:r>
    </w:p>
    <w:p w14:paraId="35B57043">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注：如在谈判中有要求，请事先明确</w:t>
      </w:r>
      <w:r>
        <w:rPr>
          <w:rFonts w:hint="eastAsia" w:ascii="宋体" w:hAnsi="宋体" w:eastAsia="宋体" w:cs="宋体"/>
          <w:b/>
          <w:color w:val="000000"/>
          <w:kern w:val="0"/>
          <w:sz w:val="24"/>
          <w:szCs w:val="24"/>
        </w:rPr>
        <w:t>谈判小组根据与供应商谈判情况可能实质性变动的内容，包括采购需求中的技术、服务要求以及合同草案条款。如不列明，则谈判中不能实质性变动</w:t>
      </w:r>
      <w:r>
        <w:rPr>
          <w:rFonts w:hint="eastAsia" w:ascii="宋体" w:hAnsi="宋体" w:eastAsia="宋体" w:cs="宋体"/>
          <w:b/>
          <w:color w:val="000000"/>
          <w:sz w:val="24"/>
          <w:szCs w:val="24"/>
        </w:rPr>
        <w:t>竞争性</w:t>
      </w:r>
      <w:r>
        <w:rPr>
          <w:rFonts w:hint="eastAsia" w:ascii="宋体" w:hAnsi="宋体" w:eastAsia="宋体" w:cs="宋体"/>
          <w:b/>
          <w:color w:val="000000"/>
          <w:kern w:val="0"/>
          <w:sz w:val="24"/>
          <w:szCs w:val="24"/>
        </w:rPr>
        <w:t>谈判文件。</w:t>
      </w:r>
    </w:p>
    <w:p w14:paraId="1635FCE5">
      <w:pPr>
        <w:keepNext w:val="0"/>
        <w:keepLines w:val="0"/>
        <w:pageBreakBefore w:val="0"/>
        <w:widowControl w:val="0"/>
        <w:kinsoku/>
        <w:wordWrap/>
        <w:overflowPunct/>
        <w:topLinePunct w:val="0"/>
        <w:autoSpaceDE/>
        <w:autoSpaceDN/>
        <w:bidi w:val="0"/>
        <w:adjustRightInd w:val="0"/>
        <w:snapToGrid w:val="0"/>
        <w:spacing w:line="420" w:lineRule="exact"/>
        <w:ind w:firstLine="354" w:firstLineChars="147"/>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说明：</w:t>
      </w:r>
    </w:p>
    <w:p w14:paraId="4F43BB70">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1.表中的品牌型号、技术参数仅起参考作用，竞争性谈判供应商可选用其他品牌型号替代，但这些替代的产品要实质上相当于或优于参考品牌型号及其技术参数</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性能（配置）要求。否则，其谈判无效。</w:t>
      </w:r>
    </w:p>
    <w:p w14:paraId="28C8795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2.凡在“技术参数及性能（配置）要求”中表述为“标配”或“标准配置”的设备，竞争性谈判供应商应在谈判报价表中将其标配参数详细列明。</w:t>
      </w:r>
    </w:p>
    <w:p w14:paraId="1579666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bCs/>
          <w:color w:val="000000"/>
          <w:sz w:val="24"/>
          <w:szCs w:val="24"/>
        </w:rPr>
        <w:t>谈判时如果发现</w:t>
      </w:r>
      <w:r>
        <w:rPr>
          <w:rFonts w:hint="eastAsia" w:ascii="宋体" w:hAnsi="宋体" w:eastAsia="宋体" w:cs="宋体"/>
          <w:color w:val="000000"/>
          <w:sz w:val="24"/>
          <w:szCs w:val="24"/>
        </w:rPr>
        <w:t>表</w:t>
      </w:r>
      <w:r>
        <w:rPr>
          <w:rFonts w:hint="eastAsia" w:ascii="宋体" w:hAnsi="宋体" w:eastAsia="宋体" w:cs="宋体"/>
          <w:bCs/>
          <w:color w:val="000000"/>
          <w:sz w:val="24"/>
          <w:szCs w:val="24"/>
        </w:rPr>
        <w:t>中“技术参数及性能（配置）要求”中含有某一品牌特有的技术参数或限制要</w:t>
      </w:r>
      <w:r>
        <w:rPr>
          <w:rFonts w:hint="eastAsia" w:ascii="宋体" w:hAnsi="宋体" w:eastAsia="宋体" w:cs="宋体"/>
          <w:color w:val="000000"/>
          <w:sz w:val="24"/>
          <w:szCs w:val="24"/>
        </w:rPr>
        <w:t>求，谈判小组有权将其不作为实质性要求的技术参数。</w:t>
      </w:r>
    </w:p>
    <w:p w14:paraId="0663CEC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4.保修和服务要求：下述有要求的按下述要求；下述无要求的按国家规定实行三包。</w:t>
      </w:r>
    </w:p>
    <w:p w14:paraId="6181C7A4">
      <w:pPr>
        <w:keepNext w:val="0"/>
        <w:keepLines w:val="0"/>
        <w:pageBreakBefore w:val="0"/>
        <w:widowControl w:val="0"/>
        <w:kinsoku/>
        <w:wordWrap/>
        <w:overflowPunct/>
        <w:topLinePunct w:val="0"/>
        <w:autoSpaceDE/>
        <w:autoSpaceDN/>
        <w:bidi w:val="0"/>
        <w:adjustRightInd w:val="0"/>
        <w:snapToGrid w:val="0"/>
        <w:spacing w:line="42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t>5.</w:t>
      </w:r>
      <w:r>
        <w:rPr>
          <w:rFonts w:hint="eastAsia" w:ascii="宋体" w:hAnsi="宋体" w:eastAsia="宋体" w:cs="宋体"/>
          <w:bCs/>
          <w:color w:val="000000"/>
          <w:sz w:val="24"/>
          <w:szCs w:val="24"/>
        </w:rPr>
        <w:t>谈判报价包括货物、随配附件、备品备件、工具、运抵指定交货地点、现场安装调试、验收的各种费用和售后服务、税金及其他所有成本费用的总和。</w:t>
      </w:r>
    </w:p>
    <w:p w14:paraId="5646AC4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r>
        <w:rPr>
          <w:rFonts w:hint="eastAsia" w:ascii="宋体" w:hAnsi="宋体" w:eastAsia="宋体" w:cs="宋体"/>
          <w:b/>
          <w:bCs/>
          <w:color w:val="000000"/>
          <w:sz w:val="24"/>
          <w:szCs w:val="24"/>
        </w:rPr>
        <w:t>采购项目附件技术要求中标注“▲”的技术参数必须满足，否则将导致其谈判被拒绝</w:t>
      </w:r>
      <w:r>
        <w:rPr>
          <w:rFonts w:hint="eastAsia" w:ascii="宋体" w:hAnsi="宋体" w:eastAsia="宋体" w:cs="宋体"/>
          <w:bCs/>
          <w:color w:val="000000"/>
          <w:sz w:val="24"/>
          <w:szCs w:val="24"/>
        </w:rPr>
        <w:t>。</w:t>
      </w:r>
    </w:p>
    <w:p w14:paraId="5482DC9E">
      <w:pPr>
        <w:keepNext w:val="0"/>
        <w:keepLines w:val="0"/>
        <w:pageBreakBefore w:val="0"/>
        <w:widowControl w:val="0"/>
        <w:tabs>
          <w:tab w:val="left" w:pos="180"/>
          <w:tab w:val="left" w:pos="1620"/>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7.最终报价有时间限制，请竞争性谈判供应商事前准备好各项报价，以免耽误报价。</w:t>
      </w:r>
    </w:p>
    <w:tbl>
      <w:tblPr>
        <w:tblStyle w:val="61"/>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183"/>
        <w:gridCol w:w="1753"/>
        <w:gridCol w:w="1155"/>
        <w:gridCol w:w="1201"/>
        <w:gridCol w:w="1308"/>
      </w:tblGrid>
      <w:tr w14:paraId="2C13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37" w:type="dxa"/>
            <w:vAlign w:val="center"/>
          </w:tcPr>
          <w:p w14:paraId="1C0EF326">
            <w:pPr>
              <w:rPr>
                <w:rFonts w:hint="eastAsia" w:ascii="宋体" w:hAnsi="宋体" w:eastAsia="宋体" w:cs="宋体"/>
                <w:b/>
                <w:sz w:val="24"/>
                <w:szCs w:val="24"/>
              </w:rPr>
            </w:pPr>
            <w:r>
              <w:rPr>
                <w:rFonts w:hint="eastAsia" w:ascii="宋体" w:hAnsi="宋体" w:eastAsia="宋体" w:cs="宋体"/>
                <w:b/>
                <w:color w:val="000000" w:themeColor="text1"/>
                <w:sz w:val="36"/>
                <w:szCs w:val="36"/>
                <w14:textFill>
                  <w14:solidFill>
                    <w14:schemeClr w14:val="tx1"/>
                  </w14:solidFill>
                </w14:textFill>
              </w:rPr>
              <w:br w:type="page"/>
            </w:r>
            <w:r>
              <w:rPr>
                <w:rFonts w:hint="eastAsia" w:ascii="宋体" w:hAnsi="宋体" w:eastAsia="宋体" w:cs="宋体"/>
                <w:b/>
                <w:sz w:val="24"/>
                <w:szCs w:val="24"/>
              </w:rPr>
              <w:t>序号</w:t>
            </w:r>
          </w:p>
        </w:tc>
        <w:tc>
          <w:tcPr>
            <w:tcW w:w="2183" w:type="dxa"/>
            <w:vAlign w:val="center"/>
          </w:tcPr>
          <w:p w14:paraId="23170807">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标的名称</w:t>
            </w:r>
          </w:p>
        </w:tc>
        <w:tc>
          <w:tcPr>
            <w:tcW w:w="1753" w:type="dxa"/>
            <w:vAlign w:val="center"/>
          </w:tcPr>
          <w:p w14:paraId="77D2302D">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品目</w:t>
            </w:r>
          </w:p>
          <w:p w14:paraId="1ED875DD">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分类编码</w:t>
            </w:r>
          </w:p>
        </w:tc>
        <w:tc>
          <w:tcPr>
            <w:tcW w:w="1155" w:type="dxa"/>
            <w:vAlign w:val="center"/>
          </w:tcPr>
          <w:p w14:paraId="0B8A42A1">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计量</w:t>
            </w:r>
          </w:p>
          <w:p w14:paraId="1EBEFBA4">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201" w:type="dxa"/>
            <w:vAlign w:val="center"/>
          </w:tcPr>
          <w:p w14:paraId="764CB9A1">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308" w:type="dxa"/>
            <w:vAlign w:val="center"/>
          </w:tcPr>
          <w:p w14:paraId="0ABE2FEC">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是否进口</w:t>
            </w:r>
          </w:p>
        </w:tc>
      </w:tr>
      <w:tr w14:paraId="2C4D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37" w:type="dxa"/>
            <w:vAlign w:val="center"/>
          </w:tcPr>
          <w:p w14:paraId="3BF96A66">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1</w:t>
            </w:r>
          </w:p>
        </w:tc>
        <w:tc>
          <w:tcPr>
            <w:tcW w:w="2183" w:type="dxa"/>
            <w:vAlign w:val="center"/>
          </w:tcPr>
          <w:p w14:paraId="21AC811A">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微波消解仪</w:t>
            </w:r>
          </w:p>
        </w:tc>
        <w:tc>
          <w:tcPr>
            <w:tcW w:w="1753" w:type="dxa"/>
            <w:vAlign w:val="center"/>
          </w:tcPr>
          <w:p w14:paraId="507043AF">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A02109900</w:t>
            </w:r>
          </w:p>
        </w:tc>
        <w:tc>
          <w:tcPr>
            <w:tcW w:w="1155" w:type="dxa"/>
            <w:vAlign w:val="center"/>
          </w:tcPr>
          <w:p w14:paraId="39A6873D">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台</w:t>
            </w:r>
          </w:p>
        </w:tc>
        <w:tc>
          <w:tcPr>
            <w:tcW w:w="1201" w:type="dxa"/>
            <w:vAlign w:val="center"/>
          </w:tcPr>
          <w:p w14:paraId="1A4C43EB">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1</w:t>
            </w:r>
          </w:p>
        </w:tc>
        <w:tc>
          <w:tcPr>
            <w:tcW w:w="1308" w:type="dxa"/>
            <w:vAlign w:val="center"/>
          </w:tcPr>
          <w:p w14:paraId="44E26C35">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否</w:t>
            </w:r>
          </w:p>
        </w:tc>
      </w:tr>
      <w:tr w14:paraId="37C2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37" w:type="dxa"/>
            <w:vAlign w:val="center"/>
          </w:tcPr>
          <w:p w14:paraId="0B552C63">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2</w:t>
            </w:r>
          </w:p>
        </w:tc>
        <w:tc>
          <w:tcPr>
            <w:tcW w:w="2183" w:type="dxa"/>
            <w:vAlign w:val="center"/>
          </w:tcPr>
          <w:p w14:paraId="33870211">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营养盐在线分析仪</w:t>
            </w:r>
          </w:p>
        </w:tc>
        <w:tc>
          <w:tcPr>
            <w:tcW w:w="1753" w:type="dxa"/>
            <w:vAlign w:val="center"/>
          </w:tcPr>
          <w:p w14:paraId="344B0E3E">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A02440400</w:t>
            </w:r>
          </w:p>
        </w:tc>
        <w:tc>
          <w:tcPr>
            <w:tcW w:w="1155" w:type="dxa"/>
            <w:vAlign w:val="center"/>
          </w:tcPr>
          <w:p w14:paraId="24A03CA1">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台</w:t>
            </w:r>
          </w:p>
        </w:tc>
        <w:tc>
          <w:tcPr>
            <w:tcW w:w="1201" w:type="dxa"/>
            <w:vAlign w:val="center"/>
          </w:tcPr>
          <w:p w14:paraId="26EF7D64">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1</w:t>
            </w:r>
          </w:p>
        </w:tc>
        <w:tc>
          <w:tcPr>
            <w:tcW w:w="1308" w:type="dxa"/>
            <w:vAlign w:val="center"/>
          </w:tcPr>
          <w:p w14:paraId="492C08E1">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否</w:t>
            </w:r>
          </w:p>
        </w:tc>
      </w:tr>
      <w:tr w14:paraId="139C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37" w:type="dxa"/>
            <w:vAlign w:val="center"/>
          </w:tcPr>
          <w:p w14:paraId="66EDF469">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3</w:t>
            </w:r>
          </w:p>
        </w:tc>
        <w:tc>
          <w:tcPr>
            <w:tcW w:w="2183" w:type="dxa"/>
            <w:vAlign w:val="center"/>
          </w:tcPr>
          <w:p w14:paraId="534200C0">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碳元素分析仪</w:t>
            </w:r>
          </w:p>
        </w:tc>
        <w:tc>
          <w:tcPr>
            <w:tcW w:w="1753" w:type="dxa"/>
            <w:vAlign w:val="center"/>
          </w:tcPr>
          <w:p w14:paraId="5040BB03">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A02100499</w:t>
            </w:r>
          </w:p>
        </w:tc>
        <w:tc>
          <w:tcPr>
            <w:tcW w:w="1155" w:type="dxa"/>
            <w:vAlign w:val="center"/>
          </w:tcPr>
          <w:p w14:paraId="167952C5">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台</w:t>
            </w:r>
          </w:p>
        </w:tc>
        <w:tc>
          <w:tcPr>
            <w:tcW w:w="1201" w:type="dxa"/>
            <w:vAlign w:val="center"/>
          </w:tcPr>
          <w:p w14:paraId="79406A8D">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1</w:t>
            </w:r>
          </w:p>
        </w:tc>
        <w:tc>
          <w:tcPr>
            <w:tcW w:w="1308" w:type="dxa"/>
            <w:vAlign w:val="center"/>
          </w:tcPr>
          <w:p w14:paraId="5368A9B9">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否</w:t>
            </w:r>
          </w:p>
        </w:tc>
      </w:tr>
      <w:tr w14:paraId="7D28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37" w:type="dxa"/>
            <w:vAlign w:val="center"/>
          </w:tcPr>
          <w:p w14:paraId="4674D2ED">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4</w:t>
            </w:r>
          </w:p>
        </w:tc>
        <w:tc>
          <w:tcPr>
            <w:tcW w:w="2183" w:type="dxa"/>
            <w:vAlign w:val="center"/>
          </w:tcPr>
          <w:p w14:paraId="5E83FC27">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温盐深仪</w:t>
            </w:r>
          </w:p>
        </w:tc>
        <w:tc>
          <w:tcPr>
            <w:tcW w:w="1753" w:type="dxa"/>
            <w:vAlign w:val="center"/>
          </w:tcPr>
          <w:p w14:paraId="7A5F73E2">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A02100404</w:t>
            </w:r>
          </w:p>
        </w:tc>
        <w:tc>
          <w:tcPr>
            <w:tcW w:w="1155" w:type="dxa"/>
            <w:vAlign w:val="center"/>
          </w:tcPr>
          <w:p w14:paraId="56718618">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台</w:t>
            </w:r>
          </w:p>
        </w:tc>
        <w:tc>
          <w:tcPr>
            <w:tcW w:w="1201" w:type="dxa"/>
            <w:vAlign w:val="center"/>
          </w:tcPr>
          <w:p w14:paraId="70B4E29C">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1</w:t>
            </w:r>
          </w:p>
        </w:tc>
        <w:tc>
          <w:tcPr>
            <w:tcW w:w="1308" w:type="dxa"/>
            <w:vAlign w:val="center"/>
          </w:tcPr>
          <w:p w14:paraId="4A13CFA6">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否</w:t>
            </w:r>
          </w:p>
        </w:tc>
      </w:tr>
      <w:tr w14:paraId="2487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837" w:type="dxa"/>
            <w:vAlign w:val="center"/>
          </w:tcPr>
          <w:p w14:paraId="0119C032">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5</w:t>
            </w:r>
          </w:p>
        </w:tc>
        <w:tc>
          <w:tcPr>
            <w:tcW w:w="2183" w:type="dxa"/>
            <w:vAlign w:val="center"/>
          </w:tcPr>
          <w:p w14:paraId="39A4D502">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监测采样手持终端</w:t>
            </w:r>
          </w:p>
        </w:tc>
        <w:tc>
          <w:tcPr>
            <w:tcW w:w="1753" w:type="dxa"/>
            <w:vAlign w:val="center"/>
          </w:tcPr>
          <w:p w14:paraId="0486FF98">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A02010109</w:t>
            </w:r>
          </w:p>
        </w:tc>
        <w:tc>
          <w:tcPr>
            <w:tcW w:w="1155" w:type="dxa"/>
            <w:vAlign w:val="center"/>
          </w:tcPr>
          <w:p w14:paraId="092A636C">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台</w:t>
            </w:r>
          </w:p>
        </w:tc>
        <w:tc>
          <w:tcPr>
            <w:tcW w:w="1201" w:type="dxa"/>
            <w:vAlign w:val="center"/>
          </w:tcPr>
          <w:p w14:paraId="2A2D93C6">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20</w:t>
            </w:r>
          </w:p>
        </w:tc>
        <w:tc>
          <w:tcPr>
            <w:tcW w:w="1308" w:type="dxa"/>
            <w:vAlign w:val="center"/>
          </w:tcPr>
          <w:p w14:paraId="3E918693">
            <w:pPr>
              <w:adjustRightInd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否</w:t>
            </w:r>
          </w:p>
        </w:tc>
      </w:tr>
    </w:tbl>
    <w:p w14:paraId="065C4EAF">
      <w:pPr>
        <w:spacing w:line="5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四</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技术商务要求</w:t>
      </w:r>
    </w:p>
    <w:p w14:paraId="1966CF57">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（1）技术要求</w:t>
      </w:r>
    </w:p>
    <w:p w14:paraId="757D6710">
      <w:pPr>
        <w:spacing w:line="400" w:lineRule="exact"/>
        <w:jc w:val="center"/>
        <w:rPr>
          <w:rFonts w:hint="eastAsia" w:ascii="宋体" w:hAnsi="宋体" w:eastAsia="宋体" w:cs="宋体"/>
          <w:bCs/>
          <w:kern w:val="0"/>
          <w:sz w:val="24"/>
          <w:szCs w:val="24"/>
        </w:rPr>
        <w:sectPr>
          <w:footerReference r:id="rId3" w:type="default"/>
          <w:pgSz w:w="11906" w:h="16838"/>
          <w:pgMar w:top="1440" w:right="1417" w:bottom="1440" w:left="1417" w:header="851" w:footer="992" w:gutter="0"/>
          <w:cols w:space="720" w:num="1"/>
          <w:docGrid w:type="lines" w:linePitch="319" w:charSpace="0"/>
        </w:sectPr>
      </w:pPr>
    </w:p>
    <w:tbl>
      <w:tblPr>
        <w:tblStyle w:val="61"/>
        <w:tblW w:w="13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52"/>
        <w:gridCol w:w="8790"/>
        <w:gridCol w:w="952"/>
        <w:gridCol w:w="1113"/>
        <w:gridCol w:w="1164"/>
      </w:tblGrid>
      <w:tr w14:paraId="44EA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797" w:type="dxa"/>
            <w:gridSpan w:val="6"/>
            <w:shd w:val="clear" w:color="000000" w:fill="FFFFFF"/>
            <w:vAlign w:val="center"/>
          </w:tcPr>
          <w:p w14:paraId="319FFB05">
            <w:pPr>
              <w:spacing w:line="400" w:lineRule="exact"/>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技术要求</w:t>
            </w:r>
          </w:p>
        </w:tc>
      </w:tr>
      <w:tr w14:paraId="00D6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26" w:type="dxa"/>
            <w:shd w:val="clear" w:color="000000" w:fill="FFFFFF"/>
            <w:vAlign w:val="center"/>
          </w:tcPr>
          <w:p w14:paraId="16E1CED3">
            <w:pPr>
              <w:spacing w:line="4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项目</w:t>
            </w:r>
          </w:p>
          <w:p w14:paraId="5A252C45">
            <w:pPr>
              <w:spacing w:line="400" w:lineRule="exact"/>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rPr>
              <w:t>名称</w:t>
            </w:r>
          </w:p>
        </w:tc>
        <w:tc>
          <w:tcPr>
            <w:tcW w:w="952" w:type="dxa"/>
            <w:shd w:val="clear" w:color="000000" w:fill="FFFFFF"/>
            <w:vAlign w:val="center"/>
          </w:tcPr>
          <w:p w14:paraId="5714DD21">
            <w:pPr>
              <w:spacing w:line="400" w:lineRule="exact"/>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rPr>
              <w:t>仪器名称</w:t>
            </w:r>
          </w:p>
        </w:tc>
        <w:tc>
          <w:tcPr>
            <w:tcW w:w="8790" w:type="dxa"/>
            <w:shd w:val="clear" w:color="000000" w:fill="FFFFFF"/>
            <w:vAlign w:val="center"/>
          </w:tcPr>
          <w:p w14:paraId="49DEA721">
            <w:pPr>
              <w:spacing w:line="400" w:lineRule="exact"/>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rPr>
              <w:t>仪器具体用途</w:t>
            </w:r>
          </w:p>
        </w:tc>
        <w:tc>
          <w:tcPr>
            <w:tcW w:w="952" w:type="dxa"/>
            <w:shd w:val="clear" w:color="000000" w:fill="FFFFFF"/>
            <w:vAlign w:val="center"/>
          </w:tcPr>
          <w:p w14:paraId="112F411B">
            <w:pPr>
              <w:spacing w:line="4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数量</w:t>
            </w:r>
          </w:p>
          <w:p w14:paraId="6BC8BA01">
            <w:pPr>
              <w:spacing w:line="400" w:lineRule="exact"/>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台</w:t>
            </w:r>
            <w:r>
              <w:rPr>
                <w:rFonts w:hint="eastAsia" w:ascii="宋体" w:hAnsi="宋体" w:eastAsia="宋体" w:cs="宋体"/>
                <w:bCs/>
                <w:kern w:val="0"/>
                <w:sz w:val="24"/>
                <w:szCs w:val="24"/>
              </w:rPr>
              <w:t>）</w:t>
            </w:r>
          </w:p>
        </w:tc>
        <w:tc>
          <w:tcPr>
            <w:tcW w:w="1113" w:type="dxa"/>
            <w:shd w:val="clear" w:color="000000" w:fill="FFFFFF"/>
            <w:vAlign w:val="center"/>
          </w:tcPr>
          <w:p w14:paraId="746E9FF3">
            <w:pPr>
              <w:spacing w:line="4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单价</w:t>
            </w:r>
          </w:p>
          <w:p w14:paraId="13518469">
            <w:pPr>
              <w:spacing w:line="400" w:lineRule="exact"/>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rPr>
              <w:t>（万元）</w:t>
            </w:r>
          </w:p>
        </w:tc>
        <w:tc>
          <w:tcPr>
            <w:tcW w:w="1164" w:type="dxa"/>
            <w:shd w:val="clear" w:color="000000" w:fill="FFFFFF"/>
            <w:vAlign w:val="center"/>
          </w:tcPr>
          <w:p w14:paraId="63BD708D">
            <w:pPr>
              <w:spacing w:line="40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小计</w:t>
            </w:r>
          </w:p>
          <w:p w14:paraId="6AA33E63">
            <w:pPr>
              <w:spacing w:line="400" w:lineRule="exact"/>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rPr>
              <w:t>（万元）</w:t>
            </w:r>
          </w:p>
        </w:tc>
      </w:tr>
      <w:tr w14:paraId="78B7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8" w:hRule="atLeast"/>
          <w:jc w:val="center"/>
        </w:trPr>
        <w:tc>
          <w:tcPr>
            <w:tcW w:w="826" w:type="dxa"/>
            <w:vMerge w:val="restart"/>
            <w:shd w:val="clear" w:color="000000" w:fill="FFFFFF"/>
            <w:vAlign w:val="center"/>
          </w:tcPr>
          <w:p w14:paraId="03F988D8">
            <w:pPr>
              <w:adjustRightInd w:val="0"/>
              <w:snapToGrid w:val="0"/>
              <w:spacing w:line="400" w:lineRule="exact"/>
              <w:jc w:val="center"/>
              <w:rPr>
                <w:rFonts w:hint="eastAsia" w:ascii="宋体" w:hAnsi="宋体" w:eastAsia="宋体" w:cs="宋体"/>
                <w:kern w:val="0"/>
                <w:sz w:val="24"/>
                <w:szCs w:val="24"/>
                <w:lang w:eastAsia="zh-CN"/>
              </w:rPr>
            </w:pPr>
            <w:r>
              <w:rPr>
                <w:rFonts w:hint="eastAsia" w:ascii="宋体" w:hAnsi="宋体" w:eastAsia="宋体" w:cs="宋体"/>
                <w:sz w:val="24"/>
                <w:szCs w:val="24"/>
                <w:lang w:eastAsia="zh-CN" w:bidi="ar"/>
              </w:rPr>
              <w:t>2025年专用设备购置</w:t>
            </w:r>
          </w:p>
        </w:tc>
        <w:tc>
          <w:tcPr>
            <w:tcW w:w="952" w:type="dxa"/>
            <w:shd w:val="clear" w:color="auto" w:fill="auto"/>
            <w:vAlign w:val="center"/>
          </w:tcPr>
          <w:p w14:paraId="3CF2837C">
            <w:pPr>
              <w:widowControl w:val="0"/>
              <w:tabs>
                <w:tab w:val="center" w:pos="4153"/>
                <w:tab w:val="right" w:pos="8306"/>
              </w:tabs>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bidi="ar"/>
              </w:rPr>
              <w:t>微波消解仪</w:t>
            </w:r>
          </w:p>
        </w:tc>
        <w:tc>
          <w:tcPr>
            <w:tcW w:w="8790" w:type="dxa"/>
            <w:shd w:val="clear" w:color="000000" w:fill="FFFFFF"/>
            <w:vAlign w:val="center"/>
          </w:tcPr>
          <w:p w14:paraId="34F457F4">
            <w:pPr>
              <w:numPr>
                <w:ilvl w:val="0"/>
                <w:numId w:val="7"/>
              </w:num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设备用途：</w:t>
            </w:r>
          </w:p>
          <w:p w14:paraId="2A26B926">
            <w:pPr>
              <w:pStyle w:val="39"/>
              <w:spacing w:line="400" w:lineRule="exact"/>
              <w:rPr>
                <w:rFonts w:hint="eastAsia" w:ascii="宋体" w:hAnsi="宋体" w:eastAsia="宋体" w:cs="宋体"/>
                <w:sz w:val="24"/>
                <w:szCs w:val="24"/>
                <w:lang w:bidi="ar"/>
              </w:rPr>
            </w:pPr>
            <w:r>
              <w:rPr>
                <w:rFonts w:hint="eastAsia" w:ascii="宋体" w:hAnsi="宋体" w:eastAsia="宋体" w:cs="宋体"/>
                <w:sz w:val="24"/>
                <w:szCs w:val="24"/>
                <w:lang w:bidi="ar"/>
              </w:rPr>
              <w:t>超级微波消解工作站是专为金属元素分析前处理设计的，主要用于元素分析样品的消解。</w:t>
            </w:r>
          </w:p>
          <w:p w14:paraId="7E96CA97">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二、基本要求</w:t>
            </w:r>
          </w:p>
          <w:p w14:paraId="2119E5B6">
            <w:pPr>
              <w:pStyle w:val="72"/>
              <w:keepNext w:val="0"/>
              <w:keepLines w:val="0"/>
              <w:pageBreakBefore w:val="0"/>
              <w:widowControl w:val="0"/>
              <w:kinsoku/>
              <w:wordWrap/>
              <w:overflowPunct/>
              <w:topLinePunct w:val="0"/>
              <w:autoSpaceDE/>
              <w:autoSpaceDN/>
              <w:bidi w:val="0"/>
              <w:adjustRightInd/>
              <w:snapToGrid/>
              <w:spacing w:beforeLines="0" w:afterLines="0" w:line="279" w:lineRule="auto"/>
              <w:ind w:firstLine="0" w:firstLineChars="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1.通过微波加热，实现了超高温度，超高压力下样品的高效消解。单反应腔设计，微波直接从底部发射到腔体内，放置在该反应腔体的所有样品是严格在相同的温度和压力下进行消解。</w:t>
            </w:r>
          </w:p>
          <w:p w14:paraId="497FC4C4">
            <w:pPr>
              <w:pStyle w:val="72"/>
              <w:keepNext w:val="0"/>
              <w:keepLines w:val="0"/>
              <w:pageBreakBefore w:val="0"/>
              <w:widowControl w:val="0"/>
              <w:kinsoku/>
              <w:wordWrap/>
              <w:overflowPunct/>
              <w:topLinePunct w:val="0"/>
              <w:autoSpaceDE/>
              <w:autoSpaceDN/>
              <w:bidi w:val="0"/>
              <w:adjustRightInd/>
              <w:snapToGrid/>
              <w:spacing w:beforeLines="0" w:afterLines="0" w:line="279" w:lineRule="auto"/>
              <w:ind w:firstLine="0" w:firstLineChars="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▲2.温度：≥300℃；</w:t>
            </w:r>
          </w:p>
          <w:p w14:paraId="78853D05">
            <w:pPr>
              <w:pStyle w:val="72"/>
              <w:keepNext w:val="0"/>
              <w:keepLines w:val="0"/>
              <w:pageBreakBefore w:val="0"/>
              <w:widowControl w:val="0"/>
              <w:kinsoku/>
              <w:wordWrap/>
              <w:overflowPunct/>
              <w:topLinePunct w:val="0"/>
              <w:autoSpaceDE/>
              <w:autoSpaceDN/>
              <w:bidi w:val="0"/>
              <w:adjustRightInd/>
              <w:snapToGrid/>
              <w:spacing w:beforeLines="0" w:afterLines="0" w:line="279" w:lineRule="auto"/>
              <w:ind w:firstLine="0" w:firstLineChars="0"/>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▲3.压力：≥20MPa；</w:t>
            </w:r>
          </w:p>
          <w:p w14:paraId="11E4101D">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三、技术参数及性能</w:t>
            </w:r>
          </w:p>
          <w:p w14:paraId="43D4AE8D">
            <w:pPr>
              <w:tabs>
                <w:tab w:val="left" w:pos="3227"/>
              </w:tabs>
              <w:adjustRightInd w:val="0"/>
              <w:snapToGrid w:val="0"/>
              <w:spacing w:line="400" w:lineRule="exact"/>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▲1.微波功率：≥1200W；</w:t>
            </w:r>
          </w:p>
          <w:p w14:paraId="7F25B5A2">
            <w:pPr>
              <w:tabs>
                <w:tab w:val="left" w:pos="3227"/>
              </w:tabs>
              <w:adjustRightInd w:val="0"/>
              <w:snapToGrid w:val="0"/>
              <w:spacing w:line="400" w:lineRule="exact"/>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2.腔体体积：≥1L；</w:t>
            </w:r>
          </w:p>
          <w:p w14:paraId="297F1F5A">
            <w:pPr>
              <w:tabs>
                <w:tab w:val="left" w:pos="3227"/>
              </w:tabs>
              <w:adjustRightInd w:val="0"/>
              <w:snapToGrid w:val="0"/>
              <w:spacing w:line="400" w:lineRule="exact"/>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3.单腔最大处理量：≥24个；</w:t>
            </w:r>
          </w:p>
          <w:p w14:paraId="14917B2D">
            <w:pPr>
              <w:tabs>
                <w:tab w:val="left" w:pos="3227"/>
              </w:tabs>
              <w:adjustRightInd w:val="0"/>
              <w:snapToGrid w:val="0"/>
              <w:spacing w:line="400" w:lineRule="exact"/>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4.支持至少四种不同规格的消解罐；</w:t>
            </w:r>
          </w:p>
          <w:p w14:paraId="728C550F">
            <w:pPr>
              <w:tabs>
                <w:tab w:val="left" w:pos="3227"/>
              </w:tabs>
              <w:adjustRightInd w:val="0"/>
              <w:snapToGrid w:val="0"/>
              <w:spacing w:line="400" w:lineRule="exact"/>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5.配有安全防护门；支持一键消解功能；支持内衬罐提升；自动解锁炉腔；</w:t>
            </w:r>
          </w:p>
          <w:p w14:paraId="44DB463C">
            <w:pPr>
              <w:tabs>
                <w:tab w:val="left" w:pos="3227"/>
              </w:tabs>
              <w:adjustRightInd w:val="0"/>
              <w:snapToGrid w:val="0"/>
              <w:spacing w:line="400" w:lineRule="exact"/>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▲6.控温精度≤0.1℃，预加压优于40-90bar，可显示温度、压力、功率及曲线；</w:t>
            </w:r>
          </w:p>
          <w:p w14:paraId="2EF0B4C6">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color w:val="auto"/>
                <w:kern w:val="2"/>
                <w:sz w:val="24"/>
                <w:szCs w:val="24"/>
                <w:lang w:val="en-US" w:eastAsia="zh-CN" w:bidi="ar"/>
              </w:rPr>
              <w:t>7.配备外置冷却系统，制冷功率≥1000W，冷却系统控温精度≤0.1℃，冷却温度：≤35℃。</w:t>
            </w:r>
          </w:p>
          <w:p w14:paraId="56BEA480">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四、验证方式</w:t>
            </w:r>
          </w:p>
          <w:p w14:paraId="5F4A09A9">
            <w:pPr>
              <w:tabs>
                <w:tab w:val="left" w:pos="3227"/>
              </w:tabs>
              <w:adjustRightInd w:val="0"/>
              <w:snapToGrid w:val="0"/>
              <w:spacing w:line="400" w:lineRule="exact"/>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1.现场验证各项参数指标是否达到上述需求；</w:t>
            </w:r>
          </w:p>
          <w:p w14:paraId="7D66EB55">
            <w:pPr>
              <w:tabs>
                <w:tab w:val="left" w:pos="3227"/>
              </w:tabs>
              <w:adjustRightInd w:val="0"/>
              <w:snapToGrid w:val="0"/>
              <w:spacing w:line="400" w:lineRule="exact"/>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2.样品消解完全，或者消解效果达到相关标准要求。</w:t>
            </w:r>
          </w:p>
          <w:p w14:paraId="1B7021C3">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五、配置清单</w:t>
            </w:r>
          </w:p>
          <w:p w14:paraId="532136A0">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1、微波消解主机1套</w:t>
            </w:r>
          </w:p>
          <w:p w14:paraId="2A6F20B7">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2、消解控制器1套</w:t>
            </w:r>
          </w:p>
          <w:p w14:paraId="57F6DFB5">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3、循环冷却水机 1套</w:t>
            </w:r>
          </w:p>
          <w:p w14:paraId="04311B1A">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4、消解管支架 1套：≥15位</w:t>
            </w:r>
          </w:p>
          <w:p w14:paraId="179FE6F5">
            <w:pPr>
              <w:tabs>
                <w:tab w:val="left" w:pos="3227"/>
              </w:tabs>
              <w:adjustRightInd w:val="0"/>
              <w:snapToGrid w:val="0"/>
              <w:spacing w:line="400" w:lineRule="exact"/>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5、配套</w:t>
            </w:r>
            <w:r>
              <w:rPr>
                <w:rFonts w:hint="eastAsia" w:ascii="宋体" w:hAnsi="宋体" w:eastAsia="宋体" w:cs="宋体"/>
                <w:sz w:val="24"/>
                <w:szCs w:val="24"/>
                <w:highlight w:val="none"/>
                <w:lang w:val="en-US" w:eastAsia="zh-CN" w:bidi="ar"/>
              </w:rPr>
              <w:t>15ml</w:t>
            </w:r>
            <w:r>
              <w:rPr>
                <w:rFonts w:hint="eastAsia" w:ascii="宋体" w:hAnsi="宋体" w:eastAsia="宋体" w:cs="宋体"/>
                <w:sz w:val="24"/>
                <w:szCs w:val="24"/>
                <w:highlight w:val="none"/>
                <w:lang w:bidi="ar"/>
              </w:rPr>
              <w:t>特氟龙消解管</w:t>
            </w:r>
            <w:r>
              <w:rPr>
                <w:rFonts w:hint="eastAsia" w:ascii="宋体" w:hAnsi="宋体" w:eastAsia="宋体" w:cs="宋体"/>
                <w:sz w:val="24"/>
                <w:szCs w:val="24"/>
                <w:highlight w:val="none"/>
                <w:lang w:val="en-US" w:eastAsia="zh-CN" w:bidi="ar"/>
              </w:rPr>
              <w:t>36</w:t>
            </w:r>
            <w:r>
              <w:rPr>
                <w:rFonts w:hint="eastAsia" w:ascii="宋体" w:hAnsi="宋体" w:eastAsia="宋体" w:cs="宋体"/>
                <w:sz w:val="24"/>
                <w:szCs w:val="24"/>
                <w:highlight w:val="none"/>
                <w:lang w:bidi="ar"/>
              </w:rPr>
              <w:t xml:space="preserve">支1套 </w:t>
            </w:r>
          </w:p>
          <w:p w14:paraId="1066E5A8">
            <w:pPr>
              <w:tabs>
                <w:tab w:val="left" w:pos="3227"/>
              </w:tabs>
              <w:adjustRightInd w:val="0"/>
              <w:snapToGrid w:val="0"/>
              <w:spacing w:line="400" w:lineRule="exact"/>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 xml:space="preserve">、多孔微机温控赶酸装置（≥36孔）1套 </w:t>
            </w:r>
          </w:p>
          <w:p w14:paraId="4F6D0EC4">
            <w:pPr>
              <w:pStyle w:val="39"/>
              <w:spacing w:line="400" w:lineRule="exact"/>
              <w:rPr>
                <w:rFonts w:hint="eastAsia" w:ascii="宋体" w:hAnsi="宋体" w:eastAsia="宋体" w:cs="宋体"/>
                <w:b/>
                <w:bCs/>
                <w:sz w:val="24"/>
                <w:szCs w:val="24"/>
              </w:rPr>
            </w:pPr>
            <w:r>
              <w:rPr>
                <w:rFonts w:hint="eastAsia" w:ascii="宋体" w:hAnsi="宋体" w:eastAsia="宋体" w:cs="宋体"/>
                <w:b/>
                <w:bCs/>
                <w:sz w:val="24"/>
                <w:szCs w:val="24"/>
              </w:rPr>
              <w:t>六、其它要求</w:t>
            </w:r>
          </w:p>
          <w:p w14:paraId="370C2033">
            <w:pPr>
              <w:tabs>
                <w:tab w:val="left" w:pos="3227"/>
              </w:tabs>
              <w:adjustRightInd w:val="0"/>
              <w:snapToGrid w:val="0"/>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免费安装、调试、培训</w:t>
            </w:r>
            <w:r>
              <w:rPr>
                <w:rFonts w:hint="eastAsia" w:ascii="宋体" w:hAnsi="宋体" w:eastAsia="宋体" w:cs="宋体"/>
                <w:sz w:val="24"/>
                <w:szCs w:val="24"/>
                <w:lang w:eastAsia="zh-CN"/>
              </w:rPr>
              <w:t>。</w:t>
            </w:r>
          </w:p>
        </w:tc>
        <w:tc>
          <w:tcPr>
            <w:tcW w:w="952" w:type="dxa"/>
            <w:shd w:val="clear" w:color="000000" w:fill="FFFFFF"/>
            <w:vAlign w:val="center"/>
          </w:tcPr>
          <w:p w14:paraId="599D4CC3">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13" w:type="dxa"/>
            <w:shd w:val="clear" w:color="000000" w:fill="FFFFFF"/>
            <w:vAlign w:val="center"/>
          </w:tcPr>
          <w:p w14:paraId="009024E8">
            <w:pPr>
              <w:widowControl w:val="0"/>
              <w:snapToGrid w:val="0"/>
              <w:spacing w:line="400" w:lineRule="exact"/>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37.5</w:t>
            </w:r>
          </w:p>
        </w:tc>
        <w:tc>
          <w:tcPr>
            <w:tcW w:w="1164" w:type="dxa"/>
            <w:shd w:val="clear" w:color="000000" w:fill="FFFFFF"/>
            <w:vAlign w:val="center"/>
          </w:tcPr>
          <w:p w14:paraId="6BA10BE7">
            <w:pPr>
              <w:widowControl w:val="0"/>
              <w:snapToGrid w:val="0"/>
              <w:spacing w:line="400" w:lineRule="exact"/>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37.5</w:t>
            </w:r>
          </w:p>
        </w:tc>
      </w:tr>
      <w:tr w14:paraId="1C35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2" w:hRule="atLeast"/>
          <w:jc w:val="center"/>
        </w:trPr>
        <w:tc>
          <w:tcPr>
            <w:tcW w:w="826" w:type="dxa"/>
            <w:vMerge w:val="continue"/>
            <w:shd w:val="clear" w:color="000000" w:fill="FFFFFF"/>
            <w:vAlign w:val="center"/>
          </w:tcPr>
          <w:p w14:paraId="3D02D13D">
            <w:pPr>
              <w:adjustRightInd w:val="0"/>
              <w:snapToGrid w:val="0"/>
              <w:spacing w:line="400" w:lineRule="exact"/>
              <w:jc w:val="center"/>
              <w:rPr>
                <w:rFonts w:hint="eastAsia" w:ascii="宋体" w:hAnsi="宋体" w:eastAsia="宋体" w:cs="宋体"/>
                <w:kern w:val="0"/>
                <w:sz w:val="24"/>
                <w:szCs w:val="24"/>
              </w:rPr>
            </w:pPr>
          </w:p>
        </w:tc>
        <w:tc>
          <w:tcPr>
            <w:tcW w:w="952" w:type="dxa"/>
            <w:shd w:val="clear" w:color="auto" w:fill="auto"/>
            <w:vAlign w:val="center"/>
          </w:tcPr>
          <w:p w14:paraId="05796DC4">
            <w:pPr>
              <w:widowControl w:val="0"/>
              <w:tabs>
                <w:tab w:val="center" w:pos="4153"/>
                <w:tab w:val="right" w:pos="8306"/>
              </w:tabs>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营养盐在线分析仪</w:t>
            </w:r>
          </w:p>
        </w:tc>
        <w:tc>
          <w:tcPr>
            <w:tcW w:w="8790" w:type="dxa"/>
            <w:shd w:val="clear" w:color="000000" w:fill="FFFFFF"/>
            <w:vAlign w:val="center"/>
          </w:tcPr>
          <w:p w14:paraId="5D67244E">
            <w:pPr>
              <w:tabs>
                <w:tab w:val="left" w:pos="3227"/>
              </w:tabs>
              <w:adjustRightInd w:val="0"/>
              <w:snapToGrid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lang w:bidi="ar"/>
              </w:rPr>
              <w:t>一、设备用途</w:t>
            </w:r>
          </w:p>
          <w:p w14:paraId="6980AE07">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海水中氨氮、硝酸盐、亚硝酸盐和磷酸盐等营养盐指标的监测。</w:t>
            </w:r>
          </w:p>
          <w:p w14:paraId="452E328D">
            <w:pPr>
              <w:numPr>
                <w:ilvl w:val="0"/>
                <w:numId w:val="7"/>
              </w:num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基本</w:t>
            </w:r>
            <w:r>
              <w:rPr>
                <w:rFonts w:hint="eastAsia" w:ascii="宋体" w:hAnsi="宋体" w:eastAsia="宋体" w:cs="宋体"/>
                <w:b/>
                <w:bCs/>
                <w:sz w:val="24"/>
                <w:szCs w:val="24"/>
                <w:lang w:eastAsia="zh-CN" w:bidi="ar"/>
              </w:rPr>
              <w:t>功能</w:t>
            </w:r>
          </w:p>
          <w:p w14:paraId="3F40997A">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1.营养盐监测仪必须具有同时监测氨氮、硝酸盐、亚硝酸盐和磷酸盐的功能。进水口必需有水样过滤装置，保证水样的代表性。</w:t>
            </w:r>
          </w:p>
          <w:p w14:paraId="0A6E6368">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▲2.营养盐监测仪必须具有四个参数</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氨氮、硝酸盐、亚硝酸盐和磷酸盐</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空白核查</w:t>
            </w:r>
            <w:r>
              <w:rPr>
                <w:rFonts w:hint="eastAsia" w:ascii="宋体" w:hAnsi="宋体" w:eastAsia="宋体" w:cs="宋体"/>
                <w:sz w:val="24"/>
                <w:szCs w:val="24"/>
                <w:lang w:bidi="ar"/>
              </w:rPr>
              <w:t>和</w:t>
            </w:r>
            <w:r>
              <w:rPr>
                <w:rFonts w:hint="eastAsia" w:ascii="宋体" w:hAnsi="宋体" w:eastAsia="宋体" w:cs="宋体"/>
                <w:sz w:val="24"/>
                <w:szCs w:val="24"/>
                <w:lang w:val="en-US" w:eastAsia="zh-CN" w:bidi="ar"/>
              </w:rPr>
              <w:t>标样</w:t>
            </w:r>
            <w:r>
              <w:rPr>
                <w:rFonts w:hint="eastAsia" w:ascii="宋体" w:hAnsi="宋体" w:eastAsia="宋体" w:cs="宋体"/>
                <w:sz w:val="24"/>
                <w:szCs w:val="24"/>
                <w:lang w:bidi="ar"/>
              </w:rPr>
              <w:t>核查的功能，四个参数质控标液需单独存储，满足长期野外投放要求。</w:t>
            </w:r>
          </w:p>
          <w:p w14:paraId="09AB790F">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满足集成现有的自动监测站数据采集及控制系统的要求（品牌:Campbell型号CR1000）无缝链接，提供相应的技术支持（通讯协议、集成支持与协助、与浮标运行端口改造的设备硬件：如电缆、转换器、接头等），设备外形及结构满足自动监测浮标搭载要求。</w:t>
            </w:r>
          </w:p>
          <w:p w14:paraId="21062792">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三、技术参数及性能</w:t>
            </w:r>
          </w:p>
          <w:p w14:paraId="5D4031B0">
            <w:pPr>
              <w:keepNext w:val="0"/>
              <w:keepLines w:val="0"/>
              <w:widowControl/>
              <w:suppressLineNumbers w:val="0"/>
              <w:tabs>
                <w:tab w:val="left" w:pos="3227"/>
              </w:tabs>
              <w:adjustRightInd w:val="0"/>
              <w:snapToGrid w:val="0"/>
              <w:spacing w:before="0" w:beforeAutospacing="0" w:after="0" w:afterAutospacing="0" w:line="400" w:lineRule="exact"/>
              <w:ind w:left="0" w:right="0"/>
              <w:jc w:val="left"/>
              <w:rPr>
                <w:rFonts w:hint="eastAsia" w:ascii="宋体" w:hAnsi="宋体" w:eastAsia="宋体" w:cs="宋体"/>
                <w:sz w:val="24"/>
                <w:szCs w:val="24"/>
                <w:lang w:val="en-US" w:bidi="ar"/>
              </w:rPr>
            </w:pPr>
            <w:r>
              <w:rPr>
                <w:rFonts w:hint="eastAsia" w:ascii="宋体" w:hAnsi="宋体" w:eastAsia="宋体" w:cs="宋体"/>
                <w:kern w:val="2"/>
                <w:sz w:val="24"/>
                <w:szCs w:val="24"/>
                <w:lang w:val="en-US" w:eastAsia="zh-CN" w:bidi="ar"/>
              </w:rPr>
              <w:t>1.可用于海水原位潜水式在线监测，可同时分析硝酸盐、亚硝酸盐、磷酸盐、氨氮等四个营养盐参数，仪器尺寸：直径≤250mm，高度≤820mm（分析舱+试剂舱）。</w:t>
            </w:r>
          </w:p>
          <w:p w14:paraId="5458F1D9">
            <w:pPr>
              <w:keepNext w:val="0"/>
              <w:keepLines w:val="0"/>
              <w:widowControl/>
              <w:suppressLineNumbers w:val="0"/>
              <w:tabs>
                <w:tab w:val="left" w:pos="3227"/>
              </w:tabs>
              <w:adjustRightInd w:val="0"/>
              <w:snapToGrid w:val="0"/>
              <w:spacing w:before="0" w:beforeAutospacing="0" w:after="0" w:afterAutospacing="0" w:line="400" w:lineRule="exact"/>
              <w:ind w:left="0" w:right="0"/>
              <w:jc w:val="left"/>
              <w:rPr>
                <w:rFonts w:hint="eastAsia" w:ascii="宋体" w:hAnsi="宋体" w:eastAsia="宋体" w:cs="宋体"/>
                <w:sz w:val="24"/>
                <w:szCs w:val="24"/>
                <w:lang w:val="en-US" w:bidi="ar"/>
              </w:rPr>
            </w:pPr>
            <w:r>
              <w:rPr>
                <w:rFonts w:hint="eastAsia" w:ascii="宋体" w:hAnsi="宋体" w:eastAsia="宋体" w:cs="宋体"/>
                <w:kern w:val="2"/>
                <w:sz w:val="24"/>
                <w:szCs w:val="24"/>
                <w:highlight w:val="none"/>
                <w:lang w:val="en-US" w:eastAsia="zh-CN" w:bidi="ar"/>
              </w:rPr>
              <w:t>▲2.仪器适应海上浮标工作条件，可放置至少一个月的试剂使用量（营养盐测试频率为4小时1次，每天6组）以及核查标液量（核查频率为每天1次），仪</w:t>
            </w:r>
            <w:r>
              <w:rPr>
                <w:rFonts w:hint="eastAsia" w:ascii="宋体" w:hAnsi="宋体" w:eastAsia="宋体" w:cs="宋体"/>
                <w:kern w:val="2"/>
                <w:sz w:val="24"/>
                <w:szCs w:val="24"/>
                <w:lang w:val="en-US" w:eastAsia="zh-CN" w:bidi="ar"/>
              </w:rPr>
              <w:t>器含试剂舱总重量不超过21kg，每日标样核查单项参数准确度≤±20％。</w:t>
            </w:r>
          </w:p>
          <w:p w14:paraId="1117C90E">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3.检测器: 多波长双光束，硅光比色检测器。</w:t>
            </w:r>
          </w:p>
          <w:p w14:paraId="53CBAEF0">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▲4.分析周期：</w:t>
            </w:r>
            <w:r>
              <w:rPr>
                <w:rFonts w:hint="eastAsia" w:ascii="宋体" w:hAnsi="宋体" w:eastAsia="宋体" w:cs="宋体"/>
                <w:sz w:val="24"/>
                <w:szCs w:val="24"/>
                <w:lang w:val="en-US" w:eastAsia="zh-CN" w:bidi="ar"/>
              </w:rPr>
              <w:t>80</w:t>
            </w:r>
            <w:r>
              <w:rPr>
                <w:rFonts w:hint="eastAsia" w:ascii="宋体" w:hAnsi="宋体" w:eastAsia="宋体" w:cs="宋体"/>
                <w:sz w:val="24"/>
                <w:szCs w:val="24"/>
                <w:lang w:bidi="ar"/>
              </w:rPr>
              <w:t>分钟内完成一个样品</w:t>
            </w:r>
            <w:r>
              <w:rPr>
                <w:rFonts w:hint="eastAsia" w:ascii="宋体" w:hAnsi="宋体" w:eastAsia="宋体" w:cs="宋体"/>
                <w:sz w:val="24"/>
                <w:szCs w:val="24"/>
                <w:lang w:eastAsia="zh-CN" w:bidi="ar"/>
              </w:rPr>
              <w:t>（三氮一磷）</w:t>
            </w:r>
            <w:r>
              <w:rPr>
                <w:rFonts w:hint="eastAsia" w:ascii="宋体" w:hAnsi="宋体" w:eastAsia="宋体" w:cs="宋体"/>
                <w:sz w:val="24"/>
                <w:szCs w:val="24"/>
                <w:lang w:bidi="ar"/>
              </w:rPr>
              <w:t>分析，可根据需要设置更改分析间隔时间。</w:t>
            </w:r>
          </w:p>
          <w:p w14:paraId="3AAFDC18">
            <w:pPr>
              <w:tabs>
                <w:tab w:val="left" w:pos="3227"/>
              </w:tabs>
              <w:adjustRightInd w:val="0"/>
              <w:snapToGrid w:val="0"/>
              <w:spacing w:line="400" w:lineRule="exact"/>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5.工作方式：采用蠕动泵抽取水样进入仪器舱体比色分析方式，避免压力变化影响，避免晃动影响，避免生物附着影响</w:t>
            </w:r>
            <w:r>
              <w:rPr>
                <w:rFonts w:hint="eastAsia" w:ascii="宋体" w:hAnsi="宋体" w:eastAsia="宋体" w:cs="宋体"/>
                <w:sz w:val="24"/>
                <w:szCs w:val="24"/>
                <w:lang w:eastAsia="zh-CN" w:bidi="ar"/>
              </w:rPr>
              <w:t>。</w:t>
            </w:r>
          </w:p>
          <w:p w14:paraId="3FB904D1">
            <w:pPr>
              <w:tabs>
                <w:tab w:val="left" w:pos="3227"/>
              </w:tabs>
              <w:adjustRightInd w:val="0"/>
              <w:snapToGrid w:val="0"/>
              <w:spacing w:line="400" w:lineRule="exact"/>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6.抗干扰功能：具备抗浊度、色度、盐度干扰功能</w:t>
            </w:r>
            <w:r>
              <w:rPr>
                <w:rFonts w:hint="eastAsia" w:ascii="宋体" w:hAnsi="宋体" w:eastAsia="宋体" w:cs="宋体"/>
                <w:sz w:val="24"/>
                <w:szCs w:val="24"/>
                <w:lang w:eastAsia="zh-CN" w:bidi="ar"/>
              </w:rPr>
              <w:t>。</w:t>
            </w:r>
          </w:p>
          <w:p w14:paraId="14B2E21E">
            <w:pPr>
              <w:tabs>
                <w:tab w:val="left" w:pos="3227"/>
              </w:tabs>
              <w:adjustRightInd w:val="0"/>
              <w:snapToGrid w:val="0"/>
              <w:spacing w:line="400" w:lineRule="exact"/>
              <w:jc w:val="left"/>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.废水废液分离：具有有毒、无毒废液和废水分管路收集功能</w:t>
            </w:r>
            <w:r>
              <w:rPr>
                <w:rFonts w:hint="eastAsia" w:ascii="宋体" w:hAnsi="宋体" w:eastAsia="宋体" w:cs="宋体"/>
                <w:sz w:val="24"/>
                <w:szCs w:val="24"/>
                <w:lang w:eastAsia="zh-CN" w:bidi="ar"/>
              </w:rPr>
              <w:t>。</w:t>
            </w:r>
          </w:p>
          <w:p w14:paraId="68A7BC6E">
            <w:pPr>
              <w:tabs>
                <w:tab w:val="left" w:pos="3227"/>
              </w:tabs>
              <w:adjustRightInd w:val="0"/>
              <w:snapToGrid w:val="0"/>
              <w:spacing w:line="400" w:lineRule="exact"/>
              <w:jc w:val="left"/>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.清洗功能：具备水样清洗管路和纯水清洗管路切换功能，减少纯水耗量</w:t>
            </w:r>
            <w:r>
              <w:rPr>
                <w:rFonts w:hint="eastAsia" w:ascii="宋体" w:hAnsi="宋体" w:eastAsia="宋体" w:cs="宋体"/>
                <w:sz w:val="24"/>
                <w:szCs w:val="24"/>
                <w:lang w:eastAsia="zh-CN" w:bidi="ar"/>
              </w:rPr>
              <w:t>。</w:t>
            </w:r>
          </w:p>
          <w:p w14:paraId="05EE2D9F">
            <w:pPr>
              <w:tabs>
                <w:tab w:val="left" w:pos="3227"/>
              </w:tabs>
              <w:adjustRightInd w:val="0"/>
              <w:snapToGrid w:val="0"/>
              <w:spacing w:line="400" w:lineRule="exact"/>
              <w:jc w:val="left"/>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9</w:t>
            </w:r>
            <w:r>
              <w:rPr>
                <w:rFonts w:hint="eastAsia" w:ascii="宋体" w:hAnsi="宋体" w:eastAsia="宋体" w:cs="宋体"/>
                <w:sz w:val="24"/>
                <w:szCs w:val="24"/>
                <w:lang w:bidi="ar"/>
              </w:rPr>
              <w:t>.电路板防护：舱体内加设电路板密闭仓</w:t>
            </w:r>
            <w:r>
              <w:rPr>
                <w:rFonts w:hint="eastAsia" w:ascii="宋体" w:hAnsi="宋体" w:eastAsia="宋体" w:cs="宋体"/>
                <w:sz w:val="24"/>
                <w:szCs w:val="24"/>
                <w:lang w:eastAsia="zh-CN" w:bidi="ar"/>
              </w:rPr>
              <w:t>。</w:t>
            </w:r>
          </w:p>
          <w:p w14:paraId="6AAC3B54">
            <w:pPr>
              <w:tabs>
                <w:tab w:val="left" w:pos="3227"/>
              </w:tabs>
              <w:adjustRightInd w:val="0"/>
              <w:snapToGrid w:val="0"/>
              <w:spacing w:line="400" w:lineRule="exact"/>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1</w:t>
            </w:r>
            <w:r>
              <w:rPr>
                <w:rFonts w:hint="eastAsia" w:ascii="宋体" w:hAnsi="宋体" w:eastAsia="宋体" w:cs="宋体"/>
                <w:sz w:val="24"/>
                <w:szCs w:val="24"/>
                <w:lang w:val="en-US" w:eastAsia="zh-CN" w:bidi="ar"/>
              </w:rPr>
              <w:t>0</w:t>
            </w:r>
            <w:r>
              <w:rPr>
                <w:rFonts w:hint="eastAsia" w:ascii="宋体" w:hAnsi="宋体" w:eastAsia="宋体" w:cs="宋体"/>
                <w:sz w:val="24"/>
                <w:szCs w:val="24"/>
                <w:lang w:bidi="ar"/>
              </w:rPr>
              <w:t>.控制软件：具有Windows系统下的配套控制软件</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通过通讯端口可外部编程控制</w:t>
            </w:r>
            <w:r>
              <w:rPr>
                <w:rFonts w:hint="eastAsia" w:ascii="宋体" w:hAnsi="宋体" w:eastAsia="宋体" w:cs="宋体"/>
                <w:sz w:val="24"/>
                <w:szCs w:val="24"/>
                <w:lang w:eastAsia="zh-CN" w:bidi="ar"/>
              </w:rPr>
              <w:t>。</w:t>
            </w:r>
          </w:p>
          <w:p w14:paraId="3ED88411">
            <w:pPr>
              <w:tabs>
                <w:tab w:val="left" w:pos="3227"/>
              </w:tabs>
              <w:adjustRightInd w:val="0"/>
              <w:snapToGrid w:val="0"/>
              <w:spacing w:line="400" w:lineRule="exact"/>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▲1</w:t>
            </w: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.数字通信：RS232或RS485可选，方便外部数据采集器系统集成</w:t>
            </w:r>
            <w:r>
              <w:rPr>
                <w:rFonts w:hint="eastAsia" w:ascii="宋体" w:hAnsi="宋体" w:eastAsia="宋体" w:cs="宋体"/>
                <w:sz w:val="24"/>
                <w:szCs w:val="24"/>
                <w:lang w:eastAsia="zh-CN" w:bidi="ar"/>
              </w:rPr>
              <w:t>。</w:t>
            </w:r>
          </w:p>
          <w:p w14:paraId="141A372B">
            <w:pPr>
              <w:tabs>
                <w:tab w:val="left" w:pos="3227"/>
              </w:tabs>
              <w:adjustRightInd w:val="0"/>
              <w:snapToGrid w:val="0"/>
              <w:spacing w:line="400" w:lineRule="exact"/>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1</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.电源供电：外部13V直流电源供电，支持太阳能电池供电工作</w:t>
            </w:r>
            <w:r>
              <w:rPr>
                <w:rFonts w:hint="eastAsia" w:ascii="宋体" w:hAnsi="宋体" w:eastAsia="宋体" w:cs="宋体"/>
                <w:sz w:val="24"/>
                <w:szCs w:val="24"/>
                <w:lang w:eastAsia="zh-CN" w:bidi="ar"/>
              </w:rPr>
              <w:t>，可以满足至少20天续航。</w:t>
            </w:r>
          </w:p>
          <w:p w14:paraId="3CD9084F">
            <w:pPr>
              <w:tabs>
                <w:tab w:val="left" w:pos="3227"/>
              </w:tabs>
              <w:adjustRightInd w:val="0"/>
              <w:snapToGrid w:val="0"/>
              <w:spacing w:line="400" w:lineRule="exact"/>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1</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.工作环境温度：5～4</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w:t>
            </w:r>
            <w:r>
              <w:rPr>
                <w:rFonts w:hint="eastAsia" w:ascii="宋体" w:hAnsi="宋体" w:eastAsia="宋体" w:cs="宋体"/>
                <w:sz w:val="24"/>
                <w:szCs w:val="24"/>
                <w:lang w:eastAsia="zh-CN" w:bidi="ar"/>
              </w:rPr>
              <w:t>。</w:t>
            </w:r>
          </w:p>
          <w:p w14:paraId="7740D28C">
            <w:pPr>
              <w:tabs>
                <w:tab w:val="left" w:pos="3227"/>
              </w:tabs>
              <w:adjustRightInd w:val="0"/>
              <w:snapToGrid w:val="0"/>
              <w:spacing w:line="400" w:lineRule="exact"/>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1</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.防护等级：IP68</w:t>
            </w:r>
            <w:r>
              <w:rPr>
                <w:rFonts w:hint="eastAsia" w:ascii="宋体" w:hAnsi="宋体" w:eastAsia="宋体" w:cs="宋体"/>
                <w:sz w:val="24"/>
                <w:szCs w:val="24"/>
                <w:lang w:eastAsia="zh-CN" w:bidi="ar"/>
              </w:rPr>
              <w:t>。</w:t>
            </w:r>
          </w:p>
          <w:p w14:paraId="1EB634B7">
            <w:pPr>
              <w:tabs>
                <w:tab w:val="left" w:pos="3227"/>
              </w:tabs>
              <w:adjustRightInd w:val="0"/>
              <w:snapToGrid w:val="0"/>
              <w:spacing w:line="400" w:lineRule="exact"/>
              <w:jc w:val="left"/>
              <w:rPr>
                <w:rFonts w:hint="eastAsia" w:ascii="宋体" w:hAnsi="宋体" w:eastAsia="宋体" w:cs="宋体"/>
                <w:sz w:val="24"/>
                <w:szCs w:val="24"/>
                <w:lang w:eastAsia="zh-CN" w:bidi="ar"/>
              </w:rPr>
            </w:pPr>
            <w:r>
              <w:rPr>
                <w:rFonts w:hint="eastAsia" w:ascii="宋体" w:hAnsi="宋体" w:eastAsia="宋体" w:cs="宋体"/>
                <w:sz w:val="24"/>
                <w:szCs w:val="24"/>
                <w:lang w:bidi="ar"/>
              </w:rPr>
              <w:t>1</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.仪表能耗：运行功率≤</w:t>
            </w:r>
            <w:r>
              <w:rPr>
                <w:rFonts w:hint="eastAsia" w:ascii="宋体" w:hAnsi="宋体" w:eastAsia="宋体" w:cs="宋体"/>
                <w:sz w:val="24"/>
                <w:szCs w:val="24"/>
                <w:lang w:val="en-US" w:eastAsia="zh-CN" w:bidi="ar"/>
              </w:rPr>
              <w:t>20</w:t>
            </w:r>
            <w:r>
              <w:rPr>
                <w:rFonts w:hint="eastAsia" w:ascii="宋体" w:hAnsi="宋体" w:eastAsia="宋体" w:cs="宋体"/>
                <w:sz w:val="24"/>
                <w:szCs w:val="24"/>
                <w:lang w:bidi="ar"/>
              </w:rPr>
              <w:t xml:space="preserve"> W</w:t>
            </w:r>
            <w:r>
              <w:rPr>
                <w:rFonts w:hint="eastAsia" w:ascii="宋体" w:hAnsi="宋体" w:eastAsia="宋体" w:cs="宋体"/>
                <w:sz w:val="24"/>
                <w:szCs w:val="24"/>
                <w:lang w:eastAsia="zh-CN" w:bidi="ar"/>
              </w:rPr>
              <w:t>。</w:t>
            </w:r>
          </w:p>
          <w:p w14:paraId="48CA92AD">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16</w:t>
            </w:r>
            <w:r>
              <w:rPr>
                <w:rFonts w:hint="eastAsia" w:ascii="宋体" w:hAnsi="宋体" w:eastAsia="宋体" w:cs="宋体"/>
                <w:sz w:val="24"/>
                <w:szCs w:val="24"/>
                <w:lang w:bidi="ar"/>
              </w:rPr>
              <w:t>.营养盐分析仪支持包括零点在内3点</w:t>
            </w:r>
            <w:r>
              <w:rPr>
                <w:rFonts w:hint="eastAsia" w:ascii="宋体" w:hAnsi="宋体" w:eastAsia="宋体" w:cs="宋体"/>
                <w:sz w:val="24"/>
                <w:szCs w:val="24"/>
                <w:lang w:val="en-US" w:eastAsia="zh-CN" w:bidi="ar"/>
              </w:rPr>
              <w:t>及</w:t>
            </w:r>
            <w:r>
              <w:rPr>
                <w:rFonts w:hint="eastAsia" w:ascii="宋体" w:hAnsi="宋体" w:eastAsia="宋体" w:cs="宋体"/>
                <w:sz w:val="24"/>
                <w:szCs w:val="24"/>
                <w:lang w:bidi="ar"/>
              </w:rPr>
              <w:t>以上校准功能。</w:t>
            </w:r>
          </w:p>
          <w:p w14:paraId="38685E07">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17</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营养盐技术参数（表1）</w:t>
            </w:r>
          </w:p>
          <w:p w14:paraId="21E1522A">
            <w:pPr>
              <w:pageBreakBefore w:val="0"/>
              <w:wordWrap/>
              <w:overflowPunct/>
              <w:topLinePunct w:val="0"/>
              <w:bidi w:val="0"/>
              <w:snapToGrid w:val="0"/>
              <w:spacing w:line="360" w:lineRule="auto"/>
              <w:ind w:firstLine="402" w:firstLineChars="200"/>
              <w:jc w:val="center"/>
              <w:rPr>
                <w:rFonts w:hint="eastAsia" w:ascii="宋体" w:hAnsi="宋体" w:eastAsia="宋体" w:cs="宋体"/>
                <w:b/>
                <w:bCs/>
                <w:sz w:val="20"/>
                <w:szCs w:val="20"/>
                <w:lang w:eastAsia="zh-CN"/>
              </w:rPr>
            </w:pPr>
            <w:r>
              <w:rPr>
                <w:rFonts w:hint="eastAsia" w:ascii="宋体" w:hAnsi="宋体" w:eastAsia="宋体" w:cs="宋体"/>
                <w:b/>
                <w:bCs/>
                <w:sz w:val="20"/>
                <w:szCs w:val="20"/>
              </w:rPr>
              <w:t xml:space="preserve">表1 </w:t>
            </w:r>
            <w:r>
              <w:rPr>
                <w:rFonts w:hint="eastAsia" w:ascii="宋体" w:hAnsi="宋体" w:eastAsia="宋体" w:cs="宋体"/>
                <w:b/>
                <w:bCs/>
                <w:sz w:val="20"/>
                <w:szCs w:val="20"/>
                <w:lang w:eastAsia="zh-CN"/>
              </w:rPr>
              <w:t>仪器</w:t>
            </w:r>
            <w:r>
              <w:rPr>
                <w:rFonts w:hint="eastAsia" w:ascii="宋体" w:hAnsi="宋体" w:eastAsia="宋体" w:cs="宋体"/>
                <w:b/>
                <w:bCs/>
                <w:sz w:val="20"/>
                <w:szCs w:val="20"/>
              </w:rPr>
              <w:t>性能指标技术要求</w:t>
            </w:r>
            <w:r>
              <w:rPr>
                <w:rFonts w:hint="eastAsia" w:ascii="宋体" w:hAnsi="宋体" w:eastAsia="宋体" w:cs="宋体"/>
                <w:b/>
                <w:bCs/>
                <w:sz w:val="20"/>
                <w:szCs w:val="20"/>
                <w:lang w:eastAsia="zh-CN"/>
              </w:rPr>
              <w:t>（室内）</w:t>
            </w:r>
          </w:p>
          <w:tbl>
            <w:tblPr>
              <w:tblStyle w:val="61"/>
              <w:tblW w:w="8437" w:type="dxa"/>
              <w:tblInd w:w="0" w:type="dxa"/>
              <w:tblLayout w:type="fixed"/>
              <w:tblCellMar>
                <w:top w:w="0" w:type="dxa"/>
                <w:left w:w="57" w:type="dxa"/>
                <w:bottom w:w="0" w:type="dxa"/>
                <w:right w:w="57" w:type="dxa"/>
              </w:tblCellMar>
            </w:tblPr>
            <w:tblGrid>
              <w:gridCol w:w="967"/>
              <w:gridCol w:w="1085"/>
              <w:gridCol w:w="1085"/>
              <w:gridCol w:w="1103"/>
              <w:gridCol w:w="708"/>
              <w:gridCol w:w="809"/>
              <w:gridCol w:w="854"/>
              <w:gridCol w:w="934"/>
              <w:gridCol w:w="892"/>
            </w:tblGrid>
            <w:tr w14:paraId="61776B95">
              <w:tblPrEx>
                <w:tblCellMar>
                  <w:top w:w="0" w:type="dxa"/>
                  <w:left w:w="57" w:type="dxa"/>
                  <w:bottom w:w="0" w:type="dxa"/>
                  <w:right w:w="57" w:type="dxa"/>
                </w:tblCellMar>
              </w:tblPrEx>
              <w:trPr>
                <w:trHeight w:val="379" w:hRule="atLeast"/>
              </w:trPr>
              <w:tc>
                <w:tcPr>
                  <w:tcW w:w="967" w:type="dxa"/>
                  <w:vMerge w:val="restart"/>
                  <w:tcBorders>
                    <w:top w:val="single" w:color="auto" w:sz="4" w:space="0"/>
                    <w:left w:val="single" w:color="auto" w:sz="4" w:space="0"/>
                    <w:bottom w:val="single" w:color="auto" w:sz="4" w:space="0"/>
                    <w:right w:val="single" w:color="auto" w:sz="4" w:space="0"/>
                  </w:tcBorders>
                  <w:vAlign w:val="center"/>
                </w:tcPr>
                <w:p w14:paraId="3B3BEAF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color w:val="000000"/>
                      <w:kern w:val="0"/>
                      <w:sz w:val="18"/>
                      <w:szCs w:val="18"/>
                      <w:lang w:eastAsia="zh-CN"/>
                    </w:rPr>
                  </w:pPr>
                  <w:r>
                    <w:rPr>
                      <w:rFonts w:hint="eastAsia" w:ascii="宋体" w:hAnsi="宋体" w:eastAsia="宋体" w:cs="宋体"/>
                      <w:b/>
                      <w:color w:val="000000"/>
                      <w:kern w:val="0"/>
                      <w:sz w:val="18"/>
                      <w:szCs w:val="18"/>
                      <w:lang w:val="en-US" w:eastAsia="zh-CN"/>
                    </w:rPr>
                    <w:t>监测指标</w:t>
                  </w:r>
                </w:p>
              </w:tc>
              <w:tc>
                <w:tcPr>
                  <w:tcW w:w="1085" w:type="dxa"/>
                  <w:vMerge w:val="restart"/>
                  <w:tcBorders>
                    <w:top w:val="single" w:color="auto" w:sz="4" w:space="0"/>
                    <w:left w:val="single" w:color="auto" w:sz="4" w:space="0"/>
                    <w:right w:val="single" w:color="auto" w:sz="4" w:space="0"/>
                  </w:tcBorders>
                  <w:vAlign w:val="center"/>
                </w:tcPr>
                <w:p w14:paraId="3B87C83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测量方法</w:t>
                  </w:r>
                </w:p>
              </w:tc>
              <w:tc>
                <w:tcPr>
                  <w:tcW w:w="1085" w:type="dxa"/>
                  <w:vMerge w:val="restart"/>
                  <w:tcBorders>
                    <w:top w:val="single" w:color="auto" w:sz="4" w:space="0"/>
                    <w:left w:val="single" w:color="auto" w:sz="4" w:space="0"/>
                    <w:right w:val="single" w:color="auto" w:sz="4" w:space="0"/>
                  </w:tcBorders>
                  <w:vAlign w:val="center"/>
                </w:tcPr>
                <w:p w14:paraId="11F2FA8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测量范围</w:t>
                  </w:r>
                </w:p>
                <w:p w14:paraId="43B633A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（可拓展）</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14:paraId="1E67300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检出限</w:t>
                  </w:r>
                </w:p>
              </w:tc>
              <w:tc>
                <w:tcPr>
                  <w:tcW w:w="1517" w:type="dxa"/>
                  <w:gridSpan w:val="2"/>
                  <w:tcBorders>
                    <w:top w:val="single" w:color="auto" w:sz="4" w:space="0"/>
                    <w:left w:val="single" w:color="auto" w:sz="4" w:space="0"/>
                    <w:bottom w:val="single" w:color="auto" w:sz="4" w:space="0"/>
                    <w:right w:val="single" w:color="auto" w:sz="4" w:space="0"/>
                  </w:tcBorders>
                  <w:vAlign w:val="center"/>
                </w:tcPr>
                <w:p w14:paraId="390C89C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准确度</w:t>
                  </w:r>
                </w:p>
              </w:tc>
              <w:tc>
                <w:tcPr>
                  <w:tcW w:w="1788" w:type="dxa"/>
                  <w:gridSpan w:val="2"/>
                  <w:tcBorders>
                    <w:top w:val="single" w:color="auto" w:sz="4" w:space="0"/>
                    <w:left w:val="single" w:color="auto" w:sz="4" w:space="0"/>
                    <w:bottom w:val="single" w:color="auto" w:sz="4" w:space="0"/>
                    <w:right w:val="single" w:color="auto" w:sz="4" w:space="0"/>
                  </w:tcBorders>
                  <w:vAlign w:val="center"/>
                </w:tcPr>
                <w:p w14:paraId="1B25189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稳定性</w:t>
                  </w:r>
                </w:p>
              </w:tc>
              <w:tc>
                <w:tcPr>
                  <w:tcW w:w="892" w:type="dxa"/>
                  <w:vMerge w:val="restart"/>
                  <w:tcBorders>
                    <w:top w:val="single" w:color="auto" w:sz="4" w:space="0"/>
                    <w:left w:val="single" w:color="auto" w:sz="4" w:space="0"/>
                    <w:right w:val="single" w:color="auto" w:sz="4" w:space="0"/>
                  </w:tcBorders>
                  <w:vAlign w:val="center"/>
                </w:tcPr>
                <w:p w14:paraId="23DAECA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标准曲线</w:t>
                  </w:r>
                </w:p>
                <w:p w14:paraId="0BE1D28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相关系数</w:t>
                  </w:r>
                </w:p>
              </w:tc>
            </w:tr>
            <w:tr w14:paraId="3F052001">
              <w:tblPrEx>
                <w:tblCellMar>
                  <w:top w:w="0" w:type="dxa"/>
                  <w:left w:w="57" w:type="dxa"/>
                  <w:bottom w:w="0" w:type="dxa"/>
                  <w:right w:w="57" w:type="dxa"/>
                </w:tblCellMar>
              </w:tblPrEx>
              <w:trPr>
                <w:trHeight w:val="749" w:hRule="atLeast"/>
              </w:trPr>
              <w:tc>
                <w:tcPr>
                  <w:tcW w:w="967" w:type="dxa"/>
                  <w:vMerge w:val="continue"/>
                  <w:tcBorders>
                    <w:top w:val="single" w:color="auto" w:sz="4" w:space="0"/>
                    <w:left w:val="single" w:color="auto" w:sz="4" w:space="0"/>
                    <w:bottom w:val="single" w:color="auto" w:sz="4" w:space="0"/>
                    <w:right w:val="single" w:color="auto" w:sz="4" w:space="0"/>
                  </w:tcBorders>
                  <w:vAlign w:val="center"/>
                </w:tcPr>
                <w:p w14:paraId="2387A2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p>
              </w:tc>
              <w:tc>
                <w:tcPr>
                  <w:tcW w:w="1085" w:type="dxa"/>
                  <w:vMerge w:val="continue"/>
                  <w:tcBorders>
                    <w:left w:val="single" w:color="auto" w:sz="4" w:space="0"/>
                    <w:bottom w:val="single" w:color="auto" w:sz="4" w:space="0"/>
                    <w:right w:val="single" w:color="auto" w:sz="4" w:space="0"/>
                  </w:tcBorders>
                  <w:vAlign w:val="center"/>
                </w:tcPr>
                <w:p w14:paraId="30486E8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p>
              </w:tc>
              <w:tc>
                <w:tcPr>
                  <w:tcW w:w="1085" w:type="dxa"/>
                  <w:vMerge w:val="continue"/>
                  <w:tcBorders>
                    <w:left w:val="single" w:color="auto" w:sz="4" w:space="0"/>
                    <w:bottom w:val="single" w:color="auto" w:sz="4" w:space="0"/>
                    <w:right w:val="single" w:color="auto" w:sz="4" w:space="0"/>
                  </w:tcBorders>
                  <w:vAlign w:val="center"/>
                </w:tcPr>
                <w:p w14:paraId="03F6880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06090C4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7654492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精密度</w:t>
                  </w:r>
                </w:p>
              </w:tc>
              <w:tc>
                <w:tcPr>
                  <w:tcW w:w="809" w:type="dxa"/>
                  <w:tcBorders>
                    <w:top w:val="single" w:color="auto" w:sz="4" w:space="0"/>
                    <w:left w:val="single" w:color="auto" w:sz="4" w:space="0"/>
                    <w:bottom w:val="single" w:color="auto" w:sz="4" w:space="0"/>
                    <w:right w:val="single" w:color="auto" w:sz="4" w:space="0"/>
                  </w:tcBorders>
                  <w:vAlign w:val="center"/>
                </w:tcPr>
                <w:p w14:paraId="04DC461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正</w:t>
                  </w:r>
                  <w:r>
                    <w:rPr>
                      <w:rFonts w:hint="eastAsia" w:ascii="宋体" w:hAnsi="宋体" w:eastAsia="宋体" w:cs="宋体"/>
                      <w:b/>
                      <w:bCs/>
                      <w:color w:val="000000"/>
                      <w:kern w:val="0"/>
                      <w:sz w:val="18"/>
                      <w:szCs w:val="18"/>
                    </w:rPr>
                    <w:t>确度</w:t>
                  </w:r>
                </w:p>
              </w:tc>
              <w:tc>
                <w:tcPr>
                  <w:tcW w:w="854" w:type="dxa"/>
                  <w:tcBorders>
                    <w:top w:val="single" w:color="auto" w:sz="4" w:space="0"/>
                    <w:left w:val="single" w:color="auto" w:sz="4" w:space="0"/>
                    <w:bottom w:val="single" w:color="auto" w:sz="4" w:space="0"/>
                    <w:right w:val="single" w:color="auto" w:sz="4" w:space="0"/>
                  </w:tcBorders>
                  <w:vAlign w:val="center"/>
                </w:tcPr>
                <w:p w14:paraId="315F40A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零点</w:t>
                  </w:r>
                </w:p>
                <w:p w14:paraId="3853FBC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漂移</w:t>
                  </w:r>
                </w:p>
              </w:tc>
              <w:tc>
                <w:tcPr>
                  <w:tcW w:w="934" w:type="dxa"/>
                  <w:tcBorders>
                    <w:top w:val="single" w:color="auto" w:sz="4" w:space="0"/>
                    <w:left w:val="single" w:color="auto" w:sz="4" w:space="0"/>
                    <w:bottom w:val="single" w:color="auto" w:sz="4" w:space="0"/>
                    <w:right w:val="single" w:color="auto" w:sz="4" w:space="0"/>
                  </w:tcBorders>
                  <w:vAlign w:val="center"/>
                </w:tcPr>
                <w:p w14:paraId="6A0DC17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跨度</w:t>
                  </w:r>
                </w:p>
                <w:p w14:paraId="4B1D234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漂移</w:t>
                  </w:r>
                </w:p>
              </w:tc>
              <w:tc>
                <w:tcPr>
                  <w:tcW w:w="892" w:type="dxa"/>
                  <w:vMerge w:val="continue"/>
                  <w:tcBorders>
                    <w:left w:val="single" w:color="auto" w:sz="4" w:space="0"/>
                    <w:right w:val="single" w:color="auto" w:sz="4" w:space="0"/>
                  </w:tcBorders>
                  <w:vAlign w:val="center"/>
                </w:tcPr>
                <w:p w14:paraId="70FA229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18"/>
                      <w:szCs w:val="18"/>
                    </w:rPr>
                  </w:pPr>
                </w:p>
              </w:tc>
            </w:tr>
            <w:tr w14:paraId="25286B51">
              <w:tblPrEx>
                <w:tblCellMar>
                  <w:top w:w="0" w:type="dxa"/>
                  <w:left w:w="57" w:type="dxa"/>
                  <w:bottom w:w="0" w:type="dxa"/>
                  <w:right w:w="57" w:type="dxa"/>
                </w:tblCellMar>
              </w:tblPrEx>
              <w:trPr>
                <w:trHeight w:val="749" w:hRule="atLeast"/>
              </w:trPr>
              <w:tc>
                <w:tcPr>
                  <w:tcW w:w="967" w:type="dxa"/>
                  <w:tcBorders>
                    <w:top w:val="single" w:color="auto" w:sz="4" w:space="0"/>
                    <w:left w:val="single" w:color="auto" w:sz="4" w:space="0"/>
                    <w:bottom w:val="single" w:color="auto" w:sz="4" w:space="0"/>
                    <w:right w:val="single" w:color="auto" w:sz="4" w:space="0"/>
                  </w:tcBorders>
                  <w:vAlign w:val="center"/>
                </w:tcPr>
                <w:p w14:paraId="27D3467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氨氮</w:t>
                  </w:r>
                </w:p>
              </w:tc>
              <w:tc>
                <w:tcPr>
                  <w:tcW w:w="1085" w:type="dxa"/>
                  <w:tcBorders>
                    <w:top w:val="single" w:color="auto" w:sz="4" w:space="0"/>
                    <w:left w:val="single" w:color="auto" w:sz="4" w:space="0"/>
                    <w:bottom w:val="single" w:color="auto" w:sz="4" w:space="0"/>
                    <w:right w:val="single" w:color="auto" w:sz="4" w:space="0"/>
                  </w:tcBorders>
                  <w:vAlign w:val="center"/>
                </w:tcPr>
                <w:p w14:paraId="08AF770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水杨酸分光光度法</w:t>
                  </w:r>
                </w:p>
              </w:tc>
              <w:tc>
                <w:tcPr>
                  <w:tcW w:w="1085" w:type="dxa"/>
                  <w:tcBorders>
                    <w:top w:val="single" w:color="auto" w:sz="4" w:space="0"/>
                    <w:left w:val="single" w:color="auto" w:sz="4" w:space="0"/>
                    <w:bottom w:val="single" w:color="auto" w:sz="4" w:space="0"/>
                    <w:right w:val="single" w:color="auto" w:sz="4" w:space="0"/>
                  </w:tcBorders>
                  <w:vAlign w:val="center"/>
                </w:tcPr>
                <w:p w14:paraId="466F564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0"/>
                      <w:sz w:val="18"/>
                      <w:szCs w:val="18"/>
                    </w:rPr>
                  </w:pPr>
                  <w:r>
                    <w:rPr>
                      <w:rFonts w:hint="eastAsia" w:ascii="宋体" w:hAnsi="宋体" w:eastAsia="宋体" w:cs="宋体"/>
                      <w:sz w:val="18"/>
                      <w:szCs w:val="18"/>
                    </w:rPr>
                    <w:t>0～0.</w:t>
                  </w:r>
                  <w:r>
                    <w:rPr>
                      <w:rFonts w:hint="eastAsia" w:ascii="宋体" w:hAnsi="宋体" w:eastAsia="宋体" w:cs="宋体"/>
                      <w:sz w:val="18"/>
                      <w:szCs w:val="18"/>
                      <w:lang w:val="en-US" w:eastAsia="zh-CN"/>
                    </w:rPr>
                    <w:t>5</w:t>
                  </w:r>
                  <w:r>
                    <w:rPr>
                      <w:rFonts w:hint="eastAsia" w:ascii="宋体" w:hAnsi="宋体" w:eastAsia="宋体" w:cs="宋体"/>
                      <w:sz w:val="18"/>
                      <w:szCs w:val="18"/>
                    </w:rPr>
                    <w:t xml:space="preserve"> mg/L</w:t>
                  </w:r>
                </w:p>
              </w:tc>
              <w:tc>
                <w:tcPr>
                  <w:tcW w:w="1103" w:type="dxa"/>
                  <w:tcBorders>
                    <w:top w:val="single" w:color="auto" w:sz="4" w:space="0"/>
                    <w:left w:val="single" w:color="auto" w:sz="4" w:space="0"/>
                    <w:bottom w:val="single" w:color="auto" w:sz="4" w:space="0"/>
                    <w:right w:val="single" w:color="auto" w:sz="4" w:space="0"/>
                  </w:tcBorders>
                  <w:vAlign w:val="center"/>
                </w:tcPr>
                <w:p w14:paraId="0B8A959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≤0.005mg/L</w:t>
                  </w:r>
                </w:p>
              </w:tc>
              <w:tc>
                <w:tcPr>
                  <w:tcW w:w="708" w:type="dxa"/>
                  <w:tcBorders>
                    <w:top w:val="single" w:color="auto" w:sz="4" w:space="0"/>
                    <w:left w:val="single" w:color="auto" w:sz="4" w:space="0"/>
                    <w:bottom w:val="single" w:color="auto" w:sz="4" w:space="0"/>
                    <w:right w:val="single" w:color="auto" w:sz="4" w:space="0"/>
                  </w:tcBorders>
                  <w:vAlign w:val="center"/>
                </w:tcPr>
                <w:p w14:paraId="75CABEF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09" w:type="dxa"/>
                  <w:tcBorders>
                    <w:top w:val="single" w:color="auto" w:sz="4" w:space="0"/>
                    <w:left w:val="single" w:color="auto" w:sz="4" w:space="0"/>
                    <w:bottom w:val="single" w:color="auto" w:sz="4" w:space="0"/>
                    <w:right w:val="single" w:color="auto" w:sz="4" w:space="0"/>
                  </w:tcBorders>
                  <w:vAlign w:val="center"/>
                </w:tcPr>
                <w:p w14:paraId="203671E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54" w:type="dxa"/>
                  <w:tcBorders>
                    <w:top w:val="single" w:color="auto" w:sz="4" w:space="0"/>
                    <w:left w:val="single" w:color="auto" w:sz="4" w:space="0"/>
                    <w:bottom w:val="single" w:color="auto" w:sz="4" w:space="0"/>
                    <w:right w:val="single" w:color="auto" w:sz="4" w:space="0"/>
                  </w:tcBorders>
                  <w:vAlign w:val="center"/>
                </w:tcPr>
                <w:p w14:paraId="051C1EC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34" w:type="dxa"/>
                  <w:tcBorders>
                    <w:top w:val="single" w:color="auto" w:sz="4" w:space="0"/>
                    <w:left w:val="single" w:color="auto" w:sz="4" w:space="0"/>
                    <w:bottom w:val="single" w:color="auto" w:sz="4" w:space="0"/>
                    <w:right w:val="single" w:color="auto" w:sz="4" w:space="0"/>
                  </w:tcBorders>
                  <w:vAlign w:val="center"/>
                </w:tcPr>
                <w:p w14:paraId="14906A8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92" w:type="dxa"/>
                  <w:tcBorders>
                    <w:top w:val="single" w:color="auto" w:sz="4" w:space="0"/>
                    <w:left w:val="single" w:color="auto" w:sz="4" w:space="0"/>
                    <w:bottom w:val="single" w:color="auto" w:sz="4" w:space="0"/>
                    <w:right w:val="single" w:color="auto" w:sz="4" w:space="0"/>
                  </w:tcBorders>
                  <w:vAlign w:val="center"/>
                </w:tcPr>
                <w:p w14:paraId="303D35F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kern w:val="0"/>
                      <w:sz w:val="18"/>
                      <w:szCs w:val="18"/>
                    </w:rPr>
                    <w:t>≥0.995</w:t>
                  </w:r>
                </w:p>
              </w:tc>
            </w:tr>
            <w:tr w14:paraId="4F7C7141">
              <w:tblPrEx>
                <w:tblCellMar>
                  <w:top w:w="0" w:type="dxa"/>
                  <w:left w:w="57" w:type="dxa"/>
                  <w:bottom w:w="0" w:type="dxa"/>
                  <w:right w:w="57" w:type="dxa"/>
                </w:tblCellMar>
              </w:tblPrEx>
              <w:trPr>
                <w:trHeight w:val="1118" w:hRule="atLeast"/>
              </w:trPr>
              <w:tc>
                <w:tcPr>
                  <w:tcW w:w="967" w:type="dxa"/>
                  <w:tcBorders>
                    <w:top w:val="single" w:color="auto" w:sz="4" w:space="0"/>
                    <w:left w:val="single" w:color="auto" w:sz="4" w:space="0"/>
                    <w:bottom w:val="single" w:color="auto" w:sz="4" w:space="0"/>
                    <w:right w:val="single" w:color="auto" w:sz="4" w:space="0"/>
                  </w:tcBorders>
                  <w:vAlign w:val="center"/>
                </w:tcPr>
                <w:p w14:paraId="37B444F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硝酸盐氮</w:t>
                  </w:r>
                </w:p>
              </w:tc>
              <w:tc>
                <w:tcPr>
                  <w:tcW w:w="1085" w:type="dxa"/>
                  <w:tcBorders>
                    <w:top w:val="single" w:color="auto" w:sz="4" w:space="0"/>
                    <w:left w:val="single" w:color="auto" w:sz="4" w:space="0"/>
                    <w:bottom w:val="single" w:color="auto" w:sz="4" w:space="0"/>
                    <w:right w:val="single" w:color="auto" w:sz="4" w:space="0"/>
                  </w:tcBorders>
                  <w:vAlign w:val="center"/>
                </w:tcPr>
                <w:p w14:paraId="33B098D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UV还原-盐酸萘二胺分光光度法</w:t>
                  </w:r>
                </w:p>
              </w:tc>
              <w:tc>
                <w:tcPr>
                  <w:tcW w:w="1085" w:type="dxa"/>
                  <w:tcBorders>
                    <w:top w:val="single" w:color="auto" w:sz="4" w:space="0"/>
                    <w:left w:val="single" w:color="auto" w:sz="4" w:space="0"/>
                    <w:bottom w:val="single" w:color="auto" w:sz="4" w:space="0"/>
                    <w:right w:val="single" w:color="auto" w:sz="4" w:space="0"/>
                  </w:tcBorders>
                  <w:vAlign w:val="center"/>
                </w:tcPr>
                <w:p w14:paraId="45AAC2B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r>
                    <w:rPr>
                      <w:rFonts w:hint="eastAsia" w:ascii="宋体" w:hAnsi="宋体" w:eastAsia="宋体" w:cs="宋体"/>
                      <w:sz w:val="18"/>
                      <w:szCs w:val="18"/>
                      <w:lang w:val="en-US" w:eastAsia="zh-CN"/>
                    </w:rPr>
                    <w:t>0</w:t>
                  </w:r>
                  <w:r>
                    <w:rPr>
                      <w:rFonts w:hint="eastAsia" w:ascii="宋体" w:hAnsi="宋体" w:eastAsia="宋体" w:cs="宋体"/>
                      <w:sz w:val="18"/>
                      <w:szCs w:val="18"/>
                    </w:rPr>
                    <w:t>.</w:t>
                  </w:r>
                  <w:r>
                    <w:rPr>
                      <w:rFonts w:hint="eastAsia" w:ascii="宋体" w:hAnsi="宋体" w:eastAsia="宋体" w:cs="宋体"/>
                      <w:sz w:val="18"/>
                      <w:szCs w:val="18"/>
                      <w:lang w:val="en-US" w:eastAsia="zh-CN"/>
                    </w:rPr>
                    <w:t>5</w:t>
                  </w:r>
                  <w:r>
                    <w:rPr>
                      <w:rFonts w:hint="eastAsia" w:ascii="宋体" w:hAnsi="宋体" w:eastAsia="宋体" w:cs="宋体"/>
                      <w:sz w:val="18"/>
                      <w:szCs w:val="18"/>
                    </w:rPr>
                    <w:t>mg/L</w:t>
                  </w:r>
                </w:p>
                <w:p w14:paraId="539C678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0~2</w:t>
                  </w:r>
                  <w:r>
                    <w:rPr>
                      <w:rFonts w:hint="eastAsia" w:ascii="宋体" w:hAnsi="宋体" w:eastAsia="宋体" w:cs="宋体"/>
                      <w:sz w:val="18"/>
                      <w:szCs w:val="18"/>
                    </w:rPr>
                    <w:t>mg/L</w:t>
                  </w:r>
                </w:p>
              </w:tc>
              <w:tc>
                <w:tcPr>
                  <w:tcW w:w="1103" w:type="dxa"/>
                  <w:tcBorders>
                    <w:top w:val="single" w:color="auto" w:sz="4" w:space="0"/>
                    <w:left w:val="single" w:color="auto" w:sz="4" w:space="0"/>
                    <w:bottom w:val="single" w:color="auto" w:sz="4" w:space="0"/>
                    <w:right w:val="single" w:color="auto" w:sz="4" w:space="0"/>
                  </w:tcBorders>
                  <w:vAlign w:val="center"/>
                </w:tcPr>
                <w:p w14:paraId="6994B91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≤0.005mg/L</w:t>
                  </w:r>
                </w:p>
              </w:tc>
              <w:tc>
                <w:tcPr>
                  <w:tcW w:w="708" w:type="dxa"/>
                  <w:tcBorders>
                    <w:top w:val="single" w:color="auto" w:sz="4" w:space="0"/>
                    <w:left w:val="single" w:color="auto" w:sz="4" w:space="0"/>
                    <w:bottom w:val="single" w:color="auto" w:sz="4" w:space="0"/>
                    <w:right w:val="single" w:color="auto" w:sz="4" w:space="0"/>
                  </w:tcBorders>
                  <w:vAlign w:val="center"/>
                </w:tcPr>
                <w:p w14:paraId="3790933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09" w:type="dxa"/>
                  <w:tcBorders>
                    <w:top w:val="single" w:color="auto" w:sz="4" w:space="0"/>
                    <w:left w:val="single" w:color="auto" w:sz="4" w:space="0"/>
                    <w:bottom w:val="single" w:color="auto" w:sz="4" w:space="0"/>
                    <w:right w:val="single" w:color="auto" w:sz="4" w:space="0"/>
                  </w:tcBorders>
                  <w:vAlign w:val="center"/>
                </w:tcPr>
                <w:p w14:paraId="6E15CD8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54" w:type="dxa"/>
                  <w:tcBorders>
                    <w:top w:val="single" w:color="auto" w:sz="4" w:space="0"/>
                    <w:left w:val="single" w:color="auto" w:sz="4" w:space="0"/>
                    <w:bottom w:val="single" w:color="auto" w:sz="4" w:space="0"/>
                    <w:right w:val="single" w:color="auto" w:sz="4" w:space="0"/>
                  </w:tcBorders>
                  <w:vAlign w:val="center"/>
                </w:tcPr>
                <w:p w14:paraId="24863E6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34" w:type="dxa"/>
                  <w:tcBorders>
                    <w:top w:val="single" w:color="auto" w:sz="4" w:space="0"/>
                    <w:left w:val="single" w:color="auto" w:sz="4" w:space="0"/>
                    <w:bottom w:val="single" w:color="auto" w:sz="4" w:space="0"/>
                    <w:right w:val="single" w:color="auto" w:sz="4" w:space="0"/>
                  </w:tcBorders>
                  <w:vAlign w:val="center"/>
                </w:tcPr>
                <w:p w14:paraId="0AF9863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92" w:type="dxa"/>
                  <w:tcBorders>
                    <w:top w:val="single" w:color="auto" w:sz="4" w:space="0"/>
                    <w:left w:val="single" w:color="auto" w:sz="4" w:space="0"/>
                    <w:bottom w:val="single" w:color="auto" w:sz="4" w:space="0"/>
                    <w:right w:val="single" w:color="auto" w:sz="4" w:space="0"/>
                  </w:tcBorders>
                  <w:vAlign w:val="center"/>
                </w:tcPr>
                <w:p w14:paraId="59EA81C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kern w:val="0"/>
                      <w:sz w:val="18"/>
                      <w:szCs w:val="18"/>
                    </w:rPr>
                    <w:t>≥0.995</w:t>
                  </w:r>
                </w:p>
              </w:tc>
            </w:tr>
            <w:tr w14:paraId="35353CA3">
              <w:tblPrEx>
                <w:tblCellMar>
                  <w:top w:w="0" w:type="dxa"/>
                  <w:left w:w="57" w:type="dxa"/>
                  <w:bottom w:w="0" w:type="dxa"/>
                  <w:right w:w="57" w:type="dxa"/>
                </w:tblCellMar>
              </w:tblPrEx>
              <w:trPr>
                <w:trHeight w:val="749" w:hRule="atLeast"/>
              </w:trPr>
              <w:tc>
                <w:tcPr>
                  <w:tcW w:w="967" w:type="dxa"/>
                  <w:tcBorders>
                    <w:top w:val="single" w:color="auto" w:sz="4" w:space="0"/>
                    <w:left w:val="single" w:color="auto" w:sz="4" w:space="0"/>
                    <w:bottom w:val="single" w:color="auto" w:sz="4" w:space="0"/>
                    <w:right w:val="single" w:color="auto" w:sz="4" w:space="0"/>
                  </w:tcBorders>
                  <w:vAlign w:val="center"/>
                </w:tcPr>
                <w:p w14:paraId="4C6D0AA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亚硝酸盐氮</w:t>
                  </w:r>
                </w:p>
              </w:tc>
              <w:tc>
                <w:tcPr>
                  <w:tcW w:w="1085" w:type="dxa"/>
                  <w:tcBorders>
                    <w:top w:val="single" w:color="auto" w:sz="4" w:space="0"/>
                    <w:left w:val="single" w:color="auto" w:sz="4" w:space="0"/>
                    <w:bottom w:val="single" w:color="auto" w:sz="4" w:space="0"/>
                    <w:right w:val="single" w:color="auto" w:sz="4" w:space="0"/>
                  </w:tcBorders>
                  <w:vAlign w:val="center"/>
                </w:tcPr>
                <w:p w14:paraId="4A32E2A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盐酸萘二胺分光光度法</w:t>
                  </w:r>
                </w:p>
              </w:tc>
              <w:tc>
                <w:tcPr>
                  <w:tcW w:w="1085" w:type="dxa"/>
                  <w:tcBorders>
                    <w:top w:val="single" w:color="auto" w:sz="4" w:space="0"/>
                    <w:left w:val="single" w:color="auto" w:sz="4" w:space="0"/>
                    <w:bottom w:val="single" w:color="auto" w:sz="4" w:space="0"/>
                    <w:right w:val="single" w:color="auto" w:sz="4" w:space="0"/>
                  </w:tcBorders>
                  <w:vAlign w:val="center"/>
                </w:tcPr>
                <w:p w14:paraId="34C80A9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0"/>
                      <w:sz w:val="18"/>
                      <w:szCs w:val="18"/>
                    </w:rPr>
                  </w:pPr>
                  <w:r>
                    <w:rPr>
                      <w:rFonts w:hint="eastAsia" w:ascii="宋体" w:hAnsi="宋体" w:eastAsia="宋体" w:cs="宋体"/>
                      <w:sz w:val="18"/>
                      <w:szCs w:val="18"/>
                    </w:rPr>
                    <w:t>0～0.</w:t>
                  </w:r>
                  <w:r>
                    <w:rPr>
                      <w:rFonts w:hint="eastAsia" w:ascii="宋体" w:hAnsi="宋体" w:eastAsia="宋体" w:cs="宋体"/>
                      <w:sz w:val="18"/>
                      <w:szCs w:val="18"/>
                      <w:lang w:val="en-US" w:eastAsia="zh-CN"/>
                    </w:rPr>
                    <w:t>2</w:t>
                  </w:r>
                  <w:r>
                    <w:rPr>
                      <w:rFonts w:hint="eastAsia" w:ascii="宋体" w:hAnsi="宋体" w:eastAsia="宋体" w:cs="宋体"/>
                      <w:sz w:val="18"/>
                      <w:szCs w:val="18"/>
                    </w:rPr>
                    <w:t>mg/L</w:t>
                  </w:r>
                </w:p>
              </w:tc>
              <w:tc>
                <w:tcPr>
                  <w:tcW w:w="1103" w:type="dxa"/>
                  <w:tcBorders>
                    <w:top w:val="single" w:color="auto" w:sz="4" w:space="0"/>
                    <w:left w:val="single" w:color="auto" w:sz="4" w:space="0"/>
                    <w:bottom w:val="single" w:color="auto" w:sz="4" w:space="0"/>
                    <w:right w:val="single" w:color="auto" w:sz="4" w:space="0"/>
                  </w:tcBorders>
                  <w:vAlign w:val="center"/>
                </w:tcPr>
                <w:p w14:paraId="58BD656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≤0.002mg/L</w:t>
                  </w:r>
                </w:p>
              </w:tc>
              <w:tc>
                <w:tcPr>
                  <w:tcW w:w="708" w:type="dxa"/>
                  <w:tcBorders>
                    <w:top w:val="single" w:color="auto" w:sz="4" w:space="0"/>
                    <w:left w:val="single" w:color="auto" w:sz="4" w:space="0"/>
                    <w:bottom w:val="single" w:color="auto" w:sz="4" w:space="0"/>
                    <w:right w:val="single" w:color="auto" w:sz="4" w:space="0"/>
                  </w:tcBorders>
                  <w:vAlign w:val="center"/>
                </w:tcPr>
                <w:p w14:paraId="69CAD51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09" w:type="dxa"/>
                  <w:tcBorders>
                    <w:top w:val="single" w:color="auto" w:sz="4" w:space="0"/>
                    <w:left w:val="single" w:color="auto" w:sz="4" w:space="0"/>
                    <w:bottom w:val="single" w:color="auto" w:sz="4" w:space="0"/>
                    <w:right w:val="single" w:color="auto" w:sz="4" w:space="0"/>
                  </w:tcBorders>
                  <w:vAlign w:val="center"/>
                </w:tcPr>
                <w:p w14:paraId="41F6228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54" w:type="dxa"/>
                  <w:tcBorders>
                    <w:top w:val="single" w:color="auto" w:sz="4" w:space="0"/>
                    <w:left w:val="single" w:color="auto" w:sz="4" w:space="0"/>
                    <w:bottom w:val="single" w:color="auto" w:sz="4" w:space="0"/>
                    <w:right w:val="single" w:color="auto" w:sz="4" w:space="0"/>
                  </w:tcBorders>
                  <w:vAlign w:val="center"/>
                </w:tcPr>
                <w:p w14:paraId="28C6808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34" w:type="dxa"/>
                  <w:tcBorders>
                    <w:top w:val="single" w:color="auto" w:sz="4" w:space="0"/>
                    <w:left w:val="single" w:color="auto" w:sz="4" w:space="0"/>
                    <w:bottom w:val="single" w:color="auto" w:sz="4" w:space="0"/>
                    <w:right w:val="single" w:color="auto" w:sz="4" w:space="0"/>
                  </w:tcBorders>
                  <w:vAlign w:val="center"/>
                </w:tcPr>
                <w:p w14:paraId="4FE697A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92" w:type="dxa"/>
                  <w:tcBorders>
                    <w:top w:val="single" w:color="auto" w:sz="4" w:space="0"/>
                    <w:left w:val="single" w:color="auto" w:sz="4" w:space="0"/>
                    <w:bottom w:val="single" w:color="auto" w:sz="4" w:space="0"/>
                    <w:right w:val="single" w:color="auto" w:sz="4" w:space="0"/>
                  </w:tcBorders>
                  <w:vAlign w:val="center"/>
                </w:tcPr>
                <w:p w14:paraId="26E9080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kern w:val="0"/>
                      <w:sz w:val="18"/>
                      <w:szCs w:val="18"/>
                    </w:rPr>
                    <w:t>≥0.995</w:t>
                  </w:r>
                </w:p>
              </w:tc>
            </w:tr>
            <w:tr w14:paraId="457159CD">
              <w:tblPrEx>
                <w:tblCellMar>
                  <w:top w:w="0" w:type="dxa"/>
                  <w:left w:w="57" w:type="dxa"/>
                  <w:bottom w:w="0" w:type="dxa"/>
                  <w:right w:w="57" w:type="dxa"/>
                </w:tblCellMar>
              </w:tblPrEx>
              <w:trPr>
                <w:trHeight w:val="759" w:hRule="atLeast"/>
              </w:trPr>
              <w:tc>
                <w:tcPr>
                  <w:tcW w:w="967" w:type="dxa"/>
                  <w:tcBorders>
                    <w:top w:val="single" w:color="auto" w:sz="4" w:space="0"/>
                    <w:left w:val="single" w:color="auto" w:sz="4" w:space="0"/>
                    <w:bottom w:val="single" w:color="auto" w:sz="4" w:space="0"/>
                    <w:right w:val="single" w:color="auto" w:sz="4" w:space="0"/>
                  </w:tcBorders>
                  <w:vAlign w:val="center"/>
                </w:tcPr>
                <w:p w14:paraId="7609522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lang w:val="en-US" w:eastAsia="zh-CN"/>
                    </w:rPr>
                    <w:t>磷酸盐</w:t>
                  </w:r>
                </w:p>
              </w:tc>
              <w:tc>
                <w:tcPr>
                  <w:tcW w:w="1085" w:type="dxa"/>
                  <w:tcBorders>
                    <w:top w:val="single" w:color="auto" w:sz="4" w:space="0"/>
                    <w:left w:val="single" w:color="auto" w:sz="4" w:space="0"/>
                    <w:bottom w:val="single" w:color="auto" w:sz="4" w:space="0"/>
                    <w:right w:val="single" w:color="auto" w:sz="4" w:space="0"/>
                  </w:tcBorders>
                  <w:vAlign w:val="center"/>
                </w:tcPr>
                <w:p w14:paraId="37326D7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磷钼蓝分光光度法</w:t>
                  </w:r>
                </w:p>
              </w:tc>
              <w:tc>
                <w:tcPr>
                  <w:tcW w:w="1085" w:type="dxa"/>
                  <w:tcBorders>
                    <w:top w:val="single" w:color="auto" w:sz="4" w:space="0"/>
                    <w:left w:val="single" w:color="auto" w:sz="4" w:space="0"/>
                    <w:bottom w:val="single" w:color="auto" w:sz="4" w:space="0"/>
                    <w:right w:val="single" w:color="auto" w:sz="4" w:space="0"/>
                  </w:tcBorders>
                  <w:vAlign w:val="center"/>
                </w:tcPr>
                <w:p w14:paraId="1212ED8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0"/>
                      <w:sz w:val="18"/>
                      <w:szCs w:val="18"/>
                    </w:rPr>
                  </w:pPr>
                  <w:r>
                    <w:rPr>
                      <w:rFonts w:hint="eastAsia" w:ascii="宋体" w:hAnsi="宋体" w:eastAsia="宋体" w:cs="宋体"/>
                      <w:sz w:val="18"/>
                      <w:szCs w:val="18"/>
                    </w:rPr>
                    <w:t>0～0.</w:t>
                  </w:r>
                  <w:r>
                    <w:rPr>
                      <w:rFonts w:hint="eastAsia" w:ascii="宋体" w:hAnsi="宋体" w:eastAsia="宋体" w:cs="宋体"/>
                      <w:sz w:val="18"/>
                      <w:szCs w:val="18"/>
                      <w:lang w:val="en-US" w:eastAsia="zh-CN"/>
                    </w:rPr>
                    <w:t>1</w:t>
                  </w:r>
                  <w:r>
                    <w:rPr>
                      <w:rFonts w:hint="eastAsia" w:ascii="宋体" w:hAnsi="宋体" w:eastAsia="宋体" w:cs="宋体"/>
                      <w:sz w:val="18"/>
                      <w:szCs w:val="18"/>
                    </w:rPr>
                    <w:t>mg/L</w:t>
                  </w:r>
                </w:p>
              </w:tc>
              <w:tc>
                <w:tcPr>
                  <w:tcW w:w="1103" w:type="dxa"/>
                  <w:tcBorders>
                    <w:top w:val="single" w:color="auto" w:sz="4" w:space="0"/>
                    <w:left w:val="single" w:color="auto" w:sz="4" w:space="0"/>
                    <w:bottom w:val="single" w:color="auto" w:sz="4" w:space="0"/>
                    <w:right w:val="single" w:color="auto" w:sz="4" w:space="0"/>
                  </w:tcBorders>
                  <w:vAlign w:val="center"/>
                </w:tcPr>
                <w:p w14:paraId="5831BEA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≤0.00</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mg/L</w:t>
                  </w:r>
                </w:p>
              </w:tc>
              <w:tc>
                <w:tcPr>
                  <w:tcW w:w="708" w:type="dxa"/>
                  <w:tcBorders>
                    <w:top w:val="single" w:color="auto" w:sz="4" w:space="0"/>
                    <w:left w:val="single" w:color="auto" w:sz="4" w:space="0"/>
                    <w:bottom w:val="single" w:color="auto" w:sz="4" w:space="0"/>
                    <w:right w:val="single" w:color="auto" w:sz="4" w:space="0"/>
                  </w:tcBorders>
                  <w:vAlign w:val="center"/>
                </w:tcPr>
                <w:p w14:paraId="49D445B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w:t>
                  </w:r>
                </w:p>
              </w:tc>
              <w:tc>
                <w:tcPr>
                  <w:tcW w:w="809" w:type="dxa"/>
                  <w:tcBorders>
                    <w:top w:val="single" w:color="auto" w:sz="4" w:space="0"/>
                    <w:left w:val="single" w:color="auto" w:sz="4" w:space="0"/>
                    <w:bottom w:val="single" w:color="auto" w:sz="4" w:space="0"/>
                    <w:right w:val="single" w:color="auto" w:sz="4" w:space="0"/>
                  </w:tcBorders>
                  <w:vAlign w:val="center"/>
                </w:tcPr>
                <w:p w14:paraId="7EBBBE7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54" w:type="dxa"/>
                  <w:tcBorders>
                    <w:top w:val="single" w:color="auto" w:sz="4" w:space="0"/>
                    <w:left w:val="single" w:color="auto" w:sz="4" w:space="0"/>
                    <w:bottom w:val="single" w:color="auto" w:sz="4" w:space="0"/>
                    <w:right w:val="single" w:color="auto" w:sz="4" w:space="0"/>
                  </w:tcBorders>
                  <w:vAlign w:val="center"/>
                </w:tcPr>
                <w:p w14:paraId="0C5CACB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34" w:type="dxa"/>
                  <w:tcBorders>
                    <w:top w:val="single" w:color="auto" w:sz="4" w:space="0"/>
                    <w:left w:val="single" w:color="auto" w:sz="4" w:space="0"/>
                    <w:bottom w:val="single" w:color="auto" w:sz="4" w:space="0"/>
                    <w:right w:val="single" w:color="auto" w:sz="4" w:space="0"/>
                  </w:tcBorders>
                  <w:vAlign w:val="center"/>
                </w:tcPr>
                <w:p w14:paraId="231E404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92" w:type="dxa"/>
                  <w:tcBorders>
                    <w:top w:val="single" w:color="auto" w:sz="4" w:space="0"/>
                    <w:left w:val="single" w:color="auto" w:sz="4" w:space="0"/>
                    <w:bottom w:val="single" w:color="auto" w:sz="4" w:space="0"/>
                    <w:right w:val="single" w:color="auto" w:sz="4" w:space="0"/>
                  </w:tcBorders>
                  <w:vAlign w:val="center"/>
                </w:tcPr>
                <w:p w14:paraId="1759723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kern w:val="0"/>
                      <w:sz w:val="18"/>
                      <w:szCs w:val="18"/>
                    </w:rPr>
                    <w:t>≥0.995</w:t>
                  </w:r>
                </w:p>
              </w:tc>
            </w:tr>
          </w:tbl>
          <w:p w14:paraId="3EBFF8FD">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eastAsia="zh-CN" w:bidi="ar"/>
              </w:rPr>
              <w:t>四</w:t>
            </w:r>
            <w:r>
              <w:rPr>
                <w:rFonts w:hint="eastAsia" w:ascii="宋体" w:hAnsi="宋体" w:eastAsia="宋体" w:cs="宋体"/>
                <w:b/>
                <w:bCs/>
                <w:sz w:val="24"/>
                <w:szCs w:val="24"/>
                <w:lang w:bidi="ar"/>
              </w:rPr>
              <w:t>、配置清单</w:t>
            </w:r>
            <w:r>
              <w:rPr>
                <w:rFonts w:hint="eastAsia" w:ascii="宋体" w:hAnsi="宋体" w:eastAsia="宋体" w:cs="宋体"/>
                <w:b/>
                <w:bCs/>
                <w:szCs w:val="21"/>
              </w:rPr>
              <w:t>（包含却不限于）</w:t>
            </w:r>
          </w:p>
          <w:p w14:paraId="48C0324F">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1.主机（氨氮/硝酸盐/亚硝酸盐/磷酸盐）：1台/套。</w:t>
            </w:r>
          </w:p>
          <w:p w14:paraId="772A3C52">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2.仪器安装固定支架：1个/套。</w:t>
            </w:r>
          </w:p>
          <w:p w14:paraId="69629D2D">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3.电源适配器：1个/套。</w:t>
            </w:r>
          </w:p>
          <w:p w14:paraId="3D6842F6">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4.水下电缆：1根/套。</w:t>
            </w:r>
          </w:p>
          <w:p w14:paraId="7734BF82">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5.试剂舱：1个/套。</w:t>
            </w:r>
          </w:p>
          <w:p w14:paraId="681E073D">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sz w:val="24"/>
                <w:szCs w:val="24"/>
                <w:lang w:bidi="ar"/>
              </w:rPr>
              <w:t>6.试剂填充配件：1个/套。</w:t>
            </w:r>
          </w:p>
          <w:p w14:paraId="71C8F997">
            <w:pPr>
              <w:rPr>
                <w:rFonts w:hint="eastAsia" w:ascii="宋体" w:hAnsi="宋体" w:eastAsia="宋体" w:cs="宋体"/>
                <w:b/>
                <w:bCs/>
                <w:sz w:val="24"/>
                <w:szCs w:val="24"/>
              </w:rPr>
            </w:pPr>
            <w:r>
              <w:rPr>
                <w:rFonts w:hint="eastAsia" w:ascii="宋体" w:hAnsi="宋体" w:eastAsia="宋体" w:cs="宋体"/>
                <w:b/>
                <w:bCs/>
                <w:sz w:val="24"/>
                <w:szCs w:val="24"/>
              </w:rPr>
              <w:t>五、验收要求</w:t>
            </w:r>
          </w:p>
          <w:p w14:paraId="18AD4F15">
            <w:pPr>
              <w:tabs>
                <w:tab w:val="left" w:pos="3227"/>
              </w:tabs>
              <w:adjustRightInd w:val="0"/>
              <w:snapToGrid w:val="0"/>
              <w:spacing w:line="40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lang w:val="en-US" w:eastAsia="zh-CN" w:bidi="ar"/>
              </w:rPr>
              <w:t>仪器配置清单应齐全。</w:t>
            </w:r>
            <w:r>
              <w:rPr>
                <w:rFonts w:hint="eastAsia" w:ascii="宋体" w:hAnsi="宋体" w:eastAsia="宋体" w:cs="宋体"/>
                <w:sz w:val="24"/>
                <w:szCs w:val="24"/>
                <w:lang w:bidi="ar"/>
              </w:rPr>
              <w:t>其余条款验收根据仪器配置说明、仪器铭牌、操作手册、保养维护说明、仪器实际安装情况、实际收货数量等进行验收。</w:t>
            </w:r>
          </w:p>
          <w:p w14:paraId="2347D03D">
            <w:pPr>
              <w:tabs>
                <w:tab w:val="left" w:pos="3227"/>
              </w:tabs>
              <w:adjustRightInd w:val="0"/>
              <w:snapToGrid w:val="0"/>
              <w:spacing w:line="400" w:lineRule="exact"/>
              <w:jc w:val="left"/>
              <w:rPr>
                <w:rFonts w:hint="eastAsia" w:ascii="宋体" w:hAnsi="宋体" w:eastAsia="宋体" w:cs="宋体"/>
                <w:sz w:val="24"/>
                <w:szCs w:val="24"/>
                <w:lang w:val="en-US" w:eastAsia="zh-CN"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应按照仪器采购需求表1的要求对仪器开展检出限、精密度、准确度、稳定性、标准曲线等测试，测试可在室内开展；</w:t>
            </w:r>
          </w:p>
          <w:p w14:paraId="3EA3F45C">
            <w:pPr>
              <w:tabs>
                <w:tab w:val="left" w:pos="3227"/>
              </w:tabs>
              <w:adjustRightInd w:val="0"/>
              <w:snapToGrid w:val="0"/>
              <w:spacing w:line="400" w:lineRule="exact"/>
              <w:jc w:val="left"/>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满足海上试运行至少30天的技术要求：试运行的例行维护周期、运行要求和质量保证与质量控制要求应与正式运行相同。试运行期间不允许对仪器进行任何形式的仪器设备更换或维修，若仪器出现严重故障，应结束试运行。试运行期间因台风等不可抗力造成仪器运行中断的，仪器恢复正常运行后，试运行顺延相应的时间。</w:t>
            </w:r>
          </w:p>
          <w:p w14:paraId="4ACF8CDA">
            <w:pPr>
              <w:tabs>
                <w:tab w:val="left" w:pos="3227"/>
              </w:tabs>
              <w:adjustRightInd w:val="0"/>
              <w:snapToGrid w:val="0"/>
              <w:spacing w:line="400" w:lineRule="exact"/>
              <w:jc w:val="left"/>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4、海上试运行期间，各监测指标的24h标样核查和24h空白核查结果满足表2要求的比例均应不低于90%，标液漂移和空白漂移结果满足表2要求的比例不低于90%。</w:t>
            </w:r>
          </w:p>
          <w:p w14:paraId="3331A7C3">
            <w:pPr>
              <w:tabs>
                <w:tab w:val="left" w:pos="3227"/>
              </w:tabs>
              <w:adjustRightInd w:val="0"/>
              <w:snapToGrid w:val="0"/>
              <w:spacing w:line="400" w:lineRule="exact"/>
              <w:jc w:val="left"/>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5、仪器性能室内测试满足甲方提供的标准物质测量准确度±10%和精密度≤10%的要求。</w:t>
            </w:r>
          </w:p>
          <w:p w14:paraId="7F8B5B99">
            <w:pPr>
              <w:pageBreakBefore w:val="0"/>
              <w:wordWrap/>
              <w:overflowPunct/>
              <w:topLinePunct w:val="0"/>
              <w:bidi w:val="0"/>
              <w:snapToGrid w:val="0"/>
              <w:spacing w:line="360" w:lineRule="auto"/>
              <w:ind w:firstLine="402" w:firstLineChars="200"/>
              <w:jc w:val="center"/>
              <w:rPr>
                <w:rFonts w:hint="eastAsia" w:ascii="宋体" w:hAnsi="宋体" w:eastAsia="宋体" w:cs="宋体"/>
                <w:sz w:val="20"/>
                <w:szCs w:val="20"/>
              </w:rPr>
            </w:pPr>
            <w:r>
              <w:rPr>
                <w:rFonts w:hint="eastAsia" w:ascii="宋体" w:hAnsi="宋体" w:eastAsia="宋体" w:cs="宋体"/>
                <w:b/>
                <w:bCs/>
                <w:sz w:val="20"/>
                <w:szCs w:val="20"/>
              </w:rPr>
              <w:t>表</w:t>
            </w:r>
            <w:r>
              <w:rPr>
                <w:rFonts w:hint="eastAsia" w:ascii="宋体" w:hAnsi="宋体" w:eastAsia="宋体" w:cs="宋体"/>
                <w:b/>
                <w:bCs/>
                <w:sz w:val="20"/>
                <w:szCs w:val="20"/>
                <w:lang w:val="en-US" w:eastAsia="zh-CN"/>
              </w:rPr>
              <w:t xml:space="preserve">2 </w:t>
            </w:r>
            <w:r>
              <w:rPr>
                <w:rFonts w:hint="eastAsia" w:ascii="宋体" w:hAnsi="宋体" w:eastAsia="宋体" w:cs="宋体"/>
                <w:b/>
                <w:bCs/>
                <w:sz w:val="20"/>
                <w:szCs w:val="20"/>
                <w:lang w:eastAsia="zh-CN"/>
              </w:rPr>
              <w:t>自动监测站海上试</w:t>
            </w:r>
            <w:r>
              <w:rPr>
                <w:rFonts w:hint="eastAsia" w:ascii="宋体" w:hAnsi="宋体" w:eastAsia="宋体" w:cs="宋体"/>
                <w:b/>
                <w:bCs/>
                <w:sz w:val="20"/>
                <w:szCs w:val="20"/>
              </w:rPr>
              <w:t>运行</w:t>
            </w:r>
            <w:r>
              <w:rPr>
                <w:rFonts w:hint="eastAsia" w:ascii="宋体" w:hAnsi="宋体" w:eastAsia="宋体" w:cs="宋体"/>
                <w:b/>
                <w:bCs/>
                <w:sz w:val="20"/>
                <w:szCs w:val="20"/>
                <w:lang w:val="en-US" w:eastAsia="zh-CN"/>
              </w:rPr>
              <w:t>质量控制</w:t>
            </w:r>
            <w:r>
              <w:rPr>
                <w:rFonts w:hint="eastAsia" w:ascii="宋体" w:hAnsi="宋体" w:eastAsia="宋体" w:cs="宋体"/>
                <w:b/>
                <w:bCs/>
                <w:sz w:val="20"/>
                <w:szCs w:val="20"/>
              </w:rPr>
              <w:t>技术要求</w:t>
            </w:r>
          </w:p>
          <w:tbl>
            <w:tblPr>
              <w:tblStyle w:val="61"/>
              <w:tblW w:w="7738" w:type="dxa"/>
              <w:jc w:val="center"/>
              <w:tblLayout w:type="fixed"/>
              <w:tblCellMar>
                <w:top w:w="0" w:type="dxa"/>
                <w:left w:w="57" w:type="dxa"/>
                <w:bottom w:w="0" w:type="dxa"/>
                <w:right w:w="57" w:type="dxa"/>
              </w:tblCellMar>
            </w:tblPr>
            <w:tblGrid>
              <w:gridCol w:w="1511"/>
              <w:gridCol w:w="1546"/>
              <w:gridCol w:w="1876"/>
              <w:gridCol w:w="1388"/>
              <w:gridCol w:w="1417"/>
            </w:tblGrid>
            <w:tr w14:paraId="6ED68A27">
              <w:tblPrEx>
                <w:tblCellMar>
                  <w:top w:w="0" w:type="dxa"/>
                  <w:left w:w="57" w:type="dxa"/>
                  <w:bottom w:w="0" w:type="dxa"/>
                  <w:right w:w="57" w:type="dxa"/>
                </w:tblCellMar>
              </w:tblPrEx>
              <w:trPr>
                <w:trHeight w:val="857"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14:paraId="33D65C12">
                  <w:pPr>
                    <w:pageBreakBefore w:val="0"/>
                    <w:widowControl/>
                    <w:wordWrap/>
                    <w:overflowPunct/>
                    <w:topLinePunct w:val="0"/>
                    <w:bidi w:val="0"/>
                    <w:spacing w:line="24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分析</w:t>
                  </w:r>
                </w:p>
                <w:p w14:paraId="158AC105">
                  <w:pPr>
                    <w:pageBreakBefore w:val="0"/>
                    <w:widowControl/>
                    <w:wordWrap/>
                    <w:overflowPunct/>
                    <w:topLinePunct w:val="0"/>
                    <w:bidi w:val="0"/>
                    <w:spacing w:line="240" w:lineRule="auto"/>
                    <w:jc w:val="center"/>
                    <w:rPr>
                      <w:rFonts w:hint="eastAsia" w:ascii="宋体" w:hAnsi="宋体" w:eastAsia="宋体" w:cs="宋体"/>
                      <w:b/>
                      <w:bCs/>
                      <w:color w:val="000000"/>
                      <w:kern w:val="0"/>
                      <w:sz w:val="20"/>
                      <w:szCs w:val="20"/>
                    </w:rPr>
                  </w:pPr>
                  <w:r>
                    <w:rPr>
                      <w:rFonts w:hint="eastAsia" w:ascii="宋体" w:hAnsi="宋体" w:eastAsia="宋体" w:cs="宋体"/>
                      <w:b/>
                      <w:color w:val="000000"/>
                      <w:kern w:val="0"/>
                      <w:sz w:val="20"/>
                      <w:szCs w:val="20"/>
                    </w:rPr>
                    <w:t>项目</w:t>
                  </w:r>
                </w:p>
              </w:tc>
              <w:tc>
                <w:tcPr>
                  <w:tcW w:w="1546" w:type="dxa"/>
                  <w:tcBorders>
                    <w:top w:val="single" w:color="auto" w:sz="4" w:space="0"/>
                    <w:left w:val="single" w:color="auto" w:sz="4" w:space="0"/>
                    <w:bottom w:val="single" w:color="auto" w:sz="4" w:space="0"/>
                    <w:right w:val="single" w:color="auto" w:sz="4" w:space="0"/>
                  </w:tcBorders>
                  <w:vAlign w:val="center"/>
                </w:tcPr>
                <w:p w14:paraId="051194AE">
                  <w:pPr>
                    <w:pageBreakBefore w:val="0"/>
                    <w:widowControl/>
                    <w:wordWrap/>
                    <w:overflowPunct/>
                    <w:topLinePunct w:val="0"/>
                    <w:bidi w:val="0"/>
                    <w:spacing w:line="240" w:lineRule="auto"/>
                    <w:jc w:val="center"/>
                    <w:rPr>
                      <w:rFonts w:hint="eastAsia" w:ascii="宋体" w:hAnsi="宋体" w:eastAsia="宋体" w:cs="宋体"/>
                      <w:b/>
                      <w:bCs/>
                      <w:color w:val="000000"/>
                      <w:spacing w:val="-10"/>
                      <w:kern w:val="0"/>
                      <w:sz w:val="20"/>
                      <w:szCs w:val="20"/>
                      <w:lang w:val="en-US" w:eastAsia="zh-CN"/>
                    </w:rPr>
                  </w:pPr>
                  <w:r>
                    <w:rPr>
                      <w:rFonts w:hint="eastAsia" w:ascii="宋体" w:hAnsi="宋体" w:eastAsia="宋体" w:cs="宋体"/>
                      <w:b/>
                      <w:bCs/>
                      <w:color w:val="000000"/>
                      <w:spacing w:val="0"/>
                      <w:kern w:val="0"/>
                      <w:sz w:val="20"/>
                      <w:szCs w:val="20"/>
                      <w:lang w:val="en-US" w:eastAsia="zh-CN"/>
                    </w:rPr>
                    <w:t>24h标样核查</w:t>
                  </w:r>
                </w:p>
              </w:tc>
              <w:tc>
                <w:tcPr>
                  <w:tcW w:w="1876" w:type="dxa"/>
                  <w:tcBorders>
                    <w:top w:val="single" w:color="auto" w:sz="4" w:space="0"/>
                    <w:left w:val="single" w:color="auto" w:sz="4" w:space="0"/>
                    <w:bottom w:val="single" w:color="auto" w:sz="4" w:space="0"/>
                    <w:right w:val="single" w:color="auto" w:sz="4" w:space="0"/>
                  </w:tcBorders>
                  <w:vAlign w:val="center"/>
                </w:tcPr>
                <w:p w14:paraId="74524331">
                  <w:pPr>
                    <w:pageBreakBefore w:val="0"/>
                    <w:widowControl/>
                    <w:wordWrap/>
                    <w:overflowPunct/>
                    <w:topLinePunct w:val="0"/>
                    <w:bidi w:val="0"/>
                    <w:spacing w:line="240" w:lineRule="auto"/>
                    <w:jc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24h空白</w:t>
                  </w:r>
                </w:p>
                <w:p w14:paraId="44996310">
                  <w:pPr>
                    <w:pageBreakBefore w:val="0"/>
                    <w:widowControl/>
                    <w:wordWrap/>
                    <w:overflowPunct/>
                    <w:topLinePunct w:val="0"/>
                    <w:bidi w:val="0"/>
                    <w:spacing w:line="240" w:lineRule="auto"/>
                    <w:jc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核查</w:t>
                  </w:r>
                </w:p>
              </w:tc>
              <w:tc>
                <w:tcPr>
                  <w:tcW w:w="1388" w:type="dxa"/>
                  <w:tcBorders>
                    <w:top w:val="single" w:color="auto" w:sz="4" w:space="0"/>
                    <w:left w:val="single" w:color="auto" w:sz="4" w:space="0"/>
                    <w:bottom w:val="single" w:color="auto" w:sz="4" w:space="0"/>
                    <w:right w:val="single" w:color="auto" w:sz="4" w:space="0"/>
                  </w:tcBorders>
                  <w:vAlign w:val="center"/>
                </w:tcPr>
                <w:p w14:paraId="45804B7A">
                  <w:pPr>
                    <w:pageBreakBefore w:val="0"/>
                    <w:widowControl/>
                    <w:wordWrap/>
                    <w:overflowPunct/>
                    <w:topLinePunct w:val="0"/>
                    <w:bidi w:val="0"/>
                    <w:spacing w:line="240" w:lineRule="auto"/>
                    <w:jc w:val="center"/>
                    <w:rPr>
                      <w:rFonts w:hint="eastAsia" w:ascii="宋体" w:hAnsi="宋体" w:eastAsia="宋体" w:cs="宋体"/>
                      <w:b/>
                      <w:bCs/>
                      <w:color w:val="000000"/>
                      <w:spacing w:val="-10"/>
                      <w:kern w:val="0"/>
                      <w:sz w:val="20"/>
                      <w:szCs w:val="20"/>
                    </w:rPr>
                  </w:pPr>
                  <w:r>
                    <w:rPr>
                      <w:rFonts w:hint="eastAsia" w:ascii="宋体" w:hAnsi="宋体" w:eastAsia="宋体" w:cs="宋体"/>
                      <w:b/>
                      <w:bCs/>
                      <w:color w:val="000000"/>
                      <w:spacing w:val="-10"/>
                      <w:kern w:val="0"/>
                      <w:sz w:val="20"/>
                      <w:szCs w:val="20"/>
                    </w:rPr>
                    <w:t>标准溶液</w:t>
                  </w:r>
                </w:p>
                <w:p w14:paraId="40076504">
                  <w:pPr>
                    <w:pageBreakBefore w:val="0"/>
                    <w:widowControl/>
                    <w:wordWrap/>
                    <w:overflowPunct/>
                    <w:topLinePunct w:val="0"/>
                    <w:bidi w:val="0"/>
                    <w:spacing w:line="240" w:lineRule="auto"/>
                    <w:jc w:val="center"/>
                    <w:rPr>
                      <w:rFonts w:hint="eastAsia" w:ascii="宋体" w:hAnsi="宋体" w:eastAsia="宋体" w:cs="宋体"/>
                      <w:b/>
                      <w:bCs/>
                      <w:color w:val="000000"/>
                      <w:kern w:val="0"/>
                      <w:sz w:val="20"/>
                      <w:szCs w:val="20"/>
                    </w:rPr>
                  </w:pPr>
                  <w:r>
                    <w:rPr>
                      <w:rFonts w:hint="eastAsia" w:ascii="宋体" w:hAnsi="宋体" w:eastAsia="宋体" w:cs="宋体"/>
                      <w:b/>
                      <w:bCs/>
                      <w:color w:val="000000"/>
                      <w:spacing w:val="-10"/>
                      <w:kern w:val="0"/>
                      <w:sz w:val="20"/>
                      <w:szCs w:val="20"/>
                    </w:rPr>
                    <w:t>漂移</w:t>
                  </w:r>
                </w:p>
              </w:tc>
              <w:tc>
                <w:tcPr>
                  <w:tcW w:w="1417" w:type="dxa"/>
                  <w:tcBorders>
                    <w:top w:val="single" w:color="auto" w:sz="4" w:space="0"/>
                    <w:left w:val="single" w:color="auto" w:sz="4" w:space="0"/>
                    <w:bottom w:val="single" w:color="auto" w:sz="4" w:space="0"/>
                    <w:right w:val="single" w:color="auto" w:sz="4" w:space="0"/>
                  </w:tcBorders>
                  <w:vAlign w:val="center"/>
                </w:tcPr>
                <w:p w14:paraId="6804D9F8">
                  <w:pPr>
                    <w:pageBreakBefore w:val="0"/>
                    <w:widowControl/>
                    <w:wordWrap/>
                    <w:overflowPunct/>
                    <w:topLinePunct w:val="0"/>
                    <w:bidi w:val="0"/>
                    <w:spacing w:line="240" w:lineRule="auto"/>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空白</w:t>
                  </w:r>
                </w:p>
                <w:p w14:paraId="18E94E67">
                  <w:pPr>
                    <w:pageBreakBefore w:val="0"/>
                    <w:widowControl/>
                    <w:wordWrap/>
                    <w:overflowPunct/>
                    <w:topLinePunct w:val="0"/>
                    <w:bidi w:val="0"/>
                    <w:spacing w:line="240" w:lineRule="auto"/>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漂移</w:t>
                  </w:r>
                </w:p>
              </w:tc>
            </w:tr>
            <w:tr w14:paraId="0B579BA7">
              <w:tblPrEx>
                <w:tblCellMar>
                  <w:top w:w="0" w:type="dxa"/>
                  <w:left w:w="57" w:type="dxa"/>
                  <w:bottom w:w="0" w:type="dxa"/>
                  <w:right w:w="57" w:type="dxa"/>
                </w:tblCellMar>
              </w:tblPrEx>
              <w:trPr>
                <w:trHeight w:val="534"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14:paraId="2975ED69">
                  <w:pPr>
                    <w:pageBreakBefore w:val="0"/>
                    <w:widowControl/>
                    <w:wordWrap/>
                    <w:overflowPunct/>
                    <w:topLinePunct w:val="0"/>
                    <w:bidi w:val="0"/>
                    <w:spacing w:line="36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氨氮</w:t>
                  </w:r>
                </w:p>
              </w:tc>
              <w:tc>
                <w:tcPr>
                  <w:tcW w:w="1546" w:type="dxa"/>
                  <w:tcBorders>
                    <w:top w:val="single" w:color="auto" w:sz="4" w:space="0"/>
                    <w:left w:val="single" w:color="auto" w:sz="4" w:space="0"/>
                    <w:bottom w:val="single" w:color="auto" w:sz="4" w:space="0"/>
                    <w:right w:val="single" w:color="auto" w:sz="4" w:space="0"/>
                  </w:tcBorders>
                  <w:vAlign w:val="center"/>
                </w:tcPr>
                <w:p w14:paraId="18A47E75">
                  <w:pPr>
                    <w:spacing w:line="360" w:lineRule="auto"/>
                    <w:jc w:val="center"/>
                    <w:rPr>
                      <w:rFonts w:hint="eastAsia" w:ascii="宋体" w:hAnsi="宋体" w:eastAsia="宋体" w:cs="宋体"/>
                      <w:kern w:val="0"/>
                      <w:sz w:val="20"/>
                      <w:szCs w:val="20"/>
                    </w:rPr>
                  </w:pPr>
                  <w:r>
                    <w:rPr>
                      <w:rFonts w:hint="eastAsia" w:ascii="宋体" w:hAnsi="宋体" w:eastAsia="宋体" w:cs="宋体"/>
                      <w:kern w:val="0"/>
                      <w:sz w:val="18"/>
                      <w:szCs w:val="18"/>
                    </w:rPr>
                    <w:t>±20%</w:t>
                  </w:r>
                </w:p>
              </w:tc>
              <w:tc>
                <w:tcPr>
                  <w:tcW w:w="1876" w:type="dxa"/>
                  <w:tcBorders>
                    <w:top w:val="single" w:color="auto" w:sz="4" w:space="0"/>
                    <w:left w:val="single" w:color="auto" w:sz="4" w:space="0"/>
                    <w:bottom w:val="single" w:color="auto" w:sz="4" w:space="0"/>
                    <w:right w:val="single" w:color="auto" w:sz="4" w:space="0"/>
                  </w:tcBorders>
                  <w:vAlign w:val="center"/>
                </w:tcPr>
                <w:p w14:paraId="77B17C0E">
                  <w:pPr>
                    <w:pageBreakBefore w:val="0"/>
                    <w:widowControl/>
                    <w:wordWrap/>
                    <w:overflowPunct/>
                    <w:topLinePunct w:val="0"/>
                    <w:bidi w:val="0"/>
                    <w:spacing w:line="240" w:lineRule="auto"/>
                    <w:jc w:val="center"/>
                    <w:rPr>
                      <w:rFonts w:hint="eastAsia" w:ascii="宋体" w:hAnsi="宋体" w:eastAsia="宋体" w:cs="宋体"/>
                      <w:kern w:val="0"/>
                      <w:sz w:val="20"/>
                      <w:szCs w:val="20"/>
                      <w:highlight w:val="none"/>
                    </w:rPr>
                  </w:pPr>
                  <w:r>
                    <w:rPr>
                      <w:rFonts w:hint="eastAsia" w:ascii="宋体" w:hAnsi="宋体" w:eastAsia="宋体" w:cs="宋体"/>
                      <w:kern w:val="0"/>
                      <w:sz w:val="18"/>
                      <w:szCs w:val="18"/>
                      <w:highlight w:val="none"/>
                    </w:rPr>
                    <w:t>±0.0</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mg/L</w:t>
                  </w:r>
                </w:p>
              </w:tc>
              <w:tc>
                <w:tcPr>
                  <w:tcW w:w="1388" w:type="dxa"/>
                  <w:tcBorders>
                    <w:top w:val="single" w:color="auto" w:sz="4" w:space="0"/>
                    <w:left w:val="single" w:color="auto" w:sz="4" w:space="0"/>
                    <w:bottom w:val="single" w:color="auto" w:sz="4" w:space="0"/>
                    <w:right w:val="single" w:color="auto" w:sz="4" w:space="0"/>
                  </w:tcBorders>
                  <w:vAlign w:val="center"/>
                </w:tcPr>
                <w:p w14:paraId="62C4AEF6">
                  <w:pPr>
                    <w:spacing w:line="360" w:lineRule="auto"/>
                    <w:jc w:val="center"/>
                    <w:rPr>
                      <w:rFonts w:hint="eastAsia" w:ascii="宋体" w:hAnsi="宋体" w:eastAsia="宋体" w:cs="宋体"/>
                      <w:sz w:val="20"/>
                      <w:szCs w:val="20"/>
                      <w:highlight w:val="none"/>
                    </w:rPr>
                  </w:pPr>
                  <w:r>
                    <w:rPr>
                      <w:rFonts w:hint="eastAsia" w:ascii="宋体" w:hAnsi="宋体" w:eastAsia="宋体" w:cs="宋体"/>
                      <w:sz w:val="18"/>
                      <w:szCs w:val="18"/>
                      <w:highlight w:val="none"/>
                    </w:rPr>
                    <w:t>±10%</w:t>
                  </w:r>
                </w:p>
              </w:tc>
              <w:tc>
                <w:tcPr>
                  <w:tcW w:w="1417" w:type="dxa"/>
                  <w:tcBorders>
                    <w:top w:val="single" w:color="auto" w:sz="4" w:space="0"/>
                    <w:left w:val="single" w:color="auto" w:sz="4" w:space="0"/>
                    <w:bottom w:val="single" w:color="auto" w:sz="4" w:space="0"/>
                    <w:right w:val="single" w:color="auto" w:sz="4" w:space="0"/>
                  </w:tcBorders>
                  <w:vAlign w:val="center"/>
                </w:tcPr>
                <w:p w14:paraId="5A33008A">
                  <w:pPr>
                    <w:spacing w:line="360" w:lineRule="auto"/>
                    <w:jc w:val="center"/>
                    <w:rPr>
                      <w:rFonts w:hint="eastAsia" w:ascii="宋体" w:hAnsi="宋体" w:eastAsia="宋体" w:cs="宋体"/>
                      <w:sz w:val="20"/>
                      <w:szCs w:val="20"/>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10</w:t>
                  </w:r>
                  <w:r>
                    <w:rPr>
                      <w:rFonts w:hint="eastAsia" w:ascii="宋体" w:hAnsi="宋体" w:eastAsia="宋体" w:cs="宋体"/>
                      <w:sz w:val="18"/>
                      <w:szCs w:val="18"/>
                      <w:highlight w:val="none"/>
                    </w:rPr>
                    <w:t>%</w:t>
                  </w:r>
                </w:p>
              </w:tc>
            </w:tr>
            <w:tr w14:paraId="5FF88CB5">
              <w:tblPrEx>
                <w:tblCellMar>
                  <w:top w:w="0" w:type="dxa"/>
                  <w:left w:w="57" w:type="dxa"/>
                  <w:bottom w:w="0" w:type="dxa"/>
                  <w:right w:w="57" w:type="dxa"/>
                </w:tblCellMar>
              </w:tblPrEx>
              <w:trPr>
                <w:trHeight w:val="534"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14:paraId="1F03BB4C">
                  <w:pPr>
                    <w:pageBreakBefore w:val="0"/>
                    <w:widowControl/>
                    <w:wordWrap/>
                    <w:overflowPunct/>
                    <w:topLinePunct w:val="0"/>
                    <w:bidi w:val="0"/>
                    <w:spacing w:line="36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硝酸盐氮</w:t>
                  </w:r>
                </w:p>
              </w:tc>
              <w:tc>
                <w:tcPr>
                  <w:tcW w:w="1546" w:type="dxa"/>
                  <w:tcBorders>
                    <w:top w:val="single" w:color="auto" w:sz="4" w:space="0"/>
                    <w:left w:val="single" w:color="auto" w:sz="4" w:space="0"/>
                    <w:bottom w:val="single" w:color="auto" w:sz="4" w:space="0"/>
                    <w:right w:val="single" w:color="auto" w:sz="4" w:space="0"/>
                  </w:tcBorders>
                  <w:vAlign w:val="center"/>
                </w:tcPr>
                <w:p w14:paraId="4D653C3E">
                  <w:pPr>
                    <w:spacing w:line="360" w:lineRule="auto"/>
                    <w:jc w:val="center"/>
                    <w:rPr>
                      <w:rFonts w:hint="eastAsia" w:ascii="宋体" w:hAnsi="宋体" w:eastAsia="宋体" w:cs="宋体"/>
                      <w:kern w:val="0"/>
                      <w:sz w:val="20"/>
                      <w:szCs w:val="20"/>
                    </w:rPr>
                  </w:pPr>
                  <w:r>
                    <w:rPr>
                      <w:rFonts w:hint="eastAsia" w:ascii="宋体" w:hAnsi="宋体" w:eastAsia="宋体" w:cs="宋体"/>
                      <w:kern w:val="0"/>
                      <w:sz w:val="18"/>
                      <w:szCs w:val="18"/>
                    </w:rPr>
                    <w:t>±20%</w:t>
                  </w:r>
                </w:p>
              </w:tc>
              <w:tc>
                <w:tcPr>
                  <w:tcW w:w="1876" w:type="dxa"/>
                  <w:tcBorders>
                    <w:top w:val="single" w:color="auto" w:sz="4" w:space="0"/>
                    <w:left w:val="single" w:color="auto" w:sz="4" w:space="0"/>
                    <w:bottom w:val="single" w:color="auto" w:sz="4" w:space="0"/>
                    <w:right w:val="single" w:color="auto" w:sz="4" w:space="0"/>
                  </w:tcBorders>
                  <w:vAlign w:val="center"/>
                </w:tcPr>
                <w:p w14:paraId="2C46A9EB">
                  <w:pPr>
                    <w:pageBreakBefore w:val="0"/>
                    <w:widowControl/>
                    <w:wordWrap/>
                    <w:overflowPunct/>
                    <w:topLinePunct w:val="0"/>
                    <w:bidi w:val="0"/>
                    <w:spacing w:line="240" w:lineRule="auto"/>
                    <w:jc w:val="center"/>
                    <w:rPr>
                      <w:rFonts w:hint="eastAsia" w:ascii="宋体" w:hAnsi="宋体" w:eastAsia="宋体" w:cs="宋体"/>
                      <w:kern w:val="0"/>
                      <w:sz w:val="20"/>
                      <w:szCs w:val="20"/>
                      <w:highlight w:val="none"/>
                    </w:rPr>
                  </w:pPr>
                  <w:r>
                    <w:rPr>
                      <w:rFonts w:hint="eastAsia" w:ascii="宋体" w:hAnsi="宋体" w:eastAsia="宋体" w:cs="宋体"/>
                      <w:kern w:val="0"/>
                      <w:sz w:val="18"/>
                      <w:szCs w:val="18"/>
                      <w:highlight w:val="none"/>
                    </w:rPr>
                    <w:t>±0.0</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mg/L</w:t>
                  </w:r>
                </w:p>
              </w:tc>
              <w:tc>
                <w:tcPr>
                  <w:tcW w:w="1388" w:type="dxa"/>
                  <w:tcBorders>
                    <w:top w:val="single" w:color="auto" w:sz="4" w:space="0"/>
                    <w:left w:val="single" w:color="auto" w:sz="4" w:space="0"/>
                    <w:bottom w:val="single" w:color="auto" w:sz="4" w:space="0"/>
                    <w:right w:val="single" w:color="auto" w:sz="4" w:space="0"/>
                  </w:tcBorders>
                  <w:vAlign w:val="center"/>
                </w:tcPr>
                <w:p w14:paraId="3A4E1919">
                  <w:pPr>
                    <w:spacing w:line="360" w:lineRule="auto"/>
                    <w:jc w:val="center"/>
                    <w:rPr>
                      <w:rFonts w:hint="eastAsia" w:ascii="宋体" w:hAnsi="宋体" w:eastAsia="宋体" w:cs="宋体"/>
                      <w:sz w:val="20"/>
                      <w:szCs w:val="20"/>
                      <w:highlight w:val="none"/>
                    </w:rPr>
                  </w:pPr>
                  <w:r>
                    <w:rPr>
                      <w:rFonts w:hint="eastAsia" w:ascii="宋体" w:hAnsi="宋体" w:eastAsia="宋体" w:cs="宋体"/>
                      <w:sz w:val="18"/>
                      <w:szCs w:val="18"/>
                      <w:highlight w:val="none"/>
                    </w:rPr>
                    <w:t>±10%</w:t>
                  </w:r>
                </w:p>
              </w:tc>
              <w:tc>
                <w:tcPr>
                  <w:tcW w:w="1417" w:type="dxa"/>
                  <w:tcBorders>
                    <w:top w:val="single" w:color="auto" w:sz="4" w:space="0"/>
                    <w:left w:val="single" w:color="auto" w:sz="4" w:space="0"/>
                    <w:bottom w:val="single" w:color="auto" w:sz="4" w:space="0"/>
                    <w:right w:val="single" w:color="auto" w:sz="4" w:space="0"/>
                  </w:tcBorders>
                  <w:vAlign w:val="center"/>
                </w:tcPr>
                <w:p w14:paraId="32979B6B">
                  <w:pPr>
                    <w:spacing w:line="360" w:lineRule="auto"/>
                    <w:jc w:val="center"/>
                    <w:rPr>
                      <w:rFonts w:hint="eastAsia" w:ascii="宋体" w:hAnsi="宋体" w:eastAsia="宋体" w:cs="宋体"/>
                      <w:sz w:val="20"/>
                      <w:szCs w:val="20"/>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10</w:t>
                  </w:r>
                  <w:r>
                    <w:rPr>
                      <w:rFonts w:hint="eastAsia" w:ascii="宋体" w:hAnsi="宋体" w:eastAsia="宋体" w:cs="宋体"/>
                      <w:sz w:val="18"/>
                      <w:szCs w:val="18"/>
                      <w:highlight w:val="none"/>
                    </w:rPr>
                    <w:t>%</w:t>
                  </w:r>
                </w:p>
              </w:tc>
            </w:tr>
            <w:tr w14:paraId="65A3A28F">
              <w:tblPrEx>
                <w:tblCellMar>
                  <w:top w:w="0" w:type="dxa"/>
                  <w:left w:w="57" w:type="dxa"/>
                  <w:bottom w:w="0" w:type="dxa"/>
                  <w:right w:w="57" w:type="dxa"/>
                </w:tblCellMar>
              </w:tblPrEx>
              <w:trPr>
                <w:trHeight w:val="534"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14:paraId="2BBD1053">
                  <w:pPr>
                    <w:pageBreakBefore w:val="0"/>
                    <w:widowControl/>
                    <w:wordWrap/>
                    <w:overflowPunct/>
                    <w:topLinePunct w:val="0"/>
                    <w:bidi w:val="0"/>
                    <w:spacing w:line="360" w:lineRule="auto"/>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亚硝酸盐氮</w:t>
                  </w:r>
                </w:p>
              </w:tc>
              <w:tc>
                <w:tcPr>
                  <w:tcW w:w="1546" w:type="dxa"/>
                  <w:tcBorders>
                    <w:top w:val="single" w:color="auto" w:sz="4" w:space="0"/>
                    <w:left w:val="single" w:color="auto" w:sz="4" w:space="0"/>
                    <w:bottom w:val="single" w:color="auto" w:sz="4" w:space="0"/>
                    <w:right w:val="single" w:color="auto" w:sz="4" w:space="0"/>
                  </w:tcBorders>
                  <w:vAlign w:val="center"/>
                </w:tcPr>
                <w:p w14:paraId="578CBFA3">
                  <w:pPr>
                    <w:spacing w:line="360" w:lineRule="auto"/>
                    <w:jc w:val="center"/>
                    <w:rPr>
                      <w:rFonts w:hint="eastAsia" w:ascii="宋体" w:hAnsi="宋体" w:eastAsia="宋体" w:cs="宋体"/>
                      <w:kern w:val="0"/>
                      <w:sz w:val="20"/>
                      <w:szCs w:val="20"/>
                    </w:rPr>
                  </w:pPr>
                  <w:r>
                    <w:rPr>
                      <w:rFonts w:hint="eastAsia" w:ascii="宋体" w:hAnsi="宋体" w:eastAsia="宋体" w:cs="宋体"/>
                      <w:kern w:val="0"/>
                      <w:sz w:val="18"/>
                      <w:szCs w:val="18"/>
                    </w:rPr>
                    <w:t>±20%</w:t>
                  </w:r>
                </w:p>
              </w:tc>
              <w:tc>
                <w:tcPr>
                  <w:tcW w:w="1876" w:type="dxa"/>
                  <w:tcBorders>
                    <w:top w:val="single" w:color="auto" w:sz="4" w:space="0"/>
                    <w:left w:val="single" w:color="auto" w:sz="4" w:space="0"/>
                    <w:bottom w:val="single" w:color="auto" w:sz="4" w:space="0"/>
                    <w:right w:val="single" w:color="auto" w:sz="4" w:space="0"/>
                  </w:tcBorders>
                  <w:vAlign w:val="center"/>
                </w:tcPr>
                <w:p w14:paraId="751002F8">
                  <w:pPr>
                    <w:pageBreakBefore w:val="0"/>
                    <w:widowControl/>
                    <w:wordWrap/>
                    <w:overflowPunct/>
                    <w:topLinePunct w:val="0"/>
                    <w:bidi w:val="0"/>
                    <w:spacing w:line="240" w:lineRule="auto"/>
                    <w:jc w:val="center"/>
                    <w:rPr>
                      <w:rFonts w:hint="eastAsia" w:ascii="宋体" w:hAnsi="宋体" w:eastAsia="宋体" w:cs="宋体"/>
                      <w:kern w:val="0"/>
                      <w:sz w:val="20"/>
                      <w:szCs w:val="20"/>
                      <w:highlight w:val="none"/>
                    </w:rPr>
                  </w:pPr>
                  <w:r>
                    <w:rPr>
                      <w:rFonts w:hint="eastAsia" w:ascii="宋体" w:hAnsi="宋体" w:eastAsia="宋体" w:cs="宋体"/>
                      <w:kern w:val="0"/>
                      <w:sz w:val="18"/>
                      <w:szCs w:val="18"/>
                      <w:highlight w:val="none"/>
                    </w:rPr>
                    <w:t>±0.00</w:t>
                  </w:r>
                  <w:r>
                    <w:rPr>
                      <w:rFonts w:hint="eastAsia" w:ascii="宋体" w:hAnsi="宋体" w:eastAsia="宋体" w:cs="宋体"/>
                      <w:kern w:val="0"/>
                      <w:sz w:val="18"/>
                      <w:szCs w:val="18"/>
                      <w:highlight w:val="none"/>
                      <w:lang w:val="en-US" w:eastAsia="zh-CN"/>
                    </w:rPr>
                    <w:t>8</w:t>
                  </w:r>
                  <w:r>
                    <w:rPr>
                      <w:rFonts w:hint="eastAsia" w:ascii="宋体" w:hAnsi="宋体" w:eastAsia="宋体" w:cs="宋体"/>
                      <w:kern w:val="0"/>
                      <w:sz w:val="18"/>
                      <w:szCs w:val="18"/>
                      <w:highlight w:val="none"/>
                    </w:rPr>
                    <w:t>mg/L</w:t>
                  </w:r>
                </w:p>
              </w:tc>
              <w:tc>
                <w:tcPr>
                  <w:tcW w:w="1388" w:type="dxa"/>
                  <w:tcBorders>
                    <w:top w:val="single" w:color="auto" w:sz="4" w:space="0"/>
                    <w:left w:val="single" w:color="auto" w:sz="4" w:space="0"/>
                    <w:bottom w:val="single" w:color="auto" w:sz="4" w:space="0"/>
                    <w:right w:val="single" w:color="auto" w:sz="4" w:space="0"/>
                  </w:tcBorders>
                  <w:vAlign w:val="center"/>
                </w:tcPr>
                <w:p w14:paraId="63480AC4">
                  <w:pPr>
                    <w:spacing w:line="360" w:lineRule="auto"/>
                    <w:jc w:val="center"/>
                    <w:rPr>
                      <w:rFonts w:hint="eastAsia" w:ascii="宋体" w:hAnsi="宋体" w:eastAsia="宋体" w:cs="宋体"/>
                      <w:sz w:val="20"/>
                      <w:szCs w:val="20"/>
                      <w:highlight w:val="none"/>
                    </w:rPr>
                  </w:pPr>
                  <w:r>
                    <w:rPr>
                      <w:rFonts w:hint="eastAsia" w:ascii="宋体" w:hAnsi="宋体" w:eastAsia="宋体" w:cs="宋体"/>
                      <w:sz w:val="18"/>
                      <w:szCs w:val="18"/>
                      <w:highlight w:val="none"/>
                    </w:rPr>
                    <w:t>±10%</w:t>
                  </w:r>
                </w:p>
              </w:tc>
              <w:tc>
                <w:tcPr>
                  <w:tcW w:w="1417" w:type="dxa"/>
                  <w:tcBorders>
                    <w:top w:val="single" w:color="auto" w:sz="4" w:space="0"/>
                    <w:left w:val="single" w:color="auto" w:sz="4" w:space="0"/>
                    <w:bottom w:val="single" w:color="auto" w:sz="4" w:space="0"/>
                    <w:right w:val="single" w:color="auto" w:sz="4" w:space="0"/>
                  </w:tcBorders>
                  <w:vAlign w:val="center"/>
                </w:tcPr>
                <w:p w14:paraId="6B1D695D">
                  <w:pPr>
                    <w:spacing w:line="360" w:lineRule="auto"/>
                    <w:jc w:val="center"/>
                    <w:rPr>
                      <w:rFonts w:hint="eastAsia" w:ascii="宋体" w:hAnsi="宋体" w:eastAsia="宋体" w:cs="宋体"/>
                      <w:sz w:val="20"/>
                      <w:szCs w:val="20"/>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10</w:t>
                  </w:r>
                  <w:r>
                    <w:rPr>
                      <w:rFonts w:hint="eastAsia" w:ascii="宋体" w:hAnsi="宋体" w:eastAsia="宋体" w:cs="宋体"/>
                      <w:sz w:val="18"/>
                      <w:szCs w:val="18"/>
                      <w:highlight w:val="none"/>
                    </w:rPr>
                    <w:t>%</w:t>
                  </w:r>
                </w:p>
              </w:tc>
            </w:tr>
            <w:tr w14:paraId="2E03EF87">
              <w:tblPrEx>
                <w:tblCellMar>
                  <w:top w:w="0" w:type="dxa"/>
                  <w:left w:w="57" w:type="dxa"/>
                  <w:bottom w:w="0" w:type="dxa"/>
                  <w:right w:w="57" w:type="dxa"/>
                </w:tblCellMar>
              </w:tblPrEx>
              <w:trPr>
                <w:trHeight w:val="556"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14:paraId="03E3A3FD">
                  <w:pPr>
                    <w:pageBreakBefore w:val="0"/>
                    <w:widowControl/>
                    <w:wordWrap/>
                    <w:overflowPunct/>
                    <w:topLinePunct w:val="0"/>
                    <w:bidi w:val="0"/>
                    <w:spacing w:line="360" w:lineRule="auto"/>
                    <w:jc w:val="center"/>
                    <w:rPr>
                      <w:rFonts w:hint="eastAsia" w:ascii="宋体" w:hAnsi="宋体" w:eastAsia="宋体" w:cs="宋体"/>
                      <w:b/>
                      <w:color w:val="000000"/>
                      <w:kern w:val="0"/>
                      <w:sz w:val="20"/>
                      <w:szCs w:val="20"/>
                      <w:lang w:eastAsia="zh-CN"/>
                    </w:rPr>
                  </w:pPr>
                  <w:r>
                    <w:rPr>
                      <w:rFonts w:hint="eastAsia" w:ascii="宋体" w:hAnsi="宋体" w:eastAsia="宋体" w:cs="宋体"/>
                      <w:b/>
                      <w:color w:val="000000"/>
                      <w:kern w:val="0"/>
                      <w:sz w:val="20"/>
                      <w:szCs w:val="20"/>
                      <w:lang w:eastAsia="zh-CN"/>
                    </w:rPr>
                    <w:t>活性磷酸盐</w:t>
                  </w:r>
                </w:p>
              </w:tc>
              <w:tc>
                <w:tcPr>
                  <w:tcW w:w="1546" w:type="dxa"/>
                  <w:tcBorders>
                    <w:top w:val="single" w:color="auto" w:sz="4" w:space="0"/>
                    <w:left w:val="single" w:color="auto" w:sz="4" w:space="0"/>
                    <w:bottom w:val="single" w:color="auto" w:sz="4" w:space="0"/>
                    <w:right w:val="single" w:color="auto" w:sz="4" w:space="0"/>
                  </w:tcBorders>
                  <w:vAlign w:val="center"/>
                </w:tcPr>
                <w:p w14:paraId="5B383A5A">
                  <w:pPr>
                    <w:spacing w:line="360" w:lineRule="auto"/>
                    <w:jc w:val="center"/>
                    <w:rPr>
                      <w:rFonts w:hint="eastAsia" w:ascii="宋体" w:hAnsi="宋体" w:eastAsia="宋体" w:cs="宋体"/>
                      <w:kern w:val="0"/>
                      <w:sz w:val="20"/>
                      <w:szCs w:val="20"/>
                    </w:rPr>
                  </w:pPr>
                  <w:r>
                    <w:rPr>
                      <w:rFonts w:hint="eastAsia" w:ascii="宋体" w:hAnsi="宋体" w:eastAsia="宋体" w:cs="宋体"/>
                      <w:kern w:val="0"/>
                      <w:sz w:val="18"/>
                      <w:szCs w:val="18"/>
                    </w:rPr>
                    <w:t>±20%</w:t>
                  </w:r>
                </w:p>
              </w:tc>
              <w:tc>
                <w:tcPr>
                  <w:tcW w:w="1876" w:type="dxa"/>
                  <w:tcBorders>
                    <w:top w:val="single" w:color="auto" w:sz="4" w:space="0"/>
                    <w:left w:val="single" w:color="auto" w:sz="4" w:space="0"/>
                    <w:bottom w:val="single" w:color="auto" w:sz="4" w:space="0"/>
                    <w:right w:val="single" w:color="auto" w:sz="4" w:space="0"/>
                  </w:tcBorders>
                  <w:vAlign w:val="center"/>
                </w:tcPr>
                <w:p w14:paraId="35785285">
                  <w:pPr>
                    <w:pageBreakBefore w:val="0"/>
                    <w:widowControl/>
                    <w:wordWrap/>
                    <w:overflowPunct/>
                    <w:topLinePunct w:val="0"/>
                    <w:bidi w:val="0"/>
                    <w:spacing w:line="240" w:lineRule="auto"/>
                    <w:jc w:val="center"/>
                    <w:rPr>
                      <w:rFonts w:hint="eastAsia" w:ascii="宋体" w:hAnsi="宋体" w:eastAsia="宋体" w:cs="宋体"/>
                      <w:kern w:val="0"/>
                      <w:sz w:val="20"/>
                      <w:szCs w:val="20"/>
                      <w:highlight w:val="none"/>
                    </w:rPr>
                  </w:pPr>
                  <w:r>
                    <w:rPr>
                      <w:rFonts w:hint="eastAsia" w:ascii="宋体" w:hAnsi="宋体" w:eastAsia="宋体" w:cs="宋体"/>
                      <w:kern w:val="0"/>
                      <w:sz w:val="18"/>
                      <w:szCs w:val="18"/>
                      <w:highlight w:val="none"/>
                    </w:rPr>
                    <w:t>±0.0</w:t>
                  </w:r>
                  <w:r>
                    <w:rPr>
                      <w:rFonts w:hint="eastAsia" w:ascii="宋体" w:hAnsi="宋体" w:eastAsia="宋体" w:cs="宋体"/>
                      <w:kern w:val="0"/>
                      <w:sz w:val="18"/>
                      <w:szCs w:val="18"/>
                      <w:highlight w:val="none"/>
                      <w:lang w:val="en-US" w:eastAsia="zh-CN"/>
                    </w:rPr>
                    <w:t>16</w:t>
                  </w:r>
                  <w:r>
                    <w:rPr>
                      <w:rFonts w:hint="eastAsia" w:ascii="宋体" w:hAnsi="宋体" w:eastAsia="宋体" w:cs="宋体"/>
                      <w:kern w:val="0"/>
                      <w:sz w:val="18"/>
                      <w:szCs w:val="18"/>
                      <w:highlight w:val="none"/>
                    </w:rPr>
                    <w:t>mg/L</w:t>
                  </w:r>
                </w:p>
              </w:tc>
              <w:tc>
                <w:tcPr>
                  <w:tcW w:w="1388" w:type="dxa"/>
                  <w:tcBorders>
                    <w:top w:val="single" w:color="auto" w:sz="4" w:space="0"/>
                    <w:left w:val="single" w:color="auto" w:sz="4" w:space="0"/>
                    <w:bottom w:val="single" w:color="auto" w:sz="4" w:space="0"/>
                    <w:right w:val="single" w:color="auto" w:sz="4" w:space="0"/>
                  </w:tcBorders>
                  <w:vAlign w:val="center"/>
                </w:tcPr>
                <w:p w14:paraId="6521E5C8">
                  <w:pPr>
                    <w:spacing w:line="360" w:lineRule="auto"/>
                    <w:jc w:val="center"/>
                    <w:rPr>
                      <w:rFonts w:hint="eastAsia" w:ascii="宋体" w:hAnsi="宋体" w:eastAsia="宋体" w:cs="宋体"/>
                      <w:sz w:val="20"/>
                      <w:szCs w:val="20"/>
                      <w:highlight w:val="none"/>
                    </w:rPr>
                  </w:pPr>
                  <w:r>
                    <w:rPr>
                      <w:rFonts w:hint="eastAsia" w:ascii="宋体" w:hAnsi="宋体" w:eastAsia="宋体" w:cs="宋体"/>
                      <w:sz w:val="18"/>
                      <w:szCs w:val="18"/>
                      <w:highlight w:val="none"/>
                    </w:rPr>
                    <w:t>±10%</w:t>
                  </w:r>
                </w:p>
              </w:tc>
              <w:tc>
                <w:tcPr>
                  <w:tcW w:w="1417" w:type="dxa"/>
                  <w:tcBorders>
                    <w:top w:val="single" w:color="auto" w:sz="4" w:space="0"/>
                    <w:left w:val="single" w:color="auto" w:sz="4" w:space="0"/>
                    <w:bottom w:val="single" w:color="auto" w:sz="4" w:space="0"/>
                    <w:right w:val="single" w:color="auto" w:sz="4" w:space="0"/>
                  </w:tcBorders>
                  <w:vAlign w:val="center"/>
                </w:tcPr>
                <w:p w14:paraId="23615E43">
                  <w:pPr>
                    <w:spacing w:line="360" w:lineRule="auto"/>
                    <w:jc w:val="center"/>
                    <w:rPr>
                      <w:rFonts w:hint="eastAsia" w:ascii="宋体" w:hAnsi="宋体" w:eastAsia="宋体" w:cs="宋体"/>
                      <w:sz w:val="20"/>
                      <w:szCs w:val="20"/>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10</w:t>
                  </w:r>
                  <w:r>
                    <w:rPr>
                      <w:rFonts w:hint="eastAsia" w:ascii="宋体" w:hAnsi="宋体" w:eastAsia="宋体" w:cs="宋体"/>
                      <w:sz w:val="18"/>
                      <w:szCs w:val="18"/>
                      <w:highlight w:val="none"/>
                    </w:rPr>
                    <w:t>%</w:t>
                  </w:r>
                </w:p>
              </w:tc>
            </w:tr>
          </w:tbl>
          <w:p w14:paraId="2777EB44">
            <w:pPr>
              <w:tabs>
                <w:tab w:val="left" w:pos="3227"/>
              </w:tabs>
              <w:adjustRightInd w:val="0"/>
              <w:snapToGrid w:val="0"/>
              <w:spacing w:line="400" w:lineRule="exact"/>
              <w:jc w:val="left"/>
              <w:rPr>
                <w:rFonts w:hint="eastAsia" w:ascii="宋体" w:hAnsi="宋体" w:eastAsia="宋体" w:cs="宋体"/>
                <w:sz w:val="24"/>
                <w:szCs w:val="24"/>
              </w:rPr>
            </w:pPr>
          </w:p>
        </w:tc>
        <w:tc>
          <w:tcPr>
            <w:tcW w:w="952" w:type="dxa"/>
            <w:shd w:val="clear" w:color="000000" w:fill="FFFFFF"/>
            <w:vAlign w:val="center"/>
          </w:tcPr>
          <w:p w14:paraId="5DF08773">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13" w:type="dxa"/>
            <w:shd w:val="clear" w:color="000000" w:fill="FFFFFF"/>
            <w:vAlign w:val="center"/>
          </w:tcPr>
          <w:p w14:paraId="3CAF7C30">
            <w:pPr>
              <w:widowControl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28.5</w:t>
            </w:r>
          </w:p>
        </w:tc>
        <w:tc>
          <w:tcPr>
            <w:tcW w:w="1164" w:type="dxa"/>
            <w:shd w:val="clear" w:color="000000" w:fill="FFFFFF"/>
            <w:vAlign w:val="center"/>
          </w:tcPr>
          <w:p w14:paraId="157116C1">
            <w:pPr>
              <w:widowControl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28.5</w:t>
            </w:r>
          </w:p>
        </w:tc>
      </w:tr>
      <w:tr w14:paraId="34A6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826" w:type="dxa"/>
            <w:vMerge w:val="continue"/>
            <w:shd w:val="clear" w:color="000000" w:fill="FFFFFF"/>
            <w:vAlign w:val="center"/>
          </w:tcPr>
          <w:p w14:paraId="1D6C9C04">
            <w:pPr>
              <w:adjustRightInd w:val="0"/>
              <w:snapToGrid w:val="0"/>
              <w:spacing w:line="400" w:lineRule="exact"/>
              <w:jc w:val="center"/>
              <w:rPr>
                <w:rFonts w:hint="eastAsia" w:ascii="宋体" w:hAnsi="宋体" w:eastAsia="宋体" w:cs="宋体"/>
                <w:kern w:val="0"/>
                <w:sz w:val="24"/>
                <w:szCs w:val="24"/>
              </w:rPr>
            </w:pPr>
          </w:p>
        </w:tc>
        <w:tc>
          <w:tcPr>
            <w:tcW w:w="952" w:type="dxa"/>
            <w:shd w:val="clear" w:color="auto" w:fill="auto"/>
            <w:vAlign w:val="center"/>
          </w:tcPr>
          <w:p w14:paraId="4271FB39">
            <w:pPr>
              <w:widowControl w:val="0"/>
              <w:tabs>
                <w:tab w:val="center" w:pos="4153"/>
                <w:tab w:val="right" w:pos="8306"/>
              </w:tabs>
              <w:snapToGrid w:val="0"/>
              <w:spacing w:line="40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碳元素分析仪</w:t>
            </w:r>
          </w:p>
        </w:tc>
        <w:tc>
          <w:tcPr>
            <w:tcW w:w="8790" w:type="dxa"/>
            <w:shd w:val="clear" w:color="000000" w:fill="FFFFFF"/>
            <w:vAlign w:val="center"/>
          </w:tcPr>
          <w:p w14:paraId="5B01C618">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一、设备用途</w:t>
            </w:r>
          </w:p>
          <w:p w14:paraId="1D84B990">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该仪器必须能够进行沉积物中总碳、总有机碳、总无机碳的定量分析，总有机碳分析仪包括下列单元：高温催化燃烧单元（含固体燃烧进样系统和固体模块）、检测器系统、电子气路控制系统、软件及计算机控制系统。</w:t>
            </w:r>
          </w:p>
          <w:p w14:paraId="0DBFA593">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二、基本要求</w:t>
            </w:r>
          </w:p>
          <w:p w14:paraId="74607E23">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1、电源：AC 220V</w:t>
            </w:r>
            <w:bookmarkStart w:id="68" w:name="OLE_LINK1"/>
            <w:r>
              <w:rPr>
                <w:rFonts w:hint="eastAsia" w:ascii="宋体" w:hAnsi="宋体" w:eastAsia="宋体" w:cs="宋体"/>
                <w:sz w:val="24"/>
                <w:szCs w:val="24"/>
                <w:lang w:val="en-US" w:eastAsia="zh-CN"/>
              </w:rPr>
              <w:t>±</w:t>
            </w:r>
            <w:bookmarkEnd w:id="68"/>
            <w:r>
              <w:rPr>
                <w:rFonts w:hint="eastAsia" w:ascii="宋体" w:hAnsi="宋体" w:eastAsia="宋体" w:cs="宋体"/>
                <w:sz w:val="24"/>
                <w:szCs w:val="24"/>
              </w:rPr>
              <w:t>10%，50Hz</w:t>
            </w:r>
          </w:p>
          <w:p w14:paraId="662481B7">
            <w:pPr>
              <w:tabs>
                <w:tab w:val="left" w:pos="3227"/>
              </w:tabs>
              <w:adjustRightInd w:val="0"/>
              <w:snapToGrid w:val="0"/>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环境温度：10-35</w:t>
            </w:r>
            <w:r>
              <w:rPr>
                <w:rFonts w:hint="eastAsia" w:ascii="宋体" w:hAnsi="宋体" w:eastAsia="宋体" w:cs="宋体"/>
                <w:sz w:val="24"/>
                <w:szCs w:val="24"/>
              </w:rPr>
              <w:sym w:font="Symbol" w:char="F0B0"/>
            </w:r>
            <w:r>
              <w:rPr>
                <w:rFonts w:hint="eastAsia" w:ascii="宋体" w:hAnsi="宋体" w:eastAsia="宋体" w:cs="宋体"/>
                <w:sz w:val="24"/>
                <w:szCs w:val="24"/>
              </w:rPr>
              <w:t>C</w:t>
            </w:r>
          </w:p>
          <w:p w14:paraId="51A010CD">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环境湿度：&lt;85%</w:t>
            </w:r>
          </w:p>
          <w:p w14:paraId="1D0200A7">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三、技术参数及性能</w:t>
            </w:r>
          </w:p>
          <w:p w14:paraId="7D11668D">
            <w:pPr>
              <w:pStyle w:val="39"/>
              <w:spacing w:line="400" w:lineRule="exact"/>
              <w:rPr>
                <w:rFonts w:hint="eastAsia" w:ascii="宋体" w:hAnsi="宋体" w:eastAsia="宋体" w:cs="宋体"/>
                <w:sz w:val="24"/>
                <w:szCs w:val="24"/>
              </w:rPr>
            </w:pPr>
            <w:r>
              <w:rPr>
                <w:rFonts w:hint="eastAsia" w:ascii="宋体" w:hAnsi="宋体" w:eastAsia="宋体" w:cs="宋体"/>
                <w:sz w:val="24"/>
                <w:szCs w:val="24"/>
              </w:rPr>
              <w:t>1、该仪器必须能够进行总碳、总有机碳、总无机碳的定量分析，总有机碳分析仪包括下列单元：高温催化燃烧单元（含固体燃烧进样系统和固体模块）、检测器系统、电子气路控制系统、软件及计算机控制系统。</w:t>
            </w:r>
          </w:p>
          <w:p w14:paraId="2C61D14E">
            <w:pPr>
              <w:pStyle w:val="39"/>
              <w:spacing w:line="400" w:lineRule="exact"/>
              <w:rPr>
                <w:rFonts w:hint="eastAsia" w:ascii="宋体" w:hAnsi="宋体" w:eastAsia="宋体" w:cs="宋体"/>
                <w:sz w:val="24"/>
                <w:szCs w:val="24"/>
              </w:rPr>
            </w:pPr>
            <w:r>
              <w:rPr>
                <w:rFonts w:hint="eastAsia" w:ascii="宋体" w:hAnsi="宋体" w:eastAsia="宋体" w:cs="宋体"/>
                <w:sz w:val="24"/>
                <w:szCs w:val="24"/>
              </w:rPr>
              <w:t>2、高温催化燃烧单元</w:t>
            </w:r>
          </w:p>
          <w:p w14:paraId="3A2EE2B7">
            <w:pPr>
              <w:pStyle w:val="39"/>
              <w:spacing w:line="400" w:lineRule="exact"/>
              <w:rPr>
                <w:rFonts w:hint="eastAsia" w:ascii="宋体" w:hAnsi="宋体" w:eastAsia="宋体" w:cs="宋体"/>
                <w:sz w:val="24"/>
                <w:szCs w:val="24"/>
                <w:lang w:eastAsia="zh-CN"/>
              </w:rPr>
            </w:pPr>
            <w:r>
              <w:rPr>
                <w:rFonts w:hint="eastAsia" w:ascii="宋体" w:hAnsi="宋体" w:eastAsia="宋体" w:cs="宋体"/>
                <w:color w:val="auto"/>
                <w:kern w:val="2"/>
                <w:sz w:val="24"/>
                <w:szCs w:val="24"/>
                <w:lang w:val="en-US" w:eastAsia="zh-CN" w:bidi="ar"/>
              </w:rPr>
              <w:t>▲</w:t>
            </w:r>
            <w:r>
              <w:rPr>
                <w:rFonts w:hint="eastAsia" w:ascii="宋体" w:hAnsi="宋体" w:eastAsia="宋体" w:cs="宋体"/>
                <w:sz w:val="24"/>
                <w:szCs w:val="24"/>
              </w:rPr>
              <w:t>2.1、燃烧温度：最高温度</w:t>
            </w:r>
            <w:r>
              <w:rPr>
                <w:rFonts w:hint="eastAsia" w:ascii="宋体" w:hAnsi="宋体" w:eastAsia="宋体" w:cs="宋体"/>
                <w:sz w:val="24"/>
                <w:szCs w:val="24"/>
                <w:lang w:val="en-US" w:eastAsia="zh-CN"/>
              </w:rPr>
              <w:t>至少</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00℃（需提供样本等制造商技术证明文件及软件截图）</w:t>
            </w:r>
            <w:r>
              <w:rPr>
                <w:rFonts w:hint="eastAsia" w:ascii="宋体" w:hAnsi="宋体" w:eastAsia="宋体" w:cs="宋体"/>
                <w:sz w:val="24"/>
                <w:szCs w:val="24"/>
                <w:lang w:eastAsia="zh-CN"/>
              </w:rPr>
              <w:t>。</w:t>
            </w:r>
          </w:p>
          <w:p w14:paraId="02572EE1">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2.2、升温速率：从室温到950</w:t>
            </w:r>
            <w:r>
              <w:rPr>
                <w:rFonts w:hint="eastAsia" w:ascii="宋体" w:hAnsi="宋体" w:eastAsia="宋体" w:cs="宋体"/>
                <w:sz w:val="24"/>
                <w:szCs w:val="24"/>
              </w:rPr>
              <w:sym w:font="Symbol" w:char="F0B0"/>
            </w:r>
            <w:r>
              <w:rPr>
                <w:rFonts w:hint="eastAsia" w:ascii="宋体" w:hAnsi="宋体" w:eastAsia="宋体" w:cs="宋体"/>
                <w:sz w:val="24"/>
                <w:szCs w:val="24"/>
              </w:rPr>
              <w:t>C，少于15分钟</w:t>
            </w:r>
            <w:r>
              <w:rPr>
                <w:rFonts w:hint="eastAsia" w:ascii="宋体" w:hAnsi="宋体" w:eastAsia="宋体" w:cs="宋体"/>
                <w:sz w:val="24"/>
                <w:szCs w:val="24"/>
                <w:lang w:eastAsia="zh-CN"/>
              </w:rPr>
              <w:t>。</w:t>
            </w:r>
          </w:p>
          <w:p w14:paraId="1183DFC9">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 xml:space="preserve">2.3、催化剂：Pt,CeO2 </w:t>
            </w:r>
            <w:r>
              <w:rPr>
                <w:rFonts w:hint="eastAsia" w:ascii="宋体" w:hAnsi="宋体" w:eastAsia="宋体" w:cs="宋体"/>
                <w:sz w:val="24"/>
                <w:szCs w:val="24"/>
                <w:lang w:eastAsia="zh-CN"/>
              </w:rPr>
              <w:t>。</w:t>
            </w:r>
          </w:p>
          <w:p w14:paraId="50B19543">
            <w:pPr>
              <w:pStyle w:val="39"/>
              <w:spacing w:line="400" w:lineRule="exact"/>
              <w:rPr>
                <w:rFonts w:hint="eastAsia" w:ascii="宋体" w:hAnsi="宋体" w:eastAsia="宋体" w:cs="宋体"/>
                <w:sz w:val="24"/>
                <w:szCs w:val="24"/>
              </w:rPr>
            </w:pPr>
            <w:r>
              <w:rPr>
                <w:rFonts w:hint="eastAsia" w:ascii="宋体" w:hAnsi="宋体" w:eastAsia="宋体" w:cs="宋体"/>
                <w:sz w:val="24"/>
                <w:szCs w:val="24"/>
              </w:rPr>
              <w:t>3、固体模块</w:t>
            </w:r>
          </w:p>
          <w:p w14:paraId="575EF72D">
            <w:pPr>
              <w:pStyle w:val="39"/>
              <w:spacing w:line="400" w:lineRule="exact"/>
              <w:rPr>
                <w:rFonts w:hint="eastAsia" w:ascii="宋体" w:hAnsi="宋体" w:eastAsia="宋体" w:cs="宋体"/>
                <w:sz w:val="24"/>
                <w:szCs w:val="24"/>
              </w:rPr>
            </w:pPr>
            <w:r>
              <w:rPr>
                <w:rFonts w:hint="eastAsia" w:ascii="宋体" w:hAnsi="宋体" w:eastAsia="宋体" w:cs="宋体"/>
                <w:sz w:val="24"/>
                <w:szCs w:val="24"/>
              </w:rPr>
              <w:t>3.1、固体样品最大进样量不小于2.</w:t>
            </w:r>
            <w:r>
              <w:rPr>
                <w:rFonts w:hint="eastAsia" w:ascii="宋体" w:hAnsi="宋体" w:eastAsia="宋体" w:cs="宋体"/>
                <w:sz w:val="24"/>
                <w:szCs w:val="24"/>
                <w:lang w:val="en-US" w:eastAsia="zh-CN"/>
              </w:rPr>
              <w:t>3</w:t>
            </w:r>
            <w:r>
              <w:rPr>
                <w:rFonts w:hint="eastAsia" w:ascii="宋体" w:hAnsi="宋体" w:eastAsia="宋体" w:cs="宋体"/>
                <w:sz w:val="24"/>
                <w:szCs w:val="24"/>
              </w:rPr>
              <w:t>g</w:t>
            </w:r>
            <w:r>
              <w:rPr>
                <w:rFonts w:hint="eastAsia" w:ascii="宋体" w:hAnsi="宋体" w:eastAsia="宋体" w:cs="宋体"/>
                <w:sz w:val="24"/>
                <w:szCs w:val="24"/>
                <w:lang w:eastAsia="zh-CN"/>
              </w:rPr>
              <w:t>。</w:t>
            </w:r>
            <w:r>
              <w:rPr>
                <w:rFonts w:hint="eastAsia" w:ascii="宋体" w:hAnsi="宋体" w:eastAsia="宋体" w:cs="宋体"/>
                <w:sz w:val="24"/>
                <w:szCs w:val="24"/>
              </w:rPr>
              <w:t xml:space="preserve">（需提供制造商技术证明文件） </w:t>
            </w:r>
          </w:p>
          <w:p w14:paraId="7364AA1F">
            <w:pPr>
              <w:pStyle w:val="39"/>
              <w:spacing w:line="400" w:lineRule="exact"/>
              <w:rPr>
                <w:rFonts w:hint="eastAsia" w:ascii="宋体" w:hAnsi="宋体" w:eastAsia="宋体" w:cs="宋体"/>
                <w:sz w:val="24"/>
                <w:szCs w:val="24"/>
                <w:lang w:eastAsia="zh-CN"/>
              </w:rPr>
            </w:pPr>
            <w:r>
              <w:rPr>
                <w:rFonts w:hint="eastAsia" w:ascii="宋体" w:hAnsi="宋体" w:eastAsia="宋体" w:cs="宋体"/>
                <w:color w:val="auto"/>
                <w:kern w:val="2"/>
                <w:sz w:val="24"/>
                <w:szCs w:val="24"/>
                <w:lang w:val="en-US" w:eastAsia="zh-CN" w:bidi="ar"/>
              </w:rPr>
              <w:t>▲</w:t>
            </w:r>
            <w:r>
              <w:rPr>
                <w:rFonts w:hint="eastAsia" w:ascii="宋体" w:hAnsi="宋体" w:eastAsia="宋体" w:cs="宋体"/>
                <w:sz w:val="24"/>
                <w:szCs w:val="24"/>
              </w:rPr>
              <w:tab/>
            </w:r>
            <w:r>
              <w:rPr>
                <w:rFonts w:hint="eastAsia" w:ascii="宋体" w:hAnsi="宋体" w:eastAsia="宋体" w:cs="宋体"/>
                <w:sz w:val="24"/>
                <w:szCs w:val="24"/>
              </w:rPr>
              <w:t>3.2、固体检测模块必须独立装置，独立供电，固体切换时不需要更换燃烧管或其它硬件设备（需提供独立固体燃烧炉照片及详细描述）</w:t>
            </w:r>
            <w:r>
              <w:rPr>
                <w:rFonts w:hint="eastAsia" w:ascii="宋体" w:hAnsi="宋体" w:eastAsia="宋体" w:cs="宋体"/>
                <w:sz w:val="24"/>
                <w:szCs w:val="24"/>
                <w:lang w:eastAsia="zh-CN"/>
              </w:rPr>
              <w:t>。</w:t>
            </w:r>
          </w:p>
          <w:p w14:paraId="2B0C40B5">
            <w:pPr>
              <w:pStyle w:val="39"/>
              <w:spacing w:line="400" w:lineRule="exact"/>
              <w:rPr>
                <w:rFonts w:hint="eastAsia" w:ascii="宋体" w:hAnsi="宋体" w:eastAsia="宋体" w:cs="宋体"/>
                <w:sz w:val="24"/>
                <w:szCs w:val="24"/>
                <w:lang w:eastAsia="zh-CN"/>
              </w:rPr>
            </w:pPr>
            <w:r>
              <w:rPr>
                <w:rFonts w:hint="eastAsia" w:ascii="宋体" w:hAnsi="宋体" w:eastAsia="宋体" w:cs="宋体"/>
                <w:color w:val="auto"/>
                <w:kern w:val="2"/>
                <w:sz w:val="24"/>
                <w:szCs w:val="24"/>
                <w:lang w:val="en-US" w:eastAsia="zh-CN" w:bidi="ar"/>
              </w:rPr>
              <w:t>▲</w:t>
            </w:r>
            <w:r>
              <w:rPr>
                <w:rFonts w:hint="eastAsia" w:ascii="宋体" w:hAnsi="宋体" w:eastAsia="宋体" w:cs="宋体"/>
                <w:sz w:val="24"/>
                <w:szCs w:val="24"/>
              </w:rPr>
              <w:t>3.3、固体燃烧管：高纯净耐温陶瓷或其他同性能的材质</w:t>
            </w:r>
            <w:r>
              <w:rPr>
                <w:rFonts w:hint="eastAsia" w:ascii="宋体" w:hAnsi="宋体" w:eastAsia="宋体" w:cs="宋体"/>
                <w:sz w:val="24"/>
                <w:szCs w:val="24"/>
                <w:lang w:eastAsia="zh-CN"/>
              </w:rPr>
              <w:t>。</w:t>
            </w:r>
          </w:p>
          <w:p w14:paraId="51D2BBA1">
            <w:pPr>
              <w:pStyle w:val="39"/>
              <w:spacing w:line="40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、样品舟</w:t>
            </w:r>
            <w:r>
              <w:rPr>
                <w:rFonts w:hint="eastAsia" w:ascii="宋体" w:hAnsi="宋体" w:eastAsia="宋体" w:cs="宋体"/>
                <w:sz w:val="24"/>
                <w:szCs w:val="24"/>
                <w:lang w:eastAsia="zh-CN"/>
              </w:rPr>
              <w:t>直接进样，</w:t>
            </w:r>
            <w:r>
              <w:rPr>
                <w:rFonts w:hint="eastAsia" w:ascii="宋体" w:hAnsi="宋体" w:eastAsia="宋体" w:cs="宋体"/>
                <w:sz w:val="24"/>
                <w:szCs w:val="24"/>
              </w:rPr>
              <w:t>平均重复使用次数：不低于</w:t>
            </w:r>
            <w:r>
              <w:rPr>
                <w:rFonts w:hint="eastAsia" w:ascii="宋体" w:hAnsi="宋体" w:eastAsia="宋体" w:cs="宋体"/>
                <w:sz w:val="24"/>
                <w:szCs w:val="24"/>
                <w:lang w:val="en-US" w:eastAsia="zh-CN"/>
              </w:rPr>
              <w:t>2</w:t>
            </w:r>
            <w:r>
              <w:rPr>
                <w:rFonts w:hint="eastAsia" w:ascii="宋体" w:hAnsi="宋体" w:eastAsia="宋体" w:cs="宋体"/>
                <w:sz w:val="24"/>
                <w:szCs w:val="24"/>
              </w:rPr>
              <w:t>次。</w:t>
            </w:r>
          </w:p>
          <w:p w14:paraId="706C208C">
            <w:pPr>
              <w:pStyle w:val="39"/>
              <w:spacing w:line="40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、超温报警功能：炉温超过一定温度时，必须</w:t>
            </w:r>
            <w:r>
              <w:rPr>
                <w:rFonts w:hint="eastAsia" w:ascii="宋体" w:hAnsi="宋体" w:eastAsia="宋体" w:cs="宋体"/>
                <w:sz w:val="24"/>
                <w:szCs w:val="24"/>
                <w:lang w:eastAsia="zh-CN"/>
              </w:rPr>
              <w:t>能</w:t>
            </w:r>
            <w:r>
              <w:rPr>
                <w:rFonts w:hint="eastAsia" w:ascii="宋体" w:hAnsi="宋体" w:eastAsia="宋体" w:cs="宋体"/>
                <w:sz w:val="24"/>
                <w:szCs w:val="24"/>
              </w:rPr>
              <w:t>自动报警提示。</w:t>
            </w:r>
          </w:p>
          <w:p w14:paraId="103A638B">
            <w:pPr>
              <w:pStyle w:val="39"/>
              <w:spacing w:line="400" w:lineRule="exact"/>
              <w:rPr>
                <w:rFonts w:hint="eastAsia" w:ascii="宋体" w:hAnsi="宋体" w:eastAsia="宋体" w:cs="宋体"/>
                <w:sz w:val="24"/>
                <w:szCs w:val="24"/>
              </w:rPr>
            </w:pPr>
            <w:r>
              <w:rPr>
                <w:rFonts w:hint="eastAsia" w:ascii="宋体" w:hAnsi="宋体" w:eastAsia="宋体" w:cs="宋体"/>
                <w:sz w:val="24"/>
                <w:szCs w:val="24"/>
              </w:rPr>
              <w:t>4、检测器系统</w:t>
            </w:r>
          </w:p>
          <w:p w14:paraId="64726F2B">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4.1、</w:t>
            </w:r>
            <w:r>
              <w:rPr>
                <w:rFonts w:hint="eastAsia" w:ascii="宋体" w:hAnsi="宋体" w:eastAsia="宋体" w:cs="宋体"/>
                <w:sz w:val="24"/>
                <w:szCs w:val="24"/>
                <w:lang w:eastAsia="zh-CN"/>
              </w:rPr>
              <w:t>检测器：</w:t>
            </w:r>
            <w:r>
              <w:rPr>
                <w:rFonts w:hint="eastAsia" w:ascii="宋体" w:hAnsi="宋体" w:eastAsia="宋体" w:cs="宋体"/>
                <w:sz w:val="24"/>
                <w:szCs w:val="24"/>
              </w:rPr>
              <w:t>非色散红外检测器</w:t>
            </w:r>
            <w:r>
              <w:rPr>
                <w:rFonts w:hint="eastAsia" w:ascii="宋体" w:hAnsi="宋体" w:eastAsia="宋体" w:cs="宋体"/>
                <w:sz w:val="24"/>
                <w:szCs w:val="24"/>
                <w:lang w:eastAsia="zh-CN"/>
              </w:rPr>
              <w:t>。</w:t>
            </w:r>
          </w:p>
          <w:p w14:paraId="4622A2FE">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4.2、测量范围</w:t>
            </w:r>
            <w:r>
              <w:rPr>
                <w:rFonts w:hint="eastAsia" w:ascii="宋体" w:hAnsi="宋体" w:eastAsia="宋体" w:cs="宋体"/>
                <w:sz w:val="24"/>
                <w:szCs w:val="24"/>
                <w:lang w:eastAsia="zh-CN"/>
              </w:rPr>
              <w:t>：</w:t>
            </w:r>
            <w:r>
              <w:rPr>
                <w:rFonts w:hint="eastAsia" w:ascii="宋体" w:hAnsi="宋体" w:eastAsia="宋体" w:cs="宋体"/>
                <w:sz w:val="24"/>
                <w:szCs w:val="24"/>
              </w:rPr>
              <w:t>0.05mg—130mg碳绝对量</w:t>
            </w:r>
            <w:r>
              <w:rPr>
                <w:rFonts w:hint="eastAsia" w:ascii="宋体" w:hAnsi="宋体" w:eastAsia="宋体" w:cs="宋体"/>
                <w:sz w:val="24"/>
                <w:szCs w:val="24"/>
                <w:lang w:eastAsia="zh-CN"/>
              </w:rPr>
              <w:t>。</w:t>
            </w:r>
          </w:p>
          <w:p w14:paraId="2A67EAB6">
            <w:pPr>
              <w:pStyle w:val="39"/>
              <w:spacing w:line="400"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测量时间：≤</w:t>
            </w:r>
            <w:r>
              <w:rPr>
                <w:rFonts w:hint="eastAsia" w:ascii="宋体" w:hAnsi="宋体" w:eastAsia="宋体" w:cs="宋体"/>
                <w:sz w:val="24"/>
                <w:szCs w:val="24"/>
                <w:lang w:val="en-US" w:eastAsia="zh-CN"/>
              </w:rPr>
              <w:t>6</w:t>
            </w:r>
            <w:r>
              <w:rPr>
                <w:rFonts w:hint="eastAsia" w:ascii="宋体" w:hAnsi="宋体" w:eastAsia="宋体" w:cs="宋体"/>
                <w:sz w:val="24"/>
                <w:szCs w:val="24"/>
              </w:rPr>
              <w:t>分钟。</w:t>
            </w:r>
          </w:p>
          <w:p w14:paraId="6B285853">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、重现性：TOC</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p>
          <w:p w14:paraId="0807A746">
            <w:pPr>
              <w:pStyle w:val="39"/>
              <w:spacing w:line="400" w:lineRule="exact"/>
              <w:rPr>
                <w:rFonts w:hint="eastAsia" w:ascii="宋体" w:hAnsi="宋体" w:eastAsia="宋体" w:cs="宋体"/>
                <w:sz w:val="24"/>
                <w:szCs w:val="24"/>
              </w:rPr>
            </w:pPr>
            <w:r>
              <w:rPr>
                <w:rFonts w:hint="eastAsia" w:ascii="宋体" w:hAnsi="宋体" w:eastAsia="宋体" w:cs="宋体"/>
                <w:sz w:val="24"/>
                <w:szCs w:val="24"/>
              </w:rPr>
              <w:t>5、电子气路控制系统</w:t>
            </w:r>
          </w:p>
          <w:p w14:paraId="3BCFD328">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5.1、可以补偿气流流速引起的变化</w:t>
            </w:r>
            <w:r>
              <w:rPr>
                <w:rFonts w:hint="eastAsia" w:ascii="宋体" w:hAnsi="宋体" w:eastAsia="宋体" w:cs="宋体"/>
                <w:sz w:val="24"/>
                <w:szCs w:val="24"/>
                <w:lang w:eastAsia="zh-CN"/>
              </w:rPr>
              <w:t>。</w:t>
            </w:r>
          </w:p>
          <w:p w14:paraId="4A53AA33">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5.2、气体流速数字化控制, 带有气体流量自动补偿校正系统</w:t>
            </w:r>
            <w:r>
              <w:rPr>
                <w:rFonts w:hint="eastAsia" w:ascii="宋体" w:hAnsi="宋体" w:eastAsia="宋体" w:cs="宋体"/>
                <w:sz w:val="24"/>
                <w:szCs w:val="24"/>
                <w:lang w:eastAsia="zh-CN"/>
              </w:rPr>
              <w:t>。</w:t>
            </w:r>
          </w:p>
          <w:p w14:paraId="47D33EC8">
            <w:pPr>
              <w:pStyle w:val="39"/>
              <w:spacing w:line="400" w:lineRule="exact"/>
              <w:rPr>
                <w:rFonts w:hint="eastAsia" w:ascii="宋体" w:hAnsi="宋体" w:eastAsia="宋体" w:cs="宋体"/>
                <w:sz w:val="24"/>
                <w:szCs w:val="24"/>
                <w:lang w:eastAsia="zh-CN"/>
              </w:rPr>
            </w:pPr>
            <w:r>
              <w:rPr>
                <w:rFonts w:hint="eastAsia" w:ascii="宋体" w:hAnsi="宋体" w:eastAsia="宋体" w:cs="宋体"/>
                <w:color w:val="auto"/>
                <w:kern w:val="2"/>
                <w:sz w:val="24"/>
                <w:szCs w:val="24"/>
                <w:lang w:val="en-US" w:eastAsia="zh-CN" w:bidi="ar"/>
              </w:rPr>
              <w:t>▲</w:t>
            </w:r>
            <w:r>
              <w:rPr>
                <w:rFonts w:hint="eastAsia" w:ascii="宋体" w:hAnsi="宋体" w:eastAsia="宋体" w:cs="宋体"/>
                <w:sz w:val="24"/>
                <w:szCs w:val="24"/>
              </w:rPr>
              <w:t>5.3、采用免维护的电子干燥装置，非化学干燥方式</w:t>
            </w:r>
            <w:r>
              <w:rPr>
                <w:rFonts w:hint="eastAsia" w:ascii="宋体" w:hAnsi="宋体" w:eastAsia="宋体" w:cs="宋体"/>
                <w:sz w:val="24"/>
                <w:szCs w:val="24"/>
                <w:lang w:eastAsia="zh-CN"/>
              </w:rPr>
              <w:t>。</w:t>
            </w:r>
          </w:p>
          <w:p w14:paraId="244BCCBC">
            <w:pPr>
              <w:pStyle w:val="39"/>
              <w:spacing w:line="400" w:lineRule="exact"/>
              <w:rPr>
                <w:rFonts w:hint="eastAsia" w:ascii="宋体" w:hAnsi="宋体" w:eastAsia="宋体" w:cs="宋体"/>
                <w:sz w:val="24"/>
                <w:szCs w:val="24"/>
              </w:rPr>
            </w:pPr>
            <w:r>
              <w:rPr>
                <w:rFonts w:hint="eastAsia" w:ascii="宋体" w:hAnsi="宋体" w:eastAsia="宋体" w:cs="宋体"/>
                <w:sz w:val="24"/>
                <w:szCs w:val="24"/>
              </w:rPr>
              <w:t>6、软件系统</w:t>
            </w:r>
          </w:p>
          <w:p w14:paraId="4ABD48E8">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6.1、推荐使用中文或英文Win 7系统</w:t>
            </w:r>
            <w:r>
              <w:rPr>
                <w:rFonts w:hint="eastAsia" w:ascii="宋体" w:hAnsi="宋体" w:eastAsia="宋体" w:cs="宋体"/>
                <w:sz w:val="24"/>
                <w:szCs w:val="24"/>
                <w:lang w:eastAsia="zh-CN"/>
              </w:rPr>
              <w:t>。</w:t>
            </w:r>
          </w:p>
          <w:p w14:paraId="38D9990C">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6.2、具有方法开发和储存功能</w:t>
            </w:r>
            <w:r>
              <w:rPr>
                <w:rFonts w:hint="eastAsia" w:ascii="宋体" w:hAnsi="宋体" w:eastAsia="宋体" w:cs="宋体"/>
                <w:sz w:val="24"/>
                <w:szCs w:val="24"/>
                <w:lang w:eastAsia="zh-CN"/>
              </w:rPr>
              <w:t>。</w:t>
            </w:r>
          </w:p>
          <w:p w14:paraId="644AE510">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6.3、系统状态显示和参数设定</w:t>
            </w:r>
            <w:r>
              <w:rPr>
                <w:rFonts w:hint="eastAsia" w:ascii="宋体" w:hAnsi="宋体" w:eastAsia="宋体" w:cs="宋体"/>
                <w:sz w:val="24"/>
                <w:szCs w:val="24"/>
                <w:lang w:eastAsia="zh-CN"/>
              </w:rPr>
              <w:t>。</w:t>
            </w:r>
          </w:p>
          <w:p w14:paraId="48AC284D">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6.4、具有1次方或2次方线性回归校正曲线</w:t>
            </w:r>
            <w:r>
              <w:rPr>
                <w:rFonts w:hint="eastAsia" w:ascii="宋体" w:hAnsi="宋体" w:eastAsia="宋体" w:cs="宋体"/>
                <w:sz w:val="24"/>
                <w:szCs w:val="24"/>
                <w:lang w:eastAsia="zh-CN"/>
              </w:rPr>
              <w:t>。</w:t>
            </w:r>
          </w:p>
          <w:p w14:paraId="30DE2C14">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6.5、实验结果可以输出及打印</w:t>
            </w:r>
            <w:r>
              <w:rPr>
                <w:rFonts w:hint="eastAsia" w:ascii="宋体" w:hAnsi="宋体" w:eastAsia="宋体" w:cs="宋体"/>
                <w:sz w:val="24"/>
                <w:szCs w:val="24"/>
                <w:lang w:eastAsia="zh-CN"/>
              </w:rPr>
              <w:t>。</w:t>
            </w:r>
          </w:p>
          <w:p w14:paraId="733A4CC9">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6.6、遵循GLP（优良实验室规范）</w:t>
            </w:r>
            <w:r>
              <w:rPr>
                <w:rFonts w:hint="eastAsia" w:ascii="宋体" w:hAnsi="宋体" w:eastAsia="宋体" w:cs="宋体"/>
                <w:sz w:val="24"/>
                <w:szCs w:val="24"/>
                <w:lang w:eastAsia="zh-CN"/>
              </w:rPr>
              <w:t>。</w:t>
            </w:r>
          </w:p>
          <w:p w14:paraId="68A810F2">
            <w:pPr>
              <w:pStyle w:val="39"/>
              <w:spacing w:line="400" w:lineRule="exact"/>
              <w:rPr>
                <w:rFonts w:hint="eastAsia" w:ascii="宋体" w:hAnsi="宋体" w:eastAsia="宋体" w:cs="宋体"/>
                <w:sz w:val="24"/>
                <w:szCs w:val="24"/>
              </w:rPr>
            </w:pPr>
            <w:r>
              <w:rPr>
                <w:rFonts w:hint="eastAsia" w:ascii="宋体" w:hAnsi="宋体" w:eastAsia="宋体" w:cs="宋体"/>
                <w:sz w:val="24"/>
                <w:szCs w:val="24"/>
              </w:rPr>
              <w:t>6.7、操作软件必须为全中文界面</w:t>
            </w:r>
            <w:r>
              <w:rPr>
                <w:rFonts w:hint="eastAsia" w:ascii="宋体" w:hAnsi="宋体" w:eastAsia="宋体" w:cs="宋体"/>
                <w:sz w:val="24"/>
                <w:szCs w:val="24"/>
                <w:lang w:eastAsia="zh-CN"/>
              </w:rPr>
              <w:t>。</w:t>
            </w:r>
          </w:p>
          <w:p w14:paraId="7090F6E9">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四、验证方法</w:t>
            </w:r>
          </w:p>
          <w:p w14:paraId="244016D1">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1、加标回收率验证  </w:t>
            </w:r>
          </w:p>
          <w:p w14:paraId="3195B0E6">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使用海洋沉积物标准样品，按仪器操作流程进行测定，计算加标回收率（80%</w:t>
            </w:r>
            <w:r>
              <w:rPr>
                <w:rFonts w:hint="eastAsia" w:ascii="宋体" w:hAnsi="宋体" w:eastAsia="宋体" w:cs="宋体"/>
                <w:sz w:val="24"/>
                <w:szCs w:val="24"/>
                <w:lang w:val="en-US" w:eastAsia="zh-CN"/>
              </w:rPr>
              <w:t>~</w:t>
            </w:r>
            <w:r>
              <w:rPr>
                <w:rFonts w:hint="eastAsia" w:ascii="宋体" w:hAnsi="宋体" w:eastAsia="宋体" w:cs="宋体"/>
                <w:sz w:val="24"/>
                <w:szCs w:val="24"/>
              </w:rPr>
              <w:t>120%为合格）。</w:t>
            </w:r>
          </w:p>
          <w:p w14:paraId="33DC8657">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精密度验证  </w:t>
            </w:r>
          </w:p>
          <w:p w14:paraId="741D9F85">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对同一沉积物样品进行6次平行测定，计算相对标准偏差（RSD），要求RSD≤5%。</w:t>
            </w:r>
          </w:p>
          <w:p w14:paraId="0DD71DDA">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检测限与定量限验证  </w:t>
            </w:r>
          </w:p>
          <w:p w14:paraId="2E12A2A0">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按《海洋环境监测技术规程》要求，以空白样品测定值的3倍标准差为检测限（LOD），10倍标准差为定量限（LOQ），需满足LOQ≤0.1 mg/g。</w:t>
            </w:r>
          </w:p>
          <w:p w14:paraId="468AF82B">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方法一致性验证  </w:t>
            </w:r>
          </w:p>
          <w:p w14:paraId="733A7C42">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参照《海洋监测规范》（GB 17378-2007），比对仪器测定结果与标准方法的一致性。</w:t>
            </w:r>
          </w:p>
          <w:p w14:paraId="46C56E8E">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总体合规性要求  </w:t>
            </w:r>
          </w:p>
          <w:p w14:paraId="51B68AA6">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所有验证项目需符合《海洋环境监测技术规程》及仪器技术协议要求。</w:t>
            </w:r>
          </w:p>
          <w:p w14:paraId="30A94872">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五、</w:t>
            </w:r>
            <w:r>
              <w:rPr>
                <w:rFonts w:hint="eastAsia" w:ascii="宋体" w:hAnsi="宋体" w:eastAsia="宋体" w:cs="宋体"/>
                <w:color w:val="auto"/>
                <w:kern w:val="2"/>
                <w:sz w:val="24"/>
                <w:szCs w:val="24"/>
                <w:lang w:val="en-US" w:eastAsia="zh-CN" w:bidi="ar"/>
              </w:rPr>
              <w:t>▲</w:t>
            </w:r>
            <w:r>
              <w:rPr>
                <w:rFonts w:hint="eastAsia" w:ascii="宋体" w:hAnsi="宋体" w:eastAsia="宋体" w:cs="宋体"/>
                <w:b/>
                <w:bCs/>
                <w:sz w:val="24"/>
                <w:szCs w:val="24"/>
                <w:lang w:bidi="ar"/>
              </w:rPr>
              <w:t>配置清单</w:t>
            </w:r>
          </w:p>
          <w:p w14:paraId="31AB71A2">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总有机碳分析仪主机</w:t>
            </w:r>
            <w:r>
              <w:rPr>
                <w:rFonts w:hint="eastAsia" w:ascii="宋体" w:hAnsi="宋体" w:eastAsia="宋体" w:cs="宋体"/>
                <w:sz w:val="24"/>
                <w:szCs w:val="24"/>
                <w:lang w:val="en-US" w:eastAsia="zh-CN"/>
              </w:rPr>
              <w:t>1</w:t>
            </w:r>
            <w:r>
              <w:rPr>
                <w:rFonts w:hint="eastAsia" w:ascii="宋体" w:hAnsi="宋体" w:eastAsia="宋体" w:cs="宋体"/>
                <w:sz w:val="24"/>
                <w:szCs w:val="24"/>
              </w:rPr>
              <w:t>台</w:t>
            </w:r>
          </w:p>
          <w:p w14:paraId="4892ED16">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专用分析软件</w:t>
            </w:r>
            <w:r>
              <w:rPr>
                <w:rFonts w:hint="eastAsia" w:ascii="宋体" w:hAnsi="宋体" w:eastAsia="宋体" w:cs="宋体"/>
                <w:sz w:val="24"/>
                <w:szCs w:val="24"/>
                <w:lang w:val="en-US" w:eastAsia="zh-CN"/>
              </w:rPr>
              <w:t>1</w:t>
            </w:r>
            <w:r>
              <w:rPr>
                <w:rFonts w:hint="eastAsia" w:ascii="宋体" w:hAnsi="宋体" w:eastAsia="宋体" w:cs="宋体"/>
                <w:sz w:val="24"/>
                <w:szCs w:val="24"/>
              </w:rPr>
              <w:t>套</w:t>
            </w:r>
          </w:p>
          <w:p w14:paraId="5B132021">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仪器安装起始包1套</w:t>
            </w:r>
          </w:p>
          <w:p w14:paraId="21A4AE41">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石英棉1套</w:t>
            </w:r>
          </w:p>
          <w:p w14:paraId="734B90AC">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高温垫片/3片  1套</w:t>
            </w:r>
          </w:p>
          <w:p w14:paraId="4882CF23">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催化剂1套</w:t>
            </w:r>
          </w:p>
          <w:p w14:paraId="3E0F1201">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过滤器/1个</w:t>
            </w:r>
          </w:p>
          <w:p w14:paraId="7ED071EF">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小过滤器/1个</w:t>
            </w:r>
          </w:p>
          <w:p w14:paraId="4D32F291">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固体燃烧炉 1个</w:t>
            </w:r>
          </w:p>
          <w:p w14:paraId="38208510">
            <w:pPr>
              <w:tabs>
                <w:tab w:val="left" w:pos="3227"/>
              </w:tabs>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高温陶瓷样品舟1000个</w:t>
            </w:r>
          </w:p>
          <w:p w14:paraId="0A910FBA">
            <w:pPr>
              <w:tabs>
                <w:tab w:val="left" w:pos="3227"/>
              </w:tabs>
              <w:adjustRightInd w:val="0"/>
              <w:snapToGrid w:val="0"/>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固体进样器</w:t>
            </w:r>
            <w:r>
              <w:rPr>
                <w:rFonts w:hint="eastAsia" w:ascii="宋体" w:hAnsi="宋体" w:eastAsia="宋体" w:cs="宋体"/>
                <w:sz w:val="24"/>
                <w:szCs w:val="24"/>
                <w:lang w:val="en-US" w:eastAsia="zh-CN"/>
              </w:rPr>
              <w:t>1套</w:t>
            </w:r>
          </w:p>
          <w:p w14:paraId="7669D348">
            <w:pPr>
              <w:tabs>
                <w:tab w:val="left" w:pos="3227"/>
              </w:tabs>
              <w:adjustRightInd w:val="0"/>
              <w:snapToGrid w:val="0"/>
              <w:spacing w:line="400" w:lineRule="exact"/>
              <w:jc w:val="left"/>
              <w:rPr>
                <w:rFonts w:hint="eastAsia" w:ascii="宋体" w:hAnsi="宋体" w:eastAsia="宋体" w:cs="宋体"/>
                <w:sz w:val="24"/>
                <w:szCs w:val="24"/>
              </w:rPr>
            </w:pPr>
          </w:p>
        </w:tc>
        <w:tc>
          <w:tcPr>
            <w:tcW w:w="952" w:type="dxa"/>
            <w:shd w:val="clear" w:color="000000" w:fill="FFFFFF"/>
            <w:vAlign w:val="center"/>
          </w:tcPr>
          <w:p w14:paraId="4F6C83BF">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1113" w:type="dxa"/>
            <w:shd w:val="clear" w:color="000000" w:fill="FFFFFF"/>
            <w:vAlign w:val="center"/>
          </w:tcPr>
          <w:p w14:paraId="16C97A37">
            <w:pPr>
              <w:widowControl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color w:val="auto"/>
                <w:sz w:val="24"/>
                <w:szCs w:val="24"/>
                <w:lang w:val="en-US" w:eastAsia="zh-CN"/>
              </w:rPr>
              <w:t>49</w:t>
            </w:r>
          </w:p>
        </w:tc>
        <w:tc>
          <w:tcPr>
            <w:tcW w:w="1164" w:type="dxa"/>
            <w:shd w:val="clear" w:color="000000" w:fill="FFFFFF"/>
            <w:vAlign w:val="center"/>
          </w:tcPr>
          <w:p w14:paraId="5442B994">
            <w:pPr>
              <w:widowControl w:val="0"/>
              <w:snapToGrid w:val="0"/>
              <w:spacing w:line="400" w:lineRule="exact"/>
              <w:jc w:val="center"/>
              <w:rPr>
                <w:rFonts w:hint="eastAsia" w:ascii="宋体" w:hAnsi="宋体" w:eastAsia="宋体" w:cs="宋体"/>
                <w:sz w:val="24"/>
                <w:szCs w:val="24"/>
                <w:lang w:bidi="ar"/>
              </w:rPr>
            </w:pPr>
            <w:r>
              <w:rPr>
                <w:rFonts w:hint="eastAsia" w:ascii="宋体" w:hAnsi="宋体" w:eastAsia="宋体" w:cs="宋体"/>
                <w:color w:val="auto"/>
                <w:sz w:val="24"/>
                <w:szCs w:val="24"/>
                <w:lang w:val="en-US" w:eastAsia="zh-CN"/>
              </w:rPr>
              <w:t>49</w:t>
            </w:r>
          </w:p>
        </w:tc>
      </w:tr>
      <w:tr w14:paraId="667B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826" w:type="dxa"/>
            <w:vMerge w:val="continue"/>
            <w:shd w:val="clear" w:color="000000" w:fill="FFFFFF"/>
            <w:vAlign w:val="center"/>
          </w:tcPr>
          <w:p w14:paraId="74E00417">
            <w:pPr>
              <w:adjustRightInd w:val="0"/>
              <w:snapToGrid w:val="0"/>
              <w:spacing w:line="400" w:lineRule="exact"/>
              <w:jc w:val="center"/>
              <w:rPr>
                <w:rFonts w:hint="eastAsia" w:ascii="宋体" w:hAnsi="宋体" w:eastAsia="宋体" w:cs="宋体"/>
                <w:kern w:val="0"/>
                <w:sz w:val="24"/>
                <w:szCs w:val="24"/>
              </w:rPr>
            </w:pPr>
          </w:p>
        </w:tc>
        <w:tc>
          <w:tcPr>
            <w:tcW w:w="952" w:type="dxa"/>
            <w:shd w:val="clear" w:color="auto" w:fill="auto"/>
            <w:vAlign w:val="center"/>
          </w:tcPr>
          <w:p w14:paraId="739B6532">
            <w:pPr>
              <w:widowControl w:val="0"/>
              <w:tabs>
                <w:tab w:val="center" w:pos="4153"/>
                <w:tab w:val="right" w:pos="8306"/>
              </w:tabs>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highlight w:val="none"/>
              </w:rPr>
              <w:t>温盐深仪</w:t>
            </w:r>
          </w:p>
        </w:tc>
        <w:tc>
          <w:tcPr>
            <w:tcW w:w="8790" w:type="dxa"/>
            <w:shd w:val="clear" w:color="000000" w:fill="FFFFFF"/>
            <w:vAlign w:val="center"/>
          </w:tcPr>
          <w:p w14:paraId="3C814D65">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一、设备用途</w:t>
            </w:r>
          </w:p>
          <w:p w14:paraId="3B83E356">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用于</w:t>
            </w:r>
            <w:r>
              <w:rPr>
                <w:rFonts w:hint="eastAsia" w:ascii="宋体" w:hAnsi="宋体" w:eastAsia="宋体" w:cs="宋体"/>
                <w:sz w:val="24"/>
                <w:szCs w:val="24"/>
                <w:lang w:eastAsia="zh-CN"/>
              </w:rPr>
              <w:t>海水采样中原位分析水温、水深、盐度</w:t>
            </w:r>
            <w:r>
              <w:rPr>
                <w:rFonts w:hint="eastAsia" w:ascii="宋体" w:hAnsi="宋体" w:eastAsia="宋体" w:cs="宋体"/>
                <w:sz w:val="24"/>
                <w:szCs w:val="24"/>
                <w:lang w:val="en-US" w:eastAsia="zh-CN"/>
              </w:rPr>
              <w:t>等参数</w:t>
            </w:r>
            <w:r>
              <w:rPr>
                <w:rFonts w:hint="eastAsia" w:ascii="宋体" w:hAnsi="宋体" w:eastAsia="宋体" w:cs="宋体"/>
                <w:sz w:val="24"/>
                <w:szCs w:val="24"/>
              </w:rPr>
              <w:t>。</w:t>
            </w:r>
          </w:p>
          <w:p w14:paraId="32EDFE20">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二、基本要求</w:t>
            </w:r>
          </w:p>
          <w:p w14:paraId="255CD04F">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、系统组成：主机为CTD，配套数据终端</w:t>
            </w:r>
            <w:r>
              <w:rPr>
                <w:rFonts w:hint="eastAsia" w:ascii="宋体" w:hAnsi="宋体" w:eastAsia="宋体" w:cs="宋体"/>
                <w:sz w:val="24"/>
                <w:szCs w:val="24"/>
                <w:lang w:val="en-US" w:eastAsia="zh-CN"/>
              </w:rPr>
              <w:t>（2套）</w:t>
            </w:r>
            <w:r>
              <w:rPr>
                <w:rFonts w:hint="eastAsia" w:ascii="宋体" w:hAnsi="宋体" w:eastAsia="宋体" w:cs="宋体"/>
                <w:sz w:val="24"/>
                <w:szCs w:val="24"/>
                <w:lang w:eastAsia="zh-CN"/>
              </w:rPr>
              <w:t>、工作站软件（</w:t>
            </w:r>
            <w:r>
              <w:rPr>
                <w:rFonts w:hint="eastAsia" w:ascii="宋体" w:hAnsi="宋体" w:eastAsia="宋体" w:cs="宋体"/>
                <w:sz w:val="24"/>
                <w:szCs w:val="24"/>
                <w:lang w:val="en-US" w:eastAsia="zh-CN"/>
              </w:rPr>
              <w:t>2套）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100米数据线</w:t>
            </w:r>
            <w:r>
              <w:rPr>
                <w:rFonts w:hint="eastAsia" w:ascii="宋体" w:hAnsi="宋体" w:eastAsia="宋体" w:cs="宋体"/>
                <w:sz w:val="24"/>
                <w:szCs w:val="24"/>
                <w:lang w:eastAsia="zh-CN"/>
              </w:rPr>
              <w:t>。</w:t>
            </w:r>
          </w:p>
          <w:p w14:paraId="0601F343">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2、工作模式：</w:t>
            </w:r>
            <w:r>
              <w:rPr>
                <w:rFonts w:hint="eastAsia" w:ascii="宋体" w:hAnsi="宋体" w:eastAsia="宋体" w:cs="宋体"/>
                <w:sz w:val="24"/>
                <w:szCs w:val="24"/>
                <w:lang w:val="en-US" w:eastAsia="zh-CN"/>
              </w:rPr>
              <w:t>直读</w:t>
            </w:r>
            <w:r>
              <w:rPr>
                <w:rFonts w:hint="eastAsia" w:ascii="宋体" w:hAnsi="宋体" w:eastAsia="宋体" w:cs="宋体"/>
                <w:sz w:val="24"/>
                <w:szCs w:val="24"/>
                <w:lang w:eastAsia="zh-CN"/>
              </w:rPr>
              <w:t>自容</w:t>
            </w:r>
            <w:r>
              <w:rPr>
                <w:rFonts w:hint="eastAsia" w:ascii="宋体" w:hAnsi="宋体" w:eastAsia="宋体" w:cs="宋体"/>
                <w:sz w:val="24"/>
                <w:szCs w:val="24"/>
                <w:lang w:val="en-US" w:eastAsia="zh-CN"/>
              </w:rPr>
              <w:t>一体</w:t>
            </w:r>
            <w:r>
              <w:rPr>
                <w:rFonts w:hint="eastAsia" w:ascii="宋体" w:hAnsi="宋体" w:eastAsia="宋体" w:cs="宋体"/>
                <w:sz w:val="24"/>
                <w:szCs w:val="24"/>
                <w:lang w:eastAsia="zh-CN"/>
              </w:rPr>
              <w:t>式。</w:t>
            </w:r>
          </w:p>
          <w:p w14:paraId="6E3E3F99">
            <w:pPr>
              <w:pStyle w:val="39"/>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3、数据终端2套：配备usb3.0端口、独立显卡、内存≥16G、容量≥1T的固态硬盘。</w:t>
            </w:r>
          </w:p>
          <w:p w14:paraId="6C61E203">
            <w:pPr>
              <w:pStyle w:val="39"/>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4、100米数据线能连接数据终端实时读取数据。</w:t>
            </w:r>
          </w:p>
          <w:p w14:paraId="11463116">
            <w:pPr>
              <w:pStyle w:val="39"/>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工作站软件能实现对水温、</w:t>
            </w:r>
            <w:r>
              <w:rPr>
                <w:rFonts w:hint="eastAsia" w:ascii="宋体" w:hAnsi="宋体" w:eastAsia="宋体" w:cs="宋体"/>
                <w:sz w:val="24"/>
                <w:szCs w:val="24"/>
                <w:lang w:val="en-US" w:eastAsia="zh-CN"/>
              </w:rPr>
              <w:t>压力（</w:t>
            </w:r>
            <w:r>
              <w:rPr>
                <w:rFonts w:hint="eastAsia" w:ascii="宋体" w:hAnsi="宋体" w:eastAsia="宋体" w:cs="宋体"/>
                <w:sz w:val="24"/>
                <w:szCs w:val="24"/>
                <w:lang w:eastAsia="zh-CN"/>
              </w:rPr>
              <w:t>水深</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、盐度（电导率）</w:t>
            </w:r>
            <w:r>
              <w:rPr>
                <w:rFonts w:hint="eastAsia" w:ascii="宋体" w:hAnsi="宋体" w:eastAsia="宋体" w:cs="宋体"/>
                <w:sz w:val="24"/>
                <w:szCs w:val="24"/>
                <w:lang w:val="en-US" w:eastAsia="zh-CN"/>
              </w:rPr>
              <w:t>等参数的收集和读取</w:t>
            </w:r>
            <w:r>
              <w:rPr>
                <w:rFonts w:hint="eastAsia" w:ascii="宋体" w:hAnsi="宋体" w:eastAsia="宋体" w:cs="宋体"/>
                <w:sz w:val="24"/>
                <w:szCs w:val="24"/>
                <w:lang w:eastAsia="zh-CN"/>
              </w:rPr>
              <w:t>。</w:t>
            </w:r>
          </w:p>
          <w:p w14:paraId="31F61C09">
            <w:pPr>
              <w:pStyle w:val="39"/>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6、提供本台CTD今年的第三</w:t>
            </w:r>
            <w:r>
              <w:rPr>
                <w:rFonts w:hint="eastAsia" w:ascii="宋体" w:hAnsi="宋体" w:eastAsia="宋体" w:cs="宋体"/>
                <w:sz w:val="24"/>
                <w:szCs w:val="24"/>
                <w:highlight w:val="none"/>
                <w:lang w:val="en-US" w:eastAsia="zh-CN"/>
              </w:rPr>
              <w:t>方检定/校准报告，</w:t>
            </w:r>
            <w:r>
              <w:rPr>
                <w:rFonts w:hint="eastAsia" w:ascii="宋体" w:hAnsi="宋体" w:eastAsia="宋体" w:cs="宋体"/>
                <w:sz w:val="24"/>
                <w:szCs w:val="24"/>
                <w:lang w:val="en-US" w:eastAsia="zh-CN"/>
              </w:rPr>
              <w:t>主要检定参数包括水温、盐度（电导率）、压力（水深）等。</w:t>
            </w:r>
          </w:p>
          <w:p w14:paraId="0F5C65F1">
            <w:pPr>
              <w:pStyle w:val="39"/>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水温、盐度（电导率）、</w:t>
            </w:r>
            <w:r>
              <w:rPr>
                <w:rFonts w:hint="eastAsia" w:ascii="宋体" w:hAnsi="宋体" w:eastAsia="宋体" w:cs="宋体"/>
                <w:sz w:val="24"/>
                <w:szCs w:val="24"/>
                <w:lang w:val="en-US" w:eastAsia="zh-CN"/>
              </w:rPr>
              <w:t>压力（</w:t>
            </w:r>
            <w:r>
              <w:rPr>
                <w:rFonts w:hint="eastAsia" w:ascii="宋体" w:hAnsi="宋体" w:eastAsia="宋体" w:cs="宋体"/>
                <w:sz w:val="24"/>
                <w:szCs w:val="24"/>
                <w:lang w:eastAsia="zh-CN"/>
              </w:rPr>
              <w:t>水深</w:t>
            </w:r>
            <w:r>
              <w:rPr>
                <w:rFonts w:hint="eastAsia" w:ascii="宋体" w:hAnsi="宋体" w:eastAsia="宋体" w:cs="宋体"/>
                <w:sz w:val="24"/>
                <w:szCs w:val="24"/>
                <w:lang w:val="en-US" w:eastAsia="zh-CN"/>
              </w:rPr>
              <w:t>）等探头支持在国内实现校准和检定。</w:t>
            </w:r>
          </w:p>
          <w:p w14:paraId="46AF816B">
            <w:pPr>
              <w:pStyle w:val="39"/>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仪器设备现场安装及调试</w:t>
            </w:r>
            <w:r>
              <w:rPr>
                <w:rFonts w:hint="eastAsia" w:ascii="宋体" w:hAnsi="宋体" w:eastAsia="宋体" w:cs="宋体"/>
                <w:sz w:val="24"/>
                <w:szCs w:val="24"/>
              </w:rPr>
              <w:t>。</w:t>
            </w:r>
          </w:p>
          <w:p w14:paraId="44C82717">
            <w:pPr>
              <w:tabs>
                <w:tab w:val="left" w:pos="3227"/>
              </w:tabs>
              <w:adjustRightInd w:val="0"/>
              <w:snapToGrid w:val="0"/>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三、技术参数及性能</w:t>
            </w:r>
          </w:p>
          <w:p w14:paraId="77678C1B">
            <w:pPr>
              <w:tabs>
                <w:tab w:val="left" w:pos="3227"/>
              </w:tabs>
              <w:adjustRightInd w:val="0"/>
              <w:snapToGrid w:val="0"/>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水温：测量范围优于</w:t>
            </w:r>
            <w:r>
              <w:rPr>
                <w:rFonts w:hint="eastAsia" w:ascii="宋体" w:hAnsi="宋体" w:eastAsia="宋体" w:cs="宋体"/>
                <w:sz w:val="24"/>
                <w:szCs w:val="24"/>
                <w:lang w:val="en-US" w:eastAsia="zh-CN"/>
              </w:rPr>
              <w:t>-2~35℃，分辨率≤0.1℃。</w:t>
            </w:r>
          </w:p>
          <w:p w14:paraId="3AB04E70">
            <w:pPr>
              <w:tabs>
                <w:tab w:val="left" w:pos="3227"/>
              </w:tabs>
              <w:adjustRightInd w:val="0"/>
              <w:snapToGrid w:val="0"/>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▲2、压力（</w:t>
            </w:r>
            <w:r>
              <w:rPr>
                <w:rFonts w:hint="eastAsia" w:ascii="宋体" w:hAnsi="宋体" w:eastAsia="宋体" w:cs="宋体"/>
                <w:sz w:val="24"/>
                <w:szCs w:val="24"/>
                <w:lang w:eastAsia="zh-CN"/>
              </w:rPr>
              <w:t>水深</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测量范围≥</w:t>
            </w:r>
            <w:r>
              <w:rPr>
                <w:rFonts w:hint="eastAsia" w:ascii="宋体" w:hAnsi="宋体" w:eastAsia="宋体" w:cs="宋体"/>
                <w:sz w:val="24"/>
                <w:szCs w:val="24"/>
                <w:lang w:val="en-US" w:eastAsia="zh-CN"/>
              </w:rPr>
              <w:t>100</w:t>
            </w:r>
            <w:r>
              <w:rPr>
                <w:rFonts w:hint="eastAsia" w:ascii="宋体" w:hAnsi="宋体" w:eastAsia="宋体" w:cs="宋体"/>
                <w:sz w:val="24"/>
                <w:szCs w:val="24"/>
              </w:rPr>
              <w:t>dbar</w:t>
            </w:r>
            <w:r>
              <w:rPr>
                <w:rFonts w:hint="eastAsia" w:ascii="宋体" w:hAnsi="宋体" w:eastAsia="宋体" w:cs="宋体"/>
                <w:sz w:val="24"/>
                <w:szCs w:val="24"/>
                <w:lang w:val="en-US" w:eastAsia="zh-CN"/>
              </w:rPr>
              <w:t>，分辨率≤0.1</w:t>
            </w:r>
            <w:r>
              <w:rPr>
                <w:rFonts w:hint="eastAsia" w:ascii="宋体" w:hAnsi="宋体" w:eastAsia="宋体" w:cs="宋体"/>
                <w:sz w:val="24"/>
                <w:szCs w:val="24"/>
              </w:rPr>
              <w:t>dbar</w:t>
            </w:r>
            <w:r>
              <w:rPr>
                <w:rFonts w:hint="eastAsia" w:ascii="宋体" w:hAnsi="宋体" w:eastAsia="宋体" w:cs="宋体"/>
                <w:sz w:val="24"/>
                <w:szCs w:val="24"/>
                <w:lang w:val="en-US" w:eastAsia="zh-CN"/>
              </w:rPr>
              <w:t>。</w:t>
            </w:r>
          </w:p>
          <w:p w14:paraId="6738A157">
            <w:pPr>
              <w:tabs>
                <w:tab w:val="left" w:pos="3227"/>
              </w:tabs>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▲3、电导率：</w:t>
            </w:r>
            <w:r>
              <w:rPr>
                <w:rFonts w:hint="eastAsia" w:ascii="宋体" w:hAnsi="宋体" w:eastAsia="宋体" w:cs="宋体"/>
                <w:sz w:val="24"/>
                <w:szCs w:val="24"/>
                <w:lang w:eastAsia="zh-CN"/>
              </w:rPr>
              <w:t>测量范围优于</w:t>
            </w:r>
            <w:r>
              <w:rPr>
                <w:rFonts w:hint="eastAsia" w:ascii="宋体" w:hAnsi="宋体" w:eastAsia="宋体" w:cs="宋体"/>
                <w:sz w:val="24"/>
                <w:szCs w:val="24"/>
                <w:lang w:val="en-US" w:eastAsia="zh-CN"/>
              </w:rPr>
              <w:t>0~70mS/cm，分辨率≤0.0001mS/cm，具有温度补偿功能</w:t>
            </w:r>
            <w:r>
              <w:rPr>
                <w:rFonts w:hint="eastAsia" w:ascii="宋体" w:hAnsi="宋体" w:eastAsia="宋体" w:cs="宋体"/>
                <w:sz w:val="24"/>
                <w:szCs w:val="24"/>
              </w:rPr>
              <w:t>。</w:t>
            </w:r>
          </w:p>
          <w:p w14:paraId="12801498">
            <w:pPr>
              <w:spacing w:line="400" w:lineRule="exact"/>
              <w:jc w:val="left"/>
              <w:rPr>
                <w:rFonts w:hint="eastAsia" w:ascii="宋体" w:hAnsi="宋体" w:eastAsia="宋体" w:cs="宋体"/>
                <w:b/>
                <w:bCs/>
                <w:sz w:val="24"/>
                <w:szCs w:val="24"/>
                <w:lang w:bidi="ar"/>
              </w:rPr>
            </w:pPr>
            <w:r>
              <w:rPr>
                <w:rFonts w:hint="eastAsia" w:ascii="宋体" w:hAnsi="宋体" w:eastAsia="宋体" w:cs="宋体"/>
                <w:b/>
                <w:bCs/>
                <w:sz w:val="24"/>
                <w:szCs w:val="24"/>
                <w:lang w:bidi="ar"/>
              </w:rPr>
              <w:t>四、配置清单</w:t>
            </w:r>
          </w:p>
          <w:p w14:paraId="3C6214A7">
            <w:pPr>
              <w:spacing w:line="400" w:lineRule="exact"/>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主机</w:t>
            </w:r>
            <w:r>
              <w:rPr>
                <w:rFonts w:hint="eastAsia" w:ascii="宋体" w:hAnsi="宋体" w:eastAsia="宋体" w:cs="宋体"/>
                <w:sz w:val="24"/>
                <w:szCs w:val="24"/>
                <w:lang w:val="en-US" w:eastAsia="zh-CN"/>
              </w:rPr>
              <w:t>1套</w:t>
            </w:r>
            <w:r>
              <w:rPr>
                <w:rFonts w:hint="eastAsia" w:ascii="宋体" w:hAnsi="宋体" w:eastAsia="宋体" w:cs="宋体"/>
                <w:sz w:val="24"/>
                <w:szCs w:val="24"/>
              </w:rPr>
              <w:t>；</w:t>
            </w:r>
          </w:p>
          <w:p w14:paraId="3AF030C5">
            <w:pPr>
              <w:spacing w:line="400" w:lineRule="exact"/>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数据终端</w:t>
            </w:r>
            <w:r>
              <w:rPr>
                <w:rFonts w:hint="eastAsia" w:ascii="宋体" w:hAnsi="宋体" w:eastAsia="宋体" w:cs="宋体"/>
                <w:sz w:val="24"/>
                <w:szCs w:val="24"/>
                <w:lang w:val="en-US" w:eastAsia="zh-CN"/>
              </w:rPr>
              <w:t>2套</w:t>
            </w:r>
            <w:r>
              <w:rPr>
                <w:rFonts w:hint="eastAsia" w:ascii="宋体" w:hAnsi="宋体" w:eastAsia="宋体" w:cs="宋体"/>
                <w:sz w:val="24"/>
                <w:szCs w:val="24"/>
              </w:rPr>
              <w:t>；</w:t>
            </w:r>
          </w:p>
          <w:p w14:paraId="2564754E">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工作站软件</w:t>
            </w:r>
            <w:r>
              <w:rPr>
                <w:rFonts w:hint="eastAsia" w:ascii="宋体" w:hAnsi="宋体" w:eastAsia="宋体" w:cs="宋体"/>
                <w:sz w:val="24"/>
                <w:szCs w:val="24"/>
                <w:highlight w:val="none"/>
                <w:lang w:val="en-US" w:eastAsia="zh-CN"/>
              </w:rPr>
              <w:t>2套</w:t>
            </w:r>
            <w:r>
              <w:rPr>
                <w:rFonts w:hint="eastAsia" w:ascii="宋体" w:hAnsi="宋体" w:eastAsia="宋体" w:cs="宋体"/>
                <w:sz w:val="24"/>
                <w:szCs w:val="24"/>
                <w:highlight w:val="none"/>
              </w:rPr>
              <w:t>；</w:t>
            </w:r>
          </w:p>
          <w:p w14:paraId="122DB59B">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第三方检定/校准报告1份</w:t>
            </w:r>
            <w:r>
              <w:rPr>
                <w:rFonts w:hint="eastAsia" w:ascii="宋体" w:hAnsi="宋体" w:eastAsia="宋体" w:cs="宋体"/>
                <w:sz w:val="24"/>
                <w:szCs w:val="24"/>
                <w:highlight w:val="none"/>
              </w:rPr>
              <w:t>；</w:t>
            </w:r>
          </w:p>
          <w:p w14:paraId="7D5AB9AD">
            <w:pPr>
              <w:pStyle w:val="2"/>
              <w:widowControl w:val="0"/>
              <w:spacing w:line="4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highlight w:val="none"/>
              </w:rPr>
              <w:t>5、必要的备件（</w:t>
            </w:r>
            <w:r>
              <w:rPr>
                <w:rFonts w:hint="eastAsia" w:ascii="宋体" w:hAnsi="宋体" w:eastAsia="宋体" w:cs="宋体"/>
                <w:sz w:val="24"/>
                <w:szCs w:val="24"/>
                <w:highlight w:val="none"/>
                <w:lang w:eastAsia="zh-CN"/>
              </w:rPr>
              <w:t>数据连接线、配套试</w:t>
            </w:r>
            <w:r>
              <w:rPr>
                <w:rFonts w:hint="eastAsia" w:ascii="宋体" w:hAnsi="宋体" w:eastAsia="宋体" w:cs="宋体"/>
                <w:sz w:val="24"/>
                <w:szCs w:val="24"/>
                <w:lang w:eastAsia="zh-CN"/>
              </w:rPr>
              <w:t>剂等</w:t>
            </w:r>
            <w:r>
              <w:rPr>
                <w:rFonts w:hint="eastAsia" w:ascii="宋体" w:hAnsi="宋体" w:eastAsia="宋体" w:cs="宋体"/>
                <w:sz w:val="24"/>
                <w:szCs w:val="24"/>
              </w:rPr>
              <w:t>）</w:t>
            </w:r>
            <w:r>
              <w:rPr>
                <w:rFonts w:hint="eastAsia" w:ascii="宋体" w:hAnsi="宋体" w:eastAsia="宋体" w:cs="宋体"/>
                <w:sz w:val="24"/>
                <w:szCs w:val="24"/>
                <w:lang w:eastAsia="zh-CN"/>
              </w:rPr>
              <w:t>。</w:t>
            </w:r>
          </w:p>
          <w:p w14:paraId="1C86D4FC">
            <w:pPr>
              <w:spacing w:line="400" w:lineRule="exact"/>
              <w:jc w:val="left"/>
              <w:rPr>
                <w:rFonts w:hint="eastAsia" w:ascii="宋体" w:hAnsi="宋体" w:eastAsia="宋体" w:cs="宋体"/>
                <w:sz w:val="24"/>
                <w:szCs w:val="24"/>
              </w:rPr>
            </w:pPr>
          </w:p>
        </w:tc>
        <w:tc>
          <w:tcPr>
            <w:tcW w:w="952" w:type="dxa"/>
            <w:shd w:val="clear" w:color="000000" w:fill="FFFFFF"/>
            <w:vAlign w:val="center"/>
          </w:tcPr>
          <w:p w14:paraId="220380CD">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13" w:type="dxa"/>
            <w:shd w:val="clear" w:color="000000" w:fill="FFFFFF"/>
            <w:vAlign w:val="center"/>
          </w:tcPr>
          <w:p w14:paraId="104425C2">
            <w:pPr>
              <w:widowControl w:val="0"/>
              <w:snapToGrid w:val="0"/>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w:t>
            </w:r>
          </w:p>
        </w:tc>
        <w:tc>
          <w:tcPr>
            <w:tcW w:w="1164" w:type="dxa"/>
            <w:shd w:val="clear" w:color="000000" w:fill="FFFFFF"/>
            <w:vAlign w:val="center"/>
          </w:tcPr>
          <w:p w14:paraId="34C89B80">
            <w:pPr>
              <w:widowControl w:val="0"/>
              <w:snapToGrid w:val="0"/>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w:t>
            </w:r>
          </w:p>
        </w:tc>
      </w:tr>
      <w:tr w14:paraId="68DC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2" w:hRule="atLeast"/>
          <w:jc w:val="center"/>
        </w:trPr>
        <w:tc>
          <w:tcPr>
            <w:tcW w:w="826" w:type="dxa"/>
            <w:vMerge w:val="continue"/>
            <w:shd w:val="clear" w:color="000000" w:fill="FFFFFF"/>
            <w:vAlign w:val="center"/>
          </w:tcPr>
          <w:p w14:paraId="4783F971">
            <w:pPr>
              <w:adjustRightInd w:val="0"/>
              <w:snapToGrid w:val="0"/>
              <w:spacing w:line="400" w:lineRule="exact"/>
              <w:jc w:val="center"/>
              <w:rPr>
                <w:rFonts w:hint="eastAsia" w:ascii="宋体" w:hAnsi="宋体" w:eastAsia="宋体" w:cs="宋体"/>
                <w:kern w:val="0"/>
                <w:sz w:val="24"/>
                <w:szCs w:val="24"/>
              </w:rPr>
            </w:pPr>
          </w:p>
        </w:tc>
        <w:tc>
          <w:tcPr>
            <w:tcW w:w="952" w:type="dxa"/>
            <w:shd w:val="clear" w:color="auto" w:fill="auto"/>
            <w:vAlign w:val="center"/>
          </w:tcPr>
          <w:p w14:paraId="35957FA1">
            <w:pPr>
              <w:widowControl w:val="0"/>
              <w:tabs>
                <w:tab w:val="center" w:pos="4153"/>
                <w:tab w:val="right" w:pos="8306"/>
              </w:tabs>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监测采样手持终端</w:t>
            </w:r>
          </w:p>
        </w:tc>
        <w:tc>
          <w:tcPr>
            <w:tcW w:w="8790" w:type="dxa"/>
            <w:shd w:val="clear" w:color="000000" w:fill="FFFFFF"/>
            <w:vAlign w:val="center"/>
          </w:tcPr>
          <w:p w14:paraId="035E13F1">
            <w:pPr>
              <w:pStyle w:val="2"/>
              <w:spacing w:line="400" w:lineRule="exact"/>
              <w:ind w:firstLine="0" w:firstLineChars="0"/>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一、设备用途</w:t>
            </w:r>
          </w:p>
          <w:p w14:paraId="0F3BB95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用</w:t>
            </w:r>
            <w:r>
              <w:rPr>
                <w:rFonts w:hint="eastAsia" w:ascii="宋体" w:hAnsi="宋体" w:eastAsia="宋体" w:cs="宋体"/>
                <w:sz w:val="24"/>
                <w:szCs w:val="24"/>
                <w:highlight w:val="none"/>
                <w:lang w:eastAsia="zh-CN"/>
              </w:rPr>
              <w:t>于</w:t>
            </w:r>
            <w:r>
              <w:rPr>
                <w:rFonts w:hint="eastAsia" w:ascii="宋体" w:hAnsi="宋体" w:eastAsia="宋体" w:cs="宋体"/>
                <w:sz w:val="24"/>
                <w:szCs w:val="24"/>
                <w:highlight w:val="none"/>
              </w:rPr>
              <w:t>外出采样时现场录入和上传采样信息等数据。</w:t>
            </w:r>
          </w:p>
          <w:p w14:paraId="5D44A528">
            <w:pPr>
              <w:pStyle w:val="2"/>
              <w:spacing w:line="400" w:lineRule="exact"/>
              <w:ind w:firstLine="0" w:firstLineChars="0"/>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二、</w:t>
            </w:r>
            <w:r>
              <w:rPr>
                <w:rFonts w:hint="eastAsia" w:ascii="宋体" w:hAnsi="宋体" w:eastAsia="宋体" w:cs="宋体"/>
                <w:b/>
                <w:bCs/>
                <w:sz w:val="24"/>
                <w:szCs w:val="24"/>
                <w:highlight w:val="none"/>
                <w:lang w:val="en-US" w:eastAsia="zh-CN" w:bidi="ar"/>
              </w:rPr>
              <w:t>技术参数及配置要求</w:t>
            </w:r>
          </w:p>
          <w:p w14:paraId="5CEB5ED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1、技术参数：</w:t>
            </w:r>
          </w:p>
          <w:p w14:paraId="713BE419">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①支持50W以上快充，正常工作续航时间≥10小时</w:t>
            </w:r>
            <w:r>
              <w:rPr>
                <w:rFonts w:hint="eastAsia" w:ascii="宋体" w:hAnsi="宋体" w:eastAsia="宋体" w:cs="宋体"/>
                <w:sz w:val="24"/>
                <w:szCs w:val="24"/>
                <w:highlight w:val="none"/>
                <w:lang w:eastAsia="zh-CN"/>
              </w:rPr>
              <w:t>；</w:t>
            </w:r>
          </w:p>
          <w:p w14:paraId="121F865D">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sz w:val="24"/>
                <w:szCs w:val="24"/>
                <w:highlight w:val="none"/>
              </w:rPr>
              <w:t>②操作系统：安卓系统要求版本新于12.0；</w:t>
            </w:r>
            <w:r>
              <w:rPr>
                <w:rFonts w:hint="eastAsia" w:ascii="宋体" w:hAnsi="宋体" w:eastAsia="宋体" w:cs="宋体"/>
                <w:color w:val="auto"/>
                <w:kern w:val="2"/>
                <w:sz w:val="24"/>
                <w:szCs w:val="24"/>
                <w:highlight w:val="none"/>
                <w:lang w:val="en-US" w:eastAsia="zh-CN" w:bidi="ar"/>
              </w:rPr>
              <w:t>鸿蒙系统要求为4版本。（或其他基于安卓衍生的系统可支持采购方移动监测端APP即可）；</w:t>
            </w:r>
          </w:p>
          <w:p w14:paraId="409BE74C">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③运行内存≥12GB，存储容量≥256GB</w:t>
            </w:r>
            <w:r>
              <w:rPr>
                <w:rFonts w:hint="eastAsia" w:ascii="宋体" w:hAnsi="宋体" w:eastAsia="宋体" w:cs="宋体"/>
                <w:sz w:val="24"/>
                <w:szCs w:val="24"/>
                <w:highlight w:val="none"/>
                <w:lang w:eastAsia="zh-CN"/>
              </w:rPr>
              <w:t>；</w:t>
            </w:r>
          </w:p>
          <w:p w14:paraId="6F29B066">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④支持北斗导航系统；没有安装GPS系统或可在系统内或工程模式下单独关闭GPS模块。</w:t>
            </w:r>
          </w:p>
          <w:p w14:paraId="2B84B781">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配置</w:t>
            </w:r>
            <w:r>
              <w:rPr>
                <w:rFonts w:hint="eastAsia" w:ascii="宋体" w:hAnsi="宋体" w:eastAsia="宋体" w:cs="宋体"/>
                <w:sz w:val="24"/>
                <w:szCs w:val="24"/>
                <w:highlight w:val="none"/>
                <w:lang w:val="en-US" w:eastAsia="zh-CN"/>
              </w:rPr>
              <w:t>要求</w:t>
            </w:r>
            <w:r>
              <w:rPr>
                <w:rFonts w:hint="eastAsia" w:ascii="宋体" w:hAnsi="宋体" w:eastAsia="宋体" w:cs="宋体"/>
                <w:sz w:val="24"/>
                <w:szCs w:val="24"/>
                <w:highlight w:val="none"/>
              </w:rPr>
              <w:t>：</w:t>
            </w:r>
          </w:p>
          <w:p w14:paraId="567BA5D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平板电脑主机1台；</w:t>
            </w:r>
          </w:p>
          <w:p w14:paraId="54B48874">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50W以上快充1个；</w:t>
            </w:r>
          </w:p>
          <w:p w14:paraId="535FCFB0">
            <w:pPr>
              <w:keepNext w:val="0"/>
              <w:keepLines w:val="0"/>
              <w:widowControl/>
              <w:numPr>
                <w:ilvl w:val="0"/>
                <w:numId w:val="8"/>
              </w:numPr>
              <w:suppressLineNumbers w:val="0"/>
              <w:spacing w:before="0" w:beforeAutospacing="0" w:after="0" w:afterAutospacing="0" w:line="400" w:lineRule="exact"/>
              <w:ind w:left="0" w:right="0"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配套原装磁吸键盘1个；</w:t>
            </w:r>
          </w:p>
          <w:p w14:paraId="497E96C3">
            <w:pPr>
              <w:keepNext w:val="0"/>
              <w:keepLines w:val="0"/>
              <w:widowControl/>
              <w:numPr>
                <w:ilvl w:val="0"/>
                <w:numId w:val="8"/>
              </w:numPr>
              <w:suppressLineNumbers w:val="0"/>
              <w:spacing w:before="0" w:beforeAutospacing="0" w:after="0" w:afterAutospacing="0" w:line="400" w:lineRule="exact"/>
              <w:ind w:left="0" w:right="0"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平板保护套1个。</w:t>
            </w:r>
          </w:p>
          <w:p w14:paraId="3F62EB0A">
            <w:pPr>
              <w:pStyle w:val="2"/>
              <w:spacing w:line="400" w:lineRule="exact"/>
              <w:ind w:firstLine="0" w:firstLineChars="0"/>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三、验证方法</w:t>
            </w:r>
          </w:p>
          <w:p w14:paraId="0ED95800">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现场操作演示并核实各项参数指标是否达到上述需求</w:t>
            </w:r>
            <w:r>
              <w:rPr>
                <w:rFonts w:hint="eastAsia" w:ascii="宋体" w:hAnsi="宋体" w:eastAsia="宋体" w:cs="宋体"/>
                <w:sz w:val="24"/>
                <w:szCs w:val="24"/>
                <w:highlight w:val="none"/>
              </w:rPr>
              <w:t>。</w:t>
            </w:r>
          </w:p>
          <w:p w14:paraId="545A71A2">
            <w:pPr>
              <w:spacing w:line="400" w:lineRule="exact"/>
              <w:rPr>
                <w:rFonts w:hint="eastAsia" w:ascii="宋体" w:hAnsi="宋体" w:eastAsia="宋体" w:cs="宋体"/>
                <w:sz w:val="24"/>
                <w:szCs w:val="24"/>
                <w:highlight w:val="none"/>
              </w:rPr>
            </w:pPr>
          </w:p>
        </w:tc>
        <w:tc>
          <w:tcPr>
            <w:tcW w:w="952" w:type="dxa"/>
            <w:shd w:val="clear" w:color="000000" w:fill="FFFFFF"/>
            <w:vAlign w:val="center"/>
          </w:tcPr>
          <w:p w14:paraId="43952E37">
            <w:pPr>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w:t>
            </w:r>
          </w:p>
        </w:tc>
        <w:tc>
          <w:tcPr>
            <w:tcW w:w="1113" w:type="dxa"/>
            <w:shd w:val="clear" w:color="000000" w:fill="FFFFFF"/>
            <w:vAlign w:val="center"/>
          </w:tcPr>
          <w:p w14:paraId="7CE5E8CF">
            <w:pPr>
              <w:widowControl w:val="0"/>
              <w:snapToGrid w:val="0"/>
              <w:spacing w:line="400" w:lineRule="exact"/>
              <w:jc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0.6</w:t>
            </w:r>
          </w:p>
        </w:tc>
        <w:tc>
          <w:tcPr>
            <w:tcW w:w="1164" w:type="dxa"/>
            <w:shd w:val="clear" w:color="000000" w:fill="FFFFFF"/>
            <w:vAlign w:val="center"/>
          </w:tcPr>
          <w:p w14:paraId="14A1613C">
            <w:pPr>
              <w:widowControl w:val="0"/>
              <w:snapToGrid w:val="0"/>
              <w:spacing w:line="400" w:lineRule="exact"/>
              <w:jc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12</w:t>
            </w:r>
          </w:p>
        </w:tc>
      </w:tr>
    </w:tbl>
    <w:p w14:paraId="7859F9A1">
      <w:pPr>
        <w:rPr>
          <w:rFonts w:hint="eastAsia" w:ascii="宋体" w:hAnsi="宋体" w:eastAsia="宋体" w:cs="宋体"/>
          <w:color w:val="000000"/>
          <w:sz w:val="24"/>
          <w:szCs w:val="24"/>
        </w:rPr>
        <w:sectPr>
          <w:pgSz w:w="16838" w:h="11906" w:orient="landscape"/>
          <w:pgMar w:top="1134" w:right="1440" w:bottom="1134" w:left="1440" w:header="851" w:footer="992" w:gutter="0"/>
          <w:cols w:space="720" w:num="1"/>
          <w:rtlGutter w:val="0"/>
          <w:docGrid w:type="lines" w:linePitch="319" w:charSpace="0"/>
        </w:sectPr>
      </w:pPr>
    </w:p>
    <w:p w14:paraId="1932B411">
      <w:pPr>
        <w:rPr>
          <w:rFonts w:hint="eastAsia" w:ascii="宋体" w:hAnsi="宋体" w:eastAsia="宋体" w:cs="宋体"/>
          <w:color w:val="000000"/>
          <w:sz w:val="24"/>
          <w:szCs w:val="24"/>
        </w:rPr>
      </w:pPr>
      <w:r>
        <w:rPr>
          <w:rFonts w:hint="eastAsia" w:ascii="宋体" w:hAnsi="宋体" w:eastAsia="宋体" w:cs="宋体"/>
          <w:color w:val="000000"/>
          <w:sz w:val="24"/>
          <w:szCs w:val="24"/>
        </w:rPr>
        <w:t>（2）商务要求</w:t>
      </w:r>
    </w:p>
    <w:tbl>
      <w:tblPr>
        <w:tblStyle w:val="61"/>
        <w:tblW w:w="98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0"/>
        <w:gridCol w:w="8378"/>
      </w:tblGrid>
      <w:tr w14:paraId="2BC42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2" w:hRule="atLeast"/>
          <w:jc w:val="center"/>
        </w:trPr>
        <w:tc>
          <w:tcPr>
            <w:tcW w:w="1470" w:type="dxa"/>
            <w:vAlign w:val="top"/>
          </w:tcPr>
          <w:p w14:paraId="392E113B">
            <w:pPr>
              <w:spacing w:line="400" w:lineRule="exact"/>
              <w:rPr>
                <w:rFonts w:hint="eastAsia" w:ascii="宋体" w:hAnsi="宋体" w:eastAsia="宋体" w:cs="宋体"/>
                <w:sz w:val="24"/>
                <w:szCs w:val="24"/>
              </w:rPr>
            </w:pPr>
          </w:p>
          <w:p w14:paraId="23FF081C">
            <w:pPr>
              <w:spacing w:line="400" w:lineRule="exact"/>
              <w:rPr>
                <w:rFonts w:hint="eastAsia" w:ascii="宋体" w:hAnsi="宋体" w:eastAsia="宋体" w:cs="宋体"/>
                <w:sz w:val="24"/>
                <w:szCs w:val="24"/>
              </w:rPr>
            </w:pPr>
          </w:p>
          <w:p w14:paraId="1101CA52">
            <w:pPr>
              <w:spacing w:line="400" w:lineRule="exact"/>
              <w:rPr>
                <w:rFonts w:hint="eastAsia" w:ascii="宋体" w:hAnsi="宋体" w:eastAsia="宋体" w:cs="宋体"/>
                <w:sz w:val="24"/>
                <w:szCs w:val="24"/>
              </w:rPr>
            </w:pPr>
          </w:p>
          <w:p w14:paraId="59430ED9">
            <w:pPr>
              <w:spacing w:line="400" w:lineRule="exact"/>
              <w:rPr>
                <w:rFonts w:hint="eastAsia" w:ascii="宋体" w:hAnsi="宋体" w:eastAsia="宋体" w:cs="宋体"/>
                <w:sz w:val="24"/>
                <w:szCs w:val="24"/>
              </w:rPr>
            </w:pPr>
          </w:p>
          <w:p w14:paraId="2D73033E">
            <w:pPr>
              <w:spacing w:line="400" w:lineRule="exact"/>
              <w:rPr>
                <w:rFonts w:hint="eastAsia" w:ascii="宋体" w:hAnsi="宋体" w:eastAsia="宋体" w:cs="宋体"/>
                <w:sz w:val="24"/>
                <w:szCs w:val="24"/>
              </w:rPr>
            </w:pPr>
          </w:p>
          <w:p w14:paraId="6AFC3A76">
            <w:pPr>
              <w:spacing w:line="400" w:lineRule="exact"/>
              <w:rPr>
                <w:rFonts w:hint="eastAsia" w:ascii="宋体" w:hAnsi="宋体" w:eastAsia="宋体" w:cs="宋体"/>
                <w:sz w:val="24"/>
                <w:szCs w:val="24"/>
              </w:rPr>
            </w:pPr>
          </w:p>
          <w:p w14:paraId="1FF239ED">
            <w:pPr>
              <w:spacing w:line="400" w:lineRule="exact"/>
              <w:rPr>
                <w:rFonts w:hint="eastAsia" w:ascii="宋体" w:hAnsi="宋体" w:eastAsia="宋体" w:cs="宋体"/>
                <w:sz w:val="24"/>
                <w:szCs w:val="24"/>
              </w:rPr>
            </w:pPr>
            <w:r>
              <w:rPr>
                <w:rFonts w:hint="eastAsia" w:ascii="宋体" w:hAnsi="宋体" w:eastAsia="宋体" w:cs="宋体"/>
                <w:sz w:val="24"/>
                <w:szCs w:val="24"/>
              </w:rPr>
              <w:t>售后服务要求</w:t>
            </w:r>
          </w:p>
        </w:tc>
        <w:tc>
          <w:tcPr>
            <w:tcW w:w="8378" w:type="dxa"/>
            <w:vAlign w:val="top"/>
          </w:tcPr>
          <w:p w14:paraId="50585414">
            <w:pPr>
              <w:spacing w:line="400" w:lineRule="exact"/>
              <w:ind w:left="105" w:leftChars="50"/>
              <w:rPr>
                <w:rFonts w:hint="eastAsia" w:ascii="宋体" w:hAnsi="宋体" w:eastAsia="宋体" w:cs="宋体"/>
                <w:sz w:val="24"/>
                <w:szCs w:val="24"/>
              </w:rPr>
            </w:pPr>
            <w:r>
              <w:rPr>
                <w:rFonts w:hint="eastAsia" w:ascii="宋体" w:hAnsi="宋体" w:eastAsia="宋体" w:cs="宋体"/>
                <w:sz w:val="24"/>
                <w:szCs w:val="24"/>
              </w:rPr>
              <w:t>1、质保期内：</w:t>
            </w:r>
            <w:r>
              <w:rPr>
                <w:rFonts w:hint="eastAsia" w:ascii="宋体" w:hAnsi="宋体"/>
                <w:kern w:val="0"/>
                <w:sz w:val="24"/>
                <w:szCs w:val="24"/>
              </w:rPr>
              <w:t>乙方应当提供每周7天、每天24小时的电话支持服务。乙方接到甲方保修通知后2个小时内响应，12个小时内排除故障。</w:t>
            </w:r>
            <w:r>
              <w:rPr>
                <w:rFonts w:hint="eastAsia" w:ascii="宋体" w:hAnsi="宋体"/>
                <w:spacing w:val="-10"/>
                <w:sz w:val="24"/>
                <w:szCs w:val="24"/>
              </w:rPr>
              <w:t>货物出现重大故障或维修时限超过</w:t>
            </w:r>
            <w:r>
              <w:rPr>
                <w:rFonts w:hint="eastAsia" w:ascii="宋体" w:hAnsi="宋体"/>
                <w:sz w:val="24"/>
                <w:szCs w:val="24"/>
              </w:rPr>
              <w:t>2日的，</w:t>
            </w:r>
            <w:r>
              <w:rPr>
                <w:rFonts w:hint="eastAsia" w:ascii="宋体" w:hAnsi="宋体"/>
                <w:kern w:val="0"/>
                <w:sz w:val="24"/>
                <w:szCs w:val="24"/>
              </w:rPr>
              <w:t>乙方应在24个小时内免费更换备品备件</w:t>
            </w:r>
            <w:r>
              <w:rPr>
                <w:rFonts w:hint="eastAsia" w:ascii="宋体" w:hAnsi="宋体" w:eastAsia="宋体" w:cs="宋体"/>
                <w:sz w:val="24"/>
                <w:szCs w:val="24"/>
              </w:rPr>
              <w:t>。</w:t>
            </w:r>
          </w:p>
          <w:p w14:paraId="1E7FE633">
            <w:pPr>
              <w:spacing w:line="400" w:lineRule="exact"/>
              <w:ind w:left="105" w:leftChars="50"/>
              <w:rPr>
                <w:rFonts w:hint="eastAsia" w:ascii="宋体" w:hAnsi="宋体" w:eastAsia="宋体" w:cs="宋体"/>
                <w:sz w:val="24"/>
                <w:szCs w:val="24"/>
              </w:rPr>
            </w:pPr>
            <w:r>
              <w:rPr>
                <w:rFonts w:hint="eastAsia" w:ascii="宋体" w:hAnsi="宋体" w:eastAsia="宋体" w:cs="宋体"/>
                <w:sz w:val="24"/>
                <w:szCs w:val="24"/>
              </w:rPr>
              <w:t>2、在质量保证期内货物非因人为及不可抗拒因素的原因而引起损坏或质量问题，供应商必须予以技术服务、维修或货物更换并承担相应费用。供应商负责设备的安装调试和技术培训，解决货物的使用过程中出现的各种问题并提供技术指导。安装现场技术培训操作人员，培训内容主要包括仪器操作使用、一般故障诊断和排除等。培训效果需达到操作人员能独立熟练操作仪器。</w:t>
            </w:r>
          </w:p>
          <w:p w14:paraId="2BA7D86A">
            <w:pPr>
              <w:spacing w:line="400" w:lineRule="exact"/>
              <w:ind w:left="105" w:leftChars="50"/>
              <w:rPr>
                <w:rFonts w:hint="eastAsia" w:ascii="宋体" w:hAnsi="宋体" w:eastAsia="宋体" w:cs="宋体"/>
                <w:sz w:val="24"/>
                <w:szCs w:val="24"/>
              </w:rPr>
            </w:pPr>
            <w:r>
              <w:rPr>
                <w:rFonts w:hint="eastAsia" w:ascii="宋体" w:hAnsi="宋体" w:eastAsia="宋体" w:cs="宋体"/>
                <w:sz w:val="24"/>
                <w:szCs w:val="24"/>
              </w:rPr>
              <w:t>3、供应商在投标时，如有进口仪器设备，须提供进口仪器设备原厂或代理商的服务授权证明、售后服务承诺及中文说明书。</w:t>
            </w:r>
          </w:p>
          <w:p w14:paraId="58F8376A">
            <w:pPr>
              <w:spacing w:line="400" w:lineRule="exact"/>
              <w:ind w:left="105" w:leftChars="50"/>
              <w:rPr>
                <w:rFonts w:hint="eastAsia" w:ascii="宋体" w:hAnsi="宋体" w:eastAsia="宋体" w:cs="宋体"/>
                <w:sz w:val="24"/>
                <w:szCs w:val="24"/>
              </w:rPr>
            </w:pPr>
            <w:r>
              <w:rPr>
                <w:rFonts w:hint="eastAsia" w:ascii="宋体" w:hAnsi="宋体" w:eastAsia="宋体" w:cs="宋体"/>
                <w:sz w:val="24"/>
                <w:szCs w:val="24"/>
              </w:rPr>
              <w:t>4、全部设备在安装时所需的各类连接电缆、耗材、配件和所需的工具等由供应商提供。采购方提供安装地点和联系人，供应商负责送货上门、安装调试至验收合格。除部分分项有特殊要求外，其余按国家有关产品“三包”规定执行“三包”。以厂家承诺为准。提供完善的装备使用手册、操作培训手册。</w:t>
            </w:r>
          </w:p>
          <w:p w14:paraId="2DB2DE21">
            <w:pPr>
              <w:spacing w:line="400" w:lineRule="exact"/>
              <w:ind w:left="105" w:leftChars="50"/>
              <w:rPr>
                <w:rFonts w:hint="eastAsia" w:ascii="宋体" w:hAnsi="宋体" w:eastAsia="宋体" w:cs="宋体"/>
                <w:sz w:val="24"/>
                <w:szCs w:val="24"/>
              </w:rPr>
            </w:pPr>
            <w:r>
              <w:rPr>
                <w:rFonts w:hint="eastAsia" w:ascii="宋体" w:hAnsi="宋体" w:eastAsia="宋体" w:cs="宋体"/>
                <w:sz w:val="24"/>
                <w:szCs w:val="24"/>
              </w:rPr>
              <w:t>5、供应商必须承诺：配备软件操作系统的仪器设备，必须提供终身免费软件安装、升级、运行维护的服务，并提供服务承诺函，不得另行收取或变相收取任何费用。</w:t>
            </w:r>
          </w:p>
        </w:tc>
      </w:tr>
      <w:tr w14:paraId="27915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470" w:type="dxa"/>
            <w:vAlign w:val="top"/>
          </w:tcPr>
          <w:p w14:paraId="716F9D59">
            <w:pPr>
              <w:kinsoku w:val="0"/>
              <w:autoSpaceDE w:val="0"/>
              <w:autoSpaceDN w:val="0"/>
              <w:adjustRightInd w:val="0"/>
              <w:snapToGrid w:val="0"/>
              <w:spacing w:line="400" w:lineRule="exact"/>
              <w:jc w:val="center"/>
              <w:rPr>
                <w:rFonts w:hint="eastAsia" w:ascii="宋体" w:hAnsi="宋体" w:eastAsia="宋体" w:cs="宋体"/>
                <w:spacing w:val="7"/>
                <w:sz w:val="24"/>
                <w:szCs w:val="24"/>
              </w:rPr>
            </w:pPr>
            <w:r>
              <w:rPr>
                <w:rFonts w:hint="eastAsia" w:ascii="宋体" w:hAnsi="宋体" w:eastAsia="宋体" w:cs="宋体"/>
                <w:spacing w:val="7"/>
                <w:sz w:val="24"/>
                <w:szCs w:val="24"/>
              </w:rPr>
              <w:t>签订合同</w:t>
            </w:r>
          </w:p>
          <w:p w14:paraId="7AABD73F">
            <w:pPr>
              <w:kinsoku w:val="0"/>
              <w:autoSpaceDE w:val="0"/>
              <w:autoSpaceDN w:val="0"/>
              <w:adjustRightInd w:val="0"/>
              <w:snapToGrid w:val="0"/>
              <w:spacing w:line="400" w:lineRule="exact"/>
              <w:jc w:val="center"/>
              <w:rPr>
                <w:rFonts w:hint="eastAsia" w:ascii="宋体" w:hAnsi="宋体" w:eastAsia="宋体" w:cs="宋体"/>
                <w:spacing w:val="7"/>
                <w:sz w:val="24"/>
                <w:szCs w:val="24"/>
              </w:rPr>
            </w:pPr>
            <w:r>
              <w:rPr>
                <w:rFonts w:hint="eastAsia" w:ascii="宋体" w:hAnsi="宋体" w:eastAsia="宋体" w:cs="宋体"/>
                <w:spacing w:val="7"/>
                <w:sz w:val="24"/>
                <w:szCs w:val="24"/>
              </w:rPr>
              <w:t>时间</w:t>
            </w:r>
          </w:p>
        </w:tc>
        <w:tc>
          <w:tcPr>
            <w:tcW w:w="8378" w:type="dxa"/>
            <w:vAlign w:val="center"/>
          </w:tcPr>
          <w:p w14:paraId="45A50178">
            <w:pPr>
              <w:kinsoku w:val="0"/>
              <w:autoSpaceDE w:val="0"/>
              <w:autoSpaceDN w:val="0"/>
              <w:adjustRightInd w:val="0"/>
              <w:snapToGrid w:val="0"/>
              <w:spacing w:line="400" w:lineRule="exact"/>
              <w:ind w:left="105" w:leftChars="50"/>
              <w:jc w:val="both"/>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自成交</w:t>
            </w:r>
            <w:r>
              <w:rPr>
                <w:rFonts w:hint="eastAsia" w:ascii="宋体" w:hAnsi="宋体" w:eastAsia="宋体" w:cs="宋体"/>
                <w:spacing w:val="12"/>
                <w:sz w:val="24"/>
                <w:szCs w:val="24"/>
                <w:highlight w:val="none"/>
              </w:rPr>
              <w:t>通知书发出之日起</w:t>
            </w:r>
            <w:r>
              <w:rPr>
                <w:rFonts w:hint="eastAsia" w:ascii="宋体" w:hAnsi="宋体" w:eastAsia="宋体" w:cs="宋体"/>
                <w:spacing w:val="12"/>
                <w:sz w:val="24"/>
                <w:szCs w:val="24"/>
                <w:highlight w:val="none"/>
                <w:lang w:val="en-US" w:eastAsia="zh-CN"/>
              </w:rPr>
              <w:t>7</w:t>
            </w:r>
            <w:r>
              <w:rPr>
                <w:rFonts w:hint="eastAsia" w:ascii="宋体" w:hAnsi="宋体" w:eastAsia="宋体" w:cs="宋体"/>
                <w:spacing w:val="12"/>
                <w:sz w:val="24"/>
                <w:szCs w:val="24"/>
                <w:highlight w:val="none"/>
              </w:rPr>
              <w:t>日内</w:t>
            </w:r>
          </w:p>
        </w:tc>
      </w:tr>
      <w:tr w14:paraId="3A655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470" w:type="dxa"/>
            <w:vAlign w:val="top"/>
          </w:tcPr>
          <w:p w14:paraId="2D02A9EC">
            <w:pPr>
              <w:kinsoku w:val="0"/>
              <w:autoSpaceDE w:val="0"/>
              <w:autoSpaceDN w:val="0"/>
              <w:adjustRightInd w:val="0"/>
              <w:snapToGrid w:val="0"/>
              <w:spacing w:line="400" w:lineRule="exact"/>
              <w:jc w:val="center"/>
              <w:rPr>
                <w:rFonts w:hint="eastAsia" w:ascii="宋体" w:hAnsi="宋体" w:eastAsia="宋体" w:cs="宋体"/>
                <w:spacing w:val="7"/>
                <w:sz w:val="24"/>
                <w:szCs w:val="24"/>
              </w:rPr>
            </w:pPr>
            <w:r>
              <w:rPr>
                <w:rFonts w:hint="eastAsia" w:ascii="宋体" w:hAnsi="宋体" w:eastAsia="宋体" w:cs="宋体"/>
                <w:spacing w:val="7"/>
                <w:sz w:val="24"/>
                <w:szCs w:val="24"/>
              </w:rPr>
              <w:t>合同履行</w:t>
            </w:r>
          </w:p>
          <w:p w14:paraId="383BC71E">
            <w:pPr>
              <w:kinsoku w:val="0"/>
              <w:autoSpaceDE w:val="0"/>
              <w:autoSpaceDN w:val="0"/>
              <w:adjustRightInd w:val="0"/>
              <w:snapToGrid w:val="0"/>
              <w:spacing w:line="400" w:lineRule="exact"/>
              <w:jc w:val="center"/>
              <w:rPr>
                <w:rFonts w:hint="eastAsia" w:ascii="宋体" w:hAnsi="宋体" w:eastAsia="宋体" w:cs="宋体"/>
                <w:spacing w:val="7"/>
                <w:sz w:val="24"/>
                <w:szCs w:val="24"/>
              </w:rPr>
            </w:pPr>
            <w:r>
              <w:rPr>
                <w:rFonts w:hint="eastAsia" w:ascii="宋体" w:hAnsi="宋体" w:eastAsia="宋体" w:cs="宋体"/>
                <w:spacing w:val="7"/>
                <w:sz w:val="24"/>
                <w:szCs w:val="24"/>
              </w:rPr>
              <w:t>期限</w:t>
            </w:r>
          </w:p>
        </w:tc>
        <w:tc>
          <w:tcPr>
            <w:tcW w:w="8378" w:type="dxa"/>
            <w:vAlign w:val="center"/>
          </w:tcPr>
          <w:p w14:paraId="740C8C6C">
            <w:pPr>
              <w:kinsoku w:val="0"/>
              <w:autoSpaceDE w:val="0"/>
              <w:autoSpaceDN w:val="0"/>
              <w:adjustRightInd w:val="0"/>
              <w:snapToGrid w:val="0"/>
              <w:spacing w:line="400" w:lineRule="exact"/>
              <w:ind w:left="105" w:leftChars="50"/>
              <w:jc w:val="both"/>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营养盐在线分析仪自签订合同</w:t>
            </w:r>
            <w:r>
              <w:rPr>
                <w:rFonts w:hint="eastAsia" w:ascii="宋体" w:hAnsi="宋体" w:eastAsia="宋体" w:cs="宋体"/>
                <w:spacing w:val="12"/>
                <w:sz w:val="24"/>
                <w:szCs w:val="24"/>
                <w:lang w:eastAsia="zh-CN"/>
              </w:rPr>
              <w:t>之日起95个日历日</w:t>
            </w:r>
            <w:r>
              <w:rPr>
                <w:rFonts w:hint="eastAsia" w:ascii="宋体" w:hAnsi="宋体" w:eastAsia="宋体" w:cs="宋体"/>
                <w:spacing w:val="12"/>
                <w:sz w:val="24"/>
                <w:szCs w:val="24"/>
              </w:rPr>
              <w:t>内完成安装、调试，通过验收并交付使用，微波消解仪、碳元素分析仪、温盐深仪、监测采样手持终端自签订合同之日起30个日历日内完成安装、调试，通过验收并交付使用。</w:t>
            </w:r>
          </w:p>
        </w:tc>
      </w:tr>
      <w:tr w14:paraId="4CFCE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1470" w:type="dxa"/>
            <w:vAlign w:val="top"/>
          </w:tcPr>
          <w:p w14:paraId="19B1758C">
            <w:pPr>
              <w:kinsoku w:val="0"/>
              <w:autoSpaceDE w:val="0"/>
              <w:autoSpaceDN w:val="0"/>
              <w:adjustRightInd w:val="0"/>
              <w:snapToGrid w:val="0"/>
              <w:spacing w:line="400" w:lineRule="exact"/>
              <w:jc w:val="center"/>
              <w:rPr>
                <w:rFonts w:hint="eastAsia" w:ascii="宋体" w:hAnsi="宋体" w:eastAsia="宋体" w:cs="宋体"/>
                <w:spacing w:val="12"/>
                <w:sz w:val="24"/>
                <w:szCs w:val="24"/>
              </w:rPr>
            </w:pPr>
            <w:r>
              <w:rPr>
                <w:rFonts w:hint="eastAsia" w:ascii="宋体" w:hAnsi="宋体" w:eastAsia="宋体" w:cs="宋体"/>
                <w:spacing w:val="12"/>
                <w:sz w:val="24"/>
                <w:szCs w:val="24"/>
              </w:rPr>
              <w:t>交付地点</w:t>
            </w:r>
          </w:p>
        </w:tc>
        <w:tc>
          <w:tcPr>
            <w:tcW w:w="8378" w:type="dxa"/>
            <w:vAlign w:val="top"/>
          </w:tcPr>
          <w:p w14:paraId="61240043">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采购单位指定地点</w:t>
            </w:r>
          </w:p>
        </w:tc>
      </w:tr>
      <w:tr w14:paraId="71811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470" w:type="dxa"/>
            <w:vAlign w:val="top"/>
          </w:tcPr>
          <w:p w14:paraId="378B4FE9">
            <w:pPr>
              <w:kinsoku w:val="0"/>
              <w:autoSpaceDE w:val="0"/>
              <w:autoSpaceDN w:val="0"/>
              <w:adjustRightInd w:val="0"/>
              <w:snapToGrid w:val="0"/>
              <w:spacing w:line="400" w:lineRule="exact"/>
              <w:jc w:val="center"/>
              <w:rPr>
                <w:rFonts w:hint="eastAsia" w:ascii="宋体" w:hAnsi="宋体" w:eastAsia="宋体" w:cs="宋体"/>
                <w:spacing w:val="12"/>
                <w:sz w:val="24"/>
                <w:szCs w:val="24"/>
              </w:rPr>
            </w:pPr>
            <w:r>
              <w:rPr>
                <w:rFonts w:hint="eastAsia" w:ascii="宋体" w:hAnsi="宋体" w:eastAsia="宋体" w:cs="宋体"/>
                <w:spacing w:val="7"/>
                <w:sz w:val="24"/>
                <w:szCs w:val="24"/>
              </w:rPr>
              <w:t>质</w:t>
            </w:r>
            <w:r>
              <w:rPr>
                <w:rFonts w:hint="eastAsia" w:ascii="宋体" w:hAnsi="宋体" w:eastAsia="宋体" w:cs="宋体"/>
                <w:spacing w:val="6"/>
                <w:sz w:val="24"/>
                <w:szCs w:val="24"/>
              </w:rPr>
              <w:t>保期</w:t>
            </w:r>
          </w:p>
        </w:tc>
        <w:tc>
          <w:tcPr>
            <w:tcW w:w="8378" w:type="dxa"/>
            <w:vAlign w:val="top"/>
          </w:tcPr>
          <w:p w14:paraId="09DBAF77">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按国家有关规定实行“三包”。质保期自验收合格之日起不少于1年，采购项目需求中有特殊要求的，按其要求执行。</w:t>
            </w:r>
          </w:p>
        </w:tc>
      </w:tr>
      <w:tr w14:paraId="54257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470" w:type="dxa"/>
            <w:vAlign w:val="top"/>
          </w:tcPr>
          <w:p w14:paraId="263B8A83">
            <w:pPr>
              <w:kinsoku w:val="0"/>
              <w:autoSpaceDE w:val="0"/>
              <w:autoSpaceDN w:val="0"/>
              <w:adjustRightInd w:val="0"/>
              <w:snapToGrid w:val="0"/>
              <w:spacing w:line="400" w:lineRule="exact"/>
              <w:jc w:val="center"/>
              <w:rPr>
                <w:rFonts w:hint="eastAsia" w:ascii="宋体" w:hAnsi="宋体" w:eastAsia="宋体" w:cs="宋体"/>
                <w:spacing w:val="12"/>
                <w:sz w:val="24"/>
                <w:szCs w:val="24"/>
              </w:rPr>
            </w:pPr>
            <w:r>
              <w:rPr>
                <w:rFonts w:hint="eastAsia" w:ascii="宋体" w:hAnsi="宋体" w:eastAsia="宋体" w:cs="宋体"/>
                <w:spacing w:val="12"/>
                <w:sz w:val="24"/>
                <w:szCs w:val="24"/>
              </w:rPr>
              <w:t>付款方式</w:t>
            </w:r>
          </w:p>
        </w:tc>
        <w:tc>
          <w:tcPr>
            <w:tcW w:w="8378" w:type="dxa"/>
            <w:vAlign w:val="top"/>
          </w:tcPr>
          <w:p w14:paraId="7EDE8A76">
            <w:pPr>
              <w:kinsoku w:val="0"/>
              <w:autoSpaceDE w:val="0"/>
              <w:autoSpaceDN w:val="0"/>
              <w:adjustRightInd w:val="0"/>
              <w:snapToGrid w:val="0"/>
              <w:spacing w:line="400" w:lineRule="exact"/>
              <w:ind w:left="105" w:leftChars="50" w:firstLine="264" w:firstLineChars="10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highlight w:val="none"/>
              </w:rPr>
              <w:t>合同签订后7个工作日内，支付合同合计金额的50%；货物交付并经甲方每验收一台仪器合格后7个工作日内，分别支付验收合格相应仪器的尾款。</w:t>
            </w:r>
          </w:p>
        </w:tc>
      </w:tr>
      <w:tr w14:paraId="25329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70" w:type="dxa"/>
            <w:vAlign w:val="top"/>
          </w:tcPr>
          <w:p w14:paraId="1827A2B0">
            <w:pPr>
              <w:kinsoku w:val="0"/>
              <w:autoSpaceDE w:val="0"/>
              <w:autoSpaceDN w:val="0"/>
              <w:adjustRightInd w:val="0"/>
              <w:snapToGrid w:val="0"/>
              <w:spacing w:line="400" w:lineRule="exact"/>
              <w:jc w:val="both"/>
              <w:rPr>
                <w:rFonts w:hint="eastAsia" w:ascii="宋体" w:hAnsi="宋体" w:eastAsia="宋体" w:cs="宋体"/>
                <w:sz w:val="24"/>
                <w:szCs w:val="24"/>
              </w:rPr>
            </w:pPr>
            <w:r>
              <w:rPr>
                <w:rFonts w:hint="eastAsia" w:ascii="宋体" w:hAnsi="宋体" w:eastAsia="宋体" w:cs="宋体"/>
                <w:sz w:val="24"/>
                <w:szCs w:val="24"/>
              </w:rPr>
              <w:t>履约验收方案</w:t>
            </w:r>
          </w:p>
          <w:p w14:paraId="461A2356">
            <w:pPr>
              <w:kinsoku w:val="0"/>
              <w:autoSpaceDE w:val="0"/>
              <w:autoSpaceDN w:val="0"/>
              <w:adjustRightInd w:val="0"/>
              <w:snapToGrid w:val="0"/>
              <w:spacing w:line="400" w:lineRule="exact"/>
              <w:jc w:val="both"/>
              <w:rPr>
                <w:rFonts w:hint="eastAsia" w:ascii="宋体" w:hAnsi="宋体" w:eastAsia="宋体" w:cs="宋体"/>
                <w:sz w:val="24"/>
                <w:szCs w:val="24"/>
              </w:rPr>
            </w:pPr>
          </w:p>
        </w:tc>
        <w:tc>
          <w:tcPr>
            <w:tcW w:w="8378" w:type="dxa"/>
            <w:vAlign w:val="top"/>
          </w:tcPr>
          <w:p w14:paraId="75A6A3D9">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1、履约验收主体</w:t>
            </w:r>
            <w:r>
              <w:rPr>
                <w:rFonts w:hint="eastAsia" w:ascii="宋体" w:hAnsi="宋体" w:eastAsia="宋体" w:cs="宋体"/>
                <w:spacing w:val="12"/>
                <w:sz w:val="24"/>
                <w:szCs w:val="24"/>
                <w:lang w:val="en-US" w:eastAsia="zh-CN"/>
              </w:rPr>
              <w:t>:</w:t>
            </w:r>
            <w:r>
              <w:rPr>
                <w:rFonts w:hint="eastAsia" w:ascii="宋体" w:hAnsi="宋体" w:eastAsia="宋体" w:cs="宋体"/>
                <w:spacing w:val="12"/>
                <w:sz w:val="24"/>
                <w:szCs w:val="24"/>
              </w:rPr>
              <w:t>采购单位</w:t>
            </w:r>
          </w:p>
          <w:p w14:paraId="172DE6F0">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2、履约验收时间:自仪器设备到货之日起至验收合格完毕之日止</w:t>
            </w:r>
          </w:p>
          <w:p w14:paraId="38D3BE99">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3、履约验收方式</w:t>
            </w:r>
            <w:r>
              <w:rPr>
                <w:rFonts w:hint="eastAsia" w:ascii="宋体" w:hAnsi="宋体" w:eastAsia="宋体" w:cs="宋体"/>
                <w:spacing w:val="12"/>
                <w:sz w:val="24"/>
                <w:szCs w:val="24"/>
                <w:lang w:val="en-US" w:eastAsia="zh-CN"/>
              </w:rPr>
              <w:t>:</w:t>
            </w:r>
            <w:r>
              <w:rPr>
                <w:rFonts w:hint="eastAsia" w:ascii="宋体" w:hAnsi="宋体" w:eastAsia="宋体" w:cs="宋体"/>
                <w:spacing w:val="12"/>
                <w:sz w:val="24"/>
                <w:szCs w:val="24"/>
              </w:rPr>
              <w:t>仪器设备安装地点现场验收</w:t>
            </w:r>
          </w:p>
          <w:p w14:paraId="41983503">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4、履约验收程序</w:t>
            </w:r>
          </w:p>
          <w:p w14:paraId="5047B43E">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（1）成立验收小组：由仪器设备使用科室分管领导、主任、使用人及技术保障室、财务科等人员组成。如有必要可聘请外单位专家或委托第三方验收。</w:t>
            </w:r>
          </w:p>
          <w:p w14:paraId="4B0D7FE1">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（2）开箱验收：</w:t>
            </w:r>
          </w:p>
          <w:p w14:paraId="16FA34F6">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①由仪器设备现场安装调试工程师和仪器设备使用人员共通进行开箱验收，确认是否符合安装调试需要。检查其外包装是否完好无损，并对设备数量进行核对，检查是否与合同一致，文档材料是否齐全。</w:t>
            </w:r>
          </w:p>
          <w:p w14:paraId="622A5677">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②如发现设备短缺、损坏或其他与合同约定不符的情况，由仪器设备现场安装调试工程师联系供应商采取补齐、更换及其他补救措施，以确保仪器设备的正常安装调试。</w:t>
            </w:r>
          </w:p>
          <w:p w14:paraId="6D4C571A">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③开箱检验合格后</w:t>
            </w:r>
            <w:r>
              <w:rPr>
                <w:rFonts w:hint="eastAsia" w:ascii="宋体" w:hAnsi="宋体" w:eastAsia="宋体" w:cs="宋体"/>
                <w:spacing w:val="12"/>
                <w:sz w:val="24"/>
                <w:szCs w:val="24"/>
                <w:lang w:val="en-US" w:eastAsia="zh-CN"/>
              </w:rPr>
              <w:t>,</w:t>
            </w:r>
            <w:r>
              <w:rPr>
                <w:rFonts w:hint="eastAsia" w:ascii="宋体" w:hAnsi="宋体" w:eastAsia="宋体" w:cs="宋体"/>
                <w:spacing w:val="12"/>
                <w:sz w:val="24"/>
                <w:szCs w:val="24"/>
              </w:rPr>
              <w:t>由仪器设备使用人员及科室主任签署开箱检验验收书</w:t>
            </w:r>
            <w:r>
              <w:rPr>
                <w:rFonts w:hint="eastAsia" w:ascii="宋体" w:hAnsi="宋体" w:eastAsia="宋体" w:cs="宋体"/>
                <w:spacing w:val="12"/>
                <w:sz w:val="24"/>
                <w:szCs w:val="24"/>
                <w:lang w:val="en-US" w:eastAsia="zh-CN"/>
              </w:rPr>
              <w:t>,</w:t>
            </w:r>
            <w:r>
              <w:rPr>
                <w:rFonts w:hint="eastAsia" w:ascii="宋体" w:hAnsi="宋体" w:eastAsia="宋体" w:cs="宋体"/>
                <w:spacing w:val="12"/>
                <w:sz w:val="24"/>
                <w:szCs w:val="24"/>
              </w:rPr>
              <w:t>开箱检验验收书应列明合同设备数量、文档资料等验收情况及评价意见。</w:t>
            </w:r>
          </w:p>
          <w:p w14:paraId="02E1EF78">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（3）安装、调试</w:t>
            </w:r>
          </w:p>
          <w:p w14:paraId="46E529AE">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①由仪器设备现场安装调试工程师进行仪器设备的安装、调试。安装、调试过程需通过采购单位质控考核。</w:t>
            </w:r>
          </w:p>
          <w:p w14:paraId="1651B620">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②由采购单位代表对安装</w:t>
            </w:r>
            <w:r>
              <w:rPr>
                <w:rFonts w:hint="eastAsia" w:ascii="宋体" w:hAnsi="宋体" w:eastAsia="宋体" w:cs="宋体"/>
                <w:spacing w:val="12"/>
                <w:sz w:val="24"/>
                <w:szCs w:val="24"/>
                <w:lang w:val="en-US" w:eastAsia="zh-CN"/>
              </w:rPr>
              <w:t>、</w:t>
            </w:r>
            <w:r>
              <w:rPr>
                <w:rFonts w:hint="eastAsia" w:ascii="宋体" w:hAnsi="宋体" w:eastAsia="宋体" w:cs="宋体"/>
                <w:spacing w:val="12"/>
                <w:sz w:val="24"/>
                <w:szCs w:val="24"/>
              </w:rPr>
              <w:t>调试结果进行确认</w:t>
            </w:r>
            <w:r>
              <w:rPr>
                <w:rFonts w:hint="eastAsia" w:ascii="宋体" w:hAnsi="宋体" w:eastAsia="宋体" w:cs="宋体"/>
                <w:spacing w:val="12"/>
                <w:sz w:val="24"/>
                <w:szCs w:val="24"/>
                <w:lang w:val="en-US" w:eastAsia="zh-CN"/>
              </w:rPr>
              <w:t>,</w:t>
            </w:r>
            <w:r>
              <w:rPr>
                <w:rFonts w:hint="eastAsia" w:ascii="宋体" w:hAnsi="宋体" w:eastAsia="宋体" w:cs="宋体"/>
                <w:spacing w:val="12"/>
                <w:sz w:val="24"/>
                <w:szCs w:val="24"/>
              </w:rPr>
              <w:t>对质控考核结果进行评价。</w:t>
            </w:r>
          </w:p>
          <w:p w14:paraId="10BF6692">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③质控考核结果满意的，视为安装、调试成功，由采购单位代表及仪器设备现场安装调试工程师共同对安装、调试情况进行记录。质控考核结果不满意的</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由仪器设备现场安装调试工程师继续进行仪器调试，直至考核结果满意为止。</w:t>
            </w:r>
          </w:p>
          <w:p w14:paraId="2A770A10">
            <w:pPr>
              <w:pStyle w:val="39"/>
              <w:kinsoku w:val="0"/>
              <w:autoSpaceDE w:val="0"/>
              <w:autoSpaceDN w:val="0"/>
              <w:adjustRightIn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（4）技术培训</w:t>
            </w:r>
          </w:p>
          <w:p w14:paraId="46C8435C">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①由仪器设备现场安装调试工程师对采购单位技术人员进行技术培训，包括仪器操作、软件操作、常见故障及排除等。</w:t>
            </w:r>
          </w:p>
          <w:p w14:paraId="57E44A4B">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②采购单位技术人员需能独立进行仪器操作，能完成各项质控措施且质控结果满意，视为培训合格，否则由仪器设备现场安装调试工程师继续开展培训工作。</w:t>
            </w:r>
          </w:p>
          <w:p w14:paraId="078DE5DE">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③技术培训合格后，采购单位技术人员需将相关记录收齐，由采购单位代表对材料有效性及完整性进行审核。</w:t>
            </w:r>
          </w:p>
          <w:p w14:paraId="2A151355">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④由采购单位代表及仪器设备现场安装调试工程师共同对该设备进行技术培训验收。</w:t>
            </w:r>
          </w:p>
          <w:p w14:paraId="41034470">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（5）履约验收其他事项：</w:t>
            </w:r>
          </w:p>
          <w:p w14:paraId="45310B60">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① 验收资料归档，采购合同项目完成验收后，将验收原始记录、验收书等资料作为该采购项目档案妥善保管</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不得伪造、变造、隐匿或者销毁，验收资料保存期为采购结束之日起至少保存15年。</w:t>
            </w:r>
          </w:p>
          <w:p w14:paraId="0F34C65E">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②验收合格日期以最后验收完成项目为准，设备验收时间计算在供货期内，按合同相关规定执行。由于供货商原因造成不按时完成验收、造成逾期供货事实的，由供应商承担相关合同责任。</w:t>
            </w:r>
          </w:p>
          <w:p w14:paraId="2BEBB8D7">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③设备交接，验收合格后视为设备交接，在验收合格前设备属于供应商，所有运输</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仓储、装卸、保管、搬运等相关责任由供应商负责。</w:t>
            </w:r>
          </w:p>
          <w:p w14:paraId="53426CF1">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④如果单套仪器设备验收不合格</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则采取更换处理，更换至符合投标投标仪器设备性能参数符合为止</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供货商承担所发生的全部费用</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如无法更换，则采取退货处理，供货商应退还业主所支付的该套设备的合同款，同时应承担该套货物的直接费用（运输、保险、检验、货款利息及银行手续费等）。</w:t>
            </w:r>
          </w:p>
        </w:tc>
      </w:tr>
      <w:tr w14:paraId="6F1ED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jc w:val="center"/>
        </w:trPr>
        <w:tc>
          <w:tcPr>
            <w:tcW w:w="1470" w:type="dxa"/>
            <w:vAlign w:val="top"/>
          </w:tcPr>
          <w:p w14:paraId="278A9795">
            <w:pPr>
              <w:kinsoku w:val="0"/>
              <w:autoSpaceDE w:val="0"/>
              <w:autoSpaceDN w:val="0"/>
              <w:adjustRightInd w:val="0"/>
              <w:snapToGrid w:val="0"/>
              <w:spacing w:line="400" w:lineRule="exact"/>
              <w:jc w:val="center"/>
              <w:rPr>
                <w:rFonts w:hint="eastAsia" w:ascii="宋体" w:hAnsi="宋体" w:eastAsia="宋体" w:cs="宋体"/>
                <w:sz w:val="24"/>
                <w:szCs w:val="24"/>
                <w:highlight w:val="none"/>
              </w:rPr>
            </w:pPr>
          </w:p>
          <w:p w14:paraId="4A4C4334">
            <w:pPr>
              <w:kinsoku w:val="0"/>
              <w:autoSpaceDE w:val="0"/>
              <w:autoSpaceDN w:val="0"/>
              <w:adjustRightInd w:val="0"/>
              <w:snapToGrid w:val="0"/>
              <w:spacing w:line="400" w:lineRule="exact"/>
              <w:jc w:val="center"/>
              <w:rPr>
                <w:rFonts w:hint="eastAsia" w:ascii="宋体" w:hAnsi="宋体" w:eastAsia="宋体" w:cs="宋体"/>
                <w:sz w:val="24"/>
                <w:szCs w:val="24"/>
                <w:highlight w:val="none"/>
              </w:rPr>
            </w:pPr>
          </w:p>
          <w:p w14:paraId="4F87E666">
            <w:pPr>
              <w:kinsoku w:val="0"/>
              <w:autoSpaceDE w:val="0"/>
              <w:autoSpaceDN w:val="0"/>
              <w:adjustRightInd w:val="0"/>
              <w:snapToGrid w:val="0"/>
              <w:spacing w:line="400" w:lineRule="exact"/>
              <w:jc w:val="center"/>
              <w:rPr>
                <w:rFonts w:hint="eastAsia" w:ascii="宋体" w:hAnsi="宋体" w:eastAsia="宋体" w:cs="宋体"/>
                <w:sz w:val="24"/>
                <w:szCs w:val="24"/>
                <w:highlight w:val="none"/>
              </w:rPr>
            </w:pPr>
          </w:p>
          <w:p w14:paraId="66E2488C">
            <w:pPr>
              <w:kinsoku w:val="0"/>
              <w:autoSpaceDE w:val="0"/>
              <w:autoSpaceDN w:val="0"/>
              <w:adjustRightInd w:val="0"/>
              <w:snapToGrid w:val="0"/>
              <w:spacing w:line="400" w:lineRule="exact"/>
              <w:jc w:val="center"/>
              <w:rPr>
                <w:rFonts w:hint="eastAsia" w:ascii="宋体" w:hAnsi="宋体" w:eastAsia="宋体" w:cs="宋体"/>
                <w:sz w:val="24"/>
                <w:szCs w:val="24"/>
                <w:highlight w:val="none"/>
              </w:rPr>
            </w:pPr>
          </w:p>
          <w:p w14:paraId="578DEFCB">
            <w:pPr>
              <w:kinsoku w:val="0"/>
              <w:autoSpaceDE w:val="0"/>
              <w:autoSpaceDN w:val="0"/>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其他要求</w:t>
            </w:r>
          </w:p>
        </w:tc>
        <w:tc>
          <w:tcPr>
            <w:tcW w:w="8378" w:type="dxa"/>
            <w:vAlign w:val="top"/>
          </w:tcPr>
          <w:p w14:paraId="625058F5">
            <w:pPr>
              <w:kinsoku w:val="0"/>
              <w:autoSpaceDE w:val="0"/>
              <w:autoSpaceDN w:val="0"/>
              <w:adjustRightInd w:val="0"/>
              <w:snapToGrid w:val="0"/>
              <w:spacing w:line="400" w:lineRule="exact"/>
              <w:ind w:left="105" w:leftChars="50" w:firstLine="14"/>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w:t>
            </w:r>
            <w:r>
              <w:rPr>
                <w:rFonts w:hint="eastAsia" w:ascii="宋体" w:hAnsi="宋体" w:eastAsia="宋体" w:cs="宋体"/>
                <w:spacing w:val="11"/>
                <w:sz w:val="24"/>
                <w:szCs w:val="24"/>
                <w:highlight w:val="none"/>
              </w:rPr>
              <w:t>、成交供应商所提供的资料必须是真实的，所作出的承诺必须是切实可行的，如</w:t>
            </w:r>
            <w:r>
              <w:rPr>
                <w:rFonts w:hint="eastAsia" w:ascii="宋体" w:hAnsi="宋体" w:eastAsia="宋体" w:cs="宋体"/>
                <w:spacing w:val="22"/>
                <w:sz w:val="24"/>
                <w:szCs w:val="24"/>
                <w:highlight w:val="none"/>
              </w:rPr>
              <w:t>提供</w:t>
            </w:r>
            <w:r>
              <w:rPr>
                <w:rFonts w:hint="eastAsia" w:ascii="宋体" w:hAnsi="宋体" w:eastAsia="宋体" w:cs="宋体"/>
                <w:spacing w:val="15"/>
                <w:sz w:val="24"/>
                <w:szCs w:val="24"/>
                <w:highlight w:val="none"/>
              </w:rPr>
              <w:t>虚</w:t>
            </w:r>
            <w:r>
              <w:rPr>
                <w:rFonts w:hint="eastAsia" w:ascii="宋体" w:hAnsi="宋体" w:eastAsia="宋体" w:cs="宋体"/>
                <w:spacing w:val="11"/>
                <w:sz w:val="24"/>
                <w:szCs w:val="24"/>
                <w:highlight w:val="none"/>
              </w:rPr>
              <w:t>假资料或作出虚假承诺，一经查实，将取消其成交供应商成交资格，并按</w:t>
            </w:r>
            <w:r>
              <w:rPr>
                <w:rFonts w:hint="eastAsia" w:ascii="宋体" w:hAnsi="宋体" w:eastAsia="宋体" w:cs="宋体"/>
                <w:spacing w:val="19"/>
                <w:sz w:val="24"/>
                <w:szCs w:val="24"/>
                <w:highlight w:val="none"/>
              </w:rPr>
              <w:t>照</w:t>
            </w:r>
            <w:r>
              <w:rPr>
                <w:rFonts w:hint="eastAsia" w:ascii="宋体" w:hAnsi="宋体" w:eastAsia="宋体" w:cs="宋体"/>
                <w:spacing w:val="10"/>
                <w:sz w:val="24"/>
                <w:szCs w:val="24"/>
                <w:highlight w:val="none"/>
              </w:rPr>
              <w:t>相关法律法规进行处理，采购单位将保留进一步追究责任的权利。</w:t>
            </w:r>
            <w:r>
              <w:rPr>
                <w:rFonts w:hint="eastAsia" w:ascii="宋体" w:hAnsi="宋体" w:eastAsia="宋体" w:cs="宋体"/>
                <w:sz w:val="24"/>
                <w:szCs w:val="24"/>
                <w:highlight w:val="none"/>
              </w:rPr>
              <w:t xml:space="preserve">              </w:t>
            </w:r>
          </w:p>
          <w:p w14:paraId="4F30F29C">
            <w:pPr>
              <w:kinsoku w:val="0"/>
              <w:autoSpaceDE w:val="0"/>
              <w:autoSpaceDN w:val="0"/>
              <w:adjustRightInd w:val="0"/>
              <w:snapToGrid w:val="0"/>
              <w:spacing w:line="400" w:lineRule="exact"/>
              <w:ind w:left="105" w:leftChars="50" w:firstLine="14"/>
              <w:textAlignment w:val="baseline"/>
              <w:rPr>
                <w:rFonts w:hint="eastAsia" w:ascii="宋体" w:hAnsi="宋体" w:eastAsia="宋体" w:cs="宋体"/>
                <w:spacing w:val="11"/>
                <w:sz w:val="24"/>
                <w:szCs w:val="24"/>
                <w:highlight w:val="none"/>
              </w:rPr>
            </w:pPr>
            <w:r>
              <w:rPr>
                <w:rFonts w:hint="eastAsia" w:ascii="宋体" w:hAnsi="宋体" w:eastAsia="宋体" w:cs="宋体"/>
                <w:spacing w:val="14"/>
                <w:sz w:val="24"/>
                <w:szCs w:val="24"/>
                <w:highlight w:val="none"/>
              </w:rPr>
              <w:t>2、本</w:t>
            </w:r>
            <w:r>
              <w:rPr>
                <w:rFonts w:hint="eastAsia" w:ascii="宋体" w:hAnsi="宋体" w:eastAsia="宋体" w:cs="宋体"/>
                <w:spacing w:val="11"/>
                <w:sz w:val="24"/>
                <w:szCs w:val="24"/>
                <w:highlight w:val="none"/>
              </w:rPr>
              <w:t>项目采购标的需执行国家相关标准、行业标准、地方标准或其他强制性标准、规范等要求。</w:t>
            </w:r>
          </w:p>
          <w:p w14:paraId="162471B0">
            <w:pPr>
              <w:kinsoku w:val="0"/>
              <w:autoSpaceDE w:val="0"/>
              <w:autoSpaceDN w:val="0"/>
              <w:adjustRightInd w:val="0"/>
              <w:snapToGrid w:val="0"/>
              <w:spacing w:line="400" w:lineRule="exact"/>
              <w:ind w:left="105" w:leftChars="50" w:firstLine="14"/>
              <w:textAlignment w:val="baseline"/>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3、本项目不允许分包、转包。</w:t>
            </w:r>
          </w:p>
          <w:p w14:paraId="4CB47A01">
            <w:pPr>
              <w:kinsoku w:val="0"/>
              <w:autoSpaceDE w:val="0"/>
              <w:autoSpaceDN w:val="0"/>
              <w:adjustRightInd w:val="0"/>
              <w:snapToGrid w:val="0"/>
              <w:spacing w:line="400" w:lineRule="exact"/>
              <w:ind w:left="105" w:leftChars="50" w:firstLine="14"/>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4、带▲号参数及要求为实质性条款必须满足，不允许出现负偏离，否则按谈判无效处理；其它参数及内容，每个产品可允许出现最多1项（含）负偏离，否则按参加谈判无效处理。</w:t>
            </w:r>
          </w:p>
        </w:tc>
      </w:tr>
      <w:tr w14:paraId="4404C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jc w:val="center"/>
        </w:trPr>
        <w:tc>
          <w:tcPr>
            <w:tcW w:w="1470" w:type="dxa"/>
            <w:vAlign w:val="top"/>
          </w:tcPr>
          <w:p w14:paraId="1CAF3F6E">
            <w:pPr>
              <w:kinsoku w:val="0"/>
              <w:autoSpaceDE w:val="0"/>
              <w:autoSpaceDN w:val="0"/>
              <w:adjustRightInd w:val="0"/>
              <w:snapToGrid w:val="0"/>
              <w:spacing w:line="400" w:lineRule="exact"/>
              <w:jc w:val="center"/>
              <w:rPr>
                <w:rFonts w:hint="eastAsia" w:ascii="宋体" w:hAnsi="宋体" w:eastAsia="宋体" w:cs="宋体"/>
                <w:sz w:val="24"/>
                <w:szCs w:val="24"/>
              </w:rPr>
            </w:pPr>
          </w:p>
          <w:p w14:paraId="45D6C7C9">
            <w:pPr>
              <w:kinsoku w:val="0"/>
              <w:autoSpaceDE w:val="0"/>
              <w:autoSpaceDN w:val="0"/>
              <w:adjustRightInd w:val="0"/>
              <w:snapToGrid w:val="0"/>
              <w:spacing w:line="400" w:lineRule="exact"/>
              <w:jc w:val="center"/>
              <w:rPr>
                <w:rFonts w:hint="eastAsia" w:ascii="宋体" w:hAnsi="宋体" w:eastAsia="宋体" w:cs="宋体"/>
                <w:sz w:val="24"/>
                <w:szCs w:val="24"/>
              </w:rPr>
            </w:pPr>
          </w:p>
          <w:p w14:paraId="4E8752C6">
            <w:pPr>
              <w:kinsoku w:val="0"/>
              <w:autoSpaceDE w:val="0"/>
              <w:autoSpaceDN w:val="0"/>
              <w:adjustRightInd w:val="0"/>
              <w:snapToGrid w:val="0"/>
              <w:spacing w:line="400" w:lineRule="exact"/>
              <w:jc w:val="center"/>
              <w:rPr>
                <w:rFonts w:hint="eastAsia" w:ascii="宋体" w:hAnsi="宋体" w:eastAsia="宋体" w:cs="宋体"/>
                <w:sz w:val="24"/>
                <w:szCs w:val="24"/>
              </w:rPr>
            </w:pPr>
          </w:p>
          <w:p w14:paraId="49931B94">
            <w:pPr>
              <w:kinsoku w:val="0"/>
              <w:autoSpaceDE w:val="0"/>
              <w:autoSpaceDN w:val="0"/>
              <w:adjustRightInd w:val="0"/>
              <w:snapToGrid w:val="0"/>
              <w:spacing w:line="400" w:lineRule="exact"/>
              <w:jc w:val="center"/>
              <w:rPr>
                <w:rFonts w:hint="eastAsia" w:ascii="宋体" w:hAnsi="宋体" w:eastAsia="宋体" w:cs="宋体"/>
                <w:spacing w:val="7"/>
                <w:sz w:val="24"/>
                <w:szCs w:val="24"/>
              </w:rPr>
            </w:pPr>
          </w:p>
          <w:p w14:paraId="560579DB">
            <w:pPr>
              <w:kinsoku w:val="0"/>
              <w:autoSpaceDE w:val="0"/>
              <w:autoSpaceDN w:val="0"/>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pacing w:val="7"/>
                <w:sz w:val="24"/>
                <w:szCs w:val="24"/>
              </w:rPr>
              <w:t>报价要求</w:t>
            </w:r>
          </w:p>
        </w:tc>
        <w:tc>
          <w:tcPr>
            <w:tcW w:w="8378" w:type="dxa"/>
            <w:vAlign w:val="top"/>
          </w:tcPr>
          <w:p w14:paraId="32DB0D99">
            <w:pPr>
              <w:kinsoku w:val="0"/>
              <w:autoSpaceDE w:val="0"/>
              <w:autoSpaceDN w:val="0"/>
              <w:adjustRightInd w:val="0"/>
              <w:snapToGrid w:val="0"/>
              <w:spacing w:line="400" w:lineRule="exact"/>
              <w:ind w:left="105" w:leftChars="50"/>
              <w:textAlignment w:val="baseline"/>
              <w:rPr>
                <w:rFonts w:hint="eastAsia" w:ascii="宋体" w:hAnsi="宋体" w:eastAsia="宋体" w:cs="宋体"/>
                <w:sz w:val="24"/>
                <w:szCs w:val="24"/>
              </w:rPr>
            </w:pPr>
            <w:r>
              <w:rPr>
                <w:rFonts w:hint="eastAsia" w:ascii="宋体" w:hAnsi="宋体" w:eastAsia="宋体" w:cs="宋体"/>
                <w:spacing w:val="11"/>
                <w:sz w:val="24"/>
                <w:szCs w:val="24"/>
              </w:rPr>
              <w:t>1、谈判报价为谈判供应商在采购单位指定地点交付竞标产品时所产生的一切费用总</w:t>
            </w:r>
            <w:r>
              <w:rPr>
                <w:rFonts w:hint="eastAsia" w:ascii="宋体" w:hAnsi="宋体" w:eastAsia="宋体" w:cs="宋体"/>
                <w:spacing w:val="22"/>
                <w:sz w:val="24"/>
                <w:szCs w:val="24"/>
              </w:rPr>
              <w:t>和，</w:t>
            </w:r>
            <w:r>
              <w:rPr>
                <w:rFonts w:hint="eastAsia" w:ascii="宋体" w:hAnsi="宋体" w:eastAsia="宋体" w:cs="宋体"/>
                <w:spacing w:val="11"/>
                <w:sz w:val="24"/>
                <w:szCs w:val="24"/>
              </w:rPr>
              <w:t>包括货款、备品备件、专用工具、包装、运输、装卸、保险、税金、安装、调试、试验、保修等成本、税金及利润。</w:t>
            </w:r>
            <w:r>
              <w:rPr>
                <w:rFonts w:hint="eastAsia" w:ascii="宋体" w:hAnsi="宋体" w:eastAsia="宋体" w:cs="宋体"/>
                <w:sz w:val="24"/>
                <w:szCs w:val="24"/>
              </w:rPr>
              <w:t xml:space="preserve">       </w:t>
            </w:r>
          </w:p>
          <w:p w14:paraId="371BE4D9">
            <w:pPr>
              <w:kinsoku w:val="0"/>
              <w:autoSpaceDE w:val="0"/>
              <w:autoSpaceDN w:val="0"/>
              <w:adjustRightInd w:val="0"/>
              <w:snapToGrid w:val="0"/>
              <w:spacing w:line="400" w:lineRule="exact"/>
              <w:ind w:left="105" w:leftChars="50"/>
              <w:textAlignment w:val="baseline"/>
              <w:rPr>
                <w:rFonts w:hint="eastAsia" w:ascii="宋体" w:hAnsi="宋体" w:eastAsia="宋体" w:cs="宋体"/>
                <w:spacing w:val="11"/>
                <w:sz w:val="24"/>
                <w:szCs w:val="24"/>
              </w:rPr>
            </w:pPr>
            <w:r>
              <w:rPr>
                <w:rFonts w:hint="eastAsia" w:ascii="宋体" w:hAnsi="宋体" w:eastAsia="宋体" w:cs="宋体"/>
                <w:spacing w:val="22"/>
                <w:sz w:val="24"/>
                <w:szCs w:val="24"/>
              </w:rPr>
              <w:t>2</w:t>
            </w:r>
            <w:r>
              <w:rPr>
                <w:rFonts w:hint="eastAsia" w:ascii="宋体" w:hAnsi="宋体" w:eastAsia="宋体" w:cs="宋体"/>
                <w:spacing w:val="15"/>
                <w:sz w:val="24"/>
                <w:szCs w:val="24"/>
              </w:rPr>
              <w:t>、</w:t>
            </w:r>
            <w:r>
              <w:rPr>
                <w:rFonts w:hint="eastAsia" w:ascii="宋体" w:hAnsi="宋体" w:eastAsia="宋体" w:cs="宋体"/>
                <w:spacing w:val="11"/>
                <w:sz w:val="24"/>
                <w:szCs w:val="24"/>
              </w:rPr>
              <w:t>谈判小组认为谈判供应商的谈判报价明显低于其他通过符合性审查谈判供应商</w:t>
            </w:r>
            <w:r>
              <w:rPr>
                <w:rFonts w:hint="eastAsia" w:ascii="宋体" w:hAnsi="宋体" w:eastAsia="宋体" w:cs="宋体"/>
                <w:spacing w:val="22"/>
                <w:sz w:val="24"/>
                <w:szCs w:val="24"/>
              </w:rPr>
              <w:t>的谈</w:t>
            </w:r>
            <w:r>
              <w:rPr>
                <w:rFonts w:hint="eastAsia" w:ascii="宋体" w:hAnsi="宋体" w:eastAsia="宋体" w:cs="宋体"/>
                <w:spacing w:val="15"/>
                <w:sz w:val="24"/>
                <w:szCs w:val="24"/>
              </w:rPr>
              <w:t>判</w:t>
            </w:r>
            <w:r>
              <w:rPr>
                <w:rFonts w:hint="eastAsia" w:ascii="宋体" w:hAnsi="宋体" w:eastAsia="宋体" w:cs="宋体"/>
                <w:spacing w:val="11"/>
                <w:sz w:val="24"/>
                <w:szCs w:val="24"/>
              </w:rPr>
              <w:t>报价，有可能影响产品质量或者不能诚信履约的，应当要求其在评标现场</w:t>
            </w:r>
            <w:r>
              <w:rPr>
                <w:rFonts w:hint="eastAsia" w:ascii="宋体" w:hAnsi="宋体" w:eastAsia="宋体" w:cs="宋体"/>
                <w:spacing w:val="22"/>
                <w:sz w:val="24"/>
                <w:szCs w:val="24"/>
              </w:rPr>
              <w:t>合理</w:t>
            </w:r>
            <w:r>
              <w:rPr>
                <w:rFonts w:hint="eastAsia" w:ascii="宋体" w:hAnsi="宋体" w:eastAsia="宋体" w:cs="宋体"/>
                <w:spacing w:val="15"/>
                <w:sz w:val="24"/>
                <w:szCs w:val="24"/>
              </w:rPr>
              <w:t>的</w:t>
            </w:r>
            <w:r>
              <w:rPr>
                <w:rFonts w:hint="eastAsia" w:ascii="宋体" w:hAnsi="宋体" w:eastAsia="宋体" w:cs="宋体"/>
                <w:spacing w:val="11"/>
                <w:sz w:val="24"/>
                <w:szCs w:val="24"/>
              </w:rPr>
              <w:t>时间内提供书面说明，必要时提交相关证明材料；谈判供应商不能证明其</w:t>
            </w:r>
            <w:r>
              <w:rPr>
                <w:rFonts w:hint="eastAsia" w:ascii="宋体" w:hAnsi="宋体" w:eastAsia="宋体" w:cs="宋体"/>
                <w:spacing w:val="14"/>
                <w:sz w:val="24"/>
                <w:szCs w:val="24"/>
              </w:rPr>
              <w:t>谈</w:t>
            </w:r>
            <w:r>
              <w:rPr>
                <w:rFonts w:hint="eastAsia" w:ascii="宋体" w:hAnsi="宋体" w:eastAsia="宋体" w:cs="宋体"/>
                <w:spacing w:val="9"/>
                <w:sz w:val="24"/>
                <w:szCs w:val="24"/>
              </w:rPr>
              <w:t>判报价合理</w:t>
            </w:r>
            <w:r>
              <w:rPr>
                <w:rFonts w:hint="eastAsia" w:ascii="宋体" w:hAnsi="宋体" w:eastAsia="宋体" w:cs="宋体"/>
                <w:spacing w:val="11"/>
                <w:sz w:val="24"/>
                <w:szCs w:val="24"/>
              </w:rPr>
              <w:t>性的，谈判小组应当将其作为无效谈判处理。</w:t>
            </w:r>
          </w:p>
          <w:p w14:paraId="15697947">
            <w:pPr>
              <w:kinsoku w:val="0"/>
              <w:autoSpaceDE w:val="0"/>
              <w:autoSpaceDN w:val="0"/>
              <w:adjustRightInd w:val="0"/>
              <w:snapToGrid w:val="0"/>
              <w:spacing w:line="400" w:lineRule="exact"/>
              <w:ind w:left="105" w:leftChars="50"/>
              <w:textAlignment w:val="baseline"/>
              <w:rPr>
                <w:rFonts w:hint="eastAsia" w:ascii="宋体" w:hAnsi="宋体" w:eastAsia="宋体" w:cs="宋体"/>
                <w:sz w:val="24"/>
                <w:szCs w:val="24"/>
                <w:lang w:eastAsia="zh-CN"/>
              </w:rPr>
            </w:pPr>
            <w:r>
              <w:rPr>
                <w:rFonts w:hint="eastAsia" w:ascii="宋体" w:hAnsi="宋体" w:eastAsia="宋体" w:cs="宋体"/>
                <w:spacing w:val="11"/>
                <w:sz w:val="24"/>
                <w:szCs w:val="24"/>
              </w:rPr>
              <w:t>3、最终报价有时间限制，请竞争性谈判供应商提前准备好各项报价，以免耽误报价</w:t>
            </w:r>
            <w:r>
              <w:rPr>
                <w:rFonts w:hint="eastAsia" w:ascii="宋体" w:hAnsi="宋体" w:eastAsia="宋体" w:cs="宋体"/>
                <w:spacing w:val="11"/>
                <w:sz w:val="24"/>
                <w:szCs w:val="24"/>
                <w:lang w:eastAsia="zh-CN"/>
              </w:rPr>
              <w:t>。</w:t>
            </w:r>
          </w:p>
        </w:tc>
      </w:tr>
      <w:tr w14:paraId="1B000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1470" w:type="dxa"/>
            <w:vAlign w:val="center"/>
          </w:tcPr>
          <w:p w14:paraId="57B8FC7C">
            <w:pPr>
              <w:kinsoku w:val="0"/>
              <w:autoSpaceDE w:val="0"/>
              <w:autoSpaceDN w:val="0"/>
              <w:adjustRightInd w:val="0"/>
              <w:snapToGrid w:val="0"/>
              <w:spacing w:line="400" w:lineRule="exact"/>
              <w:jc w:val="center"/>
              <w:rPr>
                <w:rFonts w:hint="eastAsia" w:ascii="宋体" w:hAnsi="宋体" w:eastAsia="宋体" w:cs="宋体"/>
                <w:spacing w:val="4"/>
                <w:sz w:val="24"/>
                <w:szCs w:val="24"/>
              </w:rPr>
            </w:pPr>
            <w:r>
              <w:rPr>
                <w:rFonts w:hint="eastAsia" w:ascii="宋体" w:hAnsi="宋体" w:eastAsia="宋体" w:cs="宋体"/>
                <w:spacing w:val="7"/>
                <w:sz w:val="24"/>
                <w:szCs w:val="24"/>
              </w:rPr>
              <w:t>现场勘察</w:t>
            </w:r>
          </w:p>
        </w:tc>
        <w:tc>
          <w:tcPr>
            <w:tcW w:w="8378" w:type="dxa"/>
            <w:vAlign w:val="top"/>
          </w:tcPr>
          <w:p w14:paraId="47BCF146">
            <w:pPr>
              <w:kinsoku w:val="0"/>
              <w:autoSpaceDE w:val="0"/>
              <w:autoSpaceDN w:val="0"/>
              <w:adjustRightInd w:val="0"/>
              <w:snapToGrid w:val="0"/>
              <w:spacing w:line="400" w:lineRule="exact"/>
              <w:ind w:left="105" w:leftChars="50"/>
              <w:jc w:val="left"/>
              <w:textAlignment w:val="baseline"/>
              <w:rPr>
                <w:rFonts w:hint="eastAsia" w:ascii="宋体" w:hAnsi="宋体" w:eastAsia="宋体" w:cs="宋体"/>
                <w:spacing w:val="22"/>
                <w:sz w:val="24"/>
                <w:szCs w:val="24"/>
              </w:rPr>
            </w:pPr>
            <w:r>
              <w:rPr>
                <w:rFonts w:hint="eastAsia" w:ascii="宋体" w:hAnsi="宋体" w:eastAsia="宋体" w:cs="宋体"/>
                <w:spacing w:val="22"/>
                <w:sz w:val="24"/>
                <w:szCs w:val="24"/>
              </w:rPr>
              <w:t>供应商可以现场踏勘,费用自理。</w:t>
            </w:r>
          </w:p>
        </w:tc>
      </w:tr>
      <w:tr w14:paraId="5F8E3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jc w:val="center"/>
        </w:trPr>
        <w:tc>
          <w:tcPr>
            <w:tcW w:w="1470" w:type="dxa"/>
            <w:vAlign w:val="top"/>
          </w:tcPr>
          <w:p w14:paraId="2EFD86D2">
            <w:pPr>
              <w:kinsoku w:val="0"/>
              <w:autoSpaceDE w:val="0"/>
              <w:autoSpaceDN w:val="0"/>
              <w:adjustRightInd w:val="0"/>
              <w:snapToGrid w:val="0"/>
              <w:spacing w:line="400" w:lineRule="exact"/>
              <w:jc w:val="center"/>
              <w:rPr>
                <w:rFonts w:hint="eastAsia" w:ascii="宋体" w:hAnsi="宋体" w:eastAsia="宋体" w:cs="宋体"/>
                <w:sz w:val="24"/>
                <w:szCs w:val="24"/>
                <w:highlight w:val="none"/>
              </w:rPr>
            </w:pPr>
          </w:p>
          <w:p w14:paraId="2C75A186">
            <w:pPr>
              <w:kinsoku w:val="0"/>
              <w:autoSpaceDE w:val="0"/>
              <w:autoSpaceDN w:val="0"/>
              <w:adjustRightInd w:val="0"/>
              <w:snapToGrid w:val="0"/>
              <w:spacing w:line="400" w:lineRule="exact"/>
              <w:jc w:val="center"/>
              <w:rPr>
                <w:rFonts w:hint="eastAsia" w:ascii="宋体" w:hAnsi="宋体" w:eastAsia="宋体" w:cs="宋体"/>
                <w:sz w:val="24"/>
                <w:szCs w:val="24"/>
                <w:highlight w:val="none"/>
              </w:rPr>
            </w:pPr>
          </w:p>
          <w:p w14:paraId="4F2C54CD">
            <w:pPr>
              <w:kinsoku w:val="0"/>
              <w:autoSpaceDE w:val="0"/>
              <w:autoSpaceDN w:val="0"/>
              <w:adjustRightInd w:val="0"/>
              <w:snapToGrid w:val="0"/>
              <w:spacing w:line="400" w:lineRule="exact"/>
              <w:jc w:val="center"/>
              <w:rPr>
                <w:rFonts w:hint="eastAsia" w:ascii="宋体" w:hAnsi="宋体" w:eastAsia="宋体" w:cs="宋体"/>
                <w:sz w:val="24"/>
                <w:szCs w:val="24"/>
                <w:highlight w:val="none"/>
              </w:rPr>
            </w:pPr>
          </w:p>
          <w:p w14:paraId="1AD61D0E">
            <w:pPr>
              <w:kinsoku w:val="0"/>
              <w:autoSpaceDE w:val="0"/>
              <w:autoSpaceDN w:val="0"/>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核心产品</w:t>
            </w:r>
          </w:p>
        </w:tc>
        <w:tc>
          <w:tcPr>
            <w:tcW w:w="8378" w:type="dxa"/>
            <w:vAlign w:val="top"/>
          </w:tcPr>
          <w:p w14:paraId="0136E15C">
            <w:pPr>
              <w:kinsoku w:val="0"/>
              <w:autoSpaceDE w:val="0"/>
              <w:autoSpaceDN w:val="0"/>
              <w:adjustRightInd w:val="0"/>
              <w:snapToGrid w:val="0"/>
              <w:spacing w:line="400" w:lineRule="exact"/>
              <w:ind w:left="105" w:leftChars="50" w:firstLine="2"/>
              <w:textAlignment w:val="baseline"/>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bidi="ar"/>
              </w:rPr>
              <w:t>本项目核心产品为</w:t>
            </w:r>
            <w:r>
              <w:rPr>
                <w:rFonts w:hint="eastAsia" w:ascii="宋体" w:hAnsi="宋体" w:eastAsia="宋体" w:cs="宋体"/>
                <w:snapToGrid w:val="0"/>
                <w:color w:val="000000"/>
                <w:kern w:val="0"/>
                <w:sz w:val="24"/>
                <w:szCs w:val="24"/>
                <w:highlight w:val="none"/>
                <w:lang w:val="en-US" w:eastAsia="zh-CN" w:bidi="ar"/>
              </w:rPr>
              <w:t>碳元素分析仪</w:t>
            </w:r>
            <w:r>
              <w:rPr>
                <w:rFonts w:hint="eastAsia" w:ascii="宋体" w:hAnsi="宋体" w:eastAsia="宋体" w:cs="宋体"/>
                <w:spacing w:val="11"/>
                <w:sz w:val="24"/>
                <w:szCs w:val="24"/>
                <w:highlight w:val="none"/>
              </w:rPr>
              <w:t>，提供相同品牌产品的不同供应商参加同</w:t>
            </w:r>
            <w:r>
              <w:rPr>
                <w:rFonts w:hint="eastAsia" w:ascii="宋体" w:hAnsi="宋体" w:eastAsia="宋体" w:cs="宋体"/>
                <w:spacing w:val="16"/>
                <w:sz w:val="24"/>
                <w:szCs w:val="24"/>
                <w:highlight w:val="none"/>
              </w:rPr>
              <w:t>一合同</w:t>
            </w:r>
            <w:r>
              <w:rPr>
                <w:rFonts w:hint="eastAsia" w:ascii="宋体" w:hAnsi="宋体" w:eastAsia="宋体" w:cs="宋体"/>
                <w:spacing w:val="9"/>
                <w:sz w:val="24"/>
                <w:szCs w:val="24"/>
                <w:highlight w:val="none"/>
              </w:rPr>
              <w:t>项</w:t>
            </w:r>
            <w:r>
              <w:rPr>
                <w:rFonts w:hint="eastAsia" w:ascii="宋体" w:hAnsi="宋体" w:eastAsia="宋体" w:cs="宋体"/>
                <w:spacing w:val="8"/>
                <w:sz w:val="24"/>
                <w:szCs w:val="24"/>
                <w:highlight w:val="none"/>
              </w:rPr>
              <w:t>下竞标的，以其中通过资格审查、符合性审查、谈判且最终报价最低的</w:t>
            </w:r>
            <w:r>
              <w:rPr>
                <w:rFonts w:hint="eastAsia" w:ascii="宋体" w:hAnsi="宋体" w:eastAsia="宋体" w:cs="宋体"/>
                <w:spacing w:val="16"/>
                <w:sz w:val="24"/>
                <w:szCs w:val="24"/>
                <w:highlight w:val="none"/>
              </w:rPr>
              <w:t>参加报</w:t>
            </w:r>
            <w:r>
              <w:rPr>
                <w:rFonts w:hint="eastAsia" w:ascii="宋体" w:hAnsi="宋体" w:eastAsia="宋体" w:cs="宋体"/>
                <w:spacing w:val="9"/>
                <w:sz w:val="24"/>
                <w:szCs w:val="24"/>
                <w:highlight w:val="none"/>
              </w:rPr>
              <w:t>价</w:t>
            </w:r>
            <w:r>
              <w:rPr>
                <w:rFonts w:hint="eastAsia" w:ascii="宋体" w:hAnsi="宋体" w:eastAsia="宋体" w:cs="宋体"/>
                <w:spacing w:val="8"/>
                <w:sz w:val="24"/>
                <w:szCs w:val="24"/>
                <w:highlight w:val="none"/>
              </w:rPr>
              <w:t>评审；最终报价相同的，由采购单位或者采购单位委托谈判小组按照竞争性</w:t>
            </w:r>
            <w:r>
              <w:rPr>
                <w:rFonts w:hint="eastAsia" w:ascii="宋体" w:hAnsi="宋体" w:eastAsia="宋体" w:cs="宋体"/>
                <w:spacing w:val="12"/>
                <w:sz w:val="24"/>
                <w:szCs w:val="24"/>
                <w:highlight w:val="none"/>
              </w:rPr>
              <w:t>谈判文件规定的方式确定一个参加评审的供应商，竞争性谈判文件未规定的采</w:t>
            </w:r>
            <w:r>
              <w:rPr>
                <w:rFonts w:hint="eastAsia" w:ascii="宋体" w:hAnsi="宋体" w:eastAsia="宋体" w:cs="宋体"/>
                <w:spacing w:val="5"/>
                <w:sz w:val="24"/>
                <w:szCs w:val="24"/>
                <w:highlight w:val="none"/>
              </w:rPr>
              <w:t>取</w:t>
            </w:r>
            <w:r>
              <w:rPr>
                <w:rFonts w:hint="eastAsia" w:ascii="宋体" w:hAnsi="宋体" w:eastAsia="宋体" w:cs="宋体"/>
                <w:spacing w:val="16"/>
                <w:sz w:val="24"/>
                <w:szCs w:val="24"/>
                <w:highlight w:val="none"/>
              </w:rPr>
              <w:t>随</w:t>
            </w:r>
            <w:r>
              <w:rPr>
                <w:rFonts w:hint="eastAsia" w:ascii="宋体" w:hAnsi="宋体" w:eastAsia="宋体" w:cs="宋体"/>
                <w:spacing w:val="10"/>
                <w:sz w:val="24"/>
                <w:szCs w:val="24"/>
                <w:highlight w:val="none"/>
              </w:rPr>
              <w:t>机</w:t>
            </w:r>
            <w:r>
              <w:rPr>
                <w:rFonts w:hint="eastAsia" w:ascii="宋体" w:hAnsi="宋体" w:eastAsia="宋体" w:cs="宋体"/>
                <w:spacing w:val="8"/>
                <w:sz w:val="24"/>
                <w:szCs w:val="24"/>
                <w:highlight w:val="none"/>
              </w:rPr>
              <w:t>抽取方式确定，其他响应文件作无效处理。</w:t>
            </w:r>
          </w:p>
        </w:tc>
      </w:tr>
    </w:tbl>
    <w:p w14:paraId="20BDFC7C">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5A65D577">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第五部分  </w:t>
      </w:r>
      <w:bookmarkEnd w:id="64"/>
      <w:bookmarkEnd w:id="65"/>
      <w:bookmarkStart w:id="69" w:name="第四部分"/>
      <w:r>
        <w:rPr>
          <w:rFonts w:hint="eastAsia" w:cs="仿宋_GB2312" w:asciiTheme="minorEastAsia" w:hAnsiTheme="minorEastAsia" w:eastAsiaTheme="minorEastAsia"/>
          <w:b/>
          <w:color w:val="000000" w:themeColor="text1"/>
          <w:sz w:val="36"/>
          <w:szCs w:val="36"/>
          <w14:textFill>
            <w14:solidFill>
              <w14:schemeClr w14:val="tx1"/>
            </w14:solidFill>
          </w14:textFill>
        </w:rPr>
        <w:t>评定标准</w:t>
      </w:r>
      <w:bookmarkEnd w:id="67"/>
    </w:p>
    <w:p w14:paraId="301D82B5">
      <w:pPr>
        <w:adjustRightInd/>
        <w:spacing w:line="360" w:lineRule="auto"/>
        <w:ind w:firstLine="482" w:firstLineChars="200"/>
        <w:rPr>
          <w:rFonts w:cs="Arial" w:asciiTheme="minorEastAsia" w:hAnsiTheme="minorEastAsia" w:eastAsiaTheme="minorEastAsia"/>
          <w:b/>
          <w:color w:val="000000" w:themeColor="text1"/>
          <w:kern w:val="0"/>
          <w:sz w:val="24"/>
          <w14:textFill>
            <w14:solidFill>
              <w14:schemeClr w14:val="tx1"/>
            </w14:solidFill>
          </w14:textFill>
        </w:rPr>
      </w:pPr>
    </w:p>
    <w:p w14:paraId="318715A1">
      <w:pPr>
        <w:pStyle w:val="394"/>
        <w:spacing w:before="0"/>
        <w:ind w:firstLine="643"/>
        <w:jc w:val="center"/>
        <w:outlineLvl w:val="1"/>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一、评审方法</w:t>
      </w:r>
    </w:p>
    <w:p w14:paraId="7E84D6C3">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14:paraId="794E0774">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p>
    <w:p w14:paraId="2C035B79">
      <w:pPr>
        <w:pStyle w:val="633"/>
        <w:rPr>
          <w:color w:val="000000" w:themeColor="text1"/>
          <w14:textFill>
            <w14:solidFill>
              <w14:schemeClr w14:val="tx1"/>
            </w14:solidFill>
          </w14:textFill>
        </w:rPr>
      </w:pPr>
    </w:p>
    <w:p w14:paraId="330C46D5">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二、谈判小组的组成</w:t>
      </w:r>
    </w:p>
    <w:p w14:paraId="7E6A49CB">
      <w:pPr>
        <w:pStyle w:val="394"/>
        <w:spacing w:before="0"/>
        <w:ind w:firstLine="0" w:firstLineChars="0"/>
        <w:rPr>
          <w:rFonts w:cs="Arial" w:asciiTheme="minorEastAsia" w:hAnsiTheme="minorEastAsia" w:eastAsiaTheme="minorEastAsia"/>
          <w:b/>
          <w:color w:val="000000" w:themeColor="text1"/>
          <w:kern w:val="0"/>
          <w14:textFill>
            <w14:solidFill>
              <w14:schemeClr w14:val="tx1"/>
            </w14:solidFill>
          </w14:textFill>
        </w:rPr>
      </w:pPr>
      <w:r>
        <w:rPr>
          <w:rFonts w:hint="eastAsia" w:cs="Arial" w:asciiTheme="minorEastAsia" w:hAnsiTheme="minorEastAsia" w:eastAsiaTheme="minorEastAsia"/>
          <w:b/>
          <w:color w:val="000000" w:themeColor="text1"/>
          <w:kern w:val="0"/>
          <w14:textFill>
            <w14:solidFill>
              <w14:schemeClr w14:val="tx1"/>
            </w14:solidFill>
          </w14:textFill>
        </w:rPr>
        <w:t>1.谈判小组的组成。</w:t>
      </w:r>
    </w:p>
    <w:p w14:paraId="17F145DD">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588B5B76">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达到公开招标数额标准的货物或者服务采购项目，或者达到招标规模标准的政府采购工程，竞争性谈判小组应当由5人以上单数组成。</w:t>
      </w:r>
    </w:p>
    <w:p w14:paraId="761B6D07">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4226A842">
      <w:pPr>
        <w:snapToGrid w:val="0"/>
        <w:spacing w:line="360" w:lineRule="auto"/>
        <w:rPr>
          <w:rFonts w:cs="Arial" w:asciiTheme="minorEastAsia" w:hAnsiTheme="minorEastAsia" w:eastAsiaTheme="minorEastAsia"/>
          <w:b/>
          <w:color w:val="000000" w:themeColor="text1"/>
          <w:kern w:val="0"/>
          <w:sz w:val="24"/>
          <w:szCs w:val="20"/>
          <w14:textFill>
            <w14:solidFill>
              <w14:schemeClr w14:val="tx1"/>
            </w14:solidFill>
          </w14:textFill>
        </w:rPr>
      </w:pPr>
      <w:r>
        <w:rPr>
          <w:rFonts w:hint="eastAsia" w:cs="Arial" w:asciiTheme="minorEastAsia" w:hAnsiTheme="minorEastAsia" w:eastAsiaTheme="minorEastAsia"/>
          <w:b/>
          <w:color w:val="000000" w:themeColor="text1"/>
          <w:kern w:val="0"/>
          <w:sz w:val="24"/>
          <w:szCs w:val="20"/>
          <w14:textFill>
            <w14:solidFill>
              <w14:schemeClr w14:val="tx1"/>
            </w14:solidFill>
          </w14:textFill>
        </w:rPr>
        <w:t>2.谈判小组的组成人员的回避。</w:t>
      </w:r>
    </w:p>
    <w:p w14:paraId="789D6037">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在政府采购活动中，谈判小组的组成人员与供应商有下列利害关系之一的，应当回避：</w:t>
      </w:r>
    </w:p>
    <w:p w14:paraId="27A3D6EF">
      <w:pPr>
        <w:pStyle w:val="394"/>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2.1参加采购活动前3年内与供应商存在劳动关系；</w:t>
      </w:r>
    </w:p>
    <w:p w14:paraId="33B80F22">
      <w:pPr>
        <w:pStyle w:val="394"/>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2.2参加采购活动前3年内担任供应商的董事、监事；</w:t>
      </w:r>
    </w:p>
    <w:p w14:paraId="69F1CD35">
      <w:pPr>
        <w:pStyle w:val="394"/>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2.3参加采购活动前3年内是供应商的控股股东或者实际控制人；</w:t>
      </w:r>
    </w:p>
    <w:p w14:paraId="058C6024">
      <w:pPr>
        <w:pStyle w:val="394"/>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2.4与供应商的法定代表人或者负责人有夫妻、直系血亲、三代以内旁系血亲或者近姻亲关系；</w:t>
      </w:r>
    </w:p>
    <w:p w14:paraId="096DF60D">
      <w:pPr>
        <w:pStyle w:val="394"/>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2.5与供应商有其他可能影响政府采购活动公平、公正进行的关系。</w:t>
      </w:r>
    </w:p>
    <w:p w14:paraId="0474D75B">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14:textFill>
            <w14:solidFill>
              <w14:schemeClr w14:val="tx1"/>
            </w14:solidFill>
          </w14:textFill>
        </w:rPr>
      </w:pPr>
    </w:p>
    <w:p w14:paraId="47B188B6">
      <w:pPr>
        <w:snapToGrid w:val="0"/>
        <w:spacing w:line="360" w:lineRule="auto"/>
        <w:ind w:left="120" w:leftChars="57" w:firstLine="482" w:firstLineChars="150"/>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三、谈判小组的职责</w:t>
      </w:r>
    </w:p>
    <w:p w14:paraId="6C571B0A">
      <w:pPr>
        <w:pStyle w:val="394"/>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1.谈判小组负责具体评审事务，并独立履行下列职责：</w:t>
      </w:r>
    </w:p>
    <w:p w14:paraId="12E2D3AF">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szCs w:val="24"/>
          <w14:textFill>
            <w14:solidFill>
              <w14:schemeClr w14:val="tx1"/>
            </w14:solidFill>
          </w14:textFill>
        </w:rPr>
        <w:t>对供应商的资格进行审查；</w:t>
      </w:r>
      <w:r>
        <w:rPr>
          <w:rFonts w:hint="eastAsia" w:asciiTheme="minorEastAsia" w:hAnsiTheme="minorEastAsia" w:eastAsiaTheme="minorEastAsia"/>
          <w:color w:val="000000" w:themeColor="text1"/>
          <w14:textFill>
            <w14:solidFill>
              <w14:schemeClr w14:val="tx1"/>
            </w14:solidFill>
          </w14:textFill>
        </w:rPr>
        <w:t>对响应文件的有效性、完整性和响应程度进行审查；</w:t>
      </w:r>
    </w:p>
    <w:p w14:paraId="37B7FDEF">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1.2审查、评价响应文件是否符合谈判文件的商务、技术等实质性要求；</w:t>
      </w:r>
    </w:p>
    <w:p w14:paraId="544033B2">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1.3要求供应商对响应文件有关事项作出澄清、说明或者更正；</w:t>
      </w:r>
    </w:p>
    <w:p w14:paraId="5DADE610">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1.4谈判小组集中与单一供应商分别进行谈判；</w:t>
      </w:r>
    </w:p>
    <w:p w14:paraId="0F8B5705">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1.5谈判小组根据谈判文件和谈判情况实质性变动采购需求中的技术、服务要求以及合同草案条款，并确定提交最后报价的供应商；</w:t>
      </w:r>
    </w:p>
    <w:p w14:paraId="1633FD91">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1.6根据谈判文件确定的评定标准对提交最后报价的供应商的响应文件和最后报价进行评定；</w:t>
      </w:r>
    </w:p>
    <w:p w14:paraId="6DBCF8B0">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1.7编制评审报告，确定成交候选人名单，以及根据采购人委托直接确定成交人；</w:t>
      </w:r>
    </w:p>
    <w:p w14:paraId="39CFC286">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1.8向采购人、采购代理机构或者有关部门报告评审中发现的违法行为；</w:t>
      </w:r>
    </w:p>
    <w:p w14:paraId="572FFB45">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1.9法律、法规、规章、谈判文件等规定的其它事项。</w:t>
      </w:r>
    </w:p>
    <w:p w14:paraId="35C6F139">
      <w:pPr>
        <w:pStyle w:val="394"/>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2.谈判小组及其成员不得有下列行为：</w:t>
      </w:r>
    </w:p>
    <w:p w14:paraId="62016181">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2.1确定参与本项目至评审结束前私自接触供应商；</w:t>
      </w:r>
    </w:p>
    <w:p w14:paraId="448F60A6">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2.2接受供应商提出的“超出响应文件的范围或者改变响应文件的实质性内容”的澄清、说明或者更正； </w:t>
      </w:r>
    </w:p>
    <w:p w14:paraId="3798E9A2">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2.3违反评审纪律发表倾向性意见或者征询采购人的倾向性意见；</w:t>
      </w:r>
    </w:p>
    <w:p w14:paraId="3BEC810D">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2.4在评审过程中擅离职守，影响评审程序正常进行的；</w:t>
      </w:r>
    </w:p>
    <w:p w14:paraId="385DE48F">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2.5记录、复制或者带走任何评审资料；</w:t>
      </w:r>
    </w:p>
    <w:p w14:paraId="7932661E">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2.6其他不遵守评审纪律的行为。</w:t>
      </w:r>
    </w:p>
    <w:p w14:paraId="37436C9D">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谈判小组成员有2.1-2.4行为之一的，其评审意见无效，并不得获取评审劳务报酬和报销异地评审差旅费。</w:t>
      </w:r>
    </w:p>
    <w:p w14:paraId="2CD9147A">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322C9922">
      <w:pPr>
        <w:pStyle w:val="394"/>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四、评审程序</w:t>
      </w:r>
    </w:p>
    <w:p w14:paraId="7C5578B2">
      <w:pPr>
        <w:pStyle w:val="394"/>
        <w:spacing w:before="0"/>
        <w:ind w:firstLine="472" w:firstLineChars="196"/>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详见谈判文件“第二部分 竞争性谈判流程”。</w:t>
      </w:r>
    </w:p>
    <w:p w14:paraId="76F9D8BA">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4FB5C1D0">
      <w:pPr>
        <w:pStyle w:val="394"/>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五、评审须知</w:t>
      </w:r>
    </w:p>
    <w:p w14:paraId="478A8E61">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 响应文件的澄清</w:t>
      </w:r>
    </w:p>
    <w:p w14:paraId="03CD013D">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B51F8E3">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2.最后报价的修正原则</w:t>
      </w:r>
    </w:p>
    <w:p w14:paraId="0A2C563A">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谈判小组对响应文件的最后报价进行审核，对发现计算、书写等错误的，按以下原则进行修正：</w:t>
      </w:r>
    </w:p>
    <w:p w14:paraId="2D15880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2.1《最后报价一览表》内容与响应文件中响应内容不一致的，以《最后报价一览表》为准;</w:t>
      </w:r>
    </w:p>
    <w:p w14:paraId="14E2B13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2.2大写金额和小写金额不一致的，以大写金额为准;</w:t>
      </w:r>
    </w:p>
    <w:p w14:paraId="14731F5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2.3单价金额小数点或者百分比有明显错位的，以《最后报价一览表》的总价为准，并修改单价;</w:t>
      </w:r>
    </w:p>
    <w:p w14:paraId="4B51B27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2.4总价金额与按单价汇总金额不一致的，以单价金额计算结果为准。</w:t>
      </w:r>
    </w:p>
    <w:p w14:paraId="7BBCE13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2.5同时出现两种以上不一致的，按照前款规定的顺序修正。</w:t>
      </w:r>
    </w:p>
    <w:p w14:paraId="4DFE153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2.6以修正后的总价作为最后报价。</w:t>
      </w:r>
    </w:p>
    <w:p w14:paraId="66274907">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cs="仿宋_GB2312" w:asciiTheme="minorEastAsia" w:hAnsiTheme="minorEastAsia" w:eastAsiaTheme="minorEastAsia"/>
          <w:b/>
          <w:bCs/>
          <w:color w:val="000000" w:themeColor="text1"/>
          <w:sz w:val="24"/>
          <w14:textFill>
            <w14:solidFill>
              <w14:schemeClr w14:val="tx1"/>
            </w14:solidFill>
          </w14:textFill>
        </w:rPr>
        <w:t>供应商对根据修正原则修正后的最后报价不确认的，响应无效。</w:t>
      </w:r>
    </w:p>
    <w:p w14:paraId="6D5342DF">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hint="eastAsia" w:asciiTheme="minorEastAsia" w:hAnsiTheme="minorEastAsia" w:eastAsiaTheme="minorEastAsia"/>
          <w:b/>
          <w:color w:val="000000" w:themeColor="text1"/>
          <w:spacing w:val="20"/>
          <w14:textFill>
            <w14:solidFill>
              <w14:schemeClr w14:val="tx1"/>
            </w14:solidFill>
          </w14:textFill>
        </w:rPr>
        <w:t>响应无效</w:t>
      </w:r>
    </w:p>
    <w:p w14:paraId="1426ADF1">
      <w:pPr>
        <w:pStyle w:val="25"/>
        <w:spacing w:line="360" w:lineRule="auto"/>
        <w:ind w:firstLine="600" w:firstLineChars="250"/>
        <w:rPr>
          <w:rFonts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14:textFill>
            <w14:solidFill>
              <w14:schemeClr w14:val="tx1"/>
            </w14:solidFill>
          </w14:textFill>
        </w:rPr>
        <w:t>：</w:t>
      </w:r>
    </w:p>
    <w:p w14:paraId="5E6A9B66">
      <w:pPr>
        <w:spacing w:line="360" w:lineRule="auto"/>
        <w:ind w:firstLine="480" w:firstLineChars="200"/>
        <w:rPr>
          <w:rFonts w:cs="仿宋_GB2312"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w:t>
      </w:r>
      <w:r>
        <w:rPr>
          <w:rFonts w:hint="eastAsia" w:cs="仿宋_GB2312" w:asciiTheme="minorEastAsia" w:hAnsiTheme="minorEastAsia" w:eastAsiaTheme="minorEastAsia"/>
          <w:color w:val="000000" w:themeColor="text1"/>
          <w:sz w:val="24"/>
          <w:szCs w:val="21"/>
          <w14:textFill>
            <w14:solidFill>
              <w14:schemeClr w14:val="tx1"/>
            </w14:solidFill>
          </w14:textFill>
        </w:rPr>
        <w:t>单位负责人为同一人或者存在直接控股、管理关系的不同供应商参加同一合同项下的政府采购活动的（均无效）；</w:t>
      </w:r>
    </w:p>
    <w:p w14:paraId="5E826DF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3.2为采购项目提供整体设计、规范编制或者项目管理、监理、检测等服务的供应商再参加该采购项目的其他采购活动的； </w:t>
      </w:r>
    </w:p>
    <w:p w14:paraId="397BE47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3.3供应商不具备谈判文件中规定的资格要求的（供应商未提供有效的资格证明文件的，视为供应商不具备谈判文件中规定的资格要求）；</w:t>
      </w:r>
    </w:p>
    <w:p w14:paraId="224D67C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3.4如以联合体形式参加政府采购活动的，联合协议不符合谈判文件规定的联合协议要求的；</w:t>
      </w:r>
    </w:p>
    <w:p w14:paraId="1FD925B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3.5响应文件未按谈判文件的澄清、修改的内容编制，又不符合实质性要求的；</w:t>
      </w:r>
    </w:p>
    <w:p w14:paraId="2D51764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3.6响应文件组成漏项，内容不全或内容字迹模糊辨认不清的；</w:t>
      </w:r>
    </w:p>
    <w:p w14:paraId="43DD35B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3.7响应文件中法人授权书所载内容与本项目内容有异的；</w:t>
      </w:r>
    </w:p>
    <w:p w14:paraId="6A48D71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3.8响应文件未按照谈判文件要求签署、盖章的；</w:t>
      </w:r>
    </w:p>
    <w:p w14:paraId="3A0C3C6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3.9</w:t>
      </w:r>
      <w:r>
        <w:rPr>
          <w:rFonts w:hint="eastAsia" w:ascii="宋体" w:hAnsi="宋体" w:cs="宋体"/>
          <w:color w:val="000000" w:themeColor="text1"/>
          <w:kern w:val="0"/>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0B1B37F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3.10响应文件含有采购人不能接受的附加条件的；</w:t>
      </w:r>
    </w:p>
    <w:p w14:paraId="2B85E35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3.11响应文件中承诺的响应有效期少于谈判文件中载明的响应有效期的；</w:t>
      </w:r>
    </w:p>
    <w:p w14:paraId="413B278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3.12供应商所投内容不符合谈判文件中实质性要求的；</w:t>
      </w:r>
    </w:p>
    <w:p w14:paraId="69DE48A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3.13所提交的《最后报价一览表》中出现不是唯一的、有选择性的报价的;</w:t>
      </w:r>
    </w:p>
    <w:p w14:paraId="10CA7F5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3.14最后报价高于本项目采购预算或者最高限价的;</w:t>
      </w:r>
    </w:p>
    <w:p w14:paraId="29C5342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3.15《最后报价一览表》填写不完整或字迹不能辨认或有漏项的；</w:t>
      </w:r>
    </w:p>
    <w:p w14:paraId="614CADA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3.16供应商对根据修正原则修正后的最后报价不确认的；</w:t>
      </w:r>
    </w:p>
    <w:p w14:paraId="2742041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3.17供应商提供虚假材料响应的（包括但不限于以下情节）；</w:t>
      </w:r>
    </w:p>
    <w:p w14:paraId="1699E31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3.17.1使用伪造、变造的许可证件；</w:t>
      </w:r>
    </w:p>
    <w:p w14:paraId="6D43E22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3.17.2提供虚假的财务状况或者业绩；</w:t>
      </w:r>
    </w:p>
    <w:p w14:paraId="576E614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3.17.3提供虚假的项目负责人或者主要技术人员简历、劳动关系证明；</w:t>
      </w:r>
    </w:p>
    <w:p w14:paraId="2AD869A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3.17.4提供虚假的信用状况；</w:t>
      </w:r>
    </w:p>
    <w:p w14:paraId="79C0D53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3.17.5其他弄虚作假的行为。</w:t>
      </w:r>
    </w:p>
    <w:p w14:paraId="0A2CA0D2">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3.18供应商有恶意串通、妨碍其他供应商的竞争行为、损害采购人或者其他供应商的合法权益情形的。</w:t>
      </w:r>
    </w:p>
    <w:p w14:paraId="3334FC8D">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有下列情形之一的，属于或视为恶意串通，其响应无效：</w:t>
      </w:r>
    </w:p>
    <w:p w14:paraId="7F76784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3.18.1供应商直接或者间接从采购人或者采购代理机构处获得其他供应商的相关情况并修改其响应文件；</w:t>
      </w:r>
    </w:p>
    <w:p w14:paraId="38EF7C9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3.18.2供应商按照采购人或者采购代理机构的授意撤换、修改投标文件或者响应文件；</w:t>
      </w:r>
    </w:p>
    <w:p w14:paraId="58B96D6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3.18.3供应商之间协商报价、技术方案等投标文件或者响应文件的实质性内容；</w:t>
      </w:r>
    </w:p>
    <w:p w14:paraId="05CA231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3.18.4属于同一集团、协会、商会等组织成员的供应商按照该组织要求协同参加政府采购活动；</w:t>
      </w:r>
    </w:p>
    <w:p w14:paraId="7272440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3.18.5供应商之间事先约定由某一特定供应商中标、成交；</w:t>
      </w:r>
    </w:p>
    <w:p w14:paraId="72B3095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3.18.6供应商之间商定部分供应商放弃参加政府采购活动或者放弃中标、成交；</w:t>
      </w:r>
    </w:p>
    <w:p w14:paraId="3AB382D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3.18.7供应商与采购人或者采购代理机构之间、供应商相互之间，为谋求特定供应商中标、成交或者排斥其他供应商的其他串通行为。</w:t>
      </w:r>
    </w:p>
    <w:p w14:paraId="61C9CE7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3.18.8不同供应商的响应文件由同一单位或者个人编制；</w:t>
      </w:r>
    </w:p>
    <w:p w14:paraId="2E0F7E9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3.18.9不同供应商委托同一单位或者个人办理响应事宜；</w:t>
      </w:r>
    </w:p>
    <w:p w14:paraId="1E9004A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3.18.10不同供应商的响应文件载明的项目管理成员或者联系人员为同一人；</w:t>
      </w:r>
    </w:p>
    <w:p w14:paraId="07806A9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3.18.11不同供应商的响应文件异常一致或者最后报价呈规律性差异。</w:t>
      </w:r>
    </w:p>
    <w:p w14:paraId="16D0EC7E">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3.19供应商仅提交备份响应文件，没有在电子交易平台传输提交响应文件的，响应无效；</w:t>
      </w:r>
    </w:p>
    <w:p w14:paraId="4C2149E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3.20法律、法规、规章（适用本市的）及省级以上规范性文件（适用本市的）规定的其他无效情形。</w:t>
      </w:r>
    </w:p>
    <w:p w14:paraId="5D160D3A">
      <w:pPr>
        <w:pStyle w:val="394"/>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4. 重新开展采购活动</w:t>
      </w:r>
    </w:p>
    <w:p w14:paraId="1994DCB9">
      <w:pPr>
        <w:spacing w:line="360" w:lineRule="auto"/>
        <w:ind w:firstLine="407"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 w:val="24"/>
          <w:szCs w:val="21"/>
          <w14:textFill>
            <w14:solidFill>
              <w14:schemeClr w14:val="tx1"/>
            </w14:solidFill>
          </w14:textFill>
        </w:rPr>
        <w:t>出现下列情形之一的，采购代理机构应当终止竞争性谈判采购活动，通过电子交易平台发布项目终止公告并说明原因，重新开展采购活动：</w:t>
      </w:r>
    </w:p>
    <w:p w14:paraId="7C510B65">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（1）因情况变化，不再符合规定的竞争性谈判采购方式适用情形的；</w:t>
      </w:r>
    </w:p>
    <w:p w14:paraId="2D90AA79">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（2）出现影响采购公正的违法、违规行为的；</w:t>
      </w:r>
    </w:p>
    <w:p w14:paraId="27285698">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（3）在采购过程中符合竞争要求的供应商或者报价未超过采购预算的供应商不足3家的，但《政府采购非招标采购方式管理办法》第二十七条第二款规定的情形除外。</w:t>
      </w:r>
    </w:p>
    <w:p w14:paraId="14BBE2A2">
      <w:pPr>
        <w:pStyle w:val="394"/>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5. 终止采购活动</w:t>
      </w:r>
    </w:p>
    <w:p w14:paraId="2B0F2BA0">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3BEBB831">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14:textFill>
            <w14:solidFill>
              <w14:schemeClr w14:val="tx1"/>
            </w14:solidFill>
          </w14:textFill>
        </w:rPr>
        <w:t>采购代理机构有权对谈判小组各成员的评审情况和评审意见进行合理性和合规性审查</w:t>
      </w:r>
      <w:r>
        <w:rPr>
          <w:rFonts w:hint="eastAsia" w:cs="仿宋_GB2312" w:asciiTheme="minorEastAsia" w:hAnsiTheme="minorEastAsia" w:eastAsiaTheme="minorEastAsia"/>
          <w:color w:val="000000" w:themeColor="text1"/>
          <w:sz w:val="24"/>
          <w14:textFill>
            <w14:solidFill>
              <w14:schemeClr w14:val="tx1"/>
            </w14:solidFill>
          </w14:textFill>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2EA95EF8">
      <w:pPr>
        <w:pStyle w:val="394"/>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p>
    <w:p w14:paraId="4081B122">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六、评审过程的保密与录像</w:t>
      </w:r>
    </w:p>
    <w:p w14:paraId="5112E21B">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1.保密。</w:t>
      </w:r>
      <w:r>
        <w:rPr>
          <w:rFonts w:hint="eastAsia" w:cs="仿宋_GB2312" w:asciiTheme="minorEastAsia" w:hAnsiTheme="minorEastAsia" w:eastAsiaTheme="minorEastAsia"/>
          <w:color w:val="000000" w:themeColor="text1"/>
          <w:sz w:val="24"/>
          <w14:textFill>
            <w14:solidFill>
              <w14:schemeClr w14:val="tx1"/>
            </w14:solidFill>
          </w14:textFill>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6FBA0EBC">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2.录音录像。</w:t>
      </w:r>
      <w:r>
        <w:rPr>
          <w:rFonts w:hint="eastAsia" w:cs="仿宋_GB2312" w:asciiTheme="minorEastAsia" w:hAnsiTheme="minorEastAsia" w:eastAsiaTheme="minorEastAsia"/>
          <w:color w:val="000000" w:themeColor="text1"/>
          <w:sz w:val="24"/>
          <w14:textFill>
            <w14:solidFill>
              <w14:schemeClr w14:val="tx1"/>
            </w14:solidFill>
          </w14:textFill>
        </w:rPr>
        <w:t>采购代理机构对评审工作现场进行全过程录音录像，录音录像资料作为采购项目文件随其他文件一并存档。</w:t>
      </w:r>
    </w:p>
    <w:p w14:paraId="2F7A430C">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p>
    <w:p w14:paraId="288FA8CA">
      <w:pPr>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70" w:name="_Toc158"/>
      <w:r>
        <w:rPr>
          <w:rFonts w:hint="eastAsia" w:cs="仿宋_GB2312" w:asciiTheme="minorEastAsia" w:hAnsiTheme="minorEastAsia" w:eastAsiaTheme="minorEastAsia"/>
          <w:b/>
          <w:color w:val="000000" w:themeColor="text1"/>
          <w:sz w:val="36"/>
          <w:szCs w:val="36"/>
          <w14:textFill>
            <w14:solidFill>
              <w14:schemeClr w14:val="tx1"/>
            </w14:solidFill>
          </w14:textFill>
        </w:rPr>
        <w:t>第六部分</w:t>
      </w:r>
      <w:bookmarkEnd w:id="69"/>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  拟签订的合同文本</w:t>
      </w:r>
      <w:bookmarkEnd w:id="70"/>
    </w:p>
    <w:p w14:paraId="0CB68244">
      <w:pPr>
        <w:spacing w:line="480" w:lineRule="auto"/>
        <w:jc w:val="center"/>
        <w:rPr>
          <w:rFonts w:ascii="宋体" w:hAnsi="宋体" w:cs="宋体"/>
          <w:b/>
          <w:color w:val="000000" w:themeColor="text1"/>
          <w:sz w:val="24"/>
          <w14:textFill>
            <w14:solidFill>
              <w14:schemeClr w14:val="tx1"/>
            </w14:solidFill>
          </w14:textFill>
        </w:rPr>
      </w:pPr>
      <w:bookmarkStart w:id="71" w:name="第五部分"/>
      <w:bookmarkStart w:id="72" w:name="_Toc86217003"/>
    </w:p>
    <w:p w14:paraId="093EC17F">
      <w:pPr>
        <w:autoSpaceDE w:val="0"/>
        <w:spacing w:line="600" w:lineRule="exact"/>
        <w:jc w:val="center"/>
        <w:rPr>
          <w:rFonts w:ascii="宋体" w:hAnsi="宋体"/>
          <w:b/>
          <w:bCs/>
          <w:kern w:val="0"/>
          <w:sz w:val="28"/>
          <w:szCs w:val="28"/>
        </w:rPr>
      </w:pPr>
      <w:r>
        <w:rPr>
          <w:rFonts w:hint="eastAsia" w:ascii="宋体" w:hAnsi="宋体"/>
          <w:b/>
          <w:bCs/>
          <w:kern w:val="0"/>
          <w:sz w:val="28"/>
          <w:szCs w:val="28"/>
        </w:rPr>
        <w:t>政府采购货物合同</w:t>
      </w:r>
    </w:p>
    <w:p w14:paraId="4F276544">
      <w:pPr>
        <w:autoSpaceDE w:val="0"/>
        <w:spacing w:line="600" w:lineRule="exact"/>
        <w:rPr>
          <w:rFonts w:hint="eastAsia" w:ascii="Times New Roman" w:hAnsi="Times New Roman" w:eastAsia="方正小标宋_GBK"/>
          <w:kern w:val="0"/>
          <w:sz w:val="44"/>
          <w:szCs w:val="44"/>
        </w:rPr>
      </w:pPr>
      <w:r>
        <w:rPr>
          <w:rFonts w:ascii="Times New Roman" w:hAnsi="Times New Roman" w:eastAsia="方正小标宋_GBK"/>
          <w:kern w:val="0"/>
          <w:sz w:val="44"/>
          <w:szCs w:val="44"/>
        </w:rPr>
        <w:t xml:space="preserve"> </w:t>
      </w:r>
    </w:p>
    <w:p w14:paraId="70DBAD8E">
      <w:pPr>
        <w:autoSpaceDE w:val="0"/>
        <w:spacing w:line="600" w:lineRule="exact"/>
        <w:ind w:firstLine="720" w:firstLineChars="300"/>
        <w:rPr>
          <w:rFonts w:ascii="宋体" w:hAnsi="宋体"/>
          <w:sz w:val="24"/>
          <w:szCs w:val="24"/>
        </w:rPr>
      </w:pPr>
      <w:r>
        <w:rPr>
          <w:rFonts w:hint="eastAsia" w:ascii="宋体" w:hAnsi="宋体"/>
          <w:sz w:val="24"/>
          <w:szCs w:val="24"/>
        </w:rPr>
        <w:t>采购计划号：</w:t>
      </w:r>
      <w:r>
        <w:rPr>
          <w:rFonts w:hint="eastAsia" w:ascii="宋体" w:hAnsi="宋体"/>
          <w:sz w:val="24"/>
          <w:szCs w:val="24"/>
          <w:u w:val="single"/>
        </w:rPr>
        <w:t xml:space="preserve">                                            </w:t>
      </w:r>
    </w:p>
    <w:p w14:paraId="045D5771">
      <w:pPr>
        <w:autoSpaceDE w:val="0"/>
        <w:spacing w:line="600" w:lineRule="exact"/>
        <w:ind w:firstLine="720" w:firstLineChars="300"/>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2025年专用设备购置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2FC3C49C">
      <w:pPr>
        <w:autoSpaceDE w:val="0"/>
        <w:spacing w:line="600" w:lineRule="exact"/>
        <w:ind w:firstLine="720" w:firstLineChars="300"/>
        <w:rPr>
          <w:rFonts w:hint="eastAsia" w:ascii="宋体" w:hAnsi="宋体"/>
          <w:sz w:val="24"/>
          <w:szCs w:val="24"/>
          <w:u w:val="single"/>
        </w:rPr>
      </w:pP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370937B8">
      <w:pPr>
        <w:autoSpaceDE w:val="0"/>
        <w:spacing w:line="600" w:lineRule="exact"/>
        <w:ind w:firstLine="720" w:firstLineChars="300"/>
        <w:rPr>
          <w:rFonts w:hint="eastAsia" w:ascii="宋体" w:hAnsi="宋体"/>
          <w:sz w:val="24"/>
          <w:szCs w:val="24"/>
        </w:rPr>
      </w:pPr>
      <w:r>
        <w:rPr>
          <w:rFonts w:hint="eastAsia" w:ascii="宋体" w:hAnsi="宋体"/>
          <w:sz w:val="24"/>
          <w:szCs w:val="24"/>
        </w:rPr>
        <w:t>签订地点：</w:t>
      </w:r>
      <w:r>
        <w:rPr>
          <w:rFonts w:hint="eastAsia" w:ascii="宋体" w:hAnsi="宋体"/>
          <w:sz w:val="24"/>
          <w:szCs w:val="24"/>
          <w:u w:val="single"/>
        </w:rPr>
        <w:t xml:space="preserve">                                              </w:t>
      </w:r>
    </w:p>
    <w:p w14:paraId="5F7529A0">
      <w:pPr>
        <w:autoSpaceDE w:val="0"/>
        <w:spacing w:line="600" w:lineRule="exact"/>
        <w:ind w:firstLine="720" w:firstLineChars="300"/>
        <w:rPr>
          <w:rFonts w:hint="eastAsia" w:ascii="宋体" w:hAnsi="宋体"/>
          <w:sz w:val="24"/>
          <w:szCs w:val="24"/>
        </w:rPr>
      </w:pPr>
      <w:r>
        <w:rPr>
          <w:rFonts w:hint="eastAsia" w:ascii="宋体" w:hAnsi="宋体"/>
          <w:sz w:val="24"/>
          <w:szCs w:val="24"/>
        </w:rPr>
        <w:t>签订时间：</w:t>
      </w:r>
      <w:r>
        <w:rPr>
          <w:rFonts w:hint="eastAsia" w:ascii="宋体" w:hAnsi="宋体"/>
          <w:sz w:val="24"/>
          <w:szCs w:val="24"/>
          <w:u w:val="single"/>
        </w:rPr>
        <w:t xml:space="preserve">                                              </w:t>
      </w:r>
    </w:p>
    <w:p w14:paraId="0C4CEC07">
      <w:pPr>
        <w:autoSpaceDE w:val="0"/>
        <w:spacing w:line="600" w:lineRule="exact"/>
        <w:ind w:firstLine="720" w:firstLineChars="300"/>
        <w:rPr>
          <w:rFonts w:hint="eastAsia" w:ascii="宋体" w:hAnsi="宋体"/>
          <w:kern w:val="0"/>
          <w:sz w:val="24"/>
          <w:szCs w:val="24"/>
          <w:u w:val="single"/>
        </w:rPr>
      </w:pPr>
      <w:r>
        <w:rPr>
          <w:rFonts w:hint="eastAsia" w:ascii="宋体" w:hAnsi="宋体"/>
          <w:kern w:val="0"/>
          <w:sz w:val="24"/>
          <w:szCs w:val="24"/>
        </w:rPr>
        <w:t>甲方（采购人）：</w:t>
      </w:r>
      <w:r>
        <w:rPr>
          <w:rFonts w:hint="eastAsia" w:ascii="宋体" w:hAnsi="宋体"/>
          <w:kern w:val="0"/>
          <w:sz w:val="24"/>
          <w:szCs w:val="24"/>
          <w:u w:val="single"/>
        </w:rPr>
        <w:t xml:space="preserve">广西壮族自治区海洋环境监测中心站        </w:t>
      </w:r>
    </w:p>
    <w:p w14:paraId="285605FF">
      <w:pPr>
        <w:autoSpaceDE w:val="0"/>
        <w:spacing w:line="600" w:lineRule="exact"/>
        <w:ind w:firstLine="720" w:firstLineChars="300"/>
        <w:rPr>
          <w:rFonts w:hint="eastAsia" w:ascii="宋体" w:hAnsi="宋体"/>
          <w:kern w:val="0"/>
          <w:sz w:val="24"/>
          <w:szCs w:val="24"/>
          <w:u w:val="single"/>
        </w:rPr>
      </w:pPr>
      <w:r>
        <w:rPr>
          <w:rFonts w:hint="eastAsia" w:ascii="宋体" w:hAnsi="宋体"/>
          <w:kern w:val="0"/>
          <w:sz w:val="24"/>
          <w:szCs w:val="24"/>
        </w:rPr>
        <w:t>住所地：</w:t>
      </w:r>
      <w:r>
        <w:rPr>
          <w:rFonts w:hint="eastAsia" w:ascii="宋体" w:hAnsi="宋体"/>
          <w:kern w:val="0"/>
          <w:sz w:val="24"/>
          <w:szCs w:val="24"/>
          <w:u w:val="single"/>
        </w:rPr>
        <w:t xml:space="preserve"> 广西北海市公园路49号                          </w:t>
      </w:r>
    </w:p>
    <w:p w14:paraId="5440E3DA">
      <w:pPr>
        <w:autoSpaceDE w:val="0"/>
        <w:spacing w:line="600" w:lineRule="exact"/>
        <w:ind w:firstLine="720" w:firstLineChars="300"/>
        <w:rPr>
          <w:rFonts w:hint="eastAsia" w:ascii="宋体" w:hAnsi="宋体"/>
          <w:kern w:val="0"/>
          <w:sz w:val="24"/>
          <w:szCs w:val="24"/>
          <w:u w:val="single"/>
        </w:rPr>
      </w:pPr>
      <w:r>
        <w:rPr>
          <w:rFonts w:hint="eastAsia" w:ascii="宋体" w:hAnsi="宋体"/>
          <w:kern w:val="0"/>
          <w:sz w:val="24"/>
          <w:szCs w:val="24"/>
        </w:rPr>
        <w:t>法定代表人：</w:t>
      </w:r>
      <w:r>
        <w:rPr>
          <w:rFonts w:hint="eastAsia" w:ascii="宋体" w:hAnsi="宋体"/>
          <w:kern w:val="0"/>
          <w:sz w:val="24"/>
          <w:szCs w:val="24"/>
          <w:u w:val="single"/>
        </w:rPr>
        <w:t xml:space="preserve">                                            </w:t>
      </w:r>
    </w:p>
    <w:p w14:paraId="37C693CA">
      <w:pPr>
        <w:autoSpaceDE w:val="0"/>
        <w:spacing w:line="600" w:lineRule="exact"/>
        <w:ind w:firstLine="720" w:firstLineChars="300"/>
        <w:rPr>
          <w:rFonts w:hint="eastAsia" w:ascii="宋体" w:hAnsi="宋体"/>
          <w:kern w:val="0"/>
          <w:sz w:val="24"/>
          <w:szCs w:val="24"/>
          <w:u w:val="single"/>
        </w:rPr>
      </w:pPr>
      <w:r>
        <w:rPr>
          <w:rFonts w:hint="eastAsia" w:ascii="宋体" w:hAnsi="宋体"/>
          <w:sz w:val="24"/>
          <w:szCs w:val="24"/>
        </w:rPr>
        <w:t>通讯地址：</w:t>
      </w:r>
      <w:r>
        <w:rPr>
          <w:rFonts w:hint="eastAsia" w:ascii="宋体" w:hAnsi="宋体"/>
          <w:kern w:val="0"/>
          <w:sz w:val="24"/>
          <w:szCs w:val="24"/>
          <w:u w:val="single"/>
        </w:rPr>
        <w:t xml:space="preserve">广西北海市公园路49号                         </w:t>
      </w:r>
    </w:p>
    <w:p w14:paraId="39F3BF92">
      <w:pPr>
        <w:autoSpaceDE w:val="0"/>
        <w:spacing w:line="600" w:lineRule="exact"/>
        <w:ind w:firstLine="720" w:firstLineChars="300"/>
        <w:rPr>
          <w:rFonts w:hint="eastAsia" w:ascii="宋体" w:hAnsi="宋体"/>
          <w:sz w:val="24"/>
          <w:szCs w:val="24"/>
          <w:u w:val="single"/>
        </w:rPr>
      </w:pPr>
      <w:r>
        <w:rPr>
          <w:rFonts w:hint="eastAsia" w:ascii="宋体" w:hAnsi="宋体"/>
          <w:sz w:val="24"/>
          <w:szCs w:val="24"/>
        </w:rPr>
        <w:t>联系电话：</w:t>
      </w:r>
      <w:r>
        <w:rPr>
          <w:rFonts w:hint="eastAsia" w:ascii="宋体" w:hAnsi="宋体"/>
          <w:sz w:val="24"/>
          <w:szCs w:val="24"/>
          <w:u w:val="single"/>
        </w:rPr>
        <w:t>0779-6810330</w:t>
      </w:r>
      <w:r>
        <w:rPr>
          <w:rFonts w:hint="eastAsia" w:ascii="宋体" w:hAnsi="宋体"/>
          <w:kern w:val="0"/>
          <w:sz w:val="24"/>
          <w:szCs w:val="24"/>
          <w:u w:val="single"/>
        </w:rPr>
        <w:t xml:space="preserve">                                  </w:t>
      </w:r>
    </w:p>
    <w:p w14:paraId="3A9BBE70">
      <w:pPr>
        <w:autoSpaceDE w:val="0"/>
        <w:spacing w:line="600" w:lineRule="exact"/>
        <w:ind w:firstLine="720" w:firstLineChars="300"/>
        <w:rPr>
          <w:rFonts w:hint="eastAsia" w:ascii="宋体" w:hAnsi="宋体"/>
          <w:kern w:val="0"/>
          <w:sz w:val="24"/>
          <w:szCs w:val="24"/>
          <w:u w:val="single"/>
        </w:rPr>
      </w:pPr>
      <w:r>
        <w:rPr>
          <w:rFonts w:hint="eastAsia" w:ascii="宋体" w:hAnsi="宋体"/>
          <w:sz w:val="24"/>
          <w:szCs w:val="24"/>
        </w:rPr>
        <w:t>电子邮箱：</w:t>
      </w:r>
      <w:r>
        <w:rPr>
          <w:rFonts w:hint="eastAsia" w:ascii="宋体" w:hAnsi="宋体"/>
          <w:kern w:val="0"/>
          <w:sz w:val="24"/>
          <w:szCs w:val="24"/>
          <w:u w:val="single"/>
        </w:rPr>
        <w:t xml:space="preserve">                                              </w:t>
      </w:r>
    </w:p>
    <w:p w14:paraId="71C3C6B4">
      <w:pPr>
        <w:autoSpaceDE w:val="0"/>
        <w:spacing w:line="600" w:lineRule="exact"/>
        <w:ind w:firstLine="720" w:firstLineChars="300"/>
        <w:rPr>
          <w:rFonts w:hint="eastAsia" w:ascii="宋体" w:hAnsi="宋体"/>
          <w:kern w:val="0"/>
          <w:sz w:val="24"/>
          <w:szCs w:val="24"/>
          <w:u w:val="single"/>
        </w:rPr>
      </w:pPr>
      <w:r>
        <w:rPr>
          <w:rFonts w:hint="eastAsia" w:ascii="宋体" w:hAnsi="宋体"/>
          <w:kern w:val="0"/>
          <w:sz w:val="24"/>
          <w:szCs w:val="24"/>
        </w:rPr>
        <w:t>乙方（供应商）：</w:t>
      </w:r>
      <w:r>
        <w:rPr>
          <w:rFonts w:hint="eastAsia" w:ascii="宋体" w:hAnsi="宋体"/>
          <w:kern w:val="0"/>
          <w:sz w:val="24"/>
          <w:szCs w:val="24"/>
          <w:u w:val="single"/>
        </w:rPr>
        <w:t xml:space="preserve">                                        </w:t>
      </w:r>
    </w:p>
    <w:p w14:paraId="51A249F3">
      <w:pPr>
        <w:autoSpaceDE w:val="0"/>
        <w:spacing w:line="600" w:lineRule="exact"/>
        <w:ind w:firstLine="720" w:firstLineChars="300"/>
        <w:rPr>
          <w:rFonts w:hint="eastAsia" w:ascii="宋体" w:hAnsi="宋体"/>
          <w:kern w:val="0"/>
          <w:sz w:val="24"/>
          <w:szCs w:val="24"/>
          <w:u w:val="single"/>
        </w:rPr>
      </w:pPr>
      <w:r>
        <w:rPr>
          <w:rFonts w:hint="eastAsia" w:ascii="宋体" w:hAnsi="宋体"/>
          <w:kern w:val="0"/>
          <w:sz w:val="24"/>
          <w:szCs w:val="24"/>
        </w:rPr>
        <w:t>住所地：</w:t>
      </w:r>
      <w:r>
        <w:rPr>
          <w:rFonts w:hint="eastAsia" w:ascii="宋体" w:hAnsi="宋体"/>
          <w:kern w:val="0"/>
          <w:sz w:val="24"/>
          <w:szCs w:val="24"/>
          <w:u w:val="single"/>
        </w:rPr>
        <w:t xml:space="preserve">                                                </w:t>
      </w:r>
    </w:p>
    <w:p w14:paraId="2E954EB0">
      <w:pPr>
        <w:autoSpaceDE w:val="0"/>
        <w:spacing w:line="600" w:lineRule="exact"/>
        <w:ind w:firstLine="720" w:firstLineChars="300"/>
        <w:rPr>
          <w:rFonts w:hint="eastAsia" w:ascii="宋体" w:hAnsi="宋体"/>
          <w:kern w:val="0"/>
          <w:sz w:val="24"/>
          <w:szCs w:val="24"/>
          <w:u w:val="single"/>
        </w:rPr>
      </w:pPr>
      <w:r>
        <w:rPr>
          <w:rFonts w:hint="eastAsia" w:ascii="宋体" w:hAnsi="宋体"/>
          <w:kern w:val="0"/>
          <w:sz w:val="24"/>
          <w:szCs w:val="24"/>
        </w:rPr>
        <w:t>法定代表人：</w:t>
      </w:r>
      <w:r>
        <w:rPr>
          <w:rFonts w:hint="eastAsia" w:ascii="宋体" w:hAnsi="宋体"/>
          <w:kern w:val="0"/>
          <w:sz w:val="24"/>
          <w:szCs w:val="24"/>
          <w:u w:val="single"/>
        </w:rPr>
        <w:t xml:space="preserve">                                            </w:t>
      </w:r>
    </w:p>
    <w:p w14:paraId="1F50BF05">
      <w:pPr>
        <w:autoSpaceDE w:val="0"/>
        <w:spacing w:line="600" w:lineRule="exact"/>
        <w:ind w:firstLine="720" w:firstLineChars="300"/>
        <w:rPr>
          <w:rFonts w:hint="eastAsia" w:ascii="宋体" w:hAnsi="宋体"/>
          <w:kern w:val="0"/>
          <w:sz w:val="24"/>
          <w:szCs w:val="24"/>
          <w:u w:val="single"/>
        </w:rPr>
      </w:pPr>
      <w:r>
        <w:rPr>
          <w:rFonts w:hint="eastAsia" w:ascii="宋体" w:hAnsi="宋体"/>
          <w:sz w:val="24"/>
          <w:szCs w:val="24"/>
        </w:rPr>
        <w:t>通讯地址：</w:t>
      </w:r>
      <w:r>
        <w:rPr>
          <w:rFonts w:hint="eastAsia" w:ascii="宋体" w:hAnsi="宋体"/>
          <w:sz w:val="24"/>
          <w:szCs w:val="24"/>
          <w:u w:val="single"/>
        </w:rPr>
        <w:t xml:space="preserve">                                              </w:t>
      </w:r>
    </w:p>
    <w:p w14:paraId="2060948A">
      <w:pPr>
        <w:autoSpaceDE w:val="0"/>
        <w:spacing w:line="600" w:lineRule="exact"/>
        <w:ind w:firstLine="720" w:firstLineChars="300"/>
        <w:rPr>
          <w:rFonts w:hint="eastAsia" w:ascii="宋体" w:hAnsi="宋体"/>
          <w:sz w:val="24"/>
          <w:szCs w:val="24"/>
          <w:u w:val="single"/>
        </w:rPr>
      </w:pPr>
      <w:r>
        <w:rPr>
          <w:rFonts w:hint="eastAsia" w:ascii="宋体" w:hAnsi="宋体"/>
          <w:sz w:val="24"/>
          <w:szCs w:val="24"/>
        </w:rPr>
        <w:t>联系电话：</w:t>
      </w:r>
      <w:r>
        <w:rPr>
          <w:rFonts w:hint="eastAsia" w:ascii="宋体" w:hAnsi="宋体"/>
          <w:kern w:val="0"/>
          <w:sz w:val="24"/>
          <w:szCs w:val="24"/>
          <w:u w:val="single"/>
        </w:rPr>
        <w:t xml:space="preserve">               </w:t>
      </w:r>
      <w:r>
        <w:rPr>
          <w:rFonts w:hint="eastAsia" w:ascii="宋体" w:hAnsi="宋体"/>
          <w:sz w:val="24"/>
          <w:szCs w:val="24"/>
          <w:u w:val="single"/>
        </w:rPr>
        <w:t xml:space="preserve">                               </w:t>
      </w:r>
    </w:p>
    <w:p w14:paraId="23A1F0A4">
      <w:pPr>
        <w:autoSpaceDE w:val="0"/>
        <w:spacing w:line="600" w:lineRule="exact"/>
        <w:ind w:firstLine="720" w:firstLineChars="300"/>
        <w:rPr>
          <w:rFonts w:hint="eastAsia" w:ascii="宋体" w:hAnsi="宋体"/>
          <w:sz w:val="24"/>
          <w:szCs w:val="24"/>
        </w:rPr>
      </w:pPr>
      <w:r>
        <w:rPr>
          <w:rFonts w:hint="eastAsia" w:ascii="宋体" w:hAnsi="宋体"/>
          <w:sz w:val="24"/>
          <w:szCs w:val="24"/>
        </w:rPr>
        <w:t>电子邮箱：</w:t>
      </w:r>
      <w:r>
        <w:rPr>
          <w:rFonts w:hint="eastAsia" w:ascii="宋体" w:hAnsi="宋体"/>
          <w:kern w:val="0"/>
          <w:sz w:val="24"/>
          <w:szCs w:val="24"/>
          <w:u w:val="single"/>
        </w:rPr>
        <w:t xml:space="preserve">                                              </w:t>
      </w:r>
    </w:p>
    <w:p w14:paraId="7DD92582">
      <w:pPr>
        <w:autoSpaceDE w:val="0"/>
        <w:spacing w:line="400" w:lineRule="exact"/>
        <w:rPr>
          <w:rFonts w:hint="eastAsia" w:ascii="宋体" w:hAnsi="宋体"/>
          <w:sz w:val="24"/>
          <w:szCs w:val="24"/>
        </w:rPr>
      </w:pPr>
      <w:r>
        <w:rPr>
          <w:rFonts w:hint="eastAsia" w:ascii="宋体" w:hAnsi="宋体"/>
          <w:sz w:val="24"/>
          <w:szCs w:val="24"/>
        </w:rPr>
        <w:t xml:space="preserve"> </w:t>
      </w:r>
    </w:p>
    <w:p w14:paraId="57513F69">
      <w:pPr>
        <w:autoSpaceDE w:val="0"/>
        <w:spacing w:line="400" w:lineRule="exact"/>
        <w:ind w:firstLine="480" w:firstLineChars="200"/>
        <w:rPr>
          <w:rFonts w:hint="eastAsia" w:ascii="宋体" w:hAnsi="宋体"/>
          <w:sz w:val="24"/>
          <w:szCs w:val="24"/>
        </w:rPr>
      </w:pPr>
    </w:p>
    <w:p w14:paraId="5E0BAD1D">
      <w:pPr>
        <w:autoSpaceDE w:val="0"/>
        <w:spacing w:line="400" w:lineRule="exact"/>
        <w:ind w:firstLine="480" w:firstLineChars="200"/>
        <w:rPr>
          <w:rFonts w:hint="eastAsia" w:ascii="宋体" w:hAnsi="宋体"/>
          <w:sz w:val="24"/>
          <w:szCs w:val="24"/>
        </w:rPr>
      </w:pPr>
    </w:p>
    <w:p w14:paraId="0AF403C7">
      <w:pPr>
        <w:autoSpaceDE w:val="0"/>
        <w:spacing w:line="400" w:lineRule="exact"/>
        <w:ind w:firstLine="480" w:firstLineChars="200"/>
        <w:rPr>
          <w:rFonts w:hint="eastAsia" w:ascii="宋体" w:hAnsi="宋体"/>
          <w:sz w:val="24"/>
          <w:szCs w:val="24"/>
        </w:rPr>
      </w:pPr>
      <w:r>
        <w:rPr>
          <w:rFonts w:hint="eastAsia" w:ascii="宋体" w:hAnsi="宋体"/>
          <w:sz w:val="24"/>
          <w:szCs w:val="24"/>
        </w:rPr>
        <w:t>根据《中华人民共和国政府采购法》、《中华人民共和国民法典》等法律、法规规定，按照招标文件（采购文件）规定条款和投标文件及承诺，甲乙双方签订本合同。</w:t>
      </w:r>
    </w:p>
    <w:p w14:paraId="5432AEA9">
      <w:pPr>
        <w:autoSpaceDE w:val="0"/>
        <w:spacing w:line="400" w:lineRule="exact"/>
        <w:ind w:firstLine="480" w:firstLineChars="200"/>
        <w:rPr>
          <w:rFonts w:hint="eastAsia" w:ascii="宋体" w:hAnsi="宋体"/>
          <w:sz w:val="24"/>
          <w:szCs w:val="24"/>
        </w:rPr>
      </w:pPr>
      <w:r>
        <w:rPr>
          <w:rFonts w:hint="eastAsia" w:ascii="宋体" w:hAnsi="宋体"/>
          <w:sz w:val="24"/>
          <w:szCs w:val="24"/>
        </w:rPr>
        <w:t>第一条 合同标的</w:t>
      </w:r>
    </w:p>
    <w:p w14:paraId="6D075C4E">
      <w:pPr>
        <w:autoSpaceDE w:val="0"/>
        <w:spacing w:line="400" w:lineRule="exact"/>
        <w:ind w:firstLine="480" w:firstLineChars="200"/>
        <w:rPr>
          <w:rFonts w:hint="eastAsia" w:ascii="宋体" w:hAnsi="宋体"/>
          <w:sz w:val="24"/>
          <w:szCs w:val="24"/>
        </w:rPr>
      </w:pPr>
      <w:r>
        <w:rPr>
          <w:rFonts w:hint="eastAsia" w:ascii="宋体" w:hAnsi="宋体"/>
          <w:sz w:val="24"/>
          <w:szCs w:val="24"/>
        </w:rPr>
        <w:t>1.供货一览表</w:t>
      </w:r>
    </w:p>
    <w:tbl>
      <w:tblPr>
        <w:tblStyle w:val="61"/>
        <w:tblW w:w="8906"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300"/>
        <w:gridCol w:w="1176"/>
        <w:gridCol w:w="1195"/>
        <w:gridCol w:w="1048"/>
        <w:gridCol w:w="918"/>
        <w:gridCol w:w="713"/>
        <w:gridCol w:w="1034"/>
        <w:gridCol w:w="1005"/>
      </w:tblGrid>
      <w:tr w14:paraId="7198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17" w:type="dxa"/>
            <w:tcBorders>
              <w:top w:val="single" w:color="auto" w:sz="4" w:space="0"/>
              <w:left w:val="single" w:color="auto" w:sz="4" w:space="0"/>
              <w:bottom w:val="single" w:color="auto" w:sz="4" w:space="0"/>
              <w:right w:val="single" w:color="auto" w:sz="4" w:space="0"/>
            </w:tcBorders>
            <w:vAlign w:val="center"/>
          </w:tcPr>
          <w:p w14:paraId="3CB56EDF">
            <w:pPr>
              <w:autoSpaceDE w:val="0"/>
              <w:spacing w:line="400" w:lineRule="exact"/>
              <w:jc w:val="center"/>
              <w:rPr>
                <w:rFonts w:ascii="宋体" w:hAnsi="宋体"/>
                <w:sz w:val="24"/>
                <w:szCs w:val="24"/>
              </w:rPr>
            </w:pPr>
            <w:r>
              <w:rPr>
                <w:rFonts w:hint="eastAsia" w:ascii="宋体" w:hAnsi="宋体"/>
                <w:sz w:val="24"/>
                <w:szCs w:val="24"/>
              </w:rPr>
              <w:t>序号</w:t>
            </w:r>
          </w:p>
        </w:tc>
        <w:tc>
          <w:tcPr>
            <w:tcW w:w="1300" w:type="dxa"/>
            <w:tcBorders>
              <w:top w:val="single" w:color="auto" w:sz="4" w:space="0"/>
              <w:left w:val="nil"/>
              <w:bottom w:val="single" w:color="auto" w:sz="4" w:space="0"/>
              <w:right w:val="single" w:color="auto" w:sz="4" w:space="0"/>
            </w:tcBorders>
            <w:vAlign w:val="center"/>
          </w:tcPr>
          <w:p w14:paraId="1460EEDD">
            <w:pPr>
              <w:autoSpaceDE w:val="0"/>
              <w:spacing w:line="400" w:lineRule="exact"/>
              <w:jc w:val="center"/>
              <w:rPr>
                <w:rFonts w:ascii="宋体" w:hAnsi="宋体"/>
                <w:sz w:val="24"/>
                <w:szCs w:val="24"/>
              </w:rPr>
            </w:pPr>
            <w:r>
              <w:rPr>
                <w:rFonts w:hint="eastAsia" w:ascii="宋体" w:hAnsi="宋体"/>
                <w:sz w:val="24"/>
                <w:szCs w:val="24"/>
              </w:rPr>
              <w:t>产品名称</w:t>
            </w:r>
          </w:p>
        </w:tc>
        <w:tc>
          <w:tcPr>
            <w:tcW w:w="1176" w:type="dxa"/>
            <w:tcBorders>
              <w:top w:val="single" w:color="auto" w:sz="4" w:space="0"/>
              <w:left w:val="nil"/>
              <w:bottom w:val="single" w:color="auto" w:sz="4" w:space="0"/>
              <w:right w:val="single" w:color="auto" w:sz="4" w:space="0"/>
            </w:tcBorders>
            <w:vAlign w:val="center"/>
          </w:tcPr>
          <w:p w14:paraId="1BCE03C6">
            <w:pPr>
              <w:autoSpaceDE w:val="0"/>
              <w:spacing w:line="400" w:lineRule="exact"/>
              <w:jc w:val="center"/>
              <w:rPr>
                <w:rFonts w:ascii="宋体" w:hAnsi="宋体"/>
                <w:sz w:val="24"/>
                <w:szCs w:val="24"/>
              </w:rPr>
            </w:pPr>
            <w:r>
              <w:rPr>
                <w:rFonts w:hint="eastAsia" w:ascii="宋体" w:hAnsi="宋体"/>
                <w:sz w:val="24"/>
                <w:szCs w:val="24"/>
              </w:rPr>
              <w:t>商标品牌</w:t>
            </w:r>
          </w:p>
        </w:tc>
        <w:tc>
          <w:tcPr>
            <w:tcW w:w="1195" w:type="dxa"/>
            <w:tcBorders>
              <w:top w:val="single" w:color="auto" w:sz="4" w:space="0"/>
              <w:left w:val="nil"/>
              <w:bottom w:val="single" w:color="auto" w:sz="4" w:space="0"/>
              <w:right w:val="single" w:color="auto" w:sz="4" w:space="0"/>
            </w:tcBorders>
            <w:vAlign w:val="center"/>
          </w:tcPr>
          <w:p w14:paraId="3F330102">
            <w:pPr>
              <w:autoSpaceDE w:val="0"/>
              <w:spacing w:line="400" w:lineRule="exact"/>
              <w:jc w:val="center"/>
              <w:rPr>
                <w:rFonts w:ascii="宋体" w:hAnsi="宋体"/>
                <w:sz w:val="24"/>
                <w:szCs w:val="24"/>
              </w:rPr>
            </w:pPr>
            <w:r>
              <w:rPr>
                <w:rFonts w:hint="eastAsia" w:ascii="宋体" w:hAnsi="宋体"/>
                <w:sz w:val="24"/>
                <w:szCs w:val="24"/>
              </w:rPr>
              <w:t>规格型号</w:t>
            </w:r>
          </w:p>
        </w:tc>
        <w:tc>
          <w:tcPr>
            <w:tcW w:w="1048" w:type="dxa"/>
            <w:tcBorders>
              <w:top w:val="single" w:color="auto" w:sz="4" w:space="0"/>
              <w:left w:val="nil"/>
              <w:bottom w:val="single" w:color="auto" w:sz="4" w:space="0"/>
              <w:right w:val="single" w:color="auto" w:sz="4" w:space="0"/>
            </w:tcBorders>
            <w:vAlign w:val="center"/>
          </w:tcPr>
          <w:p w14:paraId="46C4AA71">
            <w:pPr>
              <w:autoSpaceDE w:val="0"/>
              <w:spacing w:line="400" w:lineRule="exact"/>
              <w:rPr>
                <w:rFonts w:ascii="宋体" w:hAnsi="宋体"/>
                <w:sz w:val="24"/>
                <w:szCs w:val="24"/>
              </w:rPr>
            </w:pPr>
            <w:r>
              <w:rPr>
                <w:rFonts w:hint="eastAsia" w:ascii="宋体" w:hAnsi="宋体"/>
                <w:spacing w:val="-17"/>
                <w:sz w:val="24"/>
                <w:szCs w:val="24"/>
              </w:rPr>
              <w:t>生产厂家</w:t>
            </w:r>
          </w:p>
        </w:tc>
        <w:tc>
          <w:tcPr>
            <w:tcW w:w="918" w:type="dxa"/>
            <w:tcBorders>
              <w:top w:val="single" w:color="auto" w:sz="4" w:space="0"/>
              <w:left w:val="nil"/>
              <w:bottom w:val="single" w:color="auto" w:sz="4" w:space="0"/>
              <w:right w:val="single" w:color="auto" w:sz="4" w:space="0"/>
            </w:tcBorders>
            <w:vAlign w:val="center"/>
          </w:tcPr>
          <w:p w14:paraId="6E1DD774">
            <w:pPr>
              <w:autoSpaceDE w:val="0"/>
              <w:spacing w:line="400" w:lineRule="exact"/>
              <w:jc w:val="center"/>
              <w:rPr>
                <w:rFonts w:ascii="宋体" w:hAnsi="宋体"/>
                <w:sz w:val="24"/>
                <w:szCs w:val="24"/>
              </w:rPr>
            </w:pPr>
            <w:r>
              <w:rPr>
                <w:rFonts w:hint="eastAsia" w:ascii="宋体" w:hAnsi="宋体"/>
                <w:sz w:val="24"/>
                <w:szCs w:val="24"/>
              </w:rPr>
              <w:t>数量</w:t>
            </w:r>
          </w:p>
        </w:tc>
        <w:tc>
          <w:tcPr>
            <w:tcW w:w="713" w:type="dxa"/>
            <w:tcBorders>
              <w:top w:val="single" w:color="auto" w:sz="4" w:space="0"/>
              <w:left w:val="nil"/>
              <w:bottom w:val="single" w:color="auto" w:sz="4" w:space="0"/>
              <w:right w:val="single" w:color="auto" w:sz="4" w:space="0"/>
            </w:tcBorders>
            <w:vAlign w:val="center"/>
          </w:tcPr>
          <w:p w14:paraId="7FAD28B5">
            <w:pPr>
              <w:autoSpaceDE w:val="0"/>
              <w:spacing w:line="400" w:lineRule="exact"/>
              <w:jc w:val="center"/>
              <w:rPr>
                <w:rFonts w:ascii="宋体" w:hAnsi="宋体"/>
                <w:sz w:val="24"/>
                <w:szCs w:val="24"/>
              </w:rPr>
            </w:pPr>
            <w:r>
              <w:rPr>
                <w:rFonts w:hint="eastAsia" w:ascii="宋体" w:hAnsi="宋体"/>
                <w:sz w:val="24"/>
                <w:szCs w:val="24"/>
              </w:rPr>
              <w:t>单位</w:t>
            </w:r>
          </w:p>
        </w:tc>
        <w:tc>
          <w:tcPr>
            <w:tcW w:w="1034" w:type="dxa"/>
            <w:tcBorders>
              <w:top w:val="single" w:color="auto" w:sz="4" w:space="0"/>
              <w:left w:val="nil"/>
              <w:bottom w:val="single" w:color="auto" w:sz="4" w:space="0"/>
              <w:right w:val="single" w:color="auto" w:sz="4" w:space="0"/>
            </w:tcBorders>
            <w:vAlign w:val="center"/>
          </w:tcPr>
          <w:p w14:paraId="0C27E613">
            <w:pPr>
              <w:autoSpaceDE w:val="0"/>
              <w:spacing w:line="400" w:lineRule="exact"/>
              <w:jc w:val="center"/>
              <w:rPr>
                <w:rFonts w:ascii="宋体" w:hAnsi="宋体"/>
                <w:sz w:val="24"/>
                <w:szCs w:val="24"/>
              </w:rPr>
            </w:pPr>
            <w:r>
              <w:rPr>
                <w:rFonts w:hint="eastAsia" w:ascii="宋体" w:hAnsi="宋体"/>
                <w:sz w:val="24"/>
                <w:szCs w:val="24"/>
              </w:rPr>
              <w:t>单 价</w:t>
            </w:r>
          </w:p>
          <w:p w14:paraId="3F345212">
            <w:pPr>
              <w:autoSpaceDE w:val="0"/>
              <w:spacing w:line="400" w:lineRule="exact"/>
              <w:jc w:val="center"/>
              <w:rPr>
                <w:rFonts w:ascii="宋体" w:hAnsi="宋体"/>
                <w:sz w:val="24"/>
                <w:szCs w:val="24"/>
              </w:rPr>
            </w:pPr>
            <w:r>
              <w:rPr>
                <w:rFonts w:hint="eastAsia" w:ascii="宋体" w:hAnsi="宋体"/>
                <w:sz w:val="24"/>
                <w:szCs w:val="24"/>
              </w:rPr>
              <w:t>（元）</w:t>
            </w:r>
          </w:p>
        </w:tc>
        <w:tc>
          <w:tcPr>
            <w:tcW w:w="1005" w:type="dxa"/>
            <w:tcBorders>
              <w:top w:val="single" w:color="auto" w:sz="4" w:space="0"/>
              <w:left w:val="nil"/>
              <w:bottom w:val="single" w:color="auto" w:sz="4" w:space="0"/>
              <w:right w:val="single" w:color="auto" w:sz="4" w:space="0"/>
            </w:tcBorders>
            <w:vAlign w:val="center"/>
          </w:tcPr>
          <w:p w14:paraId="2984BBA8">
            <w:pPr>
              <w:autoSpaceDE w:val="0"/>
              <w:spacing w:line="400" w:lineRule="exact"/>
              <w:jc w:val="center"/>
              <w:rPr>
                <w:rFonts w:ascii="宋体" w:hAnsi="宋体"/>
                <w:sz w:val="24"/>
                <w:szCs w:val="24"/>
              </w:rPr>
            </w:pPr>
            <w:r>
              <w:rPr>
                <w:rFonts w:hint="eastAsia" w:ascii="宋体" w:hAnsi="宋体"/>
                <w:sz w:val="24"/>
                <w:szCs w:val="24"/>
              </w:rPr>
              <w:t>金 额</w:t>
            </w:r>
          </w:p>
          <w:p w14:paraId="1217796E">
            <w:pPr>
              <w:autoSpaceDE w:val="0"/>
              <w:spacing w:line="400" w:lineRule="exact"/>
              <w:jc w:val="center"/>
              <w:rPr>
                <w:rFonts w:ascii="宋体" w:hAnsi="宋体"/>
                <w:sz w:val="24"/>
                <w:szCs w:val="24"/>
              </w:rPr>
            </w:pPr>
            <w:r>
              <w:rPr>
                <w:rFonts w:hint="eastAsia" w:ascii="宋体" w:hAnsi="宋体"/>
                <w:sz w:val="24"/>
                <w:szCs w:val="24"/>
              </w:rPr>
              <w:t>（元）</w:t>
            </w:r>
          </w:p>
        </w:tc>
      </w:tr>
      <w:tr w14:paraId="7594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17" w:type="dxa"/>
            <w:tcBorders>
              <w:top w:val="single" w:color="auto" w:sz="4" w:space="0"/>
              <w:left w:val="single" w:color="auto" w:sz="4" w:space="0"/>
              <w:bottom w:val="single" w:color="auto" w:sz="4" w:space="0"/>
              <w:right w:val="single" w:color="auto" w:sz="4" w:space="0"/>
            </w:tcBorders>
            <w:vAlign w:val="center"/>
          </w:tcPr>
          <w:p w14:paraId="4733DAD5">
            <w:pPr>
              <w:autoSpaceDE w:val="0"/>
              <w:spacing w:line="400" w:lineRule="exact"/>
              <w:jc w:val="center"/>
              <w:rPr>
                <w:rFonts w:ascii="宋体" w:hAnsi="宋体"/>
                <w:sz w:val="24"/>
                <w:szCs w:val="24"/>
              </w:rPr>
            </w:pPr>
            <w:r>
              <w:rPr>
                <w:rFonts w:hint="eastAsia" w:ascii="宋体" w:hAnsi="宋体"/>
                <w:sz w:val="24"/>
                <w:szCs w:val="24"/>
              </w:rPr>
              <w:t>1</w:t>
            </w:r>
          </w:p>
        </w:tc>
        <w:tc>
          <w:tcPr>
            <w:tcW w:w="1300" w:type="dxa"/>
            <w:tcBorders>
              <w:top w:val="single" w:color="auto" w:sz="4" w:space="0"/>
              <w:left w:val="nil"/>
              <w:bottom w:val="single" w:color="auto" w:sz="4" w:space="0"/>
              <w:right w:val="single" w:color="auto" w:sz="4" w:space="0"/>
            </w:tcBorders>
            <w:vAlign w:val="center"/>
          </w:tcPr>
          <w:p w14:paraId="3E8242C8">
            <w:pPr>
              <w:autoSpaceDE w:val="0"/>
              <w:spacing w:line="400" w:lineRule="exact"/>
              <w:rPr>
                <w:rFonts w:ascii="宋体" w:hAnsi="宋体"/>
                <w:sz w:val="24"/>
                <w:szCs w:val="24"/>
              </w:rPr>
            </w:pPr>
          </w:p>
        </w:tc>
        <w:tc>
          <w:tcPr>
            <w:tcW w:w="1176" w:type="dxa"/>
            <w:tcBorders>
              <w:top w:val="single" w:color="auto" w:sz="4" w:space="0"/>
              <w:left w:val="nil"/>
              <w:bottom w:val="single" w:color="auto" w:sz="4" w:space="0"/>
              <w:right w:val="single" w:color="auto" w:sz="4" w:space="0"/>
            </w:tcBorders>
            <w:vAlign w:val="center"/>
          </w:tcPr>
          <w:p w14:paraId="517B6070">
            <w:pPr>
              <w:autoSpaceDE w:val="0"/>
              <w:spacing w:line="400" w:lineRule="exact"/>
              <w:rPr>
                <w:rFonts w:ascii="宋体" w:hAnsi="宋体"/>
                <w:sz w:val="24"/>
                <w:szCs w:val="24"/>
              </w:rPr>
            </w:pPr>
          </w:p>
        </w:tc>
        <w:tc>
          <w:tcPr>
            <w:tcW w:w="1195" w:type="dxa"/>
            <w:tcBorders>
              <w:top w:val="single" w:color="auto" w:sz="4" w:space="0"/>
              <w:left w:val="nil"/>
              <w:bottom w:val="single" w:color="auto" w:sz="4" w:space="0"/>
              <w:right w:val="single" w:color="auto" w:sz="4" w:space="0"/>
            </w:tcBorders>
            <w:vAlign w:val="center"/>
          </w:tcPr>
          <w:p w14:paraId="1D988FF8">
            <w:pPr>
              <w:autoSpaceDE w:val="0"/>
              <w:spacing w:line="400" w:lineRule="exact"/>
              <w:rPr>
                <w:rFonts w:ascii="宋体" w:hAnsi="宋体"/>
                <w:sz w:val="24"/>
                <w:szCs w:val="24"/>
              </w:rPr>
            </w:pPr>
          </w:p>
        </w:tc>
        <w:tc>
          <w:tcPr>
            <w:tcW w:w="1048" w:type="dxa"/>
            <w:tcBorders>
              <w:top w:val="single" w:color="auto" w:sz="4" w:space="0"/>
              <w:left w:val="nil"/>
              <w:bottom w:val="single" w:color="auto" w:sz="4" w:space="0"/>
              <w:right w:val="single" w:color="auto" w:sz="4" w:space="0"/>
            </w:tcBorders>
            <w:vAlign w:val="top"/>
          </w:tcPr>
          <w:p w14:paraId="66F560C2">
            <w:pPr>
              <w:autoSpaceDE w:val="0"/>
              <w:spacing w:line="400" w:lineRule="exact"/>
              <w:rPr>
                <w:rFonts w:ascii="宋体" w:hAnsi="宋体"/>
                <w:sz w:val="24"/>
                <w:szCs w:val="24"/>
              </w:rPr>
            </w:pPr>
          </w:p>
        </w:tc>
        <w:tc>
          <w:tcPr>
            <w:tcW w:w="918" w:type="dxa"/>
            <w:tcBorders>
              <w:top w:val="single" w:color="auto" w:sz="4" w:space="0"/>
              <w:left w:val="nil"/>
              <w:bottom w:val="single" w:color="auto" w:sz="4" w:space="0"/>
              <w:right w:val="single" w:color="auto" w:sz="4" w:space="0"/>
            </w:tcBorders>
            <w:vAlign w:val="top"/>
          </w:tcPr>
          <w:p w14:paraId="46836D91">
            <w:pPr>
              <w:autoSpaceDE w:val="0"/>
              <w:spacing w:line="400" w:lineRule="exact"/>
              <w:rPr>
                <w:rFonts w:ascii="宋体" w:hAnsi="宋体"/>
                <w:sz w:val="24"/>
                <w:szCs w:val="24"/>
              </w:rPr>
            </w:pPr>
          </w:p>
        </w:tc>
        <w:tc>
          <w:tcPr>
            <w:tcW w:w="713" w:type="dxa"/>
            <w:tcBorders>
              <w:top w:val="single" w:color="auto" w:sz="4" w:space="0"/>
              <w:left w:val="nil"/>
              <w:bottom w:val="single" w:color="auto" w:sz="4" w:space="0"/>
              <w:right w:val="single" w:color="auto" w:sz="4" w:space="0"/>
            </w:tcBorders>
            <w:vAlign w:val="top"/>
          </w:tcPr>
          <w:p w14:paraId="0815B445">
            <w:pPr>
              <w:autoSpaceDE w:val="0"/>
              <w:spacing w:line="400" w:lineRule="exact"/>
              <w:rPr>
                <w:rFonts w:ascii="宋体" w:hAnsi="宋体"/>
                <w:sz w:val="24"/>
                <w:szCs w:val="24"/>
              </w:rPr>
            </w:pPr>
          </w:p>
        </w:tc>
        <w:tc>
          <w:tcPr>
            <w:tcW w:w="1034" w:type="dxa"/>
            <w:tcBorders>
              <w:top w:val="single" w:color="auto" w:sz="4" w:space="0"/>
              <w:left w:val="nil"/>
              <w:bottom w:val="single" w:color="auto" w:sz="4" w:space="0"/>
              <w:right w:val="single" w:color="auto" w:sz="4" w:space="0"/>
            </w:tcBorders>
            <w:vAlign w:val="center"/>
          </w:tcPr>
          <w:p w14:paraId="48D76F8B">
            <w:pPr>
              <w:autoSpaceDE w:val="0"/>
              <w:spacing w:line="400" w:lineRule="exact"/>
              <w:rPr>
                <w:rFonts w:ascii="宋体" w:hAnsi="宋体"/>
                <w:sz w:val="24"/>
                <w:szCs w:val="24"/>
              </w:rPr>
            </w:pPr>
          </w:p>
        </w:tc>
        <w:tc>
          <w:tcPr>
            <w:tcW w:w="1005" w:type="dxa"/>
            <w:tcBorders>
              <w:top w:val="single" w:color="auto" w:sz="4" w:space="0"/>
              <w:left w:val="nil"/>
              <w:bottom w:val="single" w:color="auto" w:sz="4" w:space="0"/>
              <w:right w:val="single" w:color="auto" w:sz="4" w:space="0"/>
            </w:tcBorders>
            <w:vAlign w:val="center"/>
          </w:tcPr>
          <w:p w14:paraId="57D0E656">
            <w:pPr>
              <w:autoSpaceDE w:val="0"/>
              <w:spacing w:line="400" w:lineRule="exact"/>
              <w:rPr>
                <w:rFonts w:ascii="宋体" w:hAnsi="宋体"/>
                <w:sz w:val="24"/>
                <w:szCs w:val="24"/>
              </w:rPr>
            </w:pPr>
          </w:p>
        </w:tc>
      </w:tr>
      <w:tr w14:paraId="76FD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17" w:type="dxa"/>
            <w:tcBorders>
              <w:top w:val="single" w:color="auto" w:sz="4" w:space="0"/>
              <w:left w:val="single" w:color="auto" w:sz="4" w:space="0"/>
              <w:bottom w:val="single" w:color="auto" w:sz="4" w:space="0"/>
              <w:right w:val="single" w:color="auto" w:sz="4" w:space="0"/>
            </w:tcBorders>
            <w:vAlign w:val="center"/>
          </w:tcPr>
          <w:p w14:paraId="3237DF10">
            <w:pPr>
              <w:autoSpaceDE w:val="0"/>
              <w:spacing w:line="400" w:lineRule="exact"/>
              <w:jc w:val="center"/>
              <w:rPr>
                <w:rFonts w:ascii="宋体" w:hAnsi="宋体"/>
                <w:sz w:val="24"/>
                <w:szCs w:val="24"/>
              </w:rPr>
            </w:pPr>
            <w:r>
              <w:rPr>
                <w:rFonts w:hint="eastAsia" w:ascii="宋体" w:hAnsi="宋体"/>
                <w:sz w:val="24"/>
                <w:szCs w:val="24"/>
              </w:rPr>
              <w:t>2</w:t>
            </w:r>
          </w:p>
        </w:tc>
        <w:tc>
          <w:tcPr>
            <w:tcW w:w="1300" w:type="dxa"/>
            <w:tcBorders>
              <w:top w:val="single" w:color="auto" w:sz="4" w:space="0"/>
              <w:left w:val="nil"/>
              <w:bottom w:val="single" w:color="auto" w:sz="4" w:space="0"/>
              <w:right w:val="single" w:color="auto" w:sz="4" w:space="0"/>
            </w:tcBorders>
            <w:vAlign w:val="center"/>
          </w:tcPr>
          <w:p w14:paraId="64494C7A">
            <w:pPr>
              <w:autoSpaceDE w:val="0"/>
              <w:spacing w:line="400" w:lineRule="exact"/>
              <w:rPr>
                <w:rFonts w:ascii="宋体" w:hAnsi="宋体"/>
                <w:sz w:val="24"/>
                <w:szCs w:val="24"/>
              </w:rPr>
            </w:pPr>
          </w:p>
        </w:tc>
        <w:tc>
          <w:tcPr>
            <w:tcW w:w="1176" w:type="dxa"/>
            <w:tcBorders>
              <w:top w:val="single" w:color="auto" w:sz="4" w:space="0"/>
              <w:left w:val="nil"/>
              <w:bottom w:val="single" w:color="auto" w:sz="4" w:space="0"/>
              <w:right w:val="single" w:color="auto" w:sz="4" w:space="0"/>
            </w:tcBorders>
            <w:vAlign w:val="center"/>
          </w:tcPr>
          <w:p w14:paraId="43873E15">
            <w:pPr>
              <w:autoSpaceDE w:val="0"/>
              <w:spacing w:line="400" w:lineRule="exact"/>
              <w:rPr>
                <w:rFonts w:ascii="宋体" w:hAnsi="宋体"/>
                <w:sz w:val="24"/>
                <w:szCs w:val="24"/>
              </w:rPr>
            </w:pPr>
          </w:p>
        </w:tc>
        <w:tc>
          <w:tcPr>
            <w:tcW w:w="1195" w:type="dxa"/>
            <w:tcBorders>
              <w:top w:val="single" w:color="auto" w:sz="4" w:space="0"/>
              <w:left w:val="nil"/>
              <w:bottom w:val="single" w:color="auto" w:sz="4" w:space="0"/>
              <w:right w:val="single" w:color="auto" w:sz="4" w:space="0"/>
            </w:tcBorders>
            <w:vAlign w:val="center"/>
          </w:tcPr>
          <w:p w14:paraId="5164C4D0">
            <w:pPr>
              <w:autoSpaceDE w:val="0"/>
              <w:spacing w:line="400" w:lineRule="exact"/>
              <w:rPr>
                <w:rFonts w:ascii="宋体" w:hAnsi="宋体"/>
                <w:sz w:val="24"/>
                <w:szCs w:val="24"/>
              </w:rPr>
            </w:pPr>
          </w:p>
        </w:tc>
        <w:tc>
          <w:tcPr>
            <w:tcW w:w="1048" w:type="dxa"/>
            <w:tcBorders>
              <w:top w:val="single" w:color="auto" w:sz="4" w:space="0"/>
              <w:left w:val="nil"/>
              <w:bottom w:val="single" w:color="auto" w:sz="4" w:space="0"/>
              <w:right w:val="single" w:color="auto" w:sz="4" w:space="0"/>
            </w:tcBorders>
            <w:vAlign w:val="top"/>
          </w:tcPr>
          <w:p w14:paraId="0D6CDD0C">
            <w:pPr>
              <w:autoSpaceDE w:val="0"/>
              <w:spacing w:line="400" w:lineRule="exact"/>
              <w:rPr>
                <w:rFonts w:ascii="宋体" w:hAnsi="宋体"/>
                <w:sz w:val="24"/>
                <w:szCs w:val="24"/>
              </w:rPr>
            </w:pPr>
          </w:p>
        </w:tc>
        <w:tc>
          <w:tcPr>
            <w:tcW w:w="918" w:type="dxa"/>
            <w:tcBorders>
              <w:top w:val="single" w:color="auto" w:sz="4" w:space="0"/>
              <w:left w:val="nil"/>
              <w:bottom w:val="single" w:color="auto" w:sz="4" w:space="0"/>
              <w:right w:val="single" w:color="auto" w:sz="4" w:space="0"/>
            </w:tcBorders>
            <w:vAlign w:val="top"/>
          </w:tcPr>
          <w:p w14:paraId="5A56B245">
            <w:pPr>
              <w:autoSpaceDE w:val="0"/>
              <w:spacing w:line="400" w:lineRule="exact"/>
              <w:rPr>
                <w:rFonts w:ascii="宋体" w:hAnsi="宋体"/>
                <w:sz w:val="24"/>
                <w:szCs w:val="24"/>
              </w:rPr>
            </w:pPr>
          </w:p>
        </w:tc>
        <w:tc>
          <w:tcPr>
            <w:tcW w:w="713" w:type="dxa"/>
            <w:tcBorders>
              <w:top w:val="single" w:color="auto" w:sz="4" w:space="0"/>
              <w:left w:val="nil"/>
              <w:bottom w:val="single" w:color="auto" w:sz="4" w:space="0"/>
              <w:right w:val="single" w:color="auto" w:sz="4" w:space="0"/>
            </w:tcBorders>
            <w:vAlign w:val="top"/>
          </w:tcPr>
          <w:p w14:paraId="16FF4994">
            <w:pPr>
              <w:autoSpaceDE w:val="0"/>
              <w:spacing w:line="400" w:lineRule="exact"/>
              <w:rPr>
                <w:rFonts w:ascii="宋体" w:hAnsi="宋体"/>
                <w:sz w:val="24"/>
                <w:szCs w:val="24"/>
              </w:rPr>
            </w:pPr>
          </w:p>
        </w:tc>
        <w:tc>
          <w:tcPr>
            <w:tcW w:w="1034" w:type="dxa"/>
            <w:tcBorders>
              <w:top w:val="single" w:color="auto" w:sz="4" w:space="0"/>
              <w:left w:val="nil"/>
              <w:bottom w:val="single" w:color="auto" w:sz="4" w:space="0"/>
              <w:right w:val="single" w:color="auto" w:sz="4" w:space="0"/>
            </w:tcBorders>
            <w:vAlign w:val="center"/>
          </w:tcPr>
          <w:p w14:paraId="2F26F999">
            <w:pPr>
              <w:autoSpaceDE w:val="0"/>
              <w:spacing w:line="400" w:lineRule="exact"/>
              <w:rPr>
                <w:rFonts w:ascii="宋体" w:hAnsi="宋体"/>
                <w:sz w:val="24"/>
                <w:szCs w:val="24"/>
              </w:rPr>
            </w:pPr>
          </w:p>
        </w:tc>
        <w:tc>
          <w:tcPr>
            <w:tcW w:w="1005" w:type="dxa"/>
            <w:tcBorders>
              <w:top w:val="single" w:color="auto" w:sz="4" w:space="0"/>
              <w:left w:val="nil"/>
              <w:bottom w:val="single" w:color="auto" w:sz="4" w:space="0"/>
              <w:right w:val="single" w:color="auto" w:sz="4" w:space="0"/>
            </w:tcBorders>
            <w:vAlign w:val="center"/>
          </w:tcPr>
          <w:p w14:paraId="6B4BCE47">
            <w:pPr>
              <w:autoSpaceDE w:val="0"/>
              <w:spacing w:line="400" w:lineRule="exact"/>
              <w:rPr>
                <w:rFonts w:ascii="宋体" w:hAnsi="宋体"/>
                <w:sz w:val="24"/>
                <w:szCs w:val="24"/>
              </w:rPr>
            </w:pPr>
          </w:p>
        </w:tc>
      </w:tr>
      <w:tr w14:paraId="26A5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17" w:type="dxa"/>
            <w:tcBorders>
              <w:top w:val="single" w:color="auto" w:sz="4" w:space="0"/>
              <w:left w:val="single" w:color="auto" w:sz="4" w:space="0"/>
              <w:bottom w:val="single" w:color="auto" w:sz="4" w:space="0"/>
              <w:right w:val="single" w:color="auto" w:sz="4" w:space="0"/>
            </w:tcBorders>
            <w:vAlign w:val="center"/>
          </w:tcPr>
          <w:p w14:paraId="1C847FA6">
            <w:pPr>
              <w:autoSpaceDE w:val="0"/>
              <w:spacing w:line="400" w:lineRule="exact"/>
              <w:jc w:val="center"/>
              <w:rPr>
                <w:rFonts w:ascii="宋体" w:hAnsi="宋体"/>
                <w:sz w:val="24"/>
                <w:szCs w:val="24"/>
              </w:rPr>
            </w:pPr>
            <w:r>
              <w:rPr>
                <w:rFonts w:hint="eastAsia" w:ascii="宋体" w:hAnsi="宋体"/>
                <w:sz w:val="24"/>
                <w:szCs w:val="24"/>
              </w:rPr>
              <w:t>3</w:t>
            </w:r>
          </w:p>
        </w:tc>
        <w:tc>
          <w:tcPr>
            <w:tcW w:w="1300" w:type="dxa"/>
            <w:tcBorders>
              <w:top w:val="single" w:color="auto" w:sz="4" w:space="0"/>
              <w:left w:val="nil"/>
              <w:bottom w:val="single" w:color="auto" w:sz="4" w:space="0"/>
              <w:right w:val="single" w:color="auto" w:sz="4" w:space="0"/>
            </w:tcBorders>
            <w:vAlign w:val="center"/>
          </w:tcPr>
          <w:p w14:paraId="5169B93F">
            <w:pPr>
              <w:autoSpaceDE w:val="0"/>
              <w:spacing w:line="400" w:lineRule="exact"/>
              <w:rPr>
                <w:rFonts w:ascii="宋体" w:hAnsi="宋体"/>
                <w:sz w:val="24"/>
                <w:szCs w:val="24"/>
              </w:rPr>
            </w:pPr>
          </w:p>
        </w:tc>
        <w:tc>
          <w:tcPr>
            <w:tcW w:w="1176" w:type="dxa"/>
            <w:tcBorders>
              <w:top w:val="single" w:color="auto" w:sz="4" w:space="0"/>
              <w:left w:val="nil"/>
              <w:bottom w:val="single" w:color="auto" w:sz="4" w:space="0"/>
              <w:right w:val="single" w:color="auto" w:sz="4" w:space="0"/>
            </w:tcBorders>
            <w:vAlign w:val="center"/>
          </w:tcPr>
          <w:p w14:paraId="5682F13F">
            <w:pPr>
              <w:autoSpaceDE w:val="0"/>
              <w:spacing w:line="400" w:lineRule="exact"/>
              <w:rPr>
                <w:rFonts w:ascii="宋体" w:hAnsi="宋体"/>
                <w:sz w:val="24"/>
                <w:szCs w:val="24"/>
              </w:rPr>
            </w:pPr>
          </w:p>
        </w:tc>
        <w:tc>
          <w:tcPr>
            <w:tcW w:w="1195" w:type="dxa"/>
            <w:tcBorders>
              <w:top w:val="single" w:color="auto" w:sz="4" w:space="0"/>
              <w:left w:val="nil"/>
              <w:bottom w:val="single" w:color="auto" w:sz="4" w:space="0"/>
              <w:right w:val="single" w:color="auto" w:sz="4" w:space="0"/>
            </w:tcBorders>
            <w:vAlign w:val="center"/>
          </w:tcPr>
          <w:p w14:paraId="2085A672">
            <w:pPr>
              <w:autoSpaceDE w:val="0"/>
              <w:spacing w:line="400" w:lineRule="exact"/>
              <w:rPr>
                <w:rFonts w:ascii="宋体" w:hAnsi="宋体"/>
                <w:sz w:val="24"/>
                <w:szCs w:val="24"/>
              </w:rPr>
            </w:pPr>
          </w:p>
        </w:tc>
        <w:tc>
          <w:tcPr>
            <w:tcW w:w="1048" w:type="dxa"/>
            <w:tcBorders>
              <w:top w:val="single" w:color="auto" w:sz="4" w:space="0"/>
              <w:left w:val="nil"/>
              <w:bottom w:val="single" w:color="auto" w:sz="4" w:space="0"/>
              <w:right w:val="single" w:color="auto" w:sz="4" w:space="0"/>
            </w:tcBorders>
            <w:vAlign w:val="top"/>
          </w:tcPr>
          <w:p w14:paraId="1CC56B5C">
            <w:pPr>
              <w:autoSpaceDE w:val="0"/>
              <w:spacing w:line="400" w:lineRule="exact"/>
              <w:rPr>
                <w:rFonts w:ascii="宋体" w:hAnsi="宋体"/>
                <w:sz w:val="24"/>
                <w:szCs w:val="24"/>
              </w:rPr>
            </w:pPr>
          </w:p>
        </w:tc>
        <w:tc>
          <w:tcPr>
            <w:tcW w:w="918" w:type="dxa"/>
            <w:tcBorders>
              <w:top w:val="single" w:color="auto" w:sz="4" w:space="0"/>
              <w:left w:val="nil"/>
              <w:bottom w:val="single" w:color="auto" w:sz="4" w:space="0"/>
              <w:right w:val="single" w:color="auto" w:sz="4" w:space="0"/>
            </w:tcBorders>
            <w:vAlign w:val="top"/>
          </w:tcPr>
          <w:p w14:paraId="189F6D7E">
            <w:pPr>
              <w:autoSpaceDE w:val="0"/>
              <w:spacing w:line="400" w:lineRule="exact"/>
              <w:rPr>
                <w:rFonts w:ascii="宋体" w:hAnsi="宋体"/>
                <w:sz w:val="24"/>
                <w:szCs w:val="24"/>
              </w:rPr>
            </w:pPr>
          </w:p>
        </w:tc>
        <w:tc>
          <w:tcPr>
            <w:tcW w:w="713" w:type="dxa"/>
            <w:tcBorders>
              <w:top w:val="single" w:color="auto" w:sz="4" w:space="0"/>
              <w:left w:val="nil"/>
              <w:bottom w:val="single" w:color="auto" w:sz="4" w:space="0"/>
              <w:right w:val="single" w:color="auto" w:sz="4" w:space="0"/>
            </w:tcBorders>
            <w:vAlign w:val="top"/>
          </w:tcPr>
          <w:p w14:paraId="4C8C11A3">
            <w:pPr>
              <w:autoSpaceDE w:val="0"/>
              <w:spacing w:line="400" w:lineRule="exact"/>
              <w:rPr>
                <w:rFonts w:ascii="宋体" w:hAnsi="宋体"/>
                <w:sz w:val="24"/>
                <w:szCs w:val="24"/>
              </w:rPr>
            </w:pPr>
          </w:p>
        </w:tc>
        <w:tc>
          <w:tcPr>
            <w:tcW w:w="1034" w:type="dxa"/>
            <w:tcBorders>
              <w:top w:val="single" w:color="auto" w:sz="4" w:space="0"/>
              <w:left w:val="nil"/>
              <w:bottom w:val="single" w:color="auto" w:sz="4" w:space="0"/>
              <w:right w:val="single" w:color="auto" w:sz="4" w:space="0"/>
            </w:tcBorders>
            <w:vAlign w:val="center"/>
          </w:tcPr>
          <w:p w14:paraId="43AB6B8A">
            <w:pPr>
              <w:autoSpaceDE w:val="0"/>
              <w:spacing w:line="400" w:lineRule="exact"/>
              <w:rPr>
                <w:rFonts w:ascii="宋体" w:hAnsi="宋体"/>
                <w:sz w:val="24"/>
                <w:szCs w:val="24"/>
              </w:rPr>
            </w:pPr>
          </w:p>
        </w:tc>
        <w:tc>
          <w:tcPr>
            <w:tcW w:w="1005" w:type="dxa"/>
            <w:tcBorders>
              <w:top w:val="single" w:color="auto" w:sz="4" w:space="0"/>
              <w:left w:val="nil"/>
              <w:bottom w:val="single" w:color="auto" w:sz="4" w:space="0"/>
              <w:right w:val="single" w:color="auto" w:sz="4" w:space="0"/>
            </w:tcBorders>
            <w:vAlign w:val="center"/>
          </w:tcPr>
          <w:p w14:paraId="6DC9A8A0">
            <w:pPr>
              <w:autoSpaceDE w:val="0"/>
              <w:spacing w:line="400" w:lineRule="exact"/>
              <w:rPr>
                <w:rFonts w:ascii="宋体" w:hAnsi="宋体"/>
                <w:sz w:val="24"/>
                <w:szCs w:val="24"/>
              </w:rPr>
            </w:pPr>
          </w:p>
        </w:tc>
      </w:tr>
      <w:tr w14:paraId="1A8A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906" w:type="dxa"/>
            <w:gridSpan w:val="9"/>
            <w:tcBorders>
              <w:top w:val="single" w:color="auto" w:sz="4" w:space="0"/>
              <w:left w:val="single" w:color="auto" w:sz="4" w:space="0"/>
              <w:bottom w:val="single" w:color="auto" w:sz="4" w:space="0"/>
              <w:right w:val="single" w:color="auto" w:sz="4" w:space="0"/>
            </w:tcBorders>
            <w:vAlign w:val="center"/>
          </w:tcPr>
          <w:p w14:paraId="0BC81A5F">
            <w:pPr>
              <w:autoSpaceDE w:val="0"/>
              <w:spacing w:line="400" w:lineRule="exact"/>
              <w:rPr>
                <w:rFonts w:ascii="宋体" w:hAnsi="宋体"/>
                <w:sz w:val="24"/>
                <w:szCs w:val="24"/>
              </w:rPr>
            </w:pPr>
            <w:r>
              <w:rPr>
                <w:rFonts w:hint="eastAsia" w:ascii="宋体" w:hAnsi="宋体"/>
                <w:sz w:val="24"/>
                <w:szCs w:val="24"/>
              </w:rPr>
              <w:t xml:space="preserve">合同合计金额（人民币，大写） </w:t>
            </w:r>
            <w:r>
              <w:rPr>
                <w:rFonts w:hint="eastAsia" w:ascii="宋体" w:hAnsi="宋体"/>
                <w:sz w:val="24"/>
                <w:szCs w:val="24"/>
                <w:u w:val="single"/>
              </w:rPr>
              <w:t xml:space="preserve">                       </w:t>
            </w:r>
            <w:r>
              <w:rPr>
                <w:rFonts w:hint="eastAsia" w:ascii="宋体" w:hAnsi="宋体"/>
                <w:sz w:val="24"/>
                <w:szCs w:val="24"/>
              </w:rPr>
              <w:t>元整（¥</w:t>
            </w:r>
            <w:r>
              <w:rPr>
                <w:rFonts w:hint="eastAsia" w:ascii="宋体" w:hAnsi="宋体"/>
                <w:sz w:val="24"/>
                <w:szCs w:val="24"/>
                <w:u w:val="single"/>
              </w:rPr>
              <w:t xml:space="preserve">               </w:t>
            </w:r>
            <w:r>
              <w:rPr>
                <w:rFonts w:hint="eastAsia" w:ascii="宋体" w:hAnsi="宋体"/>
                <w:sz w:val="24"/>
                <w:szCs w:val="24"/>
              </w:rPr>
              <w:t>）</w:t>
            </w:r>
          </w:p>
        </w:tc>
      </w:tr>
    </w:tbl>
    <w:p w14:paraId="4B380A5B">
      <w:pPr>
        <w:autoSpaceDE w:val="0"/>
        <w:spacing w:line="400" w:lineRule="exact"/>
        <w:ind w:firstLine="480" w:firstLineChars="200"/>
        <w:rPr>
          <w:rFonts w:hint="eastAsia" w:ascii="宋体" w:hAnsi="宋体"/>
          <w:sz w:val="24"/>
          <w:szCs w:val="24"/>
        </w:rPr>
      </w:pPr>
      <w:r>
        <w:rPr>
          <w:rFonts w:hint="eastAsia" w:ascii="宋体" w:hAnsi="宋体"/>
          <w:sz w:val="24"/>
          <w:szCs w:val="24"/>
        </w:rPr>
        <w:t>2.合同合计金额包括</w:t>
      </w:r>
      <w:r>
        <w:rPr>
          <w:rFonts w:hint="eastAsia" w:ascii="宋体" w:hAnsi="宋体"/>
          <w:kern w:val="0"/>
          <w:sz w:val="24"/>
          <w:szCs w:val="24"/>
        </w:rPr>
        <w:t>货物到达甲方并能正常使用所需的一切费用，包括但不限于</w:t>
      </w:r>
      <w:r>
        <w:rPr>
          <w:rFonts w:hint="eastAsia" w:ascii="宋体" w:hAnsi="宋体"/>
          <w:sz w:val="24"/>
          <w:szCs w:val="24"/>
        </w:rPr>
        <w:t>采购货物的</w:t>
      </w:r>
      <w:r>
        <w:rPr>
          <w:rFonts w:hint="eastAsia" w:ascii="宋体" w:hAnsi="宋体"/>
          <w:kern w:val="0"/>
          <w:sz w:val="24"/>
          <w:szCs w:val="24"/>
        </w:rPr>
        <w:t>货物购置费、</w:t>
      </w:r>
      <w:r>
        <w:rPr>
          <w:rFonts w:hint="eastAsia" w:ascii="宋体" w:hAnsi="宋体"/>
          <w:sz w:val="24"/>
          <w:szCs w:val="24"/>
        </w:rPr>
        <w:t>质保费、售后服务费及将货物运至指定地点所发生的运输费、装卸费、安装调试费、人工费等货物伴随服务的费用以及辅助服务费用、</w:t>
      </w:r>
      <w:r>
        <w:rPr>
          <w:rFonts w:hint="eastAsia" w:ascii="宋体" w:hAnsi="宋体"/>
          <w:kern w:val="0"/>
          <w:sz w:val="24"/>
          <w:szCs w:val="24"/>
        </w:rPr>
        <w:t>包装费、保险费、技术服务费、培训费、保修费</w:t>
      </w:r>
      <w:r>
        <w:rPr>
          <w:rFonts w:hint="eastAsia" w:ascii="宋体" w:hAnsi="宋体"/>
          <w:sz w:val="24"/>
          <w:szCs w:val="24"/>
        </w:rPr>
        <w:t>和所需缴纳的一切相关税、费</w:t>
      </w:r>
      <w:r>
        <w:rPr>
          <w:rFonts w:hint="eastAsia" w:ascii="宋体" w:hAnsi="宋体"/>
          <w:kern w:val="0"/>
          <w:sz w:val="24"/>
          <w:szCs w:val="24"/>
        </w:rPr>
        <w:t>等。</w:t>
      </w:r>
    </w:p>
    <w:p w14:paraId="13B9F8C1">
      <w:pPr>
        <w:autoSpaceDE w:val="0"/>
        <w:spacing w:line="400" w:lineRule="exact"/>
        <w:ind w:firstLine="480" w:firstLineChars="200"/>
        <w:rPr>
          <w:rFonts w:hint="eastAsia" w:ascii="宋体" w:hAnsi="宋体"/>
          <w:sz w:val="24"/>
          <w:szCs w:val="24"/>
        </w:rPr>
      </w:pPr>
      <w:r>
        <w:rPr>
          <w:rFonts w:hint="eastAsia" w:ascii="宋体" w:hAnsi="宋体"/>
          <w:sz w:val="24"/>
          <w:szCs w:val="24"/>
        </w:rPr>
        <w:t>第二条 质量保证</w:t>
      </w:r>
    </w:p>
    <w:p w14:paraId="4DCB4BCF">
      <w:pPr>
        <w:autoSpaceDE w:val="0"/>
        <w:spacing w:line="400" w:lineRule="exact"/>
        <w:ind w:firstLine="480" w:firstLineChars="200"/>
        <w:rPr>
          <w:rFonts w:hint="eastAsia" w:ascii="宋体" w:hAnsi="宋体"/>
          <w:sz w:val="24"/>
          <w:szCs w:val="24"/>
        </w:rPr>
      </w:pPr>
      <w:r>
        <w:rPr>
          <w:rFonts w:hint="eastAsia" w:ascii="宋体" w:hAnsi="宋体"/>
          <w:sz w:val="24"/>
          <w:szCs w:val="24"/>
        </w:rPr>
        <w:t>1.乙方所提供的产品名称、商标品牌、生产厂家、规格型号、技术参数、质量等必须与招标文件规定、投标文件及承诺相一致，并符合国家标准和行业标准对货物质量的规定。未制定国家标准、行业标准的，按照通常标准或者符合合同目的的特定标准确定，符合保障人体健康和人身、财产安全的要求。</w:t>
      </w:r>
    </w:p>
    <w:p w14:paraId="741BE740">
      <w:pPr>
        <w:autoSpaceDE w:val="0"/>
        <w:spacing w:line="400" w:lineRule="exact"/>
        <w:ind w:firstLine="480" w:firstLineChars="200"/>
        <w:rPr>
          <w:rFonts w:hint="eastAsia" w:ascii="宋体" w:hAnsi="宋体"/>
          <w:sz w:val="24"/>
          <w:szCs w:val="24"/>
        </w:rPr>
      </w:pPr>
      <w:r>
        <w:rPr>
          <w:rFonts w:hint="eastAsia" w:ascii="宋体" w:hAnsi="宋体"/>
          <w:sz w:val="24"/>
          <w:szCs w:val="24"/>
        </w:rPr>
        <w:t>乙方提供的节能和环保产品必须是列入政府采购品目清单的产品。</w:t>
      </w:r>
    </w:p>
    <w:p w14:paraId="3C43AB3A">
      <w:pPr>
        <w:autoSpaceDE w:val="0"/>
        <w:spacing w:line="400" w:lineRule="exact"/>
        <w:ind w:firstLine="480" w:firstLineChars="200"/>
        <w:rPr>
          <w:rFonts w:hint="eastAsia" w:ascii="宋体" w:hAnsi="宋体"/>
          <w:sz w:val="24"/>
          <w:szCs w:val="24"/>
          <w:u w:val="single"/>
        </w:rPr>
      </w:pPr>
      <w:r>
        <w:rPr>
          <w:rFonts w:hint="eastAsia" w:ascii="宋体" w:hAnsi="宋体"/>
          <w:sz w:val="24"/>
          <w:szCs w:val="24"/>
        </w:rPr>
        <w:t>2.乙方所提供的货物必须是全新、未使用的原装产品，且在正常安装、使用和保养条件下，其使用寿命期内各项指标均达到招标文件规定或者投标文件及承诺的质量要求。</w:t>
      </w:r>
    </w:p>
    <w:p w14:paraId="2A851BE8">
      <w:pPr>
        <w:autoSpaceDE w:val="0"/>
        <w:spacing w:line="400" w:lineRule="exact"/>
        <w:ind w:firstLine="480" w:firstLineChars="200"/>
        <w:rPr>
          <w:rFonts w:hint="eastAsia" w:ascii="宋体" w:hAnsi="宋体"/>
          <w:sz w:val="24"/>
          <w:szCs w:val="24"/>
        </w:rPr>
      </w:pPr>
      <w:r>
        <w:rPr>
          <w:rFonts w:hint="eastAsia" w:ascii="宋体" w:hAnsi="宋体"/>
          <w:sz w:val="24"/>
          <w:szCs w:val="24"/>
        </w:rPr>
        <w:t>第三条 权利保证</w:t>
      </w:r>
    </w:p>
    <w:p w14:paraId="2A59F5CF">
      <w:pPr>
        <w:autoSpaceDE w:val="0"/>
        <w:spacing w:line="400" w:lineRule="exact"/>
        <w:ind w:firstLine="480" w:firstLineChars="200"/>
        <w:rPr>
          <w:rFonts w:hint="eastAsia" w:ascii="宋体" w:hAnsi="宋体"/>
          <w:kern w:val="0"/>
          <w:sz w:val="24"/>
          <w:szCs w:val="24"/>
        </w:rPr>
      </w:pPr>
      <w:r>
        <w:rPr>
          <w:rFonts w:hint="eastAsia" w:ascii="宋体" w:hAnsi="宋体"/>
          <w:sz w:val="24"/>
          <w:szCs w:val="24"/>
        </w:rPr>
        <w:t>1.乙方应保证所提供货物在使用时不会侵犯任何第三方的专利权、商标权、工业设计权或者其他权利。</w:t>
      </w:r>
      <w:r>
        <w:rPr>
          <w:rFonts w:hint="eastAsia" w:ascii="宋体" w:hAnsi="宋体"/>
          <w:kern w:val="0"/>
          <w:sz w:val="24"/>
          <w:szCs w:val="24"/>
        </w:rPr>
        <w:t>如乙方违反上述规定，则乙方应负责消除甲方拥有并使用乙方交付的货物、软件、技术资料等所存在的全部法律障碍，并赔偿甲方的损失。</w:t>
      </w:r>
      <w:r>
        <w:rPr>
          <w:rFonts w:hint="eastAsia" w:ascii="宋体" w:hAnsi="宋体"/>
          <w:sz w:val="24"/>
          <w:szCs w:val="24"/>
        </w:rPr>
        <w:t>如甲方因使用乙方交付的货物构成侵权的，则由乙方承担全部责任。</w:t>
      </w:r>
    </w:p>
    <w:p w14:paraId="72565573">
      <w:pPr>
        <w:autoSpaceDE w:val="0"/>
        <w:spacing w:line="400" w:lineRule="exact"/>
        <w:ind w:firstLine="480" w:firstLineChars="200"/>
        <w:rPr>
          <w:rFonts w:hint="eastAsia" w:ascii="宋体" w:hAnsi="宋体"/>
          <w:sz w:val="24"/>
          <w:szCs w:val="24"/>
        </w:rPr>
      </w:pPr>
      <w:r>
        <w:rPr>
          <w:rFonts w:hint="eastAsia" w:ascii="宋体" w:hAnsi="宋体"/>
          <w:sz w:val="24"/>
          <w:szCs w:val="24"/>
        </w:rPr>
        <w:t>2.乙方应按招标文件规定或者投标文件承诺的时间向甲方提供使用货物的有关技术资料。</w:t>
      </w:r>
    </w:p>
    <w:p w14:paraId="0F70BDE1">
      <w:pPr>
        <w:autoSpaceDE w:val="0"/>
        <w:spacing w:line="400" w:lineRule="exact"/>
        <w:ind w:firstLine="480" w:firstLineChars="200"/>
        <w:rPr>
          <w:rFonts w:hint="eastAsia" w:ascii="宋体" w:hAnsi="宋体"/>
          <w:sz w:val="24"/>
          <w:szCs w:val="24"/>
        </w:rPr>
      </w:pPr>
      <w:r>
        <w:rPr>
          <w:rFonts w:hint="eastAsia" w:ascii="宋体" w:hAnsi="宋体"/>
          <w:sz w:val="24"/>
          <w:szCs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379E9851">
      <w:pPr>
        <w:autoSpaceDE w:val="0"/>
        <w:spacing w:line="400" w:lineRule="exact"/>
        <w:ind w:firstLine="480" w:firstLineChars="200"/>
        <w:rPr>
          <w:rFonts w:hint="eastAsia" w:ascii="宋体" w:hAnsi="宋体"/>
          <w:sz w:val="24"/>
          <w:szCs w:val="24"/>
        </w:rPr>
      </w:pPr>
      <w:r>
        <w:rPr>
          <w:rFonts w:hint="eastAsia" w:ascii="宋体" w:hAnsi="宋体"/>
          <w:sz w:val="24"/>
          <w:szCs w:val="24"/>
        </w:rPr>
        <w:t>4.乙方保证将要交付的货物的所有权完全属于乙方且无任何抵押、质押、查封等产权瑕疵。</w:t>
      </w:r>
    </w:p>
    <w:p w14:paraId="24594B44">
      <w:pPr>
        <w:autoSpaceDE w:val="0"/>
        <w:spacing w:line="400" w:lineRule="exact"/>
        <w:ind w:firstLine="480" w:firstLineChars="200"/>
        <w:rPr>
          <w:rFonts w:hint="eastAsia" w:ascii="宋体" w:hAnsi="宋体"/>
          <w:sz w:val="24"/>
          <w:szCs w:val="24"/>
        </w:rPr>
      </w:pPr>
      <w:r>
        <w:rPr>
          <w:rFonts w:hint="eastAsia" w:ascii="宋体" w:hAnsi="宋体"/>
          <w:sz w:val="24"/>
          <w:szCs w:val="24"/>
        </w:rPr>
        <w:t xml:space="preserve"> 第四条 包装和运输</w:t>
      </w:r>
    </w:p>
    <w:p w14:paraId="03D038E3">
      <w:pPr>
        <w:autoSpaceDE w:val="0"/>
        <w:spacing w:line="400" w:lineRule="exact"/>
        <w:ind w:firstLine="480" w:firstLineChars="200"/>
        <w:rPr>
          <w:rFonts w:hint="eastAsia" w:ascii="宋体" w:hAnsi="宋体"/>
          <w:sz w:val="24"/>
          <w:szCs w:val="24"/>
        </w:rPr>
      </w:pPr>
      <w:r>
        <w:rPr>
          <w:rFonts w:hint="eastAsia" w:ascii="宋体" w:hAnsi="宋体"/>
          <w:sz w:val="24"/>
          <w:szCs w:val="24"/>
        </w:rPr>
        <w:t>1.乙方提供的货物均应按招标文件规定或者投标文件承诺的要求的包装材料、包装标准、包装方式进行包装，有原厂家包装的均应采用原厂家包装，每一包装单元内应附详细的装箱单和质量合格证。</w:t>
      </w:r>
    </w:p>
    <w:p w14:paraId="62ABA8EC">
      <w:pPr>
        <w:autoSpaceDE w:val="0"/>
        <w:spacing w:line="400" w:lineRule="exact"/>
        <w:ind w:firstLine="480" w:firstLineChars="200"/>
        <w:rPr>
          <w:rFonts w:hint="eastAsia" w:ascii="宋体" w:hAnsi="宋体"/>
          <w:sz w:val="24"/>
          <w:szCs w:val="24"/>
        </w:rPr>
      </w:pPr>
      <w:r>
        <w:rPr>
          <w:rFonts w:hint="eastAsia" w:ascii="宋体" w:hAnsi="宋体"/>
          <w:sz w:val="24"/>
          <w:szCs w:val="24"/>
        </w:rPr>
        <w:t>2.货物的运输方式：</w:t>
      </w:r>
      <w:r>
        <w:rPr>
          <w:rFonts w:hint="eastAsia" w:ascii="宋体" w:hAnsi="宋体"/>
          <w:sz w:val="24"/>
          <w:szCs w:val="24"/>
          <w:u w:val="single"/>
        </w:rPr>
        <w:t>不限</w:t>
      </w:r>
      <w:r>
        <w:rPr>
          <w:rFonts w:hint="eastAsia" w:ascii="宋体" w:hAnsi="宋体"/>
          <w:sz w:val="24"/>
          <w:szCs w:val="24"/>
        </w:rPr>
        <w:t>，乙方应采用保证货物安全的运输方式进行运输，运费、装卸费等由乙方承担，由于包装或运输不当所造成的损坏或损失均由乙方承担。</w:t>
      </w:r>
    </w:p>
    <w:p w14:paraId="3BF1081C">
      <w:pPr>
        <w:autoSpaceDE w:val="0"/>
        <w:spacing w:line="400" w:lineRule="exact"/>
        <w:ind w:firstLine="480" w:firstLineChars="200"/>
        <w:rPr>
          <w:rFonts w:hint="eastAsia" w:ascii="宋体" w:hAnsi="宋体"/>
          <w:sz w:val="24"/>
          <w:szCs w:val="24"/>
        </w:rPr>
      </w:pPr>
      <w:r>
        <w:rPr>
          <w:rFonts w:hint="eastAsia" w:ascii="宋体" w:hAnsi="宋体"/>
          <w:sz w:val="24"/>
          <w:szCs w:val="24"/>
        </w:rPr>
        <w:t>3.货物的包装应适于长途运输和反复装卸，并且乙方应根据货物不同的特性和要求采取防潮、防雨、防锈、防震、防腐等保护措施，以保证货物安全无损地到达甲方指定地点。</w:t>
      </w:r>
    </w:p>
    <w:p w14:paraId="009D8546">
      <w:pPr>
        <w:autoSpaceDE w:val="0"/>
        <w:spacing w:line="400" w:lineRule="exact"/>
        <w:ind w:firstLine="480" w:firstLineChars="200"/>
        <w:rPr>
          <w:rFonts w:hint="eastAsia" w:ascii="宋体" w:hAnsi="宋体"/>
          <w:sz w:val="24"/>
          <w:szCs w:val="24"/>
        </w:rPr>
      </w:pPr>
      <w:r>
        <w:rPr>
          <w:rFonts w:hint="eastAsia" w:ascii="宋体" w:hAnsi="宋体"/>
          <w:sz w:val="24"/>
          <w:szCs w:val="24"/>
        </w:rPr>
        <w:t>4.乙方在货物发运手续办理完毕后24小时内或者货到甲方48小时前通知甲方，以准备接货。</w:t>
      </w:r>
    </w:p>
    <w:p w14:paraId="7CF925B0">
      <w:pPr>
        <w:autoSpaceDE w:val="0"/>
        <w:spacing w:line="400" w:lineRule="exact"/>
        <w:ind w:firstLine="480" w:firstLineChars="200"/>
        <w:rPr>
          <w:rFonts w:hint="eastAsia" w:ascii="宋体" w:hAnsi="宋体"/>
          <w:sz w:val="24"/>
          <w:szCs w:val="24"/>
        </w:rPr>
      </w:pPr>
      <w:r>
        <w:rPr>
          <w:rFonts w:hint="eastAsia" w:ascii="宋体" w:hAnsi="宋体"/>
          <w:sz w:val="24"/>
          <w:szCs w:val="24"/>
        </w:rPr>
        <w:t>5.货物应在规定的交付期限内由乙方送达甲方指定的地点，乙方同时需通知甲方货物已送达。</w:t>
      </w:r>
    </w:p>
    <w:p w14:paraId="527D220E">
      <w:pPr>
        <w:autoSpaceDE w:val="0"/>
        <w:spacing w:line="400" w:lineRule="exact"/>
        <w:ind w:firstLine="480" w:firstLineChars="200"/>
        <w:rPr>
          <w:rFonts w:hint="eastAsia" w:ascii="宋体" w:hAnsi="宋体"/>
          <w:sz w:val="24"/>
          <w:szCs w:val="24"/>
        </w:rPr>
      </w:pPr>
      <w:r>
        <w:rPr>
          <w:rFonts w:hint="eastAsia" w:ascii="宋体" w:hAnsi="宋体"/>
          <w:sz w:val="24"/>
          <w:szCs w:val="24"/>
        </w:rPr>
        <w:t>第五条 交付和验收</w:t>
      </w:r>
    </w:p>
    <w:p w14:paraId="4AE44878">
      <w:pPr>
        <w:autoSpaceDE w:val="0"/>
        <w:spacing w:line="400" w:lineRule="exact"/>
        <w:ind w:firstLine="480" w:firstLineChars="200"/>
        <w:rPr>
          <w:rFonts w:hint="eastAsia" w:ascii="宋体" w:hAnsi="宋体"/>
          <w:sz w:val="24"/>
          <w:szCs w:val="24"/>
          <w:highlight w:val="none"/>
        </w:rPr>
      </w:pPr>
      <w:r>
        <w:rPr>
          <w:rFonts w:hint="eastAsia" w:ascii="宋体" w:hAnsi="宋体"/>
          <w:sz w:val="24"/>
          <w:szCs w:val="24"/>
        </w:rPr>
        <w:t>1.交付时间</w:t>
      </w:r>
      <w:r>
        <w:rPr>
          <w:rFonts w:hint="eastAsia" w:ascii="宋体" w:hAnsi="宋体"/>
          <w:sz w:val="24"/>
          <w:szCs w:val="24"/>
          <w:highlight w:val="none"/>
          <w:u w:val="single"/>
        </w:rPr>
        <w:t>：营养盐在线分析仪自签订合同</w:t>
      </w:r>
      <w:r>
        <w:rPr>
          <w:rFonts w:hint="eastAsia" w:ascii="宋体" w:hAnsi="宋体"/>
          <w:sz w:val="24"/>
          <w:szCs w:val="24"/>
          <w:highlight w:val="none"/>
          <w:u w:val="single"/>
          <w:lang w:eastAsia="zh-CN"/>
        </w:rPr>
        <w:t>之日起95个日历日</w:t>
      </w:r>
      <w:r>
        <w:rPr>
          <w:rFonts w:hint="eastAsia" w:ascii="宋体" w:hAnsi="宋体"/>
          <w:sz w:val="24"/>
          <w:szCs w:val="24"/>
          <w:highlight w:val="none"/>
          <w:u w:val="single"/>
        </w:rPr>
        <w:t>内完成安装、调试，通过验收并交付使用，微波消解仪、碳元素分析仪、温盐深仪、监测采样手持终端自签订合同之日起30个日历日内完成安装、调试，通过验收并交付使用。</w:t>
      </w:r>
    </w:p>
    <w:p w14:paraId="663D01F4">
      <w:pPr>
        <w:autoSpaceDE w:val="0"/>
        <w:spacing w:line="400" w:lineRule="exact"/>
        <w:ind w:firstLine="480" w:firstLineChars="200"/>
        <w:rPr>
          <w:rFonts w:hint="eastAsia" w:ascii="宋体" w:hAnsi="宋体"/>
          <w:sz w:val="24"/>
          <w:szCs w:val="24"/>
        </w:rPr>
      </w:pPr>
      <w:r>
        <w:rPr>
          <w:rFonts w:hint="eastAsia" w:ascii="宋体" w:hAnsi="宋体"/>
          <w:sz w:val="24"/>
          <w:szCs w:val="24"/>
        </w:rPr>
        <w:t>2.交付地点：</w:t>
      </w:r>
      <w:r>
        <w:rPr>
          <w:rFonts w:hint="eastAsia" w:ascii="宋体" w:hAnsi="宋体"/>
          <w:sz w:val="24"/>
          <w:szCs w:val="24"/>
          <w:u w:val="single"/>
        </w:rPr>
        <w:t xml:space="preserve"> 采购单位指定地点 </w:t>
      </w:r>
      <w:r>
        <w:rPr>
          <w:rFonts w:hint="eastAsia" w:ascii="宋体" w:hAnsi="宋体"/>
          <w:sz w:val="24"/>
          <w:szCs w:val="24"/>
        </w:rPr>
        <w:t>。</w:t>
      </w:r>
    </w:p>
    <w:p w14:paraId="7DB49127">
      <w:pPr>
        <w:autoSpaceDE w:val="0"/>
        <w:spacing w:line="400" w:lineRule="exact"/>
        <w:ind w:firstLine="480" w:firstLineChars="200"/>
        <w:rPr>
          <w:rFonts w:hint="eastAsia" w:ascii="宋体" w:hAnsi="宋体"/>
          <w:kern w:val="10"/>
          <w:sz w:val="24"/>
          <w:szCs w:val="24"/>
        </w:rPr>
      </w:pPr>
      <w:r>
        <w:rPr>
          <w:rFonts w:hint="eastAsia" w:ascii="宋体" w:hAnsi="宋体"/>
          <w:sz w:val="24"/>
          <w:szCs w:val="24"/>
        </w:rPr>
        <w:t>3.本合同中所称的交付，指货物安装调试完毕后的交付。如</w:t>
      </w:r>
      <w:r>
        <w:rPr>
          <w:rFonts w:hint="eastAsia" w:ascii="宋体" w:hAnsi="宋体"/>
          <w:kern w:val="10"/>
          <w:sz w:val="24"/>
          <w:szCs w:val="24"/>
        </w:rPr>
        <w:t>无需安装调试，货物运至甲方指定地点，甲方或甲方指定的第三人签署接收单后即为交付。</w:t>
      </w:r>
    </w:p>
    <w:p w14:paraId="78F203BF">
      <w:pPr>
        <w:autoSpaceDE w:val="0"/>
        <w:spacing w:line="400" w:lineRule="exact"/>
        <w:ind w:firstLine="480" w:firstLineChars="200"/>
        <w:rPr>
          <w:rFonts w:hint="eastAsia" w:ascii="宋体" w:hAnsi="宋体"/>
          <w:sz w:val="24"/>
          <w:szCs w:val="24"/>
        </w:rPr>
      </w:pPr>
      <w:r>
        <w:rPr>
          <w:rFonts w:hint="eastAsia" w:ascii="宋体" w:hAnsi="宋体"/>
          <w:sz w:val="24"/>
          <w:szCs w:val="24"/>
        </w:rPr>
        <w:t>4.乙方提供不符合招标文件规定或者投标文件承诺的和本合同规定的货物，甲方有权拒绝接受。</w:t>
      </w:r>
    </w:p>
    <w:p w14:paraId="1B1F8977">
      <w:pPr>
        <w:autoSpaceDE w:val="0"/>
        <w:spacing w:line="400" w:lineRule="exact"/>
        <w:ind w:firstLine="480" w:firstLineChars="200"/>
        <w:rPr>
          <w:rFonts w:hint="eastAsia" w:ascii="宋体" w:hAnsi="宋体"/>
          <w:sz w:val="24"/>
          <w:szCs w:val="24"/>
        </w:rPr>
      </w:pPr>
      <w:r>
        <w:rPr>
          <w:rFonts w:hint="eastAsia" w:ascii="宋体" w:hAnsi="宋体"/>
          <w:sz w:val="24"/>
          <w:szCs w:val="24"/>
        </w:rPr>
        <w:t>5.</w:t>
      </w:r>
      <w:r>
        <w:rPr>
          <w:rFonts w:hint="eastAsia" w:ascii="宋体" w:hAnsi="宋体"/>
          <w:kern w:val="0"/>
          <w:sz w:val="24"/>
          <w:szCs w:val="24"/>
        </w:rPr>
        <w:t>乙方在交付货物的同时需向甲方提供有关货物的附随资料，包括但不限于：</w:t>
      </w:r>
      <w:r>
        <w:rPr>
          <w:rFonts w:hint="eastAsia" w:ascii="宋体" w:hAnsi="宋体"/>
          <w:sz w:val="24"/>
          <w:szCs w:val="24"/>
        </w:rPr>
        <w:t>货物目录、装箱清单、用户手册、质量合格证书、质保证书、</w:t>
      </w:r>
      <w:r>
        <w:rPr>
          <w:rFonts w:hint="eastAsia" w:ascii="宋体" w:hAnsi="宋体"/>
          <w:kern w:val="0"/>
          <w:sz w:val="24"/>
          <w:szCs w:val="24"/>
        </w:rPr>
        <w:t>安装图纸、使用说明书、技术资料、</w:t>
      </w:r>
      <w:r>
        <w:rPr>
          <w:rFonts w:hint="eastAsia" w:ascii="宋体" w:hAnsi="宋体"/>
          <w:sz w:val="24"/>
          <w:szCs w:val="24"/>
        </w:rPr>
        <w:t>原厂保修卡、工具和备品、备件等，货物属于进口产品的，供货时应同时附上货物原装进口的有关凭证和中文使用说明书，如有缺失应在合理的规定时间内补齐，否则视为逾期交货。</w:t>
      </w:r>
    </w:p>
    <w:p w14:paraId="70D0DF53">
      <w:pPr>
        <w:autoSpaceDE w:val="0"/>
        <w:spacing w:line="400" w:lineRule="exact"/>
        <w:ind w:firstLine="480" w:firstLineChars="200"/>
        <w:rPr>
          <w:rFonts w:hint="eastAsia" w:ascii="宋体" w:hAnsi="宋体"/>
          <w:sz w:val="24"/>
          <w:szCs w:val="24"/>
        </w:rPr>
      </w:pPr>
      <w:r>
        <w:rPr>
          <w:rFonts w:hint="eastAsia" w:ascii="宋体" w:hAnsi="宋体"/>
          <w:sz w:val="24"/>
          <w:szCs w:val="24"/>
        </w:rPr>
        <w:t>6.货物需要安装调试的，</w:t>
      </w:r>
      <w:r>
        <w:rPr>
          <w:rFonts w:hint="eastAsia" w:ascii="宋体" w:hAnsi="宋体"/>
          <w:kern w:val="10"/>
          <w:sz w:val="24"/>
          <w:szCs w:val="24"/>
        </w:rPr>
        <w:t>乙方应在货物运到甲方指定地点后</w:t>
      </w:r>
      <w:r>
        <w:rPr>
          <w:rFonts w:hint="eastAsia" w:ascii="宋体" w:hAnsi="宋体"/>
          <w:sz w:val="24"/>
          <w:szCs w:val="24"/>
        </w:rPr>
        <w:t>3</w:t>
      </w:r>
      <w:r>
        <w:rPr>
          <w:rFonts w:hint="eastAsia" w:ascii="宋体" w:hAnsi="宋体"/>
          <w:kern w:val="10"/>
          <w:sz w:val="24"/>
          <w:szCs w:val="24"/>
        </w:rPr>
        <w:t>个工作日内</w:t>
      </w:r>
      <w:r>
        <w:rPr>
          <w:rFonts w:hint="eastAsia" w:ascii="宋体" w:hAnsi="宋体"/>
          <w:kern w:val="0"/>
          <w:sz w:val="24"/>
          <w:szCs w:val="24"/>
        </w:rPr>
        <w:t>，按照甲方的要求完成货物的安装调试</w:t>
      </w:r>
      <w:r>
        <w:rPr>
          <w:rFonts w:hint="eastAsia" w:ascii="宋体" w:hAnsi="宋体"/>
          <w:kern w:val="10"/>
          <w:sz w:val="24"/>
          <w:szCs w:val="24"/>
        </w:rPr>
        <w:t>并向甲方交付。</w:t>
      </w:r>
    </w:p>
    <w:p w14:paraId="025A8D92">
      <w:pPr>
        <w:autoSpaceDE w:val="0"/>
        <w:spacing w:line="400" w:lineRule="exact"/>
        <w:ind w:firstLine="480" w:firstLineChars="200"/>
        <w:rPr>
          <w:rFonts w:hint="eastAsia" w:ascii="宋体" w:hAnsi="宋体"/>
          <w:sz w:val="24"/>
          <w:szCs w:val="24"/>
        </w:rPr>
      </w:pPr>
      <w:r>
        <w:rPr>
          <w:rFonts w:hint="eastAsia" w:ascii="宋体" w:hAnsi="宋体"/>
          <w:sz w:val="24"/>
          <w:szCs w:val="24"/>
        </w:rPr>
        <w:t>7.甲方应当在到货（安装、调试完）后七个工作日内进行验收，逾期不验收的，乙方可视同验收合格。验收合格后由甲乙双方签署货物验收合格单并加盖甲方公章，甲乙双方各执一份。</w:t>
      </w:r>
    </w:p>
    <w:p w14:paraId="3C45F512">
      <w:pPr>
        <w:autoSpaceDE w:val="0"/>
        <w:spacing w:line="400" w:lineRule="exact"/>
        <w:ind w:firstLine="480" w:firstLineChars="200"/>
        <w:rPr>
          <w:rFonts w:hint="eastAsia" w:ascii="宋体" w:hAnsi="宋体"/>
          <w:sz w:val="24"/>
          <w:szCs w:val="24"/>
        </w:rPr>
      </w:pPr>
      <w:r>
        <w:rPr>
          <w:rFonts w:hint="eastAsia" w:ascii="宋体" w:hAnsi="宋体"/>
          <w:sz w:val="24"/>
          <w:szCs w:val="24"/>
        </w:rPr>
        <w:t>8.甲方对乙方提交的货物依据招标文件上的技术规格要求、投标文件及承诺、国家有关质量标准进行现场初步验收，外观、说明书符合要求的，给予签收，初步验收不合格的不予签收。</w:t>
      </w:r>
    </w:p>
    <w:p w14:paraId="20D0B0E1">
      <w:pPr>
        <w:autoSpaceDE w:val="0"/>
        <w:spacing w:line="400" w:lineRule="exact"/>
        <w:ind w:firstLine="480" w:firstLineChars="200"/>
        <w:rPr>
          <w:rFonts w:hint="eastAsia" w:ascii="宋体" w:hAnsi="宋体"/>
          <w:sz w:val="24"/>
          <w:szCs w:val="24"/>
        </w:rPr>
      </w:pPr>
      <w:r>
        <w:rPr>
          <w:rFonts w:hint="eastAsia" w:ascii="宋体" w:hAnsi="宋体"/>
          <w:sz w:val="24"/>
          <w:szCs w:val="24"/>
        </w:rPr>
        <w:t>9.乙方交货前应对货物作出全面检查和对验收文件进行整理，并列出清单，作为甲方收货验收和使用的技术条件依据，检验的结果应随货物交甲方。</w:t>
      </w:r>
    </w:p>
    <w:p w14:paraId="5140F9DD">
      <w:pPr>
        <w:autoSpaceDE w:val="0"/>
        <w:spacing w:line="400" w:lineRule="exact"/>
        <w:ind w:firstLine="480" w:firstLineChars="200"/>
        <w:rPr>
          <w:rFonts w:hint="eastAsia" w:ascii="宋体" w:hAnsi="宋体"/>
          <w:sz w:val="24"/>
          <w:szCs w:val="24"/>
        </w:rPr>
      </w:pPr>
      <w:r>
        <w:rPr>
          <w:rFonts w:hint="eastAsia" w:ascii="宋体" w:hAnsi="宋体"/>
          <w:sz w:val="24"/>
          <w:szCs w:val="24"/>
        </w:rPr>
        <w:t>10.甲方对乙方提供的货物在使用前进行调试时，乙方需负责安装并培训甲方的使用操作人员，并协助甲方一起调试，直到符合技术要求，甲方才做最终验收。</w:t>
      </w:r>
    </w:p>
    <w:p w14:paraId="47FCDCDA">
      <w:pPr>
        <w:autoSpaceDE w:val="0"/>
        <w:spacing w:line="400" w:lineRule="exact"/>
        <w:ind w:firstLine="480" w:firstLineChars="200"/>
        <w:rPr>
          <w:rFonts w:hint="eastAsia" w:ascii="宋体" w:hAnsi="宋体"/>
          <w:sz w:val="24"/>
          <w:szCs w:val="24"/>
        </w:rPr>
      </w:pPr>
      <w:r>
        <w:rPr>
          <w:rFonts w:hint="eastAsia" w:ascii="宋体" w:hAnsi="宋体"/>
          <w:sz w:val="24"/>
          <w:szCs w:val="24"/>
        </w:rPr>
        <w:t>11.对技术复杂的货物，甲方应请国家认可的专业检测机构参与初步验收及最终验收，并由其出具质量检测报告。</w:t>
      </w:r>
    </w:p>
    <w:p w14:paraId="3AEE98B4">
      <w:pPr>
        <w:autoSpaceDE w:val="0"/>
        <w:spacing w:line="400" w:lineRule="exact"/>
        <w:ind w:firstLine="480" w:firstLineChars="200"/>
        <w:rPr>
          <w:rFonts w:hint="eastAsia" w:ascii="宋体" w:hAnsi="宋体"/>
          <w:sz w:val="24"/>
          <w:szCs w:val="24"/>
        </w:rPr>
      </w:pPr>
      <w:r>
        <w:rPr>
          <w:rFonts w:hint="eastAsia" w:ascii="宋体" w:hAnsi="宋体"/>
          <w:sz w:val="24"/>
          <w:szCs w:val="24"/>
        </w:rPr>
        <w:t>12.验收时乙方必须在现场，验收完毕后作出验收结果报告；验收费用由乙方负责承担。</w:t>
      </w:r>
    </w:p>
    <w:p w14:paraId="073F7260">
      <w:pPr>
        <w:autoSpaceDE w:val="0"/>
        <w:spacing w:line="400" w:lineRule="exact"/>
        <w:ind w:firstLine="480" w:firstLineChars="200"/>
        <w:rPr>
          <w:rFonts w:hint="eastAsia" w:ascii="宋体" w:hAnsi="宋体"/>
          <w:sz w:val="24"/>
          <w:szCs w:val="24"/>
        </w:rPr>
      </w:pPr>
      <w:r>
        <w:rPr>
          <w:rFonts w:hint="eastAsia" w:ascii="宋体" w:hAnsi="宋体"/>
          <w:sz w:val="24"/>
          <w:szCs w:val="24"/>
        </w:rPr>
        <w:t>13.甲方在验收过程中发现乙方提供的货物不满足招标文件、投标文件及合同规定的，可暂缓资金结算，直到乙方及时改正并经甲方验收合格后，方可办理资金结算事宜。</w:t>
      </w:r>
    </w:p>
    <w:p w14:paraId="0CE6F8B4">
      <w:pPr>
        <w:autoSpaceDE w:val="0"/>
        <w:spacing w:line="400" w:lineRule="exact"/>
        <w:ind w:firstLine="480" w:firstLineChars="200"/>
        <w:rPr>
          <w:rFonts w:hint="eastAsia" w:ascii="宋体" w:hAnsi="宋体"/>
          <w:sz w:val="24"/>
          <w:szCs w:val="24"/>
        </w:rPr>
      </w:pPr>
      <w:r>
        <w:rPr>
          <w:rFonts w:hint="eastAsia" w:ascii="宋体" w:hAnsi="宋体"/>
          <w:sz w:val="24"/>
          <w:szCs w:val="24"/>
        </w:rPr>
        <w:t>14.甲方在验收中，如发现货物的品种、型号、规格、数量、质量等不符合合同、招标文件、投标文件及承诺规定或附件关于货物配置的描述或存在其他问题的，有权拒绝接收货物，并可以在验收后五个工作日内以书面形式向乙方提出，乙方应在收到甲方书面通知后在甲方指定的期限内按照甲方的要求采取补足、更换或退货等处理措施予以解决。因补足、更换货物造成逾期的，按乙方逾期交付处理。</w:t>
      </w:r>
    </w:p>
    <w:p w14:paraId="7309B1F5">
      <w:pPr>
        <w:autoSpaceDE w:val="0"/>
        <w:spacing w:line="400" w:lineRule="exact"/>
        <w:ind w:firstLine="480" w:firstLineChars="200"/>
        <w:rPr>
          <w:rFonts w:hint="eastAsia" w:ascii="宋体" w:hAnsi="宋体"/>
          <w:sz w:val="24"/>
          <w:szCs w:val="24"/>
        </w:rPr>
      </w:pPr>
      <w:r>
        <w:rPr>
          <w:rFonts w:hint="eastAsia" w:ascii="宋体" w:hAnsi="宋体"/>
          <w:sz w:val="24"/>
          <w:szCs w:val="24"/>
        </w:rPr>
        <w:t>第六条 售后服务、服务质量保证期及培训</w:t>
      </w:r>
    </w:p>
    <w:p w14:paraId="4DD6B61E">
      <w:pPr>
        <w:autoSpaceDE w:val="0"/>
        <w:spacing w:line="400" w:lineRule="exact"/>
        <w:ind w:firstLine="480" w:firstLineChars="200"/>
        <w:rPr>
          <w:rFonts w:hint="eastAsia" w:ascii="宋体" w:hAnsi="宋体"/>
          <w:sz w:val="24"/>
          <w:szCs w:val="24"/>
        </w:rPr>
      </w:pPr>
      <w:r>
        <w:rPr>
          <w:rFonts w:hint="eastAsia" w:ascii="宋体" w:hAnsi="宋体"/>
          <w:sz w:val="24"/>
          <w:szCs w:val="24"/>
        </w:rPr>
        <w:t>1.乙方应按招标文件规定的产品名称、商标品牌、生产厂家、规格型号、技术参数、质量标准向甲方提供未经使用的全新产品。不符合要求的，根据实际情况，经甲乙双方协商，可按以下办法处理：</w:t>
      </w:r>
    </w:p>
    <w:p w14:paraId="3BE31A52">
      <w:pPr>
        <w:autoSpaceDE w:val="0"/>
        <w:spacing w:line="400" w:lineRule="exact"/>
        <w:ind w:firstLine="480" w:firstLineChars="200"/>
        <w:rPr>
          <w:rFonts w:hint="eastAsia" w:ascii="宋体" w:hAnsi="宋体"/>
          <w:sz w:val="24"/>
          <w:szCs w:val="24"/>
        </w:rPr>
      </w:pPr>
      <w:r>
        <w:rPr>
          <w:rFonts w:hint="eastAsia" w:ascii="宋体" w:hAnsi="宋体"/>
          <w:sz w:val="24"/>
          <w:szCs w:val="24"/>
        </w:rPr>
        <w:t>（1）更换：由乙方承担所发生的全部费用。</w:t>
      </w:r>
    </w:p>
    <w:p w14:paraId="51B71252">
      <w:pPr>
        <w:autoSpaceDE w:val="0"/>
        <w:spacing w:line="400" w:lineRule="exact"/>
        <w:ind w:firstLine="480" w:firstLineChars="200"/>
        <w:rPr>
          <w:rFonts w:hint="eastAsia" w:ascii="宋体" w:hAnsi="宋体"/>
          <w:sz w:val="24"/>
          <w:szCs w:val="24"/>
        </w:rPr>
      </w:pPr>
      <w:r>
        <w:rPr>
          <w:rFonts w:hint="eastAsia" w:ascii="宋体" w:hAnsi="宋体"/>
          <w:sz w:val="24"/>
          <w:szCs w:val="24"/>
        </w:rPr>
        <w:t>（2）贬值处理：由甲乙双方合议定价。</w:t>
      </w:r>
    </w:p>
    <w:p w14:paraId="5AD3A4AD">
      <w:pPr>
        <w:autoSpaceDE w:val="0"/>
        <w:spacing w:line="400" w:lineRule="exact"/>
        <w:ind w:firstLine="480" w:firstLineChars="200"/>
        <w:rPr>
          <w:rFonts w:hint="eastAsia" w:ascii="宋体" w:hAnsi="宋体"/>
          <w:sz w:val="24"/>
          <w:szCs w:val="24"/>
        </w:rPr>
      </w:pPr>
      <w:r>
        <w:rPr>
          <w:rFonts w:hint="eastAsia" w:ascii="宋体" w:hAnsi="宋体"/>
          <w:sz w:val="24"/>
          <w:szCs w:val="24"/>
        </w:rPr>
        <w:t>（3）退货处理：乙方应退还甲方支付的合同款，同时应承担该货物的直接费用（运输、保险、检验、货款利息及银行手续费等）。</w:t>
      </w:r>
    </w:p>
    <w:p w14:paraId="6C9C8815">
      <w:pPr>
        <w:autoSpaceDE w:val="0"/>
        <w:spacing w:line="400" w:lineRule="exact"/>
        <w:ind w:firstLine="480" w:firstLineChars="200"/>
        <w:rPr>
          <w:rFonts w:hint="eastAsia" w:ascii="宋体" w:hAnsi="宋体"/>
          <w:sz w:val="24"/>
          <w:szCs w:val="24"/>
        </w:rPr>
      </w:pPr>
      <w:r>
        <w:rPr>
          <w:rFonts w:hint="eastAsia" w:ascii="宋体" w:hAnsi="宋体"/>
          <w:sz w:val="24"/>
          <w:szCs w:val="24"/>
        </w:rPr>
        <w:t>2.乙方应按照国家有关法律法规、投标文件和合同所附的《售后服务承诺》要求为甲方提供相应的售后服务。</w:t>
      </w:r>
    </w:p>
    <w:p w14:paraId="73404E71">
      <w:pPr>
        <w:autoSpaceDE w:val="0"/>
        <w:spacing w:line="400" w:lineRule="exact"/>
        <w:ind w:firstLine="480" w:firstLineChars="200"/>
        <w:rPr>
          <w:rFonts w:hint="eastAsia" w:ascii="宋体" w:hAnsi="宋体"/>
          <w:sz w:val="24"/>
          <w:szCs w:val="24"/>
        </w:rPr>
      </w:pPr>
      <w:r>
        <w:rPr>
          <w:rFonts w:hint="eastAsia" w:ascii="宋体" w:hAnsi="宋体"/>
          <w:sz w:val="24"/>
          <w:szCs w:val="24"/>
        </w:rPr>
        <w:t>3.在质保期内，乙方应对货物出现的质量及安全问题负责处理解决并承担一切费用。</w:t>
      </w:r>
    </w:p>
    <w:p w14:paraId="2DCF2AD0">
      <w:pPr>
        <w:autoSpaceDE w:val="0"/>
        <w:spacing w:line="400" w:lineRule="exact"/>
        <w:ind w:firstLine="480" w:firstLineChars="200"/>
        <w:rPr>
          <w:rFonts w:hint="eastAsia" w:ascii="宋体" w:hAnsi="宋体"/>
          <w:sz w:val="24"/>
          <w:szCs w:val="24"/>
        </w:rPr>
      </w:pPr>
      <w:r>
        <w:rPr>
          <w:rFonts w:hint="eastAsia" w:ascii="宋体" w:hAnsi="宋体"/>
          <w:sz w:val="24"/>
          <w:szCs w:val="24"/>
        </w:rPr>
        <w:t>质保期为自货物交付并验收合格签署验收合格单之日起</w:t>
      </w:r>
    </w:p>
    <w:p w14:paraId="79E82EAE">
      <w:pPr>
        <w:autoSpaceDE w:val="0"/>
        <w:spacing w:line="400" w:lineRule="exact"/>
        <w:rPr>
          <w:rFonts w:hint="eastAsia" w:ascii="宋体" w:hAnsi="宋体"/>
          <w:sz w:val="24"/>
          <w:szCs w:val="24"/>
        </w:rPr>
      </w:pPr>
      <w:r>
        <w:rPr>
          <w:rFonts w:hint="eastAsia" w:ascii="宋体" w:hAnsi="宋体"/>
          <w:sz w:val="24"/>
          <w:szCs w:val="24"/>
          <w:u w:val="single"/>
        </w:rPr>
        <w:t>365</w:t>
      </w:r>
      <w:r>
        <w:rPr>
          <w:rFonts w:hint="eastAsia" w:ascii="宋体" w:hAnsi="宋体"/>
          <w:sz w:val="24"/>
          <w:szCs w:val="24"/>
        </w:rPr>
        <w:t>日。货物自身有质保期且该质保期超过约定质保期的，按照货物质保期计算，货物自身的质保期比约定的质保期短的，按约定的质保期计算。</w:t>
      </w:r>
    </w:p>
    <w:p w14:paraId="487A6A01">
      <w:pPr>
        <w:autoSpaceDE w:val="0"/>
        <w:spacing w:line="400" w:lineRule="exact"/>
        <w:ind w:firstLine="480" w:firstLineChars="200"/>
        <w:rPr>
          <w:rFonts w:hint="eastAsia" w:ascii="宋体" w:hAnsi="宋体"/>
          <w:sz w:val="24"/>
          <w:szCs w:val="24"/>
        </w:rPr>
      </w:pPr>
      <w:r>
        <w:rPr>
          <w:rFonts w:hint="eastAsia" w:ascii="宋体" w:hAnsi="宋体"/>
          <w:sz w:val="24"/>
          <w:szCs w:val="24"/>
        </w:rPr>
        <w:t>4.大型或复杂的采购项目，其质保期限自动适用国家有关规定中最长的质保期限。</w:t>
      </w:r>
    </w:p>
    <w:p w14:paraId="481D3FF6">
      <w:pPr>
        <w:autoSpaceDE w:val="0"/>
        <w:spacing w:line="400" w:lineRule="exact"/>
        <w:ind w:firstLine="480" w:firstLineChars="200"/>
        <w:rPr>
          <w:rFonts w:hint="eastAsia" w:ascii="宋体" w:hAnsi="宋体"/>
          <w:kern w:val="0"/>
          <w:sz w:val="24"/>
          <w:szCs w:val="24"/>
        </w:rPr>
      </w:pPr>
      <w:r>
        <w:rPr>
          <w:rFonts w:hint="eastAsia" w:ascii="宋体" w:hAnsi="宋体"/>
          <w:sz w:val="24"/>
          <w:szCs w:val="24"/>
        </w:rPr>
        <w:t>5.</w:t>
      </w:r>
      <w:r>
        <w:rPr>
          <w:rFonts w:hint="eastAsia" w:ascii="宋体" w:hAnsi="宋体"/>
          <w:kern w:val="0"/>
          <w:sz w:val="24"/>
          <w:szCs w:val="24"/>
        </w:rPr>
        <w:t>质保期内，乙方应当提供每周7天、每天24小时的电话支持服务。乙方接到甲方保修通知后2个小时内响应，12个小时内排除故障。</w:t>
      </w:r>
      <w:r>
        <w:rPr>
          <w:rFonts w:hint="eastAsia" w:ascii="宋体" w:hAnsi="宋体"/>
          <w:spacing w:val="-10"/>
          <w:sz w:val="24"/>
          <w:szCs w:val="24"/>
        </w:rPr>
        <w:t>货物出现重大故障或维修时限超过</w:t>
      </w:r>
      <w:r>
        <w:rPr>
          <w:rFonts w:hint="eastAsia" w:ascii="宋体" w:hAnsi="宋体"/>
          <w:sz w:val="24"/>
          <w:szCs w:val="24"/>
        </w:rPr>
        <w:t>2日的，</w:t>
      </w:r>
      <w:r>
        <w:rPr>
          <w:rFonts w:hint="eastAsia" w:ascii="宋体" w:hAnsi="宋体"/>
          <w:kern w:val="0"/>
          <w:sz w:val="24"/>
          <w:szCs w:val="24"/>
        </w:rPr>
        <w:t>乙方应在24个小时内免费更换备品备件。</w:t>
      </w:r>
    </w:p>
    <w:p w14:paraId="00D8FA48">
      <w:pPr>
        <w:autoSpaceDE w:val="0"/>
        <w:spacing w:line="400" w:lineRule="exact"/>
        <w:ind w:firstLine="480" w:firstLineChars="200"/>
        <w:rPr>
          <w:rFonts w:hint="eastAsia" w:ascii="宋体" w:hAnsi="宋体"/>
          <w:kern w:val="0"/>
          <w:sz w:val="24"/>
          <w:szCs w:val="24"/>
        </w:rPr>
      </w:pPr>
      <w:r>
        <w:rPr>
          <w:rFonts w:hint="eastAsia" w:ascii="宋体" w:hAnsi="宋体"/>
          <w:sz w:val="24"/>
          <w:szCs w:val="24"/>
        </w:rPr>
        <w:t>6.</w:t>
      </w:r>
      <w:r>
        <w:rPr>
          <w:rFonts w:hint="eastAsia" w:ascii="宋体" w:hAnsi="宋体"/>
          <w:kern w:val="0"/>
          <w:sz w:val="24"/>
          <w:szCs w:val="24"/>
        </w:rPr>
        <w:t>质保期届满后，乙方对本合同项下货物提供终身维修服务，且维修时只收取所需维修部件的成本费，服务内容应与质保期内的要求相一致。</w:t>
      </w:r>
    </w:p>
    <w:p w14:paraId="3C8FA895">
      <w:pPr>
        <w:autoSpaceDE w:val="0"/>
        <w:spacing w:line="400" w:lineRule="exact"/>
        <w:ind w:firstLine="480" w:firstLineChars="200"/>
        <w:rPr>
          <w:rFonts w:hint="eastAsia" w:ascii="宋体" w:hAnsi="宋体"/>
          <w:sz w:val="24"/>
          <w:szCs w:val="24"/>
        </w:rPr>
      </w:pPr>
      <w:r>
        <w:rPr>
          <w:rFonts w:hint="eastAsia" w:ascii="宋体" w:hAnsi="宋体"/>
          <w:sz w:val="24"/>
          <w:szCs w:val="24"/>
        </w:rPr>
        <w:t>7.甲方应提供必要安装条件（如场地、电源、水源等）。</w:t>
      </w:r>
    </w:p>
    <w:p w14:paraId="046E5468">
      <w:pPr>
        <w:autoSpaceDE w:val="0"/>
        <w:spacing w:line="400" w:lineRule="exact"/>
        <w:ind w:firstLine="480" w:firstLineChars="200"/>
        <w:rPr>
          <w:rFonts w:hint="eastAsia" w:ascii="宋体" w:hAnsi="宋体"/>
          <w:sz w:val="24"/>
          <w:szCs w:val="24"/>
        </w:rPr>
      </w:pPr>
      <w:r>
        <w:rPr>
          <w:rFonts w:hint="eastAsia" w:ascii="宋体" w:hAnsi="宋体"/>
          <w:sz w:val="24"/>
          <w:szCs w:val="24"/>
        </w:rPr>
        <w:t>8.乙方投标文件承诺负责甲方有关人员的培训。</w:t>
      </w:r>
    </w:p>
    <w:p w14:paraId="5F5818B8">
      <w:pPr>
        <w:autoSpaceDE w:val="0"/>
        <w:spacing w:line="400" w:lineRule="exact"/>
        <w:ind w:firstLine="480" w:firstLineChars="200"/>
        <w:rPr>
          <w:rFonts w:hint="eastAsia" w:ascii="宋体" w:hAnsi="宋体"/>
          <w:sz w:val="24"/>
          <w:szCs w:val="24"/>
        </w:rPr>
      </w:pPr>
      <w:r>
        <w:rPr>
          <w:rFonts w:hint="eastAsia" w:ascii="宋体" w:hAnsi="宋体"/>
          <w:sz w:val="24"/>
          <w:szCs w:val="24"/>
        </w:rPr>
        <w:t>培训时间：</w:t>
      </w:r>
      <w:r>
        <w:rPr>
          <w:rFonts w:hint="eastAsia" w:ascii="宋体" w:hAnsi="宋体"/>
          <w:sz w:val="24"/>
          <w:szCs w:val="24"/>
          <w:u w:val="single"/>
        </w:rPr>
        <w:t xml:space="preserve">                              </w:t>
      </w:r>
      <w:r>
        <w:rPr>
          <w:rFonts w:hint="eastAsia" w:ascii="宋体" w:hAnsi="宋体"/>
          <w:sz w:val="24"/>
          <w:szCs w:val="24"/>
        </w:rPr>
        <w:t>。</w:t>
      </w:r>
    </w:p>
    <w:p w14:paraId="00EA849A">
      <w:pPr>
        <w:autoSpaceDE w:val="0"/>
        <w:spacing w:line="400" w:lineRule="exact"/>
        <w:ind w:firstLine="480" w:firstLineChars="200"/>
        <w:rPr>
          <w:rFonts w:hint="eastAsia" w:ascii="宋体" w:hAnsi="宋体"/>
          <w:sz w:val="24"/>
          <w:szCs w:val="24"/>
        </w:rPr>
      </w:pPr>
      <w:r>
        <w:rPr>
          <w:rFonts w:hint="eastAsia" w:ascii="宋体" w:hAnsi="宋体"/>
          <w:sz w:val="24"/>
          <w:szCs w:val="24"/>
        </w:rPr>
        <w:t>培训地点：</w:t>
      </w:r>
      <w:r>
        <w:rPr>
          <w:rFonts w:hint="eastAsia" w:ascii="宋体" w:hAnsi="宋体"/>
          <w:sz w:val="24"/>
          <w:szCs w:val="24"/>
          <w:u w:val="single"/>
        </w:rPr>
        <w:t xml:space="preserve">                              </w:t>
      </w:r>
      <w:r>
        <w:rPr>
          <w:rFonts w:hint="eastAsia" w:ascii="宋体" w:hAnsi="宋体"/>
          <w:sz w:val="24"/>
          <w:szCs w:val="24"/>
        </w:rPr>
        <w:t>。</w:t>
      </w:r>
    </w:p>
    <w:p w14:paraId="6DFB0CCE">
      <w:pPr>
        <w:autoSpaceDE w:val="0"/>
        <w:spacing w:line="400" w:lineRule="exact"/>
        <w:ind w:firstLine="480" w:firstLineChars="200"/>
        <w:rPr>
          <w:rFonts w:hint="eastAsia" w:ascii="宋体" w:hAnsi="宋体"/>
          <w:sz w:val="24"/>
          <w:szCs w:val="24"/>
        </w:rPr>
      </w:pPr>
      <w:r>
        <w:rPr>
          <w:rFonts w:hint="eastAsia" w:ascii="宋体" w:hAnsi="宋体"/>
          <w:sz w:val="24"/>
          <w:szCs w:val="24"/>
        </w:rPr>
        <w:t>第七条 辅助服务</w:t>
      </w:r>
    </w:p>
    <w:p w14:paraId="41919D4B">
      <w:pPr>
        <w:autoSpaceDE w:val="0"/>
        <w:spacing w:line="400" w:lineRule="exact"/>
        <w:ind w:firstLine="480" w:firstLineChars="200"/>
        <w:rPr>
          <w:rFonts w:hint="eastAsia" w:ascii="宋体" w:hAnsi="宋体"/>
          <w:sz w:val="24"/>
          <w:szCs w:val="24"/>
        </w:rPr>
      </w:pPr>
      <w:r>
        <w:rPr>
          <w:rFonts w:hint="eastAsia" w:ascii="宋体" w:hAnsi="宋体"/>
          <w:sz w:val="24"/>
          <w:szCs w:val="24"/>
        </w:rPr>
        <w:t>1.乙方应提供下列服务：</w:t>
      </w:r>
    </w:p>
    <w:p w14:paraId="165EE748">
      <w:pPr>
        <w:autoSpaceDE w:val="0"/>
        <w:spacing w:line="400" w:lineRule="exact"/>
        <w:ind w:firstLine="480" w:firstLineChars="200"/>
        <w:rPr>
          <w:rFonts w:hint="eastAsia" w:ascii="宋体" w:hAnsi="宋体"/>
          <w:sz w:val="24"/>
          <w:szCs w:val="24"/>
        </w:rPr>
      </w:pPr>
      <w:r>
        <w:rPr>
          <w:rFonts w:hint="eastAsia" w:ascii="宋体" w:hAnsi="宋体"/>
          <w:sz w:val="24"/>
          <w:szCs w:val="24"/>
        </w:rPr>
        <w:t>（1）货物的现场移动、安装、调试、启动监督及技术支持；</w:t>
      </w:r>
    </w:p>
    <w:p w14:paraId="548EE561">
      <w:pPr>
        <w:autoSpaceDE w:val="0"/>
        <w:spacing w:line="400" w:lineRule="exact"/>
        <w:ind w:firstLine="480" w:firstLineChars="200"/>
        <w:rPr>
          <w:rFonts w:hint="eastAsia" w:ascii="宋体" w:hAnsi="宋体"/>
          <w:sz w:val="24"/>
          <w:szCs w:val="24"/>
        </w:rPr>
      </w:pPr>
      <w:r>
        <w:rPr>
          <w:rFonts w:hint="eastAsia" w:ascii="宋体" w:hAnsi="宋体"/>
          <w:sz w:val="24"/>
          <w:szCs w:val="24"/>
        </w:rPr>
        <w:t>（2）提供货物组装和维修所需的专用工具和辅助材料；</w:t>
      </w:r>
    </w:p>
    <w:p w14:paraId="6A1F5154">
      <w:pPr>
        <w:autoSpaceDE w:val="0"/>
        <w:spacing w:line="400" w:lineRule="exact"/>
        <w:ind w:firstLine="480" w:firstLineChars="200"/>
        <w:rPr>
          <w:rFonts w:hint="eastAsia" w:ascii="宋体" w:hAnsi="宋体"/>
          <w:sz w:val="24"/>
          <w:szCs w:val="24"/>
        </w:rPr>
      </w:pPr>
      <w:r>
        <w:rPr>
          <w:rFonts w:hint="eastAsia" w:ascii="宋体" w:hAnsi="宋体"/>
          <w:sz w:val="24"/>
          <w:szCs w:val="24"/>
        </w:rPr>
        <w:t>（3）在甲方指定的期限内对所有的货物实施运行监督、维修，但该服务并不能免除乙方在质量保证期内所承担的义务；</w:t>
      </w:r>
    </w:p>
    <w:p w14:paraId="531A132B">
      <w:pPr>
        <w:autoSpaceDE w:val="0"/>
        <w:spacing w:line="400" w:lineRule="exact"/>
        <w:ind w:firstLine="480" w:firstLineChars="200"/>
        <w:rPr>
          <w:rFonts w:hint="eastAsia" w:ascii="宋体" w:hAnsi="宋体"/>
          <w:sz w:val="24"/>
          <w:szCs w:val="24"/>
        </w:rPr>
      </w:pPr>
      <w:r>
        <w:rPr>
          <w:rFonts w:hint="eastAsia" w:ascii="宋体" w:hAnsi="宋体"/>
          <w:sz w:val="24"/>
          <w:szCs w:val="24"/>
        </w:rPr>
        <w:t>（4）在现场就货物的安装、启动、运营、维护，按照甲方的要求，对甲方的相关人员免费进行必要的培训。培训目标为受训者能够独立、熟练地完成操作，实现货物的使用目标和功能。</w:t>
      </w:r>
    </w:p>
    <w:p w14:paraId="0948E19F">
      <w:pPr>
        <w:autoSpaceDE w:val="0"/>
        <w:spacing w:line="400" w:lineRule="exact"/>
        <w:ind w:firstLine="480" w:firstLineChars="200"/>
        <w:rPr>
          <w:rFonts w:hint="eastAsia" w:ascii="宋体" w:hAnsi="宋体"/>
          <w:sz w:val="24"/>
          <w:szCs w:val="24"/>
        </w:rPr>
      </w:pPr>
      <w:r>
        <w:rPr>
          <w:rFonts w:hint="eastAsia" w:ascii="宋体" w:hAnsi="宋体"/>
          <w:sz w:val="24"/>
          <w:szCs w:val="24"/>
        </w:rPr>
        <w:t>2.辅助服务的费用已经包含在合同总价中，甲方不再另行支付。</w:t>
      </w:r>
    </w:p>
    <w:p w14:paraId="596625F0">
      <w:pPr>
        <w:autoSpaceDE w:val="0"/>
        <w:spacing w:line="400" w:lineRule="exact"/>
        <w:ind w:firstLine="480" w:firstLineChars="200"/>
        <w:rPr>
          <w:rFonts w:hint="eastAsia" w:ascii="宋体" w:hAnsi="宋体"/>
          <w:sz w:val="24"/>
          <w:szCs w:val="24"/>
        </w:rPr>
      </w:pPr>
      <w:r>
        <w:rPr>
          <w:rFonts w:hint="eastAsia" w:ascii="宋体" w:hAnsi="宋体"/>
          <w:sz w:val="24"/>
          <w:szCs w:val="24"/>
        </w:rPr>
        <w:t>第八条 货物保管及风险承担</w:t>
      </w:r>
    </w:p>
    <w:p w14:paraId="3630018A">
      <w:pPr>
        <w:autoSpaceDE w:val="0"/>
        <w:spacing w:line="400" w:lineRule="exact"/>
        <w:ind w:firstLine="480" w:firstLineChars="200"/>
        <w:rPr>
          <w:rFonts w:hint="eastAsia" w:ascii="宋体" w:hAnsi="宋体"/>
          <w:sz w:val="24"/>
          <w:szCs w:val="24"/>
        </w:rPr>
      </w:pPr>
      <w:r>
        <w:rPr>
          <w:rFonts w:hint="eastAsia" w:ascii="宋体" w:hAnsi="宋体"/>
          <w:sz w:val="24"/>
          <w:szCs w:val="24"/>
        </w:rPr>
        <w:t>在货物交付前，货物保管责任及损毁、灭失的风险由乙方承担，货物验收合格后的风险转由甲方承担。</w:t>
      </w:r>
    </w:p>
    <w:p w14:paraId="545A8016">
      <w:pPr>
        <w:autoSpaceDE w:val="0"/>
        <w:spacing w:line="400" w:lineRule="exact"/>
        <w:ind w:firstLine="480" w:firstLineChars="200"/>
        <w:rPr>
          <w:rFonts w:hint="eastAsia" w:ascii="宋体" w:hAnsi="宋体"/>
          <w:sz w:val="24"/>
          <w:szCs w:val="24"/>
        </w:rPr>
      </w:pPr>
      <w:r>
        <w:rPr>
          <w:rFonts w:hint="eastAsia" w:ascii="宋体" w:hAnsi="宋体"/>
          <w:sz w:val="24"/>
          <w:szCs w:val="24"/>
        </w:rPr>
        <w:t>第九条 付款方式</w:t>
      </w:r>
    </w:p>
    <w:p w14:paraId="449EB8CD">
      <w:pPr>
        <w:autoSpaceDE w:val="0"/>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1.合同签订后7个工作日内，支付合同合计金额的50%；货物交付并经甲方每验收一台仪器合格后7个工作日内，分别支付验收合格相应仪器的尾款。</w:t>
      </w:r>
    </w:p>
    <w:p w14:paraId="0155C347">
      <w:pPr>
        <w:autoSpaceDE w:val="0"/>
        <w:spacing w:line="400" w:lineRule="exact"/>
        <w:ind w:firstLine="480" w:firstLineChars="200"/>
        <w:rPr>
          <w:rFonts w:hint="eastAsia" w:ascii="宋体" w:hAnsi="宋体"/>
          <w:sz w:val="24"/>
          <w:szCs w:val="24"/>
        </w:rPr>
      </w:pPr>
      <w:r>
        <w:rPr>
          <w:rFonts w:hint="eastAsia" w:ascii="宋体" w:hAnsi="宋体"/>
          <w:sz w:val="24"/>
          <w:szCs w:val="24"/>
        </w:rPr>
        <w:t>2.乙方指定以下账户为接受本合同价款的账户，并对其指定的下列账户信息真实性、安全性、准确性负责。</w:t>
      </w:r>
    </w:p>
    <w:p w14:paraId="524279F3">
      <w:pPr>
        <w:autoSpaceDE w:val="0"/>
        <w:spacing w:line="400" w:lineRule="exact"/>
        <w:ind w:firstLine="480" w:firstLineChars="200"/>
        <w:rPr>
          <w:rFonts w:hint="eastAsia" w:ascii="宋体" w:hAnsi="宋体"/>
          <w:sz w:val="24"/>
          <w:szCs w:val="24"/>
          <w:u w:val="single"/>
        </w:rPr>
      </w:pPr>
      <w:r>
        <w:rPr>
          <w:rFonts w:hint="eastAsia" w:ascii="宋体" w:hAnsi="宋体"/>
          <w:sz w:val="24"/>
          <w:szCs w:val="24"/>
        </w:rPr>
        <w:t>账户名称：</w:t>
      </w:r>
      <w:r>
        <w:rPr>
          <w:rFonts w:hint="eastAsia" w:ascii="宋体" w:hAnsi="宋体"/>
          <w:sz w:val="24"/>
          <w:szCs w:val="24"/>
          <w:u w:val="single"/>
        </w:rPr>
        <w:t xml:space="preserve">                  </w:t>
      </w:r>
      <w:r>
        <w:rPr>
          <w:rFonts w:hint="eastAsia" w:ascii="宋体" w:hAnsi="宋体"/>
          <w:sz w:val="24"/>
          <w:szCs w:val="24"/>
        </w:rPr>
        <w:t>；</w:t>
      </w:r>
    </w:p>
    <w:p w14:paraId="43DDEC73">
      <w:pPr>
        <w:autoSpaceDE w:val="0"/>
        <w:spacing w:line="400" w:lineRule="exact"/>
        <w:ind w:firstLine="480" w:firstLineChars="200"/>
        <w:rPr>
          <w:rFonts w:hint="eastAsia" w:ascii="宋体" w:hAnsi="宋体"/>
          <w:sz w:val="24"/>
          <w:szCs w:val="24"/>
          <w:u w:val="single"/>
        </w:rPr>
      </w:pPr>
      <w:r>
        <w:rPr>
          <w:rFonts w:hint="eastAsia" w:ascii="宋体" w:hAnsi="宋体"/>
          <w:sz w:val="24"/>
          <w:szCs w:val="24"/>
        </w:rPr>
        <w:t>开户银行：</w:t>
      </w:r>
      <w:r>
        <w:rPr>
          <w:rFonts w:hint="eastAsia" w:ascii="宋体" w:hAnsi="宋体"/>
          <w:sz w:val="24"/>
          <w:szCs w:val="24"/>
          <w:u w:val="single"/>
        </w:rPr>
        <w:t xml:space="preserve">                  </w:t>
      </w:r>
      <w:r>
        <w:rPr>
          <w:rFonts w:hint="eastAsia" w:ascii="宋体" w:hAnsi="宋体"/>
          <w:sz w:val="24"/>
          <w:szCs w:val="24"/>
        </w:rPr>
        <w:t>；</w:t>
      </w:r>
    </w:p>
    <w:p w14:paraId="4B346D79">
      <w:pPr>
        <w:autoSpaceDE w:val="0"/>
        <w:spacing w:line="400" w:lineRule="exact"/>
        <w:ind w:firstLine="480" w:firstLineChars="200"/>
        <w:rPr>
          <w:rFonts w:hint="eastAsia" w:ascii="宋体" w:hAnsi="宋体"/>
          <w:sz w:val="24"/>
          <w:szCs w:val="24"/>
          <w:u w:val="single"/>
        </w:rPr>
      </w:pPr>
      <w:r>
        <w:rPr>
          <w:rFonts w:hint="eastAsia" w:ascii="宋体" w:hAnsi="宋体"/>
          <w:sz w:val="24"/>
          <w:szCs w:val="24"/>
        </w:rPr>
        <w:t>银行账号：</w:t>
      </w:r>
      <w:r>
        <w:rPr>
          <w:rFonts w:hint="eastAsia" w:ascii="宋体" w:hAnsi="宋体"/>
          <w:sz w:val="24"/>
          <w:szCs w:val="24"/>
          <w:u w:val="single"/>
        </w:rPr>
        <w:t xml:space="preserve">                  </w:t>
      </w:r>
      <w:r>
        <w:rPr>
          <w:rFonts w:hint="eastAsia" w:ascii="宋体" w:hAnsi="宋体"/>
          <w:sz w:val="24"/>
          <w:szCs w:val="24"/>
        </w:rPr>
        <w:t>；</w:t>
      </w:r>
    </w:p>
    <w:p w14:paraId="56FE1F36">
      <w:pPr>
        <w:autoSpaceDE w:val="0"/>
        <w:spacing w:line="400" w:lineRule="exact"/>
        <w:ind w:firstLine="480" w:firstLineChars="200"/>
        <w:rPr>
          <w:rFonts w:hint="eastAsia" w:ascii="宋体" w:hAnsi="宋体"/>
          <w:sz w:val="24"/>
          <w:szCs w:val="24"/>
          <w:u w:val="single"/>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w:t>
      </w:r>
    </w:p>
    <w:p w14:paraId="7298339B">
      <w:pPr>
        <w:autoSpaceDE w:val="0"/>
        <w:spacing w:line="400" w:lineRule="exact"/>
        <w:ind w:firstLine="480" w:firstLineChars="200"/>
        <w:rPr>
          <w:rFonts w:hint="eastAsia" w:ascii="宋体" w:hAnsi="宋体"/>
          <w:sz w:val="24"/>
          <w:szCs w:val="24"/>
        </w:rPr>
      </w:pP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w:t>
      </w:r>
    </w:p>
    <w:p w14:paraId="555B7CED">
      <w:pPr>
        <w:autoSpaceDE w:val="0"/>
        <w:spacing w:line="400" w:lineRule="exact"/>
        <w:ind w:firstLine="480" w:firstLineChars="200"/>
        <w:rPr>
          <w:rFonts w:hint="eastAsia" w:ascii="宋体" w:hAnsi="宋体"/>
          <w:sz w:val="24"/>
          <w:szCs w:val="24"/>
        </w:rPr>
      </w:pPr>
      <w:r>
        <w:rPr>
          <w:rFonts w:hint="eastAsia" w:ascii="宋体" w:hAnsi="宋体"/>
          <w:sz w:val="24"/>
          <w:szCs w:val="24"/>
        </w:rPr>
        <w:t>如乙方上述账户信息发生变更，乙方应提前向甲方发送书面通知，未能提前书面通知而产生的不利后果由乙方自行承担。</w:t>
      </w:r>
    </w:p>
    <w:p w14:paraId="6E3120A9">
      <w:pPr>
        <w:autoSpaceDE w:val="0"/>
        <w:spacing w:line="400" w:lineRule="exact"/>
        <w:ind w:firstLine="480" w:firstLineChars="200"/>
        <w:rPr>
          <w:rFonts w:hint="eastAsia" w:ascii="宋体" w:hAnsi="宋体"/>
          <w:sz w:val="24"/>
          <w:szCs w:val="24"/>
        </w:rPr>
      </w:pPr>
      <w:r>
        <w:rPr>
          <w:rFonts w:hint="eastAsia" w:ascii="宋体" w:hAnsi="宋体"/>
          <w:sz w:val="24"/>
          <w:szCs w:val="24"/>
        </w:rPr>
        <w:t>3.乙方应持甲方签字确认的验收合格单结算货款。</w:t>
      </w:r>
    </w:p>
    <w:p w14:paraId="6A89C71B">
      <w:pPr>
        <w:autoSpaceDE w:val="0"/>
        <w:spacing w:line="400" w:lineRule="exact"/>
        <w:ind w:firstLine="480" w:firstLineChars="200"/>
        <w:rPr>
          <w:rFonts w:hint="eastAsia" w:ascii="宋体" w:hAnsi="宋体"/>
          <w:sz w:val="24"/>
          <w:szCs w:val="24"/>
        </w:rPr>
      </w:pPr>
      <w:r>
        <w:rPr>
          <w:rFonts w:hint="eastAsia" w:ascii="宋体" w:hAnsi="宋体"/>
          <w:sz w:val="24"/>
          <w:szCs w:val="24"/>
        </w:rPr>
        <w:t>4.甲方在支付每笔款项前，乙方应当提供可供政府审计并且符合税务规定的正式发票，</w:t>
      </w:r>
      <w:r>
        <w:rPr>
          <w:rFonts w:hint="eastAsia" w:ascii="宋体" w:hAnsi="宋体"/>
          <w:spacing w:val="-6"/>
          <w:sz w:val="24"/>
          <w:szCs w:val="24"/>
        </w:rPr>
        <w:t>否则甲方有权拒付相应款项直至乙方能提供符合规定的发票为止。</w:t>
      </w:r>
    </w:p>
    <w:p w14:paraId="7CF4A3D8">
      <w:pPr>
        <w:autoSpaceDE w:val="0"/>
        <w:spacing w:line="400" w:lineRule="exact"/>
        <w:ind w:firstLine="480" w:firstLineChars="200"/>
        <w:rPr>
          <w:rFonts w:hint="eastAsia" w:ascii="宋体" w:hAnsi="宋体"/>
          <w:sz w:val="24"/>
          <w:szCs w:val="24"/>
        </w:rPr>
      </w:pPr>
      <w:r>
        <w:rPr>
          <w:rFonts w:hint="eastAsia" w:ascii="宋体" w:hAnsi="宋体"/>
          <w:sz w:val="24"/>
          <w:szCs w:val="24"/>
        </w:rPr>
        <w:t>第十条 履约保证金</w:t>
      </w:r>
    </w:p>
    <w:p w14:paraId="417048EE">
      <w:pPr>
        <w:pStyle w:val="63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sz w:val="24"/>
          <w:szCs w:val="24"/>
        </w:rPr>
        <w:t>1.乙方提供的履约保证金金额为：</w:t>
      </w:r>
      <w:r>
        <w:rPr>
          <w:rFonts w:hint="eastAsia" w:ascii="宋体" w:hAnsi="宋体"/>
          <w:sz w:val="24"/>
          <w:szCs w:val="24"/>
          <w:u w:val="single"/>
        </w:rPr>
        <w:t xml:space="preserve">合同金额的2% </w:t>
      </w:r>
      <w:r>
        <w:rPr>
          <w:rFonts w:hint="eastAsia" w:ascii="宋体" w:hAnsi="宋体"/>
          <w:sz w:val="24"/>
          <w:szCs w:val="24"/>
        </w:rPr>
        <w:t>。</w:t>
      </w:r>
      <w:r>
        <w:rPr>
          <w:rFonts w:hint="eastAsia" w:ascii="宋体" w:hAnsi="宋体" w:cs="宋体"/>
          <w:color w:val="000000" w:themeColor="text1"/>
          <w:kern w:val="0"/>
          <w:sz w:val="24"/>
          <w:highlight w:val="none"/>
          <w:lang w:val="en-US" w:eastAsia="zh-CN"/>
          <w14:textFill>
            <w14:solidFill>
              <w14:schemeClr w14:val="tx1"/>
            </w14:solidFill>
          </w14:textFill>
        </w:rPr>
        <w:t>由乙方在成交通知书发出之日起</w:t>
      </w:r>
      <w:r>
        <w:rPr>
          <w:rFonts w:hint="eastAsia"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lang w:val="en-US" w:eastAsia="zh-CN"/>
          <w14:textFill>
            <w14:solidFill>
              <w14:schemeClr w14:val="tx1"/>
            </w14:solidFill>
          </w14:textFill>
        </w:rPr>
        <w:t>个工作日内按规定的金额直接缴入采购单位账户。</w:t>
      </w:r>
    </w:p>
    <w:p w14:paraId="71AD2790">
      <w:pPr>
        <w:autoSpaceDE w:val="0"/>
        <w:spacing w:line="400" w:lineRule="exact"/>
        <w:ind w:firstLine="480" w:firstLineChars="200"/>
        <w:rPr>
          <w:rFonts w:hint="eastAsia" w:ascii="宋体" w:hAnsi="宋体"/>
          <w:sz w:val="24"/>
          <w:szCs w:val="24"/>
        </w:rPr>
      </w:pPr>
      <w:r>
        <w:rPr>
          <w:rFonts w:hint="eastAsia" w:ascii="宋体" w:hAnsi="宋体"/>
          <w:sz w:val="24"/>
          <w:szCs w:val="24"/>
        </w:rPr>
        <w:t>2.履约保证金递交方式：支票、汇票、本票或者金融、担保机构出具的保函等非现金方式。</w:t>
      </w:r>
    </w:p>
    <w:p w14:paraId="34BDBB44">
      <w:pPr>
        <w:autoSpaceDE w:val="0"/>
        <w:spacing w:line="400" w:lineRule="exact"/>
        <w:ind w:firstLine="480" w:firstLineChars="200"/>
        <w:rPr>
          <w:rFonts w:hint="eastAsia" w:ascii="宋体" w:hAnsi="宋体"/>
          <w:sz w:val="24"/>
          <w:szCs w:val="24"/>
        </w:rPr>
      </w:pPr>
      <w:r>
        <w:rPr>
          <w:rFonts w:hint="eastAsia" w:ascii="宋体" w:hAnsi="宋体"/>
          <w:sz w:val="24"/>
          <w:szCs w:val="24"/>
        </w:rPr>
        <w:t>3.履约保证金退付方式、时间及条件：由乙方向甲方提供《广西壮族自治区政府采购项目合同验收书》及《政府采购项目履约保证金退付意见书》，甲方在收到合格材料后五个工作日内办理退还手续（不计利息）。</w:t>
      </w:r>
    </w:p>
    <w:p w14:paraId="1568B93D">
      <w:pPr>
        <w:autoSpaceDE w:val="0"/>
        <w:spacing w:line="400" w:lineRule="exact"/>
        <w:ind w:firstLine="480" w:firstLineChars="200"/>
        <w:rPr>
          <w:rFonts w:hint="eastAsia" w:ascii="宋体" w:hAnsi="宋体"/>
          <w:sz w:val="24"/>
          <w:szCs w:val="24"/>
        </w:rPr>
      </w:pPr>
      <w:r>
        <w:rPr>
          <w:rFonts w:hint="eastAsia" w:ascii="宋体" w:hAnsi="宋体"/>
          <w:sz w:val="24"/>
          <w:szCs w:val="24"/>
        </w:rPr>
        <w:t>第十一条 税费</w:t>
      </w:r>
    </w:p>
    <w:p w14:paraId="552C6334">
      <w:pPr>
        <w:autoSpaceDE w:val="0"/>
        <w:spacing w:line="400" w:lineRule="exact"/>
        <w:ind w:firstLine="480" w:firstLineChars="200"/>
        <w:rPr>
          <w:rFonts w:hint="eastAsia" w:ascii="宋体" w:hAnsi="宋体"/>
          <w:sz w:val="24"/>
          <w:szCs w:val="24"/>
        </w:rPr>
      </w:pPr>
      <w:r>
        <w:rPr>
          <w:rFonts w:hint="eastAsia" w:ascii="宋体" w:hAnsi="宋体"/>
          <w:sz w:val="24"/>
          <w:szCs w:val="24"/>
        </w:rPr>
        <w:t>本合同执行中相关的一切税费均由乙方负担。</w:t>
      </w:r>
    </w:p>
    <w:p w14:paraId="0DD0992A">
      <w:pPr>
        <w:autoSpaceDE w:val="0"/>
        <w:spacing w:line="400" w:lineRule="exact"/>
        <w:ind w:firstLine="480" w:firstLineChars="200"/>
        <w:rPr>
          <w:rFonts w:hint="eastAsia" w:ascii="宋体" w:hAnsi="宋体"/>
          <w:sz w:val="24"/>
          <w:szCs w:val="24"/>
        </w:rPr>
      </w:pPr>
      <w:r>
        <w:rPr>
          <w:rFonts w:hint="eastAsia" w:ascii="宋体" w:hAnsi="宋体"/>
          <w:sz w:val="24"/>
          <w:szCs w:val="24"/>
        </w:rPr>
        <w:t>第十二条 违约责任</w:t>
      </w:r>
    </w:p>
    <w:p w14:paraId="6DE99D5D">
      <w:pPr>
        <w:autoSpaceDE w:val="0"/>
        <w:spacing w:line="400" w:lineRule="exact"/>
        <w:ind w:firstLine="480" w:firstLineChars="200"/>
        <w:rPr>
          <w:rFonts w:hint="eastAsia" w:ascii="宋体" w:hAnsi="宋体"/>
          <w:sz w:val="24"/>
          <w:szCs w:val="24"/>
        </w:rPr>
      </w:pPr>
      <w:r>
        <w:rPr>
          <w:rFonts w:hint="eastAsia" w:ascii="宋体" w:hAnsi="宋体"/>
          <w:sz w:val="24"/>
          <w:szCs w:val="24"/>
        </w:rPr>
        <w:t>1.乙方仅交付部分货物的，甲方有权解除合同，退还已收货物，乙方应退还已经收取的货款，并按合同合计金额的30％承担违约金；甲方不退还已收货物的，有权要求乙方退还已收取的未交付货物的货款，并要求乙方按合同合计金额的30％承担违约金。</w:t>
      </w:r>
    </w:p>
    <w:p w14:paraId="69013703">
      <w:pPr>
        <w:autoSpaceDE w:val="0"/>
        <w:spacing w:line="400" w:lineRule="exact"/>
        <w:ind w:firstLine="480" w:firstLineChars="200"/>
        <w:rPr>
          <w:rFonts w:hint="eastAsia" w:ascii="宋体" w:hAnsi="宋体"/>
          <w:sz w:val="24"/>
          <w:szCs w:val="24"/>
        </w:rPr>
      </w:pPr>
      <w:r>
        <w:rPr>
          <w:rFonts w:hint="eastAsia" w:ascii="宋体" w:hAnsi="宋体"/>
          <w:sz w:val="24"/>
          <w:szCs w:val="24"/>
        </w:rPr>
        <w:t>2.乙方逾期交付货物的，每逾期一日，应按合同合计金额的3%向甲方支付逾期交付的违约金；逾期超过十日的，甲方有权单方解除合同，并要求乙方退还已收取的款项，同时乙方应按照合同合计金额的30%向甲方支付违约金并承担因此给甲方造成的经济损失。</w:t>
      </w:r>
    </w:p>
    <w:p w14:paraId="66F0CAA6">
      <w:pPr>
        <w:autoSpaceDE w:val="0"/>
        <w:spacing w:line="400" w:lineRule="exact"/>
        <w:ind w:firstLine="480" w:firstLineChars="200"/>
        <w:rPr>
          <w:rFonts w:hint="eastAsia" w:ascii="宋体" w:hAnsi="宋体"/>
          <w:sz w:val="24"/>
          <w:szCs w:val="24"/>
        </w:rPr>
      </w:pPr>
      <w:r>
        <w:rPr>
          <w:rFonts w:hint="eastAsia" w:ascii="宋体" w:hAnsi="宋体"/>
          <w:sz w:val="24"/>
          <w:szCs w:val="24"/>
        </w:rPr>
        <w:t>3.乙方所提供的产品名称、商标品牌、生产厂家、规格型号、技术参数、质量等不合格的，应按甲方的要求、在甲方指定的期限内更换，乙方因更换造成货物逾期交付的，按乙方逾期交付承担违约责任；因质量问题甲方不同意接收的或者特殊情况甲方同意接收的，乙方应向甲方支付合同合计金额30％的违约金并赔偿甲方经济损失。</w:t>
      </w:r>
    </w:p>
    <w:p w14:paraId="1F48F696">
      <w:pPr>
        <w:autoSpaceDE w:val="0"/>
        <w:spacing w:line="400" w:lineRule="exact"/>
        <w:ind w:firstLine="480" w:firstLineChars="200"/>
        <w:rPr>
          <w:rFonts w:hint="eastAsia" w:ascii="宋体" w:hAnsi="宋体"/>
          <w:sz w:val="24"/>
          <w:szCs w:val="24"/>
        </w:rPr>
      </w:pPr>
      <w:r>
        <w:rPr>
          <w:rFonts w:hint="eastAsia" w:ascii="宋体" w:hAnsi="宋体"/>
          <w:sz w:val="24"/>
          <w:szCs w:val="24"/>
        </w:rPr>
        <w:t>4.乙方提供的货物如侵犯了第三方合法权益而引发的任何纠纷或者诉讼，均由乙方负责交涉并承担全部责任，如甲方为解决纠纷矛盾先期支付了费用的，乙方应当自收到甲方要求偿还费用的函之日起五日内向甲方偿还完毕。</w:t>
      </w:r>
    </w:p>
    <w:p w14:paraId="6429CB3F">
      <w:pPr>
        <w:autoSpaceDE w:val="0"/>
        <w:spacing w:line="400" w:lineRule="exact"/>
        <w:ind w:firstLine="480" w:firstLineChars="200"/>
        <w:rPr>
          <w:rFonts w:hint="eastAsia" w:ascii="宋体" w:hAnsi="宋体"/>
          <w:sz w:val="24"/>
          <w:szCs w:val="24"/>
        </w:rPr>
      </w:pPr>
      <w:r>
        <w:rPr>
          <w:rFonts w:hint="eastAsia" w:ascii="宋体" w:hAnsi="宋体"/>
          <w:sz w:val="24"/>
          <w:szCs w:val="24"/>
        </w:rPr>
        <w:t>5.乙方明示不履行或不能履行合同，或交付的货物存在严重瑕疵，不具有正常使用功能或不能满足本合同目的，甲方有权解除合同，要求乙方退还已收取的货款，并要求乙方按合同合计金额的30％支付违约金。</w:t>
      </w:r>
    </w:p>
    <w:p w14:paraId="3DBBEE96">
      <w:pPr>
        <w:autoSpaceDE w:val="0"/>
        <w:spacing w:line="400" w:lineRule="exact"/>
        <w:ind w:firstLine="480" w:firstLineChars="200"/>
        <w:rPr>
          <w:rFonts w:hint="eastAsia" w:ascii="宋体" w:hAnsi="宋体"/>
          <w:sz w:val="24"/>
          <w:szCs w:val="24"/>
        </w:rPr>
      </w:pPr>
      <w:r>
        <w:rPr>
          <w:rFonts w:hint="eastAsia" w:ascii="宋体" w:hAnsi="宋体"/>
          <w:sz w:val="24"/>
          <w:szCs w:val="24"/>
        </w:rPr>
        <w:t>6.因包装、运输引起的货物损坏，按质量不合格处罚。</w:t>
      </w:r>
    </w:p>
    <w:p w14:paraId="0A95F9F2">
      <w:pPr>
        <w:autoSpaceDE w:val="0"/>
        <w:spacing w:line="400" w:lineRule="exact"/>
        <w:ind w:firstLine="480" w:firstLineChars="200"/>
        <w:rPr>
          <w:rFonts w:hint="eastAsia" w:ascii="宋体" w:hAnsi="宋体"/>
          <w:sz w:val="24"/>
          <w:szCs w:val="24"/>
        </w:rPr>
      </w:pPr>
      <w:r>
        <w:rPr>
          <w:rFonts w:hint="eastAsia" w:ascii="宋体" w:hAnsi="宋体"/>
          <w:sz w:val="24"/>
          <w:szCs w:val="24"/>
        </w:rPr>
        <w:t>7.乙方未按本合同和招标文件、投标文件中规定的服务承诺提供售后服务的，每违约一次，应按合同合计金额的10%向甲方支付违约金。</w:t>
      </w:r>
    </w:p>
    <w:p w14:paraId="270BDFE8">
      <w:pPr>
        <w:autoSpaceDE w:val="0"/>
        <w:spacing w:line="400" w:lineRule="exact"/>
        <w:ind w:firstLine="480" w:firstLineChars="200"/>
        <w:rPr>
          <w:rFonts w:hint="eastAsia" w:ascii="宋体" w:hAnsi="宋体"/>
          <w:sz w:val="24"/>
          <w:szCs w:val="24"/>
        </w:rPr>
      </w:pPr>
      <w:r>
        <w:rPr>
          <w:rFonts w:hint="eastAsia" w:ascii="宋体" w:hAnsi="宋体"/>
          <w:sz w:val="24"/>
          <w:szCs w:val="24"/>
        </w:rPr>
        <w:t>8.乙方提供的货物在质量保证期内，因设计、工艺或者材料的缺陷和其它质量原因造成的问题，由乙方负责，费用从余款或者履约保证金中扣除，不足另补。</w:t>
      </w:r>
    </w:p>
    <w:p w14:paraId="6B2DA235">
      <w:pPr>
        <w:autoSpaceDE w:val="0"/>
        <w:spacing w:line="400" w:lineRule="exact"/>
        <w:ind w:firstLine="480" w:firstLineChars="200"/>
        <w:rPr>
          <w:rFonts w:hint="eastAsia" w:ascii="宋体" w:hAnsi="宋体"/>
          <w:sz w:val="24"/>
          <w:szCs w:val="24"/>
        </w:rPr>
      </w:pPr>
      <w:r>
        <w:rPr>
          <w:rFonts w:hint="eastAsia" w:ascii="宋体" w:hAnsi="宋体"/>
          <w:sz w:val="24"/>
          <w:szCs w:val="24"/>
        </w:rPr>
        <w:t>9.乙方支付的违约金不足以弥补甲方损失的，应承担赔偿责任，甲方有权继续向乙方追偿。乙方应支付给甲方的任何款项，甲方有权从任何应支付未支付给乙方的款项中直接抵扣。</w:t>
      </w:r>
    </w:p>
    <w:p w14:paraId="59678071">
      <w:pPr>
        <w:autoSpaceDE w:val="0"/>
        <w:spacing w:line="400" w:lineRule="exact"/>
        <w:ind w:firstLine="480" w:firstLineChars="200"/>
        <w:rPr>
          <w:rFonts w:hint="eastAsia" w:ascii="宋体" w:hAnsi="宋体"/>
          <w:sz w:val="24"/>
          <w:szCs w:val="24"/>
        </w:rPr>
      </w:pPr>
      <w:r>
        <w:rPr>
          <w:rFonts w:hint="eastAsia" w:ascii="宋体" w:hAnsi="宋体"/>
          <w:sz w:val="24"/>
          <w:szCs w:val="24"/>
        </w:rPr>
        <w:t>10.甲方延期付货款的，每天向乙方偿付延期货款额3‰的违约金，但违约金累计不得超过延期货款额的5%。</w:t>
      </w:r>
    </w:p>
    <w:p w14:paraId="64DCA524">
      <w:pPr>
        <w:autoSpaceDE w:val="0"/>
        <w:spacing w:line="400" w:lineRule="exact"/>
        <w:ind w:firstLine="480" w:firstLineChars="200"/>
        <w:rPr>
          <w:rFonts w:hint="eastAsia" w:ascii="宋体" w:hAnsi="宋体"/>
          <w:sz w:val="24"/>
          <w:szCs w:val="24"/>
        </w:rPr>
      </w:pPr>
      <w:r>
        <w:rPr>
          <w:rFonts w:hint="eastAsia" w:ascii="宋体" w:hAnsi="宋体"/>
          <w:sz w:val="24"/>
          <w:szCs w:val="24"/>
        </w:rPr>
        <w:t>11.本合同所称的甲方经济损失或者甲方损失，包括甲方遭受的全部直接经济损失及为此支出的合理费用（包括但不限于为此支出的调查费、诉讼费、保全费、律师费、差旅费等）。</w:t>
      </w:r>
    </w:p>
    <w:p w14:paraId="20AE9F14">
      <w:pPr>
        <w:autoSpaceDE w:val="0"/>
        <w:spacing w:line="400" w:lineRule="exact"/>
        <w:ind w:firstLine="480" w:firstLineChars="200"/>
        <w:rPr>
          <w:rFonts w:hint="eastAsia" w:ascii="宋体" w:hAnsi="宋体"/>
          <w:kern w:val="0"/>
          <w:sz w:val="24"/>
          <w:szCs w:val="24"/>
        </w:rPr>
      </w:pPr>
      <w:r>
        <w:rPr>
          <w:rFonts w:hint="eastAsia" w:ascii="宋体" w:hAnsi="宋体"/>
          <w:kern w:val="0"/>
          <w:sz w:val="24"/>
          <w:szCs w:val="24"/>
        </w:rPr>
        <w:t>第十三条 不可抗力事件处理</w:t>
      </w:r>
    </w:p>
    <w:p w14:paraId="0206BE98">
      <w:pPr>
        <w:autoSpaceDE w:val="0"/>
        <w:spacing w:line="400" w:lineRule="exact"/>
        <w:ind w:firstLine="480" w:firstLineChars="200"/>
        <w:rPr>
          <w:rFonts w:hint="eastAsia" w:ascii="宋体" w:hAnsi="宋体"/>
          <w:sz w:val="24"/>
          <w:szCs w:val="24"/>
        </w:rPr>
      </w:pPr>
      <w:r>
        <w:rPr>
          <w:rFonts w:hint="eastAsia" w:ascii="宋体" w:hAnsi="宋体"/>
          <w:sz w:val="24"/>
          <w:szCs w:val="24"/>
        </w:rPr>
        <w:t>1.在合同有效期内，任何一方因不可抗力事件导致不能履行合同，则合同履行期可延长，其延长期与不可抗力影响期相同。</w:t>
      </w:r>
    </w:p>
    <w:p w14:paraId="794D2ED1">
      <w:pPr>
        <w:autoSpaceDE w:val="0"/>
        <w:spacing w:line="400" w:lineRule="exact"/>
        <w:ind w:firstLine="480" w:firstLineChars="200"/>
        <w:rPr>
          <w:rFonts w:hint="eastAsia" w:ascii="宋体" w:hAnsi="宋体"/>
          <w:sz w:val="24"/>
          <w:szCs w:val="24"/>
        </w:rPr>
      </w:pPr>
      <w:r>
        <w:rPr>
          <w:rFonts w:hint="eastAsia" w:ascii="宋体" w:hAnsi="宋体"/>
          <w:sz w:val="24"/>
          <w:szCs w:val="24"/>
        </w:rPr>
        <w:t>2.不可抗力事件发生后，应立即通知对方，并寄送有关权威机构出具的证明。</w:t>
      </w:r>
    </w:p>
    <w:p w14:paraId="0C66CE7E">
      <w:pPr>
        <w:autoSpaceDE w:val="0"/>
        <w:spacing w:line="400" w:lineRule="exact"/>
        <w:ind w:firstLine="480" w:firstLineChars="200"/>
        <w:rPr>
          <w:rFonts w:hint="eastAsia" w:ascii="宋体" w:hAnsi="宋体"/>
          <w:sz w:val="24"/>
          <w:szCs w:val="24"/>
        </w:rPr>
      </w:pPr>
      <w:r>
        <w:rPr>
          <w:rFonts w:hint="eastAsia" w:ascii="宋体" w:hAnsi="宋体"/>
          <w:sz w:val="24"/>
          <w:szCs w:val="24"/>
        </w:rPr>
        <w:t>3.不可抗力事件延续一百二十天以上，甲乙双方应通过友好协商，确定是否继续履行合同。</w:t>
      </w:r>
    </w:p>
    <w:p w14:paraId="32BFB28B">
      <w:pPr>
        <w:autoSpaceDE w:val="0"/>
        <w:spacing w:line="400" w:lineRule="exact"/>
        <w:ind w:firstLine="480" w:firstLineChars="200"/>
        <w:rPr>
          <w:rFonts w:hint="eastAsia" w:ascii="宋体" w:hAnsi="宋体"/>
          <w:sz w:val="24"/>
          <w:szCs w:val="24"/>
        </w:rPr>
      </w:pPr>
      <w:r>
        <w:rPr>
          <w:rFonts w:hint="eastAsia" w:ascii="宋体" w:hAnsi="宋体"/>
          <w:sz w:val="24"/>
          <w:szCs w:val="24"/>
        </w:rPr>
        <w:t>4.合同履行过程中，因接受政府行政指令而无法履行的，接受政府行政指令的一方可以免除责任。</w:t>
      </w:r>
    </w:p>
    <w:p w14:paraId="6BE42016">
      <w:pPr>
        <w:autoSpaceDE w:val="0"/>
        <w:spacing w:line="400" w:lineRule="exact"/>
        <w:ind w:firstLine="480" w:firstLineChars="200"/>
        <w:rPr>
          <w:rFonts w:hint="eastAsia" w:ascii="宋体" w:hAnsi="宋体"/>
          <w:kern w:val="0"/>
          <w:sz w:val="24"/>
          <w:szCs w:val="24"/>
        </w:rPr>
      </w:pPr>
      <w:r>
        <w:rPr>
          <w:rFonts w:hint="eastAsia" w:ascii="宋体" w:hAnsi="宋体"/>
          <w:kern w:val="0"/>
          <w:sz w:val="24"/>
          <w:szCs w:val="24"/>
        </w:rPr>
        <w:t>第十四条 合同争议解决</w:t>
      </w:r>
    </w:p>
    <w:p w14:paraId="39FF83EE">
      <w:pPr>
        <w:autoSpaceDE w:val="0"/>
        <w:spacing w:line="400" w:lineRule="exact"/>
        <w:ind w:firstLine="480" w:firstLineChars="200"/>
        <w:rPr>
          <w:rFonts w:hint="eastAsia" w:ascii="宋体" w:hAnsi="宋体"/>
          <w:sz w:val="24"/>
          <w:szCs w:val="24"/>
        </w:rPr>
      </w:pPr>
      <w:r>
        <w:rPr>
          <w:rFonts w:hint="eastAsia" w:ascii="宋体" w:hAnsi="宋体"/>
          <w:sz w:val="24"/>
          <w:szCs w:val="24"/>
        </w:rPr>
        <w:t>1.因货物质量问题发生争议的，应提交具有相应资质的机构进行鉴定。货物符合标准的，鉴定费由甲方承担；货物不符合标准的，鉴定费由乙方承担。</w:t>
      </w:r>
    </w:p>
    <w:p w14:paraId="231DC6D6">
      <w:pPr>
        <w:autoSpaceDE w:val="0"/>
        <w:spacing w:line="400" w:lineRule="exact"/>
        <w:ind w:firstLine="480" w:firstLineChars="200"/>
        <w:rPr>
          <w:rFonts w:hint="eastAsia" w:ascii="宋体" w:hAnsi="宋体"/>
          <w:sz w:val="24"/>
          <w:szCs w:val="24"/>
        </w:rPr>
      </w:pPr>
      <w:r>
        <w:rPr>
          <w:rFonts w:hint="eastAsia" w:ascii="宋体" w:hAnsi="宋体"/>
          <w:sz w:val="24"/>
          <w:szCs w:val="24"/>
        </w:rPr>
        <w:t>2.因履行本合同引起的或者与本合同有关的争议，甲乙双方应首先通过友好协商解决，如果协商不能解决，可向甲方所在地有管辖权的人民法院提起诉讼。</w:t>
      </w:r>
    </w:p>
    <w:p w14:paraId="2932C212">
      <w:pPr>
        <w:autoSpaceDE w:val="0"/>
        <w:spacing w:line="400" w:lineRule="exact"/>
        <w:ind w:firstLine="480" w:firstLineChars="200"/>
        <w:rPr>
          <w:rFonts w:hint="eastAsia" w:ascii="宋体" w:hAnsi="宋体"/>
          <w:kern w:val="0"/>
          <w:sz w:val="24"/>
          <w:szCs w:val="24"/>
        </w:rPr>
      </w:pPr>
      <w:r>
        <w:rPr>
          <w:rFonts w:hint="eastAsia" w:ascii="宋体" w:hAnsi="宋体"/>
          <w:kern w:val="0"/>
          <w:sz w:val="24"/>
          <w:szCs w:val="24"/>
        </w:rPr>
        <w:t>第十五条 合同生效及其他</w:t>
      </w:r>
    </w:p>
    <w:p w14:paraId="2FEE0AFE">
      <w:pPr>
        <w:autoSpaceDE w:val="0"/>
        <w:spacing w:line="400" w:lineRule="exact"/>
        <w:ind w:firstLine="480" w:firstLineChars="200"/>
        <w:rPr>
          <w:rFonts w:hint="eastAsia" w:ascii="宋体" w:hAnsi="宋体"/>
          <w:sz w:val="24"/>
          <w:szCs w:val="24"/>
        </w:rPr>
      </w:pPr>
      <w:r>
        <w:rPr>
          <w:rFonts w:hint="eastAsia" w:ascii="宋体" w:hAnsi="宋体"/>
          <w:sz w:val="24"/>
          <w:szCs w:val="24"/>
        </w:rPr>
        <w:t>1.合同经甲乙双方法定代表人或者授权代表签字并加盖单位公章后生效。</w:t>
      </w:r>
    </w:p>
    <w:p w14:paraId="55F18E03">
      <w:pPr>
        <w:autoSpaceDE w:val="0"/>
        <w:spacing w:line="400" w:lineRule="exact"/>
        <w:ind w:firstLine="480" w:firstLineChars="200"/>
        <w:rPr>
          <w:rFonts w:hint="eastAsia" w:ascii="宋体" w:hAnsi="宋体"/>
          <w:sz w:val="24"/>
          <w:szCs w:val="24"/>
        </w:rPr>
      </w:pPr>
      <w:r>
        <w:rPr>
          <w:rFonts w:hint="eastAsia" w:ascii="宋体" w:hAnsi="宋体"/>
          <w:sz w:val="24"/>
          <w:szCs w:val="24"/>
        </w:rPr>
        <w:t>2.合同执行中涉及采购资金和采购内容修改或者补充的，须经政府采购监管部门审批，并签书面补充协议报政府采购监管部门备案，方可作为主合同不可分割的一部分。</w:t>
      </w:r>
    </w:p>
    <w:p w14:paraId="1E68C811">
      <w:pPr>
        <w:autoSpaceDE w:val="0"/>
        <w:spacing w:line="400" w:lineRule="exact"/>
        <w:ind w:firstLine="480" w:firstLineChars="200"/>
        <w:rPr>
          <w:rFonts w:hint="eastAsia" w:ascii="宋体" w:hAnsi="宋体"/>
          <w:sz w:val="24"/>
          <w:szCs w:val="24"/>
        </w:rPr>
      </w:pPr>
      <w:r>
        <w:rPr>
          <w:rFonts w:hint="eastAsia" w:ascii="宋体" w:hAnsi="宋体"/>
          <w:sz w:val="24"/>
          <w:szCs w:val="24"/>
        </w:rPr>
        <w:t>3.合同未尽事宜，遵照《中华人民共和国民法典》等相关法律、法规规定有关条文执行。</w:t>
      </w:r>
    </w:p>
    <w:p w14:paraId="0418E673">
      <w:pPr>
        <w:autoSpaceDE w:val="0"/>
        <w:spacing w:line="400" w:lineRule="exact"/>
        <w:ind w:firstLine="480" w:firstLineChars="200"/>
        <w:rPr>
          <w:rFonts w:hint="eastAsia" w:ascii="宋体" w:hAnsi="宋体"/>
          <w:kern w:val="0"/>
          <w:sz w:val="24"/>
          <w:szCs w:val="24"/>
        </w:rPr>
      </w:pPr>
      <w:r>
        <w:rPr>
          <w:rFonts w:hint="eastAsia" w:ascii="宋体" w:hAnsi="宋体"/>
          <w:kern w:val="0"/>
          <w:sz w:val="24"/>
          <w:szCs w:val="24"/>
        </w:rPr>
        <w:t>第十六条 合同的变更、终止与转让</w:t>
      </w:r>
    </w:p>
    <w:p w14:paraId="630F3C77">
      <w:pPr>
        <w:autoSpaceDE w:val="0"/>
        <w:spacing w:line="400" w:lineRule="exact"/>
        <w:ind w:firstLine="480" w:firstLineChars="200"/>
        <w:rPr>
          <w:rFonts w:hint="eastAsia" w:ascii="宋体" w:hAnsi="宋体"/>
          <w:sz w:val="24"/>
          <w:szCs w:val="24"/>
        </w:rPr>
      </w:pPr>
      <w:r>
        <w:rPr>
          <w:rFonts w:hint="eastAsia" w:ascii="宋体" w:hAnsi="宋体"/>
          <w:sz w:val="24"/>
          <w:szCs w:val="24"/>
        </w:rPr>
        <w:t>1.除《中华人民共和国政府采购法》第五十条规定的情形外，本合同一经签订，甲乙双方不得擅自变更、中止或者终止。</w:t>
      </w:r>
    </w:p>
    <w:p w14:paraId="230ABCD2">
      <w:pPr>
        <w:autoSpaceDE w:val="0"/>
        <w:spacing w:line="400" w:lineRule="exact"/>
        <w:ind w:firstLine="480" w:firstLineChars="200"/>
        <w:rPr>
          <w:rFonts w:hint="eastAsia" w:ascii="宋体" w:hAnsi="宋体"/>
          <w:sz w:val="24"/>
          <w:szCs w:val="24"/>
        </w:rPr>
      </w:pPr>
      <w:r>
        <w:rPr>
          <w:rFonts w:hint="eastAsia" w:ascii="宋体" w:hAnsi="宋体"/>
          <w:sz w:val="24"/>
          <w:szCs w:val="24"/>
        </w:rPr>
        <w:t>2.未经甲方书面同意，乙方不得擅自转让其应履行的合同义务。</w:t>
      </w:r>
    </w:p>
    <w:p w14:paraId="173249F4">
      <w:pPr>
        <w:autoSpaceDE w:val="0"/>
        <w:spacing w:line="400" w:lineRule="exact"/>
        <w:ind w:firstLine="480" w:firstLineChars="200"/>
        <w:rPr>
          <w:rFonts w:hint="eastAsia" w:ascii="宋体" w:hAnsi="宋体"/>
          <w:kern w:val="0"/>
          <w:sz w:val="24"/>
          <w:szCs w:val="24"/>
        </w:rPr>
      </w:pPr>
      <w:r>
        <w:rPr>
          <w:rFonts w:hint="eastAsia" w:ascii="宋体" w:hAnsi="宋体"/>
          <w:kern w:val="0"/>
          <w:sz w:val="24"/>
          <w:szCs w:val="24"/>
        </w:rPr>
        <w:t>第十七条 本合同与下列文件一起构成合同文件</w:t>
      </w:r>
    </w:p>
    <w:p w14:paraId="2CA4AB53">
      <w:pPr>
        <w:autoSpaceDE w:val="0"/>
        <w:spacing w:line="400" w:lineRule="exact"/>
        <w:ind w:firstLine="480" w:firstLineChars="200"/>
        <w:rPr>
          <w:rFonts w:hint="eastAsia" w:ascii="宋体" w:hAnsi="宋体"/>
          <w:sz w:val="24"/>
          <w:szCs w:val="24"/>
        </w:rPr>
      </w:pPr>
      <w:r>
        <w:rPr>
          <w:rFonts w:hint="eastAsia" w:ascii="宋体" w:hAnsi="宋体"/>
          <w:sz w:val="24"/>
          <w:szCs w:val="24"/>
        </w:rPr>
        <w:t>1.中标通知书；</w:t>
      </w:r>
    </w:p>
    <w:p w14:paraId="53406322">
      <w:pPr>
        <w:autoSpaceDE w:val="0"/>
        <w:spacing w:line="400" w:lineRule="exact"/>
        <w:ind w:firstLine="480" w:firstLineChars="200"/>
        <w:rPr>
          <w:rFonts w:hint="eastAsia" w:ascii="宋体" w:hAnsi="宋体"/>
          <w:sz w:val="24"/>
          <w:szCs w:val="24"/>
        </w:rPr>
      </w:pPr>
      <w:r>
        <w:rPr>
          <w:rFonts w:hint="eastAsia" w:ascii="宋体" w:hAnsi="宋体"/>
          <w:sz w:val="24"/>
          <w:szCs w:val="24"/>
        </w:rPr>
        <w:t>2.开标一览表；</w:t>
      </w:r>
    </w:p>
    <w:p w14:paraId="11571E34">
      <w:pPr>
        <w:autoSpaceDE w:val="0"/>
        <w:spacing w:line="400" w:lineRule="exact"/>
        <w:ind w:firstLine="480" w:firstLineChars="200"/>
        <w:rPr>
          <w:rFonts w:hint="eastAsia" w:ascii="宋体" w:hAnsi="宋体"/>
          <w:sz w:val="24"/>
          <w:szCs w:val="24"/>
        </w:rPr>
      </w:pPr>
      <w:r>
        <w:rPr>
          <w:rFonts w:hint="eastAsia" w:ascii="宋体" w:hAnsi="宋体"/>
          <w:sz w:val="24"/>
          <w:szCs w:val="24"/>
        </w:rPr>
        <w:t>3.采购需求；</w:t>
      </w:r>
    </w:p>
    <w:p w14:paraId="460E2B1D">
      <w:pPr>
        <w:autoSpaceDE w:val="0"/>
        <w:spacing w:line="400" w:lineRule="exact"/>
        <w:ind w:firstLine="480" w:firstLineChars="200"/>
        <w:rPr>
          <w:rFonts w:hint="eastAsia" w:ascii="宋体" w:hAnsi="宋体"/>
          <w:sz w:val="24"/>
          <w:szCs w:val="24"/>
        </w:rPr>
      </w:pPr>
      <w:r>
        <w:rPr>
          <w:rFonts w:hint="eastAsia" w:ascii="宋体" w:hAnsi="宋体"/>
          <w:sz w:val="24"/>
          <w:szCs w:val="24"/>
        </w:rPr>
        <w:t>4.投标函；</w:t>
      </w:r>
    </w:p>
    <w:p w14:paraId="059BC2D5">
      <w:pPr>
        <w:autoSpaceDE w:val="0"/>
        <w:spacing w:line="400" w:lineRule="exact"/>
        <w:ind w:firstLine="480" w:firstLineChars="200"/>
        <w:rPr>
          <w:rFonts w:hint="eastAsia" w:ascii="宋体" w:hAnsi="宋体"/>
          <w:sz w:val="24"/>
          <w:szCs w:val="24"/>
        </w:rPr>
      </w:pPr>
      <w:r>
        <w:rPr>
          <w:rFonts w:hint="eastAsia" w:ascii="宋体" w:hAnsi="宋体"/>
          <w:sz w:val="24"/>
          <w:szCs w:val="24"/>
        </w:rPr>
        <w:t>5.商务条款偏离表和技术需求偏离表；</w:t>
      </w:r>
    </w:p>
    <w:p w14:paraId="5926FFEB">
      <w:pPr>
        <w:autoSpaceDE w:val="0"/>
        <w:spacing w:line="400" w:lineRule="exact"/>
        <w:ind w:firstLine="480" w:firstLineChars="200"/>
        <w:rPr>
          <w:rFonts w:hint="eastAsia" w:ascii="宋体" w:hAnsi="宋体"/>
          <w:sz w:val="24"/>
          <w:szCs w:val="24"/>
        </w:rPr>
      </w:pPr>
      <w:r>
        <w:rPr>
          <w:rFonts w:hint="eastAsia" w:ascii="宋体" w:hAnsi="宋体"/>
          <w:sz w:val="24"/>
          <w:szCs w:val="24"/>
        </w:rPr>
        <w:t>6.设备性能配置清单；</w:t>
      </w:r>
    </w:p>
    <w:p w14:paraId="6E1EEAE7">
      <w:pPr>
        <w:autoSpaceDE w:val="0"/>
        <w:spacing w:line="400" w:lineRule="exact"/>
        <w:ind w:firstLine="480" w:firstLineChars="200"/>
        <w:rPr>
          <w:rFonts w:hint="eastAsia" w:ascii="宋体" w:hAnsi="宋体"/>
          <w:sz w:val="24"/>
          <w:szCs w:val="24"/>
        </w:rPr>
      </w:pPr>
      <w:r>
        <w:rPr>
          <w:rFonts w:hint="eastAsia" w:ascii="宋体" w:hAnsi="宋体"/>
          <w:sz w:val="24"/>
          <w:szCs w:val="24"/>
        </w:rPr>
        <w:t>7.投标文件中的其他相关文件。</w:t>
      </w:r>
    </w:p>
    <w:p w14:paraId="68F27E35">
      <w:pPr>
        <w:autoSpaceDE w:val="0"/>
        <w:spacing w:line="400" w:lineRule="exact"/>
        <w:ind w:firstLine="480" w:firstLineChars="200"/>
        <w:rPr>
          <w:rFonts w:hint="eastAsia" w:ascii="宋体" w:hAnsi="宋体"/>
          <w:sz w:val="24"/>
          <w:szCs w:val="24"/>
        </w:rPr>
      </w:pPr>
      <w:r>
        <w:rPr>
          <w:rFonts w:hint="eastAsia" w:ascii="宋体" w:hAnsi="宋体"/>
          <w:sz w:val="24"/>
          <w:szCs w:val="24"/>
        </w:rPr>
        <w:t>上述合同文件互相补充和解释。如果合同文件之间存在矛盾或者不一致之处，以本合同、上述文件的排列顺序在先者为准。</w:t>
      </w:r>
    </w:p>
    <w:p w14:paraId="1725B12B">
      <w:pPr>
        <w:autoSpaceDE w:val="0"/>
        <w:spacing w:line="400" w:lineRule="exact"/>
        <w:ind w:firstLine="480" w:firstLineChars="200"/>
        <w:rPr>
          <w:rFonts w:hint="eastAsia" w:ascii="宋体" w:hAnsi="宋体"/>
          <w:kern w:val="0"/>
          <w:sz w:val="24"/>
          <w:szCs w:val="24"/>
        </w:rPr>
      </w:pPr>
      <w:r>
        <w:rPr>
          <w:rFonts w:hint="eastAsia" w:ascii="宋体" w:hAnsi="宋体"/>
          <w:kern w:val="0"/>
          <w:sz w:val="24"/>
          <w:szCs w:val="24"/>
        </w:rPr>
        <w:t>第十八条 其他约定事项</w:t>
      </w:r>
    </w:p>
    <w:p w14:paraId="4D16473D">
      <w:pPr>
        <w:autoSpaceDE w:val="0"/>
        <w:spacing w:line="400" w:lineRule="exact"/>
        <w:ind w:firstLine="480" w:firstLineChars="200"/>
        <w:rPr>
          <w:rFonts w:hint="eastAsia" w:ascii="宋体" w:hAnsi="宋体"/>
          <w:sz w:val="24"/>
          <w:szCs w:val="24"/>
        </w:rPr>
      </w:pPr>
      <w:r>
        <w:rPr>
          <w:rFonts w:hint="eastAsia" w:ascii="宋体" w:hAnsi="宋体"/>
          <w:sz w:val="24"/>
          <w:szCs w:val="24"/>
        </w:rPr>
        <w:t>1.本合同所有附件及相关文件均为本合同的有效组成部分，与本合同具有同等法律效力。若合同附件与本合同存在不一致的，则以本合同为准。</w:t>
      </w:r>
    </w:p>
    <w:p w14:paraId="336371F0">
      <w:pPr>
        <w:autoSpaceDE w:val="0"/>
        <w:spacing w:line="400" w:lineRule="exact"/>
        <w:ind w:firstLine="480" w:firstLineChars="200"/>
        <w:rPr>
          <w:rFonts w:hint="eastAsia" w:ascii="宋体" w:hAnsi="宋体"/>
          <w:sz w:val="24"/>
          <w:szCs w:val="24"/>
        </w:rPr>
      </w:pPr>
      <w:r>
        <w:rPr>
          <w:rFonts w:hint="eastAsia" w:ascii="宋体" w:hAnsi="宋体"/>
          <w:sz w:val="24"/>
          <w:szCs w:val="24"/>
        </w:rPr>
        <w:t>2.在履行本合同过程中，所有经甲乙双方签署确认的文件（包括会议纪要、补充协议、往来信函、电子邮件等）即成为本合同的有效组成部分。</w:t>
      </w:r>
    </w:p>
    <w:p w14:paraId="4A8636BD">
      <w:pPr>
        <w:autoSpaceDE w:val="0"/>
        <w:spacing w:line="400" w:lineRule="exact"/>
        <w:ind w:firstLine="480" w:firstLineChars="200"/>
        <w:rPr>
          <w:rFonts w:hint="eastAsia" w:ascii="宋体" w:hAnsi="宋体"/>
          <w:sz w:val="24"/>
          <w:szCs w:val="24"/>
        </w:rPr>
      </w:pPr>
      <w:r>
        <w:rPr>
          <w:rFonts w:hint="eastAsia" w:ascii="宋体" w:hAnsi="宋体"/>
          <w:sz w:val="24"/>
          <w:szCs w:val="24"/>
        </w:rPr>
        <w:t>3.甲乙双方确认，以下为各方真实有效通讯地址：</w:t>
      </w:r>
    </w:p>
    <w:p w14:paraId="7DA1811C">
      <w:pPr>
        <w:autoSpaceDE w:val="0"/>
        <w:spacing w:line="400" w:lineRule="exact"/>
        <w:ind w:firstLine="480" w:firstLineChars="200"/>
        <w:rPr>
          <w:rFonts w:hint="eastAsia" w:ascii="宋体" w:hAnsi="宋体"/>
          <w:sz w:val="24"/>
          <w:szCs w:val="24"/>
        </w:rPr>
      </w:pPr>
      <w:r>
        <w:rPr>
          <w:rFonts w:hint="eastAsia" w:ascii="宋体" w:hAnsi="宋体"/>
          <w:sz w:val="24"/>
          <w:szCs w:val="24"/>
        </w:rPr>
        <w:t>甲方：</w:t>
      </w:r>
      <w:r>
        <w:rPr>
          <w:rFonts w:hint="eastAsia" w:ascii="宋体" w:hAnsi="宋体"/>
          <w:sz w:val="24"/>
          <w:szCs w:val="24"/>
          <w:u w:val="single"/>
        </w:rPr>
        <w:t>广西壮族自治区海洋环境监测中心站</w:t>
      </w:r>
      <w:r>
        <w:rPr>
          <w:rFonts w:hint="eastAsia" w:ascii="宋体" w:hAnsi="宋体"/>
          <w:sz w:val="24"/>
          <w:szCs w:val="24"/>
        </w:rPr>
        <w:t>，地址：</w:t>
      </w:r>
      <w:r>
        <w:rPr>
          <w:rFonts w:hint="eastAsia" w:ascii="宋体" w:hAnsi="宋体"/>
          <w:sz w:val="24"/>
          <w:szCs w:val="24"/>
          <w:u w:val="single"/>
        </w:rPr>
        <w:t>广西北海市海城区公园路49号</w:t>
      </w:r>
      <w:r>
        <w:rPr>
          <w:rFonts w:hint="eastAsia" w:ascii="宋体" w:hAnsi="宋体"/>
          <w:sz w:val="24"/>
          <w:szCs w:val="24"/>
        </w:rPr>
        <w:t>，收件人：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，电子邮箱：</w:t>
      </w:r>
      <w:r>
        <w:rPr>
          <w:rFonts w:hint="eastAsia" w:ascii="宋体" w:hAnsi="宋体"/>
          <w:sz w:val="24"/>
          <w:szCs w:val="24"/>
          <w:u w:val="single"/>
        </w:rPr>
        <w:t xml:space="preserve">         </w:t>
      </w:r>
      <w:r>
        <w:rPr>
          <w:rFonts w:hint="eastAsia" w:ascii="宋体" w:hAnsi="宋体"/>
          <w:sz w:val="24"/>
          <w:szCs w:val="24"/>
        </w:rPr>
        <w:t>。</w:t>
      </w:r>
    </w:p>
    <w:p w14:paraId="29DF979E">
      <w:pPr>
        <w:autoSpaceDE w:val="0"/>
        <w:spacing w:line="400" w:lineRule="exact"/>
        <w:ind w:firstLine="480" w:firstLineChars="200"/>
        <w:rPr>
          <w:rFonts w:hint="eastAsia" w:ascii="宋体" w:hAnsi="宋体"/>
          <w:sz w:val="24"/>
          <w:szCs w:val="24"/>
        </w:rPr>
      </w:pPr>
      <w:r>
        <w:rPr>
          <w:rFonts w:hint="eastAsia" w:ascii="宋体" w:hAnsi="宋体"/>
          <w:sz w:val="24"/>
          <w:szCs w:val="24"/>
        </w:rPr>
        <w:t>乙方：</w:t>
      </w:r>
      <w:r>
        <w:rPr>
          <w:rFonts w:hint="eastAsia" w:ascii="宋体" w:hAnsi="宋体"/>
          <w:sz w:val="24"/>
          <w:szCs w:val="24"/>
          <w:u w:val="single"/>
        </w:rPr>
        <w:t xml:space="preserve">     </w:t>
      </w: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，收件人：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，电子邮箱：</w:t>
      </w:r>
      <w:r>
        <w:rPr>
          <w:rFonts w:hint="eastAsia" w:ascii="宋体" w:hAnsi="宋体"/>
          <w:sz w:val="24"/>
          <w:szCs w:val="24"/>
          <w:u w:val="single"/>
        </w:rPr>
        <w:t xml:space="preserve">         </w:t>
      </w:r>
      <w:r>
        <w:rPr>
          <w:rFonts w:hint="eastAsia" w:ascii="宋体" w:hAnsi="宋体"/>
          <w:sz w:val="24"/>
          <w:szCs w:val="24"/>
        </w:rPr>
        <w:t>。</w:t>
      </w:r>
    </w:p>
    <w:p w14:paraId="3D56E9F4">
      <w:pPr>
        <w:autoSpaceDE w:val="0"/>
        <w:spacing w:line="400" w:lineRule="exact"/>
        <w:ind w:firstLine="480" w:firstLineChars="200"/>
        <w:rPr>
          <w:rFonts w:hint="eastAsia" w:ascii="宋体" w:hAnsi="宋体"/>
          <w:sz w:val="24"/>
          <w:szCs w:val="24"/>
        </w:rPr>
      </w:pPr>
      <w:r>
        <w:rPr>
          <w:rFonts w:hint="eastAsia" w:ascii="宋体" w:hAnsi="宋体"/>
          <w:sz w:val="24"/>
          <w:szCs w:val="24"/>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14:paraId="5E8703CB">
      <w:pPr>
        <w:autoSpaceDE w:val="0"/>
        <w:spacing w:line="400" w:lineRule="exact"/>
        <w:ind w:firstLine="480" w:firstLineChars="200"/>
        <w:rPr>
          <w:rFonts w:hint="eastAsia" w:ascii="宋体" w:hAnsi="宋体"/>
          <w:sz w:val="24"/>
          <w:szCs w:val="24"/>
        </w:rPr>
      </w:pPr>
      <w:r>
        <w:rPr>
          <w:rFonts w:hint="eastAsia" w:ascii="宋体" w:hAnsi="宋体"/>
          <w:sz w:val="24"/>
          <w:szCs w:val="24"/>
        </w:rPr>
        <w:t>4.本合同一式</w:t>
      </w:r>
      <w:r>
        <w:rPr>
          <w:rFonts w:hint="eastAsia" w:ascii="宋体" w:hAnsi="宋体"/>
          <w:sz w:val="24"/>
          <w:szCs w:val="24"/>
          <w:u w:val="single"/>
        </w:rPr>
        <w:t>六</w:t>
      </w:r>
      <w:r>
        <w:rPr>
          <w:rFonts w:hint="eastAsia" w:ascii="宋体" w:hAnsi="宋体"/>
          <w:sz w:val="24"/>
          <w:szCs w:val="24"/>
        </w:rPr>
        <w:t>份，具有同等法律效力，政府采购监管部门、采购代理机构各一份，甲乙双方各</w:t>
      </w:r>
      <w:r>
        <w:rPr>
          <w:rFonts w:hint="eastAsia" w:ascii="宋体" w:hAnsi="宋体"/>
          <w:sz w:val="24"/>
          <w:szCs w:val="24"/>
          <w:u w:val="single"/>
        </w:rPr>
        <w:t>二</w:t>
      </w:r>
      <w:r>
        <w:rPr>
          <w:rFonts w:hint="eastAsia" w:ascii="宋体" w:hAnsi="宋体"/>
          <w:sz w:val="24"/>
          <w:szCs w:val="24"/>
        </w:rPr>
        <w:t>份。</w:t>
      </w:r>
    </w:p>
    <w:p w14:paraId="1AB809B0">
      <w:pPr>
        <w:autoSpaceDE w:val="0"/>
        <w:spacing w:line="400" w:lineRule="exact"/>
        <w:ind w:firstLine="480" w:firstLineChars="200"/>
        <w:rPr>
          <w:rFonts w:hint="eastAsia" w:ascii="宋体" w:hAnsi="宋体"/>
          <w:sz w:val="24"/>
          <w:szCs w:val="24"/>
        </w:rPr>
      </w:pPr>
      <w:r>
        <w:rPr>
          <w:rFonts w:hint="eastAsia" w:ascii="宋体" w:hAnsi="宋体"/>
          <w:sz w:val="24"/>
          <w:szCs w:val="24"/>
        </w:rPr>
        <w:t>本条款不因合同的变更、解除和终止而失效。</w:t>
      </w:r>
    </w:p>
    <w:p w14:paraId="221D2AD3">
      <w:pPr>
        <w:autoSpaceDE w:val="0"/>
        <w:spacing w:line="400" w:lineRule="exact"/>
        <w:ind w:firstLine="480" w:firstLineChars="200"/>
        <w:rPr>
          <w:rFonts w:hint="eastAsia" w:ascii="宋体" w:hAnsi="宋体"/>
          <w:b/>
          <w:bCs/>
          <w:sz w:val="24"/>
          <w:szCs w:val="24"/>
        </w:rPr>
      </w:pPr>
      <w:r>
        <w:rPr>
          <w:rFonts w:hint="eastAsia" w:ascii="宋体" w:hAnsi="宋体"/>
          <w:sz w:val="24"/>
          <w:szCs w:val="24"/>
        </w:rPr>
        <w:t>第十九条 合同附件</w:t>
      </w:r>
    </w:p>
    <w:p w14:paraId="43DC7F2C">
      <w:pPr>
        <w:autoSpaceDE w:val="0"/>
        <w:spacing w:line="400" w:lineRule="exact"/>
        <w:ind w:firstLine="480" w:firstLineChars="200"/>
        <w:rPr>
          <w:rFonts w:hint="eastAsia" w:ascii="宋体" w:hAnsi="宋体"/>
          <w:sz w:val="24"/>
          <w:szCs w:val="24"/>
        </w:rPr>
      </w:pPr>
      <w:r>
        <w:rPr>
          <w:rFonts w:hint="eastAsia" w:ascii="宋体" w:hAnsi="宋体"/>
          <w:sz w:val="24"/>
          <w:szCs w:val="24"/>
        </w:rPr>
        <w:t>附件一：</w:t>
      </w:r>
    </w:p>
    <w:p w14:paraId="6BF931AC">
      <w:pPr>
        <w:autoSpaceDE w:val="0"/>
        <w:spacing w:line="400" w:lineRule="exact"/>
        <w:ind w:firstLine="480" w:firstLineChars="200"/>
        <w:rPr>
          <w:rFonts w:hint="eastAsia" w:ascii="宋体" w:hAnsi="宋体"/>
          <w:sz w:val="24"/>
          <w:szCs w:val="24"/>
        </w:rPr>
      </w:pPr>
      <w:r>
        <w:rPr>
          <w:rFonts w:hint="eastAsia" w:ascii="宋体" w:hAnsi="宋体"/>
          <w:sz w:val="24"/>
          <w:szCs w:val="24"/>
        </w:rPr>
        <w:t>附件二：</w:t>
      </w:r>
    </w:p>
    <w:p w14:paraId="0B22DA01">
      <w:pPr>
        <w:autoSpaceDE w:val="0"/>
        <w:spacing w:line="600" w:lineRule="exact"/>
        <w:ind w:firstLine="241" w:firstLineChars="100"/>
        <w:rPr>
          <w:rFonts w:hint="eastAsia" w:ascii="宋体" w:hAnsi="宋体"/>
          <w:b/>
          <w:bCs/>
          <w:sz w:val="24"/>
          <w:szCs w:val="24"/>
        </w:rPr>
      </w:pPr>
      <w:r>
        <w:rPr>
          <w:rFonts w:hint="eastAsia" w:ascii="宋体" w:hAnsi="宋体"/>
          <w:b/>
          <w:bCs/>
          <w:sz w:val="24"/>
          <w:szCs w:val="24"/>
        </w:rPr>
        <w:t>甲方：                                     乙方：</w:t>
      </w:r>
    </w:p>
    <w:p w14:paraId="0ED81CA8">
      <w:pPr>
        <w:autoSpaceDE w:val="0"/>
        <w:spacing w:line="600" w:lineRule="exact"/>
        <w:ind w:firstLine="241" w:firstLineChars="100"/>
        <w:rPr>
          <w:rFonts w:hint="eastAsia" w:ascii="宋体" w:hAnsi="宋体"/>
          <w:b/>
          <w:bCs/>
          <w:sz w:val="24"/>
          <w:szCs w:val="24"/>
        </w:rPr>
      </w:pPr>
      <w:r>
        <w:rPr>
          <w:rFonts w:hint="eastAsia" w:ascii="宋体" w:hAnsi="宋体"/>
          <w:b/>
          <w:bCs/>
          <w:sz w:val="24"/>
          <w:szCs w:val="24"/>
        </w:rPr>
        <w:t>广西壮族自治区海洋环境监测中心站</w:t>
      </w:r>
    </w:p>
    <w:p w14:paraId="2A8F6A9E">
      <w:pPr>
        <w:autoSpaceDE w:val="0"/>
        <w:spacing w:line="600" w:lineRule="exact"/>
        <w:ind w:firstLine="241" w:firstLineChars="100"/>
        <w:rPr>
          <w:rFonts w:hint="eastAsia" w:ascii="宋体" w:hAnsi="宋体"/>
          <w:b/>
          <w:bCs/>
          <w:sz w:val="24"/>
          <w:szCs w:val="24"/>
        </w:rPr>
      </w:pPr>
      <w:r>
        <w:rPr>
          <w:rFonts w:hint="eastAsia" w:ascii="宋体" w:hAnsi="宋体"/>
          <w:b/>
          <w:bCs/>
          <w:sz w:val="24"/>
          <w:szCs w:val="24"/>
        </w:rPr>
        <w:t>法定代表人（负责人）：                     法定代表人（负责人）：</w:t>
      </w:r>
    </w:p>
    <w:p w14:paraId="5143ADF4">
      <w:pPr>
        <w:autoSpaceDE w:val="0"/>
        <w:spacing w:line="600" w:lineRule="exact"/>
        <w:ind w:firstLine="241" w:firstLineChars="100"/>
        <w:rPr>
          <w:rFonts w:hint="eastAsia" w:ascii="宋体" w:hAnsi="宋体"/>
          <w:b/>
          <w:bCs/>
          <w:sz w:val="24"/>
          <w:szCs w:val="24"/>
        </w:rPr>
      </w:pPr>
      <w:r>
        <w:rPr>
          <w:rFonts w:hint="eastAsia" w:ascii="宋体" w:hAnsi="宋体"/>
          <w:b/>
          <w:bCs/>
          <w:sz w:val="24"/>
          <w:szCs w:val="24"/>
        </w:rPr>
        <w:t>授权代表：                                 授权代表：</w:t>
      </w:r>
    </w:p>
    <w:p w14:paraId="4840FFC2">
      <w:pPr>
        <w:autoSpaceDE w:val="0"/>
        <w:spacing w:line="600" w:lineRule="exact"/>
        <w:ind w:firstLine="482" w:firstLineChars="200"/>
        <w:rPr>
          <w:rFonts w:hint="eastAsia" w:ascii="宋体" w:hAnsi="宋体"/>
          <w:sz w:val="24"/>
          <w:szCs w:val="24"/>
        </w:rPr>
      </w:pPr>
      <w:r>
        <w:rPr>
          <w:rFonts w:hint="eastAsia" w:ascii="宋体" w:hAnsi="宋体"/>
          <w:b/>
          <w:bCs/>
          <w:sz w:val="24"/>
          <w:szCs w:val="24"/>
        </w:rPr>
        <w:t>年  月  日                                年  月  日</w:t>
      </w:r>
    </w:p>
    <w:p w14:paraId="69CB48D9">
      <w:pPr>
        <w:rPr>
          <w:rFonts w:hint="eastAsia"/>
          <w:szCs w:val="21"/>
        </w:rPr>
      </w:pPr>
      <w:r>
        <w:rPr>
          <w:szCs w:val="21"/>
        </w:rPr>
        <w:t xml:space="preserve"> </w:t>
      </w:r>
    </w:p>
    <w:p w14:paraId="7C494376">
      <w:pPr>
        <w:keepNext/>
        <w:keepLines/>
        <w:autoSpaceDE w:val="0"/>
        <w:spacing w:before="240" w:after="120" w:line="560" w:lineRule="exact"/>
        <w:jc w:val="center"/>
        <w:outlineLvl w:val="0"/>
        <w:rPr>
          <w:rFonts w:ascii="宋体" w:hAnsi="宋体"/>
          <w:b/>
          <w:bCs/>
          <w:kern w:val="44"/>
          <w:sz w:val="44"/>
          <w:szCs w:val="44"/>
        </w:rPr>
        <w:sectPr>
          <w:footerReference r:id="rId4" w:type="default"/>
          <w:pgSz w:w="11906" w:h="16838"/>
          <w:pgMar w:top="1134" w:right="1134" w:bottom="1134" w:left="1134" w:header="720" w:footer="720" w:gutter="0"/>
          <w:pgNumType w:fmt="decimal"/>
          <w:cols w:space="720" w:num="1"/>
        </w:sectPr>
      </w:pPr>
    </w:p>
    <w:p w14:paraId="2FFED765"/>
    <w:p w14:paraId="2CB6D632">
      <w:pPr>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7C4B56E9">
      <w:pPr>
        <w:snapToGrid w:val="0"/>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73" w:name="_Toc13129"/>
      <w:r>
        <w:rPr>
          <w:rFonts w:hint="eastAsia" w:cs="仿宋_GB2312" w:asciiTheme="minorEastAsia" w:hAnsiTheme="minorEastAsia" w:eastAsiaTheme="minorEastAsia"/>
          <w:b/>
          <w:color w:val="000000" w:themeColor="text1"/>
          <w:sz w:val="36"/>
          <w:szCs w:val="20"/>
          <w14:textFill>
            <w14:solidFill>
              <w14:schemeClr w14:val="tx1"/>
            </w14:solidFill>
          </w14:textFill>
        </w:rPr>
        <w:t>第七部分</w:t>
      </w:r>
      <w:bookmarkEnd w:id="71"/>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w:t>
      </w:r>
      <w:bookmarkEnd w:id="72"/>
      <w:r>
        <w:rPr>
          <w:rFonts w:hint="eastAsia" w:cs="仿宋_GB2312" w:asciiTheme="minorEastAsia" w:hAnsiTheme="minorEastAsia" w:eastAsiaTheme="minorEastAsia"/>
          <w:b/>
          <w:color w:val="000000" w:themeColor="text1"/>
          <w:sz w:val="36"/>
          <w:szCs w:val="20"/>
          <w14:textFill>
            <w14:solidFill>
              <w14:schemeClr w14:val="tx1"/>
            </w14:solidFill>
          </w14:textFill>
        </w:rPr>
        <w:t>应提交的有关格式范例</w:t>
      </w:r>
      <w:bookmarkEnd w:id="73"/>
    </w:p>
    <w:p w14:paraId="2AE842EA">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供应商按照以下格式编制响应文件。</w:t>
      </w:r>
    </w:p>
    <w:p w14:paraId="2816673C">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2230E282">
      <w:pPr>
        <w:spacing w:line="360" w:lineRule="auto"/>
        <w:jc w:val="center"/>
        <w:rPr>
          <w:rFonts w:cs="仿宋_GB2312" w:asciiTheme="minorEastAsia" w:hAnsiTheme="minorEastAsia" w:eastAsiaTheme="minorEastAsia"/>
          <w:b/>
          <w:color w:val="000000" w:themeColor="text1"/>
          <w:kern w:val="0"/>
          <w:sz w:val="36"/>
          <w:szCs w:val="36"/>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14:textFill>
            <w14:solidFill>
              <w14:schemeClr w14:val="tx1"/>
            </w14:solidFill>
          </w14:textFill>
        </w:rPr>
        <w:t>目录</w:t>
      </w:r>
    </w:p>
    <w:p w14:paraId="36D16E29">
      <w:pPr>
        <w:spacing w:line="360" w:lineRule="auto"/>
        <w:rPr>
          <w:rFonts w:hint="eastAsia" w:cs="仿宋_GB2312" w:asciiTheme="minorEastAsia" w:hAnsiTheme="minorEastAsia" w:eastAsiaTheme="minorEastAsia"/>
          <w:b/>
          <w:bCs/>
          <w:color w:val="000000" w:themeColor="text1"/>
          <w:sz w:val="24"/>
          <w14:textFill>
            <w14:solidFill>
              <w14:schemeClr w14:val="tx1"/>
            </w14:solidFill>
          </w14:textFill>
        </w:rPr>
      </w:pPr>
    </w:p>
    <w:p w14:paraId="25A82A9E">
      <w:pPr>
        <w:spacing w:line="360" w:lineRule="auto"/>
        <w:rPr>
          <w:rFonts w:hint="eastAsia" w:cs="仿宋_GB2312" w:asciiTheme="minorEastAsia" w:hAnsiTheme="minorEastAsia" w:eastAsiaTheme="minorEastAsia"/>
          <w:b/>
          <w:bCs/>
          <w:color w:val="000000" w:themeColor="text1"/>
          <w:sz w:val="24"/>
          <w14:textFill>
            <w14:solidFill>
              <w14:schemeClr w14:val="tx1"/>
            </w14:solidFill>
          </w14:textFill>
        </w:rPr>
      </w:pPr>
    </w:p>
    <w:p w14:paraId="4A626FCC">
      <w:pPr>
        <w:spacing w:line="360" w:lineRule="auto"/>
        <w:rPr>
          <w:rFonts w:hint="eastAsia" w:cs="仿宋_GB2312" w:asciiTheme="minorEastAsia" w:hAnsiTheme="minorEastAsia" w:eastAsiaTheme="minorEastAsia"/>
          <w:b/>
          <w:bCs/>
          <w:color w:val="000000" w:themeColor="text1"/>
          <w:sz w:val="24"/>
          <w14:textFill>
            <w14:solidFill>
              <w14:schemeClr w14:val="tx1"/>
            </w14:solidFill>
          </w14:textFill>
        </w:rPr>
      </w:pPr>
    </w:p>
    <w:p w14:paraId="769C25D7">
      <w:pPr>
        <w:pStyle w:val="23"/>
        <w:rPr>
          <w:rFonts w:hint="eastAsia"/>
        </w:rPr>
      </w:pPr>
    </w:p>
    <w:p w14:paraId="2CADCB24">
      <w:pPr>
        <w:spacing w:line="360" w:lineRule="auto"/>
        <w:rPr>
          <w:rFonts w:hint="eastAsia" w:cs="仿宋_GB2312" w:asciiTheme="minorEastAsia" w:hAnsiTheme="minorEastAsia" w:eastAsiaTheme="minorEastAsia"/>
          <w:b/>
          <w:bCs/>
          <w:color w:val="000000" w:themeColor="text1"/>
          <w:sz w:val="24"/>
          <w14:textFill>
            <w14:solidFill>
              <w14:schemeClr w14:val="tx1"/>
            </w14:solidFill>
          </w14:textFill>
        </w:rPr>
      </w:pPr>
    </w:p>
    <w:p w14:paraId="1094E3FB">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注：</w:t>
      </w:r>
      <w:r>
        <w:rPr>
          <w:rFonts w:hint="eastAsia" w:cs="仿宋_GB2312" w:asciiTheme="minorEastAsia" w:hAnsiTheme="minorEastAsia" w:eastAsiaTheme="minorEastAsia"/>
          <w:b/>
          <w:bCs/>
          <w:color w:val="000000" w:themeColor="text1"/>
          <w:sz w:val="24"/>
          <w:lang w:eastAsia="zh-CN"/>
          <w14:textFill>
            <w14:solidFill>
              <w14:schemeClr w14:val="tx1"/>
            </w14:solidFill>
          </w14:textFill>
        </w:rPr>
        <w:t>自拟</w:t>
      </w:r>
      <w:r>
        <w:rPr>
          <w:rFonts w:hint="eastAsia" w:cs="仿宋_GB2312" w:asciiTheme="minorEastAsia" w:hAnsiTheme="minorEastAsia" w:eastAsiaTheme="minorEastAsia"/>
          <w:b/>
          <w:bCs/>
          <w:color w:val="000000" w:themeColor="text1"/>
          <w:sz w:val="24"/>
          <w14:textFill>
            <w14:solidFill>
              <w14:schemeClr w14:val="tx1"/>
            </w14:solidFill>
          </w14:textFill>
        </w:rPr>
        <w:t>。</w:t>
      </w:r>
    </w:p>
    <w:p w14:paraId="456312CA">
      <w:pPr>
        <w:rPr>
          <w:rFonts w:hint="eastAsia" w:cs="仿宋_GB2312" w:asciiTheme="minorEastAsia" w:hAnsiTheme="minorEastAsia" w:eastAsiaTheme="minorEastAsia"/>
          <w:color w:val="000000" w:themeColor="text1"/>
          <w:sz w:val="36"/>
          <w:szCs w:val="36"/>
          <w14:textFill>
            <w14:solidFill>
              <w14:schemeClr w14:val="tx1"/>
            </w14:solidFill>
          </w14:textFill>
        </w:rPr>
      </w:pPr>
      <w:r>
        <w:rPr>
          <w:rFonts w:hint="eastAsia" w:cs="仿宋_GB2312" w:asciiTheme="minorEastAsia" w:hAnsiTheme="minorEastAsia" w:eastAsiaTheme="minorEastAsia"/>
          <w:color w:val="000000" w:themeColor="text1"/>
          <w:sz w:val="36"/>
          <w:szCs w:val="36"/>
          <w14:textFill>
            <w14:solidFill>
              <w14:schemeClr w14:val="tx1"/>
            </w14:solidFill>
          </w14:textFill>
        </w:rPr>
        <w:br w:type="page"/>
      </w:r>
    </w:p>
    <w:p w14:paraId="1D544D77">
      <w:pPr>
        <w:spacing w:line="360" w:lineRule="auto"/>
        <w:ind w:right="-874" w:rightChars="-416"/>
        <w:jc w:val="left"/>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r>
        <w:rPr>
          <w:rFonts w:hint="eastAsia"/>
          <w:b/>
          <w:color w:val="000000" w:themeColor="text1"/>
          <w:sz w:val="28"/>
          <w:szCs w:val="28"/>
          <w:lang w:val="en-US" w:eastAsia="zh-CN"/>
          <w14:textFill>
            <w14:solidFill>
              <w14:schemeClr w14:val="tx1"/>
            </w14:solidFill>
          </w14:textFill>
        </w:rPr>
        <w:t>1</w:t>
      </w:r>
    </w:p>
    <w:p w14:paraId="76B13841">
      <w:pPr>
        <w:spacing w:line="360" w:lineRule="auto"/>
        <w:ind w:right="-874" w:rightChars="-416"/>
        <w:jc w:val="center"/>
        <w:rPr>
          <w:rFonts w:hint="eastAsia" w:eastAsia="宋体" w:cs="仿宋_GB2312" w:asciiTheme="minorEastAsia" w:hAnsiTheme="minorEastAsia"/>
          <w:color w:val="000000" w:themeColor="text1"/>
          <w:kern w:val="0"/>
          <w:sz w:val="24"/>
          <w:lang w:val="zh-CN" w:eastAsia="zh-CN"/>
          <w14:textFill>
            <w14:solidFill>
              <w14:schemeClr w14:val="tx1"/>
            </w14:solidFill>
          </w14:textFill>
        </w:rPr>
      </w:pPr>
      <w:r>
        <w:rPr>
          <w:rFonts w:hint="eastAsia"/>
          <w:b/>
          <w:color w:val="000000" w:themeColor="text1"/>
          <w:sz w:val="32"/>
          <w:szCs w:val="32"/>
          <w14:textFill>
            <w14:solidFill>
              <w14:schemeClr w14:val="tx1"/>
            </w14:solidFill>
          </w14:textFill>
        </w:rPr>
        <w:t>报价一览表</w:t>
      </w:r>
      <w:r>
        <w:rPr>
          <w:rFonts w:hint="eastAsia"/>
          <w:b/>
          <w:color w:val="000000" w:themeColor="text1"/>
          <w:sz w:val="32"/>
          <w:szCs w:val="32"/>
          <w:lang w:val="en-US" w:eastAsia="zh-CN"/>
          <w14:textFill>
            <w14:solidFill>
              <w14:schemeClr w14:val="tx1"/>
            </w14:solidFill>
          </w14:textFill>
        </w:rPr>
        <w:t xml:space="preserve"> </w:t>
      </w:r>
    </w:p>
    <w:p w14:paraId="03D24B08">
      <w:pPr>
        <w:pStyle w:val="633"/>
        <w:jc w:val="left"/>
        <w:rPr>
          <w:rFonts w:hint="eastAsia" w:cs="仿宋_GB2312" w:asciiTheme="minorEastAsia" w:hAnsiTheme="minorEastAsia" w:eastAsiaTheme="minorEastAsia"/>
          <w:b/>
          <w:color w:val="000000" w:themeColor="text1"/>
          <w:lang w:val="en-US" w:eastAsia="zh-CN"/>
          <w14:textFill>
            <w14:solidFill>
              <w14:schemeClr w14:val="tx1"/>
            </w14:solidFill>
          </w14:textFill>
        </w:rPr>
      </w:pPr>
      <w:r>
        <w:rPr>
          <w:rFonts w:hint="eastAsia" w:cs="仿宋_GB2312" w:asciiTheme="minorEastAsia" w:hAnsiTheme="minorEastAsia" w:eastAsiaTheme="minorEastAsia"/>
          <w:b/>
          <w:color w:val="000000" w:themeColor="text1"/>
          <w:lang w:val="en-US" w:eastAsia="zh-CN"/>
          <w14:textFill>
            <w14:solidFill>
              <w14:schemeClr w14:val="tx1"/>
            </w14:solidFill>
          </w14:textFill>
        </w:rPr>
        <w:t xml:space="preserve"> </w:t>
      </w:r>
    </w:p>
    <w:p w14:paraId="39C2D41F">
      <w:pPr>
        <w:pStyle w:val="633"/>
        <w:ind w:left="0" w:leftChars="0" w:firstLine="0" w:firstLineChars="0"/>
        <w:jc w:val="left"/>
        <w:rPr>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lang w:val="en-US" w:eastAsia="zh-CN"/>
          <w14:textFill>
            <w14:solidFill>
              <w14:schemeClr w14:val="tx1"/>
            </w14:solidFill>
          </w14:textFill>
        </w:rPr>
        <w:t xml:space="preserve">项目名称：                                                </w:t>
      </w:r>
      <w:r>
        <w:rPr>
          <w:rFonts w:hint="eastAsia" w:cs="仿宋_GB2312" w:asciiTheme="minorEastAsia" w:hAnsiTheme="minorEastAsia" w:eastAsiaTheme="minorEastAsia"/>
          <w:b/>
          <w:color w:val="000000" w:themeColor="text1"/>
          <w:lang w:val="zh-CN"/>
          <w14:textFill>
            <w14:solidFill>
              <w14:schemeClr w14:val="tx1"/>
            </w14:solidFill>
          </w14:textFill>
        </w:rPr>
        <w:t>(单位均为人民币元)</w:t>
      </w:r>
    </w:p>
    <w:tbl>
      <w:tblPr>
        <w:tblStyle w:val="61"/>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59"/>
        <w:gridCol w:w="2114"/>
        <w:gridCol w:w="850"/>
        <w:gridCol w:w="813"/>
        <w:gridCol w:w="1439"/>
        <w:gridCol w:w="1016"/>
        <w:gridCol w:w="2009"/>
      </w:tblGrid>
      <w:tr w14:paraId="39D7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27" w:type="dxa"/>
            <w:vAlign w:val="center"/>
          </w:tcPr>
          <w:p w14:paraId="75D87FC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759" w:type="dxa"/>
            <w:vAlign w:val="center"/>
          </w:tcPr>
          <w:p w14:paraId="5FE673E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114" w:type="dxa"/>
            <w:vAlign w:val="center"/>
          </w:tcPr>
          <w:p w14:paraId="3AE2647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生产厂家、</w:t>
            </w:r>
          </w:p>
          <w:p w14:paraId="255BC6A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850" w:type="dxa"/>
            <w:vAlign w:val="center"/>
          </w:tcPr>
          <w:p w14:paraId="19D0DEB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813" w:type="dxa"/>
            <w:vAlign w:val="center"/>
          </w:tcPr>
          <w:p w14:paraId="345C18B9">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439" w:type="dxa"/>
            <w:vAlign w:val="center"/>
          </w:tcPr>
          <w:p w14:paraId="25A1992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016" w:type="dxa"/>
            <w:vAlign w:val="center"/>
          </w:tcPr>
          <w:p w14:paraId="3E18A9C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2009" w:type="dxa"/>
            <w:vAlign w:val="center"/>
          </w:tcPr>
          <w:p w14:paraId="5AF777EE">
            <w:pPr>
              <w:spacing w:line="360" w:lineRule="auto"/>
              <w:jc w:val="center"/>
              <w:rPr>
                <w:rFonts w:ascii="宋体" w:hAnsi="宋体" w:cs="宋体"/>
                <w:b/>
                <w:color w:val="000000" w:themeColor="text1"/>
                <w:sz w:val="24"/>
                <w14:textFill>
                  <w14:solidFill>
                    <w14:schemeClr w14:val="tx1"/>
                  </w14:solidFill>
                </w14:textFill>
              </w:rPr>
            </w:pPr>
          </w:p>
          <w:p w14:paraId="23062C3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18406C0A">
            <w:pPr>
              <w:spacing w:line="360" w:lineRule="auto"/>
              <w:jc w:val="center"/>
              <w:rPr>
                <w:rFonts w:ascii="宋体" w:hAnsi="宋体" w:cs="宋体"/>
                <w:b/>
                <w:color w:val="000000" w:themeColor="text1"/>
                <w:sz w:val="24"/>
                <w14:textFill>
                  <w14:solidFill>
                    <w14:schemeClr w14:val="tx1"/>
                  </w14:solidFill>
                </w14:textFill>
              </w:rPr>
            </w:pPr>
          </w:p>
        </w:tc>
      </w:tr>
      <w:tr w14:paraId="2329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7" w:type="dxa"/>
            <w:vAlign w:val="center"/>
          </w:tcPr>
          <w:p w14:paraId="6592049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59" w:type="dxa"/>
            <w:vAlign w:val="center"/>
          </w:tcPr>
          <w:p w14:paraId="56E835B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114" w:type="dxa"/>
            <w:vAlign w:val="center"/>
          </w:tcPr>
          <w:p w14:paraId="7DBE7626">
            <w:pPr>
              <w:snapToGrid w:val="0"/>
              <w:spacing w:line="360" w:lineRule="auto"/>
              <w:jc w:val="center"/>
              <w:rPr>
                <w:rFonts w:ascii="宋体" w:hAnsi="宋体" w:cs="宋体"/>
                <w:color w:val="000000" w:themeColor="text1"/>
                <w:sz w:val="24"/>
                <w14:textFill>
                  <w14:solidFill>
                    <w14:schemeClr w14:val="tx1"/>
                  </w14:solidFill>
                </w14:textFill>
              </w:rPr>
            </w:pPr>
          </w:p>
        </w:tc>
        <w:tc>
          <w:tcPr>
            <w:tcW w:w="850" w:type="dxa"/>
            <w:vAlign w:val="center"/>
          </w:tcPr>
          <w:p w14:paraId="3F873B65">
            <w:pPr>
              <w:snapToGrid w:val="0"/>
              <w:spacing w:line="360" w:lineRule="auto"/>
              <w:jc w:val="center"/>
              <w:rPr>
                <w:rFonts w:ascii="宋体" w:hAnsi="宋体" w:cs="宋体"/>
                <w:color w:val="000000" w:themeColor="text1"/>
                <w:sz w:val="24"/>
                <w14:textFill>
                  <w14:solidFill>
                    <w14:schemeClr w14:val="tx1"/>
                  </w14:solidFill>
                </w14:textFill>
              </w:rPr>
            </w:pPr>
          </w:p>
        </w:tc>
        <w:tc>
          <w:tcPr>
            <w:tcW w:w="813" w:type="dxa"/>
            <w:vAlign w:val="center"/>
          </w:tcPr>
          <w:p w14:paraId="5B103D39">
            <w:pPr>
              <w:snapToGrid w:val="0"/>
              <w:spacing w:line="360" w:lineRule="auto"/>
              <w:jc w:val="center"/>
              <w:rPr>
                <w:rFonts w:ascii="宋体" w:hAnsi="宋体" w:cs="宋体"/>
                <w:color w:val="000000" w:themeColor="text1"/>
                <w:sz w:val="24"/>
                <w14:textFill>
                  <w14:solidFill>
                    <w14:schemeClr w14:val="tx1"/>
                  </w14:solidFill>
                </w14:textFill>
              </w:rPr>
            </w:pPr>
          </w:p>
        </w:tc>
        <w:tc>
          <w:tcPr>
            <w:tcW w:w="1439" w:type="dxa"/>
            <w:vAlign w:val="center"/>
          </w:tcPr>
          <w:p w14:paraId="096DE828">
            <w:pPr>
              <w:spacing w:line="360" w:lineRule="auto"/>
              <w:jc w:val="center"/>
              <w:rPr>
                <w:rFonts w:ascii="宋体" w:hAnsi="宋体" w:cs="宋体"/>
                <w:color w:val="000000" w:themeColor="text1"/>
                <w:sz w:val="24"/>
                <w14:textFill>
                  <w14:solidFill>
                    <w14:schemeClr w14:val="tx1"/>
                  </w14:solidFill>
                </w14:textFill>
              </w:rPr>
            </w:pPr>
          </w:p>
        </w:tc>
        <w:tc>
          <w:tcPr>
            <w:tcW w:w="1016" w:type="dxa"/>
            <w:vAlign w:val="center"/>
          </w:tcPr>
          <w:p w14:paraId="77DE9F32">
            <w:pPr>
              <w:spacing w:line="360" w:lineRule="auto"/>
              <w:jc w:val="center"/>
              <w:rPr>
                <w:rFonts w:ascii="宋体" w:hAnsi="宋体" w:cs="宋体"/>
                <w:color w:val="000000" w:themeColor="text1"/>
                <w:sz w:val="24"/>
                <w14:textFill>
                  <w14:solidFill>
                    <w14:schemeClr w14:val="tx1"/>
                  </w14:solidFill>
                </w14:textFill>
              </w:rPr>
            </w:pPr>
          </w:p>
        </w:tc>
        <w:tc>
          <w:tcPr>
            <w:tcW w:w="2009" w:type="dxa"/>
            <w:vAlign w:val="center"/>
          </w:tcPr>
          <w:p w14:paraId="7F9433F8">
            <w:pPr>
              <w:spacing w:line="360" w:lineRule="auto"/>
              <w:jc w:val="center"/>
              <w:rPr>
                <w:rFonts w:ascii="宋体" w:hAnsi="宋体" w:cs="宋体"/>
                <w:color w:val="000000" w:themeColor="text1"/>
                <w:sz w:val="24"/>
                <w14:textFill>
                  <w14:solidFill>
                    <w14:schemeClr w14:val="tx1"/>
                  </w14:solidFill>
                </w14:textFill>
              </w:rPr>
            </w:pPr>
          </w:p>
        </w:tc>
      </w:tr>
      <w:tr w14:paraId="5263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7" w:type="dxa"/>
            <w:vAlign w:val="center"/>
          </w:tcPr>
          <w:p w14:paraId="1C9EBE0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59" w:type="dxa"/>
            <w:vAlign w:val="center"/>
          </w:tcPr>
          <w:p w14:paraId="2D6DDA9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114" w:type="dxa"/>
            <w:vAlign w:val="center"/>
          </w:tcPr>
          <w:p w14:paraId="48FA7D59">
            <w:pPr>
              <w:snapToGrid w:val="0"/>
              <w:spacing w:line="360" w:lineRule="auto"/>
              <w:jc w:val="center"/>
              <w:rPr>
                <w:rFonts w:ascii="宋体" w:hAnsi="宋体" w:cs="宋体"/>
                <w:color w:val="000000" w:themeColor="text1"/>
                <w:sz w:val="24"/>
                <w14:textFill>
                  <w14:solidFill>
                    <w14:schemeClr w14:val="tx1"/>
                  </w14:solidFill>
                </w14:textFill>
              </w:rPr>
            </w:pPr>
          </w:p>
        </w:tc>
        <w:tc>
          <w:tcPr>
            <w:tcW w:w="850" w:type="dxa"/>
            <w:vAlign w:val="center"/>
          </w:tcPr>
          <w:p w14:paraId="30223C2A">
            <w:pPr>
              <w:snapToGrid w:val="0"/>
              <w:spacing w:line="360" w:lineRule="auto"/>
              <w:jc w:val="center"/>
              <w:rPr>
                <w:rFonts w:ascii="宋体" w:hAnsi="宋体" w:cs="宋体"/>
                <w:color w:val="000000" w:themeColor="text1"/>
                <w:sz w:val="24"/>
                <w14:textFill>
                  <w14:solidFill>
                    <w14:schemeClr w14:val="tx1"/>
                  </w14:solidFill>
                </w14:textFill>
              </w:rPr>
            </w:pPr>
          </w:p>
        </w:tc>
        <w:tc>
          <w:tcPr>
            <w:tcW w:w="813" w:type="dxa"/>
            <w:vAlign w:val="center"/>
          </w:tcPr>
          <w:p w14:paraId="19CE7A2C">
            <w:pPr>
              <w:snapToGrid w:val="0"/>
              <w:spacing w:line="360" w:lineRule="auto"/>
              <w:jc w:val="center"/>
              <w:rPr>
                <w:rFonts w:ascii="宋体" w:hAnsi="宋体" w:cs="宋体"/>
                <w:color w:val="000000" w:themeColor="text1"/>
                <w:sz w:val="24"/>
                <w14:textFill>
                  <w14:solidFill>
                    <w14:schemeClr w14:val="tx1"/>
                  </w14:solidFill>
                </w14:textFill>
              </w:rPr>
            </w:pPr>
          </w:p>
        </w:tc>
        <w:tc>
          <w:tcPr>
            <w:tcW w:w="1439" w:type="dxa"/>
            <w:vAlign w:val="center"/>
          </w:tcPr>
          <w:p w14:paraId="786F0E64">
            <w:pPr>
              <w:spacing w:line="360" w:lineRule="auto"/>
              <w:jc w:val="center"/>
              <w:rPr>
                <w:rFonts w:ascii="宋体" w:hAnsi="宋体" w:cs="宋体"/>
                <w:color w:val="000000" w:themeColor="text1"/>
                <w:sz w:val="24"/>
                <w14:textFill>
                  <w14:solidFill>
                    <w14:schemeClr w14:val="tx1"/>
                  </w14:solidFill>
                </w14:textFill>
              </w:rPr>
            </w:pPr>
          </w:p>
        </w:tc>
        <w:tc>
          <w:tcPr>
            <w:tcW w:w="1016" w:type="dxa"/>
            <w:vAlign w:val="center"/>
          </w:tcPr>
          <w:p w14:paraId="3898D357">
            <w:pPr>
              <w:spacing w:line="360" w:lineRule="auto"/>
              <w:jc w:val="center"/>
              <w:rPr>
                <w:rFonts w:ascii="宋体" w:hAnsi="宋体" w:cs="宋体"/>
                <w:color w:val="000000" w:themeColor="text1"/>
                <w:sz w:val="24"/>
                <w14:textFill>
                  <w14:solidFill>
                    <w14:schemeClr w14:val="tx1"/>
                  </w14:solidFill>
                </w14:textFill>
              </w:rPr>
            </w:pPr>
          </w:p>
        </w:tc>
        <w:tc>
          <w:tcPr>
            <w:tcW w:w="2009" w:type="dxa"/>
            <w:vAlign w:val="center"/>
          </w:tcPr>
          <w:p w14:paraId="7CD31F2B">
            <w:pPr>
              <w:spacing w:line="360" w:lineRule="auto"/>
              <w:jc w:val="center"/>
              <w:rPr>
                <w:rFonts w:ascii="宋体" w:hAnsi="宋体" w:cs="宋体"/>
                <w:color w:val="000000" w:themeColor="text1"/>
                <w:sz w:val="24"/>
                <w14:textFill>
                  <w14:solidFill>
                    <w14:schemeClr w14:val="tx1"/>
                  </w14:solidFill>
                </w14:textFill>
              </w:rPr>
            </w:pPr>
          </w:p>
        </w:tc>
      </w:tr>
      <w:tr w14:paraId="2356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7" w:type="dxa"/>
            <w:vAlign w:val="center"/>
          </w:tcPr>
          <w:p w14:paraId="020B40B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759" w:type="dxa"/>
            <w:vAlign w:val="center"/>
          </w:tcPr>
          <w:p w14:paraId="3926D7C7">
            <w:pPr>
              <w:snapToGrid w:val="0"/>
              <w:spacing w:line="360" w:lineRule="auto"/>
              <w:jc w:val="center"/>
              <w:rPr>
                <w:rFonts w:ascii="宋体" w:hAnsi="宋体" w:cs="宋体"/>
                <w:color w:val="000000" w:themeColor="text1"/>
                <w:sz w:val="24"/>
                <w14:textFill>
                  <w14:solidFill>
                    <w14:schemeClr w14:val="tx1"/>
                  </w14:solidFill>
                </w14:textFill>
              </w:rPr>
            </w:pPr>
          </w:p>
        </w:tc>
        <w:tc>
          <w:tcPr>
            <w:tcW w:w="2114" w:type="dxa"/>
            <w:vAlign w:val="center"/>
          </w:tcPr>
          <w:p w14:paraId="2CEFD693">
            <w:pPr>
              <w:snapToGrid w:val="0"/>
              <w:spacing w:line="360" w:lineRule="auto"/>
              <w:jc w:val="center"/>
              <w:rPr>
                <w:rFonts w:ascii="宋体" w:hAnsi="宋体" w:cs="宋体"/>
                <w:color w:val="000000" w:themeColor="text1"/>
                <w:sz w:val="24"/>
                <w14:textFill>
                  <w14:solidFill>
                    <w14:schemeClr w14:val="tx1"/>
                  </w14:solidFill>
                </w14:textFill>
              </w:rPr>
            </w:pPr>
          </w:p>
        </w:tc>
        <w:tc>
          <w:tcPr>
            <w:tcW w:w="850" w:type="dxa"/>
            <w:vAlign w:val="center"/>
          </w:tcPr>
          <w:p w14:paraId="55A12F49">
            <w:pPr>
              <w:snapToGrid w:val="0"/>
              <w:spacing w:line="360" w:lineRule="auto"/>
              <w:jc w:val="center"/>
              <w:rPr>
                <w:rFonts w:ascii="宋体" w:hAnsi="宋体" w:cs="宋体"/>
                <w:color w:val="000000" w:themeColor="text1"/>
                <w:sz w:val="24"/>
                <w14:textFill>
                  <w14:solidFill>
                    <w14:schemeClr w14:val="tx1"/>
                  </w14:solidFill>
                </w14:textFill>
              </w:rPr>
            </w:pPr>
          </w:p>
        </w:tc>
        <w:tc>
          <w:tcPr>
            <w:tcW w:w="813" w:type="dxa"/>
            <w:vAlign w:val="center"/>
          </w:tcPr>
          <w:p w14:paraId="50E2A674">
            <w:pPr>
              <w:snapToGrid w:val="0"/>
              <w:spacing w:line="360" w:lineRule="auto"/>
              <w:jc w:val="center"/>
              <w:rPr>
                <w:rFonts w:ascii="宋体" w:hAnsi="宋体" w:cs="宋体"/>
                <w:color w:val="000000" w:themeColor="text1"/>
                <w:sz w:val="24"/>
                <w14:textFill>
                  <w14:solidFill>
                    <w14:schemeClr w14:val="tx1"/>
                  </w14:solidFill>
                </w14:textFill>
              </w:rPr>
            </w:pPr>
          </w:p>
        </w:tc>
        <w:tc>
          <w:tcPr>
            <w:tcW w:w="1439" w:type="dxa"/>
            <w:vAlign w:val="center"/>
          </w:tcPr>
          <w:p w14:paraId="3CC511CC">
            <w:pPr>
              <w:spacing w:line="360" w:lineRule="auto"/>
              <w:jc w:val="center"/>
              <w:rPr>
                <w:rFonts w:ascii="宋体" w:hAnsi="宋体" w:cs="宋体"/>
                <w:color w:val="000000" w:themeColor="text1"/>
                <w:sz w:val="24"/>
                <w14:textFill>
                  <w14:solidFill>
                    <w14:schemeClr w14:val="tx1"/>
                  </w14:solidFill>
                </w14:textFill>
              </w:rPr>
            </w:pPr>
          </w:p>
        </w:tc>
        <w:tc>
          <w:tcPr>
            <w:tcW w:w="1016" w:type="dxa"/>
            <w:vAlign w:val="center"/>
          </w:tcPr>
          <w:p w14:paraId="7E69C1AE">
            <w:pPr>
              <w:spacing w:line="360" w:lineRule="auto"/>
              <w:jc w:val="center"/>
              <w:rPr>
                <w:rFonts w:ascii="宋体" w:hAnsi="宋体" w:cs="宋体"/>
                <w:color w:val="000000" w:themeColor="text1"/>
                <w:sz w:val="24"/>
                <w14:textFill>
                  <w14:solidFill>
                    <w14:schemeClr w14:val="tx1"/>
                  </w14:solidFill>
                </w14:textFill>
              </w:rPr>
            </w:pPr>
          </w:p>
        </w:tc>
        <w:tc>
          <w:tcPr>
            <w:tcW w:w="2009" w:type="dxa"/>
            <w:vAlign w:val="center"/>
          </w:tcPr>
          <w:p w14:paraId="4F0ACD1D">
            <w:pPr>
              <w:spacing w:line="360" w:lineRule="auto"/>
              <w:jc w:val="center"/>
              <w:rPr>
                <w:rFonts w:ascii="宋体" w:hAnsi="宋体" w:cs="宋体"/>
                <w:color w:val="000000" w:themeColor="text1"/>
                <w:sz w:val="24"/>
                <w14:textFill>
                  <w14:solidFill>
                    <w14:schemeClr w14:val="tx1"/>
                  </w14:solidFill>
                </w14:textFill>
              </w:rPr>
            </w:pPr>
          </w:p>
        </w:tc>
      </w:tr>
      <w:tr w14:paraId="18EA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50" w:type="dxa"/>
            <w:gridSpan w:val="4"/>
            <w:vAlign w:val="center"/>
          </w:tcPr>
          <w:p w14:paraId="3AB58F6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w:t>
            </w:r>
            <w:r>
              <w:rPr>
                <w:rFonts w:hint="eastAsia" w:ascii="宋体" w:hAnsi="宋体" w:cs="宋体"/>
                <w:b/>
                <w:color w:val="000000" w:themeColor="text1"/>
                <w:sz w:val="24"/>
                <w:lang w:eastAsia="zh-CN"/>
                <w14:textFill>
                  <w14:solidFill>
                    <w14:schemeClr w14:val="tx1"/>
                  </w14:solidFill>
                </w14:textFill>
              </w:rPr>
              <w:t>总</w:t>
            </w:r>
            <w:r>
              <w:rPr>
                <w:rFonts w:hint="eastAsia" w:ascii="宋体" w:hAnsi="宋体" w:cs="宋体"/>
                <w:b/>
                <w:color w:val="000000" w:themeColor="text1"/>
                <w:sz w:val="24"/>
                <w14:textFill>
                  <w14:solidFill>
                    <w14:schemeClr w14:val="tx1"/>
                  </w14:solidFill>
                </w14:textFill>
              </w:rPr>
              <w:t>报价（小写）</w:t>
            </w:r>
          </w:p>
        </w:tc>
        <w:tc>
          <w:tcPr>
            <w:tcW w:w="5277" w:type="dxa"/>
            <w:gridSpan w:val="4"/>
            <w:vAlign w:val="center"/>
          </w:tcPr>
          <w:p w14:paraId="4D61F561">
            <w:pPr>
              <w:spacing w:line="360" w:lineRule="auto"/>
              <w:jc w:val="center"/>
              <w:rPr>
                <w:rFonts w:ascii="宋体" w:hAnsi="宋体" w:cs="宋体"/>
                <w:color w:val="000000" w:themeColor="text1"/>
                <w:sz w:val="24"/>
                <w14:textFill>
                  <w14:solidFill>
                    <w14:schemeClr w14:val="tx1"/>
                  </w14:solidFill>
                </w14:textFill>
              </w:rPr>
            </w:pPr>
          </w:p>
        </w:tc>
      </w:tr>
      <w:tr w14:paraId="27F3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550" w:type="dxa"/>
            <w:gridSpan w:val="4"/>
            <w:vAlign w:val="center"/>
          </w:tcPr>
          <w:p w14:paraId="232998F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w:t>
            </w:r>
            <w:r>
              <w:rPr>
                <w:rFonts w:hint="eastAsia" w:ascii="宋体" w:hAnsi="宋体" w:cs="宋体"/>
                <w:b/>
                <w:color w:val="000000" w:themeColor="text1"/>
                <w:sz w:val="24"/>
                <w:lang w:eastAsia="zh-CN"/>
                <w14:textFill>
                  <w14:solidFill>
                    <w14:schemeClr w14:val="tx1"/>
                  </w14:solidFill>
                </w14:textFill>
              </w:rPr>
              <w:t>总</w:t>
            </w:r>
            <w:r>
              <w:rPr>
                <w:rFonts w:hint="eastAsia" w:ascii="宋体" w:hAnsi="宋体" w:cs="宋体"/>
                <w:b/>
                <w:color w:val="000000" w:themeColor="text1"/>
                <w:sz w:val="24"/>
                <w14:textFill>
                  <w14:solidFill>
                    <w14:schemeClr w14:val="tx1"/>
                  </w14:solidFill>
                </w14:textFill>
              </w:rPr>
              <w:t>报价（大写）</w:t>
            </w:r>
          </w:p>
        </w:tc>
        <w:tc>
          <w:tcPr>
            <w:tcW w:w="5277" w:type="dxa"/>
            <w:gridSpan w:val="4"/>
            <w:vAlign w:val="center"/>
          </w:tcPr>
          <w:p w14:paraId="7DC41AA7">
            <w:pPr>
              <w:spacing w:line="360" w:lineRule="auto"/>
              <w:jc w:val="center"/>
              <w:rPr>
                <w:rFonts w:ascii="宋体" w:hAnsi="宋体" w:cs="宋体"/>
                <w:color w:val="000000" w:themeColor="text1"/>
                <w:sz w:val="24"/>
                <w14:textFill>
                  <w14:solidFill>
                    <w14:schemeClr w14:val="tx1"/>
                  </w14:solidFill>
                </w14:textFill>
              </w:rPr>
            </w:pPr>
          </w:p>
        </w:tc>
      </w:tr>
    </w:tbl>
    <w:p w14:paraId="4D0B783A">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66143302">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响应文件含有采购人不能接受的附加条件，投标无效</w:t>
      </w:r>
      <w:r>
        <w:rPr>
          <w:rFonts w:hint="eastAsia" w:ascii="宋体" w:hAnsi="宋体" w:cs="宋体"/>
          <w:color w:val="000000" w:themeColor="text1"/>
          <w:kern w:val="0"/>
          <w:sz w:val="24"/>
          <w:lang w:val="zh-CN"/>
          <w14:textFill>
            <w14:solidFill>
              <w14:schemeClr w14:val="tx1"/>
            </w14:solidFill>
          </w14:textFill>
        </w:rPr>
        <w:t>。</w:t>
      </w:r>
    </w:p>
    <w:p w14:paraId="6613C81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响应文件含有采购人不能接受的附加条件，响应无效</w:t>
      </w:r>
      <w:r>
        <w:rPr>
          <w:rFonts w:hint="eastAsia" w:ascii="宋体" w:hAnsi="宋体" w:cs="宋体"/>
          <w:b/>
          <w:color w:val="000000" w:themeColor="text1"/>
          <w:kern w:val="0"/>
          <w:sz w:val="24"/>
          <w:lang w:val="zh-CN"/>
          <w14:textFill>
            <w14:solidFill>
              <w14:schemeClr w14:val="tx1"/>
            </w14:solidFill>
          </w14:textFill>
        </w:rPr>
        <w:t>；采购内容未包含在《</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最后报价一览表</w:t>
      </w:r>
      <w:r>
        <w:rPr>
          <w:rFonts w:hint="eastAsia" w:ascii="宋体" w:hAnsi="宋体" w:cs="宋体"/>
          <w:b/>
          <w:color w:val="000000" w:themeColor="text1"/>
          <w:kern w:val="0"/>
          <w:sz w:val="24"/>
          <w:lang w:val="zh-CN"/>
          <w14:textFill>
            <w14:solidFill>
              <w14:schemeClr w14:val="tx1"/>
            </w14:solidFill>
          </w14:textFill>
        </w:rPr>
        <w:t>》名称栏中，</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供应商</w:t>
      </w:r>
      <w:r>
        <w:rPr>
          <w:rFonts w:hint="eastAsia" w:ascii="宋体" w:hAnsi="宋体" w:cs="宋体"/>
          <w:b/>
          <w:color w:val="000000" w:themeColor="text1"/>
          <w:kern w:val="0"/>
          <w:sz w:val="24"/>
          <w:lang w:val="zh-CN"/>
          <w14:textFill>
            <w14:solidFill>
              <w14:schemeClr w14:val="tx1"/>
            </w14:solidFill>
          </w14:textFill>
        </w:rPr>
        <w:t>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响应文件含有采购人不能接受的附加条件的，响应无效。</w:t>
      </w:r>
    </w:p>
    <w:p w14:paraId="3501CCBD">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3、特别提示：采购代理机构将对项目名称和项目编号，成交供应商名称、地址和中标金额，主要中标标的名称、品牌（如果有）、规格型号、数量、单价等予以公示。</w:t>
      </w:r>
    </w:p>
    <w:p w14:paraId="2F67D179">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符合谈判文件中列明的可享受中小企业扶持政策的供应商，请填写中小企业声明函。注：供应商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lang w:val="zh-CN"/>
          <w14:textFill>
            <w14:solidFill>
              <w14:schemeClr w14:val="tx1"/>
            </w14:solidFill>
          </w14:textFill>
        </w:rPr>
        <w:t>声明函内容不实的，属于提供虚假材料谋取中标、成交，依照《中华人民共和国政府采购法》等国家有关规定追究相应责任。</w:t>
      </w:r>
    </w:p>
    <w:p w14:paraId="380ED875">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79B120CA">
      <w:pPr>
        <w:autoSpaceDE w:val="0"/>
        <w:autoSpaceDN w:val="0"/>
        <w:spacing w:line="360" w:lineRule="auto"/>
        <w:ind w:left="2396" w:leftChars="1141" w:firstLine="6960" w:firstLineChars="29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3223062E">
      <w:pPr>
        <w:autoSpaceDE w:val="0"/>
        <w:autoSpaceDN w:val="0"/>
        <w:spacing w:line="360" w:lineRule="auto"/>
        <w:ind w:firstLine="240" w:firstLineChars="1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253AB87F">
      <w:pPr>
        <w:spacing w:line="360" w:lineRule="auto"/>
        <w:ind w:firstLine="3840" w:firstLineChars="16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7535FCD4">
      <w:pPr>
        <w:pStyle w:val="6"/>
        <w:rPr>
          <w:color w:val="000000" w:themeColor="text1"/>
          <w14:textFill>
            <w14:solidFill>
              <w14:schemeClr w14:val="tx1"/>
            </w14:solidFill>
          </w14:textFill>
        </w:rPr>
        <w:sectPr>
          <w:pgSz w:w="11906" w:h="16838"/>
          <w:pgMar w:top="1134" w:right="1134" w:bottom="1134" w:left="1134" w:header="851" w:footer="992" w:gutter="0"/>
          <w:pgNumType w:fmt="decimal"/>
          <w:cols w:space="0" w:num="1"/>
          <w:titlePg/>
          <w:rtlGutter w:val="0"/>
          <w:docGrid w:linePitch="312" w:charSpace="0"/>
        </w:sectPr>
      </w:pPr>
    </w:p>
    <w:p w14:paraId="58F6059F">
      <w:pPr>
        <w:spacing w:line="360" w:lineRule="auto"/>
        <w:jc w:val="left"/>
        <w:rPr>
          <w:rFonts w:hint="default" w:cs="仿宋_GB2312"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附件</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2</w:t>
      </w:r>
    </w:p>
    <w:p w14:paraId="42795C36">
      <w:pPr>
        <w:spacing w:line="520" w:lineRule="exact"/>
        <w:jc w:val="center"/>
        <w:rPr>
          <w:rFonts w:ascii="宋体" w:hAnsi="宋体" w:eastAsia="宋体" w:cs="宋体"/>
          <w:b/>
          <w:color w:val="auto"/>
          <w:sz w:val="24"/>
          <w:highlight w:val="none"/>
        </w:rPr>
      </w:pPr>
      <w:r>
        <w:rPr>
          <w:rFonts w:hint="eastAsia" w:ascii="宋体" w:hAnsi="宋体" w:eastAsia="宋体" w:cs="宋体"/>
          <w:b/>
          <w:color w:val="auto"/>
          <w:sz w:val="28"/>
          <w:szCs w:val="28"/>
          <w:highlight w:val="none"/>
        </w:rPr>
        <w:t>谈 判 书</w:t>
      </w:r>
    </w:p>
    <w:p w14:paraId="6420998E">
      <w:pPr>
        <w:pStyle w:val="33"/>
        <w:spacing w:line="520" w:lineRule="exact"/>
        <w:rPr>
          <w:rFonts w:hAnsi="宋体" w:eastAsia="宋体" w:cs="宋体"/>
          <w:color w:val="auto"/>
          <w:sz w:val="24"/>
          <w:szCs w:val="24"/>
          <w:highlight w:val="none"/>
        </w:rPr>
      </w:pPr>
      <w:r>
        <w:rPr>
          <w:rFonts w:hint="eastAsia" w:hAnsi="宋体" w:eastAsia="宋体" w:cs="宋体"/>
          <w:color w:val="auto"/>
          <w:sz w:val="24"/>
          <w:szCs w:val="24"/>
          <w:highlight w:val="none"/>
          <w:u w:val="single"/>
        </w:rPr>
        <w:t>采购代理机构名称</w:t>
      </w:r>
      <w:r>
        <w:rPr>
          <w:rFonts w:hint="eastAsia" w:hAnsi="宋体" w:eastAsia="宋体" w:cs="宋体"/>
          <w:color w:val="auto"/>
          <w:sz w:val="24"/>
          <w:szCs w:val="24"/>
          <w:highlight w:val="none"/>
        </w:rPr>
        <w:t>：</w:t>
      </w:r>
    </w:p>
    <w:p w14:paraId="1A489018">
      <w:pPr>
        <w:pStyle w:val="33"/>
        <w:spacing w:line="520" w:lineRule="exact"/>
        <w:ind w:firstLine="480"/>
        <w:rPr>
          <w:rFonts w:hAnsi="宋体" w:eastAsia="宋体" w:cs="宋体"/>
          <w:color w:val="auto"/>
          <w:sz w:val="24"/>
          <w:szCs w:val="24"/>
          <w:highlight w:val="none"/>
        </w:rPr>
      </w:pPr>
      <w:r>
        <w:rPr>
          <w:rFonts w:hint="eastAsia" w:hAnsi="宋体" w:eastAsia="宋体" w:cs="宋体"/>
          <w:color w:val="auto"/>
          <w:sz w:val="24"/>
          <w:szCs w:val="24"/>
          <w:highlight w:val="none"/>
        </w:rPr>
        <w:t>依据贵方</w:t>
      </w:r>
      <w:r>
        <w:rPr>
          <w:rFonts w:hint="eastAsia" w:hAnsi="宋体" w:eastAsia="宋体" w:cs="宋体"/>
          <w:color w:val="auto"/>
          <w:sz w:val="24"/>
          <w:szCs w:val="24"/>
          <w:highlight w:val="none"/>
          <w:u w:val="single"/>
        </w:rPr>
        <w:t>（项目名称/项目编号）</w:t>
      </w:r>
      <w:r>
        <w:rPr>
          <w:rFonts w:hint="eastAsia" w:hAnsi="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rPr>
        <w:t>项目</w:t>
      </w:r>
      <w:r>
        <w:rPr>
          <w:rFonts w:hint="eastAsia" w:ascii="宋体" w:hAnsi="宋体" w:cs="宋体"/>
          <w:color w:val="auto"/>
          <w:sz w:val="24"/>
          <w:highlight w:val="none"/>
        </w:rPr>
        <w:t>（标段名称：</w:t>
      </w:r>
      <w:r>
        <w:rPr>
          <w:rFonts w:hint="eastAsia"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hAnsi="宋体" w:eastAsia="宋体" w:cs="宋体"/>
          <w:color w:val="auto"/>
          <w:sz w:val="24"/>
          <w:szCs w:val="24"/>
          <w:highlight w:val="none"/>
        </w:rPr>
        <w:t>政府采购的谈判邀请，我方</w:t>
      </w:r>
      <w:r>
        <w:rPr>
          <w:rFonts w:hint="eastAsia" w:hAnsi="宋体" w:eastAsia="宋体" w:cs="宋体"/>
          <w:color w:val="auto"/>
          <w:sz w:val="24"/>
          <w:szCs w:val="24"/>
          <w:highlight w:val="none"/>
          <w:u w:val="single"/>
        </w:rPr>
        <w:t>（姓名和职务）</w:t>
      </w:r>
      <w:r>
        <w:rPr>
          <w:rFonts w:hint="eastAsia" w:hAnsi="宋体" w:eastAsia="宋体" w:cs="宋体"/>
          <w:color w:val="auto"/>
          <w:sz w:val="24"/>
          <w:szCs w:val="24"/>
          <w:highlight w:val="none"/>
        </w:rPr>
        <w:t>经正式授权并代表本单位</w:t>
      </w:r>
      <w:r>
        <w:rPr>
          <w:rFonts w:hint="eastAsia" w:hAnsi="宋体" w:eastAsia="宋体" w:cs="宋体"/>
          <w:color w:val="auto"/>
          <w:sz w:val="24"/>
          <w:szCs w:val="24"/>
          <w:highlight w:val="none"/>
          <w:u w:val="single"/>
        </w:rPr>
        <w:t>（谈判供应商名称、地址）</w:t>
      </w:r>
      <w:r>
        <w:rPr>
          <w:rFonts w:hint="eastAsia" w:hAnsi="宋体" w:eastAsia="宋体" w:cs="宋体"/>
          <w:color w:val="auto"/>
          <w:sz w:val="24"/>
          <w:szCs w:val="24"/>
          <w:highlight w:val="none"/>
        </w:rPr>
        <w:t>提交下述竞争性谈判响应文件</w:t>
      </w:r>
      <w:r>
        <w:rPr>
          <w:rFonts w:hint="eastAsia" w:hAnsi="宋体" w:eastAsia="宋体" w:cs="宋体"/>
          <w:b/>
          <w:color w:val="auto"/>
          <w:sz w:val="24"/>
          <w:szCs w:val="24"/>
          <w:highlight w:val="none"/>
        </w:rPr>
        <w:t>（价格文件、商务技术文件）</w:t>
      </w:r>
      <w:r>
        <w:rPr>
          <w:rFonts w:hint="eastAsia" w:hAnsi="宋体" w:eastAsia="宋体" w:cs="宋体"/>
          <w:color w:val="auto"/>
          <w:sz w:val="24"/>
          <w:szCs w:val="24"/>
          <w:highlight w:val="none"/>
        </w:rPr>
        <w:t>。</w:t>
      </w:r>
    </w:p>
    <w:p w14:paraId="2335595C">
      <w:pPr>
        <w:pStyle w:val="33"/>
        <w:spacing w:line="520" w:lineRule="exact"/>
        <w:ind w:firstLine="480"/>
        <w:rPr>
          <w:rFonts w:hAnsi="宋体" w:eastAsia="宋体" w:cs="宋体"/>
          <w:color w:val="auto"/>
          <w:sz w:val="24"/>
          <w:szCs w:val="24"/>
          <w:highlight w:val="none"/>
        </w:rPr>
      </w:pPr>
      <w:bookmarkStart w:id="74" w:name="_Toc7464"/>
      <w:r>
        <w:rPr>
          <w:rFonts w:hint="eastAsia" w:hAnsi="宋体" w:eastAsia="宋体" w:cs="宋体"/>
          <w:color w:val="auto"/>
          <w:sz w:val="24"/>
          <w:szCs w:val="24"/>
          <w:highlight w:val="none"/>
        </w:rPr>
        <w:t>1. 报价表；</w:t>
      </w:r>
      <w:bookmarkEnd w:id="74"/>
    </w:p>
    <w:p w14:paraId="41881B55">
      <w:pPr>
        <w:pStyle w:val="33"/>
        <w:spacing w:line="520" w:lineRule="exact"/>
        <w:ind w:firstLine="480"/>
        <w:rPr>
          <w:rFonts w:hAnsi="宋体" w:eastAsia="宋体" w:cs="宋体"/>
          <w:color w:val="auto"/>
          <w:sz w:val="24"/>
          <w:szCs w:val="24"/>
          <w:highlight w:val="none"/>
        </w:rPr>
      </w:pPr>
      <w:bookmarkStart w:id="75" w:name="_Toc23362"/>
      <w:r>
        <w:rPr>
          <w:rFonts w:hint="eastAsia" w:hAnsi="宋体" w:eastAsia="宋体" w:cs="宋体"/>
          <w:color w:val="auto"/>
          <w:sz w:val="24"/>
          <w:szCs w:val="24"/>
          <w:highlight w:val="none"/>
        </w:rPr>
        <w:t>2. 商务、技术响应、偏离情况说明表；</w:t>
      </w:r>
      <w:bookmarkEnd w:id="75"/>
    </w:p>
    <w:p w14:paraId="6F7D9A81">
      <w:pPr>
        <w:pStyle w:val="33"/>
        <w:spacing w:line="520" w:lineRule="exact"/>
        <w:ind w:firstLine="480"/>
        <w:rPr>
          <w:rFonts w:hAnsi="宋体" w:eastAsia="宋体" w:cs="宋体"/>
          <w:color w:val="auto"/>
          <w:sz w:val="24"/>
          <w:szCs w:val="24"/>
          <w:highlight w:val="none"/>
        </w:rPr>
      </w:pPr>
      <w:bookmarkStart w:id="76" w:name="_Toc10343"/>
      <w:r>
        <w:rPr>
          <w:rFonts w:hint="eastAsia" w:hAnsi="宋体" w:eastAsia="宋体" w:cs="宋体"/>
          <w:color w:val="auto"/>
          <w:sz w:val="24"/>
          <w:szCs w:val="24"/>
          <w:highlight w:val="none"/>
        </w:rPr>
        <w:t>3. 资格证明文件；</w:t>
      </w:r>
      <w:bookmarkEnd w:id="76"/>
    </w:p>
    <w:p w14:paraId="4C5B9C54">
      <w:pPr>
        <w:pStyle w:val="33"/>
        <w:spacing w:line="520" w:lineRule="exact"/>
        <w:ind w:firstLine="480"/>
        <w:rPr>
          <w:rFonts w:hAnsi="宋体" w:eastAsia="宋体" w:cs="宋体"/>
          <w:color w:val="auto"/>
          <w:sz w:val="24"/>
          <w:szCs w:val="24"/>
          <w:highlight w:val="none"/>
        </w:rPr>
      </w:pPr>
      <w:bookmarkStart w:id="77" w:name="_Toc1937"/>
      <w:r>
        <w:rPr>
          <w:rFonts w:hint="eastAsia" w:hAnsi="宋体" w:eastAsia="宋体" w:cs="宋体"/>
          <w:color w:val="auto"/>
          <w:sz w:val="24"/>
          <w:szCs w:val="24"/>
          <w:highlight w:val="none"/>
        </w:rPr>
        <w:t>4. 按竞争性谈判文件谈判供应商须知和采购需求提供的有关文件；</w:t>
      </w:r>
      <w:bookmarkEnd w:id="77"/>
    </w:p>
    <w:p w14:paraId="64E3CE49">
      <w:pPr>
        <w:pStyle w:val="33"/>
        <w:spacing w:line="520" w:lineRule="exact"/>
        <w:ind w:firstLine="480"/>
        <w:rPr>
          <w:rFonts w:hAnsi="宋体" w:eastAsia="宋体" w:cs="宋体"/>
          <w:color w:val="auto"/>
          <w:sz w:val="24"/>
          <w:szCs w:val="24"/>
          <w:highlight w:val="none"/>
        </w:rPr>
      </w:pPr>
      <w:r>
        <w:rPr>
          <w:rFonts w:hint="eastAsia" w:hAnsi="宋体" w:eastAsia="宋体" w:cs="宋体"/>
          <w:color w:val="auto"/>
          <w:sz w:val="24"/>
          <w:szCs w:val="24"/>
          <w:highlight w:val="none"/>
        </w:rPr>
        <w:t>在此，授权代表宣布同意如下：</w:t>
      </w:r>
    </w:p>
    <w:p w14:paraId="14F51B59">
      <w:pPr>
        <w:pStyle w:val="33"/>
        <w:spacing w:line="52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1. 将按竞争性谈判文件的约定履行合同责任和义务；</w:t>
      </w:r>
    </w:p>
    <w:p w14:paraId="1173713B">
      <w:pPr>
        <w:pStyle w:val="33"/>
        <w:spacing w:line="52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 已详细审查全部竞争性谈判文件，包括</w:t>
      </w:r>
      <w:r>
        <w:rPr>
          <w:rFonts w:hint="eastAsia" w:hAnsi="宋体" w:eastAsia="宋体" w:cs="宋体"/>
          <w:color w:val="auto"/>
          <w:sz w:val="24"/>
          <w:szCs w:val="24"/>
          <w:highlight w:val="none"/>
          <w:u w:val="single"/>
        </w:rPr>
        <w:t>（补遗文件）（如果有的话）</w:t>
      </w:r>
      <w:r>
        <w:rPr>
          <w:rFonts w:hint="eastAsia" w:hAnsi="宋体" w:eastAsia="宋体" w:cs="宋体"/>
          <w:color w:val="auto"/>
          <w:sz w:val="24"/>
          <w:szCs w:val="24"/>
          <w:highlight w:val="none"/>
        </w:rPr>
        <w:t>；</w:t>
      </w:r>
    </w:p>
    <w:p w14:paraId="67CB974B">
      <w:pPr>
        <w:pStyle w:val="33"/>
        <w:spacing w:line="52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 同意提供按照贵方可能要求的与其谈判有关的一切数据或资料；</w:t>
      </w:r>
    </w:p>
    <w:p w14:paraId="21489789">
      <w:pPr>
        <w:pStyle w:val="33"/>
        <w:spacing w:line="520" w:lineRule="exact"/>
        <w:ind w:firstLine="480" w:firstLineChars="200"/>
        <w:rPr>
          <w:rFonts w:hAnsi="宋体" w:eastAsia="宋体" w:cs="宋体"/>
          <w:color w:val="auto"/>
          <w:sz w:val="24"/>
          <w:szCs w:val="24"/>
          <w:highlight w:val="none"/>
          <w:u w:val="single"/>
        </w:rPr>
      </w:pPr>
      <w:r>
        <w:rPr>
          <w:rFonts w:hint="eastAsia" w:hAnsi="宋体" w:eastAsia="宋体" w:cs="宋体"/>
          <w:color w:val="auto"/>
          <w:sz w:val="24"/>
          <w:szCs w:val="24"/>
          <w:highlight w:val="none"/>
        </w:rPr>
        <w:t>4. 与本谈判有关的一切正式往来信函请寄：</w:t>
      </w:r>
    </w:p>
    <w:p w14:paraId="1432847F">
      <w:pPr>
        <w:pStyle w:val="33"/>
        <w:spacing w:line="520" w:lineRule="exact"/>
        <w:ind w:firstLine="840"/>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开户银行：  </w:t>
      </w:r>
    </w:p>
    <w:p w14:paraId="421A3E9E">
      <w:pPr>
        <w:pStyle w:val="33"/>
        <w:spacing w:line="520" w:lineRule="exact"/>
        <w:ind w:firstLine="840"/>
        <w:rPr>
          <w:rFonts w:hAnsi="宋体" w:eastAsia="宋体" w:cs="宋体"/>
          <w:color w:val="auto"/>
          <w:sz w:val="24"/>
          <w:szCs w:val="24"/>
          <w:highlight w:val="none"/>
          <w:u w:val="single"/>
        </w:rPr>
      </w:pPr>
      <w:r>
        <w:rPr>
          <w:rFonts w:hint="eastAsia" w:hAnsi="宋体" w:eastAsia="宋体" w:cs="宋体"/>
          <w:color w:val="auto"/>
          <w:sz w:val="24"/>
          <w:szCs w:val="24"/>
          <w:highlight w:val="none"/>
        </w:rPr>
        <w:t>帐号/行号：</w:t>
      </w:r>
    </w:p>
    <w:p w14:paraId="174DCAD4">
      <w:pPr>
        <w:pStyle w:val="33"/>
        <w:spacing w:line="520" w:lineRule="exact"/>
        <w:ind w:firstLine="840"/>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电话/传真： </w:t>
      </w:r>
    </w:p>
    <w:p w14:paraId="2AC37237">
      <w:pPr>
        <w:pStyle w:val="33"/>
        <w:spacing w:line="520" w:lineRule="exact"/>
        <w:ind w:firstLine="840"/>
        <w:rPr>
          <w:rFonts w:hAnsi="宋体" w:eastAsia="宋体" w:cs="宋体"/>
          <w:color w:val="auto"/>
          <w:sz w:val="24"/>
          <w:szCs w:val="24"/>
          <w:highlight w:val="none"/>
        </w:rPr>
      </w:pPr>
      <w:r>
        <w:rPr>
          <w:rFonts w:hint="eastAsia" w:hAnsi="宋体" w:eastAsia="宋体" w:cs="宋体"/>
          <w:color w:val="auto"/>
          <w:sz w:val="24"/>
          <w:szCs w:val="24"/>
          <w:highlight w:val="none"/>
        </w:rPr>
        <w:t>电子函件：</w:t>
      </w:r>
    </w:p>
    <w:p w14:paraId="7A340AA2">
      <w:pPr>
        <w:pStyle w:val="33"/>
        <w:spacing w:line="520" w:lineRule="exact"/>
        <w:ind w:firstLine="840"/>
        <w:rPr>
          <w:rFonts w:hAnsi="宋体" w:eastAsia="宋体" w:cs="宋体"/>
          <w:color w:val="auto"/>
          <w:sz w:val="24"/>
          <w:szCs w:val="24"/>
          <w:highlight w:val="none"/>
          <w:u w:val="single"/>
        </w:rPr>
      </w:pPr>
      <w:r>
        <w:rPr>
          <w:rFonts w:hint="eastAsia" w:hAnsi="宋体" w:eastAsia="宋体" w:cs="宋体"/>
          <w:color w:val="auto"/>
          <w:sz w:val="24"/>
          <w:szCs w:val="24"/>
          <w:highlight w:val="none"/>
        </w:rPr>
        <w:t>日期：</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rPr>
        <w:t>年</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rPr>
        <w:t>日</w:t>
      </w:r>
    </w:p>
    <w:p w14:paraId="73F950B5">
      <w:pPr>
        <w:pStyle w:val="33"/>
        <w:spacing w:line="520" w:lineRule="exact"/>
        <w:ind w:firstLine="840"/>
        <w:rPr>
          <w:rFonts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法定代表人（负责人）或委托代理人（签名</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rPr>
        <w:t>：</w:t>
      </w:r>
    </w:p>
    <w:p w14:paraId="1771EFD7">
      <w:pPr>
        <w:pStyle w:val="33"/>
        <w:spacing w:line="520" w:lineRule="exact"/>
        <w:ind w:firstLine="840"/>
        <w:rPr>
          <w:rFonts w:hAnsi="宋体" w:eastAsia="宋体" w:cs="宋体"/>
          <w:color w:val="auto"/>
          <w:sz w:val="24"/>
          <w:szCs w:val="24"/>
          <w:highlight w:val="none"/>
        </w:rPr>
      </w:pPr>
      <w:r>
        <w:rPr>
          <w:rFonts w:hint="eastAsia" w:hAnsi="宋体" w:eastAsia="宋体" w:cs="宋体"/>
          <w:color w:val="auto"/>
          <w:sz w:val="24"/>
          <w:szCs w:val="24"/>
          <w:highlight w:val="none"/>
        </w:rPr>
        <w:t>谈判供应商名称（盖章）：</w:t>
      </w:r>
    </w:p>
    <w:p w14:paraId="7B951277">
      <w:pPr>
        <w:spacing w:line="360" w:lineRule="auto"/>
        <w:ind w:right="420"/>
        <w:rPr>
          <w:rFonts w:hint="eastAsia" w:cs="宋体" w:asciiTheme="minorEastAsia" w:hAnsiTheme="minorEastAsia" w:eastAsiaTheme="minorEastAsia"/>
          <w:color w:val="000000" w:themeColor="text1"/>
          <w:sz w:val="24"/>
          <w14:textFill>
            <w14:solidFill>
              <w14:schemeClr w14:val="tx1"/>
            </w14:solidFill>
          </w14:textFill>
        </w:rPr>
      </w:pPr>
    </w:p>
    <w:p w14:paraId="15A8E50D">
      <w:pPr>
        <w:spacing w:line="360" w:lineRule="auto"/>
        <w:ind w:right="420"/>
        <w:rPr>
          <w:rFonts w:hint="eastAsia" w:cs="宋体" w:asciiTheme="minorEastAsia" w:hAnsiTheme="minorEastAsia" w:eastAsiaTheme="minorEastAsia"/>
          <w:color w:val="000000" w:themeColor="text1"/>
          <w:sz w:val="24"/>
          <w14:textFill>
            <w14:solidFill>
              <w14:schemeClr w14:val="tx1"/>
            </w14:solidFill>
          </w14:textFill>
        </w:rPr>
      </w:pPr>
    </w:p>
    <w:p w14:paraId="42E0D85C">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09EAB635">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323388D1">
      <w:pPr>
        <w:pStyle w:val="116"/>
        <w:keepNext w:val="0"/>
        <w:pageBreakBefore w:val="0"/>
        <w:tabs>
          <w:tab w:val="clear" w:pos="720"/>
        </w:tabs>
        <w:jc w:val="both"/>
        <w:outlineLvl w:val="9"/>
        <w:rPr>
          <w:rFonts w:cs="仿宋_GB2312" w:asciiTheme="minorEastAsia" w:hAnsiTheme="minorEastAsia" w:eastAsiaTheme="minorEastAsia"/>
          <w:color w:val="000000" w:themeColor="text1"/>
          <w:sz w:val="24"/>
          <w:szCs w:val="24"/>
          <w14:textFill>
            <w14:solidFill>
              <w14:schemeClr w14:val="tx1"/>
            </w14:solidFill>
          </w14:textFill>
        </w:rPr>
      </w:pPr>
    </w:p>
    <w:p w14:paraId="76932308">
      <w:pPr>
        <w:spacing w:line="300" w:lineRule="auto"/>
        <w:jc w:val="center"/>
        <w:rPr>
          <w:rFonts w:cs="仿宋_GB2312" w:asciiTheme="minorEastAsia" w:hAnsiTheme="minorEastAsia" w:eastAsiaTheme="minorEastAsia"/>
          <w:b/>
          <w:color w:val="000000" w:themeColor="text1"/>
          <w:kern w:val="0"/>
          <w:sz w:val="32"/>
          <w:szCs w:val="32"/>
          <w14:textFill>
            <w14:solidFill>
              <w14:schemeClr w14:val="tx1"/>
            </w14:solidFill>
          </w14:textFill>
        </w:rPr>
      </w:pPr>
      <w:r>
        <w:rPr>
          <w:rFonts w:cs="仿宋_GB2312" w:asciiTheme="minorEastAsia" w:hAnsiTheme="minorEastAsia" w:eastAsiaTheme="minorEastAsia"/>
          <w:b/>
          <w:color w:val="000000" w:themeColor="text1"/>
          <w:kern w:val="0"/>
          <w:sz w:val="32"/>
          <w:szCs w:val="32"/>
          <w14:textFill>
            <w14:solidFill>
              <w14:schemeClr w14:val="tx1"/>
            </w14:solidFill>
          </w14:textFill>
        </w:rPr>
        <w:br w:type="page"/>
      </w:r>
    </w:p>
    <w:p w14:paraId="026B67CF">
      <w:pPr>
        <w:spacing w:line="360" w:lineRule="auto"/>
        <w:jc w:val="left"/>
        <w:rPr>
          <w:rFonts w:hint="default" w:cs="仿宋_GB2312" w:asciiTheme="minorEastAsia" w:hAnsiTheme="minorEastAsia" w:eastAsiaTheme="minorEastAsia"/>
          <w:b/>
          <w:color w:val="000000" w:themeColor="text1"/>
          <w:kern w:val="0"/>
          <w:sz w:val="28"/>
          <w:szCs w:val="28"/>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附件</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3</w:t>
      </w:r>
    </w:p>
    <w:p w14:paraId="4FAA5455">
      <w:pPr>
        <w:spacing w:line="300" w:lineRule="auto"/>
        <w:jc w:val="center"/>
        <w:rPr>
          <w:rFonts w:hint="eastAsia" w:ascii="宋体" w:hAnsi="宋体"/>
          <w:color w:val="000000"/>
          <w:sz w:val="28"/>
          <w:szCs w:val="28"/>
        </w:rPr>
      </w:pPr>
      <w:r>
        <w:rPr>
          <w:rFonts w:hint="eastAsia" w:ascii="宋体" w:hAnsi="宋体" w:eastAsia="宋体" w:cs="宋体"/>
          <w:color w:val="000000"/>
          <w:sz w:val="32"/>
          <w:szCs w:val="32"/>
        </w:rPr>
        <w:t>商务、技术响应、偏离情况说明表</w:t>
      </w:r>
    </w:p>
    <w:p w14:paraId="0D57C304">
      <w:pPr>
        <w:spacing w:before="156" w:beforeLines="50" w:after="156" w:afterLines="50" w:line="360" w:lineRule="exact"/>
        <w:rPr>
          <w:rFonts w:hint="eastAsia" w:ascii="宋体" w:hAnsi="宋体"/>
          <w:color w:val="000000"/>
          <w:sz w:val="28"/>
          <w:szCs w:val="28"/>
          <w:highlight w:val="none"/>
          <w:u w:val="single"/>
        </w:rPr>
      </w:pPr>
      <w:r>
        <w:rPr>
          <w:rFonts w:hint="eastAsia" w:ascii="宋体" w:hAnsi="宋体"/>
          <w:color w:val="000000"/>
          <w:sz w:val="28"/>
          <w:szCs w:val="28"/>
          <w:highlight w:val="none"/>
        </w:rPr>
        <w:t>项目名称:</w:t>
      </w:r>
      <w:r>
        <w:rPr>
          <w:rFonts w:hint="eastAsia" w:ascii="宋体" w:hAnsi="宋体"/>
          <w:color w:val="000000"/>
          <w:sz w:val="28"/>
          <w:szCs w:val="28"/>
          <w:highlight w:val="none"/>
          <w:u w:val="single"/>
        </w:rPr>
        <w:t xml:space="preserve">                 </w:t>
      </w:r>
    </w:p>
    <w:p w14:paraId="1B781C84">
      <w:pPr>
        <w:spacing w:before="156" w:beforeLines="50" w:after="156" w:afterLines="50" w:line="360" w:lineRule="exact"/>
        <w:rPr>
          <w:rFonts w:hint="eastAsia" w:ascii="宋体" w:hAnsi="宋体"/>
          <w:color w:val="000000"/>
          <w:sz w:val="28"/>
          <w:szCs w:val="28"/>
          <w:highlight w:val="none"/>
        </w:rPr>
      </w:pPr>
      <w:r>
        <w:rPr>
          <w:rFonts w:hint="eastAsia" w:ascii="宋体" w:hAnsi="宋体"/>
          <w:color w:val="000000"/>
          <w:sz w:val="28"/>
          <w:szCs w:val="28"/>
          <w:highlight w:val="none"/>
        </w:rPr>
        <w:t>项目编号:</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 xml:space="preserve">    </w:t>
      </w:r>
    </w:p>
    <w:tbl>
      <w:tblPr>
        <w:tblStyle w:val="61"/>
        <w:tblW w:w="99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81"/>
        <w:gridCol w:w="2342"/>
        <w:gridCol w:w="1758"/>
        <w:gridCol w:w="2116"/>
        <w:gridCol w:w="2403"/>
        <w:gridCol w:w="700"/>
      </w:tblGrid>
      <w:tr w14:paraId="1D503A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1378" w:hRule="atLeast"/>
          <w:jc w:val="center"/>
        </w:trPr>
        <w:tc>
          <w:tcPr>
            <w:tcW w:w="581" w:type="dxa"/>
            <w:vAlign w:val="center"/>
          </w:tcPr>
          <w:p w14:paraId="5FBE9069">
            <w:pPr>
              <w:adjustRightInd w:val="0"/>
              <w:snapToGrid w:val="0"/>
              <w:spacing w:line="30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bookmarkStart w:id="78" w:name="_Toc173211900"/>
            <w:bookmarkStart w:id="79" w:name="_Toc254970729"/>
            <w:bookmarkStart w:id="80" w:name="_Toc173066401"/>
            <w:bookmarkStart w:id="81" w:name="_Toc254970588"/>
            <w:bookmarkStart w:id="82" w:name="_Toc405905876"/>
            <w:r>
              <w:rPr>
                <w:rFonts w:hint="eastAsia" w:ascii="宋体" w:hAnsi="宋体"/>
                <w:color w:val="000000"/>
                <w:sz w:val="28"/>
                <w:szCs w:val="28"/>
                <w:highlight w:val="none"/>
              </w:rPr>
              <w:t>序号</w:t>
            </w:r>
            <w:bookmarkEnd w:id="78"/>
            <w:bookmarkEnd w:id="79"/>
            <w:bookmarkEnd w:id="80"/>
            <w:bookmarkEnd w:id="81"/>
            <w:bookmarkEnd w:id="82"/>
          </w:p>
        </w:tc>
        <w:tc>
          <w:tcPr>
            <w:tcW w:w="2342" w:type="dxa"/>
            <w:vAlign w:val="center"/>
          </w:tcPr>
          <w:p w14:paraId="3344BD70">
            <w:pPr>
              <w:adjustRightInd w:val="0"/>
              <w:snapToGrid w:val="0"/>
              <w:spacing w:line="300" w:lineRule="auto"/>
              <w:jc w:val="center"/>
              <w:rPr>
                <w:rFonts w:hint="eastAsia" w:ascii="宋体" w:hAnsi="宋体"/>
                <w:color w:val="000000"/>
                <w:sz w:val="28"/>
                <w:szCs w:val="28"/>
                <w:highlight w:val="none"/>
              </w:rPr>
            </w:pPr>
            <w:bookmarkStart w:id="83" w:name="_Toc173211901"/>
            <w:bookmarkStart w:id="84" w:name="_Toc173066402"/>
            <w:bookmarkStart w:id="85" w:name="_Toc254970589"/>
            <w:bookmarkStart w:id="86" w:name="_Toc405905877"/>
            <w:bookmarkStart w:id="87" w:name="_Toc254970730"/>
            <w:r>
              <w:rPr>
                <w:rFonts w:hint="eastAsia" w:ascii="宋体" w:hAnsi="宋体"/>
                <w:color w:val="000000"/>
                <w:sz w:val="28"/>
                <w:szCs w:val="28"/>
                <w:highlight w:val="none"/>
              </w:rPr>
              <w:t>竞争性谈判文件要求</w:t>
            </w:r>
            <w:bookmarkEnd w:id="83"/>
            <w:bookmarkEnd w:id="84"/>
            <w:bookmarkEnd w:id="85"/>
            <w:bookmarkEnd w:id="86"/>
            <w:bookmarkEnd w:id="87"/>
          </w:p>
        </w:tc>
        <w:tc>
          <w:tcPr>
            <w:tcW w:w="1758" w:type="dxa"/>
            <w:vAlign w:val="center"/>
          </w:tcPr>
          <w:p w14:paraId="1216C8BE">
            <w:pPr>
              <w:adjustRightInd w:val="0"/>
              <w:snapToGrid w:val="0"/>
              <w:spacing w:line="300" w:lineRule="auto"/>
              <w:jc w:val="center"/>
              <w:rPr>
                <w:rFonts w:hint="eastAsia" w:ascii="宋体" w:hAnsi="宋体"/>
                <w:color w:val="000000"/>
                <w:sz w:val="28"/>
                <w:szCs w:val="28"/>
                <w:highlight w:val="none"/>
              </w:rPr>
            </w:pPr>
            <w:bookmarkStart w:id="88" w:name="_Toc254970731"/>
            <w:bookmarkStart w:id="89" w:name="_Toc173211902"/>
            <w:bookmarkStart w:id="90" w:name="_Toc254970590"/>
            <w:bookmarkStart w:id="91" w:name="_Toc173066403"/>
            <w:bookmarkStart w:id="92" w:name="_Toc405905878"/>
            <w:r>
              <w:rPr>
                <w:rFonts w:hint="eastAsia" w:ascii="宋体" w:hAnsi="宋体"/>
                <w:color w:val="000000"/>
                <w:sz w:val="28"/>
                <w:szCs w:val="28"/>
                <w:highlight w:val="none"/>
              </w:rPr>
              <w:t>竞争性谈判响应文件具体响应</w:t>
            </w:r>
            <w:bookmarkEnd w:id="88"/>
            <w:bookmarkEnd w:id="89"/>
            <w:bookmarkEnd w:id="90"/>
            <w:bookmarkEnd w:id="91"/>
            <w:bookmarkEnd w:id="92"/>
          </w:p>
        </w:tc>
        <w:tc>
          <w:tcPr>
            <w:tcW w:w="2116" w:type="dxa"/>
            <w:vAlign w:val="center"/>
          </w:tcPr>
          <w:p w14:paraId="113D10FC">
            <w:pPr>
              <w:adjustRightInd w:val="0"/>
              <w:snapToGrid w:val="0"/>
              <w:spacing w:line="30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响应情况</w:t>
            </w:r>
          </w:p>
          <w:p w14:paraId="0138351D">
            <w:pPr>
              <w:adjustRightInd w:val="0"/>
              <w:snapToGrid w:val="0"/>
              <w:spacing w:line="30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（是否响应）</w:t>
            </w:r>
          </w:p>
        </w:tc>
        <w:tc>
          <w:tcPr>
            <w:tcW w:w="2403" w:type="dxa"/>
            <w:vAlign w:val="center"/>
          </w:tcPr>
          <w:p w14:paraId="0C12D1E5">
            <w:pPr>
              <w:adjustRightInd w:val="0"/>
              <w:snapToGrid w:val="0"/>
              <w:spacing w:line="300" w:lineRule="auto"/>
              <w:jc w:val="center"/>
              <w:rPr>
                <w:rFonts w:hint="eastAsia" w:ascii="宋体" w:hAnsi="宋体"/>
                <w:color w:val="000000"/>
                <w:sz w:val="28"/>
                <w:szCs w:val="28"/>
                <w:highlight w:val="none"/>
              </w:rPr>
            </w:pPr>
            <w:bookmarkStart w:id="93" w:name="_Toc254970591"/>
            <w:bookmarkStart w:id="94" w:name="_Toc173066404"/>
            <w:bookmarkStart w:id="95" w:name="_Toc405905879"/>
            <w:bookmarkStart w:id="96" w:name="_Toc254970732"/>
            <w:bookmarkStart w:id="97" w:name="_Toc173211903"/>
            <w:r>
              <w:rPr>
                <w:rFonts w:hint="eastAsia" w:ascii="宋体" w:hAnsi="宋体"/>
                <w:color w:val="000000"/>
                <w:sz w:val="28"/>
                <w:szCs w:val="28"/>
                <w:highlight w:val="none"/>
              </w:rPr>
              <w:t>偏离</w:t>
            </w:r>
            <w:bookmarkEnd w:id="93"/>
            <w:bookmarkEnd w:id="94"/>
            <w:bookmarkEnd w:id="95"/>
            <w:bookmarkEnd w:id="96"/>
            <w:bookmarkEnd w:id="97"/>
            <w:r>
              <w:rPr>
                <w:rFonts w:hint="eastAsia" w:ascii="宋体" w:hAnsi="宋体"/>
                <w:color w:val="000000"/>
                <w:sz w:val="28"/>
                <w:szCs w:val="28"/>
                <w:highlight w:val="none"/>
              </w:rPr>
              <w:t>情况</w:t>
            </w:r>
          </w:p>
          <w:p w14:paraId="079DA352">
            <w:pPr>
              <w:adjustRightInd w:val="0"/>
              <w:snapToGrid w:val="0"/>
              <w:spacing w:line="30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（有无偏离，是正偏离、无偏离还是负偏离）</w:t>
            </w:r>
          </w:p>
        </w:tc>
        <w:tc>
          <w:tcPr>
            <w:tcW w:w="700" w:type="dxa"/>
            <w:vAlign w:val="center"/>
          </w:tcPr>
          <w:p w14:paraId="106A4526">
            <w:pPr>
              <w:adjustRightInd w:val="0"/>
              <w:snapToGrid w:val="0"/>
              <w:spacing w:line="300" w:lineRule="auto"/>
              <w:jc w:val="center"/>
              <w:rPr>
                <w:rFonts w:hint="eastAsia" w:ascii="宋体" w:hAnsi="宋体"/>
                <w:color w:val="000000"/>
                <w:sz w:val="28"/>
                <w:szCs w:val="28"/>
                <w:highlight w:val="none"/>
              </w:rPr>
            </w:pPr>
            <w:bookmarkStart w:id="98" w:name="_Toc173066405"/>
            <w:bookmarkStart w:id="99" w:name="_Toc254970733"/>
            <w:bookmarkStart w:id="100" w:name="_Toc173211904"/>
            <w:bookmarkStart w:id="101" w:name="_Toc254970592"/>
            <w:bookmarkStart w:id="102" w:name="_Toc405905880"/>
            <w:r>
              <w:rPr>
                <w:rFonts w:hint="eastAsia" w:ascii="宋体" w:hAnsi="宋体"/>
                <w:color w:val="000000"/>
                <w:sz w:val="28"/>
                <w:szCs w:val="28"/>
                <w:highlight w:val="none"/>
              </w:rPr>
              <w:t>说明</w:t>
            </w:r>
            <w:bookmarkEnd w:id="98"/>
            <w:bookmarkEnd w:id="99"/>
            <w:bookmarkEnd w:id="100"/>
            <w:bookmarkEnd w:id="101"/>
            <w:bookmarkEnd w:id="102"/>
          </w:p>
        </w:tc>
      </w:tr>
      <w:tr w14:paraId="40456C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9900" w:type="dxa"/>
            <w:gridSpan w:val="6"/>
            <w:vAlign w:val="top"/>
          </w:tcPr>
          <w:p w14:paraId="1E6CC1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bookmarkStart w:id="103" w:name="_Toc405905881"/>
            <w:r>
              <w:rPr>
                <w:rFonts w:hint="eastAsia" w:ascii="宋体" w:hAnsi="宋体"/>
                <w:color w:val="000000"/>
                <w:sz w:val="28"/>
                <w:szCs w:val="28"/>
                <w:highlight w:val="none"/>
              </w:rPr>
              <w:t>商务部分</w:t>
            </w:r>
            <w:bookmarkEnd w:id="103"/>
          </w:p>
        </w:tc>
      </w:tr>
      <w:tr w14:paraId="1CFD7B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581" w:type="dxa"/>
            <w:vAlign w:val="center"/>
          </w:tcPr>
          <w:p w14:paraId="577E624B">
            <w:pPr>
              <w:adjustRightInd w:val="0"/>
              <w:snapToGrid w:val="0"/>
              <w:spacing w:line="240" w:lineRule="exact"/>
              <w:jc w:val="center"/>
              <w:rPr>
                <w:rFonts w:hint="eastAsia" w:ascii="宋体" w:hAnsi="宋体"/>
                <w:color w:val="000000"/>
                <w:sz w:val="28"/>
                <w:szCs w:val="28"/>
                <w:highlight w:val="none"/>
              </w:rPr>
            </w:pPr>
            <w:bookmarkStart w:id="104" w:name="_Toc405905882"/>
            <w:bookmarkStart w:id="105" w:name="_Toc173211905"/>
            <w:bookmarkStart w:id="106" w:name="_Toc173066406"/>
            <w:bookmarkStart w:id="107" w:name="_Toc254970734"/>
            <w:bookmarkStart w:id="108" w:name="_Toc254970593"/>
            <w:r>
              <w:rPr>
                <w:rFonts w:hint="eastAsia" w:ascii="宋体" w:hAnsi="宋体"/>
                <w:color w:val="000000"/>
                <w:sz w:val="28"/>
                <w:szCs w:val="28"/>
                <w:highlight w:val="none"/>
              </w:rPr>
              <w:t>1</w:t>
            </w:r>
            <w:bookmarkEnd w:id="104"/>
            <w:bookmarkEnd w:id="105"/>
            <w:bookmarkEnd w:id="106"/>
            <w:bookmarkEnd w:id="107"/>
            <w:bookmarkEnd w:id="108"/>
          </w:p>
        </w:tc>
        <w:tc>
          <w:tcPr>
            <w:tcW w:w="2342" w:type="dxa"/>
            <w:vAlign w:val="center"/>
          </w:tcPr>
          <w:p w14:paraId="3A8126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1758" w:type="dxa"/>
            <w:vAlign w:val="center"/>
          </w:tcPr>
          <w:p w14:paraId="423A55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2116" w:type="dxa"/>
            <w:vAlign w:val="top"/>
          </w:tcPr>
          <w:p w14:paraId="6F9AFA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2403" w:type="dxa"/>
            <w:vAlign w:val="center"/>
          </w:tcPr>
          <w:p w14:paraId="31B46E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700" w:type="dxa"/>
            <w:vAlign w:val="center"/>
          </w:tcPr>
          <w:p w14:paraId="1136EA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r>
      <w:tr w14:paraId="1F8986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581" w:type="dxa"/>
            <w:vAlign w:val="center"/>
          </w:tcPr>
          <w:p w14:paraId="3F1E1FB5">
            <w:pPr>
              <w:adjustRightInd w:val="0"/>
              <w:snapToGrid w:val="0"/>
              <w:spacing w:line="240" w:lineRule="exact"/>
              <w:jc w:val="center"/>
              <w:rPr>
                <w:rFonts w:hint="eastAsia" w:ascii="宋体" w:hAnsi="宋体"/>
                <w:color w:val="000000"/>
                <w:sz w:val="28"/>
                <w:szCs w:val="28"/>
                <w:highlight w:val="none"/>
              </w:rPr>
            </w:pPr>
            <w:bookmarkStart w:id="109" w:name="_Toc254970735"/>
            <w:bookmarkStart w:id="110" w:name="_Toc405905883"/>
            <w:bookmarkStart w:id="111" w:name="_Toc254970594"/>
            <w:bookmarkStart w:id="112" w:name="_Toc173066407"/>
            <w:bookmarkStart w:id="113" w:name="_Toc173211906"/>
            <w:r>
              <w:rPr>
                <w:rFonts w:hint="eastAsia" w:ascii="宋体" w:hAnsi="宋体"/>
                <w:color w:val="000000"/>
                <w:sz w:val="28"/>
                <w:szCs w:val="28"/>
                <w:highlight w:val="none"/>
              </w:rPr>
              <w:t>2</w:t>
            </w:r>
            <w:bookmarkEnd w:id="109"/>
            <w:bookmarkEnd w:id="110"/>
            <w:bookmarkEnd w:id="111"/>
            <w:bookmarkEnd w:id="112"/>
            <w:bookmarkEnd w:id="113"/>
          </w:p>
        </w:tc>
        <w:tc>
          <w:tcPr>
            <w:tcW w:w="2342" w:type="dxa"/>
            <w:vAlign w:val="center"/>
          </w:tcPr>
          <w:p w14:paraId="6A99DB0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1758" w:type="dxa"/>
            <w:vAlign w:val="center"/>
          </w:tcPr>
          <w:p w14:paraId="7B5594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2116" w:type="dxa"/>
            <w:vAlign w:val="top"/>
          </w:tcPr>
          <w:p w14:paraId="139E6E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2403" w:type="dxa"/>
            <w:vAlign w:val="center"/>
          </w:tcPr>
          <w:p w14:paraId="7E4AAE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700" w:type="dxa"/>
            <w:vAlign w:val="center"/>
          </w:tcPr>
          <w:p w14:paraId="4B0612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r>
      <w:tr w14:paraId="675012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581" w:type="dxa"/>
            <w:vAlign w:val="center"/>
          </w:tcPr>
          <w:p w14:paraId="1A869E00">
            <w:pPr>
              <w:adjustRightInd w:val="0"/>
              <w:snapToGrid w:val="0"/>
              <w:spacing w:line="240" w:lineRule="exact"/>
              <w:jc w:val="center"/>
              <w:rPr>
                <w:rFonts w:hint="eastAsia" w:ascii="宋体" w:hAnsi="宋体"/>
                <w:color w:val="000000"/>
                <w:sz w:val="28"/>
                <w:szCs w:val="28"/>
                <w:highlight w:val="none"/>
              </w:rPr>
            </w:pPr>
            <w:bookmarkStart w:id="114" w:name="_Toc254970595"/>
            <w:bookmarkStart w:id="115" w:name="_Toc405905884"/>
            <w:bookmarkStart w:id="116" w:name="_Toc173066408"/>
            <w:bookmarkStart w:id="117" w:name="_Toc254970736"/>
            <w:bookmarkStart w:id="118" w:name="_Toc173211907"/>
            <w:r>
              <w:rPr>
                <w:rFonts w:hint="eastAsia" w:ascii="宋体" w:hAnsi="宋体"/>
                <w:color w:val="000000"/>
                <w:sz w:val="28"/>
                <w:szCs w:val="28"/>
                <w:highlight w:val="none"/>
              </w:rPr>
              <w:t>3</w:t>
            </w:r>
            <w:bookmarkEnd w:id="114"/>
            <w:bookmarkEnd w:id="115"/>
            <w:bookmarkEnd w:id="116"/>
            <w:bookmarkEnd w:id="117"/>
            <w:bookmarkEnd w:id="118"/>
          </w:p>
        </w:tc>
        <w:tc>
          <w:tcPr>
            <w:tcW w:w="2342" w:type="dxa"/>
            <w:vAlign w:val="center"/>
          </w:tcPr>
          <w:p w14:paraId="357BA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1758" w:type="dxa"/>
            <w:vAlign w:val="center"/>
          </w:tcPr>
          <w:p w14:paraId="02D4FB0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2116" w:type="dxa"/>
            <w:vAlign w:val="top"/>
          </w:tcPr>
          <w:p w14:paraId="63EB9C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2403" w:type="dxa"/>
            <w:vAlign w:val="center"/>
          </w:tcPr>
          <w:p w14:paraId="7513DB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700" w:type="dxa"/>
            <w:vAlign w:val="center"/>
          </w:tcPr>
          <w:p w14:paraId="69ADC6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r>
      <w:tr w14:paraId="1DE361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581" w:type="dxa"/>
            <w:vAlign w:val="center"/>
          </w:tcPr>
          <w:p w14:paraId="7815BE6F">
            <w:pPr>
              <w:adjustRightInd w:val="0"/>
              <w:snapToGrid w:val="0"/>
              <w:spacing w:line="240" w:lineRule="exact"/>
              <w:jc w:val="center"/>
              <w:rPr>
                <w:rFonts w:hint="eastAsia" w:ascii="宋体" w:hAnsi="宋体"/>
                <w:color w:val="000000"/>
                <w:sz w:val="28"/>
                <w:szCs w:val="28"/>
                <w:highlight w:val="none"/>
              </w:rPr>
            </w:pPr>
            <w:bookmarkStart w:id="119" w:name="_Toc405905885"/>
            <w:r>
              <w:rPr>
                <w:rFonts w:hint="eastAsia" w:ascii="宋体" w:hAnsi="宋体"/>
                <w:color w:val="000000"/>
                <w:sz w:val="28"/>
                <w:szCs w:val="28"/>
                <w:highlight w:val="none"/>
              </w:rPr>
              <w:t>…</w:t>
            </w:r>
            <w:bookmarkEnd w:id="119"/>
          </w:p>
        </w:tc>
        <w:tc>
          <w:tcPr>
            <w:tcW w:w="2342" w:type="dxa"/>
            <w:vAlign w:val="center"/>
          </w:tcPr>
          <w:p w14:paraId="3A7F35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1758" w:type="dxa"/>
            <w:vAlign w:val="center"/>
          </w:tcPr>
          <w:p w14:paraId="001414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2116" w:type="dxa"/>
            <w:vAlign w:val="top"/>
          </w:tcPr>
          <w:p w14:paraId="2DE3DE4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2403" w:type="dxa"/>
            <w:vAlign w:val="center"/>
          </w:tcPr>
          <w:p w14:paraId="12B5B0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c>
          <w:tcPr>
            <w:tcW w:w="700" w:type="dxa"/>
            <w:vAlign w:val="center"/>
          </w:tcPr>
          <w:p w14:paraId="02C6C7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p>
        </w:tc>
      </w:tr>
      <w:tr w14:paraId="1379E2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9900" w:type="dxa"/>
            <w:gridSpan w:val="6"/>
            <w:vAlign w:val="top"/>
          </w:tcPr>
          <w:p w14:paraId="56BBC64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8"/>
                <w:szCs w:val="28"/>
                <w:highlight w:val="none"/>
              </w:rPr>
            </w:pPr>
            <w:bookmarkStart w:id="120" w:name="_Toc405905886"/>
            <w:r>
              <w:rPr>
                <w:rFonts w:hint="eastAsia" w:ascii="宋体" w:hAnsi="宋体"/>
                <w:color w:val="000000"/>
                <w:sz w:val="28"/>
                <w:szCs w:val="28"/>
                <w:highlight w:val="none"/>
              </w:rPr>
              <w:t>技术部分</w:t>
            </w:r>
            <w:bookmarkEnd w:id="120"/>
          </w:p>
        </w:tc>
      </w:tr>
      <w:tr w14:paraId="5B2056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581" w:type="dxa"/>
            <w:vAlign w:val="center"/>
          </w:tcPr>
          <w:p w14:paraId="63D93FCD">
            <w:pPr>
              <w:adjustRightInd w:val="0"/>
              <w:snapToGrid w:val="0"/>
              <w:spacing w:line="240" w:lineRule="exact"/>
              <w:jc w:val="center"/>
              <w:rPr>
                <w:rFonts w:hint="eastAsia" w:ascii="宋体" w:hAnsi="宋体"/>
                <w:color w:val="000000"/>
                <w:sz w:val="28"/>
                <w:szCs w:val="28"/>
                <w:highlight w:val="none"/>
              </w:rPr>
            </w:pPr>
            <w:bookmarkStart w:id="121" w:name="_Toc405905887"/>
            <w:r>
              <w:rPr>
                <w:rFonts w:hint="eastAsia" w:ascii="宋体" w:hAnsi="宋体"/>
                <w:color w:val="000000"/>
                <w:sz w:val="28"/>
                <w:szCs w:val="28"/>
                <w:highlight w:val="none"/>
              </w:rPr>
              <w:t>1</w:t>
            </w:r>
            <w:bookmarkEnd w:id="121"/>
          </w:p>
        </w:tc>
        <w:tc>
          <w:tcPr>
            <w:tcW w:w="2342" w:type="dxa"/>
            <w:vAlign w:val="center"/>
          </w:tcPr>
          <w:p w14:paraId="60751A96">
            <w:pPr>
              <w:adjustRightInd w:val="0"/>
              <w:snapToGrid w:val="0"/>
              <w:spacing w:line="240" w:lineRule="exact"/>
              <w:jc w:val="center"/>
              <w:rPr>
                <w:rFonts w:hint="eastAsia" w:ascii="宋体" w:hAnsi="宋体"/>
                <w:color w:val="000000"/>
                <w:sz w:val="28"/>
                <w:szCs w:val="28"/>
                <w:highlight w:val="none"/>
              </w:rPr>
            </w:pPr>
          </w:p>
        </w:tc>
        <w:tc>
          <w:tcPr>
            <w:tcW w:w="1758" w:type="dxa"/>
            <w:vAlign w:val="center"/>
          </w:tcPr>
          <w:p w14:paraId="6ECFDF6D">
            <w:pPr>
              <w:adjustRightInd w:val="0"/>
              <w:snapToGrid w:val="0"/>
              <w:spacing w:line="240" w:lineRule="exact"/>
              <w:jc w:val="center"/>
              <w:rPr>
                <w:rFonts w:hint="eastAsia" w:ascii="宋体" w:hAnsi="宋体"/>
                <w:color w:val="000000"/>
                <w:sz w:val="28"/>
                <w:szCs w:val="28"/>
                <w:highlight w:val="none"/>
              </w:rPr>
            </w:pPr>
          </w:p>
        </w:tc>
        <w:tc>
          <w:tcPr>
            <w:tcW w:w="2116" w:type="dxa"/>
            <w:vAlign w:val="top"/>
          </w:tcPr>
          <w:p w14:paraId="0994B72F">
            <w:pPr>
              <w:adjustRightInd w:val="0"/>
              <w:snapToGrid w:val="0"/>
              <w:spacing w:line="240" w:lineRule="exact"/>
              <w:jc w:val="center"/>
              <w:rPr>
                <w:rFonts w:hint="eastAsia" w:ascii="宋体" w:hAnsi="宋体"/>
                <w:color w:val="000000"/>
                <w:sz w:val="28"/>
                <w:szCs w:val="28"/>
                <w:highlight w:val="none"/>
              </w:rPr>
            </w:pPr>
          </w:p>
        </w:tc>
        <w:tc>
          <w:tcPr>
            <w:tcW w:w="2403" w:type="dxa"/>
            <w:vAlign w:val="center"/>
          </w:tcPr>
          <w:p w14:paraId="55E12106">
            <w:pPr>
              <w:adjustRightInd w:val="0"/>
              <w:snapToGrid w:val="0"/>
              <w:spacing w:line="240" w:lineRule="exact"/>
              <w:jc w:val="center"/>
              <w:rPr>
                <w:rFonts w:hint="eastAsia" w:ascii="宋体" w:hAnsi="宋体"/>
                <w:color w:val="000000"/>
                <w:sz w:val="28"/>
                <w:szCs w:val="28"/>
                <w:highlight w:val="none"/>
              </w:rPr>
            </w:pPr>
          </w:p>
        </w:tc>
        <w:tc>
          <w:tcPr>
            <w:tcW w:w="700" w:type="dxa"/>
            <w:vAlign w:val="center"/>
          </w:tcPr>
          <w:p w14:paraId="72798BB4">
            <w:pPr>
              <w:adjustRightInd w:val="0"/>
              <w:snapToGrid w:val="0"/>
              <w:spacing w:line="240" w:lineRule="exact"/>
              <w:jc w:val="center"/>
              <w:rPr>
                <w:rFonts w:hint="eastAsia" w:ascii="宋体" w:hAnsi="宋体"/>
                <w:color w:val="000000"/>
                <w:sz w:val="28"/>
                <w:szCs w:val="28"/>
                <w:highlight w:val="none"/>
              </w:rPr>
            </w:pPr>
          </w:p>
        </w:tc>
      </w:tr>
      <w:tr w14:paraId="343B5C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581" w:type="dxa"/>
            <w:vAlign w:val="center"/>
          </w:tcPr>
          <w:p w14:paraId="05644F74">
            <w:pPr>
              <w:adjustRightInd w:val="0"/>
              <w:snapToGrid w:val="0"/>
              <w:spacing w:line="240" w:lineRule="exact"/>
              <w:jc w:val="center"/>
              <w:rPr>
                <w:rFonts w:hint="eastAsia" w:ascii="宋体" w:hAnsi="宋体"/>
                <w:color w:val="000000"/>
                <w:sz w:val="28"/>
                <w:szCs w:val="28"/>
                <w:highlight w:val="none"/>
              </w:rPr>
            </w:pPr>
            <w:bookmarkStart w:id="122" w:name="_Toc405905888"/>
            <w:r>
              <w:rPr>
                <w:rFonts w:hint="eastAsia" w:ascii="宋体" w:hAnsi="宋体"/>
                <w:color w:val="000000"/>
                <w:sz w:val="28"/>
                <w:szCs w:val="28"/>
                <w:highlight w:val="none"/>
              </w:rPr>
              <w:t>2</w:t>
            </w:r>
            <w:bookmarkEnd w:id="122"/>
          </w:p>
        </w:tc>
        <w:tc>
          <w:tcPr>
            <w:tcW w:w="2342" w:type="dxa"/>
            <w:vAlign w:val="center"/>
          </w:tcPr>
          <w:p w14:paraId="6D463F48">
            <w:pPr>
              <w:adjustRightInd w:val="0"/>
              <w:snapToGrid w:val="0"/>
              <w:spacing w:line="240" w:lineRule="exact"/>
              <w:jc w:val="center"/>
              <w:rPr>
                <w:rFonts w:hint="eastAsia" w:ascii="宋体" w:hAnsi="宋体"/>
                <w:color w:val="000000"/>
                <w:sz w:val="28"/>
                <w:szCs w:val="28"/>
                <w:highlight w:val="none"/>
              </w:rPr>
            </w:pPr>
          </w:p>
        </w:tc>
        <w:tc>
          <w:tcPr>
            <w:tcW w:w="1758" w:type="dxa"/>
            <w:vAlign w:val="center"/>
          </w:tcPr>
          <w:p w14:paraId="5A9A93AE">
            <w:pPr>
              <w:adjustRightInd w:val="0"/>
              <w:snapToGrid w:val="0"/>
              <w:spacing w:line="240" w:lineRule="exact"/>
              <w:jc w:val="center"/>
              <w:rPr>
                <w:rFonts w:hint="eastAsia" w:ascii="宋体" w:hAnsi="宋体"/>
                <w:color w:val="000000"/>
                <w:sz w:val="28"/>
                <w:szCs w:val="28"/>
                <w:highlight w:val="none"/>
              </w:rPr>
            </w:pPr>
          </w:p>
        </w:tc>
        <w:tc>
          <w:tcPr>
            <w:tcW w:w="2116" w:type="dxa"/>
            <w:vAlign w:val="top"/>
          </w:tcPr>
          <w:p w14:paraId="3109B40B">
            <w:pPr>
              <w:adjustRightInd w:val="0"/>
              <w:snapToGrid w:val="0"/>
              <w:spacing w:line="240" w:lineRule="exact"/>
              <w:jc w:val="center"/>
              <w:rPr>
                <w:rFonts w:hint="eastAsia" w:ascii="宋体" w:hAnsi="宋体"/>
                <w:color w:val="000000"/>
                <w:sz w:val="28"/>
                <w:szCs w:val="28"/>
                <w:highlight w:val="none"/>
              </w:rPr>
            </w:pPr>
          </w:p>
        </w:tc>
        <w:tc>
          <w:tcPr>
            <w:tcW w:w="2403" w:type="dxa"/>
            <w:vAlign w:val="center"/>
          </w:tcPr>
          <w:p w14:paraId="2A177228">
            <w:pPr>
              <w:adjustRightInd w:val="0"/>
              <w:snapToGrid w:val="0"/>
              <w:spacing w:line="240" w:lineRule="exact"/>
              <w:jc w:val="center"/>
              <w:rPr>
                <w:rFonts w:hint="eastAsia" w:ascii="宋体" w:hAnsi="宋体"/>
                <w:color w:val="000000"/>
                <w:sz w:val="28"/>
                <w:szCs w:val="28"/>
                <w:highlight w:val="none"/>
              </w:rPr>
            </w:pPr>
          </w:p>
        </w:tc>
        <w:tc>
          <w:tcPr>
            <w:tcW w:w="700" w:type="dxa"/>
            <w:vAlign w:val="center"/>
          </w:tcPr>
          <w:p w14:paraId="5D494120">
            <w:pPr>
              <w:adjustRightInd w:val="0"/>
              <w:snapToGrid w:val="0"/>
              <w:spacing w:line="240" w:lineRule="exact"/>
              <w:jc w:val="center"/>
              <w:rPr>
                <w:rFonts w:hint="eastAsia" w:ascii="宋体" w:hAnsi="宋体"/>
                <w:color w:val="000000"/>
                <w:sz w:val="28"/>
                <w:szCs w:val="28"/>
                <w:highlight w:val="none"/>
              </w:rPr>
            </w:pPr>
          </w:p>
        </w:tc>
      </w:tr>
      <w:tr w14:paraId="262939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581" w:type="dxa"/>
            <w:vAlign w:val="center"/>
          </w:tcPr>
          <w:p w14:paraId="7AE2ADE0">
            <w:pPr>
              <w:adjustRightInd w:val="0"/>
              <w:snapToGrid w:val="0"/>
              <w:spacing w:line="240" w:lineRule="exact"/>
              <w:jc w:val="center"/>
              <w:rPr>
                <w:rFonts w:hint="eastAsia" w:ascii="宋体" w:hAnsi="宋体"/>
                <w:color w:val="000000"/>
                <w:sz w:val="28"/>
                <w:szCs w:val="28"/>
                <w:highlight w:val="none"/>
              </w:rPr>
            </w:pPr>
            <w:bookmarkStart w:id="123" w:name="_Toc405905889"/>
            <w:r>
              <w:rPr>
                <w:rFonts w:hint="eastAsia" w:ascii="宋体" w:hAnsi="宋体"/>
                <w:color w:val="000000"/>
                <w:sz w:val="28"/>
                <w:szCs w:val="28"/>
                <w:highlight w:val="none"/>
              </w:rPr>
              <w:t>3</w:t>
            </w:r>
            <w:bookmarkEnd w:id="123"/>
          </w:p>
        </w:tc>
        <w:tc>
          <w:tcPr>
            <w:tcW w:w="2342" w:type="dxa"/>
            <w:vAlign w:val="center"/>
          </w:tcPr>
          <w:p w14:paraId="5E1767AD">
            <w:pPr>
              <w:adjustRightInd w:val="0"/>
              <w:snapToGrid w:val="0"/>
              <w:spacing w:line="240" w:lineRule="exact"/>
              <w:jc w:val="center"/>
              <w:rPr>
                <w:rFonts w:hint="eastAsia" w:ascii="宋体" w:hAnsi="宋体"/>
                <w:color w:val="000000"/>
                <w:sz w:val="28"/>
                <w:szCs w:val="28"/>
                <w:highlight w:val="none"/>
              </w:rPr>
            </w:pPr>
          </w:p>
        </w:tc>
        <w:tc>
          <w:tcPr>
            <w:tcW w:w="1758" w:type="dxa"/>
            <w:vAlign w:val="center"/>
          </w:tcPr>
          <w:p w14:paraId="36F8A781">
            <w:pPr>
              <w:adjustRightInd w:val="0"/>
              <w:snapToGrid w:val="0"/>
              <w:spacing w:line="240" w:lineRule="exact"/>
              <w:jc w:val="center"/>
              <w:rPr>
                <w:rFonts w:hint="eastAsia" w:ascii="宋体" w:hAnsi="宋体"/>
                <w:color w:val="000000"/>
                <w:sz w:val="28"/>
                <w:szCs w:val="28"/>
                <w:highlight w:val="none"/>
              </w:rPr>
            </w:pPr>
          </w:p>
        </w:tc>
        <w:tc>
          <w:tcPr>
            <w:tcW w:w="2116" w:type="dxa"/>
            <w:vAlign w:val="top"/>
          </w:tcPr>
          <w:p w14:paraId="46154A16">
            <w:pPr>
              <w:adjustRightInd w:val="0"/>
              <w:snapToGrid w:val="0"/>
              <w:spacing w:line="240" w:lineRule="exact"/>
              <w:jc w:val="center"/>
              <w:rPr>
                <w:rFonts w:hint="eastAsia" w:ascii="宋体" w:hAnsi="宋体"/>
                <w:color w:val="000000"/>
                <w:sz w:val="28"/>
                <w:szCs w:val="28"/>
                <w:highlight w:val="none"/>
              </w:rPr>
            </w:pPr>
          </w:p>
        </w:tc>
        <w:tc>
          <w:tcPr>
            <w:tcW w:w="2403" w:type="dxa"/>
            <w:vAlign w:val="center"/>
          </w:tcPr>
          <w:p w14:paraId="1FFD3219">
            <w:pPr>
              <w:adjustRightInd w:val="0"/>
              <w:snapToGrid w:val="0"/>
              <w:spacing w:line="240" w:lineRule="exact"/>
              <w:jc w:val="center"/>
              <w:rPr>
                <w:rFonts w:hint="eastAsia" w:ascii="宋体" w:hAnsi="宋体"/>
                <w:color w:val="000000"/>
                <w:sz w:val="28"/>
                <w:szCs w:val="28"/>
                <w:highlight w:val="none"/>
              </w:rPr>
            </w:pPr>
          </w:p>
        </w:tc>
        <w:tc>
          <w:tcPr>
            <w:tcW w:w="700" w:type="dxa"/>
            <w:vAlign w:val="center"/>
          </w:tcPr>
          <w:p w14:paraId="180064F6">
            <w:pPr>
              <w:adjustRightInd w:val="0"/>
              <w:snapToGrid w:val="0"/>
              <w:spacing w:line="240" w:lineRule="exact"/>
              <w:jc w:val="center"/>
              <w:rPr>
                <w:rFonts w:hint="eastAsia" w:ascii="宋体" w:hAnsi="宋体"/>
                <w:color w:val="000000"/>
                <w:sz w:val="28"/>
                <w:szCs w:val="28"/>
                <w:highlight w:val="none"/>
              </w:rPr>
            </w:pPr>
          </w:p>
        </w:tc>
      </w:tr>
      <w:tr w14:paraId="0357B1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32" w:hRule="atLeast"/>
          <w:jc w:val="center"/>
        </w:trPr>
        <w:tc>
          <w:tcPr>
            <w:tcW w:w="581" w:type="dxa"/>
            <w:vAlign w:val="center"/>
          </w:tcPr>
          <w:p w14:paraId="75F854CF">
            <w:pPr>
              <w:adjustRightInd w:val="0"/>
              <w:snapToGrid w:val="0"/>
              <w:spacing w:line="240" w:lineRule="exact"/>
              <w:jc w:val="center"/>
              <w:rPr>
                <w:rFonts w:hint="eastAsia" w:ascii="宋体" w:hAnsi="宋体"/>
                <w:color w:val="000000"/>
                <w:sz w:val="28"/>
                <w:szCs w:val="28"/>
              </w:rPr>
            </w:pPr>
            <w:bookmarkStart w:id="124" w:name="_Toc405905890"/>
            <w:r>
              <w:rPr>
                <w:rFonts w:hint="eastAsia" w:ascii="宋体" w:hAnsi="宋体"/>
                <w:color w:val="000000"/>
                <w:sz w:val="28"/>
                <w:szCs w:val="28"/>
              </w:rPr>
              <w:t>…</w:t>
            </w:r>
            <w:bookmarkEnd w:id="124"/>
          </w:p>
        </w:tc>
        <w:tc>
          <w:tcPr>
            <w:tcW w:w="2342" w:type="dxa"/>
            <w:vAlign w:val="center"/>
          </w:tcPr>
          <w:p w14:paraId="083EC6E8">
            <w:pPr>
              <w:adjustRightInd w:val="0"/>
              <w:snapToGrid w:val="0"/>
              <w:spacing w:line="240" w:lineRule="exact"/>
              <w:jc w:val="center"/>
              <w:rPr>
                <w:rFonts w:hint="eastAsia" w:ascii="宋体" w:hAnsi="宋体"/>
                <w:color w:val="000000"/>
                <w:sz w:val="28"/>
                <w:szCs w:val="28"/>
              </w:rPr>
            </w:pPr>
          </w:p>
        </w:tc>
        <w:tc>
          <w:tcPr>
            <w:tcW w:w="1758" w:type="dxa"/>
            <w:vAlign w:val="center"/>
          </w:tcPr>
          <w:p w14:paraId="414D23E5">
            <w:pPr>
              <w:adjustRightInd w:val="0"/>
              <w:snapToGrid w:val="0"/>
              <w:spacing w:line="240" w:lineRule="exact"/>
              <w:jc w:val="center"/>
              <w:rPr>
                <w:rFonts w:hint="eastAsia" w:ascii="宋体" w:hAnsi="宋体"/>
                <w:color w:val="000000"/>
                <w:sz w:val="28"/>
                <w:szCs w:val="28"/>
              </w:rPr>
            </w:pPr>
          </w:p>
        </w:tc>
        <w:tc>
          <w:tcPr>
            <w:tcW w:w="2116" w:type="dxa"/>
            <w:vAlign w:val="top"/>
          </w:tcPr>
          <w:p w14:paraId="288F9249">
            <w:pPr>
              <w:adjustRightInd w:val="0"/>
              <w:snapToGrid w:val="0"/>
              <w:spacing w:line="240" w:lineRule="exact"/>
              <w:jc w:val="center"/>
              <w:rPr>
                <w:rFonts w:hint="eastAsia" w:ascii="宋体" w:hAnsi="宋体"/>
                <w:color w:val="000000"/>
                <w:sz w:val="28"/>
                <w:szCs w:val="28"/>
              </w:rPr>
            </w:pPr>
          </w:p>
        </w:tc>
        <w:tc>
          <w:tcPr>
            <w:tcW w:w="2403" w:type="dxa"/>
            <w:tcBorders>
              <w:right w:val="single" w:color="auto" w:sz="4" w:space="0"/>
            </w:tcBorders>
            <w:vAlign w:val="center"/>
          </w:tcPr>
          <w:p w14:paraId="788D5127">
            <w:pPr>
              <w:adjustRightInd w:val="0"/>
              <w:snapToGrid w:val="0"/>
              <w:spacing w:line="240" w:lineRule="exact"/>
              <w:jc w:val="center"/>
              <w:rPr>
                <w:rFonts w:hint="eastAsia" w:ascii="宋体" w:hAnsi="宋体"/>
                <w:color w:val="000000"/>
                <w:sz w:val="28"/>
                <w:szCs w:val="28"/>
              </w:rPr>
            </w:pPr>
          </w:p>
        </w:tc>
        <w:tc>
          <w:tcPr>
            <w:tcW w:w="700" w:type="dxa"/>
            <w:tcBorders>
              <w:left w:val="single" w:color="auto" w:sz="4" w:space="0"/>
            </w:tcBorders>
            <w:vAlign w:val="center"/>
          </w:tcPr>
          <w:p w14:paraId="2F479483">
            <w:pPr>
              <w:adjustRightInd w:val="0"/>
              <w:snapToGrid w:val="0"/>
              <w:spacing w:line="240" w:lineRule="exact"/>
              <w:jc w:val="center"/>
              <w:rPr>
                <w:rFonts w:hint="eastAsia" w:ascii="宋体" w:hAnsi="宋体"/>
                <w:color w:val="000000"/>
                <w:sz w:val="28"/>
                <w:szCs w:val="28"/>
              </w:rPr>
            </w:pPr>
          </w:p>
        </w:tc>
      </w:tr>
    </w:tbl>
    <w:p w14:paraId="22FACD82">
      <w:pPr>
        <w:adjustRightInd w:val="0"/>
        <w:snapToGrid w:val="0"/>
        <w:spacing w:line="360" w:lineRule="exact"/>
        <w:rPr>
          <w:rFonts w:hint="eastAsia" w:ascii="宋体" w:hAnsi="宋体"/>
          <w:color w:val="000000"/>
          <w:sz w:val="28"/>
          <w:szCs w:val="28"/>
        </w:rPr>
      </w:pPr>
      <w:r>
        <w:rPr>
          <w:rFonts w:hint="eastAsia" w:ascii="宋体" w:hAnsi="宋体"/>
          <w:color w:val="000000"/>
          <w:sz w:val="28"/>
          <w:szCs w:val="28"/>
        </w:rPr>
        <w:t>特别说明：</w:t>
      </w:r>
    </w:p>
    <w:p w14:paraId="70CC5CFC">
      <w:pPr>
        <w:adjustRightInd w:val="0"/>
        <w:snapToGrid w:val="0"/>
        <w:spacing w:line="360" w:lineRule="exact"/>
        <w:rPr>
          <w:rFonts w:hint="eastAsia" w:ascii="宋体" w:hAnsi="宋体"/>
          <w:color w:val="000000"/>
          <w:sz w:val="28"/>
          <w:szCs w:val="28"/>
        </w:rPr>
      </w:pPr>
      <w:r>
        <w:rPr>
          <w:rFonts w:hint="eastAsia" w:hAnsi="宋体"/>
          <w:color w:val="000000"/>
          <w:sz w:val="28"/>
          <w:szCs w:val="28"/>
        </w:rPr>
        <w:t>1.应写明竞</w:t>
      </w:r>
      <w:r>
        <w:rPr>
          <w:rFonts w:hint="eastAsia" w:ascii="宋体" w:hAnsi="宋体"/>
          <w:color w:val="000000"/>
          <w:sz w:val="28"/>
          <w:szCs w:val="28"/>
        </w:rPr>
        <w:t>争性谈判响应文件对</w:t>
      </w:r>
      <w:r>
        <w:rPr>
          <w:rFonts w:hint="eastAsia"/>
          <w:color w:val="000000"/>
          <w:sz w:val="28"/>
          <w:szCs w:val="28"/>
        </w:rPr>
        <w:t>商务</w:t>
      </w:r>
      <w:r>
        <w:rPr>
          <w:rFonts w:hint="eastAsia" w:hAnsi="宋体"/>
          <w:color w:val="000000"/>
          <w:sz w:val="28"/>
          <w:szCs w:val="28"/>
        </w:rPr>
        <w:t>与技术要求的</w:t>
      </w:r>
      <w:r>
        <w:rPr>
          <w:rFonts w:hint="eastAsia" w:ascii="宋体" w:hAnsi="宋体"/>
          <w:color w:val="000000"/>
          <w:sz w:val="28"/>
          <w:szCs w:val="28"/>
        </w:rPr>
        <w:t>响应和偏离情况</w:t>
      </w:r>
      <w:r>
        <w:rPr>
          <w:rFonts w:hint="eastAsia"/>
          <w:bCs/>
          <w:color w:val="000000"/>
          <w:sz w:val="28"/>
          <w:szCs w:val="28"/>
        </w:rPr>
        <w:t>；</w:t>
      </w:r>
    </w:p>
    <w:p w14:paraId="5A7EB348">
      <w:pPr>
        <w:adjustRightInd w:val="0"/>
        <w:snapToGrid w:val="0"/>
        <w:spacing w:line="360" w:lineRule="exact"/>
        <w:rPr>
          <w:rFonts w:hint="eastAsia" w:ascii="宋体" w:hAnsi="宋体"/>
          <w:color w:val="000000"/>
          <w:sz w:val="28"/>
          <w:szCs w:val="28"/>
        </w:rPr>
      </w:pPr>
      <w:r>
        <w:rPr>
          <w:rFonts w:hint="eastAsia" w:ascii="宋体" w:hAnsi="宋体"/>
          <w:color w:val="000000"/>
          <w:sz w:val="28"/>
          <w:szCs w:val="28"/>
        </w:rPr>
        <w:t>2.应对照竞争性谈判文件“项目采购需求”，逐条说明所提供货物和服务已对竞争性谈判文件的商务、技术做出了实质性的响应，并申明商务、技术条文的响应和偏离。</w:t>
      </w:r>
    </w:p>
    <w:p w14:paraId="25CDF704">
      <w:pPr>
        <w:adjustRightInd w:val="0"/>
        <w:snapToGrid w:val="0"/>
        <w:spacing w:line="360" w:lineRule="exact"/>
        <w:rPr>
          <w:rFonts w:hint="eastAsia" w:ascii="宋体" w:hAnsi="宋体"/>
          <w:color w:val="000000"/>
          <w:sz w:val="28"/>
          <w:szCs w:val="28"/>
        </w:rPr>
      </w:pPr>
      <w:r>
        <w:rPr>
          <w:rFonts w:hint="eastAsia" w:ascii="宋体" w:hAnsi="宋体"/>
          <w:color w:val="000000"/>
          <w:sz w:val="28"/>
          <w:szCs w:val="28"/>
        </w:rPr>
        <w:t>3.特别对有具体商务、技术参数要求的，谈判供应商必须提供对应的详细应答。</w:t>
      </w:r>
    </w:p>
    <w:p w14:paraId="7AD940F1">
      <w:pPr>
        <w:adjustRightInd w:val="0"/>
        <w:snapToGrid w:val="0"/>
        <w:spacing w:line="360" w:lineRule="exact"/>
        <w:rPr>
          <w:rFonts w:hint="eastAsia" w:ascii="宋体" w:hAnsi="宋体"/>
          <w:color w:val="000000"/>
          <w:sz w:val="28"/>
          <w:szCs w:val="28"/>
        </w:rPr>
      </w:pPr>
      <w:r>
        <w:rPr>
          <w:rFonts w:hint="eastAsia" w:ascii="宋体" w:hAnsi="宋体"/>
          <w:color w:val="000000"/>
          <w:sz w:val="28"/>
          <w:szCs w:val="28"/>
        </w:rPr>
        <w:t>4.仅注明“符合”、“满足”或简单复制竞争性谈判文件要求，将导致谈判被拒绝。</w:t>
      </w:r>
    </w:p>
    <w:p w14:paraId="29E735B5">
      <w:pPr>
        <w:pStyle w:val="33"/>
        <w:spacing w:line="360" w:lineRule="exact"/>
        <w:rPr>
          <w:rFonts w:hint="eastAsia" w:hAnsi="宋体"/>
          <w:color w:val="000000"/>
          <w:sz w:val="28"/>
          <w:szCs w:val="28"/>
        </w:rPr>
      </w:pPr>
    </w:p>
    <w:p w14:paraId="61BFAD33">
      <w:pPr>
        <w:pStyle w:val="3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000000"/>
          <w:sz w:val="28"/>
          <w:szCs w:val="28"/>
        </w:rPr>
      </w:pPr>
      <w:r>
        <w:rPr>
          <w:rFonts w:hint="eastAsia" w:hAnsi="宋体"/>
          <w:color w:val="000000"/>
          <w:sz w:val="28"/>
          <w:szCs w:val="28"/>
        </w:rPr>
        <w:t>法定代表人（负责人）或委托代理人签字（盖姓名章无效）:</w:t>
      </w:r>
      <w:r>
        <w:rPr>
          <w:rFonts w:hint="eastAsia" w:hAnsi="宋体"/>
          <w:color w:val="000000"/>
          <w:sz w:val="28"/>
          <w:szCs w:val="28"/>
          <w:u w:val="single"/>
        </w:rPr>
        <w:t xml:space="preserve">                </w:t>
      </w:r>
      <w:r>
        <w:rPr>
          <w:rFonts w:hint="eastAsia" w:hAnsi="宋体"/>
          <w:color w:val="000000"/>
          <w:sz w:val="28"/>
          <w:szCs w:val="28"/>
        </w:rPr>
        <w:t xml:space="preserve">  </w:t>
      </w:r>
    </w:p>
    <w:p w14:paraId="45854802">
      <w:pPr>
        <w:pStyle w:val="3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000000"/>
          <w:sz w:val="28"/>
          <w:szCs w:val="28"/>
          <w:u w:val="single"/>
        </w:rPr>
      </w:pPr>
      <w:r>
        <w:rPr>
          <w:rFonts w:hint="eastAsia" w:hAnsi="宋体"/>
          <w:color w:val="000000"/>
          <w:sz w:val="28"/>
          <w:szCs w:val="28"/>
          <w:u w:val="single"/>
        </w:rPr>
        <w:t xml:space="preserve">        </w:t>
      </w:r>
      <w:r>
        <w:rPr>
          <w:rFonts w:hint="eastAsia" w:hAnsi="宋体"/>
          <w:color w:val="000000"/>
          <w:sz w:val="28"/>
          <w:szCs w:val="28"/>
        </w:rPr>
        <w:t>年</w:t>
      </w:r>
      <w:r>
        <w:rPr>
          <w:rFonts w:hint="eastAsia" w:hAnsi="宋体"/>
          <w:color w:val="000000"/>
          <w:sz w:val="28"/>
          <w:szCs w:val="28"/>
          <w:u w:val="single"/>
        </w:rPr>
        <w:t xml:space="preserve">     </w:t>
      </w:r>
      <w:r>
        <w:rPr>
          <w:rFonts w:hint="eastAsia" w:hAnsi="宋体"/>
          <w:color w:val="000000"/>
          <w:sz w:val="28"/>
          <w:szCs w:val="28"/>
        </w:rPr>
        <w:t>月</w:t>
      </w:r>
      <w:r>
        <w:rPr>
          <w:rFonts w:hint="eastAsia" w:hAnsi="宋体"/>
          <w:color w:val="000000"/>
          <w:sz w:val="28"/>
          <w:szCs w:val="28"/>
          <w:u w:val="single"/>
        </w:rPr>
        <w:t xml:space="preserve">     </w:t>
      </w:r>
      <w:r>
        <w:rPr>
          <w:rFonts w:hint="eastAsia" w:hAnsi="宋体"/>
          <w:color w:val="000000"/>
          <w:sz w:val="28"/>
          <w:szCs w:val="28"/>
        </w:rPr>
        <w:t>日</w:t>
      </w:r>
    </w:p>
    <w:p w14:paraId="04351083">
      <w:pPr>
        <w:widowControl/>
        <w:adjustRightInd/>
        <w:jc w:val="left"/>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283B22FF">
      <w:pPr>
        <w:rPr>
          <w:rFonts w:cs="仿宋_GB2312" w:asciiTheme="minorEastAsia" w:hAnsiTheme="minorEastAsia" w:eastAsiaTheme="minorEastAsia"/>
          <w:b/>
          <w:color w:val="000000" w:themeColor="text1"/>
          <w:kern w:val="0"/>
          <w:sz w:val="32"/>
          <w:szCs w:val="32"/>
          <w14:textFill>
            <w14:solidFill>
              <w14:schemeClr w14:val="tx1"/>
            </w14:solidFill>
          </w14:textFill>
        </w:rPr>
      </w:pPr>
      <w:r>
        <w:rPr>
          <w:rFonts w:cs="仿宋_GB2312" w:asciiTheme="minorEastAsia" w:hAnsiTheme="minorEastAsia" w:eastAsiaTheme="minorEastAsia"/>
          <w:b/>
          <w:color w:val="000000" w:themeColor="text1"/>
          <w:kern w:val="0"/>
          <w:sz w:val="32"/>
          <w:szCs w:val="32"/>
          <w14:textFill>
            <w14:solidFill>
              <w14:schemeClr w14:val="tx1"/>
            </w14:solidFill>
          </w14:textFill>
        </w:rPr>
        <w:br w:type="page"/>
      </w:r>
    </w:p>
    <w:p w14:paraId="7D705F36">
      <w:pPr>
        <w:spacing w:line="360" w:lineRule="auto"/>
        <w:jc w:val="left"/>
        <w:rPr>
          <w:rFonts w:hint="default" w:cs="仿宋_GB2312" w:asciiTheme="minorEastAsia" w:hAnsiTheme="minorEastAsia" w:eastAsiaTheme="minorEastAsia"/>
          <w:b/>
          <w:color w:val="000000" w:themeColor="text1"/>
          <w:kern w:val="0"/>
          <w:sz w:val="28"/>
          <w:szCs w:val="28"/>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附件</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4</w:t>
      </w:r>
    </w:p>
    <w:p w14:paraId="70D05CFA">
      <w:pPr>
        <w:adjustRightInd w:val="0"/>
        <w:snapToGrid w:val="0"/>
        <w:spacing w:line="30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法定代表人（负责人）授权委托书</w:t>
      </w:r>
    </w:p>
    <w:p w14:paraId="0626D7A5">
      <w:pPr>
        <w:adjustRightInd w:val="0"/>
        <w:snapToGrid w:val="0"/>
        <w:spacing w:line="520" w:lineRule="exact"/>
        <w:rPr>
          <w:rFonts w:hint="eastAsia" w:ascii="宋体" w:hAnsi="宋体"/>
          <w:color w:val="000000"/>
          <w:szCs w:val="21"/>
        </w:rPr>
      </w:pPr>
    </w:p>
    <w:p w14:paraId="51EB52B6">
      <w:pPr>
        <w:spacing w:line="520" w:lineRule="exact"/>
        <w:rPr>
          <w:rFonts w:hint="eastAsia" w:ascii="宋体" w:hAnsi="宋体"/>
          <w:color w:val="000000"/>
          <w:sz w:val="28"/>
          <w:szCs w:val="28"/>
        </w:rPr>
      </w:pPr>
      <w:r>
        <w:rPr>
          <w:rFonts w:hint="eastAsia" w:ascii="宋体" w:hAnsi="宋体"/>
          <w:color w:val="000000"/>
          <w:sz w:val="28"/>
          <w:szCs w:val="28"/>
        </w:rPr>
        <w:t>采购代理机构名称：</w:t>
      </w:r>
    </w:p>
    <w:p w14:paraId="71113F77">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兹授权</w:t>
      </w:r>
      <w:r>
        <w:rPr>
          <w:rFonts w:hint="eastAsia" w:ascii="宋体" w:hAnsi="宋体"/>
          <w:color w:val="000000"/>
          <w:sz w:val="28"/>
          <w:szCs w:val="28"/>
          <w:u w:val="single"/>
        </w:rPr>
        <w:t xml:space="preserve">      </w:t>
      </w:r>
      <w:r>
        <w:rPr>
          <w:rFonts w:hint="eastAsia" w:ascii="宋体" w:hAnsi="宋体"/>
          <w:color w:val="000000"/>
          <w:sz w:val="28"/>
          <w:szCs w:val="28"/>
        </w:rPr>
        <w:t>同志为我公司参加贵单位组</w:t>
      </w:r>
      <w:r>
        <w:rPr>
          <w:rFonts w:hint="eastAsia" w:ascii="宋体" w:hAnsi="宋体"/>
          <w:sz w:val="28"/>
          <w:szCs w:val="28"/>
        </w:rPr>
        <w:t>织的</w:t>
      </w:r>
      <w:r>
        <w:rPr>
          <w:rFonts w:hint="eastAsia" w:hAnsi="宋体"/>
          <w:sz w:val="28"/>
          <w:szCs w:val="28"/>
          <w:u w:val="single"/>
          <w:lang w:val="en-US" w:eastAsia="zh-CN"/>
        </w:rPr>
        <w:t xml:space="preserve">      （项目名称、项目编号）          </w:t>
      </w:r>
      <w:r>
        <w:rPr>
          <w:rFonts w:hint="eastAsia" w:ascii="宋体" w:hAnsi="宋体"/>
          <w:sz w:val="28"/>
          <w:szCs w:val="28"/>
        </w:rPr>
        <w:t>竞争性谈判</w:t>
      </w:r>
      <w:r>
        <w:rPr>
          <w:rFonts w:hint="eastAsia" w:ascii="宋体" w:hAnsi="宋体"/>
          <w:color w:val="000000"/>
          <w:sz w:val="28"/>
          <w:szCs w:val="28"/>
        </w:rPr>
        <w:t>采购活动的委托代理人，全权代表我公司处理在该项目活动中的一切事宜。代理期限从</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日起至</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 xml:space="preserve">日止。 </w:t>
      </w:r>
    </w:p>
    <w:p w14:paraId="48A9C24D">
      <w:pPr>
        <w:spacing w:line="520" w:lineRule="exact"/>
        <w:rPr>
          <w:rFonts w:hint="eastAsia" w:ascii="宋体" w:hAnsi="宋体"/>
          <w:color w:val="000000"/>
          <w:sz w:val="28"/>
          <w:szCs w:val="28"/>
        </w:rPr>
      </w:pPr>
    </w:p>
    <w:p w14:paraId="1DEB51F2">
      <w:pPr>
        <w:spacing w:line="520" w:lineRule="exact"/>
        <w:rPr>
          <w:rFonts w:hint="eastAsia" w:ascii="宋体" w:hAnsi="宋体"/>
          <w:color w:val="000000"/>
          <w:sz w:val="28"/>
          <w:szCs w:val="28"/>
        </w:rPr>
      </w:pPr>
      <w:r>
        <w:rPr>
          <w:rFonts w:hint="eastAsia" w:ascii="宋体" w:hAnsi="宋体"/>
          <w:color w:val="000000"/>
          <w:sz w:val="28"/>
          <w:szCs w:val="28"/>
        </w:rPr>
        <w:t>谈判供应商</w:t>
      </w:r>
      <w:r>
        <w:rPr>
          <w:rFonts w:hint="eastAsia" w:ascii="宋体" w:hAnsi="宋体"/>
          <w:b/>
          <w:bCs/>
          <w:color w:val="000000"/>
          <w:sz w:val="28"/>
          <w:szCs w:val="28"/>
        </w:rPr>
        <w:t>（盖章）</w:t>
      </w:r>
      <w:r>
        <w:rPr>
          <w:rFonts w:hint="eastAsia" w:ascii="宋体" w:hAnsi="宋体"/>
          <w:color w:val="000000"/>
          <w:sz w:val="28"/>
          <w:szCs w:val="28"/>
        </w:rPr>
        <w:t>：</w:t>
      </w:r>
      <w:r>
        <w:rPr>
          <w:rFonts w:hint="eastAsia" w:ascii="宋体" w:hAnsi="宋体"/>
          <w:color w:val="000000"/>
          <w:sz w:val="28"/>
          <w:szCs w:val="28"/>
          <w:u w:val="single"/>
        </w:rPr>
        <w:t xml:space="preserve">               </w:t>
      </w:r>
    </w:p>
    <w:p w14:paraId="57B0649D">
      <w:pPr>
        <w:spacing w:line="520" w:lineRule="exact"/>
        <w:rPr>
          <w:rFonts w:hint="eastAsia" w:ascii="宋体" w:hAnsi="宋体"/>
          <w:color w:val="000000"/>
          <w:sz w:val="28"/>
          <w:szCs w:val="28"/>
        </w:rPr>
      </w:pPr>
      <w:r>
        <w:rPr>
          <w:rFonts w:hint="eastAsia" w:ascii="宋体" w:hAnsi="宋体"/>
          <w:color w:val="000000"/>
          <w:sz w:val="28"/>
          <w:szCs w:val="28"/>
        </w:rPr>
        <w:t>法定代表人（负责人）（</w:t>
      </w:r>
      <w:r>
        <w:rPr>
          <w:rFonts w:hint="eastAsia" w:ascii="宋体" w:hAnsi="宋体"/>
          <w:b/>
          <w:bCs/>
          <w:color w:val="000000"/>
          <w:sz w:val="28"/>
          <w:szCs w:val="28"/>
        </w:rPr>
        <w:t>签字，盖姓名章无效</w:t>
      </w:r>
      <w:r>
        <w:rPr>
          <w:rFonts w:hint="eastAsia" w:ascii="宋体" w:hAnsi="宋体"/>
          <w:color w:val="000000"/>
          <w:sz w:val="28"/>
          <w:szCs w:val="28"/>
        </w:rPr>
        <w:t>）：</w:t>
      </w:r>
      <w:r>
        <w:rPr>
          <w:rFonts w:hint="eastAsia" w:ascii="宋体" w:hAnsi="宋体"/>
          <w:color w:val="000000"/>
          <w:sz w:val="28"/>
          <w:szCs w:val="28"/>
          <w:u w:val="single"/>
        </w:rPr>
        <w:t xml:space="preserve">       </w:t>
      </w:r>
    </w:p>
    <w:p w14:paraId="65FB7508">
      <w:pPr>
        <w:spacing w:line="520" w:lineRule="exact"/>
        <w:rPr>
          <w:rFonts w:hint="eastAsia" w:ascii="宋体" w:hAnsi="宋体"/>
          <w:color w:val="000000"/>
          <w:sz w:val="28"/>
          <w:szCs w:val="28"/>
        </w:rPr>
      </w:pPr>
      <w:r>
        <w:rPr>
          <w:rFonts w:hint="eastAsia" w:ascii="宋体" w:hAnsi="宋体"/>
          <w:color w:val="000000"/>
          <w:sz w:val="28"/>
          <w:szCs w:val="28"/>
        </w:rPr>
        <w:t>签发日期：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4AD743EB">
      <w:pPr>
        <w:spacing w:line="520" w:lineRule="exact"/>
        <w:rPr>
          <w:rFonts w:hint="eastAsia" w:ascii="宋体" w:hAnsi="宋体"/>
          <w:color w:val="000000"/>
          <w:sz w:val="28"/>
          <w:szCs w:val="28"/>
        </w:rPr>
      </w:pPr>
      <w:r>
        <w:rPr>
          <w:rFonts w:hint="eastAsia" w:ascii="宋体" w:hAnsi="宋体"/>
          <w:color w:val="000000"/>
          <w:sz w:val="28"/>
          <w:szCs w:val="28"/>
        </w:rPr>
        <w:t>注：法定代表人（负责人）作为代理人的仍须填写此委托书。</w:t>
      </w:r>
    </w:p>
    <w:p w14:paraId="4D96237D">
      <w:pPr>
        <w:spacing w:line="520" w:lineRule="exact"/>
        <w:rPr>
          <w:rFonts w:hint="eastAsia" w:ascii="宋体" w:hAnsi="宋体"/>
          <w:color w:val="000000"/>
          <w:sz w:val="28"/>
          <w:szCs w:val="28"/>
        </w:rPr>
      </w:pPr>
    </w:p>
    <w:p w14:paraId="1E86DB87">
      <w:pPr>
        <w:spacing w:line="520" w:lineRule="exact"/>
        <w:rPr>
          <w:rFonts w:hint="eastAsia" w:ascii="宋体" w:hAnsi="宋体"/>
          <w:color w:val="000000"/>
          <w:sz w:val="28"/>
          <w:szCs w:val="28"/>
        </w:rPr>
      </w:pPr>
    </w:p>
    <w:p w14:paraId="6C00D51B">
      <w:pPr>
        <w:spacing w:line="520" w:lineRule="exact"/>
        <w:rPr>
          <w:rFonts w:hint="eastAsia" w:ascii="宋体" w:hAnsi="宋体"/>
          <w:color w:val="000000"/>
          <w:sz w:val="28"/>
          <w:szCs w:val="28"/>
        </w:rPr>
      </w:pPr>
      <w:r>
        <w:rPr>
          <w:rFonts w:hint="eastAsia" w:ascii="宋体" w:hAnsi="宋体"/>
          <w:color w:val="000000"/>
          <w:sz w:val="28"/>
          <w:szCs w:val="28"/>
        </w:rPr>
        <w:t>附：委托代理人工作单位</w:t>
      </w:r>
      <w:r>
        <w:rPr>
          <w:rFonts w:hint="eastAsia" w:ascii="宋体" w:hAnsi="宋体"/>
          <w:color w:val="000000"/>
          <w:sz w:val="28"/>
          <w:szCs w:val="28"/>
          <w:u w:val="single"/>
        </w:rPr>
        <w:t xml:space="preserve">               </w:t>
      </w:r>
    </w:p>
    <w:p w14:paraId="4A01E5D4">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职务：</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en-US" w:eastAsia="zh-CN"/>
        </w:rPr>
        <w:t xml:space="preserve"> </w:t>
      </w:r>
      <w:r>
        <w:rPr>
          <w:rFonts w:hint="eastAsia" w:ascii="宋体" w:hAnsi="宋体"/>
          <w:color w:val="000000"/>
          <w:sz w:val="28"/>
          <w:szCs w:val="28"/>
        </w:rPr>
        <w:t xml:space="preserve">    性别：</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p>
    <w:p w14:paraId="369A5682">
      <w:pPr>
        <w:adjustRightInd w:val="0"/>
        <w:snapToGrid w:val="0"/>
        <w:spacing w:line="520" w:lineRule="exact"/>
        <w:ind w:firstLine="560" w:firstLineChars="200"/>
        <w:rPr>
          <w:rFonts w:hint="eastAsia" w:ascii="宋体" w:hAnsi="宋体"/>
          <w:color w:val="000000"/>
          <w:sz w:val="28"/>
          <w:szCs w:val="28"/>
          <w:u w:val="single"/>
        </w:rPr>
      </w:pPr>
      <w:r>
        <w:rPr>
          <w:rFonts w:hint="eastAsia" w:ascii="宋体" w:hAnsi="宋体"/>
          <w:color w:val="000000"/>
          <w:sz w:val="28"/>
          <w:szCs w:val="28"/>
        </w:rPr>
        <w:t>身份证号码：</w:t>
      </w:r>
      <w:r>
        <w:rPr>
          <w:rFonts w:hint="eastAsia" w:ascii="宋体" w:hAnsi="宋体"/>
          <w:color w:val="000000"/>
          <w:sz w:val="28"/>
          <w:szCs w:val="28"/>
          <w:u w:val="single"/>
        </w:rPr>
        <w:t xml:space="preserve">                              </w:t>
      </w:r>
    </w:p>
    <w:tbl>
      <w:tblPr>
        <w:tblStyle w:val="61"/>
        <w:tblW w:w="884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14:paraId="7AB1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8849" w:type="dxa"/>
            <w:vAlign w:val="top"/>
          </w:tcPr>
          <w:p w14:paraId="0DA6657B">
            <w:pPr>
              <w:spacing w:line="300" w:lineRule="auto"/>
              <w:rPr>
                <w:rFonts w:hint="eastAsia" w:ascii="宋体" w:hAnsi="宋体"/>
                <w:color w:val="000000"/>
                <w:sz w:val="28"/>
                <w:szCs w:val="28"/>
              </w:rPr>
            </w:pPr>
            <w:r>
              <w:rPr>
                <w:rFonts w:hint="eastAsia" w:ascii="宋体" w:hAnsi="宋体"/>
                <w:color w:val="000000"/>
                <w:sz w:val="28"/>
                <w:szCs w:val="28"/>
              </w:rPr>
              <w:t>粘贴委托代理人的正面及反面身份证复印件</w:t>
            </w:r>
          </w:p>
        </w:tc>
      </w:tr>
    </w:tbl>
    <w:p w14:paraId="7338761D">
      <w:pPr>
        <w:pStyle w:val="24"/>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6AB37723">
      <w:pPr>
        <w:pStyle w:val="24"/>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4A1A3364">
      <w:pPr>
        <w:spacing w:line="360" w:lineRule="auto"/>
        <w:jc w:val="left"/>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val="zh-CN" w:eastAsia="zh-CN"/>
          <w14:textFill>
            <w14:solidFill>
              <w14:schemeClr w14:val="tx1"/>
            </w14:solidFill>
          </w14:textFill>
        </w:rPr>
        <w:t>附件</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5</w:t>
      </w:r>
    </w:p>
    <w:p w14:paraId="74936431">
      <w:pPr>
        <w:pStyle w:val="23"/>
        <w:rPr>
          <w:rFonts w:hint="eastAsia"/>
          <w:lang w:val="zh-CN"/>
        </w:rPr>
      </w:pPr>
    </w:p>
    <w:p w14:paraId="4ACEE1CE">
      <w:pPr>
        <w:adjustRightInd w:val="0"/>
        <w:snapToGrid w:val="0"/>
        <w:spacing w:line="276" w:lineRule="auto"/>
        <w:jc w:val="center"/>
        <w:rPr>
          <w:rFonts w:hint="eastAsia" w:ascii="宋体" w:hAnsi="宋体" w:cs="宋体"/>
          <w:b/>
          <w:sz w:val="32"/>
          <w:szCs w:val="32"/>
        </w:rPr>
      </w:pPr>
      <w:r>
        <w:rPr>
          <w:rFonts w:hint="eastAsia" w:ascii="宋体" w:hAnsi="宋体" w:cs="宋体"/>
          <w:b/>
          <w:sz w:val="32"/>
          <w:szCs w:val="32"/>
        </w:rPr>
        <w:t>法定代表人（负责人）身份证明书</w:t>
      </w:r>
    </w:p>
    <w:p w14:paraId="08D8DEA4">
      <w:pPr>
        <w:adjustRightInd w:val="0"/>
        <w:snapToGrid w:val="0"/>
        <w:spacing w:line="276" w:lineRule="auto"/>
        <w:ind w:firstLine="960" w:firstLineChars="400"/>
        <w:rPr>
          <w:rFonts w:hint="eastAsia"/>
          <w:sz w:val="24"/>
          <w:u w:val="single"/>
        </w:rPr>
      </w:pPr>
    </w:p>
    <w:p w14:paraId="69FAC0E7">
      <w:pPr>
        <w:adjustRightInd w:val="0"/>
        <w:snapToGrid w:val="0"/>
        <w:spacing w:line="720" w:lineRule="exact"/>
        <w:ind w:firstLine="1120" w:firstLineChars="400"/>
        <w:rPr>
          <w:rFonts w:hint="eastAsia"/>
          <w:sz w:val="28"/>
          <w:szCs w:val="28"/>
        </w:rPr>
      </w:pPr>
      <w:r>
        <w:rPr>
          <w:rFonts w:hint="eastAsia"/>
          <w:sz w:val="28"/>
          <w:szCs w:val="28"/>
          <w:u w:val="single"/>
        </w:rPr>
        <w:t xml:space="preserve">          </w:t>
      </w:r>
      <w:r>
        <w:rPr>
          <w:rFonts w:hint="eastAsia"/>
          <w:sz w:val="28"/>
          <w:szCs w:val="28"/>
        </w:rPr>
        <w:t xml:space="preserve"> 在我</w:t>
      </w:r>
      <w:r>
        <w:rPr>
          <w:rFonts w:hint="eastAsia"/>
          <w:sz w:val="28"/>
          <w:szCs w:val="28"/>
          <w:u w:val="single"/>
        </w:rPr>
        <w:t xml:space="preserve">       </w:t>
      </w:r>
      <w:r>
        <w:rPr>
          <w:rFonts w:hint="eastAsia"/>
          <w:sz w:val="28"/>
          <w:szCs w:val="28"/>
        </w:rPr>
        <w:t>任</w:t>
      </w:r>
      <w:r>
        <w:rPr>
          <w:rFonts w:hint="eastAsia"/>
          <w:sz w:val="28"/>
          <w:szCs w:val="28"/>
          <w:u w:val="single"/>
        </w:rPr>
        <w:t xml:space="preserve">          </w:t>
      </w:r>
      <w:r>
        <w:rPr>
          <w:rFonts w:hint="eastAsia"/>
          <w:sz w:val="28"/>
          <w:szCs w:val="28"/>
        </w:rPr>
        <w:t>职务，是我公司</w:t>
      </w:r>
      <w:r>
        <w:rPr>
          <w:rFonts w:hint="eastAsia"/>
          <w:sz w:val="28"/>
          <w:szCs w:val="28"/>
          <w:u w:val="single"/>
        </w:rPr>
        <w:t xml:space="preserve">              </w:t>
      </w:r>
      <w:r>
        <w:rPr>
          <w:rFonts w:hint="eastAsia"/>
          <w:sz w:val="28"/>
          <w:szCs w:val="28"/>
        </w:rPr>
        <w:t>的法定代表人（负责人）。</w:t>
      </w:r>
    </w:p>
    <w:p w14:paraId="284ECA25">
      <w:pPr>
        <w:adjustRightInd w:val="0"/>
        <w:snapToGrid w:val="0"/>
        <w:spacing w:line="720" w:lineRule="exact"/>
        <w:ind w:firstLine="980" w:firstLineChars="350"/>
        <w:rPr>
          <w:rFonts w:hint="eastAsia"/>
          <w:sz w:val="28"/>
          <w:szCs w:val="28"/>
        </w:rPr>
      </w:pPr>
      <w:r>
        <w:rPr>
          <w:rFonts w:hint="eastAsia"/>
          <w:sz w:val="28"/>
          <w:szCs w:val="28"/>
        </w:rPr>
        <w:t>特此证明。</w:t>
      </w:r>
    </w:p>
    <w:p w14:paraId="319F0B19">
      <w:pPr>
        <w:adjustRightInd w:val="0"/>
        <w:snapToGrid w:val="0"/>
        <w:spacing w:line="276" w:lineRule="auto"/>
        <w:rPr>
          <w:rFonts w:hint="eastAsia"/>
          <w:sz w:val="28"/>
          <w:szCs w:val="28"/>
        </w:rPr>
      </w:pPr>
    </w:p>
    <w:p w14:paraId="56DFB536">
      <w:pPr>
        <w:adjustRightInd w:val="0"/>
        <w:snapToGrid w:val="0"/>
        <w:spacing w:line="276" w:lineRule="auto"/>
        <w:rPr>
          <w:rFonts w:hint="eastAsia"/>
          <w:sz w:val="28"/>
          <w:szCs w:val="28"/>
        </w:rPr>
      </w:pPr>
      <w:r>
        <w:rPr>
          <w:rFonts w:hint="eastAsia"/>
          <w:sz w:val="28"/>
          <w:szCs w:val="28"/>
        </w:rPr>
        <w:t xml:space="preserve">                        </w:t>
      </w:r>
    </w:p>
    <w:p w14:paraId="44008FCF">
      <w:pPr>
        <w:adjustRightInd w:val="0"/>
        <w:snapToGrid w:val="0"/>
        <w:spacing w:line="276" w:lineRule="auto"/>
        <w:rPr>
          <w:rFonts w:hint="eastAsia"/>
          <w:sz w:val="28"/>
          <w:szCs w:val="28"/>
        </w:rPr>
      </w:pPr>
    </w:p>
    <w:p w14:paraId="6B62507B">
      <w:pPr>
        <w:adjustRightInd w:val="0"/>
        <w:snapToGrid w:val="0"/>
        <w:spacing w:line="276" w:lineRule="auto"/>
        <w:ind w:firstLine="3920" w:firstLineChars="1400"/>
        <w:rPr>
          <w:rFonts w:hint="eastAsia"/>
          <w:sz w:val="28"/>
          <w:szCs w:val="28"/>
          <w:u w:val="single"/>
        </w:rPr>
      </w:pPr>
      <w:r>
        <w:rPr>
          <w:rFonts w:hint="eastAsia"/>
          <w:sz w:val="28"/>
          <w:szCs w:val="28"/>
        </w:rPr>
        <w:t>单位名称：</w:t>
      </w:r>
      <w:r>
        <w:rPr>
          <w:rFonts w:hint="eastAsia"/>
          <w:sz w:val="28"/>
          <w:szCs w:val="28"/>
          <w:u w:val="single"/>
        </w:rPr>
        <w:t xml:space="preserve">                              </w:t>
      </w:r>
    </w:p>
    <w:p w14:paraId="60072E8E">
      <w:pPr>
        <w:adjustRightInd w:val="0"/>
        <w:snapToGrid w:val="0"/>
        <w:spacing w:line="276" w:lineRule="auto"/>
        <w:rPr>
          <w:rFonts w:hint="eastAsia"/>
          <w:sz w:val="28"/>
          <w:szCs w:val="28"/>
        </w:rPr>
      </w:pPr>
      <w:r>
        <w:rPr>
          <w:rFonts w:hint="eastAsia"/>
          <w:sz w:val="28"/>
          <w:szCs w:val="28"/>
        </w:rPr>
        <w:t xml:space="preserve">                                          （单位公章）</w:t>
      </w:r>
    </w:p>
    <w:p w14:paraId="5955AB90">
      <w:pPr>
        <w:adjustRightInd w:val="0"/>
        <w:snapToGrid w:val="0"/>
        <w:spacing w:line="276" w:lineRule="auto"/>
        <w:rPr>
          <w:rFonts w:hint="eastAsia"/>
          <w:sz w:val="28"/>
          <w:szCs w:val="28"/>
        </w:rPr>
      </w:pPr>
    </w:p>
    <w:p w14:paraId="3093B62B">
      <w:pPr>
        <w:adjustRightInd w:val="0"/>
        <w:snapToGrid w:val="0"/>
        <w:spacing w:line="276" w:lineRule="auto"/>
        <w:rPr>
          <w:rFonts w:hint="eastAsia"/>
          <w:sz w:val="28"/>
          <w:szCs w:val="28"/>
        </w:rPr>
      </w:pPr>
      <w:r>
        <w:rPr>
          <w:rFonts w:hint="eastAsia"/>
          <w:sz w:val="28"/>
          <w:szCs w:val="28"/>
        </w:rPr>
        <w:t xml:space="preserve">                                         年     月    日</w:t>
      </w:r>
    </w:p>
    <w:p w14:paraId="641E6554">
      <w:pPr>
        <w:adjustRightInd w:val="0"/>
        <w:snapToGrid w:val="0"/>
        <w:spacing w:line="276" w:lineRule="auto"/>
        <w:rPr>
          <w:rFonts w:hint="eastAsia"/>
          <w:sz w:val="28"/>
          <w:szCs w:val="28"/>
        </w:rPr>
      </w:pPr>
    </w:p>
    <w:p w14:paraId="20F23E35">
      <w:pPr>
        <w:adjustRightInd w:val="0"/>
        <w:snapToGrid w:val="0"/>
        <w:spacing w:line="276" w:lineRule="auto"/>
        <w:ind w:firstLine="420" w:firstLineChars="150"/>
        <w:rPr>
          <w:rFonts w:hint="eastAsia"/>
          <w:sz w:val="28"/>
          <w:szCs w:val="28"/>
        </w:rPr>
      </w:pPr>
    </w:p>
    <w:p w14:paraId="55D6B816">
      <w:pPr>
        <w:adjustRightInd w:val="0"/>
        <w:snapToGrid w:val="0"/>
        <w:spacing w:line="276" w:lineRule="auto"/>
        <w:ind w:firstLine="420" w:firstLineChars="150"/>
        <w:rPr>
          <w:rFonts w:hint="eastAsia"/>
          <w:sz w:val="28"/>
          <w:szCs w:val="28"/>
        </w:rPr>
      </w:pPr>
      <w:r>
        <w:rPr>
          <w:rFonts w:hint="eastAsia"/>
          <w:sz w:val="28"/>
          <w:szCs w:val="28"/>
        </w:rPr>
        <w:t>住    址：</w:t>
      </w:r>
    </w:p>
    <w:p w14:paraId="4481C958">
      <w:pPr>
        <w:adjustRightInd w:val="0"/>
        <w:snapToGrid w:val="0"/>
        <w:spacing w:line="276" w:lineRule="auto"/>
        <w:ind w:firstLine="420" w:firstLineChars="150"/>
        <w:rPr>
          <w:rFonts w:hint="eastAsia"/>
          <w:sz w:val="28"/>
          <w:szCs w:val="28"/>
        </w:rPr>
      </w:pPr>
    </w:p>
    <w:p w14:paraId="7E4550B2">
      <w:pPr>
        <w:pStyle w:val="33"/>
        <w:adjustRightInd w:val="0"/>
        <w:snapToGrid w:val="0"/>
        <w:spacing w:line="276" w:lineRule="auto"/>
        <w:ind w:firstLine="420" w:firstLineChars="150"/>
        <w:rPr>
          <w:rFonts w:hint="eastAsia"/>
          <w:sz w:val="28"/>
          <w:szCs w:val="28"/>
        </w:rPr>
      </w:pPr>
      <w:r>
        <w:rPr>
          <w:rFonts w:hint="eastAsia"/>
          <w:sz w:val="28"/>
          <w:szCs w:val="28"/>
        </w:rPr>
        <w:t>联系电话：</w:t>
      </w:r>
    </w:p>
    <w:p w14:paraId="255540A9">
      <w:pPr>
        <w:pStyle w:val="33"/>
        <w:adjustRightInd w:val="0"/>
        <w:snapToGrid w:val="0"/>
        <w:spacing w:line="276" w:lineRule="auto"/>
        <w:ind w:firstLine="420" w:firstLineChars="150"/>
        <w:rPr>
          <w:rFonts w:hint="eastAsia"/>
          <w:sz w:val="28"/>
          <w:szCs w:val="28"/>
        </w:rPr>
      </w:pPr>
    </w:p>
    <w:tbl>
      <w:tblPr>
        <w:tblStyle w:val="61"/>
        <w:tblW w:w="89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9"/>
      </w:tblGrid>
      <w:tr w14:paraId="4709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979" w:type="dxa"/>
            <w:vAlign w:val="top"/>
          </w:tcPr>
          <w:p w14:paraId="55BD462F">
            <w:pPr>
              <w:snapToGrid w:val="0"/>
              <w:spacing w:line="360" w:lineRule="exact"/>
              <w:rPr>
                <w:rFonts w:hAnsi="宋体"/>
                <w:sz w:val="28"/>
                <w:szCs w:val="28"/>
              </w:rPr>
            </w:pPr>
            <w:r>
              <w:rPr>
                <w:rFonts w:hint="eastAsia" w:hAnsi="宋体"/>
                <w:sz w:val="28"/>
                <w:szCs w:val="28"/>
              </w:rPr>
              <w:t>贴附“身份证复印件”（正反两面）</w:t>
            </w:r>
          </w:p>
        </w:tc>
      </w:tr>
      <w:tr w14:paraId="5319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8979" w:type="dxa"/>
            <w:vAlign w:val="top"/>
          </w:tcPr>
          <w:p w14:paraId="75735A0E">
            <w:pPr>
              <w:snapToGrid w:val="0"/>
              <w:spacing w:line="360" w:lineRule="exact"/>
              <w:rPr>
                <w:rFonts w:hint="eastAsia" w:hAnsi="宋体"/>
                <w:sz w:val="28"/>
                <w:szCs w:val="28"/>
              </w:rPr>
            </w:pPr>
          </w:p>
          <w:p w14:paraId="334042D8">
            <w:pPr>
              <w:snapToGrid w:val="0"/>
              <w:spacing w:line="360" w:lineRule="exact"/>
              <w:rPr>
                <w:rFonts w:hint="eastAsia" w:hAnsi="宋体"/>
                <w:sz w:val="28"/>
                <w:szCs w:val="28"/>
              </w:rPr>
            </w:pPr>
          </w:p>
          <w:p w14:paraId="31CFFA0D">
            <w:pPr>
              <w:snapToGrid w:val="0"/>
              <w:spacing w:line="360" w:lineRule="exact"/>
              <w:rPr>
                <w:rFonts w:hint="eastAsia" w:hAnsi="宋体"/>
                <w:sz w:val="28"/>
                <w:szCs w:val="28"/>
              </w:rPr>
            </w:pPr>
          </w:p>
        </w:tc>
      </w:tr>
    </w:tbl>
    <w:p w14:paraId="60B7C384">
      <w:pP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0B0F49DE">
      <w:pP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17F5AE96">
      <w:pPr>
        <w:spacing w:line="360" w:lineRule="auto"/>
        <w:jc w:val="left"/>
        <w:rPr>
          <w:rFonts w:hint="default" w:cs="仿宋_GB2312" w:asciiTheme="minorEastAsia" w:hAnsiTheme="minorEastAsia" w:eastAsiaTheme="minorEastAsia"/>
          <w:b/>
          <w:color w:val="000000" w:themeColor="text1"/>
          <w:kern w:val="0"/>
          <w:sz w:val="28"/>
          <w:szCs w:val="28"/>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val="zh-CN" w:eastAsia="zh-CN"/>
          <w14:textFill>
            <w14:solidFill>
              <w14:schemeClr w14:val="tx1"/>
            </w14:solidFill>
          </w14:textFill>
        </w:rPr>
        <w:t>附件</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6</w:t>
      </w:r>
    </w:p>
    <w:p w14:paraId="6C2E3076">
      <w:pPr>
        <w:snapToGrid w:val="0"/>
        <w:spacing w:line="360" w:lineRule="auto"/>
        <w:ind w:right="480"/>
        <w:jc w:val="center"/>
        <w:rPr>
          <w:rFonts w:hint="eastAsia" w:ascii="宋体" w:hAnsi="宋体" w:cs="宋体"/>
          <w:color w:val="000000" w:themeColor="text1"/>
          <w:sz w:val="24"/>
          <w14:textFill>
            <w14:solidFill>
              <w14:schemeClr w14:val="tx1"/>
            </w14:solidFill>
          </w14:textFill>
        </w:rPr>
      </w:pPr>
    </w:p>
    <w:p w14:paraId="10D9B945">
      <w:pPr>
        <w:snapToGrid w:val="0"/>
        <w:spacing w:line="360" w:lineRule="auto"/>
        <w:ind w:right="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政府采购供应商信用承诺函（格式）</w:t>
      </w:r>
    </w:p>
    <w:p w14:paraId="3A7AC049">
      <w:pPr>
        <w:snapToGrid w:val="0"/>
        <w:spacing w:line="360" w:lineRule="auto"/>
        <w:rPr>
          <w:rFonts w:ascii="宋体" w:hAnsi="宋体" w:cs="宋体"/>
          <w:color w:val="000000" w:themeColor="text1"/>
          <w:sz w:val="24"/>
          <w14:textFill>
            <w14:solidFill>
              <w14:schemeClr w14:val="tx1"/>
            </w14:solidFill>
          </w14:textFill>
        </w:rPr>
      </w:pPr>
    </w:p>
    <w:p w14:paraId="06162452">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4DFAEFCD">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p w14:paraId="7C527824">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w:t>
      </w:r>
    </w:p>
    <w:p w14:paraId="293F2648">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供应商地址：</w:t>
      </w:r>
    </w:p>
    <w:p w14:paraId="47EE6763">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408BAFA">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1.我单位具有符合采购文件资格要求独立承担民事责任的能力。</w:t>
      </w:r>
    </w:p>
    <w:p w14:paraId="74632419">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2.我单位具有符合采购文件资格要求的财务状况报告。</w:t>
      </w:r>
    </w:p>
    <w:p w14:paraId="691C3196">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3.我单位具有符合采购文件资格要求的依法缴纳税收和社会保障记录的良好记录。</w:t>
      </w:r>
    </w:p>
    <w:p w14:paraId="21DC29A0">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4.我单位具有符合采购文件资格要求履行合同所必需的设备和专业技术能力。</w:t>
      </w:r>
    </w:p>
    <w:p w14:paraId="69AA78FE">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56246F3F">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若我单位承诺不实，自愿承担提供虚假材料谋取中标、成交的法律责任。</w:t>
      </w:r>
    </w:p>
    <w:p w14:paraId="45F59483">
      <w:pPr>
        <w:snapToGrid w:val="0"/>
        <w:spacing w:line="360" w:lineRule="auto"/>
        <w:ind w:right="480"/>
        <w:rPr>
          <w:rFonts w:ascii="宋体" w:hAnsi="宋体" w:cs="宋体"/>
          <w:color w:val="000000" w:themeColor="text1"/>
          <w:sz w:val="24"/>
          <w14:textFill>
            <w14:solidFill>
              <w14:schemeClr w14:val="tx1"/>
            </w14:solidFill>
          </w14:textFill>
        </w:rPr>
      </w:pPr>
    </w:p>
    <w:p w14:paraId="754DA321">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谈判供应商名称（公章）：</w:t>
      </w:r>
    </w:p>
    <w:p w14:paraId="3742CA1D">
      <w:pPr>
        <w:spacing w:line="360" w:lineRule="auto"/>
        <w:ind w:firstLine="2880" w:firstLineChars="1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 (签名)：                          </w:t>
      </w:r>
    </w:p>
    <w:p w14:paraId="6E34DB8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06C6DE13">
      <w:pPr>
        <w:snapToGrid w:val="0"/>
        <w:spacing w:line="360" w:lineRule="auto"/>
        <w:ind w:right="480"/>
        <w:rPr>
          <w:rFonts w:ascii="宋体" w:hAnsi="宋体" w:cs="宋体"/>
          <w:color w:val="000000" w:themeColor="text1"/>
          <w:sz w:val="24"/>
          <w14:textFill>
            <w14:solidFill>
              <w14:schemeClr w14:val="tx1"/>
            </w14:solidFill>
          </w14:textFill>
        </w:rPr>
      </w:pPr>
    </w:p>
    <w:p w14:paraId="762F9331">
      <w:pPr>
        <w:spacing w:line="360" w:lineRule="auto"/>
        <w:ind w:right="420"/>
        <w:rPr>
          <w:rFonts w:hint="eastAsia" w:cs="宋体" w:asciiTheme="minorEastAsia" w:hAnsiTheme="minorEastAsia" w:eastAsiaTheme="minorEastAsia"/>
          <w:color w:val="000000" w:themeColor="text1"/>
          <w:sz w:val="24"/>
          <w14:textFill>
            <w14:solidFill>
              <w14:schemeClr w14:val="tx1"/>
            </w14:solidFill>
          </w14:textFill>
        </w:rPr>
      </w:pPr>
    </w:p>
    <w:p w14:paraId="693A1CDA">
      <w:pPr>
        <w:spacing w:line="360" w:lineRule="auto"/>
        <w:ind w:right="420"/>
        <w:rPr>
          <w:rFonts w:hint="eastAsia" w:cs="宋体" w:asciiTheme="minorEastAsia" w:hAnsiTheme="minorEastAsia" w:eastAsiaTheme="minorEastAsia"/>
          <w:color w:val="000000" w:themeColor="text1"/>
          <w:sz w:val="24"/>
          <w14:textFill>
            <w14:solidFill>
              <w14:schemeClr w14:val="tx1"/>
            </w14:solidFill>
          </w14:textFill>
        </w:rPr>
      </w:pPr>
    </w:p>
    <w:p w14:paraId="52D8A1E1">
      <w:pPr>
        <w:spacing w:line="360" w:lineRule="auto"/>
        <w:ind w:right="42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49EABA93">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7C8F9D91">
      <w:pP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2042DC93">
      <w:pPr>
        <w:rPr>
          <w:lang w:val="zh-CN"/>
        </w:rPr>
      </w:pPr>
    </w:p>
    <w:p w14:paraId="5D03A6D9">
      <w:pPr>
        <w:spacing w:line="360" w:lineRule="auto"/>
        <w:jc w:val="left"/>
        <w:rPr>
          <w:rFonts w:hint="default" w:cs="仿宋_GB2312" w:asciiTheme="minorEastAsia" w:hAnsiTheme="minorEastAsia" w:eastAsiaTheme="minorEastAsia"/>
          <w:b/>
          <w:color w:val="000000" w:themeColor="text1"/>
          <w:kern w:val="0"/>
          <w:sz w:val="28"/>
          <w:szCs w:val="28"/>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val="zh-CN" w:eastAsia="zh-CN"/>
          <w14:textFill>
            <w14:solidFill>
              <w14:schemeClr w14:val="tx1"/>
            </w14:solidFill>
          </w14:textFill>
        </w:rPr>
        <w:t>附件</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7</w:t>
      </w:r>
    </w:p>
    <w:p w14:paraId="1A5385CE">
      <w:pPr>
        <w:spacing w:line="600" w:lineRule="exact"/>
        <w:ind w:left="420" w:hanging="42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产品质量保证书</w:t>
      </w:r>
    </w:p>
    <w:p w14:paraId="6D7FB323">
      <w:pPr>
        <w:spacing w:line="360" w:lineRule="exact"/>
        <w:ind w:left="420" w:hanging="420"/>
        <w:jc w:val="center"/>
        <w:rPr>
          <w:rFonts w:hint="eastAsia" w:ascii="宋体" w:hAnsi="宋体" w:eastAsia="宋体" w:cs="宋体"/>
          <w:b/>
          <w:color w:val="auto"/>
          <w:kern w:val="0"/>
          <w:sz w:val="24"/>
          <w:highlight w:val="none"/>
        </w:rPr>
      </w:pPr>
    </w:p>
    <w:p w14:paraId="1564F90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致             </w:t>
      </w:r>
      <w:r>
        <w:rPr>
          <w:rFonts w:hint="eastAsia" w:ascii="宋体" w:hAnsi="宋体" w:eastAsia="宋体" w:cs="宋体"/>
          <w:color w:val="auto"/>
          <w:kern w:val="0"/>
          <w:sz w:val="24"/>
          <w:szCs w:val="24"/>
          <w:highlight w:val="none"/>
        </w:rPr>
        <w:t>：</w:t>
      </w:r>
    </w:p>
    <w:p w14:paraId="7AADCB5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我公司在此向贵方承诺：</w:t>
      </w:r>
    </w:p>
    <w:p w14:paraId="760065C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我方参与谈判的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一旦成交，我方保证按照谈判文件和谈判响应文件的要求提供合格的产品，如出现弄虚作假，包括掺杂、掺假、以假充真、以次充好、以不合格产品冒充合格产品的，我方愿按《政府采购法》、《民法典》、《产品质量法》、《消费者权益保护法》等法律法规规定，承担相应的经济责任和法律责任。</w:t>
      </w:r>
    </w:p>
    <w:p w14:paraId="0E9D799E">
      <w:pPr>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hint="eastAsia" w:ascii="宋体" w:hAnsi="宋体" w:eastAsia="宋体" w:cs="宋体"/>
          <w:color w:val="auto"/>
          <w:kern w:val="0"/>
          <w:sz w:val="24"/>
          <w:szCs w:val="24"/>
          <w:highlight w:val="none"/>
        </w:rPr>
      </w:pPr>
    </w:p>
    <w:p w14:paraId="56767B83">
      <w:pPr>
        <w:spacing w:line="300" w:lineRule="auto"/>
        <w:ind w:hanging="420"/>
        <w:rPr>
          <w:rFonts w:hint="eastAsia" w:ascii="宋体" w:hAnsi="宋体" w:eastAsia="宋体" w:cs="宋体"/>
          <w:color w:val="auto"/>
          <w:kern w:val="0"/>
          <w:sz w:val="28"/>
          <w:szCs w:val="28"/>
          <w:highlight w:val="none"/>
        </w:rPr>
      </w:pPr>
    </w:p>
    <w:p w14:paraId="554D8DB3">
      <w:pPr>
        <w:spacing w:line="300" w:lineRule="auto"/>
        <w:ind w:left="420" w:hanging="420"/>
        <w:jc w:val="center"/>
        <w:rPr>
          <w:rFonts w:hint="eastAsia" w:ascii="宋体" w:hAnsi="宋体" w:eastAsia="宋体" w:cs="宋体"/>
          <w:b/>
          <w:color w:val="auto"/>
          <w:kern w:val="0"/>
          <w:sz w:val="32"/>
          <w:szCs w:val="32"/>
          <w:highlight w:val="none"/>
        </w:rPr>
      </w:pPr>
    </w:p>
    <w:p w14:paraId="00CBA29A">
      <w:pPr>
        <w:spacing w:line="300" w:lineRule="auto"/>
        <w:rPr>
          <w:rFonts w:hint="eastAsia" w:ascii="宋体" w:hAnsi="宋体" w:eastAsia="宋体" w:cs="宋体"/>
          <w:b/>
          <w:color w:val="auto"/>
          <w:kern w:val="0"/>
          <w:sz w:val="24"/>
          <w:szCs w:val="24"/>
          <w:highlight w:val="none"/>
        </w:rPr>
      </w:pPr>
    </w:p>
    <w:p w14:paraId="6B741D84">
      <w:pPr>
        <w:adjustRightInd w:val="0"/>
        <w:snapToGrid w:val="0"/>
        <w:ind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谈判供应商（</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p>
    <w:p w14:paraId="12FAAE8F">
      <w:pPr>
        <w:adjustRightInd w:val="0"/>
        <w:snapToGrid w:val="0"/>
        <w:ind w:firstLine="482" w:firstLineChars="201"/>
        <w:rPr>
          <w:rFonts w:hint="eastAsia" w:ascii="宋体" w:hAnsi="宋体" w:eastAsia="宋体" w:cs="宋体"/>
          <w:color w:val="auto"/>
          <w:sz w:val="24"/>
          <w:szCs w:val="24"/>
          <w:highlight w:val="none"/>
        </w:rPr>
      </w:pPr>
    </w:p>
    <w:p w14:paraId="344E378E">
      <w:pPr>
        <w:adjustRightInd w:val="0"/>
        <w:snapToGrid w:val="0"/>
        <w:ind w:firstLine="482" w:firstLineChars="20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法定代表人（负责人）或委托代理人（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rPr>
        <w:t>）：</w:t>
      </w:r>
    </w:p>
    <w:p w14:paraId="4FEDA8F4">
      <w:pPr>
        <w:adjustRightInd w:val="0"/>
        <w:snapToGrid w:val="0"/>
        <w:ind w:firstLine="484" w:firstLineChars="201"/>
        <w:rPr>
          <w:rFonts w:hint="eastAsia" w:ascii="宋体" w:hAnsi="宋体" w:eastAsia="宋体" w:cs="宋体"/>
          <w:b/>
          <w:color w:val="auto"/>
          <w:sz w:val="24"/>
          <w:szCs w:val="24"/>
          <w:highlight w:val="none"/>
        </w:rPr>
      </w:pPr>
    </w:p>
    <w:p w14:paraId="2EB17CCE">
      <w:pPr>
        <w:adjustRightInd w:val="0"/>
        <w:snapToGrid w:val="0"/>
        <w:ind w:firstLine="482" w:firstLineChars="20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p>
    <w:p w14:paraId="35908743">
      <w:pPr>
        <w:pStyle w:val="33"/>
        <w:adjustRightInd w:val="0"/>
        <w:snapToGrid w:val="0"/>
        <w:ind w:firstLine="482" w:firstLineChars="201"/>
        <w:rPr>
          <w:rFonts w:hint="eastAsia" w:hAnsi="宋体" w:eastAsia="宋体" w:cs="宋体"/>
          <w:color w:val="auto"/>
          <w:sz w:val="24"/>
          <w:szCs w:val="24"/>
          <w:highlight w:val="none"/>
          <w:u w:val="single"/>
          <w:lang w:eastAsia="zh-CN"/>
        </w:rPr>
      </w:pPr>
    </w:p>
    <w:p w14:paraId="36D51913">
      <w:pPr>
        <w:rPr>
          <w:rFonts w:ascii="宋体" w:hAnsi="宋体" w:eastAsia="宋体" w:cs="宋体"/>
          <w:color w:val="auto"/>
          <w:sz w:val="24"/>
          <w:highlight w:val="none"/>
        </w:rPr>
      </w:pPr>
      <w:r>
        <w:rPr>
          <w:rFonts w:ascii="宋体" w:hAnsi="宋体" w:eastAsia="宋体" w:cs="宋体"/>
          <w:color w:val="auto"/>
          <w:sz w:val="24"/>
          <w:highlight w:val="none"/>
        </w:rPr>
        <w:br w:type="page"/>
      </w:r>
    </w:p>
    <w:p w14:paraId="50F698EE">
      <w:pPr>
        <w:pStyle w:val="72"/>
        <w:sectPr>
          <w:pgSz w:w="11906" w:h="16838"/>
          <w:pgMar w:top="1440" w:right="1417" w:bottom="1440" w:left="1417" w:header="851" w:footer="992" w:gutter="0"/>
          <w:pgNumType w:fmt="decimal"/>
          <w:cols w:space="720" w:num="1"/>
          <w:docGrid w:type="lines" w:linePitch="312" w:charSpace="0"/>
        </w:sectPr>
      </w:pPr>
    </w:p>
    <w:p w14:paraId="4FE8AEA1">
      <w:pPr>
        <w:spacing w:line="360" w:lineRule="auto"/>
        <w:jc w:val="left"/>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附件</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8</w:t>
      </w:r>
    </w:p>
    <w:p w14:paraId="74752DC8">
      <w:pPr>
        <w:adjustRightInd w:val="0"/>
        <w:snapToGrid w:val="0"/>
        <w:spacing w:line="300" w:lineRule="auto"/>
        <w:rPr>
          <w:rFonts w:hint="eastAsia" w:ascii="宋体" w:hAnsi="宋体" w:eastAsia="宋体" w:cs="宋体"/>
          <w:b/>
          <w:color w:val="auto"/>
          <w:sz w:val="28"/>
          <w:szCs w:val="28"/>
          <w:highlight w:val="none"/>
          <w:lang w:eastAsia="zh-CN"/>
        </w:rPr>
      </w:pPr>
    </w:p>
    <w:p w14:paraId="22DF673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z w:val="28"/>
          <w:szCs w:val="28"/>
          <w:highlight w:val="none"/>
        </w:rPr>
      </w:pPr>
    </w:p>
    <w:p w14:paraId="0DF3A9E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谈判供应商参加政府采购活动前三年内在经营活动中</w:t>
      </w:r>
    </w:p>
    <w:p w14:paraId="77D5098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color w:val="auto"/>
          <w:sz w:val="24"/>
          <w:highlight w:val="none"/>
        </w:rPr>
      </w:pPr>
      <w:r>
        <w:rPr>
          <w:rFonts w:hint="eastAsia" w:ascii="宋体" w:hAnsi="宋体" w:eastAsia="宋体" w:cs="宋体"/>
          <w:b/>
          <w:color w:val="auto"/>
          <w:sz w:val="28"/>
          <w:szCs w:val="28"/>
          <w:highlight w:val="none"/>
        </w:rPr>
        <w:t>没有重大违法记录的书面声明</w:t>
      </w:r>
    </w:p>
    <w:p w14:paraId="6D9F13C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（采购代理机构名称） </w:t>
      </w:r>
    </w:p>
    <w:p w14:paraId="65F7145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我单位近三年在经营活动中没有重大违法记录（包括：因违法经营受到刑事处罚或者责令停产停业，吊销许可证或者执照、较大数额罚款等行政处罚），特此声明。</w:t>
      </w:r>
    </w:p>
    <w:p w14:paraId="602ADFF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若招标采购单位在本项目采购过程中发现我单位近三年内在经营活动中有重大违法记录，我单位将无条件地退出本项目的谈判，并承担因此引起的一切后果。</w:t>
      </w:r>
    </w:p>
    <w:p w14:paraId="2B55FC69">
      <w:pPr>
        <w:adjustRightInd w:val="0"/>
        <w:snapToGrid w:val="0"/>
        <w:spacing w:line="360" w:lineRule="exact"/>
        <w:ind w:firstLine="360" w:firstLineChars="150"/>
        <w:jc w:val="left"/>
        <w:rPr>
          <w:rFonts w:ascii="宋体" w:hAnsi="宋体" w:eastAsia="宋体" w:cs="宋体"/>
          <w:color w:val="auto"/>
          <w:sz w:val="24"/>
          <w:highlight w:val="none"/>
        </w:rPr>
      </w:pPr>
    </w:p>
    <w:p w14:paraId="2CADC005">
      <w:pPr>
        <w:adjustRightInd w:val="0"/>
        <w:snapToGrid w:val="0"/>
        <w:spacing w:line="360" w:lineRule="exact"/>
        <w:ind w:firstLine="360" w:firstLineChars="150"/>
        <w:jc w:val="left"/>
        <w:rPr>
          <w:rFonts w:ascii="宋体" w:hAnsi="宋体" w:eastAsia="宋体" w:cs="宋体"/>
          <w:color w:val="auto"/>
          <w:sz w:val="24"/>
          <w:highlight w:val="none"/>
        </w:rPr>
      </w:pPr>
    </w:p>
    <w:p w14:paraId="2D0E5E58">
      <w:pPr>
        <w:adjustRightInd w:val="0"/>
        <w:snapToGrid w:val="0"/>
        <w:spacing w:line="360" w:lineRule="exact"/>
        <w:ind w:firstLine="360" w:firstLineChars="150"/>
        <w:jc w:val="left"/>
        <w:rPr>
          <w:rFonts w:ascii="宋体" w:hAnsi="宋体" w:eastAsia="宋体" w:cs="宋体"/>
          <w:color w:val="auto"/>
          <w:sz w:val="24"/>
          <w:highlight w:val="none"/>
        </w:rPr>
      </w:pPr>
    </w:p>
    <w:p w14:paraId="5BD0FB4A">
      <w:pPr>
        <w:keepNext w:val="0"/>
        <w:keepLines w:val="0"/>
        <w:pageBreakBefore w:val="0"/>
        <w:widowControl w:val="0"/>
        <w:kinsoku/>
        <w:wordWrap/>
        <w:overflowPunct/>
        <w:topLinePunct w:val="0"/>
        <w:autoSpaceDE/>
        <w:autoSpaceDN/>
        <w:bidi w:val="0"/>
        <w:spacing w:line="600" w:lineRule="exact"/>
        <w:textAlignment w:val="auto"/>
        <w:rPr>
          <w:rFonts w:hAnsi="宋体" w:eastAsia="宋体" w:cs="宋体"/>
          <w:color w:val="auto"/>
          <w:sz w:val="24"/>
          <w:szCs w:val="24"/>
          <w:highlight w:val="none"/>
        </w:rPr>
      </w:pPr>
      <w:r>
        <w:rPr>
          <w:rFonts w:hint="eastAsia" w:ascii="宋体" w:hAnsi="宋体" w:eastAsia="宋体" w:cs="宋体"/>
          <w:color w:val="auto"/>
          <w:sz w:val="24"/>
          <w:highlight w:val="none"/>
        </w:rPr>
        <w:t>谈判供应商（盖章）：</w:t>
      </w:r>
    </w:p>
    <w:p w14:paraId="5965132C">
      <w:pPr>
        <w:pStyle w:val="33"/>
        <w:keepNext w:val="0"/>
        <w:keepLines w:val="0"/>
        <w:pageBreakBefore w:val="0"/>
        <w:widowControl w:val="0"/>
        <w:kinsoku/>
        <w:wordWrap/>
        <w:overflowPunct/>
        <w:topLinePunct w:val="0"/>
        <w:autoSpaceDE/>
        <w:autoSpaceDN/>
        <w:bidi w:val="0"/>
        <w:spacing w:line="600" w:lineRule="exact"/>
        <w:textAlignment w:val="auto"/>
        <w:rPr>
          <w:rFonts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法定代表人（负责人）或委托代理人（签名</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rPr>
        <w:t>:</w:t>
      </w:r>
    </w:p>
    <w:p w14:paraId="5292A6B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日期：</w:t>
      </w:r>
    </w:p>
    <w:p w14:paraId="25A16B23">
      <w:pPr>
        <w:rPr>
          <w:rFonts w:hint="eastAsia" w:cs="仿宋_GB2312" w:asciiTheme="minorEastAsia" w:hAnsiTheme="minorEastAsia" w:eastAsiaTheme="minorEastAsia"/>
          <w:b/>
          <w:bCs/>
          <w:color w:val="000000" w:themeColor="text1"/>
          <w:sz w:val="30"/>
          <w:szCs w:val="30"/>
          <w:lang w:val="en-US" w:eastAsia="zh-CN"/>
          <w14:textFill>
            <w14:solidFill>
              <w14:schemeClr w14:val="tx1"/>
            </w14:solidFill>
          </w14:textFill>
        </w:rPr>
      </w:pPr>
    </w:p>
    <w:p w14:paraId="1739271B">
      <w:pPr>
        <w:rPr>
          <w:rFonts w:hint="default"/>
          <w:lang w:val="en-US" w:eastAsia="zh-CN"/>
        </w:rPr>
      </w:pPr>
      <w:r>
        <w:rPr>
          <w:rFonts w:hint="default"/>
          <w:lang w:val="en-US" w:eastAsia="zh-CN"/>
        </w:rPr>
        <w:br w:type="page"/>
      </w:r>
    </w:p>
    <w:p w14:paraId="4D558657">
      <w:pPr>
        <w:pStyle w:val="72"/>
        <w:rPr>
          <w:rFonts w:hint="default"/>
          <w:lang w:val="en-US" w:eastAsia="zh-CN"/>
        </w:rPr>
      </w:pPr>
    </w:p>
    <w:p w14:paraId="5C9583EF">
      <w:pPr>
        <w:spacing w:line="360" w:lineRule="auto"/>
        <w:jc w:val="left"/>
        <w:rPr>
          <w:rFonts w:hint="default" w:cs="仿宋_GB2312" w:asciiTheme="minorEastAsia" w:hAnsiTheme="minorEastAsia" w:eastAsiaTheme="minorEastAsia"/>
          <w:b/>
          <w:color w:val="000000" w:themeColor="text1"/>
          <w:kern w:val="0"/>
          <w:sz w:val="28"/>
          <w:szCs w:val="28"/>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附件</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9</w:t>
      </w:r>
    </w:p>
    <w:p w14:paraId="38CF7E1C">
      <w:pPr>
        <w:tabs>
          <w:tab w:val="left" w:pos="0"/>
        </w:tabs>
        <w:autoSpaceDE w:val="0"/>
        <w:autoSpaceDN w:val="0"/>
        <w:spacing w:line="360" w:lineRule="auto"/>
        <w:jc w:val="cente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pPr>
    </w:p>
    <w:p w14:paraId="65009D3E">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政府采购供应商廉洁自律承诺书</w:t>
      </w:r>
    </w:p>
    <w:p w14:paraId="08493096">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14:paraId="4FAF797B">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项目采购要求参加响应。在这次响应过程中和成交后，我们将严格遵守国家法律法规要求，并郑重承诺：</w:t>
      </w:r>
    </w:p>
    <w:p w14:paraId="53624775">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6A2AE156">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二、不为项目有关人员及部门报销应由你方单位或个人支付的费用； </w:t>
      </w:r>
    </w:p>
    <w:p w14:paraId="2E98526C">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61799DE2">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四、不为项目有关人员及部门出国（境）、旅游等提供方便；</w:t>
      </w:r>
    </w:p>
    <w:p w14:paraId="206A2BAF">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五、不为项目有关人员个人装修住房、婚丧嫁娶、配偶子女工作安排等提供</w:t>
      </w:r>
    </w:p>
    <w:p w14:paraId="662FEAB6">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好处；</w:t>
      </w:r>
    </w:p>
    <w:p w14:paraId="39B7DBF6">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04DC9BD1">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11A35E51">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7A8BF15D">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46C86D0A">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6C1274D2">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0F32755A">
      <w:pPr>
        <w:autoSpaceDE w:val="0"/>
        <w:autoSpaceDN w:val="0"/>
        <w:spacing w:line="360" w:lineRule="auto"/>
        <w:ind w:firstLine="2400" w:firstLineChars="10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6F918DC1">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0423C6E3">
      <w:pPr>
        <w:ind w:firstLine="1911" w:firstLineChars="595"/>
        <w:jc w:val="center"/>
        <w:rPr>
          <w:rFonts w:ascii="宋体" w:hAnsi="宋体" w:cs="宋体"/>
          <w:b/>
          <w:bCs/>
          <w:color w:val="000000" w:themeColor="text1"/>
          <w:sz w:val="32"/>
          <w:szCs w:val="32"/>
          <w14:textFill>
            <w14:solidFill>
              <w14:schemeClr w14:val="tx1"/>
            </w14:solidFill>
          </w14:textFill>
        </w:rPr>
      </w:pPr>
    </w:p>
    <w:p w14:paraId="5084FBEE">
      <w:pPr>
        <w:ind w:firstLine="1911" w:firstLineChars="595"/>
        <w:jc w:val="center"/>
        <w:rPr>
          <w:rFonts w:ascii="宋体" w:hAnsi="宋体" w:cs="宋体"/>
          <w:b/>
          <w:bCs/>
          <w:color w:val="000000" w:themeColor="text1"/>
          <w:sz w:val="32"/>
          <w:szCs w:val="32"/>
          <w14:textFill>
            <w14:solidFill>
              <w14:schemeClr w14:val="tx1"/>
            </w14:solidFill>
          </w14:textFill>
        </w:rPr>
      </w:pPr>
    </w:p>
    <w:p w14:paraId="172C7566">
      <w:pPr>
        <w:ind w:firstLine="1911" w:firstLineChars="595"/>
        <w:jc w:val="center"/>
        <w:rPr>
          <w:rFonts w:ascii="宋体" w:hAnsi="宋体" w:cs="宋体"/>
          <w:b/>
          <w:bCs/>
          <w:color w:val="000000" w:themeColor="text1"/>
          <w:sz w:val="32"/>
          <w:szCs w:val="32"/>
          <w14:textFill>
            <w14:solidFill>
              <w14:schemeClr w14:val="tx1"/>
            </w14:solidFill>
          </w14:textFill>
        </w:rPr>
      </w:pPr>
    </w:p>
    <w:p w14:paraId="035BB780">
      <w:pPr>
        <w:ind w:firstLine="1911" w:firstLineChars="595"/>
        <w:jc w:val="center"/>
        <w:rPr>
          <w:rFonts w:ascii="宋体" w:hAnsi="宋体" w:cs="宋体"/>
          <w:b/>
          <w:bCs/>
          <w:color w:val="000000" w:themeColor="text1"/>
          <w:sz w:val="32"/>
          <w:szCs w:val="32"/>
          <w14:textFill>
            <w14:solidFill>
              <w14:schemeClr w14:val="tx1"/>
            </w14:solidFill>
          </w14:textFill>
        </w:rPr>
      </w:pPr>
    </w:p>
    <w:p w14:paraId="1BD6A1FF">
      <w:pPr>
        <w:ind w:firstLine="1911" w:firstLineChars="595"/>
        <w:jc w:val="center"/>
        <w:rPr>
          <w:rFonts w:ascii="宋体" w:hAnsi="宋体" w:cs="宋体"/>
          <w:b/>
          <w:bCs/>
          <w:color w:val="000000" w:themeColor="text1"/>
          <w:sz w:val="32"/>
          <w:szCs w:val="32"/>
          <w14:textFill>
            <w14:solidFill>
              <w14:schemeClr w14:val="tx1"/>
            </w14:solidFill>
          </w14:textFill>
        </w:rPr>
      </w:pPr>
    </w:p>
    <w:p w14:paraId="610892D9">
      <w:pPr>
        <w:ind w:firstLine="1911" w:firstLineChars="595"/>
        <w:jc w:val="center"/>
        <w:rPr>
          <w:rFonts w:ascii="宋体" w:hAnsi="宋体" w:cs="宋体"/>
          <w:b/>
          <w:bCs/>
          <w:color w:val="000000" w:themeColor="text1"/>
          <w:sz w:val="32"/>
          <w:szCs w:val="32"/>
          <w14:textFill>
            <w14:solidFill>
              <w14:schemeClr w14:val="tx1"/>
            </w14:solidFill>
          </w14:textFill>
        </w:rPr>
      </w:pPr>
    </w:p>
    <w:p w14:paraId="52DC4FF7">
      <w:pPr>
        <w:spacing w:line="360" w:lineRule="auto"/>
        <w:jc w:val="left"/>
        <w:rPr>
          <w:rFonts w:hint="default" w:cs="仿宋_GB2312" w:asciiTheme="minorEastAsia" w:hAnsiTheme="minorEastAsia" w:eastAsiaTheme="minorEastAsia"/>
          <w:b/>
          <w:color w:val="000000" w:themeColor="text1"/>
          <w:kern w:val="0"/>
          <w:sz w:val="28"/>
          <w:szCs w:val="28"/>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附件</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10</w:t>
      </w:r>
    </w:p>
    <w:p w14:paraId="20607FA8">
      <w:pPr>
        <w:ind w:firstLine="1911" w:firstLineChars="595"/>
        <w:jc w:val="center"/>
        <w:rPr>
          <w:rFonts w:ascii="宋体" w:hAnsi="宋体" w:cs="宋体"/>
          <w:b/>
          <w:bCs/>
          <w:color w:val="000000" w:themeColor="text1"/>
          <w:sz w:val="32"/>
          <w:szCs w:val="32"/>
          <w14:textFill>
            <w14:solidFill>
              <w14:schemeClr w14:val="tx1"/>
            </w14:solidFill>
          </w14:textFill>
        </w:rPr>
      </w:pPr>
    </w:p>
    <w:p w14:paraId="212743D0">
      <w:pPr>
        <w:jc w:val="center"/>
        <w:rPr>
          <w:rFonts w:ascii="宋体" w:hAnsi="宋体" w:cs="宋体"/>
          <w:b/>
          <w:color w:val="000000" w:themeColor="text1"/>
          <w:kern w:val="0"/>
          <w:sz w:val="32"/>
          <w:szCs w:val="21"/>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cs="宋体"/>
          <w:b/>
          <w:color w:val="000000" w:themeColor="text1"/>
          <w:kern w:val="0"/>
          <w:sz w:val="32"/>
          <w:szCs w:val="21"/>
          <w14:textFill>
            <w14:solidFill>
              <w14:schemeClr w14:val="tx1"/>
            </w14:solidFill>
          </w14:textFill>
        </w:rPr>
        <w:t>承诺函</w:t>
      </w:r>
    </w:p>
    <w:p w14:paraId="464D995E">
      <w:pPr>
        <w:widowControl/>
        <w:adjustRightInd/>
        <w:ind w:firstLine="640" w:firstLineChars="200"/>
        <w:jc w:val="left"/>
        <w:rPr>
          <w:rFonts w:ascii="宋体" w:hAnsi="宋体" w:cs="宋体"/>
          <w:color w:val="000000" w:themeColor="text1"/>
          <w:kern w:val="0"/>
          <w:sz w:val="32"/>
          <w:szCs w:val="21"/>
          <w14:textFill>
            <w14:solidFill>
              <w14:schemeClr w14:val="tx1"/>
            </w14:solidFill>
          </w14:textFill>
        </w:rPr>
      </w:pPr>
    </w:p>
    <w:p w14:paraId="6EC954E7">
      <w:pPr>
        <w:keepNext w:val="0"/>
        <w:keepLines w:val="0"/>
        <w:pageBreakBefore w:val="0"/>
        <w:kinsoku/>
        <w:wordWrap/>
        <w:overflowPunct/>
        <w:topLinePunct w:val="0"/>
        <w:autoSpaceDE/>
        <w:autoSpaceDN/>
        <w:bidi w:val="0"/>
        <w:snapToGrid w:val="0"/>
        <w:spacing w:line="264" w:lineRule="auto"/>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21AD2865">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我方作为本次采购项目的谈判供应商，根据谈判文件要求，现郑重承诺如下：</w:t>
      </w:r>
    </w:p>
    <w:p w14:paraId="19CCDA0C">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218E832D">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二、参加本次谈判采购活动，不存在与单位负责人为同一人或者存在直接控股、管理关系的其他供应商参与同一合同项下的政府采购活动的行为。</w:t>
      </w:r>
    </w:p>
    <w:p w14:paraId="6739646F">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48459930">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四、参加本次谈判采购活动，不存在和其他供应商在同一合同项下的采购项目中，同时委托同一个自然人、同一家庭的人员、同一单位的人员作为代理人的行为。</w:t>
      </w:r>
    </w:p>
    <w:p w14:paraId="2AB3BE0C">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14:paraId="31FEB4BC">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65B43A50">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七、国家或行业主管部门对采购产品的技术标准、质量标准和资格资质条件等有强制性规定的，我方承诺符合其要求。</w:t>
      </w:r>
    </w:p>
    <w:p w14:paraId="5543A382">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八、参加本次谈判采购活动，我方完全同意谈判文件第三部分关于“谈判费用”、“合同分包”、“合同转包”、“履约保证金”的实质性要求，并承诺严格按照谈判文件要求履行。</w:t>
      </w:r>
    </w:p>
    <w:p w14:paraId="5F0FCD73">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48BA1F50">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我方对上述承诺的内容事项真实性负责。如经查实上述承诺的内容事项存在虚假，我方愿意接受以提供虚假材料谋取中标追究法律责任。</w:t>
      </w:r>
    </w:p>
    <w:p w14:paraId="0C856778">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70CB46D4">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0AC56B5E">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09661D60">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8BD2E46">
      <w:pPr>
        <w:pStyle w:val="116"/>
        <w:keepNext w:val="0"/>
        <w:pageBreakBefore w:val="0"/>
        <w:tabs>
          <w:tab w:val="clear" w:pos="720"/>
        </w:tabs>
        <w:ind w:firstLine="640"/>
        <w:jc w:val="both"/>
        <w:outlineLvl w:val="9"/>
        <w:rPr>
          <w:rFonts w:cs="仿宋_GB2312" w:asciiTheme="minorEastAsia" w:hAnsiTheme="minorEastAsia" w:eastAsiaTheme="minorEastAsia"/>
          <w:color w:val="000000" w:themeColor="text1"/>
          <w:kern w:val="2"/>
          <w:sz w:val="32"/>
          <w:szCs w:val="32"/>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779" w:right="1418" w:bottom="468" w:left="1418" w:header="851" w:footer="992" w:gutter="0"/>
          <w:pgNumType w:fmt="decimal"/>
          <w:cols w:space="720" w:num="1"/>
          <w:titlePg/>
          <w:docGrid w:linePitch="312" w:charSpace="0"/>
        </w:sectPr>
      </w:pPr>
    </w:p>
    <w:p w14:paraId="48B228F2">
      <w:pPr>
        <w:widowControl/>
        <w:adjustRightInd/>
        <w:jc w:val="center"/>
        <w:rPr>
          <w:rFonts w:cs="宋体" w:asciiTheme="minorEastAsia" w:hAnsiTheme="minorEastAsia" w:eastAsiaTheme="minorEastAsia"/>
          <w:b/>
          <w:bCs w:val="0"/>
          <w:color w:val="000000" w:themeColor="text1"/>
          <w:sz w:val="48"/>
          <w:szCs w:val="48"/>
          <w14:textFill>
            <w14:solidFill>
              <w14:schemeClr w14:val="tx1"/>
            </w14:solidFill>
          </w14:textFill>
        </w:rPr>
      </w:pPr>
      <w:bookmarkStart w:id="125" w:name="_Toc465665161"/>
    </w:p>
    <w:p w14:paraId="3647CED1">
      <w:pPr>
        <w:pStyle w:val="633"/>
        <w:jc w:val="center"/>
        <w:rPr>
          <w:rFonts w:hint="eastAsia" w:eastAsia="宋体"/>
          <w:b/>
          <w:bCs w:val="0"/>
          <w:color w:val="000000" w:themeColor="text1"/>
          <w:sz w:val="48"/>
          <w:szCs w:val="48"/>
          <w:lang w:eastAsia="zh-CN"/>
          <w14:textFill>
            <w14:solidFill>
              <w14:schemeClr w14:val="tx1"/>
            </w14:solidFill>
          </w14:textFill>
        </w:rPr>
      </w:pPr>
      <w:r>
        <w:rPr>
          <w:rFonts w:hint="eastAsia"/>
          <w:b/>
          <w:bCs w:val="0"/>
          <w:color w:val="000000" w:themeColor="text1"/>
          <w:sz w:val="48"/>
          <w:szCs w:val="48"/>
          <w:lang w:eastAsia="zh-CN"/>
          <w14:textFill>
            <w14:solidFill>
              <w14:schemeClr w14:val="tx1"/>
            </w14:solidFill>
          </w14:textFill>
        </w:rPr>
        <w:t>其他</w:t>
      </w:r>
      <w:r>
        <w:rPr>
          <w:rFonts w:hint="eastAsia"/>
          <w:b/>
          <w:bCs w:val="0"/>
          <w:color w:val="000000" w:themeColor="text1"/>
          <w:sz w:val="48"/>
          <w:szCs w:val="48"/>
          <w14:textFill>
            <w14:solidFill>
              <w14:schemeClr w14:val="tx1"/>
            </w14:solidFill>
          </w14:textFill>
        </w:rPr>
        <w:t>附件</w:t>
      </w:r>
      <w:bookmarkEnd w:id="125"/>
      <w:r>
        <w:rPr>
          <w:rFonts w:hint="eastAsia"/>
          <w:b/>
          <w:bCs w:val="0"/>
          <w:color w:val="000000" w:themeColor="text1"/>
          <w:sz w:val="48"/>
          <w:szCs w:val="48"/>
          <w:lang w:eastAsia="zh-CN"/>
          <w14:textFill>
            <w14:solidFill>
              <w14:schemeClr w14:val="tx1"/>
            </w14:solidFill>
          </w14:textFill>
        </w:rPr>
        <w:t>格式</w:t>
      </w:r>
    </w:p>
    <w:p w14:paraId="50FA4B70">
      <w:pPr>
        <w:spacing w:line="360" w:lineRule="auto"/>
        <w:jc w:val="left"/>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附件1：质疑函范本及制作说明</w:t>
      </w:r>
    </w:p>
    <w:p w14:paraId="221BA13D">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质疑函范本</w:t>
      </w:r>
    </w:p>
    <w:p w14:paraId="3506C95B">
      <w:pPr>
        <w:snapToGrid w:val="0"/>
        <w:spacing w:before="240" w:beforeLines="100"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一、质疑供应商基本信息</w:t>
      </w:r>
    </w:p>
    <w:p w14:paraId="082F7DF6">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8F07F24">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37B90F0">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4E4FB79">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C006BF2">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3530FA0F">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9A20E24">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二、质疑项目基本情况</w:t>
      </w:r>
    </w:p>
    <w:p w14:paraId="55674A34">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B74F7BC">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E9E46DA">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D3D4561">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C217E61">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三、质疑事项具体内容</w:t>
      </w:r>
    </w:p>
    <w:p w14:paraId="5CED3E2D">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55A294F">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DFA5CE7">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5C8062E">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69AD954">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F1C33D9">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质疑事项2</w:t>
      </w:r>
    </w:p>
    <w:p w14:paraId="610CB683">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06746E37">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四、与质疑事项相关的质疑请求</w:t>
      </w:r>
    </w:p>
    <w:p w14:paraId="3F58D83D">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BAF4B6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5BED4F6B">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31DB7820">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40BA6899">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质疑函制作说明：</w:t>
      </w:r>
    </w:p>
    <w:p w14:paraId="36E0B37B">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0530E5BA">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2816CB7C">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14C203FF">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6332CE8E">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5.质疑函的质疑请求应与质疑事项相关。</w:t>
      </w:r>
    </w:p>
    <w:p w14:paraId="2572CC4D">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D26B90D">
      <w:pPr>
        <w:widowControl/>
        <w:spacing w:line="360" w:lineRule="auto"/>
        <w:ind w:firstLine="600" w:firstLineChars="200"/>
        <w:jc w:val="left"/>
        <w:rPr>
          <w:rFonts w:cs="仿宋_GB2312" w:asciiTheme="minorEastAsia" w:hAnsiTheme="minorEastAsia" w:eastAsiaTheme="minorEastAsia"/>
          <w:color w:val="000000" w:themeColor="text1"/>
          <w:sz w:val="30"/>
          <w:szCs w:val="30"/>
          <w14:textFill>
            <w14:solidFill>
              <w14:schemeClr w14:val="tx1"/>
            </w14:solidFill>
          </w14:textFill>
        </w:rPr>
      </w:pPr>
    </w:p>
    <w:p w14:paraId="178AE145">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附件</w:t>
      </w: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2</w:t>
      </w: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：投诉书范本及制作说明</w:t>
      </w:r>
    </w:p>
    <w:p w14:paraId="543A0061">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4EB5245C">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投诉书范本</w:t>
      </w:r>
    </w:p>
    <w:p w14:paraId="0F90E7F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一、投诉相关主体基本情况</w:t>
      </w:r>
    </w:p>
    <w:p w14:paraId="366CCD8F">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907772F">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C576F67">
      <w:pPr>
        <w:tabs>
          <w:tab w:val="left" w:pos="6510"/>
        </w:tabs>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2A463BB1">
      <w:pPr>
        <w:tabs>
          <w:tab w:val="left" w:pos="6510"/>
        </w:tabs>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9D49E73">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CD10725">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BC3F9E3">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7D68A43">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2D313FB0">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4121F68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被投诉人2</w:t>
      </w:r>
    </w:p>
    <w:p w14:paraId="65C4204C">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197658EB">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相关供应商：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60103E15">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EA695C3">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1FD35E9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二、投诉项目基本情况</w:t>
      </w:r>
    </w:p>
    <w:p w14:paraId="4AB3AD36">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4033E81">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78000F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452FC584">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代理机构名称：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E7EA21A">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9585223">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采购结果公告: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92BD33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三、质疑基本情况</w:t>
      </w:r>
    </w:p>
    <w:p w14:paraId="24A38337">
      <w:pPr>
        <w:spacing w:line="360" w:lineRule="auto"/>
        <w:ind w:firstLine="480" w:firstLineChars="200"/>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日,向</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D4BF8F8">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40FE187A">
      <w:pPr>
        <w:spacing w:line="360" w:lineRule="auto"/>
        <w:ind w:firstLine="360" w:firstLineChars="15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14:textFill>
            <w14:solidFill>
              <w14:schemeClr w14:val="tx1"/>
            </w14:solidFill>
          </w14:textFill>
        </w:rPr>
        <w:t>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日,就质疑事项作出了答复/没有在法定期限内作出答复。</w:t>
      </w:r>
    </w:p>
    <w:p w14:paraId="5B032EE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四、投诉事项具体内容</w:t>
      </w:r>
    </w:p>
    <w:p w14:paraId="678B9BF5">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 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A2F3FD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7214781">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816012D">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C7033D9">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12B3281">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投诉事项2</w:t>
      </w:r>
    </w:p>
    <w:p w14:paraId="1ED5E686">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13973FA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五、与投诉事项相关的投诉请求</w:t>
      </w:r>
    </w:p>
    <w:p w14:paraId="1FFAB35C">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47DDFC96">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382AFF9A">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454F9260">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78958795">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776B20DC">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1E7C8A7D">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投诉书制作说明：</w:t>
      </w:r>
    </w:p>
    <w:p w14:paraId="0870A1DF">
      <w:pPr>
        <w:widowControl/>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384F7004">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36006666">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3.投诉人若对项目的某一分包进行投诉，投诉书应列明具体分包号。</w:t>
      </w:r>
    </w:p>
    <w:p w14:paraId="0DA7739D">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4.投诉书应简要列明质疑事项，质疑函、质疑答复等作为附件材料提供。</w:t>
      </w:r>
    </w:p>
    <w:p w14:paraId="5024B630">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5.投诉书的投诉事项应具体、明确，并有必要的事实依据和法律依据。</w:t>
      </w:r>
    </w:p>
    <w:p w14:paraId="1F9D6162">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6.投诉书的投诉请求应与投诉事项相关。</w:t>
      </w:r>
    </w:p>
    <w:p w14:paraId="4EDDACF2">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9593BC4">
      <w:pPr>
        <w:rPr>
          <w:rFonts w:cs="仿宋_GB2312" w:asciiTheme="minorEastAsia" w:hAnsiTheme="minorEastAsia" w:eastAsiaTheme="minorEastAsia"/>
          <w:b/>
          <w:color w:val="000000" w:themeColor="text1"/>
          <w:sz w:val="24"/>
          <w14:textFill>
            <w14:solidFill>
              <w14:schemeClr w14:val="tx1"/>
            </w14:solidFill>
          </w14:textFill>
        </w:rPr>
      </w:pPr>
    </w:p>
    <w:p w14:paraId="7A64C82F">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p>
    <w:p w14:paraId="5B5C4B89">
      <w:pPr>
        <w:spacing w:line="360" w:lineRule="auto"/>
        <w:jc w:val="left"/>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附件3：</w:t>
      </w:r>
    </w:p>
    <w:p w14:paraId="2A18ACE4">
      <w:pPr>
        <w:spacing w:line="360" w:lineRule="auto"/>
        <w:rPr>
          <w:rFonts w:asciiTheme="minorEastAsia" w:hAnsiTheme="minorEastAsia" w:eastAsiaTheme="minorEastAsia"/>
          <w:b/>
          <w:color w:val="000000" w:themeColor="text1"/>
          <w:spacing w:val="6"/>
          <w:sz w:val="32"/>
          <w:szCs w:val="32"/>
          <w14:textFill>
            <w14:solidFill>
              <w14:schemeClr w14:val="tx1"/>
            </w14:solidFill>
          </w14:textFill>
        </w:rPr>
      </w:pPr>
    </w:p>
    <w:p w14:paraId="36EFC0CC">
      <w:pPr>
        <w:spacing w:line="360" w:lineRule="auto"/>
        <w:jc w:val="center"/>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残疾人福利性单位声明函</w:t>
      </w:r>
    </w:p>
    <w:p w14:paraId="3B41CB74">
      <w:pPr>
        <w:spacing w:line="360" w:lineRule="auto"/>
        <w:rPr>
          <w:rFonts w:asciiTheme="minorEastAsia" w:hAnsiTheme="minorEastAsia" w:eastAsiaTheme="minorEastAsia"/>
          <w:b/>
          <w:color w:val="000000" w:themeColor="text1"/>
          <w:spacing w:val="6"/>
          <w:sz w:val="30"/>
          <w:szCs w:val="30"/>
          <w14:textFill>
            <w14:solidFill>
              <w14:schemeClr w14:val="tx1"/>
            </w14:solidFill>
          </w14:textFill>
        </w:rPr>
      </w:pPr>
    </w:p>
    <w:p w14:paraId="6180D393">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14:textFill>
            <w14:solidFill>
              <w14:schemeClr w14:val="tx1"/>
            </w14:solidFill>
          </w14:textFill>
        </w:rPr>
        <w:t>单位的</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9EA13DE">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14:paraId="25ADB15E">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33E5A3F6">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5CD87C0B">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w:t>
      </w:r>
    </w:p>
    <w:p w14:paraId="035B423C">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日  期：</w:t>
      </w:r>
    </w:p>
    <w:p w14:paraId="19B25483">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00E2DF77">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br w:type="page"/>
      </w:r>
    </w:p>
    <w:p w14:paraId="3578486F">
      <w:pPr>
        <w:spacing w:line="360" w:lineRule="auto"/>
        <w:jc w:val="left"/>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附件4：</w:t>
      </w:r>
    </w:p>
    <w:p w14:paraId="1B8E5B69">
      <w:pPr>
        <w:spacing w:line="360" w:lineRule="auto"/>
        <w:jc w:val="left"/>
        <w:rPr>
          <w:rFonts w:cs="仿宋_GB2312" w:asciiTheme="minorEastAsia" w:hAnsiTheme="minorEastAsia" w:eastAsiaTheme="minorEastAsia"/>
          <w:b/>
          <w:color w:val="000000" w:themeColor="text1"/>
          <w:sz w:val="24"/>
          <w14:textFill>
            <w14:solidFill>
              <w14:schemeClr w14:val="tx1"/>
            </w14:solidFill>
          </w14:textFill>
        </w:rPr>
      </w:pPr>
    </w:p>
    <w:p w14:paraId="69B54EAE">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业务专用章使用说明函</w:t>
      </w:r>
    </w:p>
    <w:p w14:paraId="4BECCAE6">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p>
    <w:p w14:paraId="1233BFCD">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53F3F4D0">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w:t>
      </w:r>
      <w:r>
        <w:rPr>
          <w:rFonts w:hint="eastAsia" w:asciiTheme="minorEastAsia" w:hAnsiTheme="minorEastAsia" w:eastAsiaTheme="minorEastAsia"/>
          <w:color w:val="000000" w:themeColor="text1"/>
          <w:sz w:val="24"/>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14:textFill>
            <w14:solidFill>
              <w14:schemeClr w14:val="tx1"/>
            </w14:solidFill>
          </w14:textFill>
        </w:rPr>
        <w:t>在参加</w:t>
      </w:r>
      <w:r>
        <w:rPr>
          <w:rFonts w:hint="eastAsia" w:cs="仿宋_GB2312" w:asciiTheme="minorEastAsia" w:hAnsiTheme="minorEastAsia" w:eastAsiaTheme="minorEastAsia"/>
          <w:color w:val="000000" w:themeColor="text1"/>
          <w:sz w:val="24"/>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4"/>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14:textFill>
            <w14:solidFill>
              <w14:schemeClr w14:val="tx1"/>
            </w14:solidFill>
          </w14:textFill>
        </w:rPr>
        <w:t>我方所使用的“</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 xml:space="preserve">专用章”的行为予以完全承认，并愿意承担相应责任。   </w:t>
      </w:r>
    </w:p>
    <w:p w14:paraId="70760F29">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特此说明。</w:t>
      </w:r>
    </w:p>
    <w:p w14:paraId="38600563">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44E70C58">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7A5838BC">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110BD70E">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39DDBB87">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供应商（法定名称章）：</w:t>
      </w:r>
    </w:p>
    <w:p w14:paraId="20486296">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日期：       年     月     日</w:t>
      </w:r>
    </w:p>
    <w:p w14:paraId="006E1EC1">
      <w:pP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附：</w:t>
      </w:r>
    </w:p>
    <w:p w14:paraId="79EEA16C">
      <w:pPr>
        <w:spacing w:line="360" w:lineRule="auto"/>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专用章”（印模）</w:t>
      </w:r>
    </w:p>
    <w:p w14:paraId="4A51E5B4">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p>
    <w:p w14:paraId="3DFBAA4E">
      <w:pPr>
        <w:snapToGrid w:val="0"/>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4F950577">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cs="仿宋_GB2312" w:asciiTheme="minorEastAsia" w:hAnsiTheme="minorEastAsia" w:eastAsiaTheme="minorEastAsia"/>
          <w:b/>
          <w:color w:val="000000" w:themeColor="text1"/>
          <w:sz w:val="24"/>
          <w14:textFill>
            <w14:solidFill>
              <w14:schemeClr w14:val="tx1"/>
            </w14:solidFill>
          </w14:textFill>
        </w:rPr>
        <w:br w:type="page"/>
      </w:r>
    </w:p>
    <w:p w14:paraId="6C37A640">
      <w:pPr>
        <w:spacing w:line="360" w:lineRule="auto"/>
        <w:jc w:val="left"/>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附件5：</w:t>
      </w:r>
    </w:p>
    <w:p w14:paraId="22E66533">
      <w:pPr>
        <w:spacing w:line="360" w:lineRule="auto"/>
        <w:jc w:val="center"/>
        <w:rPr>
          <w:rFonts w:ascii="宋体" w:hAnsi="宋体" w:cs="宋体"/>
          <w:b/>
          <w:color w:val="000000" w:themeColor="text1"/>
          <w:sz w:val="32"/>
          <w:szCs w:val="32"/>
          <w14:textFill>
            <w14:solidFill>
              <w14:schemeClr w14:val="tx1"/>
            </w14:solidFill>
          </w14:textFill>
        </w:rPr>
      </w:pPr>
    </w:p>
    <w:p w14:paraId="1C743633">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14:paraId="2B9AE4C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156B0C6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A2AFD7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78EC14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7FCDCB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2A453FF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6CE1C172">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5327513D">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2BD1C415">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66F69F21">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DD195E2">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AF3F2BB">
      <w:pPr>
        <w:rPr>
          <w:rFonts w:cs="仿宋_GB2312" w:asciiTheme="minorEastAsia" w:hAnsiTheme="minorEastAsia" w:eastAsiaTheme="minorEastAsia"/>
          <w:b/>
          <w:color w:val="000000" w:themeColor="text1"/>
          <w:sz w:val="24"/>
          <w14:textFill>
            <w14:solidFill>
              <w14:schemeClr w14:val="tx1"/>
            </w14:solidFill>
          </w14:textFill>
        </w:rPr>
      </w:pPr>
      <w:r>
        <w:rPr>
          <w:rFonts w:cs="仿宋_GB2312" w:asciiTheme="minorEastAsia" w:hAnsiTheme="minorEastAsia" w:eastAsiaTheme="minorEastAsia"/>
          <w:b/>
          <w:color w:val="000000" w:themeColor="text1"/>
          <w:sz w:val="24"/>
          <w14:textFill>
            <w14:solidFill>
              <w14:schemeClr w14:val="tx1"/>
            </w14:solidFill>
          </w14:textFill>
        </w:rPr>
        <w:br w:type="page"/>
      </w:r>
    </w:p>
    <w:p w14:paraId="55C3FD09">
      <w:pPr>
        <w:spacing w:before="255" w:line="226" w:lineRule="auto"/>
        <w:ind w:left="2633"/>
        <w:rPr>
          <w:rFonts w:hint="eastAsia" w:ascii="宋体" w:hAnsi="宋体" w:eastAsia="宋体" w:cs="宋体"/>
          <w:b/>
          <w:bCs/>
          <w:color w:val="auto"/>
          <w:sz w:val="24"/>
          <w:szCs w:val="24"/>
          <w:highlight w:val="none"/>
        </w:rPr>
      </w:pPr>
      <w:r>
        <w:rPr>
          <w:rFonts w:hint="eastAsia" w:ascii="宋体" w:hAnsi="宋体" w:eastAsia="宋体" w:cs="宋体"/>
          <w:b/>
          <w:bCs/>
          <w:color w:val="auto"/>
          <w:spacing w:val="18"/>
          <w:sz w:val="24"/>
          <w:szCs w:val="24"/>
          <w:highlight w:val="none"/>
        </w:rPr>
        <w:t>统</w:t>
      </w:r>
      <w:r>
        <w:rPr>
          <w:rFonts w:hint="eastAsia" w:ascii="宋体" w:hAnsi="宋体" w:eastAsia="宋体" w:cs="宋体"/>
          <w:b/>
          <w:bCs/>
          <w:color w:val="auto"/>
          <w:spacing w:val="9"/>
          <w:sz w:val="24"/>
          <w:szCs w:val="24"/>
          <w:highlight w:val="none"/>
        </w:rPr>
        <w:t>计上大中小微型企业划分标准</w:t>
      </w:r>
    </w:p>
    <w:p w14:paraId="1BC05D98">
      <w:pPr>
        <w:rPr>
          <w:rFonts w:hint="eastAsia" w:ascii="宋体" w:hAnsi="宋体" w:eastAsia="宋体" w:cs="宋体"/>
          <w:color w:val="auto"/>
          <w:highlight w:val="none"/>
        </w:rPr>
      </w:pPr>
    </w:p>
    <w:p w14:paraId="6CD950AE">
      <w:pPr>
        <w:spacing w:line="33" w:lineRule="exact"/>
        <w:rPr>
          <w:rFonts w:hint="eastAsia" w:ascii="宋体" w:hAnsi="宋体" w:eastAsia="宋体" w:cs="宋体"/>
          <w:color w:val="auto"/>
          <w:highlight w:val="none"/>
        </w:rPr>
      </w:pPr>
    </w:p>
    <w:tbl>
      <w:tblPr>
        <w:tblStyle w:val="636"/>
        <w:tblW w:w="9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1"/>
        <w:gridCol w:w="1661"/>
        <w:gridCol w:w="801"/>
        <w:gridCol w:w="1150"/>
        <w:gridCol w:w="1922"/>
        <w:gridCol w:w="1766"/>
        <w:gridCol w:w="1059"/>
      </w:tblGrid>
      <w:tr w14:paraId="59028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81" w:type="dxa"/>
            <w:shd w:val="clear" w:color="auto" w:fill="8DB3E2"/>
            <w:vAlign w:val="top"/>
          </w:tcPr>
          <w:p w14:paraId="19858C96">
            <w:pPr>
              <w:spacing w:before="241" w:line="23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行业名称</w:t>
            </w:r>
          </w:p>
        </w:tc>
        <w:tc>
          <w:tcPr>
            <w:tcW w:w="1661" w:type="dxa"/>
            <w:shd w:val="clear" w:color="auto" w:fill="8DB3E2"/>
            <w:vAlign w:val="top"/>
          </w:tcPr>
          <w:p w14:paraId="1D759CD6">
            <w:pPr>
              <w:spacing w:before="241" w:line="231" w:lineRule="auto"/>
              <w:ind w:left="326"/>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指</w:t>
            </w:r>
            <w:r>
              <w:rPr>
                <w:rFonts w:hint="eastAsia" w:ascii="宋体" w:hAnsi="宋体" w:eastAsia="宋体" w:cs="宋体"/>
                <w:color w:val="auto"/>
                <w:spacing w:val="8"/>
                <w:sz w:val="21"/>
                <w:szCs w:val="21"/>
                <w:highlight w:val="none"/>
              </w:rPr>
              <w:t>标名称</w:t>
            </w:r>
          </w:p>
        </w:tc>
        <w:tc>
          <w:tcPr>
            <w:tcW w:w="801" w:type="dxa"/>
            <w:shd w:val="clear" w:color="auto" w:fill="8DB3E2"/>
            <w:vAlign w:val="top"/>
          </w:tcPr>
          <w:p w14:paraId="4125B65B">
            <w:pPr>
              <w:spacing w:before="101" w:line="281" w:lineRule="exact"/>
              <w:ind w:left="178"/>
              <w:rPr>
                <w:rFonts w:hint="eastAsia" w:ascii="宋体" w:hAnsi="宋体" w:eastAsia="宋体" w:cs="宋体"/>
                <w:color w:val="auto"/>
                <w:sz w:val="21"/>
                <w:szCs w:val="21"/>
                <w:highlight w:val="none"/>
              </w:rPr>
            </w:pPr>
            <w:r>
              <w:rPr>
                <w:rFonts w:hint="eastAsia" w:ascii="宋体" w:hAnsi="宋体" w:eastAsia="宋体" w:cs="宋体"/>
                <w:color w:val="auto"/>
                <w:spacing w:val="6"/>
                <w:position w:val="7"/>
                <w:sz w:val="21"/>
                <w:szCs w:val="21"/>
                <w:highlight w:val="none"/>
              </w:rPr>
              <w:t>计量</w:t>
            </w:r>
          </w:p>
          <w:p w14:paraId="074B9754">
            <w:pPr>
              <w:spacing w:line="230" w:lineRule="auto"/>
              <w:ind w:left="17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单</w:t>
            </w:r>
            <w:r>
              <w:rPr>
                <w:rFonts w:hint="eastAsia" w:ascii="宋体" w:hAnsi="宋体" w:eastAsia="宋体" w:cs="宋体"/>
                <w:color w:val="auto"/>
                <w:spacing w:val="5"/>
                <w:sz w:val="21"/>
                <w:szCs w:val="21"/>
                <w:highlight w:val="none"/>
              </w:rPr>
              <w:t>位</w:t>
            </w:r>
          </w:p>
        </w:tc>
        <w:tc>
          <w:tcPr>
            <w:tcW w:w="1150" w:type="dxa"/>
            <w:shd w:val="clear" w:color="auto" w:fill="8DB3E2"/>
            <w:vAlign w:val="top"/>
          </w:tcPr>
          <w:p w14:paraId="552FBCFD">
            <w:pPr>
              <w:spacing w:before="241" w:line="231" w:lineRule="auto"/>
              <w:ind w:left="38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大型</w:t>
            </w:r>
          </w:p>
        </w:tc>
        <w:tc>
          <w:tcPr>
            <w:tcW w:w="1922" w:type="dxa"/>
            <w:shd w:val="clear" w:color="auto" w:fill="8DB3E2"/>
            <w:vAlign w:val="top"/>
          </w:tcPr>
          <w:p w14:paraId="15422BE0">
            <w:pPr>
              <w:spacing w:before="241" w:line="231" w:lineRule="auto"/>
              <w:ind w:left="69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中型</w:t>
            </w:r>
          </w:p>
        </w:tc>
        <w:tc>
          <w:tcPr>
            <w:tcW w:w="1766" w:type="dxa"/>
            <w:shd w:val="clear" w:color="auto" w:fill="8DB3E2"/>
            <w:vAlign w:val="top"/>
          </w:tcPr>
          <w:p w14:paraId="11C015C5">
            <w:pPr>
              <w:spacing w:before="241" w:line="232" w:lineRule="auto"/>
              <w:ind w:left="54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小型</w:t>
            </w:r>
          </w:p>
        </w:tc>
        <w:tc>
          <w:tcPr>
            <w:tcW w:w="1059" w:type="dxa"/>
            <w:shd w:val="clear" w:color="auto" w:fill="8DB3E2"/>
            <w:vAlign w:val="top"/>
          </w:tcPr>
          <w:p w14:paraId="2A65B536">
            <w:pPr>
              <w:spacing w:before="241" w:line="230" w:lineRule="auto"/>
              <w:ind w:left="32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微型</w:t>
            </w:r>
          </w:p>
        </w:tc>
      </w:tr>
      <w:tr w14:paraId="2CB93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481" w:type="dxa"/>
            <w:vAlign w:val="top"/>
          </w:tcPr>
          <w:p w14:paraId="78DD7E17">
            <w:pPr>
              <w:spacing w:before="124" w:line="232"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农、林、牧、渔业</w:t>
            </w:r>
          </w:p>
        </w:tc>
        <w:tc>
          <w:tcPr>
            <w:tcW w:w="1661" w:type="dxa"/>
            <w:vAlign w:val="top"/>
          </w:tcPr>
          <w:p w14:paraId="21005CFF">
            <w:pPr>
              <w:spacing w:before="124"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45C3669D">
            <w:pPr>
              <w:spacing w:before="124"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74F09B12">
            <w:pPr>
              <w:spacing w:before="124" w:line="228" w:lineRule="exact"/>
              <w:ind w:left="20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20000</w:t>
            </w:r>
          </w:p>
        </w:tc>
        <w:tc>
          <w:tcPr>
            <w:tcW w:w="1922" w:type="dxa"/>
            <w:vAlign w:val="top"/>
          </w:tcPr>
          <w:p w14:paraId="0FBA6135">
            <w:pPr>
              <w:spacing w:before="124" w:line="227" w:lineRule="exact"/>
              <w:ind w:left="273"/>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5</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＜20000</w:t>
            </w:r>
          </w:p>
        </w:tc>
        <w:tc>
          <w:tcPr>
            <w:tcW w:w="1766" w:type="dxa"/>
            <w:vAlign w:val="top"/>
          </w:tcPr>
          <w:p w14:paraId="5A730296">
            <w:pPr>
              <w:spacing w:before="124" w:line="227" w:lineRule="exact"/>
              <w:ind w:left="272"/>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5</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＜500</w:t>
            </w:r>
          </w:p>
        </w:tc>
        <w:tc>
          <w:tcPr>
            <w:tcW w:w="1059" w:type="dxa"/>
            <w:vAlign w:val="top"/>
          </w:tcPr>
          <w:p w14:paraId="1F4AD4B3">
            <w:pPr>
              <w:spacing w:before="124" w:line="230"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7"/>
                <w:position w:val="1"/>
                <w:sz w:val="21"/>
                <w:szCs w:val="21"/>
                <w:highlight w:val="none"/>
              </w:rPr>
              <w:t>50</w:t>
            </w:r>
          </w:p>
        </w:tc>
      </w:tr>
      <w:tr w14:paraId="5BA5B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481" w:type="dxa"/>
            <w:vMerge w:val="restart"/>
            <w:tcBorders>
              <w:bottom w:val="nil"/>
            </w:tcBorders>
            <w:vAlign w:val="top"/>
          </w:tcPr>
          <w:p w14:paraId="7637B6DA">
            <w:pPr>
              <w:spacing w:line="266" w:lineRule="auto"/>
              <w:rPr>
                <w:rFonts w:hint="eastAsia" w:ascii="宋体" w:hAnsi="宋体" w:eastAsia="宋体" w:cs="宋体"/>
                <w:color w:val="auto"/>
                <w:sz w:val="21"/>
                <w:szCs w:val="21"/>
                <w:highlight w:val="none"/>
              </w:rPr>
            </w:pPr>
          </w:p>
          <w:p w14:paraId="02EF6FAA">
            <w:pPr>
              <w:spacing w:before="55" w:line="242"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工业</w:t>
            </w:r>
            <w:r>
              <w:rPr>
                <w:rFonts w:hint="eastAsia" w:ascii="宋体" w:hAnsi="宋体" w:eastAsia="宋体" w:cs="宋体"/>
                <w:color w:val="auto"/>
                <w:spacing w:val="5"/>
                <w:sz w:val="21"/>
                <w:szCs w:val="21"/>
                <w:highlight w:val="none"/>
              </w:rPr>
              <w:t>*</w:t>
            </w:r>
          </w:p>
        </w:tc>
        <w:tc>
          <w:tcPr>
            <w:tcW w:w="1661" w:type="dxa"/>
            <w:vAlign w:val="top"/>
          </w:tcPr>
          <w:p w14:paraId="31F1B057">
            <w:pPr>
              <w:spacing w:before="123"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0DCCB13C">
            <w:pPr>
              <w:spacing w:before="123"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189231F5">
            <w:pPr>
              <w:spacing w:before="123" w:line="228" w:lineRule="exact"/>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922" w:type="dxa"/>
            <w:vAlign w:val="top"/>
          </w:tcPr>
          <w:p w14:paraId="45159B17">
            <w:pPr>
              <w:spacing w:before="123" w:line="227" w:lineRule="exact"/>
              <w:ind w:left="319"/>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766" w:type="dxa"/>
            <w:vAlign w:val="top"/>
          </w:tcPr>
          <w:p w14:paraId="092E3548">
            <w:pPr>
              <w:spacing w:before="123" w:line="227" w:lineRule="exact"/>
              <w:ind w:left="271"/>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2</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＜300</w:t>
            </w:r>
          </w:p>
        </w:tc>
        <w:tc>
          <w:tcPr>
            <w:tcW w:w="1059" w:type="dxa"/>
            <w:vAlign w:val="top"/>
          </w:tcPr>
          <w:p w14:paraId="20326051">
            <w:pPr>
              <w:spacing w:before="123" w:line="230"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7"/>
                <w:position w:val="1"/>
                <w:sz w:val="21"/>
                <w:szCs w:val="21"/>
                <w:highlight w:val="none"/>
              </w:rPr>
              <w:t>20</w:t>
            </w:r>
          </w:p>
        </w:tc>
      </w:tr>
      <w:tr w14:paraId="3D54C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81" w:type="dxa"/>
            <w:vMerge w:val="continue"/>
            <w:tcBorders>
              <w:top w:val="nil"/>
            </w:tcBorders>
            <w:vAlign w:val="top"/>
          </w:tcPr>
          <w:p w14:paraId="55CD765B">
            <w:pPr>
              <w:rPr>
                <w:rFonts w:hint="eastAsia" w:ascii="宋体" w:hAnsi="宋体" w:eastAsia="宋体" w:cs="宋体"/>
                <w:color w:val="auto"/>
                <w:sz w:val="21"/>
                <w:szCs w:val="21"/>
                <w:highlight w:val="none"/>
              </w:rPr>
            </w:pPr>
          </w:p>
        </w:tc>
        <w:tc>
          <w:tcPr>
            <w:tcW w:w="1661" w:type="dxa"/>
            <w:vAlign w:val="top"/>
          </w:tcPr>
          <w:p w14:paraId="1A75C299">
            <w:pPr>
              <w:spacing w:before="125"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7B42DDA7">
            <w:pPr>
              <w:spacing w:before="125"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33735E95">
            <w:pPr>
              <w:spacing w:before="125" w:line="229" w:lineRule="exact"/>
              <w:ind w:left="20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40000</w:t>
            </w:r>
          </w:p>
        </w:tc>
        <w:tc>
          <w:tcPr>
            <w:tcW w:w="1922" w:type="dxa"/>
            <w:vAlign w:val="top"/>
          </w:tcPr>
          <w:p w14:paraId="67E1FB98">
            <w:pPr>
              <w:spacing w:before="125" w:line="228" w:lineRule="exact"/>
              <w:ind w:left="226"/>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2</w:t>
            </w:r>
            <w:r>
              <w:rPr>
                <w:rFonts w:hint="eastAsia" w:ascii="宋体" w:hAnsi="宋体" w:eastAsia="宋体" w:cs="宋体"/>
                <w:color w:val="auto"/>
                <w:spacing w:val="6"/>
                <w:position w:val="1"/>
                <w:sz w:val="21"/>
                <w:szCs w:val="21"/>
                <w:highlight w:val="none"/>
              </w:rPr>
              <w:t>0</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＜40000</w:t>
            </w:r>
          </w:p>
        </w:tc>
        <w:tc>
          <w:tcPr>
            <w:tcW w:w="1766" w:type="dxa"/>
            <w:vAlign w:val="top"/>
          </w:tcPr>
          <w:p w14:paraId="750BE9BA">
            <w:pPr>
              <w:spacing w:before="125" w:line="228" w:lineRule="exact"/>
              <w:ind w:left="181"/>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＜2000</w:t>
            </w:r>
          </w:p>
        </w:tc>
        <w:tc>
          <w:tcPr>
            <w:tcW w:w="1059" w:type="dxa"/>
            <w:vAlign w:val="top"/>
          </w:tcPr>
          <w:p w14:paraId="48F3A654">
            <w:pPr>
              <w:spacing w:before="125" w:line="231" w:lineRule="exact"/>
              <w:ind w:left="23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＜300</w:t>
            </w:r>
          </w:p>
        </w:tc>
      </w:tr>
      <w:tr w14:paraId="26B5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481" w:type="dxa"/>
            <w:vMerge w:val="restart"/>
            <w:tcBorders>
              <w:bottom w:val="nil"/>
            </w:tcBorders>
            <w:vAlign w:val="top"/>
          </w:tcPr>
          <w:p w14:paraId="4BF8F706">
            <w:pPr>
              <w:spacing w:line="266" w:lineRule="auto"/>
              <w:rPr>
                <w:rFonts w:hint="eastAsia" w:ascii="宋体" w:hAnsi="宋体" w:eastAsia="宋体" w:cs="宋体"/>
                <w:color w:val="auto"/>
                <w:sz w:val="21"/>
                <w:szCs w:val="21"/>
                <w:highlight w:val="none"/>
              </w:rPr>
            </w:pPr>
          </w:p>
          <w:p w14:paraId="44E6E6E9">
            <w:pPr>
              <w:spacing w:before="56" w:line="231"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建筑</w:t>
            </w:r>
            <w:r>
              <w:rPr>
                <w:rFonts w:hint="eastAsia" w:ascii="宋体" w:hAnsi="宋体" w:eastAsia="宋体" w:cs="宋体"/>
                <w:color w:val="auto"/>
                <w:spacing w:val="6"/>
                <w:sz w:val="21"/>
                <w:szCs w:val="21"/>
                <w:highlight w:val="none"/>
              </w:rPr>
              <w:t>业</w:t>
            </w:r>
          </w:p>
        </w:tc>
        <w:tc>
          <w:tcPr>
            <w:tcW w:w="1661" w:type="dxa"/>
            <w:vAlign w:val="top"/>
          </w:tcPr>
          <w:p w14:paraId="20DE0E9D">
            <w:pPr>
              <w:spacing w:before="124"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73276BF8">
            <w:pPr>
              <w:spacing w:before="124"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100536AE">
            <w:pPr>
              <w:spacing w:before="124" w:line="229" w:lineRule="exact"/>
              <w:ind w:left="20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80000</w:t>
            </w:r>
          </w:p>
        </w:tc>
        <w:tc>
          <w:tcPr>
            <w:tcW w:w="1922" w:type="dxa"/>
            <w:vAlign w:val="top"/>
          </w:tcPr>
          <w:p w14:paraId="7E4F8367">
            <w:pPr>
              <w:spacing w:before="124" w:line="228" w:lineRule="exact"/>
              <w:ind w:left="225"/>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6</w:t>
            </w:r>
            <w:r>
              <w:rPr>
                <w:rFonts w:hint="eastAsia" w:ascii="宋体" w:hAnsi="宋体" w:eastAsia="宋体" w:cs="宋体"/>
                <w:color w:val="auto"/>
                <w:spacing w:val="7"/>
                <w:position w:val="1"/>
                <w:sz w:val="21"/>
                <w:szCs w:val="21"/>
                <w:highlight w:val="none"/>
              </w:rPr>
              <w:t>0</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＜80000</w:t>
            </w:r>
          </w:p>
        </w:tc>
        <w:tc>
          <w:tcPr>
            <w:tcW w:w="1766" w:type="dxa"/>
            <w:vAlign w:val="top"/>
          </w:tcPr>
          <w:p w14:paraId="040AB3B5">
            <w:pPr>
              <w:spacing w:before="124" w:line="228" w:lineRule="exact"/>
              <w:ind w:left="181"/>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＜6000</w:t>
            </w:r>
          </w:p>
        </w:tc>
        <w:tc>
          <w:tcPr>
            <w:tcW w:w="1059" w:type="dxa"/>
            <w:vAlign w:val="top"/>
          </w:tcPr>
          <w:p w14:paraId="52DACB76">
            <w:pPr>
              <w:spacing w:before="124" w:line="231" w:lineRule="exact"/>
              <w:ind w:left="23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＜300</w:t>
            </w:r>
          </w:p>
        </w:tc>
      </w:tr>
      <w:tr w14:paraId="33075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81" w:type="dxa"/>
            <w:vMerge w:val="continue"/>
            <w:tcBorders>
              <w:top w:val="nil"/>
            </w:tcBorders>
            <w:vAlign w:val="top"/>
          </w:tcPr>
          <w:p w14:paraId="73BA3C8C">
            <w:pPr>
              <w:rPr>
                <w:rFonts w:hint="eastAsia" w:ascii="宋体" w:hAnsi="宋体" w:eastAsia="宋体" w:cs="宋体"/>
                <w:color w:val="auto"/>
                <w:sz w:val="21"/>
                <w:szCs w:val="21"/>
                <w:highlight w:val="none"/>
              </w:rPr>
            </w:pPr>
          </w:p>
        </w:tc>
        <w:tc>
          <w:tcPr>
            <w:tcW w:w="1661" w:type="dxa"/>
            <w:vAlign w:val="top"/>
          </w:tcPr>
          <w:p w14:paraId="73963830">
            <w:pPr>
              <w:spacing w:before="125" w:line="229" w:lineRule="auto"/>
              <w:ind w:left="20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资</w:t>
            </w:r>
            <w:r>
              <w:rPr>
                <w:rFonts w:hint="eastAsia" w:ascii="宋体" w:hAnsi="宋体" w:eastAsia="宋体" w:cs="宋体"/>
                <w:color w:val="auto"/>
                <w:spacing w:val="6"/>
                <w:sz w:val="21"/>
                <w:szCs w:val="21"/>
                <w:highlight w:val="none"/>
              </w:rPr>
              <w:t>产总额(</w:t>
            </w:r>
            <w:r>
              <w:rPr>
                <w:rFonts w:hint="eastAsia" w:ascii="宋体" w:hAnsi="宋体" w:eastAsia="宋体" w:cs="宋体"/>
                <w:color w:val="auto"/>
                <w:sz w:val="21"/>
                <w:szCs w:val="21"/>
                <w:highlight w:val="none"/>
              </w:rPr>
              <w:t>Z</w:t>
            </w:r>
            <w:r>
              <w:rPr>
                <w:rFonts w:hint="eastAsia" w:ascii="宋体" w:hAnsi="宋体" w:eastAsia="宋体" w:cs="宋体"/>
                <w:color w:val="auto"/>
                <w:spacing w:val="6"/>
                <w:sz w:val="21"/>
                <w:szCs w:val="21"/>
                <w:highlight w:val="none"/>
              </w:rPr>
              <w:t>)</w:t>
            </w:r>
          </w:p>
        </w:tc>
        <w:tc>
          <w:tcPr>
            <w:tcW w:w="801" w:type="dxa"/>
            <w:vAlign w:val="top"/>
          </w:tcPr>
          <w:p w14:paraId="5FD27551">
            <w:pPr>
              <w:spacing w:before="126"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783EE65A">
            <w:pPr>
              <w:spacing w:before="126" w:line="228" w:lineRule="exact"/>
              <w:ind w:left="20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5"/>
                <w:position w:val="1"/>
                <w:sz w:val="21"/>
                <w:szCs w:val="21"/>
                <w:highlight w:val="none"/>
              </w:rPr>
              <w:t>80000</w:t>
            </w:r>
          </w:p>
        </w:tc>
        <w:tc>
          <w:tcPr>
            <w:tcW w:w="1922" w:type="dxa"/>
            <w:vAlign w:val="top"/>
          </w:tcPr>
          <w:p w14:paraId="60F1A6D9">
            <w:pPr>
              <w:spacing w:before="126" w:line="227" w:lineRule="exact"/>
              <w:ind w:left="228"/>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5</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5"/>
                <w:position w:val="1"/>
                <w:sz w:val="21"/>
                <w:szCs w:val="21"/>
                <w:highlight w:val="none"/>
              </w:rPr>
              <w:t>＜80000</w:t>
            </w:r>
          </w:p>
        </w:tc>
        <w:tc>
          <w:tcPr>
            <w:tcW w:w="1766" w:type="dxa"/>
            <w:vAlign w:val="top"/>
          </w:tcPr>
          <w:p w14:paraId="6DBDBB94">
            <w:pPr>
              <w:spacing w:before="126" w:line="227" w:lineRule="exact"/>
              <w:ind w:left="181"/>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5"/>
                <w:position w:val="1"/>
                <w:sz w:val="21"/>
                <w:szCs w:val="21"/>
                <w:highlight w:val="none"/>
              </w:rPr>
              <w:t>＜5000</w:t>
            </w:r>
          </w:p>
        </w:tc>
        <w:tc>
          <w:tcPr>
            <w:tcW w:w="1059" w:type="dxa"/>
            <w:vAlign w:val="top"/>
          </w:tcPr>
          <w:p w14:paraId="323D6234">
            <w:pPr>
              <w:spacing w:before="126" w:line="230" w:lineRule="exact"/>
              <w:ind w:left="23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5"/>
                <w:position w:val="1"/>
                <w:sz w:val="21"/>
                <w:szCs w:val="21"/>
                <w:highlight w:val="none"/>
              </w:rPr>
              <w:t>300</w:t>
            </w:r>
          </w:p>
        </w:tc>
      </w:tr>
      <w:tr w14:paraId="0BAD3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481" w:type="dxa"/>
            <w:vMerge w:val="restart"/>
            <w:tcBorders>
              <w:bottom w:val="nil"/>
            </w:tcBorders>
            <w:vAlign w:val="top"/>
          </w:tcPr>
          <w:p w14:paraId="21322DE1">
            <w:pPr>
              <w:spacing w:line="267" w:lineRule="auto"/>
              <w:rPr>
                <w:rFonts w:hint="eastAsia" w:ascii="宋体" w:hAnsi="宋体" w:eastAsia="宋体" w:cs="宋体"/>
                <w:color w:val="auto"/>
                <w:sz w:val="21"/>
                <w:szCs w:val="21"/>
                <w:highlight w:val="none"/>
              </w:rPr>
            </w:pPr>
          </w:p>
          <w:p w14:paraId="1DDE2A27">
            <w:pPr>
              <w:spacing w:before="55" w:line="231"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批发</w:t>
            </w:r>
            <w:r>
              <w:rPr>
                <w:rFonts w:hint="eastAsia" w:ascii="宋体" w:hAnsi="宋体" w:eastAsia="宋体" w:cs="宋体"/>
                <w:color w:val="auto"/>
                <w:spacing w:val="7"/>
                <w:sz w:val="21"/>
                <w:szCs w:val="21"/>
                <w:highlight w:val="none"/>
              </w:rPr>
              <w:t>业</w:t>
            </w:r>
          </w:p>
        </w:tc>
        <w:tc>
          <w:tcPr>
            <w:tcW w:w="1661" w:type="dxa"/>
            <w:vAlign w:val="top"/>
          </w:tcPr>
          <w:p w14:paraId="5341A99F">
            <w:pPr>
              <w:spacing w:before="125"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4C3F6D41">
            <w:pPr>
              <w:spacing w:before="125"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010E09F3">
            <w:pPr>
              <w:spacing w:before="125" w:line="228" w:lineRule="exact"/>
              <w:ind w:left="292"/>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200</w:t>
            </w:r>
          </w:p>
        </w:tc>
        <w:tc>
          <w:tcPr>
            <w:tcW w:w="1922" w:type="dxa"/>
            <w:vAlign w:val="top"/>
          </w:tcPr>
          <w:p w14:paraId="1BBF2E65">
            <w:pPr>
              <w:spacing w:before="125" w:line="227" w:lineRule="exact"/>
              <w:ind w:left="406"/>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＜200</w:t>
            </w:r>
          </w:p>
        </w:tc>
        <w:tc>
          <w:tcPr>
            <w:tcW w:w="1766" w:type="dxa"/>
            <w:vAlign w:val="top"/>
          </w:tcPr>
          <w:p w14:paraId="202400F3">
            <w:pPr>
              <w:spacing w:before="125" w:line="227" w:lineRule="exact"/>
              <w:ind w:left="361"/>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5≤</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c>
          <w:tcPr>
            <w:tcW w:w="1059" w:type="dxa"/>
            <w:vAlign w:val="top"/>
          </w:tcPr>
          <w:p w14:paraId="220404A5">
            <w:pPr>
              <w:spacing w:before="125" w:line="230" w:lineRule="exact"/>
              <w:ind w:left="32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＜5</w:t>
            </w:r>
          </w:p>
        </w:tc>
      </w:tr>
      <w:tr w14:paraId="13ED6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481" w:type="dxa"/>
            <w:vMerge w:val="continue"/>
            <w:tcBorders>
              <w:top w:val="nil"/>
            </w:tcBorders>
            <w:vAlign w:val="top"/>
          </w:tcPr>
          <w:p w14:paraId="64A72AA1">
            <w:pPr>
              <w:rPr>
                <w:rFonts w:hint="eastAsia" w:ascii="宋体" w:hAnsi="宋体" w:eastAsia="宋体" w:cs="宋体"/>
                <w:color w:val="auto"/>
                <w:sz w:val="21"/>
                <w:szCs w:val="21"/>
                <w:highlight w:val="none"/>
              </w:rPr>
            </w:pPr>
          </w:p>
        </w:tc>
        <w:tc>
          <w:tcPr>
            <w:tcW w:w="1661" w:type="dxa"/>
            <w:vAlign w:val="top"/>
          </w:tcPr>
          <w:p w14:paraId="132A96E4">
            <w:pPr>
              <w:spacing w:before="124"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3D8E47D0">
            <w:pPr>
              <w:spacing w:before="124"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5D19E4D7">
            <w:pPr>
              <w:spacing w:before="124" w:line="228" w:lineRule="exact"/>
              <w:ind w:left="20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40000</w:t>
            </w:r>
          </w:p>
        </w:tc>
        <w:tc>
          <w:tcPr>
            <w:tcW w:w="1922" w:type="dxa"/>
            <w:vAlign w:val="top"/>
          </w:tcPr>
          <w:p w14:paraId="29944D2F">
            <w:pPr>
              <w:spacing w:before="124" w:line="227" w:lineRule="exact"/>
              <w:ind w:left="228"/>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5</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＜40000</w:t>
            </w:r>
          </w:p>
        </w:tc>
        <w:tc>
          <w:tcPr>
            <w:tcW w:w="1766" w:type="dxa"/>
            <w:vAlign w:val="top"/>
          </w:tcPr>
          <w:p w14:paraId="7851D6A3">
            <w:pPr>
              <w:spacing w:before="124" w:line="227" w:lineRule="exact"/>
              <w:ind w:left="145"/>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7"/>
                <w:position w:val="1"/>
                <w:sz w:val="21"/>
                <w:szCs w:val="21"/>
                <w:highlight w:val="none"/>
              </w:rPr>
              <w:t>0</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＜5000</w:t>
            </w:r>
          </w:p>
        </w:tc>
        <w:tc>
          <w:tcPr>
            <w:tcW w:w="1059" w:type="dxa"/>
            <w:vAlign w:val="top"/>
          </w:tcPr>
          <w:p w14:paraId="3FE525E7">
            <w:pPr>
              <w:spacing w:before="124" w:line="230" w:lineRule="exact"/>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＜1000</w:t>
            </w:r>
          </w:p>
        </w:tc>
      </w:tr>
      <w:tr w14:paraId="345BE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81" w:type="dxa"/>
            <w:vMerge w:val="restart"/>
            <w:tcBorders>
              <w:bottom w:val="nil"/>
            </w:tcBorders>
            <w:vAlign w:val="top"/>
          </w:tcPr>
          <w:p w14:paraId="664A4DA3">
            <w:pPr>
              <w:spacing w:line="268" w:lineRule="auto"/>
              <w:rPr>
                <w:rFonts w:hint="eastAsia" w:ascii="宋体" w:hAnsi="宋体" w:eastAsia="宋体" w:cs="宋体"/>
                <w:color w:val="auto"/>
                <w:sz w:val="21"/>
                <w:szCs w:val="21"/>
                <w:highlight w:val="none"/>
              </w:rPr>
            </w:pPr>
          </w:p>
          <w:p w14:paraId="55CA5BEB">
            <w:pPr>
              <w:spacing w:before="55" w:line="227"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零</w:t>
            </w:r>
            <w:r>
              <w:rPr>
                <w:rFonts w:hint="eastAsia" w:ascii="宋体" w:hAnsi="宋体" w:eastAsia="宋体" w:cs="宋体"/>
                <w:color w:val="auto"/>
                <w:spacing w:val="7"/>
                <w:sz w:val="21"/>
                <w:szCs w:val="21"/>
                <w:highlight w:val="none"/>
              </w:rPr>
              <w:t>售业</w:t>
            </w:r>
          </w:p>
        </w:tc>
        <w:tc>
          <w:tcPr>
            <w:tcW w:w="1661" w:type="dxa"/>
            <w:vAlign w:val="top"/>
          </w:tcPr>
          <w:p w14:paraId="5153F24B">
            <w:pPr>
              <w:spacing w:before="126"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0170172F">
            <w:pPr>
              <w:spacing w:before="126"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4E19110B">
            <w:pPr>
              <w:spacing w:before="126" w:line="229" w:lineRule="exact"/>
              <w:ind w:left="292"/>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300</w:t>
            </w:r>
          </w:p>
        </w:tc>
        <w:tc>
          <w:tcPr>
            <w:tcW w:w="1922" w:type="dxa"/>
            <w:vAlign w:val="top"/>
          </w:tcPr>
          <w:p w14:paraId="1DA8AD27">
            <w:pPr>
              <w:spacing w:before="126" w:line="227" w:lineRule="exact"/>
              <w:ind w:left="408"/>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5</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＜300</w:t>
            </w:r>
          </w:p>
        </w:tc>
        <w:tc>
          <w:tcPr>
            <w:tcW w:w="1766" w:type="dxa"/>
            <w:vAlign w:val="top"/>
          </w:tcPr>
          <w:p w14:paraId="3E500272">
            <w:pPr>
              <w:spacing w:before="126" w:line="227" w:lineRule="exact"/>
              <w:ind w:left="325"/>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1</w:t>
            </w:r>
            <w:r>
              <w:rPr>
                <w:rFonts w:hint="eastAsia" w:ascii="宋体" w:hAnsi="宋体" w:eastAsia="宋体" w:cs="宋体"/>
                <w:color w:val="auto"/>
                <w:spacing w:val="4"/>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＜50</w:t>
            </w:r>
          </w:p>
        </w:tc>
        <w:tc>
          <w:tcPr>
            <w:tcW w:w="1059" w:type="dxa"/>
            <w:vAlign w:val="top"/>
          </w:tcPr>
          <w:p w14:paraId="67628049">
            <w:pPr>
              <w:spacing w:before="126" w:line="231"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7"/>
                <w:position w:val="1"/>
                <w:sz w:val="21"/>
                <w:szCs w:val="21"/>
                <w:highlight w:val="none"/>
              </w:rPr>
              <w:t>10</w:t>
            </w:r>
          </w:p>
        </w:tc>
      </w:tr>
      <w:tr w14:paraId="7FFE8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81" w:type="dxa"/>
            <w:vMerge w:val="continue"/>
            <w:tcBorders>
              <w:top w:val="nil"/>
            </w:tcBorders>
            <w:vAlign w:val="top"/>
          </w:tcPr>
          <w:p w14:paraId="2FFA5291">
            <w:pPr>
              <w:rPr>
                <w:rFonts w:hint="eastAsia" w:ascii="宋体" w:hAnsi="宋体" w:eastAsia="宋体" w:cs="宋体"/>
                <w:color w:val="auto"/>
                <w:sz w:val="21"/>
                <w:szCs w:val="21"/>
                <w:highlight w:val="none"/>
              </w:rPr>
            </w:pPr>
          </w:p>
        </w:tc>
        <w:tc>
          <w:tcPr>
            <w:tcW w:w="1661" w:type="dxa"/>
            <w:vAlign w:val="top"/>
          </w:tcPr>
          <w:p w14:paraId="7681AE6A">
            <w:pPr>
              <w:spacing w:before="125"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68CC4834">
            <w:pPr>
              <w:spacing w:before="125"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44863F86">
            <w:pPr>
              <w:spacing w:before="125" w:line="229" w:lineRule="exact"/>
              <w:ind w:left="20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20000</w:t>
            </w:r>
          </w:p>
        </w:tc>
        <w:tc>
          <w:tcPr>
            <w:tcW w:w="1922" w:type="dxa"/>
            <w:vAlign w:val="top"/>
          </w:tcPr>
          <w:p w14:paraId="0BA27B8B">
            <w:pPr>
              <w:spacing w:before="125" w:line="227" w:lineRule="exact"/>
              <w:ind w:left="273"/>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5</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＜20000</w:t>
            </w:r>
          </w:p>
        </w:tc>
        <w:tc>
          <w:tcPr>
            <w:tcW w:w="1766" w:type="dxa"/>
            <w:vAlign w:val="top"/>
          </w:tcPr>
          <w:p w14:paraId="784D335F">
            <w:pPr>
              <w:spacing w:before="125" w:line="227" w:lineRule="exact"/>
              <w:ind w:left="236"/>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＜500</w:t>
            </w:r>
          </w:p>
        </w:tc>
        <w:tc>
          <w:tcPr>
            <w:tcW w:w="1059" w:type="dxa"/>
            <w:vAlign w:val="top"/>
          </w:tcPr>
          <w:p w14:paraId="59EBBB6A">
            <w:pPr>
              <w:spacing w:before="125" w:line="231" w:lineRule="exact"/>
              <w:ind w:left="23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w:t>
            </w:r>
          </w:p>
        </w:tc>
      </w:tr>
      <w:tr w14:paraId="0A38E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81" w:type="dxa"/>
            <w:vMerge w:val="restart"/>
            <w:tcBorders>
              <w:bottom w:val="nil"/>
            </w:tcBorders>
            <w:vAlign w:val="top"/>
          </w:tcPr>
          <w:p w14:paraId="1D719A25">
            <w:pPr>
              <w:spacing w:line="269" w:lineRule="auto"/>
              <w:rPr>
                <w:rFonts w:hint="eastAsia" w:ascii="宋体" w:hAnsi="宋体" w:eastAsia="宋体" w:cs="宋体"/>
                <w:color w:val="auto"/>
                <w:sz w:val="21"/>
                <w:szCs w:val="21"/>
                <w:highlight w:val="none"/>
              </w:rPr>
            </w:pPr>
          </w:p>
          <w:p w14:paraId="404EB809">
            <w:pPr>
              <w:spacing w:before="55" w:line="230" w:lineRule="auto"/>
              <w:ind w:left="11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交</w:t>
            </w:r>
            <w:r>
              <w:rPr>
                <w:rFonts w:hint="eastAsia" w:ascii="宋体" w:hAnsi="宋体" w:eastAsia="宋体" w:cs="宋体"/>
                <w:color w:val="auto"/>
                <w:spacing w:val="7"/>
                <w:sz w:val="21"/>
                <w:szCs w:val="21"/>
                <w:highlight w:val="none"/>
              </w:rPr>
              <w:t>通运输业*</w:t>
            </w:r>
          </w:p>
        </w:tc>
        <w:tc>
          <w:tcPr>
            <w:tcW w:w="1661" w:type="dxa"/>
            <w:vAlign w:val="top"/>
          </w:tcPr>
          <w:p w14:paraId="4A169457">
            <w:pPr>
              <w:spacing w:before="126"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4FB2D025">
            <w:pPr>
              <w:spacing w:before="127"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1153ECD3">
            <w:pPr>
              <w:spacing w:before="126" w:line="229" w:lineRule="exact"/>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922" w:type="dxa"/>
            <w:vAlign w:val="top"/>
          </w:tcPr>
          <w:p w14:paraId="458B25D1">
            <w:pPr>
              <w:spacing w:before="126" w:line="228" w:lineRule="exact"/>
              <w:ind w:left="319"/>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766" w:type="dxa"/>
            <w:vAlign w:val="top"/>
          </w:tcPr>
          <w:p w14:paraId="3D7AEA77">
            <w:pPr>
              <w:spacing w:before="126" w:line="228" w:lineRule="exact"/>
              <w:ind w:left="271"/>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2</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＜300</w:t>
            </w:r>
          </w:p>
        </w:tc>
        <w:tc>
          <w:tcPr>
            <w:tcW w:w="1059" w:type="dxa"/>
            <w:vAlign w:val="top"/>
          </w:tcPr>
          <w:p w14:paraId="34F4870A">
            <w:pPr>
              <w:spacing w:before="126" w:line="231"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7"/>
                <w:position w:val="1"/>
                <w:sz w:val="21"/>
                <w:szCs w:val="21"/>
                <w:highlight w:val="none"/>
              </w:rPr>
              <w:t>20</w:t>
            </w:r>
          </w:p>
        </w:tc>
      </w:tr>
      <w:tr w14:paraId="1E415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481" w:type="dxa"/>
            <w:vMerge w:val="continue"/>
            <w:tcBorders>
              <w:top w:val="nil"/>
            </w:tcBorders>
            <w:vAlign w:val="top"/>
          </w:tcPr>
          <w:p w14:paraId="5D8898B6">
            <w:pPr>
              <w:rPr>
                <w:rFonts w:hint="eastAsia" w:ascii="宋体" w:hAnsi="宋体" w:eastAsia="宋体" w:cs="宋体"/>
                <w:color w:val="auto"/>
                <w:sz w:val="21"/>
                <w:szCs w:val="21"/>
                <w:highlight w:val="none"/>
              </w:rPr>
            </w:pPr>
          </w:p>
        </w:tc>
        <w:tc>
          <w:tcPr>
            <w:tcW w:w="1661" w:type="dxa"/>
            <w:vAlign w:val="top"/>
          </w:tcPr>
          <w:p w14:paraId="1B40B34B">
            <w:pPr>
              <w:spacing w:before="126"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3CDE7656">
            <w:pPr>
              <w:spacing w:before="125"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4377B747">
            <w:pPr>
              <w:spacing w:before="125" w:line="229" w:lineRule="exact"/>
              <w:ind w:left="20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922" w:type="dxa"/>
            <w:vAlign w:val="top"/>
          </w:tcPr>
          <w:p w14:paraId="00956D23">
            <w:pPr>
              <w:spacing w:before="125" w:line="228" w:lineRule="exact"/>
              <w:ind w:left="228"/>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3</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＜30000</w:t>
            </w:r>
          </w:p>
        </w:tc>
        <w:tc>
          <w:tcPr>
            <w:tcW w:w="1766" w:type="dxa"/>
            <w:vAlign w:val="top"/>
          </w:tcPr>
          <w:p w14:paraId="6B8049E3">
            <w:pPr>
              <w:spacing w:before="125" w:line="228" w:lineRule="exact"/>
              <w:ind w:left="180"/>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2</w:t>
            </w:r>
            <w:r>
              <w:rPr>
                <w:rFonts w:hint="eastAsia" w:ascii="宋体" w:hAnsi="宋体" w:eastAsia="宋体" w:cs="宋体"/>
                <w:color w:val="auto"/>
                <w:spacing w:val="6"/>
                <w:position w:val="1"/>
                <w:sz w:val="21"/>
                <w:szCs w:val="21"/>
                <w:highlight w:val="none"/>
              </w:rPr>
              <w:t>0</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＜3000</w:t>
            </w:r>
          </w:p>
        </w:tc>
        <w:tc>
          <w:tcPr>
            <w:tcW w:w="1059" w:type="dxa"/>
            <w:vAlign w:val="top"/>
          </w:tcPr>
          <w:p w14:paraId="7C2B3A31">
            <w:pPr>
              <w:spacing w:before="125" w:line="231" w:lineRule="exact"/>
              <w:ind w:left="23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＜200</w:t>
            </w:r>
          </w:p>
        </w:tc>
      </w:tr>
      <w:tr w14:paraId="77EB9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481" w:type="dxa"/>
            <w:vMerge w:val="restart"/>
            <w:tcBorders>
              <w:bottom w:val="nil"/>
            </w:tcBorders>
            <w:vAlign w:val="top"/>
          </w:tcPr>
          <w:p w14:paraId="634A822C">
            <w:pPr>
              <w:spacing w:line="267" w:lineRule="auto"/>
              <w:rPr>
                <w:rFonts w:hint="eastAsia" w:ascii="宋体" w:hAnsi="宋体" w:eastAsia="宋体" w:cs="宋体"/>
                <w:color w:val="auto"/>
                <w:sz w:val="21"/>
                <w:szCs w:val="21"/>
                <w:highlight w:val="none"/>
              </w:rPr>
            </w:pPr>
          </w:p>
          <w:p w14:paraId="67F0F7DE">
            <w:pPr>
              <w:spacing w:before="55" w:line="231"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仓储业*</w:t>
            </w:r>
          </w:p>
        </w:tc>
        <w:tc>
          <w:tcPr>
            <w:tcW w:w="1661" w:type="dxa"/>
            <w:vAlign w:val="top"/>
          </w:tcPr>
          <w:p w14:paraId="4DFB4A61">
            <w:pPr>
              <w:spacing w:before="127"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61649462">
            <w:pPr>
              <w:spacing w:before="127"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55ADEDC2">
            <w:pPr>
              <w:spacing w:before="127" w:line="228" w:lineRule="exact"/>
              <w:ind w:left="292"/>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200</w:t>
            </w:r>
          </w:p>
        </w:tc>
        <w:tc>
          <w:tcPr>
            <w:tcW w:w="1922" w:type="dxa"/>
            <w:vAlign w:val="top"/>
          </w:tcPr>
          <w:p w14:paraId="463A25EB">
            <w:pPr>
              <w:spacing w:before="127" w:line="227" w:lineRule="exact"/>
              <w:ind w:left="319"/>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＜200</w:t>
            </w:r>
          </w:p>
        </w:tc>
        <w:tc>
          <w:tcPr>
            <w:tcW w:w="1766" w:type="dxa"/>
            <w:vAlign w:val="top"/>
          </w:tcPr>
          <w:p w14:paraId="259CFDC0">
            <w:pPr>
              <w:spacing w:before="127" w:line="227" w:lineRule="exact"/>
              <w:ind w:left="271"/>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2</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w:t>
            </w:r>
          </w:p>
        </w:tc>
        <w:tc>
          <w:tcPr>
            <w:tcW w:w="1059" w:type="dxa"/>
            <w:vAlign w:val="top"/>
          </w:tcPr>
          <w:p w14:paraId="3230A316">
            <w:pPr>
              <w:spacing w:before="127" w:line="230"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7"/>
                <w:position w:val="1"/>
                <w:sz w:val="21"/>
                <w:szCs w:val="21"/>
                <w:highlight w:val="none"/>
              </w:rPr>
              <w:t>20</w:t>
            </w:r>
          </w:p>
        </w:tc>
      </w:tr>
      <w:tr w14:paraId="0EFB8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481" w:type="dxa"/>
            <w:vMerge w:val="continue"/>
            <w:tcBorders>
              <w:top w:val="nil"/>
            </w:tcBorders>
            <w:vAlign w:val="top"/>
          </w:tcPr>
          <w:p w14:paraId="43C4DB08">
            <w:pPr>
              <w:rPr>
                <w:rFonts w:hint="eastAsia" w:ascii="宋体" w:hAnsi="宋体" w:eastAsia="宋体" w:cs="宋体"/>
                <w:color w:val="auto"/>
                <w:sz w:val="21"/>
                <w:szCs w:val="21"/>
                <w:highlight w:val="none"/>
              </w:rPr>
            </w:pPr>
          </w:p>
        </w:tc>
        <w:tc>
          <w:tcPr>
            <w:tcW w:w="1661" w:type="dxa"/>
            <w:vAlign w:val="top"/>
          </w:tcPr>
          <w:p w14:paraId="75C343CE">
            <w:pPr>
              <w:spacing w:before="127"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441D2586">
            <w:pPr>
              <w:spacing w:before="127"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16BD9069">
            <w:pPr>
              <w:spacing w:before="127" w:line="228" w:lineRule="exact"/>
              <w:ind w:left="20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922" w:type="dxa"/>
            <w:vAlign w:val="top"/>
          </w:tcPr>
          <w:p w14:paraId="2EADC5A5">
            <w:pPr>
              <w:spacing w:before="127" w:line="227" w:lineRule="exact"/>
              <w:ind w:left="237"/>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6"/>
                <w:position w:val="1"/>
                <w:sz w:val="21"/>
                <w:szCs w:val="21"/>
                <w:highlight w:val="none"/>
              </w:rPr>
              <w:t>0</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＜30000</w:t>
            </w:r>
          </w:p>
        </w:tc>
        <w:tc>
          <w:tcPr>
            <w:tcW w:w="1766" w:type="dxa"/>
            <w:vAlign w:val="top"/>
          </w:tcPr>
          <w:p w14:paraId="0DF0C8FD">
            <w:pPr>
              <w:spacing w:before="127" w:line="227" w:lineRule="exact"/>
              <w:ind w:left="191"/>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＜1000</w:t>
            </w:r>
          </w:p>
        </w:tc>
        <w:tc>
          <w:tcPr>
            <w:tcW w:w="1059" w:type="dxa"/>
            <w:vAlign w:val="top"/>
          </w:tcPr>
          <w:p w14:paraId="679FB963">
            <w:pPr>
              <w:spacing w:before="127" w:line="230" w:lineRule="exact"/>
              <w:ind w:left="23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w:t>
            </w:r>
          </w:p>
        </w:tc>
      </w:tr>
      <w:tr w14:paraId="4037C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81" w:type="dxa"/>
            <w:vMerge w:val="restart"/>
            <w:tcBorders>
              <w:bottom w:val="nil"/>
            </w:tcBorders>
            <w:vAlign w:val="top"/>
          </w:tcPr>
          <w:p w14:paraId="3A49EB82">
            <w:pPr>
              <w:spacing w:line="268" w:lineRule="auto"/>
              <w:rPr>
                <w:rFonts w:hint="eastAsia" w:ascii="宋体" w:hAnsi="宋体" w:eastAsia="宋体" w:cs="宋体"/>
                <w:color w:val="auto"/>
                <w:sz w:val="21"/>
                <w:szCs w:val="21"/>
                <w:highlight w:val="none"/>
              </w:rPr>
            </w:pPr>
          </w:p>
          <w:p w14:paraId="4B5865B5">
            <w:pPr>
              <w:spacing w:before="55" w:line="232" w:lineRule="auto"/>
              <w:ind w:left="12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邮政业</w:t>
            </w:r>
          </w:p>
        </w:tc>
        <w:tc>
          <w:tcPr>
            <w:tcW w:w="1661" w:type="dxa"/>
            <w:vAlign w:val="top"/>
          </w:tcPr>
          <w:p w14:paraId="6294FA10">
            <w:pPr>
              <w:spacing w:before="126"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2157166B">
            <w:pPr>
              <w:spacing w:before="126"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4D261017">
            <w:pPr>
              <w:spacing w:before="126" w:line="228" w:lineRule="exact"/>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922" w:type="dxa"/>
            <w:vAlign w:val="top"/>
          </w:tcPr>
          <w:p w14:paraId="5F350C1E">
            <w:pPr>
              <w:spacing w:before="126" w:line="227" w:lineRule="exact"/>
              <w:ind w:left="319"/>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766" w:type="dxa"/>
            <w:vAlign w:val="top"/>
          </w:tcPr>
          <w:p w14:paraId="500EC7B7">
            <w:pPr>
              <w:spacing w:before="126" w:line="227" w:lineRule="exact"/>
              <w:ind w:left="271"/>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2</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＜300</w:t>
            </w:r>
          </w:p>
        </w:tc>
        <w:tc>
          <w:tcPr>
            <w:tcW w:w="1059" w:type="dxa"/>
            <w:vAlign w:val="top"/>
          </w:tcPr>
          <w:p w14:paraId="380A1E9D">
            <w:pPr>
              <w:spacing w:before="126" w:line="230"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7"/>
                <w:position w:val="1"/>
                <w:sz w:val="21"/>
                <w:szCs w:val="21"/>
                <w:highlight w:val="none"/>
              </w:rPr>
              <w:t>20</w:t>
            </w:r>
          </w:p>
        </w:tc>
      </w:tr>
      <w:tr w14:paraId="044E1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481" w:type="dxa"/>
            <w:vMerge w:val="continue"/>
            <w:tcBorders>
              <w:top w:val="nil"/>
            </w:tcBorders>
            <w:vAlign w:val="top"/>
          </w:tcPr>
          <w:p w14:paraId="0A52B4D3">
            <w:pPr>
              <w:rPr>
                <w:rFonts w:hint="eastAsia" w:ascii="宋体" w:hAnsi="宋体" w:eastAsia="宋体" w:cs="宋体"/>
                <w:color w:val="auto"/>
                <w:sz w:val="21"/>
                <w:szCs w:val="21"/>
                <w:highlight w:val="none"/>
              </w:rPr>
            </w:pPr>
          </w:p>
        </w:tc>
        <w:tc>
          <w:tcPr>
            <w:tcW w:w="1661" w:type="dxa"/>
            <w:vAlign w:val="top"/>
          </w:tcPr>
          <w:p w14:paraId="46DFAF7F">
            <w:pPr>
              <w:spacing w:before="127"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296A88B7">
            <w:pPr>
              <w:spacing w:before="127"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5285C4CC">
            <w:pPr>
              <w:spacing w:before="127" w:line="229" w:lineRule="exact"/>
              <w:ind w:left="20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922" w:type="dxa"/>
            <w:vAlign w:val="top"/>
          </w:tcPr>
          <w:p w14:paraId="59BF2AF1">
            <w:pPr>
              <w:spacing w:before="127" w:line="228" w:lineRule="exact"/>
              <w:ind w:left="226"/>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2</w:t>
            </w:r>
            <w:r>
              <w:rPr>
                <w:rFonts w:hint="eastAsia" w:ascii="宋体" w:hAnsi="宋体" w:eastAsia="宋体" w:cs="宋体"/>
                <w:color w:val="auto"/>
                <w:spacing w:val="6"/>
                <w:position w:val="1"/>
                <w:sz w:val="21"/>
                <w:szCs w:val="21"/>
                <w:highlight w:val="none"/>
              </w:rPr>
              <w:t>0</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＜30000</w:t>
            </w:r>
          </w:p>
        </w:tc>
        <w:tc>
          <w:tcPr>
            <w:tcW w:w="1766" w:type="dxa"/>
            <w:vAlign w:val="top"/>
          </w:tcPr>
          <w:p w14:paraId="21FB4841">
            <w:pPr>
              <w:spacing w:before="127" w:line="228" w:lineRule="exact"/>
              <w:ind w:left="191"/>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＜2000</w:t>
            </w:r>
          </w:p>
        </w:tc>
        <w:tc>
          <w:tcPr>
            <w:tcW w:w="1059" w:type="dxa"/>
            <w:vAlign w:val="top"/>
          </w:tcPr>
          <w:p w14:paraId="7FDAE80D">
            <w:pPr>
              <w:spacing w:before="127" w:line="231" w:lineRule="exact"/>
              <w:ind w:left="23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w:t>
            </w:r>
          </w:p>
        </w:tc>
      </w:tr>
      <w:tr w14:paraId="363E0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81" w:type="dxa"/>
            <w:vMerge w:val="restart"/>
            <w:tcBorders>
              <w:bottom w:val="nil"/>
            </w:tcBorders>
            <w:vAlign w:val="top"/>
          </w:tcPr>
          <w:p w14:paraId="10732115">
            <w:pPr>
              <w:spacing w:line="269" w:lineRule="auto"/>
              <w:rPr>
                <w:rFonts w:hint="eastAsia" w:ascii="宋体" w:hAnsi="宋体" w:eastAsia="宋体" w:cs="宋体"/>
                <w:color w:val="auto"/>
                <w:sz w:val="21"/>
                <w:szCs w:val="21"/>
                <w:highlight w:val="none"/>
              </w:rPr>
            </w:pPr>
          </w:p>
          <w:p w14:paraId="33A029C1">
            <w:pPr>
              <w:spacing w:before="55" w:line="23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住宿</w:t>
            </w:r>
            <w:r>
              <w:rPr>
                <w:rFonts w:hint="eastAsia" w:ascii="宋体" w:hAnsi="宋体" w:eastAsia="宋体" w:cs="宋体"/>
                <w:color w:val="auto"/>
                <w:spacing w:val="7"/>
                <w:sz w:val="21"/>
                <w:szCs w:val="21"/>
                <w:highlight w:val="none"/>
              </w:rPr>
              <w:t>业</w:t>
            </w:r>
          </w:p>
        </w:tc>
        <w:tc>
          <w:tcPr>
            <w:tcW w:w="1661" w:type="dxa"/>
            <w:vAlign w:val="top"/>
          </w:tcPr>
          <w:p w14:paraId="04B22EF5">
            <w:pPr>
              <w:spacing w:before="126"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0E5029A9">
            <w:pPr>
              <w:spacing w:before="126"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6D477320">
            <w:pPr>
              <w:spacing w:before="126" w:line="229" w:lineRule="exact"/>
              <w:ind w:left="292"/>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300</w:t>
            </w:r>
          </w:p>
        </w:tc>
        <w:tc>
          <w:tcPr>
            <w:tcW w:w="1922" w:type="dxa"/>
            <w:vAlign w:val="top"/>
          </w:tcPr>
          <w:p w14:paraId="0506A4EA">
            <w:pPr>
              <w:spacing w:before="126" w:line="227" w:lineRule="exact"/>
              <w:ind w:left="319"/>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766" w:type="dxa"/>
            <w:vAlign w:val="top"/>
          </w:tcPr>
          <w:p w14:paraId="5566C940">
            <w:pPr>
              <w:spacing w:before="126" w:line="227" w:lineRule="exact"/>
              <w:ind w:left="282"/>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1059" w:type="dxa"/>
            <w:vAlign w:val="top"/>
          </w:tcPr>
          <w:p w14:paraId="5726CB17">
            <w:pPr>
              <w:spacing w:before="126" w:line="231"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7"/>
                <w:position w:val="1"/>
                <w:sz w:val="21"/>
                <w:szCs w:val="21"/>
                <w:highlight w:val="none"/>
              </w:rPr>
              <w:t>10</w:t>
            </w:r>
          </w:p>
        </w:tc>
      </w:tr>
      <w:tr w14:paraId="6248A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481" w:type="dxa"/>
            <w:vMerge w:val="continue"/>
            <w:tcBorders>
              <w:top w:val="nil"/>
            </w:tcBorders>
            <w:vAlign w:val="top"/>
          </w:tcPr>
          <w:p w14:paraId="1AF8D7B6">
            <w:pPr>
              <w:rPr>
                <w:rFonts w:hint="eastAsia" w:ascii="宋体" w:hAnsi="宋体" w:eastAsia="宋体" w:cs="宋体"/>
                <w:color w:val="auto"/>
                <w:sz w:val="21"/>
                <w:szCs w:val="21"/>
                <w:highlight w:val="none"/>
              </w:rPr>
            </w:pPr>
          </w:p>
        </w:tc>
        <w:tc>
          <w:tcPr>
            <w:tcW w:w="1661" w:type="dxa"/>
            <w:vAlign w:val="top"/>
          </w:tcPr>
          <w:p w14:paraId="5C4FC5E8">
            <w:pPr>
              <w:spacing w:before="128"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1FFF7BAF">
            <w:pPr>
              <w:spacing w:before="128"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1F7FEDFA">
            <w:pPr>
              <w:spacing w:before="128" w:line="228" w:lineRule="exact"/>
              <w:ind w:left="20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922" w:type="dxa"/>
            <w:vAlign w:val="top"/>
          </w:tcPr>
          <w:p w14:paraId="18F8DF90">
            <w:pPr>
              <w:spacing w:before="128" w:line="227" w:lineRule="exact"/>
              <w:ind w:left="226"/>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2</w:t>
            </w:r>
            <w:r>
              <w:rPr>
                <w:rFonts w:hint="eastAsia" w:ascii="宋体" w:hAnsi="宋体" w:eastAsia="宋体" w:cs="宋体"/>
                <w:color w:val="auto"/>
                <w:spacing w:val="6"/>
                <w:position w:val="1"/>
                <w:sz w:val="21"/>
                <w:szCs w:val="21"/>
                <w:highlight w:val="none"/>
              </w:rPr>
              <w:t>0</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＜10000</w:t>
            </w:r>
          </w:p>
        </w:tc>
        <w:tc>
          <w:tcPr>
            <w:tcW w:w="1766" w:type="dxa"/>
            <w:vAlign w:val="top"/>
          </w:tcPr>
          <w:p w14:paraId="5885AE8A">
            <w:pPr>
              <w:spacing w:before="128" w:line="227" w:lineRule="exact"/>
              <w:ind w:left="191"/>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＜2000</w:t>
            </w:r>
          </w:p>
        </w:tc>
        <w:tc>
          <w:tcPr>
            <w:tcW w:w="1059" w:type="dxa"/>
            <w:vAlign w:val="top"/>
          </w:tcPr>
          <w:p w14:paraId="1E1D847E">
            <w:pPr>
              <w:spacing w:before="128" w:line="230" w:lineRule="exact"/>
              <w:ind w:left="23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w:t>
            </w:r>
          </w:p>
        </w:tc>
      </w:tr>
      <w:tr w14:paraId="6250C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481" w:type="dxa"/>
            <w:vMerge w:val="restart"/>
            <w:tcBorders>
              <w:bottom w:val="nil"/>
            </w:tcBorders>
            <w:vAlign w:val="top"/>
          </w:tcPr>
          <w:p w14:paraId="14F6F631">
            <w:pPr>
              <w:spacing w:line="269" w:lineRule="auto"/>
              <w:rPr>
                <w:rFonts w:hint="eastAsia" w:ascii="宋体" w:hAnsi="宋体" w:eastAsia="宋体" w:cs="宋体"/>
                <w:color w:val="auto"/>
                <w:sz w:val="21"/>
                <w:szCs w:val="21"/>
                <w:highlight w:val="none"/>
              </w:rPr>
            </w:pPr>
          </w:p>
          <w:p w14:paraId="1FDC086F">
            <w:pPr>
              <w:spacing w:before="56" w:line="229"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餐饮业</w:t>
            </w:r>
          </w:p>
        </w:tc>
        <w:tc>
          <w:tcPr>
            <w:tcW w:w="1661" w:type="dxa"/>
            <w:vAlign w:val="top"/>
          </w:tcPr>
          <w:p w14:paraId="0244F3E2">
            <w:pPr>
              <w:spacing w:before="127"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071F2C29">
            <w:pPr>
              <w:spacing w:before="127"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7117A6C1">
            <w:pPr>
              <w:spacing w:before="127" w:line="228" w:lineRule="exact"/>
              <w:ind w:left="292"/>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300</w:t>
            </w:r>
          </w:p>
        </w:tc>
        <w:tc>
          <w:tcPr>
            <w:tcW w:w="1922" w:type="dxa"/>
            <w:vAlign w:val="top"/>
          </w:tcPr>
          <w:p w14:paraId="0C876DCE">
            <w:pPr>
              <w:spacing w:before="127" w:line="227" w:lineRule="exact"/>
              <w:ind w:left="319"/>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766" w:type="dxa"/>
            <w:vAlign w:val="top"/>
          </w:tcPr>
          <w:p w14:paraId="3EFEF1AC">
            <w:pPr>
              <w:spacing w:before="127" w:line="227" w:lineRule="exact"/>
              <w:ind w:left="282"/>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1059" w:type="dxa"/>
            <w:vAlign w:val="top"/>
          </w:tcPr>
          <w:p w14:paraId="45EAB2C7">
            <w:pPr>
              <w:spacing w:before="127" w:line="230"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7"/>
                <w:position w:val="1"/>
                <w:sz w:val="21"/>
                <w:szCs w:val="21"/>
                <w:highlight w:val="none"/>
              </w:rPr>
              <w:t>10</w:t>
            </w:r>
          </w:p>
        </w:tc>
      </w:tr>
      <w:tr w14:paraId="6A5AB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481" w:type="dxa"/>
            <w:vMerge w:val="continue"/>
            <w:tcBorders>
              <w:top w:val="nil"/>
            </w:tcBorders>
            <w:vAlign w:val="top"/>
          </w:tcPr>
          <w:p w14:paraId="7E012D9D">
            <w:pPr>
              <w:rPr>
                <w:rFonts w:hint="eastAsia" w:ascii="宋体" w:hAnsi="宋体" w:eastAsia="宋体" w:cs="宋体"/>
                <w:color w:val="auto"/>
                <w:sz w:val="21"/>
                <w:szCs w:val="21"/>
                <w:highlight w:val="none"/>
              </w:rPr>
            </w:pPr>
          </w:p>
        </w:tc>
        <w:tc>
          <w:tcPr>
            <w:tcW w:w="1661" w:type="dxa"/>
            <w:vAlign w:val="top"/>
          </w:tcPr>
          <w:p w14:paraId="67F3CE40">
            <w:pPr>
              <w:spacing w:before="126"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54FC062C">
            <w:pPr>
              <w:spacing w:before="126"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012D81A0">
            <w:pPr>
              <w:spacing w:before="126" w:line="228" w:lineRule="exact"/>
              <w:ind w:left="20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922" w:type="dxa"/>
            <w:vAlign w:val="top"/>
          </w:tcPr>
          <w:p w14:paraId="4C6F885C">
            <w:pPr>
              <w:spacing w:before="126" w:line="227" w:lineRule="exact"/>
              <w:ind w:left="226"/>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2</w:t>
            </w:r>
            <w:r>
              <w:rPr>
                <w:rFonts w:hint="eastAsia" w:ascii="宋体" w:hAnsi="宋体" w:eastAsia="宋体" w:cs="宋体"/>
                <w:color w:val="auto"/>
                <w:spacing w:val="6"/>
                <w:position w:val="1"/>
                <w:sz w:val="21"/>
                <w:szCs w:val="21"/>
                <w:highlight w:val="none"/>
              </w:rPr>
              <w:t>0</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＜10000</w:t>
            </w:r>
          </w:p>
        </w:tc>
        <w:tc>
          <w:tcPr>
            <w:tcW w:w="1766" w:type="dxa"/>
            <w:vAlign w:val="top"/>
          </w:tcPr>
          <w:p w14:paraId="4B39CA40">
            <w:pPr>
              <w:spacing w:before="126" w:line="227" w:lineRule="exact"/>
              <w:ind w:left="191"/>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＜2000</w:t>
            </w:r>
          </w:p>
        </w:tc>
        <w:tc>
          <w:tcPr>
            <w:tcW w:w="1059" w:type="dxa"/>
            <w:vAlign w:val="top"/>
          </w:tcPr>
          <w:p w14:paraId="2417FD7B">
            <w:pPr>
              <w:spacing w:before="126" w:line="230" w:lineRule="exact"/>
              <w:ind w:left="23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w:t>
            </w:r>
          </w:p>
        </w:tc>
      </w:tr>
      <w:tr w14:paraId="32782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481" w:type="dxa"/>
            <w:vMerge w:val="restart"/>
            <w:tcBorders>
              <w:bottom w:val="nil"/>
            </w:tcBorders>
            <w:vAlign w:val="top"/>
          </w:tcPr>
          <w:p w14:paraId="166C6E50">
            <w:pPr>
              <w:spacing w:line="269" w:lineRule="auto"/>
              <w:rPr>
                <w:rFonts w:hint="eastAsia" w:ascii="宋体" w:hAnsi="宋体" w:eastAsia="宋体" w:cs="宋体"/>
                <w:color w:val="auto"/>
                <w:sz w:val="21"/>
                <w:szCs w:val="21"/>
                <w:highlight w:val="none"/>
              </w:rPr>
            </w:pPr>
          </w:p>
          <w:p w14:paraId="54AED003">
            <w:pPr>
              <w:spacing w:before="55" w:line="227"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 xml:space="preserve">信息传输业 </w:t>
            </w:r>
            <w:r>
              <w:rPr>
                <w:rFonts w:hint="eastAsia" w:ascii="宋体" w:hAnsi="宋体" w:eastAsia="宋体" w:cs="宋体"/>
                <w:color w:val="auto"/>
                <w:spacing w:val="7"/>
                <w:sz w:val="21"/>
                <w:szCs w:val="21"/>
                <w:highlight w:val="none"/>
              </w:rPr>
              <w:t>*</w:t>
            </w:r>
          </w:p>
        </w:tc>
        <w:tc>
          <w:tcPr>
            <w:tcW w:w="1661" w:type="dxa"/>
            <w:vAlign w:val="top"/>
          </w:tcPr>
          <w:p w14:paraId="4683EB2A">
            <w:pPr>
              <w:spacing w:before="127"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0A58DC5C">
            <w:pPr>
              <w:spacing w:before="127"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23433073">
            <w:pPr>
              <w:spacing w:before="127" w:line="229" w:lineRule="exact"/>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≥2000</w:t>
            </w:r>
          </w:p>
        </w:tc>
        <w:tc>
          <w:tcPr>
            <w:tcW w:w="1922" w:type="dxa"/>
            <w:vAlign w:val="top"/>
          </w:tcPr>
          <w:p w14:paraId="4330EF9C">
            <w:pPr>
              <w:spacing w:before="127" w:line="227" w:lineRule="exact"/>
              <w:ind w:left="328"/>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＜2000</w:t>
            </w:r>
          </w:p>
        </w:tc>
        <w:tc>
          <w:tcPr>
            <w:tcW w:w="1766" w:type="dxa"/>
            <w:vAlign w:val="top"/>
          </w:tcPr>
          <w:p w14:paraId="3AED7AEB">
            <w:pPr>
              <w:spacing w:before="127" w:line="227" w:lineRule="exact"/>
              <w:ind w:left="282"/>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1059" w:type="dxa"/>
            <w:vAlign w:val="top"/>
          </w:tcPr>
          <w:p w14:paraId="16FE869E">
            <w:pPr>
              <w:spacing w:before="127" w:line="231"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7"/>
                <w:position w:val="1"/>
                <w:sz w:val="21"/>
                <w:szCs w:val="21"/>
                <w:highlight w:val="none"/>
              </w:rPr>
              <w:t>10</w:t>
            </w:r>
          </w:p>
        </w:tc>
      </w:tr>
      <w:tr w14:paraId="04862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481" w:type="dxa"/>
            <w:vMerge w:val="continue"/>
            <w:tcBorders>
              <w:top w:val="nil"/>
            </w:tcBorders>
            <w:vAlign w:val="top"/>
          </w:tcPr>
          <w:p w14:paraId="198DFAB0">
            <w:pPr>
              <w:rPr>
                <w:rFonts w:hint="eastAsia" w:ascii="宋体" w:hAnsi="宋体" w:eastAsia="宋体" w:cs="宋体"/>
                <w:color w:val="auto"/>
                <w:sz w:val="21"/>
                <w:szCs w:val="21"/>
                <w:highlight w:val="none"/>
              </w:rPr>
            </w:pPr>
          </w:p>
        </w:tc>
        <w:tc>
          <w:tcPr>
            <w:tcW w:w="1661" w:type="dxa"/>
            <w:vAlign w:val="top"/>
          </w:tcPr>
          <w:p w14:paraId="344AFA11">
            <w:pPr>
              <w:spacing w:before="126"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2D8167BF">
            <w:pPr>
              <w:spacing w:before="126"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7002CFBF">
            <w:pPr>
              <w:spacing w:before="126" w:line="229" w:lineRule="exact"/>
              <w:ind w:left="15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100000</w:t>
            </w:r>
          </w:p>
        </w:tc>
        <w:tc>
          <w:tcPr>
            <w:tcW w:w="1922" w:type="dxa"/>
            <w:vAlign w:val="top"/>
          </w:tcPr>
          <w:p w14:paraId="7E15D712">
            <w:pPr>
              <w:spacing w:before="126" w:line="227" w:lineRule="exact"/>
              <w:ind w:left="192"/>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10</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＜100000</w:t>
            </w:r>
          </w:p>
        </w:tc>
        <w:tc>
          <w:tcPr>
            <w:tcW w:w="1766" w:type="dxa"/>
            <w:vAlign w:val="top"/>
          </w:tcPr>
          <w:p w14:paraId="76988AD7">
            <w:pPr>
              <w:spacing w:before="126" w:line="227" w:lineRule="exact"/>
              <w:ind w:left="191"/>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＜1000</w:t>
            </w:r>
          </w:p>
        </w:tc>
        <w:tc>
          <w:tcPr>
            <w:tcW w:w="1059" w:type="dxa"/>
            <w:vAlign w:val="top"/>
          </w:tcPr>
          <w:p w14:paraId="5261AC5C">
            <w:pPr>
              <w:spacing w:before="126" w:line="231" w:lineRule="exact"/>
              <w:ind w:left="23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w:t>
            </w:r>
          </w:p>
        </w:tc>
      </w:tr>
      <w:tr w14:paraId="59B54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481" w:type="dxa"/>
            <w:vMerge w:val="restart"/>
            <w:tcBorders>
              <w:bottom w:val="nil"/>
            </w:tcBorders>
            <w:vAlign w:val="top"/>
          </w:tcPr>
          <w:p w14:paraId="584360C0">
            <w:pPr>
              <w:spacing w:before="270" w:line="23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软</w:t>
            </w:r>
            <w:r>
              <w:rPr>
                <w:rFonts w:hint="eastAsia" w:ascii="宋体" w:hAnsi="宋体" w:eastAsia="宋体" w:cs="宋体"/>
                <w:color w:val="auto"/>
                <w:spacing w:val="-10"/>
                <w:sz w:val="21"/>
                <w:szCs w:val="21"/>
                <w:highlight w:val="none"/>
              </w:rPr>
              <w:t>件和信息技术服务业</w:t>
            </w:r>
          </w:p>
        </w:tc>
        <w:tc>
          <w:tcPr>
            <w:tcW w:w="1661" w:type="dxa"/>
            <w:vAlign w:val="top"/>
          </w:tcPr>
          <w:p w14:paraId="047E7283">
            <w:pPr>
              <w:spacing w:before="100"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07917EB4">
            <w:pPr>
              <w:spacing w:before="100"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2385A24B">
            <w:pPr>
              <w:spacing w:before="100" w:line="228" w:lineRule="exact"/>
              <w:ind w:left="292"/>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300</w:t>
            </w:r>
          </w:p>
        </w:tc>
        <w:tc>
          <w:tcPr>
            <w:tcW w:w="1922" w:type="dxa"/>
            <w:vAlign w:val="top"/>
          </w:tcPr>
          <w:p w14:paraId="5E5A13C8">
            <w:pPr>
              <w:spacing w:before="100" w:line="227" w:lineRule="exact"/>
              <w:ind w:left="319"/>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766" w:type="dxa"/>
            <w:vAlign w:val="top"/>
          </w:tcPr>
          <w:p w14:paraId="042D82A0">
            <w:pPr>
              <w:spacing w:before="100" w:line="227" w:lineRule="exact"/>
              <w:ind w:left="282"/>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1059" w:type="dxa"/>
            <w:vAlign w:val="top"/>
          </w:tcPr>
          <w:p w14:paraId="5CDE5BEB">
            <w:pPr>
              <w:spacing w:before="100" w:line="230"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7"/>
                <w:position w:val="1"/>
                <w:sz w:val="21"/>
                <w:szCs w:val="21"/>
                <w:highlight w:val="none"/>
              </w:rPr>
              <w:t>10</w:t>
            </w:r>
          </w:p>
        </w:tc>
      </w:tr>
      <w:tr w14:paraId="56EC9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81" w:type="dxa"/>
            <w:vMerge w:val="continue"/>
            <w:tcBorders>
              <w:top w:val="nil"/>
            </w:tcBorders>
            <w:vAlign w:val="top"/>
          </w:tcPr>
          <w:p w14:paraId="3F9E6323">
            <w:pPr>
              <w:rPr>
                <w:rFonts w:hint="eastAsia" w:ascii="宋体" w:hAnsi="宋体" w:eastAsia="宋体" w:cs="宋体"/>
                <w:color w:val="auto"/>
                <w:sz w:val="21"/>
                <w:szCs w:val="21"/>
                <w:highlight w:val="none"/>
              </w:rPr>
            </w:pPr>
          </w:p>
        </w:tc>
        <w:tc>
          <w:tcPr>
            <w:tcW w:w="1661" w:type="dxa"/>
            <w:vAlign w:val="top"/>
          </w:tcPr>
          <w:p w14:paraId="2B547537">
            <w:pPr>
              <w:spacing w:before="101"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2CD5CBF3">
            <w:pPr>
              <w:spacing w:before="100"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7C08DF91">
            <w:pPr>
              <w:spacing w:before="100" w:line="229" w:lineRule="exact"/>
              <w:ind w:left="20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922" w:type="dxa"/>
            <w:vAlign w:val="top"/>
          </w:tcPr>
          <w:p w14:paraId="1ECB7B4C">
            <w:pPr>
              <w:spacing w:before="100" w:line="228" w:lineRule="exact"/>
              <w:ind w:left="237"/>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6"/>
                <w:position w:val="1"/>
                <w:sz w:val="21"/>
                <w:szCs w:val="21"/>
                <w:highlight w:val="none"/>
              </w:rPr>
              <w:t>0</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＜10000</w:t>
            </w:r>
          </w:p>
        </w:tc>
        <w:tc>
          <w:tcPr>
            <w:tcW w:w="1766" w:type="dxa"/>
            <w:vAlign w:val="top"/>
          </w:tcPr>
          <w:p w14:paraId="7C30DE2E">
            <w:pPr>
              <w:spacing w:before="100" w:line="228" w:lineRule="exact"/>
              <w:ind w:left="227"/>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50≤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w:t>
            </w:r>
            <w:r>
              <w:rPr>
                <w:rFonts w:hint="eastAsia" w:ascii="宋体" w:hAnsi="宋体" w:eastAsia="宋体" w:cs="宋体"/>
                <w:color w:val="auto"/>
                <w:spacing w:val="4"/>
                <w:position w:val="1"/>
                <w:sz w:val="21"/>
                <w:szCs w:val="21"/>
                <w:highlight w:val="none"/>
              </w:rPr>
              <w:t>0</w:t>
            </w:r>
          </w:p>
        </w:tc>
        <w:tc>
          <w:tcPr>
            <w:tcW w:w="1059" w:type="dxa"/>
            <w:vAlign w:val="top"/>
          </w:tcPr>
          <w:p w14:paraId="6E043003">
            <w:pPr>
              <w:spacing w:before="100" w:line="231"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7"/>
                <w:position w:val="1"/>
                <w:sz w:val="21"/>
                <w:szCs w:val="21"/>
                <w:highlight w:val="none"/>
              </w:rPr>
              <w:t>50</w:t>
            </w:r>
          </w:p>
        </w:tc>
      </w:tr>
      <w:tr w14:paraId="404DE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481" w:type="dxa"/>
            <w:vMerge w:val="restart"/>
            <w:tcBorders>
              <w:bottom w:val="nil"/>
            </w:tcBorders>
            <w:vAlign w:val="top"/>
          </w:tcPr>
          <w:p w14:paraId="68DD0475">
            <w:pPr>
              <w:spacing w:before="269" w:line="230"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房地产开发经</w:t>
            </w:r>
            <w:r>
              <w:rPr>
                <w:rFonts w:hint="eastAsia" w:ascii="宋体" w:hAnsi="宋体" w:eastAsia="宋体" w:cs="宋体"/>
                <w:color w:val="auto"/>
                <w:spacing w:val="8"/>
                <w:sz w:val="21"/>
                <w:szCs w:val="21"/>
                <w:highlight w:val="none"/>
              </w:rPr>
              <w:t>营</w:t>
            </w:r>
          </w:p>
        </w:tc>
        <w:tc>
          <w:tcPr>
            <w:tcW w:w="1661" w:type="dxa"/>
            <w:vAlign w:val="top"/>
          </w:tcPr>
          <w:p w14:paraId="6F635B5E">
            <w:pPr>
              <w:spacing w:before="99"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118D456C">
            <w:pPr>
              <w:spacing w:before="99"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1A18520F">
            <w:pPr>
              <w:spacing w:before="99" w:line="228" w:lineRule="exact"/>
              <w:ind w:left="15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200000</w:t>
            </w:r>
          </w:p>
        </w:tc>
        <w:tc>
          <w:tcPr>
            <w:tcW w:w="1922" w:type="dxa"/>
            <w:vAlign w:val="top"/>
          </w:tcPr>
          <w:p w14:paraId="11CB67BB">
            <w:pPr>
              <w:spacing w:before="99" w:line="227" w:lineRule="exact"/>
              <w:ind w:left="192"/>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10</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＜200000</w:t>
            </w:r>
          </w:p>
        </w:tc>
        <w:tc>
          <w:tcPr>
            <w:tcW w:w="1766" w:type="dxa"/>
            <w:vAlign w:val="top"/>
          </w:tcPr>
          <w:p w14:paraId="653A3792">
            <w:pPr>
              <w:spacing w:before="99" w:line="227" w:lineRule="exact"/>
              <w:ind w:left="191"/>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＜1000</w:t>
            </w:r>
          </w:p>
        </w:tc>
        <w:tc>
          <w:tcPr>
            <w:tcW w:w="1059" w:type="dxa"/>
            <w:vAlign w:val="top"/>
          </w:tcPr>
          <w:p w14:paraId="1B6873D8">
            <w:pPr>
              <w:spacing w:before="99" w:line="230" w:lineRule="exact"/>
              <w:ind w:left="23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w:t>
            </w:r>
          </w:p>
        </w:tc>
      </w:tr>
      <w:tr w14:paraId="6CFF0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81" w:type="dxa"/>
            <w:vMerge w:val="continue"/>
            <w:tcBorders>
              <w:top w:val="nil"/>
            </w:tcBorders>
            <w:vAlign w:val="top"/>
          </w:tcPr>
          <w:p w14:paraId="2BB69128">
            <w:pPr>
              <w:rPr>
                <w:rFonts w:hint="eastAsia" w:ascii="宋体" w:hAnsi="宋体" w:eastAsia="宋体" w:cs="宋体"/>
                <w:color w:val="auto"/>
                <w:sz w:val="21"/>
                <w:szCs w:val="21"/>
                <w:highlight w:val="none"/>
              </w:rPr>
            </w:pPr>
          </w:p>
        </w:tc>
        <w:tc>
          <w:tcPr>
            <w:tcW w:w="1661" w:type="dxa"/>
            <w:vAlign w:val="top"/>
          </w:tcPr>
          <w:p w14:paraId="422A61A9">
            <w:pPr>
              <w:spacing w:before="99" w:line="229" w:lineRule="auto"/>
              <w:ind w:left="20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资</w:t>
            </w:r>
            <w:r>
              <w:rPr>
                <w:rFonts w:hint="eastAsia" w:ascii="宋体" w:hAnsi="宋体" w:eastAsia="宋体" w:cs="宋体"/>
                <w:color w:val="auto"/>
                <w:spacing w:val="6"/>
                <w:sz w:val="21"/>
                <w:szCs w:val="21"/>
                <w:highlight w:val="none"/>
              </w:rPr>
              <w:t>产总额(</w:t>
            </w:r>
            <w:r>
              <w:rPr>
                <w:rFonts w:hint="eastAsia" w:ascii="宋体" w:hAnsi="宋体" w:eastAsia="宋体" w:cs="宋体"/>
                <w:color w:val="auto"/>
                <w:sz w:val="21"/>
                <w:szCs w:val="21"/>
                <w:highlight w:val="none"/>
              </w:rPr>
              <w:t>Z</w:t>
            </w:r>
            <w:r>
              <w:rPr>
                <w:rFonts w:hint="eastAsia" w:ascii="宋体" w:hAnsi="宋体" w:eastAsia="宋体" w:cs="宋体"/>
                <w:color w:val="auto"/>
                <w:spacing w:val="6"/>
                <w:sz w:val="21"/>
                <w:szCs w:val="21"/>
                <w:highlight w:val="none"/>
              </w:rPr>
              <w:t>)</w:t>
            </w:r>
          </w:p>
        </w:tc>
        <w:tc>
          <w:tcPr>
            <w:tcW w:w="801" w:type="dxa"/>
            <w:vAlign w:val="top"/>
          </w:tcPr>
          <w:p w14:paraId="556C2B0F">
            <w:pPr>
              <w:spacing w:before="100"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27ACD693">
            <w:pPr>
              <w:spacing w:before="100" w:line="228" w:lineRule="exact"/>
              <w:ind w:left="20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922" w:type="dxa"/>
            <w:vAlign w:val="top"/>
          </w:tcPr>
          <w:p w14:paraId="559CA2C2">
            <w:pPr>
              <w:spacing w:before="100" w:line="227" w:lineRule="exact"/>
              <w:ind w:left="228"/>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5</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5"/>
                <w:position w:val="1"/>
                <w:sz w:val="21"/>
                <w:szCs w:val="21"/>
                <w:highlight w:val="none"/>
              </w:rPr>
              <w:t>＜10000</w:t>
            </w:r>
          </w:p>
        </w:tc>
        <w:tc>
          <w:tcPr>
            <w:tcW w:w="1766" w:type="dxa"/>
            <w:vAlign w:val="top"/>
          </w:tcPr>
          <w:p w14:paraId="19953D24">
            <w:pPr>
              <w:spacing w:before="100" w:line="227" w:lineRule="exact"/>
              <w:ind w:left="136"/>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5"/>
                <w:position w:val="1"/>
                <w:sz w:val="21"/>
                <w:szCs w:val="21"/>
                <w:highlight w:val="none"/>
              </w:rPr>
              <w:t>＜5000</w:t>
            </w:r>
          </w:p>
        </w:tc>
        <w:tc>
          <w:tcPr>
            <w:tcW w:w="1059" w:type="dxa"/>
            <w:vAlign w:val="top"/>
          </w:tcPr>
          <w:p w14:paraId="0C280840">
            <w:pPr>
              <w:spacing w:before="100" w:line="230" w:lineRule="exact"/>
              <w:ind w:left="18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5"/>
                <w:position w:val="1"/>
                <w:sz w:val="21"/>
                <w:szCs w:val="21"/>
                <w:highlight w:val="none"/>
              </w:rPr>
              <w:t>2000</w:t>
            </w:r>
          </w:p>
        </w:tc>
      </w:tr>
      <w:tr w14:paraId="53771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481" w:type="dxa"/>
            <w:vMerge w:val="restart"/>
            <w:tcBorders>
              <w:bottom w:val="nil"/>
            </w:tcBorders>
            <w:vAlign w:val="top"/>
          </w:tcPr>
          <w:p w14:paraId="66AA74E7">
            <w:pPr>
              <w:spacing w:before="271" w:line="23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物业管理</w:t>
            </w:r>
          </w:p>
        </w:tc>
        <w:tc>
          <w:tcPr>
            <w:tcW w:w="1661" w:type="dxa"/>
            <w:vAlign w:val="top"/>
          </w:tcPr>
          <w:p w14:paraId="72E6760B">
            <w:pPr>
              <w:spacing w:before="100"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5608FC83">
            <w:pPr>
              <w:spacing w:before="101"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7900D220">
            <w:pPr>
              <w:spacing w:before="100" w:line="229" w:lineRule="exact"/>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922" w:type="dxa"/>
            <w:vAlign w:val="top"/>
          </w:tcPr>
          <w:p w14:paraId="3D171DC9">
            <w:pPr>
              <w:spacing w:before="100" w:line="228" w:lineRule="exact"/>
              <w:ind w:left="319"/>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766" w:type="dxa"/>
            <w:vAlign w:val="top"/>
          </w:tcPr>
          <w:p w14:paraId="65FBE16B">
            <w:pPr>
              <w:spacing w:before="100" w:line="228" w:lineRule="exact"/>
              <w:ind w:left="236"/>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059" w:type="dxa"/>
            <w:vAlign w:val="top"/>
          </w:tcPr>
          <w:p w14:paraId="0EECE6C4">
            <w:pPr>
              <w:spacing w:before="100" w:line="231" w:lineRule="exact"/>
              <w:ind w:left="231"/>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r>
              <w:rPr>
                <w:rFonts w:hint="eastAsia" w:ascii="宋体" w:hAnsi="宋体" w:eastAsia="宋体" w:cs="宋体"/>
                <w:color w:val="auto"/>
                <w:spacing w:val="5"/>
                <w:position w:val="1"/>
                <w:sz w:val="21"/>
                <w:szCs w:val="21"/>
                <w:highlight w:val="none"/>
              </w:rPr>
              <w:t>0</w:t>
            </w:r>
          </w:p>
        </w:tc>
      </w:tr>
      <w:tr w14:paraId="2D2DC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481" w:type="dxa"/>
            <w:vMerge w:val="continue"/>
            <w:tcBorders>
              <w:top w:val="nil"/>
            </w:tcBorders>
            <w:vAlign w:val="top"/>
          </w:tcPr>
          <w:p w14:paraId="637C7934">
            <w:pPr>
              <w:rPr>
                <w:rFonts w:hint="eastAsia" w:ascii="宋体" w:hAnsi="宋体" w:eastAsia="宋体" w:cs="宋体"/>
                <w:color w:val="auto"/>
                <w:sz w:val="21"/>
                <w:szCs w:val="21"/>
                <w:highlight w:val="none"/>
              </w:rPr>
            </w:pPr>
          </w:p>
        </w:tc>
        <w:tc>
          <w:tcPr>
            <w:tcW w:w="1661" w:type="dxa"/>
            <w:vAlign w:val="top"/>
          </w:tcPr>
          <w:p w14:paraId="6444740C">
            <w:pPr>
              <w:spacing w:before="99" w:line="230" w:lineRule="auto"/>
              <w:ind w:left="1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营业收入(</w:t>
            </w:r>
            <w:r>
              <w:rPr>
                <w:rFonts w:hint="eastAsia" w:ascii="宋体" w:hAnsi="宋体" w:eastAsia="宋体" w:cs="宋体"/>
                <w:color w:val="auto"/>
                <w:sz w:val="21"/>
                <w:szCs w:val="21"/>
                <w:highlight w:val="none"/>
              </w:rPr>
              <w:t>Y</w:t>
            </w:r>
            <w:r>
              <w:rPr>
                <w:rFonts w:hint="eastAsia" w:ascii="宋体" w:hAnsi="宋体" w:eastAsia="宋体" w:cs="宋体"/>
                <w:color w:val="auto"/>
                <w:spacing w:val="7"/>
                <w:sz w:val="21"/>
                <w:szCs w:val="21"/>
                <w:highlight w:val="none"/>
              </w:rPr>
              <w:t>)</w:t>
            </w:r>
          </w:p>
        </w:tc>
        <w:tc>
          <w:tcPr>
            <w:tcW w:w="801" w:type="dxa"/>
            <w:vAlign w:val="top"/>
          </w:tcPr>
          <w:p w14:paraId="2AB3CFD0">
            <w:pPr>
              <w:spacing w:before="99"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1765D5DC">
            <w:pPr>
              <w:spacing w:before="99" w:line="228" w:lineRule="exact"/>
              <w:ind w:left="248"/>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≥5000</w:t>
            </w:r>
          </w:p>
        </w:tc>
        <w:tc>
          <w:tcPr>
            <w:tcW w:w="1922" w:type="dxa"/>
            <w:vAlign w:val="top"/>
          </w:tcPr>
          <w:p w14:paraId="760F931C">
            <w:pPr>
              <w:spacing w:before="99" w:line="227" w:lineRule="exact"/>
              <w:ind w:left="230"/>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4"/>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＜5000</w:t>
            </w:r>
          </w:p>
        </w:tc>
        <w:tc>
          <w:tcPr>
            <w:tcW w:w="1766" w:type="dxa"/>
            <w:vAlign w:val="top"/>
          </w:tcPr>
          <w:p w14:paraId="7D42B8B0">
            <w:pPr>
              <w:spacing w:before="99" w:line="227" w:lineRule="exact"/>
              <w:ind w:left="181"/>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5</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＜1000</w:t>
            </w:r>
          </w:p>
        </w:tc>
        <w:tc>
          <w:tcPr>
            <w:tcW w:w="1059" w:type="dxa"/>
            <w:vAlign w:val="top"/>
          </w:tcPr>
          <w:p w14:paraId="3ACDCE4D">
            <w:pPr>
              <w:spacing w:before="99" w:line="230" w:lineRule="exact"/>
              <w:ind w:left="230"/>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＜500</w:t>
            </w:r>
          </w:p>
        </w:tc>
      </w:tr>
      <w:tr w14:paraId="02243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481" w:type="dxa"/>
            <w:vMerge w:val="restart"/>
            <w:tcBorders>
              <w:bottom w:val="nil"/>
            </w:tcBorders>
            <w:vAlign w:val="top"/>
          </w:tcPr>
          <w:p w14:paraId="7418FF97">
            <w:pPr>
              <w:spacing w:before="270" w:line="228"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租赁和商务服务</w:t>
            </w:r>
            <w:r>
              <w:rPr>
                <w:rFonts w:hint="eastAsia" w:ascii="宋体" w:hAnsi="宋体" w:eastAsia="宋体" w:cs="宋体"/>
                <w:color w:val="auto"/>
                <w:spacing w:val="8"/>
                <w:sz w:val="21"/>
                <w:szCs w:val="21"/>
                <w:highlight w:val="none"/>
              </w:rPr>
              <w:t>业</w:t>
            </w:r>
          </w:p>
        </w:tc>
        <w:tc>
          <w:tcPr>
            <w:tcW w:w="1661" w:type="dxa"/>
            <w:vAlign w:val="top"/>
          </w:tcPr>
          <w:p w14:paraId="0F56EB7F">
            <w:pPr>
              <w:spacing w:before="100"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4C02E313">
            <w:pPr>
              <w:spacing w:before="100"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4268516C">
            <w:pPr>
              <w:spacing w:before="100" w:line="228" w:lineRule="exact"/>
              <w:ind w:left="292"/>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300</w:t>
            </w:r>
          </w:p>
        </w:tc>
        <w:tc>
          <w:tcPr>
            <w:tcW w:w="1922" w:type="dxa"/>
            <w:vAlign w:val="top"/>
          </w:tcPr>
          <w:p w14:paraId="6F0E7687">
            <w:pPr>
              <w:spacing w:before="100" w:line="227" w:lineRule="exact"/>
              <w:ind w:left="319"/>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766" w:type="dxa"/>
            <w:vAlign w:val="top"/>
          </w:tcPr>
          <w:p w14:paraId="3C118B56">
            <w:pPr>
              <w:spacing w:before="100" w:line="227" w:lineRule="exact"/>
              <w:ind w:left="282"/>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1059" w:type="dxa"/>
            <w:vAlign w:val="top"/>
          </w:tcPr>
          <w:p w14:paraId="058B03A7">
            <w:pPr>
              <w:spacing w:before="100" w:line="230"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7"/>
                <w:position w:val="1"/>
                <w:sz w:val="21"/>
                <w:szCs w:val="21"/>
                <w:highlight w:val="none"/>
              </w:rPr>
              <w:t>10</w:t>
            </w:r>
          </w:p>
        </w:tc>
      </w:tr>
      <w:tr w14:paraId="0DAFE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481" w:type="dxa"/>
            <w:vMerge w:val="continue"/>
            <w:tcBorders>
              <w:top w:val="nil"/>
            </w:tcBorders>
            <w:vAlign w:val="top"/>
          </w:tcPr>
          <w:p w14:paraId="486202A6">
            <w:pPr>
              <w:rPr>
                <w:rFonts w:hint="eastAsia" w:ascii="宋体" w:hAnsi="宋体" w:eastAsia="宋体" w:cs="宋体"/>
                <w:color w:val="auto"/>
                <w:sz w:val="21"/>
                <w:szCs w:val="21"/>
                <w:highlight w:val="none"/>
              </w:rPr>
            </w:pPr>
          </w:p>
        </w:tc>
        <w:tc>
          <w:tcPr>
            <w:tcW w:w="1661" w:type="dxa"/>
            <w:vAlign w:val="top"/>
          </w:tcPr>
          <w:p w14:paraId="7EBED511">
            <w:pPr>
              <w:spacing w:before="100" w:line="229" w:lineRule="auto"/>
              <w:ind w:left="20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资</w:t>
            </w:r>
            <w:r>
              <w:rPr>
                <w:rFonts w:hint="eastAsia" w:ascii="宋体" w:hAnsi="宋体" w:eastAsia="宋体" w:cs="宋体"/>
                <w:color w:val="auto"/>
                <w:spacing w:val="6"/>
                <w:sz w:val="21"/>
                <w:szCs w:val="21"/>
                <w:highlight w:val="none"/>
              </w:rPr>
              <w:t>产总额(</w:t>
            </w:r>
            <w:r>
              <w:rPr>
                <w:rFonts w:hint="eastAsia" w:ascii="宋体" w:hAnsi="宋体" w:eastAsia="宋体" w:cs="宋体"/>
                <w:color w:val="auto"/>
                <w:sz w:val="21"/>
                <w:szCs w:val="21"/>
                <w:highlight w:val="none"/>
              </w:rPr>
              <w:t>Z</w:t>
            </w:r>
            <w:r>
              <w:rPr>
                <w:rFonts w:hint="eastAsia" w:ascii="宋体" w:hAnsi="宋体" w:eastAsia="宋体" w:cs="宋体"/>
                <w:color w:val="auto"/>
                <w:spacing w:val="6"/>
                <w:sz w:val="21"/>
                <w:szCs w:val="21"/>
                <w:highlight w:val="none"/>
              </w:rPr>
              <w:t>)</w:t>
            </w:r>
          </w:p>
        </w:tc>
        <w:tc>
          <w:tcPr>
            <w:tcW w:w="801" w:type="dxa"/>
            <w:vAlign w:val="top"/>
          </w:tcPr>
          <w:p w14:paraId="2E56E6CE">
            <w:pPr>
              <w:spacing w:before="100" w:line="231" w:lineRule="auto"/>
              <w:ind w:left="18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万元</w:t>
            </w:r>
          </w:p>
        </w:tc>
        <w:tc>
          <w:tcPr>
            <w:tcW w:w="1150" w:type="dxa"/>
            <w:vAlign w:val="top"/>
          </w:tcPr>
          <w:p w14:paraId="1D87606E">
            <w:pPr>
              <w:spacing w:before="100" w:line="229" w:lineRule="exact"/>
              <w:ind w:left="15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6"/>
                <w:position w:val="1"/>
                <w:sz w:val="21"/>
                <w:szCs w:val="21"/>
                <w:highlight w:val="none"/>
              </w:rPr>
              <w:t>≥12000</w:t>
            </w:r>
            <w:r>
              <w:rPr>
                <w:rFonts w:hint="eastAsia" w:ascii="宋体" w:hAnsi="宋体" w:eastAsia="宋体" w:cs="宋体"/>
                <w:color w:val="auto"/>
                <w:spacing w:val="5"/>
                <w:position w:val="1"/>
                <w:sz w:val="21"/>
                <w:szCs w:val="21"/>
                <w:highlight w:val="none"/>
              </w:rPr>
              <w:t>0</w:t>
            </w:r>
          </w:p>
        </w:tc>
        <w:tc>
          <w:tcPr>
            <w:tcW w:w="1922" w:type="dxa"/>
            <w:vAlign w:val="top"/>
          </w:tcPr>
          <w:p w14:paraId="13BB99EC">
            <w:pPr>
              <w:spacing w:before="100" w:line="228" w:lineRule="exact"/>
              <w:ind w:left="179"/>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8</w:t>
            </w:r>
            <w:r>
              <w:rPr>
                <w:rFonts w:hint="eastAsia" w:ascii="宋体" w:hAnsi="宋体" w:eastAsia="宋体" w:cs="宋体"/>
                <w:color w:val="auto"/>
                <w:spacing w:val="9"/>
                <w:position w:val="1"/>
                <w:sz w:val="21"/>
                <w:szCs w:val="21"/>
                <w:highlight w:val="none"/>
              </w:rPr>
              <w:t>0</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5"/>
                <w:position w:val="1"/>
                <w:sz w:val="21"/>
                <w:szCs w:val="21"/>
                <w:highlight w:val="none"/>
              </w:rPr>
              <w:t>＜120000</w:t>
            </w:r>
          </w:p>
        </w:tc>
        <w:tc>
          <w:tcPr>
            <w:tcW w:w="1766" w:type="dxa"/>
            <w:vAlign w:val="top"/>
          </w:tcPr>
          <w:p w14:paraId="0C07D585">
            <w:pPr>
              <w:spacing w:before="100" w:line="228" w:lineRule="exact"/>
              <w:ind w:left="191"/>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4"/>
                <w:position w:val="1"/>
                <w:sz w:val="21"/>
                <w:szCs w:val="21"/>
                <w:highlight w:val="none"/>
              </w:rPr>
              <w:t>＜8000</w:t>
            </w:r>
          </w:p>
        </w:tc>
        <w:tc>
          <w:tcPr>
            <w:tcW w:w="1059" w:type="dxa"/>
            <w:vAlign w:val="top"/>
          </w:tcPr>
          <w:p w14:paraId="7E38F8A1">
            <w:pPr>
              <w:spacing w:before="100" w:line="231" w:lineRule="exact"/>
              <w:ind w:left="23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5"/>
                <w:position w:val="1"/>
                <w:sz w:val="21"/>
                <w:szCs w:val="21"/>
                <w:highlight w:val="none"/>
              </w:rPr>
              <w:t>100</w:t>
            </w:r>
          </w:p>
        </w:tc>
      </w:tr>
      <w:tr w14:paraId="7DD39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81" w:type="dxa"/>
            <w:vAlign w:val="top"/>
          </w:tcPr>
          <w:p w14:paraId="2F5AD266">
            <w:pPr>
              <w:spacing w:before="128" w:line="228"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其</w:t>
            </w:r>
            <w:r>
              <w:rPr>
                <w:rFonts w:hint="eastAsia" w:ascii="宋体" w:hAnsi="宋体" w:eastAsia="宋体" w:cs="宋体"/>
                <w:color w:val="auto"/>
                <w:spacing w:val="8"/>
                <w:sz w:val="21"/>
                <w:szCs w:val="21"/>
                <w:highlight w:val="none"/>
              </w:rPr>
              <w:t>他未列明行业 *</w:t>
            </w:r>
          </w:p>
        </w:tc>
        <w:tc>
          <w:tcPr>
            <w:tcW w:w="1661" w:type="dxa"/>
            <w:vAlign w:val="top"/>
          </w:tcPr>
          <w:p w14:paraId="0E58AA2C">
            <w:pPr>
              <w:spacing w:before="128" w:line="23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从</w:t>
            </w:r>
            <w:r>
              <w:rPr>
                <w:rFonts w:hint="eastAsia" w:ascii="宋体" w:hAnsi="宋体" w:eastAsia="宋体" w:cs="宋体"/>
                <w:color w:val="auto"/>
                <w:spacing w:val="7"/>
                <w:sz w:val="21"/>
                <w:szCs w:val="21"/>
                <w:highlight w:val="none"/>
              </w:rPr>
              <w:t>业人员(</w:t>
            </w:r>
            <w:r>
              <w:rPr>
                <w:rFonts w:hint="eastAsia" w:ascii="宋体" w:hAnsi="宋体" w:eastAsia="宋体" w:cs="宋体"/>
                <w:color w:val="auto"/>
                <w:sz w:val="21"/>
                <w:szCs w:val="21"/>
                <w:highlight w:val="none"/>
              </w:rPr>
              <w:t>X</w:t>
            </w:r>
            <w:r>
              <w:rPr>
                <w:rFonts w:hint="eastAsia" w:ascii="宋体" w:hAnsi="宋体" w:eastAsia="宋体" w:cs="宋体"/>
                <w:color w:val="auto"/>
                <w:spacing w:val="7"/>
                <w:sz w:val="21"/>
                <w:szCs w:val="21"/>
                <w:highlight w:val="none"/>
              </w:rPr>
              <w:t>)</w:t>
            </w:r>
          </w:p>
        </w:tc>
        <w:tc>
          <w:tcPr>
            <w:tcW w:w="801" w:type="dxa"/>
            <w:vAlign w:val="top"/>
          </w:tcPr>
          <w:p w14:paraId="4B0F599D">
            <w:pPr>
              <w:spacing w:before="128" w:line="233"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w:t>
            </w:r>
          </w:p>
        </w:tc>
        <w:tc>
          <w:tcPr>
            <w:tcW w:w="1150" w:type="dxa"/>
            <w:vAlign w:val="top"/>
          </w:tcPr>
          <w:p w14:paraId="719DEBB7">
            <w:pPr>
              <w:spacing w:before="128" w:line="228" w:lineRule="exact"/>
              <w:ind w:left="292"/>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300</w:t>
            </w:r>
          </w:p>
        </w:tc>
        <w:tc>
          <w:tcPr>
            <w:tcW w:w="1922" w:type="dxa"/>
            <w:vAlign w:val="top"/>
          </w:tcPr>
          <w:p w14:paraId="6DD81BDF">
            <w:pPr>
              <w:spacing w:before="128" w:line="227" w:lineRule="exact"/>
              <w:ind w:left="319"/>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766" w:type="dxa"/>
            <w:vAlign w:val="top"/>
          </w:tcPr>
          <w:p w14:paraId="2B5C869A">
            <w:pPr>
              <w:spacing w:before="128" w:line="227" w:lineRule="exact"/>
              <w:ind w:left="282"/>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1059" w:type="dxa"/>
            <w:vAlign w:val="top"/>
          </w:tcPr>
          <w:p w14:paraId="0E8D7C53">
            <w:pPr>
              <w:spacing w:before="128" w:line="230" w:lineRule="exact"/>
              <w:ind w:left="274"/>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7"/>
                <w:position w:val="1"/>
                <w:sz w:val="21"/>
                <w:szCs w:val="21"/>
                <w:highlight w:val="none"/>
              </w:rPr>
              <w:t>10</w:t>
            </w:r>
          </w:p>
        </w:tc>
      </w:tr>
    </w:tbl>
    <w:p w14:paraId="666BFE8C">
      <w:pPr>
        <w:spacing w:line="349" w:lineRule="auto"/>
        <w:rPr>
          <w:rFonts w:hint="eastAsia" w:ascii="宋体" w:hAnsi="宋体" w:eastAsia="宋体" w:cs="宋体"/>
          <w:color w:val="auto"/>
          <w:sz w:val="21"/>
          <w:highlight w:val="none"/>
        </w:rPr>
      </w:pPr>
    </w:p>
    <w:p w14:paraId="184CB3BB">
      <w:pPr>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说明</w:t>
      </w:r>
      <w:r>
        <w:rPr>
          <w:rFonts w:hint="eastAsia" w:ascii="宋体" w:hAnsi="宋体" w:eastAsia="宋体" w:cs="宋体"/>
          <w:color w:val="auto"/>
          <w:spacing w:val="7"/>
          <w:sz w:val="24"/>
          <w:szCs w:val="24"/>
          <w:highlight w:val="none"/>
        </w:rPr>
        <w:t>：</w:t>
      </w:r>
    </w:p>
    <w:p w14:paraId="18C758A6">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4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1</w:t>
      </w:r>
      <w:r>
        <w:rPr>
          <w:rFonts w:hint="eastAsia" w:ascii="宋体" w:hAnsi="宋体" w:eastAsia="宋体" w:cs="宋体"/>
          <w:color w:val="auto"/>
          <w:spacing w:val="15"/>
          <w:sz w:val="24"/>
          <w:szCs w:val="24"/>
          <w:highlight w:val="none"/>
        </w:rPr>
        <w:t>.大型、 中型和小型企业须同时满足所列指标的下限 ，否则下划一档；微型企业只须满足</w:t>
      </w:r>
      <w:r>
        <w:rPr>
          <w:rFonts w:hint="eastAsia" w:ascii="宋体" w:hAnsi="宋体" w:eastAsia="宋体" w:cs="宋体"/>
          <w:color w:val="auto"/>
          <w:spacing w:val="23"/>
          <w:sz w:val="24"/>
          <w:szCs w:val="24"/>
          <w:highlight w:val="none"/>
        </w:rPr>
        <w:t>所列指标中的一项即可。</w:t>
      </w:r>
    </w:p>
    <w:p w14:paraId="1608EC8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44" w:firstLineChars="200"/>
        <w:textAlignment w:val="baseline"/>
        <w:rPr>
          <w:rFonts w:hint="eastAsia" w:ascii="宋体" w:hAnsi="宋体" w:eastAsia="宋体" w:cs="宋体"/>
          <w:color w:val="auto"/>
          <w:spacing w:val="17"/>
          <w:sz w:val="24"/>
          <w:szCs w:val="24"/>
          <w:highlight w:val="none"/>
        </w:rPr>
      </w:pPr>
      <w:r>
        <w:rPr>
          <w:rFonts w:hint="eastAsia" w:ascii="宋体" w:hAnsi="宋体" w:eastAsia="宋体" w:cs="宋体"/>
          <w:color w:val="auto"/>
          <w:spacing w:val="16"/>
          <w:sz w:val="24"/>
          <w:szCs w:val="24"/>
          <w:highlight w:val="none"/>
        </w:rPr>
        <w:t>2.附表中各行业的范围以《国民经济行业分类》(</w:t>
      </w:r>
      <w:r>
        <w:rPr>
          <w:rFonts w:hint="eastAsia" w:ascii="宋体" w:hAnsi="宋体" w:eastAsia="宋体" w:cs="宋体"/>
          <w:color w:val="auto"/>
          <w:sz w:val="24"/>
          <w:szCs w:val="24"/>
          <w:highlight w:val="none"/>
        </w:rPr>
        <w:t>GB</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rPr>
        <w:t>T</w:t>
      </w:r>
      <w:r>
        <w:rPr>
          <w:rFonts w:hint="eastAsia" w:ascii="宋体" w:hAnsi="宋体" w:eastAsia="宋体" w:cs="宋体"/>
          <w:color w:val="auto"/>
          <w:spacing w:val="16"/>
          <w:sz w:val="24"/>
          <w:szCs w:val="24"/>
          <w:highlight w:val="none"/>
        </w:rPr>
        <w:t>4754-2017) 为准。带*的项为行</w:t>
      </w:r>
      <w:r>
        <w:rPr>
          <w:rFonts w:hint="eastAsia" w:ascii="宋体" w:hAnsi="宋体" w:eastAsia="宋体" w:cs="宋体"/>
          <w:color w:val="auto"/>
          <w:spacing w:val="7"/>
          <w:sz w:val="24"/>
          <w:szCs w:val="24"/>
          <w:highlight w:val="none"/>
        </w:rPr>
        <w:t>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组合类别</w:t>
      </w:r>
      <w:r>
        <w:rPr>
          <w:rFonts w:hint="eastAsia" w:ascii="宋体" w:hAnsi="宋体" w:eastAsia="宋体" w:cs="宋体"/>
          <w:color w:val="auto"/>
          <w:spacing w:val="4"/>
          <w:sz w:val="24"/>
          <w:szCs w:val="24"/>
          <w:highlight w:val="none"/>
        </w:rPr>
        <w:t>，其中，工业包括采矿业，制造业，电力、热力、燃气及水生产和供应业；交通运输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8"/>
          <w:sz w:val="24"/>
          <w:szCs w:val="24"/>
          <w:highlight w:val="none"/>
        </w:rPr>
        <w:t>业</w:t>
      </w:r>
      <w:r>
        <w:rPr>
          <w:rFonts w:hint="eastAsia" w:ascii="宋体" w:hAnsi="宋体" w:eastAsia="宋体" w:cs="宋体"/>
          <w:color w:val="auto"/>
          <w:spacing w:val="11"/>
          <w:sz w:val="24"/>
          <w:szCs w:val="24"/>
          <w:highlight w:val="none"/>
        </w:rPr>
        <w:t>包括道路运输业，水上运输业 ，航空运输业，管道运输业，多式联运和运输代理业、装卸搬</w:t>
      </w:r>
      <w:r>
        <w:rPr>
          <w:rFonts w:hint="eastAsia" w:ascii="宋体" w:hAnsi="宋体" w:eastAsia="宋体" w:cs="宋体"/>
          <w:color w:val="auto"/>
          <w:spacing w:val="9"/>
          <w:sz w:val="24"/>
          <w:szCs w:val="24"/>
          <w:highlight w:val="none"/>
        </w:rPr>
        <w:t>运，不包括铁路运输业；仓储业包括通用仓储，低温仓储，危险品仓储，谷物、棉花等农产</w:t>
      </w:r>
      <w:r>
        <w:rPr>
          <w:rFonts w:hint="eastAsia" w:ascii="宋体" w:hAnsi="宋体" w:eastAsia="宋体" w:cs="宋体"/>
          <w:color w:val="auto"/>
          <w:spacing w:val="2"/>
          <w:sz w:val="24"/>
          <w:szCs w:val="24"/>
          <w:highlight w:val="none"/>
        </w:rPr>
        <w:t>品</w:t>
      </w:r>
      <w:r>
        <w:rPr>
          <w:rFonts w:hint="eastAsia" w:ascii="宋体" w:hAnsi="宋体" w:eastAsia="宋体" w:cs="宋体"/>
          <w:color w:val="auto"/>
          <w:spacing w:val="21"/>
          <w:sz w:val="24"/>
          <w:szCs w:val="24"/>
          <w:highlight w:val="none"/>
        </w:rPr>
        <w:t>仓</w:t>
      </w:r>
      <w:r>
        <w:rPr>
          <w:rFonts w:hint="eastAsia" w:ascii="宋体" w:hAnsi="宋体" w:eastAsia="宋体" w:cs="宋体"/>
          <w:color w:val="auto"/>
          <w:spacing w:val="11"/>
          <w:sz w:val="24"/>
          <w:szCs w:val="24"/>
          <w:highlight w:val="none"/>
        </w:rPr>
        <w:t>储，中药材仓储和其他仓储业；信息传输业包括电信、广播电视和卫星传输服务，互联网和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8"/>
          <w:sz w:val="24"/>
          <w:szCs w:val="24"/>
          <w:highlight w:val="none"/>
        </w:rPr>
        <w:t>相</w:t>
      </w:r>
      <w:r>
        <w:rPr>
          <w:rFonts w:hint="eastAsia" w:ascii="宋体" w:hAnsi="宋体" w:eastAsia="宋体" w:cs="宋体"/>
          <w:color w:val="auto"/>
          <w:spacing w:val="16"/>
          <w:sz w:val="24"/>
          <w:szCs w:val="24"/>
          <w:highlight w:val="none"/>
        </w:rPr>
        <w:t>关服务；其他未列明行业包括科学研究和技术服务业，水利、环境和公共设施管理业，居民</w:t>
      </w:r>
      <w:r>
        <w:rPr>
          <w:rFonts w:hint="eastAsia" w:ascii="宋体" w:hAnsi="宋体" w:eastAsia="宋体" w:cs="宋体"/>
          <w:color w:val="auto"/>
          <w:spacing w:val="12"/>
          <w:sz w:val="24"/>
          <w:szCs w:val="24"/>
          <w:highlight w:val="none"/>
        </w:rPr>
        <w:t>服务、</w:t>
      </w:r>
      <w:r>
        <w:rPr>
          <w:rFonts w:hint="eastAsia" w:ascii="宋体" w:hAnsi="宋体" w:eastAsia="宋体" w:cs="宋体"/>
          <w:color w:val="auto"/>
          <w:spacing w:val="7"/>
          <w:sz w:val="24"/>
          <w:szCs w:val="24"/>
          <w:highlight w:val="none"/>
        </w:rPr>
        <w:t>修</w:t>
      </w:r>
      <w:r>
        <w:rPr>
          <w:rFonts w:hint="eastAsia" w:ascii="宋体" w:hAnsi="宋体" w:eastAsia="宋体" w:cs="宋体"/>
          <w:color w:val="auto"/>
          <w:spacing w:val="6"/>
          <w:sz w:val="24"/>
          <w:szCs w:val="24"/>
          <w:highlight w:val="none"/>
        </w:rPr>
        <w:t>理和其他服务业，社会工作，文化、体育和娱乐业，以及房地产中介服务，其他房地</w:t>
      </w:r>
      <w:r>
        <w:rPr>
          <w:rFonts w:hint="eastAsia" w:ascii="宋体" w:hAnsi="宋体" w:eastAsia="宋体" w:cs="宋体"/>
          <w:color w:val="auto"/>
          <w:spacing w:val="21"/>
          <w:sz w:val="24"/>
          <w:szCs w:val="24"/>
          <w:highlight w:val="none"/>
        </w:rPr>
        <w:t>产</w:t>
      </w:r>
      <w:r>
        <w:rPr>
          <w:rFonts w:hint="eastAsia" w:ascii="宋体" w:hAnsi="宋体" w:eastAsia="宋体" w:cs="宋体"/>
          <w:color w:val="auto"/>
          <w:spacing w:val="17"/>
          <w:sz w:val="24"/>
          <w:szCs w:val="24"/>
          <w:highlight w:val="none"/>
        </w:rPr>
        <w:t>业等，不包括自有房地产经营活动。</w:t>
      </w:r>
    </w:p>
    <w:p w14:paraId="308E52C5">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12" w:firstLineChars="200"/>
        <w:textAlignment w:val="baseline"/>
      </w:pPr>
      <w:r>
        <w:rPr>
          <w:rFonts w:hint="eastAsia" w:ascii="宋体" w:hAnsi="宋体" w:eastAsia="宋体" w:cs="宋体"/>
          <w:b w:val="0"/>
          <w:bCs w:val="0"/>
          <w:snapToGrid w:val="0"/>
          <w:color w:val="auto"/>
          <w:spacing w:val="8"/>
          <w:kern w:val="0"/>
          <w:sz w:val="24"/>
          <w:szCs w:val="24"/>
          <w:highlight w:val="none"/>
        </w:rPr>
        <w:t>3.企业划分指标以现行统计制度为准。(1) 从业人员，是指期末从业人员数，没有期末从业人员数的，采用全年平均人员数代替。(2) 营业收入，工业、建筑业、 限额以上批发和零售业、限额以上住宿和餐饮业以及其他设置主营业务收入指标的行业，采用主营业务收入</w:t>
      </w:r>
      <w:r>
        <w:rPr>
          <w:rFonts w:hint="eastAsia" w:ascii="宋体" w:hAnsi="宋体" w:eastAsia="宋体" w:cs="宋体"/>
          <w:b w:val="0"/>
          <w:bCs w:val="0"/>
          <w:snapToGrid w:val="0"/>
          <w:color w:val="auto"/>
          <w:spacing w:val="8"/>
          <w:kern w:val="0"/>
          <w:sz w:val="24"/>
          <w:szCs w:val="24"/>
          <w:highlight w:val="none"/>
          <w:lang w:eastAsia="zh-CN"/>
        </w:rPr>
        <w:t>；</w:t>
      </w:r>
      <w:r>
        <w:rPr>
          <w:rFonts w:hint="eastAsia" w:ascii="宋体" w:hAnsi="宋体" w:eastAsia="宋体" w:cs="宋体"/>
          <w:b w:val="0"/>
          <w:bCs w:val="0"/>
          <w:snapToGrid w:val="0"/>
          <w:color w:val="auto"/>
          <w:spacing w:val="8"/>
          <w:kern w:val="0"/>
          <w:sz w:val="24"/>
          <w:szCs w:val="24"/>
          <w:highlight w:val="none"/>
        </w:rPr>
        <w:t xml:space="preserve"> 限额以下批发与零售业企业采用商品销售额代替；限额以下住宿与餐饮业企业采用营业额代替；农、林、牧、渔业企业采用营业总收入代替；其他未设置主营业务收入的行业，采用营业收入指标。 (3) 资产总额，采用资产总计代替。</w:t>
      </w:r>
    </w:p>
    <w:sectPr>
      <w:footerReference r:id="rId10" w:type="default"/>
      <w:pgSz w:w="11906" w:h="16838"/>
      <w:pgMar w:top="779" w:right="1418" w:bottom="46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7A46">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BDBC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DBDBC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A9BA">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AC63">
                          <w:pPr>
                            <w:pStyle w:val="3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D4AC63">
                    <w:pPr>
                      <w:pStyle w:val="3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82AB2">
    <w:pPr>
      <w:pStyle w:val="39"/>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A04A7">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2A04A7">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3D99">
    <w:pPr>
      <w:pStyle w:val="39"/>
      <w:framePr w:wrap="around" w:vAnchor="text" w:hAnchor="margin" w:xAlign="right" w:y="1"/>
      <w:rPr>
        <w:rStyle w:val="65"/>
      </w:rPr>
    </w:pPr>
    <w:r>
      <w:fldChar w:fldCharType="begin"/>
    </w:r>
    <w:r>
      <w:rPr>
        <w:rStyle w:val="65"/>
      </w:rPr>
      <w:instrText xml:space="preserve">PAGE  </w:instrText>
    </w:r>
    <w:r>
      <w:fldChar w:fldCharType="end"/>
    </w:r>
  </w:p>
  <w:p w14:paraId="387C582E">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55AA9">
    <w:pPr>
      <w:pStyle w:val="39"/>
      <w:jc w:val="center"/>
      <w:rPr>
        <w:rFonts w:hint="default" w:ascii="仿宋_GB2312" w:eastAsia="仿宋_GB2312"/>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6B93">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536B93">
                    <w:pPr>
                      <w:pStyle w:val="39"/>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ascii="仿宋_GB2312" w:eastAsia="仿宋_GB2312"/>
        <w:lang w:val="en-US" w:eastAsia="zh-CN"/>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08CF">
    <w:pPr>
      <w:spacing w:line="196" w:lineRule="auto"/>
      <w:ind w:left="463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1D9E5C">
                          <w:pPr>
                            <w:pStyle w:val="3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51D9E5C">
                    <w:pPr>
                      <w:pStyle w:val="3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834A">
    <w:pPr>
      <w:pStyle w:val="58"/>
      <w:pBdr>
        <w:bottom w:val="none" w:color="auto" w:sz="0" w:space="0"/>
      </w:pBdr>
      <w:jc w:val="both"/>
      <w:rPr>
        <w:rFonts w:ascii="仿宋_GB2312" w:eastAsia="仿宋_GB2312"/>
        <w:b w:val="0"/>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C3FC1">
    <w:pPr>
      <w:pStyle w:val="40"/>
      <w:pBdr>
        <w:bottom w:val="none" w:color="auto" w:sz="0" w:space="1"/>
      </w:pBdr>
      <w:jc w:val="both"/>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4">
    <w:nsid w:val="316B3FBA"/>
    <w:multiLevelType w:val="multilevel"/>
    <w:tmpl w:val="316B3FBA"/>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42F16750"/>
    <w:multiLevelType w:val="singleLevel"/>
    <w:tmpl w:val="42F16750"/>
    <w:lvl w:ilvl="0" w:tentative="0">
      <w:start w:val="1"/>
      <w:numFmt w:val="chineseCounting"/>
      <w:suff w:val="nothing"/>
      <w:lvlText w:val="%1、"/>
      <w:lvlJc w:val="left"/>
      <w:rPr>
        <w:rFonts w:hint="eastAsia"/>
      </w:rPr>
    </w:lvl>
  </w:abstractNum>
  <w:abstractNum w:abstractNumId="6">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46BC"/>
    <w:rsid w:val="00424F1A"/>
    <w:rsid w:val="00425724"/>
    <w:rsid w:val="00426B2C"/>
    <w:rsid w:val="00427FA8"/>
    <w:rsid w:val="004306D4"/>
    <w:rsid w:val="00432827"/>
    <w:rsid w:val="00432ECA"/>
    <w:rsid w:val="00435515"/>
    <w:rsid w:val="004357B1"/>
    <w:rsid w:val="00436CCE"/>
    <w:rsid w:val="004379BB"/>
    <w:rsid w:val="00440262"/>
    <w:rsid w:val="00440814"/>
    <w:rsid w:val="00440844"/>
    <w:rsid w:val="00443EDE"/>
    <w:rsid w:val="0044739A"/>
    <w:rsid w:val="004475F7"/>
    <w:rsid w:val="00447DFB"/>
    <w:rsid w:val="00450B22"/>
    <w:rsid w:val="00452AB8"/>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207"/>
    <w:rsid w:val="006A39D0"/>
    <w:rsid w:val="006A4321"/>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442"/>
    <w:rsid w:val="006D6E4E"/>
    <w:rsid w:val="006E00E3"/>
    <w:rsid w:val="006E045C"/>
    <w:rsid w:val="006E065E"/>
    <w:rsid w:val="006E189B"/>
    <w:rsid w:val="006E2902"/>
    <w:rsid w:val="006E2F9D"/>
    <w:rsid w:val="006E37C6"/>
    <w:rsid w:val="006E41ED"/>
    <w:rsid w:val="006E448E"/>
    <w:rsid w:val="006E4667"/>
    <w:rsid w:val="006E5112"/>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385"/>
    <w:rsid w:val="00893F41"/>
    <w:rsid w:val="00894BBD"/>
    <w:rsid w:val="00894C79"/>
    <w:rsid w:val="0089558A"/>
    <w:rsid w:val="008972B6"/>
    <w:rsid w:val="008977E1"/>
    <w:rsid w:val="008A011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60EC"/>
    <w:rsid w:val="00AC6CD9"/>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6054"/>
    <w:rsid w:val="00B66B48"/>
    <w:rsid w:val="00B672EA"/>
    <w:rsid w:val="00B6747B"/>
    <w:rsid w:val="00B70200"/>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72C6"/>
    <w:rsid w:val="00E675EE"/>
    <w:rsid w:val="00E7139A"/>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50B5"/>
    <w:rsid w:val="00F953D5"/>
    <w:rsid w:val="00F97A34"/>
    <w:rsid w:val="00F97EA1"/>
    <w:rsid w:val="00FA05C8"/>
    <w:rsid w:val="00FA0678"/>
    <w:rsid w:val="00FA107F"/>
    <w:rsid w:val="00FA201B"/>
    <w:rsid w:val="00FA23F7"/>
    <w:rsid w:val="00FA27EB"/>
    <w:rsid w:val="00FA4117"/>
    <w:rsid w:val="00FA672F"/>
    <w:rsid w:val="00FA7792"/>
    <w:rsid w:val="00FA7B61"/>
    <w:rsid w:val="00FB11FA"/>
    <w:rsid w:val="00FB18F8"/>
    <w:rsid w:val="00FB2F8E"/>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14A2DD9"/>
    <w:rsid w:val="01660813"/>
    <w:rsid w:val="018770AC"/>
    <w:rsid w:val="01AA16F8"/>
    <w:rsid w:val="02DA0C0E"/>
    <w:rsid w:val="03DD35E4"/>
    <w:rsid w:val="04056610"/>
    <w:rsid w:val="04321A97"/>
    <w:rsid w:val="04BE3E35"/>
    <w:rsid w:val="056812FA"/>
    <w:rsid w:val="065A6178"/>
    <w:rsid w:val="06EA1468"/>
    <w:rsid w:val="075562B7"/>
    <w:rsid w:val="07F6164B"/>
    <w:rsid w:val="087A1B7A"/>
    <w:rsid w:val="096B2097"/>
    <w:rsid w:val="09FD2C5C"/>
    <w:rsid w:val="0A195A3E"/>
    <w:rsid w:val="0A5B7E63"/>
    <w:rsid w:val="0AC05EBA"/>
    <w:rsid w:val="0AE10BDC"/>
    <w:rsid w:val="0C142961"/>
    <w:rsid w:val="0C87121B"/>
    <w:rsid w:val="0CDC610D"/>
    <w:rsid w:val="0DD924E9"/>
    <w:rsid w:val="0DF702FE"/>
    <w:rsid w:val="0E3F698B"/>
    <w:rsid w:val="0F21508F"/>
    <w:rsid w:val="0F7C1FFB"/>
    <w:rsid w:val="0F816ACD"/>
    <w:rsid w:val="0FB94501"/>
    <w:rsid w:val="10A36062"/>
    <w:rsid w:val="10A70601"/>
    <w:rsid w:val="10B047CF"/>
    <w:rsid w:val="10FC16EA"/>
    <w:rsid w:val="118963A1"/>
    <w:rsid w:val="11EF2DD5"/>
    <w:rsid w:val="120237D7"/>
    <w:rsid w:val="123F18BA"/>
    <w:rsid w:val="12700646"/>
    <w:rsid w:val="127723A9"/>
    <w:rsid w:val="12A7303C"/>
    <w:rsid w:val="13053004"/>
    <w:rsid w:val="13072A44"/>
    <w:rsid w:val="13935DEC"/>
    <w:rsid w:val="145044FA"/>
    <w:rsid w:val="14986E04"/>
    <w:rsid w:val="14C46D45"/>
    <w:rsid w:val="15AD6546"/>
    <w:rsid w:val="186742B0"/>
    <w:rsid w:val="19A34705"/>
    <w:rsid w:val="19B52B62"/>
    <w:rsid w:val="19D14354"/>
    <w:rsid w:val="1A361CF4"/>
    <w:rsid w:val="1A6A0BDD"/>
    <w:rsid w:val="1AC33331"/>
    <w:rsid w:val="1B2A271F"/>
    <w:rsid w:val="1B890139"/>
    <w:rsid w:val="1CAB381B"/>
    <w:rsid w:val="1CF66E88"/>
    <w:rsid w:val="1D102CD1"/>
    <w:rsid w:val="1D2147FC"/>
    <w:rsid w:val="1D266CE1"/>
    <w:rsid w:val="1D3963AF"/>
    <w:rsid w:val="1DAD06A9"/>
    <w:rsid w:val="1DBC0763"/>
    <w:rsid w:val="1E714A66"/>
    <w:rsid w:val="1F537E53"/>
    <w:rsid w:val="1FB33565"/>
    <w:rsid w:val="1FE868A9"/>
    <w:rsid w:val="20AB6DA2"/>
    <w:rsid w:val="211E26D6"/>
    <w:rsid w:val="21283D08"/>
    <w:rsid w:val="2372642E"/>
    <w:rsid w:val="239E1890"/>
    <w:rsid w:val="23D169B1"/>
    <w:rsid w:val="25B440B3"/>
    <w:rsid w:val="27B55209"/>
    <w:rsid w:val="29842A7C"/>
    <w:rsid w:val="299B6A9A"/>
    <w:rsid w:val="2AA1365A"/>
    <w:rsid w:val="2B2A41D3"/>
    <w:rsid w:val="2D5C786C"/>
    <w:rsid w:val="2DD15014"/>
    <w:rsid w:val="2E5956ED"/>
    <w:rsid w:val="2E7C6CDB"/>
    <w:rsid w:val="2EC9685F"/>
    <w:rsid w:val="2EEF6BEA"/>
    <w:rsid w:val="2F7466B1"/>
    <w:rsid w:val="2FD25781"/>
    <w:rsid w:val="31957131"/>
    <w:rsid w:val="319C6071"/>
    <w:rsid w:val="320A3D3B"/>
    <w:rsid w:val="32DB72BE"/>
    <w:rsid w:val="342E63AB"/>
    <w:rsid w:val="345D260B"/>
    <w:rsid w:val="34C24459"/>
    <w:rsid w:val="36352F55"/>
    <w:rsid w:val="365302AE"/>
    <w:rsid w:val="377C2FE5"/>
    <w:rsid w:val="37F142D2"/>
    <w:rsid w:val="38910D12"/>
    <w:rsid w:val="38BD38B5"/>
    <w:rsid w:val="38C92E1A"/>
    <w:rsid w:val="39622B03"/>
    <w:rsid w:val="39A13F14"/>
    <w:rsid w:val="3A5E2E76"/>
    <w:rsid w:val="3A8F0611"/>
    <w:rsid w:val="3B051FA2"/>
    <w:rsid w:val="3B292241"/>
    <w:rsid w:val="3C5F759A"/>
    <w:rsid w:val="3C642299"/>
    <w:rsid w:val="3CBF1326"/>
    <w:rsid w:val="3D5C78D4"/>
    <w:rsid w:val="3FAA7756"/>
    <w:rsid w:val="3FEF3F0D"/>
    <w:rsid w:val="3FFF72A6"/>
    <w:rsid w:val="410225BF"/>
    <w:rsid w:val="42A6360C"/>
    <w:rsid w:val="42E1381E"/>
    <w:rsid w:val="435E60F6"/>
    <w:rsid w:val="43FB717C"/>
    <w:rsid w:val="44670B79"/>
    <w:rsid w:val="449175CA"/>
    <w:rsid w:val="451E447A"/>
    <w:rsid w:val="45345B76"/>
    <w:rsid w:val="47307808"/>
    <w:rsid w:val="477F6C14"/>
    <w:rsid w:val="47CB141F"/>
    <w:rsid w:val="486F747C"/>
    <w:rsid w:val="489E772E"/>
    <w:rsid w:val="49D6368D"/>
    <w:rsid w:val="4AF23BD1"/>
    <w:rsid w:val="4C1D0956"/>
    <w:rsid w:val="4CA24E44"/>
    <w:rsid w:val="4D861CF6"/>
    <w:rsid w:val="4E08517B"/>
    <w:rsid w:val="4F2E6E63"/>
    <w:rsid w:val="4F9D72A0"/>
    <w:rsid w:val="4FBC03F0"/>
    <w:rsid w:val="50BD0899"/>
    <w:rsid w:val="51A0432A"/>
    <w:rsid w:val="527140E5"/>
    <w:rsid w:val="5292508F"/>
    <w:rsid w:val="52A96B6F"/>
    <w:rsid w:val="54A159E1"/>
    <w:rsid w:val="550764A4"/>
    <w:rsid w:val="551926E0"/>
    <w:rsid w:val="55610682"/>
    <w:rsid w:val="559509EF"/>
    <w:rsid w:val="561279B9"/>
    <w:rsid w:val="56515F3B"/>
    <w:rsid w:val="572B71CA"/>
    <w:rsid w:val="57E958DA"/>
    <w:rsid w:val="58117322"/>
    <w:rsid w:val="583103D4"/>
    <w:rsid w:val="58AE4F0C"/>
    <w:rsid w:val="58DE0E74"/>
    <w:rsid w:val="59027086"/>
    <w:rsid w:val="59701244"/>
    <w:rsid w:val="59B05F22"/>
    <w:rsid w:val="59E06FAB"/>
    <w:rsid w:val="5A2A7C7B"/>
    <w:rsid w:val="5A2E4D91"/>
    <w:rsid w:val="5A7162EE"/>
    <w:rsid w:val="5C80234E"/>
    <w:rsid w:val="5D5061F6"/>
    <w:rsid w:val="5E261785"/>
    <w:rsid w:val="5FC15189"/>
    <w:rsid w:val="5FCC5339"/>
    <w:rsid w:val="5FE70807"/>
    <w:rsid w:val="6090097C"/>
    <w:rsid w:val="60E53485"/>
    <w:rsid w:val="61054A27"/>
    <w:rsid w:val="611D2366"/>
    <w:rsid w:val="61B7412F"/>
    <w:rsid w:val="62885958"/>
    <w:rsid w:val="64BA349E"/>
    <w:rsid w:val="64CE2EAA"/>
    <w:rsid w:val="655F58C1"/>
    <w:rsid w:val="662E75B1"/>
    <w:rsid w:val="66342C2E"/>
    <w:rsid w:val="663E784C"/>
    <w:rsid w:val="6771763C"/>
    <w:rsid w:val="685867EC"/>
    <w:rsid w:val="6939728B"/>
    <w:rsid w:val="696F52E7"/>
    <w:rsid w:val="697C2AF8"/>
    <w:rsid w:val="69B45D30"/>
    <w:rsid w:val="69E72CD3"/>
    <w:rsid w:val="6A0966AB"/>
    <w:rsid w:val="6AA70C73"/>
    <w:rsid w:val="6B0467D1"/>
    <w:rsid w:val="6B1F77BA"/>
    <w:rsid w:val="6D6627B6"/>
    <w:rsid w:val="6D9B6007"/>
    <w:rsid w:val="6E8E12EF"/>
    <w:rsid w:val="6EFC4430"/>
    <w:rsid w:val="6F3C482C"/>
    <w:rsid w:val="70B322A7"/>
    <w:rsid w:val="710F3300"/>
    <w:rsid w:val="71B43A85"/>
    <w:rsid w:val="71D43752"/>
    <w:rsid w:val="7386708A"/>
    <w:rsid w:val="73DD6243"/>
    <w:rsid w:val="749C4185"/>
    <w:rsid w:val="75560310"/>
    <w:rsid w:val="75DA2C18"/>
    <w:rsid w:val="775319EF"/>
    <w:rsid w:val="775F37D3"/>
    <w:rsid w:val="784F0B51"/>
    <w:rsid w:val="790F0A09"/>
    <w:rsid w:val="790F1C77"/>
    <w:rsid w:val="79B97138"/>
    <w:rsid w:val="7A391536"/>
    <w:rsid w:val="7A67303B"/>
    <w:rsid w:val="7A8E611C"/>
    <w:rsid w:val="7AAB1D04"/>
    <w:rsid w:val="7ABA4368"/>
    <w:rsid w:val="7B257FFD"/>
    <w:rsid w:val="7C2B1DA5"/>
    <w:rsid w:val="7DF4317E"/>
    <w:rsid w:val="7DF945CA"/>
    <w:rsid w:val="7E0B3D48"/>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613"/>
    <w:qFormat/>
    <w:uiPriority w:val="0"/>
    <w:pPr>
      <w:widowControl/>
      <w:snapToGrid w:val="0"/>
      <w:spacing w:line="480" w:lineRule="exact"/>
      <w:ind w:firstLine="567"/>
    </w:pPr>
    <w:rPr>
      <w:rFonts w:ascii="宋体"/>
      <w:snapToGrid w:val="0"/>
      <w:color w:val="000000"/>
      <w:kern w:val="28"/>
      <w:sz w:val="28"/>
      <w:szCs w:val="20"/>
    </w:rPr>
  </w:style>
  <w:style w:type="paragraph" w:customStyle="1" w:styleId="3">
    <w:name w:val="图表标题"/>
    <w:basedOn w:val="4"/>
    <w:next w:val="4"/>
    <w:qFormat/>
    <w:uiPriority w:val="0"/>
    <w:pPr>
      <w:spacing w:line="360" w:lineRule="auto"/>
      <w:jc w:val="center"/>
    </w:pPr>
    <w:rPr>
      <w:rFonts w:ascii="Times New Roman" w:hAnsi="Times New Roman"/>
      <w:sz w:val="24"/>
    </w:rPr>
  </w:style>
  <w:style w:type="paragraph" w:styleId="4">
    <w:name w:val="caption"/>
    <w:basedOn w:val="1"/>
    <w:next w:val="1"/>
    <w:qFormat/>
    <w:uiPriority w:val="0"/>
    <w:rPr>
      <w:b/>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w:basedOn w:val="1"/>
    <w:next w:val="24"/>
    <w:link w:val="512"/>
    <w:qFormat/>
    <w:uiPriority w:val="0"/>
    <w:pPr>
      <w:autoSpaceDE w:val="0"/>
      <w:autoSpaceDN w:val="0"/>
      <w:spacing w:line="360" w:lineRule="auto"/>
    </w:pPr>
    <w:rPr>
      <w:rFonts w:ascii="宋体"/>
      <w:sz w:val="24"/>
      <w:szCs w:val="21"/>
      <w:lang w:val="zh-CN"/>
    </w:rPr>
  </w:style>
  <w:style w:type="paragraph" w:styleId="24">
    <w:name w:val="Body Text First Indent"/>
    <w:basedOn w:val="23"/>
    <w:link w:val="545"/>
    <w:qFormat/>
    <w:uiPriority w:val="0"/>
    <w:pPr>
      <w:ind w:firstLine="420"/>
    </w:pPr>
    <w:rPr>
      <w:szCs w:val="20"/>
    </w:rPr>
  </w:style>
  <w:style w:type="paragraph" w:styleId="25">
    <w:name w:val="Body Text Indent"/>
    <w:basedOn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8"/>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next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2"/>
    <w:basedOn w:val="25"/>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01 正文-首行缩进2字符"/>
    <w:basedOn w:val="1"/>
    <w:qFormat/>
    <w:uiPriority w:val="0"/>
    <w:pPr>
      <w:spacing w:beforeLines="50" w:afterLines="50"/>
      <w:ind w:firstLine="964" w:firstLineChars="200"/>
    </w:pPr>
    <w:rPr>
      <w:rFonts w:ascii="Arial" w:hAnsi="Arial"/>
      <w:color w:val="000000"/>
      <w:sz w:val="28"/>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8"/>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8"/>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7"/>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7"/>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8"/>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9"/>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9"/>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5"/>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5"/>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2"/>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1"/>
    <w:qFormat/>
    <w:uiPriority w:val="0"/>
    <w:rPr>
      <w:b/>
      <w:bCs/>
      <w:kern w:val="2"/>
      <w:sz w:val="24"/>
      <w:szCs w:val="24"/>
    </w:rPr>
  </w:style>
  <w:style w:type="character" w:customStyle="1" w:styleId="482">
    <w:name w:val="称呼 Char"/>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3"/>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4"/>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5"/>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9"/>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8"/>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10"/>
    <w:qFormat/>
    <w:uiPriority w:val="0"/>
    <w:rPr>
      <w:rFonts w:ascii="Arial" w:hAnsi="Arial" w:eastAsia="黑体"/>
      <w:b/>
      <w:bCs/>
      <w:kern w:val="2"/>
      <w:sz w:val="24"/>
      <w:szCs w:val="24"/>
    </w:rPr>
  </w:style>
  <w:style w:type="character" w:customStyle="1" w:styleId="613">
    <w:name w:val="正文缩进 Char2"/>
    <w:link w:val="2"/>
    <w:qFormat/>
    <w:uiPriority w:val="0"/>
    <w:rPr>
      <w:rFonts w:ascii="宋体" w:eastAsia="宋体"/>
      <w:snapToGrid w:val="0"/>
      <w:color w:val="000000"/>
      <w:kern w:val="28"/>
      <w:sz w:val="28"/>
      <w:lang w:val="en-US" w:eastAsia="zh-CN" w:bidi="ar-SA"/>
    </w:rPr>
  </w:style>
  <w:style w:type="character" w:customStyle="1" w:styleId="614">
    <w:name w:val="批注文字 Char1"/>
    <w:link w:val="20"/>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 Char"/>
    <w:link w:val="633"/>
    <w:qFormat/>
    <w:locked/>
    <w:uiPriority w:val="0"/>
    <w:rPr>
      <w:rFonts w:ascii="宋体" w:hAnsi="宋体"/>
      <w:sz w:val="24"/>
    </w:rPr>
  </w:style>
  <w:style w:type="paragraph" w:customStyle="1" w:styleId="633">
    <w:name w:val="*正文"/>
    <w:basedOn w:val="1"/>
    <w:link w:val="632"/>
    <w:qFormat/>
    <w:uiPriority w:val="0"/>
    <w:pPr>
      <w:snapToGrid w:val="0"/>
      <w:spacing w:line="360" w:lineRule="auto"/>
      <w:ind w:firstLine="482"/>
      <w:jc w:val="left"/>
    </w:pPr>
    <w:rPr>
      <w:rFonts w:ascii="宋体" w:hAnsi="宋体"/>
      <w:kern w:val="0"/>
      <w:sz w:val="24"/>
      <w:szCs w:val="20"/>
    </w:rPr>
  </w:style>
  <w:style w:type="character" w:customStyle="1" w:styleId="634">
    <w:name w:val="正文文本缩进 Char3"/>
    <w:qFormat/>
    <w:uiPriority w:val="0"/>
    <w:rPr>
      <w:rFonts w:ascii="宋体" w:hAnsi="宋体"/>
      <w:kern w:val="2"/>
      <w:sz w:val="24"/>
      <w:szCs w:val="24"/>
    </w:rPr>
  </w:style>
  <w:style w:type="table" w:customStyle="1" w:styleId="635">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3244B-3535-4D18-BA3F-3CE5B2B8C406}">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39875</Words>
  <Characters>42871</Characters>
  <Lines>466</Lines>
  <Paragraphs>131</Paragraphs>
  <TotalTime>39</TotalTime>
  <ScaleCrop>false</ScaleCrop>
  <LinksUpToDate>false</LinksUpToDate>
  <CharactersWithSpaces>47283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吕顶云</cp:lastModifiedBy>
  <cp:lastPrinted>2024-09-18T03:11:00Z</cp:lastPrinted>
  <dcterms:modified xsi:type="dcterms:W3CDTF">2025-05-20T09:20:30Z</dcterms:modified>
  <dc:title>北海市政府采购中心</dc:title>
  <cp:revision>1021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D1AD6BE9DD8C4E74B1422D179BEB696F</vt:lpwstr>
  </property>
  <property fmtid="{D5CDD505-2E9C-101B-9397-08002B2CF9AE}" pid="4" name="KSOTemplateDocerSaveRecord">
    <vt:lpwstr>eyJoZGlkIjoiOWUyMTg5YmI5ZGZhN2ZkYWQxY2QwZTJkYjEzOWNiYzIiLCJ1c2VySWQiOiIxNDQ4MzgzMTA5In0=</vt:lpwstr>
  </property>
</Properties>
</file>